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7"/>
      </w:tblGrid>
      <w:tr w:rsidR="008E7846" w:rsidRPr="00487162" w14:paraId="0C24B280" w14:textId="77777777" w:rsidTr="00FE2AA6">
        <w:trPr>
          <w:trHeight w:val="1894"/>
        </w:trPr>
        <w:tc>
          <w:tcPr>
            <w:tcW w:w="7467" w:type="dxa"/>
            <w:tcBorders>
              <w:top w:val="nil"/>
              <w:left w:val="nil"/>
              <w:bottom w:val="nil"/>
              <w:right w:val="nil"/>
            </w:tcBorders>
          </w:tcPr>
          <w:p w14:paraId="2718E592" w14:textId="77777777" w:rsidR="008E7846" w:rsidRDefault="00846D13" w:rsidP="0017078F">
            <w:pPr>
              <w:rPr>
                <w:rFonts w:ascii="Arial" w:hAnsi="Arial" w:cs="Arial"/>
                <w:b/>
                <w:color w:val="002C47"/>
                <w:sz w:val="36"/>
                <w:szCs w:val="36"/>
              </w:rPr>
            </w:pPr>
            <w:bookmarkStart w:id="0" w:name="_GoBack"/>
            <w:bookmarkEnd w:id="0"/>
            <w:r>
              <w:rPr>
                <w:rFonts w:ascii="Arial" w:hAnsi="Arial" w:cs="Arial"/>
                <w:b/>
                <w:color w:val="002C47"/>
                <w:sz w:val="36"/>
                <w:szCs w:val="36"/>
              </w:rPr>
              <w:t>First round</w:t>
            </w:r>
            <w:r w:rsidR="00D21067">
              <w:rPr>
                <w:rFonts w:ascii="Arial" w:hAnsi="Arial" w:cs="Arial"/>
                <w:b/>
                <w:color w:val="002C47"/>
                <w:sz w:val="36"/>
                <w:szCs w:val="36"/>
              </w:rPr>
              <w:t xml:space="preserve"> report:</w:t>
            </w:r>
            <w:r>
              <w:rPr>
                <w:rFonts w:ascii="Arial" w:hAnsi="Arial" w:cs="Arial"/>
                <w:b/>
                <w:color w:val="002C47"/>
                <w:sz w:val="36"/>
                <w:szCs w:val="36"/>
              </w:rPr>
              <w:t xml:space="preserve"> 5 October 2016</w:t>
            </w:r>
          </w:p>
          <w:p w14:paraId="012BE60A" w14:textId="77777777" w:rsidR="00846D13" w:rsidRPr="0017078F" w:rsidRDefault="00846D13" w:rsidP="0017078F">
            <w:pPr>
              <w:rPr>
                <w:rFonts w:ascii="Arial" w:hAnsi="Arial" w:cs="Arial"/>
                <w:b/>
                <w:color w:val="002C47"/>
                <w:sz w:val="36"/>
                <w:szCs w:val="36"/>
              </w:rPr>
            </w:pPr>
            <w:r>
              <w:rPr>
                <w:rFonts w:ascii="Arial" w:hAnsi="Arial" w:cs="Arial"/>
                <w:b/>
                <w:color w:val="002C47"/>
                <w:sz w:val="36"/>
                <w:szCs w:val="36"/>
              </w:rPr>
              <w:t xml:space="preserve">Second round </w:t>
            </w:r>
            <w:r w:rsidR="00D21067">
              <w:rPr>
                <w:rFonts w:ascii="Arial" w:hAnsi="Arial" w:cs="Arial"/>
                <w:b/>
                <w:color w:val="002C47"/>
                <w:sz w:val="36"/>
                <w:szCs w:val="36"/>
              </w:rPr>
              <w:t xml:space="preserve">report: </w:t>
            </w:r>
            <w:r>
              <w:rPr>
                <w:rFonts w:ascii="Arial" w:hAnsi="Arial" w:cs="Arial"/>
                <w:b/>
                <w:color w:val="002C47"/>
                <w:sz w:val="36"/>
                <w:szCs w:val="36"/>
              </w:rPr>
              <w:t>8 December 2016</w:t>
            </w:r>
          </w:p>
        </w:tc>
      </w:tr>
    </w:tbl>
    <w:tbl>
      <w:tblPr>
        <w:tblpPr w:leftFromText="180" w:rightFromText="180" w:vertAnchor="page" w:tblpY="3316"/>
        <w:tblW w:w="9559" w:type="dxa"/>
        <w:tblLayout w:type="fixed"/>
        <w:tblLook w:val="04A0" w:firstRow="1" w:lastRow="0" w:firstColumn="1" w:lastColumn="0" w:noHBand="0" w:noVBand="1"/>
      </w:tblPr>
      <w:tblGrid>
        <w:gridCol w:w="9559"/>
      </w:tblGrid>
      <w:tr w:rsidR="0032583B" w:rsidRPr="00A964D1" w14:paraId="21833AAF" w14:textId="77777777" w:rsidTr="00FE2AA6">
        <w:trPr>
          <w:trHeight w:val="1534"/>
        </w:trPr>
        <w:tc>
          <w:tcPr>
            <w:tcW w:w="9559" w:type="dxa"/>
          </w:tcPr>
          <w:p w14:paraId="76E09A0F"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383E1BC2" w14:textId="77777777" w:rsidTr="00FE2AA6">
        <w:trPr>
          <w:trHeight w:val="859"/>
        </w:trPr>
        <w:tc>
          <w:tcPr>
            <w:tcW w:w="9559" w:type="dxa"/>
          </w:tcPr>
          <w:p w14:paraId="426F05CB" w14:textId="3E66F9CF" w:rsidR="00E07F15" w:rsidRPr="00A964D1" w:rsidRDefault="00E07F15" w:rsidP="00846D13">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846D13">
              <w:rPr>
                <w:color w:val="FFFFFF" w:themeColor="background1"/>
              </w:rPr>
              <w:t>Sebelipase</w:t>
            </w:r>
            <w:proofErr w:type="spellEnd"/>
            <w:r w:rsidR="00FE2AA6">
              <w:rPr>
                <w:color w:val="FFFFFF" w:themeColor="background1"/>
              </w:rPr>
              <w:t xml:space="preserve"> alfa</w:t>
            </w:r>
          </w:p>
        </w:tc>
      </w:tr>
      <w:tr w:rsidR="00E07F15" w:rsidRPr="00B64760" w14:paraId="5625911A" w14:textId="77777777" w:rsidTr="00FE2AA6">
        <w:trPr>
          <w:trHeight w:val="925"/>
        </w:trPr>
        <w:tc>
          <w:tcPr>
            <w:tcW w:w="9559" w:type="dxa"/>
          </w:tcPr>
          <w:p w14:paraId="41BBA13E" w14:textId="77777777" w:rsidR="00E07F15" w:rsidRPr="008E7846" w:rsidRDefault="00E07F15" w:rsidP="00FE2AA6">
            <w:pPr>
              <w:pStyle w:val="Subtitle"/>
              <w:ind w:left="0"/>
              <w:rPr>
                <w:color w:val="FFFFFF" w:themeColor="background1"/>
              </w:rPr>
            </w:pPr>
            <w:r w:rsidRPr="008E7846">
              <w:rPr>
                <w:color w:val="FFFFFF" w:themeColor="background1"/>
              </w:rPr>
              <w:t xml:space="preserve">Proprietary Product Name: </w:t>
            </w:r>
            <w:proofErr w:type="spellStart"/>
            <w:r w:rsidR="00486B4C">
              <w:rPr>
                <w:color w:val="FFFFFF" w:themeColor="background1"/>
              </w:rPr>
              <w:t>Kanuma</w:t>
            </w:r>
            <w:proofErr w:type="spellEnd"/>
          </w:p>
        </w:tc>
      </w:tr>
      <w:tr w:rsidR="00E07F15" w:rsidRPr="00B64760" w14:paraId="7D35259E" w14:textId="77777777" w:rsidTr="00FE2AA6">
        <w:trPr>
          <w:trHeight w:val="481"/>
        </w:trPr>
        <w:tc>
          <w:tcPr>
            <w:tcW w:w="9559" w:type="dxa"/>
          </w:tcPr>
          <w:p w14:paraId="7A3C7A84" w14:textId="77777777" w:rsidR="00E07F15" w:rsidRPr="008E7846" w:rsidRDefault="00E07F15" w:rsidP="00FE2AA6">
            <w:pPr>
              <w:pStyle w:val="Subtitle"/>
              <w:ind w:left="0"/>
              <w:rPr>
                <w:color w:val="FFFFFF" w:themeColor="background1"/>
              </w:rPr>
            </w:pPr>
            <w:r w:rsidRPr="008E7846">
              <w:rPr>
                <w:color w:val="FFFFFF" w:themeColor="background1"/>
              </w:rPr>
              <w:t>Sponsor:</w:t>
            </w:r>
            <w:r w:rsidR="00CC672B">
              <w:rPr>
                <w:color w:val="FFFFFF" w:themeColor="background1"/>
              </w:rPr>
              <w:t xml:space="preserve"> </w:t>
            </w:r>
            <w:r w:rsidR="00846D13" w:rsidRPr="00846D13">
              <w:rPr>
                <w:color w:val="FFFFFF" w:themeColor="background1"/>
              </w:rPr>
              <w:t>Alexion Ph</w:t>
            </w:r>
            <w:r w:rsidR="00846D13">
              <w:rPr>
                <w:color w:val="FFFFFF" w:themeColor="background1"/>
              </w:rPr>
              <w:t>armaceuticals Australia Pty Ltd</w:t>
            </w:r>
          </w:p>
        </w:tc>
      </w:tr>
    </w:tbl>
    <w:p w14:paraId="7AF10E6A" w14:textId="77777777" w:rsidR="008E7846" w:rsidRDefault="008E7846" w:rsidP="008E7846">
      <w:pPr>
        <w:pStyle w:val="NonTOCHeading2"/>
      </w:pPr>
      <w:r>
        <w:br w:type="page"/>
      </w:r>
    </w:p>
    <w:p w14:paraId="0CC2E7A1" w14:textId="77777777" w:rsidR="008E7846" w:rsidRPr="001F6CBA" w:rsidRDefault="008E7846" w:rsidP="008E7846">
      <w:pPr>
        <w:pStyle w:val="NonTOCHeading2"/>
      </w:pPr>
      <w:r w:rsidRPr="001F6CBA">
        <w:lastRenderedPageBreak/>
        <w:t>About the Therapeutic Goods Administration (TGA)</w:t>
      </w:r>
    </w:p>
    <w:p w14:paraId="2C3CCD5A"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39EC293"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6C9B42D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B5F155C"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9C31E33" w14:textId="151F5172"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w:t>
      </w:r>
      <w:r w:rsidR="00A87AAC">
        <w:t xml:space="preserve">&lt; </w:t>
      </w:r>
      <w:hyperlink r:id="rId9" w:history="1">
        <w:r w:rsidR="00E979F4" w:rsidRPr="00FE02B1">
          <w:rPr>
            <w:rStyle w:val="Hyperlink"/>
          </w:rPr>
          <w:t>https://www.tga.gov.au</w:t>
        </w:r>
      </w:hyperlink>
      <w:r w:rsidR="00B73619">
        <w:t>&gt;</w:t>
      </w:r>
      <w:r>
        <w:t>.</w:t>
      </w:r>
    </w:p>
    <w:p w14:paraId="3D6A51B6"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32CD7C06"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101BC1E8" w14:textId="28235000" w:rsidR="003D0A3B" w:rsidRDefault="003D0A3B" w:rsidP="003D0A3B">
      <w:pPr>
        <w:pStyle w:val="ListBullet"/>
      </w:pPr>
      <w:r w:rsidRPr="003D0A3B">
        <w:t>The words [Information redacted], where they appear in this document, indicate that confidential information has been deleted.</w:t>
      </w:r>
    </w:p>
    <w:p w14:paraId="13EA9EF3" w14:textId="4673D013" w:rsidR="0017078F" w:rsidRDefault="003D0A3B" w:rsidP="0017078F">
      <w:pPr>
        <w:pStyle w:val="ListBullet"/>
      </w:pPr>
      <w:r w:rsidRPr="003D0A3B">
        <w:t>For the most recent Product Information (PI), please refer to the TGA website</w:t>
      </w:r>
      <w:r>
        <w:t xml:space="preserve"> </w:t>
      </w:r>
      <w:r w:rsidR="00A87AAC">
        <w:t>&lt;</w:t>
      </w:r>
      <w:hyperlink r:id="rId10" w:history="1">
        <w:r w:rsidR="0010193C">
          <w:rPr>
            <w:rStyle w:val="Hyperlink"/>
          </w:rPr>
          <w:t>https://www.tga.gov.au/product-information-pi</w:t>
        </w:r>
      </w:hyperlink>
      <w:r w:rsidR="00B73619">
        <w:t>&gt;</w:t>
      </w:r>
      <w:r w:rsidR="0017078F">
        <w:t>.</w:t>
      </w:r>
    </w:p>
    <w:p w14:paraId="2AE09690" w14:textId="77777777" w:rsidR="00924482" w:rsidRPr="00DF1D7F" w:rsidRDefault="00924482" w:rsidP="008F6668">
      <w:pPr>
        <w:pStyle w:val="LegalSubheading"/>
        <w:spacing w:before="3960"/>
      </w:pPr>
      <w:r w:rsidRPr="00DF1D7F">
        <w:t>Copyright</w:t>
      </w:r>
    </w:p>
    <w:p w14:paraId="04FCD454" w14:textId="77777777" w:rsidR="00924482" w:rsidRDefault="00924482" w:rsidP="00924482">
      <w:pPr>
        <w:pStyle w:val="LegalCopy"/>
      </w:pPr>
      <w:r w:rsidRPr="00191B3B">
        <w:rPr>
          <w:rFonts w:cs="Arial"/>
          <w:lang w:val="en-GB"/>
        </w:rPr>
        <w:t>© Comm</w:t>
      </w:r>
      <w:r>
        <w:rPr>
          <w:rFonts w:cs="Arial"/>
          <w:lang w:val="en-GB"/>
        </w:rPr>
        <w:t>onwealth of Australia 201</w:t>
      </w:r>
      <w:r w:rsidR="00DE635E">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A87AAC">
        <w:rPr>
          <w:rFonts w:cs="Arial"/>
          <w:lang w:val="en-GB"/>
        </w:rPr>
        <w:t xml:space="preserve">&lt; </w:t>
      </w:r>
      <w:hyperlink r:id="rId11" w:history="1">
        <w:r w:rsidRPr="00191B3B">
          <w:rPr>
            <w:rStyle w:val="Hyperlink"/>
            <w:rFonts w:cs="Arial"/>
            <w:lang w:val="en-GB"/>
          </w:rPr>
          <w:t>tga.copyright@tga.gov.au</w:t>
        </w:r>
      </w:hyperlink>
      <w:proofErr w:type="gramStart"/>
      <w:r w:rsidR="00B73619">
        <w:rPr>
          <w:rFonts w:cs="Arial"/>
        </w:rPr>
        <w:t xml:space="preserve">&gt; </w:t>
      </w:r>
      <w:r w:rsidRPr="00191B3B">
        <w:rPr>
          <w:rFonts w:cs="Arial"/>
        </w:rPr>
        <w:t>.</w:t>
      </w:r>
      <w:proofErr w:type="gramEnd"/>
    </w:p>
    <w:p w14:paraId="726A4EF6"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3643943" w14:textId="77777777" w:rsidR="0089635C" w:rsidRPr="0089635C" w:rsidRDefault="0089635C" w:rsidP="0010788A">
          <w:pPr>
            <w:pStyle w:val="Contents"/>
          </w:pPr>
          <w:r w:rsidRPr="0010788A">
            <w:t>Contents</w:t>
          </w:r>
        </w:p>
        <w:p w14:paraId="4F1CFA74" w14:textId="77777777" w:rsidR="0054660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9670932" w:history="1">
            <w:r w:rsidR="00546606" w:rsidRPr="00BF069D">
              <w:rPr>
                <w:rStyle w:val="Hyperlink"/>
                <w:noProof/>
              </w:rPr>
              <w:t>List of abbreviations</w:t>
            </w:r>
            <w:r w:rsidR="00546606">
              <w:rPr>
                <w:noProof/>
                <w:webHidden/>
              </w:rPr>
              <w:tab/>
            </w:r>
            <w:r w:rsidR="00546606">
              <w:rPr>
                <w:noProof/>
                <w:webHidden/>
              </w:rPr>
              <w:fldChar w:fldCharType="begin"/>
            </w:r>
            <w:r w:rsidR="00546606">
              <w:rPr>
                <w:noProof/>
                <w:webHidden/>
              </w:rPr>
              <w:instrText xml:space="preserve"> PAGEREF _Toc519670932 \h </w:instrText>
            </w:r>
            <w:r w:rsidR="00546606">
              <w:rPr>
                <w:noProof/>
                <w:webHidden/>
              </w:rPr>
            </w:r>
            <w:r w:rsidR="00546606">
              <w:rPr>
                <w:noProof/>
                <w:webHidden/>
              </w:rPr>
              <w:fldChar w:fldCharType="separate"/>
            </w:r>
            <w:r w:rsidR="00546606">
              <w:rPr>
                <w:noProof/>
                <w:webHidden/>
              </w:rPr>
              <w:t>5</w:t>
            </w:r>
            <w:r w:rsidR="00546606">
              <w:rPr>
                <w:noProof/>
                <w:webHidden/>
              </w:rPr>
              <w:fldChar w:fldCharType="end"/>
            </w:r>
          </w:hyperlink>
        </w:p>
        <w:p w14:paraId="25C1133A"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33" w:history="1">
            <w:r w:rsidR="00546606" w:rsidRPr="00BF069D">
              <w:rPr>
                <w:rStyle w:val="Hyperlink"/>
                <w:noProof/>
                <w:lang w:eastAsia="en-AU"/>
              </w:rPr>
              <w:t>1.</w:t>
            </w:r>
            <w:r w:rsidR="00546606">
              <w:rPr>
                <w:rFonts w:asciiTheme="minorHAnsi" w:eastAsiaTheme="minorEastAsia" w:hAnsiTheme="minorHAnsi" w:cstheme="minorBidi"/>
                <w:b w:val="0"/>
                <w:noProof/>
                <w:sz w:val="22"/>
                <w:lang w:eastAsia="en-AU"/>
              </w:rPr>
              <w:tab/>
            </w:r>
            <w:r w:rsidR="00546606" w:rsidRPr="00BF069D">
              <w:rPr>
                <w:rStyle w:val="Hyperlink"/>
                <w:noProof/>
                <w:lang w:eastAsia="en-AU"/>
              </w:rPr>
              <w:t>Introduction</w:t>
            </w:r>
            <w:r w:rsidR="00546606">
              <w:rPr>
                <w:noProof/>
                <w:webHidden/>
              </w:rPr>
              <w:tab/>
            </w:r>
            <w:r w:rsidR="00546606">
              <w:rPr>
                <w:noProof/>
                <w:webHidden/>
              </w:rPr>
              <w:fldChar w:fldCharType="begin"/>
            </w:r>
            <w:r w:rsidR="00546606">
              <w:rPr>
                <w:noProof/>
                <w:webHidden/>
              </w:rPr>
              <w:instrText xml:space="preserve"> PAGEREF _Toc519670933 \h </w:instrText>
            </w:r>
            <w:r w:rsidR="00546606">
              <w:rPr>
                <w:noProof/>
                <w:webHidden/>
              </w:rPr>
            </w:r>
            <w:r w:rsidR="00546606">
              <w:rPr>
                <w:noProof/>
                <w:webHidden/>
              </w:rPr>
              <w:fldChar w:fldCharType="separate"/>
            </w:r>
            <w:r w:rsidR="00546606">
              <w:rPr>
                <w:noProof/>
                <w:webHidden/>
              </w:rPr>
              <w:t>9</w:t>
            </w:r>
            <w:r w:rsidR="00546606">
              <w:rPr>
                <w:noProof/>
                <w:webHidden/>
              </w:rPr>
              <w:fldChar w:fldCharType="end"/>
            </w:r>
          </w:hyperlink>
        </w:p>
        <w:p w14:paraId="7B0B5ECD"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34" w:history="1">
            <w:r w:rsidR="00546606" w:rsidRPr="00BF069D">
              <w:rPr>
                <w:rStyle w:val="Hyperlink"/>
                <w:noProof/>
              </w:rPr>
              <w:t>1.1.</w:t>
            </w:r>
            <w:r w:rsidR="00546606">
              <w:rPr>
                <w:rFonts w:asciiTheme="minorHAnsi" w:eastAsiaTheme="minorEastAsia" w:hAnsiTheme="minorHAnsi" w:cstheme="minorBidi"/>
                <w:noProof/>
                <w:lang w:eastAsia="en-AU"/>
              </w:rPr>
              <w:tab/>
            </w:r>
            <w:r w:rsidR="00546606" w:rsidRPr="00BF069D">
              <w:rPr>
                <w:rStyle w:val="Hyperlink"/>
                <w:noProof/>
              </w:rPr>
              <w:t>Submission type</w:t>
            </w:r>
            <w:r w:rsidR="00546606">
              <w:rPr>
                <w:noProof/>
                <w:webHidden/>
              </w:rPr>
              <w:tab/>
            </w:r>
            <w:r w:rsidR="00546606">
              <w:rPr>
                <w:noProof/>
                <w:webHidden/>
              </w:rPr>
              <w:fldChar w:fldCharType="begin"/>
            </w:r>
            <w:r w:rsidR="00546606">
              <w:rPr>
                <w:noProof/>
                <w:webHidden/>
              </w:rPr>
              <w:instrText xml:space="preserve"> PAGEREF _Toc519670934 \h </w:instrText>
            </w:r>
            <w:r w:rsidR="00546606">
              <w:rPr>
                <w:noProof/>
                <w:webHidden/>
              </w:rPr>
            </w:r>
            <w:r w:rsidR="00546606">
              <w:rPr>
                <w:noProof/>
                <w:webHidden/>
              </w:rPr>
              <w:fldChar w:fldCharType="separate"/>
            </w:r>
            <w:r w:rsidR="00546606">
              <w:rPr>
                <w:noProof/>
                <w:webHidden/>
              </w:rPr>
              <w:t>9</w:t>
            </w:r>
            <w:r w:rsidR="00546606">
              <w:rPr>
                <w:noProof/>
                <w:webHidden/>
              </w:rPr>
              <w:fldChar w:fldCharType="end"/>
            </w:r>
          </w:hyperlink>
        </w:p>
        <w:p w14:paraId="7E40CA4A"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35" w:history="1">
            <w:r w:rsidR="00546606" w:rsidRPr="00BF069D">
              <w:rPr>
                <w:rStyle w:val="Hyperlink"/>
                <w:noProof/>
              </w:rPr>
              <w:t>1.2.</w:t>
            </w:r>
            <w:r w:rsidR="00546606">
              <w:rPr>
                <w:rFonts w:asciiTheme="minorHAnsi" w:eastAsiaTheme="minorEastAsia" w:hAnsiTheme="minorHAnsi" w:cstheme="minorBidi"/>
                <w:noProof/>
                <w:lang w:eastAsia="en-AU"/>
              </w:rPr>
              <w:tab/>
            </w:r>
            <w:r w:rsidR="00546606" w:rsidRPr="00BF069D">
              <w:rPr>
                <w:rStyle w:val="Hyperlink"/>
                <w:noProof/>
              </w:rPr>
              <w:t>Drug class and therapeutic indication</w:t>
            </w:r>
            <w:r w:rsidR="00546606">
              <w:rPr>
                <w:noProof/>
                <w:webHidden/>
              </w:rPr>
              <w:tab/>
            </w:r>
            <w:r w:rsidR="00546606">
              <w:rPr>
                <w:noProof/>
                <w:webHidden/>
              </w:rPr>
              <w:fldChar w:fldCharType="begin"/>
            </w:r>
            <w:r w:rsidR="00546606">
              <w:rPr>
                <w:noProof/>
                <w:webHidden/>
              </w:rPr>
              <w:instrText xml:space="preserve"> PAGEREF _Toc519670935 \h </w:instrText>
            </w:r>
            <w:r w:rsidR="00546606">
              <w:rPr>
                <w:noProof/>
                <w:webHidden/>
              </w:rPr>
            </w:r>
            <w:r w:rsidR="00546606">
              <w:rPr>
                <w:noProof/>
                <w:webHidden/>
              </w:rPr>
              <w:fldChar w:fldCharType="separate"/>
            </w:r>
            <w:r w:rsidR="00546606">
              <w:rPr>
                <w:noProof/>
                <w:webHidden/>
              </w:rPr>
              <w:t>9</w:t>
            </w:r>
            <w:r w:rsidR="00546606">
              <w:rPr>
                <w:noProof/>
                <w:webHidden/>
              </w:rPr>
              <w:fldChar w:fldCharType="end"/>
            </w:r>
          </w:hyperlink>
        </w:p>
        <w:p w14:paraId="169D87C6"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36" w:history="1">
            <w:r w:rsidR="00546606" w:rsidRPr="00BF069D">
              <w:rPr>
                <w:rStyle w:val="Hyperlink"/>
                <w:noProof/>
              </w:rPr>
              <w:t>1.3.</w:t>
            </w:r>
            <w:r w:rsidR="00546606">
              <w:rPr>
                <w:rFonts w:asciiTheme="minorHAnsi" w:eastAsiaTheme="minorEastAsia" w:hAnsiTheme="minorHAnsi" w:cstheme="minorBidi"/>
                <w:noProof/>
                <w:lang w:eastAsia="en-AU"/>
              </w:rPr>
              <w:tab/>
            </w:r>
            <w:r w:rsidR="00546606" w:rsidRPr="00BF069D">
              <w:rPr>
                <w:rStyle w:val="Hyperlink"/>
                <w:noProof/>
              </w:rPr>
              <w:t>Dosage forms and strengths</w:t>
            </w:r>
            <w:r w:rsidR="00546606">
              <w:rPr>
                <w:noProof/>
                <w:webHidden/>
              </w:rPr>
              <w:tab/>
            </w:r>
            <w:r w:rsidR="00546606">
              <w:rPr>
                <w:noProof/>
                <w:webHidden/>
              </w:rPr>
              <w:fldChar w:fldCharType="begin"/>
            </w:r>
            <w:r w:rsidR="00546606">
              <w:rPr>
                <w:noProof/>
                <w:webHidden/>
              </w:rPr>
              <w:instrText xml:space="preserve"> PAGEREF _Toc519670936 \h </w:instrText>
            </w:r>
            <w:r w:rsidR="00546606">
              <w:rPr>
                <w:noProof/>
                <w:webHidden/>
              </w:rPr>
            </w:r>
            <w:r w:rsidR="00546606">
              <w:rPr>
                <w:noProof/>
                <w:webHidden/>
              </w:rPr>
              <w:fldChar w:fldCharType="separate"/>
            </w:r>
            <w:r w:rsidR="00546606">
              <w:rPr>
                <w:noProof/>
                <w:webHidden/>
              </w:rPr>
              <w:t>9</w:t>
            </w:r>
            <w:r w:rsidR="00546606">
              <w:rPr>
                <w:noProof/>
                <w:webHidden/>
              </w:rPr>
              <w:fldChar w:fldCharType="end"/>
            </w:r>
          </w:hyperlink>
        </w:p>
        <w:p w14:paraId="346E7964"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37" w:history="1">
            <w:r w:rsidR="00546606" w:rsidRPr="00BF069D">
              <w:rPr>
                <w:rStyle w:val="Hyperlink"/>
                <w:noProof/>
              </w:rPr>
              <w:t>1.4.</w:t>
            </w:r>
            <w:r w:rsidR="00546606">
              <w:rPr>
                <w:rFonts w:asciiTheme="minorHAnsi" w:eastAsiaTheme="minorEastAsia" w:hAnsiTheme="minorHAnsi" w:cstheme="minorBidi"/>
                <w:noProof/>
                <w:lang w:eastAsia="en-AU"/>
              </w:rPr>
              <w:tab/>
            </w:r>
            <w:r w:rsidR="00546606" w:rsidRPr="00BF069D">
              <w:rPr>
                <w:rStyle w:val="Hyperlink"/>
                <w:noProof/>
              </w:rPr>
              <w:t>Dosage and administration</w:t>
            </w:r>
            <w:r w:rsidR="00546606">
              <w:rPr>
                <w:noProof/>
                <w:webHidden/>
              </w:rPr>
              <w:tab/>
            </w:r>
            <w:r w:rsidR="00546606">
              <w:rPr>
                <w:noProof/>
                <w:webHidden/>
              </w:rPr>
              <w:fldChar w:fldCharType="begin"/>
            </w:r>
            <w:r w:rsidR="00546606">
              <w:rPr>
                <w:noProof/>
                <w:webHidden/>
              </w:rPr>
              <w:instrText xml:space="preserve"> PAGEREF _Toc519670937 \h </w:instrText>
            </w:r>
            <w:r w:rsidR="00546606">
              <w:rPr>
                <w:noProof/>
                <w:webHidden/>
              </w:rPr>
            </w:r>
            <w:r w:rsidR="00546606">
              <w:rPr>
                <w:noProof/>
                <w:webHidden/>
              </w:rPr>
              <w:fldChar w:fldCharType="separate"/>
            </w:r>
            <w:r w:rsidR="00546606">
              <w:rPr>
                <w:noProof/>
                <w:webHidden/>
              </w:rPr>
              <w:t>9</w:t>
            </w:r>
            <w:r w:rsidR="00546606">
              <w:rPr>
                <w:noProof/>
                <w:webHidden/>
              </w:rPr>
              <w:fldChar w:fldCharType="end"/>
            </w:r>
          </w:hyperlink>
        </w:p>
        <w:p w14:paraId="0D33CF97"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38" w:history="1">
            <w:r w:rsidR="00546606" w:rsidRPr="00BF069D">
              <w:rPr>
                <w:rStyle w:val="Hyperlink"/>
                <w:noProof/>
              </w:rPr>
              <w:t>1.5.</w:t>
            </w:r>
            <w:r w:rsidR="00546606">
              <w:rPr>
                <w:rFonts w:asciiTheme="minorHAnsi" w:eastAsiaTheme="minorEastAsia" w:hAnsiTheme="minorHAnsi" w:cstheme="minorBidi"/>
                <w:noProof/>
                <w:lang w:eastAsia="en-AU"/>
              </w:rPr>
              <w:tab/>
            </w:r>
            <w:r w:rsidR="00546606" w:rsidRPr="00BF069D">
              <w:rPr>
                <w:rStyle w:val="Hyperlink"/>
                <w:noProof/>
              </w:rPr>
              <w:t>Information on the condition being treated</w:t>
            </w:r>
            <w:r w:rsidR="00546606">
              <w:rPr>
                <w:noProof/>
                <w:webHidden/>
              </w:rPr>
              <w:tab/>
            </w:r>
            <w:r w:rsidR="00546606">
              <w:rPr>
                <w:noProof/>
                <w:webHidden/>
              </w:rPr>
              <w:fldChar w:fldCharType="begin"/>
            </w:r>
            <w:r w:rsidR="00546606">
              <w:rPr>
                <w:noProof/>
                <w:webHidden/>
              </w:rPr>
              <w:instrText xml:space="preserve"> PAGEREF _Toc519670938 \h </w:instrText>
            </w:r>
            <w:r w:rsidR="00546606">
              <w:rPr>
                <w:noProof/>
                <w:webHidden/>
              </w:rPr>
            </w:r>
            <w:r w:rsidR="00546606">
              <w:rPr>
                <w:noProof/>
                <w:webHidden/>
              </w:rPr>
              <w:fldChar w:fldCharType="separate"/>
            </w:r>
            <w:r w:rsidR="00546606">
              <w:rPr>
                <w:noProof/>
                <w:webHidden/>
              </w:rPr>
              <w:t>10</w:t>
            </w:r>
            <w:r w:rsidR="00546606">
              <w:rPr>
                <w:noProof/>
                <w:webHidden/>
              </w:rPr>
              <w:fldChar w:fldCharType="end"/>
            </w:r>
          </w:hyperlink>
        </w:p>
        <w:p w14:paraId="17AF9AAA"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39" w:history="1">
            <w:r w:rsidR="00546606" w:rsidRPr="00BF069D">
              <w:rPr>
                <w:rStyle w:val="Hyperlink"/>
                <w:noProof/>
              </w:rPr>
              <w:t>1.6.</w:t>
            </w:r>
            <w:r w:rsidR="00546606">
              <w:rPr>
                <w:rFonts w:asciiTheme="minorHAnsi" w:eastAsiaTheme="minorEastAsia" w:hAnsiTheme="minorHAnsi" w:cstheme="minorBidi"/>
                <w:noProof/>
                <w:lang w:eastAsia="en-AU"/>
              </w:rPr>
              <w:tab/>
            </w:r>
            <w:r w:rsidR="00546606" w:rsidRPr="00BF069D">
              <w:rPr>
                <w:rStyle w:val="Hyperlink"/>
                <w:noProof/>
              </w:rPr>
              <w:t>Current treatment options</w:t>
            </w:r>
            <w:r w:rsidR="00546606">
              <w:rPr>
                <w:noProof/>
                <w:webHidden/>
              </w:rPr>
              <w:tab/>
            </w:r>
            <w:r w:rsidR="00546606">
              <w:rPr>
                <w:noProof/>
                <w:webHidden/>
              </w:rPr>
              <w:fldChar w:fldCharType="begin"/>
            </w:r>
            <w:r w:rsidR="00546606">
              <w:rPr>
                <w:noProof/>
                <w:webHidden/>
              </w:rPr>
              <w:instrText xml:space="preserve"> PAGEREF _Toc519670939 \h </w:instrText>
            </w:r>
            <w:r w:rsidR="00546606">
              <w:rPr>
                <w:noProof/>
                <w:webHidden/>
              </w:rPr>
            </w:r>
            <w:r w:rsidR="00546606">
              <w:rPr>
                <w:noProof/>
                <w:webHidden/>
              </w:rPr>
              <w:fldChar w:fldCharType="separate"/>
            </w:r>
            <w:r w:rsidR="00546606">
              <w:rPr>
                <w:noProof/>
                <w:webHidden/>
              </w:rPr>
              <w:t>10</w:t>
            </w:r>
            <w:r w:rsidR="00546606">
              <w:rPr>
                <w:noProof/>
                <w:webHidden/>
              </w:rPr>
              <w:fldChar w:fldCharType="end"/>
            </w:r>
          </w:hyperlink>
        </w:p>
        <w:p w14:paraId="46CD382F"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40" w:history="1">
            <w:r w:rsidR="00546606" w:rsidRPr="00BF069D">
              <w:rPr>
                <w:rStyle w:val="Hyperlink"/>
                <w:noProof/>
              </w:rPr>
              <w:t>2.</w:t>
            </w:r>
            <w:r w:rsidR="00546606">
              <w:rPr>
                <w:rFonts w:asciiTheme="minorHAnsi" w:eastAsiaTheme="minorEastAsia" w:hAnsiTheme="minorHAnsi" w:cstheme="minorBidi"/>
                <w:b w:val="0"/>
                <w:noProof/>
                <w:sz w:val="22"/>
                <w:lang w:eastAsia="en-AU"/>
              </w:rPr>
              <w:tab/>
            </w:r>
            <w:r w:rsidR="00546606" w:rsidRPr="00BF069D">
              <w:rPr>
                <w:rStyle w:val="Hyperlink"/>
                <w:noProof/>
              </w:rPr>
              <w:t>Clinical rationale</w:t>
            </w:r>
            <w:r w:rsidR="00546606">
              <w:rPr>
                <w:noProof/>
                <w:webHidden/>
              </w:rPr>
              <w:tab/>
            </w:r>
            <w:r w:rsidR="00546606">
              <w:rPr>
                <w:noProof/>
                <w:webHidden/>
              </w:rPr>
              <w:fldChar w:fldCharType="begin"/>
            </w:r>
            <w:r w:rsidR="00546606">
              <w:rPr>
                <w:noProof/>
                <w:webHidden/>
              </w:rPr>
              <w:instrText xml:space="preserve"> PAGEREF _Toc519670940 \h </w:instrText>
            </w:r>
            <w:r w:rsidR="00546606">
              <w:rPr>
                <w:noProof/>
                <w:webHidden/>
              </w:rPr>
            </w:r>
            <w:r w:rsidR="00546606">
              <w:rPr>
                <w:noProof/>
                <w:webHidden/>
              </w:rPr>
              <w:fldChar w:fldCharType="separate"/>
            </w:r>
            <w:r w:rsidR="00546606">
              <w:rPr>
                <w:noProof/>
                <w:webHidden/>
              </w:rPr>
              <w:t>11</w:t>
            </w:r>
            <w:r w:rsidR="00546606">
              <w:rPr>
                <w:noProof/>
                <w:webHidden/>
              </w:rPr>
              <w:fldChar w:fldCharType="end"/>
            </w:r>
          </w:hyperlink>
        </w:p>
        <w:p w14:paraId="49F14767"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41" w:history="1">
            <w:r w:rsidR="00546606" w:rsidRPr="00BF069D">
              <w:rPr>
                <w:rStyle w:val="Hyperlink"/>
                <w:noProof/>
              </w:rPr>
              <w:t>2.1.</w:t>
            </w:r>
            <w:r w:rsidR="00546606">
              <w:rPr>
                <w:rFonts w:asciiTheme="minorHAnsi" w:eastAsiaTheme="minorEastAsia" w:hAnsiTheme="minorHAnsi" w:cstheme="minorBidi"/>
                <w:noProof/>
                <w:lang w:eastAsia="en-AU"/>
              </w:rPr>
              <w:tab/>
            </w:r>
            <w:r w:rsidR="00546606" w:rsidRPr="00BF069D">
              <w:rPr>
                <w:rStyle w:val="Hyperlink"/>
                <w:noProof/>
              </w:rPr>
              <w:t>Formulation development</w:t>
            </w:r>
            <w:r w:rsidR="00546606">
              <w:rPr>
                <w:noProof/>
                <w:webHidden/>
              </w:rPr>
              <w:tab/>
            </w:r>
            <w:r w:rsidR="00546606">
              <w:rPr>
                <w:noProof/>
                <w:webHidden/>
              </w:rPr>
              <w:fldChar w:fldCharType="begin"/>
            </w:r>
            <w:r w:rsidR="00546606">
              <w:rPr>
                <w:noProof/>
                <w:webHidden/>
              </w:rPr>
              <w:instrText xml:space="preserve"> PAGEREF _Toc519670941 \h </w:instrText>
            </w:r>
            <w:r w:rsidR="00546606">
              <w:rPr>
                <w:noProof/>
                <w:webHidden/>
              </w:rPr>
            </w:r>
            <w:r w:rsidR="00546606">
              <w:rPr>
                <w:noProof/>
                <w:webHidden/>
              </w:rPr>
              <w:fldChar w:fldCharType="separate"/>
            </w:r>
            <w:r w:rsidR="00546606">
              <w:rPr>
                <w:noProof/>
                <w:webHidden/>
              </w:rPr>
              <w:t>11</w:t>
            </w:r>
            <w:r w:rsidR="00546606">
              <w:rPr>
                <w:noProof/>
                <w:webHidden/>
              </w:rPr>
              <w:fldChar w:fldCharType="end"/>
            </w:r>
          </w:hyperlink>
        </w:p>
        <w:p w14:paraId="484D1C93"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42" w:history="1">
            <w:r w:rsidR="00546606" w:rsidRPr="00BF069D">
              <w:rPr>
                <w:rStyle w:val="Hyperlink"/>
                <w:noProof/>
              </w:rPr>
              <w:t>2.2.</w:t>
            </w:r>
            <w:r w:rsidR="00546606">
              <w:rPr>
                <w:rFonts w:asciiTheme="minorHAnsi" w:eastAsiaTheme="minorEastAsia" w:hAnsiTheme="minorHAnsi" w:cstheme="minorBidi"/>
                <w:noProof/>
                <w:lang w:eastAsia="en-AU"/>
              </w:rPr>
              <w:tab/>
            </w:r>
            <w:r w:rsidR="00546606" w:rsidRPr="00BF069D">
              <w:rPr>
                <w:rStyle w:val="Hyperlink"/>
                <w:noProof/>
              </w:rPr>
              <w:t>Evaluator’s commentary on the background information</w:t>
            </w:r>
            <w:r w:rsidR="00546606">
              <w:rPr>
                <w:noProof/>
                <w:webHidden/>
              </w:rPr>
              <w:tab/>
            </w:r>
            <w:r w:rsidR="00546606">
              <w:rPr>
                <w:noProof/>
                <w:webHidden/>
              </w:rPr>
              <w:fldChar w:fldCharType="begin"/>
            </w:r>
            <w:r w:rsidR="00546606">
              <w:rPr>
                <w:noProof/>
                <w:webHidden/>
              </w:rPr>
              <w:instrText xml:space="preserve"> PAGEREF _Toc519670942 \h </w:instrText>
            </w:r>
            <w:r w:rsidR="00546606">
              <w:rPr>
                <w:noProof/>
                <w:webHidden/>
              </w:rPr>
            </w:r>
            <w:r w:rsidR="00546606">
              <w:rPr>
                <w:noProof/>
                <w:webHidden/>
              </w:rPr>
              <w:fldChar w:fldCharType="separate"/>
            </w:r>
            <w:r w:rsidR="00546606">
              <w:rPr>
                <w:noProof/>
                <w:webHidden/>
              </w:rPr>
              <w:t>12</w:t>
            </w:r>
            <w:r w:rsidR="00546606">
              <w:rPr>
                <w:noProof/>
                <w:webHidden/>
              </w:rPr>
              <w:fldChar w:fldCharType="end"/>
            </w:r>
          </w:hyperlink>
        </w:p>
        <w:p w14:paraId="514E0B4B"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43" w:history="1">
            <w:r w:rsidR="00546606" w:rsidRPr="00BF069D">
              <w:rPr>
                <w:rStyle w:val="Hyperlink"/>
                <w:noProof/>
                <w:lang w:eastAsia="en-AU"/>
              </w:rPr>
              <w:t>3.</w:t>
            </w:r>
            <w:r w:rsidR="00546606">
              <w:rPr>
                <w:rFonts w:asciiTheme="minorHAnsi" w:eastAsiaTheme="minorEastAsia" w:hAnsiTheme="minorHAnsi" w:cstheme="minorBidi"/>
                <w:b w:val="0"/>
                <w:noProof/>
                <w:sz w:val="22"/>
                <w:lang w:eastAsia="en-AU"/>
              </w:rPr>
              <w:tab/>
            </w:r>
            <w:r w:rsidR="00546606" w:rsidRPr="00BF069D">
              <w:rPr>
                <w:rStyle w:val="Hyperlink"/>
                <w:noProof/>
                <w:lang w:eastAsia="en-AU"/>
              </w:rPr>
              <w:t>Contents of the clinical dossier</w:t>
            </w:r>
            <w:r w:rsidR="00546606">
              <w:rPr>
                <w:noProof/>
                <w:webHidden/>
              </w:rPr>
              <w:tab/>
            </w:r>
            <w:r w:rsidR="00546606">
              <w:rPr>
                <w:noProof/>
                <w:webHidden/>
              </w:rPr>
              <w:fldChar w:fldCharType="begin"/>
            </w:r>
            <w:r w:rsidR="00546606">
              <w:rPr>
                <w:noProof/>
                <w:webHidden/>
              </w:rPr>
              <w:instrText xml:space="preserve"> PAGEREF _Toc519670943 \h </w:instrText>
            </w:r>
            <w:r w:rsidR="00546606">
              <w:rPr>
                <w:noProof/>
                <w:webHidden/>
              </w:rPr>
            </w:r>
            <w:r w:rsidR="00546606">
              <w:rPr>
                <w:noProof/>
                <w:webHidden/>
              </w:rPr>
              <w:fldChar w:fldCharType="separate"/>
            </w:r>
            <w:r w:rsidR="00546606">
              <w:rPr>
                <w:noProof/>
                <w:webHidden/>
              </w:rPr>
              <w:t>12</w:t>
            </w:r>
            <w:r w:rsidR="00546606">
              <w:rPr>
                <w:noProof/>
                <w:webHidden/>
              </w:rPr>
              <w:fldChar w:fldCharType="end"/>
            </w:r>
          </w:hyperlink>
        </w:p>
        <w:p w14:paraId="3A14188F"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44" w:history="1">
            <w:r w:rsidR="00546606" w:rsidRPr="00BF069D">
              <w:rPr>
                <w:rStyle w:val="Hyperlink"/>
                <w:noProof/>
              </w:rPr>
              <w:t>3.1.</w:t>
            </w:r>
            <w:r w:rsidR="00546606">
              <w:rPr>
                <w:rFonts w:asciiTheme="minorHAnsi" w:eastAsiaTheme="minorEastAsia" w:hAnsiTheme="minorHAnsi" w:cstheme="minorBidi"/>
                <w:noProof/>
                <w:lang w:eastAsia="en-AU"/>
              </w:rPr>
              <w:tab/>
            </w:r>
            <w:r w:rsidR="00546606" w:rsidRPr="00BF069D">
              <w:rPr>
                <w:rStyle w:val="Hyperlink"/>
                <w:noProof/>
              </w:rPr>
              <w:t>Scope of the clinical dossier</w:t>
            </w:r>
            <w:r w:rsidR="00546606">
              <w:rPr>
                <w:noProof/>
                <w:webHidden/>
              </w:rPr>
              <w:tab/>
            </w:r>
            <w:r w:rsidR="00546606">
              <w:rPr>
                <w:noProof/>
                <w:webHidden/>
              </w:rPr>
              <w:fldChar w:fldCharType="begin"/>
            </w:r>
            <w:r w:rsidR="00546606">
              <w:rPr>
                <w:noProof/>
                <w:webHidden/>
              </w:rPr>
              <w:instrText xml:space="preserve"> PAGEREF _Toc519670944 \h </w:instrText>
            </w:r>
            <w:r w:rsidR="00546606">
              <w:rPr>
                <w:noProof/>
                <w:webHidden/>
              </w:rPr>
            </w:r>
            <w:r w:rsidR="00546606">
              <w:rPr>
                <w:noProof/>
                <w:webHidden/>
              </w:rPr>
              <w:fldChar w:fldCharType="separate"/>
            </w:r>
            <w:r w:rsidR="00546606">
              <w:rPr>
                <w:noProof/>
                <w:webHidden/>
              </w:rPr>
              <w:t>12</w:t>
            </w:r>
            <w:r w:rsidR="00546606">
              <w:rPr>
                <w:noProof/>
                <w:webHidden/>
              </w:rPr>
              <w:fldChar w:fldCharType="end"/>
            </w:r>
          </w:hyperlink>
        </w:p>
        <w:p w14:paraId="2FFEF766"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45" w:history="1">
            <w:r w:rsidR="00546606" w:rsidRPr="00BF069D">
              <w:rPr>
                <w:rStyle w:val="Hyperlink"/>
                <w:noProof/>
              </w:rPr>
              <w:t>3.2.</w:t>
            </w:r>
            <w:r w:rsidR="00546606">
              <w:rPr>
                <w:rFonts w:asciiTheme="minorHAnsi" w:eastAsiaTheme="minorEastAsia" w:hAnsiTheme="minorHAnsi" w:cstheme="minorBidi"/>
                <w:noProof/>
                <w:lang w:eastAsia="en-AU"/>
              </w:rPr>
              <w:tab/>
            </w:r>
            <w:r w:rsidR="00546606" w:rsidRPr="00BF069D">
              <w:rPr>
                <w:rStyle w:val="Hyperlink"/>
                <w:noProof/>
              </w:rPr>
              <w:t>Paediatric data</w:t>
            </w:r>
            <w:r w:rsidR="00546606">
              <w:rPr>
                <w:noProof/>
                <w:webHidden/>
              </w:rPr>
              <w:tab/>
            </w:r>
            <w:r w:rsidR="00546606">
              <w:rPr>
                <w:noProof/>
                <w:webHidden/>
              </w:rPr>
              <w:fldChar w:fldCharType="begin"/>
            </w:r>
            <w:r w:rsidR="00546606">
              <w:rPr>
                <w:noProof/>
                <w:webHidden/>
              </w:rPr>
              <w:instrText xml:space="preserve"> PAGEREF _Toc519670945 \h </w:instrText>
            </w:r>
            <w:r w:rsidR="00546606">
              <w:rPr>
                <w:noProof/>
                <w:webHidden/>
              </w:rPr>
            </w:r>
            <w:r w:rsidR="00546606">
              <w:rPr>
                <w:noProof/>
                <w:webHidden/>
              </w:rPr>
              <w:fldChar w:fldCharType="separate"/>
            </w:r>
            <w:r w:rsidR="00546606">
              <w:rPr>
                <w:noProof/>
                <w:webHidden/>
              </w:rPr>
              <w:t>13</w:t>
            </w:r>
            <w:r w:rsidR="00546606">
              <w:rPr>
                <w:noProof/>
                <w:webHidden/>
              </w:rPr>
              <w:fldChar w:fldCharType="end"/>
            </w:r>
          </w:hyperlink>
        </w:p>
        <w:p w14:paraId="6365C88A"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46" w:history="1">
            <w:r w:rsidR="00546606" w:rsidRPr="00BF069D">
              <w:rPr>
                <w:rStyle w:val="Hyperlink"/>
                <w:noProof/>
              </w:rPr>
              <w:t>3.3.</w:t>
            </w:r>
            <w:r w:rsidR="00546606">
              <w:rPr>
                <w:rFonts w:asciiTheme="minorHAnsi" w:eastAsiaTheme="minorEastAsia" w:hAnsiTheme="minorHAnsi" w:cstheme="minorBidi"/>
                <w:noProof/>
                <w:lang w:eastAsia="en-AU"/>
              </w:rPr>
              <w:tab/>
            </w:r>
            <w:r w:rsidR="00546606" w:rsidRPr="00BF069D">
              <w:rPr>
                <w:rStyle w:val="Hyperlink"/>
                <w:noProof/>
              </w:rPr>
              <w:t>Good clinical practice</w:t>
            </w:r>
            <w:r w:rsidR="00546606">
              <w:rPr>
                <w:noProof/>
                <w:webHidden/>
              </w:rPr>
              <w:tab/>
            </w:r>
            <w:r w:rsidR="00546606">
              <w:rPr>
                <w:noProof/>
                <w:webHidden/>
              </w:rPr>
              <w:fldChar w:fldCharType="begin"/>
            </w:r>
            <w:r w:rsidR="00546606">
              <w:rPr>
                <w:noProof/>
                <w:webHidden/>
              </w:rPr>
              <w:instrText xml:space="preserve"> PAGEREF _Toc519670946 \h </w:instrText>
            </w:r>
            <w:r w:rsidR="00546606">
              <w:rPr>
                <w:noProof/>
                <w:webHidden/>
              </w:rPr>
            </w:r>
            <w:r w:rsidR="00546606">
              <w:rPr>
                <w:noProof/>
                <w:webHidden/>
              </w:rPr>
              <w:fldChar w:fldCharType="separate"/>
            </w:r>
            <w:r w:rsidR="00546606">
              <w:rPr>
                <w:noProof/>
                <w:webHidden/>
              </w:rPr>
              <w:t>13</w:t>
            </w:r>
            <w:r w:rsidR="00546606">
              <w:rPr>
                <w:noProof/>
                <w:webHidden/>
              </w:rPr>
              <w:fldChar w:fldCharType="end"/>
            </w:r>
          </w:hyperlink>
        </w:p>
        <w:p w14:paraId="52CB30B8"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47" w:history="1">
            <w:r w:rsidR="00546606" w:rsidRPr="00BF069D">
              <w:rPr>
                <w:rStyle w:val="Hyperlink"/>
                <w:noProof/>
              </w:rPr>
              <w:t>3.4.</w:t>
            </w:r>
            <w:r w:rsidR="00546606">
              <w:rPr>
                <w:rFonts w:asciiTheme="minorHAnsi" w:eastAsiaTheme="minorEastAsia" w:hAnsiTheme="minorHAnsi" w:cstheme="minorBidi"/>
                <w:noProof/>
                <w:lang w:eastAsia="en-AU"/>
              </w:rPr>
              <w:tab/>
            </w:r>
            <w:r w:rsidR="00546606" w:rsidRPr="00BF069D">
              <w:rPr>
                <w:rStyle w:val="Hyperlink"/>
                <w:noProof/>
              </w:rPr>
              <w:t>Evaluator’s commentary on the clinical dossier</w:t>
            </w:r>
            <w:r w:rsidR="00546606">
              <w:rPr>
                <w:noProof/>
                <w:webHidden/>
              </w:rPr>
              <w:tab/>
            </w:r>
            <w:r w:rsidR="00546606">
              <w:rPr>
                <w:noProof/>
                <w:webHidden/>
              </w:rPr>
              <w:fldChar w:fldCharType="begin"/>
            </w:r>
            <w:r w:rsidR="00546606">
              <w:rPr>
                <w:noProof/>
                <w:webHidden/>
              </w:rPr>
              <w:instrText xml:space="preserve"> PAGEREF _Toc519670947 \h </w:instrText>
            </w:r>
            <w:r w:rsidR="00546606">
              <w:rPr>
                <w:noProof/>
                <w:webHidden/>
              </w:rPr>
            </w:r>
            <w:r w:rsidR="00546606">
              <w:rPr>
                <w:noProof/>
                <w:webHidden/>
              </w:rPr>
              <w:fldChar w:fldCharType="separate"/>
            </w:r>
            <w:r w:rsidR="00546606">
              <w:rPr>
                <w:noProof/>
                <w:webHidden/>
              </w:rPr>
              <w:t>13</w:t>
            </w:r>
            <w:r w:rsidR="00546606">
              <w:rPr>
                <w:noProof/>
                <w:webHidden/>
              </w:rPr>
              <w:fldChar w:fldCharType="end"/>
            </w:r>
          </w:hyperlink>
        </w:p>
        <w:p w14:paraId="5818F3D6"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48" w:history="1">
            <w:r w:rsidR="00546606" w:rsidRPr="00BF069D">
              <w:rPr>
                <w:rStyle w:val="Hyperlink"/>
                <w:noProof/>
              </w:rPr>
              <w:t>4.</w:t>
            </w:r>
            <w:r w:rsidR="00546606">
              <w:rPr>
                <w:rFonts w:asciiTheme="minorHAnsi" w:eastAsiaTheme="minorEastAsia" w:hAnsiTheme="minorHAnsi" w:cstheme="minorBidi"/>
                <w:b w:val="0"/>
                <w:noProof/>
                <w:sz w:val="22"/>
                <w:lang w:eastAsia="en-AU"/>
              </w:rPr>
              <w:tab/>
            </w:r>
            <w:r w:rsidR="00546606" w:rsidRPr="00BF069D">
              <w:rPr>
                <w:rStyle w:val="Hyperlink"/>
                <w:noProof/>
              </w:rPr>
              <w:t>Pharmacokinetics</w:t>
            </w:r>
            <w:r w:rsidR="00546606">
              <w:rPr>
                <w:noProof/>
                <w:webHidden/>
              </w:rPr>
              <w:tab/>
            </w:r>
            <w:r w:rsidR="00546606">
              <w:rPr>
                <w:noProof/>
                <w:webHidden/>
              </w:rPr>
              <w:fldChar w:fldCharType="begin"/>
            </w:r>
            <w:r w:rsidR="00546606">
              <w:rPr>
                <w:noProof/>
                <w:webHidden/>
              </w:rPr>
              <w:instrText xml:space="preserve"> PAGEREF _Toc519670948 \h </w:instrText>
            </w:r>
            <w:r w:rsidR="00546606">
              <w:rPr>
                <w:noProof/>
                <w:webHidden/>
              </w:rPr>
            </w:r>
            <w:r w:rsidR="00546606">
              <w:rPr>
                <w:noProof/>
                <w:webHidden/>
              </w:rPr>
              <w:fldChar w:fldCharType="separate"/>
            </w:r>
            <w:r w:rsidR="00546606">
              <w:rPr>
                <w:noProof/>
                <w:webHidden/>
              </w:rPr>
              <w:t>13</w:t>
            </w:r>
            <w:r w:rsidR="00546606">
              <w:rPr>
                <w:noProof/>
                <w:webHidden/>
              </w:rPr>
              <w:fldChar w:fldCharType="end"/>
            </w:r>
          </w:hyperlink>
        </w:p>
        <w:p w14:paraId="504F2F49"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49" w:history="1">
            <w:r w:rsidR="00546606" w:rsidRPr="00BF069D">
              <w:rPr>
                <w:rStyle w:val="Hyperlink"/>
                <w:noProof/>
              </w:rPr>
              <w:t>4.1.</w:t>
            </w:r>
            <w:r w:rsidR="00546606">
              <w:rPr>
                <w:rFonts w:asciiTheme="minorHAnsi" w:eastAsiaTheme="minorEastAsia" w:hAnsiTheme="minorHAnsi" w:cstheme="minorBidi"/>
                <w:noProof/>
                <w:lang w:eastAsia="en-AU"/>
              </w:rPr>
              <w:tab/>
            </w:r>
            <w:r w:rsidR="00546606" w:rsidRPr="00BF069D">
              <w:rPr>
                <w:rStyle w:val="Hyperlink"/>
                <w:noProof/>
              </w:rPr>
              <w:t>Studies providing pharmacokinetic information</w:t>
            </w:r>
            <w:r w:rsidR="00546606">
              <w:rPr>
                <w:noProof/>
                <w:webHidden/>
              </w:rPr>
              <w:tab/>
            </w:r>
            <w:r w:rsidR="00546606">
              <w:rPr>
                <w:noProof/>
                <w:webHidden/>
              </w:rPr>
              <w:fldChar w:fldCharType="begin"/>
            </w:r>
            <w:r w:rsidR="00546606">
              <w:rPr>
                <w:noProof/>
                <w:webHidden/>
              </w:rPr>
              <w:instrText xml:space="preserve"> PAGEREF _Toc519670949 \h </w:instrText>
            </w:r>
            <w:r w:rsidR="00546606">
              <w:rPr>
                <w:noProof/>
                <w:webHidden/>
              </w:rPr>
            </w:r>
            <w:r w:rsidR="00546606">
              <w:rPr>
                <w:noProof/>
                <w:webHidden/>
              </w:rPr>
              <w:fldChar w:fldCharType="separate"/>
            </w:r>
            <w:r w:rsidR="00546606">
              <w:rPr>
                <w:noProof/>
                <w:webHidden/>
              </w:rPr>
              <w:t>13</w:t>
            </w:r>
            <w:r w:rsidR="00546606">
              <w:rPr>
                <w:noProof/>
                <w:webHidden/>
              </w:rPr>
              <w:fldChar w:fldCharType="end"/>
            </w:r>
          </w:hyperlink>
        </w:p>
        <w:p w14:paraId="08D5D57F"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50" w:history="1">
            <w:r w:rsidR="00546606" w:rsidRPr="00BF069D">
              <w:rPr>
                <w:rStyle w:val="Hyperlink"/>
                <w:noProof/>
              </w:rPr>
              <w:t>4.2.</w:t>
            </w:r>
            <w:r w:rsidR="00546606">
              <w:rPr>
                <w:rFonts w:asciiTheme="minorHAnsi" w:eastAsiaTheme="minorEastAsia" w:hAnsiTheme="minorHAnsi" w:cstheme="minorBidi"/>
                <w:noProof/>
                <w:lang w:eastAsia="en-AU"/>
              </w:rPr>
              <w:tab/>
            </w:r>
            <w:r w:rsidR="00546606" w:rsidRPr="00BF069D">
              <w:rPr>
                <w:rStyle w:val="Hyperlink"/>
                <w:noProof/>
              </w:rPr>
              <w:t>Summary of pharmacokinetics</w:t>
            </w:r>
            <w:r w:rsidR="00546606">
              <w:rPr>
                <w:noProof/>
                <w:webHidden/>
              </w:rPr>
              <w:tab/>
            </w:r>
            <w:r w:rsidR="00546606">
              <w:rPr>
                <w:noProof/>
                <w:webHidden/>
              </w:rPr>
              <w:fldChar w:fldCharType="begin"/>
            </w:r>
            <w:r w:rsidR="00546606">
              <w:rPr>
                <w:noProof/>
                <w:webHidden/>
              </w:rPr>
              <w:instrText xml:space="preserve"> PAGEREF _Toc519670950 \h </w:instrText>
            </w:r>
            <w:r w:rsidR="00546606">
              <w:rPr>
                <w:noProof/>
                <w:webHidden/>
              </w:rPr>
            </w:r>
            <w:r w:rsidR="00546606">
              <w:rPr>
                <w:noProof/>
                <w:webHidden/>
              </w:rPr>
              <w:fldChar w:fldCharType="separate"/>
            </w:r>
            <w:r w:rsidR="00546606">
              <w:rPr>
                <w:noProof/>
                <w:webHidden/>
              </w:rPr>
              <w:t>14</w:t>
            </w:r>
            <w:r w:rsidR="00546606">
              <w:rPr>
                <w:noProof/>
                <w:webHidden/>
              </w:rPr>
              <w:fldChar w:fldCharType="end"/>
            </w:r>
          </w:hyperlink>
        </w:p>
        <w:p w14:paraId="0E6C11AD"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51" w:history="1">
            <w:r w:rsidR="00546606" w:rsidRPr="00BF069D">
              <w:rPr>
                <w:rStyle w:val="Hyperlink"/>
                <w:noProof/>
              </w:rPr>
              <w:t>4.3.</w:t>
            </w:r>
            <w:r w:rsidR="00546606">
              <w:rPr>
                <w:rFonts w:asciiTheme="minorHAnsi" w:eastAsiaTheme="minorEastAsia" w:hAnsiTheme="minorHAnsi" w:cstheme="minorBidi"/>
                <w:noProof/>
                <w:lang w:eastAsia="en-AU"/>
              </w:rPr>
              <w:tab/>
            </w:r>
            <w:r w:rsidR="00546606" w:rsidRPr="00BF069D">
              <w:rPr>
                <w:rStyle w:val="Hyperlink"/>
                <w:noProof/>
              </w:rPr>
              <w:t>Evaluator’s overall conclusions on pharmacokinetics</w:t>
            </w:r>
            <w:r w:rsidR="00546606">
              <w:rPr>
                <w:noProof/>
                <w:webHidden/>
              </w:rPr>
              <w:tab/>
            </w:r>
            <w:r w:rsidR="00546606">
              <w:rPr>
                <w:noProof/>
                <w:webHidden/>
              </w:rPr>
              <w:fldChar w:fldCharType="begin"/>
            </w:r>
            <w:r w:rsidR="00546606">
              <w:rPr>
                <w:noProof/>
                <w:webHidden/>
              </w:rPr>
              <w:instrText xml:space="preserve"> PAGEREF _Toc519670951 \h </w:instrText>
            </w:r>
            <w:r w:rsidR="00546606">
              <w:rPr>
                <w:noProof/>
                <w:webHidden/>
              </w:rPr>
            </w:r>
            <w:r w:rsidR="00546606">
              <w:rPr>
                <w:noProof/>
                <w:webHidden/>
              </w:rPr>
              <w:fldChar w:fldCharType="separate"/>
            </w:r>
            <w:r w:rsidR="00546606">
              <w:rPr>
                <w:noProof/>
                <w:webHidden/>
              </w:rPr>
              <w:t>19</w:t>
            </w:r>
            <w:r w:rsidR="00546606">
              <w:rPr>
                <w:noProof/>
                <w:webHidden/>
              </w:rPr>
              <w:fldChar w:fldCharType="end"/>
            </w:r>
          </w:hyperlink>
        </w:p>
        <w:p w14:paraId="62EED796"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52" w:history="1">
            <w:r w:rsidR="00546606" w:rsidRPr="00BF069D">
              <w:rPr>
                <w:rStyle w:val="Hyperlink"/>
                <w:noProof/>
              </w:rPr>
              <w:t>5.</w:t>
            </w:r>
            <w:r w:rsidR="00546606">
              <w:rPr>
                <w:rFonts w:asciiTheme="minorHAnsi" w:eastAsiaTheme="minorEastAsia" w:hAnsiTheme="minorHAnsi" w:cstheme="minorBidi"/>
                <w:b w:val="0"/>
                <w:noProof/>
                <w:sz w:val="22"/>
                <w:lang w:eastAsia="en-AU"/>
              </w:rPr>
              <w:tab/>
            </w:r>
            <w:r w:rsidR="00546606" w:rsidRPr="00BF069D">
              <w:rPr>
                <w:rStyle w:val="Hyperlink"/>
                <w:noProof/>
              </w:rPr>
              <w:t>Pharmacodynamics</w:t>
            </w:r>
            <w:r w:rsidR="00546606">
              <w:rPr>
                <w:noProof/>
                <w:webHidden/>
              </w:rPr>
              <w:tab/>
            </w:r>
            <w:r w:rsidR="00546606">
              <w:rPr>
                <w:noProof/>
                <w:webHidden/>
              </w:rPr>
              <w:fldChar w:fldCharType="begin"/>
            </w:r>
            <w:r w:rsidR="00546606">
              <w:rPr>
                <w:noProof/>
                <w:webHidden/>
              </w:rPr>
              <w:instrText xml:space="preserve"> PAGEREF _Toc519670952 \h </w:instrText>
            </w:r>
            <w:r w:rsidR="00546606">
              <w:rPr>
                <w:noProof/>
                <w:webHidden/>
              </w:rPr>
            </w:r>
            <w:r w:rsidR="00546606">
              <w:rPr>
                <w:noProof/>
                <w:webHidden/>
              </w:rPr>
              <w:fldChar w:fldCharType="separate"/>
            </w:r>
            <w:r w:rsidR="00546606">
              <w:rPr>
                <w:noProof/>
                <w:webHidden/>
              </w:rPr>
              <w:t>20</w:t>
            </w:r>
            <w:r w:rsidR="00546606">
              <w:rPr>
                <w:noProof/>
                <w:webHidden/>
              </w:rPr>
              <w:fldChar w:fldCharType="end"/>
            </w:r>
          </w:hyperlink>
        </w:p>
        <w:p w14:paraId="7FD1891A"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53" w:history="1">
            <w:r w:rsidR="00546606" w:rsidRPr="00BF069D">
              <w:rPr>
                <w:rStyle w:val="Hyperlink"/>
                <w:noProof/>
              </w:rPr>
              <w:t>5.1.</w:t>
            </w:r>
            <w:r w:rsidR="00546606">
              <w:rPr>
                <w:rFonts w:asciiTheme="minorHAnsi" w:eastAsiaTheme="minorEastAsia" w:hAnsiTheme="minorHAnsi" w:cstheme="minorBidi"/>
                <w:noProof/>
                <w:lang w:eastAsia="en-AU"/>
              </w:rPr>
              <w:tab/>
            </w:r>
            <w:r w:rsidR="00546606" w:rsidRPr="00BF069D">
              <w:rPr>
                <w:rStyle w:val="Hyperlink"/>
                <w:noProof/>
              </w:rPr>
              <w:t>Studies providing pharmacodynamic information</w:t>
            </w:r>
            <w:r w:rsidR="00546606">
              <w:rPr>
                <w:noProof/>
                <w:webHidden/>
              </w:rPr>
              <w:tab/>
            </w:r>
            <w:r w:rsidR="00546606">
              <w:rPr>
                <w:noProof/>
                <w:webHidden/>
              </w:rPr>
              <w:fldChar w:fldCharType="begin"/>
            </w:r>
            <w:r w:rsidR="00546606">
              <w:rPr>
                <w:noProof/>
                <w:webHidden/>
              </w:rPr>
              <w:instrText xml:space="preserve"> PAGEREF _Toc519670953 \h </w:instrText>
            </w:r>
            <w:r w:rsidR="00546606">
              <w:rPr>
                <w:noProof/>
                <w:webHidden/>
              </w:rPr>
            </w:r>
            <w:r w:rsidR="00546606">
              <w:rPr>
                <w:noProof/>
                <w:webHidden/>
              </w:rPr>
              <w:fldChar w:fldCharType="separate"/>
            </w:r>
            <w:r w:rsidR="00546606">
              <w:rPr>
                <w:noProof/>
                <w:webHidden/>
              </w:rPr>
              <w:t>20</w:t>
            </w:r>
            <w:r w:rsidR="00546606">
              <w:rPr>
                <w:noProof/>
                <w:webHidden/>
              </w:rPr>
              <w:fldChar w:fldCharType="end"/>
            </w:r>
          </w:hyperlink>
        </w:p>
        <w:p w14:paraId="2485B511"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54" w:history="1">
            <w:r w:rsidR="00546606" w:rsidRPr="00BF069D">
              <w:rPr>
                <w:rStyle w:val="Hyperlink"/>
                <w:noProof/>
              </w:rPr>
              <w:t>5.2.</w:t>
            </w:r>
            <w:r w:rsidR="00546606">
              <w:rPr>
                <w:rFonts w:asciiTheme="minorHAnsi" w:eastAsiaTheme="minorEastAsia" w:hAnsiTheme="minorHAnsi" w:cstheme="minorBidi"/>
                <w:noProof/>
                <w:lang w:eastAsia="en-AU"/>
              </w:rPr>
              <w:tab/>
            </w:r>
            <w:r w:rsidR="00546606" w:rsidRPr="00BF069D">
              <w:rPr>
                <w:rStyle w:val="Hyperlink"/>
                <w:noProof/>
              </w:rPr>
              <w:t>Summary of pharmacodynamics</w:t>
            </w:r>
            <w:r w:rsidR="00546606">
              <w:rPr>
                <w:noProof/>
                <w:webHidden/>
              </w:rPr>
              <w:tab/>
            </w:r>
            <w:r w:rsidR="00546606">
              <w:rPr>
                <w:noProof/>
                <w:webHidden/>
              </w:rPr>
              <w:fldChar w:fldCharType="begin"/>
            </w:r>
            <w:r w:rsidR="00546606">
              <w:rPr>
                <w:noProof/>
                <w:webHidden/>
              </w:rPr>
              <w:instrText xml:space="preserve"> PAGEREF _Toc519670954 \h </w:instrText>
            </w:r>
            <w:r w:rsidR="00546606">
              <w:rPr>
                <w:noProof/>
                <w:webHidden/>
              </w:rPr>
            </w:r>
            <w:r w:rsidR="00546606">
              <w:rPr>
                <w:noProof/>
                <w:webHidden/>
              </w:rPr>
              <w:fldChar w:fldCharType="separate"/>
            </w:r>
            <w:r w:rsidR="00546606">
              <w:rPr>
                <w:noProof/>
                <w:webHidden/>
              </w:rPr>
              <w:t>21</w:t>
            </w:r>
            <w:r w:rsidR="00546606">
              <w:rPr>
                <w:noProof/>
                <w:webHidden/>
              </w:rPr>
              <w:fldChar w:fldCharType="end"/>
            </w:r>
          </w:hyperlink>
        </w:p>
        <w:p w14:paraId="38800200"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55" w:history="1">
            <w:r w:rsidR="00546606" w:rsidRPr="00BF069D">
              <w:rPr>
                <w:rStyle w:val="Hyperlink"/>
                <w:noProof/>
              </w:rPr>
              <w:t>5.3.</w:t>
            </w:r>
            <w:r w:rsidR="00546606">
              <w:rPr>
                <w:rFonts w:asciiTheme="minorHAnsi" w:eastAsiaTheme="minorEastAsia" w:hAnsiTheme="minorHAnsi" w:cstheme="minorBidi"/>
                <w:noProof/>
                <w:lang w:eastAsia="en-AU"/>
              </w:rPr>
              <w:tab/>
            </w:r>
            <w:r w:rsidR="00546606" w:rsidRPr="00BF069D">
              <w:rPr>
                <w:rStyle w:val="Hyperlink"/>
                <w:noProof/>
              </w:rPr>
              <w:t>Evaluator’s overall conclusions on pharmacodynamics</w:t>
            </w:r>
            <w:r w:rsidR="00546606">
              <w:rPr>
                <w:noProof/>
                <w:webHidden/>
              </w:rPr>
              <w:tab/>
            </w:r>
            <w:r w:rsidR="00546606">
              <w:rPr>
                <w:noProof/>
                <w:webHidden/>
              </w:rPr>
              <w:fldChar w:fldCharType="begin"/>
            </w:r>
            <w:r w:rsidR="00546606">
              <w:rPr>
                <w:noProof/>
                <w:webHidden/>
              </w:rPr>
              <w:instrText xml:space="preserve"> PAGEREF _Toc519670955 \h </w:instrText>
            </w:r>
            <w:r w:rsidR="00546606">
              <w:rPr>
                <w:noProof/>
                <w:webHidden/>
              </w:rPr>
            </w:r>
            <w:r w:rsidR="00546606">
              <w:rPr>
                <w:noProof/>
                <w:webHidden/>
              </w:rPr>
              <w:fldChar w:fldCharType="separate"/>
            </w:r>
            <w:r w:rsidR="00546606">
              <w:rPr>
                <w:noProof/>
                <w:webHidden/>
              </w:rPr>
              <w:t>25</w:t>
            </w:r>
            <w:r w:rsidR="00546606">
              <w:rPr>
                <w:noProof/>
                <w:webHidden/>
              </w:rPr>
              <w:fldChar w:fldCharType="end"/>
            </w:r>
          </w:hyperlink>
        </w:p>
        <w:p w14:paraId="21D99604"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56" w:history="1">
            <w:r w:rsidR="00546606" w:rsidRPr="00BF069D">
              <w:rPr>
                <w:rStyle w:val="Hyperlink"/>
                <w:noProof/>
              </w:rPr>
              <w:t>6.</w:t>
            </w:r>
            <w:r w:rsidR="00546606">
              <w:rPr>
                <w:rFonts w:asciiTheme="minorHAnsi" w:eastAsiaTheme="minorEastAsia" w:hAnsiTheme="minorHAnsi" w:cstheme="minorBidi"/>
                <w:b w:val="0"/>
                <w:noProof/>
                <w:sz w:val="22"/>
                <w:lang w:eastAsia="en-AU"/>
              </w:rPr>
              <w:tab/>
            </w:r>
            <w:r w:rsidR="00546606" w:rsidRPr="00BF069D">
              <w:rPr>
                <w:rStyle w:val="Hyperlink"/>
                <w:noProof/>
              </w:rPr>
              <w:t>Dosage selection for the pivotal studies</w:t>
            </w:r>
            <w:r w:rsidR="00546606">
              <w:rPr>
                <w:noProof/>
                <w:webHidden/>
              </w:rPr>
              <w:tab/>
            </w:r>
            <w:r w:rsidR="00546606">
              <w:rPr>
                <w:noProof/>
                <w:webHidden/>
              </w:rPr>
              <w:fldChar w:fldCharType="begin"/>
            </w:r>
            <w:r w:rsidR="00546606">
              <w:rPr>
                <w:noProof/>
                <w:webHidden/>
              </w:rPr>
              <w:instrText xml:space="preserve"> PAGEREF _Toc519670956 \h </w:instrText>
            </w:r>
            <w:r w:rsidR="00546606">
              <w:rPr>
                <w:noProof/>
                <w:webHidden/>
              </w:rPr>
            </w:r>
            <w:r w:rsidR="00546606">
              <w:rPr>
                <w:noProof/>
                <w:webHidden/>
              </w:rPr>
              <w:fldChar w:fldCharType="separate"/>
            </w:r>
            <w:r w:rsidR="00546606">
              <w:rPr>
                <w:noProof/>
                <w:webHidden/>
              </w:rPr>
              <w:t>25</w:t>
            </w:r>
            <w:r w:rsidR="00546606">
              <w:rPr>
                <w:noProof/>
                <w:webHidden/>
              </w:rPr>
              <w:fldChar w:fldCharType="end"/>
            </w:r>
          </w:hyperlink>
        </w:p>
        <w:p w14:paraId="335CCD07"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57" w:history="1">
            <w:r w:rsidR="00546606" w:rsidRPr="00BF069D">
              <w:rPr>
                <w:rStyle w:val="Hyperlink"/>
                <w:noProof/>
              </w:rPr>
              <w:t>6.1.</w:t>
            </w:r>
            <w:r w:rsidR="00546606">
              <w:rPr>
                <w:rFonts w:asciiTheme="minorHAnsi" w:eastAsiaTheme="minorEastAsia" w:hAnsiTheme="minorHAnsi" w:cstheme="minorBidi"/>
                <w:noProof/>
                <w:lang w:eastAsia="en-AU"/>
              </w:rPr>
              <w:tab/>
            </w:r>
            <w:r w:rsidR="00546606" w:rsidRPr="00BF069D">
              <w:rPr>
                <w:rStyle w:val="Hyperlink"/>
                <w:noProof/>
              </w:rPr>
              <w:t>Pharmacokinetics and pharmacodynamics: dose finding studies</w:t>
            </w:r>
            <w:r w:rsidR="00546606">
              <w:rPr>
                <w:noProof/>
                <w:webHidden/>
              </w:rPr>
              <w:tab/>
            </w:r>
            <w:r w:rsidR="00546606">
              <w:rPr>
                <w:noProof/>
                <w:webHidden/>
              </w:rPr>
              <w:fldChar w:fldCharType="begin"/>
            </w:r>
            <w:r w:rsidR="00546606">
              <w:rPr>
                <w:noProof/>
                <w:webHidden/>
              </w:rPr>
              <w:instrText xml:space="preserve"> PAGEREF _Toc519670957 \h </w:instrText>
            </w:r>
            <w:r w:rsidR="00546606">
              <w:rPr>
                <w:noProof/>
                <w:webHidden/>
              </w:rPr>
            </w:r>
            <w:r w:rsidR="00546606">
              <w:rPr>
                <w:noProof/>
                <w:webHidden/>
              </w:rPr>
              <w:fldChar w:fldCharType="separate"/>
            </w:r>
            <w:r w:rsidR="00546606">
              <w:rPr>
                <w:noProof/>
                <w:webHidden/>
              </w:rPr>
              <w:t>25</w:t>
            </w:r>
            <w:r w:rsidR="00546606">
              <w:rPr>
                <w:noProof/>
                <w:webHidden/>
              </w:rPr>
              <w:fldChar w:fldCharType="end"/>
            </w:r>
          </w:hyperlink>
        </w:p>
        <w:p w14:paraId="0A325A84"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58" w:history="1">
            <w:r w:rsidR="00546606" w:rsidRPr="00BF069D">
              <w:rPr>
                <w:rStyle w:val="Hyperlink"/>
                <w:noProof/>
              </w:rPr>
              <w:t>6.2.</w:t>
            </w:r>
            <w:r w:rsidR="00546606">
              <w:rPr>
                <w:rFonts w:asciiTheme="minorHAnsi" w:eastAsiaTheme="minorEastAsia" w:hAnsiTheme="minorHAnsi" w:cstheme="minorBidi"/>
                <w:noProof/>
                <w:lang w:eastAsia="en-AU"/>
              </w:rPr>
              <w:tab/>
            </w:r>
            <w:r w:rsidR="00546606" w:rsidRPr="00BF069D">
              <w:rPr>
                <w:rStyle w:val="Hyperlink"/>
                <w:noProof/>
              </w:rPr>
              <w:t>Phase II dose finding studies</w:t>
            </w:r>
            <w:r w:rsidR="00546606">
              <w:rPr>
                <w:noProof/>
                <w:webHidden/>
              </w:rPr>
              <w:tab/>
            </w:r>
            <w:r w:rsidR="00546606">
              <w:rPr>
                <w:noProof/>
                <w:webHidden/>
              </w:rPr>
              <w:fldChar w:fldCharType="begin"/>
            </w:r>
            <w:r w:rsidR="00546606">
              <w:rPr>
                <w:noProof/>
                <w:webHidden/>
              </w:rPr>
              <w:instrText xml:space="preserve"> PAGEREF _Toc519670958 \h </w:instrText>
            </w:r>
            <w:r w:rsidR="00546606">
              <w:rPr>
                <w:noProof/>
                <w:webHidden/>
              </w:rPr>
            </w:r>
            <w:r w:rsidR="00546606">
              <w:rPr>
                <w:noProof/>
                <w:webHidden/>
              </w:rPr>
              <w:fldChar w:fldCharType="separate"/>
            </w:r>
            <w:r w:rsidR="00546606">
              <w:rPr>
                <w:noProof/>
                <w:webHidden/>
              </w:rPr>
              <w:t>26</w:t>
            </w:r>
            <w:r w:rsidR="00546606">
              <w:rPr>
                <w:noProof/>
                <w:webHidden/>
              </w:rPr>
              <w:fldChar w:fldCharType="end"/>
            </w:r>
          </w:hyperlink>
        </w:p>
        <w:p w14:paraId="48C72CAE"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59" w:history="1">
            <w:r w:rsidR="00546606" w:rsidRPr="00BF069D">
              <w:rPr>
                <w:rStyle w:val="Hyperlink"/>
                <w:noProof/>
              </w:rPr>
              <w:t>6.3.</w:t>
            </w:r>
            <w:r w:rsidR="00546606">
              <w:rPr>
                <w:rFonts w:asciiTheme="minorHAnsi" w:eastAsiaTheme="minorEastAsia" w:hAnsiTheme="minorHAnsi" w:cstheme="minorBidi"/>
                <w:noProof/>
                <w:lang w:eastAsia="en-AU"/>
              </w:rPr>
              <w:tab/>
            </w:r>
            <w:r w:rsidR="00546606" w:rsidRPr="00BF069D">
              <w:rPr>
                <w:rStyle w:val="Hyperlink"/>
                <w:noProof/>
              </w:rPr>
              <w:t>Phase III pivotal studies investigating more than one dose regimen</w:t>
            </w:r>
            <w:r w:rsidR="00546606">
              <w:rPr>
                <w:noProof/>
                <w:webHidden/>
              </w:rPr>
              <w:tab/>
            </w:r>
            <w:r w:rsidR="00546606">
              <w:rPr>
                <w:noProof/>
                <w:webHidden/>
              </w:rPr>
              <w:fldChar w:fldCharType="begin"/>
            </w:r>
            <w:r w:rsidR="00546606">
              <w:rPr>
                <w:noProof/>
                <w:webHidden/>
              </w:rPr>
              <w:instrText xml:space="preserve"> PAGEREF _Toc519670959 \h </w:instrText>
            </w:r>
            <w:r w:rsidR="00546606">
              <w:rPr>
                <w:noProof/>
                <w:webHidden/>
              </w:rPr>
            </w:r>
            <w:r w:rsidR="00546606">
              <w:rPr>
                <w:noProof/>
                <w:webHidden/>
              </w:rPr>
              <w:fldChar w:fldCharType="separate"/>
            </w:r>
            <w:r w:rsidR="00546606">
              <w:rPr>
                <w:noProof/>
                <w:webHidden/>
              </w:rPr>
              <w:t>27</w:t>
            </w:r>
            <w:r w:rsidR="00546606">
              <w:rPr>
                <w:noProof/>
                <w:webHidden/>
              </w:rPr>
              <w:fldChar w:fldCharType="end"/>
            </w:r>
          </w:hyperlink>
        </w:p>
        <w:p w14:paraId="1C09E7EE"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60" w:history="1">
            <w:r w:rsidR="00546606" w:rsidRPr="00BF069D">
              <w:rPr>
                <w:rStyle w:val="Hyperlink"/>
                <w:noProof/>
              </w:rPr>
              <w:t>6.4.</w:t>
            </w:r>
            <w:r w:rsidR="00546606">
              <w:rPr>
                <w:rFonts w:asciiTheme="minorHAnsi" w:eastAsiaTheme="minorEastAsia" w:hAnsiTheme="minorHAnsi" w:cstheme="minorBidi"/>
                <w:noProof/>
                <w:lang w:eastAsia="en-AU"/>
              </w:rPr>
              <w:tab/>
            </w:r>
            <w:r w:rsidR="00546606" w:rsidRPr="00BF069D">
              <w:rPr>
                <w:rStyle w:val="Hyperlink"/>
                <w:noProof/>
              </w:rPr>
              <w:t>Evaluator’s conclusions on dose finding for the pivotal studies</w:t>
            </w:r>
            <w:r w:rsidR="00546606">
              <w:rPr>
                <w:noProof/>
                <w:webHidden/>
              </w:rPr>
              <w:tab/>
            </w:r>
            <w:r w:rsidR="00546606">
              <w:rPr>
                <w:noProof/>
                <w:webHidden/>
              </w:rPr>
              <w:fldChar w:fldCharType="begin"/>
            </w:r>
            <w:r w:rsidR="00546606">
              <w:rPr>
                <w:noProof/>
                <w:webHidden/>
              </w:rPr>
              <w:instrText xml:space="preserve"> PAGEREF _Toc519670960 \h </w:instrText>
            </w:r>
            <w:r w:rsidR="00546606">
              <w:rPr>
                <w:noProof/>
                <w:webHidden/>
              </w:rPr>
            </w:r>
            <w:r w:rsidR="00546606">
              <w:rPr>
                <w:noProof/>
                <w:webHidden/>
              </w:rPr>
              <w:fldChar w:fldCharType="separate"/>
            </w:r>
            <w:r w:rsidR="00546606">
              <w:rPr>
                <w:noProof/>
                <w:webHidden/>
              </w:rPr>
              <w:t>29</w:t>
            </w:r>
            <w:r w:rsidR="00546606">
              <w:rPr>
                <w:noProof/>
                <w:webHidden/>
              </w:rPr>
              <w:fldChar w:fldCharType="end"/>
            </w:r>
          </w:hyperlink>
        </w:p>
        <w:p w14:paraId="43134B56"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61" w:history="1">
            <w:r w:rsidR="00546606" w:rsidRPr="00BF069D">
              <w:rPr>
                <w:rStyle w:val="Hyperlink"/>
                <w:noProof/>
              </w:rPr>
              <w:t>7.</w:t>
            </w:r>
            <w:r w:rsidR="00546606">
              <w:rPr>
                <w:rFonts w:asciiTheme="minorHAnsi" w:eastAsiaTheme="minorEastAsia" w:hAnsiTheme="minorHAnsi" w:cstheme="minorBidi"/>
                <w:b w:val="0"/>
                <w:noProof/>
                <w:sz w:val="22"/>
                <w:lang w:eastAsia="en-AU"/>
              </w:rPr>
              <w:tab/>
            </w:r>
            <w:r w:rsidR="00546606" w:rsidRPr="00BF069D">
              <w:rPr>
                <w:rStyle w:val="Hyperlink"/>
                <w:noProof/>
              </w:rPr>
              <w:t>Clinical efficacy</w:t>
            </w:r>
            <w:r w:rsidR="00546606">
              <w:rPr>
                <w:noProof/>
                <w:webHidden/>
              </w:rPr>
              <w:tab/>
            </w:r>
            <w:r w:rsidR="00546606">
              <w:rPr>
                <w:noProof/>
                <w:webHidden/>
              </w:rPr>
              <w:fldChar w:fldCharType="begin"/>
            </w:r>
            <w:r w:rsidR="00546606">
              <w:rPr>
                <w:noProof/>
                <w:webHidden/>
              </w:rPr>
              <w:instrText xml:space="preserve"> PAGEREF _Toc519670961 \h </w:instrText>
            </w:r>
            <w:r w:rsidR="00546606">
              <w:rPr>
                <w:noProof/>
                <w:webHidden/>
              </w:rPr>
            </w:r>
            <w:r w:rsidR="00546606">
              <w:rPr>
                <w:noProof/>
                <w:webHidden/>
              </w:rPr>
              <w:fldChar w:fldCharType="separate"/>
            </w:r>
            <w:r w:rsidR="00546606">
              <w:rPr>
                <w:noProof/>
                <w:webHidden/>
              </w:rPr>
              <w:t>29</w:t>
            </w:r>
            <w:r w:rsidR="00546606">
              <w:rPr>
                <w:noProof/>
                <w:webHidden/>
              </w:rPr>
              <w:fldChar w:fldCharType="end"/>
            </w:r>
          </w:hyperlink>
        </w:p>
        <w:p w14:paraId="563DECB8"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62" w:history="1">
            <w:r w:rsidR="00546606" w:rsidRPr="00BF069D">
              <w:rPr>
                <w:rStyle w:val="Hyperlink"/>
                <w:noProof/>
              </w:rPr>
              <w:t>7.1.</w:t>
            </w:r>
            <w:r w:rsidR="00546606">
              <w:rPr>
                <w:rFonts w:asciiTheme="minorHAnsi" w:eastAsiaTheme="minorEastAsia" w:hAnsiTheme="minorHAnsi" w:cstheme="minorBidi"/>
                <w:noProof/>
                <w:lang w:eastAsia="en-AU"/>
              </w:rPr>
              <w:tab/>
            </w:r>
            <w:r w:rsidR="00546606" w:rsidRPr="00BF069D">
              <w:rPr>
                <w:rStyle w:val="Hyperlink"/>
                <w:noProof/>
              </w:rPr>
              <w:t>Studies providing evaluable efficacy data</w:t>
            </w:r>
            <w:r w:rsidR="00546606">
              <w:rPr>
                <w:noProof/>
                <w:webHidden/>
              </w:rPr>
              <w:tab/>
            </w:r>
            <w:r w:rsidR="00546606">
              <w:rPr>
                <w:noProof/>
                <w:webHidden/>
              </w:rPr>
              <w:fldChar w:fldCharType="begin"/>
            </w:r>
            <w:r w:rsidR="00546606">
              <w:rPr>
                <w:noProof/>
                <w:webHidden/>
              </w:rPr>
              <w:instrText xml:space="preserve"> PAGEREF _Toc519670962 \h </w:instrText>
            </w:r>
            <w:r w:rsidR="00546606">
              <w:rPr>
                <w:noProof/>
                <w:webHidden/>
              </w:rPr>
            </w:r>
            <w:r w:rsidR="00546606">
              <w:rPr>
                <w:noProof/>
                <w:webHidden/>
              </w:rPr>
              <w:fldChar w:fldCharType="separate"/>
            </w:r>
            <w:r w:rsidR="00546606">
              <w:rPr>
                <w:noProof/>
                <w:webHidden/>
              </w:rPr>
              <w:t>29</w:t>
            </w:r>
            <w:r w:rsidR="00546606">
              <w:rPr>
                <w:noProof/>
                <w:webHidden/>
              </w:rPr>
              <w:fldChar w:fldCharType="end"/>
            </w:r>
          </w:hyperlink>
        </w:p>
        <w:p w14:paraId="20AF3DD1"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63" w:history="1">
            <w:r w:rsidR="00546606" w:rsidRPr="00BF069D">
              <w:rPr>
                <w:rStyle w:val="Hyperlink"/>
                <w:noProof/>
              </w:rPr>
              <w:t>7.2.</w:t>
            </w:r>
            <w:r w:rsidR="00546606">
              <w:rPr>
                <w:rFonts w:asciiTheme="minorHAnsi" w:eastAsiaTheme="minorEastAsia" w:hAnsiTheme="minorHAnsi" w:cstheme="minorBidi"/>
                <w:noProof/>
                <w:lang w:eastAsia="en-AU"/>
              </w:rPr>
              <w:tab/>
            </w:r>
            <w:r w:rsidR="00546606" w:rsidRPr="00BF069D">
              <w:rPr>
                <w:rStyle w:val="Hyperlink"/>
                <w:noProof/>
              </w:rPr>
              <w:t>Pivotal or main efficacy studies</w:t>
            </w:r>
            <w:r w:rsidR="00546606">
              <w:rPr>
                <w:noProof/>
                <w:webHidden/>
              </w:rPr>
              <w:tab/>
            </w:r>
            <w:r w:rsidR="00546606">
              <w:rPr>
                <w:noProof/>
                <w:webHidden/>
              </w:rPr>
              <w:fldChar w:fldCharType="begin"/>
            </w:r>
            <w:r w:rsidR="00546606">
              <w:rPr>
                <w:noProof/>
                <w:webHidden/>
              </w:rPr>
              <w:instrText xml:space="preserve"> PAGEREF _Toc519670963 \h </w:instrText>
            </w:r>
            <w:r w:rsidR="00546606">
              <w:rPr>
                <w:noProof/>
                <w:webHidden/>
              </w:rPr>
            </w:r>
            <w:r w:rsidR="00546606">
              <w:rPr>
                <w:noProof/>
                <w:webHidden/>
              </w:rPr>
              <w:fldChar w:fldCharType="separate"/>
            </w:r>
            <w:r w:rsidR="00546606">
              <w:rPr>
                <w:noProof/>
                <w:webHidden/>
              </w:rPr>
              <w:t>29</w:t>
            </w:r>
            <w:r w:rsidR="00546606">
              <w:rPr>
                <w:noProof/>
                <w:webHidden/>
              </w:rPr>
              <w:fldChar w:fldCharType="end"/>
            </w:r>
          </w:hyperlink>
        </w:p>
        <w:p w14:paraId="7DE32EC6"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64" w:history="1">
            <w:r w:rsidR="00546606" w:rsidRPr="00BF069D">
              <w:rPr>
                <w:rStyle w:val="Hyperlink"/>
                <w:noProof/>
              </w:rPr>
              <w:t>7.3.</w:t>
            </w:r>
            <w:r w:rsidR="00546606">
              <w:rPr>
                <w:rFonts w:asciiTheme="minorHAnsi" w:eastAsiaTheme="minorEastAsia" w:hAnsiTheme="minorHAnsi" w:cstheme="minorBidi"/>
                <w:noProof/>
                <w:lang w:eastAsia="en-AU"/>
              </w:rPr>
              <w:tab/>
            </w:r>
            <w:r w:rsidR="00546606" w:rsidRPr="00BF069D">
              <w:rPr>
                <w:rStyle w:val="Hyperlink"/>
                <w:noProof/>
              </w:rPr>
              <w:t>Other efficacy studies</w:t>
            </w:r>
            <w:r w:rsidR="00546606">
              <w:rPr>
                <w:noProof/>
                <w:webHidden/>
              </w:rPr>
              <w:tab/>
            </w:r>
            <w:r w:rsidR="00546606">
              <w:rPr>
                <w:noProof/>
                <w:webHidden/>
              </w:rPr>
              <w:fldChar w:fldCharType="begin"/>
            </w:r>
            <w:r w:rsidR="00546606">
              <w:rPr>
                <w:noProof/>
                <w:webHidden/>
              </w:rPr>
              <w:instrText xml:space="preserve"> PAGEREF _Toc519670964 \h </w:instrText>
            </w:r>
            <w:r w:rsidR="00546606">
              <w:rPr>
                <w:noProof/>
                <w:webHidden/>
              </w:rPr>
            </w:r>
            <w:r w:rsidR="00546606">
              <w:rPr>
                <w:noProof/>
                <w:webHidden/>
              </w:rPr>
              <w:fldChar w:fldCharType="separate"/>
            </w:r>
            <w:r w:rsidR="00546606">
              <w:rPr>
                <w:noProof/>
                <w:webHidden/>
              </w:rPr>
              <w:t>61</w:t>
            </w:r>
            <w:r w:rsidR="00546606">
              <w:rPr>
                <w:noProof/>
                <w:webHidden/>
              </w:rPr>
              <w:fldChar w:fldCharType="end"/>
            </w:r>
          </w:hyperlink>
        </w:p>
        <w:p w14:paraId="0F865672"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65" w:history="1">
            <w:r w:rsidR="00546606" w:rsidRPr="00BF069D">
              <w:rPr>
                <w:rStyle w:val="Hyperlink"/>
                <w:noProof/>
              </w:rPr>
              <w:t>7.4.</w:t>
            </w:r>
            <w:r w:rsidR="00546606">
              <w:rPr>
                <w:rFonts w:asciiTheme="minorHAnsi" w:eastAsiaTheme="minorEastAsia" w:hAnsiTheme="minorHAnsi" w:cstheme="minorBidi"/>
                <w:noProof/>
                <w:lang w:eastAsia="en-AU"/>
              </w:rPr>
              <w:tab/>
            </w:r>
            <w:r w:rsidR="00546606" w:rsidRPr="00BF069D">
              <w:rPr>
                <w:rStyle w:val="Hyperlink"/>
                <w:noProof/>
              </w:rPr>
              <w:t>Analyses performed across trials: pooled and meta-analyses</w:t>
            </w:r>
            <w:r w:rsidR="00546606">
              <w:rPr>
                <w:noProof/>
                <w:webHidden/>
              </w:rPr>
              <w:tab/>
            </w:r>
            <w:r w:rsidR="00546606">
              <w:rPr>
                <w:noProof/>
                <w:webHidden/>
              </w:rPr>
              <w:fldChar w:fldCharType="begin"/>
            </w:r>
            <w:r w:rsidR="00546606">
              <w:rPr>
                <w:noProof/>
                <w:webHidden/>
              </w:rPr>
              <w:instrText xml:space="preserve"> PAGEREF _Toc519670965 \h </w:instrText>
            </w:r>
            <w:r w:rsidR="00546606">
              <w:rPr>
                <w:noProof/>
                <w:webHidden/>
              </w:rPr>
            </w:r>
            <w:r w:rsidR="00546606">
              <w:rPr>
                <w:noProof/>
                <w:webHidden/>
              </w:rPr>
              <w:fldChar w:fldCharType="separate"/>
            </w:r>
            <w:r w:rsidR="00546606">
              <w:rPr>
                <w:noProof/>
                <w:webHidden/>
              </w:rPr>
              <w:t>81</w:t>
            </w:r>
            <w:r w:rsidR="00546606">
              <w:rPr>
                <w:noProof/>
                <w:webHidden/>
              </w:rPr>
              <w:fldChar w:fldCharType="end"/>
            </w:r>
          </w:hyperlink>
        </w:p>
        <w:p w14:paraId="2FAF1846"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66" w:history="1">
            <w:r w:rsidR="00546606" w:rsidRPr="00BF069D">
              <w:rPr>
                <w:rStyle w:val="Hyperlink"/>
                <w:noProof/>
              </w:rPr>
              <w:t>7.5.</w:t>
            </w:r>
            <w:r w:rsidR="00546606">
              <w:rPr>
                <w:rFonts w:asciiTheme="minorHAnsi" w:eastAsiaTheme="minorEastAsia" w:hAnsiTheme="minorHAnsi" w:cstheme="minorBidi"/>
                <w:noProof/>
                <w:lang w:eastAsia="en-AU"/>
              </w:rPr>
              <w:tab/>
            </w:r>
            <w:r w:rsidR="00546606" w:rsidRPr="00BF069D">
              <w:rPr>
                <w:rStyle w:val="Hyperlink"/>
                <w:noProof/>
              </w:rPr>
              <w:t>Evaluator’s conclusions on clinical efficacy</w:t>
            </w:r>
            <w:r w:rsidR="00546606">
              <w:rPr>
                <w:noProof/>
                <w:webHidden/>
              </w:rPr>
              <w:tab/>
            </w:r>
            <w:r w:rsidR="00546606">
              <w:rPr>
                <w:noProof/>
                <w:webHidden/>
              </w:rPr>
              <w:fldChar w:fldCharType="begin"/>
            </w:r>
            <w:r w:rsidR="00546606">
              <w:rPr>
                <w:noProof/>
                <w:webHidden/>
              </w:rPr>
              <w:instrText xml:space="preserve"> PAGEREF _Toc519670966 \h </w:instrText>
            </w:r>
            <w:r w:rsidR="00546606">
              <w:rPr>
                <w:noProof/>
                <w:webHidden/>
              </w:rPr>
            </w:r>
            <w:r w:rsidR="00546606">
              <w:rPr>
                <w:noProof/>
                <w:webHidden/>
              </w:rPr>
              <w:fldChar w:fldCharType="separate"/>
            </w:r>
            <w:r w:rsidR="00546606">
              <w:rPr>
                <w:noProof/>
                <w:webHidden/>
              </w:rPr>
              <w:t>81</w:t>
            </w:r>
            <w:r w:rsidR="00546606">
              <w:rPr>
                <w:noProof/>
                <w:webHidden/>
              </w:rPr>
              <w:fldChar w:fldCharType="end"/>
            </w:r>
          </w:hyperlink>
        </w:p>
        <w:p w14:paraId="6B430C7E"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67" w:history="1">
            <w:r w:rsidR="00546606" w:rsidRPr="00BF069D">
              <w:rPr>
                <w:rStyle w:val="Hyperlink"/>
                <w:noProof/>
              </w:rPr>
              <w:t>8.</w:t>
            </w:r>
            <w:r w:rsidR="00546606">
              <w:rPr>
                <w:rFonts w:asciiTheme="minorHAnsi" w:eastAsiaTheme="minorEastAsia" w:hAnsiTheme="minorHAnsi" w:cstheme="minorBidi"/>
                <w:b w:val="0"/>
                <w:noProof/>
                <w:sz w:val="22"/>
                <w:lang w:eastAsia="en-AU"/>
              </w:rPr>
              <w:tab/>
            </w:r>
            <w:r w:rsidR="00546606" w:rsidRPr="00BF069D">
              <w:rPr>
                <w:rStyle w:val="Hyperlink"/>
                <w:noProof/>
              </w:rPr>
              <w:t>Clinical safety</w:t>
            </w:r>
            <w:r w:rsidR="00546606">
              <w:rPr>
                <w:noProof/>
                <w:webHidden/>
              </w:rPr>
              <w:tab/>
            </w:r>
            <w:r w:rsidR="00546606">
              <w:rPr>
                <w:noProof/>
                <w:webHidden/>
              </w:rPr>
              <w:fldChar w:fldCharType="begin"/>
            </w:r>
            <w:r w:rsidR="00546606">
              <w:rPr>
                <w:noProof/>
                <w:webHidden/>
              </w:rPr>
              <w:instrText xml:space="preserve"> PAGEREF _Toc519670967 \h </w:instrText>
            </w:r>
            <w:r w:rsidR="00546606">
              <w:rPr>
                <w:noProof/>
                <w:webHidden/>
              </w:rPr>
            </w:r>
            <w:r w:rsidR="00546606">
              <w:rPr>
                <w:noProof/>
                <w:webHidden/>
              </w:rPr>
              <w:fldChar w:fldCharType="separate"/>
            </w:r>
            <w:r w:rsidR="00546606">
              <w:rPr>
                <w:noProof/>
                <w:webHidden/>
              </w:rPr>
              <w:t>82</w:t>
            </w:r>
            <w:r w:rsidR="00546606">
              <w:rPr>
                <w:noProof/>
                <w:webHidden/>
              </w:rPr>
              <w:fldChar w:fldCharType="end"/>
            </w:r>
          </w:hyperlink>
        </w:p>
        <w:p w14:paraId="06434087"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68" w:history="1">
            <w:r w:rsidR="00546606" w:rsidRPr="00BF069D">
              <w:rPr>
                <w:rStyle w:val="Hyperlink"/>
                <w:noProof/>
              </w:rPr>
              <w:t>8.1.</w:t>
            </w:r>
            <w:r w:rsidR="00546606">
              <w:rPr>
                <w:rFonts w:asciiTheme="minorHAnsi" w:eastAsiaTheme="minorEastAsia" w:hAnsiTheme="minorHAnsi" w:cstheme="minorBidi"/>
                <w:noProof/>
                <w:lang w:eastAsia="en-AU"/>
              </w:rPr>
              <w:tab/>
            </w:r>
            <w:r w:rsidR="00546606" w:rsidRPr="00BF069D">
              <w:rPr>
                <w:rStyle w:val="Hyperlink"/>
                <w:noProof/>
              </w:rPr>
              <w:t>Studies providing evaluable safety data</w:t>
            </w:r>
            <w:r w:rsidR="00546606">
              <w:rPr>
                <w:noProof/>
                <w:webHidden/>
              </w:rPr>
              <w:tab/>
            </w:r>
            <w:r w:rsidR="00546606">
              <w:rPr>
                <w:noProof/>
                <w:webHidden/>
              </w:rPr>
              <w:fldChar w:fldCharType="begin"/>
            </w:r>
            <w:r w:rsidR="00546606">
              <w:rPr>
                <w:noProof/>
                <w:webHidden/>
              </w:rPr>
              <w:instrText xml:space="preserve"> PAGEREF _Toc519670968 \h </w:instrText>
            </w:r>
            <w:r w:rsidR="00546606">
              <w:rPr>
                <w:noProof/>
                <w:webHidden/>
              </w:rPr>
            </w:r>
            <w:r w:rsidR="00546606">
              <w:rPr>
                <w:noProof/>
                <w:webHidden/>
              </w:rPr>
              <w:fldChar w:fldCharType="separate"/>
            </w:r>
            <w:r w:rsidR="00546606">
              <w:rPr>
                <w:noProof/>
                <w:webHidden/>
              </w:rPr>
              <w:t>82</w:t>
            </w:r>
            <w:r w:rsidR="00546606">
              <w:rPr>
                <w:noProof/>
                <w:webHidden/>
              </w:rPr>
              <w:fldChar w:fldCharType="end"/>
            </w:r>
          </w:hyperlink>
        </w:p>
        <w:p w14:paraId="5D0F2D2B"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69" w:history="1">
            <w:r w:rsidR="00546606" w:rsidRPr="00BF069D">
              <w:rPr>
                <w:rStyle w:val="Hyperlink"/>
                <w:noProof/>
              </w:rPr>
              <w:t>8.2.</w:t>
            </w:r>
            <w:r w:rsidR="00546606">
              <w:rPr>
                <w:rFonts w:asciiTheme="minorHAnsi" w:eastAsiaTheme="minorEastAsia" w:hAnsiTheme="minorHAnsi" w:cstheme="minorBidi"/>
                <w:noProof/>
                <w:lang w:eastAsia="en-AU"/>
              </w:rPr>
              <w:tab/>
            </w:r>
            <w:r w:rsidR="00546606" w:rsidRPr="00BF069D">
              <w:rPr>
                <w:rStyle w:val="Hyperlink"/>
                <w:noProof/>
              </w:rPr>
              <w:t>Studies that assessed safety as the sole primary outcome</w:t>
            </w:r>
            <w:r w:rsidR="00546606">
              <w:rPr>
                <w:noProof/>
                <w:webHidden/>
              </w:rPr>
              <w:tab/>
            </w:r>
            <w:r w:rsidR="00546606">
              <w:rPr>
                <w:noProof/>
                <w:webHidden/>
              </w:rPr>
              <w:fldChar w:fldCharType="begin"/>
            </w:r>
            <w:r w:rsidR="00546606">
              <w:rPr>
                <w:noProof/>
                <w:webHidden/>
              </w:rPr>
              <w:instrText xml:space="preserve"> PAGEREF _Toc519670969 \h </w:instrText>
            </w:r>
            <w:r w:rsidR="00546606">
              <w:rPr>
                <w:noProof/>
                <w:webHidden/>
              </w:rPr>
            </w:r>
            <w:r w:rsidR="00546606">
              <w:rPr>
                <w:noProof/>
                <w:webHidden/>
              </w:rPr>
              <w:fldChar w:fldCharType="separate"/>
            </w:r>
            <w:r w:rsidR="00546606">
              <w:rPr>
                <w:noProof/>
                <w:webHidden/>
              </w:rPr>
              <w:t>86</w:t>
            </w:r>
            <w:r w:rsidR="00546606">
              <w:rPr>
                <w:noProof/>
                <w:webHidden/>
              </w:rPr>
              <w:fldChar w:fldCharType="end"/>
            </w:r>
          </w:hyperlink>
        </w:p>
        <w:p w14:paraId="2A44B851"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0" w:history="1">
            <w:r w:rsidR="00546606" w:rsidRPr="00BF069D">
              <w:rPr>
                <w:rStyle w:val="Hyperlink"/>
                <w:noProof/>
              </w:rPr>
              <w:t>8.3.</w:t>
            </w:r>
            <w:r w:rsidR="00546606">
              <w:rPr>
                <w:rFonts w:asciiTheme="minorHAnsi" w:eastAsiaTheme="minorEastAsia" w:hAnsiTheme="minorHAnsi" w:cstheme="minorBidi"/>
                <w:noProof/>
                <w:lang w:eastAsia="en-AU"/>
              </w:rPr>
              <w:tab/>
            </w:r>
            <w:r w:rsidR="00546606" w:rsidRPr="00BF069D">
              <w:rPr>
                <w:rStyle w:val="Hyperlink"/>
                <w:noProof/>
              </w:rPr>
              <w:t>Patient exposure</w:t>
            </w:r>
            <w:r w:rsidR="00546606">
              <w:rPr>
                <w:noProof/>
                <w:webHidden/>
              </w:rPr>
              <w:tab/>
            </w:r>
            <w:r w:rsidR="00546606">
              <w:rPr>
                <w:noProof/>
                <w:webHidden/>
              </w:rPr>
              <w:fldChar w:fldCharType="begin"/>
            </w:r>
            <w:r w:rsidR="00546606">
              <w:rPr>
                <w:noProof/>
                <w:webHidden/>
              </w:rPr>
              <w:instrText xml:space="preserve"> PAGEREF _Toc519670970 \h </w:instrText>
            </w:r>
            <w:r w:rsidR="00546606">
              <w:rPr>
                <w:noProof/>
                <w:webHidden/>
              </w:rPr>
            </w:r>
            <w:r w:rsidR="00546606">
              <w:rPr>
                <w:noProof/>
                <w:webHidden/>
              </w:rPr>
              <w:fldChar w:fldCharType="separate"/>
            </w:r>
            <w:r w:rsidR="00546606">
              <w:rPr>
                <w:noProof/>
                <w:webHidden/>
              </w:rPr>
              <w:t>86</w:t>
            </w:r>
            <w:r w:rsidR="00546606">
              <w:rPr>
                <w:noProof/>
                <w:webHidden/>
              </w:rPr>
              <w:fldChar w:fldCharType="end"/>
            </w:r>
          </w:hyperlink>
        </w:p>
        <w:p w14:paraId="295FD245"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1" w:history="1">
            <w:r w:rsidR="00546606" w:rsidRPr="00BF069D">
              <w:rPr>
                <w:rStyle w:val="Hyperlink"/>
                <w:noProof/>
              </w:rPr>
              <w:t>8.4.</w:t>
            </w:r>
            <w:r w:rsidR="00546606">
              <w:rPr>
                <w:rFonts w:asciiTheme="minorHAnsi" w:eastAsiaTheme="minorEastAsia" w:hAnsiTheme="minorHAnsi" w:cstheme="minorBidi"/>
                <w:noProof/>
                <w:lang w:eastAsia="en-AU"/>
              </w:rPr>
              <w:tab/>
            </w:r>
            <w:r w:rsidR="00546606" w:rsidRPr="00BF069D">
              <w:rPr>
                <w:rStyle w:val="Hyperlink"/>
                <w:noProof/>
              </w:rPr>
              <w:t>Adverse events</w:t>
            </w:r>
            <w:r w:rsidR="00546606">
              <w:rPr>
                <w:noProof/>
                <w:webHidden/>
              </w:rPr>
              <w:tab/>
            </w:r>
            <w:r w:rsidR="00546606">
              <w:rPr>
                <w:noProof/>
                <w:webHidden/>
              </w:rPr>
              <w:fldChar w:fldCharType="begin"/>
            </w:r>
            <w:r w:rsidR="00546606">
              <w:rPr>
                <w:noProof/>
                <w:webHidden/>
              </w:rPr>
              <w:instrText xml:space="preserve"> PAGEREF _Toc519670971 \h </w:instrText>
            </w:r>
            <w:r w:rsidR="00546606">
              <w:rPr>
                <w:noProof/>
                <w:webHidden/>
              </w:rPr>
            </w:r>
            <w:r w:rsidR="00546606">
              <w:rPr>
                <w:noProof/>
                <w:webHidden/>
              </w:rPr>
              <w:fldChar w:fldCharType="separate"/>
            </w:r>
            <w:r w:rsidR="00546606">
              <w:rPr>
                <w:noProof/>
                <w:webHidden/>
              </w:rPr>
              <w:t>90</w:t>
            </w:r>
            <w:r w:rsidR="00546606">
              <w:rPr>
                <w:noProof/>
                <w:webHidden/>
              </w:rPr>
              <w:fldChar w:fldCharType="end"/>
            </w:r>
          </w:hyperlink>
        </w:p>
        <w:p w14:paraId="5C12688C"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2" w:history="1">
            <w:r w:rsidR="00546606" w:rsidRPr="00BF069D">
              <w:rPr>
                <w:rStyle w:val="Hyperlink"/>
                <w:noProof/>
              </w:rPr>
              <w:t>8.5.</w:t>
            </w:r>
            <w:r w:rsidR="00546606">
              <w:rPr>
                <w:rFonts w:asciiTheme="minorHAnsi" w:eastAsiaTheme="minorEastAsia" w:hAnsiTheme="minorHAnsi" w:cstheme="minorBidi"/>
                <w:noProof/>
                <w:lang w:eastAsia="en-AU"/>
              </w:rPr>
              <w:tab/>
            </w:r>
            <w:r w:rsidR="00546606" w:rsidRPr="00BF069D">
              <w:rPr>
                <w:rStyle w:val="Hyperlink"/>
                <w:noProof/>
              </w:rPr>
              <w:t>Treatment related adverse events (adverse drug reactions)</w:t>
            </w:r>
            <w:r w:rsidR="00546606">
              <w:rPr>
                <w:noProof/>
                <w:webHidden/>
              </w:rPr>
              <w:tab/>
            </w:r>
            <w:r w:rsidR="00546606">
              <w:rPr>
                <w:noProof/>
                <w:webHidden/>
              </w:rPr>
              <w:fldChar w:fldCharType="begin"/>
            </w:r>
            <w:r w:rsidR="00546606">
              <w:rPr>
                <w:noProof/>
                <w:webHidden/>
              </w:rPr>
              <w:instrText xml:space="preserve"> PAGEREF _Toc519670972 \h </w:instrText>
            </w:r>
            <w:r w:rsidR="00546606">
              <w:rPr>
                <w:noProof/>
                <w:webHidden/>
              </w:rPr>
            </w:r>
            <w:r w:rsidR="00546606">
              <w:rPr>
                <w:noProof/>
                <w:webHidden/>
              </w:rPr>
              <w:fldChar w:fldCharType="separate"/>
            </w:r>
            <w:r w:rsidR="00546606">
              <w:rPr>
                <w:noProof/>
                <w:webHidden/>
              </w:rPr>
              <w:t>98</w:t>
            </w:r>
            <w:r w:rsidR="00546606">
              <w:rPr>
                <w:noProof/>
                <w:webHidden/>
              </w:rPr>
              <w:fldChar w:fldCharType="end"/>
            </w:r>
          </w:hyperlink>
        </w:p>
        <w:p w14:paraId="4941A7A3"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3" w:history="1">
            <w:r w:rsidR="00546606" w:rsidRPr="00BF069D">
              <w:rPr>
                <w:rStyle w:val="Hyperlink"/>
                <w:noProof/>
              </w:rPr>
              <w:t>8.6.</w:t>
            </w:r>
            <w:r w:rsidR="00546606">
              <w:rPr>
                <w:rFonts w:asciiTheme="minorHAnsi" w:eastAsiaTheme="minorEastAsia" w:hAnsiTheme="minorHAnsi" w:cstheme="minorBidi"/>
                <w:noProof/>
                <w:lang w:eastAsia="en-AU"/>
              </w:rPr>
              <w:tab/>
            </w:r>
            <w:r w:rsidR="00546606" w:rsidRPr="00BF069D">
              <w:rPr>
                <w:rStyle w:val="Hyperlink"/>
                <w:noProof/>
              </w:rPr>
              <w:t>Deaths and other serious adverse events</w:t>
            </w:r>
            <w:r w:rsidR="00546606">
              <w:rPr>
                <w:noProof/>
                <w:webHidden/>
              </w:rPr>
              <w:tab/>
            </w:r>
            <w:r w:rsidR="00546606">
              <w:rPr>
                <w:noProof/>
                <w:webHidden/>
              </w:rPr>
              <w:fldChar w:fldCharType="begin"/>
            </w:r>
            <w:r w:rsidR="00546606">
              <w:rPr>
                <w:noProof/>
                <w:webHidden/>
              </w:rPr>
              <w:instrText xml:space="preserve"> PAGEREF _Toc519670973 \h </w:instrText>
            </w:r>
            <w:r w:rsidR="00546606">
              <w:rPr>
                <w:noProof/>
                <w:webHidden/>
              </w:rPr>
            </w:r>
            <w:r w:rsidR="00546606">
              <w:rPr>
                <w:noProof/>
                <w:webHidden/>
              </w:rPr>
              <w:fldChar w:fldCharType="separate"/>
            </w:r>
            <w:r w:rsidR="00546606">
              <w:rPr>
                <w:noProof/>
                <w:webHidden/>
              </w:rPr>
              <w:t>99</w:t>
            </w:r>
            <w:r w:rsidR="00546606">
              <w:rPr>
                <w:noProof/>
                <w:webHidden/>
              </w:rPr>
              <w:fldChar w:fldCharType="end"/>
            </w:r>
          </w:hyperlink>
        </w:p>
        <w:p w14:paraId="76C8FDD1"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4" w:history="1">
            <w:r w:rsidR="00546606" w:rsidRPr="00BF069D">
              <w:rPr>
                <w:rStyle w:val="Hyperlink"/>
                <w:noProof/>
              </w:rPr>
              <w:t>8.7.</w:t>
            </w:r>
            <w:r w:rsidR="00546606">
              <w:rPr>
                <w:rFonts w:asciiTheme="minorHAnsi" w:eastAsiaTheme="minorEastAsia" w:hAnsiTheme="minorHAnsi" w:cstheme="minorBidi"/>
                <w:noProof/>
                <w:lang w:eastAsia="en-AU"/>
              </w:rPr>
              <w:tab/>
            </w:r>
            <w:r w:rsidR="00546606" w:rsidRPr="00BF069D">
              <w:rPr>
                <w:rStyle w:val="Hyperlink"/>
                <w:noProof/>
              </w:rPr>
              <w:t>Discontinuations due to adverse events</w:t>
            </w:r>
            <w:r w:rsidR="00546606">
              <w:rPr>
                <w:noProof/>
                <w:webHidden/>
              </w:rPr>
              <w:tab/>
            </w:r>
            <w:r w:rsidR="00546606">
              <w:rPr>
                <w:noProof/>
                <w:webHidden/>
              </w:rPr>
              <w:fldChar w:fldCharType="begin"/>
            </w:r>
            <w:r w:rsidR="00546606">
              <w:rPr>
                <w:noProof/>
                <w:webHidden/>
              </w:rPr>
              <w:instrText xml:space="preserve"> PAGEREF _Toc519670974 \h </w:instrText>
            </w:r>
            <w:r w:rsidR="00546606">
              <w:rPr>
                <w:noProof/>
                <w:webHidden/>
              </w:rPr>
            </w:r>
            <w:r w:rsidR="00546606">
              <w:rPr>
                <w:noProof/>
                <w:webHidden/>
              </w:rPr>
              <w:fldChar w:fldCharType="separate"/>
            </w:r>
            <w:r w:rsidR="00546606">
              <w:rPr>
                <w:noProof/>
                <w:webHidden/>
              </w:rPr>
              <w:t>101</w:t>
            </w:r>
            <w:r w:rsidR="00546606">
              <w:rPr>
                <w:noProof/>
                <w:webHidden/>
              </w:rPr>
              <w:fldChar w:fldCharType="end"/>
            </w:r>
          </w:hyperlink>
        </w:p>
        <w:p w14:paraId="17BE2075"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5" w:history="1">
            <w:r w:rsidR="00546606" w:rsidRPr="00BF069D">
              <w:rPr>
                <w:rStyle w:val="Hyperlink"/>
                <w:noProof/>
              </w:rPr>
              <w:t>8.8.</w:t>
            </w:r>
            <w:r w:rsidR="00546606">
              <w:rPr>
                <w:rFonts w:asciiTheme="minorHAnsi" w:eastAsiaTheme="minorEastAsia" w:hAnsiTheme="minorHAnsi" w:cstheme="minorBidi"/>
                <w:noProof/>
                <w:lang w:eastAsia="en-AU"/>
              </w:rPr>
              <w:tab/>
            </w:r>
            <w:r w:rsidR="00546606" w:rsidRPr="00BF069D">
              <w:rPr>
                <w:rStyle w:val="Hyperlink"/>
                <w:noProof/>
              </w:rPr>
              <w:t>Evaluation of issues with possible regulatory impact</w:t>
            </w:r>
            <w:r w:rsidR="00546606">
              <w:rPr>
                <w:noProof/>
                <w:webHidden/>
              </w:rPr>
              <w:tab/>
            </w:r>
            <w:r w:rsidR="00546606">
              <w:rPr>
                <w:noProof/>
                <w:webHidden/>
              </w:rPr>
              <w:fldChar w:fldCharType="begin"/>
            </w:r>
            <w:r w:rsidR="00546606">
              <w:rPr>
                <w:noProof/>
                <w:webHidden/>
              </w:rPr>
              <w:instrText xml:space="preserve"> PAGEREF _Toc519670975 \h </w:instrText>
            </w:r>
            <w:r w:rsidR="00546606">
              <w:rPr>
                <w:noProof/>
                <w:webHidden/>
              </w:rPr>
            </w:r>
            <w:r w:rsidR="00546606">
              <w:rPr>
                <w:noProof/>
                <w:webHidden/>
              </w:rPr>
              <w:fldChar w:fldCharType="separate"/>
            </w:r>
            <w:r w:rsidR="00546606">
              <w:rPr>
                <w:noProof/>
                <w:webHidden/>
              </w:rPr>
              <w:t>101</w:t>
            </w:r>
            <w:r w:rsidR="00546606">
              <w:rPr>
                <w:noProof/>
                <w:webHidden/>
              </w:rPr>
              <w:fldChar w:fldCharType="end"/>
            </w:r>
          </w:hyperlink>
        </w:p>
        <w:p w14:paraId="73EFE0C6"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6" w:history="1">
            <w:r w:rsidR="00546606" w:rsidRPr="00BF069D">
              <w:rPr>
                <w:rStyle w:val="Hyperlink"/>
                <w:noProof/>
              </w:rPr>
              <w:t>8.9.</w:t>
            </w:r>
            <w:r w:rsidR="00546606">
              <w:rPr>
                <w:rFonts w:asciiTheme="minorHAnsi" w:eastAsiaTheme="minorEastAsia" w:hAnsiTheme="minorHAnsi" w:cstheme="minorBidi"/>
                <w:noProof/>
                <w:lang w:eastAsia="en-AU"/>
              </w:rPr>
              <w:tab/>
            </w:r>
            <w:r w:rsidR="00546606" w:rsidRPr="00BF069D">
              <w:rPr>
                <w:rStyle w:val="Hyperlink"/>
                <w:noProof/>
              </w:rPr>
              <w:t>Other safety issues</w:t>
            </w:r>
            <w:r w:rsidR="00546606">
              <w:rPr>
                <w:noProof/>
                <w:webHidden/>
              </w:rPr>
              <w:tab/>
            </w:r>
            <w:r w:rsidR="00546606">
              <w:rPr>
                <w:noProof/>
                <w:webHidden/>
              </w:rPr>
              <w:fldChar w:fldCharType="begin"/>
            </w:r>
            <w:r w:rsidR="00546606">
              <w:rPr>
                <w:noProof/>
                <w:webHidden/>
              </w:rPr>
              <w:instrText xml:space="preserve"> PAGEREF _Toc519670976 \h </w:instrText>
            </w:r>
            <w:r w:rsidR="00546606">
              <w:rPr>
                <w:noProof/>
                <w:webHidden/>
              </w:rPr>
            </w:r>
            <w:r w:rsidR="00546606">
              <w:rPr>
                <w:noProof/>
                <w:webHidden/>
              </w:rPr>
              <w:fldChar w:fldCharType="separate"/>
            </w:r>
            <w:r w:rsidR="00546606">
              <w:rPr>
                <w:noProof/>
                <w:webHidden/>
              </w:rPr>
              <w:t>111</w:t>
            </w:r>
            <w:r w:rsidR="00546606">
              <w:rPr>
                <w:noProof/>
                <w:webHidden/>
              </w:rPr>
              <w:fldChar w:fldCharType="end"/>
            </w:r>
          </w:hyperlink>
        </w:p>
        <w:p w14:paraId="548EF594"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7" w:history="1">
            <w:r w:rsidR="00546606" w:rsidRPr="00BF069D">
              <w:rPr>
                <w:rStyle w:val="Hyperlink"/>
                <w:noProof/>
              </w:rPr>
              <w:t>8.10.</w:t>
            </w:r>
            <w:r w:rsidR="00546606">
              <w:rPr>
                <w:rFonts w:asciiTheme="minorHAnsi" w:eastAsiaTheme="minorEastAsia" w:hAnsiTheme="minorHAnsi" w:cstheme="minorBidi"/>
                <w:noProof/>
                <w:lang w:eastAsia="en-AU"/>
              </w:rPr>
              <w:tab/>
            </w:r>
            <w:r w:rsidR="00546606" w:rsidRPr="00BF069D">
              <w:rPr>
                <w:rStyle w:val="Hyperlink"/>
                <w:noProof/>
              </w:rPr>
              <w:t>Post marketing experience</w:t>
            </w:r>
            <w:r w:rsidR="00546606">
              <w:rPr>
                <w:noProof/>
                <w:webHidden/>
              </w:rPr>
              <w:tab/>
            </w:r>
            <w:r w:rsidR="00546606">
              <w:rPr>
                <w:noProof/>
                <w:webHidden/>
              </w:rPr>
              <w:fldChar w:fldCharType="begin"/>
            </w:r>
            <w:r w:rsidR="00546606">
              <w:rPr>
                <w:noProof/>
                <w:webHidden/>
              </w:rPr>
              <w:instrText xml:space="preserve"> PAGEREF _Toc519670977 \h </w:instrText>
            </w:r>
            <w:r w:rsidR="00546606">
              <w:rPr>
                <w:noProof/>
                <w:webHidden/>
              </w:rPr>
            </w:r>
            <w:r w:rsidR="00546606">
              <w:rPr>
                <w:noProof/>
                <w:webHidden/>
              </w:rPr>
              <w:fldChar w:fldCharType="separate"/>
            </w:r>
            <w:r w:rsidR="00546606">
              <w:rPr>
                <w:noProof/>
                <w:webHidden/>
              </w:rPr>
              <w:t>112</w:t>
            </w:r>
            <w:r w:rsidR="00546606">
              <w:rPr>
                <w:noProof/>
                <w:webHidden/>
              </w:rPr>
              <w:fldChar w:fldCharType="end"/>
            </w:r>
          </w:hyperlink>
        </w:p>
        <w:p w14:paraId="0B700CF4"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78" w:history="1">
            <w:r w:rsidR="00546606" w:rsidRPr="00BF069D">
              <w:rPr>
                <w:rStyle w:val="Hyperlink"/>
                <w:noProof/>
              </w:rPr>
              <w:t>8.11.</w:t>
            </w:r>
            <w:r w:rsidR="00546606">
              <w:rPr>
                <w:rFonts w:asciiTheme="minorHAnsi" w:eastAsiaTheme="minorEastAsia" w:hAnsiTheme="minorHAnsi" w:cstheme="minorBidi"/>
                <w:noProof/>
                <w:lang w:eastAsia="en-AU"/>
              </w:rPr>
              <w:tab/>
            </w:r>
            <w:r w:rsidR="00546606" w:rsidRPr="00BF069D">
              <w:rPr>
                <w:rStyle w:val="Hyperlink"/>
                <w:noProof/>
              </w:rPr>
              <w:t>Evaluator’s overall conclusions on clinical safety</w:t>
            </w:r>
            <w:r w:rsidR="00546606">
              <w:rPr>
                <w:noProof/>
                <w:webHidden/>
              </w:rPr>
              <w:tab/>
            </w:r>
            <w:r w:rsidR="00546606">
              <w:rPr>
                <w:noProof/>
                <w:webHidden/>
              </w:rPr>
              <w:fldChar w:fldCharType="begin"/>
            </w:r>
            <w:r w:rsidR="00546606">
              <w:rPr>
                <w:noProof/>
                <w:webHidden/>
              </w:rPr>
              <w:instrText xml:space="preserve"> PAGEREF _Toc519670978 \h </w:instrText>
            </w:r>
            <w:r w:rsidR="00546606">
              <w:rPr>
                <w:noProof/>
                <w:webHidden/>
              </w:rPr>
            </w:r>
            <w:r w:rsidR="00546606">
              <w:rPr>
                <w:noProof/>
                <w:webHidden/>
              </w:rPr>
              <w:fldChar w:fldCharType="separate"/>
            </w:r>
            <w:r w:rsidR="00546606">
              <w:rPr>
                <w:noProof/>
                <w:webHidden/>
              </w:rPr>
              <w:t>113</w:t>
            </w:r>
            <w:r w:rsidR="00546606">
              <w:rPr>
                <w:noProof/>
                <w:webHidden/>
              </w:rPr>
              <w:fldChar w:fldCharType="end"/>
            </w:r>
          </w:hyperlink>
        </w:p>
        <w:p w14:paraId="64ADAC7A" w14:textId="77777777" w:rsidR="00546606" w:rsidRDefault="008611C8">
          <w:pPr>
            <w:pStyle w:val="TOC2"/>
            <w:tabs>
              <w:tab w:val="left" w:pos="1100"/>
            </w:tabs>
            <w:rPr>
              <w:rFonts w:asciiTheme="minorHAnsi" w:eastAsiaTheme="minorEastAsia" w:hAnsiTheme="minorHAnsi" w:cstheme="minorBidi"/>
              <w:b w:val="0"/>
              <w:noProof/>
              <w:sz w:val="22"/>
              <w:lang w:eastAsia="en-AU"/>
            </w:rPr>
          </w:pPr>
          <w:hyperlink w:anchor="_Toc519670979" w:history="1">
            <w:r w:rsidR="00546606" w:rsidRPr="00BF069D">
              <w:rPr>
                <w:rStyle w:val="Hyperlink"/>
                <w:noProof/>
              </w:rPr>
              <w:t>9.</w:t>
            </w:r>
            <w:r w:rsidR="00546606">
              <w:rPr>
                <w:rFonts w:asciiTheme="minorHAnsi" w:eastAsiaTheme="minorEastAsia" w:hAnsiTheme="minorHAnsi" w:cstheme="minorBidi"/>
                <w:b w:val="0"/>
                <w:noProof/>
                <w:sz w:val="22"/>
                <w:lang w:eastAsia="en-AU"/>
              </w:rPr>
              <w:tab/>
            </w:r>
            <w:r w:rsidR="00546606" w:rsidRPr="00BF069D">
              <w:rPr>
                <w:rStyle w:val="Hyperlink"/>
                <w:noProof/>
              </w:rPr>
              <w:t>First round benefit-risk assessment</w:t>
            </w:r>
            <w:r w:rsidR="00546606">
              <w:rPr>
                <w:noProof/>
                <w:webHidden/>
              </w:rPr>
              <w:tab/>
            </w:r>
            <w:r w:rsidR="00546606">
              <w:rPr>
                <w:noProof/>
                <w:webHidden/>
              </w:rPr>
              <w:fldChar w:fldCharType="begin"/>
            </w:r>
            <w:r w:rsidR="00546606">
              <w:rPr>
                <w:noProof/>
                <w:webHidden/>
              </w:rPr>
              <w:instrText xml:space="preserve"> PAGEREF _Toc519670979 \h </w:instrText>
            </w:r>
            <w:r w:rsidR="00546606">
              <w:rPr>
                <w:noProof/>
                <w:webHidden/>
              </w:rPr>
            </w:r>
            <w:r w:rsidR="00546606">
              <w:rPr>
                <w:noProof/>
                <w:webHidden/>
              </w:rPr>
              <w:fldChar w:fldCharType="separate"/>
            </w:r>
            <w:r w:rsidR="00546606">
              <w:rPr>
                <w:noProof/>
                <w:webHidden/>
              </w:rPr>
              <w:t>114</w:t>
            </w:r>
            <w:r w:rsidR="00546606">
              <w:rPr>
                <w:noProof/>
                <w:webHidden/>
              </w:rPr>
              <w:fldChar w:fldCharType="end"/>
            </w:r>
          </w:hyperlink>
        </w:p>
        <w:p w14:paraId="75BEBB3B"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80" w:history="1">
            <w:r w:rsidR="00546606" w:rsidRPr="00BF069D">
              <w:rPr>
                <w:rStyle w:val="Hyperlink"/>
                <w:noProof/>
              </w:rPr>
              <w:t>9.1.</w:t>
            </w:r>
            <w:r w:rsidR="00546606">
              <w:rPr>
                <w:rFonts w:asciiTheme="minorHAnsi" w:eastAsiaTheme="minorEastAsia" w:hAnsiTheme="minorHAnsi" w:cstheme="minorBidi"/>
                <w:noProof/>
                <w:lang w:eastAsia="en-AU"/>
              </w:rPr>
              <w:tab/>
            </w:r>
            <w:r w:rsidR="00546606" w:rsidRPr="00BF069D">
              <w:rPr>
                <w:rStyle w:val="Hyperlink"/>
                <w:noProof/>
              </w:rPr>
              <w:t>First round assessment of benefits</w:t>
            </w:r>
            <w:r w:rsidR="00546606">
              <w:rPr>
                <w:noProof/>
                <w:webHidden/>
              </w:rPr>
              <w:tab/>
            </w:r>
            <w:r w:rsidR="00546606">
              <w:rPr>
                <w:noProof/>
                <w:webHidden/>
              </w:rPr>
              <w:fldChar w:fldCharType="begin"/>
            </w:r>
            <w:r w:rsidR="00546606">
              <w:rPr>
                <w:noProof/>
                <w:webHidden/>
              </w:rPr>
              <w:instrText xml:space="preserve"> PAGEREF _Toc519670980 \h </w:instrText>
            </w:r>
            <w:r w:rsidR="00546606">
              <w:rPr>
                <w:noProof/>
                <w:webHidden/>
              </w:rPr>
            </w:r>
            <w:r w:rsidR="00546606">
              <w:rPr>
                <w:noProof/>
                <w:webHidden/>
              </w:rPr>
              <w:fldChar w:fldCharType="separate"/>
            </w:r>
            <w:r w:rsidR="00546606">
              <w:rPr>
                <w:noProof/>
                <w:webHidden/>
              </w:rPr>
              <w:t>114</w:t>
            </w:r>
            <w:r w:rsidR="00546606">
              <w:rPr>
                <w:noProof/>
                <w:webHidden/>
              </w:rPr>
              <w:fldChar w:fldCharType="end"/>
            </w:r>
          </w:hyperlink>
        </w:p>
        <w:p w14:paraId="3121AA64"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81" w:history="1">
            <w:r w:rsidR="00546606" w:rsidRPr="00BF069D">
              <w:rPr>
                <w:rStyle w:val="Hyperlink"/>
                <w:noProof/>
              </w:rPr>
              <w:t>9.2.</w:t>
            </w:r>
            <w:r w:rsidR="00546606">
              <w:rPr>
                <w:rFonts w:asciiTheme="minorHAnsi" w:eastAsiaTheme="minorEastAsia" w:hAnsiTheme="minorHAnsi" w:cstheme="minorBidi"/>
                <w:noProof/>
                <w:lang w:eastAsia="en-AU"/>
              </w:rPr>
              <w:tab/>
            </w:r>
            <w:r w:rsidR="00546606" w:rsidRPr="00BF069D">
              <w:rPr>
                <w:rStyle w:val="Hyperlink"/>
                <w:noProof/>
              </w:rPr>
              <w:t>First round assessment of risks</w:t>
            </w:r>
            <w:r w:rsidR="00546606">
              <w:rPr>
                <w:noProof/>
                <w:webHidden/>
              </w:rPr>
              <w:tab/>
            </w:r>
            <w:r w:rsidR="00546606">
              <w:rPr>
                <w:noProof/>
                <w:webHidden/>
              </w:rPr>
              <w:fldChar w:fldCharType="begin"/>
            </w:r>
            <w:r w:rsidR="00546606">
              <w:rPr>
                <w:noProof/>
                <w:webHidden/>
              </w:rPr>
              <w:instrText xml:space="preserve"> PAGEREF _Toc519670981 \h </w:instrText>
            </w:r>
            <w:r w:rsidR="00546606">
              <w:rPr>
                <w:noProof/>
                <w:webHidden/>
              </w:rPr>
            </w:r>
            <w:r w:rsidR="00546606">
              <w:rPr>
                <w:noProof/>
                <w:webHidden/>
              </w:rPr>
              <w:fldChar w:fldCharType="separate"/>
            </w:r>
            <w:r w:rsidR="00546606">
              <w:rPr>
                <w:noProof/>
                <w:webHidden/>
              </w:rPr>
              <w:t>114</w:t>
            </w:r>
            <w:r w:rsidR="00546606">
              <w:rPr>
                <w:noProof/>
                <w:webHidden/>
              </w:rPr>
              <w:fldChar w:fldCharType="end"/>
            </w:r>
          </w:hyperlink>
        </w:p>
        <w:p w14:paraId="73927DA4"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82" w:history="1">
            <w:r w:rsidR="00546606" w:rsidRPr="00BF069D">
              <w:rPr>
                <w:rStyle w:val="Hyperlink"/>
                <w:noProof/>
              </w:rPr>
              <w:t>9.3.</w:t>
            </w:r>
            <w:r w:rsidR="00546606">
              <w:rPr>
                <w:rFonts w:asciiTheme="minorHAnsi" w:eastAsiaTheme="minorEastAsia" w:hAnsiTheme="minorHAnsi" w:cstheme="minorBidi"/>
                <w:noProof/>
                <w:lang w:eastAsia="en-AU"/>
              </w:rPr>
              <w:tab/>
            </w:r>
            <w:r w:rsidR="00546606" w:rsidRPr="00BF069D">
              <w:rPr>
                <w:rStyle w:val="Hyperlink"/>
                <w:noProof/>
              </w:rPr>
              <w:t>First round assessment of benefit-risk balance</w:t>
            </w:r>
            <w:r w:rsidR="00546606">
              <w:rPr>
                <w:noProof/>
                <w:webHidden/>
              </w:rPr>
              <w:tab/>
            </w:r>
            <w:r w:rsidR="00546606">
              <w:rPr>
                <w:noProof/>
                <w:webHidden/>
              </w:rPr>
              <w:fldChar w:fldCharType="begin"/>
            </w:r>
            <w:r w:rsidR="00546606">
              <w:rPr>
                <w:noProof/>
                <w:webHidden/>
              </w:rPr>
              <w:instrText xml:space="preserve"> PAGEREF _Toc519670982 \h </w:instrText>
            </w:r>
            <w:r w:rsidR="00546606">
              <w:rPr>
                <w:noProof/>
                <w:webHidden/>
              </w:rPr>
            </w:r>
            <w:r w:rsidR="00546606">
              <w:rPr>
                <w:noProof/>
                <w:webHidden/>
              </w:rPr>
              <w:fldChar w:fldCharType="separate"/>
            </w:r>
            <w:r w:rsidR="00546606">
              <w:rPr>
                <w:noProof/>
                <w:webHidden/>
              </w:rPr>
              <w:t>115</w:t>
            </w:r>
            <w:r w:rsidR="00546606">
              <w:rPr>
                <w:noProof/>
                <w:webHidden/>
              </w:rPr>
              <w:fldChar w:fldCharType="end"/>
            </w:r>
          </w:hyperlink>
        </w:p>
        <w:p w14:paraId="55EAE913" w14:textId="77777777" w:rsidR="00546606" w:rsidRDefault="008611C8">
          <w:pPr>
            <w:pStyle w:val="TOC2"/>
            <w:tabs>
              <w:tab w:val="left" w:pos="1320"/>
            </w:tabs>
            <w:rPr>
              <w:rFonts w:asciiTheme="minorHAnsi" w:eastAsiaTheme="minorEastAsia" w:hAnsiTheme="minorHAnsi" w:cstheme="minorBidi"/>
              <w:b w:val="0"/>
              <w:noProof/>
              <w:sz w:val="22"/>
              <w:lang w:eastAsia="en-AU"/>
            </w:rPr>
          </w:pPr>
          <w:hyperlink w:anchor="_Toc519670983" w:history="1">
            <w:r w:rsidR="00546606" w:rsidRPr="00BF069D">
              <w:rPr>
                <w:rStyle w:val="Hyperlink"/>
                <w:noProof/>
              </w:rPr>
              <w:t>10.</w:t>
            </w:r>
            <w:r w:rsidR="00546606">
              <w:rPr>
                <w:rFonts w:asciiTheme="minorHAnsi" w:eastAsiaTheme="minorEastAsia" w:hAnsiTheme="minorHAnsi" w:cstheme="minorBidi"/>
                <w:b w:val="0"/>
                <w:noProof/>
                <w:sz w:val="22"/>
                <w:lang w:eastAsia="en-AU"/>
              </w:rPr>
              <w:tab/>
            </w:r>
            <w:r w:rsidR="00546606" w:rsidRPr="00BF069D">
              <w:rPr>
                <w:rStyle w:val="Hyperlink"/>
                <w:noProof/>
              </w:rPr>
              <w:t>First round recommendation regarding authorisation</w:t>
            </w:r>
            <w:r w:rsidR="00546606">
              <w:rPr>
                <w:noProof/>
                <w:webHidden/>
              </w:rPr>
              <w:tab/>
            </w:r>
            <w:r w:rsidR="00546606">
              <w:rPr>
                <w:noProof/>
                <w:webHidden/>
              </w:rPr>
              <w:fldChar w:fldCharType="begin"/>
            </w:r>
            <w:r w:rsidR="00546606">
              <w:rPr>
                <w:noProof/>
                <w:webHidden/>
              </w:rPr>
              <w:instrText xml:space="preserve"> PAGEREF _Toc519670983 \h </w:instrText>
            </w:r>
            <w:r w:rsidR="00546606">
              <w:rPr>
                <w:noProof/>
                <w:webHidden/>
              </w:rPr>
            </w:r>
            <w:r w:rsidR="00546606">
              <w:rPr>
                <w:noProof/>
                <w:webHidden/>
              </w:rPr>
              <w:fldChar w:fldCharType="separate"/>
            </w:r>
            <w:r w:rsidR="00546606">
              <w:rPr>
                <w:noProof/>
                <w:webHidden/>
              </w:rPr>
              <w:t>117</w:t>
            </w:r>
            <w:r w:rsidR="00546606">
              <w:rPr>
                <w:noProof/>
                <w:webHidden/>
              </w:rPr>
              <w:fldChar w:fldCharType="end"/>
            </w:r>
          </w:hyperlink>
        </w:p>
        <w:p w14:paraId="2FFC5858" w14:textId="77777777" w:rsidR="00546606" w:rsidRDefault="008611C8">
          <w:pPr>
            <w:pStyle w:val="TOC2"/>
            <w:tabs>
              <w:tab w:val="left" w:pos="1320"/>
            </w:tabs>
            <w:rPr>
              <w:rFonts w:asciiTheme="minorHAnsi" w:eastAsiaTheme="minorEastAsia" w:hAnsiTheme="minorHAnsi" w:cstheme="minorBidi"/>
              <w:b w:val="0"/>
              <w:noProof/>
              <w:sz w:val="22"/>
              <w:lang w:eastAsia="en-AU"/>
            </w:rPr>
          </w:pPr>
          <w:hyperlink w:anchor="_Toc519670984" w:history="1">
            <w:r w:rsidR="00546606" w:rsidRPr="00BF069D">
              <w:rPr>
                <w:rStyle w:val="Hyperlink"/>
                <w:noProof/>
              </w:rPr>
              <w:t>11.</w:t>
            </w:r>
            <w:r w:rsidR="00546606">
              <w:rPr>
                <w:rFonts w:asciiTheme="minorHAnsi" w:eastAsiaTheme="minorEastAsia" w:hAnsiTheme="minorHAnsi" w:cstheme="minorBidi"/>
                <w:b w:val="0"/>
                <w:noProof/>
                <w:sz w:val="22"/>
                <w:lang w:eastAsia="en-AU"/>
              </w:rPr>
              <w:tab/>
            </w:r>
            <w:r w:rsidR="00546606" w:rsidRPr="00BF069D">
              <w:rPr>
                <w:rStyle w:val="Hyperlink"/>
                <w:noProof/>
              </w:rPr>
              <w:t>Clinical questions</w:t>
            </w:r>
            <w:r w:rsidR="00546606">
              <w:rPr>
                <w:noProof/>
                <w:webHidden/>
              </w:rPr>
              <w:tab/>
            </w:r>
            <w:r w:rsidR="00546606">
              <w:rPr>
                <w:noProof/>
                <w:webHidden/>
              </w:rPr>
              <w:fldChar w:fldCharType="begin"/>
            </w:r>
            <w:r w:rsidR="00546606">
              <w:rPr>
                <w:noProof/>
                <w:webHidden/>
              </w:rPr>
              <w:instrText xml:space="preserve"> PAGEREF _Toc519670984 \h </w:instrText>
            </w:r>
            <w:r w:rsidR="00546606">
              <w:rPr>
                <w:noProof/>
                <w:webHidden/>
              </w:rPr>
            </w:r>
            <w:r w:rsidR="00546606">
              <w:rPr>
                <w:noProof/>
                <w:webHidden/>
              </w:rPr>
              <w:fldChar w:fldCharType="separate"/>
            </w:r>
            <w:r w:rsidR="00546606">
              <w:rPr>
                <w:noProof/>
                <w:webHidden/>
              </w:rPr>
              <w:t>117</w:t>
            </w:r>
            <w:r w:rsidR="00546606">
              <w:rPr>
                <w:noProof/>
                <w:webHidden/>
              </w:rPr>
              <w:fldChar w:fldCharType="end"/>
            </w:r>
          </w:hyperlink>
        </w:p>
        <w:p w14:paraId="7ED5E4A8"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85" w:history="1">
            <w:r w:rsidR="00546606" w:rsidRPr="00BF069D">
              <w:rPr>
                <w:rStyle w:val="Hyperlink"/>
                <w:noProof/>
              </w:rPr>
              <w:t>11.1.</w:t>
            </w:r>
            <w:r w:rsidR="00546606">
              <w:rPr>
                <w:rFonts w:asciiTheme="minorHAnsi" w:eastAsiaTheme="minorEastAsia" w:hAnsiTheme="minorHAnsi" w:cstheme="minorBidi"/>
                <w:noProof/>
                <w:lang w:eastAsia="en-AU"/>
              </w:rPr>
              <w:tab/>
            </w:r>
            <w:r w:rsidR="00546606" w:rsidRPr="00BF069D">
              <w:rPr>
                <w:rStyle w:val="Hyperlink"/>
                <w:noProof/>
              </w:rPr>
              <w:t>Clinical questions</w:t>
            </w:r>
            <w:r w:rsidR="00546606">
              <w:rPr>
                <w:noProof/>
                <w:webHidden/>
              </w:rPr>
              <w:tab/>
            </w:r>
            <w:r w:rsidR="00546606">
              <w:rPr>
                <w:noProof/>
                <w:webHidden/>
              </w:rPr>
              <w:fldChar w:fldCharType="begin"/>
            </w:r>
            <w:r w:rsidR="00546606">
              <w:rPr>
                <w:noProof/>
                <w:webHidden/>
              </w:rPr>
              <w:instrText xml:space="preserve"> PAGEREF _Toc519670985 \h </w:instrText>
            </w:r>
            <w:r w:rsidR="00546606">
              <w:rPr>
                <w:noProof/>
                <w:webHidden/>
              </w:rPr>
            </w:r>
            <w:r w:rsidR="00546606">
              <w:rPr>
                <w:noProof/>
                <w:webHidden/>
              </w:rPr>
              <w:fldChar w:fldCharType="separate"/>
            </w:r>
            <w:r w:rsidR="00546606">
              <w:rPr>
                <w:noProof/>
                <w:webHidden/>
              </w:rPr>
              <w:t>117</w:t>
            </w:r>
            <w:r w:rsidR="00546606">
              <w:rPr>
                <w:noProof/>
                <w:webHidden/>
              </w:rPr>
              <w:fldChar w:fldCharType="end"/>
            </w:r>
          </w:hyperlink>
        </w:p>
        <w:p w14:paraId="6EB2062D"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86" w:history="1">
            <w:r w:rsidR="00546606" w:rsidRPr="00BF069D">
              <w:rPr>
                <w:rStyle w:val="Hyperlink"/>
                <w:noProof/>
              </w:rPr>
              <w:t>11.2.</w:t>
            </w:r>
            <w:r w:rsidR="00546606">
              <w:rPr>
                <w:rFonts w:asciiTheme="minorHAnsi" w:eastAsiaTheme="minorEastAsia" w:hAnsiTheme="minorHAnsi" w:cstheme="minorBidi"/>
                <w:noProof/>
                <w:lang w:eastAsia="en-AU"/>
              </w:rPr>
              <w:tab/>
            </w:r>
            <w:r w:rsidR="00546606" w:rsidRPr="00BF069D">
              <w:rPr>
                <w:rStyle w:val="Hyperlink"/>
                <w:noProof/>
              </w:rPr>
              <w:t>Pharmacokinetics</w:t>
            </w:r>
            <w:r w:rsidR="00546606">
              <w:rPr>
                <w:noProof/>
                <w:webHidden/>
              </w:rPr>
              <w:tab/>
            </w:r>
            <w:r w:rsidR="00546606">
              <w:rPr>
                <w:noProof/>
                <w:webHidden/>
              </w:rPr>
              <w:fldChar w:fldCharType="begin"/>
            </w:r>
            <w:r w:rsidR="00546606">
              <w:rPr>
                <w:noProof/>
                <w:webHidden/>
              </w:rPr>
              <w:instrText xml:space="preserve"> PAGEREF _Toc519670986 \h </w:instrText>
            </w:r>
            <w:r w:rsidR="00546606">
              <w:rPr>
                <w:noProof/>
                <w:webHidden/>
              </w:rPr>
            </w:r>
            <w:r w:rsidR="00546606">
              <w:rPr>
                <w:noProof/>
                <w:webHidden/>
              </w:rPr>
              <w:fldChar w:fldCharType="separate"/>
            </w:r>
            <w:r w:rsidR="00546606">
              <w:rPr>
                <w:noProof/>
                <w:webHidden/>
              </w:rPr>
              <w:t>117</w:t>
            </w:r>
            <w:r w:rsidR="00546606">
              <w:rPr>
                <w:noProof/>
                <w:webHidden/>
              </w:rPr>
              <w:fldChar w:fldCharType="end"/>
            </w:r>
          </w:hyperlink>
        </w:p>
        <w:p w14:paraId="3EA3E402"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87" w:history="1">
            <w:r w:rsidR="00546606" w:rsidRPr="00BF069D">
              <w:rPr>
                <w:rStyle w:val="Hyperlink"/>
                <w:noProof/>
              </w:rPr>
              <w:t>11.3.</w:t>
            </w:r>
            <w:r w:rsidR="00546606">
              <w:rPr>
                <w:rFonts w:asciiTheme="minorHAnsi" w:eastAsiaTheme="minorEastAsia" w:hAnsiTheme="minorHAnsi" w:cstheme="minorBidi"/>
                <w:noProof/>
                <w:lang w:eastAsia="en-AU"/>
              </w:rPr>
              <w:tab/>
            </w:r>
            <w:r w:rsidR="00546606" w:rsidRPr="00BF069D">
              <w:rPr>
                <w:rStyle w:val="Hyperlink"/>
                <w:noProof/>
              </w:rPr>
              <w:t>Pharmacodynamics</w:t>
            </w:r>
            <w:r w:rsidR="00546606">
              <w:rPr>
                <w:noProof/>
                <w:webHidden/>
              </w:rPr>
              <w:tab/>
            </w:r>
            <w:r w:rsidR="00546606">
              <w:rPr>
                <w:noProof/>
                <w:webHidden/>
              </w:rPr>
              <w:fldChar w:fldCharType="begin"/>
            </w:r>
            <w:r w:rsidR="00546606">
              <w:rPr>
                <w:noProof/>
                <w:webHidden/>
              </w:rPr>
              <w:instrText xml:space="preserve"> PAGEREF _Toc519670987 \h </w:instrText>
            </w:r>
            <w:r w:rsidR="00546606">
              <w:rPr>
                <w:noProof/>
                <w:webHidden/>
              </w:rPr>
            </w:r>
            <w:r w:rsidR="00546606">
              <w:rPr>
                <w:noProof/>
                <w:webHidden/>
              </w:rPr>
              <w:fldChar w:fldCharType="separate"/>
            </w:r>
            <w:r w:rsidR="00546606">
              <w:rPr>
                <w:noProof/>
                <w:webHidden/>
              </w:rPr>
              <w:t>118</w:t>
            </w:r>
            <w:r w:rsidR="00546606">
              <w:rPr>
                <w:noProof/>
                <w:webHidden/>
              </w:rPr>
              <w:fldChar w:fldCharType="end"/>
            </w:r>
          </w:hyperlink>
        </w:p>
        <w:p w14:paraId="306EFDB7"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88" w:history="1">
            <w:r w:rsidR="00546606" w:rsidRPr="00BF069D">
              <w:rPr>
                <w:rStyle w:val="Hyperlink"/>
                <w:noProof/>
              </w:rPr>
              <w:t>11.4.</w:t>
            </w:r>
            <w:r w:rsidR="00546606">
              <w:rPr>
                <w:rFonts w:asciiTheme="minorHAnsi" w:eastAsiaTheme="minorEastAsia" w:hAnsiTheme="minorHAnsi" w:cstheme="minorBidi"/>
                <w:noProof/>
                <w:lang w:eastAsia="en-AU"/>
              </w:rPr>
              <w:tab/>
            </w:r>
            <w:r w:rsidR="00546606" w:rsidRPr="00BF069D">
              <w:rPr>
                <w:rStyle w:val="Hyperlink"/>
                <w:noProof/>
              </w:rPr>
              <w:t>Efficacy</w:t>
            </w:r>
            <w:r w:rsidR="00546606">
              <w:rPr>
                <w:noProof/>
                <w:webHidden/>
              </w:rPr>
              <w:tab/>
            </w:r>
            <w:r w:rsidR="00546606">
              <w:rPr>
                <w:noProof/>
                <w:webHidden/>
              </w:rPr>
              <w:fldChar w:fldCharType="begin"/>
            </w:r>
            <w:r w:rsidR="00546606">
              <w:rPr>
                <w:noProof/>
                <w:webHidden/>
              </w:rPr>
              <w:instrText xml:space="preserve"> PAGEREF _Toc519670988 \h </w:instrText>
            </w:r>
            <w:r w:rsidR="00546606">
              <w:rPr>
                <w:noProof/>
                <w:webHidden/>
              </w:rPr>
            </w:r>
            <w:r w:rsidR="00546606">
              <w:rPr>
                <w:noProof/>
                <w:webHidden/>
              </w:rPr>
              <w:fldChar w:fldCharType="separate"/>
            </w:r>
            <w:r w:rsidR="00546606">
              <w:rPr>
                <w:noProof/>
                <w:webHidden/>
              </w:rPr>
              <w:t>118</w:t>
            </w:r>
            <w:r w:rsidR="00546606">
              <w:rPr>
                <w:noProof/>
                <w:webHidden/>
              </w:rPr>
              <w:fldChar w:fldCharType="end"/>
            </w:r>
          </w:hyperlink>
        </w:p>
        <w:p w14:paraId="2D0818EB"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89" w:history="1">
            <w:r w:rsidR="00546606" w:rsidRPr="00BF069D">
              <w:rPr>
                <w:rStyle w:val="Hyperlink"/>
                <w:noProof/>
              </w:rPr>
              <w:t>11.5.</w:t>
            </w:r>
            <w:r w:rsidR="00546606">
              <w:rPr>
                <w:rFonts w:asciiTheme="minorHAnsi" w:eastAsiaTheme="minorEastAsia" w:hAnsiTheme="minorHAnsi" w:cstheme="minorBidi"/>
                <w:noProof/>
                <w:lang w:eastAsia="en-AU"/>
              </w:rPr>
              <w:tab/>
            </w:r>
            <w:r w:rsidR="00546606" w:rsidRPr="00BF069D">
              <w:rPr>
                <w:rStyle w:val="Hyperlink"/>
                <w:noProof/>
              </w:rPr>
              <w:t>Safety</w:t>
            </w:r>
            <w:r w:rsidR="00546606">
              <w:rPr>
                <w:noProof/>
                <w:webHidden/>
              </w:rPr>
              <w:tab/>
            </w:r>
            <w:r w:rsidR="00546606">
              <w:rPr>
                <w:noProof/>
                <w:webHidden/>
              </w:rPr>
              <w:fldChar w:fldCharType="begin"/>
            </w:r>
            <w:r w:rsidR="00546606">
              <w:rPr>
                <w:noProof/>
                <w:webHidden/>
              </w:rPr>
              <w:instrText xml:space="preserve"> PAGEREF _Toc519670989 \h </w:instrText>
            </w:r>
            <w:r w:rsidR="00546606">
              <w:rPr>
                <w:noProof/>
                <w:webHidden/>
              </w:rPr>
            </w:r>
            <w:r w:rsidR="00546606">
              <w:rPr>
                <w:noProof/>
                <w:webHidden/>
              </w:rPr>
              <w:fldChar w:fldCharType="separate"/>
            </w:r>
            <w:r w:rsidR="00546606">
              <w:rPr>
                <w:noProof/>
                <w:webHidden/>
              </w:rPr>
              <w:t>118</w:t>
            </w:r>
            <w:r w:rsidR="00546606">
              <w:rPr>
                <w:noProof/>
                <w:webHidden/>
              </w:rPr>
              <w:fldChar w:fldCharType="end"/>
            </w:r>
          </w:hyperlink>
        </w:p>
        <w:p w14:paraId="2AB0B522" w14:textId="77777777" w:rsidR="00546606" w:rsidRDefault="008611C8">
          <w:pPr>
            <w:pStyle w:val="TOC2"/>
            <w:tabs>
              <w:tab w:val="left" w:pos="1320"/>
            </w:tabs>
            <w:rPr>
              <w:rFonts w:asciiTheme="minorHAnsi" w:eastAsiaTheme="minorEastAsia" w:hAnsiTheme="minorHAnsi" w:cstheme="minorBidi"/>
              <w:b w:val="0"/>
              <w:noProof/>
              <w:sz w:val="22"/>
              <w:lang w:eastAsia="en-AU"/>
            </w:rPr>
          </w:pPr>
          <w:hyperlink w:anchor="_Toc519670990" w:history="1">
            <w:r w:rsidR="00546606" w:rsidRPr="00BF069D">
              <w:rPr>
                <w:rStyle w:val="Hyperlink"/>
                <w:noProof/>
              </w:rPr>
              <w:t>12.</w:t>
            </w:r>
            <w:r w:rsidR="00546606">
              <w:rPr>
                <w:rFonts w:asciiTheme="minorHAnsi" w:eastAsiaTheme="minorEastAsia" w:hAnsiTheme="minorHAnsi" w:cstheme="minorBidi"/>
                <w:b w:val="0"/>
                <w:noProof/>
                <w:sz w:val="22"/>
                <w:lang w:eastAsia="en-AU"/>
              </w:rPr>
              <w:tab/>
            </w:r>
            <w:r w:rsidR="00546606" w:rsidRPr="00BF069D">
              <w:rPr>
                <w:rStyle w:val="Hyperlink"/>
                <w:noProof/>
              </w:rPr>
              <w:t>Second round evaluation of clinical data submitted in response to questions</w:t>
            </w:r>
            <w:r w:rsidR="00546606">
              <w:rPr>
                <w:noProof/>
                <w:webHidden/>
              </w:rPr>
              <w:tab/>
            </w:r>
            <w:r w:rsidR="00546606">
              <w:rPr>
                <w:noProof/>
                <w:webHidden/>
              </w:rPr>
              <w:fldChar w:fldCharType="begin"/>
            </w:r>
            <w:r w:rsidR="00546606">
              <w:rPr>
                <w:noProof/>
                <w:webHidden/>
              </w:rPr>
              <w:instrText xml:space="preserve"> PAGEREF _Toc519670990 \h </w:instrText>
            </w:r>
            <w:r w:rsidR="00546606">
              <w:rPr>
                <w:noProof/>
                <w:webHidden/>
              </w:rPr>
            </w:r>
            <w:r w:rsidR="00546606">
              <w:rPr>
                <w:noProof/>
                <w:webHidden/>
              </w:rPr>
              <w:fldChar w:fldCharType="separate"/>
            </w:r>
            <w:r w:rsidR="00546606">
              <w:rPr>
                <w:noProof/>
                <w:webHidden/>
              </w:rPr>
              <w:t>118</w:t>
            </w:r>
            <w:r w:rsidR="00546606">
              <w:rPr>
                <w:noProof/>
                <w:webHidden/>
              </w:rPr>
              <w:fldChar w:fldCharType="end"/>
            </w:r>
          </w:hyperlink>
        </w:p>
        <w:p w14:paraId="582190F2" w14:textId="77777777" w:rsidR="00546606" w:rsidRDefault="008611C8">
          <w:pPr>
            <w:pStyle w:val="TOC2"/>
            <w:tabs>
              <w:tab w:val="left" w:pos="1320"/>
            </w:tabs>
            <w:rPr>
              <w:rFonts w:asciiTheme="minorHAnsi" w:eastAsiaTheme="minorEastAsia" w:hAnsiTheme="minorHAnsi" w:cstheme="minorBidi"/>
              <w:b w:val="0"/>
              <w:noProof/>
              <w:sz w:val="22"/>
              <w:lang w:eastAsia="en-AU"/>
            </w:rPr>
          </w:pPr>
          <w:hyperlink w:anchor="_Toc519670991" w:history="1">
            <w:r w:rsidR="00546606" w:rsidRPr="00BF069D">
              <w:rPr>
                <w:rStyle w:val="Hyperlink"/>
                <w:noProof/>
              </w:rPr>
              <w:t>13.</w:t>
            </w:r>
            <w:r w:rsidR="00546606">
              <w:rPr>
                <w:rFonts w:asciiTheme="minorHAnsi" w:eastAsiaTheme="minorEastAsia" w:hAnsiTheme="minorHAnsi" w:cstheme="minorBidi"/>
                <w:b w:val="0"/>
                <w:noProof/>
                <w:sz w:val="22"/>
                <w:lang w:eastAsia="en-AU"/>
              </w:rPr>
              <w:tab/>
            </w:r>
            <w:r w:rsidR="00546606" w:rsidRPr="00BF069D">
              <w:rPr>
                <w:rStyle w:val="Hyperlink"/>
                <w:noProof/>
              </w:rPr>
              <w:t>Second round benefit-risk assessment</w:t>
            </w:r>
            <w:r w:rsidR="00546606">
              <w:rPr>
                <w:noProof/>
                <w:webHidden/>
              </w:rPr>
              <w:tab/>
            </w:r>
            <w:r w:rsidR="00546606">
              <w:rPr>
                <w:noProof/>
                <w:webHidden/>
              </w:rPr>
              <w:fldChar w:fldCharType="begin"/>
            </w:r>
            <w:r w:rsidR="00546606">
              <w:rPr>
                <w:noProof/>
                <w:webHidden/>
              </w:rPr>
              <w:instrText xml:space="preserve"> PAGEREF _Toc519670991 \h </w:instrText>
            </w:r>
            <w:r w:rsidR="00546606">
              <w:rPr>
                <w:noProof/>
                <w:webHidden/>
              </w:rPr>
            </w:r>
            <w:r w:rsidR="00546606">
              <w:rPr>
                <w:noProof/>
                <w:webHidden/>
              </w:rPr>
              <w:fldChar w:fldCharType="separate"/>
            </w:r>
            <w:r w:rsidR="00546606">
              <w:rPr>
                <w:noProof/>
                <w:webHidden/>
              </w:rPr>
              <w:t>118</w:t>
            </w:r>
            <w:r w:rsidR="00546606">
              <w:rPr>
                <w:noProof/>
                <w:webHidden/>
              </w:rPr>
              <w:fldChar w:fldCharType="end"/>
            </w:r>
          </w:hyperlink>
        </w:p>
        <w:p w14:paraId="1AC28B94"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92" w:history="1">
            <w:r w:rsidR="00546606" w:rsidRPr="00BF069D">
              <w:rPr>
                <w:rStyle w:val="Hyperlink"/>
                <w:noProof/>
              </w:rPr>
              <w:t>13.1.</w:t>
            </w:r>
            <w:r w:rsidR="00546606">
              <w:rPr>
                <w:rFonts w:asciiTheme="minorHAnsi" w:eastAsiaTheme="minorEastAsia" w:hAnsiTheme="minorHAnsi" w:cstheme="minorBidi"/>
                <w:noProof/>
                <w:lang w:eastAsia="en-AU"/>
              </w:rPr>
              <w:tab/>
            </w:r>
            <w:r w:rsidR="00546606" w:rsidRPr="00BF069D">
              <w:rPr>
                <w:rStyle w:val="Hyperlink"/>
                <w:noProof/>
              </w:rPr>
              <w:t>Second round assessment of benefits</w:t>
            </w:r>
            <w:r w:rsidR="00546606">
              <w:rPr>
                <w:noProof/>
                <w:webHidden/>
              </w:rPr>
              <w:tab/>
            </w:r>
            <w:r w:rsidR="00546606">
              <w:rPr>
                <w:noProof/>
                <w:webHidden/>
              </w:rPr>
              <w:fldChar w:fldCharType="begin"/>
            </w:r>
            <w:r w:rsidR="00546606">
              <w:rPr>
                <w:noProof/>
                <w:webHidden/>
              </w:rPr>
              <w:instrText xml:space="preserve"> PAGEREF _Toc519670992 \h </w:instrText>
            </w:r>
            <w:r w:rsidR="00546606">
              <w:rPr>
                <w:noProof/>
                <w:webHidden/>
              </w:rPr>
            </w:r>
            <w:r w:rsidR="00546606">
              <w:rPr>
                <w:noProof/>
                <w:webHidden/>
              </w:rPr>
              <w:fldChar w:fldCharType="separate"/>
            </w:r>
            <w:r w:rsidR="00546606">
              <w:rPr>
                <w:noProof/>
                <w:webHidden/>
              </w:rPr>
              <w:t>118</w:t>
            </w:r>
            <w:r w:rsidR="00546606">
              <w:rPr>
                <w:noProof/>
                <w:webHidden/>
              </w:rPr>
              <w:fldChar w:fldCharType="end"/>
            </w:r>
          </w:hyperlink>
        </w:p>
        <w:p w14:paraId="34716351"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93" w:history="1">
            <w:r w:rsidR="00546606" w:rsidRPr="00BF069D">
              <w:rPr>
                <w:rStyle w:val="Hyperlink"/>
                <w:noProof/>
              </w:rPr>
              <w:t>13.2.</w:t>
            </w:r>
            <w:r w:rsidR="00546606">
              <w:rPr>
                <w:rFonts w:asciiTheme="minorHAnsi" w:eastAsiaTheme="minorEastAsia" w:hAnsiTheme="minorHAnsi" w:cstheme="minorBidi"/>
                <w:noProof/>
                <w:lang w:eastAsia="en-AU"/>
              </w:rPr>
              <w:tab/>
            </w:r>
            <w:r w:rsidR="00546606" w:rsidRPr="00BF069D">
              <w:rPr>
                <w:rStyle w:val="Hyperlink"/>
                <w:noProof/>
              </w:rPr>
              <w:t>Second round assessment of risks</w:t>
            </w:r>
            <w:r w:rsidR="00546606">
              <w:rPr>
                <w:noProof/>
                <w:webHidden/>
              </w:rPr>
              <w:tab/>
            </w:r>
            <w:r w:rsidR="00546606">
              <w:rPr>
                <w:noProof/>
                <w:webHidden/>
              </w:rPr>
              <w:fldChar w:fldCharType="begin"/>
            </w:r>
            <w:r w:rsidR="00546606">
              <w:rPr>
                <w:noProof/>
                <w:webHidden/>
              </w:rPr>
              <w:instrText xml:space="preserve"> PAGEREF _Toc519670993 \h </w:instrText>
            </w:r>
            <w:r w:rsidR="00546606">
              <w:rPr>
                <w:noProof/>
                <w:webHidden/>
              </w:rPr>
            </w:r>
            <w:r w:rsidR="00546606">
              <w:rPr>
                <w:noProof/>
                <w:webHidden/>
              </w:rPr>
              <w:fldChar w:fldCharType="separate"/>
            </w:r>
            <w:r w:rsidR="00546606">
              <w:rPr>
                <w:noProof/>
                <w:webHidden/>
              </w:rPr>
              <w:t>119</w:t>
            </w:r>
            <w:r w:rsidR="00546606">
              <w:rPr>
                <w:noProof/>
                <w:webHidden/>
              </w:rPr>
              <w:fldChar w:fldCharType="end"/>
            </w:r>
          </w:hyperlink>
        </w:p>
        <w:p w14:paraId="7CFBD6E4" w14:textId="77777777" w:rsidR="00546606" w:rsidRDefault="008611C8">
          <w:pPr>
            <w:pStyle w:val="TOC3"/>
            <w:tabs>
              <w:tab w:val="left" w:pos="1760"/>
            </w:tabs>
            <w:rPr>
              <w:rFonts w:asciiTheme="minorHAnsi" w:eastAsiaTheme="minorEastAsia" w:hAnsiTheme="minorHAnsi" w:cstheme="minorBidi"/>
              <w:noProof/>
              <w:lang w:eastAsia="en-AU"/>
            </w:rPr>
          </w:pPr>
          <w:hyperlink w:anchor="_Toc519670994" w:history="1">
            <w:r w:rsidR="00546606" w:rsidRPr="00BF069D">
              <w:rPr>
                <w:rStyle w:val="Hyperlink"/>
                <w:noProof/>
              </w:rPr>
              <w:t>13.3.</w:t>
            </w:r>
            <w:r w:rsidR="00546606">
              <w:rPr>
                <w:rFonts w:asciiTheme="minorHAnsi" w:eastAsiaTheme="minorEastAsia" w:hAnsiTheme="minorHAnsi" w:cstheme="minorBidi"/>
                <w:noProof/>
                <w:lang w:eastAsia="en-AU"/>
              </w:rPr>
              <w:tab/>
            </w:r>
            <w:r w:rsidR="00546606" w:rsidRPr="00BF069D">
              <w:rPr>
                <w:rStyle w:val="Hyperlink"/>
                <w:noProof/>
              </w:rPr>
              <w:t>Second round assessment of benefit-risk balance</w:t>
            </w:r>
            <w:r w:rsidR="00546606">
              <w:rPr>
                <w:noProof/>
                <w:webHidden/>
              </w:rPr>
              <w:tab/>
            </w:r>
            <w:r w:rsidR="00546606">
              <w:rPr>
                <w:noProof/>
                <w:webHidden/>
              </w:rPr>
              <w:fldChar w:fldCharType="begin"/>
            </w:r>
            <w:r w:rsidR="00546606">
              <w:rPr>
                <w:noProof/>
                <w:webHidden/>
              </w:rPr>
              <w:instrText xml:space="preserve"> PAGEREF _Toc519670994 \h </w:instrText>
            </w:r>
            <w:r w:rsidR="00546606">
              <w:rPr>
                <w:noProof/>
                <w:webHidden/>
              </w:rPr>
            </w:r>
            <w:r w:rsidR="00546606">
              <w:rPr>
                <w:noProof/>
                <w:webHidden/>
              </w:rPr>
              <w:fldChar w:fldCharType="separate"/>
            </w:r>
            <w:r w:rsidR="00546606">
              <w:rPr>
                <w:noProof/>
                <w:webHidden/>
              </w:rPr>
              <w:t>119</w:t>
            </w:r>
            <w:r w:rsidR="00546606">
              <w:rPr>
                <w:noProof/>
                <w:webHidden/>
              </w:rPr>
              <w:fldChar w:fldCharType="end"/>
            </w:r>
          </w:hyperlink>
        </w:p>
        <w:p w14:paraId="646FD912" w14:textId="77777777" w:rsidR="00546606" w:rsidRDefault="008611C8">
          <w:pPr>
            <w:pStyle w:val="TOC2"/>
            <w:tabs>
              <w:tab w:val="left" w:pos="1320"/>
            </w:tabs>
            <w:rPr>
              <w:rFonts w:asciiTheme="minorHAnsi" w:eastAsiaTheme="minorEastAsia" w:hAnsiTheme="minorHAnsi" w:cstheme="minorBidi"/>
              <w:b w:val="0"/>
              <w:noProof/>
              <w:sz w:val="22"/>
              <w:lang w:eastAsia="en-AU"/>
            </w:rPr>
          </w:pPr>
          <w:hyperlink w:anchor="_Toc519670995" w:history="1">
            <w:r w:rsidR="00546606" w:rsidRPr="00BF069D">
              <w:rPr>
                <w:rStyle w:val="Hyperlink"/>
                <w:noProof/>
              </w:rPr>
              <w:t>14.</w:t>
            </w:r>
            <w:r w:rsidR="00546606">
              <w:rPr>
                <w:rFonts w:asciiTheme="minorHAnsi" w:eastAsiaTheme="minorEastAsia" w:hAnsiTheme="minorHAnsi" w:cstheme="minorBidi"/>
                <w:b w:val="0"/>
                <w:noProof/>
                <w:sz w:val="22"/>
                <w:lang w:eastAsia="en-AU"/>
              </w:rPr>
              <w:tab/>
            </w:r>
            <w:r w:rsidR="00546606" w:rsidRPr="00BF069D">
              <w:rPr>
                <w:rStyle w:val="Hyperlink"/>
                <w:noProof/>
              </w:rPr>
              <w:t>Second round recommendation regarding authorisation</w:t>
            </w:r>
            <w:r w:rsidR="00546606">
              <w:rPr>
                <w:noProof/>
                <w:webHidden/>
              </w:rPr>
              <w:tab/>
            </w:r>
            <w:r w:rsidR="00546606">
              <w:rPr>
                <w:noProof/>
                <w:webHidden/>
              </w:rPr>
              <w:fldChar w:fldCharType="begin"/>
            </w:r>
            <w:r w:rsidR="00546606">
              <w:rPr>
                <w:noProof/>
                <w:webHidden/>
              </w:rPr>
              <w:instrText xml:space="preserve"> PAGEREF _Toc519670995 \h </w:instrText>
            </w:r>
            <w:r w:rsidR="00546606">
              <w:rPr>
                <w:noProof/>
                <w:webHidden/>
              </w:rPr>
            </w:r>
            <w:r w:rsidR="00546606">
              <w:rPr>
                <w:noProof/>
                <w:webHidden/>
              </w:rPr>
              <w:fldChar w:fldCharType="separate"/>
            </w:r>
            <w:r w:rsidR="00546606">
              <w:rPr>
                <w:noProof/>
                <w:webHidden/>
              </w:rPr>
              <w:t>119</w:t>
            </w:r>
            <w:r w:rsidR="00546606">
              <w:rPr>
                <w:noProof/>
                <w:webHidden/>
              </w:rPr>
              <w:fldChar w:fldCharType="end"/>
            </w:r>
          </w:hyperlink>
        </w:p>
        <w:p w14:paraId="31E76520" w14:textId="77777777" w:rsidR="00546606" w:rsidRDefault="008611C8">
          <w:pPr>
            <w:pStyle w:val="TOC2"/>
            <w:tabs>
              <w:tab w:val="left" w:pos="1320"/>
            </w:tabs>
            <w:rPr>
              <w:rFonts w:asciiTheme="minorHAnsi" w:eastAsiaTheme="minorEastAsia" w:hAnsiTheme="minorHAnsi" w:cstheme="minorBidi"/>
              <w:b w:val="0"/>
              <w:noProof/>
              <w:sz w:val="22"/>
              <w:lang w:eastAsia="en-AU"/>
            </w:rPr>
          </w:pPr>
          <w:hyperlink w:anchor="_Toc519670996" w:history="1">
            <w:r w:rsidR="00546606" w:rsidRPr="00BF069D">
              <w:rPr>
                <w:rStyle w:val="Hyperlink"/>
                <w:noProof/>
              </w:rPr>
              <w:t>15.</w:t>
            </w:r>
            <w:r w:rsidR="00546606">
              <w:rPr>
                <w:rFonts w:asciiTheme="minorHAnsi" w:eastAsiaTheme="minorEastAsia" w:hAnsiTheme="minorHAnsi" w:cstheme="minorBidi"/>
                <w:b w:val="0"/>
                <w:noProof/>
                <w:sz w:val="22"/>
                <w:lang w:eastAsia="en-AU"/>
              </w:rPr>
              <w:tab/>
            </w:r>
            <w:r w:rsidR="00546606" w:rsidRPr="00BF069D">
              <w:rPr>
                <w:rStyle w:val="Hyperlink"/>
                <w:noProof/>
              </w:rPr>
              <w:t>References</w:t>
            </w:r>
            <w:r w:rsidR="00546606">
              <w:rPr>
                <w:noProof/>
                <w:webHidden/>
              </w:rPr>
              <w:tab/>
            </w:r>
            <w:r w:rsidR="00546606">
              <w:rPr>
                <w:noProof/>
                <w:webHidden/>
              </w:rPr>
              <w:fldChar w:fldCharType="begin"/>
            </w:r>
            <w:r w:rsidR="00546606">
              <w:rPr>
                <w:noProof/>
                <w:webHidden/>
              </w:rPr>
              <w:instrText xml:space="preserve"> PAGEREF _Toc519670996 \h </w:instrText>
            </w:r>
            <w:r w:rsidR="00546606">
              <w:rPr>
                <w:noProof/>
                <w:webHidden/>
              </w:rPr>
            </w:r>
            <w:r w:rsidR="00546606">
              <w:rPr>
                <w:noProof/>
                <w:webHidden/>
              </w:rPr>
              <w:fldChar w:fldCharType="separate"/>
            </w:r>
            <w:r w:rsidR="00546606">
              <w:rPr>
                <w:noProof/>
                <w:webHidden/>
              </w:rPr>
              <w:t>119</w:t>
            </w:r>
            <w:r w:rsidR="00546606">
              <w:rPr>
                <w:noProof/>
                <w:webHidden/>
              </w:rPr>
              <w:fldChar w:fldCharType="end"/>
            </w:r>
          </w:hyperlink>
        </w:p>
        <w:p w14:paraId="44CAFF09" w14:textId="77777777" w:rsidR="003A7F6C" w:rsidRPr="00B811C6" w:rsidRDefault="004F4AF5" w:rsidP="00B811C6">
          <w:pPr>
            <w:pStyle w:val="TOC2"/>
          </w:pPr>
          <w:r>
            <w:fldChar w:fldCharType="end"/>
          </w:r>
        </w:p>
      </w:sdtContent>
    </w:sdt>
    <w:bookmarkStart w:id="3" w:name="_Toc314842482" w:displacedByCustomXml="prev"/>
    <w:p w14:paraId="3AA6D1B0" w14:textId="77777777" w:rsidR="00586F98" w:rsidRDefault="00586F98" w:rsidP="00586F98">
      <w:pPr>
        <w:pStyle w:val="Heading2"/>
        <w:numPr>
          <w:ilvl w:val="0"/>
          <w:numId w:val="0"/>
        </w:numPr>
      </w:pPr>
      <w:bookmarkStart w:id="4" w:name="_Toc351716269"/>
      <w:bookmarkStart w:id="5" w:name="_Toc351718881"/>
      <w:bookmarkStart w:id="6" w:name="_Toc355338616"/>
      <w:bookmarkStart w:id="7" w:name="_Toc519670932"/>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2376"/>
        <w:gridCol w:w="6425"/>
      </w:tblGrid>
      <w:tr w:rsidR="00586F98" w:rsidRPr="00846D13" w14:paraId="5932CE2F" w14:textId="77777777" w:rsidTr="009A44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14:paraId="2CC7297A" w14:textId="77777777" w:rsidR="00586F98" w:rsidRPr="00846D13" w:rsidRDefault="00586F98" w:rsidP="00846D13">
            <w:r w:rsidRPr="00846D13">
              <w:t>Abbreviation</w:t>
            </w:r>
          </w:p>
        </w:tc>
        <w:tc>
          <w:tcPr>
            <w:tcW w:w="6425" w:type="dxa"/>
          </w:tcPr>
          <w:p w14:paraId="6F8EED4E" w14:textId="77777777" w:rsidR="00586F98" w:rsidRPr="00846D13" w:rsidRDefault="00586F98" w:rsidP="00846D13">
            <w:pPr>
              <w:cnfStyle w:val="100000000000" w:firstRow="1" w:lastRow="0" w:firstColumn="0" w:lastColumn="0" w:oddVBand="0" w:evenVBand="0" w:oddHBand="0" w:evenHBand="0" w:firstRowFirstColumn="0" w:firstRowLastColumn="0" w:lastRowFirstColumn="0" w:lastRowLastColumn="0"/>
            </w:pPr>
            <w:r w:rsidRPr="00846D13">
              <w:t>Meaning</w:t>
            </w:r>
          </w:p>
        </w:tc>
      </w:tr>
      <w:tr w:rsidR="00846D13" w:rsidRPr="00846D13" w14:paraId="111ED1C3"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D1CBCDD" w14:textId="77777777" w:rsidR="00846D13" w:rsidRPr="00846D13" w:rsidRDefault="00846D13" w:rsidP="00846D13">
            <w:r>
              <w:t>AE</w:t>
            </w:r>
          </w:p>
        </w:tc>
        <w:tc>
          <w:tcPr>
            <w:tcW w:w="6425" w:type="dxa"/>
          </w:tcPr>
          <w:p w14:paraId="22863152" w14:textId="64024B5B"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Pr="00846D13">
              <w:t xml:space="preserve">dverse </w:t>
            </w:r>
            <w:r w:rsidR="00846D13" w:rsidRPr="00846D13">
              <w:t>event</w:t>
            </w:r>
          </w:p>
        </w:tc>
      </w:tr>
      <w:tr w:rsidR="00846D13" w:rsidRPr="00846D13" w14:paraId="69A7A334"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6661D771" w14:textId="77777777" w:rsidR="00846D13" w:rsidRPr="00846D13" w:rsidRDefault="00846D13" w:rsidP="00846D13">
            <w:r>
              <w:t>ALT/SGPT</w:t>
            </w:r>
          </w:p>
        </w:tc>
        <w:tc>
          <w:tcPr>
            <w:tcW w:w="6425" w:type="dxa"/>
          </w:tcPr>
          <w:p w14:paraId="5292ED54" w14:textId="4711D5D3"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Pr="00846D13">
              <w:t xml:space="preserve">lanine </w:t>
            </w:r>
            <w:r w:rsidR="00846D13" w:rsidRPr="00846D13">
              <w:t>aminotransferase</w:t>
            </w:r>
          </w:p>
        </w:tc>
      </w:tr>
      <w:tr w:rsidR="00846D13" w:rsidRPr="00846D13" w14:paraId="359B1855"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F2CED1D" w14:textId="77777777" w:rsidR="00846D13" w:rsidRPr="00846D13" w:rsidRDefault="00846D13" w:rsidP="00846D13">
            <w:r>
              <w:t>AST/SGOT</w:t>
            </w:r>
          </w:p>
        </w:tc>
        <w:tc>
          <w:tcPr>
            <w:tcW w:w="6425" w:type="dxa"/>
          </w:tcPr>
          <w:p w14:paraId="5991489A" w14:textId="1244CB7C"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Pr="00846D13">
              <w:t xml:space="preserve">spartate </w:t>
            </w:r>
            <w:r w:rsidR="00846D13" w:rsidRPr="00846D13">
              <w:t>aminotransferase</w:t>
            </w:r>
          </w:p>
        </w:tc>
      </w:tr>
      <w:tr w:rsidR="00846D13" w:rsidRPr="00846D13" w14:paraId="5C07576B"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A014D4C" w14:textId="77777777" w:rsidR="00846D13" w:rsidRPr="00846D13" w:rsidRDefault="00846D13" w:rsidP="00846D13">
            <w:r>
              <w:t>ATC</w:t>
            </w:r>
          </w:p>
        </w:tc>
        <w:tc>
          <w:tcPr>
            <w:tcW w:w="6425" w:type="dxa"/>
          </w:tcPr>
          <w:p w14:paraId="3EFF1CF9"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Anatomical Therapeutic Classification</w:t>
            </w:r>
          </w:p>
        </w:tc>
      </w:tr>
      <w:tr w:rsidR="00846D13" w:rsidRPr="00846D13" w14:paraId="3FD9FE20"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0B19158" w14:textId="77777777" w:rsidR="00846D13" w:rsidRPr="00846D13" w:rsidRDefault="00846D13" w:rsidP="00846D13">
            <w:r>
              <w:t>AUC</w:t>
            </w:r>
          </w:p>
        </w:tc>
        <w:tc>
          <w:tcPr>
            <w:tcW w:w="6425" w:type="dxa"/>
          </w:tcPr>
          <w:p w14:paraId="57219EE8" w14:textId="743F00A0"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Pr="00846D13">
              <w:t xml:space="preserve">rea </w:t>
            </w:r>
            <w:r w:rsidR="00846D13" w:rsidRPr="00846D13">
              <w:t>under the concentration-time curve</w:t>
            </w:r>
          </w:p>
        </w:tc>
      </w:tr>
      <w:tr w:rsidR="00B451DB" w:rsidRPr="00846D13" w14:paraId="3A5B77FC"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8F6F548" w14:textId="77777777" w:rsidR="00B451DB" w:rsidRDefault="00B451DB" w:rsidP="00846D13">
            <w:r>
              <w:t>AUC</w:t>
            </w:r>
            <w:r w:rsidRPr="00B451DB">
              <w:rPr>
                <w:vertAlign w:val="subscript"/>
              </w:rPr>
              <w:t>(cum</w:t>
            </w:r>
            <w:r>
              <w:rPr>
                <w:vertAlign w:val="subscript"/>
              </w:rPr>
              <w:t>)</w:t>
            </w:r>
          </w:p>
        </w:tc>
        <w:tc>
          <w:tcPr>
            <w:tcW w:w="6425" w:type="dxa"/>
          </w:tcPr>
          <w:p w14:paraId="252C94F6" w14:textId="3007FD40" w:rsidR="00B451DB"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00B451DB">
              <w:t>rea under the concentration time curve cumulative</w:t>
            </w:r>
          </w:p>
        </w:tc>
      </w:tr>
      <w:tr w:rsidR="00B451DB" w:rsidRPr="00846D13" w14:paraId="6D1592EA"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6216D77C" w14:textId="77777777" w:rsidR="00B451DB" w:rsidRDefault="00B451DB" w:rsidP="00846D13">
            <w:r>
              <w:t>AUC</w:t>
            </w:r>
            <w:r w:rsidRPr="00B451DB">
              <w:rPr>
                <w:vertAlign w:val="subscript"/>
              </w:rPr>
              <w:t>(</w:t>
            </w:r>
            <w:proofErr w:type="spellStart"/>
            <w:r w:rsidRPr="00B451DB">
              <w:rPr>
                <w:vertAlign w:val="subscript"/>
              </w:rPr>
              <w:t>ss</w:t>
            </w:r>
            <w:proofErr w:type="spellEnd"/>
            <w:r>
              <w:rPr>
                <w:vertAlign w:val="subscript"/>
              </w:rPr>
              <w:t>)</w:t>
            </w:r>
          </w:p>
        </w:tc>
        <w:tc>
          <w:tcPr>
            <w:tcW w:w="6425" w:type="dxa"/>
          </w:tcPr>
          <w:p w14:paraId="2155A131" w14:textId="3D8B5525" w:rsidR="00B451DB"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00B451DB">
              <w:t>rea under the concentration time curve at steady state</w:t>
            </w:r>
          </w:p>
        </w:tc>
      </w:tr>
      <w:tr w:rsidR="00846D13" w:rsidRPr="00846D13" w14:paraId="44E9D9DB"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6FB20B19" w14:textId="77777777" w:rsidR="00846D13" w:rsidRPr="00846D13" w:rsidRDefault="00FE32BB" w:rsidP="00846D13">
            <w:r w:rsidRPr="00B55A5F">
              <w:t>AUC</w:t>
            </w:r>
            <w:r w:rsidRPr="00FE32BB">
              <w:rPr>
                <w:vertAlign w:val="subscript"/>
              </w:rPr>
              <w:t>(0-last)</w:t>
            </w:r>
          </w:p>
        </w:tc>
        <w:tc>
          <w:tcPr>
            <w:tcW w:w="6425" w:type="dxa"/>
          </w:tcPr>
          <w:p w14:paraId="1C60B419" w14:textId="254E3E91"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Pr="00846D13">
              <w:t xml:space="preserve">rea </w:t>
            </w:r>
            <w:r w:rsidR="00846D13" w:rsidRPr="00846D13">
              <w:t>under the concentration-time curve from the start of the infusion to the time of the last quantifiable concentration</w:t>
            </w:r>
          </w:p>
        </w:tc>
      </w:tr>
      <w:tr w:rsidR="00846D13" w:rsidRPr="00846D13" w14:paraId="7B58ED50"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A5777EE" w14:textId="77777777" w:rsidR="00846D13" w:rsidRPr="00846D13" w:rsidRDefault="00846D13" w:rsidP="00846D13">
            <w:r w:rsidRPr="00846D13">
              <w:t>AUC</w:t>
            </w:r>
            <w:r w:rsidRPr="00FE32BB">
              <w:rPr>
                <w:vertAlign w:val="subscript"/>
              </w:rPr>
              <w:t>(0-∞)</w:t>
            </w:r>
          </w:p>
        </w:tc>
        <w:tc>
          <w:tcPr>
            <w:tcW w:w="6425" w:type="dxa"/>
          </w:tcPr>
          <w:p w14:paraId="68A0C957" w14:textId="45C2F726"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Pr="00846D13">
              <w:t xml:space="preserve">rea </w:t>
            </w:r>
            <w:r w:rsidR="00846D13" w:rsidRPr="00846D13">
              <w:t>under the concentration-time curve from the start of the infusion extrapolated to infinite time</w:t>
            </w:r>
          </w:p>
        </w:tc>
      </w:tr>
      <w:tr w:rsidR="00846D13" w:rsidRPr="00846D13" w14:paraId="330DB071"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DCD0ACB" w14:textId="77777777" w:rsidR="00846D13" w:rsidRPr="00846D13" w:rsidRDefault="00846D13" w:rsidP="00846D13">
            <w:r>
              <w:t>AUDIT</w:t>
            </w:r>
          </w:p>
        </w:tc>
        <w:tc>
          <w:tcPr>
            <w:tcW w:w="6425" w:type="dxa"/>
          </w:tcPr>
          <w:p w14:paraId="2E23EB7C"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Alcohol Use Disorder Identification Test</w:t>
            </w:r>
          </w:p>
        </w:tc>
      </w:tr>
      <w:tr w:rsidR="00846D13" w:rsidRPr="00846D13" w14:paraId="643D7958"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F36A1F7" w14:textId="77777777" w:rsidR="00846D13" w:rsidRPr="00846D13" w:rsidRDefault="00846D13" w:rsidP="00846D13">
            <w:r>
              <w:t>BLQ</w:t>
            </w:r>
          </w:p>
        </w:tc>
        <w:tc>
          <w:tcPr>
            <w:tcW w:w="6425" w:type="dxa"/>
          </w:tcPr>
          <w:p w14:paraId="5DF03C12" w14:textId="3140961F"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B</w:t>
            </w:r>
            <w:r w:rsidRPr="00846D13">
              <w:t xml:space="preserve">elow </w:t>
            </w:r>
            <w:r w:rsidR="00846D13" w:rsidRPr="00846D13">
              <w:t>the limit of quantification</w:t>
            </w:r>
          </w:p>
        </w:tc>
      </w:tr>
      <w:tr w:rsidR="00846D13" w:rsidRPr="00846D13" w14:paraId="478896B6"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5651A02" w14:textId="77777777" w:rsidR="00846D13" w:rsidRPr="00846D13" w:rsidRDefault="00846D13" w:rsidP="00846D13">
            <w:r>
              <w:t>BMI</w:t>
            </w:r>
          </w:p>
        </w:tc>
        <w:tc>
          <w:tcPr>
            <w:tcW w:w="6425" w:type="dxa"/>
          </w:tcPr>
          <w:p w14:paraId="32A38DED" w14:textId="47A1155E" w:rsidR="00846D13" w:rsidRPr="00846D13" w:rsidRDefault="004D2143" w:rsidP="004D2143">
            <w:pPr>
              <w:cnfStyle w:val="000000000000" w:firstRow="0" w:lastRow="0" w:firstColumn="0" w:lastColumn="0" w:oddVBand="0" w:evenVBand="0" w:oddHBand="0" w:evenHBand="0" w:firstRowFirstColumn="0" w:firstRowLastColumn="0" w:lastRowFirstColumn="0" w:lastRowLastColumn="0"/>
            </w:pPr>
            <w:r>
              <w:t>B</w:t>
            </w:r>
            <w:r w:rsidRPr="00846D13">
              <w:t xml:space="preserve">ody </w:t>
            </w:r>
            <w:r>
              <w:t>M</w:t>
            </w:r>
            <w:r w:rsidRPr="00846D13">
              <w:t xml:space="preserve">ass </w:t>
            </w:r>
            <w:r>
              <w:t>I</w:t>
            </w:r>
            <w:r w:rsidRPr="00846D13">
              <w:t>ndex</w:t>
            </w:r>
          </w:p>
        </w:tc>
      </w:tr>
      <w:tr w:rsidR="00846D13" w:rsidRPr="00846D13" w14:paraId="0FAEBDAF"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E0AA73F" w14:textId="77777777" w:rsidR="00846D13" w:rsidRPr="00846D13" w:rsidRDefault="00846D13" w:rsidP="00846D13">
            <w:r>
              <w:t>BMT</w:t>
            </w:r>
          </w:p>
        </w:tc>
        <w:tc>
          <w:tcPr>
            <w:tcW w:w="6425" w:type="dxa"/>
          </w:tcPr>
          <w:p w14:paraId="59BF01A3" w14:textId="09BD963C"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B</w:t>
            </w:r>
            <w:r w:rsidRPr="00846D13">
              <w:t xml:space="preserve">one </w:t>
            </w:r>
            <w:r w:rsidR="00846D13" w:rsidRPr="00846D13">
              <w:t>marrow transplant</w:t>
            </w:r>
          </w:p>
        </w:tc>
      </w:tr>
      <w:tr w:rsidR="00846D13" w:rsidRPr="00846D13" w14:paraId="5C3E8538"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3DAF9287" w14:textId="77777777" w:rsidR="00846D13" w:rsidRPr="00846D13" w:rsidRDefault="00846D13" w:rsidP="00846D13">
            <w:r>
              <w:t>CDC</w:t>
            </w:r>
          </w:p>
        </w:tc>
        <w:tc>
          <w:tcPr>
            <w:tcW w:w="6425" w:type="dxa"/>
          </w:tcPr>
          <w:p w14:paraId="1395287A"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Centres for Disease Control and Prevention</w:t>
            </w:r>
          </w:p>
        </w:tc>
      </w:tr>
      <w:tr w:rsidR="00846D13" w:rsidRPr="00846D13" w14:paraId="6A2B226F"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65899852" w14:textId="77777777" w:rsidR="00846D13" w:rsidRPr="00846D13" w:rsidRDefault="00846D13" w:rsidP="00846D13">
            <w:r>
              <w:t>CL</w:t>
            </w:r>
          </w:p>
        </w:tc>
        <w:tc>
          <w:tcPr>
            <w:tcW w:w="6425" w:type="dxa"/>
          </w:tcPr>
          <w:p w14:paraId="6AA57FF7" w14:textId="49394287"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T</w:t>
            </w:r>
            <w:r w:rsidRPr="00846D13">
              <w:t xml:space="preserve">otal </w:t>
            </w:r>
            <w:r w:rsidR="00846D13" w:rsidRPr="00846D13">
              <w:t>body clearance</w:t>
            </w:r>
          </w:p>
        </w:tc>
      </w:tr>
      <w:tr w:rsidR="00846D13" w:rsidRPr="00846D13" w14:paraId="2489EA1B"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3D4F842" w14:textId="77777777" w:rsidR="00846D13" w:rsidRPr="00846D13" w:rsidRDefault="00846D13" w:rsidP="00846D13">
            <w:r>
              <w:t>CLDQ</w:t>
            </w:r>
          </w:p>
        </w:tc>
        <w:tc>
          <w:tcPr>
            <w:tcW w:w="6425" w:type="dxa"/>
          </w:tcPr>
          <w:p w14:paraId="6C44C016"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Chronic Liver Disease Questionnaire</w:t>
            </w:r>
          </w:p>
        </w:tc>
      </w:tr>
      <w:tr w:rsidR="00846D13" w:rsidRPr="00846D13" w14:paraId="6EF9FC51"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9E6C6AE" w14:textId="77777777" w:rsidR="00846D13" w:rsidRPr="00846D13" w:rsidRDefault="00905BF2" w:rsidP="00846D13">
            <w:proofErr w:type="spellStart"/>
            <w:r w:rsidRPr="00B55A5F">
              <w:t>C</w:t>
            </w:r>
            <w:r w:rsidRPr="00905BF2">
              <w:rPr>
                <w:vertAlign w:val="subscript"/>
              </w:rPr>
              <w:t>max</w:t>
            </w:r>
            <w:proofErr w:type="spellEnd"/>
          </w:p>
        </w:tc>
        <w:tc>
          <w:tcPr>
            <w:tcW w:w="6425" w:type="dxa"/>
          </w:tcPr>
          <w:p w14:paraId="0560D5E2" w14:textId="34BA20DE"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M</w:t>
            </w:r>
            <w:r w:rsidR="00846D13" w:rsidRPr="00846D13">
              <w:t>aximum observed serum concentration</w:t>
            </w:r>
          </w:p>
        </w:tc>
      </w:tr>
      <w:tr w:rsidR="00846D13" w:rsidRPr="00846D13" w14:paraId="534F52D9"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75198A1" w14:textId="77777777" w:rsidR="00846D13" w:rsidRPr="00846D13" w:rsidRDefault="00846D13" w:rsidP="00846D13">
            <w:r>
              <w:t>CS</w:t>
            </w:r>
          </w:p>
        </w:tc>
        <w:tc>
          <w:tcPr>
            <w:tcW w:w="6425" w:type="dxa"/>
          </w:tcPr>
          <w:p w14:paraId="60590CDD" w14:textId="638BA6BC"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C</w:t>
            </w:r>
            <w:r w:rsidRPr="00846D13">
              <w:t xml:space="preserve">linically </w:t>
            </w:r>
            <w:r w:rsidR="00846D13" w:rsidRPr="00846D13">
              <w:t>significant</w:t>
            </w:r>
          </w:p>
        </w:tc>
      </w:tr>
      <w:tr w:rsidR="00846D13" w:rsidRPr="00846D13" w14:paraId="0EC18CC8"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52A437F" w14:textId="77777777" w:rsidR="00846D13" w:rsidRPr="00846D13" w:rsidRDefault="00846D13" w:rsidP="00846D13">
            <w:r>
              <w:t>DD</w:t>
            </w:r>
          </w:p>
        </w:tc>
        <w:tc>
          <w:tcPr>
            <w:tcW w:w="6425" w:type="dxa"/>
          </w:tcPr>
          <w:p w14:paraId="616C31DB"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Drug Dictionary</w:t>
            </w:r>
          </w:p>
        </w:tc>
      </w:tr>
      <w:tr w:rsidR="00846D13" w:rsidRPr="00846D13" w14:paraId="4B2B7CBF"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32428F8D" w14:textId="77777777" w:rsidR="00846D13" w:rsidRPr="00846D13" w:rsidRDefault="00846D13" w:rsidP="00846D13">
            <w:r>
              <w:t>DNA</w:t>
            </w:r>
          </w:p>
        </w:tc>
        <w:tc>
          <w:tcPr>
            <w:tcW w:w="6425" w:type="dxa"/>
          </w:tcPr>
          <w:p w14:paraId="3E89E538" w14:textId="7F885C13"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D</w:t>
            </w:r>
            <w:r w:rsidR="00846D13" w:rsidRPr="00846D13">
              <w:t>eoxyribonucleic acid</w:t>
            </w:r>
          </w:p>
        </w:tc>
      </w:tr>
      <w:tr w:rsidR="00846D13" w:rsidRPr="00846D13" w14:paraId="6994D437"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E5D7856" w14:textId="77777777" w:rsidR="00846D13" w:rsidRPr="00846D13" w:rsidRDefault="00846D13" w:rsidP="00846D13">
            <w:r>
              <w:t>ECG</w:t>
            </w:r>
          </w:p>
        </w:tc>
        <w:tc>
          <w:tcPr>
            <w:tcW w:w="6425" w:type="dxa"/>
          </w:tcPr>
          <w:p w14:paraId="42DE69FD" w14:textId="2D4146AE"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E</w:t>
            </w:r>
            <w:r w:rsidR="00846D13" w:rsidRPr="00846D13">
              <w:t>lectrocardiogram</w:t>
            </w:r>
          </w:p>
        </w:tc>
      </w:tr>
      <w:tr w:rsidR="00846D13" w:rsidRPr="00846D13" w14:paraId="0A7DEFCC"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D9E42DC" w14:textId="77777777" w:rsidR="00846D13" w:rsidRPr="00846D13" w:rsidRDefault="00846D13" w:rsidP="00846D13">
            <w:proofErr w:type="spellStart"/>
            <w:r>
              <w:t>eCRF</w:t>
            </w:r>
            <w:proofErr w:type="spellEnd"/>
          </w:p>
        </w:tc>
        <w:tc>
          <w:tcPr>
            <w:tcW w:w="6425" w:type="dxa"/>
          </w:tcPr>
          <w:p w14:paraId="0B77B596" w14:textId="197D417E" w:rsidR="00846D13" w:rsidRPr="00846D13" w:rsidRDefault="004D2143" w:rsidP="004D2143">
            <w:pPr>
              <w:cnfStyle w:val="000000000000" w:firstRow="0" w:lastRow="0" w:firstColumn="0" w:lastColumn="0" w:oddVBand="0" w:evenVBand="0" w:oddHBand="0" w:evenHBand="0" w:firstRowFirstColumn="0" w:firstRowLastColumn="0" w:lastRowFirstColumn="0" w:lastRowLastColumn="0"/>
            </w:pPr>
            <w:r>
              <w:t>E</w:t>
            </w:r>
            <w:r w:rsidR="00846D13" w:rsidRPr="00846D13">
              <w:t xml:space="preserve">lectronic </w:t>
            </w:r>
            <w:r>
              <w:t>C</w:t>
            </w:r>
            <w:r w:rsidR="00846D13" w:rsidRPr="00846D13">
              <w:t xml:space="preserve">ase </w:t>
            </w:r>
            <w:r>
              <w:t>R</w:t>
            </w:r>
            <w:r w:rsidRPr="00846D13">
              <w:t xml:space="preserve">eport </w:t>
            </w:r>
            <w:r>
              <w:t>F</w:t>
            </w:r>
            <w:r w:rsidRPr="00846D13">
              <w:t>orm</w:t>
            </w:r>
          </w:p>
        </w:tc>
      </w:tr>
      <w:tr w:rsidR="00846D13" w:rsidRPr="00846D13" w14:paraId="280418AD"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C651058" w14:textId="77777777" w:rsidR="00846D13" w:rsidRPr="00846D13" w:rsidRDefault="00846D13" w:rsidP="00846D13">
            <w:r>
              <w:t>ERT</w:t>
            </w:r>
          </w:p>
        </w:tc>
        <w:tc>
          <w:tcPr>
            <w:tcW w:w="6425" w:type="dxa"/>
          </w:tcPr>
          <w:p w14:paraId="6C30D263" w14:textId="75464008"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E</w:t>
            </w:r>
            <w:r w:rsidRPr="00846D13">
              <w:t xml:space="preserve">nzyme </w:t>
            </w:r>
            <w:r w:rsidR="00846D13" w:rsidRPr="00846D13">
              <w:t>replacement therapy</w:t>
            </w:r>
          </w:p>
        </w:tc>
      </w:tr>
      <w:tr w:rsidR="00846D13" w:rsidRPr="00846D13" w14:paraId="034B8A0F"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4033704D" w14:textId="77777777" w:rsidR="00846D13" w:rsidRPr="00846D13" w:rsidRDefault="00846D13" w:rsidP="00846D13">
            <w:r>
              <w:lastRenderedPageBreak/>
              <w:t>ESR</w:t>
            </w:r>
          </w:p>
        </w:tc>
        <w:tc>
          <w:tcPr>
            <w:tcW w:w="6425" w:type="dxa"/>
          </w:tcPr>
          <w:p w14:paraId="10681071" w14:textId="23137B21"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E</w:t>
            </w:r>
            <w:r w:rsidRPr="00846D13">
              <w:t xml:space="preserve">rythrocyte </w:t>
            </w:r>
            <w:r w:rsidR="00846D13" w:rsidRPr="00846D13">
              <w:t>sedimentation rate</w:t>
            </w:r>
          </w:p>
        </w:tc>
      </w:tr>
      <w:tr w:rsidR="00846D13" w:rsidRPr="00846D13" w14:paraId="1CFF66E7"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3FC0E1C" w14:textId="77777777" w:rsidR="00846D13" w:rsidRPr="00846D13" w:rsidRDefault="00846D13" w:rsidP="00846D13">
            <w:r>
              <w:t>FACIT-Fatigue</w:t>
            </w:r>
          </w:p>
        </w:tc>
        <w:tc>
          <w:tcPr>
            <w:tcW w:w="6425" w:type="dxa"/>
          </w:tcPr>
          <w:p w14:paraId="77B6058A"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Functional Assessment of Chronic Illness Therapy-Fatigue</w:t>
            </w:r>
          </w:p>
        </w:tc>
      </w:tr>
      <w:tr w:rsidR="00846D13" w:rsidRPr="00846D13" w14:paraId="3FDC3E56"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D1B6624" w14:textId="77777777" w:rsidR="00846D13" w:rsidRPr="00846D13" w:rsidRDefault="00846D13" w:rsidP="00846D13">
            <w:r>
              <w:t>GGT</w:t>
            </w:r>
          </w:p>
        </w:tc>
        <w:tc>
          <w:tcPr>
            <w:tcW w:w="6425" w:type="dxa"/>
          </w:tcPr>
          <w:p w14:paraId="6F2A2BB9" w14:textId="3D675D02"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G</w:t>
            </w:r>
            <w:r w:rsidRPr="00846D13">
              <w:t xml:space="preserve">amma </w:t>
            </w:r>
            <w:proofErr w:type="spellStart"/>
            <w:r w:rsidR="00846D13" w:rsidRPr="00846D13">
              <w:t>glutamyl</w:t>
            </w:r>
            <w:proofErr w:type="spellEnd"/>
            <w:r w:rsidR="00846D13" w:rsidRPr="00846D13">
              <w:t xml:space="preserve"> transferase</w:t>
            </w:r>
          </w:p>
        </w:tc>
      </w:tr>
      <w:tr w:rsidR="00846D13" w:rsidRPr="00846D13" w14:paraId="77A16120"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7F5032E5" w14:textId="77777777" w:rsidR="00846D13" w:rsidRPr="00846D13" w:rsidRDefault="00846D13" w:rsidP="00846D13">
            <w:r>
              <w:t>GI</w:t>
            </w:r>
          </w:p>
        </w:tc>
        <w:tc>
          <w:tcPr>
            <w:tcW w:w="6425" w:type="dxa"/>
          </w:tcPr>
          <w:p w14:paraId="42BD6A3C" w14:textId="4167DC29"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G</w:t>
            </w:r>
            <w:r w:rsidRPr="00846D13">
              <w:t>astrointestinal</w:t>
            </w:r>
          </w:p>
        </w:tc>
      </w:tr>
      <w:tr w:rsidR="00846D13" w:rsidRPr="00846D13" w14:paraId="098967CE"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51806F5" w14:textId="77777777" w:rsidR="00846D13" w:rsidRPr="00846D13" w:rsidRDefault="00846D13" w:rsidP="00846D13">
            <w:proofErr w:type="spellStart"/>
            <w:r>
              <w:t>hCG</w:t>
            </w:r>
            <w:proofErr w:type="spellEnd"/>
          </w:p>
        </w:tc>
        <w:tc>
          <w:tcPr>
            <w:tcW w:w="6425" w:type="dxa"/>
          </w:tcPr>
          <w:p w14:paraId="05CFA213" w14:textId="4875E0D8"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H</w:t>
            </w:r>
            <w:r w:rsidRPr="00846D13">
              <w:t xml:space="preserve">uman </w:t>
            </w:r>
            <w:r w:rsidR="00846D13" w:rsidRPr="00846D13">
              <w:t>chorionic gonadotropin</w:t>
            </w:r>
          </w:p>
        </w:tc>
      </w:tr>
      <w:tr w:rsidR="00846D13" w:rsidRPr="00846D13" w14:paraId="0A74F75A"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77600673" w14:textId="77777777" w:rsidR="00846D13" w:rsidRPr="00846D13" w:rsidRDefault="00846D13" w:rsidP="00846D13">
            <w:r>
              <w:t>HDL</w:t>
            </w:r>
          </w:p>
        </w:tc>
        <w:tc>
          <w:tcPr>
            <w:tcW w:w="6425" w:type="dxa"/>
          </w:tcPr>
          <w:p w14:paraId="39E467F5" w14:textId="6D3F910A"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H</w:t>
            </w:r>
            <w:r w:rsidRPr="00846D13">
              <w:t xml:space="preserve">igh </w:t>
            </w:r>
            <w:r w:rsidR="00846D13" w:rsidRPr="00846D13">
              <w:t>density lipoprotein</w:t>
            </w:r>
          </w:p>
        </w:tc>
      </w:tr>
      <w:tr w:rsidR="00846D13" w:rsidRPr="00846D13" w14:paraId="5C5C1AA7"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4441E6E6" w14:textId="77777777" w:rsidR="00846D13" w:rsidRPr="00846D13" w:rsidRDefault="00846D13" w:rsidP="00846D13">
            <w:proofErr w:type="spellStart"/>
            <w:r>
              <w:t>hsCRP</w:t>
            </w:r>
            <w:proofErr w:type="spellEnd"/>
          </w:p>
        </w:tc>
        <w:tc>
          <w:tcPr>
            <w:tcW w:w="6425" w:type="dxa"/>
          </w:tcPr>
          <w:p w14:paraId="2F43F007" w14:textId="3AAC0CEB"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High</w:t>
            </w:r>
            <w:r w:rsidR="004D2143">
              <w:t xml:space="preserve"> </w:t>
            </w:r>
            <w:r w:rsidRPr="00846D13">
              <w:t>sensitivity C-reactive protein</w:t>
            </w:r>
          </w:p>
        </w:tc>
      </w:tr>
      <w:tr w:rsidR="00846D13" w:rsidRPr="00846D13" w14:paraId="5C3A1712"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47757E7" w14:textId="77777777" w:rsidR="00846D13" w:rsidRPr="00846D13" w:rsidRDefault="00846D13" w:rsidP="00846D13">
            <w:r>
              <w:t>IEC</w:t>
            </w:r>
          </w:p>
        </w:tc>
        <w:tc>
          <w:tcPr>
            <w:tcW w:w="6425" w:type="dxa"/>
          </w:tcPr>
          <w:p w14:paraId="01740D97"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Independent Ethics Committee</w:t>
            </w:r>
          </w:p>
        </w:tc>
      </w:tr>
      <w:tr w:rsidR="00846D13" w:rsidRPr="00846D13" w14:paraId="25416CD6"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3B93F6BD" w14:textId="77777777" w:rsidR="00846D13" w:rsidRPr="00846D13" w:rsidRDefault="00846D13" w:rsidP="00846D13">
            <w:r>
              <w:t>IMP</w:t>
            </w:r>
          </w:p>
        </w:tc>
        <w:tc>
          <w:tcPr>
            <w:tcW w:w="6425" w:type="dxa"/>
          </w:tcPr>
          <w:p w14:paraId="366D96DD" w14:textId="75785694"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I</w:t>
            </w:r>
            <w:r w:rsidRPr="00846D13">
              <w:t xml:space="preserve">nvestigational </w:t>
            </w:r>
            <w:r w:rsidR="00846D13" w:rsidRPr="00846D13">
              <w:t>medicinal product</w:t>
            </w:r>
          </w:p>
        </w:tc>
      </w:tr>
      <w:tr w:rsidR="00846D13" w:rsidRPr="00846D13" w14:paraId="7826B114"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9F90B55" w14:textId="77777777" w:rsidR="00846D13" w:rsidRPr="00846D13" w:rsidRDefault="00846D13" w:rsidP="00846D13">
            <w:r>
              <w:t>INR</w:t>
            </w:r>
          </w:p>
        </w:tc>
        <w:tc>
          <w:tcPr>
            <w:tcW w:w="6425" w:type="dxa"/>
          </w:tcPr>
          <w:p w14:paraId="4234A18F" w14:textId="6C3C3F4A" w:rsidR="00846D13" w:rsidRPr="00846D13" w:rsidRDefault="004D2143" w:rsidP="004D2143">
            <w:pPr>
              <w:cnfStyle w:val="000000000000" w:firstRow="0" w:lastRow="0" w:firstColumn="0" w:lastColumn="0" w:oddVBand="0" w:evenVBand="0" w:oddHBand="0" w:evenHBand="0" w:firstRowFirstColumn="0" w:firstRowLastColumn="0" w:lastRowFirstColumn="0" w:lastRowLastColumn="0"/>
            </w:pPr>
            <w:r>
              <w:t>I</w:t>
            </w:r>
            <w:r w:rsidRPr="00846D13">
              <w:t>nternational normali</w:t>
            </w:r>
            <w:r>
              <w:t>s</w:t>
            </w:r>
            <w:r w:rsidRPr="00846D13">
              <w:t xml:space="preserve">ed </w:t>
            </w:r>
            <w:r w:rsidR="00846D13" w:rsidRPr="00846D13">
              <w:t>ratio</w:t>
            </w:r>
          </w:p>
        </w:tc>
      </w:tr>
      <w:tr w:rsidR="00846D13" w:rsidRPr="00846D13" w14:paraId="3FC75E2A" w14:textId="77777777" w:rsidTr="00FE2AA6">
        <w:trPr>
          <w:trHeight w:val="457"/>
        </w:trPr>
        <w:tc>
          <w:tcPr>
            <w:cnfStyle w:val="001000000000" w:firstRow="0" w:lastRow="0" w:firstColumn="1" w:lastColumn="0" w:oddVBand="0" w:evenVBand="0" w:oddHBand="0" w:evenHBand="0" w:firstRowFirstColumn="0" w:firstRowLastColumn="0" w:lastRowFirstColumn="0" w:lastRowLastColumn="0"/>
            <w:tcW w:w="2376" w:type="dxa"/>
          </w:tcPr>
          <w:p w14:paraId="7F644D10" w14:textId="77777777" w:rsidR="00846D13" w:rsidRPr="00846D13" w:rsidRDefault="00846D13" w:rsidP="00846D13">
            <w:r>
              <w:t>IRB</w:t>
            </w:r>
          </w:p>
        </w:tc>
        <w:tc>
          <w:tcPr>
            <w:tcW w:w="6425" w:type="dxa"/>
          </w:tcPr>
          <w:p w14:paraId="45ED684E"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Institutional Review Board</w:t>
            </w:r>
          </w:p>
        </w:tc>
      </w:tr>
      <w:tr w:rsidR="00846D13" w:rsidRPr="00846D13" w14:paraId="340E1EEC"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E744553" w14:textId="77777777" w:rsidR="00846D13" w:rsidRPr="00846D13" w:rsidRDefault="00846D13" w:rsidP="00846D13">
            <w:r>
              <w:t>IRR</w:t>
            </w:r>
          </w:p>
        </w:tc>
        <w:tc>
          <w:tcPr>
            <w:tcW w:w="6425" w:type="dxa"/>
          </w:tcPr>
          <w:p w14:paraId="2D9479B7" w14:textId="5E54F06B"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Infusion</w:t>
            </w:r>
            <w:r w:rsidR="004D2143">
              <w:t xml:space="preserve"> </w:t>
            </w:r>
            <w:r w:rsidRPr="00846D13">
              <w:t>related reaction</w:t>
            </w:r>
          </w:p>
        </w:tc>
      </w:tr>
      <w:tr w:rsidR="00846D13" w:rsidRPr="00846D13" w14:paraId="5367B75A"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CC51B7A" w14:textId="77777777" w:rsidR="00846D13" w:rsidRPr="00846D13" w:rsidRDefault="00846D13" w:rsidP="00846D13">
            <w:r>
              <w:t>IV</w:t>
            </w:r>
          </w:p>
        </w:tc>
        <w:tc>
          <w:tcPr>
            <w:tcW w:w="6425" w:type="dxa"/>
          </w:tcPr>
          <w:p w14:paraId="50BBE5B2" w14:textId="7B982058"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I</w:t>
            </w:r>
            <w:r w:rsidRPr="00846D13">
              <w:t>ntravenous</w:t>
            </w:r>
          </w:p>
        </w:tc>
      </w:tr>
      <w:tr w:rsidR="00846D13" w:rsidRPr="00846D13" w14:paraId="434AF8B7"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4CF1E1CB" w14:textId="77777777" w:rsidR="00846D13" w:rsidRPr="00846D13" w:rsidRDefault="00FE32BB" w:rsidP="00846D13">
            <w:proofErr w:type="spellStart"/>
            <w:r>
              <w:t>λ</w:t>
            </w:r>
            <w:r w:rsidR="00846D13">
              <w:t>z</w:t>
            </w:r>
            <w:proofErr w:type="spellEnd"/>
          </w:p>
        </w:tc>
        <w:tc>
          <w:tcPr>
            <w:tcW w:w="6425" w:type="dxa"/>
          </w:tcPr>
          <w:p w14:paraId="76700A60" w14:textId="161DCA41"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A</w:t>
            </w:r>
            <w:r w:rsidRPr="00846D13">
              <w:t xml:space="preserve">pparent </w:t>
            </w:r>
            <w:r w:rsidR="00846D13" w:rsidRPr="00846D13">
              <w:t>terminal rate constant</w:t>
            </w:r>
          </w:p>
        </w:tc>
      </w:tr>
      <w:tr w:rsidR="00846D13" w:rsidRPr="00846D13" w14:paraId="1E751751"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E34576D" w14:textId="77777777" w:rsidR="00846D13" w:rsidRPr="00846D13" w:rsidRDefault="00846D13" w:rsidP="00846D13">
            <w:r>
              <w:t>LAL</w:t>
            </w:r>
          </w:p>
        </w:tc>
        <w:tc>
          <w:tcPr>
            <w:tcW w:w="6425" w:type="dxa"/>
          </w:tcPr>
          <w:p w14:paraId="290ACD5C" w14:textId="0FE4E3E0"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L</w:t>
            </w:r>
            <w:r w:rsidRPr="00846D13">
              <w:t xml:space="preserve">ysosomal </w:t>
            </w:r>
            <w:r w:rsidR="00846D13" w:rsidRPr="00846D13">
              <w:t>acid lipase</w:t>
            </w:r>
          </w:p>
        </w:tc>
      </w:tr>
      <w:tr w:rsidR="009A441A" w:rsidRPr="00846D13" w14:paraId="02177388"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D0C508D" w14:textId="77777777" w:rsidR="009A441A" w:rsidRDefault="009A441A" w:rsidP="00846D13">
            <w:r>
              <w:t>LAL-D</w:t>
            </w:r>
          </w:p>
        </w:tc>
        <w:tc>
          <w:tcPr>
            <w:tcW w:w="6425" w:type="dxa"/>
          </w:tcPr>
          <w:p w14:paraId="2C7AE7B2" w14:textId="5B06CE0F" w:rsidR="009A441A" w:rsidRPr="00846D13" w:rsidRDefault="004D2143" w:rsidP="00846D13">
            <w:pPr>
              <w:cnfStyle w:val="000000000000" w:firstRow="0" w:lastRow="0" w:firstColumn="0" w:lastColumn="0" w:oddVBand="0" w:evenVBand="0" w:oddHBand="0" w:evenHBand="0" w:firstRowFirstColumn="0" w:firstRowLastColumn="0" w:lastRowFirstColumn="0" w:lastRowLastColumn="0"/>
            </w:pPr>
            <w:r>
              <w:t>L</w:t>
            </w:r>
            <w:r w:rsidRPr="00846D13">
              <w:t xml:space="preserve">ysosomal </w:t>
            </w:r>
            <w:r w:rsidR="009A441A" w:rsidRPr="00846D13">
              <w:t>acid lipase</w:t>
            </w:r>
            <w:r w:rsidR="009A441A">
              <w:t xml:space="preserve"> deficiency</w:t>
            </w:r>
          </w:p>
        </w:tc>
      </w:tr>
      <w:tr w:rsidR="00846D13" w:rsidRPr="00846D13" w14:paraId="23AEC799"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8B7D00B" w14:textId="77777777" w:rsidR="00846D13" w:rsidRPr="00846D13" w:rsidRDefault="00846D13" w:rsidP="00846D13">
            <w:r>
              <w:t>LDL</w:t>
            </w:r>
          </w:p>
        </w:tc>
        <w:tc>
          <w:tcPr>
            <w:tcW w:w="6425" w:type="dxa"/>
          </w:tcPr>
          <w:p w14:paraId="1EB51336" w14:textId="2F1BEC71"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L</w:t>
            </w:r>
            <w:r w:rsidRPr="00846D13">
              <w:t xml:space="preserve">ow </w:t>
            </w:r>
            <w:r w:rsidR="00846D13" w:rsidRPr="00846D13">
              <w:t>density lipoprotein</w:t>
            </w:r>
          </w:p>
        </w:tc>
      </w:tr>
      <w:tr w:rsidR="00846D13" w:rsidRPr="00846D13" w14:paraId="200F6044"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32C0F47" w14:textId="77777777" w:rsidR="00846D13" w:rsidRPr="00846D13" w:rsidRDefault="00846D13" w:rsidP="00846D13">
            <w:r>
              <w:t>LLN</w:t>
            </w:r>
          </w:p>
        </w:tc>
        <w:tc>
          <w:tcPr>
            <w:tcW w:w="6425" w:type="dxa"/>
          </w:tcPr>
          <w:p w14:paraId="4C52D056" w14:textId="5D4A8078"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L</w:t>
            </w:r>
            <w:r w:rsidRPr="00846D13">
              <w:t xml:space="preserve">ower </w:t>
            </w:r>
            <w:r w:rsidR="00846D13" w:rsidRPr="00846D13">
              <w:t>limit of normal</w:t>
            </w:r>
          </w:p>
        </w:tc>
      </w:tr>
      <w:tr w:rsidR="00846D13" w:rsidRPr="00846D13" w14:paraId="79C25559"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8ECE633" w14:textId="77777777" w:rsidR="00846D13" w:rsidRPr="00846D13" w:rsidRDefault="00846D13" w:rsidP="00846D13">
            <w:r>
              <w:t>LSD</w:t>
            </w:r>
          </w:p>
        </w:tc>
        <w:tc>
          <w:tcPr>
            <w:tcW w:w="6425" w:type="dxa"/>
          </w:tcPr>
          <w:p w14:paraId="0347EFAC" w14:textId="0E2F5822"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L</w:t>
            </w:r>
            <w:r w:rsidRPr="00846D13">
              <w:t xml:space="preserve">ysosomal </w:t>
            </w:r>
            <w:r w:rsidR="00846D13" w:rsidRPr="00846D13">
              <w:t>storage disorder</w:t>
            </w:r>
          </w:p>
        </w:tc>
      </w:tr>
      <w:tr w:rsidR="00846D13" w:rsidRPr="00846D13" w14:paraId="6EB35B48"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F513C8F" w14:textId="77777777" w:rsidR="00846D13" w:rsidRPr="00846D13" w:rsidRDefault="00846D13" w:rsidP="00846D13">
            <w:r>
              <w:t>MCS</w:t>
            </w:r>
          </w:p>
        </w:tc>
        <w:tc>
          <w:tcPr>
            <w:tcW w:w="6425" w:type="dxa"/>
          </w:tcPr>
          <w:p w14:paraId="5A8D02DA"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Mental Component Summary</w:t>
            </w:r>
          </w:p>
        </w:tc>
      </w:tr>
      <w:tr w:rsidR="00846D13" w:rsidRPr="00846D13" w14:paraId="44BC7B2A"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71C1BD2F" w14:textId="77777777" w:rsidR="00846D13" w:rsidRPr="00846D13" w:rsidRDefault="00846D13" w:rsidP="00846D13">
            <w:proofErr w:type="spellStart"/>
            <w:r>
              <w:t>MedDRA</w:t>
            </w:r>
            <w:proofErr w:type="spellEnd"/>
          </w:p>
        </w:tc>
        <w:tc>
          <w:tcPr>
            <w:tcW w:w="6425" w:type="dxa"/>
          </w:tcPr>
          <w:p w14:paraId="3083A0CC"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Medical Dictionary for Regulatory Activities</w:t>
            </w:r>
          </w:p>
        </w:tc>
      </w:tr>
      <w:tr w:rsidR="00846D13" w:rsidRPr="00846D13" w14:paraId="55B4A1ED"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DCDD7EC" w14:textId="77777777" w:rsidR="00846D13" w:rsidRPr="00846D13" w:rsidRDefault="00846D13" w:rsidP="00846D13">
            <w:r>
              <w:t>MMR</w:t>
            </w:r>
          </w:p>
        </w:tc>
        <w:tc>
          <w:tcPr>
            <w:tcW w:w="6425" w:type="dxa"/>
          </w:tcPr>
          <w:p w14:paraId="2CE12E29" w14:textId="4954D057"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M</w:t>
            </w:r>
            <w:r w:rsidR="00846D13" w:rsidRPr="00846D13">
              <w:t>acrophage mannose receptor</w:t>
            </w:r>
          </w:p>
        </w:tc>
      </w:tr>
      <w:tr w:rsidR="00846D13" w:rsidRPr="00846D13" w14:paraId="3B090061"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DB4E26F" w14:textId="77777777" w:rsidR="00846D13" w:rsidRPr="00846D13" w:rsidRDefault="00846D13" w:rsidP="00846D13">
            <w:r>
              <w:t>NAFLD</w:t>
            </w:r>
          </w:p>
        </w:tc>
        <w:tc>
          <w:tcPr>
            <w:tcW w:w="6425" w:type="dxa"/>
          </w:tcPr>
          <w:p w14:paraId="6F5F6DED" w14:textId="55C97817"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N</w:t>
            </w:r>
            <w:r w:rsidRPr="00846D13">
              <w:t>on</w:t>
            </w:r>
            <w:r w:rsidR="00846D13" w:rsidRPr="00846D13">
              <w:t>-alcoholic fatty liver disease</w:t>
            </w:r>
          </w:p>
        </w:tc>
      </w:tr>
      <w:tr w:rsidR="00846D13" w:rsidRPr="00846D13" w14:paraId="53EB71BA"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636056A3" w14:textId="77777777" w:rsidR="00846D13" w:rsidRPr="00846D13" w:rsidRDefault="00846D13" w:rsidP="00846D13">
            <w:r>
              <w:t>NASH</w:t>
            </w:r>
          </w:p>
        </w:tc>
        <w:tc>
          <w:tcPr>
            <w:tcW w:w="6425" w:type="dxa"/>
          </w:tcPr>
          <w:p w14:paraId="01E89D69" w14:textId="2D10E612"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N</w:t>
            </w:r>
            <w:r w:rsidRPr="00846D13">
              <w:t>on</w:t>
            </w:r>
            <w:r w:rsidR="00846D13" w:rsidRPr="00846D13">
              <w:t>-alcoholic steatohepatitis</w:t>
            </w:r>
          </w:p>
        </w:tc>
      </w:tr>
      <w:tr w:rsidR="00846D13" w:rsidRPr="00846D13" w14:paraId="2315745A"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A76C956" w14:textId="77777777" w:rsidR="00846D13" w:rsidRPr="00846D13" w:rsidRDefault="00846D13" w:rsidP="00846D13">
            <w:r>
              <w:t>NCS</w:t>
            </w:r>
          </w:p>
        </w:tc>
        <w:tc>
          <w:tcPr>
            <w:tcW w:w="6425" w:type="dxa"/>
          </w:tcPr>
          <w:p w14:paraId="0A16ADC7" w14:textId="7C570099"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N</w:t>
            </w:r>
            <w:r w:rsidR="00846D13" w:rsidRPr="00846D13">
              <w:t>ot clinically significant</w:t>
            </w:r>
          </w:p>
        </w:tc>
      </w:tr>
      <w:tr w:rsidR="00846D13" w:rsidRPr="00846D13" w14:paraId="45DB37D8"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91D57FF" w14:textId="77777777" w:rsidR="00846D13" w:rsidRPr="00846D13" w:rsidRDefault="00846D13" w:rsidP="00846D13">
            <w:r>
              <w:lastRenderedPageBreak/>
              <w:t>PBMC</w:t>
            </w:r>
          </w:p>
        </w:tc>
        <w:tc>
          <w:tcPr>
            <w:tcW w:w="6425" w:type="dxa"/>
          </w:tcPr>
          <w:p w14:paraId="45C58710" w14:textId="30BEF966"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P</w:t>
            </w:r>
            <w:r w:rsidRPr="00846D13">
              <w:t xml:space="preserve">eripheral </w:t>
            </w:r>
            <w:r w:rsidR="00846D13" w:rsidRPr="00846D13">
              <w:t>blood mononuclear cells</w:t>
            </w:r>
          </w:p>
        </w:tc>
      </w:tr>
      <w:tr w:rsidR="00846D13" w:rsidRPr="00846D13" w14:paraId="259A85F8"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05FA3ACE" w14:textId="77777777" w:rsidR="00846D13" w:rsidRPr="00846D13" w:rsidRDefault="00846D13" w:rsidP="00846D13">
            <w:r>
              <w:t>PCS</w:t>
            </w:r>
          </w:p>
        </w:tc>
        <w:tc>
          <w:tcPr>
            <w:tcW w:w="6425" w:type="dxa"/>
          </w:tcPr>
          <w:p w14:paraId="6BAEA270"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Physical Component Summary</w:t>
            </w:r>
          </w:p>
        </w:tc>
      </w:tr>
      <w:tr w:rsidR="00846D13" w:rsidRPr="00846D13" w14:paraId="489605AD"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3412487F" w14:textId="77777777" w:rsidR="00846D13" w:rsidRPr="00846D13" w:rsidRDefault="00846D13" w:rsidP="00846D13">
            <w:r>
              <w:t>PD</w:t>
            </w:r>
          </w:p>
        </w:tc>
        <w:tc>
          <w:tcPr>
            <w:tcW w:w="6425" w:type="dxa"/>
          </w:tcPr>
          <w:p w14:paraId="3C73FBF7" w14:textId="297295A6"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P</w:t>
            </w:r>
            <w:r w:rsidR="00846D13" w:rsidRPr="00846D13">
              <w:t>harmacodynamics</w:t>
            </w:r>
          </w:p>
        </w:tc>
      </w:tr>
      <w:tr w:rsidR="00846D13" w:rsidRPr="00846D13" w14:paraId="7FD6B7CB"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3E649A9C" w14:textId="77777777" w:rsidR="00846D13" w:rsidRPr="00846D13" w:rsidRDefault="00846D13" w:rsidP="00846D13">
            <w:r>
              <w:t>PK</w:t>
            </w:r>
          </w:p>
        </w:tc>
        <w:tc>
          <w:tcPr>
            <w:tcW w:w="6425" w:type="dxa"/>
          </w:tcPr>
          <w:p w14:paraId="348C2791" w14:textId="2BE3C1BF"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P</w:t>
            </w:r>
            <w:r w:rsidR="00846D13" w:rsidRPr="00846D13">
              <w:t>harmacokinetics</w:t>
            </w:r>
          </w:p>
        </w:tc>
      </w:tr>
      <w:tr w:rsidR="00846D13" w:rsidRPr="00846D13" w14:paraId="5118B43D"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6B55E9F1" w14:textId="77777777" w:rsidR="00846D13" w:rsidRPr="00846D13" w:rsidRDefault="00846D13" w:rsidP="00846D13">
            <w:r>
              <w:t>PP</w:t>
            </w:r>
          </w:p>
        </w:tc>
        <w:tc>
          <w:tcPr>
            <w:tcW w:w="6425" w:type="dxa"/>
          </w:tcPr>
          <w:p w14:paraId="59FCC4DA" w14:textId="5B8C77F4"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P</w:t>
            </w:r>
            <w:r w:rsidR="00846D13" w:rsidRPr="00846D13">
              <w:t>er protocol</w:t>
            </w:r>
          </w:p>
        </w:tc>
      </w:tr>
      <w:tr w:rsidR="00846D13" w:rsidRPr="00846D13" w14:paraId="578ED3CC"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3BC76838" w14:textId="77777777" w:rsidR="00846D13" w:rsidRPr="00846D13" w:rsidRDefault="00846D13" w:rsidP="00846D13">
            <w:r>
              <w:t>PT</w:t>
            </w:r>
          </w:p>
        </w:tc>
        <w:tc>
          <w:tcPr>
            <w:tcW w:w="6425" w:type="dxa"/>
          </w:tcPr>
          <w:p w14:paraId="6BF600EF" w14:textId="36E2B4FE"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P</w:t>
            </w:r>
            <w:r w:rsidR="00846D13" w:rsidRPr="00846D13">
              <w:t>rothrombin time</w:t>
            </w:r>
          </w:p>
        </w:tc>
      </w:tr>
      <w:tr w:rsidR="00846D13" w:rsidRPr="00846D13" w14:paraId="3611603D"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D60266F" w14:textId="77777777" w:rsidR="00846D13" w:rsidRPr="00846D13" w:rsidRDefault="00846D13" w:rsidP="00846D13">
            <w:r>
              <w:t>PT</w:t>
            </w:r>
          </w:p>
        </w:tc>
        <w:tc>
          <w:tcPr>
            <w:tcW w:w="6425" w:type="dxa"/>
          </w:tcPr>
          <w:p w14:paraId="0CAF2454" w14:textId="32463696"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P</w:t>
            </w:r>
            <w:r w:rsidR="00846D13" w:rsidRPr="00846D13">
              <w:t>referred term</w:t>
            </w:r>
          </w:p>
        </w:tc>
      </w:tr>
      <w:tr w:rsidR="00846D13" w:rsidRPr="00846D13" w14:paraId="393DE7A5"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3A5E711" w14:textId="77777777" w:rsidR="00846D13" w:rsidRPr="00846D13" w:rsidRDefault="00846D13" w:rsidP="00846D13">
            <w:r>
              <w:t>PTT</w:t>
            </w:r>
          </w:p>
        </w:tc>
        <w:tc>
          <w:tcPr>
            <w:tcW w:w="6425" w:type="dxa"/>
          </w:tcPr>
          <w:p w14:paraId="1E9E4807" w14:textId="4AA8E8D1"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P</w:t>
            </w:r>
            <w:r w:rsidR="00846D13" w:rsidRPr="00846D13">
              <w:t>artial thromboplastin time</w:t>
            </w:r>
          </w:p>
        </w:tc>
      </w:tr>
      <w:tr w:rsidR="00846D13" w:rsidRPr="00846D13" w14:paraId="39481AAF"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6EC7A23" w14:textId="77777777" w:rsidR="00846D13" w:rsidRPr="00846D13" w:rsidRDefault="00846D13" w:rsidP="00846D13">
            <w:r>
              <w:t>QC</w:t>
            </w:r>
          </w:p>
        </w:tc>
        <w:tc>
          <w:tcPr>
            <w:tcW w:w="6425" w:type="dxa"/>
          </w:tcPr>
          <w:p w14:paraId="0916585A" w14:textId="4CF868FA"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Q</w:t>
            </w:r>
            <w:r w:rsidR="00846D13" w:rsidRPr="00846D13">
              <w:t>uality control</w:t>
            </w:r>
          </w:p>
        </w:tc>
      </w:tr>
      <w:tr w:rsidR="00846D13" w:rsidRPr="00846D13" w14:paraId="2E93FFF7"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E3488F0" w14:textId="77777777" w:rsidR="00846D13" w:rsidRPr="00846D13" w:rsidRDefault="00846D13" w:rsidP="00846D13">
            <w:proofErr w:type="spellStart"/>
            <w:r>
              <w:t>qw</w:t>
            </w:r>
            <w:proofErr w:type="spellEnd"/>
          </w:p>
        </w:tc>
        <w:tc>
          <w:tcPr>
            <w:tcW w:w="6425" w:type="dxa"/>
          </w:tcPr>
          <w:p w14:paraId="60761F1A" w14:textId="5DFF9582" w:rsidR="00846D13" w:rsidRPr="00846D13" w:rsidRDefault="004D2143" w:rsidP="004D2143">
            <w:pPr>
              <w:cnfStyle w:val="000000000000" w:firstRow="0" w:lastRow="0" w:firstColumn="0" w:lastColumn="0" w:oddVBand="0" w:evenVBand="0" w:oddHBand="0" w:evenHBand="0" w:firstRowFirstColumn="0" w:firstRowLastColumn="0" w:lastRowFirstColumn="0" w:lastRowLastColumn="0"/>
            </w:pPr>
            <w:r>
              <w:t>O</w:t>
            </w:r>
            <w:r w:rsidR="00846D13" w:rsidRPr="00846D13">
              <w:t>nce</w:t>
            </w:r>
            <w:r>
              <w:t xml:space="preserve"> </w:t>
            </w:r>
            <w:r w:rsidR="00846D13" w:rsidRPr="00846D13">
              <w:t>weekly</w:t>
            </w:r>
          </w:p>
        </w:tc>
      </w:tr>
      <w:tr w:rsidR="00846D13" w:rsidRPr="00846D13" w14:paraId="48C798E4"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7ECF6032" w14:textId="77777777" w:rsidR="00846D13" w:rsidRPr="00846D13" w:rsidRDefault="00846D13" w:rsidP="00846D13">
            <w:proofErr w:type="spellStart"/>
            <w:r>
              <w:t>qow</w:t>
            </w:r>
            <w:proofErr w:type="spellEnd"/>
          </w:p>
        </w:tc>
        <w:tc>
          <w:tcPr>
            <w:tcW w:w="6425" w:type="dxa"/>
          </w:tcPr>
          <w:p w14:paraId="74AA6A94" w14:textId="3117814E"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E</w:t>
            </w:r>
            <w:r w:rsidR="00846D13" w:rsidRPr="00846D13">
              <w:t>very other week</w:t>
            </w:r>
          </w:p>
        </w:tc>
      </w:tr>
      <w:tr w:rsidR="00846D13" w:rsidRPr="00846D13" w14:paraId="636B56E1"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C4136AD" w14:textId="77777777" w:rsidR="00846D13" w:rsidRPr="00846D13" w:rsidRDefault="00846D13" w:rsidP="00846D13">
            <w:proofErr w:type="spellStart"/>
            <w:r>
              <w:t>rhLAL</w:t>
            </w:r>
            <w:proofErr w:type="spellEnd"/>
          </w:p>
        </w:tc>
        <w:tc>
          <w:tcPr>
            <w:tcW w:w="6425" w:type="dxa"/>
          </w:tcPr>
          <w:p w14:paraId="5CDB4823" w14:textId="6DC86872"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R</w:t>
            </w:r>
            <w:r w:rsidR="00846D13" w:rsidRPr="00846D13">
              <w:t>ecombinant human lysosomal acid lipase</w:t>
            </w:r>
          </w:p>
        </w:tc>
      </w:tr>
      <w:tr w:rsidR="00846D13" w:rsidRPr="00846D13" w14:paraId="4593CACC"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7F0F2B8" w14:textId="77777777" w:rsidR="00846D13" w:rsidRPr="00846D13" w:rsidRDefault="00846D13" w:rsidP="00846D13">
            <w:r>
              <w:t>SAE</w:t>
            </w:r>
          </w:p>
        </w:tc>
        <w:tc>
          <w:tcPr>
            <w:tcW w:w="6425" w:type="dxa"/>
          </w:tcPr>
          <w:p w14:paraId="619C55C8" w14:textId="3C5BD8D2"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S</w:t>
            </w:r>
            <w:r w:rsidR="00846D13" w:rsidRPr="00846D13">
              <w:t>erious adverse event</w:t>
            </w:r>
          </w:p>
        </w:tc>
      </w:tr>
      <w:tr w:rsidR="00846D13" w:rsidRPr="00846D13" w14:paraId="7DAD6423"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1D7D896" w14:textId="77777777" w:rsidR="00846D13" w:rsidRPr="00846D13" w:rsidRDefault="00846D13" w:rsidP="00846D13">
            <w:r>
              <w:t>SAP</w:t>
            </w:r>
          </w:p>
        </w:tc>
        <w:tc>
          <w:tcPr>
            <w:tcW w:w="6425" w:type="dxa"/>
          </w:tcPr>
          <w:p w14:paraId="609CE295" w14:textId="75885C99" w:rsidR="00846D13" w:rsidRPr="00846D13" w:rsidRDefault="004D2143" w:rsidP="004D2143">
            <w:pPr>
              <w:cnfStyle w:val="000000000000" w:firstRow="0" w:lastRow="0" w:firstColumn="0" w:lastColumn="0" w:oddVBand="0" w:evenVBand="0" w:oddHBand="0" w:evenHBand="0" w:firstRowFirstColumn="0" w:firstRowLastColumn="0" w:lastRowFirstColumn="0" w:lastRowLastColumn="0"/>
            </w:pPr>
            <w:r>
              <w:t>S</w:t>
            </w:r>
            <w:r w:rsidR="00846D13" w:rsidRPr="00846D13">
              <w:t xml:space="preserve">tatistical </w:t>
            </w:r>
            <w:r>
              <w:t>A</w:t>
            </w:r>
            <w:r w:rsidR="00846D13" w:rsidRPr="00846D13">
              <w:t xml:space="preserve">nalysis </w:t>
            </w:r>
            <w:r>
              <w:t>P</w:t>
            </w:r>
            <w:r w:rsidRPr="00846D13">
              <w:t>lan</w:t>
            </w:r>
          </w:p>
        </w:tc>
      </w:tr>
      <w:tr w:rsidR="00846D13" w:rsidRPr="00846D13" w14:paraId="744CEF7F"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7FE79623" w14:textId="77777777" w:rsidR="00846D13" w:rsidRPr="00846D13" w:rsidRDefault="00846D13" w:rsidP="00846D13">
            <w:r>
              <w:t>SD</w:t>
            </w:r>
          </w:p>
        </w:tc>
        <w:tc>
          <w:tcPr>
            <w:tcW w:w="6425" w:type="dxa"/>
          </w:tcPr>
          <w:p w14:paraId="7277ADA1" w14:textId="0B554748" w:rsidR="00846D13" w:rsidRPr="00846D13" w:rsidRDefault="004D2143" w:rsidP="00846D13">
            <w:pPr>
              <w:cnfStyle w:val="000000000000" w:firstRow="0" w:lastRow="0" w:firstColumn="0" w:lastColumn="0" w:oddVBand="0" w:evenVBand="0" w:oddHBand="0" w:evenHBand="0" w:firstRowFirstColumn="0" w:firstRowLastColumn="0" w:lastRowFirstColumn="0" w:lastRowLastColumn="0"/>
            </w:pPr>
            <w:r>
              <w:t>S</w:t>
            </w:r>
            <w:r w:rsidRPr="00846D13">
              <w:t xml:space="preserve">tandard </w:t>
            </w:r>
            <w:r w:rsidR="00846D13" w:rsidRPr="00846D13">
              <w:t>deviation</w:t>
            </w:r>
          </w:p>
        </w:tc>
      </w:tr>
      <w:tr w:rsidR="00846D13" w:rsidRPr="00846D13" w14:paraId="0562123F"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468CDEA3" w14:textId="77777777" w:rsidR="00846D13" w:rsidRPr="00846D13" w:rsidRDefault="00846D13" w:rsidP="00846D13">
            <w:r>
              <w:t>SF-36v2</w:t>
            </w:r>
          </w:p>
        </w:tc>
        <w:tc>
          <w:tcPr>
            <w:tcW w:w="6425" w:type="dxa"/>
          </w:tcPr>
          <w:p w14:paraId="2545E4AA"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36-item Short-Form (version 2)</w:t>
            </w:r>
          </w:p>
        </w:tc>
      </w:tr>
      <w:tr w:rsidR="00846D13" w:rsidRPr="00846D13" w14:paraId="432D3FCD"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E62AF1D" w14:textId="77777777" w:rsidR="00846D13" w:rsidRPr="00846D13" w:rsidRDefault="00846D13" w:rsidP="00846D13">
            <w:r>
              <w:t>SOC</w:t>
            </w:r>
          </w:p>
        </w:tc>
        <w:tc>
          <w:tcPr>
            <w:tcW w:w="6425" w:type="dxa"/>
          </w:tcPr>
          <w:p w14:paraId="4AE4B62A" w14:textId="7B06A270" w:rsidR="00846D13" w:rsidRPr="00846D13" w:rsidRDefault="004D2143" w:rsidP="004D2143">
            <w:pPr>
              <w:cnfStyle w:val="000000000000" w:firstRow="0" w:lastRow="0" w:firstColumn="0" w:lastColumn="0" w:oddVBand="0" w:evenVBand="0" w:oddHBand="0" w:evenHBand="0" w:firstRowFirstColumn="0" w:firstRowLastColumn="0" w:lastRowFirstColumn="0" w:lastRowLastColumn="0"/>
            </w:pPr>
            <w:r>
              <w:t>S</w:t>
            </w:r>
            <w:r w:rsidR="00846D13" w:rsidRPr="00846D13">
              <w:t xml:space="preserve">ystem </w:t>
            </w:r>
            <w:r>
              <w:t>O</w:t>
            </w:r>
            <w:r w:rsidRPr="00846D13">
              <w:t xml:space="preserve">rgan </w:t>
            </w:r>
            <w:r>
              <w:t>C</w:t>
            </w:r>
            <w:r w:rsidR="00846D13" w:rsidRPr="00846D13">
              <w:t>lass</w:t>
            </w:r>
          </w:p>
        </w:tc>
      </w:tr>
      <w:tr w:rsidR="00846D13" w:rsidRPr="00846D13" w14:paraId="6AF84A2A"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39F56D72" w14:textId="77777777" w:rsidR="00846D13" w:rsidRPr="00846D13" w:rsidRDefault="00B73619" w:rsidP="00846D13">
            <w:r w:rsidRPr="00B55A5F">
              <w:t>t</w:t>
            </w:r>
            <w:r>
              <w:t>½</w:t>
            </w:r>
          </w:p>
        </w:tc>
        <w:tc>
          <w:tcPr>
            <w:tcW w:w="6425" w:type="dxa"/>
          </w:tcPr>
          <w:p w14:paraId="17747D51" w14:textId="3E432232" w:rsidR="00846D13" w:rsidRPr="00846D13" w:rsidRDefault="004D2143" w:rsidP="004D2143">
            <w:pPr>
              <w:cnfStyle w:val="000000000000" w:firstRow="0" w:lastRow="0" w:firstColumn="0" w:lastColumn="0" w:oddVBand="0" w:evenVBand="0" w:oddHBand="0" w:evenHBand="0" w:firstRowFirstColumn="0" w:firstRowLastColumn="0" w:lastRowFirstColumn="0" w:lastRowLastColumn="0"/>
            </w:pPr>
            <w:r>
              <w:t>A</w:t>
            </w:r>
            <w:r w:rsidRPr="00846D13">
              <w:t xml:space="preserve">pparent </w:t>
            </w:r>
            <w:r w:rsidR="00846D13" w:rsidRPr="00846D13">
              <w:t>terminal half</w:t>
            </w:r>
            <w:r>
              <w:t xml:space="preserve"> </w:t>
            </w:r>
            <w:r w:rsidR="00846D13" w:rsidRPr="00846D13">
              <w:t>life</w:t>
            </w:r>
          </w:p>
        </w:tc>
      </w:tr>
      <w:tr w:rsidR="00846D13" w:rsidRPr="00846D13" w14:paraId="2231BEC4"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24220DF" w14:textId="77777777" w:rsidR="00846D13" w:rsidRPr="00846D13" w:rsidRDefault="00846D13" w:rsidP="00846D13">
            <w:r>
              <w:t>TEAE</w:t>
            </w:r>
          </w:p>
        </w:tc>
        <w:tc>
          <w:tcPr>
            <w:tcW w:w="6425" w:type="dxa"/>
          </w:tcPr>
          <w:p w14:paraId="4DF3EF57" w14:textId="3083B6BA" w:rsidR="00846D13" w:rsidRPr="00846D13" w:rsidRDefault="00CD1118" w:rsidP="00846D13">
            <w:pPr>
              <w:cnfStyle w:val="000000000000" w:firstRow="0" w:lastRow="0" w:firstColumn="0" w:lastColumn="0" w:oddVBand="0" w:evenVBand="0" w:oddHBand="0" w:evenHBand="0" w:firstRowFirstColumn="0" w:firstRowLastColumn="0" w:lastRowFirstColumn="0" w:lastRowLastColumn="0"/>
            </w:pPr>
            <w:r>
              <w:t xml:space="preserve">Treatment </w:t>
            </w:r>
            <w:r w:rsidR="004D59E7">
              <w:t>emergent</w:t>
            </w:r>
            <w:r w:rsidR="00846D13" w:rsidRPr="00846D13">
              <w:t xml:space="preserve"> adverse event</w:t>
            </w:r>
          </w:p>
        </w:tc>
      </w:tr>
      <w:tr w:rsidR="00846D13" w:rsidRPr="00846D13" w14:paraId="7DBBA255"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697016BB" w14:textId="77777777" w:rsidR="00846D13" w:rsidRPr="00846D13" w:rsidRDefault="00B73619" w:rsidP="00846D13">
            <w:proofErr w:type="spellStart"/>
            <w:r w:rsidRPr="00B55A5F">
              <w:t>T</w:t>
            </w:r>
            <w:r w:rsidRPr="00B73619">
              <w:rPr>
                <w:vertAlign w:val="subscript"/>
              </w:rPr>
              <w:t>max</w:t>
            </w:r>
            <w:proofErr w:type="spellEnd"/>
          </w:p>
        </w:tc>
        <w:tc>
          <w:tcPr>
            <w:tcW w:w="6425" w:type="dxa"/>
          </w:tcPr>
          <w:p w14:paraId="0C24E040" w14:textId="4805B9E3" w:rsidR="00846D13" w:rsidRPr="00846D13" w:rsidRDefault="00CD1118" w:rsidP="00846D13">
            <w:pPr>
              <w:cnfStyle w:val="000000000000" w:firstRow="0" w:lastRow="0" w:firstColumn="0" w:lastColumn="0" w:oddVBand="0" w:evenVBand="0" w:oddHBand="0" w:evenHBand="0" w:firstRowFirstColumn="0" w:firstRowLastColumn="0" w:lastRowFirstColumn="0" w:lastRowLastColumn="0"/>
            </w:pPr>
            <w:r>
              <w:t>Ti</w:t>
            </w:r>
            <w:r w:rsidR="00846D13" w:rsidRPr="00846D13">
              <w:t>me to maximum observed serum concentration</w:t>
            </w:r>
          </w:p>
        </w:tc>
      </w:tr>
      <w:tr w:rsidR="00846D13" w:rsidRPr="00846D13" w14:paraId="66298A43"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224F81BB" w14:textId="77777777" w:rsidR="00846D13" w:rsidRPr="00846D13" w:rsidRDefault="00846D13" w:rsidP="00846D13">
            <w:r>
              <w:t>ULN</w:t>
            </w:r>
          </w:p>
        </w:tc>
        <w:tc>
          <w:tcPr>
            <w:tcW w:w="6425" w:type="dxa"/>
          </w:tcPr>
          <w:p w14:paraId="5F30974F" w14:textId="1EB91BC6" w:rsidR="00846D13" w:rsidRPr="00846D13" w:rsidRDefault="00CD1118" w:rsidP="00846D13">
            <w:pPr>
              <w:cnfStyle w:val="000000000000" w:firstRow="0" w:lastRow="0" w:firstColumn="0" w:lastColumn="0" w:oddVBand="0" w:evenVBand="0" w:oddHBand="0" w:evenHBand="0" w:firstRowFirstColumn="0" w:firstRowLastColumn="0" w:lastRowFirstColumn="0" w:lastRowLastColumn="0"/>
            </w:pPr>
            <w:r>
              <w:t>U</w:t>
            </w:r>
            <w:r w:rsidR="00846D13" w:rsidRPr="00846D13">
              <w:t>pper limit of normal</w:t>
            </w:r>
          </w:p>
        </w:tc>
      </w:tr>
      <w:tr w:rsidR="00846D13" w:rsidRPr="00846D13" w14:paraId="0CAD71DA"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62AA2100" w14:textId="77777777" w:rsidR="00846D13" w:rsidRPr="00846D13" w:rsidRDefault="00846D13" w:rsidP="00846D13">
            <w:r>
              <w:t>UK</w:t>
            </w:r>
          </w:p>
        </w:tc>
        <w:tc>
          <w:tcPr>
            <w:tcW w:w="6425" w:type="dxa"/>
          </w:tcPr>
          <w:p w14:paraId="33C0F616"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United Kingdom</w:t>
            </w:r>
          </w:p>
        </w:tc>
      </w:tr>
      <w:tr w:rsidR="00846D13" w:rsidRPr="00846D13" w14:paraId="3193062C"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74F57316" w14:textId="77777777" w:rsidR="00846D13" w:rsidRPr="00846D13" w:rsidRDefault="00846D13" w:rsidP="00846D13">
            <w:r>
              <w:t>URTI</w:t>
            </w:r>
          </w:p>
        </w:tc>
        <w:tc>
          <w:tcPr>
            <w:tcW w:w="6425" w:type="dxa"/>
          </w:tcPr>
          <w:p w14:paraId="074D0A5B" w14:textId="3E6B3A65" w:rsidR="00846D13" w:rsidRPr="00846D13" w:rsidRDefault="00CD1118" w:rsidP="00846D13">
            <w:pPr>
              <w:cnfStyle w:val="000000000000" w:firstRow="0" w:lastRow="0" w:firstColumn="0" w:lastColumn="0" w:oddVBand="0" w:evenVBand="0" w:oddHBand="0" w:evenHBand="0" w:firstRowFirstColumn="0" w:firstRowLastColumn="0" w:lastRowFirstColumn="0" w:lastRowLastColumn="0"/>
            </w:pPr>
            <w:r>
              <w:t>U</w:t>
            </w:r>
            <w:r w:rsidR="00846D13" w:rsidRPr="00846D13">
              <w:t>pper respiratory tract infection</w:t>
            </w:r>
          </w:p>
        </w:tc>
      </w:tr>
      <w:tr w:rsidR="00846D13" w:rsidRPr="00846D13" w14:paraId="3D632341"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706099E7" w14:textId="77777777" w:rsidR="00846D13" w:rsidRPr="00846D13" w:rsidRDefault="00846D13" w:rsidP="00846D13">
            <w:r>
              <w:t>US</w:t>
            </w:r>
          </w:p>
        </w:tc>
        <w:tc>
          <w:tcPr>
            <w:tcW w:w="6425" w:type="dxa"/>
          </w:tcPr>
          <w:p w14:paraId="44FD1D8A"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United States</w:t>
            </w:r>
          </w:p>
        </w:tc>
      </w:tr>
      <w:tr w:rsidR="00846D13" w:rsidRPr="00846D13" w14:paraId="3C5689F0"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1F4C5293" w14:textId="77777777" w:rsidR="00846D13" w:rsidRPr="00846D13" w:rsidRDefault="00846D13" w:rsidP="00846D13">
            <w:proofErr w:type="spellStart"/>
            <w:r>
              <w:t>V</w:t>
            </w:r>
            <w:r w:rsidRPr="00FE32BB">
              <w:rPr>
                <w:vertAlign w:val="subscript"/>
              </w:rPr>
              <w:t>ss</w:t>
            </w:r>
            <w:proofErr w:type="spellEnd"/>
          </w:p>
        </w:tc>
        <w:tc>
          <w:tcPr>
            <w:tcW w:w="6425" w:type="dxa"/>
          </w:tcPr>
          <w:p w14:paraId="4E08A2B3" w14:textId="0F441C65" w:rsidR="00846D13" w:rsidRPr="00846D13" w:rsidRDefault="00CD1118" w:rsidP="00846D13">
            <w:pPr>
              <w:cnfStyle w:val="000000000000" w:firstRow="0" w:lastRow="0" w:firstColumn="0" w:lastColumn="0" w:oddVBand="0" w:evenVBand="0" w:oddHBand="0" w:evenHBand="0" w:firstRowFirstColumn="0" w:firstRowLastColumn="0" w:lastRowFirstColumn="0" w:lastRowLastColumn="0"/>
            </w:pPr>
            <w:r>
              <w:t>V</w:t>
            </w:r>
            <w:r w:rsidR="00846D13" w:rsidRPr="00846D13">
              <w:t xml:space="preserve">olume of distribution at </w:t>
            </w:r>
            <w:r w:rsidR="00157E63">
              <w:t>St</w:t>
            </w:r>
            <w:r>
              <w:t>eady</w:t>
            </w:r>
            <w:r w:rsidR="00846D13" w:rsidRPr="00846D13">
              <w:t xml:space="preserve"> </w:t>
            </w:r>
            <w:r w:rsidR="00157E63">
              <w:t>St</w:t>
            </w:r>
            <w:r>
              <w:t>ate</w:t>
            </w:r>
          </w:p>
        </w:tc>
      </w:tr>
      <w:tr w:rsidR="00846D13" w:rsidRPr="00846D13" w14:paraId="356E2640"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EF69F04" w14:textId="77777777" w:rsidR="00846D13" w:rsidRPr="00846D13" w:rsidRDefault="00905BF2" w:rsidP="00846D13">
            <w:proofErr w:type="spellStart"/>
            <w:r w:rsidRPr="00B55A5F">
              <w:lastRenderedPageBreak/>
              <w:t>V</w:t>
            </w:r>
            <w:r w:rsidRPr="00905BF2">
              <w:rPr>
                <w:vertAlign w:val="subscript"/>
              </w:rPr>
              <w:t>z</w:t>
            </w:r>
            <w:proofErr w:type="spellEnd"/>
          </w:p>
        </w:tc>
        <w:tc>
          <w:tcPr>
            <w:tcW w:w="6425" w:type="dxa"/>
          </w:tcPr>
          <w:p w14:paraId="363F4CB2" w14:textId="430208FC" w:rsidR="00846D13" w:rsidRPr="00846D13" w:rsidRDefault="00CD1118" w:rsidP="00846D13">
            <w:pPr>
              <w:cnfStyle w:val="000000000000" w:firstRow="0" w:lastRow="0" w:firstColumn="0" w:lastColumn="0" w:oddVBand="0" w:evenVBand="0" w:oddHBand="0" w:evenHBand="0" w:firstRowFirstColumn="0" w:firstRowLastColumn="0" w:lastRowFirstColumn="0" w:lastRowLastColumn="0"/>
            </w:pPr>
            <w:r>
              <w:t>V</w:t>
            </w:r>
            <w:r w:rsidRPr="00846D13">
              <w:t xml:space="preserve">olume </w:t>
            </w:r>
            <w:r w:rsidR="00846D13" w:rsidRPr="00846D13">
              <w:t>of distribution</w:t>
            </w:r>
          </w:p>
        </w:tc>
      </w:tr>
      <w:tr w:rsidR="00846D13" w:rsidRPr="00846D13" w14:paraId="0D835A43" w14:textId="77777777" w:rsidTr="009A441A">
        <w:tc>
          <w:tcPr>
            <w:cnfStyle w:val="001000000000" w:firstRow="0" w:lastRow="0" w:firstColumn="1" w:lastColumn="0" w:oddVBand="0" w:evenVBand="0" w:oddHBand="0" w:evenHBand="0" w:firstRowFirstColumn="0" w:firstRowLastColumn="0" w:lastRowFirstColumn="0" w:lastRowLastColumn="0"/>
            <w:tcW w:w="2376" w:type="dxa"/>
          </w:tcPr>
          <w:p w14:paraId="5DBE3A11" w14:textId="77777777" w:rsidR="00846D13" w:rsidRPr="00846D13" w:rsidRDefault="00846D13" w:rsidP="00846D13">
            <w:r>
              <w:t>WHO</w:t>
            </w:r>
          </w:p>
        </w:tc>
        <w:tc>
          <w:tcPr>
            <w:tcW w:w="6425" w:type="dxa"/>
          </w:tcPr>
          <w:p w14:paraId="65C68FB1" w14:textId="77777777" w:rsidR="00846D13" w:rsidRPr="00846D13" w:rsidRDefault="00846D13" w:rsidP="00846D13">
            <w:pPr>
              <w:cnfStyle w:val="000000000000" w:firstRow="0" w:lastRow="0" w:firstColumn="0" w:lastColumn="0" w:oddVBand="0" w:evenVBand="0" w:oddHBand="0" w:evenHBand="0" w:firstRowFirstColumn="0" w:firstRowLastColumn="0" w:lastRowFirstColumn="0" w:lastRowLastColumn="0"/>
            </w:pPr>
            <w:r w:rsidRPr="00846D13">
              <w:t>World Health Organization</w:t>
            </w:r>
          </w:p>
        </w:tc>
      </w:tr>
    </w:tbl>
    <w:p w14:paraId="032A7178" w14:textId="77777777" w:rsidR="0094614A" w:rsidRDefault="0094614A" w:rsidP="0043797D">
      <w:pPr>
        <w:pStyle w:val="Heading2"/>
        <w:pageBreakBefore/>
        <w:rPr>
          <w:lang w:eastAsia="en-AU"/>
        </w:rPr>
      </w:pPr>
      <w:bookmarkStart w:id="8" w:name="_Toc519670933"/>
      <w:bookmarkStart w:id="9" w:name="_Toc351718900"/>
      <w:bookmarkStart w:id="10" w:name="_Toc355338635"/>
      <w:r>
        <w:rPr>
          <w:lang w:eastAsia="en-AU"/>
        </w:rPr>
        <w:lastRenderedPageBreak/>
        <w:t>Introduction</w:t>
      </w:r>
      <w:bookmarkEnd w:id="8"/>
    </w:p>
    <w:p w14:paraId="0E4FB3C1" w14:textId="77777777" w:rsidR="00846D13" w:rsidRPr="00846D13" w:rsidRDefault="00846D13" w:rsidP="00846D13">
      <w:pPr>
        <w:pStyle w:val="Heading3"/>
      </w:pPr>
      <w:bookmarkStart w:id="11" w:name="_Toc468957419"/>
      <w:bookmarkStart w:id="12" w:name="_Toc519670934"/>
      <w:r w:rsidRPr="00846D13">
        <w:t>Submission type</w:t>
      </w:r>
      <w:bookmarkEnd w:id="11"/>
      <w:bookmarkEnd w:id="12"/>
    </w:p>
    <w:p w14:paraId="22AFBE92" w14:textId="161EA3B0" w:rsidR="00846D13" w:rsidRPr="00846D13" w:rsidRDefault="00846D13" w:rsidP="00846D13">
      <w:r w:rsidRPr="00846D13">
        <w:t>This is a</w:t>
      </w:r>
      <w:r w:rsidR="00CD1118">
        <w:t xml:space="preserve">n </w:t>
      </w:r>
      <w:r w:rsidRPr="00846D13">
        <w:t xml:space="preserve">application to register </w:t>
      </w:r>
      <w:r w:rsidR="00CD1118">
        <w:t>a</w:t>
      </w:r>
      <w:r w:rsidR="00CD1118" w:rsidRPr="00846D13">
        <w:t xml:space="preserve"> </w:t>
      </w:r>
      <w:r w:rsidRPr="00846D13">
        <w:t>new biological entity</w:t>
      </w:r>
      <w:r w:rsidR="00CD1118">
        <w:t xml:space="preserve"> and</w:t>
      </w:r>
      <w:r w:rsidRPr="00846D13">
        <w:t xml:space="preserve"> orphan drug </w:t>
      </w:r>
      <w:proofErr w:type="spellStart"/>
      <w:r w:rsidRPr="00846D13">
        <w:t>K</w:t>
      </w:r>
      <w:r w:rsidR="008F6668" w:rsidRPr="00846D13">
        <w:t>anuma</w:t>
      </w:r>
      <w:proofErr w:type="spellEnd"/>
      <w:r w:rsidRPr="00846D13">
        <w:t xml:space="preserve"> (</w:t>
      </w:r>
      <w:proofErr w:type="spellStart"/>
      <w:r w:rsidRPr="00846D13">
        <w:t>sebelipase</w:t>
      </w:r>
      <w:proofErr w:type="spellEnd"/>
      <w:r w:rsidRPr="00846D13">
        <w:t xml:space="preserve"> alfa) for </w:t>
      </w:r>
      <w:r w:rsidR="008F6668">
        <w:t>long term</w:t>
      </w:r>
      <w:r w:rsidRPr="00846D13">
        <w:t xml:space="preserve"> enzyme replacement therapy (ERT) in patients of all ages with lysosomal acid lipase deficiency (LAL-D).</w:t>
      </w:r>
    </w:p>
    <w:p w14:paraId="4B2EAE25" w14:textId="77777777" w:rsidR="00846D13" w:rsidRPr="00846D13" w:rsidRDefault="00846D13" w:rsidP="00846D13">
      <w:pPr>
        <w:pStyle w:val="Heading3"/>
      </w:pPr>
      <w:bookmarkStart w:id="13" w:name="_Toc468957420"/>
      <w:bookmarkStart w:id="14" w:name="_Toc519670935"/>
      <w:r w:rsidRPr="00846D13">
        <w:t>Drug class and therapeutic indication</w:t>
      </w:r>
      <w:bookmarkEnd w:id="13"/>
      <w:bookmarkEnd w:id="14"/>
    </w:p>
    <w:p w14:paraId="58DBA9BE" w14:textId="307A60E5" w:rsidR="00B73619" w:rsidRPr="00B73619" w:rsidRDefault="00846D13" w:rsidP="00B73619">
      <w:proofErr w:type="spellStart"/>
      <w:r w:rsidRPr="00B73619">
        <w:t>Sebelipase</w:t>
      </w:r>
      <w:proofErr w:type="spellEnd"/>
      <w:r w:rsidRPr="00B73619">
        <w:t xml:space="preserve"> alfa (</w:t>
      </w:r>
      <w:r w:rsidR="00CD1118">
        <w:t xml:space="preserve">drug development name </w:t>
      </w:r>
      <w:r w:rsidRPr="00B73619">
        <w:t>SBC-102) is a first-in-class recombinant human lysosomal acid lipase. ATC Code (</w:t>
      </w:r>
      <w:r w:rsidR="00155837">
        <w:t>p</w:t>
      </w:r>
      <w:r w:rsidRPr="00B73619">
        <w:t>roposed): A16AB14 (Other alimentary tract and metabolism products, enzymes)</w:t>
      </w:r>
      <w:r w:rsidR="00B73619" w:rsidRPr="00B73619">
        <w:t>.</w:t>
      </w:r>
    </w:p>
    <w:p w14:paraId="7E0BB1DD" w14:textId="77777777" w:rsidR="00FE32BB" w:rsidRDefault="00846D13" w:rsidP="00B73619">
      <w:r w:rsidRPr="00B73619">
        <w:t>The proposed indication is:</w:t>
      </w:r>
    </w:p>
    <w:p w14:paraId="21B3754E" w14:textId="77777777" w:rsidR="00846D13" w:rsidRPr="00FE32BB" w:rsidRDefault="008F6668" w:rsidP="00FE32BB">
      <w:pPr>
        <w:ind w:left="720"/>
        <w:rPr>
          <w:i/>
        </w:rPr>
      </w:pPr>
      <w:proofErr w:type="spellStart"/>
      <w:r w:rsidRPr="00FE32BB">
        <w:rPr>
          <w:i/>
        </w:rPr>
        <w:t>Kanuma</w:t>
      </w:r>
      <w:proofErr w:type="spellEnd"/>
      <w:r w:rsidR="00846D13" w:rsidRPr="00FE32BB">
        <w:rPr>
          <w:i/>
        </w:rPr>
        <w:t xml:space="preserve"> (</w:t>
      </w:r>
      <w:proofErr w:type="spellStart"/>
      <w:r w:rsidR="00846D13" w:rsidRPr="00FE32BB">
        <w:rPr>
          <w:i/>
        </w:rPr>
        <w:t>sebelipase</w:t>
      </w:r>
      <w:proofErr w:type="spellEnd"/>
      <w:r w:rsidR="00846D13" w:rsidRPr="00FE32BB">
        <w:rPr>
          <w:i/>
        </w:rPr>
        <w:t xml:space="preserve"> alfa) is indicated for </w:t>
      </w:r>
      <w:r w:rsidRPr="00FE32BB">
        <w:rPr>
          <w:i/>
        </w:rPr>
        <w:t>long term</w:t>
      </w:r>
      <w:r w:rsidR="00846D13" w:rsidRPr="00FE32BB">
        <w:rPr>
          <w:i/>
        </w:rPr>
        <w:t xml:space="preserve"> enzyme replacement therapy (ERT) in patients of all ages with lysosomal </w:t>
      </w:r>
      <w:r w:rsidR="00FE32BB" w:rsidRPr="00FE32BB">
        <w:rPr>
          <w:i/>
        </w:rPr>
        <w:t>acid lipase deficiency (LAL-D).</w:t>
      </w:r>
    </w:p>
    <w:p w14:paraId="7CA7FB49" w14:textId="77777777" w:rsidR="00846D13" w:rsidRPr="00846D13" w:rsidRDefault="00846D13" w:rsidP="00846D13">
      <w:pPr>
        <w:pStyle w:val="Heading3"/>
      </w:pPr>
      <w:bookmarkStart w:id="15" w:name="_Toc468957421"/>
      <w:bookmarkStart w:id="16" w:name="_Toc519670936"/>
      <w:r w:rsidRPr="00846D13">
        <w:t>Dosage forms and strengths</w:t>
      </w:r>
      <w:bookmarkEnd w:id="15"/>
      <w:bookmarkEnd w:id="16"/>
    </w:p>
    <w:p w14:paraId="53602A70" w14:textId="77777777" w:rsidR="00846D13" w:rsidRPr="00846D13" w:rsidRDefault="008F6668" w:rsidP="00846D13">
      <w:proofErr w:type="spellStart"/>
      <w:r>
        <w:t>Kanuma</w:t>
      </w:r>
      <w:proofErr w:type="spellEnd"/>
      <w:r w:rsidR="00846D13" w:rsidRPr="00846D13">
        <w:t xml:space="preserve"> is supplied as a </w:t>
      </w:r>
      <w:r w:rsidR="00B73619">
        <w:t>single use</w:t>
      </w:r>
      <w:r w:rsidR="00846D13" w:rsidRPr="00846D13">
        <w:t xml:space="preserve"> vial containing 20 mg of </w:t>
      </w:r>
      <w:proofErr w:type="spellStart"/>
      <w:r w:rsidR="00846D13" w:rsidRPr="00846D13">
        <w:t>sebelipase</w:t>
      </w:r>
      <w:proofErr w:type="spellEnd"/>
      <w:r w:rsidR="00846D13" w:rsidRPr="00846D13">
        <w:t xml:space="preserve"> alfa (2 mg/mL) with the following excipients; sodium citrate, citric acid monohydrate, albumin and water for injections.</w:t>
      </w:r>
    </w:p>
    <w:p w14:paraId="2B48DB89" w14:textId="77777777" w:rsidR="00846D13" w:rsidRPr="00846D13" w:rsidRDefault="00846D13" w:rsidP="00846D13">
      <w:pPr>
        <w:pStyle w:val="Heading3"/>
      </w:pPr>
      <w:bookmarkStart w:id="17" w:name="_Toc468957422"/>
      <w:bookmarkStart w:id="18" w:name="_Toc519670937"/>
      <w:r w:rsidRPr="00846D13">
        <w:t>Dosage and administration</w:t>
      </w:r>
      <w:bookmarkEnd w:id="17"/>
      <w:bookmarkEnd w:id="18"/>
    </w:p>
    <w:p w14:paraId="251AF03C" w14:textId="77777777" w:rsidR="00846D13" w:rsidRPr="00846D13" w:rsidRDefault="00846D13" w:rsidP="00846D13">
      <w:r w:rsidRPr="00846D13">
        <w:t>The following information on ‘dosage and administration’ was provided in the proposed PI:</w:t>
      </w:r>
    </w:p>
    <w:p w14:paraId="157F02FE" w14:textId="61E3EF61" w:rsidR="00846D13" w:rsidRPr="00846D13" w:rsidRDefault="00F056E7" w:rsidP="00B73619">
      <w:pPr>
        <w:ind w:left="720"/>
      </w:pPr>
      <w:r>
        <w:t>‘</w:t>
      </w:r>
      <w:r w:rsidR="00846D13" w:rsidRPr="00846D13">
        <w:t xml:space="preserve">It is important to initiate treatment as early as possible. </w:t>
      </w:r>
      <w:proofErr w:type="spellStart"/>
      <w:r w:rsidR="008F6668">
        <w:t>Kanuma</w:t>
      </w:r>
      <w:proofErr w:type="spellEnd"/>
      <w:r w:rsidR="00846D13" w:rsidRPr="00846D13">
        <w:t xml:space="preserve"> is for intravenous use only. The total volume of the infusion should be administered over approximately 2 hours. Infusion over 1 hour may be considered after patient tolerability is established. The infusion period may be extended in the event of dose escalation. For instructions on the preventive measures and monitoring of hypersensitivity reactions, see </w:t>
      </w:r>
      <w:r w:rsidRPr="00846D13">
        <w:t>Precautions</w:t>
      </w:r>
      <w:r>
        <w:t>:</w:t>
      </w:r>
      <w:r w:rsidR="00846D13" w:rsidRPr="00846D13">
        <w:t xml:space="preserve"> Hypersensitivity reactions, including anaphylaxis.</w:t>
      </w:r>
    </w:p>
    <w:p w14:paraId="44A291E8" w14:textId="77777777" w:rsidR="00846D13" w:rsidRDefault="00846D13" w:rsidP="00B73619">
      <w:pPr>
        <w:ind w:left="720"/>
      </w:pPr>
      <w:r>
        <w:t>Recommended Dose:</w:t>
      </w:r>
    </w:p>
    <w:p w14:paraId="2BC43DA2" w14:textId="77777777" w:rsidR="00846D13" w:rsidRDefault="00846D13" w:rsidP="00B73619">
      <w:pPr>
        <w:ind w:left="720"/>
      </w:pPr>
      <w:r w:rsidRPr="00846D13">
        <w:t>Infants (</w:t>
      </w:r>
      <w:r w:rsidR="00A87AAC">
        <w:t xml:space="preserve">&lt; </w:t>
      </w:r>
      <w:r w:rsidRPr="00846D13">
        <w:t>6 month</w:t>
      </w:r>
      <w:r w:rsidR="00B73619">
        <w:t>s of age) presenting with LAL-D</w:t>
      </w:r>
    </w:p>
    <w:p w14:paraId="227D4D37" w14:textId="77777777" w:rsidR="00B73619" w:rsidRDefault="00846D13" w:rsidP="00B73619">
      <w:pPr>
        <w:ind w:left="720"/>
      </w:pPr>
      <w:r w:rsidRPr="00846D13">
        <w:t xml:space="preserve">The recommended starting dose in infants </w:t>
      </w:r>
      <w:r w:rsidR="00A87AAC">
        <w:t xml:space="preserve">&lt; </w:t>
      </w:r>
      <w:r w:rsidRPr="00846D13">
        <w:t>6 months of age presenting with rapidly progressive LAL-D is 1 mg/kg administered as an IV infusion once weekly. Dose escalation to 3 mg/kg once weekly should be considered based on clinical response</w:t>
      </w:r>
      <w:r w:rsidR="00B73619">
        <w:t>.</w:t>
      </w:r>
    </w:p>
    <w:p w14:paraId="3C07F6E5" w14:textId="77777777" w:rsidR="00846D13" w:rsidRDefault="00846D13" w:rsidP="00B73619">
      <w:pPr>
        <w:ind w:left="720"/>
      </w:pPr>
      <w:r w:rsidRPr="00846D13">
        <w:t>Children a</w:t>
      </w:r>
      <w:r w:rsidR="00B73619">
        <w:t>nd adults presenting with LAL-D</w:t>
      </w:r>
    </w:p>
    <w:p w14:paraId="189786B6" w14:textId="77777777" w:rsidR="00B73619" w:rsidRDefault="00846D13" w:rsidP="00B73619">
      <w:pPr>
        <w:ind w:left="720"/>
      </w:pPr>
      <w:r w:rsidRPr="00846D13">
        <w:t>The recommended dose in children and adults presenting with LAL-D is 1 mg/kg administered fortnightly as an IV infusion</w:t>
      </w:r>
      <w:r w:rsidR="00B73619">
        <w:t>.</w:t>
      </w:r>
    </w:p>
    <w:p w14:paraId="0817AD97" w14:textId="77777777" w:rsidR="00846D13" w:rsidRDefault="00846D13" w:rsidP="00B73619">
      <w:pPr>
        <w:ind w:left="720"/>
      </w:pPr>
      <w:r>
        <w:t>Method of Administration:</w:t>
      </w:r>
    </w:p>
    <w:p w14:paraId="0F6B398C" w14:textId="77777777" w:rsidR="00B73619" w:rsidRDefault="00846D13" w:rsidP="00B73619">
      <w:pPr>
        <w:ind w:left="720"/>
      </w:pPr>
      <w:r w:rsidRPr="00846D13">
        <w:t xml:space="preserve">Dilute </w:t>
      </w:r>
      <w:proofErr w:type="spellStart"/>
      <w:r w:rsidR="008F6668">
        <w:t>Kanuma</w:t>
      </w:r>
      <w:proofErr w:type="spellEnd"/>
      <w:r w:rsidRPr="00846D13">
        <w:t xml:space="preserve"> with 0.9% sodium chloride solution for infusion using aseptic technique</w:t>
      </w:r>
      <w:r w:rsidR="00B73619">
        <w:t>.</w:t>
      </w:r>
    </w:p>
    <w:p w14:paraId="1F8B7279" w14:textId="0063534E" w:rsidR="00B73619" w:rsidRDefault="00846D13" w:rsidP="00B73619">
      <w:pPr>
        <w:ind w:left="720"/>
      </w:pPr>
      <w:r w:rsidRPr="00846D13">
        <w:t xml:space="preserve">The diluted solution should be administered to patients using a low-protein binding infusion set equipped with an in-line, low-protein binding 0.2 </w:t>
      </w:r>
      <w:r w:rsidR="00F056E7">
        <w:t>µ</w:t>
      </w:r>
      <w:r w:rsidRPr="00846D13">
        <w:t>m filter with a surface area of greater than 4.5</w:t>
      </w:r>
      <w:r w:rsidR="00B73619" w:rsidRPr="00846D13">
        <w:t>cm</w:t>
      </w:r>
      <w:r w:rsidR="00B73619" w:rsidRPr="00B73619">
        <w:rPr>
          <w:vertAlign w:val="superscript"/>
        </w:rPr>
        <w:t>2</w:t>
      </w:r>
      <w:r w:rsidRPr="00846D13">
        <w:t xml:space="preserve"> as available, in order to avoid filter occlusion</w:t>
      </w:r>
      <w:r w:rsidR="00B73619">
        <w:t>.</w:t>
      </w:r>
    </w:p>
    <w:p w14:paraId="43B351CA" w14:textId="77777777" w:rsidR="00846D13" w:rsidRPr="00846D13" w:rsidRDefault="00846D13" w:rsidP="00B73619">
      <w:pPr>
        <w:ind w:left="720"/>
      </w:pPr>
      <w:r w:rsidRPr="00846D13">
        <w:t xml:space="preserve">Preparation of the </w:t>
      </w:r>
      <w:proofErr w:type="spellStart"/>
      <w:r w:rsidR="008F6668">
        <w:t>Kanuma</w:t>
      </w:r>
      <w:proofErr w:type="spellEnd"/>
      <w:r w:rsidR="00B73619">
        <w:t xml:space="preserve"> infusion</w:t>
      </w:r>
    </w:p>
    <w:p w14:paraId="5155974F" w14:textId="77777777" w:rsidR="00846D13" w:rsidRPr="00846D13" w:rsidRDefault="00846D13" w:rsidP="00B73619">
      <w:pPr>
        <w:pStyle w:val="ListBullet2"/>
      </w:pPr>
      <w:r w:rsidRPr="00846D13">
        <w:lastRenderedPageBreak/>
        <w:t>Determine the number of vials to be diluted for infusion based on the patien</w:t>
      </w:r>
      <w:r w:rsidR="00984096">
        <w:t>t’s weight and prescribed dose.</w:t>
      </w:r>
    </w:p>
    <w:p w14:paraId="5B9AA53D" w14:textId="77777777" w:rsidR="00846D13" w:rsidRDefault="00846D13" w:rsidP="00B73619">
      <w:pPr>
        <w:pStyle w:val="ListBullet2"/>
      </w:pPr>
      <w:r w:rsidRPr="00846D13">
        <w:t xml:space="preserve">Dilute the total calculated dose with 0.9% sodium chloride solution for infusion. See </w:t>
      </w:r>
      <w:r w:rsidRPr="00FE32BB">
        <w:t xml:space="preserve">Table </w:t>
      </w:r>
      <w:r w:rsidR="00B73619" w:rsidRPr="00FE32BB">
        <w:t>1</w:t>
      </w:r>
      <w:r w:rsidRPr="00846D13">
        <w:t xml:space="preserve"> for recommended in</w:t>
      </w:r>
      <w:r w:rsidR="00984096">
        <w:t>fusion volumes by weight range.</w:t>
      </w:r>
    </w:p>
    <w:p w14:paraId="56C1F272" w14:textId="77777777" w:rsidR="00984096" w:rsidRDefault="00984096" w:rsidP="00984096">
      <w:pPr>
        <w:pStyle w:val="Tabletitle"/>
      </w:pPr>
      <w:r>
        <w:t>Table 1</w:t>
      </w:r>
      <w:r w:rsidR="00B73619">
        <w:t>:</w:t>
      </w:r>
      <w:r>
        <w:t xml:space="preserve"> Recommended infusion volumes (1 mg/kg dose)</w:t>
      </w:r>
    </w:p>
    <w:p w14:paraId="697EDEB8" w14:textId="7D7F7C7F" w:rsidR="00984096" w:rsidRDefault="00B451DB" w:rsidP="00984096">
      <w:r w:rsidRPr="00B451DB">
        <w:rPr>
          <w:noProof/>
          <w:lang w:eastAsia="en-AU"/>
        </w:rPr>
        <w:t xml:space="preserve"> </w:t>
      </w:r>
      <w:r>
        <w:rPr>
          <w:noProof/>
          <w:lang w:eastAsia="en-AU"/>
        </w:rPr>
        <w:drawing>
          <wp:inline distT="0" distB="0" distL="0" distR="0" wp14:anchorId="3D8B9071" wp14:editId="2E3125EE">
            <wp:extent cx="4253023" cy="186167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54276" cy="1862219"/>
                    </a:xfrm>
                    <a:prstGeom prst="rect">
                      <a:avLst/>
                    </a:prstGeom>
                  </pic:spPr>
                </pic:pic>
              </a:graphicData>
            </a:graphic>
          </wp:inline>
        </w:drawing>
      </w:r>
    </w:p>
    <w:p w14:paraId="43333AD8" w14:textId="77777777" w:rsidR="00B73619" w:rsidRDefault="00984096" w:rsidP="00B73619">
      <w:pPr>
        <w:pStyle w:val="ListBullet2"/>
      </w:pPr>
      <w:r w:rsidRPr="00984096">
        <w:t>Mix gently. Do not shake the vials or the prepared infusion</w:t>
      </w:r>
      <w:r w:rsidR="00B73619">
        <w:t>.</w:t>
      </w:r>
    </w:p>
    <w:p w14:paraId="1F654FEE" w14:textId="77777777" w:rsidR="00B73619" w:rsidRDefault="00984096" w:rsidP="00B73619">
      <w:pPr>
        <w:pStyle w:val="ListBullet2"/>
      </w:pPr>
      <w:r w:rsidRPr="00984096">
        <w:t>Product is for single use in one patient only. Discard any unused portion left in the vial, as the product contains no preservatives</w:t>
      </w:r>
      <w:r w:rsidR="00B73619">
        <w:t>.</w:t>
      </w:r>
    </w:p>
    <w:p w14:paraId="0CB820AD" w14:textId="09A5E88A" w:rsidR="00984096" w:rsidRDefault="00984096" w:rsidP="00B73619">
      <w:pPr>
        <w:pStyle w:val="ListBullet2"/>
        <w:rPr>
          <w:lang w:eastAsia="ja-JP"/>
        </w:rPr>
      </w:pPr>
      <w:r w:rsidRPr="00984096">
        <w:t xml:space="preserve">No dosing adjustment is recommended in patients with renal or hepatic impairment based on current knowledge of the pharmacokinetics and pharmacodynamics of </w:t>
      </w:r>
      <w:proofErr w:type="spellStart"/>
      <w:r w:rsidRPr="00984096">
        <w:t>sebelipase</w:t>
      </w:r>
      <w:proofErr w:type="spellEnd"/>
      <w:r w:rsidRPr="00984096">
        <w:t xml:space="preserve"> alfa. Safety and efficacy data in pati</w:t>
      </w:r>
      <w:r w:rsidR="00B73619">
        <w:t>ents &gt; 18 years old are limited.</w:t>
      </w:r>
    </w:p>
    <w:p w14:paraId="0ECA3DB4" w14:textId="77777777" w:rsidR="00984096" w:rsidRPr="00984096" w:rsidRDefault="00984096" w:rsidP="00984096">
      <w:pPr>
        <w:pStyle w:val="Heading3"/>
      </w:pPr>
      <w:bookmarkStart w:id="19" w:name="_Toc468957425"/>
      <w:bookmarkStart w:id="20" w:name="_Toc519670938"/>
      <w:r w:rsidRPr="00984096">
        <w:t>Information on the condition being treated</w:t>
      </w:r>
      <w:bookmarkEnd w:id="19"/>
      <w:bookmarkEnd w:id="20"/>
    </w:p>
    <w:p w14:paraId="7FADE659" w14:textId="77777777" w:rsidR="00B73619" w:rsidRDefault="00984096" w:rsidP="00984096">
      <w:r w:rsidRPr="00984096">
        <w:t xml:space="preserve">LAL Deficiency is a very rare, serious and </w:t>
      </w:r>
      <w:r w:rsidR="00FD1D3C">
        <w:t>life threatening</w:t>
      </w:r>
      <w:r w:rsidRPr="00984096">
        <w:t xml:space="preserve"> lysosomal storage disorder caused by mutations affecting a single gene. It is associated with significant morbidity and mortality affecting individuals from infancy through to adulthood. LAL-D presenting in infants is a medical emergency with rapid disease progression over a period of weeks that is typically fatal within the first 6 months of life</w:t>
      </w:r>
      <w:r w:rsidR="00B73619">
        <w:t>.</w:t>
      </w:r>
    </w:p>
    <w:p w14:paraId="4D6ADADE" w14:textId="77777777" w:rsidR="00984096" w:rsidRPr="00984096" w:rsidRDefault="00984096" w:rsidP="00984096">
      <w:r w:rsidRPr="00984096">
        <w:t>LAL-D is an autosomal recessive lysosomal storage disorder characterised by a genetic defect resulting in a marked decrease or loss in activity of the lysosomal acid lipase (LAL) enzyme. Deficient LAL enzyme activity results in progressive complications due to the lysosomal accumulation of cholesteryl esters and triglycerides in multiple organs, including the liver, spleen, intestine and the walls of blood vessels. The resulting lipid accumulation in the liver leads to hepatomegaly, increased hepatic fat content, transaminase elevation signalling chronic liver injury, and progression to fibrosis, cirrhosis, and complications of end stage liver disease. In the spleen, LAL deficiency results in splenomegaly, anaemia and thrombocytopenia. Lipid accumulation in the intestinal wall leads to malabsorption and growth failure. In parallel, dyslipidaemia due to impaired degradation of lysosomal lipid is common with elevated low-density lipoprotein cholesterol (LDL-c) and triglycerides, and reduced high-density lipoprotein cholesterol (HDL-c). In addition to liver disease, patients with LAL-D experience increased risk for cardiovascular disease and accelerated atherosclerosis.</w:t>
      </w:r>
    </w:p>
    <w:p w14:paraId="175B5E47" w14:textId="77777777" w:rsidR="00984096" w:rsidRPr="006D4A16" w:rsidRDefault="00984096" w:rsidP="00984096">
      <w:pPr>
        <w:pStyle w:val="Heading3"/>
      </w:pPr>
      <w:bookmarkStart w:id="21" w:name="_Toc468957426"/>
      <w:bookmarkStart w:id="22" w:name="_Toc519670939"/>
      <w:r w:rsidRPr="006D4A16">
        <w:t>Current treatment options</w:t>
      </w:r>
      <w:bookmarkEnd w:id="21"/>
      <w:bookmarkEnd w:id="22"/>
    </w:p>
    <w:p w14:paraId="273C854A" w14:textId="77777777" w:rsidR="00B73619" w:rsidRDefault="00984096" w:rsidP="00984096">
      <w:pPr>
        <w:spacing w:before="0" w:line="240" w:lineRule="auto"/>
        <w:rPr>
          <w:rFonts w:asciiTheme="minorHAnsi" w:hAnsiTheme="minorHAnsi"/>
        </w:rPr>
      </w:pPr>
      <w:r>
        <w:rPr>
          <w:rFonts w:asciiTheme="minorHAnsi" w:hAnsiTheme="minorHAnsi"/>
          <w:bCs/>
          <w:iCs/>
        </w:rPr>
        <w:t xml:space="preserve">Current </w:t>
      </w:r>
      <w:r w:rsidRPr="006D4A16">
        <w:rPr>
          <w:rFonts w:asciiTheme="minorHAnsi" w:hAnsiTheme="minorHAnsi"/>
          <w:bCs/>
          <w:iCs/>
        </w:rPr>
        <w:t>t</w:t>
      </w:r>
      <w:r>
        <w:rPr>
          <w:rFonts w:asciiTheme="minorHAnsi" w:hAnsiTheme="minorHAnsi"/>
          <w:bCs/>
          <w:iCs/>
        </w:rPr>
        <w:t xml:space="preserve">reatment options for </w:t>
      </w:r>
      <w:r w:rsidRPr="006D4A16">
        <w:rPr>
          <w:rFonts w:asciiTheme="minorHAnsi" w:hAnsiTheme="minorHAnsi"/>
          <w:bCs/>
          <w:iCs/>
        </w:rPr>
        <w:t xml:space="preserve">patients with </w:t>
      </w:r>
      <w:r w:rsidRPr="00046D04">
        <w:rPr>
          <w:rFonts w:asciiTheme="minorHAnsi" w:hAnsiTheme="minorHAnsi"/>
          <w:bCs/>
          <w:iCs/>
        </w:rPr>
        <w:t>LAL Deficiency are limited</w:t>
      </w:r>
      <w:r w:rsidRPr="00046D04">
        <w:rPr>
          <w:rFonts w:asciiTheme="minorHAnsi" w:hAnsiTheme="minorHAnsi"/>
        </w:rPr>
        <w:t xml:space="preserve"> to supportive therapies, including nutritional support, blood transfusions and albumin in an attempt to mitigate some of the effects of this rapidly fatal disease</w:t>
      </w:r>
      <w:r>
        <w:rPr>
          <w:rFonts w:asciiTheme="minorHAnsi" w:hAnsiTheme="minorHAnsi"/>
        </w:rPr>
        <w:t xml:space="preserve"> (</w:t>
      </w:r>
      <w:r w:rsidR="00157E63">
        <w:rPr>
          <w:rFonts w:asciiTheme="minorHAnsi" w:hAnsiTheme="minorHAnsi"/>
        </w:rPr>
        <w:t>Study</w:t>
      </w:r>
      <w:r>
        <w:rPr>
          <w:rFonts w:asciiTheme="minorHAnsi" w:hAnsiTheme="minorHAnsi"/>
        </w:rPr>
        <w:t xml:space="preserve"> LAL-1-NH01). </w:t>
      </w:r>
      <w:r w:rsidRPr="00046D04">
        <w:rPr>
          <w:rFonts w:asciiTheme="minorHAnsi" w:hAnsiTheme="minorHAnsi"/>
        </w:rPr>
        <w:t xml:space="preserve">Although some temporary </w:t>
      </w:r>
      <w:r w:rsidRPr="00046D04">
        <w:rPr>
          <w:rFonts w:asciiTheme="minorHAnsi" w:hAnsiTheme="minorHAnsi"/>
        </w:rPr>
        <w:lastRenderedPageBreak/>
        <w:t>stabilisation of the clinical condition has been described, these interventions do not appear to substantially modify the outcome in affected patients (</w:t>
      </w:r>
      <w:proofErr w:type="spellStart"/>
      <w:r w:rsidRPr="00022AC8">
        <w:rPr>
          <w:rFonts w:asciiTheme="minorHAnsi" w:hAnsiTheme="minorHAnsi"/>
        </w:rPr>
        <w:t>Hoeg</w:t>
      </w:r>
      <w:proofErr w:type="spellEnd"/>
      <w:r w:rsidRPr="00022AC8">
        <w:rPr>
          <w:rFonts w:asciiTheme="minorHAnsi" w:hAnsiTheme="minorHAnsi"/>
        </w:rPr>
        <w:t>, 1984; Meyers, 1985).</w:t>
      </w:r>
      <w:r w:rsidRPr="00046D04">
        <w:rPr>
          <w:rFonts w:asciiTheme="minorHAnsi" w:hAnsiTheme="minorHAnsi"/>
        </w:rPr>
        <w:t xml:space="preserve"> With few exceptions, success has not been achieved using haematopoietic stem cell transplantation (HSCT) in infants</w:t>
      </w:r>
      <w:r>
        <w:rPr>
          <w:rFonts w:asciiTheme="minorHAnsi" w:hAnsiTheme="minorHAnsi"/>
        </w:rPr>
        <w:t xml:space="preserve"> due to its limited use </w:t>
      </w:r>
      <w:r w:rsidRPr="00046D04">
        <w:rPr>
          <w:rFonts w:asciiTheme="minorHAnsi" w:hAnsiTheme="minorHAnsi"/>
        </w:rPr>
        <w:t>and/or associat</w:t>
      </w:r>
      <w:r>
        <w:rPr>
          <w:rFonts w:asciiTheme="minorHAnsi" w:hAnsiTheme="minorHAnsi"/>
        </w:rPr>
        <w:t>ion</w:t>
      </w:r>
      <w:r w:rsidRPr="00046D04">
        <w:rPr>
          <w:rFonts w:asciiTheme="minorHAnsi" w:hAnsiTheme="minorHAnsi"/>
        </w:rPr>
        <w:t xml:space="preserve"> with high mortality due to the condition of the infants at the time of diagnosis and the rapidly progressive nature of the disease. Additionally, HSCT carries its own inherent risks, including graft-versus-host disease and does not fully address all aspects of the disease as it only replaces haematopoietic cells and therefore cannot resolve hepatic or other complications of the enzyme deficiency (</w:t>
      </w:r>
      <w:proofErr w:type="spellStart"/>
      <w:r w:rsidR="00B73619" w:rsidRPr="00D96127">
        <w:rPr>
          <w:rFonts w:asciiTheme="minorHAnsi" w:hAnsiTheme="minorHAnsi"/>
        </w:rPr>
        <w:t>Kri</w:t>
      </w:r>
      <w:r w:rsidRPr="00D96127">
        <w:rPr>
          <w:rFonts w:asciiTheme="minorHAnsi" w:hAnsiTheme="minorHAnsi"/>
        </w:rPr>
        <w:t>vit</w:t>
      </w:r>
      <w:proofErr w:type="spellEnd"/>
      <w:r w:rsidRPr="00D96127">
        <w:rPr>
          <w:rFonts w:asciiTheme="minorHAnsi" w:hAnsiTheme="minorHAnsi"/>
        </w:rPr>
        <w:t>, 2000;</w:t>
      </w:r>
      <w:r w:rsidRPr="00046D04">
        <w:rPr>
          <w:rFonts w:asciiTheme="minorHAnsi" w:hAnsiTheme="minorHAnsi"/>
        </w:rPr>
        <w:t xml:space="preserve"> </w:t>
      </w:r>
      <w:r w:rsidRPr="00022AC8">
        <w:rPr>
          <w:rFonts w:asciiTheme="minorHAnsi" w:hAnsiTheme="minorHAnsi"/>
        </w:rPr>
        <w:t xml:space="preserve">Stein, 2007; </w:t>
      </w:r>
      <w:proofErr w:type="spellStart"/>
      <w:r w:rsidRPr="00022AC8">
        <w:rPr>
          <w:rFonts w:asciiTheme="minorHAnsi" w:hAnsiTheme="minorHAnsi"/>
        </w:rPr>
        <w:t>Tolar</w:t>
      </w:r>
      <w:proofErr w:type="spellEnd"/>
      <w:r w:rsidRPr="00022AC8">
        <w:rPr>
          <w:rFonts w:asciiTheme="minorHAnsi" w:hAnsiTheme="minorHAnsi"/>
        </w:rPr>
        <w:t xml:space="preserve">, 2009; </w:t>
      </w:r>
      <w:proofErr w:type="spellStart"/>
      <w:r w:rsidRPr="00022AC8">
        <w:rPr>
          <w:rFonts w:asciiTheme="minorHAnsi" w:hAnsiTheme="minorHAnsi"/>
        </w:rPr>
        <w:t>Yanir</w:t>
      </w:r>
      <w:proofErr w:type="spellEnd"/>
      <w:r w:rsidRPr="00022AC8">
        <w:rPr>
          <w:rFonts w:asciiTheme="minorHAnsi" w:hAnsiTheme="minorHAnsi"/>
        </w:rPr>
        <w:t>, 2013).</w:t>
      </w:r>
      <w:r w:rsidRPr="00046D04">
        <w:rPr>
          <w:rFonts w:asciiTheme="minorHAnsi" w:hAnsiTheme="minorHAnsi"/>
        </w:rPr>
        <w:t xml:space="preserve"> In the natural history </w:t>
      </w:r>
      <w:r w:rsidR="00157E63">
        <w:rPr>
          <w:rFonts w:asciiTheme="minorHAnsi" w:hAnsiTheme="minorHAnsi"/>
        </w:rPr>
        <w:t>Study</w:t>
      </w:r>
      <w:r w:rsidRPr="00046D04">
        <w:rPr>
          <w:rFonts w:asciiTheme="minorHAnsi" w:hAnsiTheme="minorHAnsi"/>
        </w:rPr>
        <w:t xml:space="preserve"> LAL-1-NH01, median survival was noted to be longer for patients who received HSCT (and/or liver transplant) compared to those who did not; however, survival is still quite poor with median age at death of 8.6 months</w:t>
      </w:r>
      <w:r w:rsidR="00B73619">
        <w:rPr>
          <w:rFonts w:asciiTheme="minorHAnsi" w:hAnsiTheme="minorHAnsi"/>
        </w:rPr>
        <w:t>.</w:t>
      </w:r>
    </w:p>
    <w:p w14:paraId="57D223E6" w14:textId="77777777" w:rsidR="00984096" w:rsidRPr="00984096" w:rsidRDefault="00984096" w:rsidP="00984096">
      <w:pPr>
        <w:spacing w:before="0" w:line="240" w:lineRule="auto"/>
        <w:rPr>
          <w:rFonts w:asciiTheme="minorHAnsi" w:hAnsiTheme="minorHAnsi"/>
        </w:rPr>
      </w:pPr>
      <w:r w:rsidRPr="00046D04">
        <w:rPr>
          <w:rFonts w:asciiTheme="minorHAnsi" w:hAnsiTheme="minorHAnsi"/>
        </w:rPr>
        <w:t xml:space="preserve">Treatment for children or adults presenting with LAL Deficiency is limited to liver transplant as liver function deteriorates, and attempts to manage dyslipidaemia through diet and the use of </w:t>
      </w:r>
      <w:r w:rsidR="002D28A4">
        <w:rPr>
          <w:rFonts w:asciiTheme="minorHAnsi" w:hAnsiTheme="minorHAnsi"/>
        </w:rPr>
        <w:t>lipid lowering</w:t>
      </w:r>
      <w:r w:rsidRPr="00046D04">
        <w:rPr>
          <w:rFonts w:asciiTheme="minorHAnsi" w:hAnsiTheme="minorHAnsi"/>
        </w:rPr>
        <w:t xml:space="preserve"> medications (LLMs).</w:t>
      </w:r>
      <w:r>
        <w:rPr>
          <w:rFonts w:asciiTheme="minorHAnsi" w:hAnsiTheme="minorHAnsi"/>
        </w:rPr>
        <w:t xml:space="preserve"> T</w:t>
      </w:r>
      <w:r w:rsidRPr="00046D04">
        <w:rPr>
          <w:rFonts w:asciiTheme="minorHAnsi" w:hAnsiTheme="minorHAnsi"/>
        </w:rPr>
        <w:t xml:space="preserve">here is limited information in the medical literature on the </w:t>
      </w:r>
      <w:r w:rsidR="008F6668">
        <w:rPr>
          <w:rFonts w:asciiTheme="minorHAnsi" w:hAnsiTheme="minorHAnsi"/>
        </w:rPr>
        <w:t>long term</w:t>
      </w:r>
      <w:r w:rsidRPr="00046D04">
        <w:rPr>
          <w:rFonts w:asciiTheme="minorHAnsi" w:hAnsiTheme="minorHAnsi"/>
        </w:rPr>
        <w:t xml:space="preserve"> outcomes of liver transplantation in patients with LAL Deficiency (</w:t>
      </w:r>
      <w:r w:rsidRPr="00022AC8">
        <w:rPr>
          <w:rFonts w:asciiTheme="minorHAnsi" w:hAnsiTheme="minorHAnsi"/>
        </w:rPr>
        <w:t>Ferry, 1991</w:t>
      </w:r>
      <w:r w:rsidRPr="00046D04">
        <w:rPr>
          <w:rFonts w:asciiTheme="minorHAnsi" w:hAnsiTheme="minorHAnsi"/>
        </w:rPr>
        <w:t xml:space="preserve">; </w:t>
      </w:r>
      <w:proofErr w:type="spellStart"/>
      <w:r w:rsidRPr="00D96127">
        <w:rPr>
          <w:rFonts w:asciiTheme="minorHAnsi" w:hAnsiTheme="minorHAnsi"/>
        </w:rPr>
        <w:t>Krivit</w:t>
      </w:r>
      <w:proofErr w:type="spellEnd"/>
      <w:r w:rsidRPr="00D96127">
        <w:rPr>
          <w:rFonts w:asciiTheme="minorHAnsi" w:hAnsiTheme="minorHAnsi"/>
        </w:rPr>
        <w:t>, 1992; Ka</w:t>
      </w:r>
      <w:r w:rsidRPr="00022AC8">
        <w:rPr>
          <w:rFonts w:asciiTheme="minorHAnsi" w:hAnsiTheme="minorHAnsi"/>
        </w:rPr>
        <w:t>le, 1995; Hansen, 2008). In</w:t>
      </w:r>
      <w:r w:rsidRPr="00046D04">
        <w:rPr>
          <w:rFonts w:asciiTheme="minorHAnsi" w:hAnsiTheme="minorHAnsi"/>
        </w:rPr>
        <w:t xml:space="preserve"> addition to the important risks associated with transplantation itself, and the required concomitant immunosuppression </w:t>
      </w:r>
      <w:r w:rsidRPr="00A75135">
        <w:rPr>
          <w:rFonts w:asciiTheme="minorHAnsi" w:hAnsiTheme="minorHAnsi"/>
        </w:rPr>
        <w:t xml:space="preserve">post-transplant, liver transplant does not fully address the root cause of disease since other cells and tissues, including cells of haematopoietic lineage which will repopulate the transplanted liver, will </w:t>
      </w:r>
      <w:r w:rsidRPr="00B90407">
        <w:rPr>
          <w:rFonts w:asciiTheme="minorHAnsi" w:hAnsiTheme="minorHAnsi"/>
        </w:rPr>
        <w:t>remain enzyme deficient in transplanted patients; hence, other disease complications may persist even if transplants are successful.</w:t>
      </w:r>
    </w:p>
    <w:p w14:paraId="33B81B5A" w14:textId="77777777" w:rsidR="00586F98" w:rsidRDefault="00586F98" w:rsidP="006B4C50">
      <w:pPr>
        <w:pStyle w:val="Heading2"/>
      </w:pPr>
      <w:bookmarkStart w:id="23" w:name="_Toc519670940"/>
      <w:r w:rsidRPr="0094614A">
        <w:t>Clinical rationale</w:t>
      </w:r>
      <w:bookmarkEnd w:id="23"/>
    </w:p>
    <w:p w14:paraId="38FE1BA5" w14:textId="77777777" w:rsidR="00984096" w:rsidRDefault="00984096" w:rsidP="0056581A">
      <w:proofErr w:type="spellStart"/>
      <w:r w:rsidRPr="00B90407">
        <w:t>Sebelipase</w:t>
      </w:r>
      <w:proofErr w:type="spellEnd"/>
      <w:r w:rsidRPr="00B90407">
        <w:t xml:space="preserve"> alfa is the first ERT to be developed for LAL Deficiency and treatment with </w:t>
      </w:r>
      <w:proofErr w:type="spellStart"/>
      <w:r w:rsidRPr="00B90407">
        <w:t>sebelipase</w:t>
      </w:r>
      <w:proofErr w:type="spellEnd"/>
      <w:r w:rsidRPr="00B90407">
        <w:t xml:space="preserve"> alfa is intended to directly address the root cause of disease by replacement of the missing or deficient enzyme resulting in reduction of the accumulated substrates and restoration of normal lipid metabolism.</w:t>
      </w:r>
    </w:p>
    <w:p w14:paraId="07775B84" w14:textId="527511BF" w:rsidR="00984096" w:rsidRDefault="00984096" w:rsidP="00984096">
      <w:pPr>
        <w:spacing w:before="0" w:line="240" w:lineRule="auto"/>
        <w:rPr>
          <w:rFonts w:asciiTheme="minorHAnsi" w:hAnsiTheme="minorHAnsi"/>
        </w:rPr>
      </w:pPr>
      <w:proofErr w:type="spellStart"/>
      <w:r w:rsidRPr="00B90407">
        <w:rPr>
          <w:rFonts w:asciiTheme="minorHAnsi" w:hAnsiTheme="minorHAnsi"/>
        </w:rPr>
        <w:t>Sebelipase</w:t>
      </w:r>
      <w:proofErr w:type="spellEnd"/>
      <w:r w:rsidRPr="00B90407">
        <w:rPr>
          <w:rFonts w:asciiTheme="minorHAnsi" w:hAnsiTheme="minorHAnsi"/>
        </w:rPr>
        <w:t xml:space="preserve"> alfa binds to cell surface receptors via </w:t>
      </w:r>
      <w:proofErr w:type="spellStart"/>
      <w:r w:rsidRPr="00B90407">
        <w:rPr>
          <w:rFonts w:asciiTheme="minorHAnsi" w:hAnsiTheme="minorHAnsi"/>
        </w:rPr>
        <w:t>glycans</w:t>
      </w:r>
      <w:proofErr w:type="spellEnd"/>
      <w:r w:rsidRPr="00B90407">
        <w:rPr>
          <w:rFonts w:asciiTheme="minorHAnsi" w:hAnsiTheme="minorHAnsi"/>
        </w:rPr>
        <w:t xml:space="preserve"> expressed on the protein and is subsequently </w:t>
      </w:r>
      <w:r>
        <w:rPr>
          <w:rFonts w:asciiTheme="minorHAnsi" w:hAnsiTheme="minorHAnsi"/>
        </w:rPr>
        <w:t>internalis</w:t>
      </w:r>
      <w:r w:rsidRPr="00B90407">
        <w:rPr>
          <w:rFonts w:asciiTheme="minorHAnsi" w:hAnsiTheme="minorHAnsi"/>
        </w:rPr>
        <w:t xml:space="preserve">ed into lysosomes. </w:t>
      </w:r>
      <w:proofErr w:type="gramStart"/>
      <w:r>
        <w:rPr>
          <w:rFonts w:asciiTheme="minorHAnsi" w:hAnsiTheme="minorHAnsi"/>
        </w:rPr>
        <w:t xml:space="preserve">It </w:t>
      </w:r>
      <w:r w:rsidRPr="00B90407">
        <w:rPr>
          <w:rFonts w:asciiTheme="minorHAnsi" w:hAnsiTheme="minorHAnsi"/>
        </w:rPr>
        <w:t>catalyses the lysosomal hydrolysis of cholesteryl esters and triglycerides to free cholesterol, glycerol and free fatty acids.</w:t>
      </w:r>
      <w:proofErr w:type="gramEnd"/>
      <w:r w:rsidRPr="00B90407">
        <w:rPr>
          <w:rFonts w:asciiTheme="minorHAnsi" w:hAnsiTheme="minorHAnsi"/>
        </w:rPr>
        <w:t xml:space="preserve"> Replacement of LAL enzyme activity </w:t>
      </w:r>
      <w:r>
        <w:rPr>
          <w:rFonts w:asciiTheme="minorHAnsi" w:hAnsiTheme="minorHAnsi"/>
        </w:rPr>
        <w:t xml:space="preserve">would potentially lead to </w:t>
      </w:r>
      <w:r w:rsidRPr="00B90407">
        <w:rPr>
          <w:rFonts w:asciiTheme="minorHAnsi" w:hAnsiTheme="minorHAnsi"/>
        </w:rPr>
        <w:t xml:space="preserve">reductions in liver fat content and transaminases, enable metabolism of cholesteryl esters and triglycerides in the lysosome, leading to reductions in LDL-c, non-HDL-c, and triglycerides, and increases in HDL-c. </w:t>
      </w:r>
      <w:r>
        <w:rPr>
          <w:rFonts w:asciiTheme="minorHAnsi" w:hAnsiTheme="minorHAnsi"/>
        </w:rPr>
        <w:t>A</w:t>
      </w:r>
      <w:r w:rsidRPr="00B90407">
        <w:rPr>
          <w:rFonts w:asciiTheme="minorHAnsi" w:hAnsiTheme="minorHAnsi"/>
        </w:rPr>
        <w:t>s a result of substrate reduction in the intestine</w:t>
      </w:r>
      <w:r>
        <w:rPr>
          <w:rFonts w:asciiTheme="minorHAnsi" w:hAnsiTheme="minorHAnsi"/>
        </w:rPr>
        <w:t xml:space="preserve">, treatment with proposed </w:t>
      </w:r>
      <w:proofErr w:type="spellStart"/>
      <w:r>
        <w:rPr>
          <w:rFonts w:asciiTheme="minorHAnsi" w:hAnsiTheme="minorHAnsi"/>
        </w:rPr>
        <w:t>sebelipase</w:t>
      </w:r>
      <w:proofErr w:type="spellEnd"/>
      <w:r>
        <w:rPr>
          <w:rFonts w:asciiTheme="minorHAnsi" w:hAnsiTheme="minorHAnsi"/>
        </w:rPr>
        <w:t xml:space="preserve"> alfa could also lead to an im</w:t>
      </w:r>
      <w:r w:rsidRPr="00B90407">
        <w:rPr>
          <w:rFonts w:asciiTheme="minorHAnsi" w:hAnsiTheme="minorHAnsi"/>
        </w:rPr>
        <w:t>provement in growth</w:t>
      </w:r>
      <w:r>
        <w:rPr>
          <w:rFonts w:asciiTheme="minorHAnsi" w:hAnsiTheme="minorHAnsi"/>
        </w:rPr>
        <w:t>.</w:t>
      </w:r>
      <w:r w:rsidRPr="00B90407">
        <w:rPr>
          <w:rFonts w:asciiTheme="minorHAnsi" w:hAnsiTheme="minorHAnsi"/>
          <w:bCs/>
          <w:iCs/>
        </w:rPr>
        <w:t xml:space="preserve"> </w:t>
      </w:r>
      <w:r w:rsidRPr="00B90407">
        <w:rPr>
          <w:rFonts w:asciiTheme="minorHAnsi" w:hAnsiTheme="minorHAnsi"/>
        </w:rPr>
        <w:t xml:space="preserve">Enzyme replacement therapy in patients with LAL Deficiency is a rational approach given the demonstrated medical value and </w:t>
      </w:r>
      <w:r w:rsidR="008F6668">
        <w:rPr>
          <w:rFonts w:asciiTheme="minorHAnsi" w:hAnsiTheme="minorHAnsi"/>
        </w:rPr>
        <w:t>long term</w:t>
      </w:r>
      <w:r w:rsidRPr="00B90407">
        <w:rPr>
          <w:rFonts w:asciiTheme="minorHAnsi" w:hAnsiTheme="minorHAnsi"/>
        </w:rPr>
        <w:t xml:space="preserve"> safety of ERTs for other </w:t>
      </w:r>
      <w:r w:rsidR="00F056E7">
        <w:rPr>
          <w:rFonts w:asciiTheme="minorHAnsi" w:hAnsiTheme="minorHAnsi"/>
        </w:rPr>
        <w:t xml:space="preserve">lysosomal storage disorders </w:t>
      </w:r>
      <w:r>
        <w:rPr>
          <w:rFonts w:asciiTheme="minorHAnsi" w:hAnsiTheme="minorHAnsi"/>
        </w:rPr>
        <w:t>(</w:t>
      </w:r>
      <w:r w:rsidRPr="00B90407">
        <w:rPr>
          <w:rFonts w:asciiTheme="minorHAnsi" w:hAnsiTheme="minorHAnsi"/>
        </w:rPr>
        <w:t>LSDs</w:t>
      </w:r>
      <w:r>
        <w:rPr>
          <w:rFonts w:asciiTheme="minorHAnsi" w:hAnsiTheme="minorHAnsi"/>
        </w:rPr>
        <w:t>)</w:t>
      </w:r>
      <w:r w:rsidRPr="00B90407">
        <w:rPr>
          <w:rFonts w:asciiTheme="minorHAnsi" w:hAnsiTheme="minorHAnsi"/>
        </w:rPr>
        <w:t xml:space="preserve">, including </w:t>
      </w:r>
      <w:proofErr w:type="spellStart"/>
      <w:proofErr w:type="gramStart"/>
      <w:r w:rsidRPr="00B90407">
        <w:rPr>
          <w:rFonts w:asciiTheme="minorHAnsi" w:hAnsiTheme="minorHAnsi"/>
        </w:rPr>
        <w:t>Gaucher</w:t>
      </w:r>
      <w:proofErr w:type="spellEnd"/>
      <w:proofErr w:type="gramEnd"/>
      <w:r w:rsidRPr="00B90407">
        <w:rPr>
          <w:rFonts w:asciiTheme="minorHAnsi" w:hAnsiTheme="minorHAnsi"/>
        </w:rPr>
        <w:t xml:space="preserve"> disease, </w:t>
      </w:r>
      <w:proofErr w:type="spellStart"/>
      <w:r w:rsidRPr="00B90407">
        <w:rPr>
          <w:rFonts w:asciiTheme="minorHAnsi" w:hAnsiTheme="minorHAnsi"/>
        </w:rPr>
        <w:t>Pompe</w:t>
      </w:r>
      <w:proofErr w:type="spellEnd"/>
      <w:r w:rsidRPr="00B90407">
        <w:rPr>
          <w:rFonts w:asciiTheme="minorHAnsi" w:hAnsiTheme="minorHAnsi"/>
        </w:rPr>
        <w:t xml:space="preserve"> disease, </w:t>
      </w:r>
      <w:proofErr w:type="spellStart"/>
      <w:r w:rsidRPr="00B90407">
        <w:rPr>
          <w:rFonts w:asciiTheme="minorHAnsi" w:hAnsiTheme="minorHAnsi"/>
        </w:rPr>
        <w:t>Fabry</w:t>
      </w:r>
      <w:proofErr w:type="spellEnd"/>
      <w:r w:rsidRPr="00B90407">
        <w:rPr>
          <w:rFonts w:asciiTheme="minorHAnsi" w:hAnsiTheme="minorHAnsi"/>
        </w:rPr>
        <w:t xml:space="preserve"> disease, and the </w:t>
      </w:r>
      <w:proofErr w:type="spellStart"/>
      <w:r w:rsidRPr="00B90407">
        <w:rPr>
          <w:rFonts w:asciiTheme="minorHAnsi" w:hAnsiTheme="minorHAnsi"/>
        </w:rPr>
        <w:t>mucopolysaccharidoses</w:t>
      </w:r>
      <w:proofErr w:type="spellEnd"/>
      <w:r w:rsidRPr="00B90407">
        <w:rPr>
          <w:rFonts w:asciiTheme="minorHAnsi" w:hAnsiTheme="minorHAnsi"/>
        </w:rPr>
        <w:t>.</w:t>
      </w:r>
    </w:p>
    <w:p w14:paraId="08FE90E0" w14:textId="77777777" w:rsidR="00984096" w:rsidRPr="00984096" w:rsidRDefault="00984096" w:rsidP="00984096">
      <w:pPr>
        <w:pStyle w:val="Heading3"/>
      </w:pPr>
      <w:bookmarkStart w:id="24" w:name="_Toc468957429"/>
      <w:bookmarkStart w:id="25" w:name="_Toc519670941"/>
      <w:r w:rsidRPr="00984096">
        <w:t>Formulation development</w:t>
      </w:r>
      <w:bookmarkEnd w:id="24"/>
      <w:bookmarkEnd w:id="25"/>
    </w:p>
    <w:p w14:paraId="2908A483" w14:textId="7DD8769D" w:rsidR="00984096" w:rsidRPr="0070734C" w:rsidRDefault="00984096" w:rsidP="00984096">
      <w:pPr>
        <w:spacing w:before="0" w:line="240" w:lineRule="auto"/>
        <w:rPr>
          <w:rFonts w:asciiTheme="minorHAnsi" w:hAnsiTheme="minorHAnsi"/>
        </w:rPr>
      </w:pPr>
      <w:proofErr w:type="spellStart"/>
      <w:r w:rsidRPr="0070734C">
        <w:rPr>
          <w:rFonts w:asciiTheme="minorHAnsi" w:hAnsiTheme="minorHAnsi"/>
        </w:rPr>
        <w:t>Sebelipase</w:t>
      </w:r>
      <w:proofErr w:type="spellEnd"/>
      <w:r w:rsidRPr="0070734C">
        <w:rPr>
          <w:rFonts w:asciiTheme="minorHAnsi" w:hAnsiTheme="minorHAnsi"/>
        </w:rPr>
        <w:t xml:space="preserve"> alfa is a recombinant human lysosomal acid lipase (</w:t>
      </w:r>
      <w:proofErr w:type="spellStart"/>
      <w:r w:rsidRPr="0070734C">
        <w:rPr>
          <w:rFonts w:asciiTheme="minorHAnsi" w:hAnsiTheme="minorHAnsi"/>
        </w:rPr>
        <w:t>rhLAL</w:t>
      </w:r>
      <w:proofErr w:type="spellEnd"/>
      <w:r w:rsidRPr="0070734C">
        <w:rPr>
          <w:rFonts w:asciiTheme="minorHAnsi" w:hAnsiTheme="minorHAnsi"/>
        </w:rPr>
        <w:t xml:space="preserve">) produced by recombinant DNA technology and purified from the egg white of genetically engineered chickens </w:t>
      </w:r>
      <w:r w:rsidR="00F056E7">
        <w:rPr>
          <w:rFonts w:asciiTheme="minorHAnsi" w:hAnsiTheme="minorHAnsi"/>
        </w:rPr>
        <w:t>(</w:t>
      </w:r>
      <w:r w:rsidRPr="0070734C">
        <w:rPr>
          <w:rFonts w:asciiTheme="minorHAnsi" w:hAnsiTheme="minorHAnsi"/>
        </w:rPr>
        <w:t xml:space="preserve">transgenic </w:t>
      </w:r>
      <w:r w:rsidRPr="0070734C">
        <w:rPr>
          <w:rFonts w:asciiTheme="minorHAnsi" w:hAnsiTheme="minorHAnsi"/>
          <w:i/>
          <w:iCs/>
        </w:rPr>
        <w:t>Gallus</w:t>
      </w:r>
      <w:r w:rsidR="00F056E7" w:rsidRPr="00FE2AA6">
        <w:rPr>
          <w:rFonts w:asciiTheme="minorHAnsi" w:hAnsiTheme="minorHAnsi"/>
          <w:iCs/>
        </w:rPr>
        <w:t>)</w:t>
      </w:r>
      <w:r w:rsidRPr="00F056E7">
        <w:rPr>
          <w:rFonts w:asciiTheme="minorHAnsi" w:hAnsiTheme="minorHAnsi"/>
        </w:rPr>
        <w:t xml:space="preserve">. </w:t>
      </w:r>
      <w:r w:rsidRPr="0070734C">
        <w:rPr>
          <w:rFonts w:asciiTheme="minorHAnsi" w:hAnsiTheme="minorHAnsi"/>
        </w:rPr>
        <w:t xml:space="preserve">Purified </w:t>
      </w:r>
      <w:proofErr w:type="spellStart"/>
      <w:r w:rsidRPr="0070734C">
        <w:rPr>
          <w:rFonts w:asciiTheme="minorHAnsi" w:hAnsiTheme="minorHAnsi"/>
        </w:rPr>
        <w:t>sebelipase</w:t>
      </w:r>
      <w:proofErr w:type="spellEnd"/>
      <w:r w:rsidRPr="0070734C">
        <w:rPr>
          <w:rFonts w:asciiTheme="minorHAnsi" w:hAnsiTheme="minorHAnsi"/>
        </w:rPr>
        <w:t xml:space="preserve"> alfa is a monomeric glycoprotein containing 6 N-linked glycosylation sites with a molecular weight of </w:t>
      </w:r>
      <w:r w:rsidR="00B73619">
        <w:rPr>
          <w:rFonts w:asciiTheme="minorHAnsi" w:hAnsiTheme="minorHAnsi"/>
        </w:rPr>
        <w:t>approximately</w:t>
      </w:r>
      <w:r w:rsidRPr="0070734C">
        <w:rPr>
          <w:rFonts w:asciiTheme="minorHAnsi" w:hAnsiTheme="minorHAnsi"/>
        </w:rPr>
        <w:t xml:space="preserve"> 55 </w:t>
      </w:r>
      <w:proofErr w:type="spellStart"/>
      <w:r w:rsidRPr="0070734C">
        <w:rPr>
          <w:rFonts w:asciiTheme="minorHAnsi" w:hAnsiTheme="minorHAnsi"/>
        </w:rPr>
        <w:t>kDa</w:t>
      </w:r>
      <w:proofErr w:type="spellEnd"/>
      <w:r w:rsidRPr="0070734C">
        <w:rPr>
          <w:rFonts w:asciiTheme="minorHAnsi" w:hAnsiTheme="minorHAnsi"/>
        </w:rPr>
        <w:t>.</w:t>
      </w:r>
    </w:p>
    <w:p w14:paraId="4B9C05D6" w14:textId="0D2113C5" w:rsidR="00B73619" w:rsidRDefault="00984096" w:rsidP="00984096">
      <w:pPr>
        <w:autoSpaceDE w:val="0"/>
        <w:autoSpaceDN w:val="0"/>
        <w:adjustRightInd w:val="0"/>
        <w:spacing w:before="0" w:line="240" w:lineRule="auto"/>
        <w:rPr>
          <w:rFonts w:asciiTheme="minorHAnsi" w:eastAsiaTheme="minorHAnsi" w:hAnsiTheme="minorHAnsi"/>
          <w:color w:val="000000"/>
        </w:rPr>
      </w:pPr>
      <w:proofErr w:type="spellStart"/>
      <w:r w:rsidRPr="0070734C">
        <w:rPr>
          <w:rFonts w:asciiTheme="minorHAnsi" w:eastAsiaTheme="minorHAnsi" w:hAnsiTheme="minorHAnsi"/>
          <w:color w:val="000000"/>
        </w:rPr>
        <w:t>Sebelipase</w:t>
      </w:r>
      <w:proofErr w:type="spellEnd"/>
      <w:r w:rsidRPr="0070734C">
        <w:rPr>
          <w:rFonts w:asciiTheme="minorHAnsi" w:eastAsiaTheme="minorHAnsi" w:hAnsiTheme="minorHAnsi"/>
          <w:color w:val="000000"/>
        </w:rPr>
        <w:t xml:space="preserve"> alfa is supplied as a clear to slightly opalescent, colourless to slightly coloured liquid, in sterile vials containing approximately 10.5 mL (including 5% overfill) of a buffered solution</w:t>
      </w:r>
      <w:r>
        <w:rPr>
          <w:rFonts w:asciiTheme="minorHAnsi" w:eastAsiaTheme="minorHAnsi" w:hAnsiTheme="minorHAnsi"/>
          <w:color w:val="000000"/>
        </w:rPr>
        <w:t xml:space="preserve"> </w:t>
      </w:r>
      <w:r w:rsidRPr="0070734C">
        <w:rPr>
          <w:rFonts w:asciiTheme="minorHAnsi" w:eastAsiaTheme="minorHAnsi" w:hAnsiTheme="minorHAnsi"/>
          <w:color w:val="000000"/>
        </w:rPr>
        <w:t xml:space="preserve">of </w:t>
      </w:r>
      <w:proofErr w:type="spellStart"/>
      <w:r w:rsidRPr="0070734C">
        <w:rPr>
          <w:rFonts w:asciiTheme="minorHAnsi" w:eastAsiaTheme="minorHAnsi" w:hAnsiTheme="minorHAnsi"/>
          <w:color w:val="000000"/>
        </w:rPr>
        <w:t>sebelipase</w:t>
      </w:r>
      <w:proofErr w:type="spellEnd"/>
      <w:r w:rsidRPr="0070734C">
        <w:rPr>
          <w:rFonts w:asciiTheme="minorHAnsi" w:eastAsiaTheme="minorHAnsi" w:hAnsiTheme="minorHAnsi"/>
          <w:color w:val="000000"/>
        </w:rPr>
        <w:t xml:space="preserve"> alfa at a concentration of 2 mg/</w:t>
      </w:r>
      <w:proofErr w:type="spellStart"/>
      <w:r w:rsidRPr="0070734C">
        <w:rPr>
          <w:rFonts w:asciiTheme="minorHAnsi" w:eastAsiaTheme="minorHAnsi" w:hAnsiTheme="minorHAnsi"/>
          <w:color w:val="000000"/>
        </w:rPr>
        <w:t>mL.</w:t>
      </w:r>
      <w:proofErr w:type="spellEnd"/>
      <w:r w:rsidRPr="0070734C">
        <w:rPr>
          <w:rFonts w:asciiTheme="minorHAnsi" w:eastAsiaTheme="minorHAnsi" w:hAnsiTheme="minorHAnsi"/>
          <w:color w:val="000000"/>
        </w:rPr>
        <w:t xml:space="preserve"> Each </w:t>
      </w:r>
      <w:r w:rsidR="00B73619">
        <w:rPr>
          <w:rFonts w:asciiTheme="minorHAnsi" w:eastAsiaTheme="minorHAnsi" w:hAnsiTheme="minorHAnsi"/>
          <w:color w:val="000000"/>
        </w:rPr>
        <w:t>single use</w:t>
      </w:r>
      <w:r w:rsidRPr="0070734C">
        <w:rPr>
          <w:rFonts w:asciiTheme="minorHAnsi" w:eastAsiaTheme="minorHAnsi" w:hAnsiTheme="minorHAnsi"/>
          <w:color w:val="000000"/>
        </w:rPr>
        <w:t xml:space="preserve"> vial of </w:t>
      </w:r>
      <w:proofErr w:type="spellStart"/>
      <w:r w:rsidRPr="0070734C">
        <w:rPr>
          <w:rFonts w:asciiTheme="minorHAnsi" w:eastAsiaTheme="minorHAnsi" w:hAnsiTheme="minorHAnsi"/>
          <w:color w:val="000000"/>
        </w:rPr>
        <w:t>sebelipase</w:t>
      </w:r>
      <w:proofErr w:type="spellEnd"/>
      <w:r w:rsidRPr="0070734C">
        <w:rPr>
          <w:rFonts w:asciiTheme="minorHAnsi" w:eastAsiaTheme="minorHAnsi" w:hAnsiTheme="minorHAnsi"/>
          <w:color w:val="000000"/>
        </w:rPr>
        <w:t xml:space="preserve"> alfa contains 2 mg/mL </w:t>
      </w:r>
      <w:proofErr w:type="spellStart"/>
      <w:r w:rsidRPr="0070734C">
        <w:rPr>
          <w:rFonts w:asciiTheme="minorHAnsi" w:eastAsiaTheme="minorHAnsi" w:hAnsiTheme="minorHAnsi"/>
          <w:color w:val="000000"/>
        </w:rPr>
        <w:t>rhLAL</w:t>
      </w:r>
      <w:proofErr w:type="spellEnd"/>
      <w:r w:rsidRPr="0070734C">
        <w:rPr>
          <w:rFonts w:asciiTheme="minorHAnsi" w:eastAsiaTheme="minorHAnsi" w:hAnsiTheme="minorHAnsi"/>
          <w:color w:val="000000"/>
        </w:rPr>
        <w:t xml:space="preserve">, 13.7 mg/mL </w:t>
      </w:r>
      <w:proofErr w:type="spellStart"/>
      <w:r w:rsidRPr="0070734C">
        <w:rPr>
          <w:rFonts w:asciiTheme="minorHAnsi" w:eastAsiaTheme="minorHAnsi" w:hAnsiTheme="minorHAnsi"/>
          <w:color w:val="000000"/>
        </w:rPr>
        <w:t>trisodium</w:t>
      </w:r>
      <w:proofErr w:type="spellEnd"/>
      <w:r w:rsidRPr="0070734C">
        <w:rPr>
          <w:rFonts w:asciiTheme="minorHAnsi" w:eastAsiaTheme="minorHAnsi" w:hAnsiTheme="minorHAnsi"/>
          <w:color w:val="000000"/>
        </w:rPr>
        <w:t xml:space="preserve"> citrate </w:t>
      </w:r>
      <w:proofErr w:type="spellStart"/>
      <w:r w:rsidRPr="0070734C">
        <w:rPr>
          <w:rFonts w:asciiTheme="minorHAnsi" w:eastAsiaTheme="minorHAnsi" w:hAnsiTheme="minorHAnsi"/>
          <w:color w:val="000000"/>
        </w:rPr>
        <w:t>dihydrate</w:t>
      </w:r>
      <w:proofErr w:type="spellEnd"/>
      <w:r w:rsidRPr="0070734C">
        <w:rPr>
          <w:rFonts w:asciiTheme="minorHAnsi" w:eastAsiaTheme="minorHAnsi" w:hAnsiTheme="minorHAnsi"/>
          <w:color w:val="000000"/>
        </w:rPr>
        <w:t xml:space="preserve">, 1.57 mg/mL citric acid monohydrate, </w:t>
      </w:r>
      <w:r w:rsidRPr="0070734C">
        <w:rPr>
          <w:rFonts w:asciiTheme="minorHAnsi" w:eastAsiaTheme="minorHAnsi" w:hAnsiTheme="minorHAnsi"/>
          <w:color w:val="000000"/>
        </w:rPr>
        <w:lastRenderedPageBreak/>
        <w:t xml:space="preserve">and 10 mg/mL human serum albumin. No preservatives are added. For administration, </w:t>
      </w:r>
      <w:proofErr w:type="spellStart"/>
      <w:r>
        <w:rPr>
          <w:rFonts w:asciiTheme="minorHAnsi" w:eastAsiaTheme="minorHAnsi" w:hAnsiTheme="minorHAnsi"/>
          <w:color w:val="000000"/>
        </w:rPr>
        <w:t>s</w:t>
      </w:r>
      <w:r w:rsidRPr="0070734C">
        <w:rPr>
          <w:rFonts w:asciiTheme="minorHAnsi" w:eastAsiaTheme="minorHAnsi" w:hAnsiTheme="minorHAnsi"/>
          <w:color w:val="000000"/>
        </w:rPr>
        <w:t>ebelipase</w:t>
      </w:r>
      <w:proofErr w:type="spellEnd"/>
      <w:r w:rsidRPr="0070734C">
        <w:rPr>
          <w:rFonts w:asciiTheme="minorHAnsi" w:eastAsiaTheme="minorHAnsi" w:hAnsiTheme="minorHAnsi"/>
          <w:color w:val="000000"/>
        </w:rPr>
        <w:t xml:space="preserve"> alfa is diluted in 0.9% </w:t>
      </w:r>
      <w:r w:rsidR="00F056E7">
        <w:rPr>
          <w:rFonts w:asciiTheme="minorHAnsi" w:eastAsiaTheme="minorHAnsi" w:hAnsiTheme="minorHAnsi"/>
          <w:color w:val="000000"/>
        </w:rPr>
        <w:t>s</w:t>
      </w:r>
      <w:r w:rsidRPr="0070734C">
        <w:rPr>
          <w:rFonts w:asciiTheme="minorHAnsi" w:eastAsiaTheme="minorHAnsi" w:hAnsiTheme="minorHAnsi"/>
          <w:color w:val="000000"/>
        </w:rPr>
        <w:t xml:space="preserve">odium </w:t>
      </w:r>
      <w:r w:rsidR="00F056E7">
        <w:rPr>
          <w:rFonts w:asciiTheme="minorHAnsi" w:eastAsiaTheme="minorHAnsi" w:hAnsiTheme="minorHAnsi"/>
          <w:color w:val="000000"/>
        </w:rPr>
        <w:t>c</w:t>
      </w:r>
      <w:r w:rsidRPr="0070734C">
        <w:rPr>
          <w:rFonts w:asciiTheme="minorHAnsi" w:eastAsiaTheme="minorHAnsi" w:hAnsiTheme="minorHAnsi"/>
          <w:color w:val="000000"/>
        </w:rPr>
        <w:t xml:space="preserve">hloride Injection to a final infusion volume determined by the dose to be administered and not exceeding 300 </w:t>
      </w:r>
      <w:proofErr w:type="spellStart"/>
      <w:r w:rsidRPr="0070734C">
        <w:rPr>
          <w:rFonts w:asciiTheme="minorHAnsi" w:eastAsiaTheme="minorHAnsi" w:hAnsiTheme="minorHAnsi"/>
          <w:color w:val="000000"/>
        </w:rPr>
        <w:t>mL</w:t>
      </w:r>
      <w:r w:rsidR="00B73619">
        <w:rPr>
          <w:rFonts w:asciiTheme="minorHAnsi" w:eastAsiaTheme="minorHAnsi" w:hAnsiTheme="minorHAnsi"/>
          <w:color w:val="000000"/>
        </w:rPr>
        <w:t>.</w:t>
      </w:r>
      <w:proofErr w:type="spellEnd"/>
    </w:p>
    <w:p w14:paraId="3B98D130" w14:textId="266C8590" w:rsidR="00984096" w:rsidRDefault="00984096" w:rsidP="00984096">
      <w:pPr>
        <w:spacing w:before="0" w:line="240" w:lineRule="auto"/>
        <w:rPr>
          <w:rFonts w:asciiTheme="minorHAnsi" w:hAnsiTheme="minorHAnsi"/>
        </w:rPr>
      </w:pPr>
      <w:r w:rsidRPr="0070734C">
        <w:rPr>
          <w:rFonts w:asciiTheme="minorHAnsi" w:eastAsiaTheme="minorHAnsi" w:hAnsiTheme="minorHAnsi"/>
          <w:color w:val="000000"/>
        </w:rPr>
        <w:t xml:space="preserve">The </w:t>
      </w:r>
      <w:proofErr w:type="spellStart"/>
      <w:r w:rsidRPr="0070734C">
        <w:rPr>
          <w:rFonts w:asciiTheme="minorHAnsi" w:eastAsiaTheme="minorHAnsi" w:hAnsiTheme="minorHAnsi"/>
          <w:color w:val="000000"/>
        </w:rPr>
        <w:t>sebelipase</w:t>
      </w:r>
      <w:proofErr w:type="spellEnd"/>
      <w:r w:rsidRPr="0070734C">
        <w:rPr>
          <w:rFonts w:asciiTheme="minorHAnsi" w:eastAsiaTheme="minorHAnsi" w:hAnsiTheme="minorHAnsi"/>
          <w:color w:val="000000"/>
        </w:rPr>
        <w:t xml:space="preserve"> alfa formulation used in clinical trials is the formulation proposed for marketing</w:t>
      </w:r>
      <w:r>
        <w:rPr>
          <w:rFonts w:asciiTheme="minorHAnsi" w:eastAsiaTheme="minorHAnsi" w:hAnsiTheme="minorHAnsi"/>
          <w:color w:val="000000"/>
        </w:rPr>
        <w:t xml:space="preserve"> and no </w:t>
      </w:r>
      <w:proofErr w:type="spellStart"/>
      <w:r w:rsidRPr="0070734C">
        <w:rPr>
          <w:rFonts w:asciiTheme="minorHAnsi" w:eastAsiaTheme="minorHAnsi" w:hAnsiTheme="minorHAnsi"/>
          <w:color w:val="000000"/>
        </w:rPr>
        <w:t>biopharmaceutic</w:t>
      </w:r>
      <w:proofErr w:type="spellEnd"/>
      <w:r w:rsidRPr="0070734C">
        <w:rPr>
          <w:rFonts w:asciiTheme="minorHAnsi" w:eastAsiaTheme="minorHAnsi" w:hAnsiTheme="minorHAnsi"/>
          <w:color w:val="000000"/>
        </w:rPr>
        <w:t xml:space="preserve"> bridging studies were required. Some changes were made to the </w:t>
      </w:r>
      <w:r w:rsidR="00F056E7">
        <w:rPr>
          <w:rFonts w:asciiTheme="minorHAnsi" w:eastAsiaTheme="minorHAnsi" w:hAnsiTheme="minorHAnsi"/>
          <w:color w:val="000000"/>
        </w:rPr>
        <w:t>d</w:t>
      </w:r>
      <w:r w:rsidR="00F056E7" w:rsidRPr="0070734C">
        <w:rPr>
          <w:rFonts w:asciiTheme="minorHAnsi" w:eastAsiaTheme="minorHAnsi" w:hAnsiTheme="minorHAnsi"/>
          <w:color w:val="000000"/>
        </w:rPr>
        <w:t xml:space="preserve">rug </w:t>
      </w:r>
      <w:r w:rsidR="00F056E7">
        <w:rPr>
          <w:rFonts w:asciiTheme="minorHAnsi" w:eastAsiaTheme="minorHAnsi" w:hAnsiTheme="minorHAnsi"/>
          <w:color w:val="000000"/>
        </w:rPr>
        <w:t>s</w:t>
      </w:r>
      <w:r w:rsidR="00F056E7" w:rsidRPr="0070734C">
        <w:rPr>
          <w:rFonts w:asciiTheme="minorHAnsi" w:eastAsiaTheme="minorHAnsi" w:hAnsiTheme="minorHAnsi"/>
          <w:color w:val="000000"/>
        </w:rPr>
        <w:t xml:space="preserve">ubstance </w:t>
      </w:r>
      <w:r w:rsidRPr="0070734C">
        <w:rPr>
          <w:rFonts w:asciiTheme="minorHAnsi" w:eastAsiaTheme="minorHAnsi" w:hAnsiTheme="minorHAnsi"/>
          <w:color w:val="000000"/>
        </w:rPr>
        <w:t>manufacturing process during development</w:t>
      </w:r>
      <w:r w:rsidR="00F056E7">
        <w:rPr>
          <w:rStyle w:val="FootnoteReference"/>
          <w:rFonts w:asciiTheme="minorHAnsi" w:eastAsiaTheme="minorHAnsi" w:hAnsiTheme="minorHAnsi"/>
          <w:color w:val="000000"/>
        </w:rPr>
        <w:t>;</w:t>
      </w:r>
      <w:r w:rsidR="00F056E7">
        <w:rPr>
          <w:rStyle w:val="FootnoteReference"/>
          <w:rFonts w:asciiTheme="minorHAnsi" w:eastAsiaTheme="minorHAnsi" w:hAnsiTheme="minorHAnsi"/>
          <w:color w:val="000000"/>
        </w:rPr>
        <w:footnoteReference w:id="1"/>
      </w:r>
      <w:r>
        <w:rPr>
          <w:rFonts w:asciiTheme="minorHAnsi" w:eastAsiaTheme="minorHAnsi" w:hAnsiTheme="minorHAnsi"/>
          <w:color w:val="000000"/>
        </w:rPr>
        <w:t xml:space="preserve"> but n</w:t>
      </w:r>
      <w:r w:rsidRPr="0070734C">
        <w:rPr>
          <w:rFonts w:asciiTheme="minorHAnsi" w:eastAsiaTheme="minorHAnsi" w:hAnsiTheme="minorHAnsi"/>
          <w:color w:val="000000"/>
        </w:rPr>
        <w:t xml:space="preserve">o significant changes have been made to the overall process since initiation of pivotal clinical </w:t>
      </w:r>
      <w:r>
        <w:rPr>
          <w:rFonts w:asciiTheme="minorHAnsi" w:eastAsiaTheme="minorHAnsi" w:hAnsiTheme="minorHAnsi"/>
          <w:color w:val="000000"/>
        </w:rPr>
        <w:t>trials</w:t>
      </w:r>
      <w:r w:rsidR="00B73619">
        <w:rPr>
          <w:rFonts w:asciiTheme="minorHAnsi" w:eastAsiaTheme="minorHAnsi" w:hAnsiTheme="minorHAnsi"/>
          <w:color w:val="000000"/>
        </w:rPr>
        <w:t>.</w:t>
      </w:r>
    </w:p>
    <w:p w14:paraId="709DEE3C" w14:textId="77777777" w:rsidR="00984096" w:rsidRDefault="00984096" w:rsidP="00984096">
      <w:pPr>
        <w:pStyle w:val="Heading3"/>
      </w:pPr>
      <w:bookmarkStart w:id="26" w:name="_Toc468957437"/>
      <w:bookmarkStart w:id="27" w:name="_Toc519670942"/>
      <w:r w:rsidRPr="00B90407">
        <w:t>Evaluator’s commentary on the background information</w:t>
      </w:r>
      <w:bookmarkEnd w:id="26"/>
      <w:bookmarkEnd w:id="27"/>
    </w:p>
    <w:p w14:paraId="75C95ECB" w14:textId="77777777" w:rsidR="00B73619" w:rsidRDefault="00984096" w:rsidP="00984096">
      <w:pPr>
        <w:spacing w:before="0" w:line="240" w:lineRule="auto"/>
        <w:rPr>
          <w:lang w:eastAsia="ja-JP"/>
        </w:rPr>
      </w:pPr>
      <w:r>
        <w:rPr>
          <w:lang w:eastAsia="ja-JP"/>
        </w:rPr>
        <w:t xml:space="preserve">There is lack of any effective and safe treatment that directly addresses the root cause of LAL deficiency and current treatment options are limited to supportive therapies. The clinical rationale for use of </w:t>
      </w:r>
      <w:proofErr w:type="spellStart"/>
      <w:r>
        <w:rPr>
          <w:lang w:eastAsia="ja-JP"/>
        </w:rPr>
        <w:t>sebelipase</w:t>
      </w:r>
      <w:proofErr w:type="spellEnd"/>
      <w:r>
        <w:rPr>
          <w:lang w:eastAsia="ja-JP"/>
        </w:rPr>
        <w:t xml:space="preserve"> alfa for long term ERT of LAL-deficiency is valid and acceptable</w:t>
      </w:r>
      <w:r w:rsidR="00B73619">
        <w:rPr>
          <w:lang w:eastAsia="ja-JP"/>
        </w:rPr>
        <w:t>.</w:t>
      </w:r>
    </w:p>
    <w:p w14:paraId="49467A45" w14:textId="77777777" w:rsidR="00586F98" w:rsidRDefault="00586F98" w:rsidP="00586F98">
      <w:pPr>
        <w:pStyle w:val="Heading2"/>
        <w:rPr>
          <w:lang w:eastAsia="en-AU"/>
        </w:rPr>
      </w:pPr>
      <w:bookmarkStart w:id="28" w:name="_Toc519670943"/>
      <w:r>
        <w:rPr>
          <w:lang w:eastAsia="en-AU"/>
        </w:rPr>
        <w:t>Contents of the clinical dossier</w:t>
      </w:r>
      <w:bookmarkEnd w:id="9"/>
      <w:bookmarkEnd w:id="10"/>
      <w:bookmarkEnd w:id="28"/>
    </w:p>
    <w:p w14:paraId="2FCD91E4" w14:textId="77777777" w:rsidR="00586F98" w:rsidRPr="00984096" w:rsidRDefault="00586F98" w:rsidP="00984096">
      <w:pPr>
        <w:pStyle w:val="Heading3"/>
      </w:pPr>
      <w:bookmarkStart w:id="29" w:name="_Toc519670944"/>
      <w:r w:rsidRPr="00984096">
        <w:t>Scope of the clinical dossier</w:t>
      </w:r>
      <w:bookmarkEnd w:id="29"/>
    </w:p>
    <w:p w14:paraId="7C62B616" w14:textId="77777777" w:rsidR="00984096" w:rsidRPr="00984096" w:rsidRDefault="00984096" w:rsidP="00984096">
      <w:r w:rsidRPr="00984096">
        <w:t>Clinical pharmacology studies:</w:t>
      </w:r>
    </w:p>
    <w:p w14:paraId="71F05729" w14:textId="6EAB5211" w:rsidR="00984096" w:rsidRPr="00984096" w:rsidRDefault="00157E63" w:rsidP="00984096">
      <w:pPr>
        <w:pStyle w:val="ListBullet"/>
      </w:pPr>
      <w:r>
        <w:t>Study</w:t>
      </w:r>
      <w:r w:rsidR="00984096" w:rsidRPr="00984096">
        <w:t xml:space="preserve"> LAL-CL01: </w:t>
      </w:r>
      <w:r w:rsidR="00F056E7">
        <w:t xml:space="preserve">A </w:t>
      </w:r>
      <w:r w:rsidR="00905BF2">
        <w:t>Phase I/II</w:t>
      </w:r>
      <w:r w:rsidR="00984096" w:rsidRPr="00984096">
        <w:t xml:space="preserve"> </w:t>
      </w:r>
      <w:r w:rsidR="00F056E7" w:rsidRPr="00984096">
        <w:t xml:space="preserve">open-label multicentre </w:t>
      </w:r>
      <w:r w:rsidR="00F056E7">
        <w:t>study</w:t>
      </w:r>
      <w:r w:rsidR="00F056E7" w:rsidRPr="00984096">
        <w:t xml:space="preserve"> to evaluate the safety, tolerability and pharmacokinetics of </w:t>
      </w:r>
      <w:r w:rsidR="00984096" w:rsidRPr="00984096">
        <w:t xml:space="preserve">SBC-102 in </w:t>
      </w:r>
      <w:r w:rsidR="00F056E7" w:rsidRPr="00984096">
        <w:t>adult patients with liver dysfunction due to lysosomal acid lipase deficiency</w:t>
      </w:r>
      <w:r w:rsidR="00F056E7">
        <w:t>.</w:t>
      </w:r>
    </w:p>
    <w:p w14:paraId="2C4CB2C3" w14:textId="099A9EA5" w:rsidR="00984096" w:rsidRPr="00984096" w:rsidRDefault="00984096" w:rsidP="00984096">
      <w:pPr>
        <w:pStyle w:val="ListBullet"/>
      </w:pPr>
      <w:r w:rsidRPr="00984096">
        <w:t xml:space="preserve">Population </w:t>
      </w:r>
      <w:r w:rsidR="00F056E7" w:rsidRPr="00984096">
        <w:t xml:space="preserve">pharmacokinetics and pharmacokinetic </w:t>
      </w:r>
      <w:proofErr w:type="spellStart"/>
      <w:r w:rsidR="00F056E7" w:rsidRPr="00984096">
        <w:t>pharmacodynamic</w:t>
      </w:r>
      <w:proofErr w:type="spellEnd"/>
      <w:r w:rsidR="00F056E7" w:rsidRPr="00984096">
        <w:t xml:space="preserve"> graphical evaluation of </w:t>
      </w:r>
      <w:proofErr w:type="spellStart"/>
      <w:r w:rsidR="00F056E7" w:rsidRPr="00984096">
        <w:t>sebelipase</w:t>
      </w:r>
      <w:proofErr w:type="spellEnd"/>
      <w:r w:rsidR="00F056E7" w:rsidRPr="00984096">
        <w:t xml:space="preserve"> alfa </w:t>
      </w:r>
      <w:r w:rsidRPr="00984096">
        <w:t xml:space="preserve">(SBC-102) for </w:t>
      </w:r>
      <w:r w:rsidR="00F056E7" w:rsidRPr="00984096">
        <w:t>subjects with lysosomal acid lipase deficiency.</w:t>
      </w:r>
    </w:p>
    <w:p w14:paraId="1572A7DA" w14:textId="2C4CBD34" w:rsidR="00984096" w:rsidRPr="00984096" w:rsidRDefault="00984096" w:rsidP="00984096">
      <w:r w:rsidRPr="00984096">
        <w:t>Pivotal controlled efficacy/s</w:t>
      </w:r>
      <w:r w:rsidR="00B73619">
        <w:t>afety studies:</w:t>
      </w:r>
    </w:p>
    <w:p w14:paraId="6A9E14D5" w14:textId="1FEF2EF2" w:rsidR="00B73619" w:rsidRDefault="00157E63" w:rsidP="00984096">
      <w:pPr>
        <w:pStyle w:val="ListBullet"/>
      </w:pPr>
      <w:r>
        <w:t>Study</w:t>
      </w:r>
      <w:r w:rsidR="00984096" w:rsidRPr="00984096">
        <w:t xml:space="preserve"> LAL-CL02: </w:t>
      </w:r>
      <w:r w:rsidR="00F056E7">
        <w:t xml:space="preserve">A </w:t>
      </w:r>
      <w:r w:rsidR="00CC672B">
        <w:t>Phase III</w:t>
      </w:r>
      <w:r w:rsidR="00984096" w:rsidRPr="00984096">
        <w:t xml:space="preserve">, </w:t>
      </w:r>
      <w:r w:rsidR="00F056E7" w:rsidRPr="00984096">
        <w:t>multicentr</w:t>
      </w:r>
      <w:r w:rsidR="00F056E7">
        <w:t>e</w:t>
      </w:r>
      <w:r w:rsidR="00F056E7" w:rsidRPr="00984096">
        <w:t>, randomi</w:t>
      </w:r>
      <w:r w:rsidR="00F056E7">
        <w:t>s</w:t>
      </w:r>
      <w:r w:rsidR="00F056E7" w:rsidRPr="00984096">
        <w:t xml:space="preserve">ed, placebo-controlled </w:t>
      </w:r>
      <w:r w:rsidR="00F056E7">
        <w:t>study</w:t>
      </w:r>
      <w:r w:rsidR="00F056E7" w:rsidRPr="00984096">
        <w:t xml:space="preserve"> of </w:t>
      </w:r>
      <w:r w:rsidR="00984096" w:rsidRPr="00984096">
        <w:t xml:space="preserve">SBC-102 in </w:t>
      </w:r>
      <w:r w:rsidR="00F056E7" w:rsidRPr="00984096">
        <w:t>patients with lysosomal acid lipase deficiency</w:t>
      </w:r>
      <w:r w:rsidR="00984096" w:rsidRPr="00984096">
        <w:t xml:space="preserve"> (ARISE </w:t>
      </w:r>
      <w:r w:rsidR="00F056E7">
        <w:t>(</w:t>
      </w:r>
      <w:r w:rsidR="00984096" w:rsidRPr="00984096">
        <w:t>Acid Lipase Replacement Investigating Safety and Efficacy</w:t>
      </w:r>
      <w:r w:rsidR="00F056E7">
        <w:t>)</w:t>
      </w:r>
      <w:r w:rsidR="00984096" w:rsidRPr="00984096">
        <w:t>)</w:t>
      </w:r>
      <w:r w:rsidR="00B73619">
        <w:t>.</w:t>
      </w:r>
    </w:p>
    <w:p w14:paraId="4D9229E3" w14:textId="77777777" w:rsidR="00984096" w:rsidRPr="00984096" w:rsidRDefault="00984096" w:rsidP="00984096">
      <w:r w:rsidRPr="00984096">
        <w:t>Uncontrolled efficacy/ safety studies:</w:t>
      </w:r>
    </w:p>
    <w:p w14:paraId="7B5DC2A0" w14:textId="3DC8DF0A" w:rsidR="00984096" w:rsidRPr="00984096" w:rsidRDefault="00157E63" w:rsidP="00984096">
      <w:pPr>
        <w:pStyle w:val="ListBullet"/>
      </w:pPr>
      <w:r>
        <w:t>Study</w:t>
      </w:r>
      <w:r w:rsidR="00984096" w:rsidRPr="00984096">
        <w:t xml:space="preserve"> LAL-CL03: </w:t>
      </w:r>
      <w:r w:rsidR="00F056E7">
        <w:t xml:space="preserve">A </w:t>
      </w:r>
      <w:r w:rsidR="00CC672B">
        <w:t>Phase III</w:t>
      </w:r>
      <w:r w:rsidR="00984096" w:rsidRPr="00984096">
        <w:t xml:space="preserve">, </w:t>
      </w:r>
      <w:r w:rsidR="00F056E7" w:rsidRPr="00984096">
        <w:t xml:space="preserve">open label, multicentre, dose escalation </w:t>
      </w:r>
      <w:r w:rsidR="00F056E7">
        <w:t>study</w:t>
      </w:r>
      <w:r w:rsidR="00F056E7" w:rsidRPr="00984096">
        <w:t xml:space="preserve"> to evaluate the safety, tolerability, efficacy, pharmacokinetics, </w:t>
      </w:r>
      <w:r w:rsidR="00984096" w:rsidRPr="00984096">
        <w:t xml:space="preserve">and </w:t>
      </w:r>
      <w:r w:rsidR="00F056E7">
        <w:t>p</w:t>
      </w:r>
      <w:r w:rsidR="00F056E7" w:rsidRPr="00984096">
        <w:t xml:space="preserve">harmacodynamics </w:t>
      </w:r>
      <w:r w:rsidR="00984096" w:rsidRPr="00984096">
        <w:t xml:space="preserve">of SBC-102 in </w:t>
      </w:r>
      <w:r w:rsidR="00F056E7" w:rsidRPr="00984096">
        <w:t>children with growth failure due to lysosomal acid lipase deficiency</w:t>
      </w:r>
    </w:p>
    <w:p w14:paraId="6DD76CDB" w14:textId="3FB78D35" w:rsidR="00F056E7" w:rsidRDefault="00157E63" w:rsidP="00984096">
      <w:pPr>
        <w:pStyle w:val="ListBullet"/>
      </w:pPr>
      <w:r>
        <w:t>Study</w:t>
      </w:r>
      <w:r w:rsidR="00984096" w:rsidRPr="00984096">
        <w:t xml:space="preserve"> LAL-CL04: An </w:t>
      </w:r>
      <w:r w:rsidR="00F056E7" w:rsidRPr="00984096">
        <w:t xml:space="preserve">open label multicentre extension </w:t>
      </w:r>
      <w:r w:rsidR="00F056E7">
        <w:t>study</w:t>
      </w:r>
      <w:r w:rsidR="00F056E7" w:rsidRPr="00984096">
        <w:t xml:space="preserve"> to evaluate the long-term safety, tolerability, and efficacy of </w:t>
      </w:r>
      <w:proofErr w:type="spellStart"/>
      <w:r w:rsidR="00F056E7" w:rsidRPr="00984096">
        <w:t>sebelipase</w:t>
      </w:r>
      <w:proofErr w:type="spellEnd"/>
      <w:r w:rsidR="00F056E7" w:rsidRPr="00984096">
        <w:t xml:space="preserve"> alfa in adult subjects with liver dysfunction due to lysosomal acid lipase deficiency who previously received treatment in </w:t>
      </w:r>
      <w:r>
        <w:t>Study</w:t>
      </w:r>
      <w:r w:rsidR="00984096" w:rsidRPr="00984096">
        <w:t xml:space="preserve"> LAL-CL01</w:t>
      </w:r>
      <w:r w:rsidR="00B73619">
        <w:t>.</w:t>
      </w:r>
    </w:p>
    <w:p w14:paraId="485BC22D" w14:textId="63DCA253" w:rsidR="00984096" w:rsidRPr="00984096" w:rsidRDefault="00F056E7" w:rsidP="00FE2AA6">
      <w:pPr>
        <w:pStyle w:val="ListBullet"/>
      </w:pPr>
      <w:r>
        <w:t xml:space="preserve">An </w:t>
      </w:r>
      <w:r w:rsidR="00984096" w:rsidRPr="00984096">
        <w:t>Integrated analysis of safety.</w:t>
      </w:r>
    </w:p>
    <w:p w14:paraId="03350A2C" w14:textId="77777777" w:rsidR="00984096" w:rsidRPr="00984096" w:rsidRDefault="00B73619" w:rsidP="00984096">
      <w:r>
        <w:t>Other reports:</w:t>
      </w:r>
    </w:p>
    <w:p w14:paraId="24D3FAF3" w14:textId="4C15596C" w:rsidR="00984096" w:rsidRPr="00984096" w:rsidRDefault="00F056E7" w:rsidP="00984096">
      <w:pPr>
        <w:pStyle w:val="ListBullet"/>
      </w:pPr>
      <w:r>
        <w:t xml:space="preserve">Study </w:t>
      </w:r>
      <w:r w:rsidR="00984096" w:rsidRPr="00984096">
        <w:t xml:space="preserve">LAL-1-NH01: An observational, multinational, multicentre natural history </w:t>
      </w:r>
      <w:r w:rsidR="00C4359A">
        <w:t>study</w:t>
      </w:r>
      <w:r w:rsidR="00984096" w:rsidRPr="00984096">
        <w:t xml:space="preserve"> of patients diagnosed with LAL Deficiency presenting in infancy (historically called Wolman disease or LAL Deficiency/Wolman phenotype).</w:t>
      </w:r>
    </w:p>
    <w:p w14:paraId="734F0243" w14:textId="516D26D0" w:rsidR="00984096" w:rsidRPr="00984096" w:rsidRDefault="00F056E7" w:rsidP="00984096">
      <w:pPr>
        <w:pStyle w:val="ListBullet"/>
      </w:pPr>
      <w:r>
        <w:t xml:space="preserve">Study </w:t>
      </w:r>
      <w:r w:rsidR="00984096" w:rsidRPr="00984096">
        <w:t xml:space="preserve">LAL-2-NH01: An observational, multinational, multicentre </w:t>
      </w:r>
      <w:r w:rsidR="00C4359A">
        <w:t>study</w:t>
      </w:r>
      <w:r w:rsidR="00984096" w:rsidRPr="00984096">
        <w:t xml:space="preserve"> of the clinical characteristics and disease progression of patients with </w:t>
      </w:r>
      <w:r w:rsidRPr="00984096">
        <w:t xml:space="preserve">lysosomal acid lipase </w:t>
      </w:r>
      <w:r w:rsidRPr="00984096">
        <w:lastRenderedPageBreak/>
        <w:t>deficiency</w:t>
      </w:r>
      <w:r w:rsidR="00984096" w:rsidRPr="00984096">
        <w:t>/</w:t>
      </w:r>
      <w:r w:rsidRPr="00984096">
        <w:t xml:space="preserve">cholesterol ester storage disease phenotype using data from the clinical charts of a sufficient number of children and adults presenting with </w:t>
      </w:r>
      <w:r>
        <w:t>LAL</w:t>
      </w:r>
      <w:r w:rsidRPr="00984096">
        <w:t xml:space="preserve"> deficiency.</w:t>
      </w:r>
    </w:p>
    <w:p w14:paraId="3916A7D8" w14:textId="77777777" w:rsidR="00984096" w:rsidRDefault="00984096" w:rsidP="0056581A">
      <w:pPr>
        <w:rPr>
          <w:lang w:eastAsia="ja-JP"/>
        </w:rPr>
      </w:pPr>
      <w:r w:rsidRPr="00B90407">
        <w:rPr>
          <w:lang w:eastAsia="ja-JP"/>
        </w:rPr>
        <w:t xml:space="preserve">Recently initiated studies (only </w:t>
      </w:r>
      <w:r w:rsidR="00C4359A">
        <w:rPr>
          <w:lang w:eastAsia="ja-JP"/>
        </w:rPr>
        <w:t>study</w:t>
      </w:r>
      <w:r w:rsidRPr="00B90407">
        <w:rPr>
          <w:lang w:eastAsia="ja-JP"/>
        </w:rPr>
        <w:t xml:space="preserve"> protocols were provided in the</w:t>
      </w:r>
      <w:r>
        <w:rPr>
          <w:lang w:eastAsia="ja-JP"/>
        </w:rPr>
        <w:t xml:space="preserve"> submitted dossier</w:t>
      </w:r>
      <w:r w:rsidR="00B73619">
        <w:rPr>
          <w:lang w:eastAsia="ja-JP"/>
        </w:rPr>
        <w:t>):</w:t>
      </w:r>
    </w:p>
    <w:p w14:paraId="3531EBB3" w14:textId="462EB13D" w:rsidR="00B73619" w:rsidRDefault="00F056E7" w:rsidP="00984096">
      <w:pPr>
        <w:pStyle w:val="ListBullet"/>
      </w:pPr>
      <w:r>
        <w:t xml:space="preserve">Study </w:t>
      </w:r>
      <w:r w:rsidR="00984096" w:rsidRPr="00984096">
        <w:t xml:space="preserve">LAL-CL06: An </w:t>
      </w:r>
      <w:r w:rsidR="00B73619">
        <w:t>open label</w:t>
      </w:r>
      <w:r w:rsidR="00984096" w:rsidRPr="00984096">
        <w:t xml:space="preserve">, multicentre </w:t>
      </w:r>
      <w:r w:rsidR="00C4359A">
        <w:t>study</w:t>
      </w:r>
      <w:r w:rsidR="00984096" w:rsidRPr="00984096">
        <w:t xml:space="preserve"> to evaluate the safety and efficacy of SBC</w:t>
      </w:r>
      <w:r w:rsidR="00755B61">
        <w:noBreakHyphen/>
      </w:r>
      <w:r w:rsidR="00984096" w:rsidRPr="00984096">
        <w:t xml:space="preserve">102 (United States adopted name: </w:t>
      </w:r>
      <w:proofErr w:type="spellStart"/>
      <w:r w:rsidR="00984096" w:rsidRPr="00984096">
        <w:t>sebelipase</w:t>
      </w:r>
      <w:proofErr w:type="spellEnd"/>
      <w:r w:rsidR="00984096" w:rsidRPr="00984096">
        <w:t xml:space="preserve"> alfa) in a broad population of subjects with Lysosomal Acid Lipase Deficiency (LAL Deficiency)</w:t>
      </w:r>
      <w:r w:rsidR="00B73619">
        <w:t>.</w:t>
      </w:r>
      <w:r w:rsidRPr="004E0EC8">
        <w:rPr>
          <w:vertAlign w:val="superscript"/>
        </w:rPr>
        <w:footnoteReference w:id="2"/>
      </w:r>
    </w:p>
    <w:p w14:paraId="572C10E3" w14:textId="77777777" w:rsidR="00984096" w:rsidRPr="00984096" w:rsidRDefault="00984096" w:rsidP="00984096">
      <w:pPr>
        <w:pStyle w:val="ListBullet"/>
      </w:pPr>
      <w:r w:rsidRPr="00984096">
        <w:t xml:space="preserve">LAL-CL08: A </w:t>
      </w:r>
      <w:r w:rsidR="00B73619">
        <w:t>Phase II</w:t>
      </w:r>
      <w:r w:rsidRPr="00984096">
        <w:t xml:space="preserve">, </w:t>
      </w:r>
      <w:r w:rsidR="00B73619">
        <w:t>open label</w:t>
      </w:r>
      <w:r w:rsidRPr="00984096">
        <w:t xml:space="preserve">, multicentre, </w:t>
      </w:r>
      <w:r w:rsidR="00131B1C">
        <w:t>repeat dose</w:t>
      </w:r>
      <w:r w:rsidRPr="00984096">
        <w:t xml:space="preserve">, </w:t>
      </w:r>
      <w:r w:rsidR="00C4359A">
        <w:t>study</w:t>
      </w:r>
      <w:r w:rsidRPr="00984096">
        <w:t xml:space="preserve"> of </w:t>
      </w:r>
      <w:proofErr w:type="spellStart"/>
      <w:r w:rsidRPr="00984096">
        <w:t>sebelipase</w:t>
      </w:r>
      <w:proofErr w:type="spellEnd"/>
      <w:r w:rsidRPr="00984096">
        <w:t xml:space="preserve"> alfa in infants with rapidly progressive LAL Deficiency.</w:t>
      </w:r>
    </w:p>
    <w:p w14:paraId="5090ACA8" w14:textId="77777777" w:rsidR="00984096" w:rsidRDefault="00984096" w:rsidP="00984096">
      <w:pPr>
        <w:spacing w:before="0" w:line="240" w:lineRule="auto"/>
        <w:rPr>
          <w:lang w:eastAsia="ja-JP"/>
        </w:rPr>
      </w:pPr>
      <w:proofErr w:type="gramStart"/>
      <w:r>
        <w:rPr>
          <w:lang w:eastAsia="ja-JP"/>
        </w:rPr>
        <w:t>Literature references.</w:t>
      </w:r>
      <w:proofErr w:type="gramEnd"/>
    </w:p>
    <w:p w14:paraId="593C7ADA" w14:textId="77777777" w:rsidR="00B73619" w:rsidRDefault="00984096" w:rsidP="00984096">
      <w:pPr>
        <w:spacing w:before="0" w:line="240" w:lineRule="auto"/>
        <w:rPr>
          <w:lang w:eastAsia="ja-JP"/>
        </w:rPr>
      </w:pPr>
      <w:proofErr w:type="gramStart"/>
      <w:r>
        <w:rPr>
          <w:lang w:eastAsia="ja-JP"/>
        </w:rPr>
        <w:t>Clinical overview, Summaries of Clinical pharmacology, Clinical Efficacy and Clinical Safety</w:t>
      </w:r>
      <w:r w:rsidR="00B73619">
        <w:rPr>
          <w:lang w:eastAsia="ja-JP"/>
        </w:rPr>
        <w:t>.</w:t>
      </w:r>
      <w:proofErr w:type="gramEnd"/>
    </w:p>
    <w:p w14:paraId="0041E487" w14:textId="77777777" w:rsidR="00586F98" w:rsidRDefault="00586F98" w:rsidP="00586F98">
      <w:pPr>
        <w:pStyle w:val="Heading3"/>
      </w:pPr>
      <w:bookmarkStart w:id="30" w:name="_Toc519670945"/>
      <w:r>
        <w:t>Paediatric data</w:t>
      </w:r>
      <w:bookmarkEnd w:id="30"/>
    </w:p>
    <w:p w14:paraId="7AE8AEA9" w14:textId="33FC30F4" w:rsidR="00984096" w:rsidRPr="00984096" w:rsidRDefault="00984096" w:rsidP="00984096">
      <w:r w:rsidRPr="00984096">
        <w:t xml:space="preserve">Fifty six of 84 patients (67%) who received </w:t>
      </w:r>
      <w:proofErr w:type="spellStart"/>
      <w:r w:rsidRPr="00984096">
        <w:t>sebelipase</w:t>
      </w:r>
      <w:proofErr w:type="spellEnd"/>
      <w:r w:rsidRPr="00984096">
        <w:t xml:space="preserve"> al</w:t>
      </w:r>
      <w:r w:rsidR="00B73619">
        <w:t>fa during clinical studies (</w:t>
      </w:r>
      <w:r w:rsidR="00755B61">
        <w:t>Studies </w:t>
      </w:r>
      <w:r w:rsidR="00B73619">
        <w:t>LAL</w:t>
      </w:r>
      <w:r w:rsidR="00B73619">
        <w:noBreakHyphen/>
      </w:r>
      <w:r w:rsidRPr="00984096">
        <w:t>CL01/LAL-CL04, LAL-CL02 and LAL-CL03) were in the paediatric and adolescent age range (1 month up to 18 years).</w:t>
      </w:r>
    </w:p>
    <w:p w14:paraId="4B817C43" w14:textId="77777777" w:rsidR="00586F98" w:rsidRDefault="00586F98" w:rsidP="00586F98">
      <w:pPr>
        <w:pStyle w:val="Heading3"/>
      </w:pPr>
      <w:bookmarkStart w:id="31" w:name="_Toc519670946"/>
      <w:r>
        <w:t>Good clinical practice</w:t>
      </w:r>
      <w:bookmarkEnd w:id="31"/>
    </w:p>
    <w:p w14:paraId="4188E9BC" w14:textId="77777777" w:rsidR="00984096" w:rsidRDefault="00984096" w:rsidP="00984096">
      <w:pPr>
        <w:spacing w:before="0" w:line="240" w:lineRule="auto"/>
        <w:rPr>
          <w:rFonts w:asciiTheme="minorHAnsi" w:hAnsiTheme="minorHAnsi"/>
        </w:rPr>
      </w:pPr>
      <w:bookmarkStart w:id="32" w:name="_Toc355338639"/>
      <w:r w:rsidRPr="00A43FD2">
        <w:rPr>
          <w:rFonts w:asciiTheme="minorHAnsi" w:hAnsiTheme="minorHAnsi"/>
        </w:rPr>
        <w:t>All studies have been conducted in accordance with International Conference on Harmonisation (ICH) and Good Clinical Practice (GCP) consolidated guidelines and the ethical principles of the Declaration of Helsinki.</w:t>
      </w:r>
    </w:p>
    <w:p w14:paraId="3C7BB181" w14:textId="77777777" w:rsidR="00984096" w:rsidRPr="00A43FD2" w:rsidRDefault="00984096" w:rsidP="00984096">
      <w:pPr>
        <w:pStyle w:val="Heading3"/>
      </w:pPr>
      <w:bookmarkStart w:id="33" w:name="_Toc468957442"/>
      <w:bookmarkStart w:id="34" w:name="_Toc519670947"/>
      <w:r w:rsidRPr="00A43FD2">
        <w:t>Evaluator’s commentary on the clinical dossier</w:t>
      </w:r>
      <w:bookmarkEnd w:id="33"/>
      <w:bookmarkEnd w:id="34"/>
    </w:p>
    <w:p w14:paraId="70558464" w14:textId="5A2D1522" w:rsidR="00B73619" w:rsidRDefault="00984096" w:rsidP="00984096">
      <w:pPr>
        <w:spacing w:before="0" w:line="240" w:lineRule="auto"/>
        <w:rPr>
          <w:rFonts w:asciiTheme="minorHAnsi" w:hAnsiTheme="minorHAnsi"/>
        </w:rPr>
      </w:pPr>
      <w:r>
        <w:rPr>
          <w:rFonts w:asciiTheme="minorHAnsi" w:hAnsiTheme="minorHAnsi"/>
        </w:rPr>
        <w:t xml:space="preserve">The clinical dossier was satisfactory and well-presented. </w:t>
      </w:r>
      <w:r w:rsidRPr="00A43FD2">
        <w:rPr>
          <w:rFonts w:asciiTheme="minorHAnsi" w:hAnsiTheme="minorHAnsi"/>
        </w:rPr>
        <w:t xml:space="preserve">The clinical development programme for </w:t>
      </w:r>
      <w:proofErr w:type="spellStart"/>
      <w:r w:rsidRPr="00A43FD2">
        <w:rPr>
          <w:rFonts w:asciiTheme="minorHAnsi" w:hAnsiTheme="minorHAnsi"/>
        </w:rPr>
        <w:t>sebelipase</w:t>
      </w:r>
      <w:proofErr w:type="spellEnd"/>
      <w:r w:rsidRPr="00A43FD2">
        <w:rPr>
          <w:rFonts w:asciiTheme="minorHAnsi" w:hAnsiTheme="minorHAnsi"/>
        </w:rPr>
        <w:t xml:space="preserve"> alfa focused on providing evidence of safety and efficacy across the full spectrum of patients with LAL Deficiency. Th</w:t>
      </w:r>
      <w:r>
        <w:rPr>
          <w:rFonts w:asciiTheme="minorHAnsi" w:hAnsiTheme="minorHAnsi"/>
        </w:rPr>
        <w:t xml:space="preserve">e pivotal </w:t>
      </w:r>
      <w:r w:rsidR="00157E63">
        <w:rPr>
          <w:rFonts w:asciiTheme="minorHAnsi" w:hAnsiTheme="minorHAnsi"/>
        </w:rPr>
        <w:t>Study</w:t>
      </w:r>
      <w:r>
        <w:rPr>
          <w:rFonts w:asciiTheme="minorHAnsi" w:hAnsiTheme="minorHAnsi"/>
        </w:rPr>
        <w:t xml:space="preserve"> LAL-CL02 evaluated efficacy and </w:t>
      </w:r>
      <w:r w:rsidRPr="00A43FD2">
        <w:rPr>
          <w:rFonts w:asciiTheme="minorHAnsi" w:hAnsiTheme="minorHAnsi"/>
        </w:rPr>
        <w:t xml:space="preserve">safety based on improvements in multiple </w:t>
      </w:r>
      <w:r w:rsidR="00B73619">
        <w:rPr>
          <w:rFonts w:asciiTheme="minorHAnsi" w:hAnsiTheme="minorHAnsi"/>
        </w:rPr>
        <w:t>disease related</w:t>
      </w:r>
      <w:r w:rsidRPr="00A43FD2">
        <w:rPr>
          <w:rFonts w:asciiTheme="minorHAnsi" w:hAnsiTheme="minorHAnsi"/>
        </w:rPr>
        <w:t xml:space="preserve"> abnormalities in children and adults where a </w:t>
      </w:r>
      <w:r w:rsidR="00B73619">
        <w:rPr>
          <w:rFonts w:asciiTheme="minorHAnsi" w:hAnsiTheme="minorHAnsi"/>
        </w:rPr>
        <w:t>placebo controlled</w:t>
      </w:r>
      <w:r w:rsidRPr="00A43FD2">
        <w:rPr>
          <w:rFonts w:asciiTheme="minorHAnsi" w:hAnsiTheme="minorHAnsi"/>
        </w:rPr>
        <w:t xml:space="preserve"> </w:t>
      </w:r>
      <w:r w:rsidR="00C4359A">
        <w:rPr>
          <w:rFonts w:asciiTheme="minorHAnsi" w:hAnsiTheme="minorHAnsi"/>
        </w:rPr>
        <w:t>study</w:t>
      </w:r>
      <w:r w:rsidRPr="00A43FD2">
        <w:rPr>
          <w:rFonts w:asciiTheme="minorHAnsi" w:hAnsiTheme="minorHAnsi"/>
        </w:rPr>
        <w:t xml:space="preserve"> was feasible</w:t>
      </w:r>
      <w:r>
        <w:rPr>
          <w:rFonts w:asciiTheme="minorHAnsi" w:hAnsiTheme="minorHAnsi"/>
        </w:rPr>
        <w:t xml:space="preserve">. The other important </w:t>
      </w:r>
      <w:r w:rsidR="00157E63">
        <w:rPr>
          <w:rFonts w:asciiTheme="minorHAnsi" w:hAnsiTheme="minorHAnsi"/>
        </w:rPr>
        <w:t>Study</w:t>
      </w:r>
      <w:r>
        <w:rPr>
          <w:rFonts w:asciiTheme="minorHAnsi" w:hAnsiTheme="minorHAnsi"/>
        </w:rPr>
        <w:t xml:space="preserve"> LAL-CL03 evaluated the </w:t>
      </w:r>
      <w:r w:rsidRPr="00A43FD2">
        <w:rPr>
          <w:rFonts w:asciiTheme="minorHAnsi" w:hAnsiTheme="minorHAnsi"/>
        </w:rPr>
        <w:t xml:space="preserve">impact on survival in infants where a </w:t>
      </w:r>
      <w:r w:rsidR="00B73619">
        <w:rPr>
          <w:rFonts w:asciiTheme="minorHAnsi" w:hAnsiTheme="minorHAnsi"/>
        </w:rPr>
        <w:t>placebo controlled</w:t>
      </w:r>
      <w:r w:rsidRPr="00A43FD2">
        <w:rPr>
          <w:rFonts w:asciiTheme="minorHAnsi" w:hAnsiTheme="minorHAnsi"/>
        </w:rPr>
        <w:t xml:space="preserve"> </w:t>
      </w:r>
      <w:r w:rsidR="00C4359A">
        <w:rPr>
          <w:rFonts w:asciiTheme="minorHAnsi" w:hAnsiTheme="minorHAnsi"/>
        </w:rPr>
        <w:t>study</w:t>
      </w:r>
      <w:r w:rsidRPr="00A43FD2">
        <w:rPr>
          <w:rFonts w:asciiTheme="minorHAnsi" w:hAnsiTheme="minorHAnsi"/>
        </w:rPr>
        <w:t xml:space="preserve"> would not be clinically or ethically acceptable because of the rapid progression and early mortality associated with this presentation of the disease</w:t>
      </w:r>
      <w:r>
        <w:rPr>
          <w:rFonts w:asciiTheme="minorHAnsi" w:hAnsiTheme="minorHAnsi"/>
        </w:rPr>
        <w:t>. Other studies provided supportive evidence of PKs, PDs, efficacy and safety (</w:t>
      </w:r>
      <w:r w:rsidR="00755B61">
        <w:rPr>
          <w:rFonts w:asciiTheme="minorHAnsi" w:hAnsiTheme="minorHAnsi"/>
        </w:rPr>
        <w:t xml:space="preserve">Studies </w:t>
      </w:r>
      <w:r>
        <w:rPr>
          <w:rFonts w:asciiTheme="minorHAnsi" w:hAnsiTheme="minorHAnsi"/>
        </w:rPr>
        <w:t>LAL-CL01/LAL-CL04</w:t>
      </w:r>
      <w:r w:rsidR="00755B61">
        <w:rPr>
          <w:rFonts w:asciiTheme="minorHAnsi" w:hAnsiTheme="minorHAnsi"/>
        </w:rPr>
        <w:t>;</w:t>
      </w:r>
      <w:r>
        <w:rPr>
          <w:rFonts w:asciiTheme="minorHAnsi" w:hAnsiTheme="minorHAnsi"/>
        </w:rPr>
        <w:t xml:space="preserve"> natural history </w:t>
      </w:r>
      <w:r w:rsidR="00755B61">
        <w:rPr>
          <w:rFonts w:asciiTheme="minorHAnsi" w:hAnsiTheme="minorHAnsi"/>
        </w:rPr>
        <w:t xml:space="preserve">Studies </w:t>
      </w:r>
      <w:r>
        <w:rPr>
          <w:rFonts w:asciiTheme="minorHAnsi" w:hAnsiTheme="minorHAnsi"/>
        </w:rPr>
        <w:t xml:space="preserve">LAL-1-NH01/LAL-2-NH01 and ongoing </w:t>
      </w:r>
      <w:r w:rsidR="00755B61">
        <w:rPr>
          <w:rFonts w:asciiTheme="minorHAnsi" w:hAnsiTheme="minorHAnsi"/>
        </w:rPr>
        <w:t xml:space="preserve">Studies </w:t>
      </w:r>
      <w:r>
        <w:rPr>
          <w:rFonts w:asciiTheme="minorHAnsi" w:hAnsiTheme="minorHAnsi"/>
        </w:rPr>
        <w:t>LAL-CL06/LAL-CL08)</w:t>
      </w:r>
      <w:r w:rsidR="00B73619">
        <w:rPr>
          <w:rFonts w:asciiTheme="minorHAnsi" w:hAnsiTheme="minorHAnsi"/>
        </w:rPr>
        <w:t>.</w:t>
      </w:r>
    </w:p>
    <w:p w14:paraId="1BC4EB10" w14:textId="77777777" w:rsidR="00586F98" w:rsidRDefault="00586F98" w:rsidP="00586F98">
      <w:pPr>
        <w:pStyle w:val="Heading2"/>
      </w:pPr>
      <w:bookmarkStart w:id="35" w:name="_Toc519670948"/>
      <w:r>
        <w:t>Pharmacokinetics</w:t>
      </w:r>
      <w:bookmarkEnd w:id="32"/>
      <w:bookmarkEnd w:id="35"/>
    </w:p>
    <w:p w14:paraId="6C7A8CAB" w14:textId="77777777" w:rsidR="00984096" w:rsidRPr="00A43FD2" w:rsidRDefault="00984096" w:rsidP="00B55A5F">
      <w:pPr>
        <w:pStyle w:val="Heading3"/>
      </w:pPr>
      <w:bookmarkStart w:id="36" w:name="_Toc468957444"/>
      <w:bookmarkStart w:id="37" w:name="_Toc519670949"/>
      <w:r w:rsidRPr="00A43FD2">
        <w:t>Studies providing pharmacokinetic information</w:t>
      </w:r>
      <w:bookmarkEnd w:id="36"/>
      <w:bookmarkEnd w:id="37"/>
    </w:p>
    <w:p w14:paraId="34735D61" w14:textId="77777777" w:rsidR="00984096" w:rsidRDefault="00984096" w:rsidP="00984096">
      <w:r w:rsidRPr="00A43FD2">
        <w:rPr>
          <w:rFonts w:asciiTheme="minorHAnsi" w:hAnsiTheme="minorHAnsi"/>
          <w:lang w:eastAsia="ja-JP"/>
        </w:rPr>
        <w:t>Due to the rare nature of the disease being treated, there were no studies in healthy subj</w:t>
      </w:r>
      <w:r w:rsidR="00B73619">
        <w:rPr>
          <w:rFonts w:asciiTheme="minorHAnsi" w:hAnsiTheme="minorHAnsi"/>
          <w:lang w:eastAsia="ja-JP"/>
        </w:rPr>
        <w:t>ects. Hence, all discussion in S</w:t>
      </w:r>
      <w:r w:rsidRPr="00A43FD2">
        <w:rPr>
          <w:rFonts w:asciiTheme="minorHAnsi" w:hAnsiTheme="minorHAnsi"/>
          <w:lang w:eastAsia="ja-JP"/>
        </w:rPr>
        <w:t>ection 4 below relates to PK findings in patients with LAL deficiency.</w:t>
      </w:r>
    </w:p>
    <w:p w14:paraId="48D22363" w14:textId="77777777" w:rsidR="00984096" w:rsidRDefault="00B55A5F" w:rsidP="00B55A5F">
      <w:pPr>
        <w:pStyle w:val="Tabletitle"/>
      </w:pPr>
      <w:r w:rsidRPr="001E5930">
        <w:lastRenderedPageBreak/>
        <w:t xml:space="preserve">Table </w:t>
      </w:r>
      <w:r w:rsidR="00FE32BB">
        <w:t>2</w:t>
      </w:r>
      <w:r>
        <w:t xml:space="preserve">: </w:t>
      </w:r>
      <w:r w:rsidRPr="001E5930">
        <w:t>Submitted pharmacokinetic studies</w:t>
      </w:r>
    </w:p>
    <w:tbl>
      <w:tblPr>
        <w:tblStyle w:val="TableTGAblue"/>
        <w:tblW w:w="9198" w:type="dxa"/>
        <w:tblLayout w:type="fixed"/>
        <w:tblLook w:val="04A0" w:firstRow="1" w:lastRow="0" w:firstColumn="1" w:lastColumn="0" w:noHBand="0" w:noVBand="1"/>
      </w:tblPr>
      <w:tblGrid>
        <w:gridCol w:w="2088"/>
        <w:gridCol w:w="4860"/>
        <w:gridCol w:w="2250"/>
      </w:tblGrid>
      <w:tr w:rsidR="00A2119E" w:rsidRPr="00B55A5F" w14:paraId="0F44C03A" w14:textId="77777777" w:rsidTr="00FE2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0A45BF1" w14:textId="77777777" w:rsidR="00B55A5F" w:rsidRPr="00B55A5F" w:rsidRDefault="00B55A5F" w:rsidP="00B55A5F">
            <w:r w:rsidRPr="00B55A5F">
              <w:t>PK topic</w:t>
            </w:r>
          </w:p>
        </w:tc>
        <w:tc>
          <w:tcPr>
            <w:tcW w:w="4860" w:type="dxa"/>
          </w:tcPr>
          <w:p w14:paraId="7C67F142" w14:textId="77777777" w:rsidR="00B55A5F" w:rsidRPr="00B55A5F" w:rsidRDefault="00B55A5F" w:rsidP="00B55A5F">
            <w:pPr>
              <w:cnfStyle w:val="100000000000" w:firstRow="1" w:lastRow="0" w:firstColumn="0" w:lastColumn="0" w:oddVBand="0" w:evenVBand="0" w:oddHBand="0" w:evenHBand="0" w:firstRowFirstColumn="0" w:firstRowLastColumn="0" w:lastRowFirstColumn="0" w:lastRowLastColumn="0"/>
            </w:pPr>
            <w:r w:rsidRPr="00B55A5F">
              <w:t>Subtopic</w:t>
            </w:r>
          </w:p>
        </w:tc>
        <w:tc>
          <w:tcPr>
            <w:tcW w:w="2250" w:type="dxa"/>
          </w:tcPr>
          <w:p w14:paraId="3A9F6078" w14:textId="77777777" w:rsidR="00B55A5F" w:rsidRPr="00B55A5F" w:rsidRDefault="00157E63" w:rsidP="00B55A5F">
            <w:pPr>
              <w:cnfStyle w:val="100000000000" w:firstRow="1" w:lastRow="0" w:firstColumn="0" w:lastColumn="0" w:oddVBand="0" w:evenVBand="0" w:oddHBand="0" w:evenHBand="0" w:firstRowFirstColumn="0" w:firstRowLastColumn="0" w:lastRowFirstColumn="0" w:lastRowLastColumn="0"/>
            </w:pPr>
            <w:r>
              <w:t>Study</w:t>
            </w:r>
            <w:r w:rsidR="00B55A5F" w:rsidRPr="00B55A5F">
              <w:t xml:space="preserve"> ID</w:t>
            </w:r>
          </w:p>
        </w:tc>
      </w:tr>
      <w:tr w:rsidR="00A2119E" w:rsidRPr="00B55A5F" w14:paraId="44453C74" w14:textId="77777777" w:rsidTr="00FE2AA6">
        <w:tc>
          <w:tcPr>
            <w:cnfStyle w:val="001000000000" w:firstRow="0" w:lastRow="0" w:firstColumn="1" w:lastColumn="0" w:oddVBand="0" w:evenVBand="0" w:oddHBand="0" w:evenHBand="0" w:firstRowFirstColumn="0" w:firstRowLastColumn="0" w:lastRowFirstColumn="0" w:lastRowLastColumn="0"/>
            <w:tcW w:w="2088" w:type="dxa"/>
          </w:tcPr>
          <w:p w14:paraId="5B8F225F" w14:textId="77777777" w:rsidR="00B55A5F" w:rsidRPr="00B55A5F" w:rsidRDefault="00B55A5F" w:rsidP="00B55A5F">
            <w:r w:rsidRPr="00B55A5F">
              <w:t>PK in healthy adults</w:t>
            </w:r>
          </w:p>
        </w:tc>
        <w:tc>
          <w:tcPr>
            <w:tcW w:w="4860" w:type="dxa"/>
          </w:tcPr>
          <w:p w14:paraId="1D268449" w14:textId="77777777" w:rsidR="00B55A5F" w:rsidRPr="00B55A5F" w:rsidRDefault="00FE32BB" w:rsidP="00B55A5F">
            <w:pPr>
              <w:cnfStyle w:val="000000000000" w:firstRow="0" w:lastRow="0" w:firstColumn="0" w:lastColumn="0" w:oddVBand="0" w:evenVBand="0" w:oddHBand="0" w:evenHBand="0" w:firstRowFirstColumn="0" w:firstRowLastColumn="0" w:lastRowFirstColumn="0" w:lastRowLastColumn="0"/>
            </w:pPr>
            <w:r>
              <w:t>None</w:t>
            </w:r>
          </w:p>
        </w:tc>
        <w:tc>
          <w:tcPr>
            <w:tcW w:w="2250" w:type="dxa"/>
          </w:tcPr>
          <w:p w14:paraId="69AD9BF7"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p>
        </w:tc>
      </w:tr>
      <w:tr w:rsidR="00A2119E" w:rsidRPr="00B55A5F" w14:paraId="3A2ECA1F"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val="restart"/>
          </w:tcPr>
          <w:p w14:paraId="2F2D134C" w14:textId="77777777" w:rsidR="00B55A5F" w:rsidRPr="00B55A5F" w:rsidRDefault="00B55A5F" w:rsidP="00B55A5F">
            <w:r w:rsidRPr="00B55A5F">
              <w:t>PK in special populations</w:t>
            </w:r>
          </w:p>
        </w:tc>
        <w:tc>
          <w:tcPr>
            <w:tcW w:w="4860" w:type="dxa"/>
          </w:tcPr>
          <w:p w14:paraId="6F4A0653" w14:textId="77777777" w:rsidR="00B55A5F" w:rsidRPr="00B55A5F" w:rsidRDefault="00B55A5F" w:rsidP="00B73619">
            <w:pPr>
              <w:cnfStyle w:val="000000000000" w:firstRow="0" w:lastRow="0" w:firstColumn="0" w:lastColumn="0" w:oddVBand="0" w:evenVBand="0" w:oddHBand="0" w:evenHBand="0" w:firstRowFirstColumn="0" w:firstRowLastColumn="0" w:lastRowFirstColumn="0" w:lastRowLastColumn="0"/>
            </w:pPr>
            <w:r w:rsidRPr="00B55A5F">
              <w:t xml:space="preserve">Target population </w:t>
            </w:r>
            <w:r w:rsidR="00B73619">
              <w:t xml:space="preserve">§ </w:t>
            </w:r>
            <w:r w:rsidRPr="00B55A5F">
              <w:t>Single dose</w:t>
            </w:r>
          </w:p>
        </w:tc>
        <w:tc>
          <w:tcPr>
            <w:tcW w:w="2250" w:type="dxa"/>
          </w:tcPr>
          <w:p w14:paraId="05E19571"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None</w:t>
            </w:r>
          </w:p>
        </w:tc>
      </w:tr>
      <w:tr w:rsidR="00A2119E" w:rsidRPr="00B55A5F" w14:paraId="14D74963"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tcPr>
          <w:p w14:paraId="300CD856" w14:textId="77777777" w:rsidR="00B55A5F" w:rsidRPr="00B55A5F" w:rsidRDefault="00B55A5F" w:rsidP="00B55A5F"/>
        </w:tc>
        <w:tc>
          <w:tcPr>
            <w:tcW w:w="4860" w:type="dxa"/>
          </w:tcPr>
          <w:p w14:paraId="77D4233F" w14:textId="0E909C43"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proofErr w:type="spellStart"/>
            <w:r w:rsidRPr="00B55A5F">
              <w:t>Multidose</w:t>
            </w:r>
            <w:proofErr w:type="spellEnd"/>
          </w:p>
        </w:tc>
        <w:tc>
          <w:tcPr>
            <w:tcW w:w="2250" w:type="dxa"/>
          </w:tcPr>
          <w:p w14:paraId="20591715"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LAL-CL01</w:t>
            </w:r>
          </w:p>
        </w:tc>
      </w:tr>
      <w:tr w:rsidR="00A2119E" w:rsidRPr="00B55A5F" w14:paraId="2D4BA289"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tcPr>
          <w:p w14:paraId="22271CC1" w14:textId="77777777" w:rsidR="00B55A5F" w:rsidRPr="00B55A5F" w:rsidRDefault="00B55A5F" w:rsidP="00B55A5F"/>
        </w:tc>
        <w:tc>
          <w:tcPr>
            <w:tcW w:w="4860" w:type="dxa"/>
          </w:tcPr>
          <w:p w14:paraId="5186DE05"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Hepatic impairment</w:t>
            </w:r>
          </w:p>
        </w:tc>
        <w:tc>
          <w:tcPr>
            <w:tcW w:w="2250" w:type="dxa"/>
          </w:tcPr>
          <w:p w14:paraId="3E0051B7"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LAL-CL01</w:t>
            </w:r>
          </w:p>
        </w:tc>
      </w:tr>
      <w:tr w:rsidR="00A2119E" w:rsidRPr="00B55A5F" w14:paraId="06CB3FFE"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tcPr>
          <w:p w14:paraId="49A73F6E" w14:textId="77777777" w:rsidR="00B55A5F" w:rsidRPr="00B55A5F" w:rsidRDefault="00B55A5F" w:rsidP="00B55A5F"/>
        </w:tc>
        <w:tc>
          <w:tcPr>
            <w:tcW w:w="4860" w:type="dxa"/>
          </w:tcPr>
          <w:p w14:paraId="30393AC0"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Renal impairment</w:t>
            </w:r>
          </w:p>
        </w:tc>
        <w:tc>
          <w:tcPr>
            <w:tcW w:w="2250" w:type="dxa"/>
          </w:tcPr>
          <w:p w14:paraId="1E8F9EC9"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None.</w:t>
            </w:r>
          </w:p>
        </w:tc>
      </w:tr>
      <w:tr w:rsidR="00A2119E" w:rsidRPr="00B55A5F" w14:paraId="3E2CA848"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tcPr>
          <w:p w14:paraId="3E62A4E0" w14:textId="77777777" w:rsidR="00B55A5F" w:rsidRPr="00B55A5F" w:rsidRDefault="00B55A5F" w:rsidP="00B55A5F"/>
        </w:tc>
        <w:tc>
          <w:tcPr>
            <w:tcW w:w="4860" w:type="dxa"/>
          </w:tcPr>
          <w:p w14:paraId="695C08A7" w14:textId="5CC760D3"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 xml:space="preserve">Neonates/infants/children/adolescents (limited information in patients </w:t>
            </w:r>
            <w:r w:rsidR="00B73619">
              <w:t>&gt; 18 years of age)</w:t>
            </w:r>
          </w:p>
        </w:tc>
        <w:tc>
          <w:tcPr>
            <w:tcW w:w="2250" w:type="dxa"/>
          </w:tcPr>
          <w:p w14:paraId="0AC4E25C" w14:textId="77777777" w:rsidR="00B55A5F" w:rsidRPr="00B55A5F" w:rsidRDefault="00157E63" w:rsidP="00B55A5F">
            <w:pPr>
              <w:cnfStyle w:val="000000000000" w:firstRow="0" w:lastRow="0" w:firstColumn="0" w:lastColumn="0" w:oddVBand="0" w:evenVBand="0" w:oddHBand="0" w:evenHBand="0" w:firstRowFirstColumn="0" w:firstRowLastColumn="0" w:lastRowFirstColumn="0" w:lastRowLastColumn="0"/>
            </w:pPr>
            <w:r>
              <w:t>Study</w:t>
            </w:r>
            <w:r w:rsidR="00B55A5F" w:rsidRPr="00B55A5F">
              <w:t xml:space="preserve"> LAL-CL03 (infants)</w:t>
            </w:r>
          </w:p>
        </w:tc>
      </w:tr>
      <w:tr w:rsidR="00A2119E" w:rsidRPr="00B55A5F" w14:paraId="34F53814"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tcPr>
          <w:p w14:paraId="5240A939" w14:textId="77777777" w:rsidR="00B55A5F" w:rsidRPr="00B55A5F" w:rsidRDefault="00B55A5F" w:rsidP="00B55A5F"/>
        </w:tc>
        <w:tc>
          <w:tcPr>
            <w:tcW w:w="4860" w:type="dxa"/>
          </w:tcPr>
          <w:p w14:paraId="15A8CC19"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Elderly</w:t>
            </w:r>
          </w:p>
        </w:tc>
        <w:tc>
          <w:tcPr>
            <w:tcW w:w="2250" w:type="dxa"/>
          </w:tcPr>
          <w:p w14:paraId="07AA8D23"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None</w:t>
            </w:r>
          </w:p>
        </w:tc>
      </w:tr>
      <w:tr w:rsidR="00A2119E" w:rsidRPr="00B55A5F" w14:paraId="0B8DFC2C"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tcPr>
          <w:p w14:paraId="3E75323B" w14:textId="77777777" w:rsidR="00B55A5F" w:rsidRPr="00B55A5F" w:rsidRDefault="00B55A5F" w:rsidP="00B55A5F"/>
        </w:tc>
        <w:tc>
          <w:tcPr>
            <w:tcW w:w="4860" w:type="dxa"/>
          </w:tcPr>
          <w:p w14:paraId="3114C88B"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Other special population</w:t>
            </w:r>
          </w:p>
        </w:tc>
        <w:tc>
          <w:tcPr>
            <w:tcW w:w="2250" w:type="dxa"/>
          </w:tcPr>
          <w:p w14:paraId="055E3E70" w14:textId="77777777" w:rsidR="00B55A5F" w:rsidRPr="00B55A5F" w:rsidRDefault="00FE32BB" w:rsidP="00B55A5F">
            <w:pPr>
              <w:cnfStyle w:val="000000000000" w:firstRow="0" w:lastRow="0" w:firstColumn="0" w:lastColumn="0" w:oddVBand="0" w:evenVBand="0" w:oddHBand="0" w:evenHBand="0" w:firstRowFirstColumn="0" w:firstRowLastColumn="0" w:lastRowFirstColumn="0" w:lastRowLastColumn="0"/>
            </w:pPr>
            <w:r>
              <w:t>None</w:t>
            </w:r>
          </w:p>
        </w:tc>
      </w:tr>
      <w:tr w:rsidR="00A2119E" w:rsidRPr="00B55A5F" w14:paraId="6A1FAB77"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val="restart"/>
          </w:tcPr>
          <w:p w14:paraId="610FE146" w14:textId="77777777" w:rsidR="00B55A5F" w:rsidRPr="00B55A5F" w:rsidRDefault="00B55A5F" w:rsidP="00B55A5F">
            <w:r w:rsidRPr="00B55A5F">
              <w:t>Genetic/gender related PK</w:t>
            </w:r>
          </w:p>
        </w:tc>
        <w:tc>
          <w:tcPr>
            <w:tcW w:w="4860" w:type="dxa"/>
          </w:tcPr>
          <w:p w14:paraId="39422A99"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Males versus females</w:t>
            </w:r>
          </w:p>
        </w:tc>
        <w:tc>
          <w:tcPr>
            <w:tcW w:w="2250" w:type="dxa"/>
          </w:tcPr>
          <w:p w14:paraId="3A690633"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p>
        </w:tc>
      </w:tr>
      <w:tr w:rsidR="00A2119E" w:rsidRPr="00B55A5F" w14:paraId="3DBFC103"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tcPr>
          <w:p w14:paraId="5C01E55F" w14:textId="77777777" w:rsidR="00B55A5F" w:rsidRPr="00B55A5F" w:rsidRDefault="00B55A5F" w:rsidP="00B55A5F"/>
        </w:tc>
        <w:tc>
          <w:tcPr>
            <w:tcW w:w="4860" w:type="dxa"/>
          </w:tcPr>
          <w:p w14:paraId="4FC951FD"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Other genetic variable</w:t>
            </w:r>
          </w:p>
        </w:tc>
        <w:tc>
          <w:tcPr>
            <w:tcW w:w="2250" w:type="dxa"/>
          </w:tcPr>
          <w:p w14:paraId="795B4700"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p>
        </w:tc>
      </w:tr>
      <w:tr w:rsidR="00A2119E" w:rsidRPr="00B55A5F" w14:paraId="130514A2" w14:textId="77777777" w:rsidTr="00FE2AA6">
        <w:tc>
          <w:tcPr>
            <w:cnfStyle w:val="001000000000" w:firstRow="0" w:lastRow="0" w:firstColumn="1" w:lastColumn="0" w:oddVBand="0" w:evenVBand="0" w:oddHBand="0" w:evenHBand="0" w:firstRowFirstColumn="0" w:firstRowLastColumn="0" w:lastRowFirstColumn="0" w:lastRowLastColumn="0"/>
            <w:tcW w:w="2088" w:type="dxa"/>
          </w:tcPr>
          <w:p w14:paraId="005C6D3B" w14:textId="77777777" w:rsidR="00B55A5F" w:rsidRPr="00B55A5F" w:rsidRDefault="00B55A5F" w:rsidP="00B55A5F">
            <w:r w:rsidRPr="00B55A5F">
              <w:t>PK interactions</w:t>
            </w:r>
          </w:p>
        </w:tc>
        <w:tc>
          <w:tcPr>
            <w:tcW w:w="4860" w:type="dxa"/>
          </w:tcPr>
          <w:p w14:paraId="74D71B71"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p>
        </w:tc>
        <w:tc>
          <w:tcPr>
            <w:tcW w:w="2250" w:type="dxa"/>
          </w:tcPr>
          <w:p w14:paraId="7B44A1EE"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None</w:t>
            </w:r>
          </w:p>
        </w:tc>
      </w:tr>
      <w:tr w:rsidR="00A2119E" w:rsidRPr="00B55A5F" w14:paraId="6475B6F6"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val="restart"/>
          </w:tcPr>
          <w:p w14:paraId="44F5575A" w14:textId="77777777" w:rsidR="00B55A5F" w:rsidRPr="00B55A5F" w:rsidRDefault="00B55A5F" w:rsidP="00B55A5F">
            <w:r w:rsidRPr="00B55A5F">
              <w:t>Population PK analyses</w:t>
            </w:r>
          </w:p>
        </w:tc>
        <w:tc>
          <w:tcPr>
            <w:tcW w:w="4860" w:type="dxa"/>
          </w:tcPr>
          <w:p w14:paraId="132502FF"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Healthy subjects</w:t>
            </w:r>
          </w:p>
        </w:tc>
        <w:tc>
          <w:tcPr>
            <w:tcW w:w="2250" w:type="dxa"/>
          </w:tcPr>
          <w:p w14:paraId="0DF0A850" w14:textId="77777777" w:rsidR="00B55A5F" w:rsidRPr="00B55A5F" w:rsidRDefault="00B73619" w:rsidP="00B55A5F">
            <w:pPr>
              <w:cnfStyle w:val="000000000000" w:firstRow="0" w:lastRow="0" w:firstColumn="0" w:lastColumn="0" w:oddVBand="0" w:evenVBand="0" w:oddHBand="0" w:evenHBand="0" w:firstRowFirstColumn="0" w:firstRowLastColumn="0" w:lastRowFirstColumn="0" w:lastRowLastColumn="0"/>
            </w:pPr>
            <w:r>
              <w:t>None</w:t>
            </w:r>
          </w:p>
        </w:tc>
      </w:tr>
      <w:tr w:rsidR="00A2119E" w:rsidRPr="00B55A5F" w14:paraId="3CBDD2B0" w14:textId="77777777" w:rsidTr="00FE2AA6">
        <w:tc>
          <w:tcPr>
            <w:cnfStyle w:val="001000000000" w:firstRow="0" w:lastRow="0" w:firstColumn="1" w:lastColumn="0" w:oddVBand="0" w:evenVBand="0" w:oddHBand="0" w:evenHBand="0" w:firstRowFirstColumn="0" w:firstRowLastColumn="0" w:lastRowFirstColumn="0" w:lastRowLastColumn="0"/>
            <w:tcW w:w="2088" w:type="dxa"/>
            <w:vMerge/>
          </w:tcPr>
          <w:p w14:paraId="12F8FA86" w14:textId="77777777" w:rsidR="00B55A5F" w:rsidRPr="00B55A5F" w:rsidRDefault="00B55A5F" w:rsidP="00B55A5F"/>
        </w:tc>
        <w:tc>
          <w:tcPr>
            <w:tcW w:w="4860" w:type="dxa"/>
          </w:tcPr>
          <w:p w14:paraId="74AFA385"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Target population</w:t>
            </w:r>
          </w:p>
        </w:tc>
        <w:tc>
          <w:tcPr>
            <w:tcW w:w="2250" w:type="dxa"/>
          </w:tcPr>
          <w:p w14:paraId="1121120A"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SYN201301</w:t>
            </w:r>
          </w:p>
        </w:tc>
      </w:tr>
    </w:tbl>
    <w:p w14:paraId="59488799" w14:textId="77777777" w:rsidR="00B55A5F" w:rsidRPr="00B55A5F" w:rsidRDefault="00B55A5F" w:rsidP="00B55A5F">
      <w:pPr>
        <w:pStyle w:val="TableDescription"/>
      </w:pPr>
      <w:r w:rsidRPr="00B55A5F">
        <w:t xml:space="preserve">* Indicates the primary PK aim of the </w:t>
      </w:r>
      <w:r w:rsidR="00C4359A">
        <w:t>study</w:t>
      </w:r>
      <w:r w:rsidRPr="00B55A5F">
        <w:t>. § Subjects who would be eligible to receive the drug if approved for the proposed indication.</w:t>
      </w:r>
    </w:p>
    <w:p w14:paraId="4E86D45E" w14:textId="77777777" w:rsidR="00B55A5F" w:rsidRPr="00B55A5F" w:rsidRDefault="00B55A5F" w:rsidP="00B55A5F">
      <w:pPr>
        <w:pStyle w:val="Heading3"/>
      </w:pPr>
      <w:bookmarkStart w:id="38" w:name="_Toc468957445"/>
      <w:bookmarkStart w:id="39" w:name="_Toc519670950"/>
      <w:r w:rsidRPr="00B55A5F">
        <w:t>Summary of pharmacokinetics</w:t>
      </w:r>
      <w:bookmarkEnd w:id="38"/>
      <w:bookmarkEnd w:id="39"/>
    </w:p>
    <w:p w14:paraId="258E078C" w14:textId="77777777" w:rsidR="00B55A5F" w:rsidRPr="00B55A5F" w:rsidRDefault="00B55A5F" w:rsidP="00B55A5F">
      <w:pPr>
        <w:pStyle w:val="Heading4"/>
      </w:pPr>
      <w:bookmarkStart w:id="40" w:name="_Toc272414617"/>
      <w:bookmarkStart w:id="41" w:name="_Toc290888466"/>
      <w:bookmarkStart w:id="42" w:name="_Toc416353662"/>
      <w:bookmarkStart w:id="43" w:name="_Toc421005243"/>
      <w:bookmarkStart w:id="44" w:name="_Toc432079125"/>
      <w:bookmarkStart w:id="45" w:name="_Toc432080698"/>
      <w:bookmarkStart w:id="46" w:name="_Toc468957446"/>
      <w:r w:rsidRPr="00B55A5F">
        <w:t>Physicochemical characteristics of the active substance</w:t>
      </w:r>
      <w:bookmarkEnd w:id="40"/>
      <w:bookmarkEnd w:id="41"/>
      <w:bookmarkEnd w:id="42"/>
      <w:bookmarkEnd w:id="43"/>
      <w:bookmarkEnd w:id="44"/>
      <w:bookmarkEnd w:id="45"/>
      <w:bookmarkEnd w:id="46"/>
    </w:p>
    <w:p w14:paraId="54C440D4" w14:textId="3E734C18" w:rsidR="00B55A5F" w:rsidRPr="00B55A5F" w:rsidRDefault="00B55A5F" w:rsidP="00B55A5F">
      <w:proofErr w:type="spellStart"/>
      <w:r w:rsidRPr="00B55A5F">
        <w:t>Sebelipase</w:t>
      </w:r>
      <w:proofErr w:type="spellEnd"/>
      <w:r w:rsidRPr="00B55A5F">
        <w:t xml:space="preserve"> alfa is a recombinant human lysosomal acid lipase (</w:t>
      </w:r>
      <w:proofErr w:type="spellStart"/>
      <w:r w:rsidRPr="00B55A5F">
        <w:t>rhLAL</w:t>
      </w:r>
      <w:proofErr w:type="spellEnd"/>
      <w:r w:rsidRPr="00B55A5F">
        <w:t xml:space="preserve">) produced by recombinant DNA technology and purified from the egg white of genetically engineered chickens </w:t>
      </w:r>
      <w:r w:rsidR="00A2119E">
        <w:t>(</w:t>
      </w:r>
      <w:r w:rsidRPr="00B55A5F">
        <w:t xml:space="preserve">transgenic </w:t>
      </w:r>
      <w:r w:rsidRPr="00FE2AA6">
        <w:rPr>
          <w:i/>
        </w:rPr>
        <w:t>Gallus</w:t>
      </w:r>
      <w:r w:rsidR="00A2119E">
        <w:t>)</w:t>
      </w:r>
      <w:r w:rsidR="00A2119E" w:rsidRPr="00B55A5F">
        <w:t xml:space="preserve">. </w:t>
      </w:r>
      <w:r w:rsidRPr="00B55A5F">
        <w:t xml:space="preserve">Purified </w:t>
      </w:r>
      <w:proofErr w:type="spellStart"/>
      <w:r w:rsidRPr="00B55A5F">
        <w:t>sebelipase</w:t>
      </w:r>
      <w:proofErr w:type="spellEnd"/>
      <w:r w:rsidRPr="00B55A5F">
        <w:t xml:space="preserve"> alfa is a monomeric glycoprotein containing 6 N-linked glycosylation sites with a molecular weight of </w:t>
      </w:r>
      <w:r w:rsidR="00B73619">
        <w:t>approximately</w:t>
      </w:r>
      <w:r w:rsidRPr="00B55A5F">
        <w:t xml:space="preserve"> 55 </w:t>
      </w:r>
      <w:proofErr w:type="spellStart"/>
      <w:r w:rsidRPr="00B55A5F">
        <w:t>kDa</w:t>
      </w:r>
      <w:proofErr w:type="spellEnd"/>
      <w:r w:rsidRPr="00B55A5F">
        <w:t>.</w:t>
      </w:r>
    </w:p>
    <w:p w14:paraId="07F7DCFC" w14:textId="77777777" w:rsidR="00B55A5F" w:rsidRPr="00B55A5F" w:rsidRDefault="00B55A5F" w:rsidP="00B55A5F">
      <w:pPr>
        <w:pStyle w:val="FigureTitle"/>
        <w:keepNext/>
      </w:pPr>
      <w:r>
        <w:lastRenderedPageBreak/>
        <w:t xml:space="preserve">Figure 1: Structure of </w:t>
      </w:r>
      <w:proofErr w:type="spellStart"/>
      <w:r>
        <w:t>sebelipase</w:t>
      </w:r>
      <w:proofErr w:type="spellEnd"/>
      <w:r>
        <w:t xml:space="preserve"> alfa</w:t>
      </w:r>
    </w:p>
    <w:p w14:paraId="4AE56C77" w14:textId="77777777" w:rsidR="00984096" w:rsidRDefault="00B55A5F" w:rsidP="00586F98">
      <w:r>
        <w:rPr>
          <w:noProof/>
          <w:lang w:eastAsia="en-AU"/>
        </w:rPr>
        <w:drawing>
          <wp:inline distT="0" distB="0" distL="0" distR="0" wp14:anchorId="45CCA243" wp14:editId="5679B20A">
            <wp:extent cx="3152775" cy="2533650"/>
            <wp:effectExtent l="0" t="0" r="9525" b="0"/>
            <wp:docPr id="4" name="Picture 4" descr="Figure 1: Structure of sebelipase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52775" cy="2533650"/>
                    </a:xfrm>
                    <a:prstGeom prst="rect">
                      <a:avLst/>
                    </a:prstGeom>
                  </pic:spPr>
                </pic:pic>
              </a:graphicData>
            </a:graphic>
          </wp:inline>
        </w:drawing>
      </w:r>
    </w:p>
    <w:p w14:paraId="5E7EDE8E" w14:textId="77777777" w:rsidR="00B55A5F" w:rsidRPr="00B55A5F" w:rsidRDefault="00B55A5F" w:rsidP="00B55A5F">
      <w:pPr>
        <w:pStyle w:val="Heading4"/>
      </w:pPr>
      <w:bookmarkStart w:id="47" w:name="_Toc468957447"/>
      <w:r w:rsidRPr="00B55A5F">
        <w:t>Pharmacokinetics in healthy subjects</w:t>
      </w:r>
      <w:bookmarkEnd w:id="47"/>
    </w:p>
    <w:p w14:paraId="442CD8CF" w14:textId="77777777" w:rsidR="00B73619" w:rsidRDefault="00B55A5F" w:rsidP="00B55A5F">
      <w:r w:rsidRPr="00B55A5F">
        <w:t>Not applicable</w:t>
      </w:r>
      <w:r w:rsidR="00B73619">
        <w:t>.</w:t>
      </w:r>
    </w:p>
    <w:p w14:paraId="07865445" w14:textId="77777777" w:rsidR="00B55A5F" w:rsidRPr="00B55A5F" w:rsidRDefault="00B55A5F" w:rsidP="00B55A5F">
      <w:pPr>
        <w:pStyle w:val="Heading4"/>
      </w:pPr>
      <w:bookmarkStart w:id="48" w:name="_Toc241374292"/>
      <w:bookmarkStart w:id="49" w:name="_Ref271189131"/>
      <w:bookmarkStart w:id="50" w:name="_Ref271189136"/>
      <w:bookmarkStart w:id="51" w:name="_Toc272414625"/>
      <w:bookmarkStart w:id="52" w:name="_Toc290888474"/>
      <w:bookmarkStart w:id="53" w:name="_Toc416353670"/>
      <w:bookmarkStart w:id="54" w:name="_Toc421005245"/>
      <w:bookmarkStart w:id="55" w:name="_Toc432079127"/>
      <w:bookmarkStart w:id="56" w:name="_Toc432080700"/>
      <w:bookmarkStart w:id="57" w:name="_Ref463262464"/>
      <w:bookmarkStart w:id="58" w:name="_Toc468957448"/>
      <w:r w:rsidRPr="00B55A5F">
        <w:t>Pharmacokinetics in the target population</w:t>
      </w:r>
      <w:bookmarkEnd w:id="48"/>
      <w:bookmarkEnd w:id="49"/>
      <w:bookmarkEnd w:id="50"/>
      <w:bookmarkEnd w:id="51"/>
      <w:bookmarkEnd w:id="52"/>
      <w:bookmarkEnd w:id="53"/>
      <w:bookmarkEnd w:id="54"/>
      <w:bookmarkEnd w:id="55"/>
      <w:bookmarkEnd w:id="56"/>
      <w:bookmarkEnd w:id="57"/>
      <w:bookmarkEnd w:id="58"/>
    </w:p>
    <w:p w14:paraId="475B9117" w14:textId="683AFC59" w:rsidR="00B73619" w:rsidRDefault="00A2119E" w:rsidP="00B55A5F">
      <w:pPr>
        <w:rPr>
          <w:highlight w:val="yellow"/>
        </w:rPr>
      </w:pPr>
      <w:bookmarkStart w:id="59" w:name="_Toc241374293"/>
      <w:bookmarkStart w:id="60" w:name="_Toc272414626"/>
      <w:bookmarkStart w:id="61" w:name="_Toc290888475"/>
      <w:bookmarkStart w:id="62" w:name="_Toc416353671"/>
      <w:bookmarkStart w:id="63" w:name="_Toc421005246"/>
      <w:bookmarkStart w:id="64" w:name="_Toc432079128"/>
      <w:bookmarkStart w:id="65" w:name="_Toc432080701"/>
      <w:r>
        <w:t xml:space="preserve">Study </w:t>
      </w:r>
      <w:r w:rsidR="00B55A5F" w:rsidRPr="00B55A5F">
        <w:t xml:space="preserve">LAL-CL01 was the first clinical </w:t>
      </w:r>
      <w:r w:rsidR="00C4359A">
        <w:t>study</w:t>
      </w:r>
      <w:r w:rsidR="00B55A5F" w:rsidRPr="00B55A5F">
        <w:t xml:space="preserve"> of SBC-102, a recombinant human lysosomal acid lipase (</w:t>
      </w:r>
      <w:proofErr w:type="spellStart"/>
      <w:r w:rsidR="00B55A5F" w:rsidRPr="00B55A5F">
        <w:t>rhLAL</w:t>
      </w:r>
      <w:proofErr w:type="spellEnd"/>
      <w:r w:rsidR="00B55A5F" w:rsidRPr="00B55A5F">
        <w:t xml:space="preserve">; </w:t>
      </w:r>
      <w:proofErr w:type="spellStart"/>
      <w:r w:rsidR="00B55A5F" w:rsidRPr="00B55A5F">
        <w:t>sebelipase</w:t>
      </w:r>
      <w:proofErr w:type="spellEnd"/>
      <w:r w:rsidR="00B55A5F" w:rsidRPr="00B55A5F">
        <w:t xml:space="preserve"> alfa), in patients with late onset LAL Deficiency. This Phase</w:t>
      </w:r>
      <w:r w:rsidR="00B73619">
        <w:t xml:space="preserve"> I/II</w:t>
      </w:r>
      <w:r w:rsidR="00B55A5F" w:rsidRPr="00B55A5F">
        <w:t xml:space="preserve"> </w:t>
      </w:r>
      <w:r w:rsidR="00C4359A">
        <w:t>study</w:t>
      </w:r>
      <w:r w:rsidR="00B55A5F" w:rsidRPr="00B55A5F">
        <w:t xml:space="preserve"> was designed to provide initial data on the safety, tolerability, a</w:t>
      </w:r>
      <w:r w:rsidR="00905BF2">
        <w:t>nd pharmacokinetics (PK) of SBC</w:t>
      </w:r>
      <w:r w:rsidR="00905BF2">
        <w:noBreakHyphen/>
        <w:t xml:space="preserve">102 following a 4 week regimen of once </w:t>
      </w:r>
      <w:r w:rsidR="00B55A5F" w:rsidRPr="00B55A5F">
        <w:t>weekly (</w:t>
      </w:r>
      <w:proofErr w:type="spellStart"/>
      <w:r w:rsidR="00B55A5F" w:rsidRPr="00B55A5F">
        <w:t>qw</w:t>
      </w:r>
      <w:proofErr w:type="spellEnd"/>
      <w:r w:rsidR="00B55A5F" w:rsidRPr="00B55A5F">
        <w:t>) IV infusions of SBC-102 at d</w:t>
      </w:r>
      <w:r w:rsidR="00905BF2">
        <w:t>oses of 0.35 mg/kg, 1 mg/kg and</w:t>
      </w:r>
      <w:r w:rsidR="00B55A5F" w:rsidRPr="00B55A5F">
        <w:t xml:space="preserve"> 3 mg/kg in adult patients with liver dysfunction due to late onset LAL </w:t>
      </w:r>
      <w:r>
        <w:t>d</w:t>
      </w:r>
      <w:r w:rsidRPr="00B55A5F">
        <w:t>eficiency</w:t>
      </w:r>
      <w:r w:rsidR="00B55A5F" w:rsidRPr="00B55A5F">
        <w:t xml:space="preserve">. The </w:t>
      </w:r>
      <w:r w:rsidR="00C4359A">
        <w:t>study</w:t>
      </w:r>
      <w:r w:rsidR="00B55A5F" w:rsidRPr="00B55A5F">
        <w:t xml:space="preserve"> also investigated the pharmacodynamics (PD) of SBC-102 in this patient population, and the overall health of these patients relative to reference populations. A summary of this </w:t>
      </w:r>
      <w:r w:rsidR="00C4359A">
        <w:t>study</w:t>
      </w:r>
      <w:r w:rsidR="00B55A5F" w:rsidRPr="00B55A5F">
        <w:t xml:space="preserve"> </w:t>
      </w:r>
      <w:r w:rsidR="00FE32BB">
        <w:t>was provided.</w:t>
      </w:r>
    </w:p>
    <w:p w14:paraId="1ED9F7C6" w14:textId="15211B20" w:rsidR="00B55A5F" w:rsidRPr="00B55A5F" w:rsidRDefault="00B55A5F" w:rsidP="00B55A5F">
      <w:r w:rsidRPr="00B55A5F">
        <w:t xml:space="preserve">The doses for this </w:t>
      </w:r>
      <w:r w:rsidR="00C4359A">
        <w:t>study</w:t>
      </w:r>
      <w:r w:rsidRPr="00B55A5F">
        <w:t xml:space="preserve"> were chosen to cover the anticipated therapeutic dose range for SBC</w:t>
      </w:r>
      <w:r w:rsidR="00DE3198">
        <w:noBreakHyphen/>
      </w:r>
      <w:r w:rsidRPr="00B55A5F">
        <w:t xml:space="preserve">102, and all doses were within the safety margin indicated by the nonclinical toxicology results. A dose of 0.35 mg/kg was selected as the starting dose because this was the minimally effective dose in a highly relevant nonclinical model of LAL </w:t>
      </w:r>
      <w:r w:rsidR="00A2119E">
        <w:t>d</w:t>
      </w:r>
      <w:r w:rsidR="00A2119E" w:rsidRPr="00B55A5F">
        <w:t>eficiency</w:t>
      </w:r>
      <w:r w:rsidRPr="00B55A5F">
        <w:t>.</w:t>
      </w:r>
      <w:r w:rsidR="00DA0B9C" w:rsidRPr="00905BF2">
        <w:rPr>
          <w:vertAlign w:val="superscript"/>
        </w:rPr>
        <w:footnoteReference w:id="3"/>
      </w:r>
      <w:r w:rsidRPr="00B55A5F">
        <w:t xml:space="preserve"> The dose was increased in approximately 3</w:t>
      </w:r>
      <w:r w:rsidR="00905BF2">
        <w:t xml:space="preserve"> fold</w:t>
      </w:r>
      <w:r w:rsidRPr="00B55A5F">
        <w:t xml:space="preserve"> increments, to 1 mg/kg and then to a top dose of 3 mg/kg, to allow assessment of safety and tolerability over an approximately 9</w:t>
      </w:r>
      <w:r w:rsidR="00905BF2">
        <w:t xml:space="preserve"> fold</w:t>
      </w:r>
      <w:r w:rsidRPr="00B55A5F">
        <w:t xml:space="preserve"> dose range. In the rat model of LAL Deficiency, the PD effects of SBC-102 were broadly comparable at the 2 highest </w:t>
      </w:r>
      <w:proofErr w:type="spellStart"/>
      <w:r w:rsidRPr="00B55A5F">
        <w:t>qw</w:t>
      </w:r>
      <w:proofErr w:type="spellEnd"/>
      <w:r w:rsidRPr="00B55A5F">
        <w:t xml:space="preserve"> doses evaluated, 3 mg/kg and 5 mg/kg. Thus, it was not anticipated that doses greater than 3 mg/kg </w:t>
      </w:r>
      <w:proofErr w:type="spellStart"/>
      <w:r w:rsidRPr="00B55A5F">
        <w:t>qw</w:t>
      </w:r>
      <w:proofErr w:type="spellEnd"/>
      <w:r w:rsidRPr="00B55A5F">
        <w:t xml:space="preserve"> would be required in humans.</w:t>
      </w:r>
    </w:p>
    <w:p w14:paraId="2B03274B" w14:textId="77777777" w:rsidR="00B73619" w:rsidRDefault="00B55A5F" w:rsidP="00B55A5F">
      <w:pPr>
        <w:rPr>
          <w:highlight w:val="yellow"/>
        </w:rPr>
      </w:pPr>
      <w:r w:rsidRPr="00B55A5F">
        <w:t xml:space="preserve">There was a reasonably dose-proportional increase in exposure from 0.35 mg·kg-1 to 1 mg·kg-1 based on median values for </w:t>
      </w:r>
      <w:proofErr w:type="gramStart"/>
      <w:r w:rsidR="00FE32BB" w:rsidRPr="00B55A5F">
        <w:t>AUC</w:t>
      </w:r>
      <w:r w:rsidR="00FE32BB" w:rsidRPr="00FE32BB">
        <w:rPr>
          <w:vertAlign w:val="subscript"/>
        </w:rPr>
        <w:t>(</w:t>
      </w:r>
      <w:proofErr w:type="gramEnd"/>
      <w:r w:rsidR="00FE32BB" w:rsidRPr="00FE32BB">
        <w:rPr>
          <w:vertAlign w:val="subscript"/>
        </w:rPr>
        <w:t>0-last)</w:t>
      </w:r>
      <w:r w:rsidRPr="00B55A5F">
        <w:t>, AUC</w:t>
      </w:r>
      <w:r w:rsidRPr="00FE2AA6">
        <w:rPr>
          <w:vertAlign w:val="subscript"/>
        </w:rPr>
        <w:t>(0-∞)</w:t>
      </w:r>
      <w:r w:rsidRPr="00B55A5F">
        <w:t xml:space="preserve"> and </w:t>
      </w:r>
      <w:proofErr w:type="spellStart"/>
      <w:r w:rsidR="00905BF2" w:rsidRPr="00B55A5F">
        <w:t>C</w:t>
      </w:r>
      <w:r w:rsidR="00905BF2" w:rsidRPr="00905BF2">
        <w:rPr>
          <w:vertAlign w:val="subscript"/>
        </w:rPr>
        <w:t>max</w:t>
      </w:r>
      <w:proofErr w:type="spellEnd"/>
      <w:r w:rsidRPr="00B55A5F">
        <w:t xml:space="preserve"> after both the first (Day 0) and fourth (Day 21) infusions of SBC-102. A greater than dose-proportional increase in exposure was observed from 1 mg/kg to 3 mg/kg. This 3</w:t>
      </w:r>
      <w:r w:rsidR="00905BF2">
        <w:t xml:space="preserve"> fold</w:t>
      </w:r>
      <w:r w:rsidRPr="00B55A5F">
        <w:t xml:space="preserve"> increase in dose resulted in an approximate 10</w:t>
      </w:r>
      <w:r w:rsidR="00905BF2">
        <w:t xml:space="preserve"> fold</w:t>
      </w:r>
      <w:r w:rsidRPr="00B55A5F">
        <w:t xml:space="preserve"> increase in exposure based on the median for AUC and </w:t>
      </w:r>
      <w:proofErr w:type="spellStart"/>
      <w:r w:rsidR="00905BF2" w:rsidRPr="00B55A5F">
        <w:t>C</w:t>
      </w:r>
      <w:r w:rsidR="00905BF2" w:rsidRPr="00905BF2">
        <w:rPr>
          <w:vertAlign w:val="subscript"/>
        </w:rPr>
        <w:t>max</w:t>
      </w:r>
      <w:proofErr w:type="spellEnd"/>
      <w:r w:rsidRPr="00B55A5F">
        <w:t xml:space="preserve">. This observation was consistent after both the first </w:t>
      </w:r>
      <w:r w:rsidR="00FE32BB">
        <w:t>and fourth infusions of SBC-102.</w:t>
      </w:r>
    </w:p>
    <w:p w14:paraId="33074336" w14:textId="77777777" w:rsidR="00B55A5F" w:rsidRDefault="00B55A5F" w:rsidP="00B55A5F">
      <w:r w:rsidRPr="00B55A5F">
        <w:t xml:space="preserve">Following IV infusion over 2 hours, SBC-102 was rapidly eliminated from the systemic circulation. Within each dose cohort, </w:t>
      </w:r>
      <w:r w:rsidR="00B73619" w:rsidRPr="00B55A5F">
        <w:t>t</w:t>
      </w:r>
      <w:r w:rsidR="00B73619">
        <w:t>½</w:t>
      </w:r>
      <w:r w:rsidRPr="00B55A5F">
        <w:t xml:space="preserve"> was reasonably consistent after the first and fourth infusions of</w:t>
      </w:r>
      <w:r w:rsidR="00FE32BB">
        <w:t xml:space="preserve"> SBC-102. Across dose cohorts,</w:t>
      </w:r>
      <w:r w:rsidRPr="00B55A5F">
        <w:t xml:space="preserve"> </w:t>
      </w:r>
      <w:r w:rsidR="00B73619" w:rsidRPr="00B55A5F">
        <w:t>t</w:t>
      </w:r>
      <w:r w:rsidR="00B73619">
        <w:t>½</w:t>
      </w:r>
      <w:r w:rsidR="00CC672B">
        <w:t xml:space="preserve"> </w:t>
      </w:r>
      <w:r w:rsidRPr="00B55A5F">
        <w:t xml:space="preserve">was longer for the 0.35 mg/kg dose compared </w:t>
      </w:r>
      <w:r w:rsidRPr="00B55A5F">
        <w:lastRenderedPageBreak/>
        <w:t>with the other 2 doses. At Day 21, the respective median valu</w:t>
      </w:r>
      <w:r w:rsidR="00905BF2">
        <w:t>es at 0.35 mg/kg, 1 mg/kg and 3 </w:t>
      </w:r>
      <w:r w:rsidRPr="00B55A5F">
        <w:t xml:space="preserve">mg/kg were 0.78 hours, 0.11 hours, and 0.13 hours, </w:t>
      </w:r>
      <w:r w:rsidRPr="00112368">
        <w:t xml:space="preserve">respectively </w:t>
      </w:r>
      <w:r w:rsidR="00FE32BB" w:rsidRPr="00112368">
        <w:t>(Figure</w:t>
      </w:r>
      <w:r w:rsidR="008267BC">
        <w:t>s</w:t>
      </w:r>
      <w:r w:rsidR="00FE32BB" w:rsidRPr="00112368">
        <w:t xml:space="preserve"> </w:t>
      </w:r>
      <w:r w:rsidR="00112368" w:rsidRPr="00112368">
        <w:t>2</w:t>
      </w:r>
      <w:r w:rsidR="008267BC">
        <w:t>, 3 and 4</w:t>
      </w:r>
      <w:r w:rsidRPr="00112368">
        <w:t>).</w:t>
      </w:r>
    </w:p>
    <w:p w14:paraId="38AA35BA" w14:textId="77777777" w:rsidR="004C1854" w:rsidRDefault="008267BC" w:rsidP="008267BC">
      <w:pPr>
        <w:pStyle w:val="FigureTitle"/>
        <w:keepNext/>
      </w:pPr>
      <w:r w:rsidRPr="008267BC">
        <w:t>Figure 2</w:t>
      </w:r>
      <w:r w:rsidR="004C1854" w:rsidRPr="008267BC">
        <w:t>: Mean SBC-</w:t>
      </w:r>
      <w:r w:rsidRPr="008267BC">
        <w:t>102 serum concentration-time profile following a dose o</w:t>
      </w:r>
      <w:r>
        <w:t xml:space="preserve">f 0.35 mg/kg via a 2 </w:t>
      </w:r>
      <w:r w:rsidRPr="008267BC">
        <w:t>hour infusion</w:t>
      </w:r>
    </w:p>
    <w:p w14:paraId="74DBE281" w14:textId="77777777" w:rsidR="004C1854" w:rsidRDefault="004C1854" w:rsidP="004C1854">
      <w:pPr>
        <w:pStyle w:val="FigureTitle"/>
      </w:pPr>
      <w:r>
        <w:rPr>
          <w:noProof/>
          <w:lang w:eastAsia="en-AU"/>
        </w:rPr>
        <w:drawing>
          <wp:inline distT="0" distB="0" distL="0" distR="0" wp14:anchorId="15B01156" wp14:editId="1E95D2B5">
            <wp:extent cx="5731510" cy="2690626"/>
            <wp:effectExtent l="0" t="0" r="2540" b="0"/>
            <wp:docPr id="26" name="Picture 26" descr="Figure 2: Mean SBC-102 Serum Concentration-Time Profile Following a Dose of 0.35 mg·kg-1 via a 2-Hour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690626"/>
                    </a:xfrm>
                    <a:prstGeom prst="rect">
                      <a:avLst/>
                    </a:prstGeom>
                  </pic:spPr>
                </pic:pic>
              </a:graphicData>
            </a:graphic>
          </wp:inline>
        </w:drawing>
      </w:r>
    </w:p>
    <w:p w14:paraId="328D6913" w14:textId="77777777" w:rsidR="004C1854" w:rsidRDefault="008267BC" w:rsidP="008267BC">
      <w:pPr>
        <w:pStyle w:val="FigureTitle"/>
        <w:keepNext/>
      </w:pPr>
      <w:r w:rsidRPr="008267BC">
        <w:t>Figure 3</w:t>
      </w:r>
      <w:r w:rsidR="004C1854" w:rsidRPr="008267BC">
        <w:t xml:space="preserve">: Mean SBC-102 </w:t>
      </w:r>
      <w:r w:rsidRPr="008267BC">
        <w:t>serum concentration-time profile following a dose of 1 mg/kg via a 2 hour infusio</w:t>
      </w:r>
      <w:r w:rsidR="004C1854" w:rsidRPr="008267BC">
        <w:t>n</w:t>
      </w:r>
    </w:p>
    <w:p w14:paraId="7604BB44" w14:textId="77777777" w:rsidR="004C1854" w:rsidRDefault="004C1854" w:rsidP="004C1854">
      <w:pPr>
        <w:pStyle w:val="FigureTitle"/>
      </w:pPr>
      <w:r>
        <w:rPr>
          <w:noProof/>
          <w:lang w:eastAsia="en-AU"/>
        </w:rPr>
        <w:drawing>
          <wp:inline distT="0" distB="0" distL="0" distR="0" wp14:anchorId="74C121A6" wp14:editId="3034CA7A">
            <wp:extent cx="5731510" cy="2683277"/>
            <wp:effectExtent l="0" t="0" r="2540" b="3175"/>
            <wp:docPr id="27" name="Picture 27" descr="Figure 3: Mean SBC-102 serum concentration-time profile following a dose of 1 mg/kg via a 2 hour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683277"/>
                    </a:xfrm>
                    <a:prstGeom prst="rect">
                      <a:avLst/>
                    </a:prstGeom>
                  </pic:spPr>
                </pic:pic>
              </a:graphicData>
            </a:graphic>
          </wp:inline>
        </w:drawing>
      </w:r>
    </w:p>
    <w:p w14:paraId="2E9116D7" w14:textId="77777777" w:rsidR="004C1854" w:rsidRDefault="008267BC" w:rsidP="008267BC">
      <w:pPr>
        <w:pStyle w:val="FigureTitle"/>
        <w:keepNext/>
      </w:pPr>
      <w:r w:rsidRPr="008267BC">
        <w:lastRenderedPageBreak/>
        <w:t>Figure 4</w:t>
      </w:r>
      <w:r w:rsidR="004C1854" w:rsidRPr="008267BC">
        <w:t xml:space="preserve">: Mean SBC-102 </w:t>
      </w:r>
      <w:r w:rsidRPr="008267BC">
        <w:t>serum concentration-time profile following a dose of 3 mg</w:t>
      </w:r>
      <w:r>
        <w:t xml:space="preserve">/kg via a 2 </w:t>
      </w:r>
      <w:r w:rsidRPr="008267BC">
        <w:t>hour infusion</w:t>
      </w:r>
    </w:p>
    <w:p w14:paraId="0F2608C1" w14:textId="77777777" w:rsidR="00FE32BB" w:rsidRPr="00FE32BB" w:rsidRDefault="004C1854" w:rsidP="004C1854">
      <w:pPr>
        <w:pStyle w:val="FigureTitle"/>
      </w:pPr>
      <w:r>
        <w:rPr>
          <w:noProof/>
          <w:lang w:eastAsia="en-AU"/>
        </w:rPr>
        <w:drawing>
          <wp:inline distT="0" distB="0" distL="0" distR="0" wp14:anchorId="744876D2" wp14:editId="1B034197">
            <wp:extent cx="5731510" cy="2764106"/>
            <wp:effectExtent l="0" t="0" r="2540" b="0"/>
            <wp:docPr id="28" name="Picture 28" descr="Figure 4: Mean SBC-102 serum concentration-time profile following a dose of 3 mg/kg via a 2 hour i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764106"/>
                    </a:xfrm>
                    <a:prstGeom prst="rect">
                      <a:avLst/>
                    </a:prstGeom>
                  </pic:spPr>
                </pic:pic>
              </a:graphicData>
            </a:graphic>
          </wp:inline>
        </w:drawing>
      </w:r>
    </w:p>
    <w:p w14:paraId="412A9500" w14:textId="77777777" w:rsidR="00B73619" w:rsidRDefault="00B55A5F" w:rsidP="00B55A5F">
      <w:r w:rsidRPr="00B55A5F">
        <w:t xml:space="preserve">There was a small, though </w:t>
      </w:r>
      <w:proofErr w:type="spellStart"/>
      <w:r w:rsidRPr="00B55A5F">
        <w:t>pharmacok</w:t>
      </w:r>
      <w:r w:rsidR="00FE32BB">
        <w:t>inetically</w:t>
      </w:r>
      <w:proofErr w:type="spellEnd"/>
      <w:r w:rsidR="00FE32BB">
        <w:t xml:space="preserve"> unimportant and dose </w:t>
      </w:r>
      <w:r w:rsidRPr="00B55A5F">
        <w:t xml:space="preserve">independent, increase in AUC from Day 0 to Day 21, with no evidence of accumulation in the pre-infusion sample at Day </w:t>
      </w:r>
      <w:r w:rsidR="00FE32BB">
        <w:t xml:space="preserve">21. The mean increase in </w:t>
      </w:r>
      <w:proofErr w:type="gramStart"/>
      <w:r w:rsidR="00FE32BB" w:rsidRPr="00B55A5F">
        <w:t>AUC</w:t>
      </w:r>
      <w:r w:rsidR="00FE32BB" w:rsidRPr="00FE32BB">
        <w:rPr>
          <w:vertAlign w:val="subscript"/>
        </w:rPr>
        <w:t>(</w:t>
      </w:r>
      <w:proofErr w:type="gramEnd"/>
      <w:r w:rsidR="00FE32BB" w:rsidRPr="00FE32BB">
        <w:rPr>
          <w:vertAlign w:val="subscript"/>
        </w:rPr>
        <w:t>0-last)</w:t>
      </w:r>
      <w:r w:rsidRPr="00B55A5F">
        <w:t xml:space="preserve"> was 13.4%, 16.9% and 13.6%, at SBC-102 doses of 0.35, 1 and 3 mg/kg, respectively</w:t>
      </w:r>
      <w:r w:rsidR="00B73619">
        <w:t>.</w:t>
      </w:r>
    </w:p>
    <w:p w14:paraId="19A30661" w14:textId="77777777" w:rsidR="00B55A5F" w:rsidRPr="00B55A5F" w:rsidRDefault="00B55A5F" w:rsidP="00B55A5F">
      <w:r w:rsidRPr="00B55A5F">
        <w:t>Serum clearance of SBC-102 was similar at doses of 0.35 mg/kg and 1 mg/kg, with median values ranging from 541.22 to 9</w:t>
      </w:r>
      <w:r w:rsidR="00FE32BB">
        <w:t>16.17 mL/h/kg, and was around 4</w:t>
      </w:r>
      <w:r w:rsidRPr="00B55A5F">
        <w:t xml:space="preserve"> to 5</w:t>
      </w:r>
      <w:r w:rsidR="00905BF2">
        <w:t xml:space="preserve"> fold</w:t>
      </w:r>
      <w:r w:rsidR="00FE32BB">
        <w:t xml:space="preserve"> lower at the 3 </w:t>
      </w:r>
      <w:r w:rsidRPr="00B55A5F">
        <w:t>mg/kg dose.</w:t>
      </w:r>
    </w:p>
    <w:p w14:paraId="1E3887DD" w14:textId="77777777" w:rsidR="00B55A5F" w:rsidRPr="00B55A5F" w:rsidRDefault="00B55A5F" w:rsidP="00B55A5F">
      <w:r w:rsidRPr="00B55A5F">
        <w:t>The apparent volume of distribution (</w:t>
      </w:r>
      <w:proofErr w:type="spellStart"/>
      <w:r w:rsidR="00905BF2" w:rsidRPr="00B55A5F">
        <w:t>V</w:t>
      </w:r>
      <w:r w:rsidR="00905BF2" w:rsidRPr="00905BF2">
        <w:rPr>
          <w:vertAlign w:val="subscript"/>
        </w:rPr>
        <w:t>z</w:t>
      </w:r>
      <w:proofErr w:type="spellEnd"/>
      <w:r w:rsidRPr="00B55A5F">
        <w:t xml:space="preserve">) decreased with increasing dose. The estimated median </w:t>
      </w:r>
      <w:proofErr w:type="spellStart"/>
      <w:r w:rsidR="00905BF2" w:rsidRPr="00B55A5F">
        <w:t>V</w:t>
      </w:r>
      <w:r w:rsidR="00905BF2" w:rsidRPr="00905BF2">
        <w:rPr>
          <w:vertAlign w:val="subscript"/>
        </w:rPr>
        <w:t>z</w:t>
      </w:r>
      <w:proofErr w:type="spellEnd"/>
      <w:r w:rsidRPr="00B55A5F">
        <w:t xml:space="preserve"> was higher at 0.35 mg/kg compared with the other dose cohorts. A marked decrease in </w:t>
      </w:r>
      <w:proofErr w:type="spellStart"/>
      <w:r w:rsidR="00905BF2" w:rsidRPr="00B55A5F">
        <w:t>V</w:t>
      </w:r>
      <w:r w:rsidR="00905BF2" w:rsidRPr="00905BF2">
        <w:rPr>
          <w:vertAlign w:val="subscript"/>
        </w:rPr>
        <w:t>z</w:t>
      </w:r>
      <w:proofErr w:type="spellEnd"/>
      <w:r w:rsidRPr="00B55A5F">
        <w:t xml:space="preserve"> was also apparent between Day 0 and Day 21 for the 0.35 mg/kg and 1 mg/kg dose cohorts, with respective decreases of 47% and 54%.</w:t>
      </w:r>
    </w:p>
    <w:p w14:paraId="79C0EDD7" w14:textId="321A4BC7" w:rsidR="00B73619" w:rsidRDefault="00B55A5F" w:rsidP="00B55A5F">
      <w:r w:rsidRPr="00B55A5F">
        <w:t xml:space="preserve">PK assessments were also conducted in the </w:t>
      </w:r>
      <w:r w:rsidR="00B73619">
        <w:t>Phase II</w:t>
      </w:r>
      <w:r w:rsidRPr="00B55A5F">
        <w:t xml:space="preserve"> </w:t>
      </w:r>
      <w:r w:rsidR="00B73619">
        <w:t>open label</w:t>
      </w:r>
      <w:r w:rsidRPr="00B55A5F">
        <w:t xml:space="preserve">, </w:t>
      </w:r>
      <w:r w:rsidR="008F6668">
        <w:t>long term</w:t>
      </w:r>
      <w:r w:rsidR="00B73619">
        <w:t xml:space="preserve"> </w:t>
      </w:r>
      <w:r w:rsidR="00C4359A">
        <w:t>Study</w:t>
      </w:r>
      <w:r w:rsidR="00B73619">
        <w:t xml:space="preserve"> LAL-CL04 in 8 </w:t>
      </w:r>
      <w:r w:rsidRPr="00B55A5F">
        <w:t xml:space="preserve">adult subjects with liver dysfunction due to LAL deficiency who had previously received treatment in </w:t>
      </w:r>
      <w:r w:rsidR="00157E63">
        <w:t>Study</w:t>
      </w:r>
      <w:r w:rsidRPr="00B55A5F">
        <w:t xml:space="preserve"> LAL-CL01</w:t>
      </w:r>
      <w:r w:rsidR="00B73619">
        <w:t>.</w:t>
      </w:r>
      <w:r w:rsidR="00DE3198" w:rsidRPr="00B73619">
        <w:rPr>
          <w:vertAlign w:val="superscript"/>
        </w:rPr>
        <w:footnoteReference w:id="4"/>
      </w:r>
    </w:p>
    <w:p w14:paraId="79715906" w14:textId="35D9F121" w:rsidR="00B55A5F" w:rsidRPr="00B55A5F" w:rsidRDefault="00B55A5F" w:rsidP="00B55A5F">
      <w:proofErr w:type="spellStart"/>
      <w:r w:rsidRPr="00B55A5F">
        <w:t>Sebelipase</w:t>
      </w:r>
      <w:proofErr w:type="spellEnd"/>
      <w:r w:rsidRPr="00B55A5F">
        <w:t xml:space="preserve"> alfa serum concentrations increased rapidly during the first 15 to 20 minutes of the </w:t>
      </w:r>
      <w:r w:rsidR="00B73619">
        <w:t>2 hour</w:t>
      </w:r>
      <w:r w:rsidRPr="00B55A5F">
        <w:t xml:space="preserve"> infusion, with a slower increase thereafter that appeared to be more pronounced with the 3 mg/kg cohort. The median </w:t>
      </w:r>
      <w:proofErr w:type="spellStart"/>
      <w:r w:rsidR="00B73619" w:rsidRPr="00B55A5F">
        <w:t>T</w:t>
      </w:r>
      <w:r w:rsidR="00B73619" w:rsidRPr="00B73619">
        <w:rPr>
          <w:vertAlign w:val="subscript"/>
        </w:rPr>
        <w:t>max</w:t>
      </w:r>
      <w:proofErr w:type="spellEnd"/>
      <w:r w:rsidRPr="00B55A5F">
        <w:t xml:space="preserve"> was generally longer with the higher dose, ranging across time points from 0.50 to 1.50 hours in the 1 mg/kg dose and f</w:t>
      </w:r>
      <w:r w:rsidR="00B73619">
        <w:t>rom 1.50 to 2.17 hours in the 3 </w:t>
      </w:r>
      <w:r w:rsidRPr="00B55A5F">
        <w:t xml:space="preserve">mg/kg dose. Thereafter, </w:t>
      </w:r>
      <w:proofErr w:type="spellStart"/>
      <w:r w:rsidRPr="00B55A5F">
        <w:t>sebelipase</w:t>
      </w:r>
      <w:proofErr w:type="spellEnd"/>
      <w:r w:rsidRPr="00B55A5F">
        <w:t xml:space="preserve"> alfa was rapidly eliminated from the systemic circulation. Within each dose, the median t</w:t>
      </w:r>
      <w:r w:rsidR="00B73619">
        <w:t>½</w:t>
      </w:r>
      <w:r w:rsidRPr="00B55A5F">
        <w:t xml:space="preserve"> was consistent at Weeks 24, 52, and 104, and ranged between 0.15 and 0.26 hours in the 1 mg/kg dose a</w:t>
      </w:r>
      <w:r w:rsidR="00905BF2">
        <w:t>nd 0.11 and 0.21 hours in the 3 </w:t>
      </w:r>
      <w:r w:rsidRPr="00B55A5F">
        <w:t xml:space="preserve">mg/kg dose. Serum exposure to </w:t>
      </w:r>
      <w:proofErr w:type="spellStart"/>
      <w:r w:rsidRPr="00B55A5F">
        <w:t>sebelipase</w:t>
      </w:r>
      <w:proofErr w:type="spellEnd"/>
      <w:r w:rsidRPr="00B55A5F">
        <w:t xml:space="preserve"> alfa increased in a more than dose proportional manner (approximately </w:t>
      </w:r>
      <w:r w:rsidR="00B73619">
        <w:t>15 fold</w:t>
      </w:r>
      <w:r w:rsidRPr="00B55A5F">
        <w:t>) over the 3</w:t>
      </w:r>
      <w:r w:rsidR="00905BF2">
        <w:t xml:space="preserve"> fold</w:t>
      </w:r>
      <w:r w:rsidRPr="00B55A5F">
        <w:t xml:space="preserve"> inc</w:t>
      </w:r>
      <w:r w:rsidR="00D96127">
        <w:t>rease in dose from 1 to 3 mg/kg.</w:t>
      </w:r>
      <w:r w:rsidRPr="00B55A5F">
        <w:t xml:space="preserve"> This was consistent with findings from in vitro studies, suggesting that either receptor binding or serum clearance mechanisms for </w:t>
      </w:r>
      <w:proofErr w:type="spellStart"/>
      <w:r w:rsidRPr="00B55A5F">
        <w:t>sebelipase</w:t>
      </w:r>
      <w:proofErr w:type="spellEnd"/>
      <w:r w:rsidRPr="00B55A5F">
        <w:t xml:space="preserve"> alfa may become saturated between these two dose levels. Although there was evidence for saturation of CL in relation to post-infusion PK parameters with increasing dose, </w:t>
      </w:r>
      <w:r w:rsidRPr="00B55A5F">
        <w:lastRenderedPageBreak/>
        <w:t xml:space="preserve">there was no evidence for drug accumulation with either the 1 or 3 mg/kg doses, based on the absence of evidence for increases in pre-infusion concentrations of </w:t>
      </w:r>
      <w:proofErr w:type="spellStart"/>
      <w:r w:rsidRPr="00B55A5F">
        <w:t>sebelipase</w:t>
      </w:r>
      <w:proofErr w:type="spellEnd"/>
      <w:r w:rsidRPr="00B55A5F">
        <w:t xml:space="preserve"> alfa (0 ng/mL in all subjects) and the overall lack of increasing median values for </w:t>
      </w:r>
      <w:r w:rsidR="00905BF2" w:rsidRPr="00B55A5F">
        <w:t>AUC</w:t>
      </w:r>
      <w:r w:rsidR="00905BF2" w:rsidRPr="00905BF2">
        <w:rPr>
          <w:vertAlign w:val="subscript"/>
        </w:rPr>
        <w:t>0-last</w:t>
      </w:r>
      <w:r w:rsidRPr="00B55A5F">
        <w:t xml:space="preserve">, </w:t>
      </w:r>
      <w:r w:rsidR="00905BF2" w:rsidRPr="00B55A5F">
        <w:t>AUC</w:t>
      </w:r>
      <w:r w:rsidR="00905BF2" w:rsidRPr="00905BF2">
        <w:rPr>
          <w:vertAlign w:val="subscript"/>
        </w:rPr>
        <w:t>0-inf</w:t>
      </w:r>
      <w:r w:rsidRPr="00B55A5F">
        <w:t xml:space="preserve">, and </w:t>
      </w:r>
      <w:proofErr w:type="spellStart"/>
      <w:r w:rsidR="00905BF2" w:rsidRPr="00B55A5F">
        <w:t>C</w:t>
      </w:r>
      <w:r w:rsidR="00905BF2" w:rsidRPr="00905BF2">
        <w:rPr>
          <w:vertAlign w:val="subscript"/>
        </w:rPr>
        <w:t>max</w:t>
      </w:r>
      <w:proofErr w:type="spellEnd"/>
      <w:r w:rsidRPr="00B55A5F">
        <w:t xml:space="preserve"> that were measured over time. The 30% to 45% decreases in these parameters observed between Weeks 52 and 104 in the 1 mg/kg dose are within the range of variability observed for these parameters across the LAL-CL01 and LAL-CL04 </w:t>
      </w:r>
      <w:r w:rsidR="00157E63">
        <w:t>Study</w:t>
      </w:r>
      <w:r w:rsidRPr="00B55A5F">
        <w:t xml:space="preserve"> duration. For example, the median </w:t>
      </w:r>
      <w:r w:rsidR="00905BF2" w:rsidRPr="00B55A5F">
        <w:t>AUC</w:t>
      </w:r>
      <w:r w:rsidR="00905BF2" w:rsidRPr="00905BF2">
        <w:rPr>
          <w:vertAlign w:val="subscript"/>
        </w:rPr>
        <w:t>0</w:t>
      </w:r>
      <w:r w:rsidR="00C35473">
        <w:rPr>
          <w:vertAlign w:val="subscript"/>
        </w:rPr>
        <w:noBreakHyphen/>
      </w:r>
      <w:r w:rsidR="00905BF2" w:rsidRPr="00905BF2">
        <w:rPr>
          <w:vertAlign w:val="subscript"/>
        </w:rPr>
        <w:t>last</w:t>
      </w:r>
      <w:r w:rsidRPr="00B55A5F">
        <w:t xml:space="preserve"> at Day 0 in the 1 mg/kg dose in LAL-CL01 was 1091 ng.hr/mL, which was comparable to the value of 1108 ng.hr/mL at Week 104 in this dose in </w:t>
      </w:r>
      <w:r w:rsidR="00C35473">
        <w:t xml:space="preserve">Study </w:t>
      </w:r>
      <w:r w:rsidRPr="00B55A5F">
        <w:t xml:space="preserve">LAL-CL04. Similarly, the CL of </w:t>
      </w:r>
      <w:proofErr w:type="spellStart"/>
      <w:r w:rsidRPr="00B55A5F">
        <w:t>sebelipase</w:t>
      </w:r>
      <w:proofErr w:type="spellEnd"/>
      <w:r w:rsidRPr="00B55A5F">
        <w:t xml:space="preserve"> alfa was relatively consistent across the 104 week duration of both studies. Thus, there was no overall trend for change over time in the exposure to </w:t>
      </w:r>
      <w:proofErr w:type="spellStart"/>
      <w:r w:rsidRPr="00B55A5F">
        <w:t>sebelipase</w:t>
      </w:r>
      <w:proofErr w:type="spellEnd"/>
      <w:r w:rsidRPr="00B55A5F">
        <w:t xml:space="preserve"> </w:t>
      </w:r>
      <w:r w:rsidRPr="00112368">
        <w:t>alfa.</w:t>
      </w:r>
    </w:p>
    <w:p w14:paraId="0C712834" w14:textId="77777777" w:rsidR="00B55A5F" w:rsidRPr="00B55A5F" w:rsidRDefault="00B55A5F" w:rsidP="00B55A5F">
      <w:pPr>
        <w:pStyle w:val="Heading4"/>
      </w:pPr>
      <w:bookmarkStart w:id="66" w:name="_Toc468957449"/>
      <w:r w:rsidRPr="00B55A5F">
        <w:t>Pharmacokinetics in special populations</w:t>
      </w:r>
      <w:bookmarkEnd w:id="59"/>
      <w:bookmarkEnd w:id="60"/>
      <w:bookmarkEnd w:id="61"/>
      <w:bookmarkEnd w:id="62"/>
      <w:bookmarkEnd w:id="63"/>
      <w:bookmarkEnd w:id="64"/>
      <w:bookmarkEnd w:id="65"/>
      <w:bookmarkEnd w:id="66"/>
    </w:p>
    <w:p w14:paraId="6C201174" w14:textId="77777777" w:rsidR="00B55A5F" w:rsidRPr="00B55A5F" w:rsidRDefault="00B55A5F" w:rsidP="00B55A5F">
      <w:pPr>
        <w:pStyle w:val="Heading5"/>
      </w:pPr>
      <w:bookmarkStart w:id="67" w:name="_Toc272414627"/>
      <w:bookmarkStart w:id="68" w:name="_Toc290888476"/>
      <w:bookmarkStart w:id="69" w:name="_Toc416353672"/>
      <w:r w:rsidRPr="00B55A5F">
        <w:t>Pharmacokinetics in subjects with impaired hepatic function</w:t>
      </w:r>
      <w:bookmarkEnd w:id="67"/>
      <w:bookmarkEnd w:id="68"/>
      <w:bookmarkEnd w:id="69"/>
    </w:p>
    <w:p w14:paraId="254A82AF" w14:textId="77777777" w:rsidR="00B73619" w:rsidRDefault="00B55A5F" w:rsidP="00B55A5F">
      <w:bookmarkStart w:id="70" w:name="_Toc272414628"/>
      <w:bookmarkStart w:id="71" w:name="_Toc290888477"/>
      <w:bookmarkStart w:id="72" w:name="_Toc416353673"/>
      <w:proofErr w:type="spellStart"/>
      <w:r w:rsidRPr="00B55A5F">
        <w:t>Sebelipase</w:t>
      </w:r>
      <w:proofErr w:type="spellEnd"/>
      <w:r w:rsidRPr="00B55A5F">
        <w:t xml:space="preserve"> alfa is expected to be metabolically degraded through peptide hydrolysis and impaired liver function is not expected to affect the pharmacokinetics of </w:t>
      </w:r>
      <w:proofErr w:type="spellStart"/>
      <w:r w:rsidRPr="00B55A5F">
        <w:t>sebelipase</w:t>
      </w:r>
      <w:proofErr w:type="spellEnd"/>
      <w:r w:rsidRPr="00B55A5F">
        <w:t xml:space="preserve"> alfa. There is a lack of data in patients with severe hepatic impairment</w:t>
      </w:r>
      <w:r w:rsidR="00B73619">
        <w:t>.</w:t>
      </w:r>
    </w:p>
    <w:p w14:paraId="36842AA6" w14:textId="77777777" w:rsidR="00B55A5F" w:rsidRPr="00B55A5F" w:rsidRDefault="00B55A5F" w:rsidP="00B55A5F">
      <w:pPr>
        <w:pStyle w:val="Heading5"/>
      </w:pPr>
      <w:r w:rsidRPr="00B55A5F">
        <w:t>Pharmacokinetics in subjects with impaired renal function</w:t>
      </w:r>
      <w:bookmarkEnd w:id="70"/>
      <w:bookmarkEnd w:id="71"/>
      <w:bookmarkEnd w:id="72"/>
    </w:p>
    <w:p w14:paraId="0764E931" w14:textId="77777777" w:rsidR="00B55A5F" w:rsidRPr="00B55A5F" w:rsidRDefault="00B55A5F" w:rsidP="00B55A5F">
      <w:bookmarkStart w:id="73" w:name="_Toc272414629"/>
      <w:bookmarkStart w:id="74" w:name="_Toc290888478"/>
      <w:bookmarkStart w:id="75" w:name="_Toc416353674"/>
      <w:r w:rsidRPr="00B55A5F">
        <w:t xml:space="preserve">Renal elimination of </w:t>
      </w:r>
      <w:proofErr w:type="spellStart"/>
      <w:r w:rsidRPr="00B55A5F">
        <w:t>sebelipase</w:t>
      </w:r>
      <w:proofErr w:type="spellEnd"/>
      <w:r w:rsidRPr="00B55A5F">
        <w:t xml:space="preserve"> alfa is considered a minor pathway for clearance. There is a lack of data in patients with renal impairment.</w:t>
      </w:r>
    </w:p>
    <w:p w14:paraId="4552A9D5" w14:textId="77777777" w:rsidR="00B55A5F" w:rsidRPr="00B55A5F" w:rsidRDefault="00B55A5F" w:rsidP="00B55A5F">
      <w:pPr>
        <w:pStyle w:val="Heading5"/>
      </w:pPr>
      <w:r w:rsidRPr="00B55A5F">
        <w:t>Pharmacokinetics according to age</w:t>
      </w:r>
      <w:bookmarkEnd w:id="73"/>
      <w:bookmarkEnd w:id="74"/>
      <w:bookmarkEnd w:id="75"/>
    </w:p>
    <w:p w14:paraId="0F4A3097" w14:textId="77777777" w:rsidR="00B73619" w:rsidRDefault="00B55A5F" w:rsidP="00B55A5F">
      <w:bookmarkStart w:id="76" w:name="_Toc272414630"/>
      <w:bookmarkStart w:id="77" w:name="_Toc290888479"/>
      <w:bookmarkStart w:id="78" w:name="_Toc416353675"/>
      <w:r w:rsidRPr="00B55A5F">
        <w:t>Infants (</w:t>
      </w:r>
      <w:r w:rsidR="00A87AAC">
        <w:t xml:space="preserve">&lt; </w:t>
      </w:r>
      <w:r w:rsidRPr="00B55A5F">
        <w:t xml:space="preserve">6 months of age): In LAL-CL03, </w:t>
      </w:r>
      <w:proofErr w:type="spellStart"/>
      <w:r w:rsidRPr="00B55A5F">
        <w:t>sebelipase</w:t>
      </w:r>
      <w:proofErr w:type="spellEnd"/>
      <w:r w:rsidRPr="00B55A5F">
        <w:t xml:space="preserve"> alfa was eliminated from the systemic circulation with a median </w:t>
      </w:r>
      <w:r w:rsidR="00B73619" w:rsidRPr="00B55A5F">
        <w:t>t</w:t>
      </w:r>
      <w:r w:rsidR="00B73619">
        <w:t>½</w:t>
      </w:r>
      <w:r w:rsidR="00905BF2">
        <w:t xml:space="preserve"> of 0.1 hr (range: 0.1 to </w:t>
      </w:r>
      <w:r w:rsidRPr="00B55A5F">
        <w:t>0.2) at the 3 mg/kg per week dose (n</w:t>
      </w:r>
      <w:r w:rsidR="002D28A4">
        <w:t xml:space="preserve"> = </w:t>
      </w:r>
      <w:r w:rsidRPr="00B55A5F">
        <w:t xml:space="preserve">4). The difference in exposures to </w:t>
      </w:r>
      <w:proofErr w:type="spellStart"/>
      <w:r w:rsidRPr="00B55A5F">
        <w:t>sebelipase</w:t>
      </w:r>
      <w:proofErr w:type="spellEnd"/>
      <w:r w:rsidRPr="00B55A5F">
        <w:t xml:space="preserve"> alfa between t</w:t>
      </w:r>
      <w:r w:rsidR="00905BF2">
        <w:t>he once weekly 0.35 mg/kg and 3 </w:t>
      </w:r>
      <w:r w:rsidRPr="00B55A5F">
        <w:t>mg/kg groups was more than dose proportional, with an 8.6</w:t>
      </w:r>
      <w:r w:rsidR="00905BF2">
        <w:t xml:space="preserve"> fold</w:t>
      </w:r>
      <w:r w:rsidRPr="00B55A5F">
        <w:t xml:space="preserve"> increase in dose resulting in a 9.6</w:t>
      </w:r>
      <w:r w:rsidR="00905BF2">
        <w:t xml:space="preserve"> fold</w:t>
      </w:r>
      <w:r w:rsidRPr="00B55A5F">
        <w:t xml:space="preserve"> increase in exposure for AUC and a 10.0</w:t>
      </w:r>
      <w:r w:rsidR="00905BF2">
        <w:t xml:space="preserve"> fold</w:t>
      </w:r>
      <w:r w:rsidRPr="00B55A5F">
        <w:t xml:space="preserve"> increase for </w:t>
      </w:r>
      <w:proofErr w:type="spellStart"/>
      <w:r w:rsidR="00905BF2" w:rsidRPr="00B55A5F">
        <w:t>C</w:t>
      </w:r>
      <w:r w:rsidR="00905BF2" w:rsidRPr="00905BF2">
        <w:rPr>
          <w:vertAlign w:val="subscript"/>
        </w:rPr>
        <w:t>max</w:t>
      </w:r>
      <w:proofErr w:type="spellEnd"/>
      <w:r w:rsidR="00B73619">
        <w:t>.</w:t>
      </w:r>
    </w:p>
    <w:p w14:paraId="2C36CD06" w14:textId="77777777" w:rsidR="00B73619" w:rsidRDefault="00B55A5F" w:rsidP="00B55A5F">
      <w:r w:rsidRPr="00B55A5F">
        <w:t xml:space="preserve">There is limited information on PKs in patients </w:t>
      </w:r>
      <w:r w:rsidR="00B73619">
        <w:t xml:space="preserve">&gt; </w:t>
      </w:r>
      <w:r w:rsidRPr="00B55A5F">
        <w:t xml:space="preserve">18 years of age. There is no information on PKs of </w:t>
      </w:r>
      <w:proofErr w:type="spellStart"/>
      <w:r w:rsidRPr="00B55A5F">
        <w:t>sebelipase</w:t>
      </w:r>
      <w:proofErr w:type="spellEnd"/>
      <w:r w:rsidRPr="00B55A5F">
        <w:t xml:space="preserve"> alfa in elderly patients</w:t>
      </w:r>
      <w:r w:rsidR="00B73619">
        <w:t>.</w:t>
      </w:r>
    </w:p>
    <w:p w14:paraId="4D64338C" w14:textId="77777777" w:rsidR="00B55A5F" w:rsidRPr="00B55A5F" w:rsidRDefault="00B55A5F" w:rsidP="00B55A5F">
      <w:pPr>
        <w:pStyle w:val="Heading5"/>
      </w:pPr>
      <w:r w:rsidRPr="00B55A5F">
        <w:t>Pharmacokinetics related to genetic factors</w:t>
      </w:r>
      <w:bookmarkEnd w:id="76"/>
      <w:bookmarkEnd w:id="77"/>
      <w:bookmarkEnd w:id="78"/>
    </w:p>
    <w:p w14:paraId="181A6FEF" w14:textId="77777777" w:rsidR="00B55A5F" w:rsidRPr="00B55A5F" w:rsidRDefault="00B55A5F" w:rsidP="00B55A5F">
      <w:bookmarkStart w:id="79" w:name="_Toc272414631"/>
      <w:bookmarkStart w:id="80" w:name="_Toc290888480"/>
      <w:bookmarkStart w:id="81" w:name="_Toc416353676"/>
      <w:r w:rsidRPr="00B55A5F">
        <w:t>No data.</w:t>
      </w:r>
    </w:p>
    <w:p w14:paraId="4944D0C8" w14:textId="77777777" w:rsidR="00B55A5F" w:rsidRPr="00B55A5F" w:rsidRDefault="00B55A5F" w:rsidP="00B55A5F">
      <w:pPr>
        <w:pStyle w:val="Heading5"/>
      </w:pPr>
      <w:r w:rsidRPr="00B55A5F">
        <w:t>Pharmacokinetics in other special population / with other population characteristic</w:t>
      </w:r>
      <w:bookmarkEnd w:id="79"/>
      <w:bookmarkEnd w:id="80"/>
      <w:bookmarkEnd w:id="81"/>
    </w:p>
    <w:p w14:paraId="700A61E5" w14:textId="77777777" w:rsidR="00B55A5F" w:rsidRPr="00B55A5F" w:rsidRDefault="00B55A5F" w:rsidP="00B55A5F">
      <w:r w:rsidRPr="00B55A5F">
        <w:t>Not evaluated.</w:t>
      </w:r>
    </w:p>
    <w:p w14:paraId="595A74D8" w14:textId="77777777" w:rsidR="00B55A5F" w:rsidRPr="00B55A5F" w:rsidRDefault="00B55A5F" w:rsidP="00B55A5F">
      <w:pPr>
        <w:pStyle w:val="Heading4"/>
      </w:pPr>
      <w:bookmarkStart w:id="82" w:name="_Toc416353677"/>
      <w:bookmarkStart w:id="83" w:name="_Toc421005247"/>
      <w:bookmarkStart w:id="84" w:name="_Toc432079129"/>
      <w:bookmarkStart w:id="85" w:name="_Toc432080702"/>
      <w:bookmarkStart w:id="86" w:name="_Toc468957450"/>
      <w:r w:rsidRPr="00B55A5F">
        <w:t>Population pharmacokinetics</w:t>
      </w:r>
      <w:bookmarkEnd w:id="82"/>
      <w:bookmarkEnd w:id="83"/>
      <w:bookmarkEnd w:id="84"/>
      <w:bookmarkEnd w:id="85"/>
      <w:bookmarkEnd w:id="86"/>
    </w:p>
    <w:p w14:paraId="7E41569C" w14:textId="77777777" w:rsidR="00B55A5F" w:rsidRPr="00B55A5F" w:rsidRDefault="00B55A5F" w:rsidP="00B55A5F">
      <w:pPr>
        <w:pStyle w:val="Heading5"/>
      </w:pPr>
      <w:proofErr w:type="spellStart"/>
      <w:r w:rsidRPr="00B55A5F">
        <w:t>PopPK</w:t>
      </w:r>
      <w:proofErr w:type="spellEnd"/>
      <w:r w:rsidRPr="00B55A5F">
        <w:t xml:space="preserve"> a</w:t>
      </w:r>
      <w:bookmarkStart w:id="87" w:name="_Toc421005248"/>
      <w:r w:rsidRPr="00B55A5F">
        <w:t>nalysis</w:t>
      </w:r>
    </w:p>
    <w:p w14:paraId="2BA49E34" w14:textId="05043EAE" w:rsidR="00B55A5F" w:rsidRPr="00B55A5F" w:rsidRDefault="00B55A5F" w:rsidP="00B55A5F">
      <w:r w:rsidRPr="00B55A5F">
        <w:t>Based upon serum concentration data obtained from 79 adults, c</w:t>
      </w:r>
      <w:r w:rsidR="00905BF2">
        <w:t>hildren, and infants in Studies </w:t>
      </w:r>
      <w:r w:rsidRPr="00B55A5F">
        <w:t xml:space="preserve">LAL-CL01, LAL-CL04, LAL-CL02 and LAL-CL03, using either sparse or rich sampling, a population PK model was developed to describe the concentration-time data for </w:t>
      </w:r>
      <w:proofErr w:type="spellStart"/>
      <w:r w:rsidRPr="00B55A5F">
        <w:t>sebelipase</w:t>
      </w:r>
      <w:proofErr w:type="spellEnd"/>
      <w:r w:rsidRPr="00B55A5F">
        <w:t xml:space="preserve"> alfa from all 4 clinical studies (</w:t>
      </w:r>
      <w:r w:rsidR="00C35473">
        <w:t xml:space="preserve">Studies </w:t>
      </w:r>
      <w:r w:rsidRPr="00B55A5F">
        <w:t xml:space="preserve">LAL-CL01, CL04, CL03 and CL02). PK of </w:t>
      </w:r>
      <w:proofErr w:type="spellStart"/>
      <w:r w:rsidRPr="00B55A5F">
        <w:t>sebel</w:t>
      </w:r>
      <w:r w:rsidR="00905BF2">
        <w:t>ipase</w:t>
      </w:r>
      <w:proofErr w:type="spellEnd"/>
      <w:r w:rsidR="00905BF2">
        <w:t xml:space="preserve"> alfa was described by a 1 </w:t>
      </w:r>
      <w:r w:rsidRPr="00B55A5F">
        <w:t xml:space="preserve">compartment disposition model with a dual input model to allow for variability in infusion rate due to the flush. </w:t>
      </w:r>
      <w:proofErr w:type="spellStart"/>
      <w:r w:rsidRPr="00B55A5F">
        <w:t>Sebelipase</w:t>
      </w:r>
      <w:proofErr w:type="spellEnd"/>
      <w:r w:rsidRPr="00B55A5F">
        <w:t xml:space="preserve"> alfa showed lin</w:t>
      </w:r>
      <w:r w:rsidR="00905BF2">
        <w:t>earity in doses of 0.35 to 1 </w:t>
      </w:r>
      <w:r w:rsidRPr="00B55A5F">
        <w:t xml:space="preserve">mg/kg, and nonlinearity observed at a dose of 3 mg/kg. CL in the linear dose range, and therefore, exposure, was affected by </w:t>
      </w:r>
      <w:r w:rsidR="00905BF2" w:rsidRPr="00B55A5F">
        <w:t xml:space="preserve">body surface area </w:t>
      </w:r>
      <w:r w:rsidR="00905BF2">
        <w:t>(</w:t>
      </w:r>
      <w:r w:rsidRPr="00B55A5F">
        <w:t>BSA</w:t>
      </w:r>
      <w:r w:rsidR="00905BF2">
        <w:t>)</w:t>
      </w:r>
      <w:r w:rsidRPr="00B55A5F">
        <w:t xml:space="preserve">. As BSA was highly correlated with age, exposure therefore varied across subject age. Summary statistics of exposure variables for all subjects in </w:t>
      </w:r>
      <w:r w:rsidR="00C35473">
        <w:t>S</w:t>
      </w:r>
      <w:r w:rsidR="00C35473" w:rsidRPr="00B55A5F">
        <w:t xml:space="preserve">tudies </w:t>
      </w:r>
      <w:r w:rsidRPr="00B55A5F">
        <w:t xml:space="preserve">LAL-CL02 and LAL-CL03 suggested that there was no evidence of </w:t>
      </w:r>
      <w:proofErr w:type="spellStart"/>
      <w:r w:rsidRPr="00B55A5F">
        <w:t>sebelipase</w:t>
      </w:r>
      <w:proofErr w:type="spellEnd"/>
      <w:r w:rsidRPr="00B55A5F">
        <w:t xml:space="preserve"> alfa accumulation over time, with similar values of CL, </w:t>
      </w:r>
      <w:proofErr w:type="spellStart"/>
      <w:proofErr w:type="gramStart"/>
      <w:r w:rsidRPr="00B55A5F">
        <w:t>V</w:t>
      </w:r>
      <w:r w:rsidRPr="00905BF2">
        <w:rPr>
          <w:vertAlign w:val="subscript"/>
        </w:rPr>
        <w:t>c</w:t>
      </w:r>
      <w:proofErr w:type="spellEnd"/>
      <w:proofErr w:type="gramEnd"/>
      <w:r w:rsidRPr="00B55A5F">
        <w:t xml:space="preserve">, </w:t>
      </w:r>
      <w:r w:rsidR="00B73619" w:rsidRPr="00B55A5F">
        <w:t>t</w:t>
      </w:r>
      <w:r w:rsidR="00B73619">
        <w:t>½</w:t>
      </w:r>
      <w:r w:rsidRPr="00B55A5F">
        <w:t xml:space="preserve">, </w:t>
      </w:r>
      <w:proofErr w:type="spellStart"/>
      <w:r w:rsidR="00B73619" w:rsidRPr="00B55A5F">
        <w:t>T</w:t>
      </w:r>
      <w:r w:rsidR="00B73619" w:rsidRPr="00B73619">
        <w:rPr>
          <w:vertAlign w:val="subscript"/>
        </w:rPr>
        <w:t>max</w:t>
      </w:r>
      <w:proofErr w:type="spellEnd"/>
      <w:r w:rsidRPr="00B55A5F">
        <w:t xml:space="preserve">, </w:t>
      </w:r>
      <w:proofErr w:type="spellStart"/>
      <w:r w:rsidR="00905BF2" w:rsidRPr="00B55A5F">
        <w:t>C</w:t>
      </w:r>
      <w:r w:rsidR="00905BF2" w:rsidRPr="00905BF2">
        <w:rPr>
          <w:vertAlign w:val="subscript"/>
        </w:rPr>
        <w:t>max</w:t>
      </w:r>
      <w:proofErr w:type="spellEnd"/>
      <w:r w:rsidRPr="00B55A5F">
        <w:t>, and AUC observed at Week 0 and Week 22 by dose.</w:t>
      </w:r>
    </w:p>
    <w:p w14:paraId="6555EA5C" w14:textId="77777777" w:rsidR="00B55A5F" w:rsidRPr="00B55A5F" w:rsidRDefault="00B55A5F" w:rsidP="00B55A5F">
      <w:r w:rsidRPr="00B55A5F">
        <w:lastRenderedPageBreak/>
        <w:t xml:space="preserve">Covariate analysis of the population PK model indicated that body surface area (BSA) had the most significant effect on the variability in exposure to </w:t>
      </w:r>
      <w:proofErr w:type="spellStart"/>
      <w:r w:rsidRPr="00B55A5F">
        <w:t>sebelipase</w:t>
      </w:r>
      <w:proofErr w:type="spellEnd"/>
      <w:r w:rsidRPr="00B55A5F">
        <w:t xml:space="preserve"> alfa. The identified effect of BSA on </w:t>
      </w:r>
      <w:proofErr w:type="spellStart"/>
      <w:r w:rsidRPr="00B55A5F">
        <w:t>sebelipase</w:t>
      </w:r>
      <w:proofErr w:type="spellEnd"/>
      <w:r w:rsidRPr="00B55A5F">
        <w:t xml:space="preserve"> alfa CL approximated an </w:t>
      </w:r>
      <w:proofErr w:type="spellStart"/>
      <w:r w:rsidRPr="00B55A5F">
        <w:t>allometric</w:t>
      </w:r>
      <w:proofErr w:type="spellEnd"/>
      <w:r w:rsidRPr="00B55A5F">
        <w:t xml:space="preserve"> relationship with body weight, as BSA approximates a lean body weight relationship with weight. Hence, this finding supports a body weight based dosing approach for </w:t>
      </w:r>
      <w:proofErr w:type="spellStart"/>
      <w:r w:rsidRPr="00B55A5F">
        <w:t>sebelipase</w:t>
      </w:r>
      <w:proofErr w:type="spellEnd"/>
      <w:r w:rsidRPr="00B55A5F">
        <w:t xml:space="preserve"> alfa patients with normal body weight. Furthermore, BSA correlated well with age and body weight over a relatively broad range. Given the relatively small potential benefit of </w:t>
      </w:r>
      <w:r w:rsidR="00905BF2">
        <w:t>BSA based</w:t>
      </w:r>
      <w:r w:rsidRPr="00B55A5F">
        <w:t xml:space="preserve"> dosing versus body </w:t>
      </w:r>
      <w:r w:rsidR="00905BF2">
        <w:t>weight based</w:t>
      </w:r>
      <w:r w:rsidRPr="00B55A5F">
        <w:t xml:space="preserve"> dosing in terms of drug exposure, body </w:t>
      </w:r>
      <w:r w:rsidR="00905BF2">
        <w:t>weight based</w:t>
      </w:r>
      <w:r w:rsidRPr="00B55A5F">
        <w:t xml:space="preserve"> dosing, which is common to all current ERTs, is more convenient and, importantly, less susceptible to potential dose calculation errors than </w:t>
      </w:r>
      <w:r w:rsidR="00905BF2">
        <w:t>BSA based</w:t>
      </w:r>
      <w:r w:rsidRPr="00B55A5F">
        <w:t xml:space="preserve"> dosing. It is also an appropriate approach for accommodating much of the normal variation in body size. Due to the body </w:t>
      </w:r>
      <w:r w:rsidR="00905BF2">
        <w:t>weight based</w:t>
      </w:r>
      <w:r w:rsidRPr="00B55A5F">
        <w:t xml:space="preserve"> dose regimen, and the nonlinear relationship between body weight and CL revealed during development of the population PK model, area under the concentration-time curve at </w:t>
      </w:r>
      <w:r w:rsidR="00157E63">
        <w:t>Study</w:t>
      </w:r>
      <w:r w:rsidRPr="00B55A5F">
        <w:t>-</w:t>
      </w:r>
      <w:r w:rsidR="00157E63">
        <w:t>Study</w:t>
      </w:r>
      <w:r w:rsidRPr="00B55A5F">
        <w:t xml:space="preserve"> (</w:t>
      </w:r>
      <w:proofErr w:type="spellStart"/>
      <w:r w:rsidR="00905BF2" w:rsidRPr="00B55A5F">
        <w:t>AUC</w:t>
      </w:r>
      <w:r w:rsidR="00905BF2" w:rsidRPr="00905BF2">
        <w:rPr>
          <w:vertAlign w:val="subscript"/>
        </w:rPr>
        <w:t>ss</w:t>
      </w:r>
      <w:proofErr w:type="spellEnd"/>
      <w:r w:rsidRPr="00B55A5F">
        <w:t xml:space="preserve">) were observed with increasing age and size resulting in proportionately higher exposures in larger or older subjects compared with smaller or younger subjects. While PK data suggest that body </w:t>
      </w:r>
      <w:r w:rsidR="00905BF2">
        <w:t>weight based</w:t>
      </w:r>
      <w:r w:rsidRPr="00B55A5F">
        <w:t xml:space="preserve"> dosing of overweight or obese patients may produce proportionately higher exposures, given the favourable safety profile of </w:t>
      </w:r>
      <w:proofErr w:type="spellStart"/>
      <w:r w:rsidRPr="00B55A5F">
        <w:t>sebelipase</w:t>
      </w:r>
      <w:proofErr w:type="spellEnd"/>
      <w:r w:rsidRPr="00B55A5F">
        <w:t xml:space="preserve"> alfa across all dose administered, the advantages described above for body </w:t>
      </w:r>
      <w:r w:rsidR="00905BF2">
        <w:t>weight based</w:t>
      </w:r>
      <w:r w:rsidRPr="00B55A5F">
        <w:t xml:space="preserve"> dosing outweigh the risks of potentially overdosing overweight or obese patients.</w:t>
      </w:r>
    </w:p>
    <w:p w14:paraId="2C0CB17A" w14:textId="77777777" w:rsidR="00B55A5F" w:rsidRPr="00B55A5F" w:rsidRDefault="00B55A5F" w:rsidP="00B55A5F">
      <w:pPr>
        <w:pStyle w:val="Heading4"/>
      </w:pPr>
      <w:bookmarkStart w:id="88" w:name="_Toc241374294"/>
      <w:bookmarkStart w:id="89" w:name="_Toc272414632"/>
      <w:bookmarkStart w:id="90" w:name="_Toc290888481"/>
      <w:bookmarkStart w:id="91" w:name="_Toc416353678"/>
      <w:bookmarkStart w:id="92" w:name="_Toc421005249"/>
      <w:bookmarkStart w:id="93" w:name="_Toc432079130"/>
      <w:bookmarkStart w:id="94" w:name="_Toc432080703"/>
      <w:bookmarkStart w:id="95" w:name="_Toc468957451"/>
      <w:bookmarkEnd w:id="87"/>
      <w:r w:rsidRPr="00B55A5F">
        <w:t>Pharmacokinetic interactions</w:t>
      </w:r>
      <w:bookmarkEnd w:id="88"/>
      <w:bookmarkEnd w:id="89"/>
      <w:bookmarkEnd w:id="90"/>
      <w:bookmarkEnd w:id="91"/>
      <w:bookmarkEnd w:id="92"/>
      <w:bookmarkEnd w:id="93"/>
      <w:bookmarkEnd w:id="94"/>
      <w:bookmarkEnd w:id="95"/>
    </w:p>
    <w:p w14:paraId="7E0157EE" w14:textId="77777777" w:rsidR="00B55A5F" w:rsidRPr="00B55A5F" w:rsidRDefault="00B55A5F" w:rsidP="00B55A5F">
      <w:r w:rsidRPr="00B55A5F">
        <w:t xml:space="preserve">Drug interaction studies have not been performed with </w:t>
      </w:r>
      <w:proofErr w:type="spellStart"/>
      <w:r w:rsidRPr="00B55A5F">
        <w:t>sebelipase</w:t>
      </w:r>
      <w:proofErr w:type="spellEnd"/>
      <w:r w:rsidRPr="00B55A5F">
        <w:t xml:space="preserve"> alfa.</w:t>
      </w:r>
    </w:p>
    <w:p w14:paraId="149731A9" w14:textId="77777777" w:rsidR="00B55A5F" w:rsidRPr="00B55A5F" w:rsidRDefault="00B55A5F" w:rsidP="00B55A5F">
      <w:pPr>
        <w:pStyle w:val="Heading4"/>
      </w:pPr>
      <w:bookmarkStart w:id="96" w:name="_Toc272414634"/>
      <w:bookmarkStart w:id="97" w:name="_Toc290888483"/>
      <w:bookmarkStart w:id="98" w:name="_Toc416353680"/>
      <w:bookmarkStart w:id="99" w:name="_Toc432079131"/>
      <w:bookmarkStart w:id="100" w:name="_Toc432080704"/>
      <w:bookmarkStart w:id="101" w:name="_Toc468957452"/>
      <w:r w:rsidRPr="00B55A5F">
        <w:t>Clinical implications of in vitro findings</w:t>
      </w:r>
      <w:bookmarkEnd w:id="96"/>
      <w:bookmarkEnd w:id="97"/>
      <w:bookmarkEnd w:id="98"/>
      <w:bookmarkEnd w:id="99"/>
      <w:bookmarkEnd w:id="100"/>
      <w:bookmarkEnd w:id="101"/>
    </w:p>
    <w:p w14:paraId="0758DEF7" w14:textId="77777777" w:rsidR="00B73619" w:rsidRDefault="00B55A5F" w:rsidP="00B55A5F">
      <w:r w:rsidRPr="00B55A5F">
        <w:t>Not applicable</w:t>
      </w:r>
      <w:r w:rsidR="00B73619">
        <w:t>.</w:t>
      </w:r>
    </w:p>
    <w:p w14:paraId="776E508A" w14:textId="77777777" w:rsidR="00B55A5F" w:rsidRPr="00B55A5F" w:rsidRDefault="00B55A5F" w:rsidP="00B55A5F">
      <w:pPr>
        <w:pStyle w:val="Heading3"/>
      </w:pPr>
      <w:bookmarkStart w:id="102" w:name="_Toc241374296"/>
      <w:bookmarkStart w:id="103" w:name="_Ref269982040"/>
      <w:bookmarkStart w:id="104" w:name="_Ref271018704"/>
      <w:bookmarkStart w:id="105" w:name="_Ref271018755"/>
      <w:bookmarkStart w:id="106" w:name="_Toc272414635"/>
      <w:bookmarkStart w:id="107" w:name="_Toc290888484"/>
      <w:bookmarkStart w:id="108" w:name="_Toc416353681"/>
      <w:bookmarkStart w:id="109" w:name="_Toc421005250"/>
      <w:bookmarkStart w:id="110" w:name="_Toc432079132"/>
      <w:bookmarkStart w:id="111" w:name="_Toc432080705"/>
      <w:bookmarkStart w:id="112" w:name="_Toc468957453"/>
      <w:bookmarkStart w:id="113" w:name="_Toc519670951"/>
      <w:r w:rsidRPr="00B55A5F">
        <w:t>Evaluator’s overall conclusions on pharmacokinetics</w:t>
      </w:r>
      <w:bookmarkEnd w:id="102"/>
      <w:bookmarkEnd w:id="103"/>
      <w:bookmarkEnd w:id="104"/>
      <w:bookmarkEnd w:id="105"/>
      <w:bookmarkEnd w:id="106"/>
      <w:bookmarkEnd w:id="107"/>
      <w:bookmarkEnd w:id="108"/>
      <w:bookmarkEnd w:id="109"/>
      <w:bookmarkEnd w:id="110"/>
      <w:bookmarkEnd w:id="111"/>
      <w:bookmarkEnd w:id="112"/>
      <w:bookmarkEnd w:id="113"/>
    </w:p>
    <w:p w14:paraId="5E14C1C8" w14:textId="1000737D" w:rsidR="00B55A5F" w:rsidRPr="00B55A5F" w:rsidRDefault="00B55A5F" w:rsidP="00B55A5F">
      <w:r w:rsidRPr="00B55A5F">
        <w:t xml:space="preserve">In the </w:t>
      </w:r>
      <w:r w:rsidR="00905BF2">
        <w:t>Phase I/II</w:t>
      </w:r>
      <w:r w:rsidRPr="00B55A5F">
        <w:t xml:space="preserve"> </w:t>
      </w:r>
      <w:r w:rsidR="00C35473">
        <w:t>Study</w:t>
      </w:r>
      <w:r w:rsidR="00C35473" w:rsidRPr="00B55A5F">
        <w:t xml:space="preserve"> </w:t>
      </w:r>
      <w:r w:rsidRPr="00B55A5F">
        <w:t xml:space="preserve">LAL-CL01, SBC-102 serum concentrations increased rapidly during the first 10 to 15 minutes of the </w:t>
      </w:r>
      <w:r w:rsidR="00B73619">
        <w:t>2 hour</w:t>
      </w:r>
      <w:r w:rsidRPr="00B55A5F">
        <w:t xml:space="preserve"> infusion, with a further slower increase thereafter. Median </w:t>
      </w:r>
      <w:proofErr w:type="spellStart"/>
      <w:r w:rsidR="00B73619" w:rsidRPr="00B55A5F">
        <w:t>T</w:t>
      </w:r>
      <w:r w:rsidR="00B73619" w:rsidRPr="00B73619">
        <w:rPr>
          <w:vertAlign w:val="subscript"/>
        </w:rPr>
        <w:t>max</w:t>
      </w:r>
      <w:proofErr w:type="spellEnd"/>
      <w:r w:rsidRPr="00B55A5F">
        <w:t xml:space="preserve"> ranged from 0.67 to 1.80 hours, and appeared to increase with increasing dose. At the end of infusion, serum concentrations fell rapidly for the 1 and 3 mg/kg dose (mean </w:t>
      </w:r>
      <w:r w:rsidR="00B73619" w:rsidRPr="00B55A5F">
        <w:t>t</w:t>
      </w:r>
      <w:r w:rsidR="00B73619">
        <w:t>½</w:t>
      </w:r>
      <w:r w:rsidR="002D28A4">
        <w:t xml:space="preserve"> = </w:t>
      </w:r>
      <w:r w:rsidRPr="00B55A5F">
        <w:t xml:space="preserve">0.111 to 0.166 hours). This fall was less rapid for the 0.35 mg/kg dose (mean </w:t>
      </w:r>
      <w:r w:rsidR="00B73619" w:rsidRPr="00B55A5F">
        <w:t>t</w:t>
      </w:r>
      <w:r w:rsidR="00B73619">
        <w:t>½</w:t>
      </w:r>
      <w:r w:rsidR="002D28A4">
        <w:t xml:space="preserve"> = </w:t>
      </w:r>
      <w:r w:rsidRPr="00B55A5F">
        <w:t>1.825 at Day 0 and 0.966 at Day 21). Decreases in the mea</w:t>
      </w:r>
      <w:r w:rsidR="00905BF2">
        <w:t>n clearance were noted in the 3 </w:t>
      </w:r>
      <w:r w:rsidRPr="00B55A5F">
        <w:t>mg·kg</w:t>
      </w:r>
      <w:r w:rsidRPr="00905BF2">
        <w:rPr>
          <w:vertAlign w:val="superscript"/>
        </w:rPr>
        <w:t>-1</w:t>
      </w:r>
      <w:r w:rsidRPr="00B55A5F">
        <w:t xml:space="preserve"> dose cohort relative to the other dose cohorts at both Day 0 and Day 21.</w:t>
      </w:r>
    </w:p>
    <w:p w14:paraId="5D5AF50A" w14:textId="77777777" w:rsidR="00B55A5F" w:rsidRPr="00B55A5F" w:rsidRDefault="00B55A5F" w:rsidP="00B55A5F">
      <w:r w:rsidRPr="00B55A5F">
        <w:t>SBC-102 serum concentrations were reasonably dose proportional over the 3</w:t>
      </w:r>
      <w:r w:rsidR="00905BF2">
        <w:t xml:space="preserve"> fold</w:t>
      </w:r>
      <w:r w:rsidRPr="00B55A5F">
        <w:t xml:space="preserve"> increase in dose from 0.35 mg/kg to 1 mg/kg based on median values for AUC and </w:t>
      </w:r>
      <w:proofErr w:type="spellStart"/>
      <w:r w:rsidR="00905BF2" w:rsidRPr="00B55A5F">
        <w:t>C</w:t>
      </w:r>
      <w:r w:rsidR="00905BF2" w:rsidRPr="00905BF2">
        <w:rPr>
          <w:vertAlign w:val="subscript"/>
        </w:rPr>
        <w:t>max</w:t>
      </w:r>
      <w:proofErr w:type="spellEnd"/>
      <w:r w:rsidRPr="00B55A5F">
        <w:t xml:space="preserve"> in this limited </w:t>
      </w:r>
      <w:r w:rsidR="00C4359A">
        <w:t>study</w:t>
      </w:r>
      <w:r w:rsidRPr="00B55A5F">
        <w:t xml:space="preserve"> population. Concentrations increased in a greater than dose proportional manner (approximately 10</w:t>
      </w:r>
      <w:r w:rsidR="00905BF2">
        <w:t xml:space="preserve"> fold</w:t>
      </w:r>
      <w:r w:rsidRPr="00B55A5F">
        <w:t>) over the 3</w:t>
      </w:r>
      <w:r w:rsidR="00905BF2">
        <w:t xml:space="preserve"> fold</w:t>
      </w:r>
      <w:r w:rsidRPr="00B55A5F">
        <w:t xml:space="preserve"> increase in dose from 1 mg/kg to 3 mg/kg, which suggests that either binding or serum clearance mechanisms for SBC-102 may become saturated between 1 mg/kg to 3 mg/kg.</w:t>
      </w:r>
    </w:p>
    <w:p w14:paraId="0577633E" w14:textId="77777777" w:rsidR="00B55A5F" w:rsidRPr="00B55A5F" w:rsidRDefault="00B55A5F" w:rsidP="00B55A5F">
      <w:r w:rsidRPr="00B55A5F">
        <w:t xml:space="preserve">Decreases in </w:t>
      </w:r>
      <w:proofErr w:type="spellStart"/>
      <w:r w:rsidR="00905BF2" w:rsidRPr="00B55A5F">
        <w:t>V</w:t>
      </w:r>
      <w:r w:rsidR="00905BF2" w:rsidRPr="00905BF2">
        <w:rPr>
          <w:vertAlign w:val="subscript"/>
        </w:rPr>
        <w:t>z</w:t>
      </w:r>
      <w:proofErr w:type="spellEnd"/>
      <w:r w:rsidRPr="00B55A5F">
        <w:t xml:space="preserve"> of SBC-102 were noted with increasing dose and after multiple dosing within the 0.35 mg/kg and 1 mg/kg dose cohort. In both these cohorts, the reduction in </w:t>
      </w:r>
      <w:proofErr w:type="spellStart"/>
      <w:r w:rsidR="00905BF2" w:rsidRPr="00B55A5F">
        <w:t>V</w:t>
      </w:r>
      <w:r w:rsidR="00905BF2" w:rsidRPr="00905BF2">
        <w:rPr>
          <w:vertAlign w:val="subscript"/>
        </w:rPr>
        <w:t>z</w:t>
      </w:r>
      <w:proofErr w:type="spellEnd"/>
      <w:r w:rsidR="00905BF2">
        <w:t xml:space="preserve"> between Day </w:t>
      </w:r>
      <w:r w:rsidRPr="00B55A5F">
        <w:t xml:space="preserve">0 and Day 21 did not alter the subject’s rank order with respect to the parameter value. This suggests that the variability in </w:t>
      </w:r>
      <w:proofErr w:type="spellStart"/>
      <w:r w:rsidR="00905BF2" w:rsidRPr="00B55A5F">
        <w:t>V</w:t>
      </w:r>
      <w:r w:rsidR="00905BF2" w:rsidRPr="00905BF2">
        <w:rPr>
          <w:vertAlign w:val="subscript"/>
        </w:rPr>
        <w:t>z</w:t>
      </w:r>
      <w:proofErr w:type="spellEnd"/>
      <w:r w:rsidRPr="00B55A5F">
        <w:t xml:space="preserve"> may reflect inter-individual differences in a saturable distribution process (binding or uptake) of SBC-102. The appearance of saturation is more likely with increasing magnitude of dose and dosing duration. It would be expected that changes in </w:t>
      </w:r>
      <w:proofErr w:type="spellStart"/>
      <w:r w:rsidR="00905BF2" w:rsidRPr="00B55A5F">
        <w:t>V</w:t>
      </w:r>
      <w:r w:rsidR="00905BF2" w:rsidRPr="00905BF2">
        <w:rPr>
          <w:vertAlign w:val="subscript"/>
        </w:rPr>
        <w:t>z</w:t>
      </w:r>
      <w:proofErr w:type="spellEnd"/>
      <w:r w:rsidRPr="00B55A5F">
        <w:t xml:space="preserve"> would lead to differences in half-life between Day 0 and</w:t>
      </w:r>
      <w:r w:rsidR="00905BF2">
        <w:t xml:space="preserve"> Day 21, but half-life was time</w:t>
      </w:r>
      <w:r w:rsidRPr="00B55A5F">
        <w:t xml:space="preserve"> and dose independent with exception of the 0.35 mg/kg dose group. The longer half-life noted following the 0.35 mg/kg dose is consistent with the higher volume of distribution relative to clearance for this dose in comparison with other doses (1 mg/kg and 3 mg/kg).</w:t>
      </w:r>
    </w:p>
    <w:p w14:paraId="5026F67F" w14:textId="7C5B40F9" w:rsidR="00B73619" w:rsidRDefault="00B55A5F" w:rsidP="00B55A5F">
      <w:r w:rsidRPr="00B55A5F">
        <w:lastRenderedPageBreak/>
        <w:t xml:space="preserve">The PK of </w:t>
      </w:r>
      <w:proofErr w:type="spellStart"/>
      <w:r w:rsidRPr="00B55A5F">
        <w:t>sebelipase</w:t>
      </w:r>
      <w:proofErr w:type="spellEnd"/>
      <w:r w:rsidRPr="00B55A5F">
        <w:t xml:space="preserve"> alfa was described by a 1-compartment disposition model with a dual input model to allow for variability in infusion rate due to the flush. </w:t>
      </w:r>
      <w:proofErr w:type="spellStart"/>
      <w:r w:rsidRPr="00B55A5F">
        <w:t>Sebelipase</w:t>
      </w:r>
      <w:proofErr w:type="spellEnd"/>
      <w:r w:rsidRPr="00B55A5F">
        <w:t xml:space="preserve"> alfa sho</w:t>
      </w:r>
      <w:r w:rsidR="00905BF2">
        <w:t>wed linearity in doses of 0.35 to</w:t>
      </w:r>
      <w:r w:rsidRPr="00B55A5F">
        <w:t xml:space="preserve"> 1 mg/kg, and nonlinearity observed at a dose of 3 mg/kg. CL in the linear dose range, and therefore, exposure, was affected by BSA. As BSA was highly correlated with age, exposure therefore varied across subject age. Summary statistics of exposure variables for all subjects in </w:t>
      </w:r>
      <w:r w:rsidR="00C35473">
        <w:t>S</w:t>
      </w:r>
      <w:r w:rsidR="00C35473" w:rsidRPr="00B55A5F">
        <w:t xml:space="preserve">tudies </w:t>
      </w:r>
      <w:r w:rsidRPr="00B55A5F">
        <w:t xml:space="preserve">LAL-CL02 and LAL-CL03 suggested that there was no evidence of </w:t>
      </w:r>
      <w:proofErr w:type="spellStart"/>
      <w:r w:rsidRPr="00B55A5F">
        <w:t>sebelipase</w:t>
      </w:r>
      <w:proofErr w:type="spellEnd"/>
      <w:r w:rsidRPr="00B55A5F">
        <w:t xml:space="preserve"> alfa accumulation over time, with similar values of CL, </w:t>
      </w:r>
      <w:proofErr w:type="spellStart"/>
      <w:proofErr w:type="gramStart"/>
      <w:r w:rsidRPr="00B55A5F">
        <w:t>V</w:t>
      </w:r>
      <w:r w:rsidRPr="00905BF2">
        <w:rPr>
          <w:vertAlign w:val="subscript"/>
        </w:rPr>
        <w:t>c</w:t>
      </w:r>
      <w:proofErr w:type="spellEnd"/>
      <w:proofErr w:type="gramEnd"/>
      <w:r w:rsidRPr="00B55A5F">
        <w:t xml:space="preserve">, </w:t>
      </w:r>
      <w:r w:rsidR="00905BF2">
        <w:t>t½</w:t>
      </w:r>
      <w:r w:rsidRPr="00B55A5F">
        <w:t xml:space="preserve">, </w:t>
      </w:r>
      <w:proofErr w:type="spellStart"/>
      <w:r w:rsidR="00B73619" w:rsidRPr="00B55A5F">
        <w:t>T</w:t>
      </w:r>
      <w:r w:rsidR="00B73619" w:rsidRPr="00B73619">
        <w:rPr>
          <w:vertAlign w:val="subscript"/>
        </w:rPr>
        <w:t>max</w:t>
      </w:r>
      <w:proofErr w:type="spellEnd"/>
      <w:r w:rsidRPr="00B55A5F">
        <w:t xml:space="preserve">, </w:t>
      </w:r>
      <w:proofErr w:type="spellStart"/>
      <w:r w:rsidR="00905BF2" w:rsidRPr="00B55A5F">
        <w:t>C</w:t>
      </w:r>
      <w:r w:rsidR="00905BF2" w:rsidRPr="00905BF2">
        <w:rPr>
          <w:vertAlign w:val="subscript"/>
        </w:rPr>
        <w:t>max</w:t>
      </w:r>
      <w:proofErr w:type="spellEnd"/>
      <w:r w:rsidRPr="00B55A5F">
        <w:t>, and AUC observed at Week 0 and Week 22 by dose</w:t>
      </w:r>
      <w:r w:rsidR="00B73619">
        <w:t>.</w:t>
      </w:r>
    </w:p>
    <w:p w14:paraId="01CB5017" w14:textId="77777777" w:rsidR="00B73619" w:rsidRDefault="00B55A5F" w:rsidP="00B55A5F">
      <w:r w:rsidRPr="00B55A5F">
        <w:t xml:space="preserve">During the covariate analysis of the population pharmacokinetics model for </w:t>
      </w:r>
      <w:proofErr w:type="spellStart"/>
      <w:r w:rsidRPr="00B55A5F">
        <w:t>sebelipase</w:t>
      </w:r>
      <w:proofErr w:type="spellEnd"/>
      <w:r w:rsidRPr="00B55A5F">
        <w:t xml:space="preserve"> alfa, age, body weight, and sex were not found to have a significant influence on CL and </w:t>
      </w:r>
      <w:proofErr w:type="spellStart"/>
      <w:proofErr w:type="gramStart"/>
      <w:r w:rsidRPr="00B55A5F">
        <w:t>V</w:t>
      </w:r>
      <w:r w:rsidRPr="00905BF2">
        <w:rPr>
          <w:vertAlign w:val="subscript"/>
        </w:rPr>
        <w:t>c</w:t>
      </w:r>
      <w:proofErr w:type="spellEnd"/>
      <w:proofErr w:type="gramEnd"/>
      <w:r w:rsidRPr="00B55A5F">
        <w:t xml:space="preserve"> of </w:t>
      </w:r>
      <w:proofErr w:type="spellStart"/>
      <w:r w:rsidRPr="00B55A5F">
        <w:t>sebelipase</w:t>
      </w:r>
      <w:proofErr w:type="spellEnd"/>
      <w:r w:rsidRPr="00B55A5F">
        <w:t xml:space="preserve"> alfa. </w:t>
      </w:r>
      <w:proofErr w:type="spellStart"/>
      <w:r w:rsidRPr="00B55A5F">
        <w:t>Sebelipase</w:t>
      </w:r>
      <w:proofErr w:type="spellEnd"/>
      <w:r w:rsidRPr="00B55A5F">
        <w:t xml:space="preserve"> alfa has not been investigated in patients 2 to 4 years of age. There is limited information on PKs in patients </w:t>
      </w:r>
      <w:r w:rsidR="00B73619">
        <w:t xml:space="preserve">&gt; </w:t>
      </w:r>
      <w:r w:rsidRPr="00B55A5F">
        <w:t>18 years of age</w:t>
      </w:r>
      <w:r w:rsidR="00B73619">
        <w:t>.</w:t>
      </w:r>
    </w:p>
    <w:p w14:paraId="6FCC2FAF" w14:textId="77777777" w:rsidR="00B73619" w:rsidRDefault="00B55A5F" w:rsidP="00B55A5F">
      <w:r w:rsidRPr="00B55A5F">
        <w:t xml:space="preserve">There is limited information on the impact of anti-drug antibodies on </w:t>
      </w:r>
      <w:proofErr w:type="spellStart"/>
      <w:r w:rsidRPr="00B55A5F">
        <w:t>sebelipase</w:t>
      </w:r>
      <w:proofErr w:type="spellEnd"/>
      <w:r w:rsidRPr="00B55A5F">
        <w:t xml:space="preserve"> alfa pharmacokinetics</w:t>
      </w:r>
      <w:r w:rsidR="00B73619">
        <w:t>.</w:t>
      </w:r>
    </w:p>
    <w:p w14:paraId="074E48A9" w14:textId="77777777" w:rsidR="00B55A5F" w:rsidRPr="00B55A5F" w:rsidRDefault="00B55A5F" w:rsidP="00B55A5F">
      <w:proofErr w:type="spellStart"/>
      <w:r w:rsidRPr="00B55A5F">
        <w:t>Sebelipase</w:t>
      </w:r>
      <w:proofErr w:type="spellEnd"/>
      <w:r w:rsidRPr="00B55A5F">
        <w:t xml:space="preserve"> alfa is expected to be metabolically degraded through peptide hydrolysis</w:t>
      </w:r>
      <w:r w:rsidR="00B73619">
        <w:t xml:space="preserve">. </w:t>
      </w:r>
      <w:r w:rsidRPr="00B55A5F">
        <w:t xml:space="preserve">Hence, impaired liver function is not expected to affect the pharmacokinetics of </w:t>
      </w:r>
      <w:proofErr w:type="spellStart"/>
      <w:r w:rsidRPr="00B55A5F">
        <w:t>sebelipase</w:t>
      </w:r>
      <w:proofErr w:type="spellEnd"/>
      <w:r w:rsidRPr="00B55A5F">
        <w:t xml:space="preserve"> alfa. There is a lack of data in patients with severe hepatic impairment</w:t>
      </w:r>
      <w:r w:rsidR="00B73619">
        <w:t xml:space="preserve">. </w:t>
      </w:r>
      <w:r w:rsidRPr="00B55A5F">
        <w:t xml:space="preserve">Renal elimination of </w:t>
      </w:r>
      <w:proofErr w:type="spellStart"/>
      <w:r w:rsidRPr="00B55A5F">
        <w:t>sebelipase</w:t>
      </w:r>
      <w:proofErr w:type="spellEnd"/>
      <w:r w:rsidRPr="00B55A5F">
        <w:t xml:space="preserve"> alfa is considered a minor pathway for clearance. There is a lack of data in patients with renal impairment. No dosing adjustment is recommended in patients with renal or hepatic impairment based on current knowledge of the pharmacokinetics and pharmacodynamics of </w:t>
      </w:r>
      <w:proofErr w:type="spellStart"/>
      <w:r w:rsidRPr="00B55A5F">
        <w:t>sebelipase</w:t>
      </w:r>
      <w:proofErr w:type="spellEnd"/>
      <w:r w:rsidRPr="00B55A5F">
        <w:t xml:space="preserve"> alfa.</w:t>
      </w:r>
    </w:p>
    <w:p w14:paraId="61463E27" w14:textId="77777777" w:rsidR="00B55A5F" w:rsidRPr="00B55A5F" w:rsidRDefault="00B55A5F" w:rsidP="00B55A5F">
      <w:r w:rsidRPr="00B55A5F">
        <w:t xml:space="preserve">Overall, </w:t>
      </w:r>
      <w:proofErr w:type="spellStart"/>
      <w:r w:rsidRPr="00B55A5F">
        <w:t>sebelipase</w:t>
      </w:r>
      <w:proofErr w:type="spellEnd"/>
      <w:r w:rsidRPr="00B55A5F">
        <w:t xml:space="preserve"> alfa demonstrates PK characteristics consistent with other ERTs whose uptake and </w:t>
      </w:r>
      <w:proofErr w:type="spellStart"/>
      <w:r w:rsidRPr="00B55A5F">
        <w:t>biodistribution</w:t>
      </w:r>
      <w:proofErr w:type="spellEnd"/>
      <w:r w:rsidRPr="00B55A5F">
        <w:t xml:space="preserve"> are mediated by mannose and mannose 6-phosphate receptor-dependent mechanisms (Stahl, 1978). The PK properties are predictable, with no changes associated with long term dosing through to 104 weeks. In </w:t>
      </w:r>
      <w:r w:rsidR="00157E63">
        <w:t>Study</w:t>
      </w:r>
      <w:r w:rsidRPr="00B55A5F">
        <w:t xml:space="preserve"> LAL-CL01, the absence of anti-</w:t>
      </w:r>
      <w:proofErr w:type="spellStart"/>
      <w:r w:rsidRPr="00B55A5F">
        <w:t>sebelipase</w:t>
      </w:r>
      <w:proofErr w:type="spellEnd"/>
      <w:r w:rsidRPr="00B55A5F">
        <w:t xml:space="preserve"> alfa antibodies in adults with extended dosing precludes evaluation of effect of antibody formation on the PK profile of </w:t>
      </w:r>
      <w:proofErr w:type="spellStart"/>
      <w:r w:rsidRPr="00B55A5F">
        <w:t>sebelipase</w:t>
      </w:r>
      <w:proofErr w:type="spellEnd"/>
      <w:r w:rsidRPr="00B55A5F">
        <w:t xml:space="preserve"> alfa.</w:t>
      </w:r>
    </w:p>
    <w:p w14:paraId="5ECB584D" w14:textId="77777777" w:rsidR="00984096" w:rsidRPr="00B55A5F" w:rsidRDefault="00B55A5F" w:rsidP="00B55A5F">
      <w:r w:rsidRPr="00B55A5F">
        <w:t>The PK aspects of the proposed PI are satisfactory.</w:t>
      </w:r>
    </w:p>
    <w:p w14:paraId="3A075EA9" w14:textId="77777777" w:rsidR="00586F98" w:rsidRDefault="00586F98" w:rsidP="00586F98">
      <w:pPr>
        <w:pStyle w:val="Heading2"/>
      </w:pPr>
      <w:bookmarkStart w:id="114" w:name="_Toc519670952"/>
      <w:r>
        <w:t>Pharmacodynamics</w:t>
      </w:r>
      <w:bookmarkEnd w:id="114"/>
    </w:p>
    <w:p w14:paraId="47C74752" w14:textId="77777777" w:rsidR="00B55A5F" w:rsidRPr="00C41FC5" w:rsidRDefault="00B55A5F" w:rsidP="00B55A5F">
      <w:pPr>
        <w:pStyle w:val="Heading3"/>
      </w:pPr>
      <w:bookmarkStart w:id="115" w:name="_Toc468957455"/>
      <w:bookmarkStart w:id="116" w:name="_Toc519670953"/>
      <w:r w:rsidRPr="00C41FC5">
        <w:t xml:space="preserve">Studies providing </w:t>
      </w:r>
      <w:proofErr w:type="spellStart"/>
      <w:r w:rsidRPr="00C41FC5">
        <w:t>pharmacodynamic</w:t>
      </w:r>
      <w:proofErr w:type="spellEnd"/>
      <w:r w:rsidRPr="00C41FC5">
        <w:t xml:space="preserve"> information</w:t>
      </w:r>
      <w:bookmarkEnd w:id="115"/>
      <w:bookmarkEnd w:id="116"/>
    </w:p>
    <w:p w14:paraId="4307EB08" w14:textId="77777777" w:rsidR="00B55A5F" w:rsidRDefault="00B55A5F" w:rsidP="00B55A5F">
      <w:pPr>
        <w:pStyle w:val="Tabletitle"/>
        <w:rPr>
          <w:lang w:eastAsia="ja-JP"/>
        </w:rPr>
      </w:pPr>
      <w:r w:rsidRPr="00C41FC5">
        <w:t>Table</w:t>
      </w:r>
      <w:r w:rsidR="00FE32BB">
        <w:t xml:space="preserve"> 3:</w:t>
      </w:r>
      <w:r w:rsidRPr="00C41FC5">
        <w:t xml:space="preserve"> Submitted </w:t>
      </w:r>
      <w:proofErr w:type="spellStart"/>
      <w:r w:rsidRPr="00C41FC5">
        <w:t>pharmacodynamic</w:t>
      </w:r>
      <w:proofErr w:type="spellEnd"/>
      <w:r w:rsidRPr="00C41FC5">
        <w:t xml:space="preserve"> studies</w:t>
      </w:r>
    </w:p>
    <w:tbl>
      <w:tblPr>
        <w:tblStyle w:val="TableTGAblue"/>
        <w:tblW w:w="8897" w:type="dxa"/>
        <w:tblLayout w:type="fixed"/>
        <w:tblLook w:val="04A0" w:firstRow="1" w:lastRow="0" w:firstColumn="1" w:lastColumn="0" w:noHBand="0" w:noVBand="1"/>
      </w:tblPr>
      <w:tblGrid>
        <w:gridCol w:w="2943"/>
        <w:gridCol w:w="4253"/>
        <w:gridCol w:w="1701"/>
      </w:tblGrid>
      <w:tr w:rsidR="00B55A5F" w:rsidRPr="00B55A5F" w14:paraId="0948856E" w14:textId="77777777" w:rsidTr="00B55A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3" w:type="dxa"/>
          </w:tcPr>
          <w:p w14:paraId="21D06E5F" w14:textId="77777777" w:rsidR="00B55A5F" w:rsidRPr="00B55A5F" w:rsidRDefault="00B55A5F" w:rsidP="00B55A5F">
            <w:r w:rsidRPr="00B55A5F">
              <w:t>PD Topic</w:t>
            </w:r>
          </w:p>
        </w:tc>
        <w:tc>
          <w:tcPr>
            <w:tcW w:w="4253" w:type="dxa"/>
          </w:tcPr>
          <w:p w14:paraId="5426EB88" w14:textId="77777777" w:rsidR="00B55A5F" w:rsidRPr="00B55A5F" w:rsidRDefault="00B55A5F" w:rsidP="00B55A5F">
            <w:pPr>
              <w:cnfStyle w:val="100000000000" w:firstRow="1" w:lastRow="0" w:firstColumn="0" w:lastColumn="0" w:oddVBand="0" w:evenVBand="0" w:oddHBand="0" w:evenHBand="0" w:firstRowFirstColumn="0" w:firstRowLastColumn="0" w:lastRowFirstColumn="0" w:lastRowLastColumn="0"/>
            </w:pPr>
            <w:r w:rsidRPr="00B55A5F">
              <w:t>Subtopic</w:t>
            </w:r>
          </w:p>
        </w:tc>
        <w:tc>
          <w:tcPr>
            <w:tcW w:w="1701" w:type="dxa"/>
          </w:tcPr>
          <w:p w14:paraId="7426A302" w14:textId="77777777" w:rsidR="00B55A5F" w:rsidRPr="00B55A5F" w:rsidRDefault="00157E63" w:rsidP="00B55A5F">
            <w:pPr>
              <w:cnfStyle w:val="100000000000" w:firstRow="1" w:lastRow="0" w:firstColumn="0" w:lastColumn="0" w:oddVBand="0" w:evenVBand="0" w:oddHBand="0" w:evenHBand="0" w:firstRowFirstColumn="0" w:firstRowLastColumn="0" w:lastRowFirstColumn="0" w:lastRowLastColumn="0"/>
            </w:pPr>
            <w:r>
              <w:t>Study</w:t>
            </w:r>
            <w:r w:rsidR="00B55A5F" w:rsidRPr="00B55A5F">
              <w:t xml:space="preserve"> ID</w:t>
            </w:r>
          </w:p>
        </w:tc>
      </w:tr>
      <w:tr w:rsidR="00B55A5F" w:rsidRPr="00B55A5F" w14:paraId="2E39E996" w14:textId="77777777" w:rsidTr="00B55A5F">
        <w:tc>
          <w:tcPr>
            <w:cnfStyle w:val="001000000000" w:firstRow="0" w:lastRow="0" w:firstColumn="1" w:lastColumn="0" w:oddVBand="0" w:evenVBand="0" w:oddHBand="0" w:evenHBand="0" w:firstRowFirstColumn="0" w:firstRowLastColumn="0" w:lastRowFirstColumn="0" w:lastRowLastColumn="0"/>
            <w:tcW w:w="2943" w:type="dxa"/>
            <w:vMerge w:val="restart"/>
          </w:tcPr>
          <w:p w14:paraId="3E33909F" w14:textId="53D883FF" w:rsidR="00B55A5F" w:rsidRPr="00B55A5F" w:rsidRDefault="00B55A5F" w:rsidP="00630199">
            <w:r w:rsidRPr="00B55A5F">
              <w:t xml:space="preserve">Primary </w:t>
            </w:r>
            <w:r w:rsidR="00630199">
              <w:t>p</w:t>
            </w:r>
            <w:r w:rsidR="00630199" w:rsidRPr="00B55A5F">
              <w:t>harmacology</w:t>
            </w:r>
          </w:p>
        </w:tc>
        <w:tc>
          <w:tcPr>
            <w:tcW w:w="4253" w:type="dxa"/>
          </w:tcPr>
          <w:p w14:paraId="5B3FFE6C" w14:textId="77777777" w:rsidR="00B55A5F" w:rsidRPr="00B55A5F" w:rsidRDefault="00905BF2" w:rsidP="00B55A5F">
            <w:pPr>
              <w:cnfStyle w:val="000000000000" w:firstRow="0" w:lastRow="0" w:firstColumn="0" w:lastColumn="0" w:oddVBand="0" w:evenVBand="0" w:oddHBand="0" w:evenHBand="0" w:firstRowFirstColumn="0" w:firstRowLastColumn="0" w:lastRowFirstColumn="0" w:lastRowLastColumn="0"/>
            </w:pPr>
            <w:r>
              <w:t xml:space="preserve">Effect on PD parameter; </w:t>
            </w:r>
            <w:r w:rsidR="00B55A5F" w:rsidRPr="00B55A5F">
              <w:t>liver enzymes</w:t>
            </w:r>
          </w:p>
        </w:tc>
        <w:tc>
          <w:tcPr>
            <w:tcW w:w="1701" w:type="dxa"/>
          </w:tcPr>
          <w:p w14:paraId="41106D32"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LAL-CL01</w:t>
            </w:r>
          </w:p>
        </w:tc>
      </w:tr>
      <w:tr w:rsidR="00B55A5F" w:rsidRPr="00B55A5F" w14:paraId="560BEDB9" w14:textId="77777777" w:rsidTr="00B55A5F">
        <w:tc>
          <w:tcPr>
            <w:cnfStyle w:val="001000000000" w:firstRow="0" w:lastRow="0" w:firstColumn="1" w:lastColumn="0" w:oddVBand="0" w:evenVBand="0" w:oddHBand="0" w:evenHBand="0" w:firstRowFirstColumn="0" w:firstRowLastColumn="0" w:lastRowFirstColumn="0" w:lastRowLastColumn="0"/>
            <w:tcW w:w="2943" w:type="dxa"/>
            <w:vMerge/>
          </w:tcPr>
          <w:p w14:paraId="7EC2F1D6" w14:textId="77777777" w:rsidR="00B55A5F" w:rsidRPr="00B55A5F" w:rsidRDefault="00B55A5F" w:rsidP="00B55A5F"/>
        </w:tc>
        <w:tc>
          <w:tcPr>
            <w:tcW w:w="4253" w:type="dxa"/>
          </w:tcPr>
          <w:p w14:paraId="17C4907C" w14:textId="77777777" w:rsidR="00B55A5F" w:rsidRPr="00B55A5F" w:rsidRDefault="00905BF2" w:rsidP="00B55A5F">
            <w:pPr>
              <w:cnfStyle w:val="000000000000" w:firstRow="0" w:lastRow="0" w:firstColumn="0" w:lastColumn="0" w:oddVBand="0" w:evenVBand="0" w:oddHBand="0" w:evenHBand="0" w:firstRowFirstColumn="0" w:firstRowLastColumn="0" w:lastRowFirstColumn="0" w:lastRowLastColumn="0"/>
            </w:pPr>
            <w:r>
              <w:t>Effect on PD parameter;</w:t>
            </w:r>
            <w:r w:rsidR="00B55A5F" w:rsidRPr="00B55A5F">
              <w:t xml:space="preserve"> serum lipids</w:t>
            </w:r>
          </w:p>
        </w:tc>
        <w:tc>
          <w:tcPr>
            <w:tcW w:w="1701" w:type="dxa"/>
          </w:tcPr>
          <w:p w14:paraId="6AE7B4B1"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LAL-CL01</w:t>
            </w:r>
          </w:p>
        </w:tc>
      </w:tr>
      <w:tr w:rsidR="00B55A5F" w:rsidRPr="00B55A5F" w14:paraId="77A57649" w14:textId="77777777" w:rsidTr="00B55A5F">
        <w:tc>
          <w:tcPr>
            <w:cnfStyle w:val="001000000000" w:firstRow="0" w:lastRow="0" w:firstColumn="1" w:lastColumn="0" w:oddVBand="0" w:evenVBand="0" w:oddHBand="0" w:evenHBand="0" w:firstRowFirstColumn="0" w:firstRowLastColumn="0" w:lastRowFirstColumn="0" w:lastRowLastColumn="0"/>
            <w:tcW w:w="2943" w:type="dxa"/>
          </w:tcPr>
          <w:p w14:paraId="22ABC320" w14:textId="344CAAEC" w:rsidR="00B55A5F" w:rsidRPr="00B55A5F" w:rsidRDefault="00B55A5F" w:rsidP="00630199">
            <w:r w:rsidRPr="00B55A5F">
              <w:t xml:space="preserve">Secondary </w:t>
            </w:r>
            <w:r w:rsidR="00630199">
              <w:t>p</w:t>
            </w:r>
            <w:r w:rsidR="00630199" w:rsidRPr="00B55A5F">
              <w:t>harmacology</w:t>
            </w:r>
          </w:p>
        </w:tc>
        <w:tc>
          <w:tcPr>
            <w:tcW w:w="4253" w:type="dxa"/>
          </w:tcPr>
          <w:p w14:paraId="32697233"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Development of anti-drug antibodies</w:t>
            </w:r>
          </w:p>
        </w:tc>
        <w:tc>
          <w:tcPr>
            <w:tcW w:w="1701" w:type="dxa"/>
          </w:tcPr>
          <w:p w14:paraId="124EE4A0"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p>
        </w:tc>
      </w:tr>
      <w:tr w:rsidR="00B55A5F" w:rsidRPr="00B55A5F" w14:paraId="5B3F7498" w14:textId="77777777" w:rsidTr="00B55A5F">
        <w:tc>
          <w:tcPr>
            <w:cnfStyle w:val="001000000000" w:firstRow="0" w:lastRow="0" w:firstColumn="1" w:lastColumn="0" w:oddVBand="0" w:evenVBand="0" w:oddHBand="0" w:evenHBand="0" w:firstRowFirstColumn="0" w:firstRowLastColumn="0" w:lastRowFirstColumn="0" w:lastRowLastColumn="0"/>
            <w:tcW w:w="2943" w:type="dxa"/>
          </w:tcPr>
          <w:p w14:paraId="21B7B626" w14:textId="7C45FF0A" w:rsidR="00B55A5F" w:rsidRPr="00B55A5F" w:rsidRDefault="00B55A5F" w:rsidP="00B55A5F">
            <w:r w:rsidRPr="00B55A5F">
              <w:t xml:space="preserve">Gender other genetic and </w:t>
            </w:r>
            <w:r w:rsidR="00630199" w:rsidRPr="00B55A5F">
              <w:t xml:space="preserve">age related differences in </w:t>
            </w:r>
            <w:r w:rsidR="00630199">
              <w:t>PD</w:t>
            </w:r>
            <w:r w:rsidR="00630199" w:rsidRPr="00B55A5F">
              <w:t xml:space="preserve"> response</w:t>
            </w:r>
          </w:p>
        </w:tc>
        <w:tc>
          <w:tcPr>
            <w:tcW w:w="4253" w:type="dxa"/>
          </w:tcPr>
          <w:p w14:paraId="1FD38B60" w14:textId="77777777" w:rsidR="00B55A5F" w:rsidRPr="00B55A5F" w:rsidRDefault="00FE32BB" w:rsidP="00B55A5F">
            <w:pPr>
              <w:cnfStyle w:val="000000000000" w:firstRow="0" w:lastRow="0" w:firstColumn="0" w:lastColumn="0" w:oddVBand="0" w:evenVBand="0" w:oddHBand="0" w:evenHBand="0" w:firstRowFirstColumn="0" w:firstRowLastColumn="0" w:lastRowFirstColumn="0" w:lastRowLastColumn="0"/>
            </w:pPr>
            <w:r>
              <w:t>No data</w:t>
            </w:r>
          </w:p>
        </w:tc>
        <w:tc>
          <w:tcPr>
            <w:tcW w:w="1701" w:type="dxa"/>
          </w:tcPr>
          <w:p w14:paraId="1196A4DD"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p>
        </w:tc>
      </w:tr>
      <w:tr w:rsidR="00B55A5F" w:rsidRPr="00B55A5F" w14:paraId="234E6AF6" w14:textId="77777777" w:rsidTr="00B55A5F">
        <w:tc>
          <w:tcPr>
            <w:cnfStyle w:val="001000000000" w:firstRow="0" w:lastRow="0" w:firstColumn="1" w:lastColumn="0" w:oddVBand="0" w:evenVBand="0" w:oddHBand="0" w:evenHBand="0" w:firstRowFirstColumn="0" w:firstRowLastColumn="0" w:lastRowFirstColumn="0" w:lastRowLastColumn="0"/>
            <w:tcW w:w="2943" w:type="dxa"/>
          </w:tcPr>
          <w:p w14:paraId="2C68E1E8" w14:textId="245624A3" w:rsidR="00B55A5F" w:rsidRPr="00B55A5F" w:rsidRDefault="00B55A5F" w:rsidP="00B55A5F">
            <w:r w:rsidRPr="00B55A5F">
              <w:t xml:space="preserve">PD </w:t>
            </w:r>
            <w:r w:rsidR="00630199">
              <w:t>i</w:t>
            </w:r>
            <w:r w:rsidRPr="00B55A5F">
              <w:t>nteractions</w:t>
            </w:r>
          </w:p>
        </w:tc>
        <w:tc>
          <w:tcPr>
            <w:tcW w:w="4253" w:type="dxa"/>
          </w:tcPr>
          <w:p w14:paraId="4EAF5054" w14:textId="77777777" w:rsidR="00B55A5F" w:rsidRPr="00B55A5F" w:rsidRDefault="00FE32BB" w:rsidP="00B55A5F">
            <w:pPr>
              <w:cnfStyle w:val="000000000000" w:firstRow="0" w:lastRow="0" w:firstColumn="0" w:lastColumn="0" w:oddVBand="0" w:evenVBand="0" w:oddHBand="0" w:evenHBand="0" w:firstRowFirstColumn="0" w:firstRowLastColumn="0" w:lastRowFirstColumn="0" w:lastRowLastColumn="0"/>
            </w:pPr>
            <w:r>
              <w:t>No data</w:t>
            </w:r>
          </w:p>
        </w:tc>
        <w:tc>
          <w:tcPr>
            <w:tcW w:w="1701" w:type="dxa"/>
          </w:tcPr>
          <w:p w14:paraId="36A9988F"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p>
        </w:tc>
      </w:tr>
      <w:tr w:rsidR="00B55A5F" w:rsidRPr="00B55A5F" w14:paraId="246B0808" w14:textId="77777777" w:rsidTr="00B55A5F">
        <w:tc>
          <w:tcPr>
            <w:cnfStyle w:val="001000000000" w:firstRow="0" w:lastRow="0" w:firstColumn="1" w:lastColumn="0" w:oddVBand="0" w:evenVBand="0" w:oddHBand="0" w:evenHBand="0" w:firstRowFirstColumn="0" w:firstRowLastColumn="0" w:lastRowFirstColumn="0" w:lastRowLastColumn="0"/>
            <w:tcW w:w="2943" w:type="dxa"/>
            <w:vMerge w:val="restart"/>
          </w:tcPr>
          <w:p w14:paraId="126A1E03" w14:textId="17C83A63" w:rsidR="00B55A5F" w:rsidRPr="00B55A5F" w:rsidRDefault="00B55A5F" w:rsidP="00B55A5F">
            <w:r w:rsidRPr="00B55A5F">
              <w:lastRenderedPageBreak/>
              <w:t>Population PD and PK</w:t>
            </w:r>
            <w:r w:rsidR="00A97DEA">
              <w:noBreakHyphen/>
            </w:r>
            <w:r w:rsidRPr="00B55A5F">
              <w:t>PD analyses</w:t>
            </w:r>
          </w:p>
        </w:tc>
        <w:tc>
          <w:tcPr>
            <w:tcW w:w="4253" w:type="dxa"/>
          </w:tcPr>
          <w:p w14:paraId="0C0E06E0"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Healthy subjects</w:t>
            </w:r>
          </w:p>
        </w:tc>
        <w:tc>
          <w:tcPr>
            <w:tcW w:w="1701" w:type="dxa"/>
          </w:tcPr>
          <w:p w14:paraId="112A722E"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None</w:t>
            </w:r>
          </w:p>
        </w:tc>
      </w:tr>
      <w:tr w:rsidR="00B55A5F" w:rsidRPr="00B55A5F" w14:paraId="4C9406AB" w14:textId="77777777" w:rsidTr="00B55A5F">
        <w:tc>
          <w:tcPr>
            <w:cnfStyle w:val="001000000000" w:firstRow="0" w:lastRow="0" w:firstColumn="1" w:lastColumn="0" w:oddVBand="0" w:evenVBand="0" w:oddHBand="0" w:evenHBand="0" w:firstRowFirstColumn="0" w:firstRowLastColumn="0" w:lastRowFirstColumn="0" w:lastRowLastColumn="0"/>
            <w:tcW w:w="2943" w:type="dxa"/>
            <w:vMerge/>
          </w:tcPr>
          <w:p w14:paraId="391FF306" w14:textId="77777777" w:rsidR="00B55A5F" w:rsidRPr="00B55A5F" w:rsidRDefault="00B55A5F" w:rsidP="00B55A5F"/>
        </w:tc>
        <w:tc>
          <w:tcPr>
            <w:tcW w:w="4253" w:type="dxa"/>
          </w:tcPr>
          <w:p w14:paraId="19BAF809"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Target population</w:t>
            </w:r>
          </w:p>
        </w:tc>
        <w:tc>
          <w:tcPr>
            <w:tcW w:w="1701" w:type="dxa"/>
          </w:tcPr>
          <w:p w14:paraId="34CA365B" w14:textId="77777777" w:rsidR="00B55A5F" w:rsidRPr="00B55A5F" w:rsidRDefault="00B55A5F" w:rsidP="00B55A5F">
            <w:pPr>
              <w:cnfStyle w:val="000000000000" w:firstRow="0" w:lastRow="0" w:firstColumn="0" w:lastColumn="0" w:oddVBand="0" w:evenVBand="0" w:oddHBand="0" w:evenHBand="0" w:firstRowFirstColumn="0" w:firstRowLastColumn="0" w:lastRowFirstColumn="0" w:lastRowLastColumn="0"/>
            </w:pPr>
            <w:r w:rsidRPr="00B55A5F">
              <w:t>SYN201301</w:t>
            </w:r>
          </w:p>
        </w:tc>
      </w:tr>
    </w:tbl>
    <w:p w14:paraId="65D09E24" w14:textId="77777777" w:rsidR="00B55A5F" w:rsidRPr="00B55A5F" w:rsidRDefault="00B55A5F" w:rsidP="00B55A5F">
      <w:bookmarkStart w:id="117" w:name="_Ref269119989"/>
      <w:bookmarkStart w:id="118" w:name="_Toc272414639"/>
      <w:bookmarkStart w:id="119" w:name="_Toc290888487"/>
      <w:bookmarkStart w:id="120" w:name="_Toc416353684"/>
      <w:bookmarkStart w:id="121" w:name="_Toc421005253"/>
      <w:bookmarkStart w:id="122" w:name="_Toc432079135"/>
      <w:bookmarkStart w:id="123" w:name="_Toc432080708"/>
      <w:bookmarkStart w:id="124" w:name="_Toc468957456"/>
    </w:p>
    <w:p w14:paraId="0F4FCAFC" w14:textId="77777777" w:rsidR="00B55A5F" w:rsidRPr="00C41FC5" w:rsidRDefault="00B55A5F" w:rsidP="00B7505B">
      <w:pPr>
        <w:pStyle w:val="Heading3"/>
      </w:pPr>
      <w:bookmarkStart w:id="125" w:name="_Toc519670954"/>
      <w:r w:rsidRPr="00C41FC5">
        <w:t>Summary of pharmacodynamics</w:t>
      </w:r>
      <w:bookmarkEnd w:id="117"/>
      <w:bookmarkEnd w:id="118"/>
      <w:bookmarkEnd w:id="119"/>
      <w:bookmarkEnd w:id="120"/>
      <w:bookmarkEnd w:id="121"/>
      <w:bookmarkEnd w:id="122"/>
      <w:bookmarkEnd w:id="123"/>
      <w:bookmarkEnd w:id="124"/>
      <w:bookmarkEnd w:id="125"/>
    </w:p>
    <w:p w14:paraId="032ADB59" w14:textId="77777777" w:rsidR="00B55A5F" w:rsidRPr="00C41FC5" w:rsidRDefault="00B55A5F" w:rsidP="00B7505B">
      <w:pPr>
        <w:pStyle w:val="Heading4"/>
      </w:pPr>
      <w:bookmarkStart w:id="126" w:name="_Toc241374299"/>
      <w:bookmarkStart w:id="127" w:name="_Toc272414640"/>
      <w:bookmarkStart w:id="128" w:name="_Toc290888488"/>
      <w:bookmarkStart w:id="129" w:name="_Toc416353685"/>
      <w:bookmarkStart w:id="130" w:name="_Toc421005254"/>
      <w:bookmarkStart w:id="131" w:name="_Toc432079136"/>
      <w:bookmarkStart w:id="132" w:name="_Toc432080709"/>
      <w:bookmarkStart w:id="133" w:name="_Toc468957457"/>
      <w:r w:rsidRPr="00C41FC5">
        <w:t>Mechanism of action</w:t>
      </w:r>
      <w:bookmarkEnd w:id="126"/>
      <w:bookmarkEnd w:id="127"/>
      <w:bookmarkEnd w:id="128"/>
      <w:bookmarkEnd w:id="129"/>
      <w:bookmarkEnd w:id="130"/>
      <w:bookmarkEnd w:id="131"/>
      <w:bookmarkEnd w:id="132"/>
      <w:bookmarkEnd w:id="133"/>
    </w:p>
    <w:p w14:paraId="1E2DA8D8" w14:textId="77777777" w:rsidR="00B55A5F" w:rsidRPr="00B7505B" w:rsidRDefault="00B55A5F" w:rsidP="00B7505B">
      <w:proofErr w:type="spellStart"/>
      <w:r w:rsidRPr="00B7505B">
        <w:t>Sebelipase</w:t>
      </w:r>
      <w:proofErr w:type="spellEnd"/>
      <w:r w:rsidRPr="00B7505B">
        <w:t xml:space="preserve"> alfa binds to cell surface receptors via </w:t>
      </w:r>
      <w:proofErr w:type="spellStart"/>
      <w:r w:rsidRPr="00B7505B">
        <w:t>glycans</w:t>
      </w:r>
      <w:proofErr w:type="spellEnd"/>
      <w:r w:rsidRPr="00B7505B">
        <w:t xml:space="preserve"> expressed on the protein and is subsequently internalized into lysosomes. </w:t>
      </w:r>
      <w:proofErr w:type="gramStart"/>
      <w:r w:rsidRPr="00B7505B">
        <w:t>It catalyses the lysosomal hydrolysis of cholesteryl esters and triglycerides to free cholesterol, glycerol and free fatty acids.</w:t>
      </w:r>
      <w:proofErr w:type="gramEnd"/>
      <w:r w:rsidRPr="00B7505B">
        <w:t xml:space="preserve"> Replacement of LAL enzyme activity leads to reductions in liver fat content and transaminases, and enables metabolism of cholesteryl esters and triglycerides in the lysosom</w:t>
      </w:r>
      <w:r w:rsidR="00905BF2">
        <w:t>e, leading to reductions in LDL</w:t>
      </w:r>
      <w:r w:rsidR="00905BF2">
        <w:noBreakHyphen/>
      </w:r>
      <w:r w:rsidRPr="00B7505B">
        <w:t>c, non-HDL-c, and triglycerides, and increases in HDL-c. Improvement in growth occurs as a result of substrate reduction in the intestine.</w:t>
      </w:r>
    </w:p>
    <w:p w14:paraId="58B33332" w14:textId="77777777" w:rsidR="00B55A5F" w:rsidRPr="00B7505B" w:rsidRDefault="00B55A5F" w:rsidP="00B7505B">
      <w:pPr>
        <w:pStyle w:val="Heading4"/>
      </w:pPr>
      <w:bookmarkStart w:id="134" w:name="_Toc241374300"/>
      <w:bookmarkStart w:id="135" w:name="_Toc272414641"/>
      <w:bookmarkStart w:id="136" w:name="_Toc290888489"/>
      <w:bookmarkStart w:id="137" w:name="_Toc416353686"/>
      <w:bookmarkStart w:id="138" w:name="_Toc421005255"/>
      <w:bookmarkStart w:id="139" w:name="_Toc432079137"/>
      <w:bookmarkStart w:id="140" w:name="_Toc432080710"/>
      <w:bookmarkStart w:id="141" w:name="_Toc468957458"/>
      <w:proofErr w:type="spellStart"/>
      <w:r w:rsidRPr="00B7505B">
        <w:t>Pharmacodynamic</w:t>
      </w:r>
      <w:proofErr w:type="spellEnd"/>
      <w:r w:rsidRPr="00B7505B">
        <w:t xml:space="preserve"> effects</w:t>
      </w:r>
      <w:bookmarkEnd w:id="134"/>
      <w:bookmarkEnd w:id="135"/>
      <w:bookmarkEnd w:id="136"/>
      <w:bookmarkEnd w:id="137"/>
      <w:bookmarkEnd w:id="138"/>
      <w:bookmarkEnd w:id="139"/>
      <w:bookmarkEnd w:id="140"/>
      <w:bookmarkEnd w:id="141"/>
      <w:r w:rsidRPr="00B7505B">
        <w:t xml:space="preserve"> </w:t>
      </w:r>
    </w:p>
    <w:p w14:paraId="6DBFF601" w14:textId="77777777" w:rsidR="00B55A5F" w:rsidRPr="00B7505B" w:rsidRDefault="00B55A5F" w:rsidP="00B7505B">
      <w:pPr>
        <w:pStyle w:val="Heading5"/>
      </w:pPr>
      <w:bookmarkStart w:id="142" w:name="_Toc272414642"/>
      <w:bookmarkStart w:id="143" w:name="_Toc290888490"/>
      <w:bookmarkStart w:id="144" w:name="_Toc416353687"/>
      <w:r w:rsidRPr="00B7505B">
        <w:t xml:space="preserve">Primary </w:t>
      </w:r>
      <w:proofErr w:type="spellStart"/>
      <w:r w:rsidRPr="00B7505B">
        <w:t>pharmacodynamic</w:t>
      </w:r>
      <w:proofErr w:type="spellEnd"/>
      <w:r w:rsidRPr="00B7505B">
        <w:t xml:space="preserve"> effects</w:t>
      </w:r>
      <w:bookmarkEnd w:id="142"/>
      <w:bookmarkEnd w:id="143"/>
      <w:bookmarkEnd w:id="144"/>
    </w:p>
    <w:p w14:paraId="784D7354" w14:textId="77777777" w:rsidR="00B73619" w:rsidRDefault="00B55A5F" w:rsidP="00B7505B">
      <w:pPr>
        <w:rPr>
          <w:highlight w:val="yellow"/>
        </w:rPr>
      </w:pPr>
      <w:bookmarkStart w:id="145" w:name="_Toc272414643"/>
      <w:bookmarkStart w:id="146" w:name="_Toc290888491"/>
      <w:bookmarkStart w:id="147" w:name="_Toc416353688"/>
      <w:r w:rsidRPr="00B7505B">
        <w:t xml:space="preserve">The effects on serum lipids, hepatic transaminases and liver fat content were evaluated in the Phase </w:t>
      </w:r>
      <w:r w:rsidR="00905BF2">
        <w:t>I/II</w:t>
      </w:r>
      <w:r w:rsidRPr="00B7505B">
        <w:t xml:space="preserve"> </w:t>
      </w:r>
      <w:r w:rsidR="00157E63">
        <w:t>Study</w:t>
      </w:r>
      <w:r w:rsidRPr="00B7505B">
        <w:t xml:space="preserve"> LAL-CL01 involving 8 subjects with LAL deficiency. Details of the PD results observed in this </w:t>
      </w:r>
      <w:r w:rsidR="00C4359A">
        <w:t>study</w:t>
      </w:r>
      <w:r w:rsidRPr="00B7505B">
        <w:t xml:space="preserve"> </w:t>
      </w:r>
      <w:r w:rsidR="00FE32BB">
        <w:t>were provided.</w:t>
      </w:r>
    </w:p>
    <w:p w14:paraId="4E4E5E2B" w14:textId="77777777" w:rsidR="00B55A5F" w:rsidRPr="00B7505B" w:rsidRDefault="00B55A5F" w:rsidP="00B7505B">
      <w:r w:rsidRPr="00B7505B">
        <w:t xml:space="preserve">Observed changes in hepatic transaminases and serum lipids provided evidence of SBC-102 biological activity at all doses (0.35, 1 and </w:t>
      </w:r>
      <w:r w:rsidR="00131B1C">
        <w:t>3 mg</w:t>
      </w:r>
      <w:r w:rsidRPr="00B7505B">
        <w:t xml:space="preserve">/kg) evaluated in this </w:t>
      </w:r>
      <w:r w:rsidR="00C4359A">
        <w:t>study</w:t>
      </w:r>
      <w:r w:rsidRPr="00B7505B">
        <w:t>.</w:t>
      </w:r>
    </w:p>
    <w:p w14:paraId="2F7F6CD1" w14:textId="13ECBB49" w:rsidR="00B73619" w:rsidRDefault="00B55A5F" w:rsidP="00B7505B">
      <w:r w:rsidRPr="00B7505B">
        <w:t xml:space="preserve">ALT and AST decreased rapidly following initiation of SBC-102 treatment in all 3 dose cohorts. Eight of the 9 subjects had reduced transaminase levels within 1 to 2 weeks of treatment initiation. After 4 </w:t>
      </w:r>
      <w:proofErr w:type="spellStart"/>
      <w:r w:rsidRPr="00B7505B">
        <w:t>qw</w:t>
      </w:r>
      <w:proofErr w:type="spellEnd"/>
      <w:r w:rsidRPr="00B7505B">
        <w:t xml:space="preserve"> infusions, the mean decreases </w:t>
      </w:r>
      <w:r w:rsidR="00DE644C">
        <w:t>from Baseline</w:t>
      </w:r>
      <w:r w:rsidRPr="00B7505B">
        <w:t xml:space="preserve"> in ALT and AST in the overall </w:t>
      </w:r>
      <w:r w:rsidR="00C4359A">
        <w:t>study</w:t>
      </w:r>
      <w:r w:rsidRPr="00B7505B">
        <w:t xml:space="preserve"> population were 38.7 U/l (41.1%) and 18.2 U/l (31.8%), respectively. There was no evidence of dose-dependence in the time to onset or magnitude of effect. Importantly, transaminases had normalized in all 6 subjects with baseline ALT levels </w:t>
      </w:r>
      <w:r w:rsidR="00B73619">
        <w:t xml:space="preserve">&gt; </w:t>
      </w:r>
      <w:r w:rsidRPr="00B7505B">
        <w:t xml:space="preserve">ULN and in 4 of 6 subjects with baseline AST levels </w:t>
      </w:r>
      <w:r w:rsidR="00B73619">
        <w:t xml:space="preserve">&gt; </w:t>
      </w:r>
      <w:r w:rsidRPr="00B7505B">
        <w:t xml:space="preserve">ULN. In addition to providing evidence of SBC-102 biological activity, the reductions in hepatic transaminases observed in this </w:t>
      </w:r>
      <w:r w:rsidR="00C4359A">
        <w:t>study</w:t>
      </w:r>
      <w:r w:rsidRPr="00B7505B">
        <w:t xml:space="preserve"> provide supportive evidence that substrate reduction alleviates the hepatic abnormalities associated with LAL </w:t>
      </w:r>
      <w:r w:rsidR="00A97DEA">
        <w:t>d</w:t>
      </w:r>
      <w:r w:rsidR="00A97DEA" w:rsidRPr="00B7505B">
        <w:t>eficiency</w:t>
      </w:r>
      <w:r w:rsidR="00B73619">
        <w:t>.</w:t>
      </w:r>
      <w:r w:rsidR="00A97DEA" w:rsidRPr="00905BF2">
        <w:rPr>
          <w:vertAlign w:val="superscript"/>
        </w:rPr>
        <w:footnoteReference w:id="5"/>
      </w:r>
    </w:p>
    <w:p w14:paraId="467E558F" w14:textId="77777777" w:rsidR="00B73619" w:rsidRDefault="00B55A5F" w:rsidP="00B7505B">
      <w:r w:rsidRPr="00B7505B">
        <w:t xml:space="preserve">Elevations in total cholesterol, triglycerides, and LDL were also observed in all 3 dose cohorts during the </w:t>
      </w:r>
      <w:r w:rsidR="00C4359A">
        <w:t>study</w:t>
      </w:r>
      <w:r w:rsidRPr="00B7505B">
        <w:t xml:space="preserve"> treatment period (Day 1 to Day 28). Abnormal lipids are mobilized from the lysosomes in affected tissues which is consistent with the mechanism of action of SBC-102. The increases in total cholesterol, LDL and triglycerides were</w:t>
      </w:r>
      <w:r w:rsidR="00905BF2">
        <w:t xml:space="preserve"> more pronounced at a dose of 3 </w:t>
      </w:r>
      <w:r w:rsidRPr="00B7505B">
        <w:t xml:space="preserve">mg/kg, with 2 of the 3 subjects in this dose cohort having the greatest observed increases in these serum lipids. Although no meaningful changes were noted in HDL levels during treatment with SBC-102, all 3 subjects in Cohort 3 showed </w:t>
      </w:r>
      <w:r w:rsidR="00B73619">
        <w:t xml:space="preserve">&gt; </w:t>
      </w:r>
      <w:r w:rsidRPr="00B7505B">
        <w:t xml:space="preserve">25% increases in HDL during the </w:t>
      </w:r>
      <w:r w:rsidR="00905BF2">
        <w:t>post treatment</w:t>
      </w:r>
      <w:r w:rsidRPr="00B7505B">
        <w:t xml:space="preserve"> follow-up period between Day 28 and Day 52, a trend that was not apparent at a dose of 1 mg/kg (data were not available for the 0.35 mg/kg dose cohort). The increases in HDL were not unexpected given the previously described relationship between decreased LAL activity</w:t>
      </w:r>
      <w:r w:rsidR="00905BF2">
        <w:t xml:space="preserve"> and impaired expression of ATP </w:t>
      </w:r>
      <w:r w:rsidRPr="00B7505B">
        <w:t xml:space="preserve">binding cassette transporter A1 (ABCA-1), a critical mediator in the </w:t>
      </w:r>
      <w:r w:rsidRPr="00B7505B">
        <w:lastRenderedPageBreak/>
        <w:t>regulation of reverse cholesterol transport and serum HDL levels (</w:t>
      </w:r>
      <w:r w:rsidRPr="005C7087">
        <w:t>Bowden et al., 2011).</w:t>
      </w:r>
      <w:r w:rsidRPr="00B7505B">
        <w:t xml:space="preserve"> The distinct lipid profile observed in Cohort 3, with the greater increases in total cholesterol, triglycerides, and LDL during the </w:t>
      </w:r>
      <w:r w:rsidR="00C4359A">
        <w:t>study</w:t>
      </w:r>
      <w:r w:rsidRPr="00B7505B">
        <w:t xml:space="preserve"> treatment period and the </w:t>
      </w:r>
      <w:r w:rsidR="00B73619">
        <w:t xml:space="preserve">&gt; </w:t>
      </w:r>
      <w:r w:rsidRPr="00B7505B">
        <w:t>25% increases in HDL at Day 52, suggests a dose-dependent effect of SBC-102 on serum lipids</w:t>
      </w:r>
      <w:r w:rsidR="00B73619">
        <w:t>.</w:t>
      </w:r>
    </w:p>
    <w:p w14:paraId="77A51B4C" w14:textId="7BD99B62" w:rsidR="00B55A5F" w:rsidRPr="00B7505B" w:rsidRDefault="00B55A5F" w:rsidP="00B7505B">
      <w:r w:rsidRPr="00B7505B">
        <w:t xml:space="preserve">Observed changes in hepatic transaminases and serum lipids provided evidence of SBC-102 biological activity at all doses (0.35, 1 and </w:t>
      </w:r>
      <w:r w:rsidR="00131B1C">
        <w:t>3 mg</w:t>
      </w:r>
      <w:r w:rsidRPr="00B7505B">
        <w:t xml:space="preserve">/kg) evaluated in this </w:t>
      </w:r>
      <w:r w:rsidR="00C4359A">
        <w:t>study</w:t>
      </w:r>
      <w:r w:rsidRPr="00B7505B">
        <w:t xml:space="preserve">. This </w:t>
      </w:r>
      <w:r w:rsidR="00C4359A">
        <w:t>study</w:t>
      </w:r>
      <w:r w:rsidRPr="00B7505B">
        <w:t xml:space="preserve"> provided initial evidence to support the hypothesis that SBC-102 ther</w:t>
      </w:r>
      <w:r w:rsidR="00905BF2">
        <w:t xml:space="preserve">apy will improve LAL Deficiency </w:t>
      </w:r>
      <w:r w:rsidRPr="00B7505B">
        <w:t xml:space="preserve">related dyslipidaemia. With time, ERT with SBC-102 is expected to restore normal lipid metabolism as the abnormal lipid accumulations are cleared. For 5 of the 6 subjects with </w:t>
      </w:r>
      <w:r w:rsidR="00905BF2">
        <w:t>post treatment</w:t>
      </w:r>
      <w:r w:rsidRPr="00B7505B">
        <w:t xml:space="preserve"> follow-up data, total cholesterol, triglycerides, and LDL at Day 52 were actually lower than those </w:t>
      </w:r>
      <w:r w:rsidR="00DE644C">
        <w:t>at Baseline</w:t>
      </w:r>
      <w:r w:rsidRPr="00B7505B">
        <w:t xml:space="preserve">, suggestive of an early improvement in dyslipidaemia as a result of the clearance of some accumulated intracellular lipid during the </w:t>
      </w:r>
      <w:r w:rsidR="00905BF2">
        <w:t xml:space="preserve">4 week </w:t>
      </w:r>
      <w:r w:rsidRPr="00B7505B">
        <w:t xml:space="preserve">treatment period. The increases in HDL at Day 52 in the 3 mg/kg dose cohort also support an early improvement in dyslipidaemia with SBC-102 therapy. Reversal of the SBC-102 treatment effect on ALT, AST, total cholesterol, triglycerides, and LDL was observed during the </w:t>
      </w:r>
      <w:r w:rsidR="00905BF2">
        <w:t>post treatment</w:t>
      </w:r>
      <w:r w:rsidRPr="00B7505B">
        <w:t xml:space="preserve"> follow-up period of this </w:t>
      </w:r>
      <w:r w:rsidR="00C4359A">
        <w:t>study</w:t>
      </w:r>
      <w:r w:rsidRPr="00B7505B">
        <w:t xml:space="preserve">. Reversibility was consistently observed in all subjects who had demonstrated a response to treatment and had </w:t>
      </w:r>
      <w:r w:rsidR="00905BF2">
        <w:t>post treatment</w:t>
      </w:r>
      <w:r w:rsidRPr="00B7505B">
        <w:t xml:space="preserve"> data, supporting the utility of these laboratory parameters as markers of SBC-102 biological activity.</w:t>
      </w:r>
    </w:p>
    <w:p w14:paraId="14153656" w14:textId="662B03D2" w:rsidR="00B73619" w:rsidRDefault="00B55A5F" w:rsidP="00B7505B">
      <w:r w:rsidRPr="00B7505B">
        <w:t xml:space="preserve">The pivotal </w:t>
      </w:r>
      <w:r w:rsidR="00905BF2">
        <w:t xml:space="preserve">Phase II/III </w:t>
      </w:r>
      <w:r w:rsidR="00A97DEA">
        <w:t>S</w:t>
      </w:r>
      <w:r w:rsidR="00905BF2">
        <w:t>tudies LA-CL02 and LAL-CL03</w:t>
      </w:r>
      <w:r w:rsidRPr="00B7505B">
        <w:t xml:space="preserve"> involved a larger number of subjects and helped further characterise the time course and magnitude of the effect of SBC-102 on hepatic transaminases and serum lipids, including the potential for </w:t>
      </w:r>
      <w:r w:rsidR="008F6668">
        <w:t>long term</w:t>
      </w:r>
      <w:r w:rsidRPr="00B7505B">
        <w:t xml:space="preserve"> beneficial effects on dyslipidaemia, and the correlation of these changes with improvement in other clinical manifestations of LAL Deficiency</w:t>
      </w:r>
      <w:r w:rsidR="00B73619">
        <w:t>.</w:t>
      </w:r>
    </w:p>
    <w:p w14:paraId="0CD2414F" w14:textId="77777777" w:rsidR="00B7505B" w:rsidRDefault="00B55A5F" w:rsidP="003F3AB4">
      <w:pPr>
        <w:pStyle w:val="Heading5"/>
      </w:pPr>
      <w:r w:rsidRPr="00B7505B">
        <w:t xml:space="preserve">Secondary </w:t>
      </w:r>
      <w:proofErr w:type="spellStart"/>
      <w:r w:rsidRPr="00B7505B">
        <w:t>pharmacodynamic</w:t>
      </w:r>
      <w:proofErr w:type="spellEnd"/>
      <w:r w:rsidRPr="00B7505B">
        <w:t xml:space="preserve"> effects</w:t>
      </w:r>
      <w:bookmarkStart w:id="148" w:name="_Toc272414644"/>
      <w:bookmarkStart w:id="149" w:name="_Toc290888492"/>
      <w:bookmarkStart w:id="150" w:name="_Toc416353689"/>
      <w:bookmarkStart w:id="151" w:name="_Toc421005256"/>
      <w:bookmarkStart w:id="152" w:name="_Toc432079138"/>
      <w:bookmarkStart w:id="153" w:name="_Toc432080711"/>
      <w:bookmarkEnd w:id="145"/>
      <w:bookmarkEnd w:id="146"/>
      <w:bookmarkEnd w:id="147"/>
      <w:r w:rsidR="003F3AB4">
        <w:t>; d</w:t>
      </w:r>
      <w:r w:rsidRPr="00B7505B">
        <w:t>evel</w:t>
      </w:r>
      <w:r w:rsidR="00B7505B">
        <w:t>opment of anti-drug antibodies</w:t>
      </w:r>
    </w:p>
    <w:p w14:paraId="792032C9" w14:textId="77777777" w:rsidR="003F3AB4" w:rsidRDefault="00157E63" w:rsidP="003F3AB4">
      <w:pPr>
        <w:pStyle w:val="Heading6"/>
      </w:pPr>
      <w:r>
        <w:t>Study</w:t>
      </w:r>
      <w:r w:rsidR="00B55A5F" w:rsidRPr="00B7505B">
        <w:t xml:space="preserve"> LAL-CL03 </w:t>
      </w:r>
      <w:r w:rsidR="003F3AB4">
        <w:t>in infants with LAL Deficiency</w:t>
      </w:r>
    </w:p>
    <w:p w14:paraId="634946F9" w14:textId="1B3E8DD8" w:rsidR="00B73619" w:rsidRDefault="00B55A5F" w:rsidP="00B7505B">
      <w:r w:rsidRPr="00B7505B">
        <w:t xml:space="preserve">All 6 subjects with available data at screening tested negative for serum </w:t>
      </w:r>
      <w:r w:rsidR="003F3AB4">
        <w:t>anti-drug antibodies (</w:t>
      </w:r>
      <w:r w:rsidRPr="00B7505B">
        <w:t>ADAs</w:t>
      </w:r>
      <w:r w:rsidR="003F3AB4">
        <w:t>)</w:t>
      </w:r>
      <w:r w:rsidRPr="00B7505B">
        <w:t>. Screening data were unavailable for the one subject who initiated treatment under ATU and for 2 infants who died during the initial weeks of therapy</w:t>
      </w:r>
      <w:r w:rsidR="00B73619">
        <w:t xml:space="preserve">. </w:t>
      </w:r>
      <w:r w:rsidR="003F3AB4">
        <w:t>Post treatment</w:t>
      </w:r>
      <w:r w:rsidRPr="00B7505B">
        <w:t xml:space="preserve"> immunogenicity data were available for 7 subjects (data were unavailable for the 2 subjects who died prior to the first </w:t>
      </w:r>
      <w:r w:rsidR="00905BF2">
        <w:t>post treatment</w:t>
      </w:r>
      <w:r w:rsidRPr="00B7505B">
        <w:t xml:space="preserve"> ADA assessment). Of these 7 subjects, 4 (57%) were ADA positive during at least one assessment, defined as having a positive screening enzyme-linked immunosorbent assay (ELISA) that was confirmed by depletion ELISA. In these 4 subjects, ADA positivity was first detected at Week 5, Week 8, or Week 59 (for the subject initiating treatment under the ATU). At the time of initial ADA positivity, 3 subjects w</w:t>
      </w:r>
      <w:r w:rsidR="003F3AB4">
        <w:t>ere receiving a dose of 1 mg/kg </w:t>
      </w:r>
      <w:proofErr w:type="spellStart"/>
      <w:r w:rsidRPr="00B7505B">
        <w:t>qw</w:t>
      </w:r>
      <w:proofErr w:type="spellEnd"/>
      <w:r w:rsidRPr="00B7505B">
        <w:t xml:space="preserve">, and 1 subject was receiving a dose of 3 mg/kg </w:t>
      </w:r>
      <w:proofErr w:type="spellStart"/>
      <w:r w:rsidRPr="00B7505B">
        <w:t>qw</w:t>
      </w:r>
      <w:proofErr w:type="spellEnd"/>
      <w:r w:rsidRPr="00B7505B">
        <w:t>. Persistence of ADA positivity (</w:t>
      </w:r>
      <w:r w:rsidR="003F3AB4">
        <w:t>that is</w:t>
      </w:r>
      <w:r w:rsidRPr="00B7505B">
        <w:t>, positivity at more than one visit) was observed in 3 subjects; the other subject had a single ADA positive result at Week 8 and thereafter tested negative. All 3 of the ADA positive subjects who had multiple positive ADA assessments showed decreases from maximum titre with continued dosing, and 2 of these subjects had a negative ADA result at their last assessment prior to data cut-off. Based on Kaplan-Meier analyses</w:t>
      </w:r>
      <w:r w:rsidR="00A97DEA">
        <w:t>;</w:t>
      </w:r>
      <w:r w:rsidRPr="003F3AB4">
        <w:rPr>
          <w:vertAlign w:val="superscript"/>
        </w:rPr>
        <w:footnoteReference w:id="6"/>
      </w:r>
      <w:r w:rsidR="003F3AB4">
        <w:t xml:space="preserve"> the probability of being ADA </w:t>
      </w:r>
      <w:r w:rsidRPr="00B7505B">
        <w:t>negative was 1.00 at Week 2, 0.83 at Week 6, and 0.50 at Week 10 and the probability of maximum titre not yet being achieved was 0.83 at Week 10, 0.</w:t>
      </w:r>
      <w:r w:rsidR="003F3AB4">
        <w:t>63 at Week 40, and 0.31 at Week </w:t>
      </w:r>
      <w:r w:rsidRPr="00B7505B">
        <w:t>80</w:t>
      </w:r>
      <w:r w:rsidR="00B73619">
        <w:t>.</w:t>
      </w:r>
    </w:p>
    <w:p w14:paraId="0D34A556" w14:textId="74D82335" w:rsidR="00B73619" w:rsidRDefault="00B55A5F" w:rsidP="00B7505B">
      <w:r w:rsidRPr="00B7505B">
        <w:t xml:space="preserve">All 4 </w:t>
      </w:r>
      <w:r w:rsidR="003F3AB4">
        <w:t>ADA positive</w:t>
      </w:r>
      <w:r w:rsidRPr="00B7505B">
        <w:t xml:space="preserve"> subjects were tested for the presence of neutralising antibodies that inhibited LAL enzyme activity, and 2 (50%) subjects tested positive for these neutralising antibodies. In these 2 subjects, inhibition of LAL enzyme activity was detected concurrent with the first report of ADA positivity. One subject had a comparatively low level of inhibition (18.9%) when first </w:t>
      </w:r>
      <w:r w:rsidRPr="00B7505B">
        <w:lastRenderedPageBreak/>
        <w:t>tested at Week 5, and thereafter had a high inhibition of enzyme activity (range</w:t>
      </w:r>
      <w:r w:rsidR="002D28A4">
        <w:t xml:space="preserve"> = </w:t>
      </w:r>
      <w:r w:rsidRPr="00B7505B">
        <w:t>70.9% to 90.3%). The other subject had a high level of inhibition of enzyme activity when first tested at Week 8 (83.2%) and continued to have a high level of inhi</w:t>
      </w:r>
      <w:r w:rsidR="003F3AB4">
        <w:t>bition through Week 48 (range</w:t>
      </w:r>
      <w:r w:rsidR="00A97DEA">
        <w:t> </w:t>
      </w:r>
      <w:r w:rsidR="002D28A4">
        <w:t>=</w:t>
      </w:r>
      <w:r w:rsidR="00A97DEA">
        <w:t> </w:t>
      </w:r>
      <w:r w:rsidRPr="00B7505B">
        <w:t>82.1% to 89.8%); the subject was ADA negative at the last assessment, and thus neutralising antibody activity was not evaluated for this time point</w:t>
      </w:r>
      <w:r w:rsidR="00B73619">
        <w:t>.</w:t>
      </w:r>
    </w:p>
    <w:p w14:paraId="37B796C8" w14:textId="77777777" w:rsidR="00B55A5F" w:rsidRPr="00B7505B" w:rsidRDefault="00B55A5F" w:rsidP="00B7505B">
      <w:r w:rsidRPr="00B7505B">
        <w:t xml:space="preserve">Two </w:t>
      </w:r>
      <w:r w:rsidR="003F3AB4">
        <w:t>ADA positive</w:t>
      </w:r>
      <w:r w:rsidRPr="00B7505B">
        <w:t xml:space="preserve"> subjects were also tested for the presence of neutralising antibodies that inhibited the cellular uptake of LAL. Both subjects tested positive for these neutralising antibodies at all time points tested: one subject tested positive at Week 72, and the other subject tested positive at unscheduled assessments at </w:t>
      </w:r>
      <w:r w:rsidR="003F3AB4">
        <w:t xml:space="preserve">approximately </w:t>
      </w:r>
      <w:r w:rsidRPr="00B7505B">
        <w:t>Week 23 and Week 25. As both of these subjects were also known to be positive for antibodies that inhibited LAL enzyme activity, the positive results for inhibition of LAL cellular uptake, which measures enzyme activity as the readout following uptake, must be interpreted with caution given the potential for a false positive result.</w:t>
      </w:r>
    </w:p>
    <w:p w14:paraId="19203586" w14:textId="77777777" w:rsidR="00B73619" w:rsidRDefault="00B55A5F" w:rsidP="00B7505B">
      <w:r w:rsidRPr="00B7505B">
        <w:t xml:space="preserve">A medical review of the clinical response data for the 4 subjects who tested positive for ADAs suggested that the presence of neutralising antibodies in one infant could be a contributing factor in the continued suboptimal rate of growth in this subject. However, other clinical outcome measures in this subject do not appear to have been affected by the development of ADAs. Serum transaminases remained within normal range for the majority of the period when ADAs and neutralising antibody were present. While a transient elevation in transaminases was observed at the last 3 scheduled assessments and could potentially be related to alterations in the </w:t>
      </w:r>
      <w:proofErr w:type="spellStart"/>
      <w:r w:rsidRPr="00B7505B">
        <w:t>biodistribution</w:t>
      </w:r>
      <w:proofErr w:type="spellEnd"/>
      <w:r w:rsidRPr="00B7505B">
        <w:t xml:space="preserve"> and/or in vivo activity of </w:t>
      </w:r>
      <w:proofErr w:type="spellStart"/>
      <w:r w:rsidRPr="00B7505B">
        <w:t>sebelipase</w:t>
      </w:r>
      <w:proofErr w:type="spellEnd"/>
      <w:r w:rsidRPr="00B7505B">
        <w:t xml:space="preserve"> alfa in the presence of ADA, other medical complications such as serious viral infection, which showed a temporal relationship to the transaminase elevation, may also be causal factors. The other 3 subjects testing positive for ADAs, one of whom also developed neutralising antibodies, showed no evidence of a potential loss of response in any clinical outcome measures coincident with the development of ADAs</w:t>
      </w:r>
      <w:r w:rsidR="00B73619">
        <w:t>.</w:t>
      </w:r>
    </w:p>
    <w:p w14:paraId="03B2185F" w14:textId="77777777" w:rsidR="00B7505B" w:rsidRDefault="00B55A5F" w:rsidP="00B7505B">
      <w:pPr>
        <w:pStyle w:val="Heading6"/>
      </w:pPr>
      <w:r w:rsidRPr="00B7505B">
        <w:t xml:space="preserve">Studies LAL-CL01/ LAL-CL04 and LAL-CL02 in Children </w:t>
      </w:r>
      <w:r w:rsidR="003F3AB4">
        <w:t>and Adults with LAL Deficiency)</w:t>
      </w:r>
    </w:p>
    <w:p w14:paraId="625D9AF3" w14:textId="77777777" w:rsidR="00B55A5F" w:rsidRPr="00B7505B" w:rsidRDefault="00B55A5F" w:rsidP="00B7505B">
      <w:r w:rsidRPr="00B7505B">
        <w:t xml:space="preserve">All samples from the 9 subjects in </w:t>
      </w:r>
      <w:r w:rsidR="00157E63">
        <w:t>Study</w:t>
      </w:r>
      <w:r w:rsidRPr="00B7505B">
        <w:t xml:space="preserve"> LAL-CL01 were negative for ADAs and all samples from 7 of 8 subjects in </w:t>
      </w:r>
      <w:r w:rsidR="00157E63">
        <w:t>Study</w:t>
      </w:r>
      <w:r w:rsidRPr="00B7505B">
        <w:t xml:space="preserve"> LAL-CL04 were negative for ADAs. One subject in </w:t>
      </w:r>
      <w:r w:rsidR="00157E63">
        <w:t>Study</w:t>
      </w:r>
      <w:r w:rsidRPr="00B7505B">
        <w:t xml:space="preserve"> LAL-CL04 had one result that was above the pre-determined positivity cut-off for ADAs. This finding occurred at a single isolated assessment at Week 4, and did not coincide with any notable change in serum transaminases, serum lipids, or markers of macrophage activation.</w:t>
      </w:r>
    </w:p>
    <w:p w14:paraId="3C0E3D16" w14:textId="22CB949A" w:rsidR="00B73619" w:rsidRDefault="00B55A5F" w:rsidP="00B7505B">
      <w:r w:rsidRPr="00B7505B">
        <w:t xml:space="preserve">In </w:t>
      </w:r>
      <w:r w:rsidR="00157E63">
        <w:t>Study</w:t>
      </w:r>
      <w:r w:rsidRPr="00B7505B">
        <w:t xml:space="preserve"> LAL-CL02, 35 of 36 subjects in the </w:t>
      </w:r>
      <w:proofErr w:type="spellStart"/>
      <w:r w:rsidRPr="00B7505B">
        <w:t>sebelipase</w:t>
      </w:r>
      <w:proofErr w:type="spellEnd"/>
      <w:r w:rsidRPr="00B7505B">
        <w:t xml:space="preserve"> alfa group were evaluated for the development of antibodies specific to </w:t>
      </w:r>
      <w:proofErr w:type="spellStart"/>
      <w:r w:rsidRPr="00B7505B">
        <w:t>sebelipase</w:t>
      </w:r>
      <w:proofErr w:type="spellEnd"/>
      <w:r w:rsidRPr="00B7505B">
        <w:t xml:space="preserve"> </w:t>
      </w:r>
      <w:proofErr w:type="gramStart"/>
      <w:r w:rsidRPr="00B7505B">
        <w:t>alfa,</w:t>
      </w:r>
      <w:proofErr w:type="gramEnd"/>
      <w:r w:rsidRPr="00B7505B">
        <w:t xml:space="preserve"> one subject stopped treatment after the second i</w:t>
      </w:r>
      <w:r w:rsidR="003F3AB4">
        <w:t xml:space="preserve">nfusion and did not have a post </w:t>
      </w:r>
      <w:r w:rsidRPr="00B7505B">
        <w:t xml:space="preserve">Baseline assessment. Five (14%) of these subjects had at least 1 positive ADA test during the </w:t>
      </w:r>
      <w:r w:rsidR="003F3AB4">
        <w:t>double blind</w:t>
      </w:r>
      <w:r w:rsidRPr="00B7505B">
        <w:t xml:space="preserve"> treatment period; none of these 5 subjects developed neutralising antibodies that inhibited LAL enzyme activity, and 1 subject</w:t>
      </w:r>
      <w:r w:rsidRPr="003F3AB4">
        <w:rPr>
          <w:vertAlign w:val="superscript"/>
        </w:rPr>
        <w:footnoteReference w:id="7"/>
      </w:r>
      <w:r w:rsidRPr="00B7505B">
        <w:t xml:space="preserve"> developed neutralising antibodies that inhibited cellular uptake of LAL; In general, ADA titres were low and unsustained. Three subjects were positive at only a single time point during the </w:t>
      </w:r>
      <w:r w:rsidR="003F3AB4">
        <w:t>double blind</w:t>
      </w:r>
      <w:r w:rsidRPr="00B7505B">
        <w:t xml:space="preserve"> period, and 2 subjects were positive at multiple time points during the </w:t>
      </w:r>
      <w:r w:rsidR="003F3AB4">
        <w:t>double blind</w:t>
      </w:r>
      <w:r w:rsidRPr="00B7505B">
        <w:t xml:space="preserve"> period.</w:t>
      </w:r>
      <w:r w:rsidR="00A97DEA" w:rsidRPr="003F3AB4">
        <w:rPr>
          <w:vertAlign w:val="superscript"/>
        </w:rPr>
        <w:footnoteReference w:id="8"/>
      </w:r>
      <w:r w:rsidRPr="00B7505B">
        <w:t xml:space="preserve"> None of the 5 subjects with positive ADA titres at any time during the </w:t>
      </w:r>
      <w:r w:rsidR="003F3AB4">
        <w:t>double blind</w:t>
      </w:r>
      <w:r w:rsidRPr="00B7505B">
        <w:t xml:space="preserve"> period continued to be ADA positive at their last time point prior to the data cut-off. No subject in the placebo group had positive ADA titres during the </w:t>
      </w:r>
      <w:r w:rsidR="003F3AB4">
        <w:t>double blind period. As of the data cut</w:t>
      </w:r>
      <w:r w:rsidR="003F3AB4">
        <w:noBreakHyphen/>
      </w:r>
      <w:r w:rsidRPr="00B7505B">
        <w:t>off, no subject in the placebo/</w:t>
      </w:r>
      <w:proofErr w:type="spellStart"/>
      <w:r w:rsidRPr="00B7505B">
        <w:t>sebelipase</w:t>
      </w:r>
      <w:proofErr w:type="spellEnd"/>
      <w:r w:rsidRPr="00B7505B">
        <w:t xml:space="preserve"> alfa group had a positive ADA test after initiating </w:t>
      </w:r>
      <w:proofErr w:type="spellStart"/>
      <w:r w:rsidRPr="00B7505B">
        <w:t>sebelipase</w:t>
      </w:r>
      <w:proofErr w:type="spellEnd"/>
      <w:r w:rsidRPr="00B7505B">
        <w:t xml:space="preserve"> alfa in the </w:t>
      </w:r>
      <w:r w:rsidR="00B73619">
        <w:t>open label</w:t>
      </w:r>
      <w:r w:rsidRPr="00B7505B">
        <w:t xml:space="preserve"> period through Week 20, the last time point assessed prior to data cut-off. Based on the results of a Kaplan-Meier analysis, the estimated probability of </w:t>
      </w:r>
      <w:r w:rsidRPr="00B7505B">
        <w:lastRenderedPageBreak/>
        <w:t>developing ADA was low (</w:t>
      </w:r>
      <w:r w:rsidR="003F3AB4">
        <w:t>≤</w:t>
      </w:r>
      <w:r w:rsidRPr="00B7505B">
        <w:t xml:space="preserve"> 14%) at any time during the </w:t>
      </w:r>
      <w:r w:rsidR="003F3AB4">
        <w:t>double blind</w:t>
      </w:r>
      <w:r w:rsidRPr="00B7505B">
        <w:t xml:space="preserve"> treatment period after exposure to </w:t>
      </w:r>
      <w:proofErr w:type="spellStart"/>
      <w:r w:rsidRPr="00B7505B">
        <w:t>sebelipase</w:t>
      </w:r>
      <w:proofErr w:type="spellEnd"/>
      <w:r w:rsidRPr="00B7505B">
        <w:t xml:space="preserve"> alfa and during the </w:t>
      </w:r>
      <w:r w:rsidR="00B73619">
        <w:t>open label</w:t>
      </w:r>
      <w:r w:rsidRPr="00B7505B">
        <w:t xml:space="preserve"> period</w:t>
      </w:r>
      <w:r w:rsidR="00B73619">
        <w:t>.</w:t>
      </w:r>
    </w:p>
    <w:p w14:paraId="094A428C" w14:textId="51E71961" w:rsidR="00B55A5F" w:rsidRPr="00B7505B" w:rsidRDefault="00B55A5F" w:rsidP="00B7505B">
      <w:r w:rsidRPr="00B7505B">
        <w:t xml:space="preserve">Review of efficacy results among the 5 </w:t>
      </w:r>
      <w:r w:rsidR="003F3AB4">
        <w:t>ADA positive</w:t>
      </w:r>
      <w:r w:rsidRPr="00B7505B">
        <w:t xml:space="preserve"> subjects in the </w:t>
      </w:r>
      <w:proofErr w:type="spellStart"/>
      <w:r w:rsidRPr="00B7505B">
        <w:t>sebelipase</w:t>
      </w:r>
      <w:proofErr w:type="spellEnd"/>
      <w:r w:rsidRPr="00B7505B">
        <w:t xml:space="preserve"> alfa group showed that all 5 experienced a decrease </w:t>
      </w:r>
      <w:r w:rsidR="00DE644C">
        <w:t>from Baseline</w:t>
      </w:r>
      <w:r w:rsidRPr="00B7505B">
        <w:t xml:space="preserve"> to the last time point in the </w:t>
      </w:r>
      <w:r w:rsidR="003F3AB4">
        <w:t>double blind</w:t>
      </w:r>
      <w:r w:rsidRPr="00B7505B">
        <w:t xml:space="preserve"> period in ALT and AST, with 2 (40%) and 1 (20%) experiencing normalisation in ALT and AST, respectively, at that time point. Decreases </w:t>
      </w:r>
      <w:r w:rsidR="00DE644C">
        <w:t>from Baseline</w:t>
      </w:r>
      <w:r w:rsidRPr="00B7505B">
        <w:t xml:space="preserve"> to the last time point in the </w:t>
      </w:r>
      <w:r w:rsidR="003F3AB4">
        <w:t>double blind</w:t>
      </w:r>
      <w:r w:rsidRPr="00B7505B">
        <w:t xml:space="preserve"> period in LDL-c and non-HDL-c were seen in all 5 subjects, with mean percent decreases of </w:t>
      </w:r>
      <w:r w:rsidR="003F3AB4">
        <w:noBreakHyphen/>
        <w:t xml:space="preserve">45% and </w:t>
      </w:r>
      <w:r w:rsidR="003F3AB4">
        <w:noBreakHyphen/>
      </w:r>
      <w:r w:rsidRPr="00B7505B">
        <w:t xml:space="preserve">40%, respectively, as was an increase </w:t>
      </w:r>
      <w:r w:rsidR="00DE644C">
        <w:t>from Baseline</w:t>
      </w:r>
      <w:r w:rsidRPr="00B7505B">
        <w:t xml:space="preserve"> to the last time point in the </w:t>
      </w:r>
      <w:r w:rsidR="003F3AB4">
        <w:t>double blind</w:t>
      </w:r>
      <w:r w:rsidRPr="00B7505B">
        <w:t xml:space="preserve"> period in HDL-c of 10%. Only a small percent change </w:t>
      </w:r>
      <w:r w:rsidR="00DE644C">
        <w:t>from Baseline</w:t>
      </w:r>
      <w:r w:rsidRPr="00B7505B">
        <w:t xml:space="preserve"> to the last time point in the </w:t>
      </w:r>
      <w:r w:rsidR="003F3AB4">
        <w:t>double blind</w:t>
      </w:r>
      <w:r w:rsidRPr="00B7505B">
        <w:t xml:space="preserve"> period in triglycerides of </w:t>
      </w:r>
      <w:r w:rsidR="003F3AB4">
        <w:noBreakHyphen/>
      </w:r>
      <w:r w:rsidRPr="00B7505B">
        <w:t xml:space="preserve">2% was seen among these 5 subjects. Reductions </w:t>
      </w:r>
      <w:r w:rsidR="00DE644C">
        <w:t>from Baseline</w:t>
      </w:r>
      <w:r w:rsidRPr="00B7505B">
        <w:t xml:space="preserve"> to the last time point in the </w:t>
      </w:r>
      <w:r w:rsidR="003F3AB4">
        <w:t>double blind</w:t>
      </w:r>
      <w:r w:rsidRPr="00B7505B">
        <w:t xml:space="preserve"> </w:t>
      </w:r>
      <w:r w:rsidR="003F3AB4">
        <w:t xml:space="preserve">period in liver fat content of </w:t>
      </w:r>
      <w:r w:rsidR="003F3AB4">
        <w:noBreakHyphen/>
        <w:t xml:space="preserve">49% and in liver volume of </w:t>
      </w:r>
      <w:r w:rsidR="003F3AB4">
        <w:noBreakHyphen/>
      </w:r>
      <w:r w:rsidRPr="00B7505B">
        <w:t xml:space="preserve">4% were seen among the 5 </w:t>
      </w:r>
      <w:r w:rsidR="003F3AB4">
        <w:t>ADA positive</w:t>
      </w:r>
      <w:r w:rsidRPr="00B7505B">
        <w:t xml:space="preserve"> subjects in the </w:t>
      </w:r>
      <w:proofErr w:type="spellStart"/>
      <w:r w:rsidRPr="00B7505B">
        <w:t>sebelipase</w:t>
      </w:r>
      <w:proofErr w:type="spellEnd"/>
      <w:r w:rsidRPr="00B7505B">
        <w:t xml:space="preserve"> alfa group. Only 2 of these 5 subjects had liver histopathology assessed </w:t>
      </w:r>
      <w:r w:rsidR="00DE644C">
        <w:t>at Baseline</w:t>
      </w:r>
      <w:r w:rsidRPr="00B7505B">
        <w:t xml:space="preserve"> and the last time point in the </w:t>
      </w:r>
      <w:r w:rsidR="003F3AB4">
        <w:t>double blind</w:t>
      </w:r>
      <w:r w:rsidRPr="00B7505B">
        <w:t xml:space="preserve"> period, with both subjects experiencing improvement. Overall, efficacy of </w:t>
      </w:r>
      <w:proofErr w:type="spellStart"/>
      <w:r w:rsidRPr="00B7505B">
        <w:t>sebelipase</w:t>
      </w:r>
      <w:proofErr w:type="spellEnd"/>
      <w:r w:rsidRPr="00B7505B">
        <w:t xml:space="preserve"> alfa was not affected in the </w:t>
      </w:r>
      <w:r w:rsidR="003F3AB4">
        <w:t>ADA positive</w:t>
      </w:r>
      <w:r w:rsidRPr="00B7505B">
        <w:t xml:space="preserve"> subjects. The subject testing positive for neutralising antibodies to cellular uptake, showed no evidence of either a reduced response relative to the clinical efficacy seen in the broad population or clear evidence of a loss of response over time.</w:t>
      </w:r>
    </w:p>
    <w:p w14:paraId="00E7A844" w14:textId="77777777" w:rsidR="00B55A5F" w:rsidRPr="00B7505B" w:rsidRDefault="00B55A5F" w:rsidP="00B7505B">
      <w:pPr>
        <w:pStyle w:val="Heading4"/>
      </w:pPr>
      <w:bookmarkStart w:id="154" w:name="_Toc468957459"/>
      <w:r w:rsidRPr="00B7505B">
        <w:t xml:space="preserve">Time course of </w:t>
      </w:r>
      <w:proofErr w:type="spellStart"/>
      <w:r w:rsidRPr="00B7505B">
        <w:t>pharmacodynamic</w:t>
      </w:r>
      <w:proofErr w:type="spellEnd"/>
      <w:r w:rsidRPr="00B7505B">
        <w:t xml:space="preserve"> effects</w:t>
      </w:r>
      <w:bookmarkEnd w:id="148"/>
      <w:bookmarkEnd w:id="149"/>
      <w:bookmarkEnd w:id="150"/>
      <w:bookmarkEnd w:id="151"/>
      <w:bookmarkEnd w:id="152"/>
      <w:bookmarkEnd w:id="153"/>
      <w:bookmarkEnd w:id="154"/>
    </w:p>
    <w:p w14:paraId="522EDD0B" w14:textId="77777777" w:rsidR="00B73619" w:rsidRDefault="00B55A5F" w:rsidP="00B7505B">
      <w:r w:rsidRPr="00B7505B">
        <w:t xml:space="preserve">In clinical trials, after initiation of dosing with </w:t>
      </w:r>
      <w:proofErr w:type="spellStart"/>
      <w:r w:rsidRPr="00B7505B">
        <w:t>sebelipase</w:t>
      </w:r>
      <w:proofErr w:type="spellEnd"/>
      <w:r w:rsidRPr="00B7505B">
        <w:t xml:space="preserve"> alfa, breakdown of accumulated lysosomal lipid led to initial increases in LDL-c and triglycerides within the first 2 to 4 weeks of treatment. In general, following increases in LDL-c and triglycerides, these parameters decreased to below pre-treatment values within 8 weeks of treatment with </w:t>
      </w:r>
      <w:proofErr w:type="spellStart"/>
      <w:r w:rsidRPr="00B7505B">
        <w:t>sebelipase</w:t>
      </w:r>
      <w:proofErr w:type="spellEnd"/>
      <w:r w:rsidRPr="00B7505B">
        <w:t xml:space="preserve"> alfa</w:t>
      </w:r>
      <w:r w:rsidR="00B73619">
        <w:t>.</w:t>
      </w:r>
    </w:p>
    <w:p w14:paraId="6AE2CC81" w14:textId="1AD563D3" w:rsidR="00B55A5F" w:rsidRPr="00B7505B" w:rsidRDefault="00B55A5F" w:rsidP="00B7505B">
      <w:r w:rsidRPr="00B7505B">
        <w:t xml:space="preserve">In all patients with elevated alanine aminotransferase (ALT) values </w:t>
      </w:r>
      <w:r w:rsidR="00DE644C">
        <w:t>at Baseline</w:t>
      </w:r>
      <w:r w:rsidRPr="00B7505B">
        <w:t xml:space="preserve"> (82 of 84</w:t>
      </w:r>
      <w:r w:rsidR="00A97DEA">
        <w:t> </w:t>
      </w:r>
      <w:r w:rsidRPr="00B7505B">
        <w:t xml:space="preserve">patients in clinical trials), reductions in ALT values were observed, generally within 2 weeks after initiation of treatment with </w:t>
      </w:r>
      <w:proofErr w:type="spellStart"/>
      <w:r w:rsidRPr="00B7505B">
        <w:t>sebelipase</w:t>
      </w:r>
      <w:proofErr w:type="spellEnd"/>
      <w:r w:rsidRPr="00B7505B">
        <w:t xml:space="preserve"> alfa. Reversal of the SBC-102 treatment effect on ALT, AST, total cholesterol, triglycerides, and LDL was observed during the </w:t>
      </w:r>
      <w:r w:rsidR="00905BF2">
        <w:t>post treatment</w:t>
      </w:r>
      <w:r w:rsidRPr="00B7505B">
        <w:t xml:space="preserve"> follow-up period of this </w:t>
      </w:r>
      <w:r w:rsidR="00C4359A">
        <w:t>study</w:t>
      </w:r>
      <w:r w:rsidRPr="00B7505B">
        <w:t xml:space="preserve">. Reversibility was consistently observed in all subjects who had demonstrated a response to treatment and had </w:t>
      </w:r>
      <w:r w:rsidR="00905BF2">
        <w:t>post treatment</w:t>
      </w:r>
      <w:r w:rsidRPr="00B7505B">
        <w:t xml:space="preserve"> data, supporting the utility of these laboratory parameters as markers of SBC-102 biological activity.</w:t>
      </w:r>
    </w:p>
    <w:p w14:paraId="19CC708B" w14:textId="77777777" w:rsidR="00B55A5F" w:rsidRPr="00B7505B" w:rsidRDefault="00B55A5F" w:rsidP="00B7505B">
      <w:pPr>
        <w:pStyle w:val="Heading4"/>
      </w:pPr>
      <w:bookmarkStart w:id="155" w:name="_Toc272414645"/>
      <w:bookmarkStart w:id="156" w:name="_Toc290888493"/>
      <w:bookmarkStart w:id="157" w:name="_Toc416353690"/>
      <w:bookmarkStart w:id="158" w:name="_Toc421005257"/>
      <w:bookmarkStart w:id="159" w:name="_Toc432079139"/>
      <w:bookmarkStart w:id="160" w:name="_Toc432080712"/>
      <w:bookmarkStart w:id="161" w:name="_Toc468957460"/>
      <w:r w:rsidRPr="00B7505B">
        <w:t xml:space="preserve">Relationship between drug concentration and </w:t>
      </w:r>
      <w:proofErr w:type="spellStart"/>
      <w:r w:rsidRPr="00B7505B">
        <w:t>pharmacodynamic</w:t>
      </w:r>
      <w:proofErr w:type="spellEnd"/>
      <w:r w:rsidRPr="00B7505B">
        <w:t xml:space="preserve"> effects</w:t>
      </w:r>
      <w:bookmarkEnd w:id="155"/>
      <w:bookmarkEnd w:id="156"/>
      <w:bookmarkEnd w:id="157"/>
      <w:bookmarkEnd w:id="158"/>
      <w:bookmarkEnd w:id="159"/>
      <w:bookmarkEnd w:id="160"/>
      <w:bookmarkEnd w:id="161"/>
    </w:p>
    <w:p w14:paraId="53064BC1" w14:textId="77777777" w:rsidR="00B55A5F" w:rsidRPr="00B7505B" w:rsidRDefault="003F3AB4" w:rsidP="00B7505B">
      <w:r>
        <w:t>Exposure response</w:t>
      </w:r>
      <w:r w:rsidR="00B55A5F" w:rsidRPr="00B7505B">
        <w:t xml:space="preserve"> analyses demonstrated a positive response to treatment with </w:t>
      </w:r>
      <w:proofErr w:type="spellStart"/>
      <w:r w:rsidR="00B55A5F" w:rsidRPr="00B7505B">
        <w:t>sebelipase</w:t>
      </w:r>
      <w:proofErr w:type="spellEnd"/>
      <w:r w:rsidR="00B55A5F" w:rsidRPr="00B7505B">
        <w:t xml:space="preserve"> alfa in terms of ALT, serum lipids, and liver fat content. The strongest </w:t>
      </w:r>
      <w:r>
        <w:t>exposure response</w:t>
      </w:r>
      <w:r w:rsidR="00B55A5F" w:rsidRPr="00B7505B">
        <w:t xml:space="preserve"> relationships for all efficacy endpoints were observed with </w:t>
      </w:r>
      <w:proofErr w:type="spellStart"/>
      <w:r w:rsidR="00B55A5F" w:rsidRPr="00B7505B">
        <w:t>sebelipase</w:t>
      </w:r>
      <w:proofErr w:type="spellEnd"/>
      <w:r w:rsidR="00B55A5F" w:rsidRPr="00B7505B">
        <w:t xml:space="preserve"> alfa cumulative area under the plasma concentration-time curve (</w:t>
      </w:r>
      <w:proofErr w:type="spellStart"/>
      <w:r w:rsidRPr="00B7505B">
        <w:t>AUC</w:t>
      </w:r>
      <w:r w:rsidRPr="003F3AB4">
        <w:rPr>
          <w:vertAlign w:val="subscript"/>
        </w:rPr>
        <w:t>cum</w:t>
      </w:r>
      <w:proofErr w:type="spellEnd"/>
      <w:r w:rsidR="00B55A5F" w:rsidRPr="00B7505B">
        <w:t xml:space="preserve">), specifically </w:t>
      </w:r>
      <w:proofErr w:type="spellStart"/>
      <w:r w:rsidRPr="00B7505B">
        <w:t>AUC</w:t>
      </w:r>
      <w:r w:rsidRPr="003F3AB4">
        <w:rPr>
          <w:vertAlign w:val="subscript"/>
        </w:rPr>
        <w:t>cum</w:t>
      </w:r>
      <w:proofErr w:type="spellEnd"/>
      <w:r w:rsidR="00B55A5F" w:rsidRPr="00B7505B">
        <w:t xml:space="preserve"> in </w:t>
      </w:r>
      <w:r w:rsidR="00157E63">
        <w:t>Study</w:t>
      </w:r>
      <w:r w:rsidR="00B55A5F" w:rsidRPr="00B7505B">
        <w:t xml:space="preserve"> LAL-CL02 (where subjects were treated with 1 mg/kg </w:t>
      </w:r>
      <w:proofErr w:type="spellStart"/>
      <w:r w:rsidR="00B55A5F" w:rsidRPr="00B7505B">
        <w:t>sebelipase</w:t>
      </w:r>
      <w:proofErr w:type="spellEnd"/>
      <w:r w:rsidR="00B55A5F" w:rsidRPr="00B7505B">
        <w:t xml:space="preserve"> </w:t>
      </w:r>
      <w:r w:rsidR="00B55A5F" w:rsidRPr="0094262A">
        <w:t xml:space="preserve">alfa </w:t>
      </w:r>
      <w:proofErr w:type="spellStart"/>
      <w:r w:rsidR="00B55A5F" w:rsidRPr="0094262A">
        <w:t>qow</w:t>
      </w:r>
      <w:proofErr w:type="spellEnd"/>
      <w:r w:rsidR="00B55A5F" w:rsidRPr="0094262A">
        <w:t>). No relationships</w:t>
      </w:r>
      <w:r w:rsidR="00B55A5F" w:rsidRPr="00B7505B">
        <w:t xml:space="preserve"> were found between the occurrence of </w:t>
      </w:r>
      <w:r>
        <w:t>infusion associated</w:t>
      </w:r>
      <w:r w:rsidR="00B55A5F" w:rsidRPr="00B7505B">
        <w:t xml:space="preserve"> reactions (IARs) and </w:t>
      </w:r>
      <w:proofErr w:type="spellStart"/>
      <w:r w:rsidRPr="00B7505B">
        <w:t>AUC</w:t>
      </w:r>
      <w:r w:rsidRPr="003F3AB4">
        <w:rPr>
          <w:vertAlign w:val="subscript"/>
        </w:rPr>
        <w:t>cum</w:t>
      </w:r>
      <w:proofErr w:type="spellEnd"/>
      <w:r w:rsidR="00B55A5F" w:rsidRPr="00B7505B">
        <w:t xml:space="preserve">, or between the occurrence of IARs and </w:t>
      </w:r>
      <w:proofErr w:type="spellStart"/>
      <w:r w:rsidR="00B55A5F" w:rsidRPr="00B7505B">
        <w:t>sebelipase</w:t>
      </w:r>
      <w:proofErr w:type="spellEnd"/>
      <w:r w:rsidR="00B55A5F" w:rsidRPr="00B7505B">
        <w:t xml:space="preserve"> alfa dose </w:t>
      </w:r>
      <w:proofErr w:type="gramStart"/>
      <w:r w:rsidR="00B55A5F" w:rsidRPr="00B7505B">
        <w:t>or</w:t>
      </w:r>
      <w:proofErr w:type="gramEnd"/>
      <w:r w:rsidR="00B55A5F" w:rsidRPr="00B7505B">
        <w:t xml:space="preserve"> rate of infusion.</w:t>
      </w:r>
    </w:p>
    <w:p w14:paraId="3394FAFD" w14:textId="77777777" w:rsidR="00B55A5F" w:rsidRPr="00B7505B" w:rsidRDefault="00B55A5F" w:rsidP="00B7505B">
      <w:r w:rsidRPr="00B7505B">
        <w:t xml:space="preserve">The PK-PD analysis results demonstrate consistent PD effects across multiple PD parameters over time with </w:t>
      </w:r>
      <w:proofErr w:type="spellStart"/>
      <w:r w:rsidRPr="00B7505B">
        <w:t>sebelipase</w:t>
      </w:r>
      <w:proofErr w:type="spellEnd"/>
      <w:r w:rsidRPr="00B7505B">
        <w:t xml:space="preserve"> alfa treatment. The strongest </w:t>
      </w:r>
      <w:r w:rsidR="003F3AB4">
        <w:t>exposure response</w:t>
      </w:r>
      <w:r w:rsidRPr="00B7505B">
        <w:t xml:space="preserve"> relationships for all PD measures were observed with </w:t>
      </w:r>
      <w:proofErr w:type="spellStart"/>
      <w:r w:rsidR="003F3AB4" w:rsidRPr="00B7505B">
        <w:t>AUC</w:t>
      </w:r>
      <w:r w:rsidR="003F3AB4" w:rsidRPr="003F3AB4">
        <w:rPr>
          <w:vertAlign w:val="subscript"/>
        </w:rPr>
        <w:t>cum</w:t>
      </w:r>
      <w:proofErr w:type="spellEnd"/>
      <w:r w:rsidRPr="00B7505B">
        <w:t xml:space="preserve">. No relationships were found between infusion associated adverse events and dose, rate of infusion, </w:t>
      </w:r>
      <w:proofErr w:type="spellStart"/>
      <w:r w:rsidR="003F3AB4" w:rsidRPr="00B7505B">
        <w:t>AUC</w:t>
      </w:r>
      <w:r w:rsidR="003F3AB4" w:rsidRPr="003F3AB4">
        <w:rPr>
          <w:vertAlign w:val="subscript"/>
        </w:rPr>
        <w:t>cum</w:t>
      </w:r>
      <w:proofErr w:type="spellEnd"/>
      <w:r w:rsidRPr="00B7505B">
        <w:t>, or age.</w:t>
      </w:r>
    </w:p>
    <w:p w14:paraId="756D8783" w14:textId="77777777" w:rsidR="00B55A5F" w:rsidRPr="00B7505B" w:rsidRDefault="00B55A5F" w:rsidP="00B7505B">
      <w:pPr>
        <w:pStyle w:val="Heading4"/>
      </w:pPr>
      <w:bookmarkStart w:id="162" w:name="_Toc241374304"/>
      <w:bookmarkStart w:id="163" w:name="_Toc272414646"/>
      <w:bookmarkStart w:id="164" w:name="_Toc290888494"/>
      <w:bookmarkStart w:id="165" w:name="_Toc416353691"/>
      <w:bookmarkStart w:id="166" w:name="_Toc421005258"/>
      <w:bookmarkStart w:id="167" w:name="_Toc432079140"/>
      <w:bookmarkStart w:id="168" w:name="_Toc432080713"/>
      <w:bookmarkStart w:id="169" w:name="_Toc468957461"/>
      <w:r w:rsidRPr="00B7505B">
        <w:t xml:space="preserve">Genetic, gender and age related differences in </w:t>
      </w:r>
      <w:proofErr w:type="spellStart"/>
      <w:r w:rsidRPr="00B7505B">
        <w:t>pharmacodynamic</w:t>
      </w:r>
      <w:proofErr w:type="spellEnd"/>
      <w:r w:rsidRPr="00B7505B">
        <w:t xml:space="preserve"> response</w:t>
      </w:r>
      <w:bookmarkEnd w:id="162"/>
      <w:bookmarkEnd w:id="163"/>
      <w:bookmarkEnd w:id="164"/>
      <w:bookmarkEnd w:id="165"/>
      <w:bookmarkEnd w:id="166"/>
      <w:bookmarkEnd w:id="167"/>
      <w:bookmarkEnd w:id="168"/>
      <w:bookmarkEnd w:id="169"/>
    </w:p>
    <w:p w14:paraId="05F490FF" w14:textId="77777777" w:rsidR="00B73619" w:rsidRDefault="00B55A5F" w:rsidP="00B7505B">
      <w:r w:rsidRPr="00B7505B">
        <w:t>Not evaluated</w:t>
      </w:r>
      <w:r w:rsidR="00B73619">
        <w:t>.</w:t>
      </w:r>
    </w:p>
    <w:p w14:paraId="126B4967" w14:textId="77777777" w:rsidR="00B55A5F" w:rsidRPr="00B7505B" w:rsidRDefault="00B55A5F" w:rsidP="00B7505B">
      <w:pPr>
        <w:pStyle w:val="Heading4"/>
      </w:pPr>
      <w:bookmarkStart w:id="170" w:name="_Toc241374303"/>
      <w:bookmarkStart w:id="171" w:name="_Toc272414647"/>
      <w:bookmarkStart w:id="172" w:name="_Toc290888495"/>
      <w:bookmarkStart w:id="173" w:name="_Toc416353692"/>
      <w:bookmarkStart w:id="174" w:name="_Toc421005259"/>
      <w:bookmarkStart w:id="175" w:name="_Toc432079141"/>
      <w:bookmarkStart w:id="176" w:name="_Toc432080714"/>
      <w:bookmarkStart w:id="177" w:name="_Toc468957462"/>
      <w:proofErr w:type="spellStart"/>
      <w:r w:rsidRPr="00B7505B">
        <w:t>Pharmacodynamic</w:t>
      </w:r>
      <w:proofErr w:type="spellEnd"/>
      <w:r w:rsidRPr="00B7505B">
        <w:t xml:space="preserve"> interactions</w:t>
      </w:r>
      <w:bookmarkEnd w:id="170"/>
      <w:bookmarkEnd w:id="171"/>
      <w:bookmarkEnd w:id="172"/>
      <w:bookmarkEnd w:id="173"/>
      <w:bookmarkEnd w:id="174"/>
      <w:bookmarkEnd w:id="175"/>
      <w:bookmarkEnd w:id="176"/>
      <w:bookmarkEnd w:id="177"/>
    </w:p>
    <w:p w14:paraId="38EBA1D3" w14:textId="77777777" w:rsidR="00B55A5F" w:rsidRPr="00B7505B" w:rsidRDefault="00B55A5F" w:rsidP="00B7505B">
      <w:r w:rsidRPr="00B7505B">
        <w:t>Not evaluated.</w:t>
      </w:r>
    </w:p>
    <w:p w14:paraId="42ABF857" w14:textId="77777777" w:rsidR="00B55A5F" w:rsidRPr="00B7505B" w:rsidRDefault="00B55A5F" w:rsidP="00B7505B">
      <w:pPr>
        <w:pStyle w:val="Heading3"/>
      </w:pPr>
      <w:bookmarkStart w:id="178" w:name="_Ref269983272"/>
      <w:bookmarkStart w:id="179" w:name="_Toc272414648"/>
      <w:bookmarkStart w:id="180" w:name="_Toc290888496"/>
      <w:bookmarkStart w:id="181" w:name="_Toc416353693"/>
      <w:bookmarkStart w:id="182" w:name="_Toc421005260"/>
      <w:bookmarkStart w:id="183" w:name="_Toc432079142"/>
      <w:bookmarkStart w:id="184" w:name="_Toc432080715"/>
      <w:bookmarkStart w:id="185" w:name="_Toc468957463"/>
      <w:bookmarkStart w:id="186" w:name="_Toc519670955"/>
      <w:r w:rsidRPr="00B7505B">
        <w:lastRenderedPageBreak/>
        <w:t>Evaluator’s overall conclusions on pharmacodynamics</w:t>
      </w:r>
      <w:bookmarkEnd w:id="178"/>
      <w:bookmarkEnd w:id="179"/>
      <w:bookmarkEnd w:id="180"/>
      <w:bookmarkEnd w:id="181"/>
      <w:bookmarkEnd w:id="182"/>
      <w:bookmarkEnd w:id="183"/>
      <w:bookmarkEnd w:id="184"/>
      <w:bookmarkEnd w:id="185"/>
      <w:bookmarkEnd w:id="186"/>
    </w:p>
    <w:p w14:paraId="5A62EF88" w14:textId="07634F33" w:rsidR="00B55A5F" w:rsidRPr="00B7505B" w:rsidRDefault="001B7A56" w:rsidP="00B7505B">
      <w:proofErr w:type="spellStart"/>
      <w:r w:rsidRPr="00B7505B">
        <w:t>Sebelipase</w:t>
      </w:r>
      <w:proofErr w:type="spellEnd"/>
      <w:r w:rsidRPr="00B7505B">
        <w:t xml:space="preserve"> alfa binds to cell surface receptors via </w:t>
      </w:r>
      <w:proofErr w:type="spellStart"/>
      <w:r w:rsidRPr="00B7505B">
        <w:t>glycans</w:t>
      </w:r>
      <w:proofErr w:type="spellEnd"/>
      <w:r w:rsidRPr="00B7505B">
        <w:t xml:space="preserve"> expressed on the protein and is subsequently internali</w:t>
      </w:r>
      <w:r>
        <w:t>s</w:t>
      </w:r>
      <w:r w:rsidRPr="00B7505B">
        <w:t xml:space="preserve">ed into lysosomes. </w:t>
      </w:r>
      <w:proofErr w:type="gramStart"/>
      <w:r w:rsidR="00B55A5F" w:rsidRPr="00B7505B">
        <w:t>It catalyses the lysosomal hydrolysis of cholesteryl esters and triglycerides to free cholesterol, glycerol and free fatty acids.</w:t>
      </w:r>
      <w:proofErr w:type="gramEnd"/>
      <w:r w:rsidR="00B55A5F" w:rsidRPr="00B7505B">
        <w:t xml:space="preserve"> Replacement of LAL enzyme activity leads to reductions in liver fat content and transaminases, and enables metabolism of cholesteryl esters and triglycerides in the lysosom</w:t>
      </w:r>
      <w:r w:rsidR="003F3AB4">
        <w:t>e, leading to reductions in LDL</w:t>
      </w:r>
      <w:r w:rsidR="003F3AB4">
        <w:noBreakHyphen/>
      </w:r>
      <w:r w:rsidR="00B55A5F" w:rsidRPr="00B7505B">
        <w:t>c, non-HDL-c, and triglycerides, and increases in HDL-c. Improvement in growth occurs as a result of substrate reduction in the intestine.</w:t>
      </w:r>
    </w:p>
    <w:p w14:paraId="208C0AA7" w14:textId="77777777" w:rsidR="00B73619" w:rsidRDefault="00B55A5F" w:rsidP="00B7505B">
      <w:r w:rsidRPr="00B7505B">
        <w:t xml:space="preserve">In clinical trials, after initiation of dosing with </w:t>
      </w:r>
      <w:proofErr w:type="spellStart"/>
      <w:r w:rsidRPr="00B7505B">
        <w:t>sebelipase</w:t>
      </w:r>
      <w:proofErr w:type="spellEnd"/>
      <w:r w:rsidRPr="00B7505B">
        <w:t xml:space="preserve"> alfa, breakdown of accumulated lysosomal lipid led to initial increases in LDL-c and triglycerides within the first 2 to 4 weeks of treatment. In general, following increases in LDL-c and triglycerides, these parameters decreased to below pre-treatment values within 8 weeks of treatment with </w:t>
      </w:r>
      <w:proofErr w:type="spellStart"/>
      <w:r w:rsidRPr="00B7505B">
        <w:t>sebelipase</w:t>
      </w:r>
      <w:proofErr w:type="spellEnd"/>
      <w:r w:rsidRPr="00B7505B">
        <w:t xml:space="preserve"> alfa</w:t>
      </w:r>
      <w:r w:rsidR="00B73619">
        <w:t>.</w:t>
      </w:r>
    </w:p>
    <w:p w14:paraId="37815EC4" w14:textId="7ABDC7C4" w:rsidR="00B73619" w:rsidRDefault="00B55A5F" w:rsidP="00B7505B">
      <w:r w:rsidRPr="00B7505B">
        <w:t xml:space="preserve">In all patients with elevated alanine aminotransferase (ALT) values at </w:t>
      </w:r>
      <w:r w:rsidR="00DB482A">
        <w:t>B</w:t>
      </w:r>
      <w:r w:rsidR="00DB482A" w:rsidRPr="00B7505B">
        <w:t xml:space="preserve">aseline </w:t>
      </w:r>
      <w:r w:rsidRPr="00B7505B">
        <w:t>(82 of 84</w:t>
      </w:r>
      <w:r w:rsidR="00DB482A">
        <w:t> </w:t>
      </w:r>
      <w:r w:rsidRPr="00B7505B">
        <w:t xml:space="preserve">patients in clinical trials), reductions in ALT values were observed, generally within 2 weeks after initiation of treatment with </w:t>
      </w:r>
      <w:proofErr w:type="spellStart"/>
      <w:r w:rsidRPr="00B7505B">
        <w:t>sebelipase</w:t>
      </w:r>
      <w:proofErr w:type="spellEnd"/>
      <w:r w:rsidRPr="00B7505B">
        <w:t xml:space="preserve"> alfa. Treatment interruption resulted in increases in LDL-c and ALT values and decreases in HDL-c</w:t>
      </w:r>
      <w:r w:rsidR="00B73619">
        <w:t>.</w:t>
      </w:r>
    </w:p>
    <w:p w14:paraId="791D6495" w14:textId="77777777" w:rsidR="00B55A5F" w:rsidRPr="00B7505B" w:rsidRDefault="00B55A5F" w:rsidP="00B7505B">
      <w:r w:rsidRPr="00B7505B">
        <w:t xml:space="preserve">Though there is a risk of immunogenicity with any ERT, the overall rate of immunogenicity in studies with </w:t>
      </w:r>
      <w:proofErr w:type="spellStart"/>
      <w:r w:rsidRPr="00B7505B">
        <w:t>sebelipase</w:t>
      </w:r>
      <w:proofErr w:type="spellEnd"/>
      <w:r w:rsidRPr="00B7505B">
        <w:t xml:space="preserve"> alfa appears low. Subjects who tested positive for ADAs were evaluated for </w:t>
      </w:r>
      <w:proofErr w:type="spellStart"/>
      <w:r w:rsidRPr="00B7505B">
        <w:t>sebelipase</w:t>
      </w:r>
      <w:proofErr w:type="spellEnd"/>
      <w:r w:rsidRPr="00B7505B">
        <w:t xml:space="preserve"> alfa neutralising antibodies by measuring LAL enzyme activity and the cellular uptake of LAL. The population PK analysis of </w:t>
      </w:r>
      <w:proofErr w:type="spellStart"/>
      <w:r w:rsidRPr="00B7505B">
        <w:t>sebelipase</w:t>
      </w:r>
      <w:proofErr w:type="spellEnd"/>
      <w:r w:rsidRPr="00B7505B">
        <w:t xml:space="preserve"> alfa revealed no relevant effect of ADA positivity on the exposure to </w:t>
      </w:r>
      <w:proofErr w:type="spellStart"/>
      <w:r w:rsidRPr="00B7505B">
        <w:t>sebelipase</w:t>
      </w:r>
      <w:proofErr w:type="spellEnd"/>
      <w:r w:rsidRPr="00B7505B">
        <w:t xml:space="preserve"> alfa. The incidence of ADA positivity was higher in infants compared with children and adults. No evidence of any impact of ADAs on efficacy parameters was observed in children or adults, and although some potential impact on efficacy was observed in one infant positive for ADAs, the contribution of the ADA to the relative slowing of weight gain in this infant was not definitively established (as there were multiple concurrent confounding medical factors that also could impact weight gain and growth).</w:t>
      </w:r>
    </w:p>
    <w:p w14:paraId="77A8B118" w14:textId="77777777" w:rsidR="00586F98" w:rsidRDefault="00C22678" w:rsidP="00586F98">
      <w:pPr>
        <w:pStyle w:val="Heading2"/>
      </w:pPr>
      <w:bookmarkStart w:id="187" w:name="_Toc519670956"/>
      <w:r>
        <w:t>Dosage selection for the pivotal studies</w:t>
      </w:r>
      <w:bookmarkEnd w:id="187"/>
    </w:p>
    <w:p w14:paraId="1D9EE76C" w14:textId="77777777" w:rsidR="00B7505B" w:rsidRPr="00B7505B" w:rsidRDefault="00B7505B" w:rsidP="00B7505B">
      <w:pPr>
        <w:pStyle w:val="Heading3"/>
      </w:pPr>
      <w:bookmarkStart w:id="188" w:name="_Toc416353695"/>
      <w:bookmarkStart w:id="189" w:name="_Toc421005262"/>
      <w:bookmarkStart w:id="190" w:name="_Toc432079144"/>
      <w:bookmarkStart w:id="191" w:name="_Toc432080717"/>
      <w:bookmarkStart w:id="192" w:name="_Toc468957465"/>
      <w:bookmarkStart w:id="193" w:name="_Toc519670957"/>
      <w:r w:rsidRPr="00B7505B">
        <w:t>Pharmacokinetics and pharmacodynamics: dose finding studies</w:t>
      </w:r>
      <w:bookmarkEnd w:id="188"/>
      <w:bookmarkEnd w:id="189"/>
      <w:bookmarkEnd w:id="190"/>
      <w:bookmarkEnd w:id="191"/>
      <w:bookmarkEnd w:id="192"/>
      <w:bookmarkEnd w:id="193"/>
    </w:p>
    <w:p w14:paraId="7420DDE4" w14:textId="77777777" w:rsidR="00B7505B" w:rsidRPr="00B7505B" w:rsidRDefault="00B7505B" w:rsidP="00B7505B">
      <w:r w:rsidRPr="00B7505B">
        <w:t xml:space="preserve">LAL-CL01 was the first </w:t>
      </w:r>
      <w:r w:rsidR="00C4359A">
        <w:t>study</w:t>
      </w:r>
      <w:r w:rsidRPr="00B7505B">
        <w:t xml:space="preserve"> investigating </w:t>
      </w:r>
      <w:proofErr w:type="spellStart"/>
      <w:r w:rsidRPr="00B7505B">
        <w:t>sebelipase</w:t>
      </w:r>
      <w:proofErr w:type="spellEnd"/>
      <w:r w:rsidRPr="00B7505B">
        <w:t xml:space="preserve"> alfa in human subjects. The doses of </w:t>
      </w:r>
      <w:proofErr w:type="spellStart"/>
      <w:r w:rsidRPr="00B7505B">
        <w:t>sebelipase</w:t>
      </w:r>
      <w:proofErr w:type="spellEnd"/>
      <w:r w:rsidRPr="00B7505B">
        <w:t xml:space="preserve"> alfa investigated in the Phase </w:t>
      </w:r>
      <w:r w:rsidR="003F3AB4">
        <w:t xml:space="preserve">I/II </w:t>
      </w:r>
      <w:r w:rsidRPr="00B7505B">
        <w:t xml:space="preserve">PK-PD </w:t>
      </w:r>
      <w:r w:rsidR="00157E63">
        <w:t>Study</w:t>
      </w:r>
      <w:r w:rsidRPr="00B7505B">
        <w:t xml:space="preserve"> LAL-CL01 were anticipated to be safe and well tolerated in the absence of prior human data based upon the following non-clinical data:</w:t>
      </w:r>
    </w:p>
    <w:p w14:paraId="2BED74DB" w14:textId="77777777" w:rsidR="00B7505B" w:rsidRPr="00B7505B" w:rsidRDefault="00B7505B" w:rsidP="003F3AB4">
      <w:pPr>
        <w:pStyle w:val="ListBullet"/>
      </w:pPr>
      <w:r w:rsidRPr="00B7505B">
        <w:t>The IMP has an amino acid sequence identical to the natural enzyme with no engineering of enhancements in biological activity. Knowledge of the biochemistry of LAL Deficiency and the mode of action of SBC-102 did not raise concerns for unexpected toxicity in humans.</w:t>
      </w:r>
    </w:p>
    <w:p w14:paraId="4FA8C74E" w14:textId="5DA59AE5" w:rsidR="00B73619" w:rsidRDefault="00B7505B" w:rsidP="003F3AB4">
      <w:pPr>
        <w:pStyle w:val="ListBullet"/>
      </w:pPr>
      <w:r w:rsidRPr="00B7505B">
        <w:t xml:space="preserve">There were no meaningful toxicological findings in </w:t>
      </w:r>
      <w:r w:rsidR="00905BF2">
        <w:t xml:space="preserve">4 week </w:t>
      </w:r>
      <w:r w:rsidRPr="00B7505B">
        <w:t xml:space="preserve">repeated dose toxicology studies in the Sprague-Dawley rat and </w:t>
      </w:r>
      <w:proofErr w:type="spellStart"/>
      <w:r w:rsidR="00597D5A">
        <w:t>c</w:t>
      </w:r>
      <w:r w:rsidRPr="00B7505B">
        <w:t>ynomolgus</w:t>
      </w:r>
      <w:proofErr w:type="spellEnd"/>
      <w:r w:rsidRPr="00B7505B">
        <w:t xml:space="preserve"> monkey at doses up to 50 mg/kg</w:t>
      </w:r>
      <w:r w:rsidR="00B73619">
        <w:t>.</w:t>
      </w:r>
    </w:p>
    <w:p w14:paraId="18F2DBB2" w14:textId="408DF5A9" w:rsidR="00B7505B" w:rsidRPr="00B7505B" w:rsidRDefault="00B7505B" w:rsidP="003F3AB4">
      <w:pPr>
        <w:pStyle w:val="ListBullet"/>
      </w:pPr>
      <w:r w:rsidRPr="00B7505B">
        <w:t xml:space="preserve">Based on the human equivalent doses in rats (8.1 mg/kg) and monkeys (16.1 mg/kg), the starting dose in the current </w:t>
      </w:r>
      <w:r w:rsidR="00C4359A">
        <w:t>study</w:t>
      </w:r>
      <w:r w:rsidRPr="00B7505B">
        <w:t xml:space="preserve"> </w:t>
      </w:r>
      <w:r w:rsidR="003F3AB4">
        <w:t>(0.35 mg/kg) represented a 23.1</w:t>
      </w:r>
      <w:r w:rsidRPr="00B7505B">
        <w:t xml:space="preserve"> to 46.0</w:t>
      </w:r>
      <w:r w:rsidR="00905BF2">
        <w:t xml:space="preserve"> fold</w:t>
      </w:r>
      <w:r w:rsidRPr="00B7505B">
        <w:t xml:space="preserve"> safety margin, while the proposed top d</w:t>
      </w:r>
      <w:r w:rsidR="003F3AB4">
        <w:t>ose (3 mg/kg) represented a 2.7</w:t>
      </w:r>
      <w:r w:rsidRPr="00B7505B">
        <w:t xml:space="preserve"> to 5.4</w:t>
      </w:r>
      <w:r w:rsidR="00905BF2">
        <w:t xml:space="preserve"> fold</w:t>
      </w:r>
      <w:r w:rsidRPr="00B7505B">
        <w:t xml:space="preserve"> safety margin. Additionally, the </w:t>
      </w:r>
      <w:proofErr w:type="spellStart"/>
      <w:r w:rsidRPr="00FE3465">
        <w:t>qw</w:t>
      </w:r>
      <w:proofErr w:type="spellEnd"/>
      <w:r w:rsidRPr="00B7505B">
        <w:t xml:space="preserve"> administration of SBC-102 for 6 months was </w:t>
      </w:r>
      <w:r w:rsidR="003F3AB4">
        <w:t>well tolerated</w:t>
      </w:r>
      <w:r w:rsidRPr="00B7505B">
        <w:t xml:space="preserve"> in the </w:t>
      </w:r>
      <w:proofErr w:type="spellStart"/>
      <w:r w:rsidR="00597D5A">
        <w:t>c</w:t>
      </w:r>
      <w:r w:rsidRPr="00B7505B">
        <w:t>ynomolgus</w:t>
      </w:r>
      <w:proofErr w:type="spellEnd"/>
      <w:r w:rsidRPr="00B7505B">
        <w:t xml:space="preserve"> monkey </w:t>
      </w:r>
      <w:r w:rsidR="003F3AB4">
        <w:t>at the high dose level of 30 mg/</w:t>
      </w:r>
      <w:r w:rsidRPr="00B7505B">
        <w:t>kg</w:t>
      </w:r>
      <w:r w:rsidR="003F3AB4">
        <w:t xml:space="preserve"> (human equivalent dose</w:t>
      </w:r>
      <w:r w:rsidR="00597D5A">
        <w:t> </w:t>
      </w:r>
      <w:r w:rsidR="002D28A4">
        <w:t>=</w:t>
      </w:r>
      <w:r w:rsidR="00597D5A">
        <w:t> </w:t>
      </w:r>
      <w:r w:rsidR="003F3AB4">
        <w:t>9.7</w:t>
      </w:r>
      <w:r w:rsidR="00597D5A">
        <w:t> </w:t>
      </w:r>
      <w:r w:rsidRPr="00B7505B">
        <w:t>mg/kg).</w:t>
      </w:r>
    </w:p>
    <w:p w14:paraId="37E305C5" w14:textId="77777777" w:rsidR="00B73619" w:rsidRDefault="003F3AB4" w:rsidP="003F3AB4">
      <w:pPr>
        <w:pStyle w:val="ListBullet"/>
      </w:pPr>
      <w:r>
        <w:t>I</w:t>
      </w:r>
      <w:r w:rsidR="00B7505B" w:rsidRPr="00B7505B">
        <w:t xml:space="preserve">n a </w:t>
      </w:r>
      <w:r w:rsidR="00905BF2">
        <w:t xml:space="preserve">4 week </w:t>
      </w:r>
      <w:r w:rsidR="00C4359A">
        <w:t>study</w:t>
      </w:r>
      <w:r w:rsidR="00B7505B" w:rsidRPr="00B7505B">
        <w:t xml:space="preserve"> using a nonclinical model of LAL Deficiency, the minimum effective dose of </w:t>
      </w:r>
      <w:proofErr w:type="spellStart"/>
      <w:r w:rsidR="00B7505B" w:rsidRPr="00B7505B">
        <w:t>sebelipase</w:t>
      </w:r>
      <w:proofErr w:type="spellEnd"/>
      <w:r w:rsidR="00B7505B" w:rsidRPr="00B7505B">
        <w:t xml:space="preserve"> alfa was 0.35 mg/</w:t>
      </w:r>
      <w:r w:rsidR="00B7505B" w:rsidRPr="00FE3465">
        <w:t xml:space="preserve">kg </w:t>
      </w:r>
      <w:proofErr w:type="spellStart"/>
      <w:r w:rsidR="00B7505B" w:rsidRPr="00FE3465">
        <w:t>qw</w:t>
      </w:r>
      <w:proofErr w:type="spellEnd"/>
      <w:r w:rsidR="00B7505B" w:rsidRPr="00B7505B">
        <w:t xml:space="preserve">, and the PD effects were generally comparable to </w:t>
      </w:r>
      <w:r w:rsidR="00B7505B" w:rsidRPr="00B7505B">
        <w:lastRenderedPageBreak/>
        <w:t>those observed at a dose of 1 mg/</w:t>
      </w:r>
      <w:r w:rsidR="00B7505B" w:rsidRPr="00FE3465">
        <w:t xml:space="preserve">kg </w:t>
      </w:r>
      <w:proofErr w:type="spellStart"/>
      <w:r w:rsidR="00B7505B" w:rsidRPr="00FE3465">
        <w:t>qow</w:t>
      </w:r>
      <w:proofErr w:type="spellEnd"/>
      <w:r w:rsidR="00B7505B" w:rsidRPr="00FE3465">
        <w:t>;</w:t>
      </w:r>
      <w:r w:rsidR="00B7505B" w:rsidRPr="00B7505B">
        <w:t xml:space="preserve"> suggesting that </w:t>
      </w:r>
      <w:r w:rsidR="00B7505B" w:rsidRPr="00FE3465">
        <w:t xml:space="preserve">a </w:t>
      </w:r>
      <w:proofErr w:type="spellStart"/>
      <w:r w:rsidR="00B7505B" w:rsidRPr="00FE3465">
        <w:t>qow</w:t>
      </w:r>
      <w:proofErr w:type="spellEnd"/>
      <w:r w:rsidR="00B7505B" w:rsidRPr="00FE3465">
        <w:t xml:space="preserve"> dose</w:t>
      </w:r>
      <w:r w:rsidR="00B7505B" w:rsidRPr="00B7505B">
        <w:t xml:space="preserve"> of less than 1 mg/kg would have a decreased probability of demonstrating efficacy</w:t>
      </w:r>
      <w:r w:rsidR="00B73619">
        <w:t>.</w:t>
      </w:r>
    </w:p>
    <w:p w14:paraId="1B6122B2" w14:textId="77777777" w:rsidR="00B73619" w:rsidRDefault="00B7505B" w:rsidP="003F3AB4">
      <w:pPr>
        <w:pStyle w:val="ListBullet"/>
      </w:pPr>
      <w:r w:rsidRPr="00B7505B">
        <w:t xml:space="preserve">In a nonclinical model of LAL Deficiency, the PD effects of </w:t>
      </w:r>
      <w:proofErr w:type="spellStart"/>
      <w:r w:rsidRPr="00B7505B">
        <w:t>sebelipase</w:t>
      </w:r>
      <w:proofErr w:type="spellEnd"/>
      <w:r w:rsidRPr="00B7505B">
        <w:t xml:space="preserve"> alfa were broadly comparable at the 2 highest </w:t>
      </w:r>
      <w:proofErr w:type="spellStart"/>
      <w:r w:rsidRPr="00B7505B">
        <w:t>qw</w:t>
      </w:r>
      <w:proofErr w:type="spellEnd"/>
      <w:r w:rsidRPr="00B7505B">
        <w:t xml:space="preserve"> dosing regimens (3 mg/</w:t>
      </w:r>
      <w:r w:rsidR="00D96127">
        <w:t xml:space="preserve">kg </w:t>
      </w:r>
      <w:proofErr w:type="spellStart"/>
      <w:r w:rsidR="00D96127">
        <w:t>qw</w:t>
      </w:r>
      <w:proofErr w:type="spellEnd"/>
      <w:r w:rsidR="00D96127">
        <w:t xml:space="preserve"> and 5 mg/kg </w:t>
      </w:r>
      <w:proofErr w:type="spellStart"/>
      <w:r w:rsidR="00D96127">
        <w:t>qw</w:t>
      </w:r>
      <w:proofErr w:type="spellEnd"/>
      <w:r w:rsidR="00D96127">
        <w:t>) and the 2 </w:t>
      </w:r>
      <w:r w:rsidRPr="00B7505B">
        <w:t xml:space="preserve">highest </w:t>
      </w:r>
      <w:proofErr w:type="spellStart"/>
      <w:r w:rsidRPr="00B7505B">
        <w:t>qow</w:t>
      </w:r>
      <w:proofErr w:type="spellEnd"/>
      <w:r w:rsidRPr="00B7505B">
        <w:t xml:space="preserve"> dosing regimens (3 mg/kg </w:t>
      </w:r>
      <w:proofErr w:type="spellStart"/>
      <w:r w:rsidRPr="00B7505B">
        <w:t>qow</w:t>
      </w:r>
      <w:proofErr w:type="spellEnd"/>
      <w:r w:rsidRPr="00B7505B">
        <w:t xml:space="preserve"> and 5 mg/kg </w:t>
      </w:r>
      <w:proofErr w:type="spellStart"/>
      <w:r w:rsidRPr="00B7505B">
        <w:t>qow</w:t>
      </w:r>
      <w:proofErr w:type="spellEnd"/>
      <w:r w:rsidRPr="00B7505B">
        <w:t xml:space="preserve">) studied. These data indicated that 3 mg/kg would be a maximally effective dose with both </w:t>
      </w:r>
      <w:proofErr w:type="spellStart"/>
      <w:r w:rsidRPr="00B7505B">
        <w:t>qw</w:t>
      </w:r>
      <w:proofErr w:type="spellEnd"/>
      <w:r w:rsidRPr="00B7505B">
        <w:t xml:space="preserve"> and </w:t>
      </w:r>
      <w:proofErr w:type="spellStart"/>
      <w:r w:rsidRPr="00B7505B">
        <w:t>qow</w:t>
      </w:r>
      <w:proofErr w:type="spellEnd"/>
      <w:r w:rsidRPr="00B7505B">
        <w:t xml:space="preserve"> administration</w:t>
      </w:r>
      <w:r w:rsidR="00B73619">
        <w:t>.</w:t>
      </w:r>
    </w:p>
    <w:p w14:paraId="787CCF1E" w14:textId="77777777" w:rsidR="00B7505B" w:rsidRPr="00B7505B" w:rsidRDefault="00B7505B" w:rsidP="003F3AB4">
      <w:pPr>
        <w:pStyle w:val="ListBullet"/>
      </w:pPr>
      <w:r w:rsidRPr="00B7505B">
        <w:t xml:space="preserve">In a nonclinical model of LAL Deficiency, dose response analysis demonstrated that good reductions in substrate in the liver and spleen (organs where substrate accumulation and pathology are most prominent in children and adults with LAL Deficiency) could be achieved with doses ≥ </w:t>
      </w:r>
      <w:r w:rsidR="00131B1C">
        <w:t>1 mg</w:t>
      </w:r>
      <w:r w:rsidRPr="00B7505B">
        <w:t xml:space="preserve">/kg </w:t>
      </w:r>
      <w:proofErr w:type="spellStart"/>
      <w:r w:rsidRPr="00FE3465">
        <w:t>qow</w:t>
      </w:r>
      <w:proofErr w:type="spellEnd"/>
      <w:r w:rsidRPr="00FE3465">
        <w:t>.</w:t>
      </w:r>
    </w:p>
    <w:p w14:paraId="6722A489" w14:textId="21162039" w:rsidR="00B7505B" w:rsidRPr="00B7505B" w:rsidRDefault="00B7505B" w:rsidP="003F3AB4">
      <w:pPr>
        <w:pStyle w:val="ListBullet"/>
      </w:pPr>
      <w:r w:rsidRPr="00B7505B">
        <w:t xml:space="preserve">In </w:t>
      </w:r>
      <w:r w:rsidR="001B7A56" w:rsidRPr="00B7505B">
        <w:t>general,</w:t>
      </w:r>
      <w:r w:rsidRPr="00B7505B">
        <w:t xml:space="preserve"> for LSDs, the enzymatic activities and mechanisms for lysosomal targeting are conserved across species. Toxicological studies of this class of therapy consistently demonstrate low systemic toxicity (Andrews and O’Callaghan, 2008).</w:t>
      </w:r>
    </w:p>
    <w:p w14:paraId="370F18AD" w14:textId="52706CDB" w:rsidR="00B73619" w:rsidRDefault="00B7505B" w:rsidP="00B7505B">
      <w:r w:rsidRPr="00B7505B">
        <w:t xml:space="preserve">In the </w:t>
      </w:r>
      <w:r w:rsidR="00905BF2">
        <w:t>Phase I/II</w:t>
      </w:r>
      <w:r w:rsidRPr="00B7505B">
        <w:t xml:space="preserve"> </w:t>
      </w:r>
      <w:r w:rsidR="00597D5A">
        <w:t>S</w:t>
      </w:r>
      <w:r w:rsidR="00C4359A">
        <w:t>tudy</w:t>
      </w:r>
      <w:r w:rsidRPr="00B7505B">
        <w:t xml:space="preserve"> LAL-CL01, adults were treated with 0.35, 1, and 3 mg/kg </w:t>
      </w:r>
      <w:proofErr w:type="spellStart"/>
      <w:r w:rsidRPr="00B7505B">
        <w:t>sebelipase</w:t>
      </w:r>
      <w:proofErr w:type="spellEnd"/>
      <w:r w:rsidRPr="00B7505B">
        <w:t xml:space="preserve"> alfa administered </w:t>
      </w:r>
      <w:proofErr w:type="spellStart"/>
      <w:r w:rsidRPr="00B7505B">
        <w:t>qw</w:t>
      </w:r>
      <w:proofErr w:type="spellEnd"/>
      <w:r w:rsidRPr="00B7505B">
        <w:t xml:space="preserve"> for 4 weeks. </w:t>
      </w:r>
      <w:r w:rsidR="00FE3465" w:rsidRPr="00B7505B">
        <w:t>Subjects,</w:t>
      </w:r>
      <w:r w:rsidRPr="00B7505B">
        <w:t xml:space="preserve"> who participated in the ongoing extension </w:t>
      </w:r>
      <w:r w:rsidR="00597D5A">
        <w:t>S</w:t>
      </w:r>
      <w:r w:rsidR="00C4359A">
        <w:t>tudy</w:t>
      </w:r>
      <w:r w:rsidRPr="00B7505B">
        <w:t xml:space="preserve"> LAL</w:t>
      </w:r>
      <w:r w:rsidR="00FE3465">
        <w:noBreakHyphen/>
      </w:r>
      <w:r w:rsidRPr="00B7505B">
        <w:t xml:space="preserve">CL04, repeated these 4 </w:t>
      </w:r>
      <w:proofErr w:type="spellStart"/>
      <w:r w:rsidRPr="00B7505B">
        <w:t>qw</w:t>
      </w:r>
      <w:proofErr w:type="spellEnd"/>
      <w:r w:rsidRPr="00B7505B">
        <w:t xml:space="preserve"> doses at 0.35, 1, and 3 mg/kg and then transitioned to a </w:t>
      </w:r>
      <w:proofErr w:type="spellStart"/>
      <w:r w:rsidRPr="00B7505B">
        <w:t>qow</w:t>
      </w:r>
      <w:proofErr w:type="spellEnd"/>
      <w:r w:rsidRPr="00B7505B">
        <w:t xml:space="preserve"> dosing regimen (1 or 3 mg/kg). Given the requirement for </w:t>
      </w:r>
      <w:r w:rsidR="008F6668">
        <w:t>long term</w:t>
      </w:r>
      <w:r w:rsidRPr="00B7505B">
        <w:t xml:space="preserve"> dosing, reducing the frequency of infusions to </w:t>
      </w:r>
      <w:proofErr w:type="spellStart"/>
      <w:r w:rsidRPr="00B7505B">
        <w:t>qow</w:t>
      </w:r>
      <w:proofErr w:type="spellEnd"/>
      <w:r w:rsidRPr="00B7505B">
        <w:t xml:space="preserve"> was considered desirable to reduce the burden of treatment on subjects with LAL </w:t>
      </w:r>
      <w:r w:rsidR="00597D5A">
        <w:t>d</w:t>
      </w:r>
      <w:r w:rsidRPr="00B7505B">
        <w:t>eficiency</w:t>
      </w:r>
      <w:r w:rsidR="00B73619">
        <w:t>.</w:t>
      </w:r>
    </w:p>
    <w:p w14:paraId="593276D1" w14:textId="77777777" w:rsidR="00B73619" w:rsidRDefault="00B7505B" w:rsidP="00B7505B">
      <w:r w:rsidRPr="00B7505B">
        <w:t xml:space="preserve">All 3 doses (0.35, 1, and 3 mg/kg) of </w:t>
      </w:r>
      <w:proofErr w:type="spellStart"/>
      <w:r w:rsidRPr="00B7505B">
        <w:t>sebelipase</w:t>
      </w:r>
      <w:proofErr w:type="spellEnd"/>
      <w:r w:rsidRPr="00B7505B">
        <w:t xml:space="preserve"> alfa administered for 4 weeks with </w:t>
      </w:r>
      <w:proofErr w:type="spellStart"/>
      <w:r w:rsidRPr="00B7505B">
        <w:t>qw</w:t>
      </w:r>
      <w:proofErr w:type="spellEnd"/>
      <w:r w:rsidRPr="00B7505B">
        <w:t xml:space="preserve"> dosing in </w:t>
      </w:r>
      <w:r w:rsidR="00157E63">
        <w:t>Study</w:t>
      </w:r>
      <w:r w:rsidRPr="00B7505B">
        <w:t xml:space="preserve"> LAL-CL01 were shown to be biologically active, as evidenced by decreases in ALT and AST and increases in serum lipids (total cholesterol, triglycerides, and LDL-c). These improvements in liver biochemical parameters and serum lipids were observed within 2 and 4 weeks, respectively, and were reversible following discontinuation of </w:t>
      </w:r>
      <w:proofErr w:type="spellStart"/>
      <w:r w:rsidRPr="00B7505B">
        <w:t>sebelipase</w:t>
      </w:r>
      <w:proofErr w:type="spellEnd"/>
      <w:r w:rsidRPr="00B7505B">
        <w:t xml:space="preserve"> alfa therapy. Though the effects on serum lipids appeared more pronounced in the 3 mg/kg dose cohort, evidence is not conclusive as only 3 subjects received 3 mg/kg </w:t>
      </w:r>
      <w:proofErr w:type="spellStart"/>
      <w:r w:rsidRPr="00B7505B">
        <w:t>sebelipase</w:t>
      </w:r>
      <w:proofErr w:type="spellEnd"/>
      <w:r w:rsidRPr="00B7505B">
        <w:t xml:space="preserve"> alfa; furthermore, effects on ALT and AST appeared to be independent of dose</w:t>
      </w:r>
      <w:r w:rsidR="00B73619">
        <w:t>.</w:t>
      </w:r>
    </w:p>
    <w:p w14:paraId="00052531" w14:textId="77777777" w:rsidR="00B73619" w:rsidRDefault="00B7505B" w:rsidP="00B7505B">
      <w:r w:rsidRPr="00B7505B">
        <w:t xml:space="preserve">When </w:t>
      </w:r>
      <w:proofErr w:type="spellStart"/>
      <w:r w:rsidRPr="00B7505B">
        <w:t>sebelipase</w:t>
      </w:r>
      <w:proofErr w:type="spellEnd"/>
      <w:r w:rsidRPr="00B7505B">
        <w:t xml:space="preserve"> alfa treatment was discontinued in </w:t>
      </w:r>
      <w:r w:rsidR="00157E63">
        <w:t>Study</w:t>
      </w:r>
      <w:r w:rsidRPr="00B7505B">
        <w:t xml:space="preserve"> LAL-CL01, the initial PD response to treatment was reversed until treatment was recommenced in </w:t>
      </w:r>
      <w:r w:rsidR="00157E63">
        <w:t>Study</w:t>
      </w:r>
      <w:r w:rsidRPr="00B7505B">
        <w:t xml:space="preserve"> LAL-CL04, demonstrating the importance of continued </w:t>
      </w:r>
      <w:proofErr w:type="spellStart"/>
      <w:r w:rsidRPr="00B7505B">
        <w:t>sebelipase</w:t>
      </w:r>
      <w:proofErr w:type="spellEnd"/>
      <w:r w:rsidRPr="00B7505B">
        <w:t xml:space="preserve"> alfa treatment for maintaining efficacy in terms of correcting dyslipidaemia and maintaining normal liver function. The time course of the reversibility of the PD response after ceasing treatment in </w:t>
      </w:r>
      <w:r w:rsidR="00157E63">
        <w:t>Study</w:t>
      </w:r>
      <w:r w:rsidRPr="00B7505B">
        <w:t xml:space="preserve"> LAL-CL01 supported consideration of either </w:t>
      </w:r>
      <w:proofErr w:type="spellStart"/>
      <w:r w:rsidRPr="00B7505B">
        <w:t>qw</w:t>
      </w:r>
      <w:proofErr w:type="spellEnd"/>
      <w:r w:rsidRPr="00B7505B">
        <w:t xml:space="preserve"> or </w:t>
      </w:r>
      <w:proofErr w:type="spellStart"/>
      <w:r w:rsidRPr="00B7505B">
        <w:t>qow</w:t>
      </w:r>
      <w:proofErr w:type="spellEnd"/>
      <w:r w:rsidRPr="00B7505B">
        <w:t xml:space="preserve"> dosing, and improvements in dyslipidaemia and liver function were maintained when subjects were switched from </w:t>
      </w:r>
      <w:proofErr w:type="spellStart"/>
      <w:r w:rsidRPr="00B7505B">
        <w:t>qw</w:t>
      </w:r>
      <w:proofErr w:type="spellEnd"/>
      <w:r w:rsidRPr="00B7505B">
        <w:t xml:space="preserve"> to </w:t>
      </w:r>
      <w:proofErr w:type="spellStart"/>
      <w:r w:rsidRPr="00B7505B">
        <w:t>qow</w:t>
      </w:r>
      <w:proofErr w:type="spellEnd"/>
      <w:r w:rsidRPr="00B7505B">
        <w:t xml:space="preserve"> dosing in </w:t>
      </w:r>
      <w:r w:rsidR="00157E63">
        <w:t>Study</w:t>
      </w:r>
      <w:r w:rsidR="00D96127">
        <w:t> LAL</w:t>
      </w:r>
      <w:r w:rsidR="00D96127">
        <w:noBreakHyphen/>
      </w:r>
      <w:r w:rsidRPr="00B7505B">
        <w:t xml:space="preserve">CL04. During the initial 4 weeks of </w:t>
      </w:r>
      <w:proofErr w:type="spellStart"/>
      <w:r w:rsidRPr="00B7505B">
        <w:t>qw</w:t>
      </w:r>
      <w:proofErr w:type="spellEnd"/>
      <w:r w:rsidRPr="00B7505B">
        <w:t xml:space="preserve"> dosing in </w:t>
      </w:r>
      <w:r w:rsidR="00157E63">
        <w:t>Study</w:t>
      </w:r>
      <w:r w:rsidRPr="00B7505B">
        <w:t xml:space="preserve"> LAL-CL04, the improvements on serum biochemical markers observed in </w:t>
      </w:r>
      <w:r w:rsidR="00157E63">
        <w:t>Study</w:t>
      </w:r>
      <w:r w:rsidRPr="00B7505B">
        <w:t xml:space="preserve"> LAL-CL01 were replicated. These improvements were maintained following the switch from a </w:t>
      </w:r>
      <w:proofErr w:type="spellStart"/>
      <w:r w:rsidRPr="00B7505B">
        <w:t>qw</w:t>
      </w:r>
      <w:proofErr w:type="spellEnd"/>
      <w:r w:rsidRPr="00B7505B">
        <w:t xml:space="preserve"> to </w:t>
      </w:r>
      <w:proofErr w:type="spellStart"/>
      <w:r w:rsidRPr="00B7505B">
        <w:t>qow</w:t>
      </w:r>
      <w:proofErr w:type="spellEnd"/>
      <w:r w:rsidRPr="00B7505B">
        <w:t xml:space="preserve"> dosing regimen at doses of 1 and 3 mg/kg </w:t>
      </w:r>
      <w:proofErr w:type="spellStart"/>
      <w:r w:rsidRPr="00B7505B">
        <w:t>qow</w:t>
      </w:r>
      <w:proofErr w:type="spellEnd"/>
      <w:r w:rsidRPr="00B7505B">
        <w:t xml:space="preserve">. Furthermore, the reductions in markers of liver injury were accompanied by statistically significant improvements in the dyslipidaemia within 12 weeks of initiating treatment. Effects on both serum transaminases and lipids were maintained through to 104 weeks, providing the first </w:t>
      </w:r>
      <w:r w:rsidR="008F6668">
        <w:t>long term</w:t>
      </w:r>
      <w:r w:rsidRPr="00B7505B">
        <w:t xml:space="preserve"> assessment of efficacy of </w:t>
      </w:r>
      <w:proofErr w:type="spellStart"/>
      <w:r w:rsidRPr="00B7505B">
        <w:t>sebelipase</w:t>
      </w:r>
      <w:proofErr w:type="spellEnd"/>
      <w:r w:rsidRPr="00B7505B">
        <w:t xml:space="preserve"> alfa. There was no obvious dose response relationship between dose cohorts with respect to changes in liver volumes and hepatic proton density fat fraction, or transaminases and additional data are required to characterise any dose response relationship on lipid profile</w:t>
      </w:r>
      <w:r w:rsidR="00B73619">
        <w:t>.</w:t>
      </w:r>
    </w:p>
    <w:p w14:paraId="6070868A" w14:textId="77777777" w:rsidR="00B7505B" w:rsidRPr="00B7505B" w:rsidRDefault="00B7505B" w:rsidP="00B7505B">
      <w:pPr>
        <w:pStyle w:val="Heading3"/>
      </w:pPr>
      <w:bookmarkStart w:id="194" w:name="_Toc416353696"/>
      <w:bookmarkStart w:id="195" w:name="_Toc421005263"/>
      <w:bookmarkStart w:id="196" w:name="_Toc432079145"/>
      <w:bookmarkStart w:id="197" w:name="_Toc432080718"/>
      <w:bookmarkStart w:id="198" w:name="_Toc468957466"/>
      <w:bookmarkStart w:id="199" w:name="_Toc519670958"/>
      <w:r w:rsidRPr="00B7505B">
        <w:t>Phase II dose finding studies</w:t>
      </w:r>
      <w:bookmarkEnd w:id="194"/>
      <w:bookmarkEnd w:id="195"/>
      <w:bookmarkEnd w:id="196"/>
      <w:bookmarkEnd w:id="197"/>
      <w:bookmarkEnd w:id="198"/>
      <w:bookmarkEnd w:id="199"/>
    </w:p>
    <w:p w14:paraId="57E64FBF" w14:textId="3E0CDFAE" w:rsidR="00B73619" w:rsidRDefault="00B7505B" w:rsidP="00B7505B">
      <w:bookmarkStart w:id="200" w:name="_Toc416353712"/>
      <w:bookmarkStart w:id="201" w:name="_Toc421005265"/>
      <w:bookmarkStart w:id="202" w:name="_Toc432079147"/>
      <w:bookmarkStart w:id="203" w:name="_Toc432080720"/>
      <w:r w:rsidRPr="00B7505B">
        <w:t xml:space="preserve">Refer to section 6.1 above (results of </w:t>
      </w:r>
      <w:r w:rsidR="00157E63">
        <w:t>Study</w:t>
      </w:r>
      <w:r w:rsidRPr="00B7505B">
        <w:t xml:space="preserve"> LAL-CL01/LAL-CL04)</w:t>
      </w:r>
      <w:r w:rsidR="00B73619">
        <w:t>.</w:t>
      </w:r>
    </w:p>
    <w:p w14:paraId="398E4481" w14:textId="77777777" w:rsidR="00B7505B" w:rsidRPr="00B7505B" w:rsidRDefault="00B7505B" w:rsidP="00B7505B">
      <w:pPr>
        <w:pStyle w:val="Heading3"/>
      </w:pPr>
      <w:bookmarkStart w:id="204" w:name="_Toc468957467"/>
      <w:bookmarkStart w:id="205" w:name="_Toc519670959"/>
      <w:r w:rsidRPr="00B7505B">
        <w:lastRenderedPageBreak/>
        <w:t>Phase III pivotal studies investigating more than one dose regimen</w:t>
      </w:r>
      <w:bookmarkEnd w:id="200"/>
      <w:bookmarkEnd w:id="201"/>
      <w:bookmarkEnd w:id="202"/>
      <w:bookmarkEnd w:id="203"/>
      <w:bookmarkEnd w:id="204"/>
      <w:bookmarkEnd w:id="205"/>
    </w:p>
    <w:p w14:paraId="21E6D4D8" w14:textId="77777777" w:rsidR="00B7505B" w:rsidRPr="00B7505B" w:rsidRDefault="00B7505B" w:rsidP="00B7505B">
      <w:r w:rsidRPr="00B7505B">
        <w:t xml:space="preserve">In </w:t>
      </w:r>
      <w:r w:rsidR="00157E63">
        <w:t>Study</w:t>
      </w:r>
      <w:r w:rsidRPr="00B7505B">
        <w:t xml:space="preserve"> LAL-CL02, adults and children were treated with </w:t>
      </w:r>
      <w:proofErr w:type="spellStart"/>
      <w:r w:rsidRPr="00B7505B">
        <w:t>sebel</w:t>
      </w:r>
      <w:r w:rsidR="00FE3465">
        <w:t>ipase</w:t>
      </w:r>
      <w:proofErr w:type="spellEnd"/>
      <w:r w:rsidR="00FE3465">
        <w:t xml:space="preserve"> alfa at a dose of 1 mg/kg</w:t>
      </w:r>
      <w:r w:rsidR="00D96127">
        <w:t> </w:t>
      </w:r>
      <w:proofErr w:type="spellStart"/>
      <w:r w:rsidRPr="00B7505B">
        <w:t>qow</w:t>
      </w:r>
      <w:proofErr w:type="spellEnd"/>
      <w:r w:rsidRPr="00B7505B">
        <w:t xml:space="preserve"> or placebo in a </w:t>
      </w:r>
      <w:r w:rsidR="00FE3465">
        <w:t>20 week</w:t>
      </w:r>
      <w:r w:rsidRPr="00B7505B">
        <w:t xml:space="preserve"> </w:t>
      </w:r>
      <w:r w:rsidR="003F3AB4">
        <w:t>double blind</w:t>
      </w:r>
      <w:r w:rsidRPr="00B7505B">
        <w:t xml:space="preserve"> period, after which all subjects were treated with </w:t>
      </w:r>
      <w:proofErr w:type="spellStart"/>
      <w:r w:rsidRPr="00B7505B">
        <w:t>sebelipase</w:t>
      </w:r>
      <w:proofErr w:type="spellEnd"/>
      <w:r w:rsidRPr="00B7505B">
        <w:t xml:space="preserve"> alfa at a dose of 1 mg/kg </w:t>
      </w:r>
      <w:proofErr w:type="spellStart"/>
      <w:r w:rsidRPr="00B7505B">
        <w:t>qow</w:t>
      </w:r>
      <w:proofErr w:type="spellEnd"/>
      <w:r w:rsidRPr="00B7505B">
        <w:t xml:space="preserve"> in an ongoing </w:t>
      </w:r>
      <w:r w:rsidR="00B73619">
        <w:t>open label</w:t>
      </w:r>
      <w:r w:rsidRPr="00B7505B">
        <w:t xml:space="preserve"> period.</w:t>
      </w:r>
    </w:p>
    <w:p w14:paraId="2F801CFD" w14:textId="77777777" w:rsidR="00B73619" w:rsidRDefault="00B7505B" w:rsidP="00B7505B">
      <w:proofErr w:type="spellStart"/>
      <w:r w:rsidRPr="00B7505B">
        <w:t>Sebelipase</w:t>
      </w:r>
      <w:proofErr w:type="spellEnd"/>
      <w:r w:rsidRPr="00B7505B">
        <w:t xml:space="preserve"> alfa administered using a 1 mg/kg </w:t>
      </w:r>
      <w:proofErr w:type="spellStart"/>
      <w:r w:rsidRPr="00B7505B">
        <w:t>qow</w:t>
      </w:r>
      <w:proofErr w:type="spellEnd"/>
      <w:r w:rsidRPr="00B7505B">
        <w:t xml:space="preserve"> dose regimen was more effective than placebo in improving a broad range of </w:t>
      </w:r>
      <w:r w:rsidR="00B73619">
        <w:t>disease related</w:t>
      </w:r>
      <w:r w:rsidRPr="00B7505B">
        <w:t xml:space="preserve"> abnormalities, including normalisation of serum transaminases (ALT and AST), improvement in dyslipidaemia (reductions in LDL-c, non-HDL-c, and triglycerides, and increases in HDL-c), and reduction in liver fat content/ liver volume during the </w:t>
      </w:r>
      <w:r w:rsidR="00FE3465">
        <w:t>20 week</w:t>
      </w:r>
      <w:r w:rsidRPr="00B7505B">
        <w:t xml:space="preserve"> </w:t>
      </w:r>
      <w:r w:rsidR="003F3AB4">
        <w:t>double blind</w:t>
      </w:r>
      <w:r w:rsidRPr="00B7505B">
        <w:t xml:space="preserve"> treatment period. During the </w:t>
      </w:r>
      <w:r w:rsidR="00B73619">
        <w:t>open label</w:t>
      </w:r>
      <w:r w:rsidRPr="00B7505B">
        <w:t xml:space="preserve"> treatment period, these improvements were maintained in the subjects treated with </w:t>
      </w:r>
      <w:proofErr w:type="spellStart"/>
      <w:r w:rsidRPr="00B7505B">
        <w:t>sebelipase</w:t>
      </w:r>
      <w:proofErr w:type="spellEnd"/>
      <w:r w:rsidRPr="00B7505B">
        <w:t xml:space="preserve"> alfa during the </w:t>
      </w:r>
      <w:r w:rsidR="003F3AB4">
        <w:t>double blind</w:t>
      </w:r>
      <w:r w:rsidRPr="00B7505B">
        <w:t xml:space="preserve"> period, and a similar pattern of response was observed in subjects switched from placebo to 1 mg/kg </w:t>
      </w:r>
      <w:proofErr w:type="spellStart"/>
      <w:r w:rsidRPr="00B7505B">
        <w:t>qow</w:t>
      </w:r>
      <w:proofErr w:type="spellEnd"/>
      <w:r w:rsidRPr="00B7505B">
        <w:t xml:space="preserve"> </w:t>
      </w:r>
      <w:proofErr w:type="spellStart"/>
      <w:r w:rsidRPr="00B7505B">
        <w:t>sebelipase</w:t>
      </w:r>
      <w:proofErr w:type="spellEnd"/>
      <w:r w:rsidRPr="00B7505B">
        <w:t xml:space="preserve"> alfa</w:t>
      </w:r>
      <w:r w:rsidR="00B73619">
        <w:t>.</w:t>
      </w:r>
    </w:p>
    <w:p w14:paraId="60E4EA6D" w14:textId="77777777" w:rsidR="00B7505B" w:rsidRPr="00B7505B" w:rsidRDefault="00B7505B" w:rsidP="00B7505B">
      <w:r w:rsidRPr="00B7505B">
        <w:t xml:space="preserve">As per </w:t>
      </w:r>
      <w:r w:rsidR="00C4359A">
        <w:t>study</w:t>
      </w:r>
      <w:r w:rsidRPr="00B7505B">
        <w:t xml:space="preserve"> protocol, from Week 0 to Week 22, </w:t>
      </w:r>
      <w:r w:rsidR="00C4359A">
        <w:t>study</w:t>
      </w:r>
      <w:r w:rsidRPr="00B7505B">
        <w:t xml:space="preserve"> drug infusions were administered at an infusion rate between 50 mL/hr and 150 mL/hr, depending on the subject’s weight, and were completed in approximately 2 hours. Beginning at Week 24, infusions were administered over approximately 1 hour. However, if the infusion was not </w:t>
      </w:r>
      <w:r w:rsidR="003F3AB4">
        <w:t>well tolerated</w:t>
      </w:r>
      <w:r w:rsidRPr="00B7505B">
        <w:t xml:space="preserve">, the infusion rate may have been decreased to the previously tolerated infusion rate. Overall, as of the data cut-off, 40 subjects, 21 in the </w:t>
      </w:r>
      <w:proofErr w:type="spellStart"/>
      <w:r w:rsidRPr="00B7505B">
        <w:t>sebelipase</w:t>
      </w:r>
      <w:proofErr w:type="spellEnd"/>
      <w:r w:rsidRPr="00B7505B">
        <w:t xml:space="preserve"> alfa group and 19 in the placebo/</w:t>
      </w:r>
      <w:proofErr w:type="spellStart"/>
      <w:r w:rsidRPr="00B7505B">
        <w:t>sebelipase</w:t>
      </w:r>
      <w:proofErr w:type="spellEnd"/>
      <w:r w:rsidRPr="00B7505B">
        <w:t xml:space="preserve"> alfa group, received at least 1 </w:t>
      </w:r>
      <w:proofErr w:type="spellStart"/>
      <w:r w:rsidRPr="00B7505B">
        <w:t>sebelipase</w:t>
      </w:r>
      <w:proofErr w:type="spellEnd"/>
      <w:r w:rsidRPr="00B7505B">
        <w:t xml:space="preserve"> infusion at an increased infusion rate over approximately 1 hour during the </w:t>
      </w:r>
      <w:r w:rsidR="00B73619">
        <w:t>open label</w:t>
      </w:r>
      <w:r w:rsidRPr="00B7505B">
        <w:t xml:space="preserve"> period. The maximum number of infusions administered at an increased infusion rate over approximately 1 hour in the </w:t>
      </w:r>
      <w:r w:rsidR="00B73619">
        <w:t>open label</w:t>
      </w:r>
      <w:r w:rsidRPr="00B7505B">
        <w:t xml:space="preserve"> period was 21 in one subject in the </w:t>
      </w:r>
      <w:proofErr w:type="spellStart"/>
      <w:r w:rsidRPr="00B7505B">
        <w:t>sebelipase</w:t>
      </w:r>
      <w:proofErr w:type="spellEnd"/>
      <w:r w:rsidRPr="00B7505B">
        <w:t xml:space="preserve"> alfa group</w:t>
      </w:r>
      <w:r w:rsidR="00B73619">
        <w:t xml:space="preserve">. </w:t>
      </w:r>
      <w:r w:rsidRPr="00B7505B">
        <w:t>One subject in the placebo/</w:t>
      </w:r>
      <w:proofErr w:type="spellStart"/>
      <w:r w:rsidRPr="00B7505B">
        <w:t>sebelipase</w:t>
      </w:r>
      <w:proofErr w:type="spellEnd"/>
      <w:r w:rsidRPr="00B7505B">
        <w:t xml:space="preserve"> alfa group, who was receiving pre-medication with an antihistamine (cetirizine hydrochloride) prior to each </w:t>
      </w:r>
      <w:r w:rsidR="00C4359A">
        <w:t>study</w:t>
      </w:r>
      <w:r w:rsidRPr="00B7505B">
        <w:t xml:space="preserve"> drug administration per standard of care at the </w:t>
      </w:r>
      <w:r w:rsidR="00C4359A">
        <w:t>study</w:t>
      </w:r>
      <w:r w:rsidRPr="00B7505B">
        <w:t xml:space="preserve"> centre, experienced an IAR (mild </w:t>
      </w:r>
      <w:proofErr w:type="spellStart"/>
      <w:r w:rsidRPr="00B7505B">
        <w:t>urticaria</w:t>
      </w:r>
      <w:proofErr w:type="spellEnd"/>
      <w:r w:rsidRPr="00B7505B">
        <w:t xml:space="preserve">) after the second </w:t>
      </w:r>
      <w:proofErr w:type="spellStart"/>
      <w:r w:rsidRPr="00B7505B">
        <w:t>sebelipase</w:t>
      </w:r>
      <w:proofErr w:type="spellEnd"/>
      <w:r w:rsidRPr="00B7505B">
        <w:t xml:space="preserve"> alfa infusion at Week 2 (Week 24 overall in the </w:t>
      </w:r>
      <w:r w:rsidR="00C4359A">
        <w:t>study</w:t>
      </w:r>
      <w:r w:rsidRPr="00B7505B">
        <w:t xml:space="preserve">), which was the first infusion given at the faster rate of 100 mL/hr (her first </w:t>
      </w:r>
      <w:proofErr w:type="spellStart"/>
      <w:r w:rsidRPr="00B7505B">
        <w:t>sebelipase</w:t>
      </w:r>
      <w:proofErr w:type="spellEnd"/>
      <w:r w:rsidRPr="00B7505B">
        <w:t xml:space="preserve"> alfa infusion was given at a rate of </w:t>
      </w:r>
      <w:r w:rsidR="00FE3465">
        <w:t>50 </w:t>
      </w:r>
      <w:r w:rsidRPr="00B7505B">
        <w:t xml:space="preserve">mL/hr.). The infusion rate was lowered from 100 mL/hr to 50 mL/hr and the infusion was completed. </w:t>
      </w:r>
      <w:r w:rsidR="00157E63">
        <w:t>Study</w:t>
      </w:r>
      <w:r w:rsidRPr="00B7505B">
        <w:t xml:space="preserve"> drug, along with pre-medication, was continued, and no recurrence of this event was seen with 4 subsequent administrations of </w:t>
      </w:r>
      <w:proofErr w:type="spellStart"/>
      <w:r w:rsidRPr="00B7505B">
        <w:t>sebelipase</w:t>
      </w:r>
      <w:proofErr w:type="spellEnd"/>
      <w:r w:rsidRPr="00B7505B">
        <w:t xml:space="preserve"> alfa at an i</w:t>
      </w:r>
      <w:r w:rsidR="00FE3465">
        <w:t>nfusion rate of 100 </w:t>
      </w:r>
      <w:r w:rsidRPr="00B7505B">
        <w:t xml:space="preserve">mL/hr. No other subject experienced an IAR after receiving their </w:t>
      </w:r>
      <w:proofErr w:type="spellStart"/>
      <w:r w:rsidRPr="00B7505B">
        <w:t>sebelipase</w:t>
      </w:r>
      <w:proofErr w:type="spellEnd"/>
      <w:r w:rsidRPr="00B7505B">
        <w:t xml:space="preserve"> alfa infusions over approximately 1 hour in the </w:t>
      </w:r>
      <w:r w:rsidR="00B73619">
        <w:t>open label</w:t>
      </w:r>
      <w:r w:rsidRPr="00B7505B">
        <w:t xml:space="preserve"> treatment period.</w:t>
      </w:r>
    </w:p>
    <w:p w14:paraId="4902539B" w14:textId="0EEDF30D" w:rsidR="00B73619" w:rsidRDefault="00B7505B" w:rsidP="00B7505B">
      <w:r w:rsidRPr="00B7505B">
        <w:t xml:space="preserve">In </w:t>
      </w:r>
      <w:r w:rsidR="00157E63">
        <w:t>Study</w:t>
      </w:r>
      <w:r w:rsidRPr="00B7505B">
        <w:t xml:space="preserve"> LAL-CL03, infants with rapidly progressive disease were initially treated with </w:t>
      </w:r>
      <w:proofErr w:type="spellStart"/>
      <w:r w:rsidRPr="00B7505B">
        <w:t>sebelipase</w:t>
      </w:r>
      <w:proofErr w:type="spellEnd"/>
      <w:r w:rsidRPr="00B7505B">
        <w:t xml:space="preserve"> alfa at a dose of 0.35 mg/kg </w:t>
      </w:r>
      <w:proofErr w:type="spellStart"/>
      <w:r w:rsidRPr="00B7505B">
        <w:t>qw</w:t>
      </w:r>
      <w:proofErr w:type="spellEnd"/>
      <w:r w:rsidRPr="00B7505B">
        <w:t xml:space="preserve"> for at least 2 infusions, then escalated to 1 mg/kg </w:t>
      </w:r>
      <w:proofErr w:type="spellStart"/>
      <w:r w:rsidRPr="00B7505B">
        <w:t>qw</w:t>
      </w:r>
      <w:proofErr w:type="spellEnd"/>
      <w:r w:rsidRPr="00B7505B">
        <w:t xml:space="preserve">, and then to 3 mg/kg </w:t>
      </w:r>
      <w:proofErr w:type="spellStart"/>
      <w:r w:rsidRPr="00B7505B">
        <w:t>qw</w:t>
      </w:r>
      <w:proofErr w:type="spellEnd"/>
      <w:r w:rsidRPr="00B7505B">
        <w:t xml:space="preserve"> based on clinical </w:t>
      </w:r>
      <w:r w:rsidR="001B7A56" w:rsidRPr="00B7505B">
        <w:t>response.</w:t>
      </w:r>
      <w:r w:rsidRPr="00B7505B">
        <w:t xml:space="preserve"> Subjects could have been further escalated to 5 mg/kg </w:t>
      </w:r>
      <w:proofErr w:type="spellStart"/>
      <w:r w:rsidRPr="00B7505B">
        <w:t>qw</w:t>
      </w:r>
      <w:proofErr w:type="spellEnd"/>
      <w:r w:rsidRPr="00B7505B">
        <w:t xml:space="preserve"> if continued persistence of abnormalities associated with LAL Deficiency was seen (in context of potential immunogenicity), as was the case in 1 subject</w:t>
      </w:r>
      <w:r w:rsidR="00B73619">
        <w:t>.</w:t>
      </w:r>
    </w:p>
    <w:p w14:paraId="794E2C62" w14:textId="35D7A1FB" w:rsidR="00B7505B" w:rsidRPr="00B7505B" w:rsidRDefault="00B7505B" w:rsidP="00B7505B">
      <w:r w:rsidRPr="00B7505B">
        <w:t xml:space="preserve">Of the 9 subjects treated in </w:t>
      </w:r>
      <w:r w:rsidR="00157E63">
        <w:t>Study</w:t>
      </w:r>
      <w:r w:rsidRPr="00B7505B">
        <w:t xml:space="preserve"> LAL-CL03, 8 initiated treatment with </w:t>
      </w:r>
      <w:proofErr w:type="spellStart"/>
      <w:r w:rsidRPr="00B7505B">
        <w:t>sebelipase</w:t>
      </w:r>
      <w:proofErr w:type="spellEnd"/>
      <w:r w:rsidRPr="00B7505B">
        <w:t xml:space="preserve"> alfa at a dose of 0.35 mg/kg </w:t>
      </w:r>
      <w:proofErr w:type="spellStart"/>
      <w:r w:rsidRPr="00B7505B">
        <w:t>qw</w:t>
      </w:r>
      <w:proofErr w:type="spellEnd"/>
      <w:r w:rsidRPr="00B7505B">
        <w:t xml:space="preserve">. Six of these 8 subjects subsequently escalated to a dose of 1 mg/kg </w:t>
      </w:r>
      <w:proofErr w:type="spellStart"/>
      <w:r w:rsidRPr="00B7505B">
        <w:t>qw</w:t>
      </w:r>
      <w:proofErr w:type="spellEnd"/>
      <w:r w:rsidRPr="00B7505B">
        <w:t xml:space="preserve"> at Week 2 (3rd infusion), per protocol; the other 2 subjects died after receiving a single infusion of </w:t>
      </w:r>
      <w:proofErr w:type="spellStart"/>
      <w:r w:rsidRPr="00B7505B">
        <w:t>sebelipase</w:t>
      </w:r>
      <w:proofErr w:type="spellEnd"/>
      <w:r w:rsidRPr="00B7505B">
        <w:t xml:space="preserve"> alfa. One of the 9 subjects who initially received emergency therapy with </w:t>
      </w:r>
      <w:proofErr w:type="spellStart"/>
      <w:r w:rsidRPr="00B7505B">
        <w:t>sebelipase</w:t>
      </w:r>
      <w:proofErr w:type="spellEnd"/>
      <w:r w:rsidRPr="00B7505B">
        <w:t xml:space="preserve"> alfa under an Authorisation </w:t>
      </w:r>
      <w:proofErr w:type="spellStart"/>
      <w:r w:rsidRPr="00B7505B">
        <w:t>Temporaire</w:t>
      </w:r>
      <w:proofErr w:type="spellEnd"/>
      <w:r w:rsidRPr="00B7505B">
        <w:t xml:space="preserve"> </w:t>
      </w:r>
      <w:proofErr w:type="spellStart"/>
      <w:r w:rsidRPr="00B7505B">
        <w:t>d'Utilisation</w:t>
      </w:r>
      <w:proofErr w:type="spellEnd"/>
      <w:r w:rsidRPr="00B7505B">
        <w:t xml:space="preserve"> (ATU)</w:t>
      </w:r>
      <w:r w:rsidR="00597D5A">
        <w:t>;</w:t>
      </w:r>
      <w:r w:rsidRPr="00FE3465">
        <w:rPr>
          <w:vertAlign w:val="superscript"/>
        </w:rPr>
        <w:footnoteReference w:id="9"/>
      </w:r>
      <w:r w:rsidRPr="00B7505B">
        <w:t xml:space="preserve"> received a lower starting dose of </w:t>
      </w:r>
      <w:proofErr w:type="spellStart"/>
      <w:r w:rsidRPr="00B7505B">
        <w:t>sebelipase</w:t>
      </w:r>
      <w:proofErr w:type="spellEnd"/>
      <w:r w:rsidRPr="00B7505B">
        <w:t xml:space="preserve"> alfa with a more gradual initial dose escalation. A total of 7 subjects were administered a dose of 1 mg/kg </w:t>
      </w:r>
      <w:proofErr w:type="spellStart"/>
      <w:r w:rsidRPr="00B7505B">
        <w:t>qw</w:t>
      </w:r>
      <w:proofErr w:type="spellEnd"/>
      <w:r w:rsidRPr="00B7505B">
        <w:t xml:space="preserve"> in this </w:t>
      </w:r>
      <w:r w:rsidR="00C4359A">
        <w:t>study</w:t>
      </w:r>
      <w:r w:rsidRPr="00B7505B">
        <w:t>. One of these subjects died after 2 infusions at a dose of 1 mg/kg. The other 6 subjects were dose escalated to 3 mg/kg due to a suboptimal response in one or more clinical measures. One of these 6 subjects was subsequently dose escalated to 5 mg/kg due to a continued suboptimal response</w:t>
      </w:r>
      <w:r w:rsidR="00597D5A" w:rsidRPr="00597D5A">
        <w:t xml:space="preserve"> </w:t>
      </w:r>
      <w:r w:rsidR="00597D5A" w:rsidRPr="00B7505B">
        <w:t xml:space="preserve">associated with presence of </w:t>
      </w:r>
      <w:r w:rsidR="00597D5A" w:rsidRPr="00B7505B">
        <w:lastRenderedPageBreak/>
        <w:t>neutralising antibodies. As of the data cut-off for this report, no subject had received a dose reduction due to poor tolerability.</w:t>
      </w:r>
      <w:r w:rsidRPr="00FE3465">
        <w:rPr>
          <w:vertAlign w:val="superscript"/>
        </w:rPr>
        <w:footnoteReference w:id="10"/>
      </w:r>
    </w:p>
    <w:p w14:paraId="4709ABF4" w14:textId="665E5DA8" w:rsidR="00B7505B" w:rsidRPr="00B7505B" w:rsidRDefault="00B7505B" w:rsidP="00B7505B">
      <w:r w:rsidRPr="00B7505B">
        <w:t xml:space="preserve">Three of the 6 subjects were dose escalated to 3 mg/kg within the first 3 months of treatment after meeting </w:t>
      </w:r>
      <w:r w:rsidR="00FE3465">
        <w:t>protocol defined</w:t>
      </w:r>
      <w:r w:rsidRPr="00B7505B">
        <w:t xml:space="preserve"> criteria for an early suboptimal response. The other 3 subjects showed a satisfactory (and sustained) initial therapeutic response at a dose of 1 mg/kg, but required a dose escalation to 3 mg/kg after meeting a distinct set of criteria</w:t>
      </w:r>
      <w:r w:rsidR="00597D5A">
        <w:t xml:space="preserve"> </w:t>
      </w:r>
      <w:r w:rsidR="00597D5A" w:rsidRPr="00B7505B">
        <w:t>for late suboptimal response.</w:t>
      </w:r>
      <w:r w:rsidRPr="00FE3465">
        <w:rPr>
          <w:vertAlign w:val="superscript"/>
        </w:rPr>
        <w:footnoteReference w:id="11"/>
      </w:r>
      <w:r w:rsidRPr="00B7505B">
        <w:t xml:space="preserve"> For 5 of the 6 subjects, the primary reason for dose escalation to 3 mg/kg </w:t>
      </w:r>
      <w:proofErr w:type="spellStart"/>
      <w:r w:rsidRPr="00B7505B">
        <w:t>qw</w:t>
      </w:r>
      <w:proofErr w:type="spellEnd"/>
      <w:r w:rsidRPr="00B7505B">
        <w:t xml:space="preserve"> was a failure to demonstrate adequate improvement in WFA. All but one of these subjects has demonstrated consistent and sustained further improvements in growth/weight for age and related parameters since escalating to a dose of 3 mg/kg. One </w:t>
      </w:r>
      <w:r w:rsidR="00FE3465">
        <w:t>subject was dose escalated to 3 </w:t>
      </w:r>
      <w:r w:rsidRPr="00B7505B">
        <w:t xml:space="preserve">mg/kg </w:t>
      </w:r>
      <w:proofErr w:type="spellStart"/>
      <w:r w:rsidRPr="00B7505B">
        <w:t>qw</w:t>
      </w:r>
      <w:proofErr w:type="spellEnd"/>
      <w:r w:rsidRPr="00B7505B">
        <w:t xml:space="preserve"> based on the persistence of enlarged abdominal mesenteric lymph nodes, a </w:t>
      </w:r>
      <w:r w:rsidR="00FE3465">
        <w:t>protocol defined</w:t>
      </w:r>
      <w:r w:rsidRPr="00B7505B">
        <w:t xml:space="preserve"> criterion for suboptimal response. All of the subjects did demonstrate improvements in other key clinical manifestations of LAL Deficiency while receiving infusions at a dose of 1 mg/kg, including improvements in liver and haematological abnormalities. None of the subjects met the early suboptimal response criteria based on ALT or albumin levels or a requirement for blood or platelet transfusions.</w:t>
      </w:r>
    </w:p>
    <w:p w14:paraId="59168F53" w14:textId="5991EF38" w:rsidR="00B73619" w:rsidRDefault="00B7505B" w:rsidP="00B7505B">
      <w:r w:rsidRPr="00B7505B">
        <w:t xml:space="preserve">A statistical analysis of the </w:t>
      </w:r>
      <w:r w:rsidR="00FE3465">
        <w:t>dose response</w:t>
      </w:r>
      <w:r w:rsidRPr="00B7505B">
        <w:t xml:space="preserve"> relationship in infants was not performed, as all but one subject was allocated to the same starting dose, and all</w:t>
      </w:r>
      <w:r w:rsidR="00FE3465">
        <w:t xml:space="preserve"> subjects receiving more than 4 </w:t>
      </w:r>
      <w:r w:rsidRPr="00B7505B">
        <w:t xml:space="preserve">infusions of </w:t>
      </w:r>
      <w:proofErr w:type="spellStart"/>
      <w:r w:rsidRPr="00B7505B">
        <w:t>sebelipase</w:t>
      </w:r>
      <w:proofErr w:type="spellEnd"/>
      <w:r w:rsidRPr="00B7505B">
        <w:t xml:space="preserve"> alfa were sequentially dose escalated to 1 mg/kg and eventually </w:t>
      </w:r>
      <w:r w:rsidR="00131B1C">
        <w:t>3</w:t>
      </w:r>
      <w:r w:rsidR="00597D5A">
        <w:t> </w:t>
      </w:r>
      <w:r w:rsidR="00131B1C">
        <w:t>mg</w:t>
      </w:r>
      <w:r w:rsidRPr="00B7505B">
        <w:t xml:space="preserve">/kg. The timing of dose escalation to 1 mg/kg was similar for all subjects, having been undertaken after 2 infusions in accordance with the protocol or, for the subject initially treated under ATU, after 4 infusions. However, the timing of dose escalation to 3 mg/kg was guided by the observed therapeutic response and varied by subject. Improvements in liver biochemical parameters were rapid and were already evident at Week 1 when all subjects were receiving a dose ≤ 0.35 mg/kg </w:t>
      </w:r>
      <w:proofErr w:type="spellStart"/>
      <w:r w:rsidRPr="00B7505B">
        <w:t>qw</w:t>
      </w:r>
      <w:proofErr w:type="spellEnd"/>
      <w:r w:rsidRPr="00B7505B">
        <w:t xml:space="preserve">, whereas WFA improved more slowly </w:t>
      </w:r>
      <w:r w:rsidR="00FE3465">
        <w:t>and required a higher dose of 3 </w:t>
      </w:r>
      <w:r w:rsidRPr="00B7505B">
        <w:t>mg/kg in some subjects to achieve an optimal response within an acceptable time period</w:t>
      </w:r>
      <w:r w:rsidR="00B73619">
        <w:t xml:space="preserve">. </w:t>
      </w:r>
      <w:r w:rsidRPr="00B7505B">
        <w:t xml:space="preserve">Although the PK of </w:t>
      </w:r>
      <w:proofErr w:type="spellStart"/>
      <w:r w:rsidRPr="00B7505B">
        <w:t>sebelipase</w:t>
      </w:r>
      <w:proofErr w:type="spellEnd"/>
      <w:r w:rsidRPr="00B7505B">
        <w:t xml:space="preserve"> alfa appears to be more than dose proportional above 1 mg/kg, the clinical experience in </w:t>
      </w:r>
      <w:r w:rsidR="00157E63">
        <w:t>Study</w:t>
      </w:r>
      <w:r w:rsidRPr="00B7505B">
        <w:t xml:space="preserve"> LAL-CL03 provides evidence that the additional benefits of treatment at these higher doses in infants presenting with rapidly progressive disease can be achieved with no obvious change in the benefit risk profile</w:t>
      </w:r>
      <w:r w:rsidR="00B73619">
        <w:t>.</w:t>
      </w:r>
    </w:p>
    <w:p w14:paraId="51853B44" w14:textId="77777777" w:rsidR="00B73619" w:rsidRDefault="00B7505B" w:rsidP="00B7505B">
      <w:r w:rsidRPr="00B7505B">
        <w:t xml:space="preserve">As per </w:t>
      </w:r>
      <w:r w:rsidR="00C4359A">
        <w:t>study</w:t>
      </w:r>
      <w:r w:rsidRPr="00B7505B">
        <w:t xml:space="preserve"> protocol, </w:t>
      </w:r>
      <w:r w:rsidR="00C4359A">
        <w:t>study</w:t>
      </w:r>
      <w:r w:rsidRPr="00B7505B">
        <w:t xml:space="preserve"> drug infusions were administered at an infusion rate of 5 mL/hr for the 0.35 and 1 mg/kg doses, and 10 mL/hr for the 3 mg/kg dose. Infusions depended on the subject's weight and were administered over 2 hours, with the rate not to exceed 4 mL/kg/hr. Overall, 4 of the 9 subjects experienced IARs. All IARs were successfully managed by infusion interruption, infusion rate reduction, conventional treatment with antipyretics (</w:t>
      </w:r>
      <w:r w:rsidR="003F3AB4">
        <w:t>that is</w:t>
      </w:r>
      <w:r w:rsidRPr="00B7505B">
        <w:t>, paracetamol or ibuprofen), antihistamines (</w:t>
      </w:r>
      <w:r w:rsidR="00CC672B">
        <w:t>for example</w:t>
      </w:r>
      <w:r w:rsidRPr="00B7505B">
        <w:t xml:space="preserve">, hydroxyzine </w:t>
      </w:r>
      <w:proofErr w:type="spellStart"/>
      <w:r w:rsidRPr="00B7505B">
        <w:t>HCl</w:t>
      </w:r>
      <w:proofErr w:type="spellEnd"/>
      <w:r w:rsidRPr="00B7505B">
        <w:t xml:space="preserve">, </w:t>
      </w:r>
      <w:proofErr w:type="spellStart"/>
      <w:r w:rsidRPr="00B7505B">
        <w:t>chlorphenamine</w:t>
      </w:r>
      <w:proofErr w:type="spellEnd"/>
      <w:r w:rsidRPr="00B7505B">
        <w:t xml:space="preserve">, </w:t>
      </w:r>
      <w:proofErr w:type="spellStart"/>
      <w:r w:rsidRPr="00B7505B">
        <w:t>desloratidine</w:t>
      </w:r>
      <w:proofErr w:type="spellEnd"/>
      <w:r w:rsidRPr="00B7505B">
        <w:t xml:space="preserve">, </w:t>
      </w:r>
      <w:proofErr w:type="spellStart"/>
      <w:proofErr w:type="gramStart"/>
      <w:r w:rsidRPr="00B7505B">
        <w:t>dexchlorpheniramine</w:t>
      </w:r>
      <w:proofErr w:type="spellEnd"/>
      <w:proofErr w:type="gramEnd"/>
      <w:r w:rsidRPr="00B7505B">
        <w:t>), corticosteroids, and/or other supportive treatment (</w:t>
      </w:r>
      <w:r w:rsidR="003F3AB4">
        <w:t>that is</w:t>
      </w:r>
      <w:r w:rsidRPr="00B7505B">
        <w:t>, oxygen therapy, IV sodium chloride, or glucose)</w:t>
      </w:r>
      <w:r w:rsidR="00B73619">
        <w:t>.</w:t>
      </w:r>
    </w:p>
    <w:p w14:paraId="7F3F90EB" w14:textId="77777777" w:rsidR="00B73619" w:rsidRDefault="00B7505B" w:rsidP="00B7505B">
      <w:r w:rsidRPr="00B7505B">
        <w:t xml:space="preserve">As of the data cut-off for </w:t>
      </w:r>
      <w:r w:rsidR="00157E63">
        <w:t>Study</w:t>
      </w:r>
      <w:r w:rsidRPr="00B7505B">
        <w:t xml:space="preserve"> LAL-CL03, only 1 subject on </w:t>
      </w:r>
      <w:r w:rsidR="008F6668">
        <w:t>long term</w:t>
      </w:r>
      <w:r w:rsidRPr="00B7505B">
        <w:t xml:space="preserve"> treatment (defined as treatment ≥ 96 weeks) has received </w:t>
      </w:r>
      <w:proofErr w:type="spellStart"/>
      <w:r w:rsidRPr="00B7505B">
        <w:t>sebelipase</w:t>
      </w:r>
      <w:proofErr w:type="spellEnd"/>
      <w:r w:rsidRPr="00B7505B">
        <w:t xml:space="preserve"> alfa infusions on a </w:t>
      </w:r>
      <w:proofErr w:type="spellStart"/>
      <w:r w:rsidRPr="00B7505B">
        <w:t>qow</w:t>
      </w:r>
      <w:proofErr w:type="spellEnd"/>
      <w:r w:rsidRPr="00B7505B">
        <w:t xml:space="preserve"> regimen. This subject </w:t>
      </w:r>
      <w:r w:rsidRPr="00B7505B">
        <w:lastRenderedPageBreak/>
        <w:t xml:space="preserve">received 122 weeks of </w:t>
      </w:r>
      <w:proofErr w:type="spellStart"/>
      <w:r w:rsidRPr="00B7505B">
        <w:t>qw</w:t>
      </w:r>
      <w:proofErr w:type="spellEnd"/>
      <w:r w:rsidRPr="00B7505B">
        <w:t xml:space="preserve"> infusions, including 31 weeks of </w:t>
      </w:r>
      <w:proofErr w:type="spellStart"/>
      <w:r w:rsidRPr="00B7505B">
        <w:t>qw</w:t>
      </w:r>
      <w:proofErr w:type="spellEnd"/>
      <w:r w:rsidRPr="00B7505B">
        <w:t xml:space="preserve"> infusions at a dose of 3 mg/kg, before being transitioned to </w:t>
      </w:r>
      <w:proofErr w:type="spellStart"/>
      <w:r w:rsidRPr="00B7505B">
        <w:t>qow</w:t>
      </w:r>
      <w:proofErr w:type="spellEnd"/>
      <w:r w:rsidRPr="00B7505B">
        <w:t xml:space="preserve"> dosing of 3 mg/kg at Week 122. After receiving 17 infusions at a dose of 3 mg/kg </w:t>
      </w:r>
      <w:proofErr w:type="spellStart"/>
      <w:r w:rsidRPr="00B7505B">
        <w:t>qow</w:t>
      </w:r>
      <w:proofErr w:type="spellEnd"/>
      <w:r w:rsidRPr="00B7505B">
        <w:t xml:space="preserve"> over 33 weeks, the subject was switched back to a </w:t>
      </w:r>
      <w:proofErr w:type="spellStart"/>
      <w:r w:rsidRPr="00B7505B">
        <w:t>qw</w:t>
      </w:r>
      <w:proofErr w:type="spellEnd"/>
      <w:r w:rsidRPr="00B7505B">
        <w:t xml:space="preserve"> regimen when ALT and AST increased on the </w:t>
      </w:r>
      <w:proofErr w:type="spellStart"/>
      <w:r w:rsidRPr="00B7505B">
        <w:t>qow</w:t>
      </w:r>
      <w:proofErr w:type="spellEnd"/>
      <w:r w:rsidRPr="00B7505B">
        <w:t xml:space="preserve"> regimen; both transaminase levels improved (decreased) within 6 weeks (by Week 161, the first assessment after the switch back to </w:t>
      </w:r>
      <w:proofErr w:type="spellStart"/>
      <w:r w:rsidRPr="00B7505B">
        <w:t>qw</w:t>
      </w:r>
      <w:proofErr w:type="spellEnd"/>
      <w:r w:rsidRPr="00B7505B">
        <w:t xml:space="preserve"> dosing at Week 155) once the subject reverted to </w:t>
      </w:r>
      <w:proofErr w:type="spellStart"/>
      <w:r w:rsidRPr="00B7505B">
        <w:t>qw</w:t>
      </w:r>
      <w:proofErr w:type="spellEnd"/>
      <w:r w:rsidRPr="00B7505B">
        <w:t xml:space="preserve"> dosing. Transient increases in serum total cholesterol, triglycerides, and LDL-c were also observed in association with the switch to </w:t>
      </w:r>
      <w:proofErr w:type="spellStart"/>
      <w:r w:rsidRPr="00B7505B">
        <w:t>qow</w:t>
      </w:r>
      <w:proofErr w:type="spellEnd"/>
      <w:r w:rsidRPr="00B7505B">
        <w:t xml:space="preserve"> dosing</w:t>
      </w:r>
      <w:r w:rsidR="00B73619">
        <w:t xml:space="preserve">. </w:t>
      </w:r>
      <w:r w:rsidRPr="00B7505B">
        <w:t xml:space="preserve">Overall, these findings suggest that a </w:t>
      </w:r>
      <w:proofErr w:type="spellStart"/>
      <w:r w:rsidRPr="00B7505B">
        <w:t>qw</w:t>
      </w:r>
      <w:proofErr w:type="spellEnd"/>
      <w:r w:rsidRPr="00B7505B">
        <w:t xml:space="preserve"> dosing regimen may be needed to maintain disease control in infants presenting with rapidly progressive LAL Deficiency</w:t>
      </w:r>
      <w:r w:rsidR="00B73619">
        <w:t>.</w:t>
      </w:r>
    </w:p>
    <w:p w14:paraId="44A772D1" w14:textId="77777777" w:rsidR="00B7505B" w:rsidRPr="00B7505B" w:rsidRDefault="00B7505B" w:rsidP="00B7505B">
      <w:pPr>
        <w:pStyle w:val="Heading3"/>
      </w:pPr>
      <w:bookmarkStart w:id="206" w:name="_Toc416353713"/>
      <w:bookmarkStart w:id="207" w:name="_Toc421005266"/>
      <w:bookmarkStart w:id="208" w:name="_Toc432079148"/>
      <w:bookmarkStart w:id="209" w:name="_Toc432080721"/>
      <w:bookmarkStart w:id="210" w:name="_Toc461801882"/>
      <w:bookmarkStart w:id="211" w:name="_Toc468957468"/>
      <w:bookmarkStart w:id="212" w:name="_Toc519670960"/>
      <w:r w:rsidRPr="00B7505B">
        <w:t>Evaluator’s conclusions on dose finding for the pivotal studies</w:t>
      </w:r>
      <w:bookmarkEnd w:id="206"/>
      <w:bookmarkEnd w:id="207"/>
      <w:bookmarkEnd w:id="208"/>
      <w:bookmarkEnd w:id="209"/>
      <w:bookmarkEnd w:id="210"/>
      <w:bookmarkEnd w:id="211"/>
      <w:bookmarkEnd w:id="212"/>
    </w:p>
    <w:p w14:paraId="66ECA80C" w14:textId="77777777" w:rsidR="00CC672B" w:rsidRDefault="00B7505B" w:rsidP="00B7505B">
      <w:r w:rsidRPr="00B7505B">
        <w:t xml:space="preserve">Results of the Phase </w:t>
      </w:r>
      <w:r w:rsidR="003F3AB4">
        <w:t>I/II</w:t>
      </w:r>
      <w:r w:rsidR="00CC672B">
        <w:t xml:space="preserve"> </w:t>
      </w:r>
      <w:r w:rsidR="00157E63">
        <w:t>Study</w:t>
      </w:r>
      <w:r w:rsidRPr="00B7505B">
        <w:t xml:space="preserve"> LAL-CL01 in adults with LAL-deficiency provided adequate evidence to support testing the following doses of </w:t>
      </w:r>
      <w:proofErr w:type="spellStart"/>
      <w:r w:rsidRPr="00B7505B">
        <w:t>sebelipase</w:t>
      </w:r>
      <w:proofErr w:type="spellEnd"/>
      <w:r w:rsidRPr="00B7505B">
        <w:t xml:space="preserve"> alfa in the two pivotal studies</w:t>
      </w:r>
      <w:r w:rsidR="00CC672B">
        <w:t>:</w:t>
      </w:r>
    </w:p>
    <w:p w14:paraId="1FF7B252" w14:textId="4E932BB5" w:rsidR="00B7505B" w:rsidRPr="00B7505B" w:rsidRDefault="00157E63" w:rsidP="00FE2AA6">
      <w:pPr>
        <w:pStyle w:val="ListBullet"/>
      </w:pPr>
      <w:r>
        <w:t>Study</w:t>
      </w:r>
      <w:r w:rsidR="00B7505B" w:rsidRPr="00B7505B">
        <w:t xml:space="preserve"> LAL-CL02 in adults and children with LAL-D: 1 mg/kg every other week dose administered by IV infusion (over 2 hours with option to reduce infusion </w:t>
      </w:r>
      <w:r w:rsidR="00CC672B">
        <w:t>duration to 1 hour if tolerated.</w:t>
      </w:r>
    </w:p>
    <w:p w14:paraId="7C80C515" w14:textId="77777777" w:rsidR="00B73619" w:rsidRDefault="00157E63" w:rsidP="00FE2AA6">
      <w:pPr>
        <w:pStyle w:val="ListBullet"/>
      </w:pPr>
      <w:r>
        <w:t>Study</w:t>
      </w:r>
      <w:r w:rsidR="00B7505B" w:rsidRPr="00B7505B">
        <w:t xml:space="preserve"> LAL-CL03 in infants with LAL-D: </w:t>
      </w:r>
      <w:r w:rsidR="00131B1C">
        <w:t>1 mg</w:t>
      </w:r>
      <w:r w:rsidR="00B7505B" w:rsidRPr="00B7505B">
        <w:t xml:space="preserve">/kg every week with option to increase dose to </w:t>
      </w:r>
      <w:r w:rsidR="00131B1C">
        <w:t>3 mg</w:t>
      </w:r>
      <w:r w:rsidR="00B7505B" w:rsidRPr="00B7505B">
        <w:t>/kg for infants who present with rapidly progressive disease administered by IV infusion (over 2 hours). It is important to note that the option to reduce infusion duration to 1 hour was not evaluated in infants</w:t>
      </w:r>
      <w:r w:rsidR="00B73619">
        <w:t>.</w:t>
      </w:r>
    </w:p>
    <w:p w14:paraId="7315B9E7" w14:textId="77777777" w:rsidR="00C22678" w:rsidRDefault="00C22678" w:rsidP="00C22678">
      <w:pPr>
        <w:pStyle w:val="Heading2"/>
      </w:pPr>
      <w:bookmarkStart w:id="213" w:name="_Toc519670961"/>
      <w:r>
        <w:t>Clinical efficacy</w:t>
      </w:r>
      <w:bookmarkEnd w:id="213"/>
    </w:p>
    <w:p w14:paraId="2389B5C0" w14:textId="77777777" w:rsidR="00DE635E" w:rsidRPr="00DE635E" w:rsidRDefault="00DE635E" w:rsidP="00DE635E">
      <w:pPr>
        <w:pStyle w:val="Heading3"/>
      </w:pPr>
      <w:bookmarkStart w:id="214" w:name="_Toc468957470"/>
      <w:bookmarkStart w:id="215" w:name="_Toc519670962"/>
      <w:bookmarkStart w:id="216" w:name="_Ref271037274"/>
      <w:bookmarkStart w:id="217" w:name="_Toc272414652"/>
      <w:bookmarkStart w:id="218" w:name="_Toc290888500"/>
      <w:bookmarkStart w:id="219" w:name="_Toc416353716"/>
      <w:bookmarkStart w:id="220" w:name="_Toc421005269"/>
      <w:bookmarkStart w:id="221" w:name="_Toc432079151"/>
      <w:bookmarkStart w:id="222" w:name="_Toc432080724"/>
      <w:r w:rsidRPr="00DE635E">
        <w:t>Studies providing evaluable efficacy data</w:t>
      </w:r>
      <w:bookmarkEnd w:id="214"/>
      <w:bookmarkEnd w:id="215"/>
    </w:p>
    <w:p w14:paraId="750E50B4" w14:textId="6D8EECB7" w:rsidR="00DE635E" w:rsidRPr="00DE635E" w:rsidRDefault="00597D5A" w:rsidP="00FE2AA6">
      <w:pPr>
        <w:pStyle w:val="ListBullet"/>
      </w:pPr>
      <w:r>
        <w:t xml:space="preserve">Study </w:t>
      </w:r>
      <w:r w:rsidR="00DE635E" w:rsidRPr="00DE635E">
        <w:t xml:space="preserve">LAL-CL02: A pivotal, </w:t>
      </w:r>
      <w:r w:rsidR="00CC672B">
        <w:t>Phase III</w:t>
      </w:r>
      <w:r w:rsidR="00DE635E" w:rsidRPr="00DE635E">
        <w:t>, multicentre, randomi</w:t>
      </w:r>
      <w:r>
        <w:t>s</w:t>
      </w:r>
      <w:r w:rsidR="00DE635E" w:rsidRPr="00DE635E">
        <w:t xml:space="preserve">ed, </w:t>
      </w:r>
      <w:r w:rsidR="00B73619">
        <w:t>placebo controlled</w:t>
      </w:r>
      <w:r w:rsidR="00DE635E" w:rsidRPr="00DE635E">
        <w:t xml:space="preserve"> </w:t>
      </w:r>
      <w:r w:rsidR="00C4359A">
        <w:t>study</w:t>
      </w:r>
      <w:r w:rsidR="00DE635E" w:rsidRPr="00DE635E">
        <w:t xml:space="preserve"> of SBC-102 in patients with Lysosomal Acid Lipase Deficiency (ARISE </w:t>
      </w:r>
      <w:r w:rsidR="00196207">
        <w:t>(</w:t>
      </w:r>
      <w:r w:rsidR="00DE635E" w:rsidRPr="00DE635E">
        <w:t>Acid Lipase Replacement investigating safety and efficacy</w:t>
      </w:r>
      <w:r w:rsidR="00196207">
        <w:t>)</w:t>
      </w:r>
      <w:r w:rsidR="00DE635E" w:rsidRPr="00DE635E">
        <w:t>).</w:t>
      </w:r>
    </w:p>
    <w:p w14:paraId="413AEDF2" w14:textId="64EB569C" w:rsidR="00DE635E" w:rsidRPr="00DE635E" w:rsidRDefault="00597D5A" w:rsidP="00FE2AA6">
      <w:pPr>
        <w:pStyle w:val="ListBullet"/>
      </w:pPr>
      <w:r>
        <w:t xml:space="preserve">Study </w:t>
      </w:r>
      <w:r w:rsidR="00DE635E" w:rsidRPr="00DE635E">
        <w:t xml:space="preserve">LAL-CL03: A, </w:t>
      </w:r>
      <w:r w:rsidR="00905BF2">
        <w:t>Phase II/III</w:t>
      </w:r>
      <w:r w:rsidR="00DE635E" w:rsidRPr="00DE635E">
        <w:t xml:space="preserve">, </w:t>
      </w:r>
      <w:r w:rsidR="00CC672B" w:rsidRPr="00DE635E">
        <w:t xml:space="preserve">open label, </w:t>
      </w:r>
      <w:r w:rsidR="00CC672B">
        <w:t>m</w:t>
      </w:r>
      <w:r w:rsidR="00CC672B" w:rsidRPr="00DE635E">
        <w:t xml:space="preserve">ulticentre, dose escalation </w:t>
      </w:r>
      <w:r w:rsidR="00C4359A">
        <w:t>study</w:t>
      </w:r>
      <w:r w:rsidR="00CC672B" w:rsidRPr="00DE635E">
        <w:t xml:space="preserve"> to evaluate </w:t>
      </w:r>
      <w:r w:rsidR="00DE635E" w:rsidRPr="00DE635E">
        <w:t xml:space="preserve">the </w:t>
      </w:r>
      <w:r w:rsidR="00CC672B" w:rsidRPr="00DE635E">
        <w:t xml:space="preserve">safety, tolerability, efficacy, pharmacokinetics, and pharmacodynamics </w:t>
      </w:r>
      <w:r w:rsidR="00DE635E" w:rsidRPr="00DE635E">
        <w:t xml:space="preserve">of SBC-102 in </w:t>
      </w:r>
      <w:r w:rsidR="00CC672B" w:rsidRPr="00DE635E">
        <w:t>children with growth failure due to lysosomal acid lipase deficiency</w:t>
      </w:r>
    </w:p>
    <w:p w14:paraId="0CC72DC4" w14:textId="1F1C0D69" w:rsidR="00B73619" w:rsidRDefault="00157E63" w:rsidP="00FE2AA6">
      <w:pPr>
        <w:pStyle w:val="ListBullet"/>
      </w:pPr>
      <w:r>
        <w:t>Study</w:t>
      </w:r>
      <w:r w:rsidR="00DE635E" w:rsidRPr="00DE635E">
        <w:t xml:space="preserve"> LAL-CL04: A </w:t>
      </w:r>
      <w:r w:rsidR="00B73619">
        <w:t>Phase II</w:t>
      </w:r>
      <w:r w:rsidR="00DE635E" w:rsidRPr="00DE635E">
        <w:t xml:space="preserve">, </w:t>
      </w:r>
      <w:r w:rsidR="00CC672B" w:rsidRPr="00DE635E">
        <w:t xml:space="preserve">open label multicentre extension </w:t>
      </w:r>
      <w:r w:rsidR="00C4359A">
        <w:t>study</w:t>
      </w:r>
      <w:r w:rsidR="00CC672B" w:rsidRPr="00DE635E">
        <w:t xml:space="preserve"> to evaluate the long</w:t>
      </w:r>
      <w:r w:rsidR="00196207">
        <w:t> </w:t>
      </w:r>
      <w:r w:rsidR="00CC672B" w:rsidRPr="00DE635E">
        <w:t xml:space="preserve">term safety, tolerability, and efficacy of </w:t>
      </w:r>
      <w:proofErr w:type="spellStart"/>
      <w:r w:rsidR="00CC672B" w:rsidRPr="00DE635E">
        <w:t>sebelipase</w:t>
      </w:r>
      <w:proofErr w:type="spellEnd"/>
      <w:r w:rsidR="00CC672B" w:rsidRPr="00DE635E">
        <w:t xml:space="preserve"> alfa in adult subjects with liver dysfunction due to lysosomal acid lipase deficiency who previously received treatment </w:t>
      </w:r>
      <w:r w:rsidR="00DE635E" w:rsidRPr="00DE635E">
        <w:t xml:space="preserve">in </w:t>
      </w:r>
      <w:r>
        <w:t>Study</w:t>
      </w:r>
      <w:r w:rsidR="00DE635E" w:rsidRPr="00DE635E">
        <w:t xml:space="preserve"> LAL-CL01</w:t>
      </w:r>
      <w:r w:rsidR="00B73619">
        <w:t>.</w:t>
      </w:r>
    </w:p>
    <w:p w14:paraId="50336B4E" w14:textId="77777777" w:rsidR="00DE635E" w:rsidRPr="00723299" w:rsidRDefault="00DE635E" w:rsidP="00DE635E">
      <w:pPr>
        <w:pStyle w:val="Heading3"/>
      </w:pPr>
      <w:bookmarkStart w:id="223" w:name="_Toc468957471"/>
      <w:bookmarkStart w:id="224" w:name="_Toc519670963"/>
      <w:r w:rsidRPr="00723299">
        <w:t>Pivotal or main efficacy studies</w:t>
      </w:r>
      <w:bookmarkEnd w:id="216"/>
      <w:bookmarkEnd w:id="217"/>
      <w:bookmarkEnd w:id="218"/>
      <w:bookmarkEnd w:id="219"/>
      <w:bookmarkEnd w:id="220"/>
      <w:bookmarkEnd w:id="221"/>
      <w:bookmarkEnd w:id="222"/>
      <w:bookmarkEnd w:id="223"/>
      <w:bookmarkEnd w:id="224"/>
    </w:p>
    <w:p w14:paraId="5FA86487" w14:textId="77777777" w:rsidR="00DE635E" w:rsidRPr="00723299" w:rsidRDefault="00157E63" w:rsidP="00DE635E">
      <w:pPr>
        <w:pStyle w:val="Heading4"/>
      </w:pPr>
      <w:bookmarkStart w:id="225" w:name="_Ref243301615"/>
      <w:bookmarkStart w:id="226" w:name="_Ref271040927"/>
      <w:bookmarkStart w:id="227" w:name="_Ref271040932"/>
      <w:bookmarkStart w:id="228" w:name="_Toc272414653"/>
      <w:bookmarkStart w:id="229" w:name="_Toc290888501"/>
      <w:bookmarkStart w:id="230" w:name="_Toc416353717"/>
      <w:bookmarkStart w:id="231" w:name="_Toc468957472"/>
      <w:r>
        <w:t>Study</w:t>
      </w:r>
      <w:r w:rsidR="00DE635E" w:rsidRPr="00723299">
        <w:t xml:space="preserve"> </w:t>
      </w:r>
      <w:bookmarkEnd w:id="225"/>
      <w:bookmarkEnd w:id="226"/>
      <w:bookmarkEnd w:id="227"/>
      <w:bookmarkEnd w:id="228"/>
      <w:bookmarkEnd w:id="229"/>
      <w:bookmarkEnd w:id="230"/>
      <w:r w:rsidR="00DE635E">
        <w:t>LAL-CL02</w:t>
      </w:r>
      <w:bookmarkEnd w:id="231"/>
    </w:p>
    <w:p w14:paraId="5A257D09" w14:textId="77777777" w:rsidR="00DE635E" w:rsidRPr="00723299" w:rsidRDefault="00157E63" w:rsidP="00DE635E">
      <w:pPr>
        <w:pStyle w:val="Heading5"/>
      </w:pPr>
      <w:r>
        <w:t>Study</w:t>
      </w:r>
      <w:r w:rsidR="00DE635E" w:rsidRPr="00723299">
        <w:t xml:space="preserve"> design, objectives, locations and dates</w:t>
      </w:r>
    </w:p>
    <w:p w14:paraId="6B3AB4FC" w14:textId="6B841F19" w:rsidR="00DE635E" w:rsidRPr="00F5566D" w:rsidRDefault="00DE635E" w:rsidP="00DE635E">
      <w:pPr>
        <w:autoSpaceDE w:val="0"/>
        <w:autoSpaceDN w:val="0"/>
        <w:adjustRightInd w:val="0"/>
        <w:spacing w:before="0" w:line="240" w:lineRule="auto"/>
        <w:rPr>
          <w:rFonts w:asciiTheme="minorHAnsi" w:eastAsiaTheme="minorHAnsi" w:hAnsiTheme="minorHAnsi" w:cs="TimesNewRomanPSMT"/>
        </w:rPr>
      </w:pPr>
      <w:r w:rsidRPr="00F5566D">
        <w:rPr>
          <w:rFonts w:asciiTheme="minorHAnsi" w:eastAsiaTheme="minorHAnsi" w:hAnsiTheme="minorHAnsi" w:cs="TimesNewRomanPSMT"/>
        </w:rPr>
        <w:t xml:space="preserve">This was a pivotal, </w:t>
      </w:r>
      <w:r w:rsidR="00CC672B">
        <w:rPr>
          <w:rFonts w:asciiTheme="minorHAnsi" w:eastAsiaTheme="minorHAnsi" w:hAnsiTheme="minorHAnsi" w:cs="TimesNewRomanPSMT"/>
        </w:rPr>
        <w:t>Phase III</w:t>
      </w:r>
      <w:r w:rsidRPr="00F5566D">
        <w:rPr>
          <w:rFonts w:asciiTheme="minorHAnsi" w:eastAsiaTheme="minorHAnsi" w:hAnsiTheme="minorHAnsi" w:cs="TimesNewRomanPSMT"/>
        </w:rPr>
        <w:t>, multicentre</w:t>
      </w:r>
      <w:r>
        <w:rPr>
          <w:rFonts w:asciiTheme="minorHAnsi" w:eastAsiaTheme="minorHAnsi" w:hAnsiTheme="minorHAnsi" w:cs="TimesNewRomanPSMT"/>
        </w:rPr>
        <w:t>, randomis</w:t>
      </w:r>
      <w:r w:rsidRPr="00F5566D">
        <w:rPr>
          <w:rFonts w:asciiTheme="minorHAnsi" w:eastAsiaTheme="minorHAnsi" w:hAnsiTheme="minorHAnsi" w:cs="TimesNewRomanPSMT"/>
        </w:rPr>
        <w:t xml:space="preserve">ed, </w:t>
      </w:r>
      <w:r w:rsidR="00B73619">
        <w:rPr>
          <w:rFonts w:asciiTheme="minorHAnsi" w:eastAsiaTheme="minorHAnsi" w:hAnsiTheme="minorHAnsi" w:cs="TimesNewRomanPSMT"/>
        </w:rPr>
        <w:t>placebo controlled</w:t>
      </w:r>
      <w:r w:rsidRPr="00F5566D">
        <w:rPr>
          <w:rFonts w:asciiTheme="minorHAnsi" w:eastAsiaTheme="minorHAnsi" w:hAnsiTheme="minorHAnsi" w:cs="TimesNewRomanPSMT"/>
        </w:rPr>
        <w:t xml:space="preserve"> </w:t>
      </w:r>
      <w:r w:rsidR="00C4359A">
        <w:rPr>
          <w:rFonts w:asciiTheme="minorHAnsi" w:eastAsiaTheme="minorHAnsi" w:hAnsiTheme="minorHAnsi" w:cs="TimesNewRomanPSMT"/>
        </w:rPr>
        <w:t>study</w:t>
      </w:r>
      <w:r w:rsidRPr="00F5566D">
        <w:rPr>
          <w:rFonts w:asciiTheme="minorHAnsi" w:eastAsiaTheme="minorHAnsi" w:hAnsiTheme="minorHAnsi" w:cs="TimesNewRomanPSMT"/>
        </w:rPr>
        <w:t xml:space="preserve"> of SBC-102 in patients with Lysosomal </w:t>
      </w:r>
      <w:r w:rsidR="00196207" w:rsidRPr="00F5566D">
        <w:rPr>
          <w:rFonts w:asciiTheme="minorHAnsi" w:eastAsiaTheme="minorHAnsi" w:hAnsiTheme="minorHAnsi" w:cs="TimesNewRomanPSMT"/>
        </w:rPr>
        <w:t xml:space="preserve">acid lipase deficiency </w:t>
      </w:r>
      <w:r w:rsidRPr="00F5566D">
        <w:rPr>
          <w:rFonts w:asciiTheme="minorHAnsi" w:eastAsiaTheme="minorHAnsi" w:hAnsiTheme="minorHAnsi" w:cs="TimesNewRomanPSMT"/>
        </w:rPr>
        <w:t xml:space="preserve">(ARISE </w:t>
      </w:r>
      <w:r w:rsidR="00196207">
        <w:rPr>
          <w:rFonts w:asciiTheme="minorHAnsi" w:eastAsiaTheme="minorHAnsi" w:hAnsiTheme="minorHAnsi" w:cs="TimesNewRomanPSMT"/>
        </w:rPr>
        <w:t>(</w:t>
      </w:r>
      <w:r w:rsidRPr="00F5566D">
        <w:rPr>
          <w:rFonts w:asciiTheme="minorHAnsi" w:eastAsiaTheme="minorHAnsi" w:hAnsiTheme="minorHAnsi" w:cs="TimesNewRomanPSMT"/>
        </w:rPr>
        <w:t>Acid Lipase Replacement investigating safety and efficacy</w:t>
      </w:r>
      <w:r w:rsidR="00196207">
        <w:rPr>
          <w:rFonts w:asciiTheme="minorHAnsi" w:eastAsiaTheme="minorHAnsi" w:hAnsiTheme="minorHAnsi" w:cs="TimesNewRomanPSMT"/>
        </w:rPr>
        <w:t>)</w:t>
      </w:r>
      <w:r w:rsidRPr="00F5566D">
        <w:rPr>
          <w:rFonts w:asciiTheme="minorHAnsi" w:eastAsiaTheme="minorHAnsi" w:hAnsiTheme="minorHAnsi" w:cs="TimesNewRomanPSMT"/>
        </w:rPr>
        <w:t xml:space="preserve">). The primary objective was to demonstrate efficacy of </w:t>
      </w:r>
      <w:proofErr w:type="spellStart"/>
      <w:r w:rsidRPr="00F5566D">
        <w:rPr>
          <w:rFonts w:asciiTheme="minorHAnsi" w:eastAsiaTheme="minorHAnsi" w:hAnsiTheme="minorHAnsi" w:cs="TimesNewRomanPSMT"/>
        </w:rPr>
        <w:t>sebelipase</w:t>
      </w:r>
      <w:proofErr w:type="spellEnd"/>
      <w:r w:rsidRPr="00F5566D">
        <w:rPr>
          <w:rFonts w:asciiTheme="minorHAnsi" w:eastAsiaTheme="minorHAnsi" w:hAnsiTheme="minorHAnsi" w:cs="TimesNewRomanPSMT"/>
        </w:rPr>
        <w:t xml:space="preserve"> alfa relative to placebo, based</w:t>
      </w:r>
      <w:r>
        <w:rPr>
          <w:rFonts w:asciiTheme="minorHAnsi" w:eastAsiaTheme="minorHAnsi" w:hAnsiTheme="minorHAnsi" w:cs="TimesNewRomanPSMT"/>
        </w:rPr>
        <w:t xml:space="preserve"> </w:t>
      </w:r>
      <w:r w:rsidRPr="00F5566D">
        <w:rPr>
          <w:rFonts w:asciiTheme="minorHAnsi" w:eastAsiaTheme="minorHAnsi" w:hAnsiTheme="minorHAnsi" w:cs="TimesNewRomanPSMT"/>
        </w:rPr>
        <w:t xml:space="preserve">on normalisation of alanine aminotransferase (ALT) in patients with </w:t>
      </w:r>
      <w:r w:rsidR="00196207" w:rsidRPr="00F5566D">
        <w:rPr>
          <w:rFonts w:asciiTheme="minorHAnsi" w:eastAsiaTheme="minorHAnsi" w:hAnsiTheme="minorHAnsi" w:cs="TimesNewRomanPSMT"/>
        </w:rPr>
        <w:t xml:space="preserve">lysosomal acid lipase </w:t>
      </w:r>
      <w:r w:rsidRPr="00F5566D">
        <w:rPr>
          <w:rFonts w:asciiTheme="minorHAnsi" w:eastAsiaTheme="minorHAnsi" w:hAnsiTheme="minorHAnsi" w:cs="TimesNewRomanPSMT"/>
        </w:rPr>
        <w:t>(LAL)</w:t>
      </w:r>
      <w:r>
        <w:rPr>
          <w:rFonts w:asciiTheme="minorHAnsi" w:eastAsiaTheme="minorHAnsi" w:hAnsiTheme="minorHAnsi" w:cs="TimesNewRomanPSMT"/>
        </w:rPr>
        <w:t xml:space="preserve"> </w:t>
      </w:r>
      <w:r w:rsidR="00196207">
        <w:rPr>
          <w:rFonts w:asciiTheme="minorHAnsi" w:eastAsiaTheme="minorHAnsi" w:hAnsiTheme="minorHAnsi" w:cs="TimesNewRomanPSMT"/>
        </w:rPr>
        <w:t>d</w:t>
      </w:r>
      <w:r w:rsidRPr="00F5566D">
        <w:rPr>
          <w:rFonts w:asciiTheme="minorHAnsi" w:eastAsiaTheme="minorHAnsi" w:hAnsiTheme="minorHAnsi" w:cs="TimesNewRomanPSMT"/>
        </w:rPr>
        <w:t>eficiency.</w:t>
      </w:r>
      <w:r>
        <w:rPr>
          <w:rFonts w:asciiTheme="minorHAnsi" w:eastAsiaTheme="minorHAnsi" w:hAnsiTheme="minorHAnsi" w:cs="TimesNewRomanPSMT"/>
        </w:rPr>
        <w:t xml:space="preserve"> </w:t>
      </w:r>
      <w:r w:rsidRPr="00F5566D">
        <w:rPr>
          <w:rFonts w:asciiTheme="minorHAnsi" w:eastAsiaTheme="minorHAnsi" w:hAnsiTheme="minorHAnsi" w:cs="TimesNewRomanPSMT"/>
        </w:rPr>
        <w:t xml:space="preserve">The secondary objective was to demonstrate the efficacy of </w:t>
      </w:r>
      <w:proofErr w:type="spellStart"/>
      <w:r w:rsidRPr="00F5566D">
        <w:rPr>
          <w:rFonts w:asciiTheme="minorHAnsi" w:eastAsiaTheme="minorHAnsi" w:hAnsiTheme="minorHAnsi" w:cs="TimesNewRomanPSMT"/>
        </w:rPr>
        <w:t>sebelipase</w:t>
      </w:r>
      <w:proofErr w:type="spellEnd"/>
      <w:r w:rsidRPr="00F5566D">
        <w:rPr>
          <w:rFonts w:asciiTheme="minorHAnsi" w:eastAsiaTheme="minorHAnsi" w:hAnsiTheme="minorHAnsi" w:cs="TimesNewRomanPSMT"/>
        </w:rPr>
        <w:t xml:space="preserve"> alfa, relative to placebo, based on</w:t>
      </w:r>
      <w:r>
        <w:rPr>
          <w:rFonts w:asciiTheme="minorHAnsi" w:eastAsiaTheme="minorHAnsi" w:hAnsiTheme="minorHAnsi" w:cs="TimesNewRomanPSMT"/>
        </w:rPr>
        <w:t xml:space="preserve"> </w:t>
      </w:r>
      <w:r w:rsidRPr="00F5566D">
        <w:rPr>
          <w:rFonts w:asciiTheme="minorHAnsi" w:eastAsiaTheme="minorHAnsi" w:hAnsiTheme="minorHAnsi" w:cs="TimesNewRomanPSMT"/>
        </w:rPr>
        <w:t>the following parameters:</w:t>
      </w:r>
    </w:p>
    <w:p w14:paraId="463E04E8" w14:textId="77777777" w:rsidR="00DE635E" w:rsidRPr="00DE635E" w:rsidRDefault="00DE635E" w:rsidP="00DE635E">
      <w:pPr>
        <w:pStyle w:val="ListBullet"/>
      </w:pPr>
      <w:r w:rsidRPr="00DE635E">
        <w:t xml:space="preserve">Decrease in low-density </w:t>
      </w:r>
      <w:r w:rsidR="00CC672B">
        <w:t>lipoprotein cholesterol</w:t>
      </w:r>
      <w:r w:rsidRPr="00DE635E">
        <w:t xml:space="preserve"> (LDL-c);</w:t>
      </w:r>
    </w:p>
    <w:p w14:paraId="544F1EB5" w14:textId="77777777" w:rsidR="00DE635E" w:rsidRPr="00DE635E" w:rsidRDefault="00CC672B" w:rsidP="00DE635E">
      <w:pPr>
        <w:pStyle w:val="ListBullet"/>
      </w:pPr>
      <w:r>
        <w:lastRenderedPageBreak/>
        <w:t xml:space="preserve">Decrease in non-high </w:t>
      </w:r>
      <w:r w:rsidR="00DE635E" w:rsidRPr="00DE635E">
        <w:t xml:space="preserve">density </w:t>
      </w:r>
      <w:r>
        <w:t>lipoprotein cholesterol</w:t>
      </w:r>
      <w:r w:rsidR="00DE635E" w:rsidRPr="00DE635E">
        <w:t xml:space="preserve"> (non-HDL-c);</w:t>
      </w:r>
    </w:p>
    <w:p w14:paraId="7A59EB34" w14:textId="77777777" w:rsidR="00DE635E" w:rsidRPr="00DE635E" w:rsidRDefault="00DE635E" w:rsidP="00DE635E">
      <w:pPr>
        <w:pStyle w:val="ListBullet"/>
      </w:pPr>
      <w:r w:rsidRPr="00DE635E">
        <w:t>Normalisation of aspartate aminotransferase (AST);</w:t>
      </w:r>
    </w:p>
    <w:p w14:paraId="66A127D8" w14:textId="77777777" w:rsidR="00DE635E" w:rsidRPr="00DE635E" w:rsidRDefault="00DE635E" w:rsidP="00DE635E">
      <w:pPr>
        <w:pStyle w:val="ListBullet"/>
      </w:pPr>
      <w:r w:rsidRPr="00DE635E">
        <w:t>Decrease in triglycerides (TG);</w:t>
      </w:r>
    </w:p>
    <w:p w14:paraId="4F827058" w14:textId="77777777" w:rsidR="00DE635E" w:rsidRPr="00DE635E" w:rsidRDefault="00DE635E" w:rsidP="00DE635E">
      <w:pPr>
        <w:pStyle w:val="ListBullet"/>
      </w:pPr>
      <w:r w:rsidRPr="00DE635E">
        <w:t xml:space="preserve">Increase in high-density </w:t>
      </w:r>
      <w:r w:rsidR="00CC672B">
        <w:t>lipoprotein cholesterol</w:t>
      </w:r>
      <w:r w:rsidRPr="00DE635E">
        <w:t xml:space="preserve"> (HDL-c);</w:t>
      </w:r>
    </w:p>
    <w:p w14:paraId="5A1CC8DE" w14:textId="77777777" w:rsidR="00DE635E" w:rsidRPr="00DE635E" w:rsidRDefault="00DE635E" w:rsidP="00DE635E">
      <w:pPr>
        <w:pStyle w:val="ListBullet"/>
      </w:pPr>
      <w:r w:rsidRPr="00DE635E">
        <w:t>Decrease in liver fat content and liver volume as assessed by magnetic resonance imaging (MRI) (in the subset of subjects for whom imaging was performed);</w:t>
      </w:r>
    </w:p>
    <w:p w14:paraId="1D52D1E1" w14:textId="77777777" w:rsidR="00DE635E" w:rsidRPr="00DE635E" w:rsidRDefault="00DE635E" w:rsidP="00DE635E">
      <w:pPr>
        <w:pStyle w:val="ListBullet"/>
      </w:pPr>
      <w:r w:rsidRPr="00DE635E">
        <w:t>Improvement in hepatic histology (in the subset of subjects for whom liver biopsy was performed, as determined by blinded central review);</w:t>
      </w:r>
    </w:p>
    <w:p w14:paraId="0D4A676E" w14:textId="77777777" w:rsidR="00B73619" w:rsidRDefault="00DE635E" w:rsidP="00DE635E">
      <w:pPr>
        <w:autoSpaceDE w:val="0"/>
        <w:autoSpaceDN w:val="0"/>
        <w:adjustRightInd w:val="0"/>
        <w:spacing w:before="0" w:line="240" w:lineRule="auto"/>
        <w:rPr>
          <w:rFonts w:asciiTheme="minorHAnsi" w:hAnsiTheme="minorHAnsi"/>
          <w:lang w:eastAsia="ja-JP"/>
        </w:rPr>
      </w:pPr>
      <w:r w:rsidRPr="00F5566D">
        <w:rPr>
          <w:rFonts w:asciiTheme="minorHAnsi" w:eastAsiaTheme="minorHAnsi" w:hAnsiTheme="minorHAnsi" w:cs="TimesNewRomanPSMT"/>
        </w:rPr>
        <w:t>Oth</w:t>
      </w:r>
      <w:r>
        <w:rPr>
          <w:rFonts w:asciiTheme="minorHAnsi" w:eastAsiaTheme="minorHAnsi" w:hAnsiTheme="minorHAnsi" w:cs="TimesNewRomanPSMT"/>
        </w:rPr>
        <w:t>er secondary objectives were to e</w:t>
      </w:r>
      <w:r w:rsidRPr="00F5566D">
        <w:rPr>
          <w:rFonts w:asciiTheme="minorHAnsi" w:eastAsiaTheme="minorHAnsi" w:hAnsiTheme="minorHAnsi" w:cs="TimesNewRomanPSMT"/>
        </w:rPr>
        <w:t>valuate the safety, tolerability, and immunogeni</w:t>
      </w:r>
      <w:r>
        <w:rPr>
          <w:rFonts w:asciiTheme="minorHAnsi" w:eastAsiaTheme="minorHAnsi" w:hAnsiTheme="minorHAnsi" w:cs="TimesNewRomanPSMT"/>
        </w:rPr>
        <w:t xml:space="preserve">city of </w:t>
      </w:r>
      <w:proofErr w:type="spellStart"/>
      <w:r>
        <w:rPr>
          <w:rFonts w:asciiTheme="minorHAnsi" w:eastAsiaTheme="minorHAnsi" w:hAnsiTheme="minorHAnsi" w:cs="TimesNewRomanPSMT"/>
        </w:rPr>
        <w:t>sebelipase</w:t>
      </w:r>
      <w:proofErr w:type="spellEnd"/>
      <w:r>
        <w:rPr>
          <w:rFonts w:asciiTheme="minorHAnsi" w:eastAsiaTheme="minorHAnsi" w:hAnsiTheme="minorHAnsi" w:cs="TimesNewRomanPSMT"/>
        </w:rPr>
        <w:t xml:space="preserve"> alfa therapy and to f</w:t>
      </w:r>
      <w:r w:rsidRPr="00F5566D">
        <w:rPr>
          <w:rFonts w:asciiTheme="minorHAnsi" w:eastAsiaTheme="minorHAnsi" w:hAnsiTheme="minorHAnsi" w:cs="TimesNewRomanPSMT"/>
        </w:rPr>
        <w:t xml:space="preserve">urther characterise the pharmacokinetics (PK) of </w:t>
      </w:r>
      <w:proofErr w:type="spellStart"/>
      <w:r w:rsidRPr="00F5566D">
        <w:rPr>
          <w:rFonts w:asciiTheme="minorHAnsi" w:eastAsiaTheme="minorHAnsi" w:hAnsiTheme="minorHAnsi" w:cs="TimesNewRomanPSMT"/>
        </w:rPr>
        <w:t>sebelipase</w:t>
      </w:r>
      <w:proofErr w:type="spellEnd"/>
      <w:r w:rsidRPr="00F5566D">
        <w:rPr>
          <w:rFonts w:asciiTheme="minorHAnsi" w:eastAsiaTheme="minorHAnsi" w:hAnsiTheme="minorHAnsi" w:cs="TimesNewRomanPSMT"/>
        </w:rPr>
        <w:t xml:space="preserve"> alfa.</w:t>
      </w:r>
      <w:r>
        <w:rPr>
          <w:rFonts w:asciiTheme="minorHAnsi" w:eastAsiaTheme="minorHAnsi" w:hAnsiTheme="minorHAnsi" w:cs="TimesNewRomanPSMT"/>
        </w:rPr>
        <w:t xml:space="preserve"> </w:t>
      </w:r>
      <w:r w:rsidRPr="00F5566D">
        <w:rPr>
          <w:rFonts w:asciiTheme="minorHAnsi" w:hAnsiTheme="minorHAnsi"/>
          <w:lang w:eastAsia="ja-JP"/>
        </w:rPr>
        <w:t xml:space="preserve">The </w:t>
      </w:r>
      <w:r w:rsidR="00C4359A">
        <w:rPr>
          <w:rFonts w:asciiTheme="minorHAnsi" w:hAnsiTheme="minorHAnsi"/>
          <w:lang w:eastAsia="ja-JP"/>
        </w:rPr>
        <w:t>study</w:t>
      </w:r>
      <w:r w:rsidRPr="00F5566D">
        <w:rPr>
          <w:rFonts w:asciiTheme="minorHAnsi" w:hAnsiTheme="minorHAnsi"/>
          <w:lang w:eastAsia="ja-JP"/>
        </w:rPr>
        <w:t xml:space="preserve"> was conducted from 22 </w:t>
      </w:r>
      <w:r w:rsidR="00CC672B">
        <w:rPr>
          <w:rFonts w:asciiTheme="minorHAnsi" w:hAnsiTheme="minorHAnsi"/>
          <w:lang w:eastAsia="ja-JP"/>
        </w:rPr>
        <w:t>January</w:t>
      </w:r>
      <w:r w:rsidRPr="00F5566D">
        <w:rPr>
          <w:rFonts w:asciiTheme="minorHAnsi" w:hAnsiTheme="minorHAnsi"/>
          <w:lang w:eastAsia="ja-JP"/>
        </w:rPr>
        <w:t xml:space="preserve"> 2013 to 30 May 2014 (end of </w:t>
      </w:r>
      <w:r w:rsidR="003F3AB4">
        <w:rPr>
          <w:rFonts w:asciiTheme="minorHAnsi" w:hAnsiTheme="minorHAnsi"/>
          <w:lang w:eastAsia="ja-JP"/>
        </w:rPr>
        <w:t>double blind</w:t>
      </w:r>
      <w:r w:rsidRPr="00F5566D">
        <w:rPr>
          <w:rFonts w:asciiTheme="minorHAnsi" w:hAnsiTheme="minorHAnsi"/>
          <w:lang w:eastAsia="ja-JP"/>
        </w:rPr>
        <w:t xml:space="preserve"> period) at 55 centres in 17 countries</w:t>
      </w:r>
      <w:r>
        <w:rPr>
          <w:rFonts w:asciiTheme="minorHAnsi" w:hAnsiTheme="minorHAnsi"/>
          <w:lang w:eastAsia="ja-JP"/>
        </w:rPr>
        <w:t>:</w:t>
      </w:r>
      <w:r w:rsidRPr="00F5566D">
        <w:rPr>
          <w:rFonts w:asciiTheme="minorHAnsi" w:hAnsiTheme="minorHAnsi"/>
          <w:lang w:eastAsia="ja-JP"/>
        </w:rPr>
        <w:t xml:space="preserve"> </w:t>
      </w:r>
      <w:r w:rsidRPr="00F5566D">
        <w:rPr>
          <w:rFonts w:asciiTheme="minorHAnsi" w:eastAsiaTheme="minorHAnsi" w:hAnsiTheme="minorHAnsi" w:cs="TimesNewRomanPSMT"/>
        </w:rPr>
        <w:t>Australia</w:t>
      </w:r>
      <w:r>
        <w:rPr>
          <w:rFonts w:asciiTheme="minorHAnsi" w:eastAsiaTheme="minorHAnsi" w:hAnsiTheme="minorHAnsi" w:cs="TimesNewRomanPSMT"/>
        </w:rPr>
        <w:t>;</w:t>
      </w:r>
      <w:r w:rsidRPr="00F5566D">
        <w:rPr>
          <w:rFonts w:asciiTheme="minorHAnsi" w:eastAsiaTheme="minorHAnsi" w:hAnsiTheme="minorHAnsi" w:cs="TimesNewRomanPSMT"/>
        </w:rPr>
        <w:t xml:space="preserve"> Europe (Croatia, Czech Republic, France, Germany,</w:t>
      </w:r>
      <w:r>
        <w:rPr>
          <w:rFonts w:asciiTheme="minorHAnsi" w:eastAsiaTheme="minorHAnsi" w:hAnsiTheme="minorHAnsi" w:cs="TimesNewRomanPSMT"/>
        </w:rPr>
        <w:t xml:space="preserve"> </w:t>
      </w:r>
      <w:r w:rsidRPr="00F5566D">
        <w:rPr>
          <w:rFonts w:asciiTheme="minorHAnsi" w:eastAsiaTheme="minorHAnsi" w:hAnsiTheme="minorHAnsi" w:cs="TimesNewRomanPSMT"/>
        </w:rPr>
        <w:t xml:space="preserve">Greece, </w:t>
      </w:r>
      <w:r w:rsidRPr="009C4705">
        <w:rPr>
          <w:rFonts w:asciiTheme="minorHAnsi" w:eastAsiaTheme="minorHAnsi" w:hAnsiTheme="minorHAnsi" w:cs="TimesNewRomanPSMT"/>
        </w:rPr>
        <w:t>Italy, Poland, Russia, Spain, United Kingdom); Middle East (Turkey); North America (United States and Canada); and South America (Argentina), as well as Japan and Mexico</w:t>
      </w:r>
      <w:r w:rsidRPr="009C4705">
        <w:rPr>
          <w:rFonts w:asciiTheme="minorHAnsi" w:hAnsiTheme="minorHAnsi"/>
          <w:lang w:eastAsia="ja-JP"/>
        </w:rPr>
        <w:t xml:space="preserve">. The </w:t>
      </w:r>
      <w:r w:rsidR="00B73619">
        <w:rPr>
          <w:rFonts w:asciiTheme="minorHAnsi" w:hAnsiTheme="minorHAnsi"/>
          <w:lang w:eastAsia="ja-JP"/>
        </w:rPr>
        <w:t>open label</w:t>
      </w:r>
      <w:r w:rsidRPr="009C4705">
        <w:rPr>
          <w:rFonts w:asciiTheme="minorHAnsi" w:hAnsiTheme="minorHAnsi"/>
          <w:lang w:eastAsia="ja-JP"/>
        </w:rPr>
        <w:t xml:space="preserve"> period is ongoing</w:t>
      </w:r>
      <w:r w:rsidR="00B73619">
        <w:rPr>
          <w:rFonts w:asciiTheme="minorHAnsi" w:hAnsiTheme="minorHAnsi"/>
          <w:lang w:eastAsia="ja-JP"/>
        </w:rPr>
        <w:t>.</w:t>
      </w:r>
    </w:p>
    <w:p w14:paraId="7A6E8D65" w14:textId="77777777" w:rsidR="00B73619" w:rsidRDefault="00DE635E" w:rsidP="00DE635E">
      <w:pPr>
        <w:autoSpaceDE w:val="0"/>
        <w:autoSpaceDN w:val="0"/>
        <w:adjustRightInd w:val="0"/>
        <w:spacing w:before="0" w:line="240" w:lineRule="auto"/>
        <w:rPr>
          <w:rFonts w:asciiTheme="minorHAnsi" w:eastAsiaTheme="minorHAnsi" w:hAnsiTheme="minorHAnsi" w:cs="TimesNewRomanPSMT"/>
          <w:b/>
          <w:highlight w:val="yellow"/>
        </w:rPr>
      </w:pPr>
      <w:r w:rsidRPr="009C4705">
        <w:rPr>
          <w:rFonts w:asciiTheme="minorHAnsi" w:eastAsiaTheme="minorHAnsi" w:hAnsiTheme="minorHAnsi" w:cs="TimesNewRomanPSMT"/>
        </w:rPr>
        <w:t xml:space="preserve">The </w:t>
      </w:r>
      <w:r w:rsidR="00C4359A">
        <w:rPr>
          <w:rFonts w:asciiTheme="minorHAnsi" w:eastAsiaTheme="minorHAnsi" w:hAnsiTheme="minorHAnsi" w:cs="TimesNewRomanPSMT"/>
        </w:rPr>
        <w:t>study</w:t>
      </w:r>
      <w:r w:rsidRPr="009C4705">
        <w:rPr>
          <w:rFonts w:asciiTheme="minorHAnsi" w:eastAsiaTheme="minorHAnsi" w:hAnsiTheme="minorHAnsi" w:cs="TimesNewRomanPSMT"/>
        </w:rPr>
        <w:t xml:space="preserve"> consisted of a screening period of up to</w:t>
      </w:r>
      <w:r>
        <w:rPr>
          <w:rFonts w:asciiTheme="minorHAnsi" w:eastAsiaTheme="minorHAnsi" w:hAnsiTheme="minorHAnsi" w:cs="TimesNewRomanPSMT"/>
        </w:rPr>
        <w:t xml:space="preserve"> </w:t>
      </w:r>
      <w:r w:rsidRPr="009C4705">
        <w:rPr>
          <w:rFonts w:asciiTheme="minorHAnsi" w:eastAsiaTheme="minorHAnsi" w:hAnsiTheme="minorHAnsi" w:cs="TimesNewRomanPSMT"/>
        </w:rPr>
        <w:t xml:space="preserve">6 weeks, a </w:t>
      </w:r>
      <w:r w:rsidR="00FE3465">
        <w:rPr>
          <w:rFonts w:asciiTheme="minorHAnsi" w:eastAsiaTheme="minorHAnsi" w:hAnsiTheme="minorHAnsi" w:cs="TimesNewRomanPSMT"/>
        </w:rPr>
        <w:t>20 week</w:t>
      </w:r>
      <w:r w:rsidRPr="009C4705">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9C4705">
        <w:rPr>
          <w:rFonts w:asciiTheme="minorHAnsi" w:eastAsiaTheme="minorHAnsi" w:hAnsiTheme="minorHAnsi" w:cs="TimesNewRomanPSMT"/>
        </w:rPr>
        <w:t xml:space="preserve"> treatment period, an </w:t>
      </w:r>
      <w:r w:rsidR="00B73619">
        <w:rPr>
          <w:rFonts w:asciiTheme="minorHAnsi" w:eastAsiaTheme="minorHAnsi" w:hAnsiTheme="minorHAnsi" w:cs="TimesNewRomanPSMT"/>
        </w:rPr>
        <w:t>open label</w:t>
      </w:r>
      <w:r w:rsidRPr="009C4705">
        <w:rPr>
          <w:rFonts w:asciiTheme="minorHAnsi" w:eastAsiaTheme="minorHAnsi" w:hAnsiTheme="minorHAnsi" w:cs="TimesNewRomanPSMT"/>
        </w:rPr>
        <w:t xml:space="preserve"> period of up to 130 weeks, and a follow-up</w:t>
      </w:r>
      <w:r>
        <w:rPr>
          <w:rFonts w:asciiTheme="minorHAnsi" w:eastAsiaTheme="minorHAnsi" w:hAnsiTheme="minorHAnsi" w:cs="TimesNewRomanPSMT"/>
        </w:rPr>
        <w:t xml:space="preserve"> </w:t>
      </w:r>
      <w:r w:rsidRPr="009C4705">
        <w:rPr>
          <w:rFonts w:asciiTheme="minorHAnsi" w:eastAsiaTheme="minorHAnsi" w:hAnsiTheme="minorHAnsi" w:cs="TimesNewRomanPSMT"/>
        </w:rPr>
        <w:t xml:space="preserve">phone call at least 4 weeks after the last dose of </w:t>
      </w:r>
      <w:r w:rsidR="00C4359A">
        <w:rPr>
          <w:rFonts w:asciiTheme="minorHAnsi" w:eastAsiaTheme="minorHAnsi" w:hAnsiTheme="minorHAnsi" w:cs="TimesNewRomanPSMT"/>
        </w:rPr>
        <w:t>study</w:t>
      </w:r>
      <w:r w:rsidRPr="009C4705">
        <w:rPr>
          <w:rFonts w:asciiTheme="minorHAnsi" w:eastAsiaTheme="minorHAnsi" w:hAnsiTheme="minorHAnsi" w:cs="TimesNewRomanPSMT"/>
        </w:rPr>
        <w:t xml:space="preserve"> drug. Subjects in the placebo group could</w:t>
      </w:r>
      <w:r>
        <w:rPr>
          <w:rFonts w:asciiTheme="minorHAnsi" w:eastAsiaTheme="minorHAnsi" w:hAnsiTheme="minorHAnsi" w:cs="TimesNewRomanPSMT"/>
        </w:rPr>
        <w:t xml:space="preserve"> </w:t>
      </w:r>
      <w:r w:rsidRPr="009C4705">
        <w:rPr>
          <w:rFonts w:asciiTheme="minorHAnsi" w:eastAsiaTheme="minorHAnsi" w:hAnsiTheme="minorHAnsi" w:cs="TimesNewRomanPSMT"/>
        </w:rPr>
        <w:t xml:space="preserve">crossover to receive </w:t>
      </w:r>
      <w:proofErr w:type="spellStart"/>
      <w:r w:rsidRPr="009C4705">
        <w:rPr>
          <w:rFonts w:asciiTheme="minorHAnsi" w:eastAsiaTheme="minorHAnsi" w:hAnsiTheme="minorHAnsi" w:cs="TimesNewRomanPSMT"/>
        </w:rPr>
        <w:t>sebelipase</w:t>
      </w:r>
      <w:proofErr w:type="spellEnd"/>
      <w:r w:rsidRPr="009C4705">
        <w:rPr>
          <w:rFonts w:asciiTheme="minorHAnsi" w:eastAsiaTheme="minorHAnsi" w:hAnsiTheme="minorHAnsi" w:cs="TimesNewRomanPSMT"/>
        </w:rPr>
        <w:t xml:space="preserve"> alfa upon entry into the </w:t>
      </w:r>
      <w:r w:rsidR="00B73619">
        <w:rPr>
          <w:rFonts w:asciiTheme="minorHAnsi" w:eastAsiaTheme="minorHAnsi" w:hAnsiTheme="minorHAnsi" w:cs="TimesNewRomanPSMT"/>
        </w:rPr>
        <w:t>open label</w:t>
      </w:r>
      <w:r w:rsidRPr="009C4705">
        <w:rPr>
          <w:rFonts w:asciiTheme="minorHAnsi" w:eastAsiaTheme="minorHAnsi" w:hAnsiTheme="minorHAnsi" w:cs="TimesNewRomanPSMT"/>
        </w:rPr>
        <w:t xml:space="preserve"> period.</w:t>
      </w:r>
      <w:r>
        <w:rPr>
          <w:rFonts w:asciiTheme="minorHAnsi" w:eastAsiaTheme="minorHAnsi" w:hAnsiTheme="minorHAnsi" w:cs="TimesNewRomanPSMT"/>
        </w:rPr>
        <w:t xml:space="preserve"> </w:t>
      </w:r>
      <w:r w:rsidRPr="009C4705">
        <w:rPr>
          <w:rFonts w:asciiTheme="minorHAnsi" w:eastAsiaTheme="minorHAnsi" w:hAnsiTheme="minorHAnsi" w:cs="TimesNewRomanPSMT"/>
        </w:rPr>
        <w:t>Subjects were randomised to treatment following completion of all screening assessments and confirmation</w:t>
      </w:r>
      <w:r>
        <w:rPr>
          <w:rFonts w:asciiTheme="minorHAnsi" w:eastAsiaTheme="minorHAnsi" w:hAnsiTheme="minorHAnsi" w:cs="TimesNewRomanPSMT"/>
        </w:rPr>
        <w:t xml:space="preserve"> </w:t>
      </w:r>
      <w:r w:rsidRPr="009C4705">
        <w:rPr>
          <w:rFonts w:asciiTheme="minorHAnsi" w:eastAsiaTheme="minorHAnsi" w:hAnsiTheme="minorHAnsi" w:cs="TimesNewRomanPSMT"/>
        </w:rPr>
        <w:t xml:space="preserve">of </w:t>
      </w:r>
      <w:r w:rsidR="00C4359A">
        <w:rPr>
          <w:rFonts w:asciiTheme="minorHAnsi" w:eastAsiaTheme="minorHAnsi" w:hAnsiTheme="minorHAnsi" w:cs="TimesNewRomanPSMT"/>
        </w:rPr>
        <w:t>study</w:t>
      </w:r>
      <w:r w:rsidRPr="009C4705">
        <w:rPr>
          <w:rFonts w:asciiTheme="minorHAnsi" w:eastAsiaTheme="minorHAnsi" w:hAnsiTheme="minorHAnsi" w:cs="TimesNewRomanPSMT"/>
        </w:rPr>
        <w:t xml:space="preserve"> eligibility. Randomisation was stratified by the following parameters: age at randomisation</w:t>
      </w:r>
      <w:r>
        <w:rPr>
          <w:rFonts w:asciiTheme="minorHAnsi" w:eastAsiaTheme="minorHAnsi" w:hAnsiTheme="minorHAnsi" w:cs="TimesNewRomanPSMT"/>
        </w:rPr>
        <w:t xml:space="preserve"> </w:t>
      </w:r>
      <w:r w:rsidR="00CC672B">
        <w:rPr>
          <w:rFonts w:asciiTheme="minorHAnsi" w:eastAsiaTheme="minorHAnsi" w:hAnsiTheme="minorHAnsi" w:cs="TimesNewRomanPSMT"/>
        </w:rPr>
        <w:t>(</w:t>
      </w:r>
      <w:r w:rsidR="00A87AAC">
        <w:rPr>
          <w:rFonts w:asciiTheme="minorHAnsi" w:eastAsiaTheme="minorHAnsi" w:hAnsiTheme="minorHAnsi" w:cs="TimesNewRomanPSMT"/>
        </w:rPr>
        <w:t xml:space="preserve">&lt; </w:t>
      </w:r>
      <w:r w:rsidR="00CC672B">
        <w:rPr>
          <w:rFonts w:asciiTheme="minorHAnsi" w:eastAsiaTheme="minorHAnsi" w:hAnsiTheme="minorHAnsi" w:cs="TimesNewRomanPSMT"/>
        </w:rPr>
        <w:t>12 years, ≥ </w:t>
      </w:r>
      <w:r w:rsidRPr="009C4705">
        <w:rPr>
          <w:rFonts w:asciiTheme="minorHAnsi" w:eastAsiaTheme="minorHAnsi" w:hAnsiTheme="minorHAnsi" w:cs="TimesNewRomanPSMT"/>
        </w:rPr>
        <w:t>12 years); average screening ALT level (</w:t>
      </w:r>
      <w:r w:rsidR="00A87AAC">
        <w:rPr>
          <w:rFonts w:asciiTheme="minorHAnsi" w:eastAsiaTheme="minorHAnsi" w:hAnsiTheme="minorHAnsi" w:cs="TimesNewRomanPSMT"/>
        </w:rPr>
        <w:t xml:space="preserve">&lt; </w:t>
      </w:r>
      <w:r w:rsidRPr="009C4705">
        <w:rPr>
          <w:rFonts w:asciiTheme="minorHAnsi" w:eastAsiaTheme="minorHAnsi" w:hAnsiTheme="minorHAnsi" w:cs="TimesNewRomanPSMT"/>
        </w:rPr>
        <w:t xml:space="preserve">3 </w:t>
      </w:r>
      <w:r w:rsidR="002D28A4">
        <w:rPr>
          <w:rFonts w:asciiTheme="minorHAnsi" w:eastAsiaTheme="minorHAnsi" w:hAnsiTheme="minorHAnsi" w:cs="TimesNewRomanPSMT"/>
        </w:rPr>
        <w:t>x</w:t>
      </w:r>
      <w:r w:rsidRPr="009C4705">
        <w:rPr>
          <w:rFonts w:asciiTheme="minorHAnsi" w:eastAsiaTheme="minorHAnsi" w:hAnsiTheme="minorHAnsi" w:cs="TimesNewRomanPSMT"/>
        </w:rPr>
        <w:t xml:space="preserve"> ULN, ≥ 3 </w:t>
      </w:r>
      <w:r w:rsidR="002D28A4">
        <w:rPr>
          <w:rFonts w:asciiTheme="minorHAnsi" w:eastAsiaTheme="minorHAnsi" w:hAnsiTheme="minorHAnsi" w:cs="TimesNewRomanPSMT"/>
        </w:rPr>
        <w:t>x</w:t>
      </w:r>
      <w:r w:rsidRPr="009C4705">
        <w:rPr>
          <w:rFonts w:asciiTheme="minorHAnsi" w:eastAsiaTheme="minorHAnsi" w:hAnsiTheme="minorHAnsi" w:cs="TimesNewRomanPSMT"/>
        </w:rPr>
        <w:t xml:space="preserve"> ULN); and use of </w:t>
      </w:r>
      <w:r w:rsidR="002D28A4">
        <w:rPr>
          <w:rFonts w:asciiTheme="minorHAnsi" w:eastAsiaTheme="minorHAnsi" w:hAnsiTheme="minorHAnsi" w:cs="TimesNewRomanPSMT"/>
        </w:rPr>
        <w:t>lipid lowering</w:t>
      </w:r>
      <w:r>
        <w:rPr>
          <w:rFonts w:asciiTheme="minorHAnsi" w:eastAsiaTheme="minorHAnsi" w:hAnsiTheme="minorHAnsi" w:cs="TimesNewRomanPSMT"/>
        </w:rPr>
        <w:t xml:space="preserve"> </w:t>
      </w:r>
      <w:r w:rsidRPr="009C4705">
        <w:rPr>
          <w:rFonts w:asciiTheme="minorHAnsi" w:eastAsiaTheme="minorHAnsi" w:hAnsiTheme="minorHAnsi" w:cs="TimesNewRomanPSMT"/>
        </w:rPr>
        <w:t>medications (LLM) (yes, no).</w:t>
      </w:r>
      <w:r>
        <w:rPr>
          <w:rFonts w:asciiTheme="minorHAnsi" w:eastAsiaTheme="minorHAnsi" w:hAnsiTheme="minorHAnsi" w:cs="TimesNewRomanPSMT"/>
        </w:rPr>
        <w:t xml:space="preserve"> </w:t>
      </w:r>
      <w:r w:rsidRPr="009C4705">
        <w:rPr>
          <w:rFonts w:asciiTheme="minorHAnsi" w:eastAsiaTheme="minorHAnsi" w:hAnsiTheme="minorHAnsi" w:cs="TimesNewRomanPSMT"/>
        </w:rPr>
        <w:t xml:space="preserve">Efficacy and safety assessments were performed at regular intervals throughout the </w:t>
      </w:r>
      <w:r w:rsidR="00C4359A">
        <w:rPr>
          <w:rFonts w:asciiTheme="minorHAnsi" w:eastAsiaTheme="minorHAnsi" w:hAnsiTheme="minorHAnsi" w:cs="TimesNewRomanPSMT"/>
        </w:rPr>
        <w:t>study</w:t>
      </w:r>
      <w:r w:rsidRPr="009C4705">
        <w:rPr>
          <w:rFonts w:asciiTheme="minorHAnsi" w:eastAsiaTheme="minorHAnsi" w:hAnsiTheme="minorHAnsi" w:cs="TimesNewRomanPSMT"/>
        </w:rPr>
        <w:t>. In addition, the</w:t>
      </w:r>
      <w:r>
        <w:rPr>
          <w:rFonts w:asciiTheme="minorHAnsi" w:eastAsiaTheme="minorHAnsi" w:hAnsiTheme="minorHAnsi" w:cs="TimesNewRomanPSMT"/>
        </w:rPr>
        <w:t xml:space="preserve"> </w:t>
      </w:r>
      <w:r w:rsidRPr="009C4705">
        <w:rPr>
          <w:rFonts w:asciiTheme="minorHAnsi" w:eastAsiaTheme="minorHAnsi" w:hAnsiTheme="minorHAnsi" w:cs="TimesNewRomanPSMT"/>
        </w:rPr>
        <w:t>PK</w:t>
      </w:r>
      <w:r>
        <w:rPr>
          <w:rFonts w:asciiTheme="minorHAnsi" w:eastAsiaTheme="minorHAnsi" w:hAnsiTheme="minorHAnsi" w:cs="TimesNewRomanPSMT"/>
        </w:rPr>
        <w:t>s</w:t>
      </w:r>
      <w:r w:rsidRPr="009C4705">
        <w:rPr>
          <w:rFonts w:asciiTheme="minorHAnsi" w:eastAsiaTheme="minorHAnsi" w:hAnsiTheme="minorHAnsi" w:cs="TimesNewRomanPSMT"/>
        </w:rPr>
        <w:t xml:space="preserve"> of </w:t>
      </w:r>
      <w:proofErr w:type="spellStart"/>
      <w:r w:rsidRPr="009C4705">
        <w:rPr>
          <w:rFonts w:asciiTheme="minorHAnsi" w:eastAsiaTheme="minorHAnsi" w:hAnsiTheme="minorHAnsi" w:cs="TimesNewRomanPSMT"/>
        </w:rPr>
        <w:t>sebeli</w:t>
      </w:r>
      <w:r w:rsidR="002D28A4">
        <w:rPr>
          <w:rFonts w:asciiTheme="minorHAnsi" w:eastAsiaTheme="minorHAnsi" w:hAnsiTheme="minorHAnsi" w:cs="TimesNewRomanPSMT"/>
        </w:rPr>
        <w:t>pase</w:t>
      </w:r>
      <w:proofErr w:type="spellEnd"/>
      <w:r w:rsidR="002D28A4">
        <w:rPr>
          <w:rFonts w:asciiTheme="minorHAnsi" w:eastAsiaTheme="minorHAnsi" w:hAnsiTheme="minorHAnsi" w:cs="TimesNewRomanPSMT"/>
        </w:rPr>
        <w:t xml:space="preserve"> alfa and effects on health </w:t>
      </w:r>
      <w:r w:rsidRPr="009C4705">
        <w:rPr>
          <w:rFonts w:asciiTheme="minorHAnsi" w:eastAsiaTheme="minorHAnsi" w:hAnsiTheme="minorHAnsi" w:cs="TimesNewRomanPSMT"/>
        </w:rPr>
        <w:t>related quality of life (HRQOL) were characterised at selected</w:t>
      </w:r>
      <w:r>
        <w:rPr>
          <w:rFonts w:asciiTheme="minorHAnsi" w:eastAsiaTheme="minorHAnsi" w:hAnsiTheme="minorHAnsi" w:cs="TimesNewRomanPSMT"/>
        </w:rPr>
        <w:t xml:space="preserve"> </w:t>
      </w:r>
      <w:r w:rsidRPr="009C4705">
        <w:rPr>
          <w:rFonts w:asciiTheme="minorHAnsi" w:eastAsiaTheme="minorHAnsi" w:hAnsiTheme="minorHAnsi" w:cs="TimesNewRomanPSMT"/>
        </w:rPr>
        <w:t>time points. Blood and urine samples also were collected for an additional analysis of potential disease</w:t>
      </w:r>
      <w:r>
        <w:rPr>
          <w:rFonts w:asciiTheme="minorHAnsi" w:eastAsiaTheme="minorHAnsi" w:hAnsiTheme="minorHAnsi" w:cs="TimesNewRomanPSMT"/>
        </w:rPr>
        <w:t xml:space="preserve"> </w:t>
      </w:r>
      <w:r w:rsidRPr="009C4705">
        <w:rPr>
          <w:rFonts w:asciiTheme="minorHAnsi" w:eastAsiaTheme="minorHAnsi" w:hAnsiTheme="minorHAnsi" w:cs="TimesNewRomanPSMT"/>
        </w:rPr>
        <w:t>related</w:t>
      </w:r>
      <w:r>
        <w:rPr>
          <w:rFonts w:asciiTheme="minorHAnsi" w:eastAsiaTheme="minorHAnsi" w:hAnsiTheme="minorHAnsi" w:cs="TimesNewRomanPSMT"/>
        </w:rPr>
        <w:t xml:space="preserve"> </w:t>
      </w:r>
      <w:r w:rsidRPr="009C4705">
        <w:rPr>
          <w:rFonts w:asciiTheme="minorHAnsi" w:eastAsiaTheme="minorHAnsi" w:hAnsiTheme="minorHAnsi" w:cs="TimesNewRomanPSMT"/>
        </w:rPr>
        <w:t>biomarkers in this population</w:t>
      </w:r>
      <w:r w:rsidR="002D28A4">
        <w:rPr>
          <w:rFonts w:asciiTheme="minorHAnsi" w:eastAsiaTheme="minorHAnsi" w:hAnsiTheme="minorHAnsi" w:cs="TimesNewRomanPSMT"/>
        </w:rPr>
        <w:t>.</w:t>
      </w:r>
    </w:p>
    <w:p w14:paraId="7E3362DC" w14:textId="77777777" w:rsidR="00DE635E" w:rsidRPr="009C4705" w:rsidRDefault="00DE635E" w:rsidP="00DE635E">
      <w:pPr>
        <w:pStyle w:val="Heading5"/>
      </w:pPr>
      <w:r w:rsidRPr="009C4705">
        <w:t>Inclusion and exclusion criteria</w:t>
      </w:r>
    </w:p>
    <w:p w14:paraId="146485D7" w14:textId="0379D872" w:rsidR="00B73619" w:rsidRDefault="00DE635E" w:rsidP="00DE635E">
      <w:pPr>
        <w:autoSpaceDE w:val="0"/>
        <w:autoSpaceDN w:val="0"/>
        <w:adjustRightInd w:val="0"/>
        <w:spacing w:before="0" w:line="240" w:lineRule="auto"/>
        <w:rPr>
          <w:rFonts w:asciiTheme="minorHAnsi" w:eastAsiaTheme="minorHAnsi" w:hAnsiTheme="minorHAnsi" w:cs="TimesNewRomanPSMT"/>
        </w:rPr>
      </w:pPr>
      <w:r>
        <w:rPr>
          <w:rFonts w:asciiTheme="minorHAnsi" w:hAnsiTheme="minorHAnsi"/>
          <w:lang w:eastAsia="ja-JP"/>
        </w:rPr>
        <w:t xml:space="preserve">The main inclusion criteria were: age </w:t>
      </w:r>
      <w:r w:rsidR="00B73619">
        <w:rPr>
          <w:rFonts w:asciiTheme="minorHAnsi" w:hAnsiTheme="minorHAnsi"/>
          <w:lang w:eastAsia="ja-JP"/>
        </w:rPr>
        <w:t xml:space="preserve">&gt; </w:t>
      </w:r>
      <w:r>
        <w:rPr>
          <w:rFonts w:asciiTheme="minorHAnsi" w:hAnsiTheme="minorHAnsi"/>
          <w:lang w:eastAsia="ja-JP"/>
        </w:rPr>
        <w:t xml:space="preserve">4 years of age on date of </w:t>
      </w:r>
      <w:r w:rsidRPr="009C4705">
        <w:rPr>
          <w:rFonts w:asciiTheme="minorHAnsi" w:hAnsiTheme="minorHAnsi"/>
          <w:lang w:eastAsia="ja-JP"/>
        </w:rPr>
        <w:t xml:space="preserve">informed consent; </w:t>
      </w:r>
      <w:r w:rsidRPr="009C4705">
        <w:rPr>
          <w:rFonts w:asciiTheme="minorHAnsi" w:eastAsiaTheme="minorHAnsi" w:hAnsiTheme="minorHAnsi" w:cs="TimesNewRomanPSMT"/>
        </w:rPr>
        <w:t>deficiency of lysosomal acid lipase (LAL) enzyme activity confirmed by dried blood</w:t>
      </w:r>
      <w:r>
        <w:rPr>
          <w:rFonts w:asciiTheme="minorHAnsi" w:eastAsiaTheme="minorHAnsi" w:hAnsiTheme="minorHAnsi" w:cs="TimesNewRomanPSMT"/>
        </w:rPr>
        <w:t xml:space="preserve"> </w:t>
      </w:r>
      <w:r w:rsidRPr="009C4705">
        <w:rPr>
          <w:rFonts w:asciiTheme="minorHAnsi" w:eastAsiaTheme="minorHAnsi" w:hAnsiTheme="minorHAnsi" w:cs="TimesNewRomanPSMT"/>
        </w:rPr>
        <w:t>spot (DBS) testing at screening, based on the definition of deficiency provided by the central</w:t>
      </w:r>
      <w:r>
        <w:rPr>
          <w:rFonts w:asciiTheme="minorHAnsi" w:eastAsiaTheme="minorHAnsi" w:hAnsiTheme="minorHAnsi" w:cs="TimesNewRomanPSMT"/>
        </w:rPr>
        <w:t xml:space="preserve"> laboratory performing the assay; </w:t>
      </w:r>
      <w:r w:rsidRPr="009C4705">
        <w:rPr>
          <w:rFonts w:asciiTheme="minorHAnsi" w:eastAsiaTheme="minorHAnsi" w:hAnsiTheme="minorHAnsi" w:cs="TimesNewRomanPSMT"/>
        </w:rPr>
        <w:t xml:space="preserve">ALT ≥ 1.5 </w:t>
      </w:r>
      <w:r w:rsidR="002D28A4">
        <w:rPr>
          <w:rFonts w:asciiTheme="minorHAnsi" w:eastAsiaTheme="minorHAnsi" w:hAnsiTheme="minorHAnsi" w:cs="TimesNewRomanPSMT"/>
        </w:rPr>
        <w:t>x</w:t>
      </w:r>
      <w:r w:rsidRPr="009C4705">
        <w:rPr>
          <w:rFonts w:asciiTheme="minorHAnsi" w:eastAsiaTheme="minorHAnsi" w:hAnsiTheme="minorHAnsi" w:cs="TimesNewRomanPSMT"/>
        </w:rPr>
        <w:t xml:space="preserve"> the upper limit of</w:t>
      </w:r>
      <w:r w:rsidR="002D28A4">
        <w:rPr>
          <w:rFonts w:asciiTheme="minorHAnsi" w:eastAsiaTheme="minorHAnsi" w:hAnsiTheme="minorHAnsi" w:cs="TimesNewRomanPSMT"/>
        </w:rPr>
        <w:t xml:space="preserve"> normal (ULN) (based on the age</w:t>
      </w:r>
      <w:r w:rsidRPr="009C4705">
        <w:rPr>
          <w:rFonts w:asciiTheme="minorHAnsi" w:eastAsiaTheme="minorHAnsi" w:hAnsiTheme="minorHAnsi" w:cs="TimesNewRomanPSMT"/>
        </w:rPr>
        <w:t xml:space="preserve"> and gender</w:t>
      </w:r>
      <w:r>
        <w:rPr>
          <w:rFonts w:asciiTheme="minorHAnsi" w:eastAsiaTheme="minorHAnsi" w:hAnsiTheme="minorHAnsi" w:cs="TimesNewRomanPSMT"/>
        </w:rPr>
        <w:t xml:space="preserve"> </w:t>
      </w:r>
      <w:r w:rsidRPr="009C4705">
        <w:rPr>
          <w:rFonts w:asciiTheme="minorHAnsi" w:eastAsiaTheme="minorHAnsi" w:hAnsiTheme="minorHAnsi" w:cs="TimesNewRomanPSMT"/>
        </w:rPr>
        <w:t>specific</w:t>
      </w:r>
      <w:r>
        <w:rPr>
          <w:rFonts w:asciiTheme="minorHAnsi" w:eastAsiaTheme="minorHAnsi" w:hAnsiTheme="minorHAnsi" w:cs="TimesNewRomanPSMT"/>
        </w:rPr>
        <w:t xml:space="preserve"> </w:t>
      </w:r>
      <w:r w:rsidRPr="009C4705">
        <w:rPr>
          <w:rFonts w:asciiTheme="minorHAnsi" w:eastAsiaTheme="minorHAnsi" w:hAnsiTheme="minorHAnsi" w:cs="TimesNewRomanPSMT"/>
        </w:rPr>
        <w:t>normal ranges of the central laboratory performing the assay) on 2 consecutive screening</w:t>
      </w:r>
      <w:r>
        <w:rPr>
          <w:rFonts w:asciiTheme="minorHAnsi" w:eastAsiaTheme="minorHAnsi" w:hAnsiTheme="minorHAnsi" w:cs="TimesNewRomanPSMT"/>
        </w:rPr>
        <w:t xml:space="preserve"> </w:t>
      </w:r>
      <w:r w:rsidRPr="009C4705">
        <w:rPr>
          <w:rFonts w:asciiTheme="minorHAnsi" w:eastAsiaTheme="minorHAnsi" w:hAnsiTheme="minorHAnsi" w:cs="TimesNewRomanPSMT"/>
        </w:rPr>
        <w:t xml:space="preserve">ALT measurements obtained at least 1 </w:t>
      </w:r>
      <w:r w:rsidRPr="00B57915">
        <w:rPr>
          <w:rFonts w:asciiTheme="minorHAnsi" w:eastAsiaTheme="minorHAnsi" w:hAnsiTheme="minorHAnsi" w:cs="TimesNewRomanPSMT"/>
        </w:rPr>
        <w:t>week apart; If receiving LLM, subject was receiving a stable dose of the medication for at least 6 weeks prior</w:t>
      </w:r>
      <w:r>
        <w:rPr>
          <w:rFonts w:asciiTheme="minorHAnsi" w:eastAsiaTheme="minorHAnsi" w:hAnsiTheme="minorHAnsi" w:cs="TimesNewRomanPSMT"/>
        </w:rPr>
        <w:t xml:space="preserve"> </w:t>
      </w:r>
      <w:r w:rsidRPr="00B57915">
        <w:rPr>
          <w:rFonts w:asciiTheme="minorHAnsi" w:eastAsiaTheme="minorHAnsi" w:hAnsiTheme="minorHAnsi" w:cs="TimesNewRomanPSMT"/>
        </w:rPr>
        <w:t>to randomisation and was willing to remain on a stable dose for at least the first 32 weeks of</w:t>
      </w:r>
      <w:r>
        <w:rPr>
          <w:rFonts w:asciiTheme="minorHAnsi" w:eastAsiaTheme="minorHAnsi" w:hAnsiTheme="minorHAnsi" w:cs="TimesNewRomanPSMT"/>
        </w:rPr>
        <w:t xml:space="preserve"> treatment in the </w:t>
      </w:r>
      <w:r w:rsidR="00C4359A">
        <w:rPr>
          <w:rFonts w:asciiTheme="minorHAnsi" w:eastAsiaTheme="minorHAnsi" w:hAnsiTheme="minorHAnsi" w:cs="TimesNewRomanPSMT"/>
        </w:rPr>
        <w:t>study</w:t>
      </w:r>
      <w:r>
        <w:rPr>
          <w:rFonts w:asciiTheme="minorHAnsi" w:eastAsiaTheme="minorHAnsi" w:hAnsiTheme="minorHAnsi" w:cs="TimesNewRomanPSMT"/>
        </w:rPr>
        <w:t xml:space="preserve">; </w:t>
      </w:r>
      <w:r w:rsidRPr="00B57915">
        <w:rPr>
          <w:rFonts w:asciiTheme="minorHAnsi" w:eastAsiaTheme="minorHAnsi" w:hAnsiTheme="minorHAnsi" w:cs="TimesNewRomanPSMT"/>
        </w:rPr>
        <w:t xml:space="preserve">If receiving medications </w:t>
      </w:r>
      <w:r>
        <w:rPr>
          <w:rFonts w:asciiTheme="minorHAnsi" w:eastAsiaTheme="minorHAnsi" w:hAnsiTheme="minorHAnsi" w:cs="TimesNewRomanPSMT"/>
        </w:rPr>
        <w:t>f</w:t>
      </w:r>
      <w:r w:rsidRPr="00B57915">
        <w:rPr>
          <w:rFonts w:asciiTheme="minorHAnsi" w:eastAsiaTheme="minorHAnsi" w:hAnsiTheme="minorHAnsi" w:cs="TimesNewRomanPSMT"/>
        </w:rPr>
        <w:t>or the treatment of non-alcoholic fatty liver disease (NAFLD) (</w:t>
      </w:r>
      <w:r w:rsidR="00CC672B">
        <w:rPr>
          <w:rFonts w:asciiTheme="minorHAnsi" w:eastAsiaTheme="minorHAnsi" w:hAnsiTheme="minorHAnsi" w:cs="TimesNewRomanPSMT"/>
        </w:rPr>
        <w:t>for example</w:t>
      </w:r>
      <w:r w:rsidRPr="00B57915">
        <w:rPr>
          <w:rFonts w:asciiTheme="minorHAnsi" w:eastAsiaTheme="minorHAnsi" w:hAnsiTheme="minorHAnsi" w:cs="TimesNewRomanPSMT"/>
        </w:rPr>
        <w:t>,</w:t>
      </w:r>
      <w:r>
        <w:rPr>
          <w:rFonts w:asciiTheme="minorHAnsi" w:eastAsiaTheme="minorHAnsi" w:hAnsiTheme="minorHAnsi" w:cs="TimesNewRomanPSMT"/>
        </w:rPr>
        <w:t xml:space="preserve"> </w:t>
      </w:r>
      <w:proofErr w:type="spellStart"/>
      <w:r w:rsidR="002D28A4">
        <w:rPr>
          <w:rFonts w:asciiTheme="minorHAnsi" w:eastAsiaTheme="minorHAnsi" w:hAnsiTheme="minorHAnsi" w:cs="TimesNewRomanPSMT"/>
        </w:rPr>
        <w:t>glitazones</w:t>
      </w:r>
      <w:proofErr w:type="spellEnd"/>
      <w:r w:rsidR="002D28A4">
        <w:rPr>
          <w:rFonts w:asciiTheme="minorHAnsi" w:eastAsiaTheme="minorHAnsi" w:hAnsiTheme="minorHAnsi" w:cs="TimesNewRomanPSMT"/>
        </w:rPr>
        <w:t xml:space="preserve">, high </w:t>
      </w:r>
      <w:r w:rsidRPr="00B57915">
        <w:rPr>
          <w:rFonts w:asciiTheme="minorHAnsi" w:eastAsiaTheme="minorHAnsi" w:hAnsiTheme="minorHAnsi" w:cs="TimesNewRomanPSMT"/>
        </w:rPr>
        <w:t xml:space="preserve">dose vitamin E, metformin, </w:t>
      </w:r>
      <w:proofErr w:type="spellStart"/>
      <w:r w:rsidRPr="00B57915">
        <w:rPr>
          <w:rFonts w:asciiTheme="minorHAnsi" w:eastAsiaTheme="minorHAnsi" w:hAnsiTheme="minorHAnsi" w:cs="TimesNewRomanPSMT"/>
        </w:rPr>
        <w:t>ursodeoxycholic</w:t>
      </w:r>
      <w:proofErr w:type="spellEnd"/>
      <w:r w:rsidRPr="00B57915">
        <w:rPr>
          <w:rFonts w:asciiTheme="minorHAnsi" w:eastAsiaTheme="minorHAnsi" w:hAnsiTheme="minorHAnsi" w:cs="TimesNewRomanPSMT"/>
        </w:rPr>
        <w:t xml:space="preserve"> acid </w:t>
      </w:r>
      <w:r w:rsidR="00196207">
        <w:rPr>
          <w:rFonts w:asciiTheme="minorHAnsi" w:eastAsiaTheme="minorHAnsi" w:hAnsiTheme="minorHAnsi" w:cs="TimesNewRomanPSMT"/>
        </w:rPr>
        <w:t>(</w:t>
      </w:r>
      <w:r w:rsidRPr="00B57915">
        <w:rPr>
          <w:rFonts w:asciiTheme="minorHAnsi" w:eastAsiaTheme="minorHAnsi" w:hAnsiTheme="minorHAnsi" w:cs="TimesNewRomanPSMT"/>
        </w:rPr>
        <w:t>UDCA</w:t>
      </w:r>
      <w:r w:rsidR="00196207">
        <w:rPr>
          <w:rFonts w:asciiTheme="minorHAnsi" w:eastAsiaTheme="minorHAnsi" w:hAnsiTheme="minorHAnsi" w:cs="TimesNewRomanPSMT"/>
        </w:rPr>
        <w:t>)</w:t>
      </w:r>
      <w:r w:rsidRPr="00B57915">
        <w:rPr>
          <w:rFonts w:asciiTheme="minorHAnsi" w:eastAsiaTheme="minorHAnsi" w:hAnsiTheme="minorHAnsi" w:cs="TimesNewRomanPSMT"/>
        </w:rPr>
        <w:t>), subject was</w:t>
      </w:r>
      <w:r>
        <w:rPr>
          <w:rFonts w:asciiTheme="minorHAnsi" w:eastAsiaTheme="minorHAnsi" w:hAnsiTheme="minorHAnsi" w:cs="TimesNewRomanPSMT"/>
        </w:rPr>
        <w:t xml:space="preserve"> </w:t>
      </w:r>
      <w:r w:rsidRPr="00B57915">
        <w:rPr>
          <w:rFonts w:asciiTheme="minorHAnsi" w:eastAsiaTheme="minorHAnsi" w:hAnsiTheme="minorHAnsi" w:cs="TimesNewRomanPSMT"/>
        </w:rPr>
        <w:t xml:space="preserve">receiving a stable dose for at least 16 weeks prior to randomisation </w:t>
      </w:r>
      <w:r w:rsidRPr="008825B6">
        <w:rPr>
          <w:rFonts w:asciiTheme="minorHAnsi" w:eastAsiaTheme="minorHAnsi" w:hAnsiTheme="minorHAnsi" w:cs="TimesNewRomanPSMT"/>
        </w:rPr>
        <w:t xml:space="preserve">and was willing to remain on a stable dose for at least the first 32 weeks of treatment in the </w:t>
      </w:r>
      <w:r w:rsidR="00C4359A">
        <w:rPr>
          <w:rFonts w:asciiTheme="minorHAnsi" w:eastAsiaTheme="minorHAnsi" w:hAnsiTheme="minorHAnsi" w:cs="TimesNewRomanPSMT"/>
        </w:rPr>
        <w:t>study</w:t>
      </w:r>
      <w:r w:rsidRPr="008825B6">
        <w:rPr>
          <w:rFonts w:asciiTheme="minorHAnsi" w:eastAsiaTheme="minorHAnsi" w:hAnsiTheme="minorHAnsi" w:cs="TimesNewRomanPSMT"/>
        </w:rPr>
        <w:t xml:space="preserve">; female subject of childbearing potential, subject </w:t>
      </w:r>
      <w:r>
        <w:rPr>
          <w:rFonts w:asciiTheme="minorHAnsi" w:eastAsiaTheme="minorHAnsi" w:hAnsiTheme="minorHAnsi" w:cs="TimesNewRomanPSMT"/>
        </w:rPr>
        <w:t xml:space="preserve">who </w:t>
      </w:r>
      <w:r w:rsidRPr="008825B6">
        <w:rPr>
          <w:rFonts w:asciiTheme="minorHAnsi" w:eastAsiaTheme="minorHAnsi" w:hAnsiTheme="minorHAnsi" w:cs="TimesNewRomanPSMT"/>
        </w:rPr>
        <w:t>had a negative serum pregnancy test at screening</w:t>
      </w:r>
      <w:r>
        <w:rPr>
          <w:rFonts w:asciiTheme="minorHAnsi" w:eastAsiaTheme="minorHAnsi" w:hAnsiTheme="minorHAnsi" w:cs="TimesNewRomanPSMT"/>
        </w:rPr>
        <w:t xml:space="preserve">, </w:t>
      </w:r>
      <w:r w:rsidRPr="008825B6">
        <w:rPr>
          <w:rFonts w:asciiTheme="minorHAnsi" w:eastAsiaTheme="minorHAnsi" w:hAnsiTheme="minorHAnsi" w:cs="TimesNewRomanPSMT"/>
        </w:rPr>
        <w:t>not breastfeeding and agreed to use a medically acceptable method of preventing conception from the</w:t>
      </w:r>
      <w:r w:rsidRPr="003362C4">
        <w:rPr>
          <w:rFonts w:asciiTheme="minorHAnsi" w:eastAsiaTheme="minorHAnsi" w:hAnsiTheme="minorHAnsi" w:cs="TimesNewRomanPSMT"/>
        </w:rPr>
        <w:t xml:space="preserve"> screening vi</w:t>
      </w:r>
      <w:r w:rsidR="002D28A4">
        <w:rPr>
          <w:rFonts w:asciiTheme="minorHAnsi" w:eastAsiaTheme="minorHAnsi" w:hAnsiTheme="minorHAnsi" w:cs="TimesNewRomanPSMT"/>
        </w:rPr>
        <w:t>sit until 4 </w:t>
      </w:r>
      <w:r w:rsidRPr="003362C4">
        <w:rPr>
          <w:rFonts w:asciiTheme="minorHAnsi" w:eastAsiaTheme="minorHAnsi" w:hAnsiTheme="minorHAnsi" w:cs="TimesNewRomanPSMT"/>
        </w:rPr>
        <w:t xml:space="preserve">weeks after the last dose of </w:t>
      </w:r>
      <w:r w:rsidR="00C4359A">
        <w:rPr>
          <w:rFonts w:asciiTheme="minorHAnsi" w:eastAsiaTheme="minorHAnsi" w:hAnsiTheme="minorHAnsi" w:cs="TimesNewRomanPSMT"/>
        </w:rPr>
        <w:t>study</w:t>
      </w:r>
      <w:r w:rsidRPr="003362C4">
        <w:rPr>
          <w:rFonts w:asciiTheme="minorHAnsi" w:eastAsiaTheme="minorHAnsi" w:hAnsiTheme="minorHAnsi" w:cs="TimesNewRomanPSMT"/>
        </w:rPr>
        <w:t xml:space="preserve"> drug</w:t>
      </w:r>
      <w:r w:rsidR="00B73619">
        <w:rPr>
          <w:rFonts w:asciiTheme="minorHAnsi" w:eastAsiaTheme="minorHAnsi" w:hAnsiTheme="minorHAnsi" w:cs="TimesNewRomanPSMT"/>
        </w:rPr>
        <w:t>.</w:t>
      </w:r>
    </w:p>
    <w:p w14:paraId="6F6F3C94" w14:textId="74713C04" w:rsidR="00B73619" w:rsidRDefault="00DE635E" w:rsidP="00DE635E">
      <w:pPr>
        <w:autoSpaceDE w:val="0"/>
        <w:autoSpaceDN w:val="0"/>
        <w:adjustRightInd w:val="0"/>
        <w:spacing w:before="0" w:line="240" w:lineRule="auto"/>
        <w:rPr>
          <w:rFonts w:asciiTheme="minorHAnsi" w:eastAsiaTheme="minorHAnsi" w:hAnsiTheme="minorHAnsi" w:cs="TimesNewRomanPSMT"/>
        </w:rPr>
      </w:pPr>
      <w:r>
        <w:rPr>
          <w:rFonts w:asciiTheme="minorHAnsi" w:hAnsiTheme="minorHAnsi"/>
          <w:lang w:eastAsia="ja-JP"/>
        </w:rPr>
        <w:t xml:space="preserve">The </w:t>
      </w:r>
      <w:r w:rsidRPr="003362C4">
        <w:rPr>
          <w:rFonts w:asciiTheme="minorHAnsi" w:hAnsiTheme="minorHAnsi"/>
          <w:lang w:eastAsia="ja-JP"/>
        </w:rPr>
        <w:t xml:space="preserve">main exclusion criteria were: </w:t>
      </w:r>
      <w:r w:rsidRPr="003362C4">
        <w:rPr>
          <w:rFonts w:asciiTheme="minorHAnsi" w:eastAsiaTheme="minorHAnsi" w:hAnsiTheme="minorHAnsi" w:cs="TimesNewRomanPSMT"/>
        </w:rPr>
        <w:t>severe hepatic dysfunction (Child-Pugh Class C)</w:t>
      </w:r>
      <w:r>
        <w:rPr>
          <w:rFonts w:asciiTheme="minorHAnsi" w:eastAsiaTheme="minorHAnsi" w:hAnsiTheme="minorHAnsi" w:cs="TimesNewRomanPSMT"/>
        </w:rPr>
        <w:t xml:space="preserve">; </w:t>
      </w:r>
      <w:r w:rsidRPr="003362C4">
        <w:rPr>
          <w:rFonts w:asciiTheme="minorHAnsi" w:eastAsiaTheme="minorHAnsi" w:hAnsiTheme="minorHAnsi" w:cs="TimesNewRomanPSMT"/>
        </w:rPr>
        <w:t>other medical conditions or comorbidities that, in the opinion of the Investigator,</w:t>
      </w:r>
      <w:r>
        <w:rPr>
          <w:rFonts w:asciiTheme="minorHAnsi" w:eastAsiaTheme="minorHAnsi" w:hAnsiTheme="minorHAnsi" w:cs="TimesNewRomanPSMT"/>
        </w:rPr>
        <w:t xml:space="preserve"> </w:t>
      </w:r>
      <w:r w:rsidRPr="003362C4">
        <w:rPr>
          <w:rFonts w:asciiTheme="minorHAnsi" w:eastAsiaTheme="minorHAnsi" w:hAnsiTheme="minorHAnsi" w:cs="TimesNewRomanPSMT"/>
        </w:rPr>
        <w:t xml:space="preserve">would have interfered with </w:t>
      </w:r>
      <w:r w:rsidR="00C4359A">
        <w:rPr>
          <w:rFonts w:asciiTheme="minorHAnsi" w:eastAsiaTheme="minorHAnsi" w:hAnsiTheme="minorHAnsi" w:cs="TimesNewRomanPSMT"/>
        </w:rPr>
        <w:t>study</w:t>
      </w:r>
      <w:r w:rsidRPr="003362C4">
        <w:rPr>
          <w:rFonts w:asciiTheme="minorHAnsi" w:eastAsiaTheme="minorHAnsi" w:hAnsiTheme="minorHAnsi" w:cs="TimesNewRomanPSMT"/>
        </w:rPr>
        <w:t xml:space="preserve"> compliance or data interpretation, including but not restricted to</w:t>
      </w:r>
      <w:r>
        <w:rPr>
          <w:rFonts w:asciiTheme="minorHAnsi" w:eastAsiaTheme="minorHAnsi" w:hAnsiTheme="minorHAnsi" w:cs="TimesNewRomanPSMT"/>
        </w:rPr>
        <w:t xml:space="preserve"> </w:t>
      </w:r>
      <w:r w:rsidRPr="003362C4">
        <w:rPr>
          <w:rFonts w:asciiTheme="minorHAnsi" w:eastAsiaTheme="minorHAnsi" w:hAnsiTheme="minorHAnsi" w:cs="TimesNewRomanPSMT"/>
        </w:rPr>
        <w:t xml:space="preserve">severe </w:t>
      </w:r>
      <w:proofErr w:type="spellStart"/>
      <w:r w:rsidRPr="003362C4">
        <w:rPr>
          <w:rFonts w:asciiTheme="minorHAnsi" w:eastAsiaTheme="minorHAnsi" w:hAnsiTheme="minorHAnsi" w:cs="TimesNewRomanPSMT"/>
        </w:rPr>
        <w:t>intercurrent</w:t>
      </w:r>
      <w:proofErr w:type="spellEnd"/>
      <w:r w:rsidRPr="003362C4">
        <w:rPr>
          <w:rFonts w:asciiTheme="minorHAnsi" w:eastAsiaTheme="minorHAnsi" w:hAnsiTheme="minorHAnsi" w:cs="TimesNewRomanPSMT"/>
        </w:rPr>
        <w:t xml:space="preserve"> illness, known causes of active liver disease other than LAL </w:t>
      </w:r>
      <w:r w:rsidR="00196207">
        <w:rPr>
          <w:rFonts w:asciiTheme="minorHAnsi" w:eastAsiaTheme="minorHAnsi" w:hAnsiTheme="minorHAnsi" w:cs="TimesNewRomanPSMT"/>
        </w:rPr>
        <w:t>d</w:t>
      </w:r>
      <w:r w:rsidRPr="003362C4">
        <w:rPr>
          <w:rFonts w:asciiTheme="minorHAnsi" w:eastAsiaTheme="minorHAnsi" w:hAnsiTheme="minorHAnsi" w:cs="TimesNewRomanPSMT"/>
        </w:rPr>
        <w:t>eficiency (</w:t>
      </w:r>
      <w:r w:rsidR="00CC672B">
        <w:rPr>
          <w:rFonts w:asciiTheme="minorHAnsi" w:eastAsiaTheme="minorHAnsi" w:hAnsiTheme="minorHAnsi" w:cs="TimesNewRomanPSMT"/>
        </w:rPr>
        <w:t>for example</w:t>
      </w:r>
      <w:r w:rsidRPr="003362C4">
        <w:rPr>
          <w:rFonts w:asciiTheme="minorHAnsi" w:eastAsiaTheme="minorHAnsi" w:hAnsiTheme="minorHAnsi" w:cs="TimesNewRomanPSMT"/>
        </w:rPr>
        <w:t>,</w:t>
      </w:r>
      <w:r>
        <w:rPr>
          <w:rFonts w:asciiTheme="minorHAnsi" w:eastAsiaTheme="minorHAnsi" w:hAnsiTheme="minorHAnsi" w:cs="TimesNewRomanPSMT"/>
        </w:rPr>
        <w:t xml:space="preserve"> </w:t>
      </w:r>
      <w:r w:rsidRPr="003362C4">
        <w:rPr>
          <w:rFonts w:asciiTheme="minorHAnsi" w:eastAsiaTheme="minorHAnsi" w:hAnsiTheme="minorHAnsi" w:cs="TimesNewRomanPSMT"/>
        </w:rPr>
        <w:t xml:space="preserve">chronic viral hepatitis, autoimmune hepatitis, alcoholic liver disease, or physician </w:t>
      </w:r>
      <w:r w:rsidRPr="003362C4">
        <w:rPr>
          <w:rFonts w:asciiTheme="minorHAnsi" w:eastAsiaTheme="minorHAnsi" w:hAnsiTheme="minorHAnsi" w:cs="TimesNewRomanPSMT"/>
        </w:rPr>
        <w:lastRenderedPageBreak/>
        <w:t>concerns about</w:t>
      </w:r>
      <w:r>
        <w:rPr>
          <w:rFonts w:asciiTheme="minorHAnsi" w:eastAsiaTheme="minorHAnsi" w:hAnsiTheme="minorHAnsi" w:cs="TimesNewRomanPSMT"/>
        </w:rPr>
        <w:t xml:space="preserve"> </w:t>
      </w:r>
      <w:r w:rsidRPr="003362C4">
        <w:rPr>
          <w:rFonts w:asciiTheme="minorHAnsi" w:eastAsiaTheme="minorHAnsi" w:hAnsiTheme="minorHAnsi" w:cs="TimesNewRomanPSMT"/>
        </w:rPr>
        <w:t xml:space="preserve">excess alcohol consumption), human immunodeficiency virus (HIV), </w:t>
      </w:r>
      <w:r w:rsidR="002D28A4">
        <w:rPr>
          <w:rFonts w:asciiTheme="minorHAnsi" w:eastAsiaTheme="minorHAnsi" w:hAnsiTheme="minorHAnsi" w:cs="TimesNewRomanPSMT"/>
        </w:rPr>
        <w:t>poorly controlled</w:t>
      </w:r>
      <w:r w:rsidRPr="003362C4">
        <w:rPr>
          <w:rFonts w:asciiTheme="minorHAnsi" w:eastAsiaTheme="minorHAnsi" w:hAnsiTheme="minorHAnsi" w:cs="TimesNewRomanPSMT"/>
        </w:rPr>
        <w:t xml:space="preserve"> diabetes,</w:t>
      </w:r>
      <w:r>
        <w:rPr>
          <w:rFonts w:asciiTheme="minorHAnsi" w:eastAsiaTheme="minorHAnsi" w:hAnsiTheme="minorHAnsi" w:cs="TimesNewRomanPSMT"/>
        </w:rPr>
        <w:t xml:space="preserve"> </w:t>
      </w:r>
      <w:r w:rsidRPr="003362C4">
        <w:rPr>
          <w:rFonts w:asciiTheme="minorHAnsi" w:eastAsiaTheme="minorHAnsi" w:hAnsiTheme="minorHAnsi" w:cs="TimesNewRomanPSMT"/>
        </w:rPr>
        <w:t>or cancers othe</w:t>
      </w:r>
      <w:r>
        <w:rPr>
          <w:rFonts w:asciiTheme="minorHAnsi" w:eastAsiaTheme="minorHAnsi" w:hAnsiTheme="minorHAnsi" w:cs="TimesNewRomanPSMT"/>
        </w:rPr>
        <w:t xml:space="preserve">r than non-melanoma skin cancer; </w:t>
      </w:r>
      <w:r w:rsidRPr="003362C4">
        <w:rPr>
          <w:rFonts w:asciiTheme="minorHAnsi" w:eastAsiaTheme="minorHAnsi" w:hAnsiTheme="minorHAnsi" w:cs="TimesNewRomanPSMT"/>
        </w:rPr>
        <w:t>previous haematopoietic or liver transplant procedure</w:t>
      </w:r>
      <w:r>
        <w:rPr>
          <w:rFonts w:asciiTheme="minorHAnsi" w:eastAsiaTheme="minorHAnsi" w:hAnsiTheme="minorHAnsi" w:cs="TimesNewRomanPSMT"/>
        </w:rPr>
        <w:t xml:space="preserve">; </w:t>
      </w:r>
      <w:r w:rsidRPr="003362C4">
        <w:rPr>
          <w:rFonts w:asciiTheme="minorHAnsi" w:eastAsiaTheme="minorHAnsi" w:hAnsiTheme="minorHAnsi" w:cs="TimesNewRomanPSMT"/>
        </w:rPr>
        <w:t xml:space="preserve">received treatment with </w:t>
      </w:r>
      <w:r w:rsidR="002D28A4">
        <w:rPr>
          <w:rFonts w:asciiTheme="minorHAnsi" w:eastAsiaTheme="minorHAnsi" w:hAnsiTheme="minorHAnsi" w:cs="TimesNewRomanPSMT"/>
        </w:rPr>
        <w:t>high dose</w:t>
      </w:r>
      <w:r w:rsidRPr="003362C4">
        <w:rPr>
          <w:rFonts w:asciiTheme="minorHAnsi" w:eastAsiaTheme="minorHAnsi" w:hAnsiTheme="minorHAnsi" w:cs="TimesNewRomanPSMT"/>
        </w:rPr>
        <w:t xml:space="preserve"> corticosteroids (acute or chronic) within 26 weeks prior</w:t>
      </w:r>
      <w:r>
        <w:rPr>
          <w:rFonts w:asciiTheme="minorHAnsi" w:eastAsiaTheme="minorHAnsi" w:hAnsiTheme="minorHAnsi" w:cs="TimesNewRomanPSMT"/>
        </w:rPr>
        <w:t xml:space="preserve"> to randomisation</w:t>
      </w:r>
      <w:r w:rsidRPr="003362C4">
        <w:rPr>
          <w:rFonts w:asciiTheme="minorHAnsi" w:eastAsiaTheme="minorHAnsi" w:hAnsiTheme="minorHAnsi" w:cs="TimesNewRomanPSMT"/>
        </w:rPr>
        <w:t xml:space="preserve"> (</w:t>
      </w:r>
      <w:r>
        <w:rPr>
          <w:rFonts w:asciiTheme="minorHAnsi" w:eastAsiaTheme="minorHAnsi" w:hAnsiTheme="minorHAnsi" w:cs="TimesNewRomanPSMT"/>
        </w:rPr>
        <w:t xml:space="preserve">but subjects </w:t>
      </w:r>
      <w:r w:rsidRPr="003362C4">
        <w:rPr>
          <w:rFonts w:asciiTheme="minorHAnsi" w:eastAsiaTheme="minorHAnsi" w:hAnsiTheme="minorHAnsi" w:cs="TimesNewRomanPSMT"/>
        </w:rPr>
        <w:t>receiving maintenance therapy with low-dose oral, intranasal,</w:t>
      </w:r>
      <w:r>
        <w:rPr>
          <w:rFonts w:asciiTheme="minorHAnsi" w:eastAsiaTheme="minorHAnsi" w:hAnsiTheme="minorHAnsi" w:cs="TimesNewRomanPSMT"/>
        </w:rPr>
        <w:t xml:space="preserve"> </w:t>
      </w:r>
      <w:r w:rsidRPr="003362C4">
        <w:rPr>
          <w:rFonts w:asciiTheme="minorHAnsi" w:eastAsiaTheme="minorHAnsi" w:hAnsiTheme="minorHAnsi" w:cs="TimesNewRomanPSMT"/>
        </w:rPr>
        <w:t xml:space="preserve">topical, or inhaled corticosteroids were considered eligible for the </w:t>
      </w:r>
      <w:r w:rsidR="00C4359A">
        <w:rPr>
          <w:rFonts w:asciiTheme="minorHAnsi" w:eastAsiaTheme="minorHAnsi" w:hAnsiTheme="minorHAnsi" w:cs="TimesNewRomanPSMT"/>
        </w:rPr>
        <w:t>study</w:t>
      </w:r>
      <w:r w:rsidRPr="003362C4">
        <w:rPr>
          <w:rFonts w:asciiTheme="minorHAnsi" w:eastAsiaTheme="minorHAnsi" w:hAnsiTheme="minorHAnsi" w:cs="TimesNewRomanPSMT"/>
        </w:rPr>
        <w:t>.)</w:t>
      </w:r>
      <w:r>
        <w:rPr>
          <w:rFonts w:asciiTheme="minorHAnsi" w:eastAsiaTheme="minorHAnsi" w:hAnsiTheme="minorHAnsi" w:cs="TimesNewRomanPSMT"/>
        </w:rPr>
        <w:t xml:space="preserve">; </w:t>
      </w:r>
      <w:r w:rsidRPr="003362C4">
        <w:rPr>
          <w:rFonts w:asciiTheme="minorHAnsi" w:eastAsiaTheme="minorHAnsi" w:hAnsiTheme="minorHAnsi" w:cs="TimesNewRomanPSMT"/>
        </w:rPr>
        <w:t xml:space="preserve">participated in a </w:t>
      </w:r>
      <w:r w:rsidR="00C4359A">
        <w:rPr>
          <w:rFonts w:asciiTheme="minorHAnsi" w:eastAsiaTheme="minorHAnsi" w:hAnsiTheme="minorHAnsi" w:cs="TimesNewRomanPSMT"/>
        </w:rPr>
        <w:t>study</w:t>
      </w:r>
      <w:r w:rsidRPr="003362C4">
        <w:rPr>
          <w:rFonts w:asciiTheme="minorHAnsi" w:eastAsiaTheme="minorHAnsi" w:hAnsiTheme="minorHAnsi" w:cs="TimesNewRomanPSMT"/>
        </w:rPr>
        <w:t xml:space="preserve"> employing an investigational medicinal product (IMP) within</w:t>
      </w:r>
      <w:r>
        <w:rPr>
          <w:rFonts w:asciiTheme="minorHAnsi" w:eastAsiaTheme="minorHAnsi" w:hAnsiTheme="minorHAnsi" w:cs="TimesNewRomanPSMT"/>
        </w:rPr>
        <w:t xml:space="preserve"> 4 weeks prior to randomisation; </w:t>
      </w:r>
      <w:r w:rsidRPr="003362C4">
        <w:rPr>
          <w:rFonts w:asciiTheme="minorHAnsi" w:eastAsiaTheme="minorHAnsi" w:hAnsiTheme="minorHAnsi" w:cs="TimesNewRomanPSMT"/>
        </w:rPr>
        <w:t>known hypersensitivity to eggs</w:t>
      </w:r>
      <w:r w:rsidR="00B73619">
        <w:rPr>
          <w:rFonts w:asciiTheme="minorHAnsi" w:eastAsiaTheme="minorHAnsi" w:hAnsiTheme="minorHAnsi" w:cs="TimesNewRomanPSMT"/>
        </w:rPr>
        <w:t>.</w:t>
      </w:r>
    </w:p>
    <w:p w14:paraId="1973F1CE" w14:textId="77777777" w:rsidR="00DE635E" w:rsidRPr="009C4705" w:rsidRDefault="00157E63" w:rsidP="00DE635E">
      <w:pPr>
        <w:pStyle w:val="Heading5"/>
      </w:pPr>
      <w:r>
        <w:t>Study</w:t>
      </w:r>
      <w:r w:rsidR="00DE635E" w:rsidRPr="009C4705">
        <w:t xml:space="preserve"> treatments</w:t>
      </w:r>
    </w:p>
    <w:p w14:paraId="10101F04" w14:textId="77777777" w:rsidR="00DE635E" w:rsidRPr="008A3B8B" w:rsidRDefault="00DE635E" w:rsidP="00DE635E">
      <w:pPr>
        <w:autoSpaceDE w:val="0"/>
        <w:autoSpaceDN w:val="0"/>
        <w:adjustRightInd w:val="0"/>
        <w:spacing w:before="0" w:line="240" w:lineRule="auto"/>
        <w:rPr>
          <w:rFonts w:asciiTheme="minorHAnsi" w:eastAsiaTheme="minorHAnsi" w:hAnsiTheme="minorHAnsi" w:cs="TimesNewRomanPSMT"/>
        </w:rPr>
      </w:pPr>
      <w:r w:rsidRPr="00F60DC9">
        <w:rPr>
          <w:rFonts w:asciiTheme="minorHAnsi" w:eastAsiaTheme="minorHAnsi" w:hAnsiTheme="minorHAnsi" w:cs="TimesNewRomanPSMT"/>
        </w:rPr>
        <w:t xml:space="preserve">During the </w:t>
      </w:r>
      <w:r w:rsidR="003F3AB4">
        <w:rPr>
          <w:rFonts w:asciiTheme="minorHAnsi" w:eastAsiaTheme="minorHAnsi" w:hAnsiTheme="minorHAnsi" w:cs="TimesNewRomanPSMT"/>
        </w:rPr>
        <w:t>double blind</w:t>
      </w:r>
      <w:r w:rsidRPr="00F60DC9">
        <w:rPr>
          <w:rFonts w:asciiTheme="minorHAnsi" w:eastAsiaTheme="minorHAnsi" w:hAnsiTheme="minorHAnsi" w:cs="TimesNewRomanPSMT"/>
        </w:rPr>
        <w:t xml:space="preserve"> period, subjects either received </w:t>
      </w:r>
      <w:proofErr w:type="spellStart"/>
      <w:r w:rsidRPr="00F60DC9">
        <w:rPr>
          <w:rFonts w:asciiTheme="minorHAnsi" w:eastAsiaTheme="minorHAnsi" w:hAnsiTheme="minorHAnsi" w:cs="TimesNewRomanPSMT"/>
        </w:rPr>
        <w:t>sebelipase</w:t>
      </w:r>
      <w:proofErr w:type="spellEnd"/>
      <w:r w:rsidRPr="00F60DC9">
        <w:rPr>
          <w:rFonts w:asciiTheme="minorHAnsi" w:eastAsiaTheme="minorHAnsi" w:hAnsiTheme="minorHAnsi" w:cs="TimesNewRomanPSMT"/>
        </w:rPr>
        <w:t xml:space="preserve"> alfa 1 mg/kg or</w:t>
      </w:r>
      <w:r>
        <w:rPr>
          <w:rFonts w:asciiTheme="minorHAnsi" w:eastAsiaTheme="minorHAnsi" w:hAnsiTheme="minorHAnsi" w:cs="TimesNewRomanPSMT"/>
        </w:rPr>
        <w:t xml:space="preserve"> </w:t>
      </w:r>
      <w:r w:rsidRPr="00F60DC9">
        <w:rPr>
          <w:rFonts w:asciiTheme="minorHAnsi" w:eastAsiaTheme="minorHAnsi" w:hAnsiTheme="minorHAnsi" w:cs="TimesNewRomanPSMT"/>
        </w:rPr>
        <w:t>matched placebo (buffered solution identical in composition to the formulation buffer for</w:t>
      </w:r>
      <w:r>
        <w:rPr>
          <w:rFonts w:asciiTheme="minorHAnsi" w:eastAsiaTheme="minorHAnsi" w:hAnsiTheme="minorHAnsi" w:cs="TimesNewRomanPSMT"/>
        </w:rPr>
        <w:t xml:space="preserve"> </w:t>
      </w:r>
      <w:proofErr w:type="spellStart"/>
      <w:r w:rsidRPr="00F60DC9">
        <w:rPr>
          <w:rFonts w:asciiTheme="minorHAnsi" w:eastAsiaTheme="minorHAnsi" w:hAnsiTheme="minorHAnsi" w:cs="TimesNewRomanPSMT"/>
        </w:rPr>
        <w:t>sebelipase</w:t>
      </w:r>
      <w:proofErr w:type="spellEnd"/>
      <w:r w:rsidRPr="00F60DC9">
        <w:rPr>
          <w:rFonts w:asciiTheme="minorHAnsi" w:eastAsiaTheme="minorHAnsi" w:hAnsiTheme="minorHAnsi" w:cs="TimesNewRomanPSMT"/>
        </w:rPr>
        <w:t xml:space="preserve"> alfa) via IV infusion </w:t>
      </w:r>
      <w:r>
        <w:rPr>
          <w:rFonts w:asciiTheme="minorHAnsi" w:eastAsiaTheme="minorHAnsi" w:hAnsiTheme="minorHAnsi" w:cs="TimesNewRomanPSMT"/>
        </w:rPr>
        <w:t>every other week (</w:t>
      </w:r>
      <w:proofErr w:type="spellStart"/>
      <w:r w:rsidRPr="00F60DC9">
        <w:rPr>
          <w:rFonts w:asciiTheme="minorHAnsi" w:eastAsiaTheme="minorHAnsi" w:hAnsiTheme="minorHAnsi" w:cs="TimesNewRomanPSMT"/>
        </w:rPr>
        <w:t>qow</w:t>
      </w:r>
      <w:proofErr w:type="spellEnd"/>
      <w:r>
        <w:rPr>
          <w:rFonts w:asciiTheme="minorHAnsi" w:eastAsiaTheme="minorHAnsi" w:hAnsiTheme="minorHAnsi" w:cs="TimesNewRomanPSMT"/>
        </w:rPr>
        <w:t>)</w:t>
      </w:r>
      <w:r w:rsidRPr="00F60DC9">
        <w:rPr>
          <w:rFonts w:asciiTheme="minorHAnsi" w:eastAsiaTheme="minorHAnsi" w:hAnsiTheme="minorHAnsi" w:cs="TimesNewRomanPSMT"/>
        </w:rPr>
        <w:t>.</w:t>
      </w:r>
      <w:r>
        <w:rPr>
          <w:rFonts w:asciiTheme="minorHAnsi" w:eastAsiaTheme="minorHAnsi" w:hAnsiTheme="minorHAnsi" w:cs="TimesNewRomanPSMT"/>
        </w:rPr>
        <w:t xml:space="preserve"> </w:t>
      </w:r>
      <w:r w:rsidRPr="00F60DC9">
        <w:rPr>
          <w:rFonts w:asciiTheme="minorHAnsi" w:eastAsiaTheme="minorHAnsi" w:hAnsiTheme="minorHAnsi" w:cs="TimesNewRomanPSMT"/>
        </w:rPr>
        <w:t xml:space="preserve">All subjects </w:t>
      </w:r>
      <w:r>
        <w:rPr>
          <w:rFonts w:asciiTheme="minorHAnsi" w:eastAsiaTheme="minorHAnsi" w:hAnsiTheme="minorHAnsi" w:cs="TimesNewRomanPSMT"/>
        </w:rPr>
        <w:t xml:space="preserve">were to </w:t>
      </w:r>
      <w:r w:rsidRPr="00F60DC9">
        <w:rPr>
          <w:rFonts w:asciiTheme="minorHAnsi" w:eastAsiaTheme="minorHAnsi" w:hAnsiTheme="minorHAnsi" w:cs="TimesNewRomanPSMT"/>
        </w:rPr>
        <w:t xml:space="preserve">receive a maximum of 11 infusions over the </w:t>
      </w:r>
      <w:r w:rsidR="00FE3465">
        <w:rPr>
          <w:rFonts w:asciiTheme="minorHAnsi" w:eastAsiaTheme="minorHAnsi" w:hAnsiTheme="minorHAnsi" w:cs="TimesNewRomanPSMT"/>
        </w:rPr>
        <w:t>20 week</w:t>
      </w:r>
      <w:r>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6A332E">
        <w:rPr>
          <w:rFonts w:asciiTheme="minorHAnsi" w:eastAsiaTheme="minorHAnsi" w:hAnsiTheme="minorHAnsi" w:cs="TimesNewRomanPSMT"/>
        </w:rPr>
        <w:t xml:space="preserve"> period. No dose modifications were permitted during the </w:t>
      </w:r>
      <w:r w:rsidR="003F3AB4">
        <w:rPr>
          <w:rFonts w:asciiTheme="minorHAnsi" w:eastAsiaTheme="minorHAnsi" w:hAnsiTheme="minorHAnsi" w:cs="TimesNewRomanPSMT"/>
        </w:rPr>
        <w:t>double blind</w:t>
      </w:r>
      <w:r w:rsidRPr="006A332E">
        <w:rPr>
          <w:rFonts w:asciiTheme="minorHAnsi" w:eastAsiaTheme="minorHAnsi" w:hAnsiTheme="minorHAnsi" w:cs="TimesNewRomanPSMT"/>
        </w:rPr>
        <w:t xml:space="preserve"> treatment period. From Week 0 to Week 22, </w:t>
      </w:r>
      <w:r w:rsidR="00C4359A">
        <w:rPr>
          <w:rFonts w:asciiTheme="minorHAnsi" w:eastAsiaTheme="minorHAnsi" w:hAnsiTheme="minorHAnsi" w:cs="TimesNewRomanPSMT"/>
        </w:rPr>
        <w:t>study</w:t>
      </w:r>
      <w:r w:rsidRPr="006A332E">
        <w:rPr>
          <w:rFonts w:asciiTheme="minorHAnsi" w:eastAsiaTheme="minorHAnsi" w:hAnsiTheme="minorHAnsi" w:cs="TimesNewRomanPSMT"/>
        </w:rPr>
        <w:t xml:space="preserve"> drug infusions were administered at an infusion rate</w:t>
      </w:r>
      <w:r>
        <w:rPr>
          <w:rFonts w:asciiTheme="minorHAnsi" w:eastAsiaTheme="minorHAnsi" w:hAnsiTheme="minorHAnsi" w:cs="TimesNewRomanPSMT"/>
        </w:rPr>
        <w:t xml:space="preserve"> </w:t>
      </w:r>
      <w:r w:rsidRPr="006A332E">
        <w:rPr>
          <w:rFonts w:asciiTheme="minorHAnsi" w:eastAsiaTheme="minorHAnsi" w:hAnsiTheme="minorHAnsi" w:cs="TimesNewRomanPSMT"/>
        </w:rPr>
        <w:t>between 50 mL/hr and 150 mL/hr, depending on the subject’s weight, and were</w:t>
      </w:r>
      <w:r>
        <w:rPr>
          <w:rFonts w:asciiTheme="minorHAnsi" w:eastAsiaTheme="minorHAnsi" w:hAnsiTheme="minorHAnsi" w:cs="TimesNewRomanPSMT"/>
        </w:rPr>
        <w:t xml:space="preserve"> </w:t>
      </w:r>
      <w:r w:rsidRPr="006A332E">
        <w:rPr>
          <w:rFonts w:asciiTheme="minorHAnsi" w:eastAsiaTheme="minorHAnsi" w:hAnsiTheme="minorHAnsi" w:cs="TimesNewRomanPSMT"/>
        </w:rPr>
        <w:t>com</w:t>
      </w:r>
      <w:r>
        <w:rPr>
          <w:rFonts w:asciiTheme="minorHAnsi" w:eastAsiaTheme="minorHAnsi" w:hAnsiTheme="minorHAnsi" w:cs="TimesNewRomanPSMT"/>
        </w:rPr>
        <w:t xml:space="preserve">pleted in approximately 2 hours. </w:t>
      </w:r>
      <w:r w:rsidRPr="006A332E">
        <w:rPr>
          <w:rFonts w:asciiTheme="minorHAnsi" w:eastAsiaTheme="minorHAnsi" w:hAnsiTheme="minorHAnsi" w:cs="TimesNewRomanPSMT"/>
        </w:rPr>
        <w:t xml:space="preserve">Subjects who demonstrated evidence of significant clinical progression on blinded </w:t>
      </w:r>
      <w:r w:rsidR="00C4359A">
        <w:rPr>
          <w:rFonts w:asciiTheme="minorHAnsi" w:eastAsiaTheme="minorHAnsi" w:hAnsiTheme="minorHAnsi" w:cs="TimesNewRomanPSMT"/>
        </w:rPr>
        <w:t>study</w:t>
      </w:r>
      <w:r w:rsidRPr="006A332E">
        <w:rPr>
          <w:rFonts w:asciiTheme="minorHAnsi" w:eastAsiaTheme="minorHAnsi" w:hAnsiTheme="minorHAnsi" w:cs="TimesNewRomanPSMT"/>
        </w:rPr>
        <w:t xml:space="preserve"> drug were permitted to</w:t>
      </w:r>
      <w:r w:rsidRPr="00F60DC9">
        <w:rPr>
          <w:rFonts w:asciiTheme="minorHAnsi" w:eastAsiaTheme="minorHAnsi" w:hAnsiTheme="minorHAnsi" w:cs="TimesNewRomanPSMT"/>
        </w:rPr>
        <w:t xml:space="preserve"> discontinue from the </w:t>
      </w:r>
      <w:r w:rsidR="003F3AB4">
        <w:rPr>
          <w:rFonts w:asciiTheme="minorHAnsi" w:eastAsiaTheme="minorHAnsi" w:hAnsiTheme="minorHAnsi" w:cs="TimesNewRomanPSMT"/>
        </w:rPr>
        <w:t>double blind</w:t>
      </w:r>
      <w:r w:rsidRPr="00F60DC9">
        <w:rPr>
          <w:rFonts w:asciiTheme="minorHAnsi" w:eastAsiaTheme="minorHAnsi" w:hAnsiTheme="minorHAnsi" w:cs="TimesNewRomanPSMT"/>
        </w:rPr>
        <w:t xml:space="preserve"> treatment period and transition to </w:t>
      </w:r>
      <w:r w:rsidR="00B73619">
        <w:rPr>
          <w:rFonts w:asciiTheme="minorHAnsi" w:eastAsiaTheme="minorHAnsi" w:hAnsiTheme="minorHAnsi" w:cs="TimesNewRomanPSMT"/>
        </w:rPr>
        <w:t>open label</w:t>
      </w:r>
      <w:r w:rsidRPr="00F60DC9">
        <w:rPr>
          <w:rFonts w:asciiTheme="minorHAnsi" w:eastAsiaTheme="minorHAnsi" w:hAnsiTheme="minorHAnsi" w:cs="TimesNewRomanPSMT"/>
        </w:rPr>
        <w:t xml:space="preserve"> treatment with </w:t>
      </w:r>
      <w:proofErr w:type="spellStart"/>
      <w:r w:rsidRPr="00F60DC9">
        <w:rPr>
          <w:rFonts w:asciiTheme="minorHAnsi" w:eastAsiaTheme="minorHAnsi" w:hAnsiTheme="minorHAnsi" w:cs="TimesNewRomanPSMT"/>
        </w:rPr>
        <w:t>sebelipase</w:t>
      </w:r>
      <w:proofErr w:type="spellEnd"/>
      <w:r w:rsidRPr="00F60DC9">
        <w:rPr>
          <w:rFonts w:asciiTheme="minorHAnsi" w:eastAsiaTheme="minorHAnsi" w:hAnsiTheme="minorHAnsi" w:cs="TimesNewRomanPSMT"/>
        </w:rPr>
        <w:t xml:space="preserve"> alfa at a dose of 1</w:t>
      </w:r>
      <w:r w:rsidR="002D28A4">
        <w:rPr>
          <w:rFonts w:asciiTheme="minorHAnsi" w:eastAsiaTheme="minorHAnsi" w:hAnsiTheme="minorHAnsi" w:cs="TimesNewRomanPSMT"/>
        </w:rPr>
        <w:t> </w:t>
      </w:r>
      <w:r w:rsidRPr="00F60DC9">
        <w:rPr>
          <w:rFonts w:asciiTheme="minorHAnsi" w:eastAsiaTheme="minorHAnsi" w:hAnsiTheme="minorHAnsi" w:cs="TimesNewRomanPSMT"/>
        </w:rPr>
        <w:t xml:space="preserve">mg/kg </w:t>
      </w:r>
      <w:proofErr w:type="spellStart"/>
      <w:r w:rsidRPr="00F60DC9">
        <w:rPr>
          <w:rFonts w:asciiTheme="minorHAnsi" w:eastAsiaTheme="minorHAnsi" w:hAnsiTheme="minorHAnsi" w:cs="TimesNewRomanPSMT"/>
        </w:rPr>
        <w:t>qow</w:t>
      </w:r>
      <w:proofErr w:type="spellEnd"/>
      <w:r w:rsidRPr="00F60DC9">
        <w:rPr>
          <w:rFonts w:asciiTheme="minorHAnsi" w:eastAsiaTheme="minorHAnsi" w:hAnsiTheme="minorHAnsi" w:cs="TimesNewRomanPSMT"/>
        </w:rPr>
        <w:t xml:space="preserve">. The subject's treatment assignment was not to be </w:t>
      </w:r>
      <w:proofErr w:type="spellStart"/>
      <w:r w:rsidRPr="00F60DC9">
        <w:rPr>
          <w:rFonts w:asciiTheme="minorHAnsi" w:eastAsiaTheme="minorHAnsi" w:hAnsiTheme="minorHAnsi" w:cs="TimesNewRomanPSMT"/>
        </w:rPr>
        <w:t>unblinded</w:t>
      </w:r>
      <w:proofErr w:type="spellEnd"/>
      <w:r w:rsidRPr="00F60DC9">
        <w:rPr>
          <w:rFonts w:asciiTheme="minorHAnsi" w:eastAsiaTheme="minorHAnsi" w:hAnsiTheme="minorHAnsi" w:cs="TimesNewRomanPSMT"/>
        </w:rPr>
        <w:t xml:space="preserve"> in the event of</w:t>
      </w:r>
      <w:r>
        <w:rPr>
          <w:rFonts w:asciiTheme="minorHAnsi" w:eastAsiaTheme="minorHAnsi" w:hAnsiTheme="minorHAnsi" w:cs="TimesNewRomanPSMT"/>
        </w:rPr>
        <w:t xml:space="preserve"> </w:t>
      </w:r>
      <w:r w:rsidRPr="00F60DC9">
        <w:rPr>
          <w:rFonts w:asciiTheme="minorHAnsi" w:eastAsiaTheme="minorHAnsi" w:hAnsiTheme="minorHAnsi" w:cs="TimesNewRomanPSMT"/>
        </w:rPr>
        <w:t>such transition, except in the event of a medical</w:t>
      </w:r>
      <w:r>
        <w:rPr>
          <w:rFonts w:asciiTheme="minorHAnsi" w:eastAsiaTheme="minorHAnsi" w:hAnsiTheme="minorHAnsi" w:cs="TimesNewRomanPSMT"/>
        </w:rPr>
        <w:t xml:space="preserve"> emergency.</w:t>
      </w:r>
    </w:p>
    <w:p w14:paraId="55829240" w14:textId="77777777" w:rsidR="00DE635E" w:rsidRPr="008A3B8B" w:rsidRDefault="00DE635E" w:rsidP="00DE635E">
      <w:pPr>
        <w:autoSpaceDE w:val="0"/>
        <w:autoSpaceDN w:val="0"/>
        <w:adjustRightInd w:val="0"/>
        <w:spacing w:before="0" w:line="240" w:lineRule="auto"/>
        <w:rPr>
          <w:rFonts w:asciiTheme="minorHAnsi" w:eastAsiaTheme="minorHAnsi" w:hAnsiTheme="minorHAnsi" w:cs="TimesNewRomanPSMT"/>
        </w:rPr>
      </w:pPr>
      <w:r w:rsidRPr="008A3B8B">
        <w:rPr>
          <w:rFonts w:asciiTheme="minorHAnsi" w:eastAsiaTheme="minorHAnsi" w:hAnsiTheme="minorHAnsi" w:cs="TimesNewRomanPSMT"/>
        </w:rPr>
        <w:t xml:space="preserve">During the </w:t>
      </w:r>
      <w:r w:rsidR="00B73619">
        <w:rPr>
          <w:rFonts w:asciiTheme="minorHAnsi" w:eastAsiaTheme="minorHAnsi" w:hAnsiTheme="minorHAnsi" w:cs="TimesNewRomanPSMT"/>
        </w:rPr>
        <w:t>open label</w:t>
      </w:r>
      <w:r w:rsidRPr="008A3B8B">
        <w:rPr>
          <w:rFonts w:asciiTheme="minorHAnsi" w:eastAsiaTheme="minorHAnsi" w:hAnsiTheme="minorHAnsi" w:cs="TimesNewRomanPSMT"/>
        </w:rPr>
        <w:t xml:space="preserve"> period (beginning at Week 22), all subjects in the </w:t>
      </w:r>
      <w:r w:rsidR="00C4359A">
        <w:rPr>
          <w:rFonts w:asciiTheme="minorHAnsi" w:eastAsiaTheme="minorHAnsi" w:hAnsiTheme="minorHAnsi" w:cs="TimesNewRomanPSMT"/>
        </w:rPr>
        <w:t>study</w:t>
      </w:r>
      <w:r w:rsidRPr="008A3B8B">
        <w:rPr>
          <w:rFonts w:asciiTheme="minorHAnsi" w:eastAsiaTheme="minorHAnsi" w:hAnsiTheme="minorHAnsi" w:cs="TimesNewRomanPSMT"/>
        </w:rPr>
        <w:t xml:space="preserve"> received </w:t>
      </w:r>
      <w:proofErr w:type="spellStart"/>
      <w:r w:rsidRPr="008A3B8B">
        <w:rPr>
          <w:rFonts w:asciiTheme="minorHAnsi" w:eastAsiaTheme="minorHAnsi" w:hAnsiTheme="minorHAnsi" w:cs="TimesNewRomanPSMT"/>
        </w:rPr>
        <w:t>qow</w:t>
      </w:r>
      <w:proofErr w:type="spellEnd"/>
      <w:r w:rsidRPr="008A3B8B">
        <w:rPr>
          <w:rFonts w:asciiTheme="minorHAnsi" w:eastAsiaTheme="minorHAnsi" w:hAnsiTheme="minorHAnsi" w:cs="TimesNewRomanPSMT"/>
        </w:rPr>
        <w:t xml:space="preserve"> IV infusions of </w:t>
      </w:r>
      <w:proofErr w:type="spellStart"/>
      <w:r w:rsidRPr="008A3B8B">
        <w:rPr>
          <w:rFonts w:asciiTheme="minorHAnsi" w:eastAsiaTheme="minorHAnsi" w:hAnsiTheme="minorHAnsi" w:cs="TimesNewRomanPSMT"/>
        </w:rPr>
        <w:t>sebelipase</w:t>
      </w:r>
      <w:proofErr w:type="spellEnd"/>
      <w:r w:rsidRPr="008A3B8B">
        <w:rPr>
          <w:rFonts w:asciiTheme="minorHAnsi" w:eastAsiaTheme="minorHAnsi" w:hAnsiTheme="minorHAnsi" w:cs="TimesNewRomanPSMT"/>
        </w:rPr>
        <w:t xml:space="preserve"> alfa at a dose of 1 mg/kg, irrespective of their treatment allocation during the </w:t>
      </w:r>
      <w:r w:rsidR="003F3AB4">
        <w:rPr>
          <w:rFonts w:asciiTheme="minorHAnsi" w:eastAsiaTheme="minorHAnsi" w:hAnsiTheme="minorHAnsi" w:cs="TimesNewRomanPSMT"/>
        </w:rPr>
        <w:t>double blind</w:t>
      </w:r>
      <w:r>
        <w:rPr>
          <w:rFonts w:asciiTheme="minorHAnsi" w:eastAsiaTheme="minorHAnsi" w:hAnsiTheme="minorHAnsi" w:cs="TimesNewRomanPSMT"/>
        </w:rPr>
        <w:t xml:space="preserve"> </w:t>
      </w:r>
      <w:r w:rsidRPr="008A3B8B">
        <w:rPr>
          <w:rFonts w:asciiTheme="minorHAnsi" w:eastAsiaTheme="minorHAnsi" w:hAnsiTheme="minorHAnsi" w:cs="TimesNewRomanPSMT"/>
        </w:rPr>
        <w:t xml:space="preserve">treatment period. Beginning at Week 24, subjects received </w:t>
      </w:r>
      <w:proofErr w:type="spellStart"/>
      <w:r w:rsidRPr="008A3B8B">
        <w:rPr>
          <w:rFonts w:asciiTheme="minorHAnsi" w:eastAsiaTheme="minorHAnsi" w:hAnsiTheme="minorHAnsi" w:cs="TimesNewRomanPSMT"/>
        </w:rPr>
        <w:t>sebelipase</w:t>
      </w:r>
      <w:proofErr w:type="spellEnd"/>
      <w:r w:rsidRPr="008A3B8B">
        <w:rPr>
          <w:rFonts w:asciiTheme="minorHAnsi" w:eastAsiaTheme="minorHAnsi" w:hAnsiTheme="minorHAnsi" w:cs="TimesNewRomanPSMT"/>
        </w:rPr>
        <w:t xml:space="preserve"> alfa infusions over approximately</w:t>
      </w:r>
      <w:r>
        <w:rPr>
          <w:rFonts w:asciiTheme="minorHAnsi" w:eastAsiaTheme="minorHAnsi" w:hAnsiTheme="minorHAnsi" w:cs="TimesNewRomanPSMT"/>
        </w:rPr>
        <w:t xml:space="preserve"> </w:t>
      </w:r>
      <w:r w:rsidRPr="008A3B8B">
        <w:rPr>
          <w:rFonts w:asciiTheme="minorHAnsi" w:eastAsiaTheme="minorHAnsi" w:hAnsiTheme="minorHAnsi" w:cs="TimesNewRomanPSMT"/>
        </w:rPr>
        <w:t>1 hour. However, if the infusion was not well tolerated, the infusion rate could be decreased to the</w:t>
      </w:r>
      <w:r>
        <w:rPr>
          <w:rFonts w:asciiTheme="minorHAnsi" w:eastAsiaTheme="minorHAnsi" w:hAnsiTheme="minorHAnsi" w:cs="TimesNewRomanPSMT"/>
        </w:rPr>
        <w:t xml:space="preserve"> </w:t>
      </w:r>
      <w:r w:rsidRPr="008A3B8B">
        <w:rPr>
          <w:rFonts w:asciiTheme="minorHAnsi" w:eastAsiaTheme="minorHAnsi" w:hAnsiTheme="minorHAnsi" w:cs="TimesNewRomanPSMT"/>
        </w:rPr>
        <w:t>previously tolerated infusion rate. A subject may have received a total of up to 64 infusions over the</w:t>
      </w:r>
      <w:r>
        <w:rPr>
          <w:rFonts w:asciiTheme="minorHAnsi" w:eastAsiaTheme="minorHAnsi" w:hAnsiTheme="minorHAnsi" w:cs="TimesNewRomanPSMT"/>
        </w:rPr>
        <w:t xml:space="preserve"> </w:t>
      </w:r>
      <w:r w:rsidRPr="008A3B8B">
        <w:rPr>
          <w:rFonts w:asciiTheme="minorHAnsi" w:eastAsiaTheme="minorHAnsi" w:hAnsiTheme="minorHAnsi" w:cs="TimesNewRomanPSMT"/>
        </w:rPr>
        <w:t xml:space="preserve">maximum </w:t>
      </w:r>
      <w:r w:rsidR="002D28A4">
        <w:rPr>
          <w:rFonts w:asciiTheme="minorHAnsi" w:eastAsiaTheme="minorHAnsi" w:hAnsiTheme="minorHAnsi" w:cs="TimesNewRomanPSMT"/>
        </w:rPr>
        <w:t>130 week</w:t>
      </w:r>
      <w:r w:rsidRPr="008A3B8B">
        <w:rPr>
          <w:rFonts w:asciiTheme="minorHAnsi" w:eastAsiaTheme="minorHAnsi" w:hAnsiTheme="minorHAnsi" w:cs="TimesNewRomanPSMT"/>
        </w:rPr>
        <w:t xml:space="preserve"> </w:t>
      </w:r>
      <w:r w:rsidR="00B73619">
        <w:rPr>
          <w:rFonts w:asciiTheme="minorHAnsi" w:eastAsiaTheme="minorHAnsi" w:hAnsiTheme="minorHAnsi" w:cs="TimesNewRomanPSMT"/>
        </w:rPr>
        <w:t>open label</w:t>
      </w:r>
      <w:r w:rsidRPr="008A3B8B">
        <w:rPr>
          <w:rFonts w:asciiTheme="minorHAnsi" w:eastAsiaTheme="minorHAnsi" w:hAnsiTheme="minorHAnsi" w:cs="TimesNewRomanPSMT"/>
        </w:rPr>
        <w:t xml:space="preserve"> period. A dose increase to 3 mg/kg </w:t>
      </w:r>
      <w:proofErr w:type="spellStart"/>
      <w:r w:rsidRPr="008A3B8B">
        <w:rPr>
          <w:rFonts w:asciiTheme="minorHAnsi" w:eastAsiaTheme="minorHAnsi" w:hAnsiTheme="minorHAnsi" w:cs="TimesNewRomanPSMT"/>
        </w:rPr>
        <w:t>qow</w:t>
      </w:r>
      <w:proofErr w:type="spellEnd"/>
      <w:r w:rsidRPr="008A3B8B">
        <w:rPr>
          <w:rFonts w:asciiTheme="minorHAnsi" w:eastAsiaTheme="minorHAnsi" w:hAnsiTheme="minorHAnsi" w:cs="TimesNewRomanPSMT"/>
        </w:rPr>
        <w:t xml:space="preserve"> was permitted in the event of an</w:t>
      </w:r>
      <w:r>
        <w:rPr>
          <w:rFonts w:asciiTheme="minorHAnsi" w:eastAsiaTheme="minorHAnsi" w:hAnsiTheme="minorHAnsi" w:cs="TimesNewRomanPSMT"/>
        </w:rPr>
        <w:t xml:space="preserve"> </w:t>
      </w:r>
      <w:r w:rsidRPr="008A3B8B">
        <w:rPr>
          <w:rFonts w:asciiTheme="minorHAnsi" w:eastAsiaTheme="minorHAnsi" w:hAnsiTheme="minorHAnsi" w:cs="TimesNewRomanPSMT"/>
        </w:rPr>
        <w:t xml:space="preserve">inadequate clinical response, and a dose reduction to 0.35 mg/kg </w:t>
      </w:r>
      <w:proofErr w:type="spellStart"/>
      <w:r w:rsidRPr="008A3B8B">
        <w:rPr>
          <w:rFonts w:asciiTheme="minorHAnsi" w:eastAsiaTheme="minorHAnsi" w:hAnsiTheme="minorHAnsi" w:cs="TimesNewRomanPSMT"/>
        </w:rPr>
        <w:t>qow</w:t>
      </w:r>
      <w:proofErr w:type="spellEnd"/>
      <w:r w:rsidRPr="008A3B8B">
        <w:rPr>
          <w:rFonts w:asciiTheme="minorHAnsi" w:eastAsiaTheme="minorHAnsi" w:hAnsiTheme="minorHAnsi" w:cs="TimesNewRomanPSMT"/>
        </w:rPr>
        <w:t xml:space="preserve"> was permitted in the event of poor</w:t>
      </w:r>
      <w:r>
        <w:rPr>
          <w:rFonts w:asciiTheme="minorHAnsi" w:eastAsiaTheme="minorHAnsi" w:hAnsiTheme="minorHAnsi" w:cs="TimesNewRomanPSMT"/>
        </w:rPr>
        <w:t xml:space="preserve"> </w:t>
      </w:r>
      <w:r w:rsidRPr="008A3B8B">
        <w:rPr>
          <w:rFonts w:asciiTheme="minorHAnsi" w:eastAsiaTheme="minorHAnsi" w:hAnsiTheme="minorHAnsi" w:cs="TimesNewRomanPSMT"/>
        </w:rPr>
        <w:t>tolerability. All dose adjustments were made at the discretion of the Investigator in consultation with the</w:t>
      </w:r>
      <w:r>
        <w:rPr>
          <w:rFonts w:asciiTheme="minorHAnsi" w:eastAsiaTheme="minorHAnsi" w:hAnsiTheme="minorHAnsi" w:cs="TimesNewRomanPSMT"/>
        </w:rPr>
        <w:t xml:space="preserve"> </w:t>
      </w:r>
      <w:r w:rsidR="002D28A4">
        <w:rPr>
          <w:rFonts w:asciiTheme="minorHAnsi" w:eastAsiaTheme="minorHAnsi" w:hAnsiTheme="minorHAnsi" w:cs="TimesNewRomanPSMT"/>
        </w:rPr>
        <w:t>sponsor</w:t>
      </w:r>
      <w:r w:rsidRPr="008A3B8B">
        <w:rPr>
          <w:rFonts w:asciiTheme="minorHAnsi" w:eastAsiaTheme="minorHAnsi" w:hAnsiTheme="minorHAnsi" w:cs="TimesNewRomanPSMT"/>
        </w:rPr>
        <w:t>.</w:t>
      </w:r>
    </w:p>
    <w:p w14:paraId="0D318B21" w14:textId="77777777" w:rsidR="00DE635E" w:rsidRPr="00757BF9" w:rsidRDefault="00DE635E" w:rsidP="00DE635E">
      <w:pPr>
        <w:autoSpaceDE w:val="0"/>
        <w:autoSpaceDN w:val="0"/>
        <w:adjustRightInd w:val="0"/>
        <w:spacing w:before="0" w:line="240" w:lineRule="auto"/>
        <w:rPr>
          <w:rFonts w:asciiTheme="minorHAnsi" w:eastAsiaTheme="minorHAnsi" w:hAnsiTheme="minorHAnsi" w:cs="TimesNewRomanPSMT"/>
        </w:rPr>
      </w:pPr>
      <w:r w:rsidRPr="008A3B8B">
        <w:rPr>
          <w:rFonts w:asciiTheme="minorHAnsi" w:eastAsiaTheme="minorHAnsi" w:hAnsiTheme="minorHAnsi" w:cs="TimesNewRomanPSMT"/>
        </w:rPr>
        <w:t xml:space="preserve">A subject </w:t>
      </w:r>
      <w:r w:rsidRPr="00757BF9">
        <w:rPr>
          <w:rFonts w:asciiTheme="minorHAnsi" w:eastAsiaTheme="minorHAnsi" w:hAnsiTheme="minorHAnsi" w:cs="TimesNewRomanPSMT"/>
        </w:rPr>
        <w:t xml:space="preserve">who could not tolerate </w:t>
      </w:r>
      <w:r w:rsidR="00C4359A">
        <w:rPr>
          <w:rFonts w:asciiTheme="minorHAnsi" w:eastAsiaTheme="minorHAnsi" w:hAnsiTheme="minorHAnsi" w:cs="TimesNewRomanPSMT"/>
        </w:rPr>
        <w:t>study</w:t>
      </w:r>
      <w:r w:rsidRPr="00757BF9">
        <w:rPr>
          <w:rFonts w:asciiTheme="minorHAnsi" w:eastAsiaTheme="minorHAnsi" w:hAnsiTheme="minorHAnsi" w:cs="TimesNewRomanPSMT"/>
        </w:rPr>
        <w:t xml:space="preserve"> treatment, despite a dose reduction to 0.35 mg/kg </w:t>
      </w:r>
      <w:proofErr w:type="spellStart"/>
      <w:r w:rsidRPr="00757BF9">
        <w:rPr>
          <w:rFonts w:asciiTheme="minorHAnsi" w:eastAsiaTheme="minorHAnsi" w:hAnsiTheme="minorHAnsi" w:cs="TimesNewRomanPSMT"/>
        </w:rPr>
        <w:t>qow</w:t>
      </w:r>
      <w:proofErr w:type="spellEnd"/>
      <w:r w:rsidRPr="00757BF9">
        <w:rPr>
          <w:rFonts w:asciiTheme="minorHAnsi" w:eastAsiaTheme="minorHAnsi" w:hAnsiTheme="minorHAnsi" w:cs="TimesNewRomanPSMT"/>
        </w:rPr>
        <w:t xml:space="preserve"> (</w:t>
      </w:r>
      <w:r w:rsidR="00B73619">
        <w:rPr>
          <w:rFonts w:asciiTheme="minorHAnsi" w:eastAsiaTheme="minorHAnsi" w:hAnsiTheme="minorHAnsi" w:cs="TimesNewRomanPSMT"/>
        </w:rPr>
        <w:t>open label</w:t>
      </w:r>
      <w:r w:rsidRPr="00757BF9">
        <w:rPr>
          <w:rFonts w:asciiTheme="minorHAnsi" w:eastAsiaTheme="minorHAnsi" w:hAnsiTheme="minorHAnsi" w:cs="TimesNewRomanPSMT"/>
        </w:rPr>
        <w:t xml:space="preserve"> period only) and measures taken to manage any </w:t>
      </w:r>
      <w:r w:rsidR="003F3AB4">
        <w:rPr>
          <w:rFonts w:asciiTheme="minorHAnsi" w:eastAsiaTheme="minorHAnsi" w:hAnsiTheme="minorHAnsi" w:cs="TimesNewRomanPSMT"/>
        </w:rPr>
        <w:t>infusion associated</w:t>
      </w:r>
      <w:r w:rsidRPr="00757BF9">
        <w:rPr>
          <w:rFonts w:asciiTheme="minorHAnsi" w:eastAsiaTheme="minorHAnsi" w:hAnsiTheme="minorHAnsi" w:cs="TimesNewRomanPSMT"/>
        </w:rPr>
        <w:t xml:space="preserve"> reactions (IARs), was discontinued from the </w:t>
      </w:r>
      <w:r w:rsidR="00C4359A">
        <w:rPr>
          <w:rFonts w:asciiTheme="minorHAnsi" w:eastAsiaTheme="minorHAnsi" w:hAnsiTheme="minorHAnsi" w:cs="TimesNewRomanPSMT"/>
        </w:rPr>
        <w:t>study</w:t>
      </w:r>
      <w:r w:rsidRPr="00757BF9">
        <w:rPr>
          <w:rFonts w:asciiTheme="minorHAnsi" w:eastAsiaTheme="minorHAnsi" w:hAnsiTheme="minorHAnsi" w:cs="TimesNewRomanPSMT"/>
        </w:rPr>
        <w:t xml:space="preserve">. The duration of each subject’s treatment was expected to be at least 78 weeks, and subjects may continue to receive treatment in the </w:t>
      </w:r>
      <w:r w:rsidR="00C4359A">
        <w:rPr>
          <w:rFonts w:asciiTheme="minorHAnsi" w:eastAsiaTheme="minorHAnsi" w:hAnsiTheme="minorHAnsi" w:cs="TimesNewRomanPSMT"/>
        </w:rPr>
        <w:t>study</w:t>
      </w:r>
      <w:r w:rsidRPr="00757BF9">
        <w:rPr>
          <w:rFonts w:asciiTheme="minorHAnsi" w:eastAsiaTheme="minorHAnsi" w:hAnsiTheme="minorHAnsi" w:cs="TimesNewRomanPSMT"/>
        </w:rPr>
        <w:t xml:space="preserve"> for up to 150 weeks.</w:t>
      </w:r>
      <w:r>
        <w:rPr>
          <w:rFonts w:asciiTheme="minorHAnsi" w:eastAsiaTheme="minorHAnsi" w:hAnsiTheme="minorHAnsi" w:cs="TimesNewRomanPSMT"/>
        </w:rPr>
        <w:t xml:space="preserve"> </w:t>
      </w:r>
      <w:r w:rsidRPr="00757BF9">
        <w:rPr>
          <w:rFonts w:asciiTheme="minorHAnsi" w:eastAsiaTheme="minorHAnsi" w:hAnsiTheme="minorHAnsi" w:cs="TimesNewRomanPSMT"/>
        </w:rPr>
        <w:t>Subjects, who were on a stable dosing regimen of an LLM, UDCA, metformin,</w:t>
      </w:r>
      <w:r>
        <w:rPr>
          <w:rFonts w:asciiTheme="minorHAnsi" w:eastAsiaTheme="minorHAnsi" w:hAnsiTheme="minorHAnsi" w:cs="TimesNewRomanPSMT"/>
        </w:rPr>
        <w:t xml:space="preserve"> </w:t>
      </w:r>
      <w:proofErr w:type="spellStart"/>
      <w:r w:rsidRPr="00757BF9">
        <w:rPr>
          <w:rFonts w:asciiTheme="minorHAnsi" w:eastAsiaTheme="minorHAnsi" w:hAnsiTheme="minorHAnsi" w:cs="TimesNewRomanPSMT"/>
        </w:rPr>
        <w:t>glitazones</w:t>
      </w:r>
      <w:proofErr w:type="spellEnd"/>
      <w:r w:rsidRPr="00757BF9">
        <w:rPr>
          <w:rFonts w:asciiTheme="minorHAnsi" w:eastAsiaTheme="minorHAnsi" w:hAnsiTheme="minorHAnsi" w:cs="TimesNewRomanPSMT"/>
        </w:rPr>
        <w:t>, or vitamin E at the time of screening</w:t>
      </w:r>
      <w:r w:rsidR="00D96127">
        <w:rPr>
          <w:rFonts w:asciiTheme="minorHAnsi" w:eastAsiaTheme="minorHAnsi" w:hAnsiTheme="minorHAnsi" w:cs="TimesNewRomanPSMT"/>
        </w:rPr>
        <w:t>,</w:t>
      </w:r>
      <w:r w:rsidRPr="00757BF9">
        <w:rPr>
          <w:rStyle w:val="FootnoteReference"/>
          <w:rFonts w:asciiTheme="minorHAnsi" w:eastAsiaTheme="minorHAnsi" w:hAnsiTheme="minorHAnsi" w:cs="TimesNewRomanPSMT"/>
        </w:rPr>
        <w:footnoteReference w:id="12"/>
      </w:r>
      <w:r w:rsidRPr="00757BF9">
        <w:rPr>
          <w:rFonts w:asciiTheme="minorHAnsi" w:eastAsiaTheme="minorHAnsi" w:hAnsiTheme="minorHAnsi" w:cs="TimesNewRomanPSMT"/>
        </w:rPr>
        <w:t xml:space="preserve"> were to remain on the dosing regimen for at least 32 weeks of treatment in the </w:t>
      </w:r>
      <w:r w:rsidR="00C4359A">
        <w:rPr>
          <w:rFonts w:asciiTheme="minorHAnsi" w:eastAsiaTheme="minorHAnsi" w:hAnsiTheme="minorHAnsi" w:cs="TimesNewRomanPSMT"/>
        </w:rPr>
        <w:t>study</w:t>
      </w:r>
      <w:r w:rsidRPr="00757BF9">
        <w:rPr>
          <w:rFonts w:asciiTheme="minorHAnsi" w:eastAsiaTheme="minorHAnsi" w:hAnsiTheme="minorHAnsi" w:cs="TimesNewRomanPSMT"/>
        </w:rPr>
        <w:t xml:space="preserve">. Dose adjustments or discontinuation of these medications occurred only when there was a clear medical reason and were preapproved by the </w:t>
      </w:r>
      <w:r w:rsidR="002D28A4">
        <w:rPr>
          <w:rFonts w:asciiTheme="minorHAnsi" w:eastAsiaTheme="minorHAnsi" w:hAnsiTheme="minorHAnsi" w:cs="TimesNewRomanPSMT"/>
        </w:rPr>
        <w:t>sponsor</w:t>
      </w:r>
      <w:r>
        <w:rPr>
          <w:rFonts w:asciiTheme="minorHAnsi" w:eastAsiaTheme="minorHAnsi" w:hAnsiTheme="minorHAnsi" w:cs="TimesNewRomanPSMT"/>
        </w:rPr>
        <w:t>.</w:t>
      </w:r>
    </w:p>
    <w:p w14:paraId="40B3175A" w14:textId="77777777" w:rsidR="00DE635E" w:rsidRPr="000871CE" w:rsidRDefault="00DE635E" w:rsidP="00DE635E">
      <w:pPr>
        <w:pStyle w:val="Heading5"/>
      </w:pPr>
      <w:r w:rsidRPr="000871CE">
        <w:t>Efficacy variables and outcomes</w:t>
      </w:r>
    </w:p>
    <w:p w14:paraId="3193B189" w14:textId="01181278" w:rsidR="00DE635E" w:rsidRPr="00250040" w:rsidRDefault="00DE635E" w:rsidP="00DE635E">
      <w:pPr>
        <w:autoSpaceDE w:val="0"/>
        <w:autoSpaceDN w:val="0"/>
        <w:adjustRightInd w:val="0"/>
        <w:spacing w:before="0" w:line="240" w:lineRule="auto"/>
        <w:rPr>
          <w:rFonts w:asciiTheme="minorHAnsi" w:eastAsiaTheme="minorHAnsi" w:hAnsiTheme="minorHAnsi" w:cs="TimesNewRomanPSMT"/>
        </w:rPr>
      </w:pPr>
      <w:r w:rsidRPr="00250040">
        <w:rPr>
          <w:rFonts w:asciiTheme="minorHAnsi" w:eastAsiaTheme="minorHAnsi" w:hAnsiTheme="minorHAnsi" w:cs="TimesNewRomanPSMT"/>
        </w:rPr>
        <w:t>Efficacy was assessed by measurement of serum transaminases and serum lipids;</w:t>
      </w:r>
      <w:r>
        <w:rPr>
          <w:rFonts w:asciiTheme="minorHAnsi" w:eastAsiaTheme="minorHAnsi" w:hAnsiTheme="minorHAnsi" w:cs="TimesNewRomanPSMT"/>
        </w:rPr>
        <w:t xml:space="preserve"> </w:t>
      </w:r>
      <w:r w:rsidRPr="00250040">
        <w:rPr>
          <w:rFonts w:asciiTheme="minorHAnsi" w:eastAsiaTheme="minorHAnsi" w:hAnsiTheme="minorHAnsi" w:cs="TimesNewRomanPSMT"/>
        </w:rPr>
        <w:t xml:space="preserve">assessment of liver and spleen volume and fat content (by abdominal MRI at screening, </w:t>
      </w:r>
      <w:r w:rsidR="002D28A4">
        <w:rPr>
          <w:rFonts w:asciiTheme="minorHAnsi" w:eastAsiaTheme="minorHAnsi" w:hAnsiTheme="minorHAnsi" w:cs="TimesNewRomanPSMT"/>
        </w:rPr>
        <w:t>W</w:t>
      </w:r>
      <w:r w:rsidRPr="00250040">
        <w:rPr>
          <w:rFonts w:asciiTheme="minorHAnsi" w:eastAsiaTheme="minorHAnsi" w:hAnsiTheme="minorHAnsi" w:cs="TimesNewRomanPSMT"/>
        </w:rPr>
        <w:t xml:space="preserve">eek 20, 42 and 52, then every 48 weeks through </w:t>
      </w:r>
      <w:r w:rsidR="00C4359A">
        <w:rPr>
          <w:rFonts w:asciiTheme="minorHAnsi" w:eastAsiaTheme="minorHAnsi" w:hAnsiTheme="minorHAnsi" w:cs="TimesNewRomanPSMT"/>
        </w:rPr>
        <w:t>study</w:t>
      </w:r>
      <w:r w:rsidRPr="00250040">
        <w:rPr>
          <w:rFonts w:asciiTheme="minorHAnsi" w:eastAsiaTheme="minorHAnsi" w:hAnsiTheme="minorHAnsi" w:cs="TimesNewRomanPSMT"/>
        </w:rPr>
        <w:t xml:space="preserve"> completion); and liver histopathology (liver biopsy</w:t>
      </w:r>
      <w:r w:rsidR="00196207">
        <w:rPr>
          <w:rFonts w:asciiTheme="minorHAnsi" w:eastAsiaTheme="minorHAnsi" w:hAnsiTheme="minorHAnsi" w:cs="TimesNewRomanPSMT"/>
        </w:rPr>
        <w:t>;</w:t>
      </w:r>
      <w:r w:rsidRPr="00250040">
        <w:rPr>
          <w:rStyle w:val="FootnoteReference"/>
          <w:rFonts w:asciiTheme="minorHAnsi" w:eastAsiaTheme="minorHAnsi" w:hAnsiTheme="minorHAnsi" w:cs="TimesNewRomanPSMT"/>
        </w:rPr>
        <w:footnoteReference w:id="13"/>
      </w:r>
      <w:r w:rsidRPr="00250040">
        <w:rPr>
          <w:rFonts w:asciiTheme="minorHAnsi" w:eastAsiaTheme="minorHAnsi" w:hAnsiTheme="minorHAnsi" w:cs="TimesNewRomanPSMT"/>
        </w:rPr>
        <w:t xml:space="preserve"> at </w:t>
      </w:r>
      <w:r w:rsidRPr="00250040">
        <w:rPr>
          <w:rFonts w:asciiTheme="minorHAnsi" w:eastAsiaTheme="minorHAnsi" w:hAnsiTheme="minorHAnsi" w:cs="TimesNewRomanPSMT"/>
        </w:rPr>
        <w:lastRenderedPageBreak/>
        <w:t xml:space="preserve">screening, </w:t>
      </w:r>
      <w:r w:rsidR="002D28A4">
        <w:rPr>
          <w:rFonts w:asciiTheme="minorHAnsi" w:eastAsiaTheme="minorHAnsi" w:hAnsiTheme="minorHAnsi" w:cs="TimesNewRomanPSMT"/>
        </w:rPr>
        <w:t>Week</w:t>
      </w:r>
      <w:r w:rsidRPr="00250040">
        <w:rPr>
          <w:rFonts w:asciiTheme="minorHAnsi" w:eastAsiaTheme="minorHAnsi" w:hAnsiTheme="minorHAnsi" w:cs="TimesNewRomanPSMT"/>
        </w:rPr>
        <w:t xml:space="preserve"> 20 and optional at </w:t>
      </w:r>
      <w:r w:rsidR="002D28A4">
        <w:rPr>
          <w:rFonts w:asciiTheme="minorHAnsi" w:eastAsiaTheme="minorHAnsi" w:hAnsiTheme="minorHAnsi" w:cs="TimesNewRomanPSMT"/>
        </w:rPr>
        <w:t>Week</w:t>
      </w:r>
      <w:r w:rsidRPr="00250040">
        <w:rPr>
          <w:rFonts w:asciiTheme="minorHAnsi" w:eastAsiaTheme="minorHAnsi" w:hAnsiTheme="minorHAnsi" w:cs="TimesNewRomanPSMT"/>
        </w:rPr>
        <w:t xml:space="preserve"> 52). Anthropometric data </w:t>
      </w:r>
      <w:r w:rsidR="00905BFD" w:rsidRPr="00250040">
        <w:rPr>
          <w:rFonts w:asciiTheme="minorHAnsi" w:eastAsiaTheme="minorHAnsi" w:hAnsiTheme="minorHAnsi" w:cs="TimesNewRomanPSMT"/>
        </w:rPr>
        <w:t>were collected</w:t>
      </w:r>
      <w:r w:rsidR="00905BFD">
        <w:rPr>
          <w:rFonts w:asciiTheme="minorHAnsi" w:eastAsiaTheme="minorHAnsi" w:hAnsiTheme="minorHAnsi" w:cs="TimesNewRomanPSMT"/>
        </w:rPr>
        <w:t>;</w:t>
      </w:r>
      <w:r w:rsidRPr="00250040">
        <w:rPr>
          <w:rStyle w:val="FootnoteReference"/>
          <w:rFonts w:asciiTheme="minorHAnsi" w:eastAsiaTheme="minorHAnsi" w:hAnsiTheme="minorHAnsi" w:cs="TimesNewRomanPSMT"/>
        </w:rPr>
        <w:footnoteReference w:id="14"/>
      </w:r>
      <w:r w:rsidRPr="00250040">
        <w:rPr>
          <w:rFonts w:asciiTheme="minorHAnsi" w:eastAsiaTheme="minorHAnsi" w:hAnsiTheme="minorHAnsi" w:cs="TimesNewRomanPSMT"/>
        </w:rPr>
        <w:t xml:space="preserve"> and markers of macrophage activation, including serum ferritin and serum </w:t>
      </w:r>
      <w:proofErr w:type="spellStart"/>
      <w:r w:rsidRPr="00250040">
        <w:rPr>
          <w:rFonts w:asciiTheme="minorHAnsi" w:eastAsiaTheme="minorHAnsi" w:hAnsiTheme="minorHAnsi" w:cs="TimesNewRomanPSMT"/>
        </w:rPr>
        <w:t>chitotriosidase</w:t>
      </w:r>
      <w:proofErr w:type="spellEnd"/>
      <w:r w:rsidR="00905BFD" w:rsidRPr="00905BFD">
        <w:rPr>
          <w:rFonts w:asciiTheme="minorHAnsi" w:eastAsiaTheme="minorHAnsi" w:hAnsiTheme="minorHAnsi" w:cs="TimesNewRomanPSMT"/>
        </w:rPr>
        <w:t xml:space="preserve"> </w:t>
      </w:r>
      <w:r w:rsidR="00905BFD" w:rsidRPr="00250040">
        <w:rPr>
          <w:rFonts w:asciiTheme="minorHAnsi" w:eastAsiaTheme="minorHAnsi" w:hAnsiTheme="minorHAnsi" w:cs="TimesNewRomanPSMT"/>
        </w:rPr>
        <w:t>were measured</w:t>
      </w:r>
      <w:r w:rsidR="00905BFD">
        <w:rPr>
          <w:rFonts w:asciiTheme="minorHAnsi" w:eastAsiaTheme="minorHAnsi" w:hAnsiTheme="minorHAnsi" w:cs="TimesNewRomanPSMT"/>
        </w:rPr>
        <w:t>.</w:t>
      </w:r>
      <w:r w:rsidRPr="00250040">
        <w:rPr>
          <w:rStyle w:val="FootnoteReference"/>
          <w:rFonts w:asciiTheme="minorHAnsi" w:eastAsiaTheme="minorHAnsi" w:hAnsiTheme="minorHAnsi" w:cs="TimesNewRomanPSMT"/>
        </w:rPr>
        <w:footnoteReference w:id="15"/>
      </w:r>
    </w:p>
    <w:p w14:paraId="0A0EA672" w14:textId="77777777" w:rsidR="00DE635E" w:rsidRPr="00250040" w:rsidRDefault="00DE635E" w:rsidP="00DE635E">
      <w:pPr>
        <w:autoSpaceDE w:val="0"/>
        <w:autoSpaceDN w:val="0"/>
        <w:adjustRightInd w:val="0"/>
        <w:spacing w:before="0" w:line="240" w:lineRule="auto"/>
        <w:rPr>
          <w:rFonts w:asciiTheme="minorHAnsi" w:eastAsiaTheme="minorHAnsi" w:hAnsiTheme="minorHAnsi" w:cs="TimesNewRomanPSMT"/>
        </w:rPr>
      </w:pPr>
      <w:r w:rsidRPr="00250040">
        <w:rPr>
          <w:rFonts w:asciiTheme="minorHAnsi" w:eastAsiaTheme="minorHAnsi" w:hAnsiTheme="minorHAnsi" w:cs="TimesNewRomanPSMT"/>
        </w:rPr>
        <w:t>The primary efficacy outcome measure was the proportion of subjects who achieved ALT normalisation (</w:t>
      </w:r>
      <w:r w:rsidR="003F3AB4">
        <w:rPr>
          <w:rFonts w:asciiTheme="minorHAnsi" w:eastAsiaTheme="minorHAnsi" w:hAnsiTheme="minorHAnsi" w:cs="TimesNewRomanPSMT"/>
        </w:rPr>
        <w:t>that is</w:t>
      </w:r>
      <w:r w:rsidR="002D28A4">
        <w:rPr>
          <w:rFonts w:asciiTheme="minorHAnsi" w:eastAsiaTheme="minorHAnsi" w:hAnsiTheme="minorHAnsi" w:cs="TimesNewRomanPSMT"/>
        </w:rPr>
        <w:t xml:space="preserve">, ALT below the age </w:t>
      </w:r>
      <w:r w:rsidRPr="00250040">
        <w:rPr>
          <w:rFonts w:asciiTheme="minorHAnsi" w:eastAsiaTheme="minorHAnsi" w:hAnsiTheme="minorHAnsi" w:cs="TimesNewRomanPSMT"/>
        </w:rPr>
        <w:t xml:space="preserve">and </w:t>
      </w:r>
      <w:r w:rsidR="002D28A4">
        <w:rPr>
          <w:rFonts w:asciiTheme="minorHAnsi" w:eastAsiaTheme="minorHAnsi" w:hAnsiTheme="minorHAnsi" w:cs="TimesNewRomanPSMT"/>
        </w:rPr>
        <w:t>gender specific</w:t>
      </w:r>
      <w:r w:rsidRPr="00250040">
        <w:rPr>
          <w:rFonts w:asciiTheme="minorHAnsi" w:eastAsiaTheme="minorHAnsi" w:hAnsiTheme="minorHAnsi" w:cs="TimesNewRomanPSMT"/>
        </w:rPr>
        <w:t xml:space="preserve"> ULN provided by the central laboratory performing the assay) at the last visit in the </w:t>
      </w:r>
      <w:r w:rsidR="003F3AB4">
        <w:rPr>
          <w:rFonts w:asciiTheme="minorHAnsi" w:eastAsiaTheme="minorHAnsi" w:hAnsiTheme="minorHAnsi" w:cs="TimesNewRomanPSMT"/>
        </w:rPr>
        <w:t>double blind</w:t>
      </w:r>
      <w:r w:rsidRPr="00250040">
        <w:rPr>
          <w:rFonts w:asciiTheme="minorHAnsi" w:eastAsiaTheme="minorHAnsi" w:hAnsiTheme="minorHAnsi" w:cs="TimesNewRomanPSMT"/>
        </w:rPr>
        <w:t xml:space="preserve"> treatment period.</w:t>
      </w:r>
    </w:p>
    <w:p w14:paraId="6F141670" w14:textId="371864E8" w:rsidR="002D28A4" w:rsidRDefault="00DE635E" w:rsidP="00DE635E">
      <w:pPr>
        <w:autoSpaceDE w:val="0"/>
        <w:autoSpaceDN w:val="0"/>
        <w:adjustRightInd w:val="0"/>
        <w:spacing w:before="0" w:line="240" w:lineRule="auto"/>
        <w:rPr>
          <w:rFonts w:asciiTheme="minorHAnsi" w:eastAsiaTheme="minorHAnsi" w:hAnsiTheme="minorHAnsi" w:cs="TimesNewRomanPSMT"/>
        </w:rPr>
      </w:pPr>
      <w:r w:rsidRPr="00250040">
        <w:rPr>
          <w:rFonts w:asciiTheme="minorHAnsi" w:eastAsiaTheme="minorHAnsi" w:hAnsiTheme="minorHAnsi" w:cs="TimesNewRomanPSMT"/>
        </w:rPr>
        <w:t xml:space="preserve">The secondary efficacy outcome measures included the following changes (improvement or normalisation rates, as applicable) </w:t>
      </w:r>
      <w:r w:rsidR="00DE644C">
        <w:rPr>
          <w:rFonts w:asciiTheme="minorHAnsi" w:eastAsiaTheme="minorHAnsi" w:hAnsiTheme="minorHAnsi" w:cs="TimesNewRomanPSMT"/>
        </w:rPr>
        <w:t>from Baseline</w:t>
      </w:r>
      <w:r w:rsidRPr="00250040">
        <w:rPr>
          <w:rFonts w:asciiTheme="minorHAnsi" w:eastAsiaTheme="minorHAnsi" w:hAnsiTheme="minorHAnsi" w:cs="TimesNewRomanPSMT"/>
        </w:rPr>
        <w:t xml:space="preserve"> to the end of the </w:t>
      </w:r>
      <w:r w:rsidR="003F3AB4">
        <w:rPr>
          <w:rFonts w:asciiTheme="minorHAnsi" w:eastAsiaTheme="minorHAnsi" w:hAnsiTheme="minorHAnsi" w:cs="TimesNewRomanPSMT"/>
        </w:rPr>
        <w:t>double blind</w:t>
      </w:r>
      <w:r w:rsidR="002D28A4">
        <w:rPr>
          <w:rFonts w:asciiTheme="minorHAnsi" w:eastAsiaTheme="minorHAnsi" w:hAnsiTheme="minorHAnsi" w:cs="TimesNewRomanPSMT"/>
        </w:rPr>
        <w:t xml:space="preserve"> treatment period (Week 20):</w:t>
      </w:r>
    </w:p>
    <w:p w14:paraId="70ADBB46" w14:textId="77777777" w:rsidR="002D28A4" w:rsidRDefault="002D28A4" w:rsidP="002D28A4">
      <w:pPr>
        <w:pStyle w:val="Numberbullet0"/>
        <w:numPr>
          <w:ilvl w:val="0"/>
          <w:numId w:val="47"/>
        </w:numPr>
      </w:pPr>
      <w:r>
        <w:t>relative reduction in LDL-c;</w:t>
      </w:r>
    </w:p>
    <w:p w14:paraId="53F65E8B" w14:textId="77777777" w:rsidR="002D28A4" w:rsidRDefault="00DE635E" w:rsidP="002D28A4">
      <w:pPr>
        <w:pStyle w:val="Numberbullet0"/>
        <w:numPr>
          <w:ilvl w:val="0"/>
          <w:numId w:val="47"/>
        </w:numPr>
      </w:pPr>
      <w:r w:rsidRPr="00250040">
        <w:t>r</w:t>
      </w:r>
      <w:r w:rsidR="002D28A4">
        <w:t>elative reduction in non-HDL-c;</w:t>
      </w:r>
    </w:p>
    <w:p w14:paraId="2D95ECEA" w14:textId="77777777" w:rsidR="002D28A4" w:rsidRDefault="00DE635E" w:rsidP="002D28A4">
      <w:pPr>
        <w:pStyle w:val="Numberbullet0"/>
        <w:numPr>
          <w:ilvl w:val="0"/>
          <w:numId w:val="47"/>
        </w:numPr>
      </w:pPr>
      <w:r w:rsidRPr="00250040">
        <w:t>the proportion of subjects with an abnormal baseline AST (</w:t>
      </w:r>
      <w:r w:rsidR="003F3AB4">
        <w:t>that is</w:t>
      </w:r>
      <w:r w:rsidRPr="00250040">
        <w:t xml:space="preserve">, </w:t>
      </w:r>
      <w:r w:rsidR="00B73619">
        <w:t>&gt;</w:t>
      </w:r>
      <w:r w:rsidR="00CC672B">
        <w:t xml:space="preserve"> </w:t>
      </w:r>
      <w:r w:rsidRPr="00250040">
        <w:t xml:space="preserve">ULN) who achieved AST normalisation, based on age- and </w:t>
      </w:r>
      <w:r w:rsidR="002D28A4">
        <w:t>gender specific</w:t>
      </w:r>
      <w:r w:rsidRPr="00250040">
        <w:t xml:space="preserve"> normal ranges provided by the central la</w:t>
      </w:r>
      <w:r w:rsidR="002D28A4">
        <w:t>boratory performing this assay;</w:t>
      </w:r>
    </w:p>
    <w:p w14:paraId="6BAE8E7E" w14:textId="77777777" w:rsidR="002D28A4" w:rsidRDefault="00DE635E" w:rsidP="002D28A4">
      <w:pPr>
        <w:pStyle w:val="Numberbullet0"/>
        <w:numPr>
          <w:ilvl w:val="0"/>
          <w:numId w:val="47"/>
        </w:numPr>
      </w:pPr>
      <w:r w:rsidRPr="00250040">
        <w:t>relat</w:t>
      </w:r>
      <w:r w:rsidR="002D28A4">
        <w:t>ive reduction in triglycerides;</w:t>
      </w:r>
    </w:p>
    <w:p w14:paraId="229D6E89" w14:textId="77777777" w:rsidR="002D28A4" w:rsidRDefault="00DE635E" w:rsidP="002D28A4">
      <w:pPr>
        <w:pStyle w:val="Numberbullet0"/>
        <w:numPr>
          <w:ilvl w:val="0"/>
          <w:numId w:val="47"/>
        </w:numPr>
      </w:pPr>
      <w:r w:rsidRPr="00250040">
        <w:t xml:space="preserve">relative increase in HDL-c; and, in the subset of subjects for whom </w:t>
      </w:r>
      <w:r w:rsidR="002D28A4">
        <w:t>the assessments were performed,</w:t>
      </w:r>
    </w:p>
    <w:p w14:paraId="0CA653DE" w14:textId="77777777" w:rsidR="002D28A4" w:rsidRDefault="00DE635E" w:rsidP="002D28A4">
      <w:pPr>
        <w:pStyle w:val="Numberbullet0"/>
        <w:numPr>
          <w:ilvl w:val="0"/>
          <w:numId w:val="47"/>
        </w:numPr>
      </w:pPr>
      <w:r w:rsidRPr="00250040">
        <w:t>relative reduction in live</w:t>
      </w:r>
      <w:r w:rsidR="002D28A4">
        <w:t>r fat content;</w:t>
      </w:r>
    </w:p>
    <w:p w14:paraId="63EC13CF" w14:textId="77777777" w:rsidR="002D28A4" w:rsidRDefault="00DE635E" w:rsidP="002D28A4">
      <w:pPr>
        <w:pStyle w:val="Numberbullet0"/>
        <w:numPr>
          <w:ilvl w:val="0"/>
          <w:numId w:val="47"/>
        </w:numPr>
      </w:pPr>
      <w:r w:rsidRPr="00250040">
        <w:t>the proportion of subjects who showed improvement in liver</w:t>
      </w:r>
      <w:r>
        <w:t xml:space="preserve"> </w:t>
      </w:r>
      <w:r w:rsidR="002D28A4">
        <w:t>histopathology; and</w:t>
      </w:r>
    </w:p>
    <w:p w14:paraId="72C0D3D3" w14:textId="77777777" w:rsidR="002D28A4" w:rsidRDefault="00DE635E" w:rsidP="002D28A4">
      <w:pPr>
        <w:pStyle w:val="Numberbullet0"/>
        <w:numPr>
          <w:ilvl w:val="0"/>
          <w:numId w:val="47"/>
        </w:numPr>
      </w:pPr>
      <w:proofErr w:type="gramStart"/>
      <w:r w:rsidRPr="00250040">
        <w:t>relative</w:t>
      </w:r>
      <w:proofErr w:type="gramEnd"/>
      <w:r w:rsidRPr="00250040">
        <w:t xml:space="preserve"> reduction in liver volume.</w:t>
      </w:r>
    </w:p>
    <w:p w14:paraId="6A8B2782" w14:textId="6CA422BE" w:rsidR="002D28A4" w:rsidRDefault="00DE635E" w:rsidP="00DE635E">
      <w:pPr>
        <w:autoSpaceDE w:val="0"/>
        <w:autoSpaceDN w:val="0"/>
        <w:adjustRightInd w:val="0"/>
        <w:spacing w:before="0" w:line="240" w:lineRule="auto"/>
        <w:rPr>
          <w:rFonts w:asciiTheme="minorHAnsi" w:eastAsiaTheme="minorHAnsi" w:hAnsiTheme="minorHAnsi" w:cs="TimesNewRomanPSMT"/>
        </w:rPr>
      </w:pPr>
      <w:r w:rsidRPr="00250040">
        <w:rPr>
          <w:rFonts w:asciiTheme="minorHAnsi" w:eastAsiaTheme="minorHAnsi" w:hAnsiTheme="minorHAnsi" w:cs="TimesNewRomanPSMT"/>
        </w:rPr>
        <w:t xml:space="preserve">Supportive efficacy outcome measures included the following changes (or normalisation, as applicable) </w:t>
      </w:r>
      <w:r w:rsidR="00DE644C">
        <w:rPr>
          <w:rFonts w:asciiTheme="minorHAnsi" w:eastAsiaTheme="minorHAnsi" w:hAnsiTheme="minorHAnsi" w:cs="TimesNewRomanPSMT"/>
        </w:rPr>
        <w:t>from Baseline</w:t>
      </w:r>
      <w:r w:rsidRPr="00250040">
        <w:rPr>
          <w:rFonts w:asciiTheme="minorHAnsi" w:eastAsiaTheme="minorHAnsi" w:hAnsiTheme="minorHAnsi" w:cs="TimesNewRomanPSMT"/>
        </w:rPr>
        <w:t xml:space="preserve"> to the end of the </w:t>
      </w:r>
      <w:r w:rsidR="003F3AB4">
        <w:rPr>
          <w:rFonts w:asciiTheme="minorHAnsi" w:eastAsiaTheme="minorHAnsi" w:hAnsiTheme="minorHAnsi" w:cs="TimesNewRomanPSMT"/>
        </w:rPr>
        <w:t>double blind</w:t>
      </w:r>
      <w:r w:rsidRPr="00250040">
        <w:rPr>
          <w:rFonts w:asciiTheme="minorHAnsi" w:eastAsiaTheme="minorHAnsi" w:hAnsiTheme="minorHAnsi" w:cs="TimesNewRomanPSMT"/>
        </w:rPr>
        <w:t xml:space="preserve"> treatment period (Week 20):</w:t>
      </w:r>
    </w:p>
    <w:p w14:paraId="777788C1" w14:textId="77777777" w:rsidR="002D28A4" w:rsidRDefault="00DE635E" w:rsidP="002D28A4">
      <w:pPr>
        <w:pStyle w:val="Numberbullet0"/>
        <w:numPr>
          <w:ilvl w:val="0"/>
          <w:numId w:val="48"/>
        </w:numPr>
      </w:pPr>
      <w:r w:rsidRPr="00250040">
        <w:t xml:space="preserve">proportion of subjects with abnormal baseline gamma </w:t>
      </w:r>
      <w:proofErr w:type="spellStart"/>
      <w:r w:rsidRPr="00250040">
        <w:t>glutamyltransferase</w:t>
      </w:r>
      <w:proofErr w:type="spellEnd"/>
      <w:r w:rsidRPr="00250040">
        <w:t xml:space="preserve"> (GGT) (</w:t>
      </w:r>
      <w:r w:rsidR="003F3AB4">
        <w:t>that is</w:t>
      </w:r>
      <w:r w:rsidRPr="00250040">
        <w:t xml:space="preserve">, </w:t>
      </w:r>
      <w:r w:rsidR="00B73619">
        <w:t>&gt;</w:t>
      </w:r>
      <w:r w:rsidR="002D28A4">
        <w:t> </w:t>
      </w:r>
      <w:r w:rsidRPr="00250040">
        <w:t>ULN) who achieved normalisation based on</w:t>
      </w:r>
      <w:r>
        <w:t xml:space="preserve"> </w:t>
      </w:r>
      <w:r w:rsidRPr="00250040">
        <w:t xml:space="preserve">age- and </w:t>
      </w:r>
      <w:r w:rsidR="002D28A4">
        <w:t>gender specific</w:t>
      </w:r>
      <w:r w:rsidRPr="00250040">
        <w:t xml:space="preserve"> normal ranges provided by the central l</w:t>
      </w:r>
      <w:r w:rsidR="002D28A4">
        <w:t>aboratory performing this assay</w:t>
      </w:r>
    </w:p>
    <w:p w14:paraId="3FC64ED9" w14:textId="77777777" w:rsidR="002D28A4" w:rsidRDefault="00DE635E" w:rsidP="002D28A4">
      <w:pPr>
        <w:pStyle w:val="Numberbullet0"/>
        <w:numPr>
          <w:ilvl w:val="0"/>
          <w:numId w:val="48"/>
        </w:numPr>
      </w:pPr>
      <w:r w:rsidRPr="00250040">
        <w:t>absolute r</w:t>
      </w:r>
      <w:r w:rsidR="002D28A4">
        <w:t>eductions in ALT, AST, and GGT;</w:t>
      </w:r>
    </w:p>
    <w:p w14:paraId="35CBA2B0" w14:textId="77777777" w:rsidR="002D28A4" w:rsidRDefault="00DE635E" w:rsidP="002D28A4">
      <w:pPr>
        <w:pStyle w:val="Numberbullet0"/>
        <w:numPr>
          <w:ilvl w:val="0"/>
          <w:numId w:val="48"/>
        </w:numPr>
      </w:pPr>
      <w:r w:rsidRPr="00250040">
        <w:t>relative reduction in</w:t>
      </w:r>
      <w:r w:rsidR="002D28A4">
        <w:t xml:space="preserve"> spleen volume and fat content;</w:t>
      </w:r>
    </w:p>
    <w:p w14:paraId="602D1B31" w14:textId="7629CB70" w:rsidR="002D28A4" w:rsidRDefault="00DE635E" w:rsidP="002D28A4">
      <w:pPr>
        <w:pStyle w:val="Numberbullet0"/>
        <w:numPr>
          <w:ilvl w:val="0"/>
          <w:numId w:val="48"/>
        </w:numPr>
      </w:pPr>
      <w:r w:rsidRPr="00250040">
        <w:t xml:space="preserve">z-scores and percentiles for weight-for-age (WFA), and stature-for-age (SFA) (based on Centres for Disease Control and Prevention </w:t>
      </w:r>
      <w:r w:rsidR="00905BFD">
        <w:t>(</w:t>
      </w:r>
      <w:r w:rsidRPr="00250040">
        <w:t>CDC</w:t>
      </w:r>
      <w:r w:rsidR="00905BFD">
        <w:t>)</w:t>
      </w:r>
      <w:r w:rsidRPr="00250040">
        <w:t xml:space="preserve"> child gro</w:t>
      </w:r>
      <w:r w:rsidR="002D28A4">
        <w:t>wth standards) in subjects ≤ 18 </w:t>
      </w:r>
      <w:r w:rsidRPr="00250040">
        <w:t>years of age on th</w:t>
      </w:r>
      <w:r w:rsidR="002D28A4">
        <w:t>e date of informed consent; and</w:t>
      </w:r>
    </w:p>
    <w:p w14:paraId="3D791E29" w14:textId="77777777" w:rsidR="002D28A4" w:rsidRDefault="00DE635E" w:rsidP="002D28A4">
      <w:pPr>
        <w:pStyle w:val="Numberbullet0"/>
        <w:numPr>
          <w:ilvl w:val="0"/>
          <w:numId w:val="48"/>
        </w:numPr>
      </w:pPr>
      <w:proofErr w:type="gramStart"/>
      <w:r w:rsidRPr="00250040">
        <w:t>absolute</w:t>
      </w:r>
      <w:proofErr w:type="gramEnd"/>
      <w:r w:rsidRPr="00250040">
        <w:t xml:space="preserve"> reductions in serum ferr</w:t>
      </w:r>
      <w:r w:rsidR="002D28A4">
        <w:t xml:space="preserve">itin and serum </w:t>
      </w:r>
      <w:proofErr w:type="spellStart"/>
      <w:r w:rsidR="002D28A4">
        <w:t>chitotriosidase</w:t>
      </w:r>
      <w:proofErr w:type="spellEnd"/>
      <w:r w:rsidR="002D28A4">
        <w:t>.</w:t>
      </w:r>
    </w:p>
    <w:p w14:paraId="6A86F24B" w14:textId="77F580D9" w:rsidR="00DE635E" w:rsidRDefault="00DE635E" w:rsidP="00DE635E">
      <w:pPr>
        <w:autoSpaceDE w:val="0"/>
        <w:autoSpaceDN w:val="0"/>
        <w:adjustRightInd w:val="0"/>
        <w:spacing w:before="0" w:line="240" w:lineRule="auto"/>
        <w:rPr>
          <w:rFonts w:asciiTheme="minorHAnsi" w:eastAsiaTheme="minorHAnsi" w:hAnsiTheme="minorHAnsi" w:cs="TimesNewRomanPSMT"/>
        </w:rPr>
      </w:pPr>
      <w:r w:rsidRPr="00250040">
        <w:rPr>
          <w:rFonts w:asciiTheme="minorHAnsi" w:eastAsiaTheme="minorHAnsi" w:hAnsiTheme="minorHAnsi" w:cs="TimesNewRomanPSMT"/>
        </w:rPr>
        <w:lastRenderedPageBreak/>
        <w:t xml:space="preserve">During the </w:t>
      </w:r>
      <w:r w:rsidR="00B73619">
        <w:rPr>
          <w:rFonts w:asciiTheme="minorHAnsi" w:eastAsiaTheme="minorHAnsi" w:hAnsiTheme="minorHAnsi" w:cs="TimesNewRomanPSMT"/>
        </w:rPr>
        <w:t>open label</w:t>
      </w:r>
      <w:r w:rsidRPr="00250040">
        <w:rPr>
          <w:rFonts w:asciiTheme="minorHAnsi" w:eastAsiaTheme="minorHAnsi" w:hAnsiTheme="minorHAnsi" w:cs="TimesNewRomanPSMT"/>
        </w:rPr>
        <w:t xml:space="preserve"> period, durability of clinical response in subjects originally randomised to </w:t>
      </w:r>
      <w:proofErr w:type="spellStart"/>
      <w:r w:rsidRPr="00250040">
        <w:rPr>
          <w:rFonts w:asciiTheme="minorHAnsi" w:eastAsiaTheme="minorHAnsi" w:hAnsiTheme="minorHAnsi" w:cs="TimesNewRomanPSMT"/>
        </w:rPr>
        <w:t>sebelipase</w:t>
      </w:r>
      <w:proofErr w:type="spellEnd"/>
      <w:r w:rsidRPr="00250040">
        <w:rPr>
          <w:rFonts w:asciiTheme="minorHAnsi" w:eastAsiaTheme="minorHAnsi" w:hAnsiTheme="minorHAnsi" w:cs="TimesNewRomanPSMT"/>
        </w:rPr>
        <w:t xml:space="preserve"> alfa and treatment response in subjects originally randomised to placebo were investigated for efficacy endpoints similar to those described above. The effect of anti-drug antibodies (ADAs) on the efficacy of </w:t>
      </w:r>
      <w:proofErr w:type="spellStart"/>
      <w:r w:rsidRPr="00250040">
        <w:rPr>
          <w:rFonts w:asciiTheme="minorHAnsi" w:eastAsiaTheme="minorHAnsi" w:hAnsiTheme="minorHAnsi" w:cs="TimesNewRomanPSMT"/>
        </w:rPr>
        <w:t>sebelipase</w:t>
      </w:r>
      <w:proofErr w:type="spellEnd"/>
      <w:r w:rsidRPr="00250040">
        <w:rPr>
          <w:rFonts w:asciiTheme="minorHAnsi" w:eastAsiaTheme="minorHAnsi" w:hAnsiTheme="minorHAnsi" w:cs="TimesNewRomanPSMT"/>
        </w:rPr>
        <w:t xml:space="preserve"> alfa also was explored. Exploratory HRQOL measures</w:t>
      </w:r>
      <w:r w:rsidR="007B1B2D">
        <w:rPr>
          <w:rFonts w:asciiTheme="minorHAnsi" w:eastAsiaTheme="minorHAnsi" w:hAnsiTheme="minorHAnsi" w:cs="TimesNewRomanPSMT"/>
        </w:rPr>
        <w:t>;</w:t>
      </w:r>
      <w:r w:rsidRPr="00250040">
        <w:rPr>
          <w:rStyle w:val="FootnoteReference"/>
          <w:rFonts w:asciiTheme="minorHAnsi" w:eastAsiaTheme="minorHAnsi" w:hAnsiTheme="minorHAnsi" w:cs="TimesNewRomanPSMT"/>
        </w:rPr>
        <w:footnoteReference w:id="16"/>
      </w:r>
      <w:r w:rsidRPr="00250040">
        <w:rPr>
          <w:rFonts w:asciiTheme="minorHAnsi" w:eastAsiaTheme="minorHAnsi" w:hAnsiTheme="minorHAnsi" w:cs="TimesNewRomanPSMT"/>
        </w:rPr>
        <w:t xml:space="preserve"> included changes </w:t>
      </w:r>
      <w:r w:rsidR="00DE644C">
        <w:rPr>
          <w:rFonts w:asciiTheme="minorHAnsi" w:eastAsiaTheme="minorHAnsi" w:hAnsiTheme="minorHAnsi" w:cs="TimesNewRomanPSMT"/>
        </w:rPr>
        <w:t>from Baseline</w:t>
      </w:r>
      <w:r w:rsidRPr="00250040">
        <w:rPr>
          <w:rFonts w:asciiTheme="minorHAnsi" w:eastAsiaTheme="minorHAnsi" w:hAnsiTheme="minorHAnsi" w:cs="TimesNewRomanPSMT"/>
        </w:rPr>
        <w:t xml:space="preserve"> in scores for the Functional Assessment of Chronic Illness Therapy-Fatigue (FACIT-Fatigue) scale, Chronic Liver Disease Questionnaire (CLDQ), and/or Paediatric Quality of Life Inventory (</w:t>
      </w:r>
      <w:proofErr w:type="spellStart"/>
      <w:r w:rsidR="002D28A4">
        <w:rPr>
          <w:rFonts w:asciiTheme="minorHAnsi" w:eastAsiaTheme="minorHAnsi" w:hAnsiTheme="minorHAnsi" w:cs="TimesNewRomanPSMT"/>
        </w:rPr>
        <w:t>PedsQL</w:t>
      </w:r>
      <w:proofErr w:type="spellEnd"/>
      <w:r w:rsidRPr="00250040">
        <w:rPr>
          <w:rFonts w:asciiTheme="minorHAnsi" w:eastAsiaTheme="minorHAnsi" w:hAnsiTheme="minorHAnsi" w:cs="TimesNewRomanPSMT"/>
        </w:rPr>
        <w:t>) Generic Core Scales, as appropriate to the age of the subject</w:t>
      </w:r>
      <w:r w:rsidR="007B1B2D">
        <w:rPr>
          <w:rFonts w:asciiTheme="minorHAnsi" w:eastAsiaTheme="minorHAnsi" w:hAnsiTheme="minorHAnsi" w:cs="TimesNewRomanPSMT"/>
        </w:rPr>
        <w:t>.</w:t>
      </w:r>
      <w:r w:rsidRPr="00250040">
        <w:rPr>
          <w:rStyle w:val="FootnoteReference"/>
          <w:rFonts w:asciiTheme="minorHAnsi" w:eastAsiaTheme="minorHAnsi" w:hAnsiTheme="minorHAnsi" w:cs="TimesNewRomanPSMT"/>
        </w:rPr>
        <w:footnoteReference w:id="17"/>
      </w:r>
    </w:p>
    <w:p w14:paraId="560A1A8F" w14:textId="77777777" w:rsidR="00DE635E" w:rsidRPr="000871CE" w:rsidRDefault="00DE635E" w:rsidP="00DE635E">
      <w:pPr>
        <w:pStyle w:val="Heading5"/>
      </w:pPr>
      <w:r w:rsidRPr="000871CE">
        <w:t>Randomisation and blinding methods</w:t>
      </w:r>
    </w:p>
    <w:p w14:paraId="5CA9CEB1" w14:textId="08B8AFF2" w:rsidR="00DE635E" w:rsidRPr="00C662C3" w:rsidRDefault="00DE635E" w:rsidP="00FE2AA6">
      <w:r w:rsidRPr="00C662C3">
        <w:t xml:space="preserve">Subjects who were determined to be eligible for the </w:t>
      </w:r>
      <w:r w:rsidR="00C4359A" w:rsidRPr="00C662C3">
        <w:t>study</w:t>
      </w:r>
      <w:r w:rsidRPr="00C662C3">
        <w:t xml:space="preserve"> were randomised to treatment prior to the first infusion of </w:t>
      </w:r>
      <w:r w:rsidR="00C4359A" w:rsidRPr="00C662C3">
        <w:t>study</w:t>
      </w:r>
      <w:r w:rsidRPr="00C662C3">
        <w:t xml:space="preserve"> drug at Day 0 (Week 0). Subjects were stratified into one of 8 strata based on age at randomisation (</w:t>
      </w:r>
      <w:r w:rsidR="00A87AAC" w:rsidRPr="00C662C3">
        <w:t xml:space="preserve">&lt; </w:t>
      </w:r>
      <w:r w:rsidRPr="00C662C3">
        <w:t>12 years, ≥ 12 years), the average of the 2 screening ALT measurements (</w:t>
      </w:r>
      <w:r w:rsidR="00A87AAC" w:rsidRPr="00C662C3">
        <w:t xml:space="preserve">&lt; </w:t>
      </w:r>
      <w:r w:rsidRPr="00C662C3">
        <w:t xml:space="preserve">3 </w:t>
      </w:r>
      <w:r w:rsidR="002D28A4" w:rsidRPr="00C662C3">
        <w:t>x</w:t>
      </w:r>
      <w:r w:rsidRPr="00C662C3">
        <w:t xml:space="preserve"> ULN, ≥ 3 </w:t>
      </w:r>
      <w:r w:rsidR="002D28A4" w:rsidRPr="00C662C3">
        <w:t>x</w:t>
      </w:r>
      <w:r w:rsidRPr="00C662C3">
        <w:t xml:space="preserve"> ULN), and use of LLM</w:t>
      </w:r>
      <w:r w:rsidR="007B1B2D" w:rsidRPr="00C662C3">
        <w:t xml:space="preserve"> at Baseline (yes, no).</w:t>
      </w:r>
      <w:r w:rsidRPr="00FE2AA6">
        <w:rPr>
          <w:vertAlign w:val="superscript"/>
        </w:rPr>
        <w:footnoteReference w:id="18"/>
      </w:r>
      <w:r w:rsidRPr="00FE2AA6">
        <w:rPr>
          <w:vertAlign w:val="superscript"/>
        </w:rPr>
        <w:t xml:space="preserve"> </w:t>
      </w:r>
      <w:r w:rsidRPr="00C662C3">
        <w:t xml:space="preserve">Within each stratum, subjects were randomised via an interactive voice response system (IVRS) or interactive web response system (IWRS) in a 1:1 ratio to </w:t>
      </w:r>
      <w:proofErr w:type="spellStart"/>
      <w:r w:rsidRPr="00C662C3">
        <w:t>sebelipase</w:t>
      </w:r>
      <w:proofErr w:type="spellEnd"/>
      <w:r w:rsidRPr="00C662C3">
        <w:t xml:space="preserve"> alfa 1 mg/kg or placebo via IV infusion </w:t>
      </w:r>
      <w:proofErr w:type="spellStart"/>
      <w:r w:rsidRPr="00C662C3">
        <w:t>qow</w:t>
      </w:r>
      <w:proofErr w:type="spellEnd"/>
      <w:r w:rsidRPr="00C662C3">
        <w:t>.</w:t>
      </w:r>
    </w:p>
    <w:p w14:paraId="796B47F8" w14:textId="2932B77D" w:rsidR="00DE635E" w:rsidRPr="00C662C3" w:rsidRDefault="00DE635E" w:rsidP="00FE2AA6">
      <w:r w:rsidRPr="00C662C3">
        <w:t xml:space="preserve">The subjects (and their parents or legal guardians), Investigators, and all </w:t>
      </w:r>
      <w:r w:rsidR="002D28A4" w:rsidRPr="00C662C3">
        <w:t>sponsor</w:t>
      </w:r>
      <w:r w:rsidRPr="00C662C3">
        <w:t xml:space="preserve"> personnel (except those required to report assigned </w:t>
      </w:r>
      <w:r w:rsidR="00C4359A" w:rsidRPr="00C662C3">
        <w:t>study</w:t>
      </w:r>
      <w:r w:rsidRPr="00C662C3">
        <w:t xml:space="preserve"> medication to regulatory authorities in the case of suspected unexpected serious adverse reactions </w:t>
      </w:r>
      <w:r w:rsidR="007B1B2D" w:rsidRPr="00C662C3">
        <w:t>(</w:t>
      </w:r>
      <w:r w:rsidRPr="00C662C3">
        <w:t>SUSARs</w:t>
      </w:r>
      <w:r w:rsidR="007B1B2D" w:rsidRPr="00C662C3">
        <w:t>)</w:t>
      </w:r>
      <w:r w:rsidRPr="00C662C3">
        <w:t xml:space="preserve">) and designees involved in the conduct of the clinical </w:t>
      </w:r>
      <w:r w:rsidR="00C4359A" w:rsidRPr="00C662C3">
        <w:t>study</w:t>
      </w:r>
      <w:r w:rsidRPr="00C662C3">
        <w:t xml:space="preserve"> were blinded to the identity of the </w:t>
      </w:r>
      <w:r w:rsidR="00C4359A" w:rsidRPr="00C662C3">
        <w:t>study</w:t>
      </w:r>
      <w:r w:rsidRPr="00C662C3">
        <w:t xml:space="preserve"> infusions.</w:t>
      </w:r>
    </w:p>
    <w:p w14:paraId="23B4F5F9" w14:textId="19B60B3B" w:rsidR="00B73619" w:rsidRPr="00C662C3" w:rsidRDefault="00DE635E" w:rsidP="00FE2AA6">
      <w:r w:rsidRPr="00C662C3">
        <w:t xml:space="preserve">Although the primary and key secondary efficacy endpoints in this </w:t>
      </w:r>
      <w:r w:rsidR="00C4359A" w:rsidRPr="00C662C3">
        <w:t>study</w:t>
      </w:r>
      <w:r w:rsidRPr="00C662C3">
        <w:t xml:space="preserve"> were objective and unlikely to be affected by </w:t>
      </w:r>
      <w:proofErr w:type="spellStart"/>
      <w:r w:rsidRPr="00C662C3">
        <w:t>unblinding</w:t>
      </w:r>
      <w:proofErr w:type="spellEnd"/>
      <w:r w:rsidRPr="00C662C3">
        <w:t>, adequate precautions</w:t>
      </w:r>
      <w:r w:rsidR="007B1B2D" w:rsidRPr="00C662C3">
        <w:t xml:space="preserve"> were taken to ensure the integrity of the study blind in order to minimise any potential impact on interpretation of other efficacy and safety assessments.</w:t>
      </w:r>
      <w:r w:rsidRPr="00FE2AA6">
        <w:rPr>
          <w:vertAlign w:val="superscript"/>
        </w:rPr>
        <w:footnoteReference w:id="19"/>
      </w:r>
    </w:p>
    <w:p w14:paraId="704D151D" w14:textId="77777777" w:rsidR="00EA418E" w:rsidRPr="000871CE" w:rsidDel="0081373E" w:rsidRDefault="00EA418E" w:rsidP="00EA418E">
      <w:pPr>
        <w:pStyle w:val="Heading5"/>
      </w:pPr>
      <w:r w:rsidRPr="000871CE">
        <w:lastRenderedPageBreak/>
        <w:t>Analysis populations</w:t>
      </w:r>
    </w:p>
    <w:p w14:paraId="582FFA8F" w14:textId="77777777" w:rsidR="00EA418E" w:rsidRPr="00C662C3" w:rsidRDefault="00EA418E" w:rsidP="00BD0B44">
      <w:r w:rsidRPr="00C662C3">
        <w:t xml:space="preserve">The Consented Subject Set (Consented Set) comprised of all subjects who signed informed consent. The FAS comprised subjects in the Consented Set who, in addition, were randomised and received at least 1 dose of </w:t>
      </w:r>
      <w:proofErr w:type="spellStart"/>
      <w:r w:rsidRPr="00C662C3">
        <w:t>sebelipase</w:t>
      </w:r>
      <w:proofErr w:type="spellEnd"/>
      <w:r w:rsidRPr="00C662C3">
        <w:t xml:space="preserve"> alfa or placebo. The FAS was a modified intention-to-treat (ITT) dataset. The Pharmacokinetic Set (PK Set) comprised subjects in the FAS who were randomised to </w:t>
      </w:r>
      <w:proofErr w:type="spellStart"/>
      <w:r w:rsidRPr="00C662C3">
        <w:t>sebelipase</w:t>
      </w:r>
      <w:proofErr w:type="spellEnd"/>
      <w:r w:rsidRPr="00C662C3">
        <w:t xml:space="preserve"> alfa, received at least 1 dose of </w:t>
      </w:r>
      <w:proofErr w:type="spellStart"/>
      <w:r w:rsidRPr="00C662C3">
        <w:t>sebelipase</w:t>
      </w:r>
      <w:proofErr w:type="spellEnd"/>
      <w:r w:rsidRPr="00C662C3">
        <w:t xml:space="preserve"> alfa, and had sufficient data for analyses of the PK profile following at least 1 infusion.</w:t>
      </w:r>
    </w:p>
    <w:p w14:paraId="43AC380F" w14:textId="53E1BBB7" w:rsidR="002D28A4" w:rsidRPr="00C662C3" w:rsidRDefault="00EA418E" w:rsidP="00BD0B44">
      <w:r w:rsidRPr="00C662C3">
        <w:t>The Per Protocol Set (PP Set) comprised subjec</w:t>
      </w:r>
      <w:r w:rsidR="002D28A4" w:rsidRPr="00C662C3">
        <w:t>ts in the FAS who, in addition</w:t>
      </w:r>
      <w:r w:rsidR="00C662C3">
        <w:t>:</w:t>
      </w:r>
    </w:p>
    <w:p w14:paraId="40EF77CF" w14:textId="77777777" w:rsidR="002D28A4" w:rsidRDefault="00EA418E" w:rsidP="002D28A4">
      <w:pPr>
        <w:pStyle w:val="Numberbullet0"/>
        <w:numPr>
          <w:ilvl w:val="0"/>
          <w:numId w:val="49"/>
        </w:numPr>
      </w:pPr>
      <w:r w:rsidRPr="002C0321">
        <w:t>received at least</w:t>
      </w:r>
      <w:r>
        <w:t xml:space="preserve"> </w:t>
      </w:r>
      <w:r w:rsidRPr="002C0321">
        <w:t xml:space="preserve">9 complete infusions of </w:t>
      </w:r>
      <w:r w:rsidR="00C4359A">
        <w:t>study</w:t>
      </w:r>
      <w:r w:rsidRPr="002C0321">
        <w:t xml:space="preserve"> drug during the </w:t>
      </w:r>
      <w:r w:rsidR="003F3AB4">
        <w:t>double blind</w:t>
      </w:r>
      <w:r w:rsidRPr="002C0321">
        <w:t xml:space="preserve"> treatment period;</w:t>
      </w:r>
    </w:p>
    <w:p w14:paraId="3DD40A4E" w14:textId="77777777" w:rsidR="002D28A4" w:rsidRDefault="00EA418E" w:rsidP="002D28A4">
      <w:pPr>
        <w:pStyle w:val="Numberbullet0"/>
        <w:numPr>
          <w:ilvl w:val="0"/>
          <w:numId w:val="49"/>
        </w:numPr>
      </w:pPr>
      <w:r w:rsidRPr="002C0321">
        <w:t>had measurements of ALT</w:t>
      </w:r>
      <w:r>
        <w:t xml:space="preserve"> </w:t>
      </w:r>
      <w:r w:rsidR="002D28A4">
        <w:t>at both baseline and Week 20;</w:t>
      </w:r>
    </w:p>
    <w:p w14:paraId="0A9C1E77" w14:textId="77777777" w:rsidR="002D28A4" w:rsidRDefault="00EA418E" w:rsidP="002D28A4">
      <w:pPr>
        <w:pStyle w:val="Numberbullet0"/>
      </w:pPr>
      <w:r w:rsidRPr="002C0321">
        <w:t>had Week 20 assessments within 12 to 21 days of the preceding (Week</w:t>
      </w:r>
      <w:r>
        <w:t xml:space="preserve"> </w:t>
      </w:r>
      <w:r w:rsidRPr="002C0321">
        <w:t>18) infusion;</w:t>
      </w:r>
    </w:p>
    <w:p w14:paraId="224983B0" w14:textId="77777777" w:rsidR="002D28A4" w:rsidRDefault="002D28A4" w:rsidP="002D28A4">
      <w:pPr>
        <w:pStyle w:val="Numberbullet0"/>
      </w:pPr>
      <w:r>
        <w:t>did not change their LLM; and</w:t>
      </w:r>
    </w:p>
    <w:p w14:paraId="794DC336" w14:textId="77777777" w:rsidR="002D28A4" w:rsidRDefault="00EA418E" w:rsidP="002D28A4">
      <w:pPr>
        <w:pStyle w:val="Numberbullet0"/>
      </w:pPr>
      <w:proofErr w:type="gramStart"/>
      <w:r w:rsidRPr="002C0321">
        <w:t>did</w:t>
      </w:r>
      <w:proofErr w:type="gramEnd"/>
      <w:r w:rsidRPr="002C0321">
        <w:t xml:space="preserve"> not have any other major protocol deviation that</w:t>
      </w:r>
      <w:r>
        <w:t xml:space="preserve"> </w:t>
      </w:r>
      <w:r w:rsidRPr="002C0321">
        <w:t>would affect interpretation of results for serum transaminases or serum lipids.</w:t>
      </w:r>
    </w:p>
    <w:p w14:paraId="3746EB60" w14:textId="77777777" w:rsidR="00B73619" w:rsidRPr="00C662C3" w:rsidRDefault="00EA418E" w:rsidP="00BD0B44">
      <w:r w:rsidRPr="00C662C3">
        <w:t xml:space="preserve">Analyses of data from the </w:t>
      </w:r>
      <w:r w:rsidR="00B73619" w:rsidRPr="00C662C3">
        <w:t>open label</w:t>
      </w:r>
      <w:r w:rsidRPr="00C662C3">
        <w:t xml:space="preserve"> period were based on the Extension Analysis Set (EAS), comprised of subjects in the Consented Set who, in addition, were randomised to treatment and received at least 1 dose (or any portion of a dose) of </w:t>
      </w:r>
      <w:proofErr w:type="spellStart"/>
      <w:r w:rsidRPr="00C662C3">
        <w:t>sebelipase</w:t>
      </w:r>
      <w:proofErr w:type="spellEnd"/>
      <w:r w:rsidRPr="00C662C3">
        <w:t xml:space="preserve"> alfa. For subjects who were originally randomised to </w:t>
      </w:r>
      <w:proofErr w:type="spellStart"/>
      <w:r w:rsidRPr="00C662C3">
        <w:t>sebelipase</w:t>
      </w:r>
      <w:proofErr w:type="spellEnd"/>
      <w:r w:rsidRPr="00C662C3">
        <w:t xml:space="preserve"> alfa and received at least 1 dose of </w:t>
      </w:r>
      <w:proofErr w:type="spellStart"/>
      <w:r w:rsidRPr="00C662C3">
        <w:t>sebelipase</w:t>
      </w:r>
      <w:proofErr w:type="spellEnd"/>
      <w:r w:rsidRPr="00C662C3">
        <w:t xml:space="preserve"> alfa (SA/SA), all assessments from both the </w:t>
      </w:r>
      <w:r w:rsidR="003F3AB4" w:rsidRPr="00C662C3">
        <w:t>double blind</w:t>
      </w:r>
      <w:r w:rsidRPr="00C662C3">
        <w:t xml:space="preserve"> and the </w:t>
      </w:r>
      <w:r w:rsidR="00B73619" w:rsidRPr="00C662C3">
        <w:t>open label</w:t>
      </w:r>
      <w:r w:rsidRPr="00C662C3">
        <w:t xml:space="preserve"> period were included in the EAS. This included subjects who were dosed in the </w:t>
      </w:r>
      <w:r w:rsidR="003F3AB4" w:rsidRPr="00C662C3">
        <w:t>double blind</w:t>
      </w:r>
      <w:r w:rsidRPr="00C662C3">
        <w:t xml:space="preserve"> phase with </w:t>
      </w:r>
      <w:proofErr w:type="spellStart"/>
      <w:r w:rsidRPr="00C662C3">
        <w:t>sebelipase</w:t>
      </w:r>
      <w:proofErr w:type="spellEnd"/>
      <w:r w:rsidRPr="00C662C3">
        <w:t xml:space="preserve"> alfa, but did not initiate </w:t>
      </w:r>
      <w:r w:rsidR="00B73619" w:rsidRPr="00C662C3">
        <w:t>open label</w:t>
      </w:r>
      <w:r w:rsidRPr="00C662C3">
        <w:t xml:space="preserve"> </w:t>
      </w:r>
      <w:proofErr w:type="spellStart"/>
      <w:r w:rsidRPr="00C662C3">
        <w:t>sebelipase</w:t>
      </w:r>
      <w:proofErr w:type="spellEnd"/>
      <w:r w:rsidRPr="00C662C3">
        <w:t xml:space="preserve"> alfa. For subjects who were originally randomised to placebo and received at least 1 dose of </w:t>
      </w:r>
      <w:proofErr w:type="spellStart"/>
      <w:r w:rsidRPr="00C662C3">
        <w:t>sebelipase</w:t>
      </w:r>
      <w:proofErr w:type="spellEnd"/>
      <w:r w:rsidRPr="00C662C3">
        <w:t xml:space="preserve"> alfa in the </w:t>
      </w:r>
      <w:r w:rsidR="00B73619" w:rsidRPr="00C662C3">
        <w:t>open label</w:t>
      </w:r>
      <w:r w:rsidRPr="00C662C3">
        <w:t xml:space="preserve"> period (PBO/SA), only assessments from the </w:t>
      </w:r>
      <w:r w:rsidR="00B73619" w:rsidRPr="00C662C3">
        <w:t>open label</w:t>
      </w:r>
      <w:r w:rsidRPr="00C662C3">
        <w:t xml:space="preserve"> period were included in the EAS</w:t>
      </w:r>
      <w:r w:rsidR="00B73619" w:rsidRPr="00C662C3">
        <w:t>.</w:t>
      </w:r>
    </w:p>
    <w:p w14:paraId="36C085FC" w14:textId="77777777" w:rsidR="00EA418E" w:rsidRPr="000871CE" w:rsidRDefault="00EA418E" w:rsidP="00EA418E">
      <w:pPr>
        <w:pStyle w:val="Heading5"/>
      </w:pPr>
      <w:r w:rsidRPr="000871CE" w:rsidDel="0081373E">
        <w:t>S</w:t>
      </w:r>
      <w:r w:rsidRPr="000871CE">
        <w:t>ample size</w:t>
      </w:r>
    </w:p>
    <w:p w14:paraId="12E0F2A9" w14:textId="15EB4C1A" w:rsidR="00B73619" w:rsidRPr="00C662C3" w:rsidRDefault="00EA418E" w:rsidP="00BD0B44">
      <w:r w:rsidRPr="00C662C3">
        <w:t xml:space="preserve">Assuming that 71% of subjects randomised to </w:t>
      </w:r>
      <w:proofErr w:type="spellStart"/>
      <w:r w:rsidRPr="00C662C3">
        <w:t>sebelipase</w:t>
      </w:r>
      <w:proofErr w:type="spellEnd"/>
      <w:r w:rsidRPr="00C662C3">
        <w:t xml:space="preserve"> alfa and 17% of subjects randomised to placebo achieved the primary efficacy endpoint, a sample size of 50 randomised subjects (approximately 25 subjects per treatment group) provided 97% power to detect a statistically significant difference between </w:t>
      </w:r>
      <w:proofErr w:type="spellStart"/>
      <w:r w:rsidRPr="00C662C3">
        <w:t>sebelipase</w:t>
      </w:r>
      <w:proofErr w:type="spellEnd"/>
      <w:r w:rsidRPr="00C662C3">
        <w:t xml:space="preserve"> alfa and placebo, using Fisher’s exact test at α</w:t>
      </w:r>
      <w:r w:rsidR="002D28A4" w:rsidRPr="00C662C3">
        <w:t xml:space="preserve"> = </w:t>
      </w:r>
      <w:r w:rsidRPr="00C662C3">
        <w:t xml:space="preserve">0.05. These normalisation rate estimates were obtained from a prior </w:t>
      </w:r>
      <w:r w:rsidR="00C4359A" w:rsidRPr="00C662C3">
        <w:t>study</w:t>
      </w:r>
      <w:r w:rsidRPr="00C662C3">
        <w:t xml:space="preserve"> of </w:t>
      </w:r>
      <w:proofErr w:type="spellStart"/>
      <w:r w:rsidRPr="00C662C3">
        <w:t>sebelipase</w:t>
      </w:r>
      <w:proofErr w:type="spellEnd"/>
      <w:r w:rsidRPr="00C662C3">
        <w:t xml:space="preserve"> alfa in a similar patient population. If the primary analysis was statistically significant (α</w:t>
      </w:r>
      <w:r w:rsidR="002D28A4" w:rsidRPr="00C662C3">
        <w:t xml:space="preserve"> = </w:t>
      </w:r>
      <w:r w:rsidRPr="00C662C3">
        <w:t xml:space="preserve">0.05), secondary endpoints were to be tested sequentially. This sample size provided over 97% power to detect </w:t>
      </w:r>
      <w:r w:rsidR="001B7A56" w:rsidRPr="00C662C3">
        <w:t>a statistically significant difference</w:t>
      </w:r>
      <w:r w:rsidRPr="00C662C3">
        <w:t xml:space="preserve"> between </w:t>
      </w:r>
      <w:proofErr w:type="spellStart"/>
      <w:r w:rsidRPr="00C662C3">
        <w:t>sebelipase</w:t>
      </w:r>
      <w:proofErr w:type="spellEnd"/>
      <w:r w:rsidRPr="00C662C3">
        <w:t xml:space="preserve"> alfa and placebo for the primary endpoint (ALT normalisation) using Fisher’s exact test at α</w:t>
      </w:r>
      <w:r w:rsidR="002D28A4" w:rsidRPr="00C662C3">
        <w:t xml:space="preserve"> = </w:t>
      </w:r>
      <w:r w:rsidRPr="00C662C3">
        <w:t xml:space="preserve">0.05, and provided over 90% power to detect statistically significant differences between </w:t>
      </w:r>
      <w:proofErr w:type="spellStart"/>
      <w:r w:rsidRPr="00C662C3">
        <w:t>sebelipase</w:t>
      </w:r>
      <w:proofErr w:type="spellEnd"/>
      <w:r w:rsidRPr="00C662C3">
        <w:t xml:space="preserve"> alfa and placebo for reduction in LDL-c, reduction in non-HDL-c, normalisation of AST and reduction in TG, according to the assumptions provided in</w:t>
      </w:r>
      <w:r w:rsidR="0046237A" w:rsidRPr="00C662C3">
        <w:t xml:space="preserve"> Table </w:t>
      </w:r>
      <w:r w:rsidR="00FE32BB" w:rsidRPr="00C662C3">
        <w:t>4</w:t>
      </w:r>
      <w:r w:rsidR="00B73619" w:rsidRPr="00C662C3">
        <w:t>.</w:t>
      </w:r>
    </w:p>
    <w:p w14:paraId="5AC9F644" w14:textId="77777777" w:rsidR="00EA418E" w:rsidRPr="00BD0B44" w:rsidRDefault="00EA418E" w:rsidP="00BD0B44">
      <w:r w:rsidRPr="00BD0B44">
        <w:t xml:space="preserve">A post hoc power calculation was performed based on the observed ALT normalisation rate at the last time point in the </w:t>
      </w:r>
      <w:r w:rsidR="003F3AB4" w:rsidRPr="00BD0B44">
        <w:t>double blind</w:t>
      </w:r>
      <w:r w:rsidRPr="00BD0B44">
        <w:t xml:space="preserve"> period seen in this </w:t>
      </w:r>
      <w:r w:rsidR="00C4359A" w:rsidRPr="00BD0B44">
        <w:t>study</w:t>
      </w:r>
      <w:r w:rsidRPr="00BD0B44">
        <w:t xml:space="preserve"> (31% versus 6.7% in the SA and placebo groups, </w:t>
      </w:r>
      <w:r w:rsidRPr="00C662C3">
        <w:t xml:space="preserve">respectively) and the </w:t>
      </w:r>
      <w:r w:rsidRPr="00BD0B44">
        <w:t>actual power was 63% (at significance level of 0.05, and using Fisher’s exact test) for the .sample size of 36 and 30 subjects in the SA and placebo groups, respectively, However, for AST normalisation (42% versus 3% in the SA and placebo groups, respectivel</w:t>
      </w:r>
      <w:r w:rsidRPr="00C662C3">
        <w:t xml:space="preserve">y), </w:t>
      </w:r>
      <w:r w:rsidRPr="00BD0B44">
        <w:t>the actual power was 96%.</w:t>
      </w:r>
    </w:p>
    <w:p w14:paraId="10F96360" w14:textId="7ED33524" w:rsidR="0046237A" w:rsidRDefault="0046237A" w:rsidP="0046237A">
      <w:pPr>
        <w:pStyle w:val="Tabletitle"/>
      </w:pPr>
      <w:r>
        <w:lastRenderedPageBreak/>
        <w:t xml:space="preserve">Table </w:t>
      </w:r>
      <w:r w:rsidR="00FE32BB">
        <w:t>4</w:t>
      </w:r>
      <w:r>
        <w:t xml:space="preserve">: </w:t>
      </w:r>
      <w:r w:rsidR="00157E63">
        <w:t>Study</w:t>
      </w:r>
      <w:r>
        <w:t xml:space="preserve"> LAL-CL02</w:t>
      </w:r>
      <w:r w:rsidR="007B1B2D">
        <w:t xml:space="preserve"> </w:t>
      </w:r>
      <w:r>
        <w:t>Conditional and cumulative power estimates for primary and secondary efficacy endpoints</w:t>
      </w:r>
    </w:p>
    <w:p w14:paraId="4990B68E" w14:textId="07AAB306" w:rsidR="0046237A" w:rsidRPr="0046237A" w:rsidRDefault="00695CDF" w:rsidP="0046237A">
      <w:r>
        <w:rPr>
          <w:noProof/>
          <w:lang w:eastAsia="en-AU"/>
        </w:rPr>
        <w:drawing>
          <wp:inline distT="0" distB="0" distL="0" distR="0" wp14:anchorId="66F7F586" wp14:editId="5193144F">
            <wp:extent cx="5731510" cy="5814176"/>
            <wp:effectExtent l="0" t="0" r="2540" b="0"/>
            <wp:docPr id="41" name="Picture 41" descr="Table 4: Study LAL-CL02. Conditional and cumulative power estimates for primary and second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5814176"/>
                    </a:xfrm>
                    <a:prstGeom prst="rect">
                      <a:avLst/>
                    </a:prstGeom>
                  </pic:spPr>
                </pic:pic>
              </a:graphicData>
            </a:graphic>
          </wp:inline>
        </w:drawing>
      </w:r>
    </w:p>
    <w:p w14:paraId="4FB84053" w14:textId="77777777" w:rsidR="00EA418E" w:rsidRPr="00A3104B" w:rsidRDefault="00EA418E" w:rsidP="00EA418E">
      <w:pPr>
        <w:pStyle w:val="Heading5"/>
      </w:pPr>
      <w:r w:rsidRPr="00A3104B">
        <w:t>Statistical methods</w:t>
      </w:r>
    </w:p>
    <w:p w14:paraId="6A8888B7" w14:textId="3AA293EB" w:rsidR="00B73619" w:rsidRPr="00D511F4" w:rsidRDefault="00EA418E" w:rsidP="00BD0B44">
      <w:r w:rsidRPr="00D511F4">
        <w:t xml:space="preserve">All formal statistical conclusions were drawn from data collected in the </w:t>
      </w:r>
      <w:r w:rsidR="003F3AB4" w:rsidRPr="00D511F4">
        <w:t>double blind</w:t>
      </w:r>
      <w:r w:rsidRPr="00D511F4">
        <w:t xml:space="preserve"> treatment period, and all statistical type I error was spent on the hypothesis tests performed on these data </w:t>
      </w:r>
      <w:r w:rsidR="007B1B2D" w:rsidRPr="00D511F4">
        <w:t xml:space="preserve">efficacy </w:t>
      </w:r>
      <w:r w:rsidRPr="00D511F4">
        <w:t xml:space="preserve">analyses were performed for the FAS. The primary efficacy analysis was the proportion of subjects in each treatment group who met the primary endpoint, defined as the subject’s final ALT value during the </w:t>
      </w:r>
      <w:r w:rsidR="003F3AB4" w:rsidRPr="00D511F4">
        <w:t>double blind</w:t>
      </w:r>
      <w:r w:rsidRPr="00D511F4">
        <w:t xml:space="preserve"> period being </w:t>
      </w:r>
      <w:r w:rsidR="00A87AAC" w:rsidRPr="00D511F4">
        <w:t xml:space="preserve">&lt; </w:t>
      </w:r>
      <w:r w:rsidRPr="00D511F4">
        <w:t>ULN provided by the central laboratory, compared using Fisher’s exact test at α</w:t>
      </w:r>
      <w:r w:rsidR="002D28A4" w:rsidRPr="00D511F4">
        <w:t xml:space="preserve"> = </w:t>
      </w:r>
      <w:r w:rsidRPr="00D511F4">
        <w:t>0.05. If the primary analysis of the primary endpoint was statistically significant at α</w:t>
      </w:r>
      <w:r w:rsidR="002D28A4" w:rsidRPr="00D511F4">
        <w:t xml:space="preserve"> = </w:t>
      </w:r>
      <w:r w:rsidRPr="00D511F4">
        <w:t>0.05, then statistical hypothesis tests were performed in a fixed sequence such that if any test was statistically significant, then the next statistical hypothesis in the sequence was tested at α</w:t>
      </w:r>
      <w:r w:rsidR="002D28A4" w:rsidRPr="00D511F4">
        <w:t xml:space="preserve"> = </w:t>
      </w:r>
      <w:r w:rsidRPr="00D511F4">
        <w:t>0.05. If at any point in the sequence a particular hypothesis was not statistically significant at α</w:t>
      </w:r>
      <w:r w:rsidR="002D28A4" w:rsidRPr="00D511F4">
        <w:t xml:space="preserve"> = </w:t>
      </w:r>
      <w:r w:rsidRPr="00D511F4">
        <w:t xml:space="preserve">0.05, then formal statistical hypothesis testing stopped, and none of the remaining tests were considered statistically significant. Longitudinal changes in anthropometric data were summarised using z-scores and percentiles for WFA and SFA, determined from the publically available CDC growth curves for </w:t>
      </w:r>
      <w:r w:rsidR="0046237A" w:rsidRPr="00D511F4">
        <w:t>subject’s</w:t>
      </w:r>
      <w:r w:rsidRPr="00D511F4">
        <w:t xml:space="preserve"> ≤ 18 years of age. </w:t>
      </w:r>
      <w:r w:rsidRPr="00D511F4">
        <w:lastRenderedPageBreak/>
        <w:t xml:space="preserve">Baseline </w:t>
      </w:r>
      <w:r w:rsidR="0046237A" w:rsidRPr="00D511F4">
        <w:t>age normalised</w:t>
      </w:r>
      <w:r w:rsidRPr="00D511F4">
        <w:t xml:space="preserve"> percentiles for height also were summarised in subjects </w:t>
      </w:r>
      <w:r w:rsidR="00B73619" w:rsidRPr="00D511F4">
        <w:t>&gt;</w:t>
      </w:r>
      <w:r w:rsidR="00CC672B" w:rsidRPr="00D511F4">
        <w:t xml:space="preserve"> </w:t>
      </w:r>
      <w:r w:rsidRPr="00D511F4">
        <w:t>18 years of age</w:t>
      </w:r>
      <w:r w:rsidR="00B73619" w:rsidRPr="00D511F4">
        <w:t>.</w:t>
      </w:r>
    </w:p>
    <w:p w14:paraId="12F1C926" w14:textId="0A1174B1" w:rsidR="00EA418E" w:rsidRPr="00D511F4" w:rsidRDefault="0046237A" w:rsidP="00BD0B44">
      <w:r w:rsidRPr="00D511F4">
        <w:t>Health related</w:t>
      </w:r>
      <w:r w:rsidR="00EA418E" w:rsidRPr="00D511F4">
        <w:t xml:space="preserve"> </w:t>
      </w:r>
      <w:r w:rsidRPr="00D511F4">
        <w:t>quality of life</w:t>
      </w:r>
      <w:r w:rsidR="00EA418E" w:rsidRPr="00D511F4">
        <w:t xml:space="preserve"> measures were summarised for the FAS. For each HRQOL instrument, changes </w:t>
      </w:r>
      <w:r w:rsidR="00DE644C">
        <w:t>from Baseline</w:t>
      </w:r>
      <w:r w:rsidR="00EA418E" w:rsidRPr="00D511F4">
        <w:t xml:space="preserve"> in the overall score, scale scores, and summary scores, as applicable, were summarised for each time point overall and by treatment group.</w:t>
      </w:r>
    </w:p>
    <w:p w14:paraId="60BE6329" w14:textId="77777777" w:rsidR="0046237A" w:rsidRDefault="0046237A" w:rsidP="0046237A">
      <w:pPr>
        <w:pStyle w:val="Heading6"/>
        <w:rPr>
          <w:rFonts w:eastAsiaTheme="minorHAnsi"/>
        </w:rPr>
      </w:pPr>
      <w:r>
        <w:rPr>
          <w:rFonts w:eastAsiaTheme="minorHAnsi"/>
        </w:rPr>
        <w:t>Subgroup Analyses</w:t>
      </w:r>
    </w:p>
    <w:p w14:paraId="02EF0A1E" w14:textId="5AB6675E" w:rsidR="00EA418E" w:rsidRPr="00D511F4" w:rsidRDefault="00EA418E" w:rsidP="00BD0B44">
      <w:r w:rsidRPr="00D511F4">
        <w:t>Results were summarised by subgroup if each treatment group by subgroup combination had at least 5 subjects. Efficacy was explored in subgroups by age (</w:t>
      </w:r>
      <w:r w:rsidR="00A87AAC" w:rsidRPr="00D511F4">
        <w:t xml:space="preserve">&lt; </w:t>
      </w:r>
      <w:r w:rsidRPr="00D511F4">
        <w:t xml:space="preserve">12 years, ≥ 12 years to </w:t>
      </w:r>
      <w:r w:rsidR="00A87AAC" w:rsidRPr="00D511F4">
        <w:t xml:space="preserve">&lt; </w:t>
      </w:r>
      <w:r w:rsidRPr="00D511F4">
        <w:t>18 years, ≥ 18 years), gender, race, body mass index (BMI)</w:t>
      </w:r>
      <w:r w:rsidRPr="00BD0B44">
        <w:rPr>
          <w:vertAlign w:val="superscript"/>
        </w:rPr>
        <w:footnoteReference w:id="20"/>
      </w:r>
      <w:r w:rsidRPr="00BD0B44">
        <w:rPr>
          <w:vertAlign w:val="superscript"/>
        </w:rPr>
        <w:t xml:space="preserve"> </w:t>
      </w:r>
      <w:r w:rsidRPr="00D511F4">
        <w:t>baseline indicators of liver function (</w:t>
      </w:r>
      <w:r w:rsidR="00CC672B" w:rsidRPr="00D511F4">
        <w:t>for example</w:t>
      </w:r>
      <w:r w:rsidRPr="00D511F4">
        <w:t>, liver fat content), baseline serum lipids</w:t>
      </w:r>
      <w:r w:rsidR="00C662C3">
        <w:t>,</w:t>
      </w:r>
      <w:r w:rsidRPr="00BD0B44">
        <w:rPr>
          <w:vertAlign w:val="superscript"/>
        </w:rPr>
        <w:footnoteReference w:id="21"/>
      </w:r>
      <w:r w:rsidRPr="00D511F4">
        <w:t xml:space="preserve"> average screening ALT level (</w:t>
      </w:r>
      <w:r w:rsidR="00A87AAC" w:rsidRPr="00D511F4">
        <w:t xml:space="preserve">&lt; </w:t>
      </w:r>
      <w:r w:rsidRPr="00D511F4">
        <w:t>3</w:t>
      </w:r>
      <w:r w:rsidR="0046237A" w:rsidRPr="00D511F4">
        <w:t xml:space="preserve"> </w:t>
      </w:r>
      <w:r w:rsidRPr="00D511F4">
        <w:t>x</w:t>
      </w:r>
      <w:r w:rsidR="0046237A" w:rsidRPr="00D511F4">
        <w:t xml:space="preserve"> </w:t>
      </w:r>
      <w:r w:rsidRPr="00D511F4">
        <w:t xml:space="preserve">ULN, </w:t>
      </w:r>
      <w:r w:rsidR="0046237A" w:rsidRPr="00D511F4">
        <w:t>≥ 3 x </w:t>
      </w:r>
      <w:r w:rsidRPr="00D511F4">
        <w:t>ULN) and baseline use of LLM (yes/ no). These subgroup analyses were considered supportive rather than confirmatory.</w:t>
      </w:r>
    </w:p>
    <w:p w14:paraId="2763DBCB" w14:textId="77777777" w:rsidR="00EA418E" w:rsidRPr="00BD0B44" w:rsidRDefault="00EA418E" w:rsidP="00BD0B44">
      <w:r w:rsidRPr="00D511F4">
        <w:t xml:space="preserve">Analyses using data from the </w:t>
      </w:r>
      <w:r w:rsidR="00B73619" w:rsidRPr="00D511F4">
        <w:t>open label</w:t>
      </w:r>
      <w:r w:rsidRPr="00D511F4">
        <w:t xml:space="preserve"> period available at the time of data cut-off for this report were presented. These cumulative analyses, referred to as the extension analyses, were also considered supportive.</w:t>
      </w:r>
    </w:p>
    <w:p w14:paraId="3CF3CBBF" w14:textId="77777777" w:rsidR="00EA418E" w:rsidRPr="000871CE" w:rsidRDefault="0046237A" w:rsidP="00EA418E">
      <w:pPr>
        <w:pStyle w:val="Heading5"/>
      </w:pPr>
      <w:r>
        <w:t>Participant flow</w:t>
      </w:r>
    </w:p>
    <w:p w14:paraId="6FDC366D" w14:textId="7EDE7B6A" w:rsidR="00B73619" w:rsidRPr="00D511F4" w:rsidRDefault="00EA418E" w:rsidP="00BD0B44">
      <w:r w:rsidRPr="00D511F4">
        <w:t xml:space="preserve">Of the 86 subjects screened at 41 centres in 16 countries, 20 were screen failures and a total of 66 subjects in 15 countries were enrolled in the </w:t>
      </w:r>
      <w:r w:rsidR="00C4359A" w:rsidRPr="00D511F4">
        <w:t>study</w:t>
      </w:r>
      <w:r w:rsidRPr="00D511F4">
        <w:t xml:space="preserve"> over a 9-month period between March and December 2013</w:t>
      </w:r>
      <w:r w:rsidR="00B73619" w:rsidRPr="00D511F4">
        <w:t xml:space="preserve">. </w:t>
      </w:r>
      <w:r w:rsidRPr="00D511F4">
        <w:t xml:space="preserve">Of 66 subjects enrolled in the </w:t>
      </w:r>
      <w:r w:rsidR="003F3AB4" w:rsidRPr="00D511F4">
        <w:t>double blind</w:t>
      </w:r>
      <w:r w:rsidRPr="00D511F4">
        <w:t xml:space="preserve"> treatment period, 36 were randomly assigned to </w:t>
      </w:r>
      <w:proofErr w:type="spellStart"/>
      <w:r w:rsidRPr="00D511F4">
        <w:t>sebelipase</w:t>
      </w:r>
      <w:proofErr w:type="spellEnd"/>
      <w:r w:rsidRPr="00D511F4">
        <w:t xml:space="preserve"> alfa and 30 were randomly assigned to placebo. No significant differences were seen between the SA and placebo groups with regard to the proportions of subjects included in each stratum based on age at randomisation, average screening ALT and use of LLM</w:t>
      </w:r>
      <w:r w:rsidR="000B19A6" w:rsidRPr="00D511F4">
        <w:t xml:space="preserve"> </w:t>
      </w:r>
      <w:r w:rsidR="00D511F4" w:rsidRPr="00D511F4">
        <w:t xml:space="preserve">(see </w:t>
      </w:r>
      <w:r w:rsidR="000B19A6" w:rsidRPr="00D511F4">
        <w:t xml:space="preserve">Table </w:t>
      </w:r>
      <w:r w:rsidR="00FE32BB" w:rsidRPr="00D511F4">
        <w:t>5</w:t>
      </w:r>
      <w:r w:rsidR="00D511F4" w:rsidRPr="00D511F4">
        <w:t>, below)</w:t>
      </w:r>
      <w:r w:rsidRPr="00BD0B44">
        <w:t>.</w:t>
      </w:r>
      <w:r w:rsidRPr="00D511F4">
        <w:t xml:space="preserve"> All 66 (100%) subjects received at least 1 </w:t>
      </w:r>
      <w:r w:rsidR="00C4359A" w:rsidRPr="00D511F4">
        <w:t>study</w:t>
      </w:r>
      <w:r w:rsidRPr="00D511F4">
        <w:t xml:space="preserve"> drug infusion and thus were included in the FAS. Furthermore, 63 (95%) of 66 subjects, including 94% (34 of 36) and 97% (29 of 30) in the SA and placebo groups, respectively, were included in the PP Set. All but 1 subject in the SA group (65 of 66 subjects; 98%) completed the </w:t>
      </w:r>
      <w:r w:rsidR="003F3AB4" w:rsidRPr="00D511F4">
        <w:t>double blind</w:t>
      </w:r>
      <w:r w:rsidRPr="00D511F4">
        <w:t xml:space="preserve"> treatment period and continued in the </w:t>
      </w:r>
      <w:r w:rsidR="00B73619" w:rsidRPr="00D511F4">
        <w:t>open label</w:t>
      </w:r>
      <w:r w:rsidRPr="00D511F4">
        <w:t xml:space="preserve"> period. As of the data cut-off date for the CSR (30 May 2014), 65 subjects had completed and 1 had discontinued from the </w:t>
      </w:r>
      <w:r w:rsidR="003F3AB4" w:rsidRPr="00D511F4">
        <w:t>double blind</w:t>
      </w:r>
      <w:r w:rsidRPr="00D511F4">
        <w:t xml:space="preserve"> period of the </w:t>
      </w:r>
      <w:r w:rsidR="00C4359A" w:rsidRPr="00D511F4">
        <w:t>study</w:t>
      </w:r>
      <w:r w:rsidRPr="00D511F4">
        <w:t xml:space="preserve">. Furthermore, 65 subjects, 35 in the </w:t>
      </w:r>
      <w:proofErr w:type="spellStart"/>
      <w:r w:rsidRPr="00D511F4">
        <w:t>sebelipase</w:t>
      </w:r>
      <w:proofErr w:type="spellEnd"/>
      <w:r w:rsidRPr="00D511F4">
        <w:t xml:space="preserve"> alfa group and 30 in the placebo group, had entered the </w:t>
      </w:r>
      <w:r w:rsidR="00B73619" w:rsidRPr="00D511F4">
        <w:t>open label</w:t>
      </w:r>
      <w:r w:rsidRPr="00D511F4">
        <w:t xml:space="preserve"> period and continued/started treatment with </w:t>
      </w:r>
      <w:proofErr w:type="spellStart"/>
      <w:r w:rsidRPr="00D511F4">
        <w:t>sebelipase</w:t>
      </w:r>
      <w:proofErr w:type="spellEnd"/>
      <w:r w:rsidRPr="00D511F4">
        <w:t xml:space="preserve"> alfa</w:t>
      </w:r>
      <w:r w:rsidR="00B73619" w:rsidRPr="00D511F4">
        <w:t>.</w:t>
      </w:r>
    </w:p>
    <w:p w14:paraId="6E20DDD8" w14:textId="22A85C6A" w:rsidR="000B19A6" w:rsidRDefault="000B19A6" w:rsidP="000B19A6">
      <w:pPr>
        <w:pStyle w:val="Tabletitle"/>
      </w:pPr>
      <w:r>
        <w:lastRenderedPageBreak/>
        <w:t xml:space="preserve">Table </w:t>
      </w:r>
      <w:r w:rsidR="00FE32BB">
        <w:t>5</w:t>
      </w:r>
      <w:r>
        <w:t xml:space="preserve">: </w:t>
      </w:r>
      <w:r w:rsidR="00157E63">
        <w:t>Study</w:t>
      </w:r>
      <w:r>
        <w:t xml:space="preserve"> LAL-CL02 Randomisation strata (FAS)</w:t>
      </w:r>
    </w:p>
    <w:p w14:paraId="5213DFAF" w14:textId="2FEE0B20" w:rsidR="000B19A6" w:rsidRPr="000B19A6" w:rsidRDefault="00695CDF" w:rsidP="000B19A6">
      <w:r>
        <w:rPr>
          <w:noProof/>
          <w:lang w:eastAsia="en-AU"/>
        </w:rPr>
        <w:drawing>
          <wp:inline distT="0" distB="0" distL="0" distR="0" wp14:anchorId="127EF37E" wp14:editId="2B4FE59E">
            <wp:extent cx="5731510" cy="3438906"/>
            <wp:effectExtent l="0" t="0" r="2540" b="9525"/>
            <wp:docPr id="49" name="Picture 49" descr="Table 5: Study LAL-CL02. Randomisation strata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438906"/>
                    </a:xfrm>
                    <a:prstGeom prst="rect">
                      <a:avLst/>
                    </a:prstGeom>
                  </pic:spPr>
                </pic:pic>
              </a:graphicData>
            </a:graphic>
          </wp:inline>
        </w:drawing>
      </w:r>
    </w:p>
    <w:p w14:paraId="5F790EEB" w14:textId="77777777" w:rsidR="00EA418E" w:rsidRPr="000871CE" w:rsidRDefault="00EA418E" w:rsidP="00EA418E">
      <w:pPr>
        <w:pStyle w:val="Heading5"/>
      </w:pPr>
      <w:r w:rsidRPr="000871CE">
        <w:t>Major protocol violations/deviations</w:t>
      </w:r>
    </w:p>
    <w:p w14:paraId="423E3F1D" w14:textId="5A2DA271" w:rsidR="00EA418E" w:rsidRPr="00BD0B44" w:rsidRDefault="00EA418E" w:rsidP="00BD0B44">
      <w:r w:rsidRPr="00D511F4">
        <w:t>Protocol deviations considered to potentially affect data analyses (</w:t>
      </w:r>
      <w:r w:rsidR="003F3AB4" w:rsidRPr="00D511F4">
        <w:t>that is</w:t>
      </w:r>
      <w:r w:rsidRPr="00D511F4">
        <w:t>, important protocol deviations) were identified for 7 (11%) of 66 subjects overall, including 5 (14%) of 36 subjects in the SA group and 2 (7%) of 30 subjects in the placebo group. Deviations that warranted exclusion from the PP Set were seen in 2 (3%) of 66 subjects, 1 (3%) of 36 subjects in the SA group and 1 (3%) of 30 subjects in the placebo group</w:t>
      </w:r>
      <w:r w:rsidRPr="00BD0B44">
        <w:t xml:space="preserve"> Both these were excluded from the PP Set due to a deviation in the time window between Weeks 18 and 20; one additional subject in the SA group was excluded from the PP Set due to receiving </w:t>
      </w:r>
      <w:r w:rsidR="00A87AAC" w:rsidRPr="00BD0B44">
        <w:t xml:space="preserve">&lt; </w:t>
      </w:r>
      <w:r w:rsidRPr="00BD0B44">
        <w:t xml:space="preserve">9 </w:t>
      </w:r>
      <w:r w:rsidR="00C4359A" w:rsidRPr="00BD0B44">
        <w:t>study</w:t>
      </w:r>
      <w:r w:rsidRPr="00BD0B44">
        <w:t xml:space="preserve"> drug </w:t>
      </w:r>
      <w:r w:rsidR="001B7A56" w:rsidRPr="001B7A56">
        <w:t>infusions (</w:t>
      </w:r>
      <w:r w:rsidRPr="00BD0B44">
        <w:t>however, this was not considered a protocol deviation.). For the remaining</w:t>
      </w:r>
      <w:r w:rsidR="000B19A6" w:rsidRPr="00BD0B44">
        <w:t xml:space="preserve"> 5 (8%) subjects, 4 (11%) of 36 </w:t>
      </w:r>
      <w:r w:rsidRPr="00BD0B44">
        <w:t xml:space="preserve">subjects in the SA group and 1 (3%) of 30 subjects in the placebo group, the deviations did not warrant exclusion from the PP </w:t>
      </w:r>
      <w:r w:rsidR="000B19A6" w:rsidRPr="00BD0B44">
        <w:t>set.</w:t>
      </w:r>
      <w:r w:rsidRPr="00BD0B44">
        <w:t xml:space="preserve"> </w:t>
      </w:r>
      <w:r w:rsidRPr="00D511F4">
        <w:t xml:space="preserve">No subject was withdrawn from the </w:t>
      </w:r>
      <w:r w:rsidR="00C4359A" w:rsidRPr="00D511F4">
        <w:t>study</w:t>
      </w:r>
      <w:r w:rsidRPr="00D511F4">
        <w:t xml:space="preserve"> because of protocol deviations.</w:t>
      </w:r>
    </w:p>
    <w:p w14:paraId="69080B08" w14:textId="77777777" w:rsidR="00EA418E" w:rsidRPr="000871CE" w:rsidRDefault="00EA418E" w:rsidP="00EA418E">
      <w:pPr>
        <w:pStyle w:val="Heading5"/>
      </w:pPr>
      <w:r w:rsidRPr="000871CE">
        <w:t>Baseline data</w:t>
      </w:r>
    </w:p>
    <w:p w14:paraId="749C2764" w14:textId="77777777" w:rsidR="00EA418E" w:rsidRPr="00D511F4" w:rsidRDefault="00EA418E" w:rsidP="00BD0B44">
      <w:r w:rsidRPr="00D511F4">
        <w:t xml:space="preserve">Overall, the subject population was relatively young (mean and median age at randomisation The SA and placebo groups were well balanced with regard to demographic with no statistically significant difference between groups. 16.1 years and 13.0 </w:t>
      </w:r>
      <w:r w:rsidR="000B19A6" w:rsidRPr="00D511F4">
        <w:t>years, respectively). Of the 66</w:t>
      </w:r>
      <w:r w:rsidRPr="00D511F4">
        <w:t xml:space="preserve">subjects, 36% were </w:t>
      </w:r>
      <w:r w:rsidR="00A87AAC" w:rsidRPr="00D511F4">
        <w:t xml:space="preserve">&lt; </w:t>
      </w:r>
      <w:r w:rsidRPr="00D511F4">
        <w:t xml:space="preserve">12 years of age; 35% were between 12 and </w:t>
      </w:r>
      <w:r w:rsidR="00A87AAC" w:rsidRPr="00D511F4">
        <w:t xml:space="preserve">&lt; </w:t>
      </w:r>
      <w:r w:rsidRPr="00D511F4">
        <w:t>18 years of age; and 29% were ≥ 18 years of age at randomisation. Most (83%) subjects were White with equal number of males and females (50% each). Overall, 39% of subjects had received at least 1 prior LLM. At baseline, 39% of subjects overall were receiving LLM, including 42% and 37% of subjects in the SA and placebo groups, respectively.</w:t>
      </w:r>
    </w:p>
    <w:p w14:paraId="25A02057" w14:textId="7E24F968" w:rsidR="00EA418E" w:rsidRPr="00F33B46" w:rsidRDefault="00EA418E" w:rsidP="00EA418E">
      <w:pPr>
        <w:pStyle w:val="Comment"/>
      </w:pPr>
      <w:r w:rsidRPr="00EA418E">
        <w:rPr>
          <w:b/>
        </w:rPr>
        <w:t>Comment:</w:t>
      </w:r>
      <w:r w:rsidR="00D511F4" w:rsidRPr="00D511F4">
        <w:rPr>
          <w:b/>
        </w:rPr>
        <w:t xml:space="preserve"> </w:t>
      </w:r>
      <w:r w:rsidRPr="00F33B46">
        <w:t>It is important to note that there was a lower propo</w:t>
      </w:r>
      <w:r w:rsidR="000B19A6">
        <w:t>rtion of subjects aged 12 to 18 </w:t>
      </w:r>
      <w:r w:rsidRPr="00F33B46">
        <w:t>years (25% versus 47%,</w:t>
      </w:r>
      <w:r>
        <w:t xml:space="preserve"> </w:t>
      </w:r>
      <w:r w:rsidRPr="00F33B46">
        <w:t>respectively) and a higher proportion of s</w:t>
      </w:r>
      <w:r w:rsidR="000B19A6">
        <w:t>ubjects aged ≥ </w:t>
      </w:r>
      <w:r w:rsidRPr="00F33B46">
        <w:t>18 years (36% versus 20%,</w:t>
      </w:r>
      <w:r>
        <w:t xml:space="preserve"> </w:t>
      </w:r>
      <w:r w:rsidRPr="00F33B46">
        <w:t xml:space="preserve">respectively) in the SA group </w:t>
      </w:r>
      <w:r>
        <w:t xml:space="preserve">compared with </w:t>
      </w:r>
      <w:r w:rsidRPr="00F33B46">
        <w:t xml:space="preserve">the placebo group. However, when age was </w:t>
      </w:r>
      <w:r>
        <w:t xml:space="preserve">categorised </w:t>
      </w:r>
      <w:r w:rsidRPr="00F33B46">
        <w:t>by</w:t>
      </w:r>
      <w:r>
        <w:t xml:space="preserve"> </w:t>
      </w:r>
      <w:r w:rsidR="00A87AAC">
        <w:t xml:space="preserve">&lt; </w:t>
      </w:r>
      <w:r w:rsidRPr="00F33B46">
        <w:t>12 years versus ≥ 12 years, the proportions of subjects in each category was similar in</w:t>
      </w:r>
      <w:r>
        <w:t xml:space="preserve"> </w:t>
      </w:r>
      <w:r w:rsidRPr="00F33B46">
        <w:t>each treatment group.</w:t>
      </w:r>
    </w:p>
    <w:p w14:paraId="0B056A92" w14:textId="3C725E43" w:rsidR="00EA418E" w:rsidRPr="00D511F4" w:rsidRDefault="00EA418E" w:rsidP="00BD0B44">
      <w:r w:rsidRPr="00D511F4">
        <w:t xml:space="preserve">All 66 subjects had a confirmed diagnosis of LAL Deficiency, based on DBS LAL enzyme testing, </w:t>
      </w:r>
      <w:r w:rsidR="00DE644C">
        <w:t>at Baseline</w:t>
      </w:r>
      <w:r w:rsidRPr="00D511F4">
        <w:t xml:space="preserve">. Overall, the method of historical LAL Deficiency diagnosis was measurement of </w:t>
      </w:r>
      <w:r w:rsidRPr="00D511F4">
        <w:lastRenderedPageBreak/>
        <w:t xml:space="preserve">enzyme activity for most (43 of 66; 65%) subjects, including 64% (23 of 36) and 67% (20 of 30) of subjects in the SA and placebo groups, respectively. The median age at onset of the first LAL Deficiency related abnormalities was 4 years overall, with a similar median age at onset of 5 and 4 years in the SA and placebo groups, respectively. The most frequent presenting abnormality was elevated transaminases (47% of subjects in both the SA and placebo groups). Hypercholesterolemia was the presenting abnormality in 17% (6 of 36) and 7% (2 of 30) of subjects in the SA and placebo groups, respectively. Disease presentation involving abnormalities other than elevated transaminases or hypercholesterolemia were present in 36% (13 of 36) and 47% (14 of 30), respectively. In the SA group, these other manifestations that were the first to present included hepatomegaly (7 subjects), hepatosplenomegaly and diarrhoea (2 subject each), and </w:t>
      </w:r>
      <w:proofErr w:type="spellStart"/>
      <w:r w:rsidRPr="00D511F4">
        <w:t>microvesicular</w:t>
      </w:r>
      <w:proofErr w:type="spellEnd"/>
      <w:r w:rsidRPr="00D511F4">
        <w:t xml:space="preserve"> steatosis, hypertriglyceridemia, and abdominal pain (1 subject each). Two of these subjects with hepatomegaly had concurrent symptoms (</w:t>
      </w:r>
      <w:r w:rsidR="000B19A6" w:rsidRPr="00D511F4">
        <w:t>1 </w:t>
      </w:r>
      <w:r w:rsidRPr="00D511F4">
        <w:t>also had jaundice, diarrhoea, and vomiting noted and another had failure to thrive). In the placebo group, other manifestations that were the first to present included hepatomegaly (8</w:t>
      </w:r>
      <w:r w:rsidR="00D511F4" w:rsidRPr="00D511F4">
        <w:t> </w:t>
      </w:r>
      <w:r w:rsidRPr="00D511F4">
        <w:t xml:space="preserve">subjects) and hyperlipidaemia, hepatitis, diarrhoea, and splenomegaly (1 subject each) </w:t>
      </w:r>
      <w:r w:rsidR="00D511F4" w:rsidRPr="00D511F4">
        <w:t>(see </w:t>
      </w:r>
      <w:r w:rsidR="000B19A6" w:rsidRPr="00D511F4">
        <w:t xml:space="preserve">Table </w:t>
      </w:r>
      <w:r w:rsidR="00FE32BB" w:rsidRPr="00D511F4">
        <w:t>6</w:t>
      </w:r>
      <w:r w:rsidR="00D511F4" w:rsidRPr="00D511F4">
        <w:t>, below)</w:t>
      </w:r>
      <w:r w:rsidRPr="00D511F4">
        <w:t>.</w:t>
      </w:r>
    </w:p>
    <w:p w14:paraId="69D62905" w14:textId="77777777" w:rsidR="000B19A6" w:rsidRDefault="000B19A6" w:rsidP="000B19A6">
      <w:pPr>
        <w:pStyle w:val="Tabletitle"/>
      </w:pPr>
      <w:r>
        <w:rPr>
          <w:rFonts w:asciiTheme="minorHAnsi" w:eastAsiaTheme="minorHAnsi" w:hAnsiTheme="minorHAnsi" w:cs="TimesNewRomanPSMT"/>
        </w:rPr>
        <w:t xml:space="preserve">Table </w:t>
      </w:r>
      <w:r w:rsidR="00FE32BB">
        <w:rPr>
          <w:rFonts w:asciiTheme="minorHAnsi" w:eastAsiaTheme="minorHAnsi" w:hAnsiTheme="minorHAnsi" w:cs="TimesNewRomanPSMT"/>
        </w:rPr>
        <w:t>6:</w:t>
      </w:r>
      <w:r>
        <w:rPr>
          <w:rFonts w:asciiTheme="minorHAnsi" w:eastAsiaTheme="minorHAnsi" w:hAnsiTheme="minorHAnsi" w:cs="TimesNewRomanPSMT"/>
        </w:rPr>
        <w:t xml:space="preserve"> </w:t>
      </w:r>
      <w:r w:rsidR="00157E63">
        <w:t>Study</w:t>
      </w:r>
      <w:r>
        <w:t xml:space="preserve"> LAL-CL02 LAL deficiency diagnosis and history overall and by treatment group (FAS, double blind treatment period)</w:t>
      </w:r>
    </w:p>
    <w:p w14:paraId="57F097AE" w14:textId="77777777" w:rsidR="00695CDF" w:rsidRPr="00695CDF" w:rsidRDefault="00695CDF" w:rsidP="00695CDF">
      <w:r>
        <w:rPr>
          <w:noProof/>
          <w:lang w:eastAsia="en-AU"/>
        </w:rPr>
        <w:drawing>
          <wp:inline distT="0" distB="0" distL="0" distR="0" wp14:anchorId="3328A4C2" wp14:editId="39456F75">
            <wp:extent cx="5731510" cy="4334761"/>
            <wp:effectExtent l="0" t="0" r="2540" b="8890"/>
            <wp:docPr id="51" name="Picture 51" descr="Table 6: Study LAL-CL02 LAL deficiency diagnosis and history overall and by treatment group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334761"/>
                    </a:xfrm>
                    <a:prstGeom prst="rect">
                      <a:avLst/>
                    </a:prstGeom>
                  </pic:spPr>
                </pic:pic>
              </a:graphicData>
            </a:graphic>
          </wp:inline>
        </w:drawing>
      </w:r>
    </w:p>
    <w:p w14:paraId="16602E44" w14:textId="253B4872" w:rsidR="00EA418E" w:rsidRPr="00BD0B44" w:rsidRDefault="00EA418E" w:rsidP="00BD0B44">
      <w:r w:rsidRPr="00BD0B44">
        <w:t>Genetic sequencing was reported as the method of historical diagnosis in 8% (5 of 66) of subjects overall, including 6% (2 of 36) and 10% (3 of 30) of subjects in the SA and placebo groups, respectively. Genetic testing showed that overall, 85% of subjects had at least one copy of the previously described c.849G</w:t>
      </w:r>
      <w:r w:rsidR="00B73619" w:rsidRPr="00BD0B44">
        <w:t xml:space="preserve">&gt; </w:t>
      </w:r>
      <w:r w:rsidRPr="00BD0B44">
        <w:t>A common exon 8 splice junction mutation (32% homozygotes, 53% heterozygotes); Overall, the proportions of subjects who were homozygous or heterozygous for the common variant were similar in each age category (</w:t>
      </w:r>
      <w:r w:rsidR="00A87AAC" w:rsidRPr="00BD0B44">
        <w:t xml:space="preserve">&lt; </w:t>
      </w:r>
      <w:r w:rsidRPr="00BD0B44">
        <w:t xml:space="preserve">12 versus </w:t>
      </w:r>
      <w:r w:rsidR="00C82F04" w:rsidRPr="00BD0B44">
        <w:t>≥</w:t>
      </w:r>
      <w:r w:rsidRPr="00BD0B44">
        <w:t xml:space="preserve"> 12 years) </w:t>
      </w:r>
      <w:r w:rsidR="00D511F4" w:rsidRPr="00BD0B44">
        <w:t xml:space="preserve">(see </w:t>
      </w:r>
      <w:r w:rsidR="00FE32BB" w:rsidRPr="00D511F4">
        <w:t xml:space="preserve">Table </w:t>
      </w:r>
      <w:r w:rsidR="00C82F04" w:rsidRPr="00D511F4">
        <w:t>7</w:t>
      </w:r>
      <w:r w:rsidR="00D511F4" w:rsidRPr="00D511F4">
        <w:t>, below)</w:t>
      </w:r>
      <w:r w:rsidR="00C82F04" w:rsidRPr="00D511F4">
        <w:t>.</w:t>
      </w:r>
    </w:p>
    <w:p w14:paraId="02DB989C" w14:textId="0A96F474" w:rsidR="00C82F04" w:rsidRDefault="00FE32BB" w:rsidP="00C82F04">
      <w:pPr>
        <w:pStyle w:val="Tabletitle"/>
      </w:pPr>
      <w:r>
        <w:lastRenderedPageBreak/>
        <w:t>Table 7:</w:t>
      </w:r>
      <w:r w:rsidR="00C82F04">
        <w:t xml:space="preserve"> </w:t>
      </w:r>
      <w:r w:rsidR="00157E63">
        <w:t>Study</w:t>
      </w:r>
      <w:r w:rsidR="00C82F04">
        <w:t xml:space="preserve"> LAL-CL02 LIPA gene analysis, overall and by age, overall and by treatment group (FAS, double blind period)</w:t>
      </w:r>
    </w:p>
    <w:p w14:paraId="3D7A4B19" w14:textId="77777777" w:rsidR="00C82F04" w:rsidRPr="00C82F04" w:rsidRDefault="00695CDF" w:rsidP="00C82F04">
      <w:r>
        <w:rPr>
          <w:noProof/>
          <w:lang w:eastAsia="en-AU"/>
        </w:rPr>
        <w:drawing>
          <wp:inline distT="0" distB="0" distL="0" distR="0" wp14:anchorId="37D1B232" wp14:editId="02AE0814">
            <wp:extent cx="5731510" cy="2026848"/>
            <wp:effectExtent l="0" t="0" r="2540" b="0"/>
            <wp:docPr id="52" name="Picture 52" descr="Table 7: Study LAL-CL02. LIPA gene analysis, overall and by age, overall and by treatment group (FAS, double blin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026848"/>
                    </a:xfrm>
                    <a:prstGeom prst="rect">
                      <a:avLst/>
                    </a:prstGeom>
                  </pic:spPr>
                </pic:pic>
              </a:graphicData>
            </a:graphic>
          </wp:inline>
        </w:drawing>
      </w:r>
    </w:p>
    <w:p w14:paraId="179FE14B" w14:textId="5A8B83B2" w:rsidR="00B73619" w:rsidRPr="00BD0B44" w:rsidRDefault="00EA418E" w:rsidP="00BD0B44">
      <w:r w:rsidRPr="00D511F4">
        <w:t xml:space="preserve">Overall, the most common hepatic conditions that were reported in the medical history as ongoing </w:t>
      </w:r>
      <w:r w:rsidR="00DE644C">
        <w:t>at Baseline</w:t>
      </w:r>
      <w:r w:rsidRPr="00D511F4">
        <w:t xml:space="preserve"> were hepatomegaly (58%; 38 of 66); transaminases increased (38% 25 of 66), hyper</w:t>
      </w:r>
      <w:r w:rsidR="009B76F2" w:rsidRPr="00D511F4">
        <w:t>-</w:t>
      </w:r>
      <w:proofErr w:type="spellStart"/>
      <w:r w:rsidRPr="00D511F4">
        <w:t>transaminasaemia</w:t>
      </w:r>
      <w:proofErr w:type="spellEnd"/>
      <w:r w:rsidRPr="00D511F4">
        <w:t xml:space="preserve"> (12%; 8 of 55); hepatic steatosis and hepatosplenomegaly (11%; 7 of 66); and </w:t>
      </w:r>
      <w:proofErr w:type="spellStart"/>
      <w:r w:rsidRPr="00D511F4">
        <w:t>hyperbilirubinaemia</w:t>
      </w:r>
      <w:proofErr w:type="spellEnd"/>
      <w:r w:rsidRPr="00D511F4">
        <w:t xml:space="preserve"> (9%; 6 of 66). All 66 subjects had an elevated ALT (</w:t>
      </w:r>
      <w:r w:rsidR="003F3AB4" w:rsidRPr="00D511F4">
        <w:t>that is</w:t>
      </w:r>
      <w:r w:rsidRPr="00D511F4">
        <w:t xml:space="preserve">, ALT </w:t>
      </w:r>
      <w:r w:rsidR="00B73619" w:rsidRPr="00D511F4">
        <w:t>&gt;</w:t>
      </w:r>
      <w:r w:rsidR="00CC672B" w:rsidRPr="00D511F4">
        <w:t xml:space="preserve"> </w:t>
      </w:r>
      <w:r w:rsidRPr="00D511F4">
        <w:t xml:space="preserve">43 U/L) </w:t>
      </w:r>
      <w:r w:rsidR="00DE644C">
        <w:t>at Baseline</w:t>
      </w:r>
      <w:r w:rsidRPr="00D511F4">
        <w:t>, in accordance with the inclusion criteria, and all but 4 also had an elevated AST (</w:t>
      </w:r>
      <w:r w:rsidR="003F3AB4" w:rsidRPr="00D511F4">
        <w:t>that is</w:t>
      </w:r>
      <w:r w:rsidRPr="00D511F4">
        <w:t xml:space="preserve">, AST </w:t>
      </w:r>
      <w:r w:rsidR="00B73619" w:rsidRPr="00D511F4">
        <w:t>&gt;</w:t>
      </w:r>
      <w:r w:rsidR="00CC672B" w:rsidRPr="00D511F4">
        <w:t xml:space="preserve"> </w:t>
      </w:r>
      <w:r w:rsidRPr="00D511F4">
        <w:t xml:space="preserve">43 U/L) </w:t>
      </w:r>
      <w:r w:rsidR="00DE644C">
        <w:t>at Baseline</w:t>
      </w:r>
      <w:r w:rsidRPr="00D511F4">
        <w:t xml:space="preserve"> </w:t>
      </w:r>
      <w:r w:rsidR="00D511F4" w:rsidRPr="00D511F4">
        <w:t xml:space="preserve">(see </w:t>
      </w:r>
      <w:r w:rsidR="00C82F04" w:rsidRPr="00D511F4">
        <w:t>Table 8</w:t>
      </w:r>
      <w:r w:rsidR="00D511F4" w:rsidRPr="00D511F4">
        <w:t>, below)</w:t>
      </w:r>
      <w:r w:rsidR="00C82F04" w:rsidRPr="00D511F4">
        <w:t>.</w:t>
      </w:r>
      <w:r w:rsidRPr="00D511F4">
        <w:t xml:space="preserve"> M</w:t>
      </w:r>
      <w:r w:rsidRPr="00BD0B44">
        <w:t>edically important chronic liver disease was identified in 29 (44%) such subjects (18 female and 11 male; mean and median age of subjects was 14 and 12 years,</w:t>
      </w:r>
      <w:r w:rsidR="00C82F04" w:rsidRPr="00BD0B44">
        <w:t xml:space="preserve"> with a range of 4 to 41 years). </w:t>
      </w:r>
      <w:r w:rsidRPr="00BD0B44">
        <w:t>Ten of these subjects had cirrhosis based on baseline liver biopsy and only 4 of these had documented cirrhosis or portal hypertension in their medical history</w:t>
      </w:r>
      <w:r w:rsidR="00B73619" w:rsidRPr="00BD0B44">
        <w:t>.</w:t>
      </w:r>
    </w:p>
    <w:p w14:paraId="6B92B13E" w14:textId="3548273F" w:rsidR="00C82F04" w:rsidRDefault="00C82F04" w:rsidP="00C82F04">
      <w:pPr>
        <w:pStyle w:val="Tabletitle"/>
      </w:pPr>
      <w:r>
        <w:lastRenderedPageBreak/>
        <w:t>Table 8</w:t>
      </w:r>
      <w:r w:rsidR="00FE32BB">
        <w:t>:</w:t>
      </w:r>
      <w:r>
        <w:t xml:space="preserve"> </w:t>
      </w:r>
      <w:r w:rsidR="00157E63">
        <w:t>Study</w:t>
      </w:r>
      <w:r>
        <w:t xml:space="preserve"> LAL-CL02 Concurrent hepatic disorders, overall and by treatment group (FAS, double blind treatment period)</w:t>
      </w:r>
    </w:p>
    <w:p w14:paraId="75A67DCC" w14:textId="77777777" w:rsidR="00C82F04" w:rsidRPr="00C82F04" w:rsidRDefault="00695CDF" w:rsidP="00C82F04">
      <w:r>
        <w:rPr>
          <w:noProof/>
          <w:lang w:eastAsia="en-AU"/>
        </w:rPr>
        <w:drawing>
          <wp:inline distT="0" distB="0" distL="0" distR="0" wp14:anchorId="6978878F" wp14:editId="4FF55DCE">
            <wp:extent cx="5731510" cy="4669099"/>
            <wp:effectExtent l="0" t="0" r="2540" b="0"/>
            <wp:docPr id="53" name="Picture 53" descr="Table 8: Study LAL-CL02. Concurrent hepatic disorders, overall and by treatment group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4669099"/>
                    </a:xfrm>
                    <a:prstGeom prst="rect">
                      <a:avLst/>
                    </a:prstGeom>
                  </pic:spPr>
                </pic:pic>
              </a:graphicData>
            </a:graphic>
          </wp:inline>
        </w:drawing>
      </w:r>
    </w:p>
    <w:p w14:paraId="0F34F911" w14:textId="3965FB45" w:rsidR="00B73619" w:rsidRPr="00BD0B44" w:rsidRDefault="00EA418E" w:rsidP="00BD0B44">
      <w:pPr>
        <w:rPr>
          <w:highlight w:val="yellow"/>
        </w:rPr>
      </w:pPr>
      <w:r w:rsidRPr="00D511F4">
        <w:t xml:space="preserve">All subjects had an ALT </w:t>
      </w:r>
      <w:r w:rsidR="00B73619" w:rsidRPr="00D511F4">
        <w:t>&gt;</w:t>
      </w:r>
      <w:r w:rsidR="00CC672B" w:rsidRPr="00D511F4">
        <w:t xml:space="preserve"> </w:t>
      </w:r>
      <w:r w:rsidRPr="00D511F4">
        <w:t xml:space="preserve">1.5 </w:t>
      </w:r>
      <w:r w:rsidR="002D28A4" w:rsidRPr="00D511F4">
        <w:t>x</w:t>
      </w:r>
      <w:r w:rsidRPr="00D511F4">
        <w:t xml:space="preserve"> ULN </w:t>
      </w:r>
      <w:r w:rsidR="00DE644C">
        <w:t xml:space="preserve">at </w:t>
      </w:r>
      <w:r w:rsidR="001B7A56">
        <w:t>Baseline</w:t>
      </w:r>
      <w:r w:rsidR="001B7A56" w:rsidRPr="00D511F4">
        <w:t>;</w:t>
      </w:r>
      <w:r w:rsidRPr="00D511F4">
        <w:t xml:space="preserve"> mean baseline ALT values were 105.1 U/L and 99.0 U/L in the SA and placebo groups, respectively. All but 1 subject in the placebo group had elevated AST values </w:t>
      </w:r>
      <w:r w:rsidR="00DE644C">
        <w:t>at Baseline</w:t>
      </w:r>
      <w:r w:rsidRPr="00D511F4">
        <w:t xml:space="preserve">; mean AST values were 86.6 U/L and 78.2 U/L in the SA and placebo groups, respectively. The mean GGT was similar in the SA group and placebo group </w:t>
      </w:r>
      <w:r w:rsidR="00DE644C">
        <w:t>at Baseline</w:t>
      </w:r>
      <w:r w:rsidRPr="00D511F4">
        <w:t xml:space="preserve"> (52.4 and 52.0 U/L, respectively); 36% of subjects in the SA group and 40% of subjects in the placebo group h</w:t>
      </w:r>
      <w:r w:rsidR="00C82F04" w:rsidRPr="00D511F4">
        <w:t>ad elevated baseline GGT levels.</w:t>
      </w:r>
    </w:p>
    <w:p w14:paraId="7E43C1B0" w14:textId="016B37FF" w:rsidR="00EA418E" w:rsidRPr="00D511F4" w:rsidRDefault="00EA418E" w:rsidP="00BD0B44">
      <w:r w:rsidRPr="00D511F4">
        <w:t xml:space="preserve">Baseline assessments of lipids demonstrated marked dyslipidaemia. In general, a greater degree of dyslipidaemia was seen </w:t>
      </w:r>
      <w:r w:rsidR="00DE644C">
        <w:t>at Baseline</w:t>
      </w:r>
      <w:r w:rsidRPr="00D511F4">
        <w:t xml:space="preserve"> in the pla</w:t>
      </w:r>
      <w:r w:rsidR="00C82F04" w:rsidRPr="00D511F4">
        <w:t xml:space="preserve">cebo group than in the SA group. </w:t>
      </w:r>
      <w:r w:rsidRPr="00D511F4">
        <w:t>Mean LDL-c values were 189.9 mg/</w:t>
      </w:r>
      <w:proofErr w:type="spellStart"/>
      <w:r w:rsidRPr="00D511F4">
        <w:t>dL</w:t>
      </w:r>
      <w:proofErr w:type="spellEnd"/>
      <w:r w:rsidRPr="00D511F4">
        <w:t xml:space="preserve"> (4.9 </w:t>
      </w:r>
      <w:proofErr w:type="spellStart"/>
      <w:r w:rsidRPr="00D511F4">
        <w:t>mmol</w:t>
      </w:r>
      <w:proofErr w:type="spellEnd"/>
      <w:r w:rsidRPr="00D511F4">
        <w:t>/L) and 229.5 mg/</w:t>
      </w:r>
      <w:proofErr w:type="spellStart"/>
      <w:r w:rsidRPr="00D511F4">
        <w:t>dL</w:t>
      </w:r>
      <w:proofErr w:type="spellEnd"/>
      <w:r w:rsidRPr="00D511F4">
        <w:t xml:space="preserve"> </w:t>
      </w:r>
      <w:proofErr w:type="gramStart"/>
      <w:r w:rsidRPr="00D511F4">
        <w:t xml:space="preserve">(5.9 </w:t>
      </w:r>
      <w:proofErr w:type="spellStart"/>
      <w:r w:rsidRPr="00D511F4">
        <w:t>mmol</w:t>
      </w:r>
      <w:proofErr w:type="spellEnd"/>
      <w:r w:rsidRPr="00D511F4">
        <w:t>/L)</w:t>
      </w:r>
      <w:proofErr w:type="gramEnd"/>
      <w:r w:rsidRPr="00D511F4">
        <w:t xml:space="preserve"> in the SA and placebo groups, respectively. Overall, more than half (58%) of subjects had LDL-c values in the very high range (</w:t>
      </w:r>
      <w:r w:rsidR="00B73619" w:rsidRPr="00D511F4">
        <w:t>&gt;</w:t>
      </w:r>
      <w:r w:rsidR="00CC672B" w:rsidRPr="00D511F4">
        <w:t xml:space="preserve"> </w:t>
      </w:r>
      <w:r w:rsidRPr="00D511F4">
        <w:t>190 mg/</w:t>
      </w:r>
      <w:proofErr w:type="spellStart"/>
      <w:r w:rsidRPr="00D511F4">
        <w:t>dL</w:t>
      </w:r>
      <w:proofErr w:type="spellEnd"/>
      <w:r w:rsidRPr="00D511F4">
        <w:t>). Hypertriglyceridemia, defined as TG levels ≥ 200 mg/</w:t>
      </w:r>
      <w:proofErr w:type="spellStart"/>
      <w:r w:rsidRPr="00D511F4">
        <w:t>dL</w:t>
      </w:r>
      <w:proofErr w:type="spellEnd"/>
      <w:r w:rsidRPr="00D511F4">
        <w:t>, was seen in 21% of subjects. Mean HDL-c values were 32.4 mg/</w:t>
      </w:r>
      <w:proofErr w:type="spellStart"/>
      <w:r w:rsidRPr="00D511F4">
        <w:t>dL</w:t>
      </w:r>
      <w:proofErr w:type="spellEnd"/>
      <w:r w:rsidRPr="00D511F4">
        <w:t xml:space="preserve"> (0.8 </w:t>
      </w:r>
      <w:proofErr w:type="spellStart"/>
      <w:r w:rsidRPr="00D511F4">
        <w:t>mmol</w:t>
      </w:r>
      <w:proofErr w:type="spellEnd"/>
      <w:r w:rsidRPr="00D511F4">
        <w:t>/L) and 33.4 mg/</w:t>
      </w:r>
      <w:proofErr w:type="spellStart"/>
      <w:r w:rsidRPr="00D511F4">
        <w:t>dL</w:t>
      </w:r>
      <w:proofErr w:type="spellEnd"/>
      <w:r w:rsidRPr="00D511F4">
        <w:t xml:space="preserve"> </w:t>
      </w:r>
      <w:proofErr w:type="gramStart"/>
      <w:r w:rsidRPr="00D511F4">
        <w:t xml:space="preserve">(0.9 </w:t>
      </w:r>
      <w:proofErr w:type="spellStart"/>
      <w:r w:rsidRPr="00D511F4">
        <w:t>mmol</w:t>
      </w:r>
      <w:proofErr w:type="spellEnd"/>
      <w:r w:rsidRPr="00D511F4">
        <w:t>/L)</w:t>
      </w:r>
      <w:proofErr w:type="gramEnd"/>
      <w:r w:rsidRPr="00D511F4">
        <w:t xml:space="preserve"> in the SA and placebo groups, respectively. Statistically significant differences between groups were seen with regard to cholesterol and non-HDL-c </w:t>
      </w:r>
      <w:r w:rsidR="00DE644C">
        <w:t>at Baseline</w:t>
      </w:r>
      <w:r w:rsidRPr="00D511F4">
        <w:t>, with higher mean values seen in the placebo group than in the SA group. In the SA and placebo groups, mean baseline cholesterol values were 252.5 mg/</w:t>
      </w:r>
      <w:proofErr w:type="spellStart"/>
      <w:r w:rsidRPr="00D511F4">
        <w:t>dL</w:t>
      </w:r>
      <w:proofErr w:type="spellEnd"/>
      <w:r w:rsidRPr="00D511F4">
        <w:t xml:space="preserve"> (6.53 </w:t>
      </w:r>
      <w:proofErr w:type="spellStart"/>
      <w:r w:rsidRPr="00D511F4">
        <w:t>mmol</w:t>
      </w:r>
      <w:proofErr w:type="spellEnd"/>
      <w:r w:rsidRPr="00D511F4">
        <w:t>/L) and 296.7 mg/</w:t>
      </w:r>
      <w:proofErr w:type="spellStart"/>
      <w:r w:rsidRPr="00D511F4">
        <w:t>dL</w:t>
      </w:r>
      <w:proofErr w:type="spellEnd"/>
      <w:r w:rsidRPr="00D511F4">
        <w:t xml:space="preserve"> (7.67 </w:t>
      </w:r>
      <w:proofErr w:type="spellStart"/>
      <w:r w:rsidRPr="00D511F4">
        <w:t>mmol</w:t>
      </w:r>
      <w:proofErr w:type="spellEnd"/>
      <w:r w:rsidRPr="00D511F4">
        <w:t>/L), respectively (p</w:t>
      </w:r>
      <w:r w:rsidR="002D28A4" w:rsidRPr="00D511F4">
        <w:t xml:space="preserve"> = </w:t>
      </w:r>
      <w:r w:rsidRPr="00D511F4">
        <w:t>0.0341), and mean baseline non-HDL</w:t>
      </w:r>
      <w:r w:rsidR="00C82F04" w:rsidRPr="00D511F4">
        <w:t>-c values were 220.5 mg/</w:t>
      </w:r>
      <w:proofErr w:type="spellStart"/>
      <w:r w:rsidR="00C82F04" w:rsidRPr="00D511F4">
        <w:t>dL</w:t>
      </w:r>
      <w:proofErr w:type="spellEnd"/>
      <w:r w:rsidR="00C82F04" w:rsidRPr="00D511F4">
        <w:t xml:space="preserve"> (5.7 </w:t>
      </w:r>
      <w:proofErr w:type="spellStart"/>
      <w:r w:rsidRPr="00D511F4">
        <w:t>mmol</w:t>
      </w:r>
      <w:proofErr w:type="spellEnd"/>
      <w:r w:rsidRPr="00D511F4">
        <w:t>/L) and 263.8 mg/</w:t>
      </w:r>
      <w:proofErr w:type="spellStart"/>
      <w:r w:rsidRPr="00D511F4">
        <w:t>dL</w:t>
      </w:r>
      <w:proofErr w:type="spellEnd"/>
      <w:r w:rsidRPr="00D511F4">
        <w:t xml:space="preserve"> (6.8 </w:t>
      </w:r>
      <w:proofErr w:type="spellStart"/>
      <w:r w:rsidRPr="00D511F4">
        <w:t>mmol</w:t>
      </w:r>
      <w:proofErr w:type="spellEnd"/>
      <w:r w:rsidRPr="00D511F4">
        <w:t>/L), respectively (p</w:t>
      </w:r>
      <w:r w:rsidR="002D28A4" w:rsidRPr="00D511F4">
        <w:t xml:space="preserve"> = </w:t>
      </w:r>
      <w:r w:rsidR="00C82F04" w:rsidRPr="00D511F4">
        <w:t>0.0341).</w:t>
      </w:r>
    </w:p>
    <w:p w14:paraId="086A65D7" w14:textId="77777777" w:rsidR="00B73619" w:rsidRPr="00D511F4" w:rsidRDefault="00EA418E" w:rsidP="00BD0B44">
      <w:r w:rsidRPr="00D511F4">
        <w:t xml:space="preserve">Baseline liver pathology was available in 32 subjects in the FAS, including 19 subjects in the SA group and 13 subjects in the placebo group and all (100%) subjects with baseline biopsies had evidence of fibrosis. A total of 5 (26%) of 19 subjects in the SA group and 5 (38%) of 13 subjects </w:t>
      </w:r>
      <w:r w:rsidRPr="00D511F4">
        <w:lastRenderedPageBreak/>
        <w:t xml:space="preserve">in the placebo group with biopsy data available for analysis had </w:t>
      </w:r>
      <w:proofErr w:type="spellStart"/>
      <w:r w:rsidRPr="00D511F4">
        <w:t>Ishak</w:t>
      </w:r>
      <w:proofErr w:type="spellEnd"/>
      <w:r w:rsidRPr="00D511F4">
        <w:t xml:space="preserve"> fibrosis scores of 5 or 6, indicating either early or incomplete cirrhosis or probable or definite cirrhosis, respectively</w:t>
      </w:r>
      <w:r w:rsidR="00B73619" w:rsidRPr="00D511F4">
        <w:t>.</w:t>
      </w:r>
    </w:p>
    <w:p w14:paraId="74D1A7F8" w14:textId="57C22A78" w:rsidR="00B73619" w:rsidRPr="00BD0B44" w:rsidRDefault="00EA418E" w:rsidP="00BD0B44">
      <w:r w:rsidRPr="00D511F4">
        <w:t xml:space="preserve">Multi-echo gradient-echo (MEGE) assessment of liver fat content was available in 35 subjects in the SA group and 26 subjects in the placebo group and was 8.5% </w:t>
      </w:r>
      <w:r w:rsidR="00DE644C">
        <w:t>at Baseline</w:t>
      </w:r>
      <w:r w:rsidRPr="00D511F4">
        <w:t xml:space="preserve"> with similar mean liver fat content of 8.75% and 8.16% in the SA and placebo groups, respectively. Liver volume assessments by MRI were available in 36 subjects in the SA group and 28 subjects in the placebo group; the mean baseline liver volume was 1.46 multiples of normal (MN) overall, with similar mean liver volumes of 1.44 and 1.50 MN in the SA and placebo groups, respectively. No relationship was seen between liver fat content and liver volume </w:t>
      </w:r>
      <w:r w:rsidR="00DE644C">
        <w:t>at Baseline</w:t>
      </w:r>
      <w:r w:rsidRPr="00D511F4">
        <w:t>, as indicated by a correlation coefficient of 0.01 in the SA group and 0.04 in the placebo group. The mean spleen fat content, as assessed by MEGE, was 1.41%, with similar mean spleen fat content of 1.46% and 1.34% in the SA and placebo groups, respectively. Mean spleen volume, as assessed by MRI, was 3.32 MN, with similar mean spleen volumes of 3.37 MN (range 0.67 to 16.18 MN) and 3.26 MN (range 1.88 to 6.67 MN) in</w:t>
      </w:r>
      <w:r w:rsidRPr="00BD0B44">
        <w:t xml:space="preserve"> the SA and placebo groups, respectively Platelet counts appeared lower in subjects with higher baseline spleen volumes (</w:t>
      </w:r>
      <w:r w:rsidR="00D511F4" w:rsidRPr="00BD0B44">
        <w:t xml:space="preserve">see </w:t>
      </w:r>
      <w:r w:rsidRPr="00BD0B44">
        <w:t xml:space="preserve">Table </w:t>
      </w:r>
      <w:r w:rsidR="00FE32BB" w:rsidRPr="00BD0B44">
        <w:t>9</w:t>
      </w:r>
      <w:r w:rsidR="00D511F4" w:rsidRPr="00BD0B44">
        <w:t>, below</w:t>
      </w:r>
      <w:r w:rsidR="00B866BC" w:rsidRPr="00BD0B44">
        <w:t>).</w:t>
      </w:r>
    </w:p>
    <w:p w14:paraId="2A25BE25" w14:textId="1F2EA16E" w:rsidR="00B866BC" w:rsidRDefault="00FE32BB" w:rsidP="00B866BC">
      <w:pPr>
        <w:pStyle w:val="Tabletitle"/>
      </w:pPr>
      <w:r>
        <w:lastRenderedPageBreak/>
        <w:t>Table 9:</w:t>
      </w:r>
      <w:r w:rsidR="00B866BC" w:rsidRPr="00B866BC">
        <w:t xml:space="preserve"> </w:t>
      </w:r>
      <w:r w:rsidR="00157E63">
        <w:t>Study</w:t>
      </w:r>
      <w:r w:rsidR="00B866BC" w:rsidRPr="00B866BC">
        <w:t xml:space="preserve"> LAL-CL02 Liver and spleen volume and fat content </w:t>
      </w:r>
      <w:r w:rsidR="00DE644C">
        <w:t>at Baseline</w:t>
      </w:r>
      <w:r w:rsidR="00B866BC" w:rsidRPr="00B866BC">
        <w:t xml:space="preserve"> (subjects in the FAS with assessment performed, double blind treatment period)</w:t>
      </w:r>
    </w:p>
    <w:p w14:paraId="04FC5E66" w14:textId="77777777" w:rsidR="00B866BC" w:rsidRPr="00695CDF" w:rsidRDefault="00695CDF" w:rsidP="00695CDF">
      <w:r>
        <w:rPr>
          <w:noProof/>
          <w:lang w:eastAsia="en-AU"/>
        </w:rPr>
        <w:drawing>
          <wp:inline distT="0" distB="0" distL="0" distR="0" wp14:anchorId="131C850D" wp14:editId="4828F5B3">
            <wp:extent cx="5731510" cy="7903252"/>
            <wp:effectExtent l="0" t="0" r="2540" b="2540"/>
            <wp:docPr id="56" name="Picture 56" descr="Table 9: Study LAL-CL02. Liver and spleen volume and fat content at baseline (subjects in the FAS with assessment performed,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7903252"/>
                    </a:xfrm>
                    <a:prstGeom prst="rect">
                      <a:avLst/>
                    </a:prstGeom>
                  </pic:spPr>
                </pic:pic>
              </a:graphicData>
            </a:graphic>
          </wp:inline>
        </w:drawing>
      </w:r>
    </w:p>
    <w:p w14:paraId="60BE1112" w14:textId="77777777" w:rsidR="00EA418E" w:rsidRPr="00D511F4" w:rsidRDefault="00EA418E" w:rsidP="00BD0B44">
      <w:r w:rsidRPr="00BD0B44">
        <w:t xml:space="preserve">Overall, </w:t>
      </w:r>
      <w:r w:rsidRPr="00D511F4">
        <w:t xml:space="preserve">39% (26 of 66 subjects) had received at least 1 prior LLM, with 36% (24 of 66) previously receiving a statin, 12% (8 of 66) previously receiving a non-statin, and 9% (6 of 66) </w:t>
      </w:r>
      <w:r w:rsidRPr="00D511F4">
        <w:lastRenderedPageBreak/>
        <w:t>previously receiving both a statin and non-statin. A history of statin use, either alone or in combination, was more common in the SA group than in the placebo group, with 42% (15 of 36) and 30% (9 of 30) of subjects, respectively, previously receiving a statin alone and 14% (5 of 36) and 3% (1 of 30) of subjects, respectively, previously rec</w:t>
      </w:r>
      <w:r w:rsidR="00B866BC" w:rsidRPr="00D511F4">
        <w:t>eiving a statin in combination.</w:t>
      </w:r>
    </w:p>
    <w:p w14:paraId="76A1CB35" w14:textId="4549BB83" w:rsidR="00B73619" w:rsidRPr="00D511F4" w:rsidRDefault="00EA418E" w:rsidP="00BD0B44">
      <w:r w:rsidRPr="00D511F4">
        <w:t xml:space="preserve">Review of LLM use by age showed that overall, of the 26 subjects receiving LLM </w:t>
      </w:r>
      <w:r w:rsidR="00DE644C">
        <w:t>at Baseline</w:t>
      </w:r>
      <w:r w:rsidRPr="00D511F4">
        <w:t xml:space="preserve">, 15% (4 subjects) were aged </w:t>
      </w:r>
      <w:r w:rsidR="00A87AAC" w:rsidRPr="00D511F4">
        <w:t xml:space="preserve">&lt; </w:t>
      </w:r>
      <w:r w:rsidRPr="00D511F4">
        <w:t xml:space="preserve">12 years and 42% each were aged ≥ 12 to </w:t>
      </w:r>
      <w:r w:rsidR="00A87AAC" w:rsidRPr="00D511F4">
        <w:t xml:space="preserve">&lt; </w:t>
      </w:r>
      <w:r w:rsidRPr="00D511F4">
        <w:t xml:space="preserve">18 years or ≥ 18years. Thus, of the 26 subjects receiving LLM </w:t>
      </w:r>
      <w:r w:rsidR="00DE644C">
        <w:t>at Baseline</w:t>
      </w:r>
      <w:r w:rsidRPr="00D511F4">
        <w:t xml:space="preserve">, 85% (22 subjects) were aged ≥ 12 years and 15% were aged </w:t>
      </w:r>
      <w:r w:rsidR="00A87AAC" w:rsidRPr="00D511F4">
        <w:t xml:space="preserve">&lt; </w:t>
      </w:r>
      <w:r w:rsidRPr="00D511F4">
        <w:t>12 years. Overall, the most common type of prior LLM was HMG CoA reductase inhibitors (</w:t>
      </w:r>
      <w:r w:rsidR="003F3AB4" w:rsidRPr="00D511F4">
        <w:t>that is</w:t>
      </w:r>
      <w:r w:rsidRPr="00D511F4">
        <w:t xml:space="preserve">, statins) (23 of 66; 35%). Other types of LLM were less common, with 6% (4 of 66) previously receiving </w:t>
      </w:r>
      <w:r w:rsidR="00F056E7" w:rsidRPr="00D511F4">
        <w:t>‘</w:t>
      </w:r>
      <w:r w:rsidRPr="00D511F4">
        <w:t>other</w:t>
      </w:r>
      <w:r w:rsidR="00F056E7" w:rsidRPr="00D511F4">
        <w:t>’</w:t>
      </w:r>
      <w:r w:rsidRPr="00D511F4">
        <w:t xml:space="preserve"> </w:t>
      </w:r>
      <w:r w:rsidR="00803642" w:rsidRPr="00D511F4">
        <w:t>lipid modifying</w:t>
      </w:r>
      <w:r w:rsidRPr="00D511F4">
        <w:t xml:space="preserve"> agents; 5% (3 of 66) previously receiving bile acid </w:t>
      </w:r>
      <w:proofErr w:type="spellStart"/>
      <w:r w:rsidRPr="00D511F4">
        <w:t>sequestrants</w:t>
      </w:r>
      <w:proofErr w:type="spellEnd"/>
      <w:r w:rsidRPr="00D511F4">
        <w:t>; and 2% (1 of 66) each previously receiving fibrates and HMG CoA reductase inhibitors in combination with ezetimibe</w:t>
      </w:r>
      <w:r w:rsidRPr="00BD0B44">
        <w:t>.</w:t>
      </w:r>
      <w:r w:rsidRPr="00D511F4">
        <w:t xml:space="preserve"> NAFLD medication</w:t>
      </w:r>
      <w:r w:rsidR="00C662C3">
        <w:t>;</w:t>
      </w:r>
      <w:r w:rsidRPr="00BD0B44">
        <w:rPr>
          <w:vertAlign w:val="superscript"/>
        </w:rPr>
        <w:footnoteReference w:id="22"/>
      </w:r>
      <w:r w:rsidRPr="00BD0B44">
        <w:rPr>
          <w:vertAlign w:val="superscript"/>
        </w:rPr>
        <w:t xml:space="preserve"> </w:t>
      </w:r>
      <w:r w:rsidRPr="00D511F4">
        <w:t xml:space="preserve">use was less common, with 5% (3 of 66) of subjects overall, including 6% (2 of 36) and 3% (1 of 30) of subjects in the SA and placebo groups, respectively, receiving such medication </w:t>
      </w:r>
      <w:r w:rsidR="00DE644C">
        <w:t>at Baseline</w:t>
      </w:r>
      <w:r w:rsidR="00B73619" w:rsidRPr="00D511F4">
        <w:t>.</w:t>
      </w:r>
    </w:p>
    <w:p w14:paraId="37FDB122" w14:textId="77777777" w:rsidR="00EA418E" w:rsidRDefault="00EA418E" w:rsidP="00BD0B44">
      <w:pPr>
        <w:rPr>
          <w:rFonts w:ascii="TimesNewRomanPSMT" w:hAnsi="TimesNewRomanPSMT"/>
          <w:sz w:val="24"/>
          <w:szCs w:val="24"/>
        </w:rPr>
      </w:pPr>
      <w:r w:rsidRPr="00D511F4">
        <w:t xml:space="preserve">From Week 0 to Week 52, all infusions were administered at the </w:t>
      </w:r>
      <w:r w:rsidR="00C4359A" w:rsidRPr="00D511F4">
        <w:t>study</w:t>
      </w:r>
      <w:r w:rsidRPr="00D511F4">
        <w:t xml:space="preserve"> centre and compliance with </w:t>
      </w:r>
      <w:r w:rsidR="00C4359A" w:rsidRPr="00D511F4">
        <w:t>study</w:t>
      </w:r>
      <w:r w:rsidRPr="00D511F4">
        <w:t xml:space="preserve"> drug was good. All but 2 subjects (64 of 66 subjects; 97%) received all 11 </w:t>
      </w:r>
      <w:r w:rsidR="00C4359A" w:rsidRPr="00D511F4">
        <w:t>study</w:t>
      </w:r>
      <w:r w:rsidRPr="00D511F4">
        <w:t xml:space="preserve"> drug infusions as planned during the </w:t>
      </w:r>
      <w:r w:rsidR="003F3AB4" w:rsidRPr="00D511F4">
        <w:t>double blind</w:t>
      </w:r>
      <w:r w:rsidRPr="00D511F4">
        <w:t xml:space="preserve"> period; 1 subject in the SA group withdrew from the </w:t>
      </w:r>
      <w:r w:rsidR="003F3AB4" w:rsidRPr="00D511F4">
        <w:t>double blind</w:t>
      </w:r>
      <w:r w:rsidRPr="00D511F4">
        <w:t xml:space="preserve"> period of the </w:t>
      </w:r>
      <w:r w:rsidR="00C4359A" w:rsidRPr="00D511F4">
        <w:t>study</w:t>
      </w:r>
      <w:r w:rsidRPr="00D511F4">
        <w:t xml:space="preserve"> on Day 15 after receiving 2 </w:t>
      </w:r>
      <w:r w:rsidR="00C4359A" w:rsidRPr="00D511F4">
        <w:t>study</w:t>
      </w:r>
      <w:r w:rsidRPr="00D511F4">
        <w:t xml:space="preserve"> drug infusions due to an AE (</w:t>
      </w:r>
      <w:r w:rsidR="00B866BC" w:rsidRPr="00D511F4">
        <w:t>infusion related</w:t>
      </w:r>
      <w:r w:rsidRPr="00D511F4">
        <w:t xml:space="preserve"> reaction with associated symptomology. Furthermore, 1 </w:t>
      </w:r>
      <w:r w:rsidR="00C4359A" w:rsidRPr="00D511F4">
        <w:t>study</w:t>
      </w:r>
      <w:r w:rsidRPr="00D511F4">
        <w:t xml:space="preserve"> drug infusion was not completed for 3 (5%) of 66 subjects, all in the SA group.</w:t>
      </w:r>
    </w:p>
    <w:p w14:paraId="1A812904" w14:textId="77777777" w:rsidR="00EA418E" w:rsidRPr="000871CE" w:rsidRDefault="00EA418E" w:rsidP="00EA418E">
      <w:pPr>
        <w:pStyle w:val="Heading5"/>
      </w:pPr>
      <w:r w:rsidRPr="000871CE">
        <w:t>Results for the primary efficacy outcome</w:t>
      </w:r>
    </w:p>
    <w:p w14:paraId="680F32C0" w14:textId="357D2F87" w:rsidR="00EA418E" w:rsidRPr="00D511F4" w:rsidRDefault="00EA418E" w:rsidP="00BD0B44">
      <w:r w:rsidRPr="00D511F4">
        <w:t xml:space="preserve">A statistically significant greater proportion of subjects in the SA group than in the placebo group achieved normalisation in ALT by the last time point in the </w:t>
      </w:r>
      <w:r w:rsidR="003F3AB4" w:rsidRPr="00D511F4">
        <w:t>double blind</w:t>
      </w:r>
      <w:r w:rsidRPr="00D511F4">
        <w:t xml:space="preserve"> </w:t>
      </w:r>
      <w:r w:rsidR="001B7A56" w:rsidRPr="00D511F4">
        <w:t>period, (</w:t>
      </w:r>
      <w:r w:rsidRPr="00D511F4">
        <w:t xml:space="preserve">31% </w:t>
      </w:r>
      <w:r w:rsidR="00B866BC" w:rsidRPr="00D511F4">
        <w:t>versus</w:t>
      </w:r>
      <w:r w:rsidRPr="00D511F4">
        <w:t xml:space="preserve"> 7%,</w:t>
      </w:r>
      <w:r w:rsidR="00CC672B" w:rsidRPr="00D511F4">
        <w:t xml:space="preserve"> </w:t>
      </w:r>
      <w:r w:rsidRPr="00D511F4">
        <w:t>p</w:t>
      </w:r>
      <w:r w:rsidR="002D28A4" w:rsidRPr="00D511F4">
        <w:t xml:space="preserve"> = </w:t>
      </w:r>
      <w:r w:rsidRPr="00D511F4">
        <w:t xml:space="preserve">0.0271) </w:t>
      </w:r>
      <w:r w:rsidR="00B866BC" w:rsidRPr="00D511F4">
        <w:t>(</w:t>
      </w:r>
      <w:r w:rsidR="00D511F4" w:rsidRPr="00D511F4">
        <w:t xml:space="preserve">see </w:t>
      </w:r>
      <w:r w:rsidR="00B866BC" w:rsidRPr="00D511F4">
        <w:t xml:space="preserve">Table </w:t>
      </w:r>
      <w:r w:rsidR="00FE32BB" w:rsidRPr="00D511F4">
        <w:t>10</w:t>
      </w:r>
      <w:r w:rsidR="00D511F4" w:rsidRPr="00D511F4">
        <w:t>, below</w:t>
      </w:r>
      <w:r w:rsidRPr="00D511F4">
        <w:t xml:space="preserve">). All subjects in the SA group demonstrated a decrease in ALT; the mean decrease in ALT in the SA group was </w:t>
      </w:r>
      <w:r w:rsidR="00B866BC" w:rsidRPr="00D511F4">
        <w:noBreakHyphen/>
      </w:r>
      <w:r w:rsidRPr="00D511F4">
        <w:t xml:space="preserve">57.9 U/L representing a 53% mean reduction </w:t>
      </w:r>
      <w:r w:rsidR="00DE644C">
        <w:t>from Baseline</w:t>
      </w:r>
      <w:r w:rsidRPr="00D511F4">
        <w:t xml:space="preserve">. In contrast, the decrease </w:t>
      </w:r>
      <w:r w:rsidR="00DE644C">
        <w:t>from Baseline</w:t>
      </w:r>
      <w:r w:rsidRPr="00D511F4">
        <w:t xml:space="preserve"> to the last time point in the </w:t>
      </w:r>
      <w:r w:rsidR="003F3AB4" w:rsidRPr="00D511F4">
        <w:t>double blind</w:t>
      </w:r>
      <w:r w:rsidRPr="00D511F4">
        <w:t xml:space="preserve"> period in the placebo group was </w:t>
      </w:r>
      <w:r w:rsidR="00B866BC" w:rsidRPr="00D511F4">
        <w:noBreakHyphen/>
      </w:r>
      <w:r w:rsidRPr="00D511F4">
        <w:t xml:space="preserve">6.7 U/L (6% mean reduction </w:t>
      </w:r>
      <w:r w:rsidR="00DE644C">
        <w:t>from Baseline</w:t>
      </w:r>
      <w:r w:rsidRPr="00D511F4">
        <w:t>). In contrast to ALT normalisation over a broad range of baseline ALT levels in the SA group (52 to 166 U/L)</w:t>
      </w:r>
      <w:proofErr w:type="gramStart"/>
      <w:r w:rsidRPr="00D511F4">
        <w:t>,</w:t>
      </w:r>
      <w:proofErr w:type="gramEnd"/>
      <w:r w:rsidRPr="00D511F4">
        <w:t xml:space="preserve"> normalisation was only seen in the 2 subjects in the placebo group </w:t>
      </w:r>
      <w:r w:rsidR="00B866BC" w:rsidRPr="00D511F4">
        <w:t>(50 and 53 </w:t>
      </w:r>
      <w:r w:rsidRPr="00D511F4">
        <w:t>U/L).</w:t>
      </w:r>
    </w:p>
    <w:p w14:paraId="2A1AE7B6" w14:textId="1E9526FC" w:rsidR="00B866BC" w:rsidRDefault="00B866BC" w:rsidP="00B866BC">
      <w:pPr>
        <w:pStyle w:val="Tabletitle"/>
      </w:pPr>
      <w:r w:rsidRPr="00B866BC">
        <w:lastRenderedPageBreak/>
        <w:t xml:space="preserve">Table </w:t>
      </w:r>
      <w:r w:rsidR="00FE32BB">
        <w:t>10:</w:t>
      </w:r>
      <w:r w:rsidRPr="00B866BC">
        <w:t xml:space="preserve"> </w:t>
      </w:r>
      <w:r w:rsidR="00157E63">
        <w:t>Study</w:t>
      </w:r>
      <w:r w:rsidRPr="00B866BC">
        <w:t xml:space="preserve"> LAL-CL02 Summary of primary and secondary efficacy endpoints, including fixed sequence test results, by treatment group (FAS, double blind treatment period)</w:t>
      </w:r>
    </w:p>
    <w:p w14:paraId="65380389" w14:textId="77777777" w:rsidR="00B866BC" w:rsidRPr="00B866BC" w:rsidRDefault="00695CDF" w:rsidP="00B866BC">
      <w:r>
        <w:rPr>
          <w:noProof/>
          <w:lang w:eastAsia="en-AU"/>
        </w:rPr>
        <w:drawing>
          <wp:inline distT="0" distB="0" distL="0" distR="0" wp14:anchorId="6666B3C9" wp14:editId="0D0C051B">
            <wp:extent cx="3657600" cy="7991475"/>
            <wp:effectExtent l="0" t="0" r="0" b="9525"/>
            <wp:docPr id="59" name="Picture 59" descr="Table 10: Study LAL-CL02. Summary of primary and secondary efficacy endpoints, including fixed sequence test results, by treatment group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7600" cy="7991475"/>
                    </a:xfrm>
                    <a:prstGeom prst="rect">
                      <a:avLst/>
                    </a:prstGeom>
                  </pic:spPr>
                </pic:pic>
              </a:graphicData>
            </a:graphic>
          </wp:inline>
        </w:drawing>
      </w:r>
    </w:p>
    <w:p w14:paraId="30EC977B" w14:textId="5B055C53" w:rsidR="00B866BC" w:rsidRDefault="00B866BC" w:rsidP="00B866BC">
      <w:pPr>
        <w:pStyle w:val="Tabletitle"/>
      </w:pPr>
      <w:r w:rsidRPr="00B866BC">
        <w:lastRenderedPageBreak/>
        <w:t xml:space="preserve">Table </w:t>
      </w:r>
      <w:r w:rsidR="00FE32BB">
        <w:t xml:space="preserve">10 </w:t>
      </w:r>
      <w:r w:rsidR="00D511F4">
        <w:t>(</w:t>
      </w:r>
      <w:r w:rsidR="00FE32BB">
        <w:t>continued</w:t>
      </w:r>
      <w:r w:rsidR="00D511F4">
        <w:t>)</w:t>
      </w:r>
      <w:r w:rsidR="00FE32BB">
        <w:t>:</w:t>
      </w:r>
      <w:r w:rsidRPr="00B866BC">
        <w:t xml:space="preserve"> </w:t>
      </w:r>
      <w:r w:rsidR="00157E63">
        <w:t>Study</w:t>
      </w:r>
      <w:r w:rsidRPr="00B866BC">
        <w:t xml:space="preserve"> LAL-CL02 Summary of primary and secondary efficacy endpoints, including fixed sequence test results, by treatment group (FAS, double blind treatment period)</w:t>
      </w:r>
    </w:p>
    <w:p w14:paraId="7F7C150F" w14:textId="77777777" w:rsidR="00695CDF" w:rsidRPr="00695CDF" w:rsidRDefault="00695CDF" w:rsidP="00695CDF">
      <w:r>
        <w:rPr>
          <w:noProof/>
          <w:lang w:eastAsia="en-AU"/>
        </w:rPr>
        <w:drawing>
          <wp:inline distT="0" distB="0" distL="0" distR="0" wp14:anchorId="212CA38B" wp14:editId="488AD0F4">
            <wp:extent cx="5731510" cy="4645830"/>
            <wp:effectExtent l="0" t="0" r="2540" b="2540"/>
            <wp:docPr id="60" name="Picture 60" descr="Table 10 continued: Study LAL-CL02. Summary of primary and secondary efficacy endpoints, including fixed sequence test results, by treatment group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4645830"/>
                    </a:xfrm>
                    <a:prstGeom prst="rect">
                      <a:avLst/>
                    </a:prstGeom>
                  </pic:spPr>
                </pic:pic>
              </a:graphicData>
            </a:graphic>
          </wp:inline>
        </w:drawing>
      </w:r>
    </w:p>
    <w:p w14:paraId="106A8A44" w14:textId="6C87E10B" w:rsidR="00B73619" w:rsidRPr="00BD0B44" w:rsidRDefault="00EA418E" w:rsidP="00984CC7">
      <w:r w:rsidRPr="00BD0B44">
        <w:t xml:space="preserve">Review of normalisation in ALT by </w:t>
      </w:r>
      <w:r w:rsidR="00C4359A" w:rsidRPr="00BD0B44">
        <w:t>study</w:t>
      </w:r>
      <w:r w:rsidRPr="00BD0B44">
        <w:t xml:space="preserve"> visit showed that in the SA group, normalisation had occurred by Week 2 (the first time point assessed </w:t>
      </w:r>
      <w:r w:rsidR="00545648" w:rsidRPr="00BD0B44">
        <w:t>post baseline</w:t>
      </w:r>
      <w:r w:rsidRPr="00BD0B44">
        <w:t xml:space="preserve">), in a small proportion of subjects (2 of 35 subjects; 6%), with a statistically significant proportion of subjects relative to placebo having normalisation in ALT by Week 6 (12 of 35 subjects; 34%) and at all time points thereafter. From Week 6 through the last time point, the proportion of subjects with normalisation in ALT remained relatively consistent, ranging from 29% to 41% (a difference of 4 subjects) over time. Across time points in the </w:t>
      </w:r>
      <w:r w:rsidR="003F3AB4" w:rsidRPr="00BD0B44">
        <w:t>double blind</w:t>
      </w:r>
      <w:r w:rsidRPr="00BD0B44">
        <w:t xml:space="preserve"> period, 6% (2 of 35), 21% (7 of 33), 34% (12 of 35), 29% (10 of 35), 41% (14 of 34), 40% (14 of 35), 29% (10 of 34), and 31% (11 of 36) subjects had normalisation in ALT at Weeks 2, 4, 6, 10, 14, 18, and 20 and at the last time point in the </w:t>
      </w:r>
      <w:r w:rsidR="003F3AB4" w:rsidRPr="00BD0B44">
        <w:t>double blind</w:t>
      </w:r>
      <w:r w:rsidRPr="00BD0B44">
        <w:t xml:space="preserve"> period, respectively. In contrast, ≤ 7% of subjects in the placebo group had ALT normalisation at any time point </w:t>
      </w:r>
      <w:r w:rsidR="00E57011" w:rsidRPr="00BD0B44">
        <w:t>(</w:t>
      </w:r>
      <w:r w:rsidR="00D511F4" w:rsidRPr="00BD0B44">
        <w:t xml:space="preserve">see </w:t>
      </w:r>
      <w:r w:rsidR="00E57011" w:rsidRPr="00BD0B44">
        <w:t xml:space="preserve">Figure </w:t>
      </w:r>
      <w:r w:rsidR="008267BC" w:rsidRPr="00BD0B44">
        <w:t>5</w:t>
      </w:r>
      <w:r w:rsidR="00D511F4" w:rsidRPr="00BD0B44">
        <w:t>, below</w:t>
      </w:r>
      <w:r w:rsidRPr="00BD0B44">
        <w:t>)</w:t>
      </w:r>
      <w:r w:rsidR="00B73619" w:rsidRPr="00BD0B44">
        <w:t>.</w:t>
      </w:r>
    </w:p>
    <w:p w14:paraId="624705F4" w14:textId="77777777" w:rsidR="00B866BC" w:rsidRDefault="00B866BC" w:rsidP="00E57011">
      <w:pPr>
        <w:pStyle w:val="FigureTitle"/>
        <w:keepNext/>
      </w:pPr>
      <w:r w:rsidRPr="00E57011">
        <w:lastRenderedPageBreak/>
        <w:t xml:space="preserve">Figure </w:t>
      </w:r>
      <w:r w:rsidR="008267BC">
        <w:t>5</w:t>
      </w:r>
      <w:r w:rsidR="00112368">
        <w:t>:</w:t>
      </w:r>
      <w:r w:rsidRPr="00E57011">
        <w:t xml:space="preserve"> </w:t>
      </w:r>
      <w:r w:rsidR="00157E63">
        <w:t>Study</w:t>
      </w:r>
      <w:r w:rsidR="00E57011" w:rsidRPr="00E57011">
        <w:t xml:space="preserve"> LAL-CL02 Proportions of subjects with ALT Normalisation over time by treatment group (FAS, double blind treatment period)</w:t>
      </w:r>
    </w:p>
    <w:p w14:paraId="59BC44C5" w14:textId="77777777" w:rsidR="00E57011" w:rsidRPr="00E57011" w:rsidRDefault="004C1854" w:rsidP="004C1854">
      <w:pPr>
        <w:pStyle w:val="FigureTitle"/>
        <w:keepNext/>
      </w:pPr>
      <w:r>
        <w:rPr>
          <w:noProof/>
          <w:lang w:eastAsia="en-AU"/>
        </w:rPr>
        <w:drawing>
          <wp:inline distT="0" distB="0" distL="0" distR="0" wp14:anchorId="107F0918" wp14:editId="748C9922">
            <wp:extent cx="5731510" cy="4159019"/>
            <wp:effectExtent l="0" t="0" r="2540" b="0"/>
            <wp:docPr id="29" name="Picture 29" descr="Figure 5: Study LAL-CL02 Proportions of subjects with ALT Normalisation over time by treatment group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159019"/>
                    </a:xfrm>
                    <a:prstGeom prst="rect">
                      <a:avLst/>
                    </a:prstGeom>
                  </pic:spPr>
                </pic:pic>
              </a:graphicData>
            </a:graphic>
          </wp:inline>
        </w:drawing>
      </w:r>
    </w:p>
    <w:p w14:paraId="26A71F52" w14:textId="77777777" w:rsidR="00EA418E" w:rsidRPr="000871CE" w:rsidRDefault="00EA418E" w:rsidP="00EA418E">
      <w:pPr>
        <w:pStyle w:val="Heading5"/>
      </w:pPr>
      <w:r w:rsidRPr="000871CE">
        <w:t>Results for other efficacy outcomes</w:t>
      </w:r>
    </w:p>
    <w:p w14:paraId="746959E3" w14:textId="77777777" w:rsidR="00CC672B" w:rsidRDefault="00EA418E" w:rsidP="00EA418E">
      <w:pPr>
        <w:pStyle w:val="Heading6"/>
        <w:rPr>
          <w:rStyle w:val="Heading6Char"/>
          <w:rFonts w:eastAsiaTheme="minorHAnsi"/>
          <w:bCs/>
          <w:i/>
        </w:rPr>
      </w:pPr>
      <w:r w:rsidRPr="00EA418E">
        <w:rPr>
          <w:rStyle w:val="Heading6Char"/>
          <w:rFonts w:eastAsiaTheme="minorHAnsi"/>
          <w:bCs/>
          <w:i/>
        </w:rPr>
        <w:t>Secondary endpoints</w:t>
      </w:r>
    </w:p>
    <w:p w14:paraId="08AA5626" w14:textId="77777777" w:rsidR="00B73619" w:rsidRPr="00FE32BB" w:rsidRDefault="00EA418E" w:rsidP="00EA418E">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 xml:space="preserve">A summary of secondary efficacy results was provided </w:t>
      </w:r>
      <w:r w:rsidRPr="00FE32BB">
        <w:rPr>
          <w:rFonts w:asciiTheme="minorHAnsi" w:eastAsiaTheme="minorHAnsi" w:hAnsiTheme="minorHAnsi" w:cs="TimesNewRomanPSMT"/>
        </w:rPr>
        <w:t xml:space="preserve">in Table </w:t>
      </w:r>
      <w:r w:rsidR="00FE32BB" w:rsidRPr="00FE32BB">
        <w:rPr>
          <w:rFonts w:asciiTheme="minorHAnsi" w:eastAsiaTheme="minorHAnsi" w:hAnsiTheme="minorHAnsi" w:cs="TimesNewRomanPSMT"/>
        </w:rPr>
        <w:t>10</w:t>
      </w:r>
      <w:r w:rsidR="00E57011" w:rsidRPr="00FE32BB">
        <w:rPr>
          <w:rFonts w:asciiTheme="minorHAnsi" w:eastAsiaTheme="minorHAnsi" w:hAnsiTheme="minorHAnsi" w:cs="TimesNewRomanPSMT"/>
        </w:rPr>
        <w:t xml:space="preserve"> (above)</w:t>
      </w:r>
      <w:r w:rsidR="00B73619" w:rsidRPr="00FE32BB">
        <w:rPr>
          <w:rFonts w:asciiTheme="minorHAnsi" w:eastAsiaTheme="minorHAnsi" w:hAnsiTheme="minorHAnsi" w:cs="TimesNewRomanPSMT"/>
        </w:rPr>
        <w:t>.</w:t>
      </w:r>
    </w:p>
    <w:p w14:paraId="09B7ACE0" w14:textId="77B3C0A1" w:rsidR="00EA418E" w:rsidRDefault="00EA418E" w:rsidP="00EA418E">
      <w:pPr>
        <w:autoSpaceDE w:val="0"/>
        <w:autoSpaceDN w:val="0"/>
        <w:adjustRightInd w:val="0"/>
        <w:spacing w:before="0" w:line="240" w:lineRule="auto"/>
        <w:rPr>
          <w:rFonts w:asciiTheme="minorHAnsi" w:eastAsiaTheme="minorHAnsi" w:hAnsiTheme="minorHAnsi" w:cs="TimesNewRomanPSMT"/>
        </w:rPr>
      </w:pPr>
      <w:r w:rsidRPr="00FE32BB">
        <w:rPr>
          <w:rFonts w:asciiTheme="minorHAnsi" w:eastAsiaTheme="minorHAnsi" w:hAnsiTheme="minorHAnsi" w:cs="TimesNewRomanPSMT"/>
        </w:rPr>
        <w:t xml:space="preserve">A statistically significantly greater mean change </w:t>
      </w:r>
      <w:r w:rsidR="00DE644C">
        <w:rPr>
          <w:rFonts w:asciiTheme="minorHAnsi" w:eastAsiaTheme="minorHAnsi" w:hAnsiTheme="minorHAnsi" w:cs="TimesNewRomanPSMT"/>
        </w:rPr>
        <w:t>from Baseline</w:t>
      </w:r>
      <w:r w:rsidRPr="00FE32BB">
        <w:rPr>
          <w:rFonts w:asciiTheme="minorHAnsi" w:eastAsiaTheme="minorHAnsi" w:hAnsiTheme="minorHAnsi" w:cs="TimesNewRomanPSMT"/>
        </w:rPr>
        <w:t xml:space="preserve"> in LDL-c was seen</w:t>
      </w:r>
      <w:r w:rsidRPr="008C2375">
        <w:rPr>
          <w:rFonts w:asciiTheme="minorHAnsi" w:eastAsiaTheme="minorHAnsi" w:hAnsiTheme="minorHAnsi" w:cs="TimesNewRomanPSMT"/>
        </w:rPr>
        <w:t xml:space="preserve"> in the SA</w:t>
      </w:r>
      <w:r>
        <w:rPr>
          <w:rFonts w:asciiTheme="minorHAnsi" w:eastAsiaTheme="minorHAnsi" w:hAnsiTheme="minorHAnsi" w:cs="TimesNewRomanPSMT"/>
        </w:rPr>
        <w:t xml:space="preserve"> </w:t>
      </w:r>
      <w:r w:rsidRPr="008C2375">
        <w:rPr>
          <w:rFonts w:asciiTheme="minorHAnsi" w:eastAsiaTheme="minorHAnsi" w:hAnsiTheme="minorHAnsi" w:cs="TimesNewRomanPSMT"/>
        </w:rPr>
        <w:t>group than in the placebo group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28.42% versus -6.25%,</w:t>
      </w:r>
      <w:r>
        <w:rPr>
          <w:rFonts w:asciiTheme="minorHAnsi" w:eastAsiaTheme="minorHAnsi" w:hAnsiTheme="minorHAnsi" w:cs="TimesNewRomanPSMT"/>
        </w:rPr>
        <w:t xml:space="preserve"> diff</w:t>
      </w:r>
      <w:r w:rsidR="002D28A4">
        <w:rPr>
          <w:rFonts w:asciiTheme="minorHAnsi" w:eastAsiaTheme="minorHAnsi" w:hAnsiTheme="minorHAnsi" w:cs="TimesNewRomanPSMT"/>
        </w:rPr>
        <w:t xml:space="preserve"> =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 xml:space="preserve">22.17% </w:t>
      </w:r>
      <w:r w:rsidR="00E57011">
        <w:rPr>
          <w:rFonts w:asciiTheme="minorHAnsi" w:eastAsiaTheme="minorHAnsi" w:hAnsiTheme="minorHAnsi" w:cs="TimesNewRomanPSMT"/>
        </w:rPr>
        <w:t xml:space="preserve">p </w:t>
      </w:r>
      <w:r w:rsidR="00A87AAC">
        <w:rPr>
          <w:rFonts w:asciiTheme="minorHAnsi" w:eastAsiaTheme="minorHAnsi" w:hAnsiTheme="minorHAnsi" w:cs="TimesNewRomanPSMT"/>
        </w:rPr>
        <w:t xml:space="preserve">&lt; </w:t>
      </w:r>
      <w:r w:rsidR="00E57011">
        <w:rPr>
          <w:rFonts w:asciiTheme="minorHAnsi" w:eastAsiaTheme="minorHAnsi" w:hAnsiTheme="minorHAnsi" w:cs="TimesNewRomanPSMT"/>
        </w:rPr>
        <w:t>0</w:t>
      </w:r>
      <w:r w:rsidRPr="008C2375">
        <w:rPr>
          <w:rFonts w:asciiTheme="minorHAnsi" w:eastAsiaTheme="minorHAnsi" w:hAnsiTheme="minorHAnsi" w:cs="TimesNewRomanPSMT"/>
        </w:rPr>
        <w:t>.0001).</w:t>
      </w:r>
      <w:r>
        <w:rPr>
          <w:rFonts w:asciiTheme="minorHAnsi" w:eastAsiaTheme="minorHAnsi" w:hAnsiTheme="minorHAnsi" w:cs="TimesNewRomanPSMT"/>
        </w:rPr>
        <w:t xml:space="preserve"> </w:t>
      </w:r>
      <w:r w:rsidR="004F183D">
        <w:rPr>
          <w:rFonts w:asciiTheme="minorHAnsi" w:eastAsiaTheme="minorHAnsi" w:hAnsiTheme="minorHAnsi" w:cs="TimesNewRomanPSMT"/>
        </w:rPr>
        <w:t>Overall, 13 </w:t>
      </w:r>
      <w:r w:rsidRPr="007C4C4C">
        <w:rPr>
          <w:rFonts w:asciiTheme="minorHAnsi" w:eastAsiaTheme="minorHAnsi" w:hAnsiTheme="minorHAnsi" w:cs="TimesNewRomanPSMT"/>
        </w:rPr>
        <w:t xml:space="preserve">(42%) of 36 subjects in the SA group achieved an LDL-c of </w:t>
      </w:r>
      <w:r w:rsidR="00A87AAC">
        <w:rPr>
          <w:rFonts w:asciiTheme="minorHAnsi" w:eastAsiaTheme="minorHAnsi" w:hAnsiTheme="minorHAnsi" w:cs="TimesNewRomanPSMT"/>
        </w:rPr>
        <w:t xml:space="preserve">&lt; </w:t>
      </w:r>
      <w:r w:rsidRPr="007C4C4C">
        <w:rPr>
          <w:rFonts w:asciiTheme="minorHAnsi" w:eastAsiaTheme="minorHAnsi" w:hAnsiTheme="minorHAnsi" w:cs="TimesNewRomanPSMT"/>
        </w:rPr>
        <w:t>130 mg/</w:t>
      </w:r>
      <w:proofErr w:type="spellStart"/>
      <w:r w:rsidRPr="007C4C4C">
        <w:rPr>
          <w:rFonts w:asciiTheme="minorHAnsi" w:eastAsiaTheme="minorHAnsi" w:hAnsiTheme="minorHAnsi" w:cs="TimesNewRomanPSMT"/>
        </w:rPr>
        <w:t>dL</w:t>
      </w:r>
      <w:proofErr w:type="spellEnd"/>
      <w:r>
        <w:rPr>
          <w:rFonts w:asciiTheme="minorHAnsi" w:eastAsiaTheme="minorHAnsi" w:hAnsiTheme="minorHAnsi" w:cs="TimesNewRomanPSMT"/>
        </w:rPr>
        <w:t xml:space="preserve"> (3.36</w:t>
      </w:r>
      <w:r w:rsidR="00DE644C">
        <w:rPr>
          <w:rFonts w:asciiTheme="minorHAnsi" w:eastAsiaTheme="minorHAnsi" w:hAnsiTheme="minorHAnsi" w:cs="TimesNewRomanPSMT"/>
        </w:rPr>
        <w:t xml:space="preserve"> </w:t>
      </w:r>
      <w:proofErr w:type="spellStart"/>
      <w:r>
        <w:rPr>
          <w:rFonts w:asciiTheme="minorHAnsi" w:eastAsiaTheme="minorHAnsi" w:hAnsiTheme="minorHAnsi" w:cs="TimesNewRomanPSMT"/>
        </w:rPr>
        <w:t>mmol</w:t>
      </w:r>
      <w:proofErr w:type="spellEnd"/>
      <w:r>
        <w:rPr>
          <w:rFonts w:asciiTheme="minorHAnsi" w:eastAsiaTheme="minorHAnsi" w:hAnsiTheme="minorHAnsi" w:cs="TimesNewRomanPSMT"/>
        </w:rPr>
        <w:t xml:space="preserve">/L) </w:t>
      </w:r>
      <w:r w:rsidRPr="007C4C4C">
        <w:rPr>
          <w:rFonts w:asciiTheme="minorHAnsi" w:eastAsiaTheme="minorHAnsi" w:hAnsiTheme="minorHAnsi" w:cs="TimesNewRomanPSMT"/>
        </w:rPr>
        <w:t>compared to only 2 (7%) of 30 subjects in the placebo group. Of the 13 subjects in the</w:t>
      </w:r>
      <w:r>
        <w:rPr>
          <w:rFonts w:asciiTheme="minorHAnsi" w:eastAsiaTheme="minorHAnsi" w:hAnsiTheme="minorHAnsi" w:cs="TimesNewRomanPSMT"/>
        </w:rPr>
        <w:t xml:space="preserve"> </w:t>
      </w:r>
      <w:r w:rsidRPr="007C4C4C">
        <w:rPr>
          <w:rFonts w:asciiTheme="minorHAnsi" w:eastAsiaTheme="minorHAnsi" w:hAnsiTheme="minorHAnsi" w:cs="TimesNewRomanPSMT"/>
        </w:rPr>
        <w:t xml:space="preserve">SA group with LDL levels </w:t>
      </w:r>
      <w:r w:rsidR="00A87AAC">
        <w:rPr>
          <w:rFonts w:asciiTheme="minorHAnsi" w:eastAsiaTheme="minorHAnsi" w:hAnsiTheme="minorHAnsi" w:cs="TimesNewRomanPSMT"/>
        </w:rPr>
        <w:t xml:space="preserve">&lt; </w:t>
      </w:r>
      <w:r w:rsidRPr="007C4C4C">
        <w:rPr>
          <w:rFonts w:asciiTheme="minorHAnsi" w:eastAsiaTheme="minorHAnsi" w:hAnsiTheme="minorHAnsi" w:cs="TimesNewRomanPSMT"/>
        </w:rPr>
        <w:t>130 mg/</w:t>
      </w:r>
      <w:proofErr w:type="spellStart"/>
      <w:r w:rsidRPr="007C4C4C">
        <w:rPr>
          <w:rFonts w:asciiTheme="minorHAnsi" w:eastAsiaTheme="minorHAnsi" w:hAnsiTheme="minorHAnsi" w:cs="TimesNewRomanPSMT"/>
        </w:rPr>
        <w:t>dL</w:t>
      </w:r>
      <w:proofErr w:type="spellEnd"/>
      <w:r w:rsidRPr="007C4C4C">
        <w:rPr>
          <w:rFonts w:asciiTheme="minorHAnsi" w:eastAsiaTheme="minorHAnsi" w:hAnsiTheme="minorHAnsi" w:cs="TimesNewRomanPSMT"/>
        </w:rPr>
        <w:t xml:space="preserve"> </w:t>
      </w:r>
      <w:proofErr w:type="gramStart"/>
      <w:r>
        <w:rPr>
          <w:rFonts w:asciiTheme="minorHAnsi" w:eastAsiaTheme="minorHAnsi" w:hAnsiTheme="minorHAnsi" w:cs="TimesNewRomanPSMT"/>
        </w:rPr>
        <w:t>(3.36</w:t>
      </w:r>
      <w:r w:rsidR="00DE644C">
        <w:rPr>
          <w:rFonts w:asciiTheme="minorHAnsi" w:eastAsiaTheme="minorHAnsi" w:hAnsiTheme="minorHAnsi" w:cs="TimesNewRomanPSMT"/>
        </w:rPr>
        <w:t xml:space="preserve"> </w:t>
      </w:r>
      <w:proofErr w:type="spellStart"/>
      <w:r>
        <w:rPr>
          <w:rFonts w:asciiTheme="minorHAnsi" w:eastAsiaTheme="minorHAnsi" w:hAnsiTheme="minorHAnsi" w:cs="TimesNewRomanPSMT"/>
        </w:rPr>
        <w:t>mmol</w:t>
      </w:r>
      <w:proofErr w:type="spellEnd"/>
      <w:r>
        <w:rPr>
          <w:rFonts w:asciiTheme="minorHAnsi" w:eastAsiaTheme="minorHAnsi" w:hAnsiTheme="minorHAnsi" w:cs="TimesNewRomanPSMT"/>
        </w:rPr>
        <w:t>/L)</w:t>
      </w:r>
      <w:proofErr w:type="gramEnd"/>
      <w:r>
        <w:rPr>
          <w:rFonts w:asciiTheme="minorHAnsi" w:eastAsiaTheme="minorHAnsi" w:hAnsiTheme="minorHAnsi" w:cs="TimesNewRomanPSMT"/>
        </w:rPr>
        <w:t xml:space="preserve"> </w:t>
      </w:r>
      <w:r w:rsidRPr="007C4C4C">
        <w:rPr>
          <w:rFonts w:asciiTheme="minorHAnsi" w:eastAsiaTheme="minorHAnsi" w:hAnsiTheme="minorHAnsi" w:cs="TimesNewRomanPSMT"/>
        </w:rPr>
        <w:t xml:space="preserve">at the end of the </w:t>
      </w:r>
      <w:r w:rsidR="003F3AB4">
        <w:rPr>
          <w:rFonts w:asciiTheme="minorHAnsi" w:eastAsiaTheme="minorHAnsi" w:hAnsiTheme="minorHAnsi" w:cs="TimesNewRomanPSMT"/>
        </w:rPr>
        <w:t>double blind</w:t>
      </w:r>
      <w:r w:rsidRPr="007C4C4C">
        <w:rPr>
          <w:rFonts w:asciiTheme="minorHAnsi" w:eastAsiaTheme="minorHAnsi" w:hAnsiTheme="minorHAnsi" w:cs="TimesNewRomanPSMT"/>
        </w:rPr>
        <w:t xml:space="preserve"> period, 7 were</w:t>
      </w:r>
      <w:r>
        <w:rPr>
          <w:rFonts w:asciiTheme="minorHAnsi" w:eastAsiaTheme="minorHAnsi" w:hAnsiTheme="minorHAnsi" w:cs="TimesNewRomanPSMT"/>
        </w:rPr>
        <w:t xml:space="preserve"> </w:t>
      </w:r>
      <w:r w:rsidRPr="007C4C4C">
        <w:rPr>
          <w:rFonts w:asciiTheme="minorHAnsi" w:eastAsiaTheme="minorHAnsi" w:hAnsiTheme="minorHAnsi" w:cs="TimesNewRomanPSMT"/>
        </w:rPr>
        <w:t xml:space="preserve">receiving LLM. Seven subjects in the SA group had LDL-c levels </w:t>
      </w:r>
      <w:r w:rsidR="00B73619">
        <w:rPr>
          <w:rFonts w:asciiTheme="minorHAnsi" w:eastAsiaTheme="minorHAnsi" w:hAnsiTheme="minorHAnsi" w:cs="TimesNewRomanPSMT"/>
        </w:rPr>
        <w:t>&gt;</w:t>
      </w:r>
      <w:r w:rsidR="00CC672B">
        <w:rPr>
          <w:rFonts w:asciiTheme="minorHAnsi" w:eastAsiaTheme="minorHAnsi" w:hAnsiTheme="minorHAnsi" w:cs="TimesNewRomanPSMT"/>
        </w:rPr>
        <w:t xml:space="preserve"> </w:t>
      </w:r>
      <w:r w:rsidRPr="007C4C4C">
        <w:rPr>
          <w:rFonts w:asciiTheme="minorHAnsi" w:eastAsiaTheme="minorHAnsi" w:hAnsiTheme="minorHAnsi" w:cs="TimesNewRomanPSMT"/>
        </w:rPr>
        <w:t>190 mg/</w:t>
      </w:r>
      <w:proofErr w:type="spellStart"/>
      <w:r w:rsidRPr="007C4C4C">
        <w:rPr>
          <w:rFonts w:asciiTheme="minorHAnsi" w:eastAsiaTheme="minorHAnsi" w:hAnsiTheme="minorHAnsi" w:cs="TimesNewRomanPSMT"/>
        </w:rPr>
        <w:t>dL</w:t>
      </w:r>
      <w:proofErr w:type="spellEnd"/>
      <w:r w:rsidRPr="007C4C4C">
        <w:rPr>
          <w:rFonts w:asciiTheme="minorHAnsi" w:eastAsiaTheme="minorHAnsi" w:hAnsiTheme="minorHAnsi" w:cs="TimesNewRomanPSMT"/>
        </w:rPr>
        <w:t xml:space="preserve"> </w:t>
      </w:r>
      <w:proofErr w:type="gramStart"/>
      <w:r>
        <w:rPr>
          <w:rFonts w:asciiTheme="minorHAnsi" w:eastAsiaTheme="minorHAnsi" w:hAnsiTheme="minorHAnsi" w:cs="TimesNewRomanPSMT"/>
        </w:rPr>
        <w:t>(4.91</w:t>
      </w:r>
      <w:r w:rsidR="00DE644C">
        <w:rPr>
          <w:rFonts w:asciiTheme="minorHAnsi" w:eastAsiaTheme="minorHAnsi" w:hAnsiTheme="minorHAnsi" w:cs="TimesNewRomanPSMT"/>
        </w:rPr>
        <w:t xml:space="preserve"> </w:t>
      </w:r>
      <w:proofErr w:type="spellStart"/>
      <w:r>
        <w:rPr>
          <w:rFonts w:asciiTheme="minorHAnsi" w:eastAsiaTheme="minorHAnsi" w:hAnsiTheme="minorHAnsi" w:cs="TimesNewRomanPSMT"/>
        </w:rPr>
        <w:t>mmol</w:t>
      </w:r>
      <w:proofErr w:type="spellEnd"/>
      <w:r>
        <w:rPr>
          <w:rFonts w:asciiTheme="minorHAnsi" w:eastAsiaTheme="minorHAnsi" w:hAnsiTheme="minorHAnsi" w:cs="TimesNewRomanPSMT"/>
        </w:rPr>
        <w:t>/L)</w:t>
      </w:r>
      <w:proofErr w:type="gramEnd"/>
      <w:r>
        <w:rPr>
          <w:rFonts w:asciiTheme="minorHAnsi" w:eastAsiaTheme="minorHAnsi" w:hAnsiTheme="minorHAnsi" w:cs="TimesNewRomanPSMT"/>
        </w:rPr>
        <w:t xml:space="preserve"> </w:t>
      </w:r>
      <w:r w:rsidRPr="007C4C4C">
        <w:rPr>
          <w:rFonts w:asciiTheme="minorHAnsi" w:eastAsiaTheme="minorHAnsi" w:hAnsiTheme="minorHAnsi" w:cs="TimesNewRomanPSMT"/>
        </w:rPr>
        <w:t>at the end</w:t>
      </w:r>
      <w:r>
        <w:rPr>
          <w:rFonts w:asciiTheme="minorHAnsi" w:eastAsiaTheme="minorHAnsi" w:hAnsiTheme="minorHAnsi" w:cs="TimesNewRomanPSMT"/>
        </w:rPr>
        <w:t xml:space="preserve"> </w:t>
      </w:r>
      <w:r w:rsidRPr="007C4C4C">
        <w:rPr>
          <w:rFonts w:asciiTheme="minorHAnsi" w:eastAsiaTheme="minorHAnsi" w:hAnsiTheme="minorHAnsi" w:cs="TimesNewRomanPSMT"/>
        </w:rPr>
        <w:t xml:space="preserve">of the </w:t>
      </w:r>
      <w:r w:rsidR="003F3AB4">
        <w:rPr>
          <w:rFonts w:asciiTheme="minorHAnsi" w:eastAsiaTheme="minorHAnsi" w:hAnsiTheme="minorHAnsi" w:cs="TimesNewRomanPSMT"/>
        </w:rPr>
        <w:t>double blind</w:t>
      </w:r>
      <w:r w:rsidRPr="007C4C4C">
        <w:rPr>
          <w:rFonts w:asciiTheme="minorHAnsi" w:eastAsiaTheme="minorHAnsi" w:hAnsiTheme="minorHAnsi" w:cs="TimesNewRomanPSMT"/>
        </w:rPr>
        <w:t xml:space="preserve"> period and 6 of these 7 were not receiving concomitant LLM. In the</w:t>
      </w:r>
      <w:r>
        <w:rPr>
          <w:rFonts w:asciiTheme="minorHAnsi" w:eastAsiaTheme="minorHAnsi" w:hAnsiTheme="minorHAnsi" w:cs="TimesNewRomanPSMT"/>
        </w:rPr>
        <w:t xml:space="preserve"> </w:t>
      </w:r>
      <w:r w:rsidRPr="007C4C4C">
        <w:rPr>
          <w:rFonts w:asciiTheme="minorHAnsi" w:eastAsiaTheme="minorHAnsi" w:hAnsiTheme="minorHAnsi" w:cs="TimesNewRomanPSMT"/>
        </w:rPr>
        <w:t xml:space="preserve">placebo group, 17 subjects had LDL-c levels </w:t>
      </w:r>
      <w:r w:rsidR="00B73619">
        <w:rPr>
          <w:rFonts w:asciiTheme="minorHAnsi" w:eastAsiaTheme="minorHAnsi" w:hAnsiTheme="minorHAnsi" w:cs="TimesNewRomanPSMT"/>
        </w:rPr>
        <w:t>&gt;</w:t>
      </w:r>
      <w:r w:rsidR="00CC672B">
        <w:rPr>
          <w:rFonts w:asciiTheme="minorHAnsi" w:eastAsiaTheme="minorHAnsi" w:hAnsiTheme="minorHAnsi" w:cs="TimesNewRomanPSMT"/>
        </w:rPr>
        <w:t xml:space="preserve"> </w:t>
      </w:r>
      <w:r w:rsidRPr="007C4C4C">
        <w:rPr>
          <w:rFonts w:asciiTheme="minorHAnsi" w:eastAsiaTheme="minorHAnsi" w:hAnsiTheme="minorHAnsi" w:cs="TimesNewRomanPSMT"/>
        </w:rPr>
        <w:t>190 mg/</w:t>
      </w:r>
      <w:proofErr w:type="spellStart"/>
      <w:r w:rsidRPr="007C4C4C">
        <w:rPr>
          <w:rFonts w:asciiTheme="minorHAnsi" w:eastAsiaTheme="minorHAnsi" w:hAnsiTheme="minorHAnsi" w:cs="TimesNewRomanPSMT"/>
        </w:rPr>
        <w:t>dL</w:t>
      </w:r>
      <w:proofErr w:type="spellEnd"/>
      <w:r w:rsidRPr="007C4C4C">
        <w:rPr>
          <w:rFonts w:asciiTheme="minorHAnsi" w:eastAsiaTheme="minorHAnsi" w:hAnsiTheme="minorHAnsi" w:cs="TimesNewRomanPSMT"/>
        </w:rPr>
        <w:t xml:space="preserve"> at the end of the </w:t>
      </w:r>
      <w:r w:rsidR="003F3AB4">
        <w:rPr>
          <w:rFonts w:asciiTheme="minorHAnsi" w:eastAsiaTheme="minorHAnsi" w:hAnsiTheme="minorHAnsi" w:cs="TimesNewRomanPSMT"/>
        </w:rPr>
        <w:t>double blind</w:t>
      </w:r>
      <w:r>
        <w:rPr>
          <w:rFonts w:asciiTheme="minorHAnsi" w:eastAsiaTheme="minorHAnsi" w:hAnsiTheme="minorHAnsi" w:cs="TimesNewRomanPSMT"/>
        </w:rPr>
        <w:t xml:space="preserve"> </w:t>
      </w:r>
      <w:r w:rsidRPr="007C4C4C">
        <w:rPr>
          <w:rFonts w:asciiTheme="minorHAnsi" w:eastAsiaTheme="minorHAnsi" w:hAnsiTheme="minorHAnsi" w:cs="TimesNewRomanPSMT"/>
        </w:rPr>
        <w:t>period, of which 13 were not receiving LLM.</w:t>
      </w:r>
      <w:r>
        <w:rPr>
          <w:rFonts w:asciiTheme="minorHAnsi" w:eastAsiaTheme="minorHAnsi" w:hAnsiTheme="minorHAnsi" w:cs="TimesNewRomanPSMT"/>
        </w:rPr>
        <w:t xml:space="preserve"> A statistically significantly </w:t>
      </w:r>
      <w:r w:rsidRPr="008C2375">
        <w:rPr>
          <w:rFonts w:asciiTheme="minorHAnsi" w:eastAsiaTheme="minorHAnsi" w:hAnsiTheme="minorHAnsi" w:cs="TimesNewRomanPSMT"/>
        </w:rPr>
        <w:t>greater mean reduction in non-HDL-c was seen in the SA group</w:t>
      </w:r>
      <w:r>
        <w:rPr>
          <w:rFonts w:asciiTheme="minorHAnsi" w:eastAsiaTheme="minorHAnsi" w:hAnsiTheme="minorHAnsi" w:cs="TimesNewRomanPSMT"/>
        </w:rPr>
        <w:t xml:space="preserve"> </w:t>
      </w:r>
      <w:r w:rsidR="00E57011">
        <w:rPr>
          <w:rFonts w:asciiTheme="minorHAnsi" w:eastAsiaTheme="minorHAnsi" w:hAnsiTheme="minorHAnsi" w:cs="TimesNewRomanPSMT"/>
        </w:rPr>
        <w:t>than in the placebo group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 xml:space="preserve">27.97% </w:t>
      </w:r>
      <w:r w:rsidR="00B866BC">
        <w:rPr>
          <w:rFonts w:asciiTheme="minorHAnsi" w:eastAsiaTheme="minorHAnsi" w:hAnsiTheme="minorHAnsi" w:cs="TimesNewRomanPSMT"/>
        </w:rPr>
        <w:t>versus</w:t>
      </w:r>
      <w:r w:rsidR="00E57011">
        <w:rPr>
          <w:rFonts w:asciiTheme="minorHAnsi" w:eastAsiaTheme="minorHAnsi" w:hAnsiTheme="minorHAnsi" w:cs="TimesNewRomanPSMT"/>
        </w:rPr>
        <w:t xml:space="preserve">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6.94%,</w:t>
      </w:r>
      <w:r>
        <w:rPr>
          <w:rFonts w:asciiTheme="minorHAnsi" w:eastAsiaTheme="minorHAnsi" w:hAnsiTheme="minorHAnsi" w:cs="TimesNewRomanPSMT"/>
        </w:rPr>
        <w:t xml:space="preserve"> diff</w:t>
      </w:r>
      <w:r w:rsidR="00E57011">
        <w:rPr>
          <w:rFonts w:asciiTheme="minorHAnsi" w:eastAsiaTheme="minorHAnsi" w:hAnsiTheme="minorHAnsi" w:cs="TimesNewRomanPSMT"/>
        </w:rPr>
        <w:t> </w:t>
      </w:r>
      <w:r w:rsidR="002D28A4">
        <w:rPr>
          <w:rFonts w:asciiTheme="minorHAnsi" w:eastAsiaTheme="minorHAnsi" w:hAnsiTheme="minorHAnsi" w:cs="TimesNewRomanPSMT"/>
        </w:rPr>
        <w:t xml:space="preserve">=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 xml:space="preserve">21.04% </w:t>
      </w:r>
      <w:r w:rsidR="00E57011">
        <w:rPr>
          <w:rFonts w:asciiTheme="minorHAnsi" w:eastAsiaTheme="minorHAnsi" w:hAnsiTheme="minorHAnsi" w:cs="TimesNewRomanPSMT"/>
        </w:rPr>
        <w:t xml:space="preserve">p </w:t>
      </w:r>
      <w:r w:rsidR="00A87AAC">
        <w:rPr>
          <w:rFonts w:asciiTheme="minorHAnsi" w:eastAsiaTheme="minorHAnsi" w:hAnsiTheme="minorHAnsi" w:cs="TimesNewRomanPSMT"/>
        </w:rPr>
        <w:t xml:space="preserve">&lt; </w:t>
      </w:r>
      <w:r w:rsidR="00E57011">
        <w:rPr>
          <w:rFonts w:asciiTheme="minorHAnsi" w:eastAsiaTheme="minorHAnsi" w:hAnsiTheme="minorHAnsi" w:cs="TimesNewRomanPSMT"/>
        </w:rPr>
        <w:t>0</w:t>
      </w:r>
      <w:r w:rsidRPr="008C2375">
        <w:rPr>
          <w:rFonts w:asciiTheme="minorHAnsi" w:eastAsiaTheme="minorHAnsi" w:hAnsiTheme="minorHAnsi" w:cs="TimesNewRomanPSMT"/>
        </w:rPr>
        <w:t>.0001).</w:t>
      </w:r>
    </w:p>
    <w:p w14:paraId="666FC246" w14:textId="4F8CB65A" w:rsidR="00EA418E" w:rsidRPr="002E43F8" w:rsidRDefault="00EA418E" w:rsidP="00EA418E">
      <w:pPr>
        <w:autoSpaceDE w:val="0"/>
        <w:autoSpaceDN w:val="0"/>
        <w:adjustRightInd w:val="0"/>
        <w:spacing w:before="0" w:line="240" w:lineRule="auto"/>
        <w:rPr>
          <w:rFonts w:asciiTheme="minorHAnsi" w:eastAsiaTheme="minorHAnsi" w:hAnsiTheme="minorHAnsi" w:cs="TimesNewRomanPSMT"/>
          <w:color w:val="000000"/>
        </w:rPr>
      </w:pPr>
      <w:r>
        <w:rPr>
          <w:rFonts w:asciiTheme="minorHAnsi" w:eastAsiaTheme="minorHAnsi" w:hAnsiTheme="minorHAnsi" w:cs="TimesNewRomanPSMT"/>
        </w:rPr>
        <w:t>A</w:t>
      </w:r>
      <w:r w:rsidRPr="008C2375">
        <w:rPr>
          <w:rFonts w:asciiTheme="minorHAnsi" w:eastAsiaTheme="minorHAnsi" w:hAnsiTheme="minorHAnsi" w:cs="TimesNewRomanPSMT"/>
        </w:rPr>
        <w:t xml:space="preserve"> </w:t>
      </w:r>
      <w:r>
        <w:rPr>
          <w:rFonts w:asciiTheme="minorHAnsi" w:eastAsiaTheme="minorHAnsi" w:hAnsiTheme="minorHAnsi" w:cs="TimesNewRomanPSMT"/>
        </w:rPr>
        <w:t xml:space="preserve">statistically significantly </w:t>
      </w:r>
      <w:r w:rsidRPr="008C2375">
        <w:rPr>
          <w:rFonts w:asciiTheme="minorHAnsi" w:eastAsiaTheme="minorHAnsi" w:hAnsiTheme="minorHAnsi" w:cs="TimesNewRomanPSMT"/>
        </w:rPr>
        <w:t>greater proporti</w:t>
      </w:r>
      <w:r>
        <w:rPr>
          <w:rFonts w:asciiTheme="minorHAnsi" w:eastAsiaTheme="minorHAnsi" w:hAnsiTheme="minorHAnsi" w:cs="TimesNewRomanPSMT"/>
        </w:rPr>
        <w:t xml:space="preserve">on of subjects in the SA group </w:t>
      </w:r>
      <w:r w:rsidRPr="008C2375">
        <w:rPr>
          <w:rFonts w:asciiTheme="minorHAnsi" w:eastAsiaTheme="minorHAnsi" w:hAnsiTheme="minorHAnsi" w:cs="TimesNewRomanPSMT"/>
        </w:rPr>
        <w:t>than in the placebo</w:t>
      </w:r>
      <w:r>
        <w:rPr>
          <w:rFonts w:asciiTheme="minorHAnsi" w:eastAsiaTheme="minorHAnsi" w:hAnsiTheme="minorHAnsi" w:cs="TimesNewRomanPSMT"/>
        </w:rPr>
        <w:t xml:space="preserve"> </w:t>
      </w:r>
      <w:r w:rsidRPr="008C2375">
        <w:rPr>
          <w:rFonts w:asciiTheme="minorHAnsi" w:eastAsiaTheme="minorHAnsi" w:hAnsiTheme="minorHAnsi" w:cs="TimesNewRomanPSMT"/>
        </w:rPr>
        <w:t xml:space="preserve">group experienced normalisation in AST by the last time point in the </w:t>
      </w:r>
      <w:r w:rsidR="003F3AB4">
        <w:rPr>
          <w:rFonts w:asciiTheme="minorHAnsi" w:eastAsiaTheme="minorHAnsi" w:hAnsiTheme="minorHAnsi" w:cs="TimesNewRomanPSMT"/>
        </w:rPr>
        <w:t>double blind</w:t>
      </w:r>
      <w:r w:rsidRPr="008C2375">
        <w:rPr>
          <w:rFonts w:asciiTheme="minorHAnsi" w:eastAsiaTheme="minorHAnsi" w:hAnsiTheme="minorHAnsi" w:cs="TimesNewRomanPSMT"/>
        </w:rPr>
        <w:t xml:space="preserve"> period</w:t>
      </w:r>
      <w:r>
        <w:rPr>
          <w:rFonts w:asciiTheme="minorHAnsi" w:eastAsiaTheme="minorHAnsi" w:hAnsiTheme="minorHAnsi" w:cs="TimesNewRomanPSMT"/>
        </w:rPr>
        <w:t xml:space="preserve"> </w:t>
      </w:r>
      <w:r w:rsidRPr="008C2375">
        <w:rPr>
          <w:rFonts w:asciiTheme="minorHAnsi" w:eastAsiaTheme="minorHAnsi" w:hAnsiTheme="minorHAnsi" w:cs="TimesNewRomanPSMT"/>
        </w:rPr>
        <w:t>(</w:t>
      </w:r>
      <w:r>
        <w:rPr>
          <w:rFonts w:asciiTheme="minorHAnsi" w:eastAsiaTheme="minorHAnsi" w:hAnsiTheme="minorHAnsi" w:cs="TimesNewRomanPSMT"/>
        </w:rPr>
        <w:t xml:space="preserve">42% </w:t>
      </w:r>
      <w:r w:rsidR="00B866BC">
        <w:rPr>
          <w:rFonts w:asciiTheme="minorHAnsi" w:eastAsiaTheme="minorHAnsi" w:hAnsiTheme="minorHAnsi" w:cs="TimesNewRomanPSMT"/>
        </w:rPr>
        <w:t>versus</w:t>
      </w:r>
      <w:r>
        <w:rPr>
          <w:rFonts w:asciiTheme="minorHAnsi" w:eastAsiaTheme="minorHAnsi" w:hAnsiTheme="minorHAnsi" w:cs="TimesNewRomanPSMT"/>
        </w:rPr>
        <w:t xml:space="preserve"> </w:t>
      </w:r>
      <w:r w:rsidRPr="008C2375">
        <w:rPr>
          <w:rFonts w:asciiTheme="minorHAnsi" w:eastAsiaTheme="minorHAnsi" w:hAnsiTheme="minorHAnsi" w:cs="TimesNewRomanPSMT"/>
        </w:rPr>
        <w:t>3%</w:t>
      </w:r>
      <w:r>
        <w:rPr>
          <w:rFonts w:asciiTheme="minorHAnsi" w:eastAsiaTheme="minorHAnsi" w:hAnsiTheme="minorHAnsi" w:cs="TimesNewRomanPSMT"/>
        </w:rPr>
        <w:t>, diff</w:t>
      </w:r>
      <w:r w:rsidR="002D28A4">
        <w:rPr>
          <w:rFonts w:asciiTheme="minorHAnsi" w:eastAsiaTheme="minorHAnsi" w:hAnsiTheme="minorHAnsi" w:cs="TimesNewRomanPSMT"/>
        </w:rPr>
        <w:t xml:space="preserve"> =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39% difference</w:t>
      </w:r>
      <w:r>
        <w:rPr>
          <w:rFonts w:asciiTheme="minorHAnsi" w:eastAsiaTheme="minorHAnsi" w:hAnsiTheme="minorHAnsi" w:cs="TimesNewRomanPSMT"/>
        </w:rPr>
        <w:t xml:space="preserve">, </w:t>
      </w:r>
      <w:r w:rsidRPr="008C2375">
        <w:rPr>
          <w:rFonts w:asciiTheme="minorHAnsi" w:eastAsiaTheme="minorHAnsi" w:hAnsiTheme="minorHAnsi" w:cs="TimesNewRomanPSMT"/>
        </w:rPr>
        <w:t>p</w:t>
      </w:r>
      <w:r w:rsidR="002D28A4">
        <w:rPr>
          <w:rFonts w:asciiTheme="minorHAnsi" w:eastAsiaTheme="minorHAnsi" w:hAnsiTheme="minorHAnsi" w:cs="TimesNewRomanPSMT"/>
        </w:rPr>
        <w:t xml:space="preserve"> = </w:t>
      </w:r>
      <w:r w:rsidRPr="008C2375">
        <w:rPr>
          <w:rFonts w:asciiTheme="minorHAnsi" w:eastAsiaTheme="minorHAnsi" w:hAnsiTheme="minorHAnsi" w:cs="TimesNewRomanPSMT"/>
        </w:rPr>
        <w:t xml:space="preserve">0.0003). </w:t>
      </w:r>
      <w:r w:rsidRPr="007C4C4C">
        <w:rPr>
          <w:rFonts w:asciiTheme="minorHAnsi" w:eastAsiaTheme="minorHAnsi" w:hAnsiTheme="minorHAnsi" w:cs="TimesNewRomanPSMT"/>
        </w:rPr>
        <w:t>The mean decre</w:t>
      </w:r>
      <w:r w:rsidR="00E57011">
        <w:rPr>
          <w:rFonts w:asciiTheme="minorHAnsi" w:eastAsiaTheme="minorHAnsi" w:hAnsiTheme="minorHAnsi" w:cs="TimesNewRomanPSMT"/>
        </w:rPr>
        <w:t xml:space="preserve">ase in AST in the SA group was </w:t>
      </w:r>
      <w:r w:rsidR="00E57011">
        <w:rPr>
          <w:rFonts w:asciiTheme="minorHAnsi" w:eastAsiaTheme="minorHAnsi" w:hAnsiTheme="minorHAnsi" w:cs="TimesNewRomanPSMT"/>
        </w:rPr>
        <w:noBreakHyphen/>
      </w:r>
      <w:r w:rsidRPr="007C4C4C">
        <w:rPr>
          <w:rFonts w:asciiTheme="minorHAnsi" w:eastAsiaTheme="minorHAnsi" w:hAnsiTheme="minorHAnsi" w:cs="TimesNewRomanPSMT"/>
        </w:rPr>
        <w:t xml:space="preserve">41.9 U/L, representing a mean percent decrease </w:t>
      </w:r>
      <w:r w:rsidR="00DE644C">
        <w:rPr>
          <w:rFonts w:asciiTheme="minorHAnsi" w:eastAsiaTheme="minorHAnsi" w:hAnsiTheme="minorHAnsi" w:cs="TimesNewRomanPSMT"/>
        </w:rPr>
        <w:t>from Baseline</w:t>
      </w:r>
      <w:r w:rsidRPr="007C4C4C">
        <w:rPr>
          <w:rFonts w:asciiTheme="minorHAnsi" w:eastAsiaTheme="minorHAnsi" w:hAnsiTheme="minorHAnsi" w:cs="TimesNewRomanPSMT"/>
        </w:rPr>
        <w:t xml:space="preserve"> to the last time point in the </w:t>
      </w:r>
      <w:r w:rsidR="003F3AB4">
        <w:rPr>
          <w:rFonts w:asciiTheme="minorHAnsi" w:eastAsiaTheme="minorHAnsi" w:hAnsiTheme="minorHAnsi" w:cs="TimesNewRomanPSMT"/>
        </w:rPr>
        <w:t>double blind</w:t>
      </w:r>
      <w:r w:rsidR="00E57011">
        <w:rPr>
          <w:rFonts w:asciiTheme="minorHAnsi" w:eastAsiaTheme="minorHAnsi" w:hAnsiTheme="minorHAnsi" w:cs="TimesNewRomanPSMT"/>
        </w:rPr>
        <w:t xml:space="preserve"> period of </w:t>
      </w:r>
      <w:r w:rsidR="00E57011">
        <w:rPr>
          <w:rFonts w:asciiTheme="minorHAnsi" w:eastAsiaTheme="minorHAnsi" w:hAnsiTheme="minorHAnsi" w:cs="TimesNewRomanPSMT"/>
        </w:rPr>
        <w:noBreakHyphen/>
        <w:t xml:space="preserve">44% compared with </w:t>
      </w:r>
      <w:r w:rsidR="00E57011">
        <w:rPr>
          <w:rFonts w:asciiTheme="minorHAnsi" w:eastAsiaTheme="minorHAnsi" w:hAnsiTheme="minorHAnsi" w:cs="TimesNewRomanPSMT"/>
        </w:rPr>
        <w:noBreakHyphen/>
      </w:r>
      <w:r w:rsidRPr="007C4C4C">
        <w:rPr>
          <w:rFonts w:asciiTheme="minorHAnsi" w:eastAsiaTheme="minorHAnsi" w:hAnsiTheme="minorHAnsi" w:cs="TimesNewRomanPSMT"/>
        </w:rPr>
        <w:t>7% decrease in the placebo group. Similar to findings for ALT, AST normalisation was seen over a broad range of baseline</w:t>
      </w:r>
      <w:r>
        <w:rPr>
          <w:rFonts w:asciiTheme="minorHAnsi" w:eastAsiaTheme="minorHAnsi" w:hAnsiTheme="minorHAnsi" w:cs="TimesNewRomanPSMT"/>
        </w:rPr>
        <w:t xml:space="preserve"> </w:t>
      </w:r>
      <w:r w:rsidRPr="007C4C4C">
        <w:rPr>
          <w:rFonts w:asciiTheme="minorHAnsi" w:eastAsiaTheme="minorHAnsi" w:hAnsiTheme="minorHAnsi" w:cs="TimesNewRomanPSMT"/>
        </w:rPr>
        <w:t xml:space="preserve">AST levels in the SA group </w:t>
      </w:r>
      <w:proofErr w:type="gramStart"/>
      <w:r w:rsidRPr="007C4C4C">
        <w:rPr>
          <w:rFonts w:asciiTheme="minorHAnsi" w:eastAsiaTheme="minorHAnsi" w:hAnsiTheme="minorHAnsi" w:cs="TimesNewRomanPSMT"/>
        </w:rPr>
        <w:t>(41 to 149 U/L)</w:t>
      </w:r>
      <w:proofErr w:type="gramEnd"/>
      <w:r w:rsidRPr="007C4C4C">
        <w:rPr>
          <w:rFonts w:asciiTheme="minorHAnsi" w:eastAsiaTheme="minorHAnsi" w:hAnsiTheme="minorHAnsi" w:cs="TimesNewRomanPSMT"/>
        </w:rPr>
        <w:t>, whereas AST normalisation in the placebo</w:t>
      </w:r>
      <w:r>
        <w:rPr>
          <w:rFonts w:asciiTheme="minorHAnsi" w:eastAsiaTheme="minorHAnsi" w:hAnsiTheme="minorHAnsi" w:cs="TimesNewRomanPSMT"/>
        </w:rPr>
        <w:t xml:space="preserve"> </w:t>
      </w:r>
      <w:r w:rsidR="00E57011">
        <w:rPr>
          <w:rFonts w:asciiTheme="minorHAnsi" w:eastAsiaTheme="minorHAnsi" w:hAnsiTheme="minorHAnsi" w:cs="TimesNewRomanPSMT"/>
        </w:rPr>
        <w:t>group was only seen in 2 </w:t>
      </w:r>
      <w:r w:rsidRPr="007C4C4C">
        <w:rPr>
          <w:rFonts w:asciiTheme="minorHAnsi" w:eastAsiaTheme="minorHAnsi" w:hAnsiTheme="minorHAnsi" w:cs="TimesNewRomanPSMT"/>
        </w:rPr>
        <w:t>subjects with low baseline AST levels</w:t>
      </w:r>
      <w:r>
        <w:rPr>
          <w:rFonts w:asciiTheme="minorHAnsi" w:eastAsiaTheme="minorHAnsi" w:hAnsiTheme="minorHAnsi" w:cs="TimesNewRomanPSMT"/>
        </w:rPr>
        <w:t xml:space="preserve"> (</w:t>
      </w:r>
      <w:r w:rsidRPr="007C4C4C">
        <w:rPr>
          <w:rFonts w:asciiTheme="minorHAnsi" w:eastAsiaTheme="minorHAnsi" w:hAnsiTheme="minorHAnsi" w:cs="TimesNewRomanPSMT"/>
        </w:rPr>
        <w:t xml:space="preserve">of 61 </w:t>
      </w:r>
      <w:r>
        <w:rPr>
          <w:rFonts w:asciiTheme="minorHAnsi" w:eastAsiaTheme="minorHAnsi" w:hAnsiTheme="minorHAnsi" w:cs="TimesNewRomanPSMT"/>
        </w:rPr>
        <w:t>and 39</w:t>
      </w:r>
      <w:r w:rsidR="00DE644C">
        <w:rPr>
          <w:rFonts w:asciiTheme="minorHAnsi" w:eastAsiaTheme="minorHAnsi" w:hAnsiTheme="minorHAnsi" w:cs="TimesNewRomanPSMT"/>
        </w:rPr>
        <w:t xml:space="preserve"> </w:t>
      </w:r>
      <w:r w:rsidRPr="007C4C4C">
        <w:rPr>
          <w:rFonts w:asciiTheme="minorHAnsi" w:eastAsiaTheme="minorHAnsi" w:hAnsiTheme="minorHAnsi" w:cs="TimesNewRomanPSMT"/>
        </w:rPr>
        <w:t>U/</w:t>
      </w:r>
      <w:r w:rsidR="001B7A56" w:rsidRPr="007C4C4C">
        <w:rPr>
          <w:rFonts w:asciiTheme="minorHAnsi" w:eastAsiaTheme="minorHAnsi" w:hAnsiTheme="minorHAnsi" w:cs="TimesNewRomanPSMT"/>
        </w:rPr>
        <w:t>L)</w:t>
      </w:r>
      <w:r>
        <w:rPr>
          <w:rFonts w:asciiTheme="minorHAnsi" w:eastAsiaTheme="minorHAnsi" w:hAnsiTheme="minorHAnsi" w:cs="TimesNewRomanPSMT"/>
        </w:rPr>
        <w:t>.</w:t>
      </w:r>
      <w:r w:rsidRPr="00175864">
        <w:rPr>
          <w:rFonts w:ascii="TimesNewRomanPSMT" w:eastAsiaTheme="minorHAnsi" w:hAnsi="TimesNewRomanPSMT" w:cs="TimesNewRomanPSMT"/>
          <w:color w:val="000000"/>
          <w:sz w:val="24"/>
          <w:szCs w:val="24"/>
        </w:rPr>
        <w:t xml:space="preserve"> </w:t>
      </w:r>
      <w:r w:rsidRPr="00175864">
        <w:rPr>
          <w:rFonts w:asciiTheme="minorHAnsi" w:eastAsiaTheme="minorHAnsi" w:hAnsiTheme="minorHAnsi" w:cs="TimesNewRomanPSMT"/>
          <w:color w:val="000000"/>
        </w:rPr>
        <w:t>Across time points in th</w:t>
      </w:r>
      <w:r>
        <w:rPr>
          <w:rFonts w:asciiTheme="minorHAnsi" w:eastAsiaTheme="minorHAnsi" w:hAnsiTheme="minorHAnsi" w:cs="TimesNewRomanPSMT"/>
          <w:color w:val="000000"/>
        </w:rPr>
        <w:t xml:space="preserve">e </w:t>
      </w:r>
      <w:r w:rsidR="003F3AB4">
        <w:rPr>
          <w:rFonts w:asciiTheme="minorHAnsi" w:eastAsiaTheme="minorHAnsi" w:hAnsiTheme="minorHAnsi" w:cs="TimesNewRomanPSMT"/>
          <w:color w:val="000000"/>
        </w:rPr>
        <w:t>double blind</w:t>
      </w:r>
      <w:r>
        <w:rPr>
          <w:rFonts w:asciiTheme="minorHAnsi" w:eastAsiaTheme="minorHAnsi" w:hAnsiTheme="minorHAnsi" w:cs="TimesNewRomanPSMT"/>
          <w:color w:val="000000"/>
        </w:rPr>
        <w:t xml:space="preserve"> period, 15% (5/</w:t>
      </w:r>
      <w:r w:rsidRPr="00175864">
        <w:rPr>
          <w:rFonts w:asciiTheme="minorHAnsi" w:eastAsiaTheme="minorHAnsi" w:hAnsiTheme="minorHAnsi" w:cs="TimesNewRomanPSMT"/>
          <w:color w:val="000000"/>
        </w:rPr>
        <w:t>34), 34% (11</w:t>
      </w:r>
      <w:r>
        <w:rPr>
          <w:rFonts w:asciiTheme="minorHAnsi" w:eastAsiaTheme="minorHAnsi" w:hAnsiTheme="minorHAnsi" w:cs="TimesNewRomanPSMT"/>
          <w:color w:val="000000"/>
        </w:rPr>
        <w:t>/</w:t>
      </w:r>
      <w:r w:rsidRPr="00175864">
        <w:rPr>
          <w:rFonts w:asciiTheme="minorHAnsi" w:eastAsiaTheme="minorHAnsi" w:hAnsiTheme="minorHAnsi" w:cs="TimesNewRomanPSMT"/>
          <w:color w:val="000000"/>
        </w:rPr>
        <w:t>32), 22% (7</w:t>
      </w:r>
      <w:r>
        <w:rPr>
          <w:rFonts w:asciiTheme="minorHAnsi" w:eastAsiaTheme="minorHAnsi" w:hAnsiTheme="minorHAnsi" w:cs="TimesNewRomanPSMT"/>
          <w:color w:val="000000"/>
        </w:rPr>
        <w:t>/</w:t>
      </w:r>
      <w:r w:rsidRPr="00175864">
        <w:rPr>
          <w:rFonts w:asciiTheme="minorHAnsi" w:eastAsiaTheme="minorHAnsi" w:hAnsiTheme="minorHAnsi" w:cs="TimesNewRomanPSMT"/>
          <w:color w:val="000000"/>
        </w:rPr>
        <w:t>32), 26% (9</w:t>
      </w:r>
      <w:r>
        <w:rPr>
          <w:rFonts w:asciiTheme="minorHAnsi" w:eastAsiaTheme="minorHAnsi" w:hAnsiTheme="minorHAnsi" w:cs="TimesNewRomanPSMT"/>
          <w:color w:val="000000"/>
        </w:rPr>
        <w:t>/</w:t>
      </w:r>
      <w:r w:rsidRPr="00175864">
        <w:rPr>
          <w:rFonts w:asciiTheme="minorHAnsi" w:eastAsiaTheme="minorHAnsi" w:hAnsiTheme="minorHAnsi" w:cs="TimesNewRomanPSMT"/>
          <w:color w:val="000000"/>
        </w:rPr>
        <w:t>35), 41% (13</w:t>
      </w:r>
      <w:r>
        <w:rPr>
          <w:rFonts w:asciiTheme="minorHAnsi" w:eastAsiaTheme="minorHAnsi" w:hAnsiTheme="minorHAnsi" w:cs="TimesNewRomanPSMT"/>
          <w:color w:val="000000"/>
        </w:rPr>
        <w:t>/</w:t>
      </w:r>
      <w:r w:rsidRPr="00175864">
        <w:rPr>
          <w:rFonts w:asciiTheme="minorHAnsi" w:eastAsiaTheme="minorHAnsi" w:hAnsiTheme="minorHAnsi" w:cs="TimesNewRomanPSMT"/>
          <w:color w:val="000000"/>
        </w:rPr>
        <w:t>32), 32% (11</w:t>
      </w:r>
      <w:r>
        <w:rPr>
          <w:rFonts w:asciiTheme="minorHAnsi" w:eastAsiaTheme="minorHAnsi" w:hAnsiTheme="minorHAnsi" w:cs="TimesNewRomanPSMT"/>
          <w:color w:val="000000"/>
        </w:rPr>
        <w:t>/</w:t>
      </w:r>
      <w:r w:rsidRPr="00175864">
        <w:rPr>
          <w:rFonts w:asciiTheme="minorHAnsi" w:eastAsiaTheme="minorHAnsi" w:hAnsiTheme="minorHAnsi" w:cs="TimesNewRomanPSMT"/>
          <w:color w:val="000000"/>
        </w:rPr>
        <w:t xml:space="preserve">34), </w:t>
      </w:r>
      <w:r w:rsidRPr="00175864">
        <w:rPr>
          <w:rFonts w:asciiTheme="minorHAnsi" w:eastAsiaTheme="minorHAnsi" w:hAnsiTheme="minorHAnsi" w:cs="TimesNewRomanPSMT"/>
          <w:color w:val="000000"/>
        </w:rPr>
        <w:lastRenderedPageBreak/>
        <w:t>42%(14</w:t>
      </w:r>
      <w:r>
        <w:rPr>
          <w:rFonts w:asciiTheme="minorHAnsi" w:eastAsiaTheme="minorHAnsi" w:hAnsiTheme="minorHAnsi" w:cs="TimesNewRomanPSMT"/>
          <w:color w:val="000000"/>
        </w:rPr>
        <w:t>/</w:t>
      </w:r>
      <w:r w:rsidRPr="00175864">
        <w:rPr>
          <w:rFonts w:asciiTheme="minorHAnsi" w:eastAsiaTheme="minorHAnsi" w:hAnsiTheme="minorHAnsi" w:cs="TimesNewRomanPSMT"/>
          <w:color w:val="000000"/>
        </w:rPr>
        <w:t>33), and 42% (15</w:t>
      </w:r>
      <w:r>
        <w:rPr>
          <w:rFonts w:asciiTheme="minorHAnsi" w:eastAsiaTheme="minorHAnsi" w:hAnsiTheme="minorHAnsi" w:cs="TimesNewRomanPSMT"/>
          <w:color w:val="000000"/>
        </w:rPr>
        <w:t>/</w:t>
      </w:r>
      <w:r w:rsidRPr="00175864">
        <w:rPr>
          <w:rFonts w:asciiTheme="minorHAnsi" w:eastAsiaTheme="minorHAnsi" w:hAnsiTheme="minorHAnsi" w:cs="TimesNewRomanPSMT"/>
          <w:color w:val="000000"/>
        </w:rPr>
        <w:t>36) at Weeks 2, 4, 6, 10, 14, 18, and 20 and at the last time</w:t>
      </w:r>
      <w:r>
        <w:rPr>
          <w:rFonts w:asciiTheme="minorHAnsi" w:eastAsiaTheme="minorHAnsi" w:hAnsiTheme="minorHAnsi" w:cs="TimesNewRomanPSMT"/>
          <w:color w:val="000000"/>
        </w:rPr>
        <w:t xml:space="preserve"> </w:t>
      </w:r>
      <w:r w:rsidRPr="00175864">
        <w:rPr>
          <w:rFonts w:asciiTheme="minorHAnsi" w:eastAsiaTheme="minorHAnsi" w:hAnsiTheme="minorHAnsi" w:cs="TimesNewRomanPSMT"/>
          <w:color w:val="000000"/>
        </w:rPr>
        <w:t xml:space="preserve">point in the </w:t>
      </w:r>
      <w:r w:rsidR="003F3AB4">
        <w:rPr>
          <w:rFonts w:asciiTheme="minorHAnsi" w:eastAsiaTheme="minorHAnsi" w:hAnsiTheme="minorHAnsi" w:cs="TimesNewRomanPSMT"/>
          <w:color w:val="000000"/>
        </w:rPr>
        <w:t>double blind</w:t>
      </w:r>
      <w:r>
        <w:rPr>
          <w:rFonts w:asciiTheme="minorHAnsi" w:eastAsiaTheme="minorHAnsi" w:hAnsiTheme="minorHAnsi" w:cs="TimesNewRomanPSMT"/>
          <w:color w:val="000000"/>
        </w:rPr>
        <w:t xml:space="preserve"> period, respectively</w:t>
      </w:r>
      <w:r w:rsidRPr="00175864">
        <w:rPr>
          <w:rFonts w:asciiTheme="minorHAnsi" w:eastAsiaTheme="minorHAnsi" w:hAnsiTheme="minorHAnsi" w:cs="TimesNewRomanPSMT"/>
          <w:color w:val="000000"/>
        </w:rPr>
        <w:t>. In contrast, ≤ 10% of</w:t>
      </w:r>
      <w:r>
        <w:rPr>
          <w:rFonts w:asciiTheme="minorHAnsi" w:eastAsiaTheme="minorHAnsi" w:hAnsiTheme="minorHAnsi" w:cs="TimesNewRomanPSMT"/>
          <w:color w:val="000000"/>
        </w:rPr>
        <w:t xml:space="preserve"> </w:t>
      </w:r>
      <w:r w:rsidRPr="00175864">
        <w:rPr>
          <w:rFonts w:asciiTheme="minorHAnsi" w:eastAsiaTheme="minorHAnsi" w:hAnsiTheme="minorHAnsi" w:cs="TimesNewRomanPSMT"/>
          <w:color w:val="000000"/>
        </w:rPr>
        <w:t>subjects in the placebo group had AST normalisation at any time point.</w:t>
      </w:r>
      <w:r>
        <w:rPr>
          <w:rFonts w:asciiTheme="minorHAnsi" w:eastAsiaTheme="minorHAnsi" w:hAnsiTheme="minorHAnsi" w:cs="TimesNewRomanPSMT"/>
          <w:color w:val="000000"/>
        </w:rPr>
        <w:t xml:space="preserve"> Statistically significant difference from placebo was observed from </w:t>
      </w:r>
      <w:r w:rsidR="002D28A4">
        <w:rPr>
          <w:rFonts w:asciiTheme="minorHAnsi" w:eastAsiaTheme="minorHAnsi" w:hAnsiTheme="minorHAnsi" w:cs="TimesNewRomanPSMT"/>
          <w:color w:val="000000"/>
        </w:rPr>
        <w:t>Week</w:t>
      </w:r>
      <w:r>
        <w:rPr>
          <w:rFonts w:asciiTheme="minorHAnsi" w:eastAsiaTheme="minorHAnsi" w:hAnsiTheme="minorHAnsi" w:cs="TimesNewRomanPSMT"/>
          <w:color w:val="000000"/>
        </w:rPr>
        <w:t xml:space="preserve"> 4 onwards</w:t>
      </w:r>
      <w:r w:rsidRPr="002E43F8">
        <w:rPr>
          <w:rFonts w:asciiTheme="minorHAnsi" w:eastAsiaTheme="minorHAnsi" w:hAnsiTheme="minorHAnsi" w:cs="TimesNewRomanPSMT"/>
          <w:color w:val="000000"/>
        </w:rPr>
        <w:t xml:space="preserve">. </w:t>
      </w:r>
      <w:r w:rsidRPr="002E43F8">
        <w:rPr>
          <w:rFonts w:asciiTheme="minorHAnsi" w:eastAsiaTheme="minorHAnsi" w:hAnsiTheme="minorHAnsi" w:cs="TimesNewRomanPSMT"/>
        </w:rPr>
        <w:t xml:space="preserve">At the last time point in the </w:t>
      </w:r>
      <w:r w:rsidR="003F3AB4">
        <w:rPr>
          <w:rFonts w:asciiTheme="minorHAnsi" w:eastAsiaTheme="minorHAnsi" w:hAnsiTheme="minorHAnsi" w:cs="TimesNewRomanPSMT"/>
        </w:rPr>
        <w:t>double blind</w:t>
      </w:r>
      <w:r w:rsidR="00E57011">
        <w:rPr>
          <w:rFonts w:asciiTheme="minorHAnsi" w:eastAsiaTheme="minorHAnsi" w:hAnsiTheme="minorHAnsi" w:cs="TimesNewRomanPSMT"/>
        </w:rPr>
        <w:t xml:space="preserve"> period, 83% (30 of </w:t>
      </w:r>
      <w:r w:rsidRPr="002E43F8">
        <w:rPr>
          <w:rFonts w:asciiTheme="minorHAnsi" w:eastAsiaTheme="minorHAnsi" w:hAnsiTheme="minorHAnsi" w:cs="TimesNewRomanPSMT"/>
        </w:rPr>
        <w:t>36) of subjects in the SA</w:t>
      </w:r>
      <w:r>
        <w:rPr>
          <w:rFonts w:asciiTheme="minorHAnsi" w:eastAsiaTheme="minorHAnsi" w:hAnsiTheme="minorHAnsi" w:cs="TimesNewRomanPSMT"/>
        </w:rPr>
        <w:t xml:space="preserve"> </w:t>
      </w:r>
      <w:r w:rsidRPr="002E43F8">
        <w:rPr>
          <w:rFonts w:asciiTheme="minorHAnsi" w:eastAsiaTheme="minorHAnsi" w:hAnsiTheme="minorHAnsi" w:cs="TimesNewRomanPSMT"/>
        </w:rPr>
        <w:t xml:space="preserve">group and 43% (13 of 30) of subjects in the placebo group had AST values </w:t>
      </w:r>
      <w:r w:rsidR="00A87AAC">
        <w:rPr>
          <w:rFonts w:asciiTheme="minorHAnsi" w:eastAsiaTheme="minorHAnsi" w:hAnsiTheme="minorHAnsi" w:cs="TimesNewRomanPSMT"/>
        </w:rPr>
        <w:t xml:space="preserve">&lt; </w:t>
      </w:r>
      <w:r w:rsidRPr="002E43F8">
        <w:rPr>
          <w:rFonts w:asciiTheme="minorHAnsi" w:eastAsiaTheme="minorHAnsi" w:hAnsiTheme="minorHAnsi" w:cs="TimesNewRomanPSMT"/>
        </w:rPr>
        <w:t>60 U/L, and</w:t>
      </w:r>
      <w:r>
        <w:rPr>
          <w:rFonts w:asciiTheme="minorHAnsi" w:eastAsiaTheme="minorHAnsi" w:hAnsiTheme="minorHAnsi" w:cs="TimesNewRomanPSMT"/>
        </w:rPr>
        <w:t xml:space="preserve"> </w:t>
      </w:r>
      <w:r w:rsidRPr="002E43F8">
        <w:rPr>
          <w:rFonts w:asciiTheme="minorHAnsi" w:eastAsiaTheme="minorHAnsi" w:hAnsiTheme="minorHAnsi" w:cs="TimesNewRomanPSMT"/>
        </w:rPr>
        <w:t>44% (16 of 36) of subjects in the SA group and 7% (2 of 30) of subjects in the placebo</w:t>
      </w:r>
      <w:r>
        <w:rPr>
          <w:rFonts w:asciiTheme="minorHAnsi" w:eastAsiaTheme="minorHAnsi" w:hAnsiTheme="minorHAnsi" w:cs="TimesNewRomanPSMT"/>
        </w:rPr>
        <w:t xml:space="preserve"> </w:t>
      </w:r>
      <w:r w:rsidRPr="002E43F8">
        <w:rPr>
          <w:rFonts w:asciiTheme="minorHAnsi" w:eastAsiaTheme="minorHAnsi" w:hAnsiTheme="minorHAnsi" w:cs="TimesNewRomanPSMT"/>
        </w:rPr>
        <w:t xml:space="preserve">group had AST values </w:t>
      </w:r>
      <w:r w:rsidR="00A87AAC">
        <w:rPr>
          <w:rFonts w:asciiTheme="minorHAnsi" w:eastAsiaTheme="minorHAnsi" w:hAnsiTheme="minorHAnsi" w:cs="TimesNewRomanPSMT"/>
        </w:rPr>
        <w:t xml:space="preserve">&lt; </w:t>
      </w:r>
      <w:r w:rsidRPr="002E43F8">
        <w:rPr>
          <w:rFonts w:asciiTheme="minorHAnsi" w:eastAsiaTheme="minorHAnsi" w:hAnsiTheme="minorHAnsi" w:cs="TimesNewRomanPSMT"/>
        </w:rPr>
        <w:t>40 U/L.</w:t>
      </w:r>
    </w:p>
    <w:p w14:paraId="687CDA68" w14:textId="77777777" w:rsidR="00B73619" w:rsidRDefault="00EA418E" w:rsidP="00EA418E">
      <w:pPr>
        <w:autoSpaceDE w:val="0"/>
        <w:autoSpaceDN w:val="0"/>
        <w:adjustRightInd w:val="0"/>
        <w:spacing w:before="0" w:line="240" w:lineRule="auto"/>
        <w:rPr>
          <w:rFonts w:asciiTheme="minorHAnsi" w:eastAsiaTheme="minorHAnsi" w:hAnsiTheme="minorHAnsi" w:cs="TimesNewRomanPSMT"/>
        </w:rPr>
      </w:pPr>
      <w:r w:rsidRPr="007C4C4C">
        <w:rPr>
          <w:rFonts w:asciiTheme="minorHAnsi" w:eastAsiaTheme="minorHAnsi" w:hAnsiTheme="minorHAnsi" w:cs="TimesNewRomanPSMT"/>
        </w:rPr>
        <w:t>Of the 36 subjects in the SA group, 7 (19%) achieved both ALT and AST normalisation</w:t>
      </w:r>
      <w:r>
        <w:rPr>
          <w:rFonts w:asciiTheme="minorHAnsi" w:eastAsiaTheme="minorHAnsi" w:hAnsiTheme="minorHAnsi" w:cs="TimesNewRomanPSMT"/>
        </w:rPr>
        <w:t xml:space="preserve"> </w:t>
      </w:r>
      <w:r w:rsidRPr="007C4C4C">
        <w:rPr>
          <w:rFonts w:asciiTheme="minorHAnsi" w:eastAsiaTheme="minorHAnsi" w:hAnsiTheme="minorHAnsi" w:cs="TimesNewRomanPSMT"/>
        </w:rPr>
        <w:t xml:space="preserve">during the </w:t>
      </w:r>
      <w:r w:rsidR="003F3AB4">
        <w:rPr>
          <w:rFonts w:asciiTheme="minorHAnsi" w:eastAsiaTheme="minorHAnsi" w:hAnsiTheme="minorHAnsi" w:cs="TimesNewRomanPSMT"/>
        </w:rPr>
        <w:t>double blind</w:t>
      </w:r>
      <w:r w:rsidRPr="007C4C4C">
        <w:rPr>
          <w:rFonts w:asciiTheme="minorHAnsi" w:eastAsiaTheme="minorHAnsi" w:hAnsiTheme="minorHAnsi" w:cs="TimesNewRomanPSMT"/>
        </w:rPr>
        <w:t xml:space="preserve"> period. No subject in the placebo group achieved both ALT and</w:t>
      </w:r>
      <w:r>
        <w:rPr>
          <w:rFonts w:asciiTheme="minorHAnsi" w:eastAsiaTheme="minorHAnsi" w:hAnsiTheme="minorHAnsi" w:cs="TimesNewRomanPSMT"/>
        </w:rPr>
        <w:t xml:space="preserve"> </w:t>
      </w:r>
      <w:r w:rsidRPr="007C4C4C">
        <w:rPr>
          <w:rFonts w:asciiTheme="minorHAnsi" w:eastAsiaTheme="minorHAnsi" w:hAnsiTheme="minorHAnsi" w:cs="TimesNewRomanPSMT"/>
        </w:rPr>
        <w:t>AST normalisation</w:t>
      </w:r>
      <w:r w:rsidR="00B73619">
        <w:rPr>
          <w:rFonts w:asciiTheme="minorHAnsi" w:eastAsiaTheme="minorHAnsi" w:hAnsiTheme="minorHAnsi" w:cs="TimesNewRomanPSMT"/>
        </w:rPr>
        <w:t>.</w:t>
      </w:r>
    </w:p>
    <w:p w14:paraId="18D3C5F7" w14:textId="26E89A12" w:rsidR="00B73619" w:rsidRDefault="00EA418E" w:rsidP="00EA418E">
      <w:pPr>
        <w:autoSpaceDE w:val="0"/>
        <w:autoSpaceDN w:val="0"/>
        <w:adjustRightInd w:val="0"/>
        <w:spacing w:before="0" w:line="240" w:lineRule="auto"/>
        <w:rPr>
          <w:rFonts w:asciiTheme="minorHAnsi" w:eastAsiaTheme="minorHAnsi" w:hAnsiTheme="minorHAnsi" w:cs="TimesNewRomanPSMT"/>
          <w:color w:val="000000"/>
        </w:rPr>
      </w:pPr>
      <w:r w:rsidRPr="00F560AC">
        <w:rPr>
          <w:rFonts w:asciiTheme="minorHAnsi" w:eastAsiaTheme="minorHAnsi" w:hAnsiTheme="minorHAnsi" w:cs="TimesNewRomanPSMT"/>
        </w:rPr>
        <w:t xml:space="preserve">A statistically significantly greater mean </w:t>
      </w:r>
      <w:r>
        <w:rPr>
          <w:rFonts w:asciiTheme="minorHAnsi" w:eastAsiaTheme="minorHAnsi" w:hAnsiTheme="minorHAnsi" w:cs="TimesNewRomanPSMT"/>
        </w:rPr>
        <w:t xml:space="preserve">reduction </w:t>
      </w:r>
      <w:r w:rsidR="00DE644C">
        <w:rPr>
          <w:rFonts w:asciiTheme="minorHAnsi" w:eastAsiaTheme="minorHAnsi" w:hAnsiTheme="minorHAnsi" w:cs="TimesNewRomanPSMT"/>
        </w:rPr>
        <w:t>from Baseline</w:t>
      </w:r>
      <w:r w:rsidRPr="00F560AC">
        <w:rPr>
          <w:rFonts w:asciiTheme="minorHAnsi" w:eastAsiaTheme="minorHAnsi" w:hAnsiTheme="minorHAnsi" w:cs="TimesNewRomanPSMT"/>
        </w:rPr>
        <w:t xml:space="preserve"> to the last time point in the double blind period in TG was seen in </w:t>
      </w:r>
      <w:r w:rsidRPr="00F560AC">
        <w:rPr>
          <w:rFonts w:asciiTheme="minorHAnsi" w:eastAsiaTheme="minorHAnsi" w:hAnsiTheme="minorHAnsi" w:cs="TimesNewRomanPS-BoldMT"/>
          <w:b/>
          <w:bCs/>
        </w:rPr>
        <w:t>t</w:t>
      </w:r>
      <w:r w:rsidRPr="00F560AC">
        <w:rPr>
          <w:rFonts w:asciiTheme="minorHAnsi" w:eastAsiaTheme="minorHAnsi" w:hAnsiTheme="minorHAnsi" w:cs="TimesNewRomanPSMT"/>
        </w:rPr>
        <w:t>he SA group co</w:t>
      </w:r>
      <w:r w:rsidR="00E57011">
        <w:rPr>
          <w:rFonts w:asciiTheme="minorHAnsi" w:eastAsiaTheme="minorHAnsi" w:hAnsiTheme="minorHAnsi" w:cs="TimesNewRomanPSMT"/>
        </w:rPr>
        <w:t>mpared with the placebo group (</w:t>
      </w:r>
      <w:r w:rsidR="00E57011">
        <w:rPr>
          <w:rFonts w:asciiTheme="minorHAnsi" w:eastAsiaTheme="minorHAnsi" w:hAnsiTheme="minorHAnsi" w:cs="TimesNewRomanPSMT"/>
        </w:rPr>
        <w:noBreakHyphen/>
      </w:r>
      <w:r w:rsidRPr="00F560AC">
        <w:rPr>
          <w:rFonts w:asciiTheme="minorHAnsi" w:eastAsiaTheme="minorHAnsi" w:hAnsiTheme="minorHAnsi" w:cs="TimesNewRomanPSMT"/>
        </w:rPr>
        <w:t xml:space="preserve">25.45% </w:t>
      </w:r>
      <w:r w:rsidR="00B866BC">
        <w:rPr>
          <w:rFonts w:asciiTheme="minorHAnsi" w:eastAsiaTheme="minorHAnsi" w:hAnsiTheme="minorHAnsi" w:cs="TimesNewRomanPSMT"/>
        </w:rPr>
        <w:t>versus</w:t>
      </w:r>
      <w:r w:rsidR="00E57011">
        <w:rPr>
          <w:rFonts w:asciiTheme="minorHAnsi" w:eastAsiaTheme="minorHAnsi" w:hAnsiTheme="minorHAnsi" w:cs="TimesNewRomanPSMT"/>
        </w:rPr>
        <w:t xml:space="preserve"> </w:t>
      </w:r>
      <w:r w:rsidR="00E57011">
        <w:rPr>
          <w:rFonts w:asciiTheme="minorHAnsi" w:eastAsiaTheme="minorHAnsi" w:hAnsiTheme="minorHAnsi" w:cs="TimesNewRomanPSMT"/>
        </w:rPr>
        <w:noBreakHyphen/>
      </w:r>
      <w:r w:rsidRPr="00F560AC">
        <w:rPr>
          <w:rFonts w:asciiTheme="minorHAnsi" w:eastAsiaTheme="minorHAnsi" w:hAnsiTheme="minorHAnsi" w:cs="TimesNewRomanPSMT"/>
        </w:rPr>
        <w:t>11.14%, diff</w:t>
      </w:r>
      <w:r w:rsidR="002D28A4">
        <w:rPr>
          <w:rFonts w:asciiTheme="minorHAnsi" w:eastAsiaTheme="minorHAnsi" w:hAnsiTheme="minorHAnsi" w:cs="TimesNewRomanPSMT"/>
        </w:rPr>
        <w:t xml:space="preserve"> = </w:t>
      </w:r>
      <w:r w:rsidR="00E57011">
        <w:rPr>
          <w:rFonts w:asciiTheme="minorHAnsi" w:eastAsiaTheme="minorHAnsi" w:hAnsiTheme="minorHAnsi" w:cs="TimesNewRomanPSMT"/>
        </w:rPr>
        <w:noBreakHyphen/>
      </w:r>
      <w:r w:rsidRPr="00F560AC">
        <w:rPr>
          <w:rFonts w:asciiTheme="minorHAnsi" w:eastAsiaTheme="minorHAnsi" w:hAnsiTheme="minorHAnsi" w:cs="TimesNewRomanPSMT"/>
        </w:rPr>
        <w:t>14.30, p</w:t>
      </w:r>
      <w:r w:rsidR="002D28A4">
        <w:rPr>
          <w:rFonts w:asciiTheme="minorHAnsi" w:eastAsiaTheme="minorHAnsi" w:hAnsiTheme="minorHAnsi" w:cs="TimesNewRomanPSMT"/>
        </w:rPr>
        <w:t xml:space="preserve"> = </w:t>
      </w:r>
      <w:r w:rsidRPr="00F560AC">
        <w:rPr>
          <w:rFonts w:asciiTheme="minorHAnsi" w:eastAsiaTheme="minorHAnsi" w:hAnsiTheme="minorHAnsi" w:cs="TimesNewRomanPSMT"/>
        </w:rPr>
        <w:t>0.0375).</w:t>
      </w:r>
      <w:r w:rsidRPr="00F560AC">
        <w:rPr>
          <w:rFonts w:asciiTheme="minorHAnsi" w:eastAsiaTheme="minorHAnsi" w:hAnsiTheme="minorHAnsi" w:cs="TimesNewRomanPSMT"/>
          <w:color w:val="000000"/>
        </w:rPr>
        <w:t xml:space="preserve"> Six subjects in the SA group had TG values </w:t>
      </w:r>
      <w:r w:rsidR="00B73619">
        <w:rPr>
          <w:rFonts w:asciiTheme="minorHAnsi" w:eastAsiaTheme="minorHAnsi" w:hAnsiTheme="minorHAnsi" w:cs="TimesNewRomanPSMT"/>
          <w:color w:val="000000"/>
        </w:rPr>
        <w:t>&gt;</w:t>
      </w:r>
      <w:r w:rsidR="00E57011">
        <w:rPr>
          <w:rFonts w:asciiTheme="minorHAnsi" w:eastAsiaTheme="minorHAnsi" w:hAnsiTheme="minorHAnsi" w:cs="TimesNewRomanPSMT"/>
          <w:color w:val="000000"/>
        </w:rPr>
        <w:t> 200 </w:t>
      </w:r>
      <w:r w:rsidRPr="00F560AC">
        <w:rPr>
          <w:rFonts w:asciiTheme="minorHAnsi" w:eastAsiaTheme="minorHAnsi" w:hAnsiTheme="minorHAnsi" w:cs="TimesNewRomanPSMT"/>
          <w:color w:val="000000"/>
        </w:rPr>
        <w:t>mg/</w:t>
      </w:r>
      <w:proofErr w:type="spellStart"/>
      <w:r w:rsidRPr="00F560AC">
        <w:rPr>
          <w:rFonts w:asciiTheme="minorHAnsi" w:eastAsiaTheme="minorHAnsi" w:hAnsiTheme="minorHAnsi" w:cs="TimesNewRomanPSMT"/>
          <w:color w:val="000000"/>
        </w:rPr>
        <w:t>dL</w:t>
      </w:r>
      <w:proofErr w:type="spellEnd"/>
      <w:r w:rsidRPr="00F560AC">
        <w:rPr>
          <w:rFonts w:asciiTheme="minorHAnsi" w:eastAsiaTheme="minorHAnsi" w:hAnsiTheme="minorHAnsi" w:cs="TimesNewRomanPSMT"/>
          <w:color w:val="000000"/>
        </w:rPr>
        <w:t xml:space="preserve"> </w:t>
      </w:r>
      <w:r>
        <w:rPr>
          <w:rFonts w:asciiTheme="minorHAnsi" w:eastAsiaTheme="minorHAnsi" w:hAnsiTheme="minorHAnsi" w:cs="TimesNewRomanPSMT"/>
          <w:color w:val="000000"/>
        </w:rPr>
        <w:t>(2.26</w:t>
      </w:r>
      <w:r w:rsidR="00DE644C">
        <w:rPr>
          <w:rFonts w:asciiTheme="minorHAnsi" w:eastAsiaTheme="minorHAnsi" w:hAnsiTheme="minorHAnsi" w:cs="TimesNewRomanPSMT"/>
          <w:color w:val="000000"/>
        </w:rPr>
        <w:t xml:space="preserve"> </w:t>
      </w:r>
      <w:proofErr w:type="spellStart"/>
      <w:r>
        <w:rPr>
          <w:rFonts w:asciiTheme="minorHAnsi" w:eastAsiaTheme="minorHAnsi" w:hAnsiTheme="minorHAnsi" w:cs="TimesNewRomanPSMT"/>
          <w:color w:val="000000"/>
        </w:rPr>
        <w:t>mmol</w:t>
      </w:r>
      <w:proofErr w:type="spellEnd"/>
      <w:r>
        <w:rPr>
          <w:rFonts w:asciiTheme="minorHAnsi" w:eastAsiaTheme="minorHAnsi" w:hAnsiTheme="minorHAnsi" w:cs="TimesNewRomanPSMT"/>
          <w:color w:val="000000"/>
        </w:rPr>
        <w:t xml:space="preserve">/L) </w:t>
      </w:r>
      <w:r w:rsidR="00DE644C">
        <w:rPr>
          <w:rFonts w:asciiTheme="minorHAnsi" w:eastAsiaTheme="minorHAnsi" w:hAnsiTheme="minorHAnsi" w:cs="TimesNewRomanPSMT"/>
          <w:color w:val="000000"/>
        </w:rPr>
        <w:t>at Baseline</w:t>
      </w:r>
      <w:r w:rsidRPr="00F560AC">
        <w:rPr>
          <w:rFonts w:asciiTheme="minorHAnsi" w:eastAsiaTheme="minorHAnsi" w:hAnsiTheme="minorHAnsi" w:cs="TimesNewRomanPSMT"/>
          <w:color w:val="000000"/>
        </w:rPr>
        <w:t xml:space="preserve"> (mean TG value</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among these 6 subjects was 247</w:t>
      </w:r>
      <w:r w:rsidR="00DE644C">
        <w:rPr>
          <w:rFonts w:asciiTheme="minorHAnsi" w:eastAsiaTheme="minorHAnsi" w:hAnsiTheme="minorHAnsi" w:cs="TimesNewRomanPSMT"/>
          <w:color w:val="000000"/>
        </w:rPr>
        <w:t> </w:t>
      </w:r>
      <w:r w:rsidRPr="00F560AC">
        <w:rPr>
          <w:rFonts w:asciiTheme="minorHAnsi" w:eastAsiaTheme="minorHAnsi" w:hAnsiTheme="minorHAnsi" w:cs="TimesNewRomanPSMT"/>
          <w:color w:val="000000"/>
        </w:rPr>
        <w:t>mg/</w:t>
      </w:r>
      <w:proofErr w:type="spellStart"/>
      <w:r w:rsidRPr="00F560AC">
        <w:rPr>
          <w:rFonts w:asciiTheme="minorHAnsi" w:eastAsiaTheme="minorHAnsi" w:hAnsiTheme="minorHAnsi" w:cs="TimesNewRomanPSMT"/>
          <w:color w:val="000000"/>
        </w:rPr>
        <w:t>dL</w:t>
      </w:r>
      <w:proofErr w:type="spellEnd"/>
      <w:r w:rsidRPr="00F560AC">
        <w:rPr>
          <w:rFonts w:asciiTheme="minorHAnsi" w:eastAsiaTheme="minorHAnsi" w:hAnsiTheme="minorHAnsi" w:cs="TimesNewRomanPSMT"/>
          <w:color w:val="000000"/>
        </w:rPr>
        <w:t xml:space="preserve">, </w:t>
      </w:r>
      <w:r w:rsidR="00D074A0">
        <w:rPr>
          <w:rFonts w:asciiTheme="minorHAnsi" w:eastAsiaTheme="minorHAnsi" w:hAnsiTheme="minorHAnsi" w:cs="TimesNewRomanPSMT"/>
          <w:color w:val="000000"/>
        </w:rPr>
        <w:t>(</w:t>
      </w:r>
      <w:r w:rsidR="00E57011">
        <w:rPr>
          <w:rFonts w:asciiTheme="minorHAnsi" w:eastAsiaTheme="minorHAnsi" w:hAnsiTheme="minorHAnsi" w:cs="TimesNewRomanPSMT"/>
          <w:color w:val="000000"/>
        </w:rPr>
        <w:t xml:space="preserve">2.79 </w:t>
      </w:r>
      <w:proofErr w:type="spellStart"/>
      <w:r>
        <w:rPr>
          <w:rFonts w:asciiTheme="minorHAnsi" w:eastAsiaTheme="minorHAnsi" w:hAnsiTheme="minorHAnsi" w:cs="TimesNewRomanPSMT"/>
          <w:color w:val="000000"/>
        </w:rPr>
        <w:t>mmol</w:t>
      </w:r>
      <w:proofErr w:type="spellEnd"/>
      <w:r>
        <w:rPr>
          <w:rFonts w:asciiTheme="minorHAnsi" w:eastAsiaTheme="minorHAnsi" w:hAnsiTheme="minorHAnsi" w:cs="TimesNewRomanPSMT"/>
          <w:color w:val="000000"/>
        </w:rPr>
        <w:t>/L</w:t>
      </w:r>
      <w:r w:rsidR="00D074A0">
        <w:rPr>
          <w:rFonts w:asciiTheme="minorHAnsi" w:eastAsiaTheme="minorHAnsi" w:hAnsiTheme="minorHAnsi" w:cs="TimesNewRomanPSMT"/>
          <w:color w:val="000000"/>
        </w:rPr>
        <w:t>)</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range 207 to 307 mg/</w:t>
      </w:r>
      <w:proofErr w:type="spellStart"/>
      <w:r w:rsidRPr="00F560AC">
        <w:rPr>
          <w:rFonts w:asciiTheme="minorHAnsi" w:eastAsiaTheme="minorHAnsi" w:hAnsiTheme="minorHAnsi" w:cs="TimesNewRomanPSMT"/>
          <w:color w:val="000000"/>
        </w:rPr>
        <w:t>dL</w:t>
      </w:r>
      <w:proofErr w:type="spellEnd"/>
      <w:r w:rsidR="00E57011">
        <w:rPr>
          <w:rFonts w:asciiTheme="minorHAnsi" w:eastAsiaTheme="minorHAnsi" w:hAnsiTheme="minorHAnsi" w:cs="TimesNewRomanPSMT"/>
          <w:color w:val="000000"/>
        </w:rPr>
        <w:t xml:space="preserve"> </w:t>
      </w:r>
      <w:r w:rsidR="00D074A0">
        <w:rPr>
          <w:rFonts w:asciiTheme="minorHAnsi" w:eastAsiaTheme="minorHAnsi" w:hAnsiTheme="minorHAnsi" w:cs="TimesNewRomanPSMT"/>
          <w:color w:val="000000"/>
        </w:rPr>
        <w:t>(</w:t>
      </w:r>
      <w:r w:rsidR="00E57011">
        <w:rPr>
          <w:rFonts w:asciiTheme="minorHAnsi" w:eastAsiaTheme="minorHAnsi" w:hAnsiTheme="minorHAnsi" w:cs="TimesNewRomanPSMT"/>
          <w:color w:val="000000"/>
        </w:rPr>
        <w:t xml:space="preserve">2.34 to </w:t>
      </w:r>
      <w:r>
        <w:rPr>
          <w:rFonts w:asciiTheme="minorHAnsi" w:eastAsiaTheme="minorHAnsi" w:hAnsiTheme="minorHAnsi" w:cs="TimesNewRomanPSMT"/>
          <w:color w:val="000000"/>
        </w:rPr>
        <w:t>3.47mmol/L</w:t>
      </w:r>
      <w:r w:rsidR="00D074A0">
        <w:rPr>
          <w:rFonts w:asciiTheme="minorHAnsi" w:eastAsiaTheme="minorHAnsi" w:hAnsiTheme="minorHAnsi" w:cs="TimesNewRomanPSMT"/>
          <w:color w:val="000000"/>
        </w:rPr>
        <w:t>)</w:t>
      </w:r>
      <w:r w:rsidRPr="00F560AC">
        <w:rPr>
          <w:rFonts w:asciiTheme="minorHAnsi" w:eastAsiaTheme="minorHAnsi" w:hAnsiTheme="minorHAnsi" w:cs="TimesNewRomanPSMT"/>
          <w:color w:val="000000"/>
        </w:rPr>
        <w:t>). Among these</w:t>
      </w:r>
      <w:r w:rsidR="00CC672B">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 xml:space="preserve">subjects, the mean decrease </w:t>
      </w:r>
      <w:r w:rsidR="00DE644C">
        <w:rPr>
          <w:rFonts w:asciiTheme="minorHAnsi" w:eastAsiaTheme="minorHAnsi" w:hAnsiTheme="minorHAnsi" w:cs="TimesNewRomanPSMT"/>
          <w:color w:val="000000"/>
        </w:rPr>
        <w:t>from Baseline</w:t>
      </w:r>
      <w:r w:rsidRPr="00F560AC">
        <w:rPr>
          <w:rFonts w:asciiTheme="minorHAnsi" w:eastAsiaTheme="minorHAnsi" w:hAnsiTheme="minorHAnsi" w:cs="TimesNewRomanPSMT"/>
          <w:color w:val="000000"/>
        </w:rPr>
        <w:t xml:space="preserve"> to the last time point in the double</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blind</w:t>
      </w:r>
      <w:r>
        <w:rPr>
          <w:rFonts w:asciiTheme="minorHAnsi" w:eastAsiaTheme="minorHAnsi" w:hAnsiTheme="minorHAnsi" w:cs="TimesNewRomanPSMT"/>
          <w:color w:val="000000"/>
        </w:rPr>
        <w:t xml:space="preserve"> </w:t>
      </w:r>
      <w:r w:rsidR="00E57011">
        <w:rPr>
          <w:rFonts w:asciiTheme="minorHAnsi" w:eastAsiaTheme="minorHAnsi" w:hAnsiTheme="minorHAnsi" w:cs="TimesNewRomanPSMT"/>
          <w:color w:val="000000"/>
        </w:rPr>
        <w:t xml:space="preserve">period was -42% (range of </w:t>
      </w:r>
      <w:r w:rsidR="00E57011">
        <w:rPr>
          <w:rFonts w:asciiTheme="minorHAnsi" w:eastAsiaTheme="minorHAnsi" w:hAnsiTheme="minorHAnsi" w:cs="TimesNewRomanPSMT"/>
          <w:color w:val="000000"/>
        </w:rPr>
        <w:noBreakHyphen/>
        <w:t xml:space="preserve">26% to </w:t>
      </w:r>
      <w:r w:rsidR="00E57011">
        <w:rPr>
          <w:rFonts w:asciiTheme="minorHAnsi" w:eastAsiaTheme="minorHAnsi" w:hAnsiTheme="minorHAnsi" w:cs="TimesNewRomanPSMT"/>
          <w:color w:val="000000"/>
        </w:rPr>
        <w:noBreakHyphen/>
      </w:r>
      <w:r w:rsidRPr="00F560AC">
        <w:rPr>
          <w:rFonts w:asciiTheme="minorHAnsi" w:eastAsiaTheme="minorHAnsi" w:hAnsiTheme="minorHAnsi" w:cs="TimesNewRomanPSMT"/>
          <w:color w:val="000000"/>
        </w:rPr>
        <w:t>64%) with 2 of these subjects having a</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 xml:space="preserve">mean decrease of </w:t>
      </w:r>
      <w:r w:rsidR="00B73619">
        <w:rPr>
          <w:rFonts w:asciiTheme="minorHAnsi" w:eastAsiaTheme="minorHAnsi" w:hAnsiTheme="minorHAnsi" w:cs="TimesNewRomanPSMT"/>
          <w:color w:val="000000"/>
        </w:rPr>
        <w:t xml:space="preserve">&gt; </w:t>
      </w:r>
      <w:r w:rsidRPr="00F560AC">
        <w:rPr>
          <w:rFonts w:asciiTheme="minorHAnsi" w:eastAsiaTheme="minorHAnsi" w:hAnsiTheme="minorHAnsi" w:cs="TimesNewRomanPSMT"/>
          <w:color w:val="000000"/>
        </w:rPr>
        <w:t>50%. In the placebo group, there were also</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 xml:space="preserve">6 subjects with baseline TG values </w:t>
      </w:r>
      <w:r w:rsidR="00B73619">
        <w:rPr>
          <w:rFonts w:asciiTheme="minorHAnsi" w:eastAsiaTheme="minorHAnsi" w:hAnsiTheme="minorHAnsi" w:cs="TimesNewRomanPSMT"/>
          <w:color w:val="000000"/>
        </w:rPr>
        <w:t>&gt;</w:t>
      </w:r>
      <w:r w:rsidR="00CC672B">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200 mg/</w:t>
      </w:r>
      <w:proofErr w:type="spellStart"/>
      <w:r w:rsidRPr="00F560AC">
        <w:rPr>
          <w:rFonts w:asciiTheme="minorHAnsi" w:eastAsiaTheme="minorHAnsi" w:hAnsiTheme="minorHAnsi" w:cs="TimesNewRomanPSMT"/>
          <w:color w:val="000000"/>
        </w:rPr>
        <w:t>dL</w:t>
      </w:r>
      <w:proofErr w:type="spellEnd"/>
      <w:r w:rsidRPr="00F560AC">
        <w:rPr>
          <w:rFonts w:asciiTheme="minorHAnsi" w:eastAsiaTheme="minorHAnsi" w:hAnsiTheme="minorHAnsi" w:cs="TimesNewRomanPSMT"/>
          <w:color w:val="000000"/>
        </w:rPr>
        <w:t xml:space="preserve"> </w:t>
      </w:r>
      <w:r w:rsidR="00D074A0">
        <w:rPr>
          <w:rFonts w:asciiTheme="minorHAnsi" w:eastAsiaTheme="minorHAnsi" w:hAnsiTheme="minorHAnsi" w:cs="TimesNewRomanPSMT"/>
          <w:color w:val="000000"/>
        </w:rPr>
        <w:t>(</w:t>
      </w:r>
      <w:r>
        <w:rPr>
          <w:rFonts w:asciiTheme="minorHAnsi" w:eastAsiaTheme="minorHAnsi" w:hAnsiTheme="minorHAnsi" w:cs="TimesNewRomanPSMT"/>
          <w:color w:val="000000"/>
        </w:rPr>
        <w:t>2.26</w:t>
      </w:r>
      <w:r w:rsidR="00DE644C">
        <w:rPr>
          <w:rFonts w:asciiTheme="minorHAnsi" w:eastAsiaTheme="minorHAnsi" w:hAnsiTheme="minorHAnsi" w:cs="TimesNewRomanPSMT"/>
          <w:color w:val="000000"/>
        </w:rPr>
        <w:t xml:space="preserve"> </w:t>
      </w:r>
      <w:proofErr w:type="spellStart"/>
      <w:r>
        <w:rPr>
          <w:rFonts w:asciiTheme="minorHAnsi" w:eastAsiaTheme="minorHAnsi" w:hAnsiTheme="minorHAnsi" w:cs="TimesNewRomanPSMT"/>
          <w:color w:val="000000"/>
        </w:rPr>
        <w:t>mmol</w:t>
      </w:r>
      <w:proofErr w:type="spellEnd"/>
      <w:r>
        <w:rPr>
          <w:rFonts w:asciiTheme="minorHAnsi" w:eastAsiaTheme="minorHAnsi" w:hAnsiTheme="minorHAnsi" w:cs="TimesNewRomanPSMT"/>
          <w:color w:val="000000"/>
        </w:rPr>
        <w:t>/L</w:t>
      </w:r>
      <w:r w:rsidR="00D074A0">
        <w:rPr>
          <w:rFonts w:asciiTheme="minorHAnsi" w:eastAsiaTheme="minorHAnsi" w:hAnsiTheme="minorHAnsi" w:cs="TimesNewRomanPSMT"/>
          <w:color w:val="000000"/>
        </w:rPr>
        <w:t>)</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(mean</w:t>
      </w:r>
      <w:r w:rsidR="00E57011">
        <w:rPr>
          <w:rFonts w:asciiTheme="minorHAnsi" w:eastAsiaTheme="minorHAnsi" w:hAnsiTheme="minorHAnsi" w:cs="TimesNewRomanPSMT"/>
          <w:color w:val="000000"/>
        </w:rPr>
        <w:t> = </w:t>
      </w:r>
      <w:r w:rsidRPr="00F560AC">
        <w:rPr>
          <w:rFonts w:asciiTheme="minorHAnsi" w:eastAsiaTheme="minorHAnsi" w:hAnsiTheme="minorHAnsi" w:cs="TimesNewRomanPSMT"/>
          <w:color w:val="000000"/>
        </w:rPr>
        <w:t>271 mg/</w:t>
      </w:r>
      <w:proofErr w:type="spellStart"/>
      <w:r w:rsidRPr="00F560AC">
        <w:rPr>
          <w:rFonts w:asciiTheme="minorHAnsi" w:eastAsiaTheme="minorHAnsi" w:hAnsiTheme="minorHAnsi" w:cs="TimesNewRomanPSMT"/>
          <w:color w:val="000000"/>
        </w:rPr>
        <w:t>dL</w:t>
      </w:r>
      <w:proofErr w:type="spellEnd"/>
      <w:r>
        <w:rPr>
          <w:rFonts w:asciiTheme="minorHAnsi" w:eastAsiaTheme="minorHAnsi" w:hAnsiTheme="minorHAnsi" w:cs="TimesNewRomanPSMT"/>
          <w:color w:val="000000"/>
        </w:rPr>
        <w:t xml:space="preserve"> </w:t>
      </w:r>
      <w:r w:rsidR="00D074A0">
        <w:rPr>
          <w:rFonts w:asciiTheme="minorHAnsi" w:eastAsiaTheme="minorHAnsi" w:hAnsiTheme="minorHAnsi" w:cs="TimesNewRomanPSMT"/>
          <w:color w:val="000000"/>
        </w:rPr>
        <w:t>(</w:t>
      </w:r>
      <w:r>
        <w:rPr>
          <w:rFonts w:asciiTheme="minorHAnsi" w:eastAsiaTheme="minorHAnsi" w:hAnsiTheme="minorHAnsi" w:cs="TimesNewRomanPSMT"/>
          <w:color w:val="000000"/>
        </w:rPr>
        <w:t>3.06</w:t>
      </w:r>
      <w:r w:rsidR="00DE644C">
        <w:rPr>
          <w:rFonts w:asciiTheme="minorHAnsi" w:eastAsiaTheme="minorHAnsi" w:hAnsiTheme="minorHAnsi" w:cs="TimesNewRomanPSMT"/>
          <w:color w:val="000000"/>
        </w:rPr>
        <w:t xml:space="preserve"> </w:t>
      </w:r>
      <w:proofErr w:type="spellStart"/>
      <w:r>
        <w:rPr>
          <w:rFonts w:asciiTheme="minorHAnsi" w:eastAsiaTheme="minorHAnsi" w:hAnsiTheme="minorHAnsi" w:cs="TimesNewRomanPSMT"/>
          <w:color w:val="000000"/>
        </w:rPr>
        <w:t>mmol</w:t>
      </w:r>
      <w:proofErr w:type="spellEnd"/>
      <w:r>
        <w:rPr>
          <w:rFonts w:asciiTheme="minorHAnsi" w:eastAsiaTheme="minorHAnsi" w:hAnsiTheme="minorHAnsi" w:cs="TimesNewRomanPSMT"/>
          <w:color w:val="000000"/>
        </w:rPr>
        <w:t>/L</w:t>
      </w:r>
      <w:r w:rsidR="00D074A0">
        <w:rPr>
          <w:rFonts w:asciiTheme="minorHAnsi" w:eastAsiaTheme="minorHAnsi" w:hAnsiTheme="minorHAnsi" w:cs="TimesNewRomanPSMT"/>
          <w:color w:val="000000"/>
        </w:rPr>
        <w:t>)</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range 226 to 361 mg/</w:t>
      </w:r>
      <w:proofErr w:type="spellStart"/>
      <w:proofErr w:type="gramStart"/>
      <w:r w:rsidRPr="00F560AC">
        <w:rPr>
          <w:rFonts w:asciiTheme="minorHAnsi" w:eastAsiaTheme="minorHAnsi" w:hAnsiTheme="minorHAnsi" w:cs="TimesNewRomanPSMT"/>
          <w:color w:val="000000"/>
        </w:rPr>
        <w:t>dL</w:t>
      </w:r>
      <w:proofErr w:type="spellEnd"/>
      <w:r w:rsidR="00D074A0">
        <w:rPr>
          <w:rFonts w:asciiTheme="minorHAnsi" w:eastAsiaTheme="minorHAnsi" w:hAnsiTheme="minorHAnsi" w:cs="TimesNewRomanPSMT"/>
          <w:color w:val="000000"/>
        </w:rPr>
        <w:t>(</w:t>
      </w:r>
      <w:proofErr w:type="gramEnd"/>
      <w:r w:rsidR="00E57011">
        <w:rPr>
          <w:rFonts w:asciiTheme="minorHAnsi" w:eastAsiaTheme="minorHAnsi" w:hAnsiTheme="minorHAnsi" w:cs="TimesNewRomanPSMT"/>
          <w:color w:val="000000"/>
        </w:rPr>
        <w:t xml:space="preserve">2.55 to </w:t>
      </w:r>
      <w:r>
        <w:rPr>
          <w:rFonts w:asciiTheme="minorHAnsi" w:eastAsiaTheme="minorHAnsi" w:hAnsiTheme="minorHAnsi" w:cs="TimesNewRomanPSMT"/>
          <w:color w:val="000000"/>
        </w:rPr>
        <w:t>4.08</w:t>
      </w:r>
      <w:r w:rsidR="00DE644C">
        <w:rPr>
          <w:rFonts w:asciiTheme="minorHAnsi" w:eastAsiaTheme="minorHAnsi" w:hAnsiTheme="minorHAnsi" w:cs="TimesNewRomanPSMT"/>
          <w:color w:val="000000"/>
        </w:rPr>
        <w:t xml:space="preserve"> </w:t>
      </w:r>
      <w:proofErr w:type="spellStart"/>
      <w:r>
        <w:rPr>
          <w:rFonts w:asciiTheme="minorHAnsi" w:eastAsiaTheme="minorHAnsi" w:hAnsiTheme="minorHAnsi" w:cs="TimesNewRomanPSMT"/>
          <w:color w:val="000000"/>
        </w:rPr>
        <w:t>mmol</w:t>
      </w:r>
      <w:proofErr w:type="spellEnd"/>
      <w:r>
        <w:rPr>
          <w:rFonts w:asciiTheme="minorHAnsi" w:eastAsiaTheme="minorHAnsi" w:hAnsiTheme="minorHAnsi" w:cs="TimesNewRomanPSMT"/>
          <w:color w:val="000000"/>
        </w:rPr>
        <w:t>/L</w:t>
      </w:r>
      <w:r w:rsidR="00D074A0">
        <w:rPr>
          <w:rFonts w:asciiTheme="minorHAnsi" w:eastAsiaTheme="minorHAnsi" w:hAnsiTheme="minorHAnsi" w:cs="TimesNewRomanPSMT"/>
          <w:color w:val="000000"/>
        </w:rPr>
        <w:t>)</w:t>
      </w:r>
      <w:r w:rsidRPr="00F560AC">
        <w:rPr>
          <w:rFonts w:asciiTheme="minorHAnsi" w:eastAsiaTheme="minorHAnsi" w:hAnsiTheme="minorHAnsi" w:cs="TimesNewRomanPSMT"/>
          <w:color w:val="000000"/>
        </w:rPr>
        <w:t xml:space="preserve">). Although a reduction </w:t>
      </w:r>
      <w:r w:rsidR="00DE644C">
        <w:rPr>
          <w:rFonts w:asciiTheme="minorHAnsi" w:eastAsiaTheme="minorHAnsi" w:hAnsiTheme="minorHAnsi" w:cs="TimesNewRomanPSMT"/>
          <w:color w:val="000000"/>
        </w:rPr>
        <w:t>from Baseline</w:t>
      </w:r>
      <w:r w:rsidRPr="00F560AC">
        <w:rPr>
          <w:rFonts w:asciiTheme="minorHAnsi" w:eastAsiaTheme="minorHAnsi" w:hAnsiTheme="minorHAnsi" w:cs="TimesNewRomanPSMT"/>
          <w:color w:val="000000"/>
        </w:rPr>
        <w:t xml:space="preserve"> in TG was</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 xml:space="preserve">seen among these 6 subjects in the placebo group, with a mean percent reduction </w:t>
      </w:r>
      <w:r w:rsidR="00DE644C">
        <w:rPr>
          <w:rFonts w:asciiTheme="minorHAnsi" w:eastAsiaTheme="minorHAnsi" w:hAnsiTheme="minorHAnsi" w:cs="TimesNewRomanPSMT"/>
          <w:color w:val="000000"/>
        </w:rPr>
        <w:t>from Baseline</w:t>
      </w:r>
      <w:r w:rsidRPr="00F560AC">
        <w:rPr>
          <w:rFonts w:asciiTheme="minorHAnsi" w:eastAsiaTheme="minorHAnsi" w:hAnsiTheme="minorHAnsi" w:cs="TimesNewRomanPSMT"/>
          <w:color w:val="000000"/>
        </w:rPr>
        <w:t xml:space="preserve"> to the last time point in the </w:t>
      </w:r>
      <w:r w:rsidR="003F3AB4">
        <w:rPr>
          <w:rFonts w:asciiTheme="minorHAnsi" w:eastAsiaTheme="minorHAnsi" w:hAnsiTheme="minorHAnsi" w:cs="TimesNewRomanPSMT"/>
          <w:color w:val="000000"/>
        </w:rPr>
        <w:t>double blind</w:t>
      </w:r>
      <w:r w:rsidR="00E57011">
        <w:rPr>
          <w:rFonts w:asciiTheme="minorHAnsi" w:eastAsiaTheme="minorHAnsi" w:hAnsiTheme="minorHAnsi" w:cs="TimesNewRomanPSMT"/>
          <w:color w:val="000000"/>
        </w:rPr>
        <w:t xml:space="preserve"> period of </w:t>
      </w:r>
      <w:r w:rsidR="00E57011">
        <w:rPr>
          <w:rFonts w:asciiTheme="minorHAnsi" w:eastAsiaTheme="minorHAnsi" w:hAnsiTheme="minorHAnsi" w:cs="TimesNewRomanPSMT"/>
          <w:color w:val="000000"/>
        </w:rPr>
        <w:noBreakHyphen/>
        <w:t xml:space="preserve">29% (range </w:t>
      </w:r>
      <w:r w:rsidR="00E57011">
        <w:rPr>
          <w:rFonts w:asciiTheme="minorHAnsi" w:eastAsiaTheme="minorHAnsi" w:hAnsiTheme="minorHAnsi" w:cs="TimesNewRomanPSMT"/>
          <w:color w:val="000000"/>
        </w:rPr>
        <w:noBreakHyphen/>
        <w:t xml:space="preserve">12% to </w:t>
      </w:r>
      <w:r w:rsidR="00E57011">
        <w:rPr>
          <w:rFonts w:asciiTheme="minorHAnsi" w:eastAsiaTheme="minorHAnsi" w:hAnsiTheme="minorHAnsi" w:cs="TimesNewRomanPSMT"/>
          <w:color w:val="000000"/>
        </w:rPr>
        <w:noBreakHyphen/>
      </w:r>
      <w:r w:rsidRPr="00F560AC">
        <w:rPr>
          <w:rFonts w:asciiTheme="minorHAnsi" w:eastAsiaTheme="minorHAnsi" w:hAnsiTheme="minorHAnsi" w:cs="TimesNewRomanPSMT"/>
          <w:color w:val="000000"/>
        </w:rPr>
        <w:t>37%),</w:t>
      </w:r>
      <w:r>
        <w:rPr>
          <w:rFonts w:asciiTheme="minorHAnsi" w:eastAsiaTheme="minorHAnsi" w:hAnsiTheme="minorHAnsi" w:cs="TimesNewRomanPSMT"/>
          <w:color w:val="000000"/>
        </w:rPr>
        <w:t xml:space="preserve"> </w:t>
      </w:r>
      <w:r w:rsidRPr="00F560AC">
        <w:rPr>
          <w:rFonts w:asciiTheme="minorHAnsi" w:eastAsiaTheme="minorHAnsi" w:hAnsiTheme="minorHAnsi" w:cs="TimesNewRomanPSMT"/>
          <w:color w:val="000000"/>
        </w:rPr>
        <w:t>this was less marked than the change seen in the SA group</w:t>
      </w:r>
      <w:r w:rsidR="00B73619">
        <w:rPr>
          <w:rFonts w:asciiTheme="minorHAnsi" w:eastAsiaTheme="minorHAnsi" w:hAnsiTheme="minorHAnsi" w:cs="TimesNewRomanPSMT"/>
          <w:color w:val="000000"/>
        </w:rPr>
        <w:t>.</w:t>
      </w:r>
    </w:p>
    <w:p w14:paraId="0F5E43B7" w14:textId="446B6667" w:rsidR="00EA418E" w:rsidRPr="00F560AC" w:rsidRDefault="00EA418E" w:rsidP="00EA418E">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A statistically significantly</w:t>
      </w:r>
      <w:r w:rsidRPr="008C2375">
        <w:rPr>
          <w:rFonts w:asciiTheme="minorHAnsi" w:eastAsiaTheme="minorHAnsi" w:hAnsiTheme="minorHAnsi" w:cs="TimesNewRomanPSMT"/>
        </w:rPr>
        <w:t xml:space="preserve"> greater</w:t>
      </w:r>
      <w:r>
        <w:rPr>
          <w:rFonts w:asciiTheme="minorHAnsi" w:eastAsiaTheme="minorHAnsi" w:hAnsiTheme="minorHAnsi" w:cs="TimesNewRomanPSMT"/>
        </w:rPr>
        <w:t xml:space="preserve"> mean </w:t>
      </w:r>
      <w:r w:rsidRPr="008C2375">
        <w:rPr>
          <w:rFonts w:asciiTheme="minorHAnsi" w:eastAsiaTheme="minorHAnsi" w:hAnsiTheme="minorHAnsi" w:cs="TimesNewRomanPSMT"/>
        </w:rPr>
        <w:t xml:space="preserve">increase </w:t>
      </w:r>
      <w:r w:rsidR="00DE644C">
        <w:rPr>
          <w:rFonts w:asciiTheme="minorHAnsi" w:eastAsiaTheme="minorHAnsi" w:hAnsiTheme="minorHAnsi" w:cs="TimesNewRomanPSMT"/>
        </w:rPr>
        <w:t>from Baseline</w:t>
      </w:r>
      <w:r w:rsidRPr="008C2375">
        <w:rPr>
          <w:rFonts w:asciiTheme="minorHAnsi" w:eastAsiaTheme="minorHAnsi" w:hAnsiTheme="minorHAnsi" w:cs="TimesNewRomanPSMT"/>
        </w:rPr>
        <w:t xml:space="preserve"> to the last time point in the double</w:t>
      </w:r>
      <w:r>
        <w:rPr>
          <w:rFonts w:asciiTheme="minorHAnsi" w:eastAsiaTheme="minorHAnsi" w:hAnsiTheme="minorHAnsi" w:cs="TimesNewRomanPSMT"/>
        </w:rPr>
        <w:t xml:space="preserve"> </w:t>
      </w:r>
      <w:r w:rsidRPr="008C2375">
        <w:rPr>
          <w:rFonts w:asciiTheme="minorHAnsi" w:eastAsiaTheme="minorHAnsi" w:hAnsiTheme="minorHAnsi" w:cs="TimesNewRomanPSMT"/>
        </w:rPr>
        <w:t>blind</w:t>
      </w:r>
      <w:r>
        <w:rPr>
          <w:rFonts w:asciiTheme="minorHAnsi" w:eastAsiaTheme="minorHAnsi" w:hAnsiTheme="minorHAnsi" w:cs="TimesNewRomanPSMT"/>
        </w:rPr>
        <w:t xml:space="preserve"> </w:t>
      </w:r>
      <w:r w:rsidRPr="008C2375">
        <w:rPr>
          <w:rFonts w:asciiTheme="minorHAnsi" w:eastAsiaTheme="minorHAnsi" w:hAnsiTheme="minorHAnsi" w:cs="TimesNewRomanPSMT"/>
        </w:rPr>
        <w:t xml:space="preserve">period in HDL-c was seen in the SA group </w:t>
      </w:r>
      <w:r>
        <w:rPr>
          <w:rFonts w:asciiTheme="minorHAnsi" w:eastAsiaTheme="minorHAnsi" w:hAnsiTheme="minorHAnsi" w:cs="TimesNewRomanPSMT"/>
        </w:rPr>
        <w:t xml:space="preserve">compared with </w:t>
      </w:r>
      <w:r w:rsidRPr="008C2375">
        <w:rPr>
          <w:rFonts w:asciiTheme="minorHAnsi" w:eastAsiaTheme="minorHAnsi" w:hAnsiTheme="minorHAnsi" w:cs="TimesNewRomanPSMT"/>
        </w:rPr>
        <w:t>the placebo group (19.57%</w:t>
      </w:r>
      <w:r>
        <w:rPr>
          <w:rFonts w:asciiTheme="minorHAnsi" w:eastAsiaTheme="minorHAnsi" w:hAnsiTheme="minorHAnsi" w:cs="TimesNewRomanPSMT"/>
        </w:rPr>
        <w:t xml:space="preserve"> </w:t>
      </w:r>
      <w:r w:rsidR="00B866BC">
        <w:rPr>
          <w:rFonts w:asciiTheme="minorHAnsi" w:eastAsiaTheme="minorHAnsi" w:hAnsiTheme="minorHAnsi" w:cs="TimesNewRomanPSMT"/>
        </w:rPr>
        <w:t>versus</w:t>
      </w:r>
      <w:r>
        <w:rPr>
          <w:rFonts w:asciiTheme="minorHAnsi" w:eastAsiaTheme="minorHAnsi" w:hAnsiTheme="minorHAnsi" w:cs="TimesNewRomanPSMT"/>
        </w:rPr>
        <w:t xml:space="preserve">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0.29%,</w:t>
      </w:r>
      <w:r>
        <w:rPr>
          <w:rFonts w:asciiTheme="minorHAnsi" w:eastAsiaTheme="minorHAnsi" w:hAnsiTheme="minorHAnsi" w:cs="TimesNewRomanPSMT"/>
        </w:rPr>
        <w:t xml:space="preserve"> diff</w:t>
      </w:r>
      <w:r w:rsidR="002D28A4">
        <w:rPr>
          <w:rFonts w:asciiTheme="minorHAnsi" w:eastAsiaTheme="minorHAnsi" w:hAnsiTheme="minorHAnsi" w:cs="TimesNewRomanPSMT"/>
        </w:rPr>
        <w:t xml:space="preserve"> = </w:t>
      </w:r>
      <w:r w:rsidRPr="008C2375">
        <w:rPr>
          <w:rFonts w:asciiTheme="minorHAnsi" w:eastAsiaTheme="minorHAnsi" w:hAnsiTheme="minorHAnsi" w:cs="TimesNewRomanPSMT"/>
        </w:rPr>
        <w:t xml:space="preserve">19.86% </w:t>
      </w:r>
      <w:r w:rsidR="00E57011">
        <w:rPr>
          <w:rFonts w:asciiTheme="minorHAnsi" w:eastAsiaTheme="minorHAnsi" w:hAnsiTheme="minorHAnsi" w:cs="TimesNewRomanPSMT"/>
        </w:rPr>
        <w:t xml:space="preserve">p </w:t>
      </w:r>
      <w:r w:rsidR="00A87AAC">
        <w:rPr>
          <w:rFonts w:asciiTheme="minorHAnsi" w:eastAsiaTheme="minorHAnsi" w:hAnsiTheme="minorHAnsi" w:cs="TimesNewRomanPSMT"/>
        </w:rPr>
        <w:t xml:space="preserve">&lt; </w:t>
      </w:r>
      <w:r w:rsidR="00E57011">
        <w:rPr>
          <w:rFonts w:asciiTheme="minorHAnsi" w:eastAsiaTheme="minorHAnsi" w:hAnsiTheme="minorHAnsi" w:cs="TimesNewRomanPSMT"/>
        </w:rPr>
        <w:t>0</w:t>
      </w:r>
      <w:r w:rsidRPr="00F560AC">
        <w:rPr>
          <w:rFonts w:asciiTheme="minorHAnsi" w:eastAsiaTheme="minorHAnsi" w:hAnsiTheme="minorHAnsi" w:cs="TimesNewRomanPSMT"/>
        </w:rPr>
        <w:t>.0001). Of the 31 subjects in the SA group who had a baseline HDL-c value ≤ 40 mg/</w:t>
      </w:r>
      <w:proofErr w:type="spellStart"/>
      <w:r w:rsidRPr="00F560AC">
        <w:rPr>
          <w:rFonts w:asciiTheme="minorHAnsi" w:eastAsiaTheme="minorHAnsi" w:hAnsiTheme="minorHAnsi" w:cs="TimesNewRomanPSMT"/>
        </w:rPr>
        <w:t>dL</w:t>
      </w:r>
      <w:proofErr w:type="spellEnd"/>
      <w:r>
        <w:rPr>
          <w:rFonts w:asciiTheme="minorHAnsi" w:eastAsiaTheme="minorHAnsi" w:hAnsiTheme="minorHAnsi" w:cs="TimesNewRomanPSMT"/>
        </w:rPr>
        <w:t xml:space="preserve"> (1.03</w:t>
      </w:r>
      <w:r w:rsidR="00DE644C">
        <w:rPr>
          <w:rFonts w:asciiTheme="minorHAnsi" w:eastAsiaTheme="minorHAnsi" w:hAnsiTheme="minorHAnsi" w:cs="TimesNewRomanPSMT"/>
        </w:rPr>
        <w:t xml:space="preserve"> </w:t>
      </w:r>
      <w:proofErr w:type="spellStart"/>
      <w:r>
        <w:rPr>
          <w:rFonts w:asciiTheme="minorHAnsi" w:eastAsiaTheme="minorHAnsi" w:hAnsiTheme="minorHAnsi" w:cs="TimesNewRomanPSMT"/>
        </w:rPr>
        <w:t>mmol</w:t>
      </w:r>
      <w:proofErr w:type="spellEnd"/>
      <w:r>
        <w:rPr>
          <w:rFonts w:asciiTheme="minorHAnsi" w:eastAsiaTheme="minorHAnsi" w:hAnsiTheme="minorHAnsi" w:cs="TimesNewRomanPSMT"/>
        </w:rPr>
        <w:t>/L)</w:t>
      </w:r>
      <w:r w:rsidRPr="00F560AC">
        <w:rPr>
          <w:rFonts w:asciiTheme="minorHAnsi" w:eastAsiaTheme="minorHAnsi" w:hAnsiTheme="minorHAnsi" w:cs="TimesNewRomanPSMT"/>
        </w:rPr>
        <w:t>, 7 (23%)</w:t>
      </w:r>
      <w:r>
        <w:rPr>
          <w:rFonts w:asciiTheme="minorHAnsi" w:eastAsiaTheme="minorHAnsi" w:hAnsiTheme="minorHAnsi" w:cs="TimesNewRomanPSMT"/>
        </w:rPr>
        <w:t xml:space="preserve"> </w:t>
      </w:r>
      <w:r w:rsidRPr="00F560AC">
        <w:rPr>
          <w:rFonts w:asciiTheme="minorHAnsi" w:eastAsiaTheme="minorHAnsi" w:hAnsiTheme="minorHAnsi" w:cs="TimesNewRomanPSMT"/>
        </w:rPr>
        <w:t xml:space="preserve">achieved an HDL-c value </w:t>
      </w:r>
      <w:r w:rsidR="00B73619">
        <w:rPr>
          <w:rFonts w:asciiTheme="minorHAnsi" w:eastAsiaTheme="minorHAnsi" w:hAnsiTheme="minorHAnsi" w:cs="TimesNewRomanPSMT"/>
        </w:rPr>
        <w:t>&gt;</w:t>
      </w:r>
      <w:r w:rsidR="00CC672B">
        <w:rPr>
          <w:rFonts w:asciiTheme="minorHAnsi" w:eastAsiaTheme="minorHAnsi" w:hAnsiTheme="minorHAnsi" w:cs="TimesNewRomanPSMT"/>
        </w:rPr>
        <w:t xml:space="preserve"> </w:t>
      </w:r>
      <w:r w:rsidRPr="00F560AC">
        <w:rPr>
          <w:rFonts w:asciiTheme="minorHAnsi" w:eastAsiaTheme="minorHAnsi" w:hAnsiTheme="minorHAnsi" w:cs="TimesNewRomanPSMT"/>
        </w:rPr>
        <w:t xml:space="preserve">40 at the last time point in the </w:t>
      </w:r>
      <w:r w:rsidR="003F3AB4">
        <w:rPr>
          <w:rFonts w:asciiTheme="minorHAnsi" w:eastAsiaTheme="minorHAnsi" w:hAnsiTheme="minorHAnsi" w:cs="TimesNewRomanPSMT"/>
        </w:rPr>
        <w:t>double blind</w:t>
      </w:r>
      <w:r w:rsidRPr="00F560AC">
        <w:rPr>
          <w:rFonts w:asciiTheme="minorHAnsi" w:eastAsiaTheme="minorHAnsi" w:hAnsiTheme="minorHAnsi" w:cs="TimesNewRomanPSMT"/>
        </w:rPr>
        <w:t xml:space="preserve"> period. Of the</w:t>
      </w:r>
      <w:r>
        <w:rPr>
          <w:rFonts w:asciiTheme="minorHAnsi" w:eastAsiaTheme="minorHAnsi" w:hAnsiTheme="minorHAnsi" w:cs="TimesNewRomanPSMT"/>
        </w:rPr>
        <w:t xml:space="preserve"> </w:t>
      </w:r>
      <w:r w:rsidRPr="00F560AC">
        <w:rPr>
          <w:rFonts w:asciiTheme="minorHAnsi" w:eastAsiaTheme="minorHAnsi" w:hAnsiTheme="minorHAnsi" w:cs="TimesNewRomanPSMT"/>
        </w:rPr>
        <w:t>24 subjects in the placebo group who had a baseline HDL-c value ≤ 40 mg/</w:t>
      </w:r>
      <w:proofErr w:type="spellStart"/>
      <w:r w:rsidRPr="00F560AC">
        <w:rPr>
          <w:rFonts w:asciiTheme="minorHAnsi" w:eastAsiaTheme="minorHAnsi" w:hAnsiTheme="minorHAnsi" w:cs="TimesNewRomanPSMT"/>
        </w:rPr>
        <w:t>dL</w:t>
      </w:r>
      <w:proofErr w:type="spellEnd"/>
      <w:r w:rsidRPr="00F560AC">
        <w:rPr>
          <w:rFonts w:asciiTheme="minorHAnsi" w:eastAsiaTheme="minorHAnsi" w:hAnsiTheme="minorHAnsi" w:cs="TimesNewRomanPSMT"/>
        </w:rPr>
        <w:t>, 3 (13%)</w:t>
      </w:r>
      <w:r>
        <w:rPr>
          <w:rFonts w:asciiTheme="minorHAnsi" w:eastAsiaTheme="minorHAnsi" w:hAnsiTheme="minorHAnsi" w:cs="TimesNewRomanPSMT"/>
        </w:rPr>
        <w:t xml:space="preserve"> </w:t>
      </w:r>
      <w:r w:rsidRPr="00F560AC">
        <w:rPr>
          <w:rFonts w:asciiTheme="minorHAnsi" w:eastAsiaTheme="minorHAnsi" w:hAnsiTheme="minorHAnsi" w:cs="TimesNewRomanPSMT"/>
        </w:rPr>
        <w:t xml:space="preserve">achieved an HDL-c value </w:t>
      </w:r>
      <w:r w:rsidR="00B73619">
        <w:rPr>
          <w:rFonts w:asciiTheme="minorHAnsi" w:eastAsiaTheme="minorHAnsi" w:hAnsiTheme="minorHAnsi" w:cs="TimesNewRomanPSMT"/>
        </w:rPr>
        <w:t>&gt;</w:t>
      </w:r>
      <w:r w:rsidR="00CC672B">
        <w:rPr>
          <w:rFonts w:asciiTheme="minorHAnsi" w:eastAsiaTheme="minorHAnsi" w:hAnsiTheme="minorHAnsi" w:cs="TimesNewRomanPSMT"/>
        </w:rPr>
        <w:t xml:space="preserve"> </w:t>
      </w:r>
      <w:r w:rsidRPr="00F560AC">
        <w:rPr>
          <w:rFonts w:asciiTheme="minorHAnsi" w:eastAsiaTheme="minorHAnsi" w:hAnsiTheme="minorHAnsi" w:cs="TimesNewRomanPSMT"/>
        </w:rPr>
        <w:t>40</w:t>
      </w:r>
      <w:r>
        <w:rPr>
          <w:rFonts w:asciiTheme="minorHAnsi" w:eastAsiaTheme="minorHAnsi" w:hAnsiTheme="minorHAnsi" w:cs="TimesNewRomanPSMT"/>
        </w:rPr>
        <w:t>mg/dl</w:t>
      </w:r>
      <w:r w:rsidRPr="00F560AC">
        <w:rPr>
          <w:rFonts w:asciiTheme="minorHAnsi" w:eastAsiaTheme="minorHAnsi" w:hAnsiTheme="minorHAnsi" w:cs="TimesNewRomanPSMT"/>
        </w:rPr>
        <w:t xml:space="preserve"> at the last time point in the </w:t>
      </w:r>
      <w:r w:rsidR="003F3AB4">
        <w:rPr>
          <w:rFonts w:asciiTheme="minorHAnsi" w:eastAsiaTheme="minorHAnsi" w:hAnsiTheme="minorHAnsi" w:cs="TimesNewRomanPSMT"/>
        </w:rPr>
        <w:t>double blind</w:t>
      </w:r>
      <w:r w:rsidRPr="00F560AC">
        <w:rPr>
          <w:rFonts w:asciiTheme="minorHAnsi" w:eastAsiaTheme="minorHAnsi" w:hAnsiTheme="minorHAnsi" w:cs="TimesNewRomanPSMT"/>
        </w:rPr>
        <w:t xml:space="preserve"> period.</w:t>
      </w:r>
    </w:p>
    <w:p w14:paraId="2E5872B0" w14:textId="67444A4B" w:rsidR="00EA418E" w:rsidRDefault="00EA418E" w:rsidP="00EA418E">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A statistically significantly</w:t>
      </w:r>
      <w:r w:rsidRPr="008C2375">
        <w:rPr>
          <w:rFonts w:asciiTheme="minorHAnsi" w:eastAsiaTheme="minorHAnsi" w:hAnsiTheme="minorHAnsi" w:cs="TimesNewRomanPSMT"/>
        </w:rPr>
        <w:t xml:space="preserve"> greater mean percent decrease </w:t>
      </w:r>
      <w:r w:rsidR="00DE644C">
        <w:rPr>
          <w:rFonts w:asciiTheme="minorHAnsi" w:eastAsiaTheme="minorHAnsi" w:hAnsiTheme="minorHAnsi" w:cs="TimesNewRomanPSMT"/>
        </w:rPr>
        <w:t>from Baseline</w:t>
      </w:r>
      <w:r w:rsidRPr="008C2375">
        <w:rPr>
          <w:rFonts w:asciiTheme="minorHAnsi" w:eastAsiaTheme="minorHAnsi" w:hAnsiTheme="minorHAnsi" w:cs="TimesNewRomanPSMT"/>
        </w:rPr>
        <w:t xml:space="preserve"> to the last time point</w:t>
      </w:r>
      <w:r>
        <w:rPr>
          <w:rFonts w:asciiTheme="minorHAnsi" w:eastAsiaTheme="minorHAnsi" w:hAnsiTheme="minorHAnsi" w:cs="TimesNewRomanPSMT"/>
        </w:rPr>
        <w:t xml:space="preserve"> </w:t>
      </w:r>
      <w:r w:rsidRPr="008C2375">
        <w:rPr>
          <w:rFonts w:asciiTheme="minorHAnsi" w:eastAsiaTheme="minorHAnsi" w:hAnsiTheme="minorHAnsi" w:cs="TimesNewRomanPSMT"/>
        </w:rPr>
        <w:t xml:space="preserve">in the </w:t>
      </w:r>
      <w:r w:rsidR="003F3AB4">
        <w:rPr>
          <w:rFonts w:asciiTheme="minorHAnsi" w:eastAsiaTheme="minorHAnsi" w:hAnsiTheme="minorHAnsi" w:cs="TimesNewRomanPSMT"/>
        </w:rPr>
        <w:t>double blind</w:t>
      </w:r>
      <w:r w:rsidRPr="008C2375">
        <w:rPr>
          <w:rFonts w:asciiTheme="minorHAnsi" w:eastAsiaTheme="minorHAnsi" w:hAnsiTheme="minorHAnsi" w:cs="TimesNewRomanPSMT"/>
        </w:rPr>
        <w:t xml:space="preserve"> period in liver fat content was seen in the SA group </w:t>
      </w:r>
      <w:r>
        <w:rPr>
          <w:rFonts w:asciiTheme="minorHAnsi" w:eastAsiaTheme="minorHAnsi" w:hAnsiTheme="minorHAnsi" w:cs="TimesNewRomanPSMT"/>
        </w:rPr>
        <w:t xml:space="preserve">compared with </w:t>
      </w:r>
      <w:r w:rsidRPr="008C2375">
        <w:rPr>
          <w:rFonts w:asciiTheme="minorHAnsi" w:eastAsiaTheme="minorHAnsi" w:hAnsiTheme="minorHAnsi" w:cs="TimesNewRomanPSMT"/>
        </w:rPr>
        <w:t>the placebo group</w:t>
      </w:r>
      <w:r>
        <w:rPr>
          <w:rFonts w:asciiTheme="minorHAnsi" w:eastAsiaTheme="minorHAnsi" w:hAnsiTheme="minorHAnsi" w:cs="TimesNewRomanPSMT"/>
        </w:rPr>
        <w:t xml:space="preserve"> </w:t>
      </w:r>
      <w:r w:rsidR="00E57011">
        <w:rPr>
          <w:rFonts w:asciiTheme="minorHAnsi" w:eastAsiaTheme="minorHAnsi" w:hAnsiTheme="minorHAnsi" w:cs="TimesNewRomanPSMT"/>
        </w:rPr>
        <w:t>(</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 xml:space="preserve">31.98% </w:t>
      </w:r>
      <w:r w:rsidR="00B866BC">
        <w:rPr>
          <w:rFonts w:asciiTheme="minorHAnsi" w:eastAsiaTheme="minorHAnsi" w:hAnsiTheme="minorHAnsi" w:cs="TimesNewRomanPSMT"/>
        </w:rPr>
        <w:t>versus</w:t>
      </w:r>
      <w:r w:rsidR="00E57011">
        <w:rPr>
          <w:rFonts w:asciiTheme="minorHAnsi" w:eastAsiaTheme="minorHAnsi" w:hAnsiTheme="minorHAnsi" w:cs="TimesNewRomanPSMT"/>
        </w:rPr>
        <w:t xml:space="preserve">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 xml:space="preserve">4.21%, </w:t>
      </w:r>
      <w:r>
        <w:rPr>
          <w:rFonts w:asciiTheme="minorHAnsi" w:eastAsiaTheme="minorHAnsi" w:hAnsiTheme="minorHAnsi" w:cs="TimesNewRomanPSMT"/>
        </w:rPr>
        <w:t>diff</w:t>
      </w:r>
      <w:r w:rsidR="002D28A4">
        <w:rPr>
          <w:rFonts w:asciiTheme="minorHAnsi" w:eastAsiaTheme="minorHAnsi" w:hAnsiTheme="minorHAnsi" w:cs="TimesNewRomanPSMT"/>
        </w:rPr>
        <w:t xml:space="preserve"> = </w:t>
      </w:r>
      <w:r w:rsidR="00E57011">
        <w:rPr>
          <w:rFonts w:asciiTheme="minorHAnsi" w:eastAsiaTheme="minorHAnsi" w:hAnsiTheme="minorHAnsi" w:cs="TimesNewRomanPSMT"/>
        </w:rPr>
        <w:noBreakHyphen/>
      </w:r>
      <w:r w:rsidRPr="008C2375">
        <w:rPr>
          <w:rFonts w:asciiTheme="minorHAnsi" w:eastAsiaTheme="minorHAnsi" w:hAnsiTheme="minorHAnsi" w:cs="TimesNewRomanPSMT"/>
        </w:rPr>
        <w:t>27.77</w:t>
      </w:r>
      <w:r>
        <w:rPr>
          <w:rFonts w:asciiTheme="minorHAnsi" w:eastAsiaTheme="minorHAnsi" w:hAnsiTheme="minorHAnsi" w:cs="TimesNewRomanPSMT"/>
        </w:rPr>
        <w:t xml:space="preserve">%, </w:t>
      </w:r>
      <w:r w:rsidR="00E57011">
        <w:rPr>
          <w:rFonts w:asciiTheme="minorHAnsi" w:eastAsiaTheme="minorHAnsi" w:hAnsiTheme="minorHAnsi" w:cs="TimesNewRomanPSMT"/>
        </w:rPr>
        <w:t xml:space="preserve">p </w:t>
      </w:r>
      <w:r w:rsidR="00A87AAC">
        <w:rPr>
          <w:rFonts w:asciiTheme="minorHAnsi" w:eastAsiaTheme="minorHAnsi" w:hAnsiTheme="minorHAnsi" w:cs="TimesNewRomanPSMT"/>
        </w:rPr>
        <w:t xml:space="preserve">&lt; </w:t>
      </w:r>
      <w:r w:rsidR="00E57011">
        <w:rPr>
          <w:rFonts w:asciiTheme="minorHAnsi" w:eastAsiaTheme="minorHAnsi" w:hAnsiTheme="minorHAnsi" w:cs="TimesNewRomanPSMT"/>
        </w:rPr>
        <w:t>0</w:t>
      </w:r>
      <w:r w:rsidRPr="008C2375">
        <w:rPr>
          <w:rFonts w:asciiTheme="minorHAnsi" w:eastAsiaTheme="minorHAnsi" w:hAnsiTheme="minorHAnsi" w:cs="TimesNewRomanPSMT"/>
        </w:rPr>
        <w:t>.0001).</w:t>
      </w:r>
    </w:p>
    <w:p w14:paraId="12348E0D" w14:textId="4B75FE4B" w:rsidR="00EA418E" w:rsidRPr="008C09A5" w:rsidRDefault="00EA418E" w:rsidP="00EA418E">
      <w:pPr>
        <w:autoSpaceDE w:val="0"/>
        <w:autoSpaceDN w:val="0"/>
        <w:adjustRightInd w:val="0"/>
        <w:spacing w:before="0" w:line="240" w:lineRule="auto"/>
        <w:rPr>
          <w:rFonts w:asciiTheme="minorHAnsi" w:eastAsiaTheme="minorHAnsi" w:hAnsiTheme="minorHAnsi" w:cs="TimesNewRomanPSMT"/>
          <w:b/>
        </w:rPr>
      </w:pPr>
      <w:r>
        <w:rPr>
          <w:rFonts w:asciiTheme="minorHAnsi" w:eastAsiaTheme="minorHAnsi" w:hAnsiTheme="minorHAnsi" w:cs="TimesNewRomanPSMT"/>
        </w:rPr>
        <w:t>A</w:t>
      </w:r>
      <w:r w:rsidRPr="008C2375">
        <w:rPr>
          <w:rFonts w:asciiTheme="minorHAnsi" w:eastAsiaTheme="minorHAnsi" w:hAnsiTheme="minorHAnsi" w:cs="TimesNewRomanPSMT"/>
        </w:rPr>
        <w:t xml:space="preserve"> greater </w:t>
      </w:r>
      <w:r w:rsidRPr="005776C4">
        <w:rPr>
          <w:rFonts w:asciiTheme="minorHAnsi" w:eastAsiaTheme="minorHAnsi" w:hAnsiTheme="minorHAnsi" w:cs="TimesNewRomanPSMT"/>
        </w:rPr>
        <w:t xml:space="preserve">proportion of subjects in the SA group </w:t>
      </w:r>
      <w:r>
        <w:rPr>
          <w:rFonts w:asciiTheme="minorHAnsi" w:eastAsiaTheme="minorHAnsi" w:hAnsiTheme="minorHAnsi" w:cs="TimesNewRomanPSMT"/>
        </w:rPr>
        <w:t xml:space="preserve">(10/16, 63%) compared with </w:t>
      </w:r>
      <w:r w:rsidRPr="005776C4">
        <w:rPr>
          <w:rFonts w:asciiTheme="minorHAnsi" w:eastAsiaTheme="minorHAnsi" w:hAnsiTheme="minorHAnsi" w:cs="TimesNewRomanPSMT"/>
        </w:rPr>
        <w:t>the placebo group (</w:t>
      </w:r>
      <w:r>
        <w:rPr>
          <w:rFonts w:asciiTheme="minorHAnsi" w:eastAsiaTheme="minorHAnsi" w:hAnsiTheme="minorHAnsi" w:cs="TimesNewRomanPSMT"/>
        </w:rPr>
        <w:t xml:space="preserve">4/10, </w:t>
      </w:r>
      <w:r w:rsidRPr="005776C4">
        <w:rPr>
          <w:rFonts w:asciiTheme="minorHAnsi" w:eastAsiaTheme="minorHAnsi" w:hAnsiTheme="minorHAnsi" w:cs="TimesNewRomanPSMT"/>
        </w:rPr>
        <w:t>40%) experienced improvement in liver histology</w:t>
      </w:r>
      <w:r>
        <w:rPr>
          <w:rStyle w:val="FootnoteReference"/>
          <w:rFonts w:asciiTheme="minorHAnsi" w:eastAsiaTheme="minorHAnsi" w:hAnsiTheme="minorHAnsi" w:cs="TimesNewRomanPSMT"/>
        </w:rPr>
        <w:footnoteReference w:id="23"/>
      </w:r>
      <w:r w:rsidRPr="005776C4">
        <w:rPr>
          <w:rFonts w:asciiTheme="minorHAnsi" w:eastAsiaTheme="minorHAnsi" w:hAnsiTheme="minorHAnsi" w:cs="TimesNewRomanPSMT"/>
        </w:rPr>
        <w:t xml:space="preserve"> (steatosis by morphometry) </w:t>
      </w:r>
      <w:r w:rsidR="00DE644C">
        <w:rPr>
          <w:rFonts w:asciiTheme="minorHAnsi" w:eastAsiaTheme="minorHAnsi" w:hAnsiTheme="minorHAnsi" w:cs="TimesNewRomanPSMT"/>
        </w:rPr>
        <w:t>from Baseline</w:t>
      </w:r>
      <w:r w:rsidRPr="005776C4">
        <w:rPr>
          <w:rFonts w:asciiTheme="minorHAnsi" w:eastAsiaTheme="minorHAnsi" w:hAnsiTheme="minorHAnsi" w:cs="TimesNewRomanPSMT"/>
        </w:rPr>
        <w:t xml:space="preserve"> to the last time point in the </w:t>
      </w:r>
      <w:r w:rsidR="003F3AB4">
        <w:rPr>
          <w:rFonts w:asciiTheme="minorHAnsi" w:eastAsiaTheme="minorHAnsi" w:hAnsiTheme="minorHAnsi" w:cs="TimesNewRomanPSMT"/>
        </w:rPr>
        <w:t>double blind</w:t>
      </w:r>
      <w:r w:rsidRPr="005776C4">
        <w:rPr>
          <w:rFonts w:asciiTheme="minorHAnsi" w:eastAsiaTheme="minorHAnsi" w:hAnsiTheme="minorHAnsi" w:cs="TimesNewRomanPSMT"/>
        </w:rPr>
        <w:t xml:space="preserve"> period, as determined by central blinded read. </w:t>
      </w:r>
      <w:r>
        <w:rPr>
          <w:rFonts w:asciiTheme="minorHAnsi" w:eastAsiaTheme="minorHAnsi" w:hAnsiTheme="minorHAnsi" w:cs="TimesNewRomanPSMT"/>
        </w:rPr>
        <w:t>However, thi</w:t>
      </w:r>
      <w:r w:rsidRPr="005776C4">
        <w:rPr>
          <w:rFonts w:asciiTheme="minorHAnsi" w:eastAsiaTheme="minorHAnsi" w:hAnsiTheme="minorHAnsi" w:cs="TimesNewRomanPSMT"/>
        </w:rPr>
        <w:t>s 23</w:t>
      </w:r>
      <w:r w:rsidRPr="008C09A5">
        <w:rPr>
          <w:rFonts w:asciiTheme="minorHAnsi" w:eastAsiaTheme="minorHAnsi" w:hAnsiTheme="minorHAnsi" w:cs="TimesNewRomanPSMT"/>
        </w:rPr>
        <w:t>% difference between groups in favour of SA was not statistically significant. (p</w:t>
      </w:r>
      <w:r w:rsidR="002D28A4">
        <w:rPr>
          <w:rFonts w:asciiTheme="minorHAnsi" w:eastAsiaTheme="minorHAnsi" w:hAnsiTheme="minorHAnsi" w:cs="TimesNewRomanPSMT"/>
        </w:rPr>
        <w:t xml:space="preserve"> = </w:t>
      </w:r>
      <w:r w:rsidRPr="008C09A5">
        <w:rPr>
          <w:rFonts w:asciiTheme="minorHAnsi" w:eastAsiaTheme="minorHAnsi" w:hAnsiTheme="minorHAnsi" w:cs="TimesNewRomanPSMT"/>
        </w:rPr>
        <w:t>0.4216). All but 1 subject in the SA group included in this analysis (14 of 15 subjects;</w:t>
      </w:r>
      <w:r>
        <w:rPr>
          <w:rFonts w:asciiTheme="minorHAnsi" w:eastAsiaTheme="minorHAnsi" w:hAnsiTheme="minorHAnsi" w:cs="TimesNewRomanPSMT"/>
        </w:rPr>
        <w:t xml:space="preserve"> </w:t>
      </w:r>
      <w:r w:rsidRPr="008C09A5">
        <w:rPr>
          <w:rFonts w:asciiTheme="minorHAnsi" w:eastAsiaTheme="minorHAnsi" w:hAnsiTheme="minorHAnsi" w:cs="TimesNewRomanPSMT"/>
        </w:rPr>
        <w:t xml:space="preserve">93%) either had no change or improvement </w:t>
      </w:r>
      <w:r w:rsidR="00DE644C">
        <w:rPr>
          <w:rFonts w:asciiTheme="minorHAnsi" w:eastAsiaTheme="minorHAnsi" w:hAnsiTheme="minorHAnsi" w:cs="TimesNewRomanPSMT"/>
        </w:rPr>
        <w:t>from Baseline</w:t>
      </w:r>
      <w:r w:rsidRPr="008C09A5">
        <w:rPr>
          <w:rFonts w:asciiTheme="minorHAnsi" w:eastAsiaTheme="minorHAnsi" w:hAnsiTheme="minorHAnsi" w:cs="TimesNewRomanPSMT"/>
        </w:rPr>
        <w:t xml:space="preserve"> in steatosis, compared with</w:t>
      </w:r>
      <w:r>
        <w:rPr>
          <w:rFonts w:asciiTheme="minorHAnsi" w:eastAsiaTheme="minorHAnsi" w:hAnsiTheme="minorHAnsi" w:cs="TimesNewRomanPSMT"/>
        </w:rPr>
        <w:t xml:space="preserve"> </w:t>
      </w:r>
      <w:r w:rsidRPr="008C09A5">
        <w:rPr>
          <w:rFonts w:asciiTheme="minorHAnsi" w:eastAsiaTheme="minorHAnsi" w:hAnsiTheme="minorHAnsi" w:cs="TimesNewRomanPSMT"/>
        </w:rPr>
        <w:t>5 (50%) of 10 subjects in the placebo group.</w:t>
      </w:r>
      <w:r>
        <w:rPr>
          <w:rFonts w:asciiTheme="minorHAnsi" w:eastAsiaTheme="minorHAnsi" w:hAnsiTheme="minorHAnsi" w:cs="TimesNewRomanPSMT"/>
        </w:rPr>
        <w:t xml:space="preserve"> </w:t>
      </w:r>
      <w:r w:rsidRPr="008C09A5">
        <w:rPr>
          <w:rFonts w:asciiTheme="minorHAnsi" w:eastAsiaTheme="minorHAnsi" w:hAnsiTheme="minorHAnsi" w:cs="TimesNewRomanPSMT"/>
        </w:rPr>
        <w:t>A greater proportion of subjects in the placebo group (5 of 10 subjects; 50%) than in the</w:t>
      </w:r>
      <w:r>
        <w:rPr>
          <w:rFonts w:asciiTheme="minorHAnsi" w:eastAsiaTheme="minorHAnsi" w:hAnsiTheme="minorHAnsi" w:cs="TimesNewRomanPSMT"/>
        </w:rPr>
        <w:t xml:space="preserve"> </w:t>
      </w:r>
      <w:r w:rsidRPr="008C09A5">
        <w:rPr>
          <w:rFonts w:asciiTheme="minorHAnsi" w:eastAsiaTheme="minorHAnsi" w:hAnsiTheme="minorHAnsi" w:cs="TimesNewRomanPSMT"/>
        </w:rPr>
        <w:t xml:space="preserve">SA group (1 of 16 subjects; 6%), experienced worsening </w:t>
      </w:r>
      <w:r w:rsidR="00DE644C">
        <w:rPr>
          <w:rFonts w:asciiTheme="minorHAnsi" w:eastAsiaTheme="minorHAnsi" w:hAnsiTheme="minorHAnsi" w:cs="TimesNewRomanPSMT"/>
        </w:rPr>
        <w:t>from Baseline</w:t>
      </w:r>
      <w:r w:rsidRPr="008C09A5">
        <w:rPr>
          <w:rFonts w:asciiTheme="minorHAnsi" w:eastAsiaTheme="minorHAnsi" w:hAnsiTheme="minorHAnsi" w:cs="TimesNewRomanPSMT"/>
        </w:rPr>
        <w:t xml:space="preserve"> to the last time</w:t>
      </w:r>
      <w:r>
        <w:rPr>
          <w:rFonts w:asciiTheme="minorHAnsi" w:eastAsiaTheme="minorHAnsi" w:hAnsiTheme="minorHAnsi" w:cs="TimesNewRomanPSMT"/>
        </w:rPr>
        <w:t xml:space="preserve"> </w:t>
      </w:r>
      <w:r w:rsidRPr="008C09A5">
        <w:rPr>
          <w:rFonts w:asciiTheme="minorHAnsi" w:eastAsiaTheme="minorHAnsi" w:hAnsiTheme="minorHAnsi" w:cs="TimesNewRomanPSMT"/>
        </w:rPr>
        <w:t xml:space="preserve">point during the </w:t>
      </w:r>
      <w:r w:rsidR="003F3AB4">
        <w:rPr>
          <w:rFonts w:asciiTheme="minorHAnsi" w:eastAsiaTheme="minorHAnsi" w:hAnsiTheme="minorHAnsi" w:cs="TimesNewRomanPSMT"/>
        </w:rPr>
        <w:t>double blind</w:t>
      </w:r>
      <w:r w:rsidR="00E57011">
        <w:rPr>
          <w:rFonts w:asciiTheme="minorHAnsi" w:eastAsiaTheme="minorHAnsi" w:hAnsiTheme="minorHAnsi" w:cs="TimesNewRomanPSMT"/>
        </w:rPr>
        <w:t xml:space="preserve"> period in steatosis; a </w:t>
      </w:r>
      <w:r w:rsidR="00E57011">
        <w:rPr>
          <w:rFonts w:asciiTheme="minorHAnsi" w:eastAsiaTheme="minorHAnsi" w:hAnsiTheme="minorHAnsi" w:cs="TimesNewRomanPSMT"/>
        </w:rPr>
        <w:noBreakHyphen/>
      </w:r>
      <w:r w:rsidRPr="008C09A5">
        <w:rPr>
          <w:rFonts w:asciiTheme="minorHAnsi" w:eastAsiaTheme="minorHAnsi" w:hAnsiTheme="minorHAnsi" w:cs="TimesNewRomanPSMT"/>
        </w:rPr>
        <w:t>44% difference between groups in</w:t>
      </w:r>
      <w:r>
        <w:rPr>
          <w:rFonts w:asciiTheme="minorHAnsi" w:eastAsiaTheme="minorHAnsi" w:hAnsiTheme="minorHAnsi" w:cs="TimesNewRomanPSMT"/>
        </w:rPr>
        <w:t xml:space="preserve"> </w:t>
      </w:r>
      <w:r w:rsidRPr="008C09A5">
        <w:rPr>
          <w:rFonts w:asciiTheme="minorHAnsi" w:eastAsiaTheme="minorHAnsi" w:hAnsiTheme="minorHAnsi" w:cs="TimesNewRomanPSMT"/>
        </w:rPr>
        <w:t xml:space="preserve">favour of </w:t>
      </w:r>
      <w:proofErr w:type="spellStart"/>
      <w:r w:rsidRPr="008C09A5">
        <w:rPr>
          <w:rFonts w:asciiTheme="minorHAnsi" w:eastAsiaTheme="minorHAnsi" w:hAnsiTheme="minorHAnsi" w:cs="TimesNewRomanPSMT"/>
        </w:rPr>
        <w:t>sebelipase</w:t>
      </w:r>
      <w:proofErr w:type="spellEnd"/>
      <w:r w:rsidRPr="008C09A5">
        <w:rPr>
          <w:rFonts w:asciiTheme="minorHAnsi" w:eastAsiaTheme="minorHAnsi" w:hAnsiTheme="minorHAnsi" w:cs="TimesNewRomanPSMT"/>
        </w:rPr>
        <w:t xml:space="preserve"> alfa (p</w:t>
      </w:r>
      <w:r w:rsidR="002D28A4">
        <w:rPr>
          <w:rFonts w:asciiTheme="minorHAnsi" w:eastAsiaTheme="minorHAnsi" w:hAnsiTheme="minorHAnsi" w:cs="TimesNewRomanPSMT"/>
        </w:rPr>
        <w:t xml:space="preserve"> = </w:t>
      </w:r>
      <w:r w:rsidR="001B7A56" w:rsidRPr="008C09A5">
        <w:rPr>
          <w:rFonts w:asciiTheme="minorHAnsi" w:eastAsiaTheme="minorHAnsi" w:hAnsiTheme="minorHAnsi" w:cs="TimesNewRomanPSMT"/>
        </w:rPr>
        <w:t>0.</w:t>
      </w:r>
      <w:r w:rsidR="001B7A56" w:rsidRPr="00FE32BB">
        <w:rPr>
          <w:rFonts w:asciiTheme="minorHAnsi" w:eastAsiaTheme="minorHAnsi" w:hAnsiTheme="minorHAnsi" w:cs="TimesNewRomanPSMT"/>
        </w:rPr>
        <w:t>0184) (</w:t>
      </w:r>
      <w:r w:rsidRPr="00FE32BB">
        <w:rPr>
          <w:rFonts w:asciiTheme="minorHAnsi" w:eastAsiaTheme="minorHAnsi" w:hAnsiTheme="minorHAnsi" w:cs="TimesNewRomanPSMT"/>
        </w:rPr>
        <w:t xml:space="preserve">Table </w:t>
      </w:r>
      <w:r w:rsidR="00FE32BB" w:rsidRPr="00FE32BB">
        <w:rPr>
          <w:rFonts w:asciiTheme="minorHAnsi" w:eastAsiaTheme="minorHAnsi" w:hAnsiTheme="minorHAnsi" w:cs="TimesNewRomanPSMT"/>
        </w:rPr>
        <w:t>10</w:t>
      </w:r>
      <w:r w:rsidRPr="00FE32BB">
        <w:rPr>
          <w:rFonts w:asciiTheme="minorHAnsi" w:eastAsiaTheme="minorHAnsi" w:hAnsiTheme="minorHAnsi" w:cs="TimesNewRomanPSMT"/>
        </w:rPr>
        <w:t xml:space="preserve">, </w:t>
      </w:r>
      <w:r w:rsidR="00E57011" w:rsidRPr="00FE32BB">
        <w:rPr>
          <w:rFonts w:asciiTheme="minorHAnsi" w:eastAsiaTheme="minorHAnsi" w:hAnsiTheme="minorHAnsi" w:cs="TimesNewRomanPSMT"/>
        </w:rPr>
        <w:t>above</w:t>
      </w:r>
      <w:r w:rsidRPr="00FE32BB">
        <w:rPr>
          <w:rFonts w:asciiTheme="minorHAnsi" w:eastAsiaTheme="minorHAnsi" w:hAnsiTheme="minorHAnsi" w:cs="TimesNewRomanPSMT"/>
        </w:rPr>
        <w:t>).</w:t>
      </w:r>
      <w:r w:rsidRPr="00FE32BB">
        <w:rPr>
          <w:rFonts w:ascii="TimesNewRomanPSMT" w:eastAsiaTheme="minorHAnsi" w:hAnsi="TimesNewRomanPSMT" w:cs="TimesNewRomanPSMT"/>
          <w:sz w:val="24"/>
          <w:szCs w:val="24"/>
        </w:rPr>
        <w:t xml:space="preserve"> </w:t>
      </w:r>
      <w:r w:rsidRPr="00FE32BB">
        <w:rPr>
          <w:rFonts w:asciiTheme="minorHAnsi" w:eastAsiaTheme="minorHAnsi" w:hAnsiTheme="minorHAnsi" w:cs="TimesNewRomanPSMT"/>
        </w:rPr>
        <w:t>Because the between-group difference for hepatic steatosis by morphometry did not reach</w:t>
      </w:r>
      <w:r>
        <w:rPr>
          <w:rFonts w:asciiTheme="minorHAnsi" w:eastAsiaTheme="minorHAnsi" w:hAnsiTheme="minorHAnsi" w:cs="TimesNewRomanPSMT"/>
        </w:rPr>
        <w:t xml:space="preserve"> </w:t>
      </w:r>
      <w:r w:rsidRPr="008C09A5">
        <w:rPr>
          <w:rFonts w:asciiTheme="minorHAnsi" w:eastAsiaTheme="minorHAnsi" w:hAnsiTheme="minorHAnsi" w:cs="TimesNewRomanPSMT"/>
        </w:rPr>
        <w:t>statistical significance, the SAP did not allow formal statistical testing of the remaining</w:t>
      </w:r>
      <w:r>
        <w:rPr>
          <w:rFonts w:asciiTheme="minorHAnsi" w:eastAsiaTheme="minorHAnsi" w:hAnsiTheme="minorHAnsi" w:cs="TimesNewRomanPSMT"/>
        </w:rPr>
        <w:t xml:space="preserve"> </w:t>
      </w:r>
      <w:r w:rsidRPr="008C09A5">
        <w:rPr>
          <w:rFonts w:asciiTheme="minorHAnsi" w:eastAsiaTheme="minorHAnsi" w:hAnsiTheme="minorHAnsi" w:cs="TimesNewRomanPSMT"/>
        </w:rPr>
        <w:t>secondary endpoint, liver volume as assessed by MRI</w:t>
      </w:r>
    </w:p>
    <w:p w14:paraId="053A4079" w14:textId="08A952F9" w:rsidR="00EA418E" w:rsidRPr="005776C4" w:rsidRDefault="00EA418E" w:rsidP="00EA418E">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lastRenderedPageBreak/>
        <w:t>A</w:t>
      </w:r>
      <w:r w:rsidRPr="005776C4">
        <w:rPr>
          <w:rFonts w:asciiTheme="minorHAnsi" w:eastAsiaTheme="minorHAnsi" w:hAnsiTheme="minorHAnsi" w:cs="TimesNewRomanPSMT"/>
        </w:rPr>
        <w:t xml:space="preserve"> greater mean percent decrease </w:t>
      </w:r>
      <w:r w:rsidR="00DE644C">
        <w:rPr>
          <w:rFonts w:asciiTheme="minorHAnsi" w:eastAsiaTheme="minorHAnsi" w:hAnsiTheme="minorHAnsi" w:cs="TimesNewRomanPSMT"/>
        </w:rPr>
        <w:t>from Baseline</w:t>
      </w:r>
      <w:r w:rsidRPr="005776C4">
        <w:rPr>
          <w:rFonts w:asciiTheme="minorHAnsi" w:eastAsiaTheme="minorHAnsi" w:hAnsiTheme="minorHAnsi" w:cs="TimesNewRomanPSMT"/>
        </w:rPr>
        <w:t xml:space="preserve"> in liver volume was seen</w:t>
      </w:r>
      <w:r>
        <w:rPr>
          <w:rFonts w:asciiTheme="minorHAnsi" w:eastAsiaTheme="minorHAnsi" w:hAnsiTheme="minorHAnsi" w:cs="TimesNewRomanPSMT"/>
        </w:rPr>
        <w:t xml:space="preserve"> </w:t>
      </w:r>
      <w:r w:rsidRPr="005776C4">
        <w:rPr>
          <w:rFonts w:asciiTheme="minorHAnsi" w:eastAsiaTheme="minorHAnsi" w:hAnsiTheme="minorHAnsi" w:cs="TimesNewRomanPSMT"/>
        </w:rPr>
        <w:t xml:space="preserve">in the SA group than in the placebo group at the last time point in the </w:t>
      </w:r>
      <w:r w:rsidR="003F3AB4">
        <w:rPr>
          <w:rFonts w:asciiTheme="minorHAnsi" w:eastAsiaTheme="minorHAnsi" w:hAnsiTheme="minorHAnsi" w:cs="TimesNewRomanPSMT"/>
        </w:rPr>
        <w:t>double blind</w:t>
      </w:r>
      <w:r w:rsidRPr="005776C4">
        <w:rPr>
          <w:rFonts w:asciiTheme="minorHAnsi" w:eastAsiaTheme="minorHAnsi" w:hAnsiTheme="minorHAnsi" w:cs="TimesNewRomanPSMT"/>
        </w:rPr>
        <w:t xml:space="preserve"> treatment</w:t>
      </w:r>
      <w:r>
        <w:rPr>
          <w:rFonts w:asciiTheme="minorHAnsi" w:eastAsiaTheme="minorHAnsi" w:hAnsiTheme="minorHAnsi" w:cs="TimesNewRomanPSMT"/>
        </w:rPr>
        <w:t xml:space="preserve"> </w:t>
      </w:r>
      <w:r w:rsidR="00E57011">
        <w:rPr>
          <w:rFonts w:asciiTheme="minorHAnsi" w:eastAsiaTheme="minorHAnsi" w:hAnsiTheme="minorHAnsi" w:cs="TimesNewRomanPSMT"/>
        </w:rPr>
        <w:t>period (</w:t>
      </w:r>
      <w:r w:rsidR="00E57011">
        <w:rPr>
          <w:rFonts w:asciiTheme="minorHAnsi" w:eastAsiaTheme="minorHAnsi" w:hAnsiTheme="minorHAnsi" w:cs="TimesNewRomanPSMT"/>
        </w:rPr>
        <w:noBreakHyphen/>
      </w:r>
      <w:r w:rsidRPr="005776C4">
        <w:rPr>
          <w:rFonts w:asciiTheme="minorHAnsi" w:eastAsiaTheme="minorHAnsi" w:hAnsiTheme="minorHAnsi" w:cs="TimesNewRomanPSMT"/>
        </w:rPr>
        <w:t xml:space="preserve">10.28% </w:t>
      </w:r>
      <w:r w:rsidR="00B866BC">
        <w:rPr>
          <w:rFonts w:asciiTheme="minorHAnsi" w:eastAsiaTheme="minorHAnsi" w:hAnsiTheme="minorHAnsi" w:cs="TimesNewRomanPSMT"/>
        </w:rPr>
        <w:t>versus</w:t>
      </w:r>
      <w:r>
        <w:rPr>
          <w:rFonts w:asciiTheme="minorHAnsi" w:eastAsiaTheme="minorHAnsi" w:hAnsiTheme="minorHAnsi" w:cs="TimesNewRomanPSMT"/>
        </w:rPr>
        <w:t xml:space="preserve"> 2.66%).</w:t>
      </w:r>
    </w:p>
    <w:p w14:paraId="26C81AD4" w14:textId="77777777" w:rsidR="00B73619" w:rsidRDefault="00EA418E" w:rsidP="00EA418E">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 xml:space="preserve">These efficacy results were robust as results in FAS were also confirmed </w:t>
      </w:r>
      <w:r w:rsidRPr="005776C4">
        <w:rPr>
          <w:rFonts w:asciiTheme="minorHAnsi" w:eastAsiaTheme="minorHAnsi" w:hAnsiTheme="minorHAnsi" w:cs="TimesNewRomanPSMT"/>
        </w:rPr>
        <w:t>in the PP Set</w:t>
      </w:r>
      <w:r w:rsidR="00B73619">
        <w:rPr>
          <w:rFonts w:asciiTheme="minorHAnsi" w:eastAsiaTheme="minorHAnsi" w:hAnsiTheme="minorHAnsi" w:cs="TimesNewRomanPSMT"/>
        </w:rPr>
        <w:t>.</w:t>
      </w:r>
    </w:p>
    <w:p w14:paraId="65BA0BAF" w14:textId="77777777" w:rsidR="00CC672B" w:rsidRPr="00E57011" w:rsidRDefault="00EA418E" w:rsidP="00E57011">
      <w:pPr>
        <w:pStyle w:val="Heading6"/>
        <w:rPr>
          <w:rStyle w:val="Heading6Char"/>
          <w:rFonts w:eastAsiaTheme="minorHAnsi"/>
          <w:bCs/>
          <w:i/>
        </w:rPr>
      </w:pPr>
      <w:r w:rsidRPr="00E57011">
        <w:rPr>
          <w:rStyle w:val="Heading6Char"/>
          <w:rFonts w:eastAsiaTheme="minorHAnsi"/>
          <w:bCs/>
          <w:i/>
        </w:rPr>
        <w:t>Other efficacy results</w:t>
      </w:r>
    </w:p>
    <w:p w14:paraId="2D5F1C28" w14:textId="77777777" w:rsidR="00EA418E" w:rsidRPr="00E57011" w:rsidRDefault="00EA418E" w:rsidP="00E57011">
      <w:pPr>
        <w:pStyle w:val="Heading7"/>
        <w:rPr>
          <w:rFonts w:eastAsiaTheme="minorHAnsi"/>
          <w:sz w:val="20"/>
        </w:rPr>
      </w:pPr>
      <w:r w:rsidRPr="00E57011">
        <w:rPr>
          <w:rFonts w:eastAsiaTheme="minorHAnsi"/>
          <w:sz w:val="20"/>
        </w:rPr>
        <w:t>Explorator</w:t>
      </w:r>
      <w:r w:rsidR="00E57011" w:rsidRPr="00E57011">
        <w:rPr>
          <w:rFonts w:eastAsiaTheme="minorHAnsi"/>
          <w:sz w:val="20"/>
        </w:rPr>
        <w:t>y analysis of ALT normalisation</w:t>
      </w:r>
    </w:p>
    <w:p w14:paraId="34C7ED5E" w14:textId="66D009E8" w:rsidR="00B73619" w:rsidRDefault="00EA418E" w:rsidP="00EA418E">
      <w:pPr>
        <w:autoSpaceDE w:val="0"/>
        <w:autoSpaceDN w:val="0"/>
        <w:adjustRightInd w:val="0"/>
        <w:spacing w:before="0" w:line="240" w:lineRule="auto"/>
        <w:rPr>
          <w:rFonts w:asciiTheme="minorHAnsi" w:eastAsiaTheme="minorHAnsi" w:hAnsiTheme="minorHAnsi" w:cs="TimesNewRomanPSMT"/>
        </w:rPr>
      </w:pPr>
      <w:r w:rsidRPr="007564CE">
        <w:rPr>
          <w:rFonts w:asciiTheme="minorHAnsi" w:eastAsiaTheme="minorHAnsi" w:hAnsiTheme="minorHAnsi" w:cs="TimesNewRomanPSMT"/>
        </w:rPr>
        <w:t xml:space="preserve">An exploratory analysis of ALT using a recently used definition of improvement in </w:t>
      </w:r>
      <w:r w:rsidRPr="004F183D">
        <w:rPr>
          <w:rFonts w:asciiTheme="minorHAnsi" w:eastAsiaTheme="minorHAnsi" w:hAnsiTheme="minorHAnsi" w:cs="TimesNewRomanPSMT"/>
        </w:rPr>
        <w:t>ALT (</w:t>
      </w:r>
      <w:proofErr w:type="spellStart"/>
      <w:r w:rsidRPr="004F183D">
        <w:rPr>
          <w:rFonts w:asciiTheme="minorHAnsi" w:eastAsiaTheme="minorHAnsi" w:hAnsiTheme="minorHAnsi" w:cs="TimesNewRomanPSMT"/>
        </w:rPr>
        <w:t>Lavine</w:t>
      </w:r>
      <w:proofErr w:type="spellEnd"/>
      <w:r w:rsidRPr="004F183D">
        <w:rPr>
          <w:rFonts w:asciiTheme="minorHAnsi" w:eastAsiaTheme="minorHAnsi" w:hAnsiTheme="minorHAnsi" w:cs="TimesNewRomanPSMT"/>
        </w:rPr>
        <w:t xml:space="preserve">, 2011; </w:t>
      </w:r>
      <w:proofErr w:type="spellStart"/>
      <w:r w:rsidRPr="004F183D">
        <w:rPr>
          <w:rFonts w:asciiTheme="minorHAnsi" w:eastAsiaTheme="minorHAnsi" w:hAnsiTheme="minorHAnsi" w:cs="TimesNewRomanPSMT"/>
        </w:rPr>
        <w:t>Dohil</w:t>
      </w:r>
      <w:proofErr w:type="spellEnd"/>
      <w:r w:rsidRPr="004F183D">
        <w:rPr>
          <w:rFonts w:asciiTheme="minorHAnsi" w:eastAsiaTheme="minorHAnsi" w:hAnsiTheme="minorHAnsi" w:cs="TimesNewRomanPSMT"/>
        </w:rPr>
        <w:t>, 2011) was</w:t>
      </w:r>
      <w:r w:rsidRPr="007564CE">
        <w:rPr>
          <w:rFonts w:asciiTheme="minorHAnsi" w:eastAsiaTheme="minorHAnsi" w:hAnsiTheme="minorHAnsi" w:cs="TimesNewRomanPSMT"/>
        </w:rPr>
        <w:t xml:space="preserve"> performed in which improvement was de</w:t>
      </w:r>
      <w:r w:rsidR="00E57011">
        <w:rPr>
          <w:rFonts w:asciiTheme="minorHAnsi" w:eastAsiaTheme="minorHAnsi" w:hAnsiTheme="minorHAnsi" w:cs="TimesNewRomanPSMT"/>
        </w:rPr>
        <w:t>fined as a decrease in ALT to ≤ </w:t>
      </w:r>
      <w:r w:rsidRPr="007564CE">
        <w:rPr>
          <w:rFonts w:asciiTheme="minorHAnsi" w:eastAsiaTheme="minorHAnsi" w:hAnsiTheme="minorHAnsi" w:cs="TimesNewRomanPSMT"/>
        </w:rPr>
        <w:t xml:space="preserve">40 U/L or </w:t>
      </w:r>
      <w:r w:rsidRPr="008C09A5">
        <w:rPr>
          <w:rFonts w:asciiTheme="minorHAnsi" w:eastAsiaTheme="minorHAnsi" w:hAnsiTheme="minorHAnsi" w:cs="TimesNewRomanPSMT"/>
          <w:color w:val="000000"/>
        </w:rPr>
        <w:t xml:space="preserve">a </w:t>
      </w:r>
      <w:r w:rsidR="00B73619">
        <w:rPr>
          <w:rFonts w:asciiTheme="minorHAnsi" w:eastAsiaTheme="minorHAnsi" w:hAnsiTheme="minorHAnsi" w:cs="TimesNewRomanPSMT"/>
          <w:color w:val="000000"/>
        </w:rPr>
        <w:t>&gt;</w:t>
      </w:r>
      <w:r w:rsidR="00CC672B">
        <w:rPr>
          <w:rFonts w:asciiTheme="minorHAnsi" w:eastAsiaTheme="minorHAnsi" w:hAnsiTheme="minorHAnsi" w:cs="TimesNewRomanPSMT"/>
          <w:color w:val="000000"/>
        </w:rPr>
        <w:t xml:space="preserve"> </w:t>
      </w:r>
      <w:r w:rsidRPr="008C09A5">
        <w:rPr>
          <w:rFonts w:asciiTheme="minorHAnsi" w:eastAsiaTheme="minorHAnsi" w:hAnsiTheme="minorHAnsi" w:cs="TimesNewRomanPSMT"/>
          <w:color w:val="000000"/>
        </w:rPr>
        <w:t xml:space="preserve">50% reduction </w:t>
      </w:r>
      <w:r w:rsidR="00DE644C">
        <w:rPr>
          <w:rFonts w:asciiTheme="minorHAnsi" w:eastAsiaTheme="minorHAnsi" w:hAnsiTheme="minorHAnsi" w:cs="TimesNewRomanPSMT"/>
          <w:color w:val="000000"/>
        </w:rPr>
        <w:t>from Baseline</w:t>
      </w:r>
      <w:r w:rsidRPr="008C09A5">
        <w:rPr>
          <w:rFonts w:asciiTheme="minorHAnsi" w:eastAsiaTheme="minorHAnsi" w:hAnsiTheme="minorHAnsi" w:cs="TimesNewRomanPSMT"/>
        </w:rPr>
        <w:t xml:space="preserve"> in ALT. Across time points in the </w:t>
      </w:r>
      <w:r w:rsidR="003F3AB4">
        <w:rPr>
          <w:rFonts w:asciiTheme="minorHAnsi" w:eastAsiaTheme="minorHAnsi" w:hAnsiTheme="minorHAnsi" w:cs="TimesNewRomanPSMT"/>
        </w:rPr>
        <w:t>double blind</w:t>
      </w:r>
      <w:r>
        <w:rPr>
          <w:rFonts w:asciiTheme="minorHAnsi" w:eastAsiaTheme="minorHAnsi" w:hAnsiTheme="minorHAnsi" w:cs="TimesNewRomanPSMT"/>
        </w:rPr>
        <w:t xml:space="preserve"> </w:t>
      </w:r>
      <w:r w:rsidRPr="008C09A5">
        <w:rPr>
          <w:rFonts w:asciiTheme="minorHAnsi" w:eastAsiaTheme="minorHAnsi" w:hAnsiTheme="minorHAnsi" w:cs="TimesNewRomanPSMT"/>
        </w:rPr>
        <w:t>period, 37% (13</w:t>
      </w:r>
      <w:r>
        <w:rPr>
          <w:rFonts w:asciiTheme="minorHAnsi" w:eastAsiaTheme="minorHAnsi" w:hAnsiTheme="minorHAnsi" w:cs="TimesNewRomanPSMT"/>
        </w:rPr>
        <w:t>/</w:t>
      </w:r>
      <w:r w:rsidRPr="008C09A5">
        <w:rPr>
          <w:rFonts w:asciiTheme="minorHAnsi" w:eastAsiaTheme="minorHAnsi" w:hAnsiTheme="minorHAnsi" w:cs="TimesNewRomanPSMT"/>
        </w:rPr>
        <w:t>35), 46% (15</w:t>
      </w:r>
      <w:r>
        <w:rPr>
          <w:rFonts w:asciiTheme="minorHAnsi" w:eastAsiaTheme="minorHAnsi" w:hAnsiTheme="minorHAnsi" w:cs="TimesNewRomanPSMT"/>
        </w:rPr>
        <w:t xml:space="preserve">/ </w:t>
      </w:r>
      <w:r w:rsidRPr="008C09A5">
        <w:rPr>
          <w:rFonts w:asciiTheme="minorHAnsi" w:eastAsiaTheme="minorHAnsi" w:hAnsiTheme="minorHAnsi" w:cs="TimesNewRomanPSMT"/>
        </w:rPr>
        <w:t>33), 63% (22</w:t>
      </w:r>
      <w:r>
        <w:rPr>
          <w:rFonts w:asciiTheme="minorHAnsi" w:eastAsiaTheme="minorHAnsi" w:hAnsiTheme="minorHAnsi" w:cs="TimesNewRomanPSMT"/>
        </w:rPr>
        <w:t xml:space="preserve">/ </w:t>
      </w:r>
      <w:r w:rsidRPr="008C09A5">
        <w:rPr>
          <w:rFonts w:asciiTheme="minorHAnsi" w:eastAsiaTheme="minorHAnsi" w:hAnsiTheme="minorHAnsi" w:cs="TimesNewRomanPSMT"/>
        </w:rPr>
        <w:t>35), 63% (22</w:t>
      </w:r>
      <w:r>
        <w:rPr>
          <w:rFonts w:asciiTheme="minorHAnsi" w:eastAsiaTheme="minorHAnsi" w:hAnsiTheme="minorHAnsi" w:cs="TimesNewRomanPSMT"/>
        </w:rPr>
        <w:t>/</w:t>
      </w:r>
      <w:r w:rsidRPr="008C09A5">
        <w:rPr>
          <w:rFonts w:asciiTheme="minorHAnsi" w:eastAsiaTheme="minorHAnsi" w:hAnsiTheme="minorHAnsi" w:cs="TimesNewRomanPSMT"/>
        </w:rPr>
        <w:t>35), 68% (23</w:t>
      </w:r>
      <w:r>
        <w:rPr>
          <w:rFonts w:asciiTheme="minorHAnsi" w:eastAsiaTheme="minorHAnsi" w:hAnsiTheme="minorHAnsi" w:cs="TimesNewRomanPSMT"/>
        </w:rPr>
        <w:t xml:space="preserve">/ </w:t>
      </w:r>
      <w:r w:rsidRPr="008C09A5">
        <w:rPr>
          <w:rFonts w:asciiTheme="minorHAnsi" w:eastAsiaTheme="minorHAnsi" w:hAnsiTheme="minorHAnsi" w:cs="TimesNewRomanPSMT"/>
        </w:rPr>
        <w:t xml:space="preserve">34), 74% (26 </w:t>
      </w:r>
      <w:r>
        <w:rPr>
          <w:rFonts w:asciiTheme="minorHAnsi" w:eastAsiaTheme="minorHAnsi" w:hAnsiTheme="minorHAnsi" w:cs="TimesNewRomanPSMT"/>
        </w:rPr>
        <w:t>/ 35), 68% (23/</w:t>
      </w:r>
      <w:r w:rsidRPr="008C09A5">
        <w:rPr>
          <w:rFonts w:asciiTheme="minorHAnsi" w:eastAsiaTheme="minorHAnsi" w:hAnsiTheme="minorHAnsi" w:cs="TimesNewRomanPSMT"/>
        </w:rPr>
        <w:t xml:space="preserve"> 34), and 67% (24</w:t>
      </w:r>
      <w:r>
        <w:rPr>
          <w:rFonts w:asciiTheme="minorHAnsi" w:eastAsiaTheme="minorHAnsi" w:hAnsiTheme="minorHAnsi" w:cs="TimesNewRomanPSMT"/>
        </w:rPr>
        <w:t>/</w:t>
      </w:r>
      <w:r w:rsidRPr="008C09A5">
        <w:rPr>
          <w:rFonts w:asciiTheme="minorHAnsi" w:eastAsiaTheme="minorHAnsi" w:hAnsiTheme="minorHAnsi" w:cs="TimesNewRomanPSMT"/>
        </w:rPr>
        <w:t>36) subjects had improvement in</w:t>
      </w:r>
      <w:r>
        <w:rPr>
          <w:rFonts w:asciiTheme="minorHAnsi" w:eastAsiaTheme="minorHAnsi" w:hAnsiTheme="minorHAnsi" w:cs="TimesNewRomanPSMT"/>
        </w:rPr>
        <w:t xml:space="preserve"> </w:t>
      </w:r>
      <w:r w:rsidRPr="008C09A5">
        <w:rPr>
          <w:rFonts w:asciiTheme="minorHAnsi" w:eastAsiaTheme="minorHAnsi" w:hAnsiTheme="minorHAnsi" w:cs="TimesNewRomanPSMT"/>
        </w:rPr>
        <w:t>ALT using this alternate definition at Weeks 2, 4, 6, 10, 14, 18, and 20 and</w:t>
      </w:r>
      <w:r>
        <w:rPr>
          <w:rFonts w:asciiTheme="minorHAnsi" w:eastAsiaTheme="minorHAnsi" w:hAnsiTheme="minorHAnsi" w:cs="TimesNewRomanPSMT"/>
        </w:rPr>
        <w:t xml:space="preserve"> </w:t>
      </w:r>
      <w:r w:rsidRPr="008C09A5">
        <w:rPr>
          <w:rFonts w:asciiTheme="minorHAnsi" w:eastAsiaTheme="minorHAnsi" w:hAnsiTheme="minorHAnsi" w:cs="TimesNewRomanPSMT"/>
        </w:rPr>
        <w:t xml:space="preserve">at the last time point in the </w:t>
      </w:r>
      <w:r w:rsidR="003F3AB4">
        <w:rPr>
          <w:rFonts w:asciiTheme="minorHAnsi" w:eastAsiaTheme="minorHAnsi" w:hAnsiTheme="minorHAnsi" w:cs="TimesNewRomanPSMT"/>
        </w:rPr>
        <w:t>double blind</w:t>
      </w:r>
      <w:r w:rsidRPr="008C09A5">
        <w:rPr>
          <w:rFonts w:asciiTheme="minorHAnsi" w:eastAsiaTheme="minorHAnsi" w:hAnsiTheme="minorHAnsi" w:cs="TimesNewRomanPSMT"/>
        </w:rPr>
        <w:t xml:space="preserve"> period, respectively. In contrast, ≤ 14% of</w:t>
      </w:r>
      <w:r>
        <w:rPr>
          <w:rFonts w:asciiTheme="minorHAnsi" w:eastAsiaTheme="minorHAnsi" w:hAnsiTheme="minorHAnsi" w:cs="TimesNewRomanPSMT"/>
        </w:rPr>
        <w:t xml:space="preserve"> </w:t>
      </w:r>
      <w:r w:rsidRPr="008C09A5">
        <w:rPr>
          <w:rFonts w:asciiTheme="minorHAnsi" w:eastAsiaTheme="minorHAnsi" w:hAnsiTheme="minorHAnsi" w:cs="TimesNewRomanPSMT"/>
        </w:rPr>
        <w:t>subjects in the placebo group had ALT improvement, as defined using this alternative</w:t>
      </w:r>
      <w:r>
        <w:rPr>
          <w:rFonts w:asciiTheme="minorHAnsi" w:eastAsiaTheme="minorHAnsi" w:hAnsiTheme="minorHAnsi" w:cs="TimesNewRomanPSMT"/>
        </w:rPr>
        <w:t xml:space="preserve"> </w:t>
      </w:r>
      <w:r w:rsidRPr="008C09A5">
        <w:rPr>
          <w:rFonts w:asciiTheme="minorHAnsi" w:eastAsiaTheme="minorHAnsi" w:hAnsiTheme="minorHAnsi" w:cs="TimesNewRomanPSMT"/>
        </w:rPr>
        <w:t>definition, at any time point. The difference between the SA and placebo groups using</w:t>
      </w:r>
      <w:r>
        <w:rPr>
          <w:rFonts w:asciiTheme="minorHAnsi" w:eastAsiaTheme="minorHAnsi" w:hAnsiTheme="minorHAnsi" w:cs="TimesNewRomanPSMT"/>
        </w:rPr>
        <w:t xml:space="preserve"> </w:t>
      </w:r>
      <w:r w:rsidRPr="008C09A5">
        <w:rPr>
          <w:rFonts w:asciiTheme="minorHAnsi" w:eastAsiaTheme="minorHAnsi" w:hAnsiTheme="minorHAnsi" w:cs="TimesNewRomanPSMT"/>
        </w:rPr>
        <w:t>this definition of improvement was statistically significant at each time point assessed in</w:t>
      </w:r>
      <w:r>
        <w:rPr>
          <w:rFonts w:asciiTheme="minorHAnsi" w:eastAsiaTheme="minorHAnsi" w:hAnsiTheme="minorHAnsi" w:cs="TimesNewRomanPSMT"/>
        </w:rPr>
        <w:t xml:space="preserve"> </w:t>
      </w:r>
      <w:r w:rsidRPr="008C09A5">
        <w:rPr>
          <w:rFonts w:asciiTheme="minorHAnsi" w:eastAsiaTheme="minorHAnsi" w:hAnsiTheme="minorHAnsi" w:cs="TimesNewRomanPSMT"/>
        </w:rPr>
        <w:t xml:space="preserve">the </w:t>
      </w:r>
      <w:r w:rsidR="003F3AB4">
        <w:rPr>
          <w:rFonts w:asciiTheme="minorHAnsi" w:eastAsiaTheme="minorHAnsi" w:hAnsiTheme="minorHAnsi" w:cs="TimesNewRomanPSMT"/>
        </w:rPr>
        <w:t>double blind</w:t>
      </w:r>
      <w:r w:rsidRPr="008C09A5">
        <w:rPr>
          <w:rFonts w:asciiTheme="minorHAnsi" w:eastAsiaTheme="minorHAnsi" w:hAnsiTheme="minorHAnsi" w:cs="TimesNewRomanPSMT"/>
        </w:rPr>
        <w:t xml:space="preserve"> period (p</w:t>
      </w:r>
      <w:r w:rsidR="00E57011">
        <w:rPr>
          <w:rFonts w:asciiTheme="minorHAnsi" w:eastAsiaTheme="minorHAnsi" w:hAnsiTheme="minorHAnsi" w:cs="TimesNewRomanPSMT"/>
        </w:rPr>
        <w:t xml:space="preserve"> ≤ </w:t>
      </w:r>
      <w:r w:rsidRPr="008C09A5">
        <w:rPr>
          <w:rFonts w:asciiTheme="minorHAnsi" w:eastAsiaTheme="minorHAnsi" w:hAnsiTheme="minorHAnsi" w:cs="TimesNewRomanPSMT"/>
        </w:rPr>
        <w:t>0.0120)</w:t>
      </w:r>
      <w:r w:rsidR="00B73619">
        <w:rPr>
          <w:rFonts w:asciiTheme="minorHAnsi" w:eastAsiaTheme="minorHAnsi" w:hAnsiTheme="minorHAnsi" w:cs="TimesNewRomanPSMT"/>
        </w:rPr>
        <w:t>.</w:t>
      </w:r>
    </w:p>
    <w:p w14:paraId="74EA09E2" w14:textId="77777777" w:rsidR="00CC672B" w:rsidRDefault="00EA418E" w:rsidP="00EA418E">
      <w:pPr>
        <w:pStyle w:val="Heading7"/>
        <w:rPr>
          <w:rFonts w:eastAsiaTheme="minorHAnsi"/>
          <w:sz w:val="20"/>
        </w:rPr>
      </w:pPr>
      <w:r w:rsidRPr="00EA418E">
        <w:rPr>
          <w:rFonts w:eastAsiaTheme="minorHAnsi"/>
          <w:sz w:val="20"/>
        </w:rPr>
        <w:t xml:space="preserve">ALT/AST normalisation in the </w:t>
      </w:r>
      <w:r w:rsidR="00B73619">
        <w:rPr>
          <w:rFonts w:eastAsiaTheme="minorHAnsi"/>
          <w:sz w:val="20"/>
        </w:rPr>
        <w:t>open label</w:t>
      </w:r>
      <w:r w:rsidRPr="00EA418E">
        <w:rPr>
          <w:rFonts w:eastAsiaTheme="minorHAnsi"/>
          <w:sz w:val="20"/>
        </w:rPr>
        <w:t xml:space="preserve"> period</w:t>
      </w:r>
    </w:p>
    <w:p w14:paraId="518A2208" w14:textId="77777777" w:rsidR="00EA418E" w:rsidRDefault="00EA418E" w:rsidP="00EA418E">
      <w:pPr>
        <w:autoSpaceDE w:val="0"/>
        <w:autoSpaceDN w:val="0"/>
        <w:adjustRightInd w:val="0"/>
        <w:spacing w:before="0" w:line="240" w:lineRule="auto"/>
        <w:rPr>
          <w:rFonts w:asciiTheme="minorHAnsi" w:eastAsiaTheme="minorHAnsi" w:hAnsiTheme="minorHAnsi" w:cs="TimesNewRomanPSMT"/>
          <w:color w:val="000000"/>
        </w:rPr>
      </w:pPr>
      <w:r w:rsidRPr="007564CE">
        <w:rPr>
          <w:rFonts w:asciiTheme="minorHAnsi" w:eastAsiaTheme="minorHAnsi" w:hAnsiTheme="minorHAnsi" w:cs="TimesNewRomanPSMT"/>
          <w:color w:val="000000"/>
        </w:rPr>
        <w:t xml:space="preserve">Review of data in the </w:t>
      </w:r>
      <w:r w:rsidR="00B73619">
        <w:rPr>
          <w:rFonts w:asciiTheme="minorHAnsi" w:eastAsiaTheme="minorHAnsi" w:hAnsiTheme="minorHAnsi" w:cs="TimesNewRomanPSMT"/>
          <w:color w:val="000000"/>
        </w:rPr>
        <w:t>open label</w:t>
      </w:r>
      <w:r w:rsidRPr="007564CE">
        <w:rPr>
          <w:rFonts w:asciiTheme="minorHAnsi" w:eastAsiaTheme="minorHAnsi" w:hAnsiTheme="minorHAnsi" w:cs="TimesNewRomanPSMT"/>
          <w:color w:val="000000"/>
        </w:rPr>
        <w:t xml:space="preserve"> period through Week 36 (</w:t>
      </w:r>
      <w:r w:rsidR="00A87AAC">
        <w:rPr>
          <w:rFonts w:asciiTheme="minorHAnsi" w:eastAsiaTheme="minorHAnsi" w:hAnsiTheme="minorHAnsi" w:cs="TimesNewRomanPSMT"/>
          <w:color w:val="000000"/>
        </w:rPr>
        <w:t xml:space="preserve">&lt; </w:t>
      </w:r>
      <w:r w:rsidRPr="007564CE">
        <w:rPr>
          <w:rFonts w:asciiTheme="minorHAnsi" w:eastAsiaTheme="minorHAnsi" w:hAnsiTheme="minorHAnsi" w:cs="TimesNewRomanPSMT"/>
          <w:color w:val="000000"/>
        </w:rPr>
        <w:t>5 subjects in the</w:t>
      </w:r>
      <w:r>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 xml:space="preserve">placebo/SA group had data available </w:t>
      </w:r>
      <w:r w:rsidR="00B73619">
        <w:rPr>
          <w:rFonts w:asciiTheme="minorHAnsi" w:eastAsiaTheme="minorHAnsi" w:hAnsiTheme="minorHAnsi" w:cs="TimesNewRomanPSMT"/>
          <w:color w:val="000000"/>
        </w:rPr>
        <w:t>&gt;</w:t>
      </w:r>
      <w:r w:rsidR="00CC672B">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Week 14) revealed a sustained effect</w:t>
      </w:r>
      <w:r>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 xml:space="preserve">of </w:t>
      </w:r>
      <w:proofErr w:type="spellStart"/>
      <w:r w:rsidRPr="007564CE">
        <w:rPr>
          <w:rFonts w:asciiTheme="minorHAnsi" w:eastAsiaTheme="minorHAnsi" w:hAnsiTheme="minorHAnsi" w:cs="TimesNewRomanPSMT"/>
          <w:color w:val="000000"/>
        </w:rPr>
        <w:t>sebelipase</w:t>
      </w:r>
      <w:proofErr w:type="spellEnd"/>
      <w:r w:rsidRPr="007564CE">
        <w:rPr>
          <w:rFonts w:asciiTheme="minorHAnsi" w:eastAsiaTheme="minorHAnsi" w:hAnsiTheme="minorHAnsi" w:cs="TimesNewRomanPSMT"/>
          <w:color w:val="000000"/>
        </w:rPr>
        <w:t xml:space="preserve"> alfa on ALT normalisation over a longer duration of treatment. The</w:t>
      </w:r>
      <w:r>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proportions of subjects in the SA group with ALT normalisation were 41% (13 of 32),</w:t>
      </w:r>
      <w:r>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46% (12</w:t>
      </w:r>
      <w:r>
        <w:rPr>
          <w:rFonts w:asciiTheme="minorHAnsi" w:eastAsiaTheme="minorHAnsi" w:hAnsiTheme="minorHAnsi" w:cs="TimesNewRomanPSMT"/>
          <w:color w:val="000000"/>
        </w:rPr>
        <w:t>/</w:t>
      </w:r>
      <w:r w:rsidRPr="007564CE">
        <w:rPr>
          <w:rFonts w:asciiTheme="minorHAnsi" w:eastAsiaTheme="minorHAnsi" w:hAnsiTheme="minorHAnsi" w:cs="TimesNewRomanPSMT"/>
          <w:color w:val="000000"/>
        </w:rPr>
        <w:t>26), 36% (8</w:t>
      </w:r>
      <w:r>
        <w:rPr>
          <w:rFonts w:asciiTheme="minorHAnsi" w:eastAsiaTheme="minorHAnsi" w:hAnsiTheme="minorHAnsi" w:cs="TimesNewRomanPSMT"/>
          <w:color w:val="000000"/>
        </w:rPr>
        <w:t>/</w:t>
      </w:r>
      <w:r w:rsidRPr="007564CE">
        <w:rPr>
          <w:rFonts w:asciiTheme="minorHAnsi" w:eastAsiaTheme="minorHAnsi" w:hAnsiTheme="minorHAnsi" w:cs="TimesNewRomanPSMT"/>
          <w:color w:val="000000"/>
        </w:rPr>
        <w:t>22), 42% (8</w:t>
      </w:r>
      <w:r>
        <w:rPr>
          <w:rFonts w:asciiTheme="minorHAnsi" w:eastAsiaTheme="minorHAnsi" w:hAnsiTheme="minorHAnsi" w:cs="TimesNewRomanPSMT"/>
          <w:color w:val="000000"/>
        </w:rPr>
        <w:t>/</w:t>
      </w:r>
      <w:r w:rsidRPr="007564CE">
        <w:rPr>
          <w:rFonts w:asciiTheme="minorHAnsi" w:eastAsiaTheme="minorHAnsi" w:hAnsiTheme="minorHAnsi" w:cs="TimesNewRomanPSMT"/>
          <w:color w:val="000000"/>
        </w:rPr>
        <w:t>19), 44% (7</w:t>
      </w:r>
      <w:r>
        <w:rPr>
          <w:rFonts w:asciiTheme="minorHAnsi" w:eastAsiaTheme="minorHAnsi" w:hAnsiTheme="minorHAnsi" w:cs="TimesNewRomanPSMT"/>
          <w:color w:val="000000"/>
        </w:rPr>
        <w:t>/</w:t>
      </w:r>
      <w:r w:rsidRPr="007564CE">
        <w:rPr>
          <w:rFonts w:asciiTheme="minorHAnsi" w:eastAsiaTheme="minorHAnsi" w:hAnsiTheme="minorHAnsi" w:cs="TimesNewRomanPSMT"/>
          <w:color w:val="000000"/>
        </w:rPr>
        <w:t>16), and 44% (4</w:t>
      </w:r>
      <w:r>
        <w:rPr>
          <w:rFonts w:asciiTheme="minorHAnsi" w:eastAsiaTheme="minorHAnsi" w:hAnsiTheme="minorHAnsi" w:cs="TimesNewRomanPSMT"/>
          <w:color w:val="000000"/>
        </w:rPr>
        <w:t>/</w:t>
      </w:r>
      <w:r w:rsidRPr="007564CE">
        <w:rPr>
          <w:rFonts w:asciiTheme="minorHAnsi" w:eastAsiaTheme="minorHAnsi" w:hAnsiTheme="minorHAnsi" w:cs="TimesNewRomanPSMT"/>
          <w:color w:val="000000"/>
        </w:rPr>
        <w:t>9) at Weeks</w:t>
      </w:r>
      <w:r>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22, 24, 26, 28, 32 and 36, respectively. Among subjects in the</w:t>
      </w:r>
      <w:r>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 xml:space="preserve">placebo group in the </w:t>
      </w:r>
      <w:r w:rsidR="003F3AB4">
        <w:rPr>
          <w:rFonts w:asciiTheme="minorHAnsi" w:eastAsiaTheme="minorHAnsi" w:hAnsiTheme="minorHAnsi" w:cs="TimesNewRomanPSMT"/>
          <w:color w:val="000000"/>
        </w:rPr>
        <w:t>double blind</w:t>
      </w:r>
      <w:r w:rsidRPr="007564CE">
        <w:rPr>
          <w:rFonts w:asciiTheme="minorHAnsi" w:eastAsiaTheme="minorHAnsi" w:hAnsiTheme="minorHAnsi" w:cs="TimesNewRomanPSMT"/>
          <w:color w:val="000000"/>
        </w:rPr>
        <w:t xml:space="preserve"> period who switched to </w:t>
      </w:r>
      <w:proofErr w:type="spellStart"/>
      <w:r w:rsidRPr="007564CE">
        <w:rPr>
          <w:rFonts w:asciiTheme="minorHAnsi" w:eastAsiaTheme="minorHAnsi" w:hAnsiTheme="minorHAnsi" w:cs="TimesNewRomanPSMT"/>
          <w:color w:val="000000"/>
        </w:rPr>
        <w:t>sebelipase</w:t>
      </w:r>
      <w:proofErr w:type="spellEnd"/>
      <w:r w:rsidRPr="007564CE">
        <w:rPr>
          <w:rFonts w:asciiTheme="minorHAnsi" w:eastAsiaTheme="minorHAnsi" w:hAnsiTheme="minorHAnsi" w:cs="TimesNewRomanPSMT"/>
          <w:color w:val="000000"/>
        </w:rPr>
        <w:t xml:space="preserve"> alfa in the open</w:t>
      </w:r>
      <w:r>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label</w:t>
      </w:r>
      <w:r>
        <w:rPr>
          <w:rFonts w:asciiTheme="minorHAnsi" w:eastAsiaTheme="minorHAnsi" w:hAnsiTheme="minorHAnsi" w:cs="TimesNewRomanPSMT"/>
          <w:color w:val="000000"/>
        </w:rPr>
        <w:t xml:space="preserve"> </w:t>
      </w:r>
      <w:r w:rsidRPr="007564CE">
        <w:rPr>
          <w:rFonts w:asciiTheme="minorHAnsi" w:eastAsiaTheme="minorHAnsi" w:hAnsiTheme="minorHAnsi" w:cs="TimesNewRomanPSMT"/>
          <w:color w:val="000000"/>
        </w:rPr>
        <w:t>period (</w:t>
      </w:r>
      <w:r w:rsidR="003F3AB4">
        <w:rPr>
          <w:rFonts w:asciiTheme="minorHAnsi" w:eastAsiaTheme="minorHAnsi" w:hAnsiTheme="minorHAnsi" w:cs="TimesNewRomanPSMT"/>
          <w:color w:val="000000"/>
        </w:rPr>
        <w:t>that is</w:t>
      </w:r>
      <w:r w:rsidRPr="007564CE">
        <w:rPr>
          <w:rFonts w:asciiTheme="minorHAnsi" w:eastAsiaTheme="minorHAnsi" w:hAnsiTheme="minorHAnsi" w:cs="TimesNewRomanPSMT"/>
          <w:color w:val="000000"/>
        </w:rPr>
        <w:t>, the placebo/SA group), 22</w:t>
      </w:r>
      <w:r>
        <w:rPr>
          <w:rFonts w:asciiTheme="minorHAnsi" w:eastAsiaTheme="minorHAnsi" w:hAnsiTheme="minorHAnsi" w:cs="TimesNewRomanPSMT"/>
          <w:color w:val="000000"/>
        </w:rPr>
        <w:t>% (6/</w:t>
      </w:r>
      <w:r w:rsidRPr="007564CE">
        <w:rPr>
          <w:rFonts w:asciiTheme="minorHAnsi" w:eastAsiaTheme="minorHAnsi" w:hAnsiTheme="minorHAnsi" w:cs="TimesNewRomanPSMT"/>
          <w:color w:val="000000"/>
        </w:rPr>
        <w:t>27) had achieved ALT normalisation</w:t>
      </w:r>
      <w:r>
        <w:rPr>
          <w:rFonts w:asciiTheme="minorHAnsi" w:eastAsiaTheme="minorHAnsi" w:hAnsiTheme="minorHAnsi" w:cs="TimesNewRomanPSMT"/>
          <w:color w:val="000000"/>
        </w:rPr>
        <w:t xml:space="preserve"> by Week 2, with 22% (4/</w:t>
      </w:r>
      <w:r w:rsidRPr="007564CE">
        <w:rPr>
          <w:rFonts w:asciiTheme="minorHAnsi" w:eastAsiaTheme="minorHAnsi" w:hAnsiTheme="minorHAnsi" w:cs="TimesNewRomanPSMT"/>
          <w:color w:val="000000"/>
        </w:rPr>
        <w:t>18), 21% (3</w:t>
      </w:r>
      <w:r>
        <w:rPr>
          <w:rFonts w:asciiTheme="minorHAnsi" w:eastAsiaTheme="minorHAnsi" w:hAnsiTheme="minorHAnsi" w:cs="TimesNewRomanPSMT"/>
          <w:color w:val="000000"/>
        </w:rPr>
        <w:t xml:space="preserve">/14), 25% (3/ </w:t>
      </w:r>
      <w:r w:rsidRPr="007564CE">
        <w:rPr>
          <w:rFonts w:asciiTheme="minorHAnsi" w:eastAsiaTheme="minorHAnsi" w:hAnsiTheme="minorHAnsi" w:cs="TimesNewRomanPSMT"/>
          <w:color w:val="000000"/>
        </w:rPr>
        <w:t>12), and 44% (4</w:t>
      </w:r>
      <w:r w:rsidRPr="006E0E29">
        <w:rPr>
          <w:rFonts w:asciiTheme="minorHAnsi" w:eastAsiaTheme="minorHAnsi" w:hAnsiTheme="minorHAnsi" w:cs="TimesNewRomanPSMT"/>
          <w:color w:val="000000"/>
        </w:rPr>
        <w:t xml:space="preserve">/9) achieving ALT normalisation at Weeks 4, 6, 10 and 14, </w:t>
      </w:r>
      <w:r w:rsidRPr="00112368">
        <w:rPr>
          <w:rFonts w:asciiTheme="minorHAnsi" w:eastAsiaTheme="minorHAnsi" w:hAnsiTheme="minorHAnsi" w:cs="TimesNewRomanPSMT"/>
          <w:color w:val="000000"/>
        </w:rPr>
        <w:t xml:space="preserve">respectively </w:t>
      </w:r>
      <w:r w:rsidR="00E57011" w:rsidRPr="00112368">
        <w:rPr>
          <w:rFonts w:asciiTheme="minorHAnsi" w:eastAsiaTheme="minorHAnsi" w:hAnsiTheme="minorHAnsi" w:cs="TimesNewRomanPSMT"/>
          <w:color w:val="000000"/>
        </w:rPr>
        <w:t xml:space="preserve">(Figure </w:t>
      </w:r>
      <w:r w:rsidR="008267BC">
        <w:rPr>
          <w:rFonts w:asciiTheme="minorHAnsi" w:eastAsiaTheme="minorHAnsi" w:hAnsiTheme="minorHAnsi" w:cs="TimesNewRomanPSMT"/>
          <w:color w:val="000000"/>
        </w:rPr>
        <w:t>6</w:t>
      </w:r>
      <w:r w:rsidRPr="00112368">
        <w:rPr>
          <w:rFonts w:asciiTheme="minorHAnsi" w:eastAsiaTheme="minorHAnsi" w:hAnsiTheme="minorHAnsi" w:cs="TimesNewRomanPSMT"/>
          <w:color w:val="000000"/>
        </w:rPr>
        <w:t>)</w:t>
      </w:r>
      <w:r w:rsidR="00B73619" w:rsidRPr="00112368">
        <w:rPr>
          <w:rFonts w:asciiTheme="minorHAnsi" w:eastAsiaTheme="minorHAnsi" w:hAnsiTheme="minorHAnsi" w:cs="TimesNewRomanPSMT"/>
          <w:color w:val="000000"/>
        </w:rPr>
        <w:t xml:space="preserve">. </w:t>
      </w:r>
      <w:r w:rsidRPr="00112368">
        <w:rPr>
          <w:rFonts w:asciiTheme="minorHAnsi" w:eastAsiaTheme="minorHAnsi" w:hAnsiTheme="minorHAnsi" w:cs="TimesNewRomanPSMT"/>
          <w:color w:val="000000"/>
        </w:rPr>
        <w:t>Review of</w:t>
      </w:r>
      <w:r w:rsidRPr="006E0E29">
        <w:rPr>
          <w:rFonts w:asciiTheme="minorHAnsi" w:eastAsiaTheme="minorHAnsi" w:hAnsiTheme="minorHAnsi" w:cs="TimesNewRomanPSMT"/>
          <w:color w:val="000000"/>
        </w:rPr>
        <w:t xml:space="preserve"> data in the </w:t>
      </w:r>
      <w:r w:rsidR="00B73619">
        <w:rPr>
          <w:rFonts w:asciiTheme="minorHAnsi" w:eastAsiaTheme="minorHAnsi" w:hAnsiTheme="minorHAnsi" w:cs="TimesNewRomanPSMT"/>
          <w:color w:val="000000"/>
        </w:rPr>
        <w:t>open label</w:t>
      </w:r>
      <w:r w:rsidRPr="006E0E29">
        <w:rPr>
          <w:rFonts w:asciiTheme="minorHAnsi" w:eastAsiaTheme="minorHAnsi" w:hAnsiTheme="minorHAnsi" w:cs="TimesNewRomanPSMT"/>
          <w:color w:val="000000"/>
        </w:rPr>
        <w:t xml:space="preserve"> period through Week 36 revealed a sustained effect of </w:t>
      </w:r>
      <w:proofErr w:type="spellStart"/>
      <w:r w:rsidRPr="006E0E29">
        <w:rPr>
          <w:rFonts w:asciiTheme="minorHAnsi" w:eastAsiaTheme="minorHAnsi" w:hAnsiTheme="minorHAnsi" w:cs="TimesNewRomanPSMT"/>
          <w:color w:val="000000"/>
        </w:rPr>
        <w:t>sebelipase</w:t>
      </w:r>
      <w:proofErr w:type="spellEnd"/>
      <w:r w:rsidRPr="006E0E29">
        <w:rPr>
          <w:rFonts w:asciiTheme="minorHAnsi" w:eastAsiaTheme="minorHAnsi" w:hAnsiTheme="minorHAnsi" w:cs="TimesNewRomanPSMT"/>
          <w:color w:val="000000"/>
        </w:rPr>
        <w:t xml:space="preserve"> alfa on</w:t>
      </w:r>
      <w:r>
        <w:rPr>
          <w:rFonts w:asciiTheme="minorHAnsi" w:eastAsiaTheme="minorHAnsi" w:hAnsiTheme="minorHAnsi" w:cs="TimesNewRomanPSMT"/>
          <w:color w:val="000000"/>
        </w:rPr>
        <w:t xml:space="preserve"> </w:t>
      </w:r>
      <w:r w:rsidRPr="006E0E29">
        <w:rPr>
          <w:rFonts w:asciiTheme="minorHAnsi" w:eastAsiaTheme="minorHAnsi" w:hAnsiTheme="minorHAnsi" w:cs="TimesNewRomanPSMT"/>
          <w:color w:val="000000"/>
        </w:rPr>
        <w:t>AST normalisation over a longer duration of treatment. The proportions of subjects in the</w:t>
      </w:r>
      <w:r>
        <w:rPr>
          <w:rFonts w:asciiTheme="minorHAnsi" w:eastAsiaTheme="minorHAnsi" w:hAnsiTheme="minorHAnsi" w:cs="TimesNewRomanPSMT"/>
          <w:color w:val="000000"/>
        </w:rPr>
        <w:t xml:space="preserve"> </w:t>
      </w:r>
      <w:r w:rsidRPr="006E0E29">
        <w:rPr>
          <w:rFonts w:asciiTheme="minorHAnsi" w:eastAsiaTheme="minorHAnsi" w:hAnsiTheme="minorHAnsi" w:cs="TimesNewRomanPSMT"/>
          <w:color w:val="000000"/>
        </w:rPr>
        <w:t>SA group with AST normalisation were 58% (18/31), 62% (16 of 26), 41% (9 of 22),</w:t>
      </w:r>
      <w:r>
        <w:rPr>
          <w:rFonts w:asciiTheme="minorHAnsi" w:eastAsiaTheme="minorHAnsi" w:hAnsiTheme="minorHAnsi" w:cs="TimesNewRomanPSMT"/>
          <w:color w:val="000000"/>
        </w:rPr>
        <w:t xml:space="preserve"> </w:t>
      </w:r>
      <w:r w:rsidRPr="006E0E29">
        <w:rPr>
          <w:rFonts w:asciiTheme="minorHAnsi" w:eastAsiaTheme="minorHAnsi" w:hAnsiTheme="minorHAnsi" w:cs="TimesNewRomanPSMT"/>
          <w:color w:val="000000"/>
        </w:rPr>
        <w:t>58% (11 of 19), 53% (8 of 15), and 67% (6 of 9) at Weeks 22, 24, 26, 28, 32, and 36,</w:t>
      </w:r>
      <w:r>
        <w:rPr>
          <w:rFonts w:asciiTheme="minorHAnsi" w:eastAsiaTheme="minorHAnsi" w:hAnsiTheme="minorHAnsi" w:cs="TimesNewRomanPSMT"/>
          <w:color w:val="000000"/>
        </w:rPr>
        <w:t xml:space="preserve"> </w:t>
      </w:r>
      <w:r w:rsidRPr="006E0E29">
        <w:rPr>
          <w:rFonts w:asciiTheme="minorHAnsi" w:eastAsiaTheme="minorHAnsi" w:hAnsiTheme="minorHAnsi" w:cs="TimesNewRomanPSMT"/>
          <w:color w:val="000000"/>
        </w:rPr>
        <w:t>respectively. Among subjects in the placebo/SA group, by Week 2, with 15% (4 of</w:t>
      </w:r>
      <w:r>
        <w:rPr>
          <w:rFonts w:asciiTheme="minorHAnsi" w:eastAsiaTheme="minorHAnsi" w:hAnsiTheme="minorHAnsi" w:cs="TimesNewRomanPSMT"/>
          <w:color w:val="000000"/>
        </w:rPr>
        <w:t xml:space="preserve"> </w:t>
      </w:r>
      <w:r w:rsidRPr="006E0E29">
        <w:rPr>
          <w:rFonts w:asciiTheme="minorHAnsi" w:eastAsiaTheme="minorHAnsi" w:hAnsiTheme="minorHAnsi" w:cs="TimesNewRomanPSMT"/>
          <w:color w:val="000000"/>
        </w:rPr>
        <w:t>27) 33% (6 of 18), 43% (6 of 14), 58%</w:t>
      </w:r>
      <w:r>
        <w:rPr>
          <w:rFonts w:asciiTheme="minorHAnsi" w:eastAsiaTheme="minorHAnsi" w:hAnsiTheme="minorHAnsi" w:cs="TimesNewRomanPSMT"/>
          <w:color w:val="000000"/>
        </w:rPr>
        <w:t xml:space="preserve"> </w:t>
      </w:r>
      <w:r w:rsidRPr="006E0E29">
        <w:rPr>
          <w:rFonts w:asciiTheme="minorHAnsi" w:eastAsiaTheme="minorHAnsi" w:hAnsiTheme="minorHAnsi" w:cs="TimesNewRomanPSMT"/>
          <w:color w:val="000000"/>
        </w:rPr>
        <w:t xml:space="preserve">(7 of 12), and 38% (3 of 8) had achieved AST normalisation at Weeks </w:t>
      </w:r>
      <w:r>
        <w:rPr>
          <w:rFonts w:asciiTheme="minorHAnsi" w:eastAsiaTheme="minorHAnsi" w:hAnsiTheme="minorHAnsi" w:cs="TimesNewRomanPSMT"/>
          <w:color w:val="000000"/>
        </w:rPr>
        <w:t xml:space="preserve">2, </w:t>
      </w:r>
      <w:r w:rsidRPr="006E0E29">
        <w:rPr>
          <w:rFonts w:asciiTheme="minorHAnsi" w:eastAsiaTheme="minorHAnsi" w:hAnsiTheme="minorHAnsi" w:cs="TimesNewRomanPSMT"/>
          <w:color w:val="000000"/>
        </w:rPr>
        <w:t>4, 6, 10 and 14,</w:t>
      </w:r>
      <w:r>
        <w:rPr>
          <w:rFonts w:asciiTheme="minorHAnsi" w:eastAsiaTheme="minorHAnsi" w:hAnsiTheme="minorHAnsi" w:cs="TimesNewRomanPSMT"/>
          <w:color w:val="000000"/>
        </w:rPr>
        <w:t xml:space="preserve"> </w:t>
      </w:r>
      <w:r w:rsidRPr="006E0E29">
        <w:rPr>
          <w:rFonts w:asciiTheme="minorHAnsi" w:eastAsiaTheme="minorHAnsi" w:hAnsiTheme="minorHAnsi" w:cs="TimesNewRomanPSMT"/>
          <w:color w:val="000000"/>
        </w:rPr>
        <w:t>respectively</w:t>
      </w:r>
      <w:r>
        <w:rPr>
          <w:rFonts w:asciiTheme="minorHAnsi" w:eastAsiaTheme="minorHAnsi" w:hAnsiTheme="minorHAnsi" w:cs="TimesNewRomanPSMT"/>
          <w:color w:val="000000"/>
        </w:rPr>
        <w:t>.</w:t>
      </w:r>
    </w:p>
    <w:p w14:paraId="3B485B5B" w14:textId="77777777" w:rsidR="00E57011" w:rsidRDefault="00E57011" w:rsidP="00E57011">
      <w:pPr>
        <w:pStyle w:val="FigureTitle"/>
        <w:keepNext/>
      </w:pPr>
      <w:r>
        <w:lastRenderedPageBreak/>
        <w:t xml:space="preserve">Figure </w:t>
      </w:r>
      <w:r w:rsidR="008267BC">
        <w:t>6</w:t>
      </w:r>
      <w:r w:rsidR="00112368">
        <w:t>:</w:t>
      </w:r>
      <w:r>
        <w:t xml:space="preserve"> </w:t>
      </w:r>
      <w:r w:rsidR="00157E63">
        <w:t>Study</w:t>
      </w:r>
      <w:r>
        <w:t xml:space="preserve"> LAL-CL02. Proportions of subjects with ALT normalisation over time by treatment group (EAS, open label period)</w:t>
      </w:r>
    </w:p>
    <w:p w14:paraId="61E592B7" w14:textId="77777777" w:rsidR="00E57011" w:rsidRPr="00E57011" w:rsidRDefault="004C1854" w:rsidP="004C1854">
      <w:pPr>
        <w:pStyle w:val="FigureTitle"/>
        <w:keepNext/>
      </w:pPr>
      <w:r>
        <w:rPr>
          <w:noProof/>
          <w:lang w:eastAsia="en-AU"/>
        </w:rPr>
        <w:drawing>
          <wp:inline distT="0" distB="0" distL="0" distR="0" wp14:anchorId="50DBAF20" wp14:editId="16DA4F8B">
            <wp:extent cx="5731510" cy="4184125"/>
            <wp:effectExtent l="0" t="0" r="2540" b="6985"/>
            <wp:docPr id="30" name="Picture 30" descr="Figure 6: Study LAL-CL02. Proportions of subjects with ALT normalisation over time by treatment group (EAS, open labe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4184125"/>
                    </a:xfrm>
                    <a:prstGeom prst="rect">
                      <a:avLst/>
                    </a:prstGeom>
                  </pic:spPr>
                </pic:pic>
              </a:graphicData>
            </a:graphic>
          </wp:inline>
        </w:drawing>
      </w:r>
    </w:p>
    <w:p w14:paraId="3F3A5C75" w14:textId="77777777" w:rsidR="00CC672B" w:rsidRDefault="00EA418E" w:rsidP="00EA418E">
      <w:pPr>
        <w:pStyle w:val="Heading7"/>
        <w:rPr>
          <w:rFonts w:eastAsiaTheme="minorHAnsi"/>
          <w:sz w:val="20"/>
        </w:rPr>
      </w:pPr>
      <w:r w:rsidRPr="00EA418E">
        <w:rPr>
          <w:rFonts w:eastAsiaTheme="minorHAnsi"/>
          <w:sz w:val="20"/>
        </w:rPr>
        <w:t>Changes in GGT, ALP, bilirubin</w:t>
      </w:r>
    </w:p>
    <w:p w14:paraId="3CF9D683" w14:textId="6F8A0200" w:rsidR="00EA418E" w:rsidRDefault="00EA418E" w:rsidP="00EA418E">
      <w:pPr>
        <w:autoSpaceDE w:val="0"/>
        <w:autoSpaceDN w:val="0"/>
        <w:adjustRightInd w:val="0"/>
        <w:spacing w:before="0" w:line="240" w:lineRule="auto"/>
        <w:rPr>
          <w:rFonts w:asciiTheme="minorHAnsi" w:eastAsiaTheme="minorHAnsi" w:hAnsiTheme="minorHAnsi" w:cs="TimesNewRomanPSMT"/>
        </w:rPr>
      </w:pPr>
      <w:r w:rsidRPr="002E43F8">
        <w:rPr>
          <w:rFonts w:asciiTheme="minorHAnsi" w:eastAsiaTheme="minorHAnsi" w:hAnsiTheme="minorHAnsi" w:cs="TimesNewRomanPSMT"/>
        </w:rPr>
        <w:t>A statistically significant (p</w:t>
      </w:r>
      <w:r w:rsidR="00E57011">
        <w:rPr>
          <w:rFonts w:asciiTheme="minorHAnsi" w:eastAsiaTheme="minorHAnsi" w:hAnsiTheme="minorHAnsi" w:cs="TimesNewRomanPSMT"/>
        </w:rPr>
        <w:t xml:space="preserve"> </w:t>
      </w:r>
      <w:r w:rsidRPr="002E43F8">
        <w:rPr>
          <w:rFonts w:asciiTheme="minorHAnsi" w:eastAsiaTheme="minorHAnsi" w:hAnsiTheme="minorHAnsi" w:cs="TimesNewRomanPSMT"/>
        </w:rPr>
        <w:t>≤</w:t>
      </w:r>
      <w:r w:rsidR="00E57011">
        <w:rPr>
          <w:rFonts w:asciiTheme="minorHAnsi" w:eastAsiaTheme="minorHAnsi" w:hAnsiTheme="minorHAnsi" w:cs="TimesNewRomanPSMT"/>
        </w:rPr>
        <w:t xml:space="preserve"> </w:t>
      </w:r>
      <w:r w:rsidRPr="002E43F8">
        <w:rPr>
          <w:rFonts w:asciiTheme="minorHAnsi" w:eastAsiaTheme="minorHAnsi" w:hAnsiTheme="minorHAnsi" w:cs="TimesNewRomanPSMT"/>
        </w:rPr>
        <w:t>0.0002) decrease</w:t>
      </w:r>
      <w:r>
        <w:rPr>
          <w:rFonts w:asciiTheme="minorHAnsi" w:eastAsiaTheme="minorHAnsi" w:hAnsiTheme="minorHAnsi" w:cs="TimesNewRomanPSMT"/>
        </w:rPr>
        <w:t xml:space="preserve"> </w:t>
      </w:r>
      <w:r w:rsidR="00DE644C">
        <w:rPr>
          <w:rFonts w:asciiTheme="minorHAnsi" w:eastAsiaTheme="minorHAnsi" w:hAnsiTheme="minorHAnsi" w:cs="TimesNewRomanPSMT"/>
        </w:rPr>
        <w:t>from Baseline</w:t>
      </w:r>
      <w:r w:rsidRPr="002E43F8">
        <w:rPr>
          <w:rFonts w:asciiTheme="minorHAnsi" w:eastAsiaTheme="minorHAnsi" w:hAnsiTheme="minorHAnsi" w:cs="TimesNewRomanPSMT"/>
        </w:rPr>
        <w:t xml:space="preserve"> in GGT was seen in the SA group relative to the placebo group, with lower</w:t>
      </w:r>
      <w:r>
        <w:rPr>
          <w:rFonts w:asciiTheme="minorHAnsi" w:eastAsiaTheme="minorHAnsi" w:hAnsiTheme="minorHAnsi" w:cs="TimesNewRomanPSMT"/>
        </w:rPr>
        <w:t xml:space="preserve"> </w:t>
      </w:r>
      <w:r w:rsidRPr="002E43F8">
        <w:rPr>
          <w:rFonts w:asciiTheme="minorHAnsi" w:eastAsiaTheme="minorHAnsi" w:hAnsiTheme="minorHAnsi" w:cs="TimesNewRomanPSMT"/>
        </w:rPr>
        <w:t>mean GGT values in the SA group than in the placebo group at all time points assessed</w:t>
      </w:r>
      <w:r>
        <w:rPr>
          <w:rFonts w:asciiTheme="minorHAnsi" w:eastAsiaTheme="minorHAnsi" w:hAnsiTheme="minorHAnsi" w:cs="TimesNewRomanPSMT"/>
        </w:rPr>
        <w:t xml:space="preserve"> </w:t>
      </w:r>
      <w:r w:rsidR="00545648">
        <w:rPr>
          <w:rFonts w:asciiTheme="minorHAnsi" w:eastAsiaTheme="minorHAnsi" w:hAnsiTheme="minorHAnsi" w:cs="TimesNewRomanPSMT"/>
        </w:rPr>
        <w:t>post baseline</w:t>
      </w:r>
      <w:r w:rsidRPr="002E43F8">
        <w:rPr>
          <w:rFonts w:asciiTheme="minorHAnsi" w:eastAsiaTheme="minorHAnsi" w:hAnsiTheme="minorHAnsi" w:cs="TimesNewRomanPSMT"/>
        </w:rPr>
        <w:t xml:space="preserve">, with the exception of Week </w:t>
      </w:r>
      <w:r w:rsidRPr="00112368">
        <w:rPr>
          <w:rFonts w:asciiTheme="minorHAnsi" w:eastAsiaTheme="minorHAnsi" w:hAnsiTheme="minorHAnsi" w:cs="TimesNewRomanPSMT"/>
        </w:rPr>
        <w:t xml:space="preserve">2 </w:t>
      </w:r>
      <w:r w:rsidR="00E57011" w:rsidRPr="00112368">
        <w:rPr>
          <w:rFonts w:asciiTheme="minorHAnsi" w:eastAsiaTheme="minorHAnsi" w:hAnsiTheme="minorHAnsi" w:cs="TimesNewRomanPSMT"/>
        </w:rPr>
        <w:t xml:space="preserve">(Figure </w:t>
      </w:r>
      <w:r w:rsidR="008267BC">
        <w:rPr>
          <w:rFonts w:asciiTheme="minorHAnsi" w:eastAsiaTheme="minorHAnsi" w:hAnsiTheme="minorHAnsi" w:cs="TimesNewRomanPSMT"/>
        </w:rPr>
        <w:t>7</w:t>
      </w:r>
      <w:r w:rsidRPr="00112368">
        <w:rPr>
          <w:rFonts w:asciiTheme="minorHAnsi" w:eastAsiaTheme="minorHAnsi" w:hAnsiTheme="minorHAnsi" w:cs="TimesNewRomanPSMT"/>
        </w:rPr>
        <w:t>)</w:t>
      </w:r>
      <w:r w:rsidR="00B73619" w:rsidRPr="00112368">
        <w:rPr>
          <w:rFonts w:asciiTheme="minorHAnsi" w:eastAsiaTheme="minorHAnsi" w:hAnsiTheme="minorHAnsi" w:cs="TimesNewRomanPSMT"/>
        </w:rPr>
        <w:t xml:space="preserve">. </w:t>
      </w:r>
      <w:r w:rsidRPr="00112368">
        <w:rPr>
          <w:rFonts w:asciiTheme="minorHAnsi" w:eastAsiaTheme="minorHAnsi" w:hAnsiTheme="minorHAnsi" w:cs="TimesNewRomanPSMT"/>
        </w:rPr>
        <w:t>The</w:t>
      </w:r>
      <w:r w:rsidRPr="002E43F8">
        <w:rPr>
          <w:rFonts w:asciiTheme="minorHAnsi" w:eastAsiaTheme="minorHAnsi" w:hAnsiTheme="minorHAnsi" w:cs="TimesNewRomanPSMT"/>
        </w:rPr>
        <w:t xml:space="preserve"> proportion of subjects with a GGT value </w:t>
      </w:r>
      <w:r w:rsidR="00B73619">
        <w:rPr>
          <w:rFonts w:asciiTheme="minorHAnsi" w:eastAsiaTheme="minorHAnsi" w:hAnsiTheme="minorHAnsi" w:cs="TimesNewRomanPSMT"/>
        </w:rPr>
        <w:t>&gt;</w:t>
      </w:r>
      <w:r w:rsidR="00CC672B">
        <w:rPr>
          <w:rFonts w:asciiTheme="minorHAnsi" w:eastAsiaTheme="minorHAnsi" w:hAnsiTheme="minorHAnsi" w:cs="TimesNewRomanPSMT"/>
        </w:rPr>
        <w:t xml:space="preserve"> </w:t>
      </w:r>
      <w:r w:rsidRPr="002E43F8">
        <w:rPr>
          <w:rFonts w:asciiTheme="minorHAnsi" w:eastAsiaTheme="minorHAnsi" w:hAnsiTheme="minorHAnsi" w:cs="TimesNewRomanPSMT"/>
        </w:rPr>
        <w:t xml:space="preserve">ULN </w:t>
      </w:r>
      <w:r w:rsidR="00DE644C">
        <w:rPr>
          <w:rFonts w:asciiTheme="minorHAnsi" w:eastAsiaTheme="minorHAnsi" w:hAnsiTheme="minorHAnsi" w:cs="TimesNewRomanPSMT"/>
        </w:rPr>
        <w:t>at Baseline</w:t>
      </w:r>
      <w:r w:rsidRPr="002E43F8">
        <w:rPr>
          <w:rFonts w:asciiTheme="minorHAnsi" w:eastAsiaTheme="minorHAnsi" w:hAnsiTheme="minorHAnsi" w:cs="TimesNewRomanPSMT"/>
        </w:rPr>
        <w:t xml:space="preserve"> who achieved a GGT</w:t>
      </w:r>
      <w:r>
        <w:rPr>
          <w:rFonts w:asciiTheme="minorHAnsi" w:eastAsiaTheme="minorHAnsi" w:hAnsiTheme="minorHAnsi" w:cs="TimesNewRomanPSMT"/>
        </w:rPr>
        <w:t xml:space="preserve"> </w:t>
      </w:r>
      <w:r w:rsidRPr="002E43F8">
        <w:rPr>
          <w:rFonts w:asciiTheme="minorHAnsi" w:eastAsiaTheme="minorHAnsi" w:hAnsiTheme="minorHAnsi" w:cs="TimesNewRomanPSMT"/>
        </w:rPr>
        <w:t>value ≤</w:t>
      </w:r>
      <w:r w:rsidR="004F183D">
        <w:rPr>
          <w:rFonts w:asciiTheme="minorHAnsi" w:eastAsiaTheme="minorHAnsi" w:hAnsiTheme="minorHAnsi" w:cs="TimesNewRomanPSMT"/>
        </w:rPr>
        <w:t xml:space="preserve"> </w:t>
      </w:r>
      <w:r w:rsidRPr="002E43F8">
        <w:rPr>
          <w:rFonts w:asciiTheme="minorHAnsi" w:eastAsiaTheme="minorHAnsi" w:hAnsiTheme="minorHAnsi" w:cs="TimesNewRomanPSMT"/>
        </w:rPr>
        <w:t xml:space="preserve">ULN at the last time point in the </w:t>
      </w:r>
      <w:r w:rsidR="003F3AB4">
        <w:rPr>
          <w:rFonts w:asciiTheme="minorHAnsi" w:eastAsiaTheme="minorHAnsi" w:hAnsiTheme="minorHAnsi" w:cs="TimesNewRomanPSMT"/>
        </w:rPr>
        <w:t>double blind</w:t>
      </w:r>
      <w:r w:rsidRPr="002E43F8">
        <w:rPr>
          <w:rFonts w:asciiTheme="minorHAnsi" w:eastAsiaTheme="minorHAnsi" w:hAnsiTheme="minorHAnsi" w:cs="TimesNewRomanPSMT"/>
        </w:rPr>
        <w:t xml:space="preserve"> period was statistically significantly (p</w:t>
      </w:r>
      <w:r w:rsidR="002D28A4">
        <w:rPr>
          <w:rFonts w:asciiTheme="minorHAnsi" w:eastAsiaTheme="minorHAnsi" w:hAnsiTheme="minorHAnsi" w:cs="TimesNewRomanPSMT"/>
        </w:rPr>
        <w:t xml:space="preserve"> = </w:t>
      </w:r>
      <w:r w:rsidRPr="002E43F8">
        <w:rPr>
          <w:rFonts w:asciiTheme="minorHAnsi" w:eastAsiaTheme="minorHAnsi" w:hAnsiTheme="minorHAnsi" w:cs="TimesNewRomanPSMT"/>
        </w:rPr>
        <w:t xml:space="preserve">0.0112) higher in the SA group (62%, 8/13) compared with placebo (8%, 1/12). Review of GGT in the </w:t>
      </w:r>
      <w:r w:rsidR="00B73619">
        <w:rPr>
          <w:rFonts w:asciiTheme="minorHAnsi" w:eastAsiaTheme="minorHAnsi" w:hAnsiTheme="minorHAnsi" w:cs="TimesNewRomanPSMT"/>
        </w:rPr>
        <w:t>open label</w:t>
      </w:r>
      <w:r w:rsidRPr="002E43F8">
        <w:rPr>
          <w:rFonts w:asciiTheme="minorHAnsi" w:eastAsiaTheme="minorHAnsi" w:hAnsiTheme="minorHAnsi" w:cs="TimesNewRomanPSMT"/>
        </w:rPr>
        <w:t xml:space="preserve"> period in the SA group revealed sustained decreases in</w:t>
      </w:r>
      <w:r>
        <w:rPr>
          <w:rFonts w:asciiTheme="minorHAnsi" w:eastAsiaTheme="minorHAnsi" w:hAnsiTheme="minorHAnsi" w:cs="TimesNewRomanPSMT"/>
        </w:rPr>
        <w:t xml:space="preserve"> </w:t>
      </w:r>
      <w:r w:rsidRPr="002E43F8">
        <w:rPr>
          <w:rFonts w:asciiTheme="minorHAnsi" w:eastAsiaTheme="minorHAnsi" w:hAnsiTheme="minorHAnsi" w:cs="TimesNewRomanPSMT"/>
        </w:rPr>
        <w:t>mean GGT over time through Week 36 that were consistent with those seen during the</w:t>
      </w:r>
      <w:r>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2E43F8">
        <w:rPr>
          <w:rFonts w:asciiTheme="minorHAnsi" w:eastAsiaTheme="minorHAnsi" w:hAnsiTheme="minorHAnsi" w:cs="TimesNewRomanPSMT"/>
        </w:rPr>
        <w:t xml:space="preserve"> period. In the placebo/SA group, the mean percent decreases </w:t>
      </w:r>
      <w:r w:rsidR="00DE644C">
        <w:rPr>
          <w:rFonts w:asciiTheme="minorHAnsi" w:eastAsiaTheme="minorHAnsi" w:hAnsiTheme="minorHAnsi" w:cs="TimesNewRomanPSMT"/>
        </w:rPr>
        <w:t>from Baseline</w:t>
      </w:r>
      <w:r>
        <w:rPr>
          <w:rFonts w:asciiTheme="minorHAnsi" w:eastAsiaTheme="minorHAnsi" w:hAnsiTheme="minorHAnsi" w:cs="TimesNewRomanPSMT"/>
        </w:rPr>
        <w:t xml:space="preserve"> </w:t>
      </w:r>
      <w:r w:rsidRPr="002E43F8">
        <w:rPr>
          <w:rFonts w:asciiTheme="minorHAnsi" w:eastAsiaTheme="minorHAnsi" w:hAnsiTheme="minorHAnsi" w:cs="TimesNewRomanPSMT"/>
        </w:rPr>
        <w:t xml:space="preserve">in GGT seen were consistent with those seen in the SA group after initiation of </w:t>
      </w:r>
      <w:proofErr w:type="spellStart"/>
      <w:r w:rsidRPr="002E43F8">
        <w:rPr>
          <w:rFonts w:asciiTheme="minorHAnsi" w:eastAsiaTheme="minorHAnsi" w:hAnsiTheme="minorHAnsi" w:cs="TimesNewRomanPSMT"/>
        </w:rPr>
        <w:t>sebelipase</w:t>
      </w:r>
      <w:proofErr w:type="spellEnd"/>
      <w:r>
        <w:rPr>
          <w:rFonts w:asciiTheme="minorHAnsi" w:eastAsiaTheme="minorHAnsi" w:hAnsiTheme="minorHAnsi" w:cs="TimesNewRomanPSMT"/>
        </w:rPr>
        <w:t xml:space="preserve"> </w:t>
      </w:r>
      <w:r w:rsidRPr="002E43F8">
        <w:rPr>
          <w:rFonts w:asciiTheme="minorHAnsi" w:eastAsiaTheme="minorHAnsi" w:hAnsiTheme="minorHAnsi" w:cs="TimesNewRomanPSMT"/>
        </w:rPr>
        <w:t>alfa.</w:t>
      </w:r>
    </w:p>
    <w:p w14:paraId="57A7298B" w14:textId="77777777" w:rsidR="00E57011" w:rsidRDefault="00E57011" w:rsidP="00E57011">
      <w:pPr>
        <w:pStyle w:val="FigureTitle"/>
        <w:keepNext/>
      </w:pPr>
      <w:r>
        <w:rPr>
          <w:rFonts w:asciiTheme="minorHAnsi" w:eastAsiaTheme="minorHAnsi" w:hAnsiTheme="minorHAnsi" w:cs="TimesNewRomanPSMT"/>
        </w:rPr>
        <w:lastRenderedPageBreak/>
        <w:t xml:space="preserve">Figure </w:t>
      </w:r>
      <w:r w:rsidR="008267BC">
        <w:rPr>
          <w:rFonts w:asciiTheme="minorHAnsi" w:eastAsiaTheme="minorHAnsi" w:hAnsiTheme="minorHAnsi" w:cs="TimesNewRomanPSMT"/>
        </w:rPr>
        <w:t>7</w:t>
      </w:r>
      <w:r w:rsidR="00112368">
        <w:rPr>
          <w:rFonts w:asciiTheme="minorHAnsi" w:eastAsiaTheme="minorHAnsi" w:hAnsiTheme="minorHAnsi" w:cs="TimesNewRomanPSMT"/>
        </w:rPr>
        <w:t>:</w:t>
      </w:r>
      <w:r>
        <w:rPr>
          <w:rFonts w:asciiTheme="minorHAnsi" w:eastAsiaTheme="minorHAnsi" w:hAnsiTheme="minorHAnsi" w:cs="TimesNewRomanPSMT"/>
        </w:rPr>
        <w:t xml:space="preserve"> </w:t>
      </w:r>
      <w:r w:rsidR="00157E63">
        <w:t>Study</w:t>
      </w:r>
      <w:r>
        <w:t xml:space="preserve"> LAL-CL02. Mean (± SE) GGT values over time through the last visit in the double blind period, by treatment group (FAS, double blind treatment period)</w:t>
      </w:r>
    </w:p>
    <w:p w14:paraId="42F19E0D" w14:textId="77777777" w:rsidR="00E57011" w:rsidRPr="004C1854" w:rsidRDefault="004C1854" w:rsidP="004C1854">
      <w:r w:rsidRPr="004C1854">
        <w:rPr>
          <w:noProof/>
          <w:lang w:eastAsia="en-AU"/>
        </w:rPr>
        <w:drawing>
          <wp:inline distT="0" distB="0" distL="0" distR="0" wp14:anchorId="502A5712" wp14:editId="035B23A3">
            <wp:extent cx="5731510" cy="2953320"/>
            <wp:effectExtent l="0" t="0" r="2540" b="0"/>
            <wp:docPr id="31" name="Picture 31" descr="Figure 7: Study LAL-CL02. Mean (± SE) GGT values over time through the last visit in the double blind period, by treatment group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953320"/>
                    </a:xfrm>
                    <a:prstGeom prst="rect">
                      <a:avLst/>
                    </a:prstGeom>
                  </pic:spPr>
                </pic:pic>
              </a:graphicData>
            </a:graphic>
          </wp:inline>
        </w:drawing>
      </w:r>
    </w:p>
    <w:p w14:paraId="4A49296C" w14:textId="2AC70B0F" w:rsidR="00EA418E" w:rsidRPr="000D329F" w:rsidRDefault="001B7A56" w:rsidP="00EA418E">
      <w:pPr>
        <w:autoSpaceDE w:val="0"/>
        <w:autoSpaceDN w:val="0"/>
        <w:adjustRightInd w:val="0"/>
        <w:spacing w:before="0" w:line="240" w:lineRule="auto"/>
        <w:rPr>
          <w:rFonts w:asciiTheme="minorHAnsi" w:eastAsiaTheme="minorHAnsi" w:hAnsiTheme="minorHAnsi" w:cs="TimesNewRomanPSMT"/>
        </w:rPr>
      </w:pPr>
      <w:r w:rsidRPr="002E43F8">
        <w:rPr>
          <w:rFonts w:asciiTheme="minorHAnsi" w:eastAsiaTheme="minorHAnsi" w:hAnsiTheme="minorHAnsi" w:cs="TimesNewRomanPSMT"/>
        </w:rPr>
        <w:t xml:space="preserve">The mean change in mean ALP values </w:t>
      </w:r>
      <w:r>
        <w:rPr>
          <w:rFonts w:asciiTheme="minorHAnsi" w:eastAsiaTheme="minorHAnsi" w:hAnsiTheme="minorHAnsi" w:cs="TimesNewRomanPSMT"/>
        </w:rPr>
        <w:t>from Baseline</w:t>
      </w:r>
      <w:r w:rsidRPr="002E43F8">
        <w:rPr>
          <w:rFonts w:asciiTheme="minorHAnsi" w:eastAsiaTheme="minorHAnsi" w:hAnsiTheme="minorHAnsi" w:cs="TimesNewRomanPSMT"/>
        </w:rPr>
        <w:t xml:space="preserve"> to the last visit in the </w:t>
      </w:r>
      <w:r>
        <w:rPr>
          <w:rFonts w:asciiTheme="minorHAnsi" w:eastAsiaTheme="minorHAnsi" w:hAnsiTheme="minorHAnsi" w:cs="TimesNewRomanPSMT"/>
        </w:rPr>
        <w:t xml:space="preserve">double blind </w:t>
      </w:r>
      <w:r w:rsidRPr="002E43F8">
        <w:rPr>
          <w:rFonts w:asciiTheme="minorHAnsi" w:eastAsiaTheme="minorHAnsi" w:hAnsiTheme="minorHAnsi" w:cs="TimesNewRomanPSMT"/>
        </w:rPr>
        <w:t>period in t</w:t>
      </w:r>
      <w:r>
        <w:rPr>
          <w:rFonts w:asciiTheme="minorHAnsi" w:eastAsiaTheme="minorHAnsi" w:hAnsiTheme="minorHAnsi" w:cs="TimesNewRomanPSMT"/>
        </w:rPr>
        <w:t xml:space="preserve">he SA group (255.7 to 214 U/L; </w:t>
      </w:r>
      <w:r>
        <w:rPr>
          <w:rFonts w:asciiTheme="minorHAnsi" w:eastAsiaTheme="minorHAnsi" w:hAnsiTheme="minorHAnsi" w:cs="TimesNewRomanPSMT"/>
        </w:rPr>
        <w:noBreakHyphen/>
      </w:r>
      <w:r w:rsidRPr="002E43F8">
        <w:rPr>
          <w:rFonts w:asciiTheme="minorHAnsi" w:eastAsiaTheme="minorHAnsi" w:hAnsiTheme="minorHAnsi" w:cs="TimesNewRomanPSMT"/>
        </w:rPr>
        <w:t>16%) was not statistically significant relative to placebo (268.5</w:t>
      </w:r>
      <w:r>
        <w:rPr>
          <w:rFonts w:asciiTheme="minorHAnsi" w:eastAsiaTheme="minorHAnsi" w:hAnsiTheme="minorHAnsi" w:cs="TimesNewRomanPSMT"/>
        </w:rPr>
        <w:t xml:space="preserve"> to 251.6 U/L;</w:t>
      </w:r>
      <w:r>
        <w:rPr>
          <w:rFonts w:asciiTheme="minorHAnsi" w:eastAsiaTheme="minorHAnsi" w:hAnsiTheme="minorHAnsi" w:cs="TimesNewRomanPSMT"/>
        </w:rPr>
        <w:noBreakHyphen/>
      </w:r>
      <w:r w:rsidRPr="002E43F8">
        <w:rPr>
          <w:rFonts w:asciiTheme="minorHAnsi" w:eastAsiaTheme="minorHAnsi" w:hAnsiTheme="minorHAnsi" w:cs="TimesNewRomanPSMT"/>
        </w:rPr>
        <w:t xml:space="preserve">5%). </w:t>
      </w:r>
      <w:r w:rsidR="00EA418E" w:rsidRPr="002E43F8">
        <w:rPr>
          <w:rFonts w:asciiTheme="minorHAnsi" w:eastAsiaTheme="minorHAnsi" w:hAnsiTheme="minorHAnsi" w:cs="TimesNewRomanPSMT"/>
        </w:rPr>
        <w:t xml:space="preserve">Small, non-clinically relevant changes </w:t>
      </w:r>
      <w:r w:rsidR="00DE644C">
        <w:rPr>
          <w:rFonts w:asciiTheme="minorHAnsi" w:eastAsiaTheme="minorHAnsi" w:hAnsiTheme="minorHAnsi" w:cs="TimesNewRomanPSMT"/>
        </w:rPr>
        <w:t>from Baseline</w:t>
      </w:r>
      <w:r w:rsidR="00EA418E" w:rsidRPr="002E43F8">
        <w:rPr>
          <w:rFonts w:asciiTheme="minorHAnsi" w:eastAsiaTheme="minorHAnsi" w:hAnsiTheme="minorHAnsi" w:cs="TimesNewRomanPSMT"/>
        </w:rPr>
        <w:t xml:space="preserve"> in mean</w:t>
      </w:r>
      <w:r w:rsidR="00EA418E">
        <w:rPr>
          <w:rFonts w:asciiTheme="minorHAnsi" w:eastAsiaTheme="minorHAnsi" w:hAnsiTheme="minorHAnsi" w:cs="TimesNewRomanPSMT"/>
        </w:rPr>
        <w:t xml:space="preserve"> </w:t>
      </w:r>
      <w:r w:rsidR="00EA418E" w:rsidRPr="002E43F8">
        <w:rPr>
          <w:rFonts w:asciiTheme="minorHAnsi" w:eastAsiaTheme="minorHAnsi" w:hAnsiTheme="minorHAnsi" w:cs="TimesNewRomanPSMT"/>
        </w:rPr>
        <w:t xml:space="preserve">albumin were seen during the </w:t>
      </w:r>
      <w:r w:rsidR="003F3AB4">
        <w:rPr>
          <w:rFonts w:asciiTheme="minorHAnsi" w:eastAsiaTheme="minorHAnsi" w:hAnsiTheme="minorHAnsi" w:cs="TimesNewRomanPSMT"/>
        </w:rPr>
        <w:t>double blind</w:t>
      </w:r>
      <w:r w:rsidR="00EA418E" w:rsidRPr="002E43F8">
        <w:rPr>
          <w:rFonts w:asciiTheme="minorHAnsi" w:eastAsiaTheme="minorHAnsi" w:hAnsiTheme="minorHAnsi" w:cs="TimesNewRomanPSMT"/>
        </w:rPr>
        <w:t xml:space="preserve"> period with no stati</w:t>
      </w:r>
      <w:r w:rsidR="00EA418E">
        <w:rPr>
          <w:rFonts w:asciiTheme="minorHAnsi" w:eastAsiaTheme="minorHAnsi" w:hAnsiTheme="minorHAnsi" w:cs="TimesNewRomanPSMT"/>
        </w:rPr>
        <w:t xml:space="preserve">stically significant difference </w:t>
      </w:r>
      <w:r w:rsidR="00EA418E" w:rsidRPr="002E43F8">
        <w:rPr>
          <w:rFonts w:asciiTheme="minorHAnsi" w:eastAsiaTheme="minorHAnsi" w:hAnsiTheme="minorHAnsi" w:cs="TimesNewRomanPSMT"/>
        </w:rPr>
        <w:t xml:space="preserve">between </w:t>
      </w:r>
      <w:proofErr w:type="spellStart"/>
      <w:r w:rsidR="00EA418E" w:rsidRPr="002E43F8">
        <w:rPr>
          <w:rFonts w:asciiTheme="minorHAnsi" w:eastAsiaTheme="minorHAnsi" w:hAnsiTheme="minorHAnsi" w:cs="TimesNewRomanPSMT"/>
        </w:rPr>
        <w:t>sebelipase</w:t>
      </w:r>
      <w:proofErr w:type="spellEnd"/>
      <w:r w:rsidR="00EA418E" w:rsidRPr="002E43F8">
        <w:rPr>
          <w:rFonts w:asciiTheme="minorHAnsi" w:eastAsiaTheme="minorHAnsi" w:hAnsiTheme="minorHAnsi" w:cs="TimesNewRomanPSMT"/>
        </w:rPr>
        <w:t xml:space="preserve"> alfa and</w:t>
      </w:r>
      <w:r w:rsidR="00CC672B">
        <w:rPr>
          <w:rFonts w:asciiTheme="minorHAnsi" w:eastAsiaTheme="minorHAnsi" w:hAnsiTheme="minorHAnsi" w:cs="TimesNewRomanPSMT"/>
        </w:rPr>
        <w:t xml:space="preserve"> </w:t>
      </w:r>
      <w:r w:rsidR="00EA418E" w:rsidRPr="002E43F8">
        <w:rPr>
          <w:rFonts w:asciiTheme="minorHAnsi" w:eastAsiaTheme="minorHAnsi" w:hAnsiTheme="minorHAnsi" w:cs="TimesNewRomanPSMT"/>
        </w:rPr>
        <w:t>placebo groups</w:t>
      </w:r>
      <w:r w:rsidR="00CC672B">
        <w:rPr>
          <w:rFonts w:asciiTheme="minorHAnsi" w:eastAsiaTheme="minorHAnsi" w:hAnsiTheme="minorHAnsi" w:cs="TimesNewRomanPSMT"/>
        </w:rPr>
        <w:t xml:space="preserve"> </w:t>
      </w:r>
      <w:r w:rsidR="00EA418E" w:rsidRPr="002E43F8">
        <w:rPr>
          <w:rFonts w:asciiTheme="minorHAnsi" w:eastAsiaTheme="minorHAnsi" w:hAnsiTheme="minorHAnsi" w:cs="TimesNewRomanPSMT"/>
        </w:rPr>
        <w:t xml:space="preserve">with regard to change </w:t>
      </w:r>
      <w:r w:rsidR="00DE644C">
        <w:rPr>
          <w:rFonts w:asciiTheme="minorHAnsi" w:eastAsiaTheme="minorHAnsi" w:hAnsiTheme="minorHAnsi" w:cs="TimesNewRomanPSMT"/>
        </w:rPr>
        <w:t>from Baseline</w:t>
      </w:r>
      <w:r w:rsidR="00EA418E" w:rsidRPr="002E43F8">
        <w:rPr>
          <w:rFonts w:asciiTheme="minorHAnsi" w:eastAsiaTheme="minorHAnsi" w:hAnsiTheme="minorHAnsi" w:cs="TimesNewRomanPSMT"/>
        </w:rPr>
        <w:t xml:space="preserve">. Findings in the </w:t>
      </w:r>
      <w:r w:rsidR="00B73619">
        <w:rPr>
          <w:rFonts w:asciiTheme="minorHAnsi" w:eastAsiaTheme="minorHAnsi" w:hAnsiTheme="minorHAnsi" w:cs="TimesNewRomanPSMT"/>
        </w:rPr>
        <w:t>open label</w:t>
      </w:r>
      <w:r w:rsidR="00EA418E" w:rsidRPr="002E43F8">
        <w:rPr>
          <w:rFonts w:asciiTheme="minorHAnsi" w:eastAsiaTheme="minorHAnsi" w:hAnsiTheme="minorHAnsi" w:cs="TimesNewRomanPSMT"/>
        </w:rPr>
        <w:t xml:space="preserve"> period were consistent with those observed during the </w:t>
      </w:r>
      <w:r w:rsidR="003F3AB4">
        <w:rPr>
          <w:rFonts w:asciiTheme="minorHAnsi" w:eastAsiaTheme="minorHAnsi" w:hAnsiTheme="minorHAnsi" w:cs="TimesNewRomanPSMT"/>
        </w:rPr>
        <w:t>double blind</w:t>
      </w:r>
      <w:r w:rsidR="00EA418E" w:rsidRPr="002E43F8">
        <w:rPr>
          <w:rFonts w:asciiTheme="minorHAnsi" w:eastAsiaTheme="minorHAnsi" w:hAnsiTheme="minorHAnsi" w:cs="TimesNewRomanPSMT"/>
        </w:rPr>
        <w:t xml:space="preserve"> period. </w:t>
      </w:r>
      <w:r w:rsidR="00EA418E" w:rsidRPr="007D53FB">
        <w:rPr>
          <w:rFonts w:asciiTheme="minorHAnsi" w:eastAsiaTheme="minorHAnsi" w:hAnsiTheme="minorHAnsi" w:cs="TimesNewRomanPSMT"/>
          <w:color w:val="000000"/>
        </w:rPr>
        <w:t xml:space="preserve">Total bilirubin values were generally similar in the SA and placebo groups </w:t>
      </w:r>
      <w:r w:rsidR="00DE644C">
        <w:rPr>
          <w:rFonts w:asciiTheme="minorHAnsi" w:eastAsiaTheme="minorHAnsi" w:hAnsiTheme="minorHAnsi" w:cs="TimesNewRomanPSMT"/>
          <w:color w:val="000000"/>
        </w:rPr>
        <w:t>at Baseline</w:t>
      </w:r>
      <w:r w:rsidR="00EA418E">
        <w:rPr>
          <w:rFonts w:asciiTheme="minorHAnsi" w:eastAsiaTheme="minorHAnsi" w:hAnsiTheme="minorHAnsi" w:cs="TimesNewRomanPSMT"/>
          <w:color w:val="000000"/>
        </w:rPr>
        <w:t xml:space="preserve"> </w:t>
      </w:r>
      <w:r w:rsidR="00EA418E" w:rsidRPr="007D53FB">
        <w:rPr>
          <w:rFonts w:asciiTheme="minorHAnsi" w:eastAsiaTheme="minorHAnsi" w:hAnsiTheme="minorHAnsi" w:cs="TimesNewRomanPSMT"/>
          <w:color w:val="000000"/>
        </w:rPr>
        <w:t xml:space="preserve">(18.0 and 19.0 </w:t>
      </w:r>
      <w:r w:rsidR="00DE644C">
        <w:rPr>
          <w:rFonts w:eastAsiaTheme="minorHAnsi" w:cs="TimesNewRomanPSMT"/>
          <w:color w:val="000000"/>
        </w:rPr>
        <w:t>µ</w:t>
      </w:r>
      <w:proofErr w:type="spellStart"/>
      <w:r w:rsidR="00EA418E" w:rsidRPr="007D53FB">
        <w:rPr>
          <w:rFonts w:asciiTheme="minorHAnsi" w:eastAsiaTheme="minorHAnsi" w:hAnsiTheme="minorHAnsi" w:cs="TimesNewRomanPSMT"/>
          <w:color w:val="000000"/>
        </w:rPr>
        <w:t>mol</w:t>
      </w:r>
      <w:proofErr w:type="spellEnd"/>
      <w:r w:rsidR="00EA418E" w:rsidRPr="007D53FB">
        <w:rPr>
          <w:rFonts w:asciiTheme="minorHAnsi" w:eastAsiaTheme="minorHAnsi" w:hAnsiTheme="minorHAnsi" w:cs="TimesNewRomanPSMT"/>
          <w:color w:val="000000"/>
        </w:rPr>
        <w:t xml:space="preserve">/L, respectively). A significantly greater mean percent decrease </w:t>
      </w:r>
      <w:r w:rsidR="00DE644C">
        <w:rPr>
          <w:rFonts w:asciiTheme="minorHAnsi" w:eastAsiaTheme="minorHAnsi" w:hAnsiTheme="minorHAnsi" w:cs="TimesNewRomanPSMT"/>
          <w:color w:val="000000"/>
        </w:rPr>
        <w:t>from Baseline</w:t>
      </w:r>
      <w:r w:rsidR="00EA418E" w:rsidRPr="007D53FB">
        <w:rPr>
          <w:rFonts w:asciiTheme="minorHAnsi" w:eastAsiaTheme="minorHAnsi" w:hAnsiTheme="minorHAnsi" w:cs="TimesNewRomanPSMT"/>
          <w:color w:val="000000"/>
        </w:rPr>
        <w:t xml:space="preserve"> in total bilirubin was seen in the SA group than in the placebo group at Week 4</w:t>
      </w:r>
      <w:r w:rsidR="00EA418E">
        <w:rPr>
          <w:rFonts w:asciiTheme="minorHAnsi" w:eastAsiaTheme="minorHAnsi" w:hAnsiTheme="minorHAnsi" w:cs="TimesNewRomanPSMT"/>
          <w:color w:val="000000"/>
        </w:rPr>
        <w:t xml:space="preserve"> </w:t>
      </w:r>
      <w:r w:rsidR="00545648">
        <w:rPr>
          <w:rFonts w:asciiTheme="minorHAnsi" w:eastAsiaTheme="minorHAnsi" w:hAnsiTheme="minorHAnsi" w:cs="TimesNewRomanPSMT"/>
          <w:color w:val="000000"/>
        </w:rPr>
        <w:t>(</w:t>
      </w:r>
      <w:r w:rsidR="00545648">
        <w:rPr>
          <w:rFonts w:asciiTheme="minorHAnsi" w:eastAsiaTheme="minorHAnsi" w:hAnsiTheme="minorHAnsi" w:cs="TimesNewRomanPSMT"/>
          <w:color w:val="000000"/>
        </w:rPr>
        <w:noBreakHyphen/>
      </w:r>
      <w:r w:rsidR="00EA418E" w:rsidRPr="007D53FB">
        <w:rPr>
          <w:rFonts w:asciiTheme="minorHAnsi" w:eastAsiaTheme="minorHAnsi" w:hAnsiTheme="minorHAnsi" w:cs="TimesNewRomanPSMT"/>
          <w:color w:val="000000"/>
        </w:rPr>
        <w:t>21% versus 2%, respectively), with the di</w:t>
      </w:r>
      <w:r w:rsidR="00545648">
        <w:rPr>
          <w:rFonts w:asciiTheme="minorHAnsi" w:eastAsiaTheme="minorHAnsi" w:hAnsiTheme="minorHAnsi" w:cs="TimesNewRomanPSMT"/>
          <w:color w:val="000000"/>
        </w:rPr>
        <w:t xml:space="preserve">fference between groups of </w:t>
      </w:r>
      <w:r w:rsidR="00545648">
        <w:rPr>
          <w:rFonts w:asciiTheme="minorHAnsi" w:eastAsiaTheme="minorHAnsi" w:hAnsiTheme="minorHAnsi" w:cs="TimesNewRomanPSMT"/>
          <w:color w:val="000000"/>
        </w:rPr>
        <w:noBreakHyphen/>
      </w:r>
      <w:r w:rsidR="00EA418E" w:rsidRPr="007D53FB">
        <w:rPr>
          <w:rFonts w:asciiTheme="minorHAnsi" w:eastAsiaTheme="minorHAnsi" w:hAnsiTheme="minorHAnsi" w:cs="TimesNewRomanPSMT"/>
          <w:color w:val="000000"/>
        </w:rPr>
        <w:t>22% being</w:t>
      </w:r>
      <w:r w:rsidR="00EA418E">
        <w:rPr>
          <w:rFonts w:asciiTheme="minorHAnsi" w:eastAsiaTheme="minorHAnsi" w:hAnsiTheme="minorHAnsi" w:cs="TimesNewRomanPSMT"/>
          <w:color w:val="000000"/>
        </w:rPr>
        <w:t xml:space="preserve"> </w:t>
      </w:r>
      <w:r w:rsidR="00EA418E" w:rsidRPr="007D53FB">
        <w:rPr>
          <w:rFonts w:asciiTheme="minorHAnsi" w:eastAsiaTheme="minorHAnsi" w:hAnsiTheme="minorHAnsi" w:cs="TimesNewRomanPSMT"/>
          <w:color w:val="000000"/>
        </w:rPr>
        <w:t>statistically significant (p</w:t>
      </w:r>
      <w:r w:rsidR="002D28A4">
        <w:rPr>
          <w:rFonts w:asciiTheme="minorHAnsi" w:eastAsiaTheme="minorHAnsi" w:hAnsiTheme="minorHAnsi" w:cs="TimesNewRomanPSMT"/>
          <w:color w:val="000000"/>
        </w:rPr>
        <w:t xml:space="preserve"> = </w:t>
      </w:r>
      <w:r w:rsidR="00EA418E" w:rsidRPr="007D53FB">
        <w:rPr>
          <w:rFonts w:asciiTheme="minorHAnsi" w:eastAsiaTheme="minorHAnsi" w:hAnsiTheme="minorHAnsi" w:cs="TimesNewRomanPSMT"/>
          <w:color w:val="000000"/>
        </w:rPr>
        <w:t xml:space="preserve">0.0051). Greater mean percent decreases </w:t>
      </w:r>
      <w:r w:rsidR="00DE644C">
        <w:rPr>
          <w:rFonts w:asciiTheme="minorHAnsi" w:eastAsiaTheme="minorHAnsi" w:hAnsiTheme="minorHAnsi" w:cs="TimesNewRomanPSMT"/>
          <w:color w:val="000000"/>
        </w:rPr>
        <w:t>from Baseline</w:t>
      </w:r>
      <w:r w:rsidR="00EA418E" w:rsidRPr="007D53FB">
        <w:rPr>
          <w:rFonts w:asciiTheme="minorHAnsi" w:eastAsiaTheme="minorHAnsi" w:hAnsiTheme="minorHAnsi" w:cs="TimesNewRomanPSMT"/>
          <w:color w:val="000000"/>
        </w:rPr>
        <w:t xml:space="preserve"> in total</w:t>
      </w:r>
      <w:r w:rsidR="00EA418E">
        <w:rPr>
          <w:rFonts w:asciiTheme="minorHAnsi" w:eastAsiaTheme="minorHAnsi" w:hAnsiTheme="minorHAnsi" w:cs="TimesNewRomanPSMT"/>
          <w:color w:val="000000"/>
        </w:rPr>
        <w:t xml:space="preserve"> </w:t>
      </w:r>
      <w:r w:rsidR="00EA418E" w:rsidRPr="007D53FB">
        <w:rPr>
          <w:rFonts w:asciiTheme="minorHAnsi" w:eastAsiaTheme="minorHAnsi" w:hAnsiTheme="minorHAnsi" w:cs="TimesNewRomanPSMT"/>
          <w:color w:val="000000"/>
        </w:rPr>
        <w:t>bilirubin were seen in the SA group than in the placebo group at all time points in the</w:t>
      </w:r>
      <w:r w:rsidR="00EA418E">
        <w:rPr>
          <w:rFonts w:asciiTheme="minorHAnsi" w:eastAsiaTheme="minorHAnsi" w:hAnsiTheme="minorHAnsi" w:cs="TimesNewRomanPSMT"/>
          <w:color w:val="000000"/>
        </w:rPr>
        <w:t xml:space="preserve"> </w:t>
      </w:r>
      <w:r w:rsidR="003F3AB4">
        <w:rPr>
          <w:rFonts w:asciiTheme="minorHAnsi" w:eastAsiaTheme="minorHAnsi" w:hAnsiTheme="minorHAnsi" w:cs="TimesNewRomanPSMT"/>
          <w:color w:val="000000"/>
        </w:rPr>
        <w:t>double blind</w:t>
      </w:r>
      <w:r w:rsidR="00EA418E" w:rsidRPr="007D53FB">
        <w:rPr>
          <w:rFonts w:asciiTheme="minorHAnsi" w:eastAsiaTheme="minorHAnsi" w:hAnsiTheme="minorHAnsi" w:cs="TimesNewRomanPSMT"/>
          <w:color w:val="000000"/>
        </w:rPr>
        <w:t xml:space="preserve"> period thereafter; however, the difference between groups was not</w:t>
      </w:r>
      <w:r w:rsidR="00EA418E">
        <w:rPr>
          <w:rFonts w:asciiTheme="minorHAnsi" w:eastAsiaTheme="minorHAnsi" w:hAnsiTheme="minorHAnsi" w:cs="TimesNewRomanPSMT"/>
          <w:color w:val="000000"/>
        </w:rPr>
        <w:t xml:space="preserve"> </w:t>
      </w:r>
      <w:r w:rsidR="00EA418E" w:rsidRPr="007D53FB">
        <w:rPr>
          <w:rFonts w:asciiTheme="minorHAnsi" w:eastAsiaTheme="minorHAnsi" w:hAnsiTheme="minorHAnsi" w:cs="TimesNewRomanPSMT"/>
          <w:color w:val="000000"/>
        </w:rPr>
        <w:t>significant</w:t>
      </w:r>
      <w:r w:rsidR="00EA418E">
        <w:rPr>
          <w:rFonts w:asciiTheme="minorHAnsi" w:eastAsiaTheme="minorHAnsi" w:hAnsiTheme="minorHAnsi" w:cs="TimesNewRomanPSMT"/>
          <w:color w:val="000000"/>
        </w:rPr>
        <w:t>, with the exception of Week 18.</w:t>
      </w:r>
    </w:p>
    <w:p w14:paraId="73C6DFC2" w14:textId="62B7055B" w:rsidR="00EA418E" w:rsidRPr="007D53FB" w:rsidRDefault="00EA418E" w:rsidP="00EA418E">
      <w:pPr>
        <w:autoSpaceDE w:val="0"/>
        <w:autoSpaceDN w:val="0"/>
        <w:adjustRightInd w:val="0"/>
        <w:spacing w:before="0" w:line="240" w:lineRule="auto"/>
        <w:rPr>
          <w:rFonts w:asciiTheme="minorHAnsi" w:eastAsiaTheme="minorHAnsi" w:hAnsiTheme="minorHAnsi" w:cs="TimesNewRomanPSMT"/>
        </w:rPr>
      </w:pPr>
      <w:r w:rsidRPr="007D53FB">
        <w:rPr>
          <w:rFonts w:asciiTheme="minorHAnsi" w:eastAsiaTheme="minorHAnsi" w:hAnsiTheme="minorHAnsi" w:cs="TimesNewRomanPSMT"/>
          <w:color w:val="000000"/>
        </w:rPr>
        <w:t>Mean indirect bilirubin was</w:t>
      </w:r>
      <w:r>
        <w:rPr>
          <w:rFonts w:asciiTheme="minorHAnsi" w:eastAsiaTheme="minorHAnsi" w:hAnsiTheme="minorHAnsi" w:cs="TimesNewRomanPSMT"/>
          <w:color w:val="000000"/>
        </w:rPr>
        <w:t xml:space="preserve"> </w:t>
      </w:r>
      <w:proofErr w:type="gramStart"/>
      <w:r w:rsidRPr="007D53FB">
        <w:rPr>
          <w:rFonts w:asciiTheme="minorHAnsi" w:eastAsiaTheme="minorHAnsi" w:hAnsiTheme="minorHAnsi" w:cs="TimesNewRomanPSMT"/>
          <w:color w:val="000000"/>
        </w:rPr>
        <w:t xml:space="preserve">15.1 </w:t>
      </w:r>
      <w:r w:rsidR="00DE644C">
        <w:rPr>
          <w:rFonts w:asciiTheme="minorHAnsi" w:eastAsiaTheme="minorHAnsi" w:hAnsiTheme="minorHAnsi" w:cs="TimesNewRomanPSMT"/>
          <w:color w:val="000000"/>
        </w:rPr>
        <w:t>µ</w:t>
      </w:r>
      <w:proofErr w:type="spellStart"/>
      <w:r w:rsidRPr="007D53FB">
        <w:rPr>
          <w:rFonts w:asciiTheme="minorHAnsi" w:eastAsiaTheme="minorHAnsi" w:hAnsiTheme="minorHAnsi" w:cs="TimesNewRomanPSMT"/>
          <w:color w:val="000000"/>
        </w:rPr>
        <w:t>mol</w:t>
      </w:r>
      <w:proofErr w:type="spellEnd"/>
      <w:r w:rsidRPr="007D53FB">
        <w:rPr>
          <w:rFonts w:asciiTheme="minorHAnsi" w:eastAsiaTheme="minorHAnsi" w:hAnsiTheme="minorHAnsi" w:cs="TimesNewRomanPSMT"/>
          <w:color w:val="000000"/>
        </w:rPr>
        <w:t>/L</w:t>
      </w:r>
      <w:proofErr w:type="gramEnd"/>
      <w:r w:rsidRPr="007D53FB">
        <w:rPr>
          <w:rFonts w:asciiTheme="minorHAnsi" w:eastAsiaTheme="minorHAnsi" w:hAnsiTheme="minorHAnsi" w:cs="TimesNewRomanPSMT"/>
          <w:color w:val="000000"/>
        </w:rPr>
        <w:t xml:space="preserve"> and 16.4 </w:t>
      </w:r>
      <w:r w:rsidR="00DE644C">
        <w:rPr>
          <w:rFonts w:asciiTheme="minorHAnsi" w:eastAsiaTheme="minorHAnsi" w:hAnsiTheme="minorHAnsi" w:cs="TimesNewRomanPSMT"/>
          <w:color w:val="000000"/>
        </w:rPr>
        <w:t>µ</w:t>
      </w:r>
      <w:proofErr w:type="spellStart"/>
      <w:r w:rsidRPr="007D53FB">
        <w:rPr>
          <w:rFonts w:asciiTheme="minorHAnsi" w:eastAsiaTheme="minorHAnsi" w:hAnsiTheme="minorHAnsi" w:cs="TimesNewRomanPSMT"/>
          <w:color w:val="000000"/>
        </w:rPr>
        <w:t>mol</w:t>
      </w:r>
      <w:proofErr w:type="spellEnd"/>
      <w:r w:rsidRPr="007D53FB">
        <w:rPr>
          <w:rFonts w:asciiTheme="minorHAnsi" w:eastAsiaTheme="minorHAnsi" w:hAnsiTheme="minorHAnsi" w:cs="TimesNewRomanPSMT"/>
          <w:color w:val="000000"/>
        </w:rPr>
        <w:t xml:space="preserve">/L in the SA and placebo groups, respectively, </w:t>
      </w:r>
      <w:r w:rsidR="00DE644C">
        <w:rPr>
          <w:rFonts w:asciiTheme="minorHAnsi" w:eastAsiaTheme="minorHAnsi" w:hAnsiTheme="minorHAnsi" w:cs="TimesNewRomanPSMT"/>
          <w:color w:val="000000"/>
        </w:rPr>
        <w:t>at Baseline</w:t>
      </w:r>
      <w:r w:rsidRPr="007D53FB">
        <w:rPr>
          <w:rFonts w:asciiTheme="minorHAnsi" w:eastAsiaTheme="minorHAnsi" w:hAnsiTheme="minorHAnsi" w:cs="TimesNewRomanPSMT"/>
          <w:color w:val="000000"/>
        </w:rPr>
        <w:t>.</w:t>
      </w:r>
      <w:r>
        <w:rPr>
          <w:rFonts w:asciiTheme="minorHAnsi" w:eastAsiaTheme="minorHAnsi" w:hAnsiTheme="minorHAnsi" w:cs="TimesNewRomanPSMT"/>
          <w:color w:val="000000"/>
        </w:rPr>
        <w:t xml:space="preserve"> </w:t>
      </w:r>
      <w:r w:rsidRPr="007D53FB">
        <w:rPr>
          <w:rFonts w:asciiTheme="minorHAnsi" w:eastAsiaTheme="minorHAnsi" w:hAnsiTheme="minorHAnsi" w:cs="TimesNewRomanPSMT"/>
          <w:color w:val="000000"/>
        </w:rPr>
        <w:t>Mean indirect bilirubin values were lower in the SA group than in the placebo group at</w:t>
      </w:r>
      <w:r>
        <w:rPr>
          <w:rFonts w:asciiTheme="minorHAnsi" w:eastAsiaTheme="minorHAnsi" w:hAnsiTheme="minorHAnsi" w:cs="TimesNewRomanPSMT"/>
          <w:color w:val="000000"/>
        </w:rPr>
        <w:t xml:space="preserve"> </w:t>
      </w:r>
      <w:r w:rsidRPr="007D53FB">
        <w:rPr>
          <w:rFonts w:asciiTheme="minorHAnsi" w:eastAsiaTheme="minorHAnsi" w:hAnsiTheme="minorHAnsi" w:cs="TimesNewRomanPSMT"/>
          <w:color w:val="000000"/>
        </w:rPr>
        <w:t xml:space="preserve">all </w:t>
      </w:r>
      <w:r w:rsidR="00545648">
        <w:rPr>
          <w:rFonts w:asciiTheme="minorHAnsi" w:eastAsiaTheme="minorHAnsi" w:hAnsiTheme="minorHAnsi" w:cs="TimesNewRomanPSMT"/>
          <w:color w:val="000000"/>
        </w:rPr>
        <w:t>post baseline</w:t>
      </w:r>
      <w:r w:rsidRPr="007D53FB">
        <w:rPr>
          <w:rFonts w:asciiTheme="minorHAnsi" w:eastAsiaTheme="minorHAnsi" w:hAnsiTheme="minorHAnsi" w:cs="TimesNewRomanPSMT"/>
          <w:color w:val="000000"/>
        </w:rPr>
        <w:t xml:space="preserve"> time points assessed. The change </w:t>
      </w:r>
      <w:r w:rsidR="00DE644C">
        <w:rPr>
          <w:rFonts w:asciiTheme="minorHAnsi" w:eastAsiaTheme="minorHAnsi" w:hAnsiTheme="minorHAnsi" w:cs="TimesNewRomanPSMT"/>
          <w:color w:val="000000"/>
        </w:rPr>
        <w:t>from Baseline</w:t>
      </w:r>
      <w:r w:rsidRPr="007D53FB">
        <w:rPr>
          <w:rFonts w:asciiTheme="minorHAnsi" w:eastAsiaTheme="minorHAnsi" w:hAnsiTheme="minorHAnsi" w:cs="TimesNewRomanPSMT"/>
          <w:color w:val="000000"/>
        </w:rPr>
        <w:t xml:space="preserve"> in indirect bilirubin in</w:t>
      </w:r>
      <w:r>
        <w:rPr>
          <w:rFonts w:asciiTheme="minorHAnsi" w:eastAsiaTheme="minorHAnsi" w:hAnsiTheme="minorHAnsi" w:cs="TimesNewRomanPSMT"/>
          <w:color w:val="000000"/>
        </w:rPr>
        <w:t xml:space="preserve"> </w:t>
      </w:r>
      <w:r w:rsidRPr="007D53FB">
        <w:rPr>
          <w:rFonts w:asciiTheme="minorHAnsi" w:eastAsiaTheme="minorHAnsi" w:hAnsiTheme="minorHAnsi" w:cs="TimesNewRomanPSMT"/>
          <w:color w:val="000000"/>
        </w:rPr>
        <w:t>the SA group relative to the placebo group was statistically significant at Week 4, and at</w:t>
      </w:r>
      <w:r>
        <w:rPr>
          <w:rFonts w:asciiTheme="minorHAnsi" w:eastAsiaTheme="minorHAnsi" w:hAnsiTheme="minorHAnsi" w:cs="TimesNewRomanPSMT"/>
          <w:color w:val="000000"/>
        </w:rPr>
        <w:t xml:space="preserve"> </w:t>
      </w:r>
      <w:r w:rsidRPr="007D53FB">
        <w:rPr>
          <w:rFonts w:asciiTheme="minorHAnsi" w:eastAsiaTheme="minorHAnsi" w:hAnsiTheme="minorHAnsi" w:cs="TimesNewRomanPSMT"/>
          <w:color w:val="000000"/>
        </w:rPr>
        <w:t xml:space="preserve">time points at or after Week 14. </w:t>
      </w:r>
      <w:r w:rsidRPr="007D53FB">
        <w:rPr>
          <w:rFonts w:asciiTheme="minorHAnsi" w:eastAsiaTheme="minorHAnsi" w:hAnsiTheme="minorHAnsi" w:cs="TimesNewRomanPSMT"/>
        </w:rPr>
        <w:t xml:space="preserve">Direct bilirubin values were generally similar in the SA and placebo groups </w:t>
      </w:r>
      <w:r w:rsidR="00DE644C">
        <w:rPr>
          <w:rFonts w:asciiTheme="minorHAnsi" w:eastAsiaTheme="minorHAnsi" w:hAnsiTheme="minorHAnsi" w:cs="TimesNewRomanPSMT"/>
        </w:rPr>
        <w:t>at Baseline</w:t>
      </w:r>
      <w:r>
        <w:rPr>
          <w:rFonts w:asciiTheme="minorHAnsi" w:eastAsiaTheme="minorHAnsi" w:hAnsiTheme="minorHAnsi" w:cs="TimesNewRomanPSMT"/>
        </w:rPr>
        <w:t xml:space="preserve"> </w:t>
      </w:r>
      <w:r w:rsidRPr="007D53FB">
        <w:rPr>
          <w:rFonts w:asciiTheme="minorHAnsi" w:eastAsiaTheme="minorHAnsi" w:hAnsiTheme="minorHAnsi" w:cs="TimesNewRomanPSMT"/>
        </w:rPr>
        <w:t xml:space="preserve">and at all </w:t>
      </w:r>
      <w:r w:rsidR="00545648">
        <w:rPr>
          <w:rFonts w:asciiTheme="minorHAnsi" w:eastAsiaTheme="minorHAnsi" w:hAnsiTheme="minorHAnsi" w:cs="TimesNewRomanPSMT"/>
        </w:rPr>
        <w:t>post baseline</w:t>
      </w:r>
      <w:r w:rsidRPr="007D53FB">
        <w:rPr>
          <w:rFonts w:asciiTheme="minorHAnsi" w:eastAsiaTheme="minorHAnsi" w:hAnsiTheme="minorHAnsi" w:cs="TimesNewRomanPSMT"/>
        </w:rPr>
        <w:t xml:space="preserve"> time points assessed in the </w:t>
      </w:r>
      <w:r w:rsidR="003F3AB4">
        <w:rPr>
          <w:rFonts w:asciiTheme="minorHAnsi" w:eastAsiaTheme="minorHAnsi" w:hAnsiTheme="minorHAnsi" w:cs="TimesNewRomanPSMT"/>
        </w:rPr>
        <w:t>double blind</w:t>
      </w:r>
      <w:r w:rsidRPr="007D53FB">
        <w:rPr>
          <w:rFonts w:asciiTheme="minorHAnsi" w:eastAsiaTheme="minorHAnsi" w:hAnsiTheme="minorHAnsi" w:cs="TimesNewRomanPSMT"/>
        </w:rPr>
        <w:t xml:space="preserve"> period; no statistically</w:t>
      </w:r>
      <w:r>
        <w:rPr>
          <w:rFonts w:asciiTheme="minorHAnsi" w:eastAsiaTheme="minorHAnsi" w:hAnsiTheme="minorHAnsi" w:cs="TimesNewRomanPSMT"/>
        </w:rPr>
        <w:t xml:space="preserve"> </w:t>
      </w:r>
      <w:r w:rsidRPr="007D53FB">
        <w:rPr>
          <w:rFonts w:asciiTheme="minorHAnsi" w:eastAsiaTheme="minorHAnsi" w:hAnsiTheme="minorHAnsi" w:cs="TimesNewRomanPSMT"/>
        </w:rPr>
        <w:t xml:space="preserve">significant change </w:t>
      </w:r>
      <w:r w:rsidR="00DE644C">
        <w:rPr>
          <w:rFonts w:asciiTheme="minorHAnsi" w:eastAsiaTheme="minorHAnsi" w:hAnsiTheme="minorHAnsi" w:cs="TimesNewRomanPSMT"/>
        </w:rPr>
        <w:t>from Baseline</w:t>
      </w:r>
      <w:r w:rsidRPr="007D53FB">
        <w:rPr>
          <w:rFonts w:asciiTheme="minorHAnsi" w:eastAsiaTheme="minorHAnsi" w:hAnsiTheme="minorHAnsi" w:cs="TimesNewRomanPSMT"/>
        </w:rPr>
        <w:t xml:space="preserve"> in direct bilirubin was seen in the SA group relative to</w:t>
      </w:r>
      <w:r>
        <w:rPr>
          <w:rFonts w:asciiTheme="minorHAnsi" w:eastAsiaTheme="minorHAnsi" w:hAnsiTheme="minorHAnsi" w:cs="TimesNewRomanPSMT"/>
        </w:rPr>
        <w:t xml:space="preserve"> </w:t>
      </w:r>
      <w:r w:rsidRPr="007D53FB">
        <w:rPr>
          <w:rFonts w:asciiTheme="minorHAnsi" w:eastAsiaTheme="minorHAnsi" w:hAnsiTheme="minorHAnsi" w:cs="TimesNewRomanPSMT"/>
        </w:rPr>
        <w:t>placebo, with the exception of Week 18, at which time point the mean percent change</w:t>
      </w:r>
      <w:r>
        <w:rPr>
          <w:rFonts w:asciiTheme="minorHAnsi" w:eastAsiaTheme="minorHAnsi" w:hAnsiTheme="minorHAnsi" w:cs="TimesNewRomanPSMT"/>
        </w:rPr>
        <w:t xml:space="preserve"> </w:t>
      </w:r>
      <w:r w:rsidR="00DE644C">
        <w:rPr>
          <w:rFonts w:asciiTheme="minorHAnsi" w:eastAsiaTheme="minorHAnsi" w:hAnsiTheme="minorHAnsi" w:cs="TimesNewRomanPSMT"/>
        </w:rPr>
        <w:t>from Baseline</w:t>
      </w:r>
      <w:r w:rsidRPr="007D53FB">
        <w:rPr>
          <w:rFonts w:asciiTheme="minorHAnsi" w:eastAsiaTheme="minorHAnsi" w:hAnsiTheme="minorHAnsi" w:cs="TimesNewRomanPSMT"/>
        </w:rPr>
        <w:t xml:space="preserve"> in direct bilir</w:t>
      </w:r>
      <w:r w:rsidR="00545648">
        <w:rPr>
          <w:rFonts w:asciiTheme="minorHAnsi" w:eastAsiaTheme="minorHAnsi" w:hAnsiTheme="minorHAnsi" w:cs="TimesNewRomanPSMT"/>
        </w:rPr>
        <w:t xml:space="preserve">ubin was </w:t>
      </w:r>
      <w:r w:rsidR="00545648">
        <w:rPr>
          <w:rFonts w:asciiTheme="minorHAnsi" w:eastAsiaTheme="minorHAnsi" w:hAnsiTheme="minorHAnsi" w:cs="TimesNewRomanPSMT"/>
        </w:rPr>
        <w:noBreakHyphen/>
      </w:r>
      <w:r w:rsidRPr="007D53FB">
        <w:rPr>
          <w:rFonts w:asciiTheme="minorHAnsi" w:eastAsiaTheme="minorHAnsi" w:hAnsiTheme="minorHAnsi" w:cs="TimesNewRomanPSMT"/>
        </w:rPr>
        <w:t>7% in the SA group and 2% in the placebo group</w:t>
      </w:r>
      <w:r>
        <w:rPr>
          <w:rFonts w:asciiTheme="minorHAnsi" w:eastAsiaTheme="minorHAnsi" w:hAnsiTheme="minorHAnsi" w:cs="TimesNewRomanPSMT"/>
        </w:rPr>
        <w:t xml:space="preserve"> </w:t>
      </w:r>
      <w:r w:rsidRPr="007D53FB">
        <w:rPr>
          <w:rFonts w:asciiTheme="minorHAnsi" w:eastAsiaTheme="minorHAnsi" w:hAnsiTheme="minorHAnsi" w:cs="TimesNewRomanPSMT"/>
        </w:rPr>
        <w:t>(p</w:t>
      </w:r>
      <w:r w:rsidR="002D28A4">
        <w:rPr>
          <w:rFonts w:asciiTheme="minorHAnsi" w:eastAsiaTheme="minorHAnsi" w:hAnsiTheme="minorHAnsi" w:cs="TimesNewRomanPSMT"/>
        </w:rPr>
        <w:t xml:space="preserve"> = </w:t>
      </w:r>
      <w:r w:rsidRPr="007D53FB">
        <w:rPr>
          <w:rFonts w:asciiTheme="minorHAnsi" w:eastAsiaTheme="minorHAnsi" w:hAnsiTheme="minorHAnsi" w:cs="TimesNewRomanPSMT"/>
        </w:rPr>
        <w:t>0.0446)</w:t>
      </w:r>
      <w:r>
        <w:rPr>
          <w:rFonts w:asciiTheme="minorHAnsi" w:eastAsiaTheme="minorHAnsi" w:hAnsiTheme="minorHAnsi" w:cs="TimesNewRomanPSMT"/>
        </w:rPr>
        <w:t>.</w:t>
      </w:r>
    </w:p>
    <w:p w14:paraId="2F831947" w14:textId="77777777" w:rsidR="00CC672B" w:rsidRDefault="00EA418E" w:rsidP="00EA418E">
      <w:pPr>
        <w:pStyle w:val="Heading7"/>
        <w:rPr>
          <w:rFonts w:eastAsiaTheme="minorHAnsi"/>
          <w:sz w:val="20"/>
        </w:rPr>
      </w:pPr>
      <w:r w:rsidRPr="00EA418E">
        <w:rPr>
          <w:rFonts w:eastAsiaTheme="minorHAnsi"/>
          <w:sz w:val="20"/>
        </w:rPr>
        <w:t>Coagulation parameters</w:t>
      </w:r>
    </w:p>
    <w:p w14:paraId="536D7FC0" w14:textId="03399268" w:rsidR="00EA418E" w:rsidRPr="007D53FB" w:rsidRDefault="00EA418E" w:rsidP="00EA418E">
      <w:pPr>
        <w:autoSpaceDE w:val="0"/>
        <w:autoSpaceDN w:val="0"/>
        <w:adjustRightInd w:val="0"/>
        <w:spacing w:before="0" w:line="240" w:lineRule="auto"/>
        <w:rPr>
          <w:rFonts w:asciiTheme="minorHAnsi" w:eastAsiaTheme="minorHAnsi" w:hAnsiTheme="minorHAnsi" w:cs="TimesNewRomanPSMT"/>
        </w:rPr>
      </w:pPr>
      <w:r w:rsidRPr="007D53FB">
        <w:rPr>
          <w:rFonts w:asciiTheme="minorHAnsi" w:eastAsiaTheme="minorHAnsi" w:hAnsiTheme="minorHAnsi" w:cs="TimesNewRomanPSMT"/>
        </w:rPr>
        <w:t xml:space="preserve">Of the 11 subjects with 2 or more abnormal clotting tests (PT, PTT, and/or INR) </w:t>
      </w:r>
      <w:r w:rsidR="00DE644C">
        <w:rPr>
          <w:rFonts w:asciiTheme="minorHAnsi" w:eastAsiaTheme="minorHAnsi" w:hAnsiTheme="minorHAnsi" w:cs="TimesNewRomanPSMT"/>
        </w:rPr>
        <w:t>at Baseline</w:t>
      </w:r>
      <w:r w:rsidR="00545648">
        <w:rPr>
          <w:rFonts w:asciiTheme="minorHAnsi" w:eastAsiaTheme="minorHAnsi" w:hAnsiTheme="minorHAnsi" w:cs="TimesNewRomanPSMT"/>
        </w:rPr>
        <w:t>, 4 </w:t>
      </w:r>
      <w:r w:rsidRPr="007D53FB">
        <w:rPr>
          <w:rFonts w:asciiTheme="minorHAnsi" w:eastAsiaTheme="minorHAnsi" w:hAnsiTheme="minorHAnsi" w:cs="TimesNewRomanPSMT"/>
        </w:rPr>
        <w:t>were in the SA group and 7 were in the placebo group. With the exception of</w:t>
      </w:r>
      <w:r>
        <w:rPr>
          <w:rFonts w:asciiTheme="minorHAnsi" w:eastAsiaTheme="minorHAnsi" w:hAnsiTheme="minorHAnsi" w:cs="TimesNewRomanPSMT"/>
        </w:rPr>
        <w:t xml:space="preserve"> </w:t>
      </w:r>
      <w:r w:rsidRPr="007D53FB">
        <w:rPr>
          <w:rFonts w:asciiTheme="minorHAnsi" w:eastAsiaTheme="minorHAnsi" w:hAnsiTheme="minorHAnsi" w:cs="TimesNewRomanPSMT"/>
        </w:rPr>
        <w:t>a marked improvement in INR and P</w:t>
      </w:r>
      <w:r>
        <w:rPr>
          <w:rFonts w:asciiTheme="minorHAnsi" w:eastAsiaTheme="minorHAnsi" w:hAnsiTheme="minorHAnsi" w:cs="TimesNewRomanPSMT"/>
        </w:rPr>
        <w:t>T in 1 subject in the SA group</w:t>
      </w:r>
      <w:r w:rsidRPr="007D53FB">
        <w:rPr>
          <w:rFonts w:asciiTheme="minorHAnsi" w:eastAsiaTheme="minorHAnsi" w:hAnsiTheme="minorHAnsi" w:cs="TimesNewRomanPSMT"/>
        </w:rPr>
        <w:t>,</w:t>
      </w:r>
      <w:r>
        <w:rPr>
          <w:rFonts w:asciiTheme="minorHAnsi" w:eastAsiaTheme="minorHAnsi" w:hAnsiTheme="minorHAnsi" w:cs="TimesNewRomanPSMT"/>
        </w:rPr>
        <w:t xml:space="preserve"> </w:t>
      </w:r>
      <w:r w:rsidRPr="007D53FB">
        <w:rPr>
          <w:rFonts w:asciiTheme="minorHAnsi" w:eastAsiaTheme="minorHAnsi" w:hAnsiTheme="minorHAnsi" w:cs="TimesNewRomanPSMT"/>
        </w:rPr>
        <w:t>no other clinically meaningful changes over time were observed between baseline and</w:t>
      </w:r>
      <w:r>
        <w:rPr>
          <w:rFonts w:asciiTheme="minorHAnsi" w:eastAsiaTheme="minorHAnsi" w:hAnsiTheme="minorHAnsi" w:cs="TimesNewRomanPSMT"/>
        </w:rPr>
        <w:t xml:space="preserve"> </w:t>
      </w:r>
      <w:r w:rsidRPr="007D53FB">
        <w:rPr>
          <w:rFonts w:asciiTheme="minorHAnsi" w:eastAsiaTheme="minorHAnsi" w:hAnsiTheme="minorHAnsi" w:cs="TimesNewRomanPSMT"/>
        </w:rPr>
        <w:t>last DB visit for PT, PTT and INR in either the SA or placebo group</w:t>
      </w:r>
      <w:r>
        <w:rPr>
          <w:rFonts w:asciiTheme="minorHAnsi" w:eastAsiaTheme="minorHAnsi" w:hAnsiTheme="minorHAnsi" w:cs="TimesNewRomanPSMT"/>
        </w:rPr>
        <w:t>.</w:t>
      </w:r>
    </w:p>
    <w:p w14:paraId="2ACAC31D" w14:textId="77777777" w:rsidR="00CC672B" w:rsidRDefault="00EA418E" w:rsidP="00EA418E">
      <w:pPr>
        <w:pStyle w:val="Heading7"/>
        <w:rPr>
          <w:sz w:val="20"/>
          <w:lang w:eastAsia="ja-JP"/>
        </w:rPr>
      </w:pPr>
      <w:r w:rsidRPr="00EA418E">
        <w:rPr>
          <w:sz w:val="20"/>
          <w:lang w:eastAsia="ja-JP"/>
        </w:rPr>
        <w:lastRenderedPageBreak/>
        <w:t>Supportive analysis of lipids</w:t>
      </w:r>
    </w:p>
    <w:p w14:paraId="3FAC0B9F" w14:textId="2EE49271" w:rsidR="00B73619" w:rsidRPr="00112368" w:rsidRDefault="00EA418E" w:rsidP="00EA418E">
      <w:pPr>
        <w:autoSpaceDE w:val="0"/>
        <w:autoSpaceDN w:val="0"/>
        <w:adjustRightInd w:val="0"/>
        <w:spacing w:before="0" w:line="240" w:lineRule="auto"/>
        <w:rPr>
          <w:rFonts w:asciiTheme="minorHAnsi" w:eastAsiaTheme="minorHAnsi" w:hAnsiTheme="minorHAnsi" w:cs="TimesNewRomanPSMT"/>
        </w:rPr>
      </w:pPr>
      <w:r w:rsidRPr="00016C3D">
        <w:rPr>
          <w:rFonts w:asciiTheme="minorHAnsi" w:eastAsiaTheme="minorHAnsi" w:hAnsiTheme="minorHAnsi" w:cs="TimesNewRomanPSMT"/>
        </w:rPr>
        <w:t>Mean baseline</w:t>
      </w:r>
      <w:r>
        <w:rPr>
          <w:rFonts w:asciiTheme="minorHAnsi" w:eastAsiaTheme="minorHAnsi" w:hAnsiTheme="minorHAnsi" w:cs="TimesNewRomanPSMT"/>
        </w:rPr>
        <w:t xml:space="preserve"> </w:t>
      </w:r>
      <w:r w:rsidRPr="00016C3D">
        <w:rPr>
          <w:rFonts w:asciiTheme="minorHAnsi" w:eastAsiaTheme="minorHAnsi" w:hAnsiTheme="minorHAnsi" w:cs="TimesNewRomanPSMT"/>
        </w:rPr>
        <w:t>LDL-c values were 189.9 and 229.5 mg/</w:t>
      </w:r>
      <w:proofErr w:type="spellStart"/>
      <w:r w:rsidRPr="00016C3D">
        <w:rPr>
          <w:rFonts w:asciiTheme="minorHAnsi" w:eastAsiaTheme="minorHAnsi" w:hAnsiTheme="minorHAnsi" w:cs="TimesNewRomanPSMT"/>
        </w:rPr>
        <w:t>dL</w:t>
      </w:r>
      <w:proofErr w:type="spellEnd"/>
      <w:r w:rsidRPr="00016C3D">
        <w:rPr>
          <w:rFonts w:asciiTheme="minorHAnsi" w:eastAsiaTheme="minorHAnsi" w:hAnsiTheme="minorHAnsi" w:cs="TimesNewRomanPSMT"/>
        </w:rPr>
        <w:t xml:space="preserve"> (4.9 and 5.9 </w:t>
      </w:r>
      <w:proofErr w:type="spellStart"/>
      <w:r w:rsidRPr="00016C3D">
        <w:rPr>
          <w:rFonts w:asciiTheme="minorHAnsi" w:eastAsiaTheme="minorHAnsi" w:hAnsiTheme="minorHAnsi" w:cs="TimesNewRomanPSMT"/>
        </w:rPr>
        <w:t>mmol</w:t>
      </w:r>
      <w:proofErr w:type="spellEnd"/>
      <w:r w:rsidRPr="00016C3D">
        <w:rPr>
          <w:rFonts w:asciiTheme="minorHAnsi" w:eastAsiaTheme="minorHAnsi" w:hAnsiTheme="minorHAnsi" w:cs="TimesNewRomanPSMT"/>
        </w:rPr>
        <w:t>/L) in the</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SA and placebo groups, respectively. In the SA group, mean increases </w:t>
      </w:r>
      <w:r w:rsidR="00DE644C">
        <w:rPr>
          <w:rFonts w:asciiTheme="minorHAnsi" w:eastAsiaTheme="minorHAnsi" w:hAnsiTheme="minorHAnsi" w:cs="TimesNewRomanPSMT"/>
        </w:rPr>
        <w:t>from Baseline</w:t>
      </w:r>
      <w:r w:rsidRPr="00016C3D">
        <w:rPr>
          <w:rFonts w:asciiTheme="minorHAnsi" w:eastAsiaTheme="minorHAnsi" w:hAnsiTheme="minorHAnsi" w:cs="TimesNewRomanPSMT"/>
        </w:rPr>
        <w:t xml:space="preserve"> in LDL-c were seen at Weeks 2 and 4, with a maximum increase</w:t>
      </w:r>
      <w:r>
        <w:rPr>
          <w:rFonts w:asciiTheme="minorHAnsi" w:eastAsiaTheme="minorHAnsi" w:hAnsiTheme="minorHAnsi" w:cs="TimesNewRomanPSMT"/>
        </w:rPr>
        <w:t xml:space="preserve"> </w:t>
      </w:r>
      <w:r w:rsidRPr="00016C3D">
        <w:rPr>
          <w:rFonts w:asciiTheme="minorHAnsi" w:eastAsiaTheme="minorHAnsi" w:hAnsiTheme="minorHAnsi" w:cs="TimesNewRomanPSMT"/>
        </w:rPr>
        <w:t>of 18% seen at Week 2; this increase was statistically significant relative to placebo</w:t>
      </w:r>
      <w:r>
        <w:rPr>
          <w:rFonts w:asciiTheme="minorHAnsi" w:eastAsiaTheme="minorHAnsi" w:hAnsiTheme="minorHAnsi" w:cs="TimesNewRomanPSMT"/>
        </w:rPr>
        <w:t xml:space="preserve"> </w:t>
      </w:r>
      <w:r w:rsidRPr="00016C3D">
        <w:rPr>
          <w:rFonts w:asciiTheme="minorHAnsi" w:eastAsiaTheme="minorHAnsi" w:hAnsiTheme="minorHAnsi" w:cs="TimesNewRomanPSMT"/>
        </w:rPr>
        <w:t>(p</w:t>
      </w:r>
      <w:r w:rsidR="002D28A4">
        <w:rPr>
          <w:rFonts w:asciiTheme="minorHAnsi" w:eastAsiaTheme="minorHAnsi" w:hAnsiTheme="minorHAnsi" w:cs="TimesNewRomanPSMT"/>
        </w:rPr>
        <w:t xml:space="preserve"> = </w:t>
      </w:r>
      <w:r w:rsidRPr="00016C3D">
        <w:rPr>
          <w:rFonts w:asciiTheme="minorHAnsi" w:eastAsiaTheme="minorHAnsi" w:hAnsiTheme="minorHAnsi" w:cs="TimesNewRomanPSMT"/>
        </w:rPr>
        <w:t xml:space="preserve">0.0008). However, at Week 6 and all time points thereafter, decreases </w:t>
      </w:r>
      <w:r w:rsidR="00DE644C">
        <w:rPr>
          <w:rFonts w:asciiTheme="minorHAnsi" w:eastAsiaTheme="minorHAnsi" w:hAnsiTheme="minorHAnsi" w:cs="TimesNewRomanPSMT"/>
        </w:rPr>
        <w:t>from Baseline</w:t>
      </w:r>
      <w:r>
        <w:rPr>
          <w:rFonts w:asciiTheme="minorHAnsi" w:eastAsiaTheme="minorHAnsi" w:hAnsiTheme="minorHAnsi" w:cs="TimesNewRomanPSMT"/>
        </w:rPr>
        <w:t xml:space="preserve"> </w:t>
      </w:r>
      <w:r w:rsidRPr="00016C3D">
        <w:rPr>
          <w:rFonts w:asciiTheme="minorHAnsi" w:eastAsiaTheme="minorHAnsi" w:hAnsiTheme="minorHAnsi" w:cs="TimesNewRomanPSMT"/>
        </w:rPr>
        <w:t>in LDL-c were seen in the SA group relative to the placebo group, with the decreases</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being statistically significant by Week 10. A maximum mean decrease </w:t>
      </w:r>
      <w:r w:rsidR="00DE644C">
        <w:rPr>
          <w:rFonts w:asciiTheme="minorHAnsi" w:eastAsiaTheme="minorHAnsi" w:hAnsiTheme="minorHAnsi" w:cs="TimesNewRomanPSMT"/>
        </w:rPr>
        <w:t>from Baseline</w:t>
      </w:r>
      <w:r w:rsidRPr="00016C3D">
        <w:rPr>
          <w:rFonts w:asciiTheme="minorHAnsi" w:eastAsiaTheme="minorHAnsi" w:hAnsiTheme="minorHAnsi" w:cs="TimesNewRomanPSMT"/>
        </w:rPr>
        <w:t xml:space="preserve"> in LDL-c of 31% was seen at Week 18 (</w:t>
      </w:r>
      <w:r w:rsidR="00E57011">
        <w:rPr>
          <w:rFonts w:asciiTheme="minorHAnsi" w:eastAsiaTheme="minorHAnsi" w:hAnsiTheme="minorHAnsi" w:cs="TimesNewRomanPSMT"/>
        </w:rPr>
        <w:t xml:space="preserve">p </w:t>
      </w:r>
      <w:r w:rsidR="00A87AAC">
        <w:rPr>
          <w:rFonts w:asciiTheme="minorHAnsi" w:eastAsiaTheme="minorHAnsi" w:hAnsiTheme="minorHAnsi" w:cs="TimesNewRomanPSMT"/>
        </w:rPr>
        <w:t xml:space="preserve">&lt; </w:t>
      </w:r>
      <w:r w:rsidR="00E57011">
        <w:rPr>
          <w:rFonts w:asciiTheme="minorHAnsi" w:eastAsiaTheme="minorHAnsi" w:hAnsiTheme="minorHAnsi" w:cs="TimesNewRomanPSMT"/>
        </w:rPr>
        <w:t>0</w:t>
      </w:r>
      <w:r w:rsidRPr="00016C3D">
        <w:rPr>
          <w:rFonts w:asciiTheme="minorHAnsi" w:eastAsiaTheme="minorHAnsi" w:hAnsiTheme="minorHAnsi" w:cs="TimesNewRomanPSMT"/>
        </w:rPr>
        <w:t>.0001). At the last visit in the</w:t>
      </w:r>
      <w:r>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016C3D">
        <w:rPr>
          <w:rFonts w:asciiTheme="minorHAnsi" w:eastAsiaTheme="minorHAnsi" w:hAnsiTheme="minorHAnsi" w:cs="TimesNewRomanPSMT"/>
        </w:rPr>
        <w:t xml:space="preserve"> period, mean LDL-c values were 138.8 mg/</w:t>
      </w:r>
      <w:proofErr w:type="spellStart"/>
      <w:r w:rsidRPr="00016C3D">
        <w:rPr>
          <w:rFonts w:asciiTheme="minorHAnsi" w:eastAsiaTheme="minorHAnsi" w:hAnsiTheme="minorHAnsi" w:cs="TimesNewRomanPSMT"/>
        </w:rPr>
        <w:t>dL</w:t>
      </w:r>
      <w:proofErr w:type="spellEnd"/>
      <w:r w:rsidRPr="00016C3D">
        <w:rPr>
          <w:rFonts w:asciiTheme="minorHAnsi" w:eastAsiaTheme="minorHAnsi" w:hAnsiTheme="minorHAnsi" w:cs="TimesNewRomanPSMT"/>
        </w:rPr>
        <w:t xml:space="preserve"> and 213.3 mg/</w:t>
      </w:r>
      <w:proofErr w:type="spellStart"/>
      <w:r w:rsidRPr="00016C3D">
        <w:rPr>
          <w:rFonts w:asciiTheme="minorHAnsi" w:eastAsiaTheme="minorHAnsi" w:hAnsiTheme="minorHAnsi" w:cs="TimesNewRomanPSMT"/>
        </w:rPr>
        <w:t>dL</w:t>
      </w:r>
      <w:proofErr w:type="spellEnd"/>
      <w:r>
        <w:rPr>
          <w:rFonts w:asciiTheme="minorHAnsi" w:eastAsiaTheme="minorHAnsi" w:hAnsiTheme="minorHAnsi" w:cs="TimesNewRomanPSMT"/>
        </w:rPr>
        <w:t xml:space="preserve"> </w:t>
      </w:r>
      <w:r w:rsidR="00545648">
        <w:rPr>
          <w:rFonts w:asciiTheme="minorHAnsi" w:eastAsiaTheme="minorHAnsi" w:hAnsiTheme="minorHAnsi" w:cs="TimesNewRomanPSMT"/>
        </w:rPr>
        <w:t xml:space="preserve">(3.6 </w:t>
      </w:r>
      <w:proofErr w:type="spellStart"/>
      <w:r w:rsidR="00545648">
        <w:rPr>
          <w:rFonts w:asciiTheme="minorHAnsi" w:eastAsiaTheme="minorHAnsi" w:hAnsiTheme="minorHAnsi" w:cs="TimesNewRomanPSMT"/>
        </w:rPr>
        <w:t>mmol</w:t>
      </w:r>
      <w:proofErr w:type="spellEnd"/>
      <w:r w:rsidR="00545648">
        <w:rPr>
          <w:rFonts w:asciiTheme="minorHAnsi" w:eastAsiaTheme="minorHAnsi" w:hAnsiTheme="minorHAnsi" w:cs="TimesNewRomanPSMT"/>
        </w:rPr>
        <w:t>/L and 5.5 </w:t>
      </w:r>
      <w:proofErr w:type="spellStart"/>
      <w:r w:rsidRPr="00016C3D">
        <w:rPr>
          <w:rFonts w:asciiTheme="minorHAnsi" w:eastAsiaTheme="minorHAnsi" w:hAnsiTheme="minorHAnsi" w:cs="TimesNewRomanPSMT"/>
        </w:rPr>
        <w:t>mmol</w:t>
      </w:r>
      <w:proofErr w:type="spellEnd"/>
      <w:r w:rsidRPr="00016C3D">
        <w:rPr>
          <w:rFonts w:asciiTheme="minorHAnsi" w:eastAsiaTheme="minorHAnsi" w:hAnsiTheme="minorHAnsi" w:cs="TimesNewRomanPSMT"/>
        </w:rPr>
        <w:t>/L) in the SA and placebo groups, respectively, representing</w:t>
      </w:r>
      <w:r>
        <w:rPr>
          <w:rFonts w:asciiTheme="minorHAnsi" w:eastAsiaTheme="minorHAnsi" w:hAnsiTheme="minorHAnsi" w:cs="TimesNewRomanPSMT"/>
        </w:rPr>
        <w:t xml:space="preserve"> </w:t>
      </w:r>
      <w:r w:rsidRPr="00016C3D">
        <w:rPr>
          <w:rFonts w:asciiTheme="minorHAnsi" w:eastAsiaTheme="minorHAnsi" w:hAnsiTheme="minorHAnsi" w:cs="TimesNewRomanPSMT"/>
        </w:rPr>
        <w:t>mean perc</w:t>
      </w:r>
      <w:r w:rsidR="00545648">
        <w:rPr>
          <w:rFonts w:asciiTheme="minorHAnsi" w:eastAsiaTheme="minorHAnsi" w:hAnsiTheme="minorHAnsi" w:cs="TimesNewRomanPSMT"/>
        </w:rPr>
        <w:t xml:space="preserve">ent decreases </w:t>
      </w:r>
      <w:r w:rsidR="00DE644C">
        <w:rPr>
          <w:rFonts w:asciiTheme="minorHAnsi" w:eastAsiaTheme="minorHAnsi" w:hAnsiTheme="minorHAnsi" w:cs="TimesNewRomanPSMT"/>
        </w:rPr>
        <w:t>from Baseline</w:t>
      </w:r>
      <w:r w:rsidR="00545648">
        <w:rPr>
          <w:rFonts w:asciiTheme="minorHAnsi" w:eastAsiaTheme="minorHAnsi" w:hAnsiTheme="minorHAnsi" w:cs="TimesNewRomanPSMT"/>
        </w:rPr>
        <w:t xml:space="preserve"> of </w:t>
      </w:r>
      <w:r w:rsidR="00545648">
        <w:rPr>
          <w:rFonts w:asciiTheme="minorHAnsi" w:eastAsiaTheme="minorHAnsi" w:hAnsiTheme="minorHAnsi" w:cs="TimesNewRomanPSMT"/>
        </w:rPr>
        <w:noBreakHyphen/>
        <w:t xml:space="preserve">29% versus </w:t>
      </w:r>
      <w:r w:rsidR="00545648">
        <w:rPr>
          <w:rFonts w:asciiTheme="minorHAnsi" w:eastAsiaTheme="minorHAnsi" w:hAnsiTheme="minorHAnsi" w:cs="TimesNewRomanPSMT"/>
        </w:rPr>
        <w:noBreakHyphen/>
      </w:r>
      <w:r w:rsidRPr="00016C3D">
        <w:rPr>
          <w:rFonts w:asciiTheme="minorHAnsi" w:eastAsiaTheme="minorHAnsi" w:hAnsiTheme="minorHAnsi" w:cs="TimesNewRomanPSMT"/>
        </w:rPr>
        <w:t>6%, respectively (</w:t>
      </w:r>
      <w:r w:rsidR="00E57011">
        <w:rPr>
          <w:rFonts w:asciiTheme="minorHAnsi" w:eastAsiaTheme="minorHAnsi" w:hAnsiTheme="minorHAnsi" w:cs="TimesNewRomanPSMT"/>
        </w:rPr>
        <w:t xml:space="preserve">p </w:t>
      </w:r>
      <w:r w:rsidR="00A87AAC">
        <w:rPr>
          <w:rFonts w:asciiTheme="minorHAnsi" w:eastAsiaTheme="minorHAnsi" w:hAnsiTheme="minorHAnsi" w:cs="TimesNewRomanPSMT"/>
        </w:rPr>
        <w:t xml:space="preserve">&lt; </w:t>
      </w:r>
      <w:r w:rsidR="00E57011">
        <w:rPr>
          <w:rFonts w:asciiTheme="minorHAnsi" w:eastAsiaTheme="minorHAnsi" w:hAnsiTheme="minorHAnsi" w:cs="TimesNewRomanPSMT"/>
        </w:rPr>
        <w:t>0</w:t>
      </w:r>
      <w:r w:rsidRPr="00016C3D">
        <w:rPr>
          <w:rFonts w:asciiTheme="minorHAnsi" w:eastAsiaTheme="minorHAnsi" w:hAnsiTheme="minorHAnsi" w:cs="TimesNewRomanPSMT"/>
        </w:rPr>
        <w:t>.0001</w:t>
      </w:r>
      <w:r w:rsidRPr="00112368">
        <w:rPr>
          <w:rFonts w:asciiTheme="minorHAnsi" w:eastAsiaTheme="minorHAnsi" w:hAnsiTheme="minorHAnsi" w:cs="TimesNewRomanPSMT"/>
        </w:rPr>
        <w:t>) (Figure</w:t>
      </w:r>
      <w:r w:rsidR="008267BC">
        <w:rPr>
          <w:rFonts w:asciiTheme="minorHAnsi" w:eastAsiaTheme="minorHAnsi" w:hAnsiTheme="minorHAnsi" w:cs="TimesNewRomanPSMT"/>
        </w:rPr>
        <w:t>s</w:t>
      </w:r>
      <w:r w:rsidRPr="00112368">
        <w:rPr>
          <w:rFonts w:asciiTheme="minorHAnsi" w:eastAsiaTheme="minorHAnsi" w:hAnsiTheme="minorHAnsi" w:cs="TimesNewRomanPSMT"/>
        </w:rPr>
        <w:t xml:space="preserve"> </w:t>
      </w:r>
      <w:r w:rsidR="008267BC">
        <w:rPr>
          <w:rFonts w:asciiTheme="minorHAnsi" w:eastAsiaTheme="minorHAnsi" w:hAnsiTheme="minorHAnsi" w:cs="TimesNewRomanPSMT"/>
        </w:rPr>
        <w:t>8 and 9</w:t>
      </w:r>
      <w:r w:rsidRPr="00112368">
        <w:rPr>
          <w:rFonts w:asciiTheme="minorHAnsi" w:eastAsiaTheme="minorHAnsi" w:hAnsiTheme="minorHAnsi" w:cs="TimesNewRomanPSMT"/>
        </w:rPr>
        <w:t>). Importantly</w:t>
      </w:r>
      <w:r w:rsidRPr="00016C3D">
        <w:rPr>
          <w:rFonts w:asciiTheme="minorHAnsi" w:eastAsiaTheme="minorHAnsi" w:hAnsiTheme="minorHAnsi" w:cs="TimesNewRomanPSMT"/>
        </w:rPr>
        <w:t>, reductions in LDL-c were seen in subjects in the SA group regardless of</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LLM use, with the reduction </w:t>
      </w:r>
      <w:r w:rsidR="00DE644C">
        <w:rPr>
          <w:rFonts w:asciiTheme="minorHAnsi" w:eastAsiaTheme="minorHAnsi" w:hAnsiTheme="minorHAnsi" w:cs="TimesNewRomanPSMT"/>
        </w:rPr>
        <w:t>from Baseline</w:t>
      </w:r>
      <w:r w:rsidRPr="00016C3D">
        <w:rPr>
          <w:rFonts w:asciiTheme="minorHAnsi" w:eastAsiaTheme="minorHAnsi" w:hAnsiTheme="minorHAnsi" w:cs="TimesNewRomanPSMT"/>
        </w:rPr>
        <w:t xml:space="preserve"> to the last time point in the </w:t>
      </w:r>
      <w:r w:rsidR="003F3AB4">
        <w:rPr>
          <w:rFonts w:asciiTheme="minorHAnsi" w:eastAsiaTheme="minorHAnsi" w:hAnsiTheme="minorHAnsi" w:cs="TimesNewRomanPSMT"/>
        </w:rPr>
        <w:t>double blind</w:t>
      </w:r>
      <w:r>
        <w:rPr>
          <w:rFonts w:asciiTheme="minorHAnsi" w:eastAsiaTheme="minorHAnsi" w:hAnsiTheme="minorHAnsi" w:cs="TimesNewRomanPSMT"/>
        </w:rPr>
        <w:t xml:space="preserve"> </w:t>
      </w:r>
      <w:r w:rsidRPr="00016C3D">
        <w:rPr>
          <w:rFonts w:asciiTheme="minorHAnsi" w:eastAsiaTheme="minorHAnsi" w:hAnsiTheme="minorHAnsi" w:cs="TimesNewRomanPSMT"/>
        </w:rPr>
        <w:t>period in LDL-c being statistically significantly greater in the SA group than in the</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placebo group in both subjects receiving </w:t>
      </w:r>
      <w:r w:rsidR="00545648">
        <w:rPr>
          <w:rFonts w:asciiTheme="minorHAnsi" w:eastAsiaTheme="minorHAnsi" w:hAnsiTheme="minorHAnsi" w:cs="TimesNewRomanPSMT"/>
        </w:rPr>
        <w:t xml:space="preserve">LLM (difference between groups </w:t>
      </w:r>
      <w:r w:rsidR="00545648">
        <w:rPr>
          <w:rFonts w:asciiTheme="minorHAnsi" w:eastAsiaTheme="minorHAnsi" w:hAnsiTheme="minorHAnsi" w:cs="TimesNewRomanPSMT"/>
        </w:rPr>
        <w:noBreakHyphen/>
      </w:r>
      <w:r w:rsidRPr="00016C3D">
        <w:rPr>
          <w:rFonts w:asciiTheme="minorHAnsi" w:eastAsiaTheme="minorHAnsi" w:hAnsiTheme="minorHAnsi" w:cs="TimesNewRomanPSMT"/>
        </w:rPr>
        <w:t>27.1%;</w:t>
      </w:r>
      <w:r>
        <w:rPr>
          <w:rFonts w:asciiTheme="minorHAnsi" w:eastAsiaTheme="minorHAnsi" w:hAnsiTheme="minorHAnsi" w:cs="TimesNewRomanPSMT"/>
        </w:rPr>
        <w:t xml:space="preserve"> </w:t>
      </w:r>
      <w:r w:rsidRPr="00016C3D">
        <w:rPr>
          <w:rFonts w:asciiTheme="minorHAnsi" w:eastAsiaTheme="minorHAnsi" w:hAnsiTheme="minorHAnsi" w:cs="TimesNewRomanPSMT"/>
        </w:rPr>
        <w:t>p</w:t>
      </w:r>
      <w:r w:rsidR="002D28A4">
        <w:rPr>
          <w:rFonts w:asciiTheme="minorHAnsi" w:eastAsiaTheme="minorHAnsi" w:hAnsiTheme="minorHAnsi" w:cs="TimesNewRomanPSMT"/>
        </w:rPr>
        <w:t xml:space="preserve"> = </w:t>
      </w:r>
      <w:r w:rsidRPr="00016C3D">
        <w:rPr>
          <w:rFonts w:asciiTheme="minorHAnsi" w:eastAsiaTheme="minorHAnsi" w:hAnsiTheme="minorHAnsi" w:cs="TimesNewRomanPSMT"/>
        </w:rPr>
        <w:t xml:space="preserve">0.0013) and not receiving </w:t>
      </w:r>
      <w:r w:rsidR="00545648">
        <w:rPr>
          <w:rFonts w:asciiTheme="minorHAnsi" w:eastAsiaTheme="minorHAnsi" w:hAnsiTheme="minorHAnsi" w:cs="TimesNewRomanPSMT"/>
        </w:rPr>
        <w:t xml:space="preserve">LLM (difference between groups </w:t>
      </w:r>
      <w:r w:rsidR="00545648">
        <w:rPr>
          <w:rFonts w:asciiTheme="minorHAnsi" w:eastAsiaTheme="minorHAnsi" w:hAnsiTheme="minorHAnsi" w:cs="TimesNewRomanPSMT"/>
        </w:rPr>
        <w:noBreakHyphen/>
      </w:r>
      <w:r w:rsidRPr="00016C3D">
        <w:rPr>
          <w:rFonts w:asciiTheme="minorHAnsi" w:eastAsiaTheme="minorHAnsi" w:hAnsiTheme="minorHAnsi" w:cs="TimesNewRomanPSMT"/>
        </w:rPr>
        <w:t>18.2%; p</w:t>
      </w:r>
      <w:r w:rsidR="002D28A4">
        <w:rPr>
          <w:rFonts w:asciiTheme="minorHAnsi" w:eastAsiaTheme="minorHAnsi" w:hAnsiTheme="minorHAnsi" w:cs="TimesNewRomanPSMT"/>
        </w:rPr>
        <w:t xml:space="preserve"> = </w:t>
      </w:r>
      <w:r w:rsidRPr="00016C3D">
        <w:rPr>
          <w:rFonts w:asciiTheme="minorHAnsi" w:eastAsiaTheme="minorHAnsi" w:hAnsiTheme="minorHAnsi" w:cs="TimesNewRomanPSMT"/>
        </w:rPr>
        <w:t>0.0018). An</w:t>
      </w:r>
      <w:r w:rsidR="00CC672B">
        <w:rPr>
          <w:rFonts w:asciiTheme="minorHAnsi" w:eastAsiaTheme="minorHAnsi" w:hAnsiTheme="minorHAnsi" w:cs="TimesNewRomanPSMT"/>
        </w:rPr>
        <w:t xml:space="preserve"> </w:t>
      </w:r>
      <w:r>
        <w:rPr>
          <w:rFonts w:asciiTheme="minorHAnsi" w:eastAsiaTheme="minorHAnsi" w:hAnsiTheme="minorHAnsi" w:cs="TimesNewRomanPSMT"/>
        </w:rPr>
        <w:t>e</w:t>
      </w:r>
      <w:r w:rsidRPr="00016C3D">
        <w:rPr>
          <w:rFonts w:asciiTheme="minorHAnsi" w:eastAsiaTheme="minorHAnsi" w:hAnsiTheme="minorHAnsi" w:cs="TimesNewRomanPSMT"/>
        </w:rPr>
        <w:t>xploratory analysis was performed to determine the proportion of subjects achieving</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an LDL-c value </w:t>
      </w:r>
      <w:r w:rsidR="00A87AAC">
        <w:rPr>
          <w:rFonts w:asciiTheme="minorHAnsi" w:eastAsiaTheme="minorHAnsi" w:hAnsiTheme="minorHAnsi" w:cs="TimesNewRomanPSMT"/>
        </w:rPr>
        <w:t xml:space="preserve">&lt; </w:t>
      </w:r>
      <w:r w:rsidRPr="00016C3D">
        <w:rPr>
          <w:rFonts w:asciiTheme="minorHAnsi" w:eastAsiaTheme="minorHAnsi" w:hAnsiTheme="minorHAnsi" w:cs="TimesNewRomanPSMT"/>
        </w:rPr>
        <w:t>130 mg/</w:t>
      </w:r>
      <w:proofErr w:type="spellStart"/>
      <w:r w:rsidRPr="00016C3D">
        <w:rPr>
          <w:rFonts w:asciiTheme="minorHAnsi" w:eastAsiaTheme="minorHAnsi" w:hAnsiTheme="minorHAnsi" w:cs="TimesNewRomanPSMT"/>
        </w:rPr>
        <w:t>dL</w:t>
      </w:r>
      <w:proofErr w:type="spellEnd"/>
      <w:r w:rsidRPr="00016C3D">
        <w:rPr>
          <w:rFonts w:asciiTheme="minorHAnsi" w:eastAsiaTheme="minorHAnsi" w:hAnsiTheme="minorHAnsi" w:cs="TimesNewRomanPSMT"/>
        </w:rPr>
        <w:t xml:space="preserve"> during the </w:t>
      </w:r>
      <w:r w:rsidR="003F3AB4">
        <w:rPr>
          <w:rFonts w:asciiTheme="minorHAnsi" w:eastAsiaTheme="minorHAnsi" w:hAnsiTheme="minorHAnsi" w:cs="TimesNewRomanPSMT"/>
        </w:rPr>
        <w:t>double blind</w:t>
      </w:r>
      <w:r w:rsidRPr="00016C3D">
        <w:rPr>
          <w:rFonts w:asciiTheme="minorHAnsi" w:eastAsiaTheme="minorHAnsi" w:hAnsiTheme="minorHAnsi" w:cs="TimesNewRomanPSMT"/>
        </w:rPr>
        <w:t xml:space="preserve"> period among those subjects had</w:t>
      </w:r>
      <w:r>
        <w:rPr>
          <w:rFonts w:asciiTheme="minorHAnsi" w:eastAsiaTheme="minorHAnsi" w:hAnsiTheme="minorHAnsi" w:cs="TimesNewRomanPSMT"/>
        </w:rPr>
        <w:t xml:space="preserve"> </w:t>
      </w:r>
      <w:r w:rsidRPr="00016C3D">
        <w:rPr>
          <w:rFonts w:asciiTheme="minorHAnsi" w:eastAsiaTheme="minorHAnsi" w:hAnsiTheme="minorHAnsi" w:cs="TimesNewRomanPSMT"/>
        </w:rPr>
        <w:t>baseline LDL-c values above 130 mg/</w:t>
      </w:r>
      <w:proofErr w:type="spellStart"/>
      <w:r w:rsidRPr="00016C3D">
        <w:rPr>
          <w:rFonts w:asciiTheme="minorHAnsi" w:eastAsiaTheme="minorHAnsi" w:hAnsiTheme="minorHAnsi" w:cs="TimesNewRomanPSMT"/>
        </w:rPr>
        <w:t>dL</w:t>
      </w:r>
      <w:proofErr w:type="spellEnd"/>
      <w:r w:rsidRPr="00016C3D">
        <w:rPr>
          <w:rFonts w:asciiTheme="minorHAnsi" w:eastAsiaTheme="minorHAnsi" w:hAnsiTheme="minorHAnsi" w:cs="TimesNewRomanPSMT"/>
        </w:rPr>
        <w:t xml:space="preserve">. No subject achieved an LDL-c </w:t>
      </w:r>
      <w:r w:rsidR="00A87AAC">
        <w:rPr>
          <w:rFonts w:asciiTheme="minorHAnsi" w:eastAsiaTheme="minorHAnsi" w:hAnsiTheme="minorHAnsi" w:cs="TimesNewRomanPSMT"/>
        </w:rPr>
        <w:t xml:space="preserve">&lt; </w:t>
      </w:r>
      <w:r w:rsidRPr="00016C3D">
        <w:rPr>
          <w:rFonts w:asciiTheme="minorHAnsi" w:eastAsiaTheme="minorHAnsi" w:hAnsiTheme="minorHAnsi" w:cs="TimesNewRomanPSMT"/>
        </w:rPr>
        <w:t>130 mg/</w:t>
      </w:r>
      <w:proofErr w:type="spellStart"/>
      <w:r w:rsidRPr="00016C3D">
        <w:rPr>
          <w:rFonts w:asciiTheme="minorHAnsi" w:eastAsiaTheme="minorHAnsi" w:hAnsiTheme="minorHAnsi" w:cs="TimesNewRomanPSMT"/>
        </w:rPr>
        <w:t>dL</w:t>
      </w:r>
      <w:proofErr w:type="spellEnd"/>
      <w:r w:rsidRPr="00016C3D">
        <w:rPr>
          <w:rFonts w:asciiTheme="minorHAnsi" w:eastAsiaTheme="minorHAnsi" w:hAnsiTheme="minorHAnsi" w:cs="TimesNewRomanPSMT"/>
        </w:rPr>
        <w:t xml:space="preserve"> at</w:t>
      </w:r>
      <w:r>
        <w:rPr>
          <w:rFonts w:asciiTheme="minorHAnsi" w:eastAsiaTheme="minorHAnsi" w:hAnsiTheme="minorHAnsi" w:cs="TimesNewRomanPSMT"/>
        </w:rPr>
        <w:t xml:space="preserve"> </w:t>
      </w:r>
      <w:r w:rsidRPr="00016C3D">
        <w:rPr>
          <w:rFonts w:asciiTheme="minorHAnsi" w:eastAsiaTheme="minorHAnsi" w:hAnsiTheme="minorHAnsi" w:cs="TimesNewRomanPSMT"/>
        </w:rPr>
        <w:t>Week 2, consistent with the increase in LDL-c seen after initiation of therapy. Over time</w:t>
      </w:r>
      <w:r>
        <w:rPr>
          <w:rFonts w:asciiTheme="minorHAnsi" w:eastAsiaTheme="minorHAnsi" w:hAnsiTheme="minorHAnsi" w:cs="TimesNewRomanPSMT"/>
        </w:rPr>
        <w:t xml:space="preserve"> </w:t>
      </w:r>
      <w:r w:rsidRPr="00016C3D">
        <w:rPr>
          <w:rFonts w:asciiTheme="minorHAnsi" w:eastAsiaTheme="minorHAnsi" w:hAnsiTheme="minorHAnsi" w:cs="TimesNewRomanPSMT"/>
        </w:rPr>
        <w:t>points thereafter, 16% (5 of 31), 23% (7 of 31), 26% (8 of 31), 42% (13 of 31), 33%</w:t>
      </w:r>
      <w:r>
        <w:rPr>
          <w:rFonts w:asciiTheme="minorHAnsi" w:eastAsiaTheme="minorHAnsi" w:hAnsiTheme="minorHAnsi" w:cs="TimesNewRomanPSMT"/>
        </w:rPr>
        <w:t xml:space="preserve"> </w:t>
      </w:r>
      <w:r w:rsidRPr="00016C3D">
        <w:rPr>
          <w:rFonts w:asciiTheme="minorHAnsi" w:eastAsiaTheme="minorHAnsi" w:hAnsiTheme="minorHAnsi" w:cs="TimesNewRomanPSMT"/>
        </w:rPr>
        <w:t>(10 of 30), 42% (13 of 31), and 41% (13 of 32) of subjects in the SA group achieved an</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LDL-c </w:t>
      </w:r>
      <w:r w:rsidR="00A87AAC">
        <w:rPr>
          <w:rFonts w:asciiTheme="minorHAnsi" w:eastAsiaTheme="minorHAnsi" w:hAnsiTheme="minorHAnsi" w:cs="TimesNewRomanPSMT"/>
        </w:rPr>
        <w:t xml:space="preserve">&lt; </w:t>
      </w:r>
      <w:r w:rsidRPr="00016C3D">
        <w:rPr>
          <w:rFonts w:asciiTheme="minorHAnsi" w:eastAsiaTheme="minorHAnsi" w:hAnsiTheme="minorHAnsi" w:cs="TimesNewRomanPSMT"/>
        </w:rPr>
        <w:t>130 mg/</w:t>
      </w:r>
      <w:proofErr w:type="spellStart"/>
      <w:r w:rsidRPr="00016C3D">
        <w:rPr>
          <w:rFonts w:asciiTheme="minorHAnsi" w:eastAsiaTheme="minorHAnsi" w:hAnsiTheme="minorHAnsi" w:cs="TimesNewRomanPSMT"/>
        </w:rPr>
        <w:t>dL</w:t>
      </w:r>
      <w:proofErr w:type="spellEnd"/>
      <w:r w:rsidRPr="00016C3D">
        <w:rPr>
          <w:rFonts w:asciiTheme="minorHAnsi" w:eastAsiaTheme="minorHAnsi" w:hAnsiTheme="minorHAnsi" w:cs="TimesNewRomanPSMT"/>
        </w:rPr>
        <w:t xml:space="preserve"> at Weeks 4, 6, 10, 14, 18, and 20 and at the last time point in the</w:t>
      </w:r>
      <w:r>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016C3D">
        <w:rPr>
          <w:rFonts w:asciiTheme="minorHAnsi" w:eastAsiaTheme="minorHAnsi" w:hAnsiTheme="minorHAnsi" w:cs="TimesNewRomanPSMT"/>
        </w:rPr>
        <w:t xml:space="preserve"> period. In the placebo group, ≤ 7% of subjects had an LDL-c </w:t>
      </w:r>
      <w:r w:rsidR="00A87AAC">
        <w:rPr>
          <w:rFonts w:asciiTheme="minorHAnsi" w:eastAsiaTheme="minorHAnsi" w:hAnsiTheme="minorHAnsi" w:cs="TimesNewRomanPSMT"/>
        </w:rPr>
        <w:t xml:space="preserve">&lt; </w:t>
      </w:r>
      <w:r w:rsidRPr="00016C3D">
        <w:rPr>
          <w:rFonts w:asciiTheme="minorHAnsi" w:eastAsiaTheme="minorHAnsi" w:hAnsiTheme="minorHAnsi" w:cs="TimesNewRomanPSMT"/>
        </w:rPr>
        <w:t>130 mg/</w:t>
      </w:r>
      <w:proofErr w:type="spellStart"/>
      <w:r w:rsidRPr="00016C3D">
        <w:rPr>
          <w:rFonts w:asciiTheme="minorHAnsi" w:eastAsiaTheme="minorHAnsi" w:hAnsiTheme="minorHAnsi" w:cs="TimesNewRomanPSMT"/>
        </w:rPr>
        <w:t>dL</w:t>
      </w:r>
      <w:proofErr w:type="spellEnd"/>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at any time point in the </w:t>
      </w:r>
      <w:r w:rsidR="003F3AB4">
        <w:rPr>
          <w:rFonts w:asciiTheme="minorHAnsi" w:eastAsiaTheme="minorHAnsi" w:hAnsiTheme="minorHAnsi" w:cs="TimesNewRomanPSMT"/>
        </w:rPr>
        <w:t>double blind</w:t>
      </w:r>
      <w:r w:rsidRPr="00016C3D">
        <w:rPr>
          <w:rFonts w:asciiTheme="minorHAnsi" w:eastAsiaTheme="minorHAnsi" w:hAnsiTheme="minorHAnsi" w:cs="TimesNewRomanPSMT"/>
        </w:rPr>
        <w:t xml:space="preserve"> period. The difference between groups was</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statistically significant in favour of </w:t>
      </w:r>
      <w:proofErr w:type="spellStart"/>
      <w:r w:rsidRPr="00016C3D">
        <w:rPr>
          <w:rFonts w:asciiTheme="minorHAnsi" w:eastAsiaTheme="minorHAnsi" w:hAnsiTheme="minorHAnsi" w:cs="TimesNewRomanPSMT"/>
        </w:rPr>
        <w:t>sebelipase</w:t>
      </w:r>
      <w:proofErr w:type="spellEnd"/>
      <w:r w:rsidRPr="00016C3D">
        <w:rPr>
          <w:rFonts w:asciiTheme="minorHAnsi" w:eastAsiaTheme="minorHAnsi" w:hAnsiTheme="minorHAnsi" w:cs="TimesNewRomanPSMT"/>
        </w:rPr>
        <w:t xml:space="preserve"> alfa by Week 14 and remained statistically</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significant at Weeks 18 and 20 and at the last time point in the </w:t>
      </w:r>
      <w:r w:rsidR="003F3AB4">
        <w:rPr>
          <w:rFonts w:asciiTheme="minorHAnsi" w:eastAsiaTheme="minorHAnsi" w:hAnsiTheme="minorHAnsi" w:cs="TimesNewRomanPSMT"/>
        </w:rPr>
        <w:t>double blind</w:t>
      </w:r>
      <w:r w:rsidRPr="00016C3D">
        <w:rPr>
          <w:rFonts w:asciiTheme="minorHAnsi" w:eastAsiaTheme="minorHAnsi" w:hAnsiTheme="minorHAnsi" w:cs="TimesNewRomanPSMT"/>
        </w:rPr>
        <w:t xml:space="preserve"> period</w:t>
      </w:r>
      <w:r>
        <w:rPr>
          <w:rFonts w:asciiTheme="minorHAnsi" w:eastAsiaTheme="minorHAnsi" w:hAnsiTheme="minorHAnsi" w:cs="TimesNewRomanPSMT"/>
        </w:rPr>
        <w:t xml:space="preserve"> </w:t>
      </w:r>
      <w:r w:rsidRPr="00016C3D">
        <w:rPr>
          <w:rFonts w:asciiTheme="minorHAnsi" w:eastAsiaTheme="minorHAnsi" w:hAnsiTheme="minorHAnsi" w:cs="TimesNewRomanPSMT"/>
        </w:rPr>
        <w:t>(</w:t>
      </w:r>
      <w:r w:rsidR="00545648">
        <w:rPr>
          <w:rFonts w:asciiTheme="minorHAnsi" w:eastAsiaTheme="minorHAnsi" w:hAnsiTheme="minorHAnsi" w:cs="TimesNewRomanPSMT"/>
        </w:rPr>
        <w:t>p ≤ 0</w:t>
      </w:r>
      <w:r w:rsidRPr="00016C3D">
        <w:rPr>
          <w:rFonts w:asciiTheme="minorHAnsi" w:eastAsiaTheme="minorHAnsi" w:hAnsiTheme="minorHAnsi" w:cs="TimesNewRomanPSMT"/>
        </w:rPr>
        <w:t>.0211)</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An exploratory analysis </w:t>
      </w:r>
      <w:r>
        <w:rPr>
          <w:rFonts w:asciiTheme="minorHAnsi" w:eastAsiaTheme="minorHAnsi" w:hAnsiTheme="minorHAnsi" w:cs="TimesNewRomanPSMT"/>
        </w:rPr>
        <w:t xml:space="preserve">showed a weak </w:t>
      </w:r>
      <w:r w:rsidRPr="00016C3D">
        <w:rPr>
          <w:rFonts w:asciiTheme="minorHAnsi" w:eastAsiaTheme="minorHAnsi" w:hAnsiTheme="minorHAnsi" w:cs="TimesNewRomanPSMT"/>
        </w:rPr>
        <w:t>relationship between</w:t>
      </w:r>
      <w:r>
        <w:rPr>
          <w:rFonts w:asciiTheme="minorHAnsi" w:eastAsiaTheme="minorHAnsi" w:hAnsiTheme="minorHAnsi" w:cs="TimesNewRomanPSMT"/>
        </w:rPr>
        <w:t xml:space="preserve"> </w:t>
      </w:r>
      <w:proofErr w:type="gramStart"/>
      <w:r w:rsidRPr="00016C3D">
        <w:rPr>
          <w:rFonts w:asciiTheme="minorHAnsi" w:eastAsiaTheme="minorHAnsi" w:hAnsiTheme="minorHAnsi" w:cs="TimesNewRomanPSMT"/>
        </w:rPr>
        <w:t>change</w:t>
      </w:r>
      <w:proofErr w:type="gramEnd"/>
      <w:r w:rsidRPr="00016C3D">
        <w:rPr>
          <w:rFonts w:asciiTheme="minorHAnsi" w:eastAsiaTheme="minorHAnsi" w:hAnsiTheme="minorHAnsi" w:cs="TimesNewRomanPSMT"/>
        </w:rPr>
        <w:t xml:space="preserve"> </w:t>
      </w:r>
      <w:r w:rsidR="00DE644C">
        <w:rPr>
          <w:rFonts w:asciiTheme="minorHAnsi" w:eastAsiaTheme="minorHAnsi" w:hAnsiTheme="minorHAnsi" w:cs="TimesNewRomanPSMT"/>
        </w:rPr>
        <w:t>from Baseline</w:t>
      </w:r>
      <w:r w:rsidRPr="00016C3D">
        <w:rPr>
          <w:rFonts w:asciiTheme="minorHAnsi" w:eastAsiaTheme="minorHAnsi" w:hAnsiTheme="minorHAnsi" w:cs="TimesNewRomanPSMT"/>
        </w:rPr>
        <w:t xml:space="preserve"> in LDL-c to the last time point in the </w:t>
      </w:r>
      <w:r w:rsidR="003F3AB4">
        <w:rPr>
          <w:rFonts w:asciiTheme="minorHAnsi" w:eastAsiaTheme="minorHAnsi" w:hAnsiTheme="minorHAnsi" w:cs="TimesNewRomanPSMT"/>
        </w:rPr>
        <w:t>double blind</w:t>
      </w:r>
      <w:r w:rsidRPr="00016C3D">
        <w:rPr>
          <w:rFonts w:asciiTheme="minorHAnsi" w:eastAsiaTheme="minorHAnsi" w:hAnsiTheme="minorHAnsi" w:cs="TimesNewRomanPSMT"/>
        </w:rPr>
        <w:t xml:space="preserve"> period and</w:t>
      </w:r>
      <w:r>
        <w:rPr>
          <w:rFonts w:asciiTheme="minorHAnsi" w:eastAsiaTheme="minorHAnsi" w:hAnsiTheme="minorHAnsi" w:cs="TimesNewRomanPSMT"/>
        </w:rPr>
        <w:t xml:space="preserve"> </w:t>
      </w:r>
      <w:r w:rsidRPr="00016C3D">
        <w:rPr>
          <w:rFonts w:asciiTheme="minorHAnsi" w:eastAsiaTheme="minorHAnsi" w:hAnsiTheme="minorHAnsi" w:cs="TimesNewRomanPSMT"/>
        </w:rPr>
        <w:t>baseline LDL-c, in the SA group (correlation</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coefficient 0.24) and no relationship in the placebo group (correlation coefficient </w:t>
      </w:r>
      <w:r w:rsidR="00545648">
        <w:rPr>
          <w:rFonts w:asciiTheme="minorHAnsi" w:eastAsiaTheme="minorHAnsi" w:hAnsiTheme="minorHAnsi" w:cs="TimesNewRomanPSMT"/>
        </w:rPr>
        <w:noBreakHyphen/>
      </w:r>
      <w:r w:rsidRPr="00016C3D">
        <w:rPr>
          <w:rFonts w:asciiTheme="minorHAnsi" w:eastAsiaTheme="minorHAnsi" w:hAnsiTheme="minorHAnsi" w:cs="TimesNewRomanPSMT"/>
        </w:rPr>
        <w:t xml:space="preserve">0.19). During the </w:t>
      </w:r>
      <w:r w:rsidR="00B73619">
        <w:rPr>
          <w:rFonts w:asciiTheme="minorHAnsi" w:eastAsiaTheme="minorHAnsi" w:hAnsiTheme="minorHAnsi" w:cs="TimesNewRomanPSMT"/>
        </w:rPr>
        <w:t>open label</w:t>
      </w:r>
      <w:r w:rsidRPr="00016C3D">
        <w:rPr>
          <w:rFonts w:asciiTheme="minorHAnsi" w:eastAsiaTheme="minorHAnsi" w:hAnsiTheme="minorHAnsi" w:cs="TimesNewRomanPSMT"/>
        </w:rPr>
        <w:t xml:space="preserve"> period, continued improvement in LDL-c levels was seen in the</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SA group, with a maximum mean percent decrease </w:t>
      </w:r>
      <w:r w:rsidR="00DE644C">
        <w:rPr>
          <w:rFonts w:asciiTheme="minorHAnsi" w:eastAsiaTheme="minorHAnsi" w:hAnsiTheme="minorHAnsi" w:cs="TimesNewRomanPSMT"/>
        </w:rPr>
        <w:t>from Baseline</w:t>
      </w:r>
      <w:r w:rsidRPr="00016C3D">
        <w:rPr>
          <w:rFonts w:asciiTheme="minorHAnsi" w:eastAsiaTheme="minorHAnsi" w:hAnsiTheme="minorHAnsi" w:cs="TimesNewRomanPSMT"/>
        </w:rPr>
        <w:t xml:space="preserve"> of </w:t>
      </w:r>
      <w:r w:rsidR="00545648">
        <w:rPr>
          <w:rFonts w:asciiTheme="minorHAnsi" w:eastAsiaTheme="minorHAnsi" w:hAnsiTheme="minorHAnsi" w:cs="TimesNewRomanPSMT"/>
        </w:rPr>
        <w:noBreakHyphen/>
      </w:r>
      <w:r w:rsidRPr="00016C3D">
        <w:rPr>
          <w:rFonts w:asciiTheme="minorHAnsi" w:eastAsiaTheme="minorHAnsi" w:hAnsiTheme="minorHAnsi" w:cs="TimesNewRomanPSMT"/>
        </w:rPr>
        <w:t>44% seen at</w:t>
      </w:r>
      <w:r>
        <w:rPr>
          <w:rFonts w:asciiTheme="minorHAnsi" w:eastAsiaTheme="minorHAnsi" w:hAnsiTheme="minorHAnsi" w:cs="TimesNewRomanPSMT"/>
        </w:rPr>
        <w:t xml:space="preserve"> </w:t>
      </w:r>
      <w:r w:rsidRPr="00016C3D">
        <w:rPr>
          <w:rFonts w:asciiTheme="minorHAnsi" w:eastAsiaTheme="minorHAnsi" w:hAnsiTheme="minorHAnsi" w:cs="TimesNewRomanPSMT"/>
        </w:rPr>
        <w:t>Week 36. In the placebo/SA group, a pattern similar to that seen in the SA group in the</w:t>
      </w:r>
      <w:r>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016C3D">
        <w:rPr>
          <w:rFonts w:asciiTheme="minorHAnsi" w:eastAsiaTheme="minorHAnsi" w:hAnsiTheme="minorHAnsi" w:cs="TimesNewRomanPSMT"/>
        </w:rPr>
        <w:t xml:space="preserve"> period was seen, with an initial transient increase in mean LDL-c and then</w:t>
      </w:r>
      <w:r>
        <w:rPr>
          <w:rFonts w:asciiTheme="minorHAnsi" w:eastAsiaTheme="minorHAnsi" w:hAnsiTheme="minorHAnsi" w:cs="TimesNewRomanPSMT"/>
        </w:rPr>
        <w:t xml:space="preserve"> </w:t>
      </w:r>
      <w:r w:rsidRPr="00016C3D">
        <w:rPr>
          <w:rFonts w:asciiTheme="minorHAnsi" w:eastAsiaTheme="minorHAnsi" w:hAnsiTheme="minorHAnsi" w:cs="TimesNewRomanPSMT"/>
        </w:rPr>
        <w:t>decreasing mean levels over time thereafter, with a maximum mean percent decrease</w:t>
      </w:r>
      <w:r>
        <w:rPr>
          <w:rFonts w:asciiTheme="minorHAnsi" w:eastAsiaTheme="minorHAnsi" w:hAnsiTheme="minorHAnsi" w:cs="TimesNewRomanPSMT"/>
        </w:rPr>
        <w:t xml:space="preserve"> </w:t>
      </w:r>
      <w:r w:rsidRPr="00016C3D">
        <w:rPr>
          <w:rFonts w:asciiTheme="minorHAnsi" w:eastAsiaTheme="minorHAnsi" w:hAnsiTheme="minorHAnsi" w:cs="TimesNewRomanPSMT"/>
        </w:rPr>
        <w:t xml:space="preserve">of </w:t>
      </w:r>
      <w:r w:rsidR="00545648">
        <w:rPr>
          <w:rFonts w:asciiTheme="minorHAnsi" w:eastAsiaTheme="minorHAnsi" w:hAnsiTheme="minorHAnsi" w:cs="TimesNewRomanPSMT"/>
        </w:rPr>
        <w:noBreakHyphen/>
      </w:r>
      <w:r w:rsidRPr="00016C3D">
        <w:rPr>
          <w:rFonts w:asciiTheme="minorHAnsi" w:eastAsiaTheme="minorHAnsi" w:hAnsiTheme="minorHAnsi" w:cs="TimesNewRomanPSMT"/>
        </w:rPr>
        <w:t xml:space="preserve">25% seen at Week 14, </w:t>
      </w:r>
      <w:r w:rsidRPr="00112368">
        <w:rPr>
          <w:rFonts w:asciiTheme="minorHAnsi" w:eastAsiaTheme="minorHAnsi" w:hAnsiTheme="minorHAnsi" w:cs="TimesNewRomanPSMT"/>
        </w:rPr>
        <w:t xml:space="preserve">the last time point assessed in the </w:t>
      </w:r>
      <w:r w:rsidR="00B73619" w:rsidRPr="00112368">
        <w:rPr>
          <w:rFonts w:asciiTheme="minorHAnsi" w:eastAsiaTheme="minorHAnsi" w:hAnsiTheme="minorHAnsi" w:cs="TimesNewRomanPSMT"/>
        </w:rPr>
        <w:t>open label</w:t>
      </w:r>
      <w:r w:rsidRPr="00112368">
        <w:rPr>
          <w:rFonts w:asciiTheme="minorHAnsi" w:eastAsiaTheme="minorHAnsi" w:hAnsiTheme="minorHAnsi" w:cs="TimesNewRomanPSMT"/>
        </w:rPr>
        <w:t xml:space="preserve"> period for the placebo/SA group </w:t>
      </w:r>
      <w:r w:rsidR="00545648" w:rsidRPr="00112368">
        <w:rPr>
          <w:rFonts w:asciiTheme="minorHAnsi" w:eastAsiaTheme="minorHAnsi" w:hAnsiTheme="minorHAnsi" w:cs="TimesNewRomanPSMT"/>
        </w:rPr>
        <w:t>(Figure</w:t>
      </w:r>
      <w:r w:rsidR="008267BC">
        <w:rPr>
          <w:rFonts w:asciiTheme="minorHAnsi" w:eastAsiaTheme="minorHAnsi" w:hAnsiTheme="minorHAnsi" w:cs="TimesNewRomanPSMT"/>
        </w:rPr>
        <w:t>s</w:t>
      </w:r>
      <w:r w:rsidR="00545648" w:rsidRPr="00112368">
        <w:rPr>
          <w:rFonts w:asciiTheme="minorHAnsi" w:eastAsiaTheme="minorHAnsi" w:hAnsiTheme="minorHAnsi" w:cs="TimesNewRomanPSMT"/>
        </w:rPr>
        <w:t xml:space="preserve"> </w:t>
      </w:r>
      <w:r w:rsidR="008267BC">
        <w:rPr>
          <w:rFonts w:asciiTheme="minorHAnsi" w:eastAsiaTheme="minorHAnsi" w:hAnsiTheme="minorHAnsi" w:cs="TimesNewRomanPSMT"/>
        </w:rPr>
        <w:t>8 and 9</w:t>
      </w:r>
      <w:r w:rsidRPr="00112368">
        <w:rPr>
          <w:rFonts w:asciiTheme="minorHAnsi" w:eastAsiaTheme="minorHAnsi" w:hAnsiTheme="minorHAnsi" w:cs="TimesNewRomanPSMT"/>
        </w:rPr>
        <w:t>)</w:t>
      </w:r>
      <w:r w:rsidR="00B73619" w:rsidRPr="00112368">
        <w:rPr>
          <w:rFonts w:asciiTheme="minorHAnsi" w:eastAsiaTheme="minorHAnsi" w:hAnsiTheme="minorHAnsi" w:cs="TimesNewRomanPSMT"/>
        </w:rPr>
        <w:t>.</w:t>
      </w:r>
    </w:p>
    <w:p w14:paraId="4646B5AB" w14:textId="77777777" w:rsidR="00626E90" w:rsidRDefault="00626E90" w:rsidP="00626E90">
      <w:pPr>
        <w:pStyle w:val="FigureTitle"/>
        <w:keepNext/>
      </w:pPr>
      <w:r w:rsidRPr="008267BC">
        <w:lastRenderedPageBreak/>
        <w:t xml:space="preserve">Figure </w:t>
      </w:r>
      <w:r w:rsidR="008267BC" w:rsidRPr="008267BC">
        <w:t>8</w:t>
      </w:r>
      <w:r w:rsidRPr="008267BC">
        <w:t>: Mean Percent Change from Baseline in LDL-c Values over Time, by Treatment Group (FAS, Double-blind Treatment Period)</w:t>
      </w:r>
    </w:p>
    <w:p w14:paraId="21B431F9" w14:textId="77777777" w:rsidR="00626E90" w:rsidRDefault="00626E90" w:rsidP="00626E90">
      <w:pPr>
        <w:pStyle w:val="FigureTitle"/>
      </w:pPr>
      <w:r>
        <w:rPr>
          <w:noProof/>
          <w:lang w:eastAsia="en-AU"/>
        </w:rPr>
        <w:drawing>
          <wp:inline distT="0" distB="0" distL="0" distR="0" wp14:anchorId="5A72CC60" wp14:editId="01176681">
            <wp:extent cx="5731510" cy="3698539"/>
            <wp:effectExtent l="0" t="0" r="2540" b="0"/>
            <wp:docPr id="32" name="Picture 32" descr="Figure 8: Mean Percent Change from Baseline in LDL-c Values over Time, by Treatment Group (FAS, Double-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698539"/>
                    </a:xfrm>
                    <a:prstGeom prst="rect">
                      <a:avLst/>
                    </a:prstGeom>
                  </pic:spPr>
                </pic:pic>
              </a:graphicData>
            </a:graphic>
          </wp:inline>
        </w:drawing>
      </w:r>
    </w:p>
    <w:p w14:paraId="18EDD090" w14:textId="77777777" w:rsidR="00626E90" w:rsidRDefault="00626E90" w:rsidP="00626E90">
      <w:pPr>
        <w:pStyle w:val="FigureTitle"/>
        <w:keepNext/>
      </w:pPr>
      <w:r w:rsidRPr="008267BC">
        <w:t xml:space="preserve">Figure </w:t>
      </w:r>
      <w:r w:rsidR="008267BC" w:rsidRPr="008267BC">
        <w:t>9</w:t>
      </w:r>
      <w:r w:rsidRPr="008267BC">
        <w:t>: Mean Percent Change from Baseline in LDL-c Values over Time, by Treatment Group (EAS, Open-label period)</w:t>
      </w:r>
    </w:p>
    <w:p w14:paraId="7666D324" w14:textId="77777777" w:rsidR="00A87AAC" w:rsidRPr="00A87AAC" w:rsidRDefault="00626E90" w:rsidP="008267BC">
      <w:r w:rsidRPr="00626E90">
        <w:rPr>
          <w:noProof/>
          <w:lang w:eastAsia="en-AU"/>
        </w:rPr>
        <w:drawing>
          <wp:inline distT="0" distB="0" distL="0" distR="0" wp14:anchorId="79C41E5A" wp14:editId="73CD6B70">
            <wp:extent cx="5731510" cy="3622608"/>
            <wp:effectExtent l="0" t="0" r="2540" b="0"/>
            <wp:docPr id="33" name="Picture 33" descr="Figure 9: Mean Percent Change from Baseline in LDL-c Values over Time, by Treatment Group (EAS, Open-labe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622608"/>
                    </a:xfrm>
                    <a:prstGeom prst="rect">
                      <a:avLst/>
                    </a:prstGeom>
                  </pic:spPr>
                </pic:pic>
              </a:graphicData>
            </a:graphic>
          </wp:inline>
        </w:drawing>
      </w:r>
    </w:p>
    <w:p w14:paraId="61BEFA12" w14:textId="11D2C10F" w:rsidR="00B73619" w:rsidRPr="00A87AAC" w:rsidRDefault="00EA418E" w:rsidP="00EA418E">
      <w:pPr>
        <w:autoSpaceDE w:val="0"/>
        <w:autoSpaceDN w:val="0"/>
        <w:adjustRightInd w:val="0"/>
        <w:spacing w:before="0" w:line="240" w:lineRule="auto"/>
        <w:rPr>
          <w:rFonts w:asciiTheme="minorHAnsi" w:eastAsiaTheme="minorHAnsi" w:hAnsiTheme="minorHAnsi" w:cs="TimesNewRomanPSMT"/>
          <w:b/>
        </w:rPr>
      </w:pPr>
      <w:r w:rsidRPr="00CB1D2C">
        <w:rPr>
          <w:rFonts w:asciiTheme="minorHAnsi" w:eastAsiaTheme="minorHAnsi" w:hAnsiTheme="minorHAnsi" w:cs="TimesNewRomanPSMT"/>
        </w:rPr>
        <w:t xml:space="preserve">Similar findings were observed for non-HDL-c values with initial increase in the SA group followed by significant reductions from </w:t>
      </w:r>
      <w:r w:rsidR="002D28A4" w:rsidRPr="00A87AAC">
        <w:rPr>
          <w:rFonts w:asciiTheme="minorHAnsi" w:eastAsiaTheme="minorHAnsi" w:hAnsiTheme="minorHAnsi" w:cs="TimesNewRomanPSMT"/>
        </w:rPr>
        <w:t>Week</w:t>
      </w:r>
      <w:r w:rsidRPr="00A87AAC">
        <w:rPr>
          <w:rFonts w:asciiTheme="minorHAnsi" w:eastAsiaTheme="minorHAnsi" w:hAnsiTheme="minorHAnsi" w:cs="TimesNewRomanPSMT"/>
        </w:rPr>
        <w:t xml:space="preserve"> 6 onwards</w:t>
      </w:r>
      <w:r w:rsidRPr="00A87AAC">
        <w:rPr>
          <w:rFonts w:asciiTheme="minorHAnsi" w:eastAsiaTheme="minorHAnsi" w:hAnsiTheme="minorHAnsi" w:cs="TimesNewRomanPSMT"/>
          <w:b/>
        </w:rPr>
        <w:t>.</w:t>
      </w:r>
      <w:r w:rsidRPr="00A87AAC">
        <w:rPr>
          <w:rFonts w:asciiTheme="minorHAnsi" w:eastAsiaTheme="minorHAnsi" w:hAnsiTheme="minorHAnsi" w:cs="TimesNewRomanPSMT"/>
        </w:rPr>
        <w:t xml:space="preserve"> During the </w:t>
      </w:r>
      <w:r w:rsidR="00B73619" w:rsidRPr="00A87AAC">
        <w:rPr>
          <w:rFonts w:asciiTheme="minorHAnsi" w:eastAsiaTheme="minorHAnsi" w:hAnsiTheme="minorHAnsi" w:cs="TimesNewRomanPSMT"/>
        </w:rPr>
        <w:t>open label</w:t>
      </w:r>
      <w:r w:rsidRPr="00A87AAC">
        <w:rPr>
          <w:rFonts w:asciiTheme="minorHAnsi" w:eastAsiaTheme="minorHAnsi" w:hAnsiTheme="minorHAnsi" w:cs="TimesNewRomanPSMT"/>
        </w:rPr>
        <w:t xml:space="preserve"> period, continued improvement in non-HDL-c levels was seen in the</w:t>
      </w:r>
      <w:r w:rsidRPr="00CB1D2C">
        <w:rPr>
          <w:rFonts w:asciiTheme="minorHAnsi" w:eastAsiaTheme="minorHAnsi" w:hAnsiTheme="minorHAnsi" w:cs="TimesNewRomanPSMT"/>
        </w:rPr>
        <w:t xml:space="preserve"> SA group, with a maximum mean </w:t>
      </w:r>
      <w:r w:rsidRPr="00CB1D2C">
        <w:rPr>
          <w:rFonts w:asciiTheme="minorHAnsi" w:eastAsiaTheme="minorHAnsi" w:hAnsiTheme="minorHAnsi" w:cs="TimesNewRomanPSMT"/>
        </w:rPr>
        <w:lastRenderedPageBreak/>
        <w:t xml:space="preserve">decrease </w:t>
      </w:r>
      <w:r w:rsidR="00DE644C">
        <w:rPr>
          <w:rFonts w:asciiTheme="minorHAnsi" w:eastAsiaTheme="minorHAnsi" w:hAnsiTheme="minorHAnsi" w:cs="TimesNewRomanPSMT"/>
        </w:rPr>
        <w:t>from Baseline</w:t>
      </w:r>
      <w:r w:rsidRPr="00CB1D2C">
        <w:rPr>
          <w:rFonts w:asciiTheme="minorHAnsi" w:eastAsiaTheme="minorHAnsi" w:hAnsiTheme="minorHAnsi" w:cs="TimesNewRomanPSMT"/>
        </w:rPr>
        <w:t xml:space="preserve"> of -41% seen at</w:t>
      </w:r>
      <w:r>
        <w:rPr>
          <w:rFonts w:asciiTheme="minorHAnsi" w:eastAsiaTheme="minorHAnsi" w:hAnsiTheme="minorHAnsi" w:cs="TimesNewRomanPSMT"/>
        </w:rPr>
        <w:t xml:space="preserve"> </w:t>
      </w:r>
      <w:r w:rsidRPr="00CB1D2C">
        <w:rPr>
          <w:rFonts w:asciiTheme="minorHAnsi" w:eastAsiaTheme="minorHAnsi" w:hAnsiTheme="minorHAnsi" w:cs="TimesNewRomanPSMT"/>
        </w:rPr>
        <w:t>Week 36. In the placebo/SA group, a pattern similar to that seen in the SA group in the</w:t>
      </w:r>
      <w:r>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CB1D2C">
        <w:rPr>
          <w:rFonts w:asciiTheme="minorHAnsi" w:eastAsiaTheme="minorHAnsi" w:hAnsiTheme="minorHAnsi" w:cs="TimesNewRomanPSMT"/>
        </w:rPr>
        <w:t xml:space="preserve"> period was seen, with an initial transient increase in mean non-HDL-c and</w:t>
      </w:r>
      <w:r>
        <w:rPr>
          <w:rFonts w:asciiTheme="minorHAnsi" w:eastAsiaTheme="minorHAnsi" w:hAnsiTheme="minorHAnsi" w:cs="TimesNewRomanPSMT"/>
        </w:rPr>
        <w:t xml:space="preserve"> </w:t>
      </w:r>
      <w:r w:rsidRPr="00CB1D2C">
        <w:rPr>
          <w:rFonts w:asciiTheme="minorHAnsi" w:eastAsiaTheme="minorHAnsi" w:hAnsiTheme="minorHAnsi" w:cs="TimesNewRomanPSMT"/>
        </w:rPr>
        <w:t>then decreasing mean levels over time thereafter, with a maximum mean percent decrease</w:t>
      </w:r>
      <w:r>
        <w:rPr>
          <w:rFonts w:asciiTheme="minorHAnsi" w:eastAsiaTheme="minorHAnsi" w:hAnsiTheme="minorHAnsi" w:cs="TimesNewRomanPSMT"/>
        </w:rPr>
        <w:t xml:space="preserve"> </w:t>
      </w:r>
      <w:r w:rsidR="00A87AAC">
        <w:rPr>
          <w:rFonts w:asciiTheme="minorHAnsi" w:eastAsiaTheme="minorHAnsi" w:hAnsiTheme="minorHAnsi" w:cs="TimesNewRomanPSMT"/>
        </w:rPr>
        <w:t xml:space="preserve">of </w:t>
      </w:r>
      <w:r w:rsidR="00A87AAC">
        <w:rPr>
          <w:rFonts w:asciiTheme="minorHAnsi" w:eastAsiaTheme="minorHAnsi" w:hAnsiTheme="minorHAnsi" w:cs="TimesNewRomanPSMT"/>
        </w:rPr>
        <w:noBreakHyphen/>
      </w:r>
      <w:r w:rsidRPr="00CB1D2C">
        <w:rPr>
          <w:rFonts w:asciiTheme="minorHAnsi" w:eastAsiaTheme="minorHAnsi" w:hAnsiTheme="minorHAnsi" w:cs="TimesNewRomanPSMT"/>
        </w:rPr>
        <w:t xml:space="preserve">39% seen at </w:t>
      </w:r>
      <w:r w:rsidRPr="00A87AAC">
        <w:rPr>
          <w:rFonts w:asciiTheme="minorHAnsi" w:eastAsiaTheme="minorHAnsi" w:hAnsiTheme="minorHAnsi" w:cs="TimesNewRomanPSMT"/>
        </w:rPr>
        <w:t xml:space="preserve">Week 20 </w:t>
      </w:r>
    </w:p>
    <w:p w14:paraId="768C7740" w14:textId="5D452547" w:rsidR="00B73619" w:rsidRPr="00112368" w:rsidRDefault="00EA418E" w:rsidP="00EA418E">
      <w:pPr>
        <w:autoSpaceDE w:val="0"/>
        <w:autoSpaceDN w:val="0"/>
        <w:adjustRightInd w:val="0"/>
        <w:spacing w:before="0" w:line="240" w:lineRule="auto"/>
        <w:rPr>
          <w:rFonts w:asciiTheme="minorHAnsi" w:hAnsiTheme="minorHAnsi"/>
          <w:lang w:eastAsia="ja-JP"/>
        </w:rPr>
      </w:pPr>
      <w:r w:rsidRPr="00CB1D2C">
        <w:rPr>
          <w:rFonts w:asciiTheme="minorHAnsi" w:hAnsiTheme="minorHAnsi"/>
          <w:lang w:eastAsia="ja-JP"/>
        </w:rPr>
        <w:t xml:space="preserve">Similar findings were observed for change </w:t>
      </w:r>
      <w:r w:rsidR="00DE644C">
        <w:rPr>
          <w:rFonts w:asciiTheme="minorHAnsi" w:hAnsiTheme="minorHAnsi"/>
          <w:lang w:eastAsia="ja-JP"/>
        </w:rPr>
        <w:t>from Baseline</w:t>
      </w:r>
      <w:r w:rsidRPr="00CB1D2C">
        <w:rPr>
          <w:rFonts w:asciiTheme="minorHAnsi" w:hAnsiTheme="minorHAnsi"/>
          <w:lang w:eastAsia="ja-JP"/>
        </w:rPr>
        <w:t xml:space="preserve"> in TG levels during </w:t>
      </w:r>
      <w:r w:rsidR="003F3AB4">
        <w:rPr>
          <w:rFonts w:asciiTheme="minorHAnsi" w:hAnsiTheme="minorHAnsi"/>
          <w:lang w:eastAsia="ja-JP"/>
        </w:rPr>
        <w:t>double blind</w:t>
      </w:r>
      <w:r w:rsidRPr="00CB1D2C">
        <w:rPr>
          <w:rFonts w:asciiTheme="minorHAnsi" w:hAnsiTheme="minorHAnsi"/>
          <w:lang w:eastAsia="ja-JP"/>
        </w:rPr>
        <w:t xml:space="preserve"> and </w:t>
      </w:r>
      <w:r w:rsidR="00B73619">
        <w:rPr>
          <w:rFonts w:asciiTheme="minorHAnsi" w:hAnsiTheme="minorHAnsi"/>
          <w:lang w:eastAsia="ja-JP"/>
        </w:rPr>
        <w:t>open label</w:t>
      </w:r>
      <w:r w:rsidRPr="00CB1D2C">
        <w:rPr>
          <w:rFonts w:asciiTheme="minorHAnsi" w:hAnsiTheme="minorHAnsi"/>
          <w:lang w:eastAsia="ja-JP"/>
        </w:rPr>
        <w:t xml:space="preserve"> </w:t>
      </w:r>
      <w:r w:rsidRPr="00112368">
        <w:rPr>
          <w:rFonts w:asciiTheme="minorHAnsi" w:hAnsiTheme="minorHAnsi"/>
          <w:lang w:eastAsia="ja-JP"/>
        </w:rPr>
        <w:t xml:space="preserve">treatment periods </w:t>
      </w:r>
      <w:r w:rsidR="00112368" w:rsidRPr="00112368">
        <w:rPr>
          <w:rFonts w:asciiTheme="minorHAnsi" w:hAnsiTheme="minorHAnsi"/>
          <w:lang w:eastAsia="ja-JP"/>
        </w:rPr>
        <w:t>(Figure</w:t>
      </w:r>
      <w:r w:rsidR="008267BC">
        <w:rPr>
          <w:rFonts w:asciiTheme="minorHAnsi" w:hAnsiTheme="minorHAnsi"/>
          <w:lang w:eastAsia="ja-JP"/>
        </w:rPr>
        <w:t>s 10 and 11</w:t>
      </w:r>
      <w:r w:rsidRPr="00112368">
        <w:rPr>
          <w:rFonts w:asciiTheme="minorHAnsi" w:hAnsiTheme="minorHAnsi"/>
          <w:lang w:eastAsia="ja-JP"/>
        </w:rPr>
        <w:t>)</w:t>
      </w:r>
      <w:r w:rsidR="00B73619" w:rsidRPr="00112368">
        <w:rPr>
          <w:rFonts w:asciiTheme="minorHAnsi" w:hAnsiTheme="minorHAnsi"/>
          <w:lang w:eastAsia="ja-JP"/>
        </w:rPr>
        <w:t>.</w:t>
      </w:r>
    </w:p>
    <w:p w14:paraId="05C7D5FA" w14:textId="40B403E9" w:rsidR="00626E90" w:rsidRDefault="00626E90" w:rsidP="008267BC">
      <w:pPr>
        <w:pStyle w:val="FigureTitle"/>
        <w:keepNext/>
      </w:pPr>
      <w:r w:rsidRPr="008267BC">
        <w:t xml:space="preserve">Figure </w:t>
      </w:r>
      <w:r w:rsidR="008267BC" w:rsidRPr="008267BC">
        <w:t>10</w:t>
      </w:r>
      <w:r w:rsidRPr="008267BC">
        <w:t xml:space="preserve">: Mean </w:t>
      </w:r>
      <w:r w:rsidR="008267BC" w:rsidRPr="008267BC">
        <w:t xml:space="preserve">percent change </w:t>
      </w:r>
      <w:r w:rsidR="00DE644C">
        <w:t>from Baseline</w:t>
      </w:r>
      <w:r w:rsidR="008267BC" w:rsidRPr="008267BC">
        <w:t xml:space="preserve"> in triglyceride values over time, by treatment group </w:t>
      </w:r>
      <w:r w:rsidRPr="008267BC">
        <w:t xml:space="preserve">(FAS, </w:t>
      </w:r>
      <w:r w:rsidR="008267BC" w:rsidRPr="008267BC">
        <w:t>double-blind treatment period</w:t>
      </w:r>
      <w:r w:rsidRPr="008267BC">
        <w:t>)</w:t>
      </w:r>
    </w:p>
    <w:p w14:paraId="5E6897E2" w14:textId="77777777" w:rsidR="00626E90" w:rsidRDefault="00626E90" w:rsidP="00626E90">
      <w:pPr>
        <w:pStyle w:val="FigureTitle"/>
      </w:pPr>
      <w:r>
        <w:rPr>
          <w:noProof/>
          <w:lang w:eastAsia="en-AU"/>
        </w:rPr>
        <w:drawing>
          <wp:inline distT="0" distB="0" distL="0" distR="0" wp14:anchorId="2A9FA019" wp14:editId="48CDB506">
            <wp:extent cx="5731510" cy="3035373"/>
            <wp:effectExtent l="0" t="0" r="2540" b="0"/>
            <wp:docPr id="34" name="Picture 34" descr="Figure 10: Mean percent change from baseline in triglyceride values over time, by treatment group (FAS, double-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035373"/>
                    </a:xfrm>
                    <a:prstGeom prst="rect">
                      <a:avLst/>
                    </a:prstGeom>
                  </pic:spPr>
                </pic:pic>
              </a:graphicData>
            </a:graphic>
          </wp:inline>
        </w:drawing>
      </w:r>
    </w:p>
    <w:p w14:paraId="6D979E8D" w14:textId="5506E9CB" w:rsidR="00626E90" w:rsidRDefault="008267BC" w:rsidP="00626E90">
      <w:pPr>
        <w:pStyle w:val="FigureTitle"/>
        <w:keepNext/>
      </w:pPr>
      <w:r w:rsidRPr="008267BC">
        <w:t>Figure 11</w:t>
      </w:r>
      <w:r w:rsidR="00626E90" w:rsidRPr="008267BC">
        <w:t xml:space="preserve">: Mean </w:t>
      </w:r>
      <w:r w:rsidRPr="008267BC">
        <w:t xml:space="preserve">percent change </w:t>
      </w:r>
      <w:r w:rsidR="00DE644C">
        <w:t>from Baseline</w:t>
      </w:r>
      <w:r w:rsidRPr="008267BC">
        <w:t xml:space="preserve"> in triglyceride values over time, by treatment group </w:t>
      </w:r>
      <w:r w:rsidR="00626E90" w:rsidRPr="008267BC">
        <w:t>(EAS, Open-label period)</w:t>
      </w:r>
    </w:p>
    <w:p w14:paraId="6CAA852D" w14:textId="77777777" w:rsidR="00626E90" w:rsidRPr="00626E90" w:rsidRDefault="00626E90" w:rsidP="00626E90">
      <w:pPr>
        <w:pStyle w:val="FigureTitle"/>
      </w:pPr>
      <w:r>
        <w:rPr>
          <w:noProof/>
          <w:lang w:eastAsia="en-AU"/>
        </w:rPr>
        <w:drawing>
          <wp:inline distT="0" distB="0" distL="0" distR="0" wp14:anchorId="16A68E22" wp14:editId="0EA777DC">
            <wp:extent cx="5731510" cy="2822891"/>
            <wp:effectExtent l="0" t="0" r="2540" b="0"/>
            <wp:docPr id="35" name="Picture 35" descr="Figure 11: Mean percent change from baseline in triglyceride values over time, by treatment group (EAS, Open-labe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2822891"/>
                    </a:xfrm>
                    <a:prstGeom prst="rect">
                      <a:avLst/>
                    </a:prstGeom>
                  </pic:spPr>
                </pic:pic>
              </a:graphicData>
            </a:graphic>
          </wp:inline>
        </w:drawing>
      </w:r>
    </w:p>
    <w:p w14:paraId="64C3F639" w14:textId="2FF6E0CC" w:rsidR="00EA418E" w:rsidRDefault="00EA418E" w:rsidP="00EA418E">
      <w:pPr>
        <w:autoSpaceDE w:val="0"/>
        <w:autoSpaceDN w:val="0"/>
        <w:adjustRightInd w:val="0"/>
        <w:spacing w:before="0" w:line="240" w:lineRule="auto"/>
        <w:rPr>
          <w:rFonts w:asciiTheme="minorHAnsi" w:eastAsiaTheme="minorHAnsi" w:hAnsiTheme="minorHAnsi" w:cs="TimesNewRomanPSMT"/>
        </w:rPr>
      </w:pPr>
      <w:r w:rsidRPr="00CB1D2C">
        <w:rPr>
          <w:rFonts w:asciiTheme="minorHAnsi" w:eastAsiaTheme="minorHAnsi" w:hAnsiTheme="minorHAnsi" w:cs="TimesNewRomanPSMT"/>
        </w:rPr>
        <w:t>Mean baseline</w:t>
      </w:r>
      <w:r>
        <w:rPr>
          <w:rFonts w:asciiTheme="minorHAnsi" w:eastAsiaTheme="minorHAnsi" w:hAnsiTheme="minorHAnsi" w:cs="TimesNewRomanPSMT"/>
        </w:rPr>
        <w:t xml:space="preserve"> </w:t>
      </w:r>
      <w:r w:rsidRPr="00CB1D2C">
        <w:rPr>
          <w:rFonts w:asciiTheme="minorHAnsi" w:eastAsiaTheme="minorHAnsi" w:hAnsiTheme="minorHAnsi" w:cs="TimesNewRomanPSMT"/>
        </w:rPr>
        <w:t>HDL-c values were 32.4 and 33.4 mg/</w:t>
      </w:r>
      <w:proofErr w:type="spellStart"/>
      <w:r w:rsidRPr="00CB1D2C">
        <w:rPr>
          <w:rFonts w:asciiTheme="minorHAnsi" w:eastAsiaTheme="minorHAnsi" w:hAnsiTheme="minorHAnsi" w:cs="TimesNewRomanPSMT"/>
        </w:rPr>
        <w:t>dL</w:t>
      </w:r>
      <w:proofErr w:type="spellEnd"/>
      <w:r w:rsidRPr="00CB1D2C">
        <w:rPr>
          <w:rFonts w:asciiTheme="minorHAnsi" w:eastAsiaTheme="minorHAnsi" w:hAnsiTheme="minorHAnsi" w:cs="TimesNewRomanPSMT"/>
        </w:rPr>
        <w:t xml:space="preserve"> (0.83 and 0.86 </w:t>
      </w:r>
      <w:proofErr w:type="spellStart"/>
      <w:r w:rsidRPr="00CB1D2C">
        <w:rPr>
          <w:rFonts w:asciiTheme="minorHAnsi" w:eastAsiaTheme="minorHAnsi" w:hAnsiTheme="minorHAnsi" w:cs="TimesNewRomanPSMT"/>
        </w:rPr>
        <w:t>mmol</w:t>
      </w:r>
      <w:proofErr w:type="spellEnd"/>
      <w:r w:rsidRPr="00CB1D2C">
        <w:rPr>
          <w:rFonts w:asciiTheme="minorHAnsi" w:eastAsiaTheme="minorHAnsi" w:hAnsiTheme="minorHAnsi" w:cs="TimesNewRomanPSMT"/>
        </w:rPr>
        <w:t>/L) in the SA and</w:t>
      </w:r>
      <w:r>
        <w:rPr>
          <w:rFonts w:asciiTheme="minorHAnsi" w:eastAsiaTheme="minorHAnsi" w:hAnsiTheme="minorHAnsi" w:cs="TimesNewRomanPSMT"/>
        </w:rPr>
        <w:t xml:space="preserve"> </w:t>
      </w:r>
      <w:r w:rsidRPr="00CB1D2C">
        <w:rPr>
          <w:rFonts w:asciiTheme="minorHAnsi" w:eastAsiaTheme="minorHAnsi" w:hAnsiTheme="minorHAnsi" w:cs="TimesNewRomanPSMT"/>
        </w:rPr>
        <w:t xml:space="preserve">placebo groups, respectively. In the SA group, a mean decrease </w:t>
      </w:r>
      <w:r w:rsidR="00DE644C">
        <w:rPr>
          <w:rFonts w:asciiTheme="minorHAnsi" w:eastAsiaTheme="minorHAnsi" w:hAnsiTheme="minorHAnsi" w:cs="TimesNewRomanPSMT"/>
        </w:rPr>
        <w:t>from Baseline</w:t>
      </w:r>
      <w:r w:rsidRPr="00CB1D2C">
        <w:rPr>
          <w:rFonts w:asciiTheme="minorHAnsi" w:eastAsiaTheme="minorHAnsi" w:hAnsiTheme="minorHAnsi" w:cs="TimesNewRomanPSMT"/>
        </w:rPr>
        <w:t xml:space="preserve"> in</w:t>
      </w:r>
      <w:r>
        <w:rPr>
          <w:rFonts w:asciiTheme="minorHAnsi" w:eastAsiaTheme="minorHAnsi" w:hAnsiTheme="minorHAnsi" w:cs="TimesNewRomanPSMT"/>
        </w:rPr>
        <w:t xml:space="preserve"> </w:t>
      </w:r>
      <w:r w:rsidRPr="00CB1D2C">
        <w:rPr>
          <w:rFonts w:asciiTheme="minorHAnsi" w:eastAsiaTheme="minorHAnsi" w:hAnsiTheme="minorHAnsi" w:cs="TimesNewRomanPSMT"/>
        </w:rPr>
        <w:t>HDL-c of -2% was seen at Week 2, but this decrease was not statistically significant relative</w:t>
      </w:r>
      <w:r>
        <w:rPr>
          <w:rFonts w:asciiTheme="minorHAnsi" w:eastAsiaTheme="minorHAnsi" w:hAnsiTheme="minorHAnsi" w:cs="TimesNewRomanPSMT"/>
        </w:rPr>
        <w:t xml:space="preserve"> </w:t>
      </w:r>
      <w:r w:rsidRPr="00CB1D2C">
        <w:rPr>
          <w:rFonts w:asciiTheme="minorHAnsi" w:eastAsiaTheme="minorHAnsi" w:hAnsiTheme="minorHAnsi" w:cs="TimesNewRomanPSMT"/>
        </w:rPr>
        <w:t xml:space="preserve">to placebo. Increases </w:t>
      </w:r>
      <w:r w:rsidR="00DE644C">
        <w:rPr>
          <w:rFonts w:asciiTheme="minorHAnsi" w:eastAsiaTheme="minorHAnsi" w:hAnsiTheme="minorHAnsi" w:cs="TimesNewRomanPSMT"/>
        </w:rPr>
        <w:t>from Baseline</w:t>
      </w:r>
      <w:r w:rsidRPr="00CB1D2C">
        <w:rPr>
          <w:rFonts w:asciiTheme="minorHAnsi" w:eastAsiaTheme="minorHAnsi" w:hAnsiTheme="minorHAnsi" w:cs="TimesNewRomanPSMT"/>
        </w:rPr>
        <w:t xml:space="preserve"> in HDL-c were seen by Week 4 and at all time points</w:t>
      </w:r>
      <w:r>
        <w:rPr>
          <w:rFonts w:asciiTheme="minorHAnsi" w:eastAsiaTheme="minorHAnsi" w:hAnsiTheme="minorHAnsi" w:cs="TimesNewRomanPSMT"/>
        </w:rPr>
        <w:t xml:space="preserve"> </w:t>
      </w:r>
      <w:r w:rsidRPr="00CB1D2C">
        <w:rPr>
          <w:rFonts w:asciiTheme="minorHAnsi" w:eastAsiaTheme="minorHAnsi" w:hAnsiTheme="minorHAnsi" w:cs="TimesNewRomanPSMT"/>
        </w:rPr>
        <w:t xml:space="preserve">thereafter, with the mean percent increase </w:t>
      </w:r>
      <w:r w:rsidR="00DE644C">
        <w:rPr>
          <w:rFonts w:asciiTheme="minorHAnsi" w:eastAsiaTheme="minorHAnsi" w:hAnsiTheme="minorHAnsi" w:cs="TimesNewRomanPSMT"/>
        </w:rPr>
        <w:t>from Baseline</w:t>
      </w:r>
      <w:r w:rsidRPr="00CB1D2C">
        <w:rPr>
          <w:rFonts w:asciiTheme="minorHAnsi" w:eastAsiaTheme="minorHAnsi" w:hAnsiTheme="minorHAnsi" w:cs="TimesNewRomanPSMT"/>
        </w:rPr>
        <w:t xml:space="preserve"> being statistically significant in</w:t>
      </w:r>
      <w:r>
        <w:rPr>
          <w:rFonts w:asciiTheme="minorHAnsi" w:eastAsiaTheme="minorHAnsi" w:hAnsiTheme="minorHAnsi" w:cs="TimesNewRomanPSMT"/>
        </w:rPr>
        <w:t xml:space="preserve"> </w:t>
      </w:r>
      <w:r w:rsidRPr="00CB1D2C">
        <w:rPr>
          <w:rFonts w:asciiTheme="minorHAnsi" w:eastAsiaTheme="minorHAnsi" w:hAnsiTheme="minorHAnsi" w:cs="TimesNewRomanPSMT"/>
        </w:rPr>
        <w:t xml:space="preserve">the SA group relative </w:t>
      </w:r>
      <w:r w:rsidRPr="00CB1D2C">
        <w:rPr>
          <w:rFonts w:asciiTheme="minorHAnsi" w:eastAsiaTheme="minorHAnsi" w:hAnsiTheme="minorHAnsi" w:cs="TimesNewRomanPSMT"/>
        </w:rPr>
        <w:lastRenderedPageBreak/>
        <w:t>to the placebo group by Week 6 and at all subsequent time points</w:t>
      </w:r>
      <w:r>
        <w:rPr>
          <w:rFonts w:asciiTheme="minorHAnsi" w:eastAsiaTheme="minorHAnsi" w:hAnsiTheme="minorHAnsi" w:cs="TimesNewRomanPSMT"/>
        </w:rPr>
        <w:t xml:space="preserve"> </w:t>
      </w:r>
      <w:r w:rsidRPr="00CB1D2C">
        <w:rPr>
          <w:rFonts w:asciiTheme="minorHAnsi" w:eastAsiaTheme="minorHAnsi" w:hAnsiTheme="minorHAnsi" w:cs="TimesNewRomanPSMT"/>
        </w:rPr>
        <w:t xml:space="preserve">during the </w:t>
      </w:r>
      <w:r w:rsidR="003F3AB4">
        <w:rPr>
          <w:rFonts w:asciiTheme="minorHAnsi" w:eastAsiaTheme="minorHAnsi" w:hAnsiTheme="minorHAnsi" w:cs="TimesNewRomanPSMT"/>
        </w:rPr>
        <w:t>double blind</w:t>
      </w:r>
      <w:r w:rsidRPr="00CB1D2C">
        <w:rPr>
          <w:rFonts w:asciiTheme="minorHAnsi" w:eastAsiaTheme="minorHAnsi" w:hAnsiTheme="minorHAnsi" w:cs="TimesNewRomanPSMT"/>
        </w:rPr>
        <w:t xml:space="preserve"> period </w:t>
      </w:r>
      <w:r w:rsidRPr="00112368">
        <w:rPr>
          <w:rFonts w:asciiTheme="minorHAnsi" w:eastAsiaTheme="minorHAnsi" w:hAnsiTheme="minorHAnsi" w:cs="TimesNewRomanPSMT"/>
        </w:rPr>
        <w:t xml:space="preserve">thereafter </w:t>
      </w:r>
      <w:r w:rsidR="00A87AAC" w:rsidRPr="00112368">
        <w:rPr>
          <w:rFonts w:asciiTheme="minorHAnsi" w:eastAsiaTheme="minorHAnsi" w:hAnsiTheme="minorHAnsi" w:cs="TimesNewRomanPSMT"/>
        </w:rPr>
        <w:t xml:space="preserve">(Figure </w:t>
      </w:r>
      <w:r w:rsidR="008267BC">
        <w:rPr>
          <w:rFonts w:asciiTheme="minorHAnsi" w:eastAsiaTheme="minorHAnsi" w:hAnsiTheme="minorHAnsi" w:cs="TimesNewRomanPSMT"/>
        </w:rPr>
        <w:t>12</w:t>
      </w:r>
      <w:r w:rsidRPr="00112368">
        <w:rPr>
          <w:rFonts w:asciiTheme="minorHAnsi" w:eastAsiaTheme="minorHAnsi" w:hAnsiTheme="minorHAnsi" w:cs="TimesNewRomanPSMT"/>
        </w:rPr>
        <w:t>). During</w:t>
      </w:r>
      <w:r w:rsidRPr="00CB1D2C">
        <w:rPr>
          <w:rFonts w:asciiTheme="minorHAnsi" w:eastAsiaTheme="minorHAnsi" w:hAnsiTheme="minorHAnsi" w:cs="TimesNewRomanPSMT"/>
        </w:rPr>
        <w:t xml:space="preserve"> the </w:t>
      </w:r>
      <w:r w:rsidR="00B73619">
        <w:rPr>
          <w:rFonts w:asciiTheme="minorHAnsi" w:eastAsiaTheme="minorHAnsi" w:hAnsiTheme="minorHAnsi" w:cs="TimesNewRomanPSMT"/>
        </w:rPr>
        <w:t>open label</w:t>
      </w:r>
      <w:r w:rsidRPr="00CB1D2C">
        <w:rPr>
          <w:rFonts w:asciiTheme="minorHAnsi" w:eastAsiaTheme="minorHAnsi" w:hAnsiTheme="minorHAnsi" w:cs="TimesNewRomanPSMT"/>
        </w:rPr>
        <w:t xml:space="preserve"> period, sustained improvement in HDL-c levels was seen in the SA</w:t>
      </w:r>
      <w:r>
        <w:rPr>
          <w:rFonts w:asciiTheme="minorHAnsi" w:eastAsiaTheme="minorHAnsi" w:hAnsiTheme="minorHAnsi" w:cs="TimesNewRomanPSMT"/>
        </w:rPr>
        <w:t xml:space="preserve"> </w:t>
      </w:r>
      <w:r w:rsidRPr="00CB1D2C">
        <w:rPr>
          <w:rFonts w:asciiTheme="minorHAnsi" w:eastAsiaTheme="minorHAnsi" w:hAnsiTheme="minorHAnsi" w:cs="TimesNewRomanPSMT"/>
        </w:rPr>
        <w:t xml:space="preserve">group, with a maximum mean percent increase </w:t>
      </w:r>
      <w:r w:rsidR="00DE644C">
        <w:rPr>
          <w:rFonts w:asciiTheme="minorHAnsi" w:eastAsiaTheme="minorHAnsi" w:hAnsiTheme="minorHAnsi" w:cs="TimesNewRomanPSMT"/>
        </w:rPr>
        <w:t>from Baseline</w:t>
      </w:r>
      <w:r w:rsidRPr="00CB1D2C">
        <w:rPr>
          <w:rFonts w:asciiTheme="minorHAnsi" w:eastAsiaTheme="minorHAnsi" w:hAnsiTheme="minorHAnsi" w:cs="TimesNewRomanPSMT"/>
        </w:rPr>
        <w:t xml:space="preserve"> of 26% (actual value</w:t>
      </w:r>
      <w:r>
        <w:rPr>
          <w:rFonts w:asciiTheme="minorHAnsi" w:eastAsiaTheme="minorHAnsi" w:hAnsiTheme="minorHAnsi" w:cs="TimesNewRomanPSMT"/>
        </w:rPr>
        <w:t xml:space="preserve"> </w:t>
      </w:r>
      <w:r w:rsidRPr="00CB1D2C">
        <w:rPr>
          <w:rFonts w:asciiTheme="minorHAnsi" w:eastAsiaTheme="minorHAnsi" w:hAnsiTheme="minorHAnsi" w:cs="TimesNewRomanPSMT"/>
        </w:rPr>
        <w:t>40.5 mg/</w:t>
      </w:r>
      <w:proofErr w:type="spellStart"/>
      <w:r w:rsidRPr="00CB1D2C">
        <w:rPr>
          <w:rFonts w:asciiTheme="minorHAnsi" w:eastAsiaTheme="minorHAnsi" w:hAnsiTheme="minorHAnsi" w:cs="TimesNewRomanPSMT"/>
        </w:rPr>
        <w:t>dL</w:t>
      </w:r>
      <w:proofErr w:type="spellEnd"/>
      <w:r w:rsidRPr="00CB1D2C">
        <w:rPr>
          <w:rFonts w:asciiTheme="minorHAnsi" w:eastAsiaTheme="minorHAnsi" w:hAnsiTheme="minorHAnsi" w:cs="TimesNewRomanPSMT"/>
        </w:rPr>
        <w:t xml:space="preserve"> </w:t>
      </w:r>
      <w:r w:rsidR="00D074A0">
        <w:rPr>
          <w:rFonts w:asciiTheme="minorHAnsi" w:eastAsiaTheme="minorHAnsi" w:hAnsiTheme="minorHAnsi" w:cs="TimesNewRomanPSMT"/>
        </w:rPr>
        <w:t>(</w:t>
      </w:r>
      <w:r w:rsidRPr="00CB1D2C">
        <w:rPr>
          <w:rFonts w:asciiTheme="minorHAnsi" w:eastAsiaTheme="minorHAnsi" w:hAnsiTheme="minorHAnsi" w:cs="TimesNewRomanPSMT"/>
        </w:rPr>
        <w:t xml:space="preserve">1.0 </w:t>
      </w:r>
      <w:proofErr w:type="spellStart"/>
      <w:r w:rsidRPr="00CB1D2C">
        <w:rPr>
          <w:rFonts w:asciiTheme="minorHAnsi" w:eastAsiaTheme="minorHAnsi" w:hAnsiTheme="minorHAnsi" w:cs="TimesNewRomanPSMT"/>
        </w:rPr>
        <w:t>mmol</w:t>
      </w:r>
      <w:proofErr w:type="spellEnd"/>
      <w:r w:rsidRPr="00CB1D2C">
        <w:rPr>
          <w:rFonts w:asciiTheme="minorHAnsi" w:eastAsiaTheme="minorHAnsi" w:hAnsiTheme="minorHAnsi" w:cs="TimesNewRomanPSMT"/>
        </w:rPr>
        <w:t>/L</w:t>
      </w:r>
      <w:r w:rsidR="00D074A0">
        <w:rPr>
          <w:rFonts w:asciiTheme="minorHAnsi" w:eastAsiaTheme="minorHAnsi" w:hAnsiTheme="minorHAnsi" w:cs="TimesNewRomanPSMT"/>
        </w:rPr>
        <w:t>)</w:t>
      </w:r>
      <w:r w:rsidRPr="00CB1D2C">
        <w:rPr>
          <w:rFonts w:asciiTheme="minorHAnsi" w:eastAsiaTheme="minorHAnsi" w:hAnsiTheme="minorHAnsi" w:cs="TimesNewRomanPSMT"/>
        </w:rPr>
        <w:t>) seen at Week 24. In the placebo/SA group, a pattern similar to</w:t>
      </w:r>
      <w:r>
        <w:rPr>
          <w:rFonts w:asciiTheme="minorHAnsi" w:eastAsiaTheme="minorHAnsi" w:hAnsiTheme="minorHAnsi" w:cs="TimesNewRomanPSMT"/>
        </w:rPr>
        <w:t xml:space="preserve"> </w:t>
      </w:r>
      <w:r w:rsidRPr="00CB1D2C">
        <w:rPr>
          <w:rFonts w:asciiTheme="minorHAnsi" w:eastAsiaTheme="minorHAnsi" w:hAnsiTheme="minorHAnsi" w:cs="TimesNewRomanPSMT"/>
        </w:rPr>
        <w:t xml:space="preserve">that seen in the SA group during the </w:t>
      </w:r>
      <w:r w:rsidR="003F3AB4">
        <w:rPr>
          <w:rFonts w:asciiTheme="minorHAnsi" w:eastAsiaTheme="minorHAnsi" w:hAnsiTheme="minorHAnsi" w:cs="TimesNewRomanPSMT"/>
        </w:rPr>
        <w:t>double blind</w:t>
      </w:r>
      <w:r w:rsidRPr="00CB1D2C">
        <w:rPr>
          <w:rFonts w:asciiTheme="minorHAnsi" w:eastAsiaTheme="minorHAnsi" w:hAnsiTheme="minorHAnsi" w:cs="TimesNewRomanPSMT"/>
        </w:rPr>
        <w:t xml:space="preserve"> period was seen, with little change</w:t>
      </w:r>
      <w:r>
        <w:rPr>
          <w:rFonts w:asciiTheme="minorHAnsi" w:eastAsiaTheme="minorHAnsi" w:hAnsiTheme="minorHAnsi" w:cs="TimesNewRomanPSMT"/>
        </w:rPr>
        <w:t xml:space="preserve"> </w:t>
      </w:r>
      <w:r w:rsidR="00DE644C">
        <w:rPr>
          <w:rFonts w:asciiTheme="minorHAnsi" w:eastAsiaTheme="minorHAnsi" w:hAnsiTheme="minorHAnsi" w:cs="TimesNewRomanPSMT"/>
        </w:rPr>
        <w:t>from Baseline</w:t>
      </w:r>
      <w:r w:rsidRPr="00CB1D2C">
        <w:rPr>
          <w:rFonts w:asciiTheme="minorHAnsi" w:eastAsiaTheme="minorHAnsi" w:hAnsiTheme="minorHAnsi" w:cs="TimesNewRomanPSMT"/>
        </w:rPr>
        <w:t xml:space="preserve"> seen at Week 2 and then increases </w:t>
      </w:r>
      <w:r w:rsidR="00DE644C">
        <w:rPr>
          <w:rFonts w:asciiTheme="minorHAnsi" w:eastAsiaTheme="minorHAnsi" w:hAnsiTheme="minorHAnsi" w:cs="TimesNewRomanPSMT"/>
        </w:rPr>
        <w:t>from Baseline</w:t>
      </w:r>
      <w:r w:rsidRPr="00CB1D2C">
        <w:rPr>
          <w:rFonts w:asciiTheme="minorHAnsi" w:eastAsiaTheme="minorHAnsi" w:hAnsiTheme="minorHAnsi" w:cs="TimesNewRomanPSMT"/>
        </w:rPr>
        <w:t xml:space="preserve"> in HDL-c seen thereafter.</w:t>
      </w:r>
    </w:p>
    <w:p w14:paraId="4CC9D1AE" w14:textId="2D1AAF07" w:rsidR="00A87AAC" w:rsidRDefault="00A87AAC" w:rsidP="00A87AAC">
      <w:pPr>
        <w:pStyle w:val="FigureTitle"/>
        <w:keepNext/>
      </w:pPr>
      <w:r>
        <w:t xml:space="preserve">Figure </w:t>
      </w:r>
      <w:r w:rsidR="008267BC">
        <w:t>12</w:t>
      </w:r>
      <w:r>
        <w:t xml:space="preserve">: </w:t>
      </w:r>
      <w:r w:rsidR="00157E63">
        <w:t>Study</w:t>
      </w:r>
      <w:r>
        <w:t xml:space="preserve"> LAL-CL02 Mean percent change </w:t>
      </w:r>
      <w:r w:rsidR="00DE644C">
        <w:t>from Baseline</w:t>
      </w:r>
      <w:r>
        <w:t xml:space="preserve"> in HDL-c values over time by treatment group (FAS double blind treatment period)</w:t>
      </w:r>
    </w:p>
    <w:p w14:paraId="757DEC68" w14:textId="77777777" w:rsidR="00A87AAC" w:rsidRPr="00626E90" w:rsidRDefault="00626E90" w:rsidP="00626E90">
      <w:r w:rsidRPr="00626E90">
        <w:rPr>
          <w:noProof/>
          <w:lang w:eastAsia="en-AU"/>
        </w:rPr>
        <w:drawing>
          <wp:inline distT="0" distB="0" distL="0" distR="0" wp14:anchorId="49ADEDAA" wp14:editId="30837C2F">
            <wp:extent cx="5731510" cy="3082524"/>
            <wp:effectExtent l="0" t="0" r="2540" b="3810"/>
            <wp:docPr id="36" name="Picture 36" descr="Figure 12: Study LAL-CL02 Mean percent change from baseline in HDL-c values over time by treatment group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082524"/>
                    </a:xfrm>
                    <a:prstGeom prst="rect">
                      <a:avLst/>
                    </a:prstGeom>
                  </pic:spPr>
                </pic:pic>
              </a:graphicData>
            </a:graphic>
          </wp:inline>
        </w:drawing>
      </w:r>
    </w:p>
    <w:p w14:paraId="7AE336B5" w14:textId="77777777" w:rsidR="00CC672B" w:rsidRDefault="00EA418E" w:rsidP="00A87AAC">
      <w:pPr>
        <w:pStyle w:val="Heading7"/>
        <w:rPr>
          <w:rFonts w:asciiTheme="minorHAnsi" w:eastAsiaTheme="minorHAnsi" w:hAnsiTheme="minorHAnsi" w:cs="TimesNewRomanPSMT"/>
          <w:color w:val="000000"/>
          <w:u w:val="single"/>
        </w:rPr>
      </w:pPr>
      <w:r w:rsidRPr="00EA418E">
        <w:rPr>
          <w:rStyle w:val="Heading7Char"/>
          <w:rFonts w:eastAsiaTheme="minorHAnsi"/>
          <w:sz w:val="20"/>
        </w:rPr>
        <w:t>Apolipoproteins and lipid particles</w:t>
      </w:r>
      <w:r w:rsidRPr="00A87AAC">
        <w:rPr>
          <w:rStyle w:val="FootnoteReference"/>
          <w:rFonts w:asciiTheme="minorHAnsi" w:eastAsiaTheme="minorHAnsi" w:hAnsiTheme="minorHAnsi" w:cs="TimesNewRomanPSMT"/>
        </w:rPr>
        <w:footnoteReference w:id="24"/>
      </w:r>
    </w:p>
    <w:p w14:paraId="79B6B15D" w14:textId="73B96CDE" w:rsidR="00EA418E" w:rsidRPr="00506278" w:rsidRDefault="00EA418E" w:rsidP="00EA418E">
      <w:pPr>
        <w:autoSpaceDE w:val="0"/>
        <w:autoSpaceDN w:val="0"/>
        <w:adjustRightInd w:val="0"/>
        <w:spacing w:before="0" w:line="240" w:lineRule="auto"/>
        <w:rPr>
          <w:rFonts w:asciiTheme="minorHAnsi" w:eastAsiaTheme="minorHAnsi" w:hAnsiTheme="minorHAnsi" w:cs="TimesNewRomanPSMT"/>
          <w:color w:val="000000"/>
        </w:rPr>
      </w:pPr>
      <w:r>
        <w:rPr>
          <w:rFonts w:asciiTheme="minorHAnsi" w:eastAsiaTheme="minorHAnsi" w:hAnsiTheme="minorHAnsi" w:cs="TimesNewRomanPSMT"/>
          <w:color w:val="000000"/>
        </w:rPr>
        <w:t xml:space="preserve">Compared with placebo, the SA group showed statistically </w:t>
      </w:r>
      <w:r w:rsidRPr="00506278">
        <w:rPr>
          <w:rFonts w:asciiTheme="minorHAnsi" w:eastAsiaTheme="minorHAnsi" w:hAnsiTheme="minorHAnsi" w:cs="TimesNewRomanPSMT"/>
          <w:color w:val="000000"/>
        </w:rPr>
        <w:t>significant greater increase in ApoA1 (diff from placebo 11.7%,</w:t>
      </w:r>
      <w:r w:rsidR="00A87AAC">
        <w:rPr>
          <w:rFonts w:asciiTheme="minorHAnsi" w:eastAsiaTheme="minorHAnsi" w:hAnsiTheme="minorHAnsi" w:cs="TimesNewRomanPSMT"/>
          <w:color w:val="000000"/>
        </w:rPr>
        <w:t xml:space="preserve"> </w:t>
      </w:r>
      <w:r w:rsidRPr="00506278">
        <w:rPr>
          <w:rFonts w:asciiTheme="minorHAnsi" w:eastAsiaTheme="minorHAnsi" w:hAnsiTheme="minorHAnsi" w:cs="TimesNewRomanPSMT"/>
          <w:color w:val="000000"/>
        </w:rPr>
        <w:t>p</w:t>
      </w:r>
      <w:r w:rsidR="002D28A4">
        <w:rPr>
          <w:rFonts w:asciiTheme="minorHAnsi" w:eastAsiaTheme="minorHAnsi" w:hAnsiTheme="minorHAnsi" w:cs="TimesNewRomanPSMT"/>
          <w:color w:val="000000"/>
        </w:rPr>
        <w:t xml:space="preserve"> = </w:t>
      </w:r>
      <w:r w:rsidRPr="00506278">
        <w:rPr>
          <w:rFonts w:asciiTheme="minorHAnsi" w:eastAsiaTheme="minorHAnsi" w:hAnsiTheme="minorHAnsi" w:cs="TimesNewRomanPSMT"/>
          <w:color w:val="000000"/>
        </w:rPr>
        <w:t xml:space="preserve">0.0004) and reduction in </w:t>
      </w:r>
      <w:proofErr w:type="spellStart"/>
      <w:r w:rsidRPr="00506278">
        <w:rPr>
          <w:rFonts w:asciiTheme="minorHAnsi" w:eastAsiaTheme="minorHAnsi" w:hAnsiTheme="minorHAnsi" w:cs="TimesNewRomanPSMT"/>
          <w:color w:val="000000"/>
        </w:rPr>
        <w:t>ApoB</w:t>
      </w:r>
      <w:proofErr w:type="spellEnd"/>
      <w:r w:rsidRPr="00506278">
        <w:rPr>
          <w:rFonts w:asciiTheme="minorHAnsi" w:eastAsiaTheme="minorHAnsi" w:hAnsiTheme="minorHAnsi" w:cs="TimesNewRomanPSMT"/>
          <w:color w:val="000000"/>
        </w:rPr>
        <w:t xml:space="preserve"> (diff from placebo 23.7%, </w:t>
      </w:r>
      <w:r w:rsidR="00A87AAC">
        <w:rPr>
          <w:rFonts w:asciiTheme="minorHAnsi" w:eastAsiaTheme="minorHAnsi" w:hAnsiTheme="minorHAnsi" w:cs="TimesNewRomanPSMT"/>
          <w:color w:val="000000"/>
        </w:rPr>
        <w:t>p &lt;</w:t>
      </w:r>
      <w:r w:rsidR="00DE644C">
        <w:rPr>
          <w:rFonts w:asciiTheme="minorHAnsi" w:eastAsiaTheme="minorHAnsi" w:hAnsiTheme="minorHAnsi" w:cs="TimesNewRomanPSMT"/>
          <w:color w:val="000000"/>
        </w:rPr>
        <w:t> </w:t>
      </w:r>
      <w:r w:rsidR="00E57011">
        <w:rPr>
          <w:rFonts w:asciiTheme="minorHAnsi" w:eastAsiaTheme="minorHAnsi" w:hAnsiTheme="minorHAnsi" w:cs="TimesNewRomanPSMT"/>
          <w:color w:val="000000"/>
        </w:rPr>
        <w:t>0</w:t>
      </w:r>
      <w:r w:rsidRPr="00506278">
        <w:rPr>
          <w:rFonts w:asciiTheme="minorHAnsi" w:eastAsiaTheme="minorHAnsi" w:hAnsiTheme="minorHAnsi" w:cs="TimesNewRomanPSMT"/>
          <w:color w:val="000000"/>
        </w:rPr>
        <w:t>.0001). The mean LDL-P (LDL-particle) number showed statistically significantly greater reduction increase in the SA group compared with placebo (diff</w:t>
      </w:r>
      <w:r w:rsidR="002D28A4">
        <w:rPr>
          <w:rFonts w:asciiTheme="minorHAnsi" w:eastAsiaTheme="minorHAnsi" w:hAnsiTheme="minorHAnsi" w:cs="TimesNewRomanPSMT"/>
          <w:color w:val="000000"/>
        </w:rPr>
        <w:t xml:space="preserve"> = </w:t>
      </w:r>
      <w:r w:rsidRPr="00506278">
        <w:rPr>
          <w:rFonts w:asciiTheme="minorHAnsi" w:eastAsiaTheme="minorHAnsi" w:hAnsiTheme="minorHAnsi" w:cs="TimesNewRomanPSMT"/>
          <w:color w:val="000000"/>
        </w:rPr>
        <w:t xml:space="preserve">28%, </w:t>
      </w:r>
      <w:r w:rsidR="00E57011">
        <w:rPr>
          <w:rFonts w:asciiTheme="minorHAnsi" w:eastAsiaTheme="minorHAnsi" w:hAnsiTheme="minorHAnsi" w:cs="TimesNewRomanPSMT"/>
          <w:color w:val="000000"/>
        </w:rPr>
        <w:t xml:space="preserve">p </w:t>
      </w:r>
      <w:r w:rsidR="00A87AAC">
        <w:rPr>
          <w:rFonts w:asciiTheme="minorHAnsi" w:eastAsiaTheme="minorHAnsi" w:hAnsiTheme="minorHAnsi" w:cs="TimesNewRomanPSMT"/>
          <w:color w:val="000000"/>
        </w:rPr>
        <w:t xml:space="preserve">&lt; </w:t>
      </w:r>
      <w:r w:rsidR="00E57011">
        <w:rPr>
          <w:rFonts w:asciiTheme="minorHAnsi" w:eastAsiaTheme="minorHAnsi" w:hAnsiTheme="minorHAnsi" w:cs="TimesNewRomanPSMT"/>
          <w:color w:val="000000"/>
        </w:rPr>
        <w:t>0</w:t>
      </w:r>
      <w:r w:rsidRPr="00506278">
        <w:rPr>
          <w:rFonts w:asciiTheme="minorHAnsi" w:eastAsiaTheme="minorHAnsi" w:hAnsiTheme="minorHAnsi" w:cs="TimesNewRomanPSMT"/>
          <w:color w:val="000000"/>
        </w:rPr>
        <w:t xml:space="preserve">.0001). IDL-P also showed greater reduction </w:t>
      </w:r>
      <w:r w:rsidR="00A87AAC">
        <w:rPr>
          <w:rFonts w:asciiTheme="minorHAnsi" w:eastAsiaTheme="minorHAnsi" w:hAnsiTheme="minorHAnsi" w:cs="TimesNewRomanPSMT"/>
          <w:color w:val="000000"/>
        </w:rPr>
        <w:t>i</w:t>
      </w:r>
      <w:r w:rsidRPr="00506278">
        <w:rPr>
          <w:rFonts w:asciiTheme="minorHAnsi" w:eastAsiaTheme="minorHAnsi" w:hAnsiTheme="minorHAnsi" w:cs="TimesNewRomanPSMT"/>
          <w:color w:val="000000"/>
        </w:rPr>
        <w:t>n the SA group compared with placebo although the difference was not statistically significant. Compared with placebo, the SA group showed statistically significant greater increase in HDL-P (diff from placebo 32%,</w:t>
      </w:r>
      <w:r w:rsidR="00A87AAC">
        <w:rPr>
          <w:rFonts w:asciiTheme="minorHAnsi" w:eastAsiaTheme="minorHAnsi" w:hAnsiTheme="minorHAnsi" w:cs="TimesNewRomanPSMT"/>
          <w:color w:val="000000"/>
        </w:rPr>
        <w:t xml:space="preserve"> </w:t>
      </w:r>
      <w:r w:rsidR="00E57011">
        <w:rPr>
          <w:rFonts w:asciiTheme="minorHAnsi" w:eastAsiaTheme="minorHAnsi" w:hAnsiTheme="minorHAnsi" w:cs="TimesNewRomanPSMT"/>
          <w:color w:val="000000"/>
        </w:rPr>
        <w:t xml:space="preserve">p </w:t>
      </w:r>
      <w:r w:rsidR="00A87AAC">
        <w:rPr>
          <w:rFonts w:asciiTheme="minorHAnsi" w:eastAsiaTheme="minorHAnsi" w:hAnsiTheme="minorHAnsi" w:cs="TimesNewRomanPSMT"/>
          <w:color w:val="000000"/>
        </w:rPr>
        <w:t xml:space="preserve">&lt; </w:t>
      </w:r>
      <w:r w:rsidR="00E57011">
        <w:rPr>
          <w:rFonts w:asciiTheme="minorHAnsi" w:eastAsiaTheme="minorHAnsi" w:hAnsiTheme="minorHAnsi" w:cs="TimesNewRomanPSMT"/>
          <w:color w:val="000000"/>
        </w:rPr>
        <w:t>0</w:t>
      </w:r>
      <w:r w:rsidRPr="00506278">
        <w:rPr>
          <w:rFonts w:asciiTheme="minorHAnsi" w:eastAsiaTheme="minorHAnsi" w:hAnsiTheme="minorHAnsi" w:cs="TimesNewRomanPSMT"/>
          <w:color w:val="000000"/>
        </w:rPr>
        <w:t>.0001)</w:t>
      </w:r>
      <w:r>
        <w:rPr>
          <w:rFonts w:asciiTheme="minorHAnsi" w:eastAsiaTheme="minorHAnsi" w:hAnsiTheme="minorHAnsi" w:cs="TimesNewRomanPSMT"/>
          <w:color w:val="000000"/>
        </w:rPr>
        <w:t>.</w:t>
      </w:r>
    </w:p>
    <w:p w14:paraId="70BF477A" w14:textId="77777777" w:rsidR="00EA418E" w:rsidRPr="00506278" w:rsidRDefault="00EA418E" w:rsidP="00EA418E">
      <w:pPr>
        <w:autoSpaceDE w:val="0"/>
        <w:autoSpaceDN w:val="0"/>
        <w:adjustRightInd w:val="0"/>
        <w:spacing w:before="0" w:line="240" w:lineRule="auto"/>
        <w:rPr>
          <w:rFonts w:asciiTheme="minorHAnsi" w:eastAsiaTheme="minorHAnsi" w:hAnsiTheme="minorHAnsi" w:cs="TimesNewRomanPSMT"/>
        </w:rPr>
      </w:pPr>
      <w:r w:rsidRPr="00506278">
        <w:rPr>
          <w:rFonts w:asciiTheme="minorHAnsi" w:eastAsiaTheme="minorHAnsi" w:hAnsiTheme="minorHAnsi" w:cs="TimesNewRomanPSMT"/>
        </w:rPr>
        <w:t xml:space="preserve">The ApoA1, </w:t>
      </w:r>
      <w:proofErr w:type="spellStart"/>
      <w:r w:rsidRPr="00506278">
        <w:rPr>
          <w:rFonts w:asciiTheme="minorHAnsi" w:eastAsiaTheme="minorHAnsi" w:hAnsiTheme="minorHAnsi" w:cs="TimesNewRomanPSMT"/>
        </w:rPr>
        <w:t>ApoB</w:t>
      </w:r>
      <w:proofErr w:type="spellEnd"/>
      <w:r w:rsidRPr="00506278">
        <w:rPr>
          <w:rFonts w:asciiTheme="minorHAnsi" w:eastAsiaTheme="minorHAnsi" w:hAnsiTheme="minorHAnsi" w:cs="TimesNewRomanPSMT"/>
        </w:rPr>
        <w:t xml:space="preserve">, and lipoprotein particle analysis by NMR in patients with LAL Deficiency provided additional insights into the impact of the disease on lipid metabolism and the effects of </w:t>
      </w:r>
      <w:proofErr w:type="spellStart"/>
      <w:r w:rsidRPr="00506278">
        <w:rPr>
          <w:rFonts w:asciiTheme="minorHAnsi" w:eastAsiaTheme="minorHAnsi" w:hAnsiTheme="minorHAnsi" w:cs="TimesNewRomanPSMT"/>
        </w:rPr>
        <w:t>sebelipase</w:t>
      </w:r>
      <w:proofErr w:type="spellEnd"/>
      <w:r w:rsidRPr="00506278">
        <w:rPr>
          <w:rFonts w:asciiTheme="minorHAnsi" w:eastAsiaTheme="minorHAnsi" w:hAnsiTheme="minorHAnsi" w:cs="TimesNewRomanPSMT"/>
        </w:rPr>
        <w:t xml:space="preserve"> alfa. These data demonstrated that the high LDL-c and low HDL-c levels in patients with LAL Deficiency are accompanied by increased LDL particle numbers and decreased HDL particle numbers and, that treatment with SA results in improvements in lipid metabolism, as demonstrated by clinically meaningful improvements in lipid particles, ApoA1, and </w:t>
      </w:r>
      <w:proofErr w:type="spellStart"/>
      <w:r w:rsidRPr="00506278">
        <w:rPr>
          <w:rFonts w:asciiTheme="minorHAnsi" w:eastAsiaTheme="minorHAnsi" w:hAnsiTheme="minorHAnsi" w:cs="TimesNewRomanPSMT"/>
        </w:rPr>
        <w:t>ApoB</w:t>
      </w:r>
      <w:proofErr w:type="spellEnd"/>
      <w:r w:rsidRPr="00506278">
        <w:rPr>
          <w:rFonts w:asciiTheme="minorHAnsi" w:eastAsiaTheme="minorHAnsi" w:hAnsiTheme="minorHAnsi" w:cs="TimesNewRomanPSMT"/>
        </w:rPr>
        <w:t>.</w:t>
      </w:r>
    </w:p>
    <w:p w14:paraId="7525F58C" w14:textId="77777777" w:rsidR="00EA418E" w:rsidRPr="00F61874" w:rsidRDefault="00EA418E" w:rsidP="00EA418E">
      <w:pPr>
        <w:autoSpaceDE w:val="0"/>
        <w:autoSpaceDN w:val="0"/>
        <w:adjustRightInd w:val="0"/>
        <w:spacing w:before="0" w:line="240" w:lineRule="auto"/>
        <w:rPr>
          <w:rFonts w:asciiTheme="minorHAnsi" w:hAnsiTheme="minorHAnsi"/>
          <w:lang w:eastAsia="ja-JP"/>
        </w:rPr>
      </w:pPr>
      <w:r w:rsidRPr="00F61874">
        <w:rPr>
          <w:rFonts w:asciiTheme="minorHAnsi" w:eastAsiaTheme="minorHAnsi" w:hAnsiTheme="minorHAnsi" w:cs="TimesNewRomanPSMT"/>
        </w:rPr>
        <w:t xml:space="preserve">As of the cut-off for this report, </w:t>
      </w:r>
      <w:r w:rsidR="00A87AAC">
        <w:rPr>
          <w:rFonts w:asciiTheme="minorHAnsi" w:eastAsiaTheme="minorHAnsi" w:hAnsiTheme="minorHAnsi" w:cs="TimesNewRomanPSMT"/>
        </w:rPr>
        <w:t xml:space="preserve">&lt; </w:t>
      </w:r>
      <w:r w:rsidRPr="00F61874">
        <w:rPr>
          <w:rFonts w:asciiTheme="minorHAnsi" w:eastAsiaTheme="minorHAnsi" w:hAnsiTheme="minorHAnsi" w:cs="TimesNewRomanPSMT"/>
        </w:rPr>
        <w:t>5 subjects in each treatment group had lipid</w:t>
      </w:r>
      <w:r>
        <w:rPr>
          <w:rFonts w:asciiTheme="minorHAnsi" w:eastAsiaTheme="minorHAnsi" w:hAnsiTheme="minorHAnsi" w:cs="TimesNewRomanPSMT"/>
        </w:rPr>
        <w:t xml:space="preserve"> </w:t>
      </w:r>
      <w:r w:rsidRPr="00F61874">
        <w:rPr>
          <w:rFonts w:asciiTheme="minorHAnsi" w:eastAsiaTheme="minorHAnsi" w:hAnsiTheme="minorHAnsi" w:cs="TimesNewRomanPSMT"/>
        </w:rPr>
        <w:t xml:space="preserve">particle measurements during the </w:t>
      </w:r>
      <w:r w:rsidR="00B73619">
        <w:rPr>
          <w:rFonts w:asciiTheme="minorHAnsi" w:eastAsiaTheme="minorHAnsi" w:hAnsiTheme="minorHAnsi" w:cs="TimesNewRomanPSMT"/>
        </w:rPr>
        <w:t>open label</w:t>
      </w:r>
      <w:r w:rsidRPr="00F61874">
        <w:rPr>
          <w:rFonts w:asciiTheme="minorHAnsi" w:eastAsiaTheme="minorHAnsi" w:hAnsiTheme="minorHAnsi" w:cs="TimesNewRomanPSMT"/>
        </w:rPr>
        <w:t xml:space="preserve"> period</w:t>
      </w:r>
      <w:r>
        <w:rPr>
          <w:rFonts w:asciiTheme="minorHAnsi" w:eastAsiaTheme="minorHAnsi" w:hAnsiTheme="minorHAnsi" w:cs="TimesNewRomanPSMT"/>
        </w:rPr>
        <w:t xml:space="preserve"> and these results were not presented in the CSR.</w:t>
      </w:r>
    </w:p>
    <w:p w14:paraId="4C4A0128" w14:textId="77777777" w:rsidR="00CC672B" w:rsidRDefault="00EA418E" w:rsidP="00EA418E">
      <w:pPr>
        <w:pStyle w:val="Heading7"/>
        <w:rPr>
          <w:rFonts w:eastAsiaTheme="minorHAnsi"/>
          <w:sz w:val="20"/>
        </w:rPr>
      </w:pPr>
      <w:r w:rsidRPr="00EA418E">
        <w:rPr>
          <w:rFonts w:eastAsiaTheme="minorHAnsi"/>
          <w:sz w:val="20"/>
        </w:rPr>
        <w:t>Supportive analysis of liver fat content</w:t>
      </w:r>
    </w:p>
    <w:p w14:paraId="4E1B3AC4" w14:textId="2B926BDF" w:rsidR="00B73619" w:rsidRDefault="00EA418E" w:rsidP="00EA418E">
      <w:pPr>
        <w:autoSpaceDE w:val="0"/>
        <w:autoSpaceDN w:val="0"/>
        <w:adjustRightInd w:val="0"/>
        <w:spacing w:before="0" w:line="240" w:lineRule="auto"/>
        <w:rPr>
          <w:rFonts w:asciiTheme="minorHAnsi" w:eastAsiaTheme="minorHAnsi" w:hAnsiTheme="minorHAnsi" w:cs="TimesNewRomanPSMT"/>
        </w:rPr>
      </w:pPr>
      <w:r w:rsidRPr="00200F66">
        <w:rPr>
          <w:rFonts w:asciiTheme="minorHAnsi" w:eastAsiaTheme="minorHAnsi" w:hAnsiTheme="minorHAnsi" w:cs="TimesNewRomanPSMT"/>
        </w:rPr>
        <w:t>A total of 57 subjects, 32 in the SA group and 25 in the placebo group had MRI</w:t>
      </w:r>
      <w:r>
        <w:rPr>
          <w:rFonts w:asciiTheme="minorHAnsi" w:eastAsiaTheme="minorHAnsi" w:hAnsiTheme="minorHAnsi" w:cs="TimesNewRomanPSMT"/>
        </w:rPr>
        <w:t xml:space="preserve"> </w:t>
      </w:r>
      <w:r w:rsidRPr="00200F66">
        <w:rPr>
          <w:rFonts w:asciiTheme="minorHAnsi" w:eastAsiaTheme="minorHAnsi" w:hAnsiTheme="minorHAnsi" w:cs="TimesNewRomanPSMT"/>
        </w:rPr>
        <w:t xml:space="preserve">assessment of liver fat content </w:t>
      </w:r>
      <w:r w:rsidR="00DE644C">
        <w:rPr>
          <w:rFonts w:asciiTheme="minorHAnsi" w:eastAsiaTheme="minorHAnsi" w:hAnsiTheme="minorHAnsi" w:cs="TimesNewRomanPSMT"/>
        </w:rPr>
        <w:t>at Baseline</w:t>
      </w:r>
      <w:r w:rsidRPr="00200F66">
        <w:rPr>
          <w:rFonts w:asciiTheme="minorHAnsi" w:eastAsiaTheme="minorHAnsi" w:hAnsiTheme="minorHAnsi" w:cs="TimesNewRomanPSMT"/>
        </w:rPr>
        <w:t xml:space="preserve"> and at the last time point in the </w:t>
      </w:r>
      <w:r w:rsidR="003F3AB4">
        <w:rPr>
          <w:rFonts w:asciiTheme="minorHAnsi" w:eastAsiaTheme="minorHAnsi" w:hAnsiTheme="minorHAnsi" w:cs="TimesNewRomanPSMT"/>
        </w:rPr>
        <w:t>double blind</w:t>
      </w:r>
      <w:r>
        <w:rPr>
          <w:rFonts w:asciiTheme="minorHAnsi" w:eastAsiaTheme="minorHAnsi" w:hAnsiTheme="minorHAnsi" w:cs="TimesNewRomanPSMT"/>
        </w:rPr>
        <w:t xml:space="preserve"> </w:t>
      </w:r>
      <w:r w:rsidRPr="00200F66">
        <w:rPr>
          <w:rFonts w:asciiTheme="minorHAnsi" w:eastAsiaTheme="minorHAnsi" w:hAnsiTheme="minorHAnsi" w:cs="TimesNewRomanPSMT"/>
        </w:rPr>
        <w:t>period</w:t>
      </w:r>
      <w:r w:rsidR="00B73619">
        <w:rPr>
          <w:rFonts w:asciiTheme="minorHAnsi" w:eastAsiaTheme="minorHAnsi" w:hAnsiTheme="minorHAnsi" w:cs="TimesNewRomanPSMT"/>
        </w:rPr>
        <w:t>.</w:t>
      </w:r>
    </w:p>
    <w:p w14:paraId="05AA45E0" w14:textId="7CA1B885" w:rsidR="00EA418E" w:rsidRDefault="00EA418E" w:rsidP="00EA418E">
      <w:pPr>
        <w:autoSpaceDE w:val="0"/>
        <w:autoSpaceDN w:val="0"/>
        <w:adjustRightInd w:val="0"/>
        <w:spacing w:before="0" w:line="240" w:lineRule="auto"/>
        <w:rPr>
          <w:rFonts w:asciiTheme="minorHAnsi" w:eastAsiaTheme="minorHAnsi" w:hAnsiTheme="minorHAnsi" w:cs="TimesNewRomanPSMT"/>
          <w:color w:val="000000"/>
        </w:rPr>
      </w:pPr>
      <w:r>
        <w:rPr>
          <w:rFonts w:asciiTheme="minorHAnsi" w:eastAsiaTheme="minorHAnsi" w:hAnsiTheme="minorHAnsi" w:cs="TimesNewRomanPSMT"/>
        </w:rPr>
        <w:lastRenderedPageBreak/>
        <w:t>I</w:t>
      </w:r>
      <w:r w:rsidRPr="00200F66">
        <w:rPr>
          <w:rFonts w:asciiTheme="minorHAnsi" w:eastAsiaTheme="minorHAnsi" w:hAnsiTheme="minorHAnsi" w:cs="TimesNewRomanPSMT"/>
        </w:rPr>
        <w:t>n the SA group, a strong correlation was seen between baseline liver fat</w:t>
      </w:r>
      <w:r>
        <w:rPr>
          <w:rFonts w:asciiTheme="minorHAnsi" w:eastAsiaTheme="minorHAnsi" w:hAnsiTheme="minorHAnsi" w:cs="TimesNewRomanPSMT"/>
        </w:rPr>
        <w:t xml:space="preserve"> </w:t>
      </w:r>
      <w:r w:rsidRPr="00200F66">
        <w:rPr>
          <w:rFonts w:asciiTheme="minorHAnsi" w:eastAsiaTheme="minorHAnsi" w:hAnsiTheme="minorHAnsi" w:cs="TimesNewRomanPSMT"/>
        </w:rPr>
        <w:t xml:space="preserve">content and decrease </w:t>
      </w:r>
      <w:r w:rsidR="00DE644C">
        <w:rPr>
          <w:rFonts w:asciiTheme="minorHAnsi" w:eastAsiaTheme="minorHAnsi" w:hAnsiTheme="minorHAnsi" w:cs="TimesNewRomanPSMT"/>
        </w:rPr>
        <w:t>from Baseline</w:t>
      </w:r>
      <w:r w:rsidRPr="00200F66">
        <w:rPr>
          <w:rFonts w:asciiTheme="minorHAnsi" w:eastAsiaTheme="minorHAnsi" w:hAnsiTheme="minorHAnsi" w:cs="TimesNewRomanPSMT"/>
        </w:rPr>
        <w:t xml:space="preserve"> to the last time point in the </w:t>
      </w:r>
      <w:r w:rsidR="003F3AB4">
        <w:rPr>
          <w:rFonts w:asciiTheme="minorHAnsi" w:eastAsiaTheme="minorHAnsi" w:hAnsiTheme="minorHAnsi" w:cs="TimesNewRomanPSMT"/>
        </w:rPr>
        <w:t>double blind</w:t>
      </w:r>
      <w:r w:rsidRPr="00200F66">
        <w:rPr>
          <w:rFonts w:asciiTheme="minorHAnsi" w:eastAsiaTheme="minorHAnsi" w:hAnsiTheme="minorHAnsi" w:cs="TimesNewRomanPSMT"/>
        </w:rPr>
        <w:t xml:space="preserve"> period in</w:t>
      </w:r>
      <w:r>
        <w:rPr>
          <w:rFonts w:asciiTheme="minorHAnsi" w:eastAsiaTheme="minorHAnsi" w:hAnsiTheme="minorHAnsi" w:cs="TimesNewRomanPSMT"/>
        </w:rPr>
        <w:t xml:space="preserve"> </w:t>
      </w:r>
      <w:r w:rsidRPr="00200F66">
        <w:rPr>
          <w:rFonts w:asciiTheme="minorHAnsi" w:eastAsiaTheme="minorHAnsi" w:hAnsiTheme="minorHAnsi" w:cs="TimesNewRomanPSMT"/>
        </w:rPr>
        <w:t xml:space="preserve">liver fat content, with </w:t>
      </w:r>
      <w:r>
        <w:rPr>
          <w:rFonts w:asciiTheme="minorHAnsi" w:eastAsiaTheme="minorHAnsi" w:hAnsiTheme="minorHAnsi" w:cs="TimesNewRomanPSMT"/>
        </w:rPr>
        <w:t>greater reduction in subjects with higher bas</w:t>
      </w:r>
      <w:r w:rsidRPr="00200F66">
        <w:rPr>
          <w:rFonts w:asciiTheme="minorHAnsi" w:eastAsiaTheme="minorHAnsi" w:hAnsiTheme="minorHAnsi" w:cs="TimesNewRomanPSMT"/>
        </w:rPr>
        <w:t xml:space="preserve">eline fat content (correlation coefficient </w:t>
      </w:r>
      <w:r w:rsidR="00A87AAC">
        <w:rPr>
          <w:rFonts w:asciiTheme="minorHAnsi" w:eastAsiaTheme="minorHAnsi" w:hAnsiTheme="minorHAnsi" w:cs="TimesNewRomanPSMT"/>
        </w:rPr>
        <w:noBreakHyphen/>
      </w:r>
      <w:r w:rsidRPr="00200F66">
        <w:rPr>
          <w:rFonts w:asciiTheme="minorHAnsi" w:eastAsiaTheme="minorHAnsi" w:hAnsiTheme="minorHAnsi" w:cs="TimesNewRomanPSMT"/>
        </w:rPr>
        <w:t>0.55; p</w:t>
      </w:r>
      <w:r w:rsidR="002D28A4">
        <w:rPr>
          <w:rFonts w:asciiTheme="minorHAnsi" w:eastAsiaTheme="minorHAnsi" w:hAnsiTheme="minorHAnsi" w:cs="TimesNewRomanPSMT"/>
        </w:rPr>
        <w:t xml:space="preserve"> = </w:t>
      </w:r>
      <w:r w:rsidRPr="00200F66">
        <w:rPr>
          <w:rFonts w:asciiTheme="minorHAnsi" w:eastAsiaTheme="minorHAnsi" w:hAnsiTheme="minorHAnsi" w:cs="TimesNewRomanPSMT"/>
        </w:rPr>
        <w:t>0.0010)</w:t>
      </w:r>
      <w:r w:rsidRPr="00506278">
        <w:rPr>
          <w:rFonts w:asciiTheme="minorHAnsi" w:eastAsiaTheme="minorHAnsi" w:hAnsiTheme="minorHAnsi" w:cs="TimesNewRomanPSMT"/>
        </w:rPr>
        <w:t xml:space="preserve"> </w:t>
      </w:r>
      <w:r w:rsidRPr="00200F66">
        <w:rPr>
          <w:rFonts w:asciiTheme="minorHAnsi" w:eastAsiaTheme="minorHAnsi" w:hAnsiTheme="minorHAnsi" w:cs="TimesNewRomanPSMT"/>
        </w:rPr>
        <w:t xml:space="preserve">and this relationship was observed in the subset of subjects with and without biopsy-proven cirrhosis; there was weak correlation in the placebo group. </w:t>
      </w:r>
      <w:r w:rsidRPr="00200F66">
        <w:rPr>
          <w:rFonts w:asciiTheme="minorHAnsi" w:eastAsiaTheme="minorHAnsi" w:hAnsiTheme="minorHAnsi" w:cs="TimesNewRomanPSMT"/>
          <w:color w:val="000000"/>
        </w:rPr>
        <w:t xml:space="preserve">An exploratory analysis was performed to determine the relationship between </w:t>
      </w:r>
      <w:proofErr w:type="gramStart"/>
      <w:r w:rsidRPr="00200F66">
        <w:rPr>
          <w:rFonts w:asciiTheme="minorHAnsi" w:eastAsiaTheme="minorHAnsi" w:hAnsiTheme="minorHAnsi" w:cs="TimesNewRomanPSMT"/>
          <w:color w:val="000000"/>
        </w:rPr>
        <w:t>change</w:t>
      </w:r>
      <w:proofErr w:type="gramEnd"/>
      <w:r>
        <w:rPr>
          <w:rFonts w:asciiTheme="minorHAnsi" w:eastAsiaTheme="minorHAnsi" w:hAnsiTheme="minorHAnsi" w:cs="TimesNewRomanPSMT"/>
          <w:color w:val="000000"/>
        </w:rPr>
        <w:t xml:space="preserve"> </w:t>
      </w:r>
      <w:r w:rsidR="00DE644C">
        <w:rPr>
          <w:rFonts w:asciiTheme="minorHAnsi" w:eastAsiaTheme="minorHAnsi" w:hAnsiTheme="minorHAnsi" w:cs="TimesNewRomanPSMT"/>
          <w:color w:val="000000"/>
        </w:rPr>
        <w:t>from Baseline</w:t>
      </w:r>
      <w:r w:rsidRPr="00200F66">
        <w:rPr>
          <w:rFonts w:asciiTheme="minorHAnsi" w:eastAsiaTheme="minorHAnsi" w:hAnsiTheme="minorHAnsi" w:cs="TimesNewRomanPSMT"/>
          <w:color w:val="000000"/>
        </w:rPr>
        <w:t xml:space="preserve"> in ALT versus liver fat content, as determined by MRI, at the last time</w:t>
      </w:r>
      <w:r>
        <w:rPr>
          <w:rFonts w:asciiTheme="minorHAnsi" w:eastAsiaTheme="minorHAnsi" w:hAnsiTheme="minorHAnsi" w:cs="TimesNewRomanPSMT"/>
          <w:color w:val="000000"/>
        </w:rPr>
        <w:t xml:space="preserve"> </w:t>
      </w:r>
      <w:r w:rsidRPr="00200F66">
        <w:rPr>
          <w:rFonts w:asciiTheme="minorHAnsi" w:eastAsiaTheme="minorHAnsi" w:hAnsiTheme="minorHAnsi" w:cs="TimesNewRomanPSMT"/>
          <w:color w:val="000000"/>
        </w:rPr>
        <w:t xml:space="preserve">point in the </w:t>
      </w:r>
      <w:r w:rsidR="003F3AB4">
        <w:rPr>
          <w:rFonts w:asciiTheme="minorHAnsi" w:eastAsiaTheme="minorHAnsi" w:hAnsiTheme="minorHAnsi" w:cs="TimesNewRomanPSMT"/>
          <w:color w:val="000000"/>
        </w:rPr>
        <w:t>double blind</w:t>
      </w:r>
      <w:r w:rsidRPr="00200F66">
        <w:rPr>
          <w:rFonts w:asciiTheme="minorHAnsi" w:eastAsiaTheme="minorHAnsi" w:hAnsiTheme="minorHAnsi" w:cs="TimesNewRomanPSMT"/>
          <w:color w:val="000000"/>
        </w:rPr>
        <w:t xml:space="preserve"> period. Findings revealed that there was a concordance of effect</w:t>
      </w:r>
      <w:r>
        <w:rPr>
          <w:rFonts w:asciiTheme="minorHAnsi" w:eastAsiaTheme="minorHAnsi" w:hAnsiTheme="minorHAnsi" w:cs="TimesNewRomanPSMT"/>
          <w:color w:val="000000"/>
        </w:rPr>
        <w:t xml:space="preserve"> </w:t>
      </w:r>
      <w:r w:rsidR="00A87AAC">
        <w:rPr>
          <w:rFonts w:asciiTheme="minorHAnsi" w:eastAsiaTheme="minorHAnsi" w:hAnsiTheme="minorHAnsi" w:cs="TimesNewRomanPSMT"/>
          <w:color w:val="000000"/>
        </w:rPr>
        <w:t xml:space="preserve">in that the majority of the SA </w:t>
      </w:r>
      <w:r w:rsidRPr="00200F66">
        <w:rPr>
          <w:rFonts w:asciiTheme="minorHAnsi" w:eastAsiaTheme="minorHAnsi" w:hAnsiTheme="minorHAnsi" w:cs="TimesNewRomanPSMT"/>
          <w:color w:val="000000"/>
        </w:rPr>
        <w:t>treated subjects showed a reduction in both ALT and fat</w:t>
      </w:r>
      <w:r>
        <w:rPr>
          <w:rFonts w:asciiTheme="minorHAnsi" w:eastAsiaTheme="minorHAnsi" w:hAnsiTheme="minorHAnsi" w:cs="TimesNewRomanPSMT"/>
          <w:color w:val="000000"/>
        </w:rPr>
        <w:t xml:space="preserve"> </w:t>
      </w:r>
      <w:r w:rsidRPr="00200F66">
        <w:rPr>
          <w:rFonts w:asciiTheme="minorHAnsi" w:eastAsiaTheme="minorHAnsi" w:hAnsiTheme="minorHAnsi" w:cs="TimesNewRomanPSMT"/>
          <w:color w:val="000000"/>
        </w:rPr>
        <w:t>fraction in contrast to the findings in the placebo subjects. Findings</w:t>
      </w:r>
      <w:r>
        <w:rPr>
          <w:rFonts w:asciiTheme="minorHAnsi" w:eastAsiaTheme="minorHAnsi" w:hAnsiTheme="minorHAnsi" w:cs="TimesNewRomanPSMT"/>
          <w:color w:val="000000"/>
        </w:rPr>
        <w:t xml:space="preserve"> </w:t>
      </w:r>
      <w:r w:rsidRPr="00200F66">
        <w:rPr>
          <w:rFonts w:asciiTheme="minorHAnsi" w:eastAsiaTheme="minorHAnsi" w:hAnsiTheme="minorHAnsi" w:cs="TimesNewRomanPSMT"/>
          <w:color w:val="000000"/>
        </w:rPr>
        <w:t>were similar when this analysis was performed using liver fat content as determined by</w:t>
      </w:r>
      <w:r>
        <w:rPr>
          <w:rFonts w:asciiTheme="minorHAnsi" w:eastAsiaTheme="minorHAnsi" w:hAnsiTheme="minorHAnsi" w:cs="TimesNewRomanPSMT"/>
          <w:color w:val="000000"/>
        </w:rPr>
        <w:t xml:space="preserve"> </w:t>
      </w:r>
      <w:r w:rsidRPr="00200F66">
        <w:rPr>
          <w:rFonts w:asciiTheme="minorHAnsi" w:eastAsiaTheme="minorHAnsi" w:hAnsiTheme="minorHAnsi" w:cs="TimesNewRomanPSMT"/>
          <w:color w:val="000000"/>
        </w:rPr>
        <w:t>biopsy</w:t>
      </w:r>
      <w:r>
        <w:rPr>
          <w:rFonts w:asciiTheme="minorHAnsi" w:eastAsiaTheme="minorHAnsi" w:hAnsiTheme="minorHAnsi" w:cs="TimesNewRomanPSMT"/>
          <w:color w:val="000000"/>
        </w:rPr>
        <w:t>.</w:t>
      </w:r>
    </w:p>
    <w:p w14:paraId="70475F97" w14:textId="77777777" w:rsidR="00CC672B" w:rsidRDefault="00EA418E" w:rsidP="00EA418E">
      <w:pPr>
        <w:pStyle w:val="Heading7"/>
        <w:rPr>
          <w:rFonts w:eastAsiaTheme="minorHAnsi"/>
          <w:sz w:val="20"/>
        </w:rPr>
      </w:pPr>
      <w:r w:rsidRPr="00EA418E">
        <w:rPr>
          <w:rFonts w:eastAsiaTheme="minorHAnsi"/>
          <w:sz w:val="20"/>
        </w:rPr>
        <w:t>Supportive analysis of spleen volume and fat fraction</w:t>
      </w:r>
    </w:p>
    <w:p w14:paraId="7D2B0D0D" w14:textId="370F3F16" w:rsidR="00EA418E" w:rsidRDefault="00EA418E" w:rsidP="00EA418E">
      <w:pPr>
        <w:autoSpaceDE w:val="0"/>
        <w:autoSpaceDN w:val="0"/>
        <w:adjustRightInd w:val="0"/>
        <w:spacing w:before="0" w:line="240" w:lineRule="auto"/>
        <w:rPr>
          <w:rFonts w:asciiTheme="minorHAnsi" w:eastAsiaTheme="minorHAnsi" w:hAnsiTheme="minorHAnsi" w:cs="TimesNewRomanPSMT"/>
          <w:color w:val="000000"/>
        </w:rPr>
      </w:pPr>
      <w:r w:rsidRPr="00ED1D70">
        <w:rPr>
          <w:rFonts w:asciiTheme="minorHAnsi" w:eastAsiaTheme="minorHAnsi" w:hAnsiTheme="minorHAnsi" w:cs="TimesNewRomanPSMT"/>
          <w:color w:val="000000"/>
        </w:rPr>
        <w:t xml:space="preserve">Spleen volume measurements based on MRI were available </w:t>
      </w:r>
      <w:r w:rsidR="00DE644C">
        <w:rPr>
          <w:rFonts w:asciiTheme="minorHAnsi" w:eastAsiaTheme="minorHAnsi" w:hAnsiTheme="minorHAnsi" w:cs="TimesNewRomanPSMT"/>
          <w:color w:val="000000"/>
        </w:rPr>
        <w:t>at Baseline</w:t>
      </w:r>
      <w:r w:rsidRPr="00ED1D70">
        <w:rPr>
          <w:rFonts w:asciiTheme="minorHAnsi" w:eastAsiaTheme="minorHAnsi" w:hAnsiTheme="minorHAnsi" w:cs="TimesNewRomanPSMT"/>
          <w:color w:val="000000"/>
        </w:rPr>
        <w:t xml:space="preserve"> and the last time point in the </w:t>
      </w:r>
      <w:r w:rsidR="003F3AB4">
        <w:rPr>
          <w:rFonts w:asciiTheme="minorHAnsi" w:eastAsiaTheme="minorHAnsi" w:hAnsiTheme="minorHAnsi" w:cs="TimesNewRomanPSMT"/>
          <w:color w:val="000000"/>
        </w:rPr>
        <w:t>double blind</w:t>
      </w:r>
      <w:r w:rsidRPr="00ED1D70">
        <w:rPr>
          <w:rFonts w:asciiTheme="minorHAnsi" w:eastAsiaTheme="minorHAnsi" w:hAnsiTheme="minorHAnsi" w:cs="TimesNewRomanPSMT"/>
          <w:color w:val="000000"/>
        </w:rPr>
        <w:t xml:space="preserve"> period in 60 (91%) of the 66 subjects in the FAS. There was statistically significantly greater mean absolute </w:t>
      </w:r>
      <w:r>
        <w:rPr>
          <w:rFonts w:asciiTheme="minorHAnsi" w:eastAsiaTheme="minorHAnsi" w:hAnsiTheme="minorHAnsi" w:cs="TimesNewRomanPSMT"/>
          <w:color w:val="000000"/>
        </w:rPr>
        <w:t>reduction</w:t>
      </w:r>
      <w:r w:rsidRPr="00ED1D70">
        <w:rPr>
          <w:rFonts w:asciiTheme="minorHAnsi" w:eastAsiaTheme="minorHAnsi" w:hAnsiTheme="minorHAnsi" w:cs="TimesNewRomanPSMT"/>
          <w:color w:val="000000"/>
        </w:rPr>
        <w:t xml:space="preserve"> </w:t>
      </w:r>
      <w:r w:rsidR="00DE644C">
        <w:rPr>
          <w:rFonts w:asciiTheme="minorHAnsi" w:eastAsiaTheme="minorHAnsi" w:hAnsiTheme="minorHAnsi" w:cs="TimesNewRomanPSMT"/>
          <w:color w:val="000000"/>
        </w:rPr>
        <w:t>from Baseline</w:t>
      </w:r>
      <w:r w:rsidRPr="00ED1D70">
        <w:rPr>
          <w:rFonts w:asciiTheme="minorHAnsi" w:eastAsiaTheme="minorHAnsi" w:hAnsiTheme="minorHAnsi" w:cs="TimesNewRomanPSMT"/>
          <w:color w:val="000000"/>
        </w:rPr>
        <w:t xml:space="preserve"> to the last time point in the </w:t>
      </w:r>
      <w:r w:rsidR="003F3AB4">
        <w:rPr>
          <w:rFonts w:asciiTheme="minorHAnsi" w:eastAsiaTheme="minorHAnsi" w:hAnsiTheme="minorHAnsi" w:cs="TimesNewRomanPSMT"/>
          <w:color w:val="000000"/>
        </w:rPr>
        <w:t>double blind</w:t>
      </w:r>
      <w:r w:rsidRPr="00ED1D70">
        <w:rPr>
          <w:rFonts w:asciiTheme="minorHAnsi" w:eastAsiaTheme="minorHAnsi" w:hAnsiTheme="minorHAnsi" w:cs="TimesNewRomanPSMT"/>
          <w:color w:val="000000"/>
        </w:rPr>
        <w:t xml:space="preserve"> period in spleen volume in the SA</w:t>
      </w:r>
      <w:r>
        <w:rPr>
          <w:rFonts w:asciiTheme="minorHAnsi" w:eastAsiaTheme="minorHAnsi" w:hAnsiTheme="minorHAnsi" w:cs="TimesNewRomanPSMT"/>
          <w:color w:val="000000"/>
        </w:rPr>
        <w:t xml:space="preserve"> </w:t>
      </w:r>
      <w:r w:rsidRPr="00ED1D70">
        <w:rPr>
          <w:rFonts w:asciiTheme="minorHAnsi" w:eastAsiaTheme="minorHAnsi" w:hAnsiTheme="minorHAnsi" w:cs="TimesNewRomanPSMT"/>
          <w:color w:val="000000"/>
        </w:rPr>
        <w:t>grou</w:t>
      </w:r>
      <w:r w:rsidR="00A87AAC">
        <w:rPr>
          <w:rFonts w:asciiTheme="minorHAnsi" w:eastAsiaTheme="minorHAnsi" w:hAnsiTheme="minorHAnsi" w:cs="TimesNewRomanPSMT"/>
          <w:color w:val="000000"/>
        </w:rPr>
        <w:t>p compared with placebo group (</w:t>
      </w:r>
      <w:r w:rsidR="00A87AAC">
        <w:rPr>
          <w:rFonts w:asciiTheme="minorHAnsi" w:eastAsiaTheme="minorHAnsi" w:hAnsiTheme="minorHAnsi" w:cs="TimesNewRomanPSMT"/>
          <w:color w:val="000000"/>
        </w:rPr>
        <w:noBreakHyphen/>
      </w:r>
      <w:r w:rsidRPr="00ED1D70">
        <w:rPr>
          <w:rFonts w:asciiTheme="minorHAnsi" w:eastAsiaTheme="minorHAnsi" w:hAnsiTheme="minorHAnsi" w:cs="TimesNewRomanPSMT"/>
          <w:color w:val="000000"/>
        </w:rPr>
        <w:t xml:space="preserve">0.357 MN </w:t>
      </w:r>
      <w:r w:rsidR="00B866BC">
        <w:rPr>
          <w:rFonts w:asciiTheme="minorHAnsi" w:eastAsiaTheme="minorHAnsi" w:hAnsiTheme="minorHAnsi" w:cs="TimesNewRomanPSMT"/>
          <w:color w:val="000000"/>
        </w:rPr>
        <w:t>versus</w:t>
      </w:r>
      <w:r w:rsidRPr="00ED1D70">
        <w:rPr>
          <w:rFonts w:asciiTheme="minorHAnsi" w:eastAsiaTheme="minorHAnsi" w:hAnsiTheme="minorHAnsi" w:cs="TimesNewRomanPSMT"/>
          <w:color w:val="000000"/>
        </w:rPr>
        <w:t xml:space="preserve"> 0.184 MN, diff</w:t>
      </w:r>
      <w:r w:rsidR="002D28A4">
        <w:rPr>
          <w:rFonts w:asciiTheme="minorHAnsi" w:eastAsiaTheme="minorHAnsi" w:hAnsiTheme="minorHAnsi" w:cs="TimesNewRomanPSMT"/>
          <w:color w:val="000000"/>
        </w:rPr>
        <w:t xml:space="preserve"> = </w:t>
      </w:r>
      <w:r w:rsidR="00A87AAC">
        <w:rPr>
          <w:rFonts w:asciiTheme="minorHAnsi" w:eastAsiaTheme="minorHAnsi" w:hAnsiTheme="minorHAnsi" w:cs="TimesNewRomanPSMT"/>
          <w:color w:val="000000"/>
        </w:rPr>
        <w:noBreakHyphen/>
      </w:r>
      <w:r w:rsidRPr="00ED1D70">
        <w:rPr>
          <w:rFonts w:asciiTheme="minorHAnsi" w:eastAsiaTheme="minorHAnsi" w:hAnsiTheme="minorHAnsi" w:cs="TimesNewRomanPSMT"/>
          <w:color w:val="000000"/>
        </w:rPr>
        <w:t>0.541 MN,</w:t>
      </w:r>
      <w:r>
        <w:rPr>
          <w:rFonts w:asciiTheme="minorHAnsi" w:eastAsiaTheme="minorHAnsi" w:hAnsiTheme="minorHAnsi" w:cs="TimesNewRomanPSMT"/>
          <w:color w:val="000000"/>
        </w:rPr>
        <w:t xml:space="preserve"> </w:t>
      </w:r>
      <w:r w:rsidRPr="00ED1D70">
        <w:rPr>
          <w:rFonts w:asciiTheme="minorHAnsi" w:eastAsiaTheme="minorHAnsi" w:hAnsiTheme="minorHAnsi" w:cs="TimesNewRomanPSMT"/>
          <w:color w:val="000000"/>
        </w:rPr>
        <w:t>p</w:t>
      </w:r>
      <w:r w:rsidR="002D28A4">
        <w:rPr>
          <w:rFonts w:asciiTheme="minorHAnsi" w:eastAsiaTheme="minorHAnsi" w:hAnsiTheme="minorHAnsi" w:cs="TimesNewRomanPSMT"/>
          <w:color w:val="000000"/>
        </w:rPr>
        <w:t xml:space="preserve"> = </w:t>
      </w:r>
      <w:r w:rsidRPr="00ED1D70">
        <w:rPr>
          <w:rFonts w:asciiTheme="minorHAnsi" w:eastAsiaTheme="minorHAnsi" w:hAnsiTheme="minorHAnsi" w:cs="TimesNewRomanPSMT"/>
          <w:color w:val="000000"/>
        </w:rPr>
        <w:t>0.0004)</w:t>
      </w:r>
      <w:r>
        <w:rPr>
          <w:rFonts w:asciiTheme="minorHAnsi" w:eastAsiaTheme="minorHAnsi" w:hAnsiTheme="minorHAnsi" w:cs="TimesNewRomanPSMT"/>
          <w:color w:val="000000"/>
        </w:rPr>
        <w:t xml:space="preserve">. However, </w:t>
      </w:r>
      <w:r w:rsidRPr="00ED1D70">
        <w:rPr>
          <w:rFonts w:asciiTheme="minorHAnsi" w:eastAsiaTheme="minorHAnsi" w:hAnsiTheme="minorHAnsi" w:cs="TimesNewRomanPSMT"/>
          <w:color w:val="000000"/>
        </w:rPr>
        <w:t xml:space="preserve">the mean absolute decrease </w:t>
      </w:r>
      <w:r w:rsidR="00DE644C">
        <w:rPr>
          <w:rFonts w:asciiTheme="minorHAnsi" w:eastAsiaTheme="minorHAnsi" w:hAnsiTheme="minorHAnsi" w:cs="TimesNewRomanPSMT"/>
          <w:color w:val="000000"/>
        </w:rPr>
        <w:t>from Baseline</w:t>
      </w:r>
      <w:r w:rsidRPr="00ED1D70">
        <w:rPr>
          <w:rFonts w:asciiTheme="minorHAnsi" w:eastAsiaTheme="minorHAnsi" w:hAnsiTheme="minorHAnsi" w:cs="TimesNewRomanPSMT"/>
          <w:color w:val="000000"/>
        </w:rPr>
        <w:t xml:space="preserve"> in spleen fat content was</w:t>
      </w:r>
      <w:r>
        <w:rPr>
          <w:rFonts w:asciiTheme="minorHAnsi" w:eastAsiaTheme="minorHAnsi" w:hAnsiTheme="minorHAnsi" w:cs="TimesNewRomanPSMT"/>
          <w:color w:val="000000"/>
        </w:rPr>
        <w:t xml:space="preserve"> not statistically significant (</w:t>
      </w:r>
      <w:r w:rsidR="00A87AAC">
        <w:rPr>
          <w:rFonts w:asciiTheme="minorHAnsi" w:eastAsiaTheme="minorHAnsi" w:hAnsiTheme="minorHAnsi" w:cs="TimesNewRomanPSMT"/>
          <w:color w:val="000000"/>
        </w:rPr>
        <w:noBreakHyphen/>
      </w:r>
      <w:r w:rsidRPr="00ED1D70">
        <w:rPr>
          <w:rFonts w:asciiTheme="minorHAnsi" w:eastAsiaTheme="minorHAnsi" w:hAnsiTheme="minorHAnsi" w:cs="TimesNewRomanPSMT"/>
          <w:color w:val="000000"/>
        </w:rPr>
        <w:t xml:space="preserve">0.379% </w:t>
      </w:r>
      <w:r w:rsidR="00B866BC">
        <w:rPr>
          <w:rFonts w:asciiTheme="minorHAnsi" w:eastAsiaTheme="minorHAnsi" w:hAnsiTheme="minorHAnsi" w:cs="TimesNewRomanPSMT"/>
          <w:color w:val="000000"/>
        </w:rPr>
        <w:t>versus</w:t>
      </w:r>
      <w:r>
        <w:rPr>
          <w:rFonts w:asciiTheme="minorHAnsi" w:eastAsiaTheme="minorHAnsi" w:hAnsiTheme="minorHAnsi" w:cs="TimesNewRomanPSMT"/>
          <w:color w:val="000000"/>
        </w:rPr>
        <w:t xml:space="preserve"> 0.036, </w:t>
      </w:r>
      <w:r w:rsidRPr="00ED1D70">
        <w:rPr>
          <w:rFonts w:asciiTheme="minorHAnsi" w:eastAsiaTheme="minorHAnsi" w:hAnsiTheme="minorHAnsi" w:cs="TimesNewRomanPSMT"/>
          <w:color w:val="000000"/>
        </w:rPr>
        <w:t>diff</w:t>
      </w:r>
      <w:r w:rsidR="00A87AAC">
        <w:rPr>
          <w:rFonts w:asciiTheme="minorHAnsi" w:eastAsiaTheme="minorHAnsi" w:hAnsiTheme="minorHAnsi" w:cs="TimesNewRomanPSMT"/>
          <w:color w:val="000000"/>
        </w:rPr>
        <w:t xml:space="preserve"> = </w:t>
      </w:r>
      <w:r w:rsidR="00A87AAC">
        <w:rPr>
          <w:rFonts w:asciiTheme="minorHAnsi" w:eastAsiaTheme="minorHAnsi" w:hAnsiTheme="minorHAnsi" w:cs="TimesNewRomanPSMT"/>
          <w:color w:val="000000"/>
        </w:rPr>
        <w:noBreakHyphen/>
      </w:r>
      <w:r>
        <w:rPr>
          <w:rFonts w:asciiTheme="minorHAnsi" w:eastAsiaTheme="minorHAnsi" w:hAnsiTheme="minorHAnsi" w:cs="TimesNewRomanPSMT"/>
          <w:color w:val="000000"/>
        </w:rPr>
        <w:t>0.415%, p</w:t>
      </w:r>
      <w:r w:rsidR="00A87AAC">
        <w:rPr>
          <w:rFonts w:asciiTheme="minorHAnsi" w:eastAsiaTheme="minorHAnsi" w:hAnsiTheme="minorHAnsi" w:cs="TimesNewRomanPSMT"/>
          <w:color w:val="000000"/>
        </w:rPr>
        <w:t> = </w:t>
      </w:r>
      <w:r w:rsidRPr="00ED1D70">
        <w:rPr>
          <w:rFonts w:asciiTheme="minorHAnsi" w:eastAsiaTheme="minorHAnsi" w:hAnsiTheme="minorHAnsi" w:cs="TimesNewRomanPSMT"/>
          <w:color w:val="000000"/>
        </w:rPr>
        <w:t>0.2068)</w:t>
      </w:r>
      <w:r>
        <w:rPr>
          <w:rFonts w:asciiTheme="minorHAnsi" w:eastAsiaTheme="minorHAnsi" w:hAnsiTheme="minorHAnsi" w:cs="TimesNewRomanPSMT"/>
          <w:color w:val="000000"/>
        </w:rPr>
        <w:t>.</w:t>
      </w:r>
    </w:p>
    <w:p w14:paraId="77A0ACD2" w14:textId="77777777" w:rsidR="00EA418E" w:rsidRPr="00EA418E" w:rsidRDefault="00A87AAC" w:rsidP="00EA418E">
      <w:pPr>
        <w:pStyle w:val="Heading7"/>
        <w:rPr>
          <w:rFonts w:eastAsiaTheme="minorHAnsi"/>
          <w:sz w:val="20"/>
        </w:rPr>
      </w:pPr>
      <w:r>
        <w:rPr>
          <w:rFonts w:eastAsiaTheme="minorHAnsi"/>
          <w:sz w:val="20"/>
        </w:rPr>
        <w:t>Anthropometric measurements</w:t>
      </w:r>
    </w:p>
    <w:p w14:paraId="6A12F34A" w14:textId="56AA15F4" w:rsidR="00B73619" w:rsidRDefault="00EA418E" w:rsidP="00EA418E">
      <w:pPr>
        <w:autoSpaceDE w:val="0"/>
        <w:autoSpaceDN w:val="0"/>
        <w:adjustRightInd w:val="0"/>
        <w:spacing w:before="0" w:line="240" w:lineRule="auto"/>
        <w:rPr>
          <w:rFonts w:asciiTheme="minorHAnsi" w:eastAsiaTheme="minorHAnsi" w:hAnsiTheme="minorHAnsi" w:cs="TimesNewRomanPSMT"/>
          <w:color w:val="000000"/>
        </w:rPr>
      </w:pPr>
      <w:r w:rsidRPr="00B25F0B">
        <w:rPr>
          <w:rFonts w:asciiTheme="minorHAnsi" w:eastAsiaTheme="minorHAnsi" w:hAnsiTheme="minorHAnsi" w:cs="TimesNewRomanPSMT"/>
          <w:color w:val="000000"/>
        </w:rPr>
        <w:t xml:space="preserve">Review of change </w:t>
      </w:r>
      <w:r w:rsidR="00DE644C">
        <w:rPr>
          <w:rFonts w:asciiTheme="minorHAnsi" w:eastAsiaTheme="minorHAnsi" w:hAnsiTheme="minorHAnsi" w:cs="TimesNewRomanPSMT"/>
          <w:color w:val="000000"/>
        </w:rPr>
        <w:t>from Baseline</w:t>
      </w:r>
      <w:r w:rsidRPr="00B25F0B">
        <w:rPr>
          <w:rFonts w:asciiTheme="minorHAnsi" w:eastAsiaTheme="minorHAnsi" w:hAnsiTheme="minorHAnsi" w:cs="TimesNewRomanPSMT"/>
          <w:color w:val="000000"/>
        </w:rPr>
        <w:t xml:space="preserve"> to Week 20 in weight revealed small mean increases</w:t>
      </w:r>
      <w:r>
        <w:rPr>
          <w:rFonts w:asciiTheme="minorHAnsi" w:eastAsiaTheme="minorHAnsi" w:hAnsiTheme="minorHAnsi" w:cs="TimesNewRomanPSMT"/>
          <w:color w:val="000000"/>
        </w:rPr>
        <w:t xml:space="preserve"> </w:t>
      </w:r>
      <w:r w:rsidR="00DE644C">
        <w:rPr>
          <w:rFonts w:asciiTheme="minorHAnsi" w:eastAsiaTheme="minorHAnsi" w:hAnsiTheme="minorHAnsi" w:cs="TimesNewRomanPSMT"/>
          <w:color w:val="000000"/>
        </w:rPr>
        <w:t>from Baseline</w:t>
      </w:r>
      <w:r w:rsidRPr="00B25F0B">
        <w:rPr>
          <w:rFonts w:asciiTheme="minorHAnsi" w:eastAsiaTheme="minorHAnsi" w:hAnsiTheme="minorHAnsi" w:cs="TimesNewRomanPSMT"/>
          <w:color w:val="000000"/>
        </w:rPr>
        <w:t xml:space="preserve"> in both the SA and placebo groups (1.5 kg and 1.9 kg, respectively).</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 xml:space="preserve">Similarly, small mean increases </w:t>
      </w:r>
      <w:r w:rsidR="00DE644C">
        <w:rPr>
          <w:rFonts w:asciiTheme="minorHAnsi" w:eastAsiaTheme="minorHAnsi" w:hAnsiTheme="minorHAnsi" w:cs="TimesNewRomanPSMT"/>
          <w:color w:val="000000"/>
        </w:rPr>
        <w:t>from Baseline</w:t>
      </w:r>
      <w:r w:rsidRPr="00B25F0B">
        <w:rPr>
          <w:rFonts w:asciiTheme="minorHAnsi" w:eastAsiaTheme="minorHAnsi" w:hAnsiTheme="minorHAnsi" w:cs="TimesNewRomanPSMT"/>
          <w:color w:val="000000"/>
        </w:rPr>
        <w:t xml:space="preserve"> to Week 20 in height were seen in both the</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SA and placebo groups (2</w:t>
      </w:r>
      <w:r>
        <w:rPr>
          <w:rFonts w:asciiTheme="minorHAnsi" w:eastAsiaTheme="minorHAnsi" w:hAnsiTheme="minorHAnsi" w:cs="TimesNewRomanPSMT"/>
          <w:color w:val="000000"/>
        </w:rPr>
        <w:t xml:space="preserve">.6 cm and 2.5 cm, respectively). </w:t>
      </w:r>
      <w:r w:rsidRPr="00B25F0B">
        <w:rPr>
          <w:rFonts w:asciiTheme="minorHAnsi" w:eastAsiaTheme="minorHAnsi" w:hAnsiTheme="minorHAnsi" w:cs="TimesNewRomanPSMT"/>
          <w:color w:val="000000"/>
        </w:rPr>
        <w:t xml:space="preserve">During the </w:t>
      </w:r>
      <w:r w:rsidR="00B73619">
        <w:rPr>
          <w:rFonts w:asciiTheme="minorHAnsi" w:eastAsiaTheme="minorHAnsi" w:hAnsiTheme="minorHAnsi" w:cs="TimesNewRomanPSMT"/>
          <w:color w:val="000000"/>
        </w:rPr>
        <w:t>open label</w:t>
      </w:r>
      <w:r w:rsidRPr="00B25F0B">
        <w:rPr>
          <w:rFonts w:asciiTheme="minorHAnsi" w:eastAsiaTheme="minorHAnsi" w:hAnsiTheme="minorHAnsi" w:cs="TimesNewRomanPSMT"/>
          <w:color w:val="000000"/>
        </w:rPr>
        <w:t xml:space="preserve"> period, a mean increase </w:t>
      </w:r>
      <w:r w:rsidR="00DE644C">
        <w:rPr>
          <w:rFonts w:asciiTheme="minorHAnsi" w:eastAsiaTheme="minorHAnsi" w:hAnsiTheme="minorHAnsi" w:cs="TimesNewRomanPSMT"/>
          <w:color w:val="000000"/>
        </w:rPr>
        <w:t>from Baseline</w:t>
      </w:r>
      <w:r w:rsidRPr="00B25F0B">
        <w:rPr>
          <w:rFonts w:asciiTheme="minorHAnsi" w:eastAsiaTheme="minorHAnsi" w:hAnsiTheme="minorHAnsi" w:cs="TimesNewRomanPSMT"/>
          <w:color w:val="000000"/>
        </w:rPr>
        <w:t xml:space="preserve"> in weight of 2.8 kg was seen</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in the SA group at Week 36, a value generally consistent with that seen during the</w:t>
      </w:r>
      <w:r>
        <w:rPr>
          <w:rFonts w:asciiTheme="minorHAnsi" w:eastAsiaTheme="minorHAnsi" w:hAnsiTheme="minorHAnsi" w:cs="TimesNewRomanPSMT"/>
          <w:color w:val="000000"/>
        </w:rPr>
        <w:t xml:space="preserve"> </w:t>
      </w:r>
      <w:r w:rsidR="003F3AB4">
        <w:rPr>
          <w:rFonts w:asciiTheme="minorHAnsi" w:eastAsiaTheme="minorHAnsi" w:hAnsiTheme="minorHAnsi" w:cs="TimesNewRomanPSMT"/>
          <w:color w:val="000000"/>
        </w:rPr>
        <w:t>double blind</w:t>
      </w:r>
      <w:r w:rsidRPr="00B25F0B">
        <w:rPr>
          <w:rFonts w:asciiTheme="minorHAnsi" w:eastAsiaTheme="minorHAnsi" w:hAnsiTheme="minorHAnsi" w:cs="TimesNewRomanPSMT"/>
          <w:color w:val="000000"/>
        </w:rPr>
        <w:t xml:space="preserve"> period. The mean increase </w:t>
      </w:r>
      <w:r w:rsidR="00DE644C">
        <w:rPr>
          <w:rFonts w:asciiTheme="minorHAnsi" w:eastAsiaTheme="minorHAnsi" w:hAnsiTheme="minorHAnsi" w:cs="TimesNewRomanPSMT"/>
          <w:color w:val="000000"/>
        </w:rPr>
        <w:t>from Baseline</w:t>
      </w:r>
      <w:r w:rsidRPr="00B25F0B">
        <w:rPr>
          <w:rFonts w:asciiTheme="minorHAnsi" w:eastAsiaTheme="minorHAnsi" w:hAnsiTheme="minorHAnsi" w:cs="TimesNewRomanPSMT"/>
          <w:color w:val="000000"/>
        </w:rPr>
        <w:t xml:space="preserve"> in weight was 1.8 kg in the</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placebo/SA group at Week 14, which also was generally consistent with the mean change</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 xml:space="preserve">seen in the SA group at the same time point during the </w:t>
      </w:r>
      <w:r w:rsidR="003F3AB4">
        <w:rPr>
          <w:rFonts w:asciiTheme="minorHAnsi" w:eastAsiaTheme="minorHAnsi" w:hAnsiTheme="minorHAnsi" w:cs="TimesNewRomanPSMT"/>
          <w:color w:val="000000"/>
        </w:rPr>
        <w:t>double blind</w:t>
      </w:r>
      <w:r w:rsidRPr="00B25F0B">
        <w:rPr>
          <w:rFonts w:asciiTheme="minorHAnsi" w:eastAsiaTheme="minorHAnsi" w:hAnsiTheme="minorHAnsi" w:cs="TimesNewRomanPSMT"/>
          <w:color w:val="000000"/>
        </w:rPr>
        <w:t xml:space="preserve"> period. With regard</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to height, the number of subjects with available data is small beyond Week 14, and thus it</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was not possible to make meaningful comparisons of summary statistics between the</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groups. Six subjects in the SA group and 1 subject in the placebo group showed an</w:t>
      </w:r>
      <w:r>
        <w:rPr>
          <w:rFonts w:asciiTheme="minorHAnsi" w:eastAsiaTheme="minorHAnsi" w:hAnsiTheme="minorHAnsi" w:cs="TimesNewRomanPSMT"/>
          <w:color w:val="000000"/>
        </w:rPr>
        <w:t xml:space="preserve"> </w:t>
      </w:r>
      <w:r w:rsidRPr="00B25F0B">
        <w:rPr>
          <w:rFonts w:asciiTheme="minorHAnsi" w:eastAsiaTheme="minorHAnsi" w:hAnsiTheme="minorHAnsi" w:cs="TimesNewRomanPSMT"/>
          <w:color w:val="000000"/>
        </w:rPr>
        <w:t>increase in height centile of more than 5%. Two subjects in the SA group showed an increase in height centile of more than 10%</w:t>
      </w:r>
      <w:r>
        <w:rPr>
          <w:rFonts w:asciiTheme="minorHAnsi" w:eastAsiaTheme="minorHAnsi" w:hAnsiTheme="minorHAnsi" w:cs="TimesNewRomanPSMT"/>
          <w:color w:val="000000"/>
        </w:rPr>
        <w:t xml:space="preserve">. Interpretation of effect of </w:t>
      </w:r>
      <w:r w:rsidRPr="00B25F0B">
        <w:rPr>
          <w:rFonts w:asciiTheme="minorHAnsi" w:eastAsiaTheme="minorHAnsi" w:hAnsiTheme="minorHAnsi" w:cs="TimesNewRomanPSMT"/>
          <w:color w:val="000000"/>
        </w:rPr>
        <w:t xml:space="preserve">treatment on height or weight </w:t>
      </w:r>
      <w:r>
        <w:rPr>
          <w:rFonts w:asciiTheme="minorHAnsi" w:eastAsiaTheme="minorHAnsi" w:hAnsiTheme="minorHAnsi" w:cs="TimesNewRomanPSMT"/>
          <w:color w:val="000000"/>
        </w:rPr>
        <w:t>was limited by lack of longer duration of follow-up</w:t>
      </w:r>
      <w:r w:rsidR="00B73619">
        <w:rPr>
          <w:rFonts w:asciiTheme="minorHAnsi" w:eastAsiaTheme="minorHAnsi" w:hAnsiTheme="minorHAnsi" w:cs="TimesNewRomanPSMT"/>
          <w:color w:val="000000"/>
        </w:rPr>
        <w:t>.</w:t>
      </w:r>
    </w:p>
    <w:p w14:paraId="740C5996" w14:textId="77777777" w:rsidR="00CC672B" w:rsidRDefault="00EA418E" w:rsidP="00934213">
      <w:pPr>
        <w:pStyle w:val="Heading6"/>
        <w:rPr>
          <w:rFonts w:eastAsiaTheme="minorHAnsi"/>
        </w:rPr>
      </w:pPr>
      <w:r w:rsidRPr="00B25F0B">
        <w:rPr>
          <w:rFonts w:eastAsiaTheme="minorHAnsi"/>
        </w:rPr>
        <w:t>Subgroup analysis</w:t>
      </w:r>
    </w:p>
    <w:p w14:paraId="18D5CB6D" w14:textId="77777777" w:rsidR="00CC672B" w:rsidRDefault="00EA418E" w:rsidP="00934213">
      <w:pPr>
        <w:pStyle w:val="Heading7"/>
        <w:rPr>
          <w:rFonts w:eastAsiaTheme="minorHAnsi"/>
          <w:sz w:val="20"/>
        </w:rPr>
      </w:pPr>
      <w:r w:rsidRPr="00934213">
        <w:rPr>
          <w:rFonts w:eastAsiaTheme="minorHAnsi"/>
          <w:sz w:val="20"/>
        </w:rPr>
        <w:t>Age</w:t>
      </w:r>
    </w:p>
    <w:p w14:paraId="5CE9D8DB" w14:textId="5619063C" w:rsidR="00B73619" w:rsidRDefault="00EA418E" w:rsidP="00EA418E">
      <w:pPr>
        <w:autoSpaceDE w:val="0"/>
        <w:autoSpaceDN w:val="0"/>
        <w:adjustRightInd w:val="0"/>
        <w:spacing w:before="0" w:line="240" w:lineRule="auto"/>
        <w:rPr>
          <w:rFonts w:asciiTheme="minorHAnsi" w:eastAsiaTheme="minorHAnsi" w:hAnsiTheme="minorHAnsi" w:cs="TimesNewRomanPSMT"/>
        </w:rPr>
      </w:pPr>
      <w:r w:rsidRPr="00B25F0B">
        <w:rPr>
          <w:rFonts w:asciiTheme="minorHAnsi" w:eastAsiaTheme="minorHAnsi" w:hAnsiTheme="minorHAnsi" w:cs="TimesNewRomanPSMT"/>
        </w:rPr>
        <w:t>The eff</w:t>
      </w:r>
      <w:r>
        <w:rPr>
          <w:rFonts w:asciiTheme="minorHAnsi" w:eastAsiaTheme="minorHAnsi" w:hAnsiTheme="minorHAnsi" w:cs="TimesNewRomanPSMT"/>
        </w:rPr>
        <w:t xml:space="preserve">icacy </w:t>
      </w:r>
      <w:r w:rsidRPr="00B25F0B">
        <w:rPr>
          <w:rFonts w:asciiTheme="minorHAnsi" w:eastAsiaTheme="minorHAnsi" w:hAnsiTheme="minorHAnsi" w:cs="TimesNewRomanPSMT"/>
        </w:rPr>
        <w:t xml:space="preserve">of </w:t>
      </w:r>
      <w:proofErr w:type="spellStart"/>
      <w:r w:rsidRPr="00B25F0B">
        <w:rPr>
          <w:rFonts w:asciiTheme="minorHAnsi" w:eastAsiaTheme="minorHAnsi" w:hAnsiTheme="minorHAnsi" w:cs="TimesNewRomanPSMT"/>
        </w:rPr>
        <w:t>sebelipase</w:t>
      </w:r>
      <w:proofErr w:type="spellEnd"/>
      <w:r w:rsidRPr="00B25F0B">
        <w:rPr>
          <w:rFonts w:asciiTheme="minorHAnsi" w:eastAsiaTheme="minorHAnsi" w:hAnsiTheme="minorHAnsi" w:cs="TimesNewRomanPSMT"/>
        </w:rPr>
        <w:t xml:space="preserve"> alfa relative to</w:t>
      </w:r>
      <w:r>
        <w:rPr>
          <w:rFonts w:asciiTheme="minorHAnsi" w:eastAsiaTheme="minorHAnsi" w:hAnsiTheme="minorHAnsi" w:cs="TimesNewRomanPSMT"/>
        </w:rPr>
        <w:t xml:space="preserve"> </w:t>
      </w:r>
      <w:r w:rsidRPr="00B25F0B">
        <w:rPr>
          <w:rFonts w:asciiTheme="minorHAnsi" w:eastAsiaTheme="minorHAnsi" w:hAnsiTheme="minorHAnsi" w:cs="TimesNewRomanPSMT"/>
        </w:rPr>
        <w:t>placebo in all age categories was generally greater in subjects aged</w:t>
      </w:r>
      <w:r>
        <w:rPr>
          <w:rFonts w:asciiTheme="minorHAnsi" w:eastAsiaTheme="minorHAnsi" w:hAnsiTheme="minorHAnsi" w:cs="TimesNewRomanPSMT"/>
        </w:rPr>
        <w:t xml:space="preserve"> </w:t>
      </w:r>
      <w:r w:rsidRPr="00B25F0B">
        <w:rPr>
          <w:rFonts w:asciiTheme="minorHAnsi" w:eastAsiaTheme="minorHAnsi" w:hAnsiTheme="minorHAnsi" w:cs="TimesNewRomanPSMT"/>
        </w:rPr>
        <w:t xml:space="preserve">≥ 12 years compared to those aged </w:t>
      </w:r>
      <w:r w:rsidR="00A87AAC">
        <w:rPr>
          <w:rFonts w:asciiTheme="minorHAnsi" w:eastAsiaTheme="minorHAnsi" w:hAnsiTheme="minorHAnsi" w:cs="TimesNewRomanPSMT"/>
        </w:rPr>
        <w:t xml:space="preserve">&lt; </w:t>
      </w:r>
      <w:r w:rsidRPr="00B25F0B">
        <w:rPr>
          <w:rFonts w:asciiTheme="minorHAnsi" w:eastAsiaTheme="minorHAnsi" w:hAnsiTheme="minorHAnsi" w:cs="TimesNewRomanPSMT"/>
        </w:rPr>
        <w:t>12 years.</w:t>
      </w:r>
      <w:r>
        <w:rPr>
          <w:rFonts w:asciiTheme="minorHAnsi" w:eastAsiaTheme="minorHAnsi" w:hAnsiTheme="minorHAnsi" w:cs="TimesNewRomanPSMT"/>
        </w:rPr>
        <w:t xml:space="preserve"> </w:t>
      </w:r>
      <w:r w:rsidRPr="00B25F0B">
        <w:rPr>
          <w:rFonts w:asciiTheme="minorHAnsi" w:eastAsiaTheme="minorHAnsi" w:hAnsiTheme="minorHAnsi" w:cs="TimesNewRomanPSMT"/>
        </w:rPr>
        <w:t xml:space="preserve">The proportion of </w:t>
      </w:r>
      <w:r w:rsidR="00A87AAC">
        <w:rPr>
          <w:rFonts w:asciiTheme="minorHAnsi" w:eastAsiaTheme="minorHAnsi" w:hAnsiTheme="minorHAnsi" w:cs="TimesNewRomanPSMT"/>
        </w:rPr>
        <w:t xml:space="preserve">SA treated </w:t>
      </w:r>
      <w:r w:rsidRPr="00B25F0B">
        <w:rPr>
          <w:rFonts w:asciiTheme="minorHAnsi" w:eastAsiaTheme="minorHAnsi" w:hAnsiTheme="minorHAnsi" w:cs="TimesNewRomanPSMT"/>
        </w:rPr>
        <w:t>subjects who experienced ALT normalisation was 21% (3</w:t>
      </w:r>
      <w:r>
        <w:rPr>
          <w:rFonts w:asciiTheme="minorHAnsi" w:eastAsiaTheme="minorHAnsi" w:hAnsiTheme="minorHAnsi" w:cs="TimesNewRomanPSMT"/>
        </w:rPr>
        <w:t xml:space="preserve"> of 14), </w:t>
      </w:r>
      <w:r w:rsidRPr="00B25F0B">
        <w:rPr>
          <w:rFonts w:asciiTheme="minorHAnsi" w:eastAsiaTheme="minorHAnsi" w:hAnsiTheme="minorHAnsi" w:cs="TimesNewRomanPSMT"/>
        </w:rPr>
        <w:t>11% (1 of 9) and 54% (7 of 13) among those aged</w:t>
      </w:r>
      <w:r>
        <w:rPr>
          <w:rFonts w:asciiTheme="minorHAnsi" w:eastAsiaTheme="minorHAnsi" w:hAnsiTheme="minorHAnsi" w:cs="TimesNewRomanPSMT"/>
        </w:rPr>
        <w:t xml:space="preserve"> </w:t>
      </w:r>
      <w:r w:rsidR="00A87AAC">
        <w:rPr>
          <w:rFonts w:asciiTheme="minorHAnsi" w:eastAsiaTheme="minorHAnsi" w:hAnsiTheme="minorHAnsi" w:cs="TimesNewRomanPSMT"/>
        </w:rPr>
        <w:t xml:space="preserve">&lt; </w:t>
      </w:r>
      <w:r>
        <w:rPr>
          <w:rFonts w:asciiTheme="minorHAnsi" w:eastAsiaTheme="minorHAnsi" w:hAnsiTheme="minorHAnsi" w:cs="TimesNewRomanPSMT"/>
        </w:rPr>
        <w:t xml:space="preserve">12 years, 12 to </w:t>
      </w:r>
      <w:r w:rsidR="00A87AAC">
        <w:rPr>
          <w:rFonts w:asciiTheme="minorHAnsi" w:eastAsiaTheme="minorHAnsi" w:hAnsiTheme="minorHAnsi" w:cs="TimesNewRomanPSMT"/>
        </w:rPr>
        <w:t xml:space="preserve">&lt; </w:t>
      </w:r>
      <w:r>
        <w:rPr>
          <w:rFonts w:asciiTheme="minorHAnsi" w:eastAsiaTheme="minorHAnsi" w:hAnsiTheme="minorHAnsi" w:cs="TimesNewRomanPSMT"/>
        </w:rPr>
        <w:t>18 years and</w:t>
      </w:r>
      <w:r w:rsidRPr="00B25F0B">
        <w:rPr>
          <w:rFonts w:asciiTheme="minorHAnsi" w:eastAsiaTheme="minorHAnsi" w:hAnsiTheme="minorHAnsi" w:cs="TimesNewRomanPSMT"/>
        </w:rPr>
        <w:t xml:space="preserve"> ≥ 18 years</w:t>
      </w:r>
      <w:r>
        <w:rPr>
          <w:rFonts w:asciiTheme="minorHAnsi" w:eastAsiaTheme="minorHAnsi" w:hAnsiTheme="minorHAnsi" w:cs="TimesNewRomanPSMT"/>
        </w:rPr>
        <w:t>, respectively</w:t>
      </w:r>
      <w:r w:rsidRPr="00B25F0B">
        <w:rPr>
          <w:rFonts w:asciiTheme="minorHAnsi" w:eastAsiaTheme="minorHAnsi" w:hAnsiTheme="minorHAnsi" w:cs="TimesNewRomanPSMT"/>
        </w:rPr>
        <w:t>.</w:t>
      </w:r>
      <w:r>
        <w:rPr>
          <w:rFonts w:asciiTheme="minorHAnsi" w:eastAsiaTheme="minorHAnsi" w:hAnsiTheme="minorHAnsi" w:cs="TimesNewRomanPSMT"/>
        </w:rPr>
        <w:t xml:space="preserve"> </w:t>
      </w:r>
      <w:r w:rsidRPr="00B25F0B">
        <w:rPr>
          <w:rFonts w:asciiTheme="minorHAnsi" w:eastAsiaTheme="minorHAnsi" w:hAnsiTheme="minorHAnsi" w:cs="TimesNewRomanPSMT"/>
        </w:rPr>
        <w:t>Review of secondary endpoints by age showed that, in general, a nominally greater effect</w:t>
      </w:r>
      <w:r>
        <w:rPr>
          <w:rFonts w:asciiTheme="minorHAnsi" w:eastAsiaTheme="minorHAnsi" w:hAnsiTheme="minorHAnsi" w:cs="TimesNewRomanPSMT"/>
        </w:rPr>
        <w:t xml:space="preserve"> </w:t>
      </w:r>
      <w:r w:rsidRPr="00B25F0B">
        <w:rPr>
          <w:rFonts w:asciiTheme="minorHAnsi" w:eastAsiaTheme="minorHAnsi" w:hAnsiTheme="minorHAnsi" w:cs="TimesNewRomanPSMT"/>
        </w:rPr>
        <w:t xml:space="preserve">of </w:t>
      </w:r>
      <w:proofErr w:type="spellStart"/>
      <w:r w:rsidRPr="00B25F0B">
        <w:rPr>
          <w:rFonts w:asciiTheme="minorHAnsi" w:eastAsiaTheme="minorHAnsi" w:hAnsiTheme="minorHAnsi" w:cs="TimesNewRomanPSMT"/>
        </w:rPr>
        <w:t>sebelipase</w:t>
      </w:r>
      <w:proofErr w:type="spellEnd"/>
      <w:r w:rsidRPr="00B25F0B">
        <w:rPr>
          <w:rFonts w:asciiTheme="minorHAnsi" w:eastAsiaTheme="minorHAnsi" w:hAnsiTheme="minorHAnsi" w:cs="TimesNewRomanPSMT"/>
        </w:rPr>
        <w:t xml:space="preserve"> alfa was seen in subjects aged ≥ 12 years compared to those aged</w:t>
      </w:r>
      <w:r w:rsidR="00A87AAC">
        <w:rPr>
          <w:rFonts w:asciiTheme="minorHAnsi" w:eastAsiaTheme="minorHAnsi" w:hAnsiTheme="minorHAnsi" w:cs="TimesNewRomanPSMT"/>
        </w:rPr>
        <w:t xml:space="preserve">&lt; </w:t>
      </w:r>
      <w:r w:rsidRPr="00B25F0B">
        <w:rPr>
          <w:rFonts w:asciiTheme="minorHAnsi" w:eastAsiaTheme="minorHAnsi" w:hAnsiTheme="minorHAnsi" w:cs="TimesNewRomanPSMT"/>
        </w:rPr>
        <w:t xml:space="preserve">12 years, as evidenced by greater reductions </w:t>
      </w:r>
      <w:r w:rsidR="00DE644C">
        <w:rPr>
          <w:rFonts w:asciiTheme="minorHAnsi" w:eastAsiaTheme="minorHAnsi" w:hAnsiTheme="minorHAnsi" w:cs="TimesNewRomanPSMT"/>
        </w:rPr>
        <w:t>from Baseline</w:t>
      </w:r>
      <w:r w:rsidRPr="00B25F0B">
        <w:rPr>
          <w:rFonts w:asciiTheme="minorHAnsi" w:eastAsiaTheme="minorHAnsi" w:hAnsiTheme="minorHAnsi" w:cs="TimesNewRomanPSMT"/>
        </w:rPr>
        <w:t xml:space="preserve"> in LDL-c, non-HDL-c, and</w:t>
      </w:r>
      <w:r>
        <w:rPr>
          <w:rFonts w:asciiTheme="minorHAnsi" w:eastAsiaTheme="minorHAnsi" w:hAnsiTheme="minorHAnsi" w:cs="TimesNewRomanPSMT"/>
        </w:rPr>
        <w:t xml:space="preserve"> </w:t>
      </w:r>
      <w:r w:rsidRPr="00B25F0B">
        <w:rPr>
          <w:rFonts w:asciiTheme="minorHAnsi" w:eastAsiaTheme="minorHAnsi" w:hAnsiTheme="minorHAnsi" w:cs="TimesNewRomanPSMT"/>
        </w:rPr>
        <w:t>liver fat content, and greater increases in HDL-c and higher rates of AST normalisation</w:t>
      </w:r>
      <w:r>
        <w:rPr>
          <w:rFonts w:asciiTheme="minorHAnsi" w:eastAsiaTheme="minorHAnsi" w:hAnsiTheme="minorHAnsi" w:cs="TimesNewRomanPSMT"/>
        </w:rPr>
        <w:t xml:space="preserve"> </w:t>
      </w:r>
      <w:r w:rsidRPr="00B25F0B">
        <w:rPr>
          <w:rFonts w:asciiTheme="minorHAnsi" w:eastAsiaTheme="minorHAnsi" w:hAnsiTheme="minorHAnsi" w:cs="TimesNewRomanPSMT"/>
        </w:rPr>
        <w:t>and improvement in liver histology.</w:t>
      </w:r>
      <w:r>
        <w:rPr>
          <w:rFonts w:asciiTheme="minorHAnsi" w:eastAsiaTheme="minorHAnsi" w:hAnsiTheme="minorHAnsi" w:cs="TimesNewRomanPSMT"/>
        </w:rPr>
        <w:t xml:space="preserve"> However, interpretation was limited by </w:t>
      </w:r>
      <w:r w:rsidRPr="00B25F0B">
        <w:rPr>
          <w:rFonts w:asciiTheme="minorHAnsi" w:eastAsiaTheme="minorHAnsi" w:hAnsiTheme="minorHAnsi" w:cs="TimesNewRomanPSMT"/>
        </w:rPr>
        <w:t>the small numbers o</w:t>
      </w:r>
      <w:r>
        <w:rPr>
          <w:rFonts w:asciiTheme="minorHAnsi" w:eastAsiaTheme="minorHAnsi" w:hAnsiTheme="minorHAnsi" w:cs="TimesNewRomanPSMT"/>
        </w:rPr>
        <w:t>f subjects in each age category</w:t>
      </w:r>
      <w:r w:rsidR="00B73619">
        <w:rPr>
          <w:rFonts w:asciiTheme="minorHAnsi" w:eastAsiaTheme="minorHAnsi" w:hAnsiTheme="minorHAnsi" w:cs="TimesNewRomanPSMT"/>
        </w:rPr>
        <w:t>.</w:t>
      </w:r>
    </w:p>
    <w:p w14:paraId="1231359C" w14:textId="77777777" w:rsidR="00CC672B" w:rsidRDefault="00EA418E" w:rsidP="00934213">
      <w:pPr>
        <w:pStyle w:val="Heading7"/>
        <w:rPr>
          <w:rFonts w:eastAsiaTheme="minorHAnsi"/>
          <w:sz w:val="20"/>
        </w:rPr>
      </w:pPr>
      <w:r w:rsidRPr="00934213">
        <w:rPr>
          <w:rFonts w:eastAsiaTheme="minorHAnsi"/>
          <w:sz w:val="20"/>
        </w:rPr>
        <w:t>Gender</w:t>
      </w:r>
    </w:p>
    <w:p w14:paraId="04E2524E" w14:textId="77777777" w:rsidR="00EA418E" w:rsidRPr="00B25F0B" w:rsidRDefault="00EA418E" w:rsidP="00EA418E">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 xml:space="preserve">Overall, </w:t>
      </w:r>
      <w:r w:rsidRPr="00B25F0B">
        <w:rPr>
          <w:rFonts w:asciiTheme="minorHAnsi" w:eastAsiaTheme="minorHAnsi" w:hAnsiTheme="minorHAnsi" w:cs="TimesNewRomanPSMT"/>
        </w:rPr>
        <w:t>results in</w:t>
      </w:r>
      <w:r>
        <w:rPr>
          <w:rFonts w:asciiTheme="minorHAnsi" w:eastAsiaTheme="minorHAnsi" w:hAnsiTheme="minorHAnsi" w:cs="TimesNewRomanPSMT"/>
        </w:rPr>
        <w:t xml:space="preserve"> </w:t>
      </w:r>
      <w:r w:rsidRPr="00B25F0B">
        <w:rPr>
          <w:rFonts w:asciiTheme="minorHAnsi" w:eastAsiaTheme="minorHAnsi" w:hAnsiTheme="minorHAnsi" w:cs="TimesNewRomanPSMT"/>
        </w:rPr>
        <w:t>male and female subjects being generally consistent with those seen in the SA group as a</w:t>
      </w:r>
      <w:r>
        <w:rPr>
          <w:rFonts w:asciiTheme="minorHAnsi" w:eastAsiaTheme="minorHAnsi" w:hAnsiTheme="minorHAnsi" w:cs="TimesNewRomanPSMT"/>
        </w:rPr>
        <w:t xml:space="preserve"> </w:t>
      </w:r>
      <w:r w:rsidRPr="00B25F0B">
        <w:rPr>
          <w:rFonts w:asciiTheme="minorHAnsi" w:eastAsiaTheme="minorHAnsi" w:hAnsiTheme="minorHAnsi" w:cs="TimesNewRomanPSMT"/>
        </w:rPr>
        <w:t>whole.</w:t>
      </w:r>
    </w:p>
    <w:p w14:paraId="797C2963" w14:textId="77777777" w:rsidR="00CC672B" w:rsidRDefault="00EA418E" w:rsidP="00934213">
      <w:pPr>
        <w:pStyle w:val="Heading7"/>
        <w:rPr>
          <w:rFonts w:eastAsiaTheme="minorHAnsi"/>
          <w:sz w:val="20"/>
        </w:rPr>
      </w:pPr>
      <w:r w:rsidRPr="00934213">
        <w:rPr>
          <w:rFonts w:eastAsiaTheme="minorHAnsi"/>
          <w:sz w:val="20"/>
        </w:rPr>
        <w:lastRenderedPageBreak/>
        <w:t>Race and ethnicity</w:t>
      </w:r>
    </w:p>
    <w:p w14:paraId="2B4CBDDE" w14:textId="634A4749" w:rsidR="00EA418E" w:rsidRDefault="00EA418E" w:rsidP="00EA418E">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R</w:t>
      </w:r>
      <w:r w:rsidRPr="00B25F0B">
        <w:rPr>
          <w:rFonts w:asciiTheme="minorHAnsi" w:eastAsiaTheme="minorHAnsi" w:hAnsiTheme="minorHAnsi" w:cs="TimesNewRomanPSMT"/>
        </w:rPr>
        <w:t xml:space="preserve">esults in </w:t>
      </w:r>
      <w:r>
        <w:rPr>
          <w:rFonts w:asciiTheme="minorHAnsi" w:eastAsiaTheme="minorHAnsi" w:hAnsiTheme="minorHAnsi" w:cs="TimesNewRomanPSMT"/>
        </w:rPr>
        <w:t>W</w:t>
      </w:r>
      <w:r w:rsidRPr="00B25F0B">
        <w:rPr>
          <w:rFonts w:asciiTheme="minorHAnsi" w:eastAsiaTheme="minorHAnsi" w:hAnsiTheme="minorHAnsi" w:cs="TimesNewRomanPSMT"/>
        </w:rPr>
        <w:t>hite and non-</w:t>
      </w:r>
      <w:r>
        <w:rPr>
          <w:rFonts w:asciiTheme="minorHAnsi" w:eastAsiaTheme="minorHAnsi" w:hAnsiTheme="minorHAnsi" w:cs="TimesNewRomanPSMT"/>
        </w:rPr>
        <w:t>W</w:t>
      </w:r>
      <w:r w:rsidRPr="00B25F0B">
        <w:rPr>
          <w:rFonts w:asciiTheme="minorHAnsi" w:eastAsiaTheme="minorHAnsi" w:hAnsiTheme="minorHAnsi" w:cs="TimesNewRomanPSMT"/>
        </w:rPr>
        <w:t xml:space="preserve">hite subjects </w:t>
      </w:r>
      <w:r>
        <w:rPr>
          <w:rFonts w:asciiTheme="minorHAnsi" w:eastAsiaTheme="minorHAnsi" w:hAnsiTheme="minorHAnsi" w:cs="TimesNewRomanPSMT"/>
        </w:rPr>
        <w:t xml:space="preserve">were </w:t>
      </w:r>
      <w:r w:rsidRPr="00B25F0B">
        <w:rPr>
          <w:rFonts w:asciiTheme="minorHAnsi" w:eastAsiaTheme="minorHAnsi" w:hAnsiTheme="minorHAnsi" w:cs="TimesNewRomanPSMT"/>
        </w:rPr>
        <w:t>generally</w:t>
      </w:r>
      <w:r>
        <w:rPr>
          <w:rFonts w:asciiTheme="minorHAnsi" w:eastAsiaTheme="minorHAnsi" w:hAnsiTheme="minorHAnsi" w:cs="TimesNewRomanPSMT"/>
        </w:rPr>
        <w:t xml:space="preserve"> </w:t>
      </w:r>
      <w:r w:rsidRPr="00B25F0B">
        <w:rPr>
          <w:rFonts w:asciiTheme="minorHAnsi" w:eastAsiaTheme="minorHAnsi" w:hAnsiTheme="minorHAnsi" w:cs="TimesNewRomanPSMT"/>
        </w:rPr>
        <w:t>consistent with those seen in the SA group as a whole, with the exception that the mean</w:t>
      </w:r>
      <w:r>
        <w:rPr>
          <w:rFonts w:asciiTheme="minorHAnsi" w:eastAsiaTheme="minorHAnsi" w:hAnsiTheme="minorHAnsi" w:cs="TimesNewRomanPSMT"/>
        </w:rPr>
        <w:t xml:space="preserve"> </w:t>
      </w:r>
      <w:r w:rsidRPr="00B25F0B">
        <w:rPr>
          <w:rFonts w:asciiTheme="minorHAnsi" w:eastAsiaTheme="minorHAnsi" w:hAnsiTheme="minorHAnsi" w:cs="TimesNewRomanPSMT"/>
        </w:rPr>
        <w:t>percent change in liver fat content was notably higher in non-</w:t>
      </w:r>
      <w:r>
        <w:rPr>
          <w:rFonts w:asciiTheme="minorHAnsi" w:eastAsiaTheme="minorHAnsi" w:hAnsiTheme="minorHAnsi" w:cs="TimesNewRomanPSMT"/>
        </w:rPr>
        <w:t>W</w:t>
      </w:r>
      <w:r w:rsidR="00A87AAC">
        <w:rPr>
          <w:rFonts w:asciiTheme="minorHAnsi" w:eastAsiaTheme="minorHAnsi" w:hAnsiTheme="minorHAnsi" w:cs="TimesNewRomanPSMT"/>
        </w:rPr>
        <w:t>hite subjects (</w:t>
      </w:r>
      <w:r w:rsidR="00A87AAC">
        <w:rPr>
          <w:rFonts w:asciiTheme="minorHAnsi" w:eastAsiaTheme="minorHAnsi" w:hAnsiTheme="minorHAnsi" w:cs="TimesNewRomanPSMT"/>
        </w:rPr>
        <w:noBreakHyphen/>
      </w:r>
      <w:r w:rsidRPr="00B25F0B">
        <w:rPr>
          <w:rFonts w:asciiTheme="minorHAnsi" w:eastAsiaTheme="minorHAnsi" w:hAnsiTheme="minorHAnsi" w:cs="TimesNewRomanPSMT"/>
        </w:rPr>
        <w:t>42.7%;</w:t>
      </w:r>
      <w:r>
        <w:rPr>
          <w:rFonts w:asciiTheme="minorHAnsi" w:eastAsiaTheme="minorHAnsi" w:hAnsiTheme="minorHAnsi" w:cs="TimesNewRomanPSMT"/>
        </w:rPr>
        <w:t xml:space="preserve"> </w:t>
      </w:r>
      <w:r w:rsidRPr="00B25F0B">
        <w:rPr>
          <w:rFonts w:asciiTheme="minorHAnsi" w:eastAsiaTheme="minorHAnsi" w:hAnsiTheme="minorHAnsi" w:cs="TimesNewRomanPSMT"/>
        </w:rPr>
        <w:t>n</w:t>
      </w:r>
      <w:r w:rsidR="002D28A4">
        <w:rPr>
          <w:rFonts w:asciiTheme="minorHAnsi" w:eastAsiaTheme="minorHAnsi" w:hAnsiTheme="minorHAnsi" w:cs="TimesNewRomanPSMT"/>
        </w:rPr>
        <w:t xml:space="preserve"> = </w:t>
      </w:r>
      <w:r w:rsidRPr="00B25F0B">
        <w:rPr>
          <w:rFonts w:asciiTheme="minorHAnsi" w:eastAsiaTheme="minorHAnsi" w:hAnsiTheme="minorHAnsi" w:cs="TimesNewRomanPSMT"/>
        </w:rPr>
        <w:t xml:space="preserve">8) than in </w:t>
      </w:r>
      <w:r>
        <w:rPr>
          <w:rFonts w:asciiTheme="minorHAnsi" w:eastAsiaTheme="minorHAnsi" w:hAnsiTheme="minorHAnsi" w:cs="TimesNewRomanPSMT"/>
        </w:rPr>
        <w:t>W</w:t>
      </w:r>
      <w:r w:rsidR="00A87AAC">
        <w:rPr>
          <w:rFonts w:asciiTheme="minorHAnsi" w:eastAsiaTheme="minorHAnsi" w:hAnsiTheme="minorHAnsi" w:cs="TimesNewRomanPSMT"/>
        </w:rPr>
        <w:t>hite subjects (</w:t>
      </w:r>
      <w:r w:rsidR="00A87AAC">
        <w:rPr>
          <w:rFonts w:asciiTheme="minorHAnsi" w:eastAsiaTheme="minorHAnsi" w:hAnsiTheme="minorHAnsi" w:cs="TimesNewRomanPSMT"/>
        </w:rPr>
        <w:noBreakHyphen/>
      </w:r>
      <w:r w:rsidRPr="00B25F0B">
        <w:rPr>
          <w:rFonts w:asciiTheme="minorHAnsi" w:eastAsiaTheme="minorHAnsi" w:hAnsiTheme="minorHAnsi" w:cs="TimesNewRomanPSMT"/>
        </w:rPr>
        <w:t>28.4%; n</w:t>
      </w:r>
      <w:r w:rsidR="002D28A4">
        <w:rPr>
          <w:rFonts w:asciiTheme="minorHAnsi" w:eastAsiaTheme="minorHAnsi" w:hAnsiTheme="minorHAnsi" w:cs="TimesNewRomanPSMT"/>
        </w:rPr>
        <w:t xml:space="preserve"> = </w:t>
      </w:r>
      <w:r w:rsidRPr="00B25F0B">
        <w:rPr>
          <w:rFonts w:asciiTheme="minorHAnsi" w:eastAsiaTheme="minorHAnsi" w:hAnsiTheme="minorHAnsi" w:cs="TimesNewRomanPSMT"/>
        </w:rPr>
        <w:t>24)</w:t>
      </w:r>
      <w:r>
        <w:rPr>
          <w:rFonts w:asciiTheme="minorHAnsi" w:eastAsiaTheme="minorHAnsi" w:hAnsiTheme="minorHAnsi" w:cs="TimesNewRomanPSMT"/>
        </w:rPr>
        <w:t xml:space="preserve"> although interpretation was limited by three times higher </w:t>
      </w:r>
      <w:r w:rsidRPr="00B25F0B">
        <w:rPr>
          <w:rFonts w:asciiTheme="minorHAnsi" w:eastAsiaTheme="minorHAnsi" w:hAnsiTheme="minorHAnsi" w:cs="TimesNewRomanPSMT"/>
        </w:rPr>
        <w:t xml:space="preserve">number of </w:t>
      </w:r>
      <w:r>
        <w:rPr>
          <w:rFonts w:asciiTheme="minorHAnsi" w:eastAsiaTheme="minorHAnsi" w:hAnsiTheme="minorHAnsi" w:cs="TimesNewRomanPSMT"/>
        </w:rPr>
        <w:t>W</w:t>
      </w:r>
      <w:r w:rsidRPr="00B25F0B">
        <w:rPr>
          <w:rFonts w:asciiTheme="minorHAnsi" w:eastAsiaTheme="minorHAnsi" w:hAnsiTheme="minorHAnsi" w:cs="TimesNewRomanPSMT"/>
        </w:rPr>
        <w:t>hite subjects</w:t>
      </w:r>
      <w:r>
        <w:rPr>
          <w:rFonts w:asciiTheme="minorHAnsi" w:eastAsiaTheme="minorHAnsi" w:hAnsiTheme="minorHAnsi" w:cs="TimesNewRomanPSMT"/>
        </w:rPr>
        <w:t xml:space="preserve">. </w:t>
      </w:r>
      <w:r w:rsidRPr="00B25F0B">
        <w:rPr>
          <w:rFonts w:asciiTheme="minorHAnsi" w:eastAsiaTheme="minorHAnsi" w:hAnsiTheme="minorHAnsi" w:cs="TimesNewRomanPSMT"/>
        </w:rPr>
        <w:t xml:space="preserve">Results in Hispanic/Latino and non-Hispanic/Latino subjects </w:t>
      </w:r>
      <w:r>
        <w:rPr>
          <w:rFonts w:asciiTheme="minorHAnsi" w:eastAsiaTheme="minorHAnsi" w:hAnsiTheme="minorHAnsi" w:cs="TimesNewRomanPSMT"/>
        </w:rPr>
        <w:t xml:space="preserve">were </w:t>
      </w:r>
      <w:r w:rsidRPr="00B25F0B">
        <w:rPr>
          <w:rFonts w:asciiTheme="minorHAnsi" w:eastAsiaTheme="minorHAnsi" w:hAnsiTheme="minorHAnsi" w:cs="TimesNewRomanPSMT"/>
        </w:rPr>
        <w:t>generally consistent with those seen in the SA group as a whole, with the exception that</w:t>
      </w:r>
      <w:r>
        <w:rPr>
          <w:rFonts w:asciiTheme="minorHAnsi" w:eastAsiaTheme="minorHAnsi" w:hAnsiTheme="minorHAnsi" w:cs="TimesNewRomanPSMT"/>
        </w:rPr>
        <w:t xml:space="preserve"> </w:t>
      </w:r>
      <w:r w:rsidRPr="00B25F0B">
        <w:rPr>
          <w:rFonts w:asciiTheme="minorHAnsi" w:eastAsiaTheme="minorHAnsi" w:hAnsiTheme="minorHAnsi" w:cs="TimesNewRomanPSMT"/>
        </w:rPr>
        <w:t>Hispanic/Latino subjects had a greater mean percent increase in HDL-c than non-</w:t>
      </w:r>
      <w:r>
        <w:rPr>
          <w:rFonts w:asciiTheme="minorHAnsi" w:eastAsiaTheme="minorHAnsi" w:hAnsiTheme="minorHAnsi" w:cs="TimesNewRomanPSMT"/>
        </w:rPr>
        <w:t xml:space="preserve"> </w:t>
      </w:r>
      <w:r w:rsidRPr="00B25F0B">
        <w:rPr>
          <w:rFonts w:asciiTheme="minorHAnsi" w:eastAsiaTheme="minorHAnsi" w:hAnsiTheme="minorHAnsi" w:cs="TimesNewRomanPSMT"/>
        </w:rPr>
        <w:t xml:space="preserve">Hispanic/Latino subjects (30.3% </w:t>
      </w:r>
      <w:r w:rsidR="00D074A0">
        <w:rPr>
          <w:rFonts w:asciiTheme="minorHAnsi" w:eastAsiaTheme="minorHAnsi" w:hAnsiTheme="minorHAnsi" w:cs="TimesNewRomanPSMT"/>
        </w:rPr>
        <w:t>(</w:t>
      </w:r>
      <w:r w:rsidRPr="00B25F0B">
        <w:rPr>
          <w:rFonts w:asciiTheme="minorHAnsi" w:eastAsiaTheme="minorHAnsi" w:hAnsiTheme="minorHAnsi" w:cs="TimesNewRomanPSMT"/>
        </w:rPr>
        <w:t>n</w:t>
      </w:r>
      <w:r w:rsidR="002D28A4">
        <w:rPr>
          <w:rFonts w:asciiTheme="minorHAnsi" w:eastAsiaTheme="minorHAnsi" w:hAnsiTheme="minorHAnsi" w:cs="TimesNewRomanPSMT"/>
        </w:rPr>
        <w:t xml:space="preserve"> = </w:t>
      </w:r>
      <w:r w:rsidRPr="00B25F0B">
        <w:rPr>
          <w:rFonts w:asciiTheme="minorHAnsi" w:eastAsiaTheme="minorHAnsi" w:hAnsiTheme="minorHAnsi" w:cs="TimesNewRomanPSMT"/>
        </w:rPr>
        <w:t>6</w:t>
      </w:r>
      <w:r w:rsidR="00D074A0">
        <w:rPr>
          <w:rFonts w:asciiTheme="minorHAnsi" w:eastAsiaTheme="minorHAnsi" w:hAnsiTheme="minorHAnsi" w:cs="TimesNewRomanPSMT"/>
        </w:rPr>
        <w:t>)</w:t>
      </w:r>
      <w:r w:rsidRPr="00B25F0B">
        <w:rPr>
          <w:rFonts w:asciiTheme="minorHAnsi" w:eastAsiaTheme="minorHAnsi" w:hAnsiTheme="minorHAnsi" w:cs="TimesNewRomanPSMT"/>
        </w:rPr>
        <w:t xml:space="preserve"> versus 17.4% </w:t>
      </w:r>
      <w:r w:rsidR="00D074A0">
        <w:rPr>
          <w:rFonts w:asciiTheme="minorHAnsi" w:eastAsiaTheme="minorHAnsi" w:hAnsiTheme="minorHAnsi" w:cs="TimesNewRomanPSMT"/>
        </w:rPr>
        <w:t>(</w:t>
      </w:r>
      <w:r w:rsidRPr="00B25F0B">
        <w:rPr>
          <w:rFonts w:asciiTheme="minorHAnsi" w:eastAsiaTheme="minorHAnsi" w:hAnsiTheme="minorHAnsi" w:cs="TimesNewRomanPSMT"/>
        </w:rPr>
        <w:t>n</w:t>
      </w:r>
      <w:r w:rsidR="00A87AAC">
        <w:rPr>
          <w:rFonts w:asciiTheme="minorHAnsi" w:eastAsiaTheme="minorHAnsi" w:hAnsiTheme="minorHAnsi" w:cs="TimesNewRomanPSMT"/>
        </w:rPr>
        <w:t> = </w:t>
      </w:r>
      <w:r w:rsidRPr="00B25F0B">
        <w:rPr>
          <w:rFonts w:asciiTheme="minorHAnsi" w:eastAsiaTheme="minorHAnsi" w:hAnsiTheme="minorHAnsi" w:cs="TimesNewRomanPSMT"/>
        </w:rPr>
        <w:t>30</w:t>
      </w:r>
      <w:r w:rsidR="00D074A0">
        <w:rPr>
          <w:rFonts w:asciiTheme="minorHAnsi" w:eastAsiaTheme="minorHAnsi" w:hAnsiTheme="minorHAnsi" w:cs="TimesNewRomanPSMT"/>
        </w:rPr>
        <w:t>)</w:t>
      </w:r>
      <w:r w:rsidRPr="00B25F0B">
        <w:rPr>
          <w:rFonts w:asciiTheme="minorHAnsi" w:eastAsiaTheme="minorHAnsi" w:hAnsiTheme="minorHAnsi" w:cs="TimesNewRomanPSMT"/>
        </w:rPr>
        <w:t>, respectively)</w:t>
      </w:r>
      <w:r>
        <w:rPr>
          <w:rFonts w:asciiTheme="minorHAnsi" w:eastAsiaTheme="minorHAnsi" w:hAnsiTheme="minorHAnsi" w:cs="TimesNewRomanPSMT"/>
        </w:rPr>
        <w:t xml:space="preserve"> although interpretation was limited </w:t>
      </w:r>
      <w:r w:rsidRPr="00B25F0B">
        <w:rPr>
          <w:rFonts w:asciiTheme="minorHAnsi" w:eastAsiaTheme="minorHAnsi" w:hAnsiTheme="minorHAnsi" w:cs="TimesNewRomanPSMT"/>
        </w:rPr>
        <w:t xml:space="preserve">the </w:t>
      </w:r>
      <w:r>
        <w:rPr>
          <w:rFonts w:asciiTheme="minorHAnsi" w:eastAsiaTheme="minorHAnsi" w:hAnsiTheme="minorHAnsi" w:cs="TimesNewRomanPSMT"/>
        </w:rPr>
        <w:t xml:space="preserve">5 times higher </w:t>
      </w:r>
      <w:r w:rsidRPr="00B25F0B">
        <w:rPr>
          <w:rFonts w:asciiTheme="minorHAnsi" w:eastAsiaTheme="minorHAnsi" w:hAnsiTheme="minorHAnsi" w:cs="TimesNewRomanPSMT"/>
        </w:rPr>
        <w:t>number of</w:t>
      </w:r>
      <w:r>
        <w:rPr>
          <w:rFonts w:asciiTheme="minorHAnsi" w:eastAsiaTheme="minorHAnsi" w:hAnsiTheme="minorHAnsi" w:cs="TimesNewRomanPSMT"/>
        </w:rPr>
        <w:t xml:space="preserve"> </w:t>
      </w:r>
      <w:r w:rsidR="00A87AAC">
        <w:rPr>
          <w:rFonts w:asciiTheme="minorHAnsi" w:eastAsiaTheme="minorHAnsi" w:hAnsiTheme="minorHAnsi" w:cs="TimesNewRomanPSMT"/>
        </w:rPr>
        <w:t>non</w:t>
      </w:r>
      <w:r w:rsidR="00A87AAC">
        <w:rPr>
          <w:rFonts w:asciiTheme="minorHAnsi" w:eastAsiaTheme="minorHAnsi" w:hAnsiTheme="minorHAnsi" w:cs="TimesNewRomanPSMT"/>
        </w:rPr>
        <w:noBreakHyphen/>
      </w:r>
      <w:r w:rsidRPr="00B25F0B">
        <w:rPr>
          <w:rFonts w:asciiTheme="minorHAnsi" w:eastAsiaTheme="minorHAnsi" w:hAnsiTheme="minorHAnsi" w:cs="TimesNewRomanPSMT"/>
        </w:rPr>
        <w:t>Hispanic/Latino subjects</w:t>
      </w:r>
      <w:r>
        <w:rPr>
          <w:rFonts w:asciiTheme="minorHAnsi" w:eastAsiaTheme="minorHAnsi" w:hAnsiTheme="minorHAnsi" w:cs="TimesNewRomanPSMT"/>
        </w:rPr>
        <w:t>.</w:t>
      </w:r>
    </w:p>
    <w:p w14:paraId="3A1CADB6" w14:textId="77777777" w:rsidR="00CC672B" w:rsidRDefault="00EA418E" w:rsidP="00934213">
      <w:pPr>
        <w:pStyle w:val="Heading7"/>
        <w:rPr>
          <w:rFonts w:eastAsiaTheme="minorHAnsi"/>
          <w:sz w:val="20"/>
        </w:rPr>
      </w:pPr>
      <w:r w:rsidRPr="00934213">
        <w:rPr>
          <w:rFonts w:eastAsiaTheme="minorHAnsi"/>
          <w:sz w:val="20"/>
        </w:rPr>
        <w:t>Baseline liver volume</w:t>
      </w:r>
    </w:p>
    <w:p w14:paraId="79410491" w14:textId="77777777" w:rsidR="00B73619" w:rsidRPr="00FE32BB" w:rsidRDefault="00EA418E" w:rsidP="00EA418E">
      <w:pPr>
        <w:autoSpaceDE w:val="0"/>
        <w:autoSpaceDN w:val="0"/>
        <w:adjustRightInd w:val="0"/>
        <w:spacing w:before="0" w:line="240" w:lineRule="auto"/>
        <w:rPr>
          <w:rFonts w:asciiTheme="minorHAnsi" w:eastAsiaTheme="minorHAnsi" w:hAnsiTheme="minorHAnsi" w:cs="TimesNewRomanPSMT"/>
        </w:rPr>
      </w:pPr>
      <w:r w:rsidRPr="005027AA">
        <w:rPr>
          <w:rFonts w:asciiTheme="minorHAnsi" w:eastAsiaTheme="minorHAnsi" w:hAnsiTheme="minorHAnsi" w:cs="TimesNewRomanPSMT"/>
        </w:rPr>
        <w:t>Results of these analyses by baseline liver</w:t>
      </w:r>
      <w:r>
        <w:rPr>
          <w:rFonts w:asciiTheme="minorHAnsi" w:eastAsiaTheme="minorHAnsi" w:hAnsiTheme="minorHAnsi" w:cs="TimesNewRomanPSMT"/>
        </w:rPr>
        <w:t xml:space="preserve"> volume (</w:t>
      </w:r>
      <w:r w:rsidR="00A87AAC">
        <w:rPr>
          <w:rFonts w:asciiTheme="minorHAnsi" w:eastAsiaTheme="minorHAnsi" w:hAnsiTheme="minorHAnsi" w:cs="TimesNewRomanPSMT"/>
        </w:rPr>
        <w:t xml:space="preserve">&lt; </w:t>
      </w:r>
      <w:r>
        <w:rPr>
          <w:rFonts w:asciiTheme="minorHAnsi" w:eastAsiaTheme="minorHAnsi" w:hAnsiTheme="minorHAnsi" w:cs="TimesNewRomanPSMT"/>
        </w:rPr>
        <w:t xml:space="preserve">1.25 MN; ≥ 1.25 to </w:t>
      </w:r>
      <w:r w:rsidR="00A87AAC">
        <w:rPr>
          <w:rFonts w:asciiTheme="minorHAnsi" w:eastAsiaTheme="minorHAnsi" w:hAnsiTheme="minorHAnsi" w:cs="TimesNewRomanPSMT"/>
        </w:rPr>
        <w:t xml:space="preserve">&lt; </w:t>
      </w:r>
      <w:r w:rsidRPr="005027AA">
        <w:rPr>
          <w:rFonts w:asciiTheme="minorHAnsi" w:eastAsiaTheme="minorHAnsi" w:hAnsiTheme="minorHAnsi" w:cs="TimesNewRomanPSMT"/>
        </w:rPr>
        <w:t>1.58 MN; and</w:t>
      </w:r>
      <w:r>
        <w:rPr>
          <w:rFonts w:asciiTheme="minorHAnsi" w:eastAsiaTheme="minorHAnsi" w:hAnsiTheme="minorHAnsi" w:cs="TimesNewRomanPSMT"/>
        </w:rPr>
        <w:t xml:space="preserve"> </w:t>
      </w:r>
      <w:r w:rsidRPr="005027AA">
        <w:rPr>
          <w:rFonts w:asciiTheme="minorHAnsi" w:eastAsiaTheme="minorHAnsi" w:hAnsiTheme="minorHAnsi" w:cs="TimesNewRomanPSMT"/>
        </w:rPr>
        <w:t>≥ 1.58 MN), with a relatively small number of subjects in each subgroup, revealed</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generally consistent effects of </w:t>
      </w:r>
      <w:proofErr w:type="spellStart"/>
      <w:r w:rsidRPr="005027AA">
        <w:rPr>
          <w:rFonts w:asciiTheme="minorHAnsi" w:eastAsiaTheme="minorHAnsi" w:hAnsiTheme="minorHAnsi" w:cs="TimesNewRomanPSMT"/>
        </w:rPr>
        <w:t>sebelipase</w:t>
      </w:r>
      <w:proofErr w:type="spellEnd"/>
      <w:r w:rsidRPr="005027AA">
        <w:rPr>
          <w:rFonts w:asciiTheme="minorHAnsi" w:eastAsiaTheme="minorHAnsi" w:hAnsiTheme="minorHAnsi" w:cs="TimesNewRomanPSMT"/>
        </w:rPr>
        <w:t xml:space="preserve"> alfa regardless of baseline liver volume</w:t>
      </w:r>
      <w:r>
        <w:rPr>
          <w:rFonts w:asciiTheme="minorHAnsi" w:eastAsiaTheme="minorHAnsi" w:hAnsiTheme="minorHAnsi" w:cs="TimesNewRomanPSMT"/>
        </w:rPr>
        <w:t xml:space="preserve"> although interpretation was limited by </w:t>
      </w:r>
      <w:r w:rsidRPr="005027AA">
        <w:rPr>
          <w:rFonts w:asciiTheme="minorHAnsi" w:eastAsiaTheme="minorHAnsi" w:hAnsiTheme="minorHAnsi" w:cs="TimesNewRomanPSMT"/>
        </w:rPr>
        <w:t>the small numb</w:t>
      </w:r>
      <w:r>
        <w:rPr>
          <w:rFonts w:asciiTheme="minorHAnsi" w:eastAsiaTheme="minorHAnsi" w:hAnsiTheme="minorHAnsi" w:cs="TimesNewRomanPSMT"/>
        </w:rPr>
        <w:t xml:space="preserve">er of subjects in each </w:t>
      </w:r>
      <w:r w:rsidRPr="00FE32BB">
        <w:rPr>
          <w:rFonts w:asciiTheme="minorHAnsi" w:eastAsiaTheme="minorHAnsi" w:hAnsiTheme="minorHAnsi" w:cs="TimesNewRomanPSMT"/>
        </w:rPr>
        <w:t xml:space="preserve">subgroup (Table </w:t>
      </w:r>
      <w:r w:rsidR="00FE32BB" w:rsidRPr="00FE32BB">
        <w:rPr>
          <w:rFonts w:asciiTheme="minorHAnsi" w:eastAsiaTheme="minorHAnsi" w:hAnsiTheme="minorHAnsi" w:cs="TimesNewRomanPSMT"/>
        </w:rPr>
        <w:t>11</w:t>
      </w:r>
      <w:r w:rsidRPr="00FE32BB">
        <w:rPr>
          <w:rFonts w:asciiTheme="minorHAnsi" w:eastAsiaTheme="minorHAnsi" w:hAnsiTheme="minorHAnsi" w:cs="TimesNewRomanPSMT"/>
        </w:rPr>
        <w:t>)</w:t>
      </w:r>
      <w:r w:rsidR="00B73619" w:rsidRPr="00FE32BB">
        <w:rPr>
          <w:rFonts w:asciiTheme="minorHAnsi" w:eastAsiaTheme="minorHAnsi" w:hAnsiTheme="minorHAnsi" w:cs="TimesNewRomanPSMT"/>
        </w:rPr>
        <w:t>.</w:t>
      </w:r>
    </w:p>
    <w:p w14:paraId="4E592CA1" w14:textId="77777777" w:rsidR="00A87AAC" w:rsidRDefault="00A87AAC" w:rsidP="00A87AAC">
      <w:pPr>
        <w:pStyle w:val="Tabletitle"/>
      </w:pPr>
      <w:r w:rsidRPr="00FE32BB">
        <w:lastRenderedPageBreak/>
        <w:t xml:space="preserve">Table </w:t>
      </w:r>
      <w:r w:rsidR="00FE32BB" w:rsidRPr="00FE32BB">
        <w:t>11:</w:t>
      </w:r>
      <w:r w:rsidRPr="00FE32BB">
        <w:t xml:space="preserve"> </w:t>
      </w:r>
      <w:r w:rsidR="00157E63" w:rsidRPr="00FE32BB">
        <w:t>Study</w:t>
      </w:r>
      <w:r w:rsidRPr="00FE32BB">
        <w:t xml:space="preserve"> LAL-CL02 Summary of primary and secondary efficacy endpoints by</w:t>
      </w:r>
      <w:r>
        <w:t xml:space="preserve"> treatment group and baseline liver volume (FAS, double blind treatment period)</w:t>
      </w:r>
    </w:p>
    <w:p w14:paraId="4E12035D" w14:textId="77777777" w:rsidR="00A87AAC" w:rsidRDefault="00695CDF" w:rsidP="00A87AAC">
      <w:r>
        <w:rPr>
          <w:noProof/>
          <w:lang w:eastAsia="en-AU"/>
        </w:rPr>
        <w:drawing>
          <wp:inline distT="0" distB="0" distL="0" distR="0" wp14:anchorId="3F3FE05B" wp14:editId="108ECF44">
            <wp:extent cx="5731510" cy="6974562"/>
            <wp:effectExtent l="0" t="0" r="2540" b="0"/>
            <wp:docPr id="61" name="Picture 61" descr="Table 11: Study LAL-CL02 Summary of primary and secondary efficacy endpoints by treatment group and baseline liver volume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6974562"/>
                    </a:xfrm>
                    <a:prstGeom prst="rect">
                      <a:avLst/>
                    </a:prstGeom>
                  </pic:spPr>
                </pic:pic>
              </a:graphicData>
            </a:graphic>
          </wp:inline>
        </w:drawing>
      </w:r>
    </w:p>
    <w:p w14:paraId="2417EFB0" w14:textId="77777777" w:rsidR="00A87AAC" w:rsidRDefault="00A87AAC" w:rsidP="00A87AAC">
      <w:pPr>
        <w:pStyle w:val="Tabletitle"/>
      </w:pPr>
      <w:r w:rsidRPr="00FE32BB">
        <w:lastRenderedPageBreak/>
        <w:t xml:space="preserve">Table </w:t>
      </w:r>
      <w:r w:rsidR="00FE32BB" w:rsidRPr="00FE32BB">
        <w:t>1</w:t>
      </w:r>
      <w:r w:rsidR="00FE32BB">
        <w:t>1 continued:</w:t>
      </w:r>
      <w:r w:rsidRPr="00A87AAC">
        <w:t xml:space="preserve"> </w:t>
      </w:r>
      <w:r w:rsidR="00157E63">
        <w:t>Study</w:t>
      </w:r>
      <w:r>
        <w:t xml:space="preserve"> LAL-CL02 Summary of primary and secondary efficacy endpoints by treatment group and baseline liver volume (FAS, double blind treatment period)</w:t>
      </w:r>
    </w:p>
    <w:p w14:paraId="4552F1CD" w14:textId="77777777" w:rsidR="00D66B98" w:rsidRPr="00A87AAC" w:rsidRDefault="00695CDF" w:rsidP="00A87AAC">
      <w:r>
        <w:rPr>
          <w:noProof/>
          <w:lang w:eastAsia="en-AU"/>
        </w:rPr>
        <w:drawing>
          <wp:inline distT="0" distB="0" distL="0" distR="0" wp14:anchorId="51B20CC3" wp14:editId="36A0835C">
            <wp:extent cx="5731510" cy="6967214"/>
            <wp:effectExtent l="0" t="0" r="2540" b="5715"/>
            <wp:docPr id="62" name="Picture 62" descr="Table 11 continued: Study LAL-CL02 Summary of primary and secondary efficacy endpoints by treatment group and baseline liver volume (FAS, double 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6967214"/>
                    </a:xfrm>
                    <a:prstGeom prst="rect">
                      <a:avLst/>
                    </a:prstGeom>
                  </pic:spPr>
                </pic:pic>
              </a:graphicData>
            </a:graphic>
          </wp:inline>
        </w:drawing>
      </w:r>
    </w:p>
    <w:p w14:paraId="1A132E86" w14:textId="77777777" w:rsidR="00CC672B" w:rsidRDefault="00EA418E" w:rsidP="00934213">
      <w:pPr>
        <w:pStyle w:val="Heading7"/>
        <w:rPr>
          <w:rFonts w:eastAsiaTheme="minorHAnsi"/>
        </w:rPr>
      </w:pPr>
      <w:r w:rsidRPr="000F29FA">
        <w:rPr>
          <w:rFonts w:eastAsiaTheme="minorHAnsi"/>
        </w:rPr>
        <w:t>Baseline ALT</w:t>
      </w:r>
      <w:r>
        <w:rPr>
          <w:rFonts w:eastAsiaTheme="minorHAnsi"/>
        </w:rPr>
        <w:t xml:space="preserve"> levels</w:t>
      </w:r>
    </w:p>
    <w:p w14:paraId="6CEC977B" w14:textId="339D9E6D" w:rsidR="00B73619" w:rsidRPr="00745258" w:rsidRDefault="00EA418E" w:rsidP="00EA418E">
      <w:pPr>
        <w:autoSpaceDE w:val="0"/>
        <w:autoSpaceDN w:val="0"/>
        <w:adjustRightInd w:val="0"/>
        <w:spacing w:before="0" w:line="240" w:lineRule="auto"/>
        <w:rPr>
          <w:rFonts w:asciiTheme="minorHAnsi" w:eastAsiaTheme="minorHAnsi" w:hAnsiTheme="minorHAnsi" w:cs="TimesNewRomanPSMT"/>
        </w:rPr>
      </w:pPr>
      <w:r w:rsidRPr="005027AA">
        <w:rPr>
          <w:rFonts w:asciiTheme="minorHAnsi" w:eastAsiaTheme="minorHAnsi" w:hAnsiTheme="minorHAnsi" w:cs="TimesNewRomanPSMT"/>
        </w:rPr>
        <w:t xml:space="preserve">Although ALT normalisation rates were </w:t>
      </w:r>
      <w:r>
        <w:rPr>
          <w:rFonts w:asciiTheme="minorHAnsi" w:eastAsiaTheme="minorHAnsi" w:hAnsiTheme="minorHAnsi" w:cs="TimesNewRomanPSMT"/>
        </w:rPr>
        <w:t xml:space="preserve">lower </w:t>
      </w:r>
      <w:r w:rsidRPr="005027AA">
        <w:rPr>
          <w:rFonts w:asciiTheme="minorHAnsi" w:eastAsiaTheme="minorHAnsi" w:hAnsiTheme="minorHAnsi" w:cs="TimesNewRomanPSMT"/>
        </w:rPr>
        <w:t>in the subjects with higher baseline ALT levels, the nature of this</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analysis and the number of subjects available for analysis with ALT values </w:t>
      </w:r>
      <w:r w:rsidR="00745258">
        <w:rPr>
          <w:rFonts w:asciiTheme="minorHAnsi" w:eastAsiaTheme="minorHAnsi" w:hAnsiTheme="minorHAnsi" w:cs="TimesNewRomanPSMT"/>
        </w:rPr>
        <w:t>≥ 3 </w:t>
      </w:r>
      <w:r w:rsidR="002D28A4">
        <w:rPr>
          <w:rFonts w:asciiTheme="minorHAnsi" w:eastAsiaTheme="minorHAnsi" w:hAnsiTheme="minorHAnsi" w:cs="TimesNewRomanPSMT"/>
        </w:rPr>
        <w:t>x</w:t>
      </w:r>
      <w:r w:rsidRPr="005027AA">
        <w:rPr>
          <w:rFonts w:asciiTheme="minorHAnsi" w:eastAsiaTheme="minorHAnsi" w:hAnsiTheme="minorHAnsi" w:cs="TimesNewRomanPSMT"/>
        </w:rPr>
        <w:t xml:space="preserve"> ULN,</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precludes drawing any conclusions on the relevance of this difference. Results for other efficacy endpoints among subjects with baseline ALT values </w:t>
      </w:r>
      <w:r w:rsidR="00A87AAC">
        <w:rPr>
          <w:rFonts w:asciiTheme="minorHAnsi" w:eastAsiaTheme="minorHAnsi" w:hAnsiTheme="minorHAnsi" w:cs="TimesNewRomanPSMT"/>
        </w:rPr>
        <w:t xml:space="preserve">&lt; </w:t>
      </w:r>
      <w:r w:rsidRPr="005027AA">
        <w:rPr>
          <w:rFonts w:asciiTheme="minorHAnsi" w:eastAsiaTheme="minorHAnsi" w:hAnsiTheme="minorHAnsi" w:cs="TimesNewRomanPSMT"/>
        </w:rPr>
        <w:t xml:space="preserve">3 </w:t>
      </w:r>
      <w:r w:rsidR="002D28A4">
        <w:rPr>
          <w:rFonts w:asciiTheme="minorHAnsi" w:eastAsiaTheme="minorHAnsi" w:hAnsiTheme="minorHAnsi" w:cs="TimesNewRomanPSMT"/>
        </w:rPr>
        <w:t>x</w:t>
      </w:r>
      <w:r w:rsidRPr="005027AA">
        <w:rPr>
          <w:rFonts w:asciiTheme="minorHAnsi" w:eastAsiaTheme="minorHAnsi" w:hAnsiTheme="minorHAnsi" w:cs="TimesNewRomanPSMT"/>
        </w:rPr>
        <w:t xml:space="preserve"> ULN and those with baseline ALT values ≥ 3 </w:t>
      </w:r>
      <w:r w:rsidR="002D28A4">
        <w:rPr>
          <w:rFonts w:asciiTheme="minorHAnsi" w:eastAsiaTheme="minorHAnsi" w:hAnsiTheme="minorHAnsi" w:cs="TimesNewRomanPSMT"/>
        </w:rPr>
        <w:t>x</w:t>
      </w:r>
      <w:r w:rsidRPr="005027AA">
        <w:rPr>
          <w:rFonts w:asciiTheme="minorHAnsi" w:eastAsiaTheme="minorHAnsi" w:hAnsiTheme="minorHAnsi" w:cs="TimesNewRomanPSMT"/>
        </w:rPr>
        <w:t xml:space="preserve"> ULN were generally similar. The mean percent reduction in </w:t>
      </w:r>
      <w:r w:rsidR="00DE644C">
        <w:rPr>
          <w:rFonts w:asciiTheme="minorHAnsi" w:eastAsiaTheme="minorHAnsi" w:hAnsiTheme="minorHAnsi" w:cs="TimesNewRomanPSMT"/>
        </w:rPr>
        <w:t xml:space="preserve">from </w:t>
      </w:r>
      <w:r w:rsidR="00DE644C">
        <w:rPr>
          <w:rFonts w:asciiTheme="minorHAnsi" w:eastAsiaTheme="minorHAnsi" w:hAnsiTheme="minorHAnsi" w:cs="TimesNewRomanPSMT"/>
        </w:rPr>
        <w:lastRenderedPageBreak/>
        <w:t>Baseline</w:t>
      </w:r>
      <w:r w:rsidRPr="005027AA">
        <w:rPr>
          <w:rFonts w:asciiTheme="minorHAnsi" w:eastAsiaTheme="minorHAnsi" w:hAnsiTheme="minorHAnsi" w:cs="TimesNewRomanPSMT"/>
        </w:rPr>
        <w:t xml:space="preserve"> to the last time point in the </w:t>
      </w:r>
      <w:r w:rsidR="003F3AB4">
        <w:rPr>
          <w:rFonts w:asciiTheme="minorHAnsi" w:eastAsiaTheme="minorHAnsi" w:hAnsiTheme="minorHAnsi" w:cs="TimesNewRomanPSMT"/>
        </w:rPr>
        <w:t>double blind</w:t>
      </w:r>
      <w:r>
        <w:rPr>
          <w:rFonts w:asciiTheme="minorHAnsi" w:eastAsiaTheme="minorHAnsi" w:hAnsiTheme="minorHAnsi" w:cs="TimesNewRomanPSMT"/>
        </w:rPr>
        <w:t xml:space="preserve"> </w:t>
      </w:r>
      <w:r w:rsidRPr="005027AA">
        <w:rPr>
          <w:rFonts w:asciiTheme="minorHAnsi" w:eastAsiaTheme="minorHAnsi" w:hAnsiTheme="minorHAnsi" w:cs="TimesNewRomanPSMT"/>
        </w:rPr>
        <w:t>period in LDL-c, non-HDL-c, and liver fat content was statistically significantly greater</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in the SA group than in the placebo group regardless of baseline ALT level (either </w:t>
      </w:r>
      <w:r w:rsidR="00A87AAC">
        <w:rPr>
          <w:rFonts w:asciiTheme="minorHAnsi" w:eastAsiaTheme="minorHAnsi" w:hAnsiTheme="minorHAnsi" w:cs="TimesNewRomanPSMT"/>
        </w:rPr>
        <w:t xml:space="preserve">&lt; </w:t>
      </w:r>
      <w:r w:rsidRPr="005027AA">
        <w:rPr>
          <w:rFonts w:asciiTheme="minorHAnsi" w:eastAsiaTheme="minorHAnsi" w:hAnsiTheme="minorHAnsi" w:cs="TimesNewRomanPSMT"/>
        </w:rPr>
        <w:t>3 or</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 3 </w:t>
      </w:r>
      <w:r w:rsidR="002D28A4">
        <w:rPr>
          <w:rFonts w:asciiTheme="minorHAnsi" w:eastAsiaTheme="minorHAnsi" w:hAnsiTheme="minorHAnsi" w:cs="TimesNewRomanPSMT"/>
        </w:rPr>
        <w:t>x</w:t>
      </w:r>
      <w:r w:rsidRPr="005027AA">
        <w:rPr>
          <w:rFonts w:asciiTheme="minorHAnsi" w:eastAsiaTheme="minorHAnsi" w:hAnsiTheme="minorHAnsi" w:cs="TimesNewRomanPSMT"/>
        </w:rPr>
        <w:t xml:space="preserve"> ULN</w:t>
      </w:r>
      <w:r w:rsidRPr="00745258">
        <w:rPr>
          <w:rFonts w:asciiTheme="minorHAnsi" w:eastAsiaTheme="minorHAnsi" w:hAnsiTheme="minorHAnsi" w:cs="TimesNewRomanPSMT"/>
        </w:rPr>
        <w:t>)</w:t>
      </w:r>
      <w:r w:rsidR="00B73619" w:rsidRPr="00745258">
        <w:rPr>
          <w:rFonts w:asciiTheme="minorHAnsi" w:eastAsiaTheme="minorHAnsi" w:hAnsiTheme="minorHAnsi" w:cs="TimesNewRomanPSMT"/>
        </w:rPr>
        <w:t>.</w:t>
      </w:r>
    </w:p>
    <w:p w14:paraId="4B7C2A7E" w14:textId="77777777" w:rsidR="00CC672B" w:rsidRDefault="00EA418E" w:rsidP="00934213">
      <w:pPr>
        <w:pStyle w:val="Heading7"/>
        <w:rPr>
          <w:rFonts w:eastAsiaTheme="minorHAnsi"/>
        </w:rPr>
      </w:pPr>
      <w:r w:rsidRPr="000F29FA">
        <w:rPr>
          <w:rFonts w:eastAsiaTheme="minorHAnsi"/>
        </w:rPr>
        <w:t>Baseline LDL-c levels</w:t>
      </w:r>
    </w:p>
    <w:p w14:paraId="7576F152" w14:textId="0EBFCAE2" w:rsidR="00B73619" w:rsidRDefault="00EA418E" w:rsidP="00EA418E">
      <w:pPr>
        <w:autoSpaceDE w:val="0"/>
        <w:autoSpaceDN w:val="0"/>
        <w:adjustRightInd w:val="0"/>
        <w:spacing w:before="0" w:line="240" w:lineRule="auto"/>
        <w:rPr>
          <w:rFonts w:asciiTheme="minorHAnsi" w:eastAsiaTheme="minorHAnsi" w:hAnsiTheme="minorHAnsi" w:cs="TimesNewRomanPSMT"/>
          <w:b/>
          <w:highlight w:val="yellow"/>
        </w:rPr>
      </w:pPr>
      <w:r w:rsidRPr="005027AA">
        <w:rPr>
          <w:rFonts w:asciiTheme="minorHAnsi" w:eastAsiaTheme="minorHAnsi" w:hAnsiTheme="minorHAnsi" w:cs="TimesNewRomanPSMT"/>
        </w:rPr>
        <w:t xml:space="preserve">Greater mean percent reductions </w:t>
      </w:r>
      <w:r w:rsidR="00DE644C">
        <w:rPr>
          <w:rFonts w:asciiTheme="minorHAnsi" w:eastAsiaTheme="minorHAnsi" w:hAnsiTheme="minorHAnsi" w:cs="TimesNewRomanPSMT"/>
        </w:rPr>
        <w:t>from Baseline</w:t>
      </w:r>
      <w:r w:rsidRPr="005027AA">
        <w:rPr>
          <w:rFonts w:asciiTheme="minorHAnsi" w:eastAsiaTheme="minorHAnsi" w:hAnsiTheme="minorHAnsi" w:cs="TimesNewRomanPSMT"/>
        </w:rPr>
        <w:t xml:space="preserve"> to the last visit in the double</w:t>
      </w:r>
      <w:r>
        <w:rPr>
          <w:rFonts w:asciiTheme="minorHAnsi" w:eastAsiaTheme="minorHAnsi" w:hAnsiTheme="minorHAnsi" w:cs="TimesNewRomanPSMT"/>
        </w:rPr>
        <w:t xml:space="preserve"> </w:t>
      </w:r>
      <w:r w:rsidRPr="005027AA">
        <w:rPr>
          <w:rFonts w:asciiTheme="minorHAnsi" w:eastAsiaTheme="minorHAnsi" w:hAnsiTheme="minorHAnsi" w:cs="TimesNewRomanPSMT"/>
        </w:rPr>
        <w:t>blind</w:t>
      </w:r>
      <w:r>
        <w:rPr>
          <w:rFonts w:asciiTheme="minorHAnsi" w:eastAsiaTheme="minorHAnsi" w:hAnsiTheme="minorHAnsi" w:cs="TimesNewRomanPSMT"/>
        </w:rPr>
        <w:t xml:space="preserve"> </w:t>
      </w:r>
      <w:r w:rsidRPr="005027AA">
        <w:rPr>
          <w:rFonts w:asciiTheme="minorHAnsi" w:eastAsiaTheme="minorHAnsi" w:hAnsiTheme="minorHAnsi" w:cs="TimesNewRomanPSMT"/>
        </w:rPr>
        <w:t>period in LDL-c, non-HDL-c, and TG were seen in subjects in the SA group with</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baseline LDL-c levels </w:t>
      </w:r>
      <w:r w:rsidR="00745258">
        <w:rPr>
          <w:rFonts w:asciiTheme="minorHAnsi" w:eastAsiaTheme="minorHAnsi" w:hAnsiTheme="minorHAnsi" w:cs="TimesNewRomanPSMT"/>
        </w:rPr>
        <w:t>&lt; </w:t>
      </w:r>
      <w:r w:rsidRPr="005027AA">
        <w:rPr>
          <w:rFonts w:asciiTheme="minorHAnsi" w:eastAsiaTheme="minorHAnsi" w:hAnsiTheme="minorHAnsi" w:cs="TimesNewRomanPSMT"/>
        </w:rPr>
        <w:t>190 mg/</w:t>
      </w:r>
      <w:proofErr w:type="spellStart"/>
      <w:r w:rsidRPr="005027AA">
        <w:rPr>
          <w:rFonts w:asciiTheme="minorHAnsi" w:eastAsiaTheme="minorHAnsi" w:hAnsiTheme="minorHAnsi" w:cs="TimesNewRomanPSMT"/>
        </w:rPr>
        <w:t>dL</w:t>
      </w:r>
      <w:proofErr w:type="spellEnd"/>
      <w:r w:rsidRPr="005027AA">
        <w:rPr>
          <w:rFonts w:asciiTheme="minorHAnsi" w:eastAsiaTheme="minorHAnsi" w:hAnsiTheme="minorHAnsi" w:cs="TimesNewRomanPSMT"/>
        </w:rPr>
        <w:t xml:space="preserve"> </w:t>
      </w:r>
      <w:r>
        <w:rPr>
          <w:rFonts w:asciiTheme="minorHAnsi" w:eastAsiaTheme="minorHAnsi" w:hAnsiTheme="minorHAnsi" w:cs="TimesNewRomanPSMT"/>
        </w:rPr>
        <w:t xml:space="preserve">(4.9mmol/L) </w:t>
      </w:r>
      <w:r w:rsidRPr="005027AA">
        <w:rPr>
          <w:rFonts w:asciiTheme="minorHAnsi" w:eastAsiaTheme="minorHAnsi" w:hAnsiTheme="minorHAnsi" w:cs="TimesNewRomanPSMT"/>
        </w:rPr>
        <w:t>compared to those w</w:t>
      </w:r>
      <w:r>
        <w:rPr>
          <w:rFonts w:asciiTheme="minorHAnsi" w:eastAsiaTheme="minorHAnsi" w:hAnsiTheme="minorHAnsi" w:cs="TimesNewRomanPSMT"/>
        </w:rPr>
        <w:t>ith baseline levels ≥ 190 mg/</w:t>
      </w:r>
      <w:proofErr w:type="spellStart"/>
      <w:r>
        <w:rPr>
          <w:rFonts w:asciiTheme="minorHAnsi" w:eastAsiaTheme="minorHAnsi" w:hAnsiTheme="minorHAnsi" w:cs="TimesNewRomanPSMT"/>
        </w:rPr>
        <w:t>dL</w:t>
      </w:r>
      <w:proofErr w:type="spellEnd"/>
      <w:r>
        <w:rPr>
          <w:rFonts w:asciiTheme="minorHAnsi" w:eastAsiaTheme="minorHAnsi" w:hAnsiTheme="minorHAnsi" w:cs="TimesNewRomanPSMT"/>
        </w:rPr>
        <w:t xml:space="preserve">. </w:t>
      </w:r>
      <w:r w:rsidRPr="005027AA">
        <w:rPr>
          <w:rFonts w:asciiTheme="minorHAnsi" w:eastAsiaTheme="minorHAnsi" w:hAnsiTheme="minorHAnsi" w:cs="TimesNewRomanPSMT"/>
        </w:rPr>
        <w:t>Decreases in liver volume in the SA group were also greater in subjects with</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baseline LDL-c levels </w:t>
      </w:r>
      <w:r w:rsidR="00745258">
        <w:rPr>
          <w:rFonts w:asciiTheme="minorHAnsi" w:eastAsiaTheme="minorHAnsi" w:hAnsiTheme="minorHAnsi" w:cs="TimesNewRomanPSMT"/>
        </w:rPr>
        <w:t>&lt; 190 </w:t>
      </w:r>
      <w:r w:rsidRPr="005027AA">
        <w:rPr>
          <w:rFonts w:asciiTheme="minorHAnsi" w:eastAsiaTheme="minorHAnsi" w:hAnsiTheme="minorHAnsi" w:cs="TimesNewRomanPSMT"/>
        </w:rPr>
        <w:t>mg/</w:t>
      </w:r>
      <w:proofErr w:type="spellStart"/>
      <w:r w:rsidRPr="005027AA">
        <w:rPr>
          <w:rFonts w:asciiTheme="minorHAnsi" w:eastAsiaTheme="minorHAnsi" w:hAnsiTheme="minorHAnsi" w:cs="TimesNewRomanPSMT"/>
        </w:rPr>
        <w:t>dL</w:t>
      </w:r>
      <w:proofErr w:type="spellEnd"/>
      <w:r w:rsidRPr="005027AA">
        <w:rPr>
          <w:rFonts w:asciiTheme="minorHAnsi" w:eastAsiaTheme="minorHAnsi" w:hAnsiTheme="minorHAnsi" w:cs="TimesNewRomanPSMT"/>
        </w:rPr>
        <w:t xml:space="preserve"> (</w:t>
      </w:r>
      <w:r w:rsidR="00745258">
        <w:rPr>
          <w:rFonts w:asciiTheme="minorHAnsi" w:eastAsiaTheme="minorHAnsi" w:hAnsiTheme="minorHAnsi" w:cs="TimesNewRomanPSMT"/>
        </w:rPr>
        <w:noBreakHyphen/>
      </w:r>
      <w:r w:rsidRPr="005027AA">
        <w:rPr>
          <w:rFonts w:asciiTheme="minorHAnsi" w:eastAsiaTheme="minorHAnsi" w:hAnsiTheme="minorHAnsi" w:cs="TimesNewRomanPSMT"/>
        </w:rPr>
        <w:t xml:space="preserve">11% </w:t>
      </w:r>
      <w:r w:rsidR="00B866BC">
        <w:rPr>
          <w:rFonts w:asciiTheme="minorHAnsi" w:eastAsiaTheme="minorHAnsi" w:hAnsiTheme="minorHAnsi" w:cs="TimesNewRomanPSMT"/>
        </w:rPr>
        <w:t>versus</w:t>
      </w:r>
      <w:r>
        <w:rPr>
          <w:rFonts w:asciiTheme="minorHAnsi" w:eastAsiaTheme="minorHAnsi" w:hAnsiTheme="minorHAnsi" w:cs="TimesNewRomanPSMT"/>
        </w:rPr>
        <w:t xml:space="preserve"> </w:t>
      </w:r>
      <w:r w:rsidR="00745258">
        <w:rPr>
          <w:rFonts w:asciiTheme="minorHAnsi" w:eastAsiaTheme="minorHAnsi" w:hAnsiTheme="minorHAnsi" w:cs="TimesNewRomanPSMT"/>
        </w:rPr>
        <w:noBreakHyphen/>
      </w:r>
      <w:r>
        <w:rPr>
          <w:rFonts w:asciiTheme="minorHAnsi" w:eastAsiaTheme="minorHAnsi" w:hAnsiTheme="minorHAnsi" w:cs="TimesNewRomanPSMT"/>
        </w:rPr>
        <w:t>4.1%</w:t>
      </w:r>
      <w:r w:rsidRPr="005027AA">
        <w:rPr>
          <w:rFonts w:asciiTheme="minorHAnsi" w:eastAsiaTheme="minorHAnsi" w:hAnsiTheme="minorHAnsi" w:cs="TimesNewRomanPSMT"/>
        </w:rPr>
        <w:t xml:space="preserve">). </w:t>
      </w:r>
      <w:r>
        <w:rPr>
          <w:rFonts w:asciiTheme="minorHAnsi" w:eastAsiaTheme="minorHAnsi" w:hAnsiTheme="minorHAnsi" w:cs="TimesNewRomanPSMT"/>
        </w:rPr>
        <w:t xml:space="preserve">It is important to note that </w:t>
      </w:r>
      <w:r w:rsidRPr="005027AA">
        <w:rPr>
          <w:rFonts w:asciiTheme="minorHAnsi" w:eastAsiaTheme="minorHAnsi" w:hAnsiTheme="minorHAnsi" w:cs="TimesNewRomanPSMT"/>
        </w:rPr>
        <w:t>of the 38</w:t>
      </w:r>
      <w:r>
        <w:rPr>
          <w:rFonts w:asciiTheme="minorHAnsi" w:eastAsiaTheme="minorHAnsi" w:hAnsiTheme="minorHAnsi" w:cs="TimesNewRomanPSMT"/>
        </w:rPr>
        <w:t xml:space="preserve"> </w:t>
      </w:r>
      <w:r w:rsidRPr="005027AA">
        <w:rPr>
          <w:rFonts w:asciiTheme="minorHAnsi" w:eastAsiaTheme="minorHAnsi" w:hAnsiTheme="minorHAnsi" w:cs="TimesNewRomanPSMT"/>
        </w:rPr>
        <w:t>subjects with baseline LDL-c levels ≥ 190 mg/</w:t>
      </w:r>
      <w:proofErr w:type="spellStart"/>
      <w:r w:rsidRPr="005027AA">
        <w:rPr>
          <w:rFonts w:asciiTheme="minorHAnsi" w:eastAsiaTheme="minorHAnsi" w:hAnsiTheme="minorHAnsi" w:cs="TimesNewRomanPSMT"/>
        </w:rPr>
        <w:t>dL</w:t>
      </w:r>
      <w:proofErr w:type="spellEnd"/>
      <w:r w:rsidRPr="005027AA">
        <w:rPr>
          <w:rFonts w:asciiTheme="minorHAnsi" w:eastAsiaTheme="minorHAnsi" w:hAnsiTheme="minorHAnsi" w:cs="TimesNewRomanPSMT"/>
        </w:rPr>
        <w:t>, most (29; 76%) were not receiving</w:t>
      </w:r>
      <w:r>
        <w:rPr>
          <w:rFonts w:asciiTheme="minorHAnsi" w:eastAsiaTheme="minorHAnsi" w:hAnsiTheme="minorHAnsi" w:cs="TimesNewRomanPSMT"/>
        </w:rPr>
        <w:t xml:space="preserve"> </w:t>
      </w:r>
      <w:r w:rsidRPr="005027AA">
        <w:rPr>
          <w:rFonts w:asciiTheme="minorHAnsi" w:eastAsiaTheme="minorHAnsi" w:hAnsiTheme="minorHAnsi" w:cs="TimesNewRomanPSMT"/>
        </w:rPr>
        <w:t>LLM.</w:t>
      </w:r>
      <w:r>
        <w:rPr>
          <w:rFonts w:asciiTheme="minorHAnsi" w:eastAsiaTheme="minorHAnsi" w:hAnsiTheme="minorHAnsi" w:cs="TimesNewRomanPSMT"/>
        </w:rPr>
        <w:t xml:space="preserve"> </w:t>
      </w:r>
      <w:r w:rsidRPr="005027AA">
        <w:rPr>
          <w:rFonts w:asciiTheme="minorHAnsi" w:eastAsiaTheme="minorHAnsi" w:hAnsiTheme="minorHAnsi" w:cs="TimesNewRomanPSMT"/>
        </w:rPr>
        <w:t>In contrast, subjects with baseline LDL-c levels ≥ 190 mg/</w:t>
      </w:r>
      <w:proofErr w:type="spellStart"/>
      <w:r w:rsidRPr="005027AA">
        <w:rPr>
          <w:rFonts w:asciiTheme="minorHAnsi" w:eastAsiaTheme="minorHAnsi" w:hAnsiTheme="minorHAnsi" w:cs="TimesNewRomanPSMT"/>
        </w:rPr>
        <w:t>dL</w:t>
      </w:r>
      <w:proofErr w:type="spellEnd"/>
      <w:r w:rsidRPr="005027AA">
        <w:rPr>
          <w:rFonts w:asciiTheme="minorHAnsi" w:eastAsiaTheme="minorHAnsi" w:hAnsiTheme="minorHAnsi" w:cs="TimesNewRomanPSMT"/>
        </w:rPr>
        <w:t xml:space="preserve"> compared to those with</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baseline levels </w:t>
      </w:r>
      <w:r w:rsidR="00A87AAC">
        <w:rPr>
          <w:rFonts w:asciiTheme="minorHAnsi" w:eastAsiaTheme="minorHAnsi" w:hAnsiTheme="minorHAnsi" w:cs="TimesNewRomanPSMT"/>
        </w:rPr>
        <w:t xml:space="preserve">&lt; </w:t>
      </w:r>
      <w:r w:rsidRPr="005027AA">
        <w:rPr>
          <w:rFonts w:asciiTheme="minorHAnsi" w:eastAsiaTheme="minorHAnsi" w:hAnsiTheme="minorHAnsi" w:cs="TimesNewRomanPSMT"/>
        </w:rPr>
        <w:t>190 mg/</w:t>
      </w:r>
      <w:proofErr w:type="spellStart"/>
      <w:r w:rsidRPr="005027AA">
        <w:rPr>
          <w:rFonts w:asciiTheme="minorHAnsi" w:eastAsiaTheme="minorHAnsi" w:hAnsiTheme="minorHAnsi" w:cs="TimesNewRomanPSMT"/>
        </w:rPr>
        <w:t>dL</w:t>
      </w:r>
      <w:proofErr w:type="spellEnd"/>
      <w:r w:rsidRPr="005027AA">
        <w:rPr>
          <w:rFonts w:asciiTheme="minorHAnsi" w:eastAsiaTheme="minorHAnsi" w:hAnsiTheme="minorHAnsi" w:cs="TimesNewRomanPSMT"/>
        </w:rPr>
        <w:t xml:space="preserve"> had a greater mean percent reduction </w:t>
      </w:r>
      <w:r w:rsidR="00DE644C">
        <w:rPr>
          <w:rFonts w:asciiTheme="minorHAnsi" w:eastAsiaTheme="minorHAnsi" w:hAnsiTheme="minorHAnsi" w:cs="TimesNewRomanPSMT"/>
        </w:rPr>
        <w:t>from Baseline</w:t>
      </w:r>
      <w:r w:rsidRPr="005027AA">
        <w:rPr>
          <w:rFonts w:asciiTheme="minorHAnsi" w:eastAsiaTheme="minorHAnsi" w:hAnsiTheme="minorHAnsi" w:cs="TimesNewRomanPSMT"/>
        </w:rPr>
        <w:t xml:space="preserve"> to the</w:t>
      </w:r>
      <w:r>
        <w:rPr>
          <w:rFonts w:asciiTheme="minorHAnsi" w:eastAsiaTheme="minorHAnsi" w:hAnsiTheme="minorHAnsi" w:cs="TimesNewRomanPSMT"/>
        </w:rPr>
        <w:t xml:space="preserve"> </w:t>
      </w:r>
      <w:r w:rsidRPr="005027AA">
        <w:rPr>
          <w:rFonts w:asciiTheme="minorHAnsi" w:eastAsiaTheme="minorHAnsi" w:hAnsiTheme="minorHAnsi" w:cs="TimesNewRomanPSMT"/>
        </w:rPr>
        <w:t xml:space="preserve">last visit in the </w:t>
      </w:r>
      <w:r w:rsidR="003F3AB4">
        <w:rPr>
          <w:rFonts w:asciiTheme="minorHAnsi" w:eastAsiaTheme="minorHAnsi" w:hAnsiTheme="minorHAnsi" w:cs="TimesNewRomanPSMT"/>
        </w:rPr>
        <w:t>double blind</w:t>
      </w:r>
      <w:r w:rsidRPr="005027AA">
        <w:rPr>
          <w:rFonts w:asciiTheme="minorHAnsi" w:eastAsiaTheme="minorHAnsi" w:hAnsiTheme="minorHAnsi" w:cs="TimesNewRomanPSMT"/>
        </w:rPr>
        <w:t xml:space="preserve"> period in liver fat content (38.5% </w:t>
      </w:r>
      <w:r w:rsidR="00B866BC">
        <w:rPr>
          <w:rFonts w:asciiTheme="minorHAnsi" w:eastAsiaTheme="minorHAnsi" w:hAnsiTheme="minorHAnsi" w:cs="TimesNewRomanPSMT"/>
        </w:rPr>
        <w:t>versus</w:t>
      </w:r>
      <w:r w:rsidRPr="005027AA">
        <w:rPr>
          <w:rFonts w:asciiTheme="minorHAnsi" w:eastAsiaTheme="minorHAnsi" w:hAnsiTheme="minorHAnsi" w:cs="TimesNewRomanPSMT"/>
        </w:rPr>
        <w:t xml:space="preserve"> 25.5%) and a greater increase in HDL-c level (22.0% </w:t>
      </w:r>
      <w:r w:rsidR="00B866BC">
        <w:rPr>
          <w:rFonts w:asciiTheme="minorHAnsi" w:eastAsiaTheme="minorHAnsi" w:hAnsiTheme="minorHAnsi" w:cs="TimesNewRomanPSMT"/>
        </w:rPr>
        <w:t>versus</w:t>
      </w:r>
      <w:r>
        <w:rPr>
          <w:rFonts w:asciiTheme="minorHAnsi" w:eastAsiaTheme="minorHAnsi" w:hAnsiTheme="minorHAnsi" w:cs="TimesNewRomanPSMT"/>
        </w:rPr>
        <w:t xml:space="preserve"> 17.1%)</w:t>
      </w:r>
      <w:r w:rsidR="00745258">
        <w:rPr>
          <w:rFonts w:asciiTheme="minorHAnsi" w:eastAsiaTheme="minorHAnsi" w:hAnsiTheme="minorHAnsi" w:cs="TimesNewRomanPSMT"/>
          <w:b/>
        </w:rPr>
        <w:t>.</w:t>
      </w:r>
    </w:p>
    <w:p w14:paraId="6F14D6EA" w14:textId="77777777" w:rsidR="00934213" w:rsidRPr="00934213" w:rsidRDefault="00745258" w:rsidP="00934213">
      <w:pPr>
        <w:pStyle w:val="Heading7"/>
        <w:rPr>
          <w:rFonts w:eastAsiaTheme="minorHAnsi"/>
          <w:sz w:val="20"/>
        </w:rPr>
      </w:pPr>
      <w:r>
        <w:rPr>
          <w:rFonts w:eastAsiaTheme="minorHAnsi"/>
          <w:sz w:val="20"/>
        </w:rPr>
        <w:t>Baseline LLM use</w:t>
      </w:r>
    </w:p>
    <w:p w14:paraId="0D85C03A" w14:textId="78CC6ADA" w:rsidR="00B73619" w:rsidRPr="00131B1C" w:rsidRDefault="00EA418E" w:rsidP="00EA418E">
      <w:pPr>
        <w:autoSpaceDE w:val="0"/>
        <w:autoSpaceDN w:val="0"/>
        <w:adjustRightInd w:val="0"/>
        <w:spacing w:before="0" w:line="240" w:lineRule="auto"/>
        <w:rPr>
          <w:rFonts w:asciiTheme="minorHAnsi" w:eastAsiaTheme="minorHAnsi" w:hAnsiTheme="minorHAnsi" w:cs="TimesNewRomanPSMT"/>
        </w:rPr>
      </w:pPr>
      <w:r w:rsidRPr="005E6E8E">
        <w:rPr>
          <w:rFonts w:asciiTheme="minorHAnsi" w:eastAsiaTheme="minorHAnsi" w:hAnsiTheme="minorHAnsi" w:cs="TimesNewRomanPSMT"/>
        </w:rPr>
        <w:t>Review of baseline disease characteristics among subjects receiving LLM and not</w:t>
      </w:r>
      <w:r>
        <w:rPr>
          <w:rFonts w:asciiTheme="minorHAnsi" w:eastAsiaTheme="minorHAnsi" w:hAnsiTheme="minorHAnsi" w:cs="TimesNewRomanPSMT"/>
        </w:rPr>
        <w:t xml:space="preserve"> </w:t>
      </w:r>
      <w:r w:rsidRPr="005E6E8E">
        <w:rPr>
          <w:rFonts w:asciiTheme="minorHAnsi" w:eastAsiaTheme="minorHAnsi" w:hAnsiTheme="minorHAnsi" w:cs="TimesNewRomanPSMT"/>
        </w:rPr>
        <w:t xml:space="preserve">receiving LLM </w:t>
      </w:r>
      <w:r w:rsidR="00DE644C">
        <w:rPr>
          <w:rFonts w:asciiTheme="minorHAnsi" w:eastAsiaTheme="minorHAnsi" w:hAnsiTheme="minorHAnsi" w:cs="TimesNewRomanPSMT"/>
        </w:rPr>
        <w:t>at Baseline</w:t>
      </w:r>
      <w:r w:rsidRPr="005E6E8E">
        <w:rPr>
          <w:rFonts w:asciiTheme="minorHAnsi" w:eastAsiaTheme="minorHAnsi" w:hAnsiTheme="minorHAnsi" w:cs="TimesNewRomanPSMT"/>
        </w:rPr>
        <w:t xml:space="preserve"> showed that mean LDL-c was lower while HDL-c was higher, yet still abnormal, in</w:t>
      </w:r>
      <w:r>
        <w:rPr>
          <w:rFonts w:asciiTheme="minorHAnsi" w:eastAsiaTheme="minorHAnsi" w:hAnsiTheme="minorHAnsi" w:cs="TimesNewRomanPSMT"/>
        </w:rPr>
        <w:t xml:space="preserve"> </w:t>
      </w:r>
      <w:r w:rsidRPr="005E6E8E">
        <w:rPr>
          <w:rFonts w:asciiTheme="minorHAnsi" w:eastAsiaTheme="minorHAnsi" w:hAnsiTheme="minorHAnsi" w:cs="TimesNewRomanPSMT"/>
        </w:rPr>
        <w:t xml:space="preserve">subjects receiving LLM compared to those who were not. A greater effect of </w:t>
      </w:r>
      <w:proofErr w:type="spellStart"/>
      <w:r w:rsidRPr="005E6E8E">
        <w:rPr>
          <w:rFonts w:asciiTheme="minorHAnsi" w:eastAsiaTheme="minorHAnsi" w:hAnsiTheme="minorHAnsi" w:cs="TimesNewRomanPSMT"/>
        </w:rPr>
        <w:t>sebelipase</w:t>
      </w:r>
      <w:proofErr w:type="spellEnd"/>
      <w:r w:rsidRPr="005E6E8E">
        <w:rPr>
          <w:rFonts w:asciiTheme="minorHAnsi" w:eastAsiaTheme="minorHAnsi" w:hAnsiTheme="minorHAnsi" w:cs="TimesNewRomanPSMT"/>
        </w:rPr>
        <w:t xml:space="preserve"> alfa over the period </w:t>
      </w:r>
      <w:r w:rsidR="00DE644C">
        <w:rPr>
          <w:rFonts w:asciiTheme="minorHAnsi" w:eastAsiaTheme="minorHAnsi" w:hAnsiTheme="minorHAnsi" w:cs="TimesNewRomanPSMT"/>
        </w:rPr>
        <w:t>from Baseline</w:t>
      </w:r>
      <w:r w:rsidRPr="005E6E8E">
        <w:rPr>
          <w:rFonts w:asciiTheme="minorHAnsi" w:eastAsiaTheme="minorHAnsi" w:hAnsiTheme="minorHAnsi" w:cs="TimesNewRomanPSMT"/>
        </w:rPr>
        <w:t xml:space="preserve"> to the last visit</w:t>
      </w:r>
      <w:r>
        <w:rPr>
          <w:rFonts w:asciiTheme="minorHAnsi" w:eastAsiaTheme="minorHAnsi" w:hAnsiTheme="minorHAnsi" w:cs="TimesNewRomanPSMT"/>
        </w:rPr>
        <w:t xml:space="preserve"> </w:t>
      </w:r>
      <w:r w:rsidRPr="005E6E8E">
        <w:rPr>
          <w:rFonts w:asciiTheme="minorHAnsi" w:eastAsiaTheme="minorHAnsi" w:hAnsiTheme="minorHAnsi" w:cs="TimesNewRomanPSMT"/>
        </w:rPr>
        <w:t xml:space="preserve">in the </w:t>
      </w:r>
      <w:r w:rsidR="003F3AB4">
        <w:rPr>
          <w:rFonts w:asciiTheme="minorHAnsi" w:eastAsiaTheme="minorHAnsi" w:hAnsiTheme="minorHAnsi" w:cs="TimesNewRomanPSMT"/>
        </w:rPr>
        <w:t>double blind</w:t>
      </w:r>
      <w:r w:rsidRPr="005E6E8E">
        <w:rPr>
          <w:rFonts w:asciiTheme="minorHAnsi" w:eastAsiaTheme="minorHAnsi" w:hAnsiTheme="minorHAnsi" w:cs="TimesNewRomanPSMT"/>
        </w:rPr>
        <w:t xml:space="preserve"> period was seen among subjects receiving LLM compared to those</w:t>
      </w:r>
      <w:r>
        <w:rPr>
          <w:rFonts w:asciiTheme="minorHAnsi" w:eastAsiaTheme="minorHAnsi" w:hAnsiTheme="minorHAnsi" w:cs="TimesNewRomanPSMT"/>
        </w:rPr>
        <w:t xml:space="preserve"> </w:t>
      </w:r>
      <w:r w:rsidRPr="005E6E8E">
        <w:rPr>
          <w:rFonts w:asciiTheme="minorHAnsi" w:eastAsiaTheme="minorHAnsi" w:hAnsiTheme="minorHAnsi" w:cs="TimesNewRomanPSMT"/>
        </w:rPr>
        <w:t>who were not with regard to normalisation in ALT (47% versus 19%, respectively); mean</w:t>
      </w:r>
      <w:r>
        <w:rPr>
          <w:rFonts w:asciiTheme="minorHAnsi" w:eastAsiaTheme="minorHAnsi" w:hAnsiTheme="minorHAnsi" w:cs="TimesNewRomanPSMT"/>
        </w:rPr>
        <w:t xml:space="preserve"> </w:t>
      </w:r>
      <w:r w:rsidRPr="005E6E8E">
        <w:rPr>
          <w:rFonts w:asciiTheme="minorHAnsi" w:eastAsiaTheme="minorHAnsi" w:hAnsiTheme="minorHAnsi" w:cs="TimesNewRomanPSMT"/>
        </w:rPr>
        <w:t>percent reduction in LDL-c (36.7% versus 22.5%, respectively); mean percent reduction</w:t>
      </w:r>
      <w:r>
        <w:rPr>
          <w:rFonts w:asciiTheme="minorHAnsi" w:eastAsiaTheme="minorHAnsi" w:hAnsiTheme="minorHAnsi" w:cs="TimesNewRomanPSMT"/>
        </w:rPr>
        <w:t xml:space="preserve"> </w:t>
      </w:r>
      <w:r w:rsidRPr="005E6E8E">
        <w:rPr>
          <w:rFonts w:asciiTheme="minorHAnsi" w:eastAsiaTheme="minorHAnsi" w:hAnsiTheme="minorHAnsi" w:cs="TimesNewRomanPSMT"/>
        </w:rPr>
        <w:t>in non-HDL-c (35.4% versus 22.7%, respectively); AST normalisation (53% versus 33%,</w:t>
      </w:r>
      <w:r>
        <w:rPr>
          <w:rFonts w:asciiTheme="minorHAnsi" w:eastAsiaTheme="minorHAnsi" w:hAnsiTheme="minorHAnsi" w:cs="TimesNewRomanPSMT"/>
        </w:rPr>
        <w:t xml:space="preserve"> </w:t>
      </w:r>
      <w:r w:rsidRPr="005E6E8E">
        <w:rPr>
          <w:rFonts w:asciiTheme="minorHAnsi" w:eastAsiaTheme="minorHAnsi" w:hAnsiTheme="minorHAnsi" w:cs="TimesNewRomanPSMT"/>
        </w:rPr>
        <w:t>respectively); mean percent reduction in TG (28.9% versus 23.0%, respectively); and</w:t>
      </w:r>
      <w:r>
        <w:rPr>
          <w:rFonts w:asciiTheme="minorHAnsi" w:eastAsiaTheme="minorHAnsi" w:hAnsiTheme="minorHAnsi" w:cs="TimesNewRomanPSMT"/>
        </w:rPr>
        <w:t xml:space="preserve"> </w:t>
      </w:r>
      <w:r w:rsidRPr="005E6E8E">
        <w:rPr>
          <w:rFonts w:asciiTheme="minorHAnsi" w:eastAsiaTheme="minorHAnsi" w:hAnsiTheme="minorHAnsi" w:cs="TimesNewRomanPSMT"/>
        </w:rPr>
        <w:t xml:space="preserve">mean percent increase in HDL-c (23.7% versus 16.6%, respectively). In contrast, results for liver fat content demonstrated a greater response in the subgroup of subjects not receiving LLM compared to those who were, with a mean percent reduction in liver fat content of 36.6% versus 26.0%. The mean percent reduction </w:t>
      </w:r>
      <w:r w:rsidR="00DE644C">
        <w:rPr>
          <w:rFonts w:asciiTheme="minorHAnsi" w:eastAsiaTheme="minorHAnsi" w:hAnsiTheme="minorHAnsi" w:cs="TimesNewRomanPSMT"/>
        </w:rPr>
        <w:t>from Baseline</w:t>
      </w:r>
      <w:r w:rsidRPr="005E6E8E">
        <w:rPr>
          <w:rFonts w:asciiTheme="minorHAnsi" w:eastAsiaTheme="minorHAnsi" w:hAnsiTheme="minorHAnsi" w:cs="TimesNewRomanPSMT"/>
        </w:rPr>
        <w:t xml:space="preserve"> in liver</w:t>
      </w:r>
      <w:r>
        <w:rPr>
          <w:rFonts w:asciiTheme="minorHAnsi" w:eastAsiaTheme="minorHAnsi" w:hAnsiTheme="minorHAnsi" w:cs="TimesNewRomanPSMT"/>
        </w:rPr>
        <w:t xml:space="preserve"> </w:t>
      </w:r>
      <w:r w:rsidRPr="005E6E8E">
        <w:rPr>
          <w:rFonts w:asciiTheme="minorHAnsi" w:eastAsiaTheme="minorHAnsi" w:hAnsiTheme="minorHAnsi" w:cs="TimesNewRomanPSMT"/>
        </w:rPr>
        <w:t xml:space="preserve">volume was similar between </w:t>
      </w:r>
      <w:r w:rsidRPr="00131B1C">
        <w:rPr>
          <w:rFonts w:asciiTheme="minorHAnsi" w:eastAsiaTheme="minorHAnsi" w:hAnsiTheme="minorHAnsi" w:cs="TimesNewRomanPSMT"/>
        </w:rPr>
        <w:t>subgroups</w:t>
      </w:r>
      <w:r w:rsidR="00B73619" w:rsidRPr="00131B1C">
        <w:rPr>
          <w:rFonts w:asciiTheme="minorHAnsi" w:eastAsiaTheme="minorHAnsi" w:hAnsiTheme="minorHAnsi" w:cs="TimesNewRomanPSMT"/>
        </w:rPr>
        <w:t>.</w:t>
      </w:r>
    </w:p>
    <w:p w14:paraId="5F2C363A" w14:textId="77777777" w:rsidR="00CC672B" w:rsidRDefault="00EA418E" w:rsidP="00934213">
      <w:pPr>
        <w:pStyle w:val="Heading7"/>
        <w:rPr>
          <w:rFonts w:eastAsiaTheme="minorHAnsi"/>
          <w:sz w:val="20"/>
        </w:rPr>
      </w:pPr>
      <w:r w:rsidRPr="00934213">
        <w:rPr>
          <w:rFonts w:eastAsiaTheme="minorHAnsi"/>
          <w:sz w:val="20"/>
        </w:rPr>
        <w:t>Baseline cirrhosis</w:t>
      </w:r>
    </w:p>
    <w:p w14:paraId="3E294203" w14:textId="77777777" w:rsidR="00EA418E" w:rsidRPr="00C44728" w:rsidRDefault="00EA418E" w:rsidP="00EA418E">
      <w:pPr>
        <w:autoSpaceDE w:val="0"/>
        <w:autoSpaceDN w:val="0"/>
        <w:adjustRightInd w:val="0"/>
        <w:spacing w:before="0" w:line="240" w:lineRule="auto"/>
        <w:rPr>
          <w:rFonts w:asciiTheme="minorHAnsi" w:eastAsiaTheme="minorHAnsi" w:hAnsiTheme="minorHAnsi" w:cs="TimesNewRomanPSMT"/>
          <w:b/>
        </w:rPr>
      </w:pPr>
      <w:r w:rsidRPr="005E6E8E">
        <w:rPr>
          <w:rFonts w:asciiTheme="minorHAnsi" w:eastAsiaTheme="minorHAnsi" w:hAnsiTheme="minorHAnsi" w:cs="TimesNewRomanPSMT"/>
          <w:color w:val="000000"/>
        </w:rPr>
        <w:t>Review of the primary efficacy endpoint, ALT normalisation, and planned secondary</w:t>
      </w:r>
      <w:r>
        <w:rPr>
          <w:rFonts w:asciiTheme="minorHAnsi" w:eastAsiaTheme="minorHAnsi" w:hAnsiTheme="minorHAnsi" w:cs="TimesNewRomanPSMT"/>
          <w:color w:val="000000"/>
        </w:rPr>
        <w:t xml:space="preserve"> endpoints among the </w:t>
      </w:r>
      <w:r w:rsidRPr="005E6E8E">
        <w:rPr>
          <w:rFonts w:asciiTheme="minorHAnsi" w:eastAsiaTheme="minorHAnsi" w:hAnsiTheme="minorHAnsi" w:cs="TimesNewRomanPSMT"/>
          <w:color w:val="000000"/>
        </w:rPr>
        <w:t>subjects in the SA group with fibrosis versus the SA group</w:t>
      </w:r>
      <w:r>
        <w:rPr>
          <w:rFonts w:asciiTheme="minorHAnsi" w:eastAsiaTheme="minorHAnsi" w:hAnsiTheme="minorHAnsi" w:cs="TimesNewRomanPSMT"/>
          <w:color w:val="000000"/>
        </w:rPr>
        <w:t xml:space="preserve"> </w:t>
      </w:r>
      <w:r w:rsidRPr="005E6E8E">
        <w:rPr>
          <w:rFonts w:asciiTheme="minorHAnsi" w:eastAsiaTheme="minorHAnsi" w:hAnsiTheme="minorHAnsi" w:cs="TimesNewRomanPSMT"/>
          <w:color w:val="000000"/>
        </w:rPr>
        <w:t xml:space="preserve">overall showed that results were generally consistent with the SA group as a whole. Although the number of </w:t>
      </w:r>
      <w:r w:rsidRPr="00C44728">
        <w:rPr>
          <w:rFonts w:asciiTheme="minorHAnsi" w:eastAsiaTheme="minorHAnsi" w:hAnsiTheme="minorHAnsi" w:cs="TimesNewRomanPSMT"/>
          <w:color w:val="000000"/>
        </w:rPr>
        <w:t xml:space="preserve">subjects with biopsy evidence of cirrhosis was small, the effects of </w:t>
      </w:r>
      <w:proofErr w:type="spellStart"/>
      <w:r w:rsidRPr="00C44728">
        <w:rPr>
          <w:rFonts w:asciiTheme="minorHAnsi" w:eastAsiaTheme="minorHAnsi" w:hAnsiTheme="minorHAnsi" w:cs="TimesNewRomanPSMT"/>
          <w:color w:val="000000"/>
        </w:rPr>
        <w:t>sebelipase</w:t>
      </w:r>
      <w:proofErr w:type="spellEnd"/>
      <w:r w:rsidRPr="00C44728">
        <w:rPr>
          <w:rFonts w:asciiTheme="minorHAnsi" w:eastAsiaTheme="minorHAnsi" w:hAnsiTheme="minorHAnsi" w:cs="TimesNewRomanPSMT"/>
          <w:color w:val="000000"/>
        </w:rPr>
        <w:t xml:space="preserve"> alfa in this subpopulation (n</w:t>
      </w:r>
      <w:r w:rsidR="002D28A4">
        <w:rPr>
          <w:rFonts w:asciiTheme="minorHAnsi" w:eastAsiaTheme="minorHAnsi" w:hAnsiTheme="minorHAnsi" w:cs="TimesNewRomanPSMT"/>
          <w:color w:val="000000"/>
        </w:rPr>
        <w:t xml:space="preserve"> = </w:t>
      </w:r>
      <w:r w:rsidRPr="00C44728">
        <w:rPr>
          <w:rFonts w:asciiTheme="minorHAnsi" w:eastAsiaTheme="minorHAnsi" w:hAnsiTheme="minorHAnsi" w:cs="TimesNewRomanPSMT"/>
          <w:color w:val="000000"/>
        </w:rPr>
        <w:t>5) appeared similar to those without cirrhosis for most efficacy measures. Importantly decreases in ALT, AST and GGT, LDL-c, and non HDL-c were seen irrespective of cirrhosis status</w:t>
      </w:r>
      <w:r w:rsidR="00131B1C">
        <w:rPr>
          <w:rFonts w:asciiTheme="minorHAnsi" w:eastAsiaTheme="minorHAnsi" w:hAnsiTheme="minorHAnsi" w:cs="TimesNewRomanPSMT"/>
          <w:color w:val="000000"/>
        </w:rPr>
        <w:t>.</w:t>
      </w:r>
    </w:p>
    <w:p w14:paraId="4FD638FE" w14:textId="77777777" w:rsidR="00CC672B" w:rsidRDefault="00EA418E" w:rsidP="00934213">
      <w:pPr>
        <w:pStyle w:val="Heading7"/>
        <w:rPr>
          <w:rFonts w:eastAsiaTheme="minorHAnsi"/>
          <w:sz w:val="20"/>
        </w:rPr>
      </w:pPr>
      <w:r w:rsidRPr="00934213">
        <w:rPr>
          <w:rFonts w:eastAsiaTheme="minorHAnsi"/>
          <w:sz w:val="20"/>
        </w:rPr>
        <w:t>Mutation status</w:t>
      </w:r>
    </w:p>
    <w:p w14:paraId="6855422F" w14:textId="77777777" w:rsidR="00934213" w:rsidRDefault="00EA418E" w:rsidP="00EA418E">
      <w:pPr>
        <w:autoSpaceDE w:val="0"/>
        <w:autoSpaceDN w:val="0"/>
        <w:adjustRightInd w:val="0"/>
        <w:spacing w:before="0" w:line="240" w:lineRule="auto"/>
        <w:rPr>
          <w:rFonts w:asciiTheme="minorHAnsi" w:eastAsiaTheme="minorHAnsi" w:hAnsiTheme="minorHAnsi" w:cs="TimesNewRomanPSMT"/>
        </w:rPr>
      </w:pPr>
      <w:r w:rsidRPr="00C44728">
        <w:rPr>
          <w:rFonts w:asciiTheme="minorHAnsi" w:eastAsiaTheme="minorHAnsi" w:hAnsiTheme="minorHAnsi" w:cs="TimesNewRomanPSMT"/>
        </w:rPr>
        <w:t>The impact of mutation status on baseline parameters of disease activity was explored in</w:t>
      </w:r>
      <w:r>
        <w:rPr>
          <w:rFonts w:asciiTheme="minorHAnsi" w:eastAsiaTheme="minorHAnsi" w:hAnsiTheme="minorHAnsi" w:cs="TimesNewRomanPSMT"/>
        </w:rPr>
        <w:t xml:space="preserve"> </w:t>
      </w:r>
      <w:r w:rsidR="00131B1C">
        <w:rPr>
          <w:rFonts w:asciiTheme="minorHAnsi" w:eastAsiaTheme="minorHAnsi" w:hAnsiTheme="minorHAnsi" w:cs="TimesNewRomanPSMT"/>
        </w:rPr>
        <w:t>3 </w:t>
      </w:r>
      <w:r w:rsidRPr="00C44728">
        <w:rPr>
          <w:rFonts w:asciiTheme="minorHAnsi" w:eastAsiaTheme="minorHAnsi" w:hAnsiTheme="minorHAnsi" w:cs="TimesNewRomanPSMT"/>
        </w:rPr>
        <w:t>groups.</w:t>
      </w:r>
    </w:p>
    <w:p w14:paraId="29D90414" w14:textId="77777777" w:rsidR="00934213" w:rsidRDefault="00EA418E" w:rsidP="00934213">
      <w:pPr>
        <w:pStyle w:val="ListBullet"/>
      </w:pPr>
      <w:r w:rsidRPr="00C44728">
        <w:t>Group 1: Homozygous for the c.849G</w:t>
      </w:r>
      <w:r w:rsidR="00B73619">
        <w:t xml:space="preserve">&gt; </w:t>
      </w:r>
      <w:r w:rsidRPr="00C44728">
        <w:t>A common exon 8 splice junction</w:t>
      </w:r>
      <w:r>
        <w:t xml:space="preserve"> </w:t>
      </w:r>
      <w:r w:rsidRPr="00C44728">
        <w:t>mutation (n</w:t>
      </w:r>
      <w:r w:rsidR="002D28A4">
        <w:t xml:space="preserve"> = </w:t>
      </w:r>
      <w:r w:rsidRPr="00C44728">
        <w:t>21)</w:t>
      </w:r>
    </w:p>
    <w:p w14:paraId="057E488A" w14:textId="77777777" w:rsidR="00934213" w:rsidRDefault="00EA418E" w:rsidP="00934213">
      <w:pPr>
        <w:pStyle w:val="ListBullet"/>
      </w:pPr>
      <w:r w:rsidRPr="00C44728">
        <w:t>Group 2: Confirmed or presumed compound heterozygous for c.849G</w:t>
      </w:r>
      <w:r w:rsidR="00B73619">
        <w:t xml:space="preserve">&gt; </w:t>
      </w:r>
      <w:r w:rsidRPr="00C44728">
        <w:t>A</w:t>
      </w:r>
      <w:r>
        <w:t xml:space="preserve"> </w:t>
      </w:r>
      <w:r w:rsidRPr="00C44728">
        <w:t>common exon 8 splice junction mutation (n</w:t>
      </w:r>
      <w:r w:rsidR="002D28A4">
        <w:t xml:space="preserve"> = </w:t>
      </w:r>
      <w:r w:rsidRPr="00C44728">
        <w:t>35)</w:t>
      </w:r>
    </w:p>
    <w:p w14:paraId="58B17E5E" w14:textId="77777777" w:rsidR="00934213" w:rsidRDefault="00EA418E" w:rsidP="00934213">
      <w:pPr>
        <w:pStyle w:val="ListBullet"/>
      </w:pPr>
      <w:r w:rsidRPr="00C44728">
        <w:t>Group 3: Other mutations (n</w:t>
      </w:r>
      <w:r w:rsidR="002D28A4">
        <w:t xml:space="preserve"> = </w:t>
      </w:r>
      <w:r w:rsidR="00131B1C">
        <w:t>10)</w:t>
      </w:r>
    </w:p>
    <w:p w14:paraId="2C49CABE" w14:textId="77777777" w:rsidR="00EA418E" w:rsidRPr="00C44728" w:rsidRDefault="00EA418E" w:rsidP="00EA418E">
      <w:pPr>
        <w:autoSpaceDE w:val="0"/>
        <w:autoSpaceDN w:val="0"/>
        <w:adjustRightInd w:val="0"/>
        <w:spacing w:before="0" w:line="240" w:lineRule="auto"/>
        <w:rPr>
          <w:rFonts w:asciiTheme="minorHAnsi" w:eastAsiaTheme="minorHAnsi" w:hAnsiTheme="minorHAnsi" w:cs="TimesNewRomanPSMT"/>
        </w:rPr>
      </w:pPr>
      <w:r w:rsidRPr="00C44728">
        <w:rPr>
          <w:rFonts w:asciiTheme="minorHAnsi" w:eastAsiaTheme="minorHAnsi" w:hAnsiTheme="minorHAnsi" w:cs="TimesNewRomanPSMT"/>
        </w:rPr>
        <w:t>Baseline serum</w:t>
      </w:r>
      <w:r>
        <w:rPr>
          <w:rFonts w:asciiTheme="minorHAnsi" w:eastAsiaTheme="minorHAnsi" w:hAnsiTheme="minorHAnsi" w:cs="TimesNewRomanPSMT"/>
        </w:rPr>
        <w:t xml:space="preserve"> </w:t>
      </w:r>
      <w:r w:rsidRPr="00C44728">
        <w:rPr>
          <w:rFonts w:asciiTheme="minorHAnsi" w:eastAsiaTheme="minorHAnsi" w:hAnsiTheme="minorHAnsi" w:cs="TimesNewRomanPSMT"/>
        </w:rPr>
        <w:t>transaminases were higher in Group 3 in subjects who did not have at least one copy of</w:t>
      </w:r>
      <w:r>
        <w:rPr>
          <w:rFonts w:asciiTheme="minorHAnsi" w:eastAsiaTheme="minorHAnsi" w:hAnsiTheme="minorHAnsi" w:cs="TimesNewRomanPSMT"/>
        </w:rPr>
        <w:t xml:space="preserve"> </w:t>
      </w:r>
      <w:r w:rsidRPr="00C44728">
        <w:rPr>
          <w:rFonts w:asciiTheme="minorHAnsi" w:eastAsiaTheme="minorHAnsi" w:hAnsiTheme="minorHAnsi" w:cs="TimesNewRomanPSMT"/>
        </w:rPr>
        <w:t>the c.849G</w:t>
      </w:r>
      <w:r w:rsidR="00B73619">
        <w:rPr>
          <w:rFonts w:asciiTheme="minorHAnsi" w:eastAsiaTheme="minorHAnsi" w:hAnsiTheme="minorHAnsi" w:cs="TimesNewRomanPSMT"/>
        </w:rPr>
        <w:t xml:space="preserve">&gt; </w:t>
      </w:r>
      <w:r w:rsidRPr="00C44728">
        <w:rPr>
          <w:rFonts w:asciiTheme="minorHAnsi" w:eastAsiaTheme="minorHAnsi" w:hAnsiTheme="minorHAnsi" w:cs="TimesNewRomanPSMT"/>
        </w:rPr>
        <w:t>A common exon 8 splice junction mutation compared to Groups 1 or 2.</w:t>
      </w:r>
      <w:r w:rsidR="00131B1C">
        <w:rPr>
          <w:rFonts w:asciiTheme="minorHAnsi" w:eastAsiaTheme="minorHAnsi" w:hAnsiTheme="minorHAnsi" w:cs="TimesNewRomanPSMT"/>
        </w:rPr>
        <w:t xml:space="preserve"> </w:t>
      </w:r>
      <w:r w:rsidRPr="00C44728">
        <w:rPr>
          <w:rFonts w:asciiTheme="minorHAnsi" w:eastAsiaTheme="minorHAnsi" w:hAnsiTheme="minorHAnsi" w:cs="TimesNewRomanPSMT"/>
        </w:rPr>
        <w:t>No differences or trends were observed between the groups for LDL-c, non HDL-c, TG, or HDL-c. Baseline liver biopsies were available in 52% (11/21); 43% (15/35) and 60% (6/10) in</w:t>
      </w:r>
      <w:r>
        <w:rPr>
          <w:rFonts w:asciiTheme="minorHAnsi" w:eastAsiaTheme="minorHAnsi" w:hAnsiTheme="minorHAnsi" w:cs="TimesNewRomanPSMT"/>
        </w:rPr>
        <w:t xml:space="preserve"> </w:t>
      </w:r>
      <w:r w:rsidRPr="00C44728">
        <w:rPr>
          <w:rFonts w:asciiTheme="minorHAnsi" w:eastAsiaTheme="minorHAnsi" w:hAnsiTheme="minorHAnsi" w:cs="TimesNewRomanPSMT"/>
        </w:rPr>
        <w:t xml:space="preserve">Groups 1 to 3 respectively. Cirrhosis defined as </w:t>
      </w:r>
      <w:proofErr w:type="spellStart"/>
      <w:r w:rsidRPr="00C44728">
        <w:rPr>
          <w:rFonts w:asciiTheme="minorHAnsi" w:eastAsiaTheme="minorHAnsi" w:hAnsiTheme="minorHAnsi" w:cs="TimesNewRomanPSMT"/>
        </w:rPr>
        <w:t>Ishak</w:t>
      </w:r>
      <w:proofErr w:type="spellEnd"/>
      <w:r w:rsidRPr="00C44728">
        <w:rPr>
          <w:rFonts w:asciiTheme="minorHAnsi" w:eastAsiaTheme="minorHAnsi" w:hAnsiTheme="minorHAnsi" w:cs="TimesNewRomanPSMT"/>
        </w:rPr>
        <w:t xml:space="preserve"> score equal to or greater than 5 was</w:t>
      </w:r>
      <w:r>
        <w:rPr>
          <w:rFonts w:asciiTheme="minorHAnsi" w:eastAsiaTheme="minorHAnsi" w:hAnsiTheme="minorHAnsi" w:cs="TimesNewRomanPSMT"/>
        </w:rPr>
        <w:t xml:space="preserve"> </w:t>
      </w:r>
      <w:r w:rsidRPr="00C44728">
        <w:rPr>
          <w:rFonts w:asciiTheme="minorHAnsi" w:eastAsiaTheme="minorHAnsi" w:hAnsiTheme="minorHAnsi" w:cs="TimesNewRomanPSMT"/>
        </w:rPr>
        <w:t>found in 9% (1/11), 33% (5/15) and 67% (4/6) of Groups 1 to 3 respectively</w:t>
      </w:r>
      <w:r>
        <w:rPr>
          <w:rFonts w:asciiTheme="minorHAnsi" w:eastAsiaTheme="minorHAnsi" w:hAnsiTheme="minorHAnsi" w:cs="TimesNewRomanPSMT"/>
        </w:rPr>
        <w:t xml:space="preserve">. </w:t>
      </w:r>
      <w:proofErr w:type="spellStart"/>
      <w:r>
        <w:rPr>
          <w:rFonts w:asciiTheme="minorHAnsi" w:eastAsiaTheme="minorHAnsi" w:hAnsiTheme="minorHAnsi" w:cs="TimesNewRomanPSMT"/>
        </w:rPr>
        <w:t>S</w:t>
      </w:r>
      <w:r w:rsidRPr="00C44728">
        <w:rPr>
          <w:rFonts w:asciiTheme="minorHAnsi" w:eastAsiaTheme="minorHAnsi" w:hAnsiTheme="minorHAnsi" w:cs="TimesNewRomanPSMT"/>
        </w:rPr>
        <w:t>ebelipase</w:t>
      </w:r>
      <w:proofErr w:type="spellEnd"/>
      <w:r w:rsidRPr="00C44728">
        <w:rPr>
          <w:rFonts w:asciiTheme="minorHAnsi" w:eastAsiaTheme="minorHAnsi" w:hAnsiTheme="minorHAnsi" w:cs="TimesNewRomanPSMT"/>
        </w:rPr>
        <w:t xml:space="preserve"> alfa was effective regardless of genetic mutation category</w:t>
      </w:r>
      <w:r w:rsidR="00131B1C">
        <w:rPr>
          <w:rFonts w:asciiTheme="minorHAnsi" w:eastAsiaTheme="minorHAnsi" w:hAnsiTheme="minorHAnsi" w:cs="TimesNewRomanPSMT"/>
        </w:rPr>
        <w:t xml:space="preserve">. </w:t>
      </w:r>
      <w:r w:rsidRPr="00C44728">
        <w:rPr>
          <w:rFonts w:asciiTheme="minorHAnsi" w:eastAsiaTheme="minorHAnsi" w:hAnsiTheme="minorHAnsi" w:cs="TimesNewRomanPSMT"/>
        </w:rPr>
        <w:t>Although the number of subjects in each genetic mutation category was small, efficacy</w:t>
      </w:r>
      <w:r>
        <w:rPr>
          <w:rFonts w:asciiTheme="minorHAnsi" w:eastAsiaTheme="minorHAnsi" w:hAnsiTheme="minorHAnsi" w:cs="TimesNewRomanPSMT"/>
        </w:rPr>
        <w:t xml:space="preserve"> </w:t>
      </w:r>
      <w:r w:rsidRPr="00C44728">
        <w:rPr>
          <w:rFonts w:asciiTheme="minorHAnsi" w:eastAsiaTheme="minorHAnsi" w:hAnsiTheme="minorHAnsi" w:cs="TimesNewRomanPSMT"/>
        </w:rPr>
        <w:t xml:space="preserve">results were generally similar in each category, although a </w:t>
      </w:r>
      <w:r w:rsidRPr="00C44728">
        <w:rPr>
          <w:rFonts w:asciiTheme="minorHAnsi" w:eastAsiaTheme="minorHAnsi" w:hAnsiTheme="minorHAnsi" w:cs="TimesNewRomanPSMT"/>
        </w:rPr>
        <w:lastRenderedPageBreak/>
        <w:t>higher proportion of subjects</w:t>
      </w:r>
      <w:r>
        <w:rPr>
          <w:rFonts w:asciiTheme="minorHAnsi" w:eastAsiaTheme="minorHAnsi" w:hAnsiTheme="minorHAnsi" w:cs="TimesNewRomanPSMT"/>
        </w:rPr>
        <w:t xml:space="preserve"> </w:t>
      </w:r>
      <w:r w:rsidRPr="00C44728">
        <w:rPr>
          <w:rFonts w:asciiTheme="minorHAnsi" w:eastAsiaTheme="minorHAnsi" w:hAnsiTheme="minorHAnsi" w:cs="TimesNewRomanPSMT"/>
        </w:rPr>
        <w:t xml:space="preserve">in Group 1 experienced AST normalisation at the last visit in the </w:t>
      </w:r>
      <w:r w:rsidR="003F3AB4">
        <w:rPr>
          <w:rFonts w:asciiTheme="minorHAnsi" w:eastAsiaTheme="minorHAnsi" w:hAnsiTheme="minorHAnsi" w:cs="TimesNewRomanPSMT"/>
        </w:rPr>
        <w:t>double blind</w:t>
      </w:r>
      <w:r w:rsidRPr="00C44728">
        <w:rPr>
          <w:rFonts w:asciiTheme="minorHAnsi" w:eastAsiaTheme="minorHAnsi" w:hAnsiTheme="minorHAnsi" w:cs="TimesNewRomanPSMT"/>
        </w:rPr>
        <w:t xml:space="preserve"> period than</w:t>
      </w:r>
      <w:r>
        <w:rPr>
          <w:rFonts w:asciiTheme="minorHAnsi" w:eastAsiaTheme="minorHAnsi" w:hAnsiTheme="minorHAnsi" w:cs="TimesNewRomanPSMT"/>
        </w:rPr>
        <w:t xml:space="preserve"> </w:t>
      </w:r>
      <w:r w:rsidRPr="00C44728">
        <w:rPr>
          <w:rFonts w:asciiTheme="minorHAnsi" w:eastAsiaTheme="minorHAnsi" w:hAnsiTheme="minorHAnsi" w:cs="TimesNewRomanPSMT"/>
        </w:rPr>
        <w:t>in either Groups 2 or 3 (64% versus 29% and 38%, respectively). Furthermore, the degree</w:t>
      </w:r>
      <w:r>
        <w:rPr>
          <w:rFonts w:asciiTheme="minorHAnsi" w:eastAsiaTheme="minorHAnsi" w:hAnsiTheme="minorHAnsi" w:cs="TimesNewRomanPSMT"/>
        </w:rPr>
        <w:t xml:space="preserve"> </w:t>
      </w:r>
      <w:r w:rsidRPr="00C44728">
        <w:rPr>
          <w:rFonts w:asciiTheme="minorHAnsi" w:eastAsiaTheme="minorHAnsi" w:hAnsiTheme="minorHAnsi" w:cs="TimesNewRomanPSMT"/>
        </w:rPr>
        <w:t>of liver fat content reduction was higher in Group 3 than in either Groups 1 or 2 (</w:t>
      </w:r>
      <w:r w:rsidR="00131B1C">
        <w:rPr>
          <w:rFonts w:asciiTheme="minorHAnsi" w:eastAsiaTheme="minorHAnsi" w:hAnsiTheme="minorHAnsi" w:cs="TimesNewRomanPSMT"/>
        </w:rPr>
        <w:noBreakHyphen/>
      </w:r>
      <w:r w:rsidRPr="00C44728">
        <w:rPr>
          <w:rFonts w:asciiTheme="minorHAnsi" w:eastAsiaTheme="minorHAnsi" w:hAnsiTheme="minorHAnsi" w:cs="TimesNewRomanPSMT"/>
        </w:rPr>
        <w:t>51.5%</w:t>
      </w:r>
      <w:r>
        <w:rPr>
          <w:rFonts w:asciiTheme="minorHAnsi" w:eastAsiaTheme="minorHAnsi" w:hAnsiTheme="minorHAnsi" w:cs="TimesNewRomanPSMT"/>
        </w:rPr>
        <w:t xml:space="preserve"> </w:t>
      </w:r>
      <w:r w:rsidRPr="00C44728">
        <w:rPr>
          <w:rFonts w:asciiTheme="minorHAnsi" w:eastAsiaTheme="minorHAnsi" w:hAnsiTheme="minorHAnsi" w:cs="TimesNewRomanPSMT"/>
        </w:rPr>
        <w:t xml:space="preserve">versus </w:t>
      </w:r>
      <w:r w:rsidR="00131B1C">
        <w:rPr>
          <w:rFonts w:asciiTheme="minorHAnsi" w:eastAsiaTheme="minorHAnsi" w:hAnsiTheme="minorHAnsi" w:cs="TimesNewRomanPSMT"/>
        </w:rPr>
        <w:noBreakHyphen/>
      </w:r>
      <w:r w:rsidRPr="00C44728">
        <w:rPr>
          <w:rFonts w:asciiTheme="minorHAnsi" w:eastAsiaTheme="minorHAnsi" w:hAnsiTheme="minorHAnsi" w:cs="TimesNewRomanPSMT"/>
        </w:rPr>
        <w:t xml:space="preserve">16.7% and </w:t>
      </w:r>
      <w:r w:rsidR="00131B1C">
        <w:rPr>
          <w:rFonts w:asciiTheme="minorHAnsi" w:eastAsiaTheme="minorHAnsi" w:hAnsiTheme="minorHAnsi" w:cs="TimesNewRomanPSMT"/>
        </w:rPr>
        <w:noBreakHyphen/>
      </w:r>
      <w:r w:rsidRPr="00C44728">
        <w:rPr>
          <w:rFonts w:asciiTheme="minorHAnsi" w:eastAsiaTheme="minorHAnsi" w:hAnsiTheme="minorHAnsi" w:cs="TimesNewRomanPSMT"/>
        </w:rPr>
        <w:t>30.7%, respectively). The liver volume reduction also appeared</w:t>
      </w:r>
      <w:r>
        <w:rPr>
          <w:rFonts w:asciiTheme="minorHAnsi" w:eastAsiaTheme="minorHAnsi" w:hAnsiTheme="minorHAnsi" w:cs="TimesNewRomanPSMT"/>
        </w:rPr>
        <w:t xml:space="preserve"> </w:t>
      </w:r>
      <w:r w:rsidRPr="00C44728">
        <w:rPr>
          <w:rFonts w:asciiTheme="minorHAnsi" w:eastAsiaTheme="minorHAnsi" w:hAnsiTheme="minorHAnsi" w:cs="TimesNewRomanPSMT"/>
        </w:rPr>
        <w:t>greater in Group 3 than in either Groups 1 or 2; however, only 2 subjects in Group 3 had</w:t>
      </w:r>
      <w:r>
        <w:rPr>
          <w:rFonts w:asciiTheme="minorHAnsi" w:eastAsiaTheme="minorHAnsi" w:hAnsiTheme="minorHAnsi" w:cs="TimesNewRomanPSMT"/>
        </w:rPr>
        <w:t xml:space="preserve"> </w:t>
      </w:r>
      <w:r w:rsidRPr="00C44728">
        <w:rPr>
          <w:rFonts w:asciiTheme="minorHAnsi" w:eastAsiaTheme="minorHAnsi" w:hAnsiTheme="minorHAnsi" w:cs="TimesNewRomanPSMT"/>
        </w:rPr>
        <w:t>this assessment performed.</w:t>
      </w:r>
    </w:p>
    <w:p w14:paraId="25F3B8C3" w14:textId="77777777" w:rsidR="00934213" w:rsidRDefault="00EA418E" w:rsidP="00934213">
      <w:pPr>
        <w:pStyle w:val="Heading6"/>
        <w:rPr>
          <w:rFonts w:eastAsiaTheme="minorHAnsi"/>
        </w:rPr>
      </w:pPr>
      <w:r w:rsidRPr="00C44728">
        <w:rPr>
          <w:rFonts w:eastAsiaTheme="minorHAnsi"/>
        </w:rPr>
        <w:t>A</w:t>
      </w:r>
      <w:r w:rsidR="00131B1C">
        <w:rPr>
          <w:rFonts w:eastAsiaTheme="minorHAnsi"/>
        </w:rPr>
        <w:t>dditional supportive endpoints</w:t>
      </w:r>
    </w:p>
    <w:p w14:paraId="1203CD3C" w14:textId="6F0FF0D2" w:rsidR="00EA418E" w:rsidRPr="009D2094" w:rsidRDefault="00EA418E" w:rsidP="00EA418E">
      <w:pPr>
        <w:autoSpaceDE w:val="0"/>
        <w:autoSpaceDN w:val="0"/>
        <w:adjustRightInd w:val="0"/>
        <w:spacing w:before="0" w:line="240" w:lineRule="auto"/>
        <w:rPr>
          <w:rFonts w:asciiTheme="minorHAnsi" w:eastAsiaTheme="minorHAnsi" w:hAnsiTheme="minorHAnsi" w:cs="TimesNewRomanPSMT"/>
        </w:rPr>
      </w:pPr>
      <w:r w:rsidRPr="00C44728">
        <w:rPr>
          <w:rFonts w:asciiTheme="minorHAnsi" w:eastAsiaTheme="minorHAnsi" w:hAnsiTheme="minorHAnsi" w:cs="TimesNewRomanPSMT"/>
          <w:color w:val="000000"/>
        </w:rPr>
        <w:t xml:space="preserve">Mean serum </w:t>
      </w:r>
      <w:proofErr w:type="spellStart"/>
      <w:r w:rsidRPr="00C44728">
        <w:rPr>
          <w:rFonts w:asciiTheme="minorHAnsi" w:eastAsiaTheme="minorHAnsi" w:hAnsiTheme="minorHAnsi" w:cs="TimesNewRomanPSMT"/>
          <w:color w:val="000000"/>
        </w:rPr>
        <w:t>chitotriosidase</w:t>
      </w:r>
      <w:proofErr w:type="spellEnd"/>
      <w:r w:rsidRPr="00C44728">
        <w:rPr>
          <w:rFonts w:asciiTheme="minorHAnsi" w:eastAsiaTheme="minorHAnsi" w:hAnsiTheme="minorHAnsi" w:cs="TimesNewRomanPSMT"/>
          <w:color w:val="000000"/>
        </w:rPr>
        <w:t xml:space="preserve"> levels were similar in the SA and placebo groups </w:t>
      </w:r>
      <w:r w:rsidR="00DE644C">
        <w:rPr>
          <w:rFonts w:asciiTheme="minorHAnsi" w:eastAsiaTheme="minorHAnsi" w:hAnsiTheme="minorHAnsi" w:cs="TimesNewRomanPSMT"/>
          <w:color w:val="000000"/>
        </w:rPr>
        <w:t>at Baseline</w:t>
      </w:r>
      <w:r>
        <w:rPr>
          <w:rFonts w:asciiTheme="minorHAnsi" w:eastAsiaTheme="minorHAnsi" w:hAnsiTheme="minorHAnsi" w:cs="TimesNewRomanPSMT"/>
          <w:color w:val="000000"/>
        </w:rPr>
        <w:t xml:space="preserve"> </w:t>
      </w:r>
      <w:r w:rsidR="00131B1C">
        <w:rPr>
          <w:rFonts w:asciiTheme="minorHAnsi" w:eastAsiaTheme="minorHAnsi" w:hAnsiTheme="minorHAnsi" w:cs="TimesNewRomanPSMT"/>
          <w:color w:val="000000"/>
        </w:rPr>
        <w:t>(8.1 </w:t>
      </w:r>
      <w:r w:rsidRPr="00C44728">
        <w:rPr>
          <w:rFonts w:asciiTheme="minorHAnsi" w:eastAsiaTheme="minorHAnsi" w:hAnsiTheme="minorHAnsi" w:cs="TimesNewRomanPSMT"/>
          <w:color w:val="000000"/>
        </w:rPr>
        <w:t>U/mL and 7.2 U/mL, respectively)</w:t>
      </w:r>
      <w:r>
        <w:rPr>
          <w:rFonts w:asciiTheme="minorHAnsi" w:eastAsiaTheme="minorHAnsi" w:hAnsiTheme="minorHAnsi" w:cs="TimesNewRomanPSMT"/>
          <w:color w:val="000000"/>
        </w:rPr>
        <w:t xml:space="preserve">; </w:t>
      </w:r>
      <w:r w:rsidRPr="00C44728">
        <w:rPr>
          <w:rFonts w:asciiTheme="minorHAnsi" w:eastAsiaTheme="minorHAnsi" w:hAnsiTheme="minorHAnsi" w:cs="TimesNewRomanPSMT"/>
          <w:color w:val="000000"/>
        </w:rPr>
        <w:t xml:space="preserve">mean changes </w:t>
      </w:r>
      <w:r w:rsidR="00DE644C">
        <w:rPr>
          <w:rFonts w:asciiTheme="minorHAnsi" w:eastAsiaTheme="minorHAnsi" w:hAnsiTheme="minorHAnsi" w:cs="TimesNewRomanPSMT"/>
          <w:color w:val="000000"/>
        </w:rPr>
        <w:t>from Baseline</w:t>
      </w:r>
      <w:r w:rsidRPr="009D2094">
        <w:rPr>
          <w:rFonts w:asciiTheme="minorHAnsi" w:eastAsiaTheme="minorHAnsi" w:hAnsiTheme="minorHAnsi" w:cs="TimesNewRomanPSMT"/>
        </w:rPr>
        <w:t xml:space="preserve"> to the last visit in the </w:t>
      </w:r>
      <w:r w:rsidR="003F3AB4">
        <w:rPr>
          <w:rFonts w:asciiTheme="minorHAnsi" w:eastAsiaTheme="minorHAnsi" w:hAnsiTheme="minorHAnsi" w:cs="TimesNewRomanPSMT"/>
        </w:rPr>
        <w:t>double blind</w:t>
      </w:r>
      <w:r w:rsidRPr="009D2094">
        <w:rPr>
          <w:rFonts w:asciiTheme="minorHAnsi" w:eastAsiaTheme="minorHAnsi" w:hAnsiTheme="minorHAnsi" w:cs="TimesNewRomanPSMT"/>
        </w:rPr>
        <w:t xml:space="preserve"> period were statistically significantly greater in the SA group compared with placebo (</w:t>
      </w:r>
      <w:r w:rsidR="00131B1C">
        <w:rPr>
          <w:rFonts w:asciiTheme="minorHAnsi" w:eastAsiaTheme="minorHAnsi" w:hAnsiTheme="minorHAnsi" w:cs="TimesNewRomanPSMT"/>
        </w:rPr>
        <w:noBreakHyphen/>
      </w:r>
      <w:r w:rsidRPr="009D2094">
        <w:rPr>
          <w:rFonts w:asciiTheme="minorHAnsi" w:eastAsiaTheme="minorHAnsi" w:hAnsiTheme="minorHAnsi" w:cs="TimesNewRomanPSMT"/>
        </w:rPr>
        <w:t xml:space="preserve">2.4 U/mL </w:t>
      </w:r>
      <w:r w:rsidR="00B866BC">
        <w:rPr>
          <w:rFonts w:asciiTheme="minorHAnsi" w:eastAsiaTheme="minorHAnsi" w:hAnsiTheme="minorHAnsi" w:cs="TimesNewRomanPSMT"/>
        </w:rPr>
        <w:t>versus</w:t>
      </w:r>
      <w:r w:rsidRPr="009D2094">
        <w:rPr>
          <w:rFonts w:asciiTheme="minorHAnsi" w:eastAsiaTheme="minorHAnsi" w:hAnsiTheme="minorHAnsi" w:cs="TimesNewRomanPSMT"/>
        </w:rPr>
        <w:t xml:space="preserve"> 0.3 U/mL; diff</w:t>
      </w:r>
      <w:r w:rsidR="002D28A4">
        <w:rPr>
          <w:rFonts w:asciiTheme="minorHAnsi" w:eastAsiaTheme="minorHAnsi" w:hAnsiTheme="minorHAnsi" w:cs="TimesNewRomanPSMT"/>
        </w:rPr>
        <w:t xml:space="preserve"> = </w:t>
      </w:r>
      <w:r w:rsidR="00131B1C">
        <w:rPr>
          <w:rFonts w:asciiTheme="minorHAnsi" w:eastAsiaTheme="minorHAnsi" w:hAnsiTheme="minorHAnsi" w:cs="TimesNewRomanPSMT"/>
        </w:rPr>
        <w:noBreakHyphen/>
      </w:r>
      <w:r w:rsidRPr="009D2094">
        <w:rPr>
          <w:rFonts w:asciiTheme="minorHAnsi" w:eastAsiaTheme="minorHAnsi" w:hAnsiTheme="minorHAnsi" w:cs="TimesNewRomanPSMT"/>
        </w:rPr>
        <w:t>2.7 U/mL, p</w:t>
      </w:r>
      <w:r w:rsidR="002D28A4">
        <w:rPr>
          <w:rFonts w:asciiTheme="minorHAnsi" w:eastAsiaTheme="minorHAnsi" w:hAnsiTheme="minorHAnsi" w:cs="TimesNewRomanPSMT"/>
        </w:rPr>
        <w:t xml:space="preserve"> = </w:t>
      </w:r>
      <w:r w:rsidRPr="009D2094">
        <w:rPr>
          <w:rFonts w:asciiTheme="minorHAnsi" w:eastAsiaTheme="minorHAnsi" w:hAnsiTheme="minorHAnsi" w:cs="TimesNewRomanPSMT"/>
        </w:rPr>
        <w:t>0.0158).</w:t>
      </w:r>
    </w:p>
    <w:p w14:paraId="36E539B5" w14:textId="4CBF705C" w:rsidR="00EA418E" w:rsidRDefault="00EA418E" w:rsidP="00EA418E">
      <w:pPr>
        <w:autoSpaceDE w:val="0"/>
        <w:autoSpaceDN w:val="0"/>
        <w:adjustRightInd w:val="0"/>
        <w:spacing w:before="0" w:line="240" w:lineRule="auto"/>
        <w:rPr>
          <w:rFonts w:asciiTheme="minorHAnsi" w:eastAsiaTheme="minorHAnsi" w:hAnsiTheme="minorHAnsi" w:cs="TimesNewRomanPSMT"/>
        </w:rPr>
      </w:pPr>
      <w:r w:rsidRPr="009D2094">
        <w:rPr>
          <w:rFonts w:asciiTheme="minorHAnsi" w:eastAsiaTheme="minorHAnsi" w:hAnsiTheme="minorHAnsi" w:cs="TimesNewRomanPSMT"/>
        </w:rPr>
        <w:t xml:space="preserve">Ferritin is an acute phase reactant that is elevated in patients with macrophage activation </w:t>
      </w:r>
      <w:r w:rsidRPr="004F183D">
        <w:rPr>
          <w:rFonts w:asciiTheme="minorHAnsi" w:eastAsiaTheme="minorHAnsi" w:hAnsiTheme="minorHAnsi" w:cs="TimesNewRomanPSMT"/>
        </w:rPr>
        <w:t>(Moore, 2013).</w:t>
      </w:r>
      <w:r w:rsidRPr="009D2094">
        <w:rPr>
          <w:rFonts w:asciiTheme="minorHAnsi" w:eastAsiaTheme="minorHAnsi" w:hAnsiTheme="minorHAnsi" w:cs="TimesNewRomanPSMT"/>
        </w:rPr>
        <w:t xml:space="preserve"> Mean serum ferritin levels were </w:t>
      </w:r>
      <w:proofErr w:type="gramStart"/>
      <w:r w:rsidRPr="009D2094">
        <w:rPr>
          <w:rFonts w:asciiTheme="minorHAnsi" w:eastAsiaTheme="minorHAnsi" w:hAnsiTheme="minorHAnsi" w:cs="TimesNewRomanPSMT"/>
        </w:rPr>
        <w:t xml:space="preserve">72.1 </w:t>
      </w:r>
      <w:r w:rsidR="00DE644C">
        <w:rPr>
          <w:rFonts w:asciiTheme="minorHAnsi" w:eastAsiaTheme="minorHAnsi" w:hAnsiTheme="minorHAnsi" w:cs="TimesNewRomanPSMT"/>
        </w:rPr>
        <w:t>µ</w:t>
      </w:r>
      <w:r w:rsidRPr="009D2094">
        <w:rPr>
          <w:rFonts w:asciiTheme="minorHAnsi" w:eastAsiaTheme="minorHAnsi" w:hAnsiTheme="minorHAnsi" w:cs="TimesNewRomanPSMT"/>
        </w:rPr>
        <w:t>g/L</w:t>
      </w:r>
      <w:proofErr w:type="gramEnd"/>
      <w:r w:rsidRPr="009D2094">
        <w:rPr>
          <w:rFonts w:asciiTheme="minorHAnsi" w:eastAsiaTheme="minorHAnsi" w:hAnsiTheme="minorHAnsi" w:cs="TimesNewRomanPSMT"/>
        </w:rPr>
        <w:t xml:space="preserve"> and </w:t>
      </w:r>
      <w:r w:rsidRPr="00C44728">
        <w:rPr>
          <w:rFonts w:asciiTheme="minorHAnsi" w:eastAsiaTheme="minorHAnsi" w:hAnsiTheme="minorHAnsi" w:cs="TimesNewRomanPSMT"/>
          <w:color w:val="000000"/>
        </w:rPr>
        <w:t xml:space="preserve">78.9 </w:t>
      </w:r>
      <w:r w:rsidR="00DE644C">
        <w:rPr>
          <w:rFonts w:asciiTheme="minorHAnsi" w:eastAsiaTheme="minorHAnsi" w:hAnsiTheme="minorHAnsi" w:cs="TimesNewRomanPSMT"/>
          <w:color w:val="000000"/>
        </w:rPr>
        <w:t>µ</w:t>
      </w:r>
      <w:r w:rsidRPr="00C44728">
        <w:rPr>
          <w:rFonts w:asciiTheme="minorHAnsi" w:eastAsiaTheme="minorHAnsi" w:hAnsiTheme="minorHAnsi" w:cs="TimesNewRomanPSMT"/>
          <w:color w:val="000000"/>
        </w:rPr>
        <w:t xml:space="preserve">g/L in the SA and placebo groups, respectively, </w:t>
      </w:r>
      <w:r w:rsidR="00DE644C">
        <w:rPr>
          <w:rFonts w:asciiTheme="minorHAnsi" w:eastAsiaTheme="minorHAnsi" w:hAnsiTheme="minorHAnsi" w:cs="TimesNewRomanPSMT"/>
          <w:color w:val="000000"/>
        </w:rPr>
        <w:t>at Baseline</w:t>
      </w:r>
      <w:r w:rsidRPr="00C44728">
        <w:rPr>
          <w:rFonts w:asciiTheme="minorHAnsi" w:eastAsiaTheme="minorHAnsi" w:hAnsiTheme="minorHAnsi" w:cs="TimesNewRomanPSMT"/>
          <w:color w:val="000000"/>
        </w:rPr>
        <w:t xml:space="preserve">. The mean reduction </w:t>
      </w:r>
      <w:r w:rsidR="00DE644C">
        <w:rPr>
          <w:rFonts w:asciiTheme="minorHAnsi" w:eastAsiaTheme="minorHAnsi" w:hAnsiTheme="minorHAnsi" w:cs="TimesNewRomanPSMT"/>
          <w:color w:val="000000"/>
        </w:rPr>
        <w:t>from Baseline</w:t>
      </w:r>
      <w:r w:rsidRPr="00C44728">
        <w:rPr>
          <w:rFonts w:asciiTheme="minorHAnsi" w:eastAsiaTheme="minorHAnsi" w:hAnsiTheme="minorHAnsi" w:cs="TimesNewRomanPSMT"/>
          <w:color w:val="000000"/>
        </w:rPr>
        <w:t xml:space="preserve"> was </w:t>
      </w:r>
      <w:r>
        <w:rPr>
          <w:rFonts w:asciiTheme="minorHAnsi" w:eastAsiaTheme="minorHAnsi" w:hAnsiTheme="minorHAnsi" w:cs="TimesNewRomanPSMT"/>
          <w:color w:val="000000"/>
        </w:rPr>
        <w:t>m</w:t>
      </w:r>
      <w:r w:rsidRPr="00C44728">
        <w:rPr>
          <w:rFonts w:asciiTheme="minorHAnsi" w:eastAsiaTheme="minorHAnsi" w:hAnsiTheme="minorHAnsi" w:cs="TimesNewRomanPSMT"/>
          <w:color w:val="000000"/>
        </w:rPr>
        <w:t>arginally greater in the SA group compared with placebo (</w:t>
      </w:r>
      <w:r w:rsidR="00131B1C">
        <w:rPr>
          <w:rFonts w:asciiTheme="minorHAnsi" w:eastAsiaTheme="minorHAnsi" w:hAnsiTheme="minorHAnsi" w:cs="TimesNewRomanPSMT"/>
        </w:rPr>
        <w:noBreakHyphen/>
      </w:r>
      <w:r w:rsidRPr="00C44728">
        <w:rPr>
          <w:rFonts w:asciiTheme="minorHAnsi" w:eastAsiaTheme="minorHAnsi" w:hAnsiTheme="minorHAnsi" w:cs="TimesNewRomanPSMT"/>
        </w:rPr>
        <w:t xml:space="preserve">30.9 </w:t>
      </w:r>
      <w:r w:rsidR="00B866BC">
        <w:rPr>
          <w:rFonts w:asciiTheme="minorHAnsi" w:eastAsiaTheme="minorHAnsi" w:hAnsiTheme="minorHAnsi" w:cs="TimesNewRomanPSMT"/>
        </w:rPr>
        <w:t>versus</w:t>
      </w:r>
      <w:r w:rsidRPr="00C44728">
        <w:rPr>
          <w:rFonts w:asciiTheme="minorHAnsi" w:eastAsiaTheme="minorHAnsi" w:hAnsiTheme="minorHAnsi" w:cs="TimesNewRomanPSMT"/>
        </w:rPr>
        <w:t xml:space="preserve"> </w:t>
      </w:r>
      <w:r w:rsidR="00131B1C">
        <w:rPr>
          <w:rFonts w:asciiTheme="minorHAnsi" w:eastAsiaTheme="minorHAnsi" w:hAnsiTheme="minorHAnsi" w:cs="TimesNewRomanPSMT"/>
        </w:rPr>
        <w:noBreakHyphen/>
      </w:r>
      <w:r w:rsidRPr="00C44728">
        <w:rPr>
          <w:rFonts w:asciiTheme="minorHAnsi" w:eastAsiaTheme="minorHAnsi" w:hAnsiTheme="minorHAnsi" w:cs="TimesNewRomanPSMT"/>
        </w:rPr>
        <w:t xml:space="preserve">28.5 </w:t>
      </w:r>
      <w:r w:rsidR="00DE644C">
        <w:rPr>
          <w:rFonts w:asciiTheme="minorHAnsi" w:eastAsiaTheme="minorHAnsi" w:hAnsiTheme="minorHAnsi" w:cs="TimesNewRomanPSMT"/>
        </w:rPr>
        <w:t>µ</w:t>
      </w:r>
      <w:r w:rsidRPr="00C44728">
        <w:rPr>
          <w:rFonts w:asciiTheme="minorHAnsi" w:eastAsiaTheme="minorHAnsi" w:hAnsiTheme="minorHAnsi" w:cs="TimesNewRomanPSMT"/>
        </w:rPr>
        <w:t>g/L, p</w:t>
      </w:r>
      <w:r w:rsidR="002D28A4">
        <w:rPr>
          <w:rFonts w:asciiTheme="minorHAnsi" w:eastAsiaTheme="minorHAnsi" w:hAnsiTheme="minorHAnsi" w:cs="TimesNewRomanPSMT"/>
        </w:rPr>
        <w:t xml:space="preserve"> = </w:t>
      </w:r>
      <w:r w:rsidRPr="00C44728">
        <w:rPr>
          <w:rFonts w:asciiTheme="minorHAnsi" w:eastAsiaTheme="minorHAnsi" w:hAnsiTheme="minorHAnsi" w:cs="TimesNewRomanPSMT"/>
        </w:rPr>
        <w:t>0.0489).</w:t>
      </w:r>
    </w:p>
    <w:p w14:paraId="12E3B677" w14:textId="7E198FD0" w:rsidR="00EA418E" w:rsidRPr="00C44728" w:rsidRDefault="00EA418E" w:rsidP="00EA418E">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T</w:t>
      </w:r>
      <w:r w:rsidRPr="00C44728">
        <w:rPr>
          <w:rFonts w:asciiTheme="minorHAnsi" w:eastAsiaTheme="minorHAnsi" w:hAnsiTheme="minorHAnsi" w:cs="TimesNewRomanPSMT"/>
        </w:rPr>
        <w:t xml:space="preserve">here was no obvious treatment effect on FACIT-Fatigue, CLDQ and </w:t>
      </w:r>
      <w:proofErr w:type="spellStart"/>
      <w:r w:rsidR="001B7A56">
        <w:rPr>
          <w:rFonts w:asciiTheme="minorHAnsi" w:eastAsiaTheme="minorHAnsi" w:hAnsiTheme="minorHAnsi" w:cs="TimesNewRomanPSMT"/>
        </w:rPr>
        <w:t>PedsQL</w:t>
      </w:r>
      <w:proofErr w:type="spellEnd"/>
      <w:r w:rsidR="001B7A56">
        <w:rPr>
          <w:rFonts w:asciiTheme="minorHAnsi" w:eastAsiaTheme="minorHAnsi" w:hAnsiTheme="minorHAnsi" w:cs="TimesNewRomanPSMT"/>
        </w:rPr>
        <w:t xml:space="preserve"> in</w:t>
      </w:r>
      <w:r w:rsidR="00131B1C">
        <w:rPr>
          <w:rFonts w:asciiTheme="minorHAnsi" w:eastAsiaTheme="minorHAnsi" w:hAnsiTheme="minorHAnsi" w:cs="TimesNewRomanPSMT"/>
        </w:rPr>
        <w:t xml:space="preserve"> subjects with lower values.</w:t>
      </w:r>
    </w:p>
    <w:p w14:paraId="44DBA150" w14:textId="77777777" w:rsidR="00934213" w:rsidRPr="000871CE" w:rsidRDefault="00934213" w:rsidP="00934213">
      <w:pPr>
        <w:pStyle w:val="Heading5"/>
      </w:pPr>
      <w:bookmarkStart w:id="232" w:name="_Ref463262587"/>
      <w:r w:rsidRPr="000871CE">
        <w:t>Evaluator commentary</w:t>
      </w:r>
      <w:bookmarkEnd w:id="232"/>
    </w:p>
    <w:p w14:paraId="38C848BD" w14:textId="77777777" w:rsidR="00B73619" w:rsidRDefault="00934213" w:rsidP="00934213">
      <w:pPr>
        <w:autoSpaceDE w:val="0"/>
        <w:autoSpaceDN w:val="0"/>
        <w:adjustRightInd w:val="0"/>
        <w:spacing w:line="240" w:lineRule="auto"/>
        <w:rPr>
          <w:rFonts w:cs="TimesNewRomanPSMT"/>
        </w:rPr>
      </w:pPr>
      <w:bookmarkStart w:id="233" w:name="_Ref271037188"/>
      <w:bookmarkStart w:id="234" w:name="_Ref271037210"/>
      <w:bookmarkStart w:id="235" w:name="_Toc272414655"/>
      <w:bookmarkStart w:id="236" w:name="_Toc290888503"/>
      <w:bookmarkStart w:id="237" w:name="_Toc416353719"/>
      <w:bookmarkStart w:id="238" w:name="_Toc421005270"/>
      <w:bookmarkStart w:id="239" w:name="_Toc432079152"/>
      <w:bookmarkStart w:id="240" w:name="_Toc432080725"/>
      <w:bookmarkStart w:id="241" w:name="_Toc241374311"/>
      <w:bookmarkStart w:id="242" w:name="_Ref243294291"/>
      <w:r w:rsidRPr="000901D1">
        <w:rPr>
          <w:rFonts w:cs="TimesNewRomanPSMT"/>
        </w:rPr>
        <w:t xml:space="preserve">This was a well-conducted, pivotal </w:t>
      </w:r>
      <w:r w:rsidR="00CC672B">
        <w:rPr>
          <w:rFonts w:cs="TimesNewRomanPSMT"/>
        </w:rPr>
        <w:t>Phase III</w:t>
      </w:r>
      <w:r w:rsidRPr="000901D1">
        <w:rPr>
          <w:rFonts w:cs="TimesNewRomanPSMT"/>
        </w:rPr>
        <w:t xml:space="preserve">, randomised, </w:t>
      </w:r>
      <w:r w:rsidR="003F3AB4">
        <w:rPr>
          <w:rFonts w:cs="TimesNewRomanPSMT"/>
        </w:rPr>
        <w:t>double blind</w:t>
      </w:r>
      <w:r w:rsidRPr="000901D1">
        <w:rPr>
          <w:rFonts w:cs="TimesNewRomanPSMT"/>
        </w:rPr>
        <w:t xml:space="preserve"> (20 week), </w:t>
      </w:r>
      <w:r w:rsidR="00B73619">
        <w:rPr>
          <w:rFonts w:cs="TimesNewRomanPSMT"/>
        </w:rPr>
        <w:t>placebo controlled</w:t>
      </w:r>
      <w:r w:rsidRPr="000901D1">
        <w:rPr>
          <w:rFonts w:cs="TimesNewRomanPSMT"/>
        </w:rPr>
        <w:t xml:space="preserve"> </w:t>
      </w:r>
      <w:r w:rsidR="00C4359A">
        <w:rPr>
          <w:rFonts w:cs="TimesNewRomanPSMT"/>
        </w:rPr>
        <w:t>study</w:t>
      </w:r>
      <w:r w:rsidRPr="000901D1">
        <w:rPr>
          <w:rFonts w:cs="TimesNewRomanPSMT"/>
        </w:rPr>
        <w:t xml:space="preserve"> in 66 patients (children and adults) with LAL deficiency with majority of patients being </w:t>
      </w:r>
      <w:r w:rsidR="00A87AAC">
        <w:rPr>
          <w:rFonts w:cs="TimesNewRomanPSMT"/>
        </w:rPr>
        <w:t xml:space="preserve">&lt; </w:t>
      </w:r>
      <w:r w:rsidRPr="000901D1">
        <w:rPr>
          <w:rFonts w:cs="TimesNewRomanPSMT"/>
        </w:rPr>
        <w:t xml:space="preserve">18 years old (71%). The </w:t>
      </w:r>
      <w:r w:rsidR="00C4359A">
        <w:rPr>
          <w:rFonts w:cs="TimesNewRomanPSMT"/>
        </w:rPr>
        <w:t>study</w:t>
      </w:r>
      <w:r w:rsidRPr="000901D1">
        <w:rPr>
          <w:rFonts w:cs="TimesNewRomanPSMT"/>
        </w:rPr>
        <w:t xml:space="preserve"> was conducted in a broad age range of subjects at different stages of disease progression including subjects with histologically confirmed cirrhosis and different genotypes</w:t>
      </w:r>
      <w:r w:rsidR="00B73619">
        <w:rPr>
          <w:rFonts w:cs="TimesNewRomanPSMT"/>
        </w:rPr>
        <w:t>.</w:t>
      </w:r>
    </w:p>
    <w:p w14:paraId="769B49DB" w14:textId="67466970" w:rsidR="00B73619" w:rsidRDefault="00934213" w:rsidP="00934213">
      <w:pPr>
        <w:autoSpaceDE w:val="0"/>
        <w:autoSpaceDN w:val="0"/>
        <w:adjustRightInd w:val="0"/>
        <w:spacing w:line="240" w:lineRule="auto"/>
        <w:rPr>
          <w:rFonts w:cs="TimesNewRomanPSMT"/>
          <w:color w:val="000000"/>
        </w:rPr>
      </w:pPr>
      <w:r w:rsidRPr="000901D1">
        <w:rPr>
          <w:rFonts w:cs="TimesNewRomanPSMT"/>
          <w:color w:val="000000"/>
        </w:rPr>
        <w:t xml:space="preserve">The primary efficacy endpoint in this </w:t>
      </w:r>
      <w:r w:rsidR="00C4359A">
        <w:rPr>
          <w:rFonts w:cs="TimesNewRomanPSMT"/>
          <w:color w:val="000000"/>
        </w:rPr>
        <w:t>study</w:t>
      </w:r>
      <w:r w:rsidRPr="000901D1">
        <w:rPr>
          <w:rFonts w:cs="Calibri"/>
        </w:rPr>
        <w:t xml:space="preserve"> was rate of </w:t>
      </w:r>
      <w:r w:rsidRPr="000901D1">
        <w:rPr>
          <w:rFonts w:cs="TimesNewRomanPSMT"/>
          <w:color w:val="000000"/>
        </w:rPr>
        <w:t xml:space="preserve">ALT normalisation at the last time point in the </w:t>
      </w:r>
      <w:r w:rsidR="00FE3465">
        <w:rPr>
          <w:rFonts w:cs="TimesNewRomanPSMT"/>
          <w:color w:val="000000"/>
        </w:rPr>
        <w:t>20 week</w:t>
      </w:r>
      <w:r w:rsidRPr="000901D1">
        <w:rPr>
          <w:rFonts w:cs="TimesNewRomanPSMT"/>
          <w:color w:val="000000"/>
        </w:rPr>
        <w:t xml:space="preserve"> </w:t>
      </w:r>
      <w:r w:rsidR="003F3AB4">
        <w:rPr>
          <w:rFonts w:cs="TimesNewRomanPSMT"/>
          <w:color w:val="000000"/>
        </w:rPr>
        <w:t>double blind</w:t>
      </w:r>
      <w:r w:rsidRPr="000901D1">
        <w:rPr>
          <w:rFonts w:cs="TimesNewRomanPSMT"/>
          <w:color w:val="000000"/>
        </w:rPr>
        <w:t xml:space="preserve"> period. </w:t>
      </w:r>
      <w:r w:rsidRPr="000901D1">
        <w:rPr>
          <w:rFonts w:cs="Calibri"/>
        </w:rPr>
        <w:t xml:space="preserve">Serum ALT reflects damage to liver cells, liver injury, and underlying liver disease and sustained reductions in ALT have been used historically as primary or secondary endpoints in clinical studies of other liver diseases including viral hepatitis and autoimmune hepatitis. In contrast to other potential measures of efficacy for </w:t>
      </w:r>
      <w:proofErr w:type="spellStart"/>
      <w:r w:rsidRPr="000901D1">
        <w:rPr>
          <w:rFonts w:cs="Calibri"/>
        </w:rPr>
        <w:t>sebelipase</w:t>
      </w:r>
      <w:proofErr w:type="spellEnd"/>
      <w:r w:rsidRPr="000901D1">
        <w:rPr>
          <w:rFonts w:cs="Calibri"/>
        </w:rPr>
        <w:t xml:space="preserve"> alfa including liver histopathologic improvement, ALT can be assessed in a broad population including young children and repeat measurement was considered likely to be acceptable in the context of a </w:t>
      </w:r>
      <w:r w:rsidR="00B73619">
        <w:rPr>
          <w:rFonts w:cs="Calibri"/>
        </w:rPr>
        <w:t>placebo controlled</w:t>
      </w:r>
      <w:r w:rsidRPr="000901D1">
        <w:rPr>
          <w:rFonts w:cs="Calibri"/>
        </w:rPr>
        <w:t xml:space="preserve"> clinical </w:t>
      </w:r>
      <w:r w:rsidR="00C4359A">
        <w:rPr>
          <w:rFonts w:cs="Calibri"/>
        </w:rPr>
        <w:t>study</w:t>
      </w:r>
      <w:r w:rsidRPr="000901D1">
        <w:rPr>
          <w:rFonts w:cs="Calibri"/>
        </w:rPr>
        <w:t xml:space="preserve"> in all participating centres. Preclinical</w:t>
      </w:r>
      <w:r w:rsidRPr="00131B1C">
        <w:rPr>
          <w:rStyle w:val="FootnoteReference"/>
          <w:rFonts w:cs="Calibri"/>
        </w:rPr>
        <w:footnoteReference w:id="25"/>
      </w:r>
      <w:r w:rsidRPr="000901D1">
        <w:rPr>
          <w:rFonts w:cs="Calibri"/>
        </w:rPr>
        <w:t xml:space="preserve"> data and r</w:t>
      </w:r>
      <w:r w:rsidRPr="000901D1">
        <w:rPr>
          <w:rFonts w:cs="Calibri"/>
          <w:color w:val="000000"/>
        </w:rPr>
        <w:t xml:space="preserve">esults of a retrospective case review </w:t>
      </w:r>
      <w:r w:rsidR="00157E63">
        <w:rPr>
          <w:rFonts w:cs="Calibri"/>
          <w:color w:val="000000"/>
        </w:rPr>
        <w:t>Study</w:t>
      </w:r>
      <w:r w:rsidRPr="000901D1">
        <w:rPr>
          <w:rFonts w:cs="Calibri"/>
          <w:color w:val="000000"/>
        </w:rPr>
        <w:t xml:space="preserve"> </w:t>
      </w:r>
      <w:r w:rsidR="00131B1C">
        <w:rPr>
          <w:rFonts w:cs="Calibri"/>
        </w:rPr>
        <w:t xml:space="preserve">LAL-2-NH01 </w:t>
      </w:r>
      <w:r w:rsidRPr="000901D1">
        <w:rPr>
          <w:rFonts w:cs="Calibri"/>
        </w:rPr>
        <w:t>showed that LAL-D is consistently associated with elevated serum transaminases</w:t>
      </w:r>
      <w:r w:rsidR="00B73619">
        <w:rPr>
          <w:rFonts w:cs="Calibri"/>
        </w:rPr>
        <w:t xml:space="preserve">. </w:t>
      </w:r>
      <w:r w:rsidRPr="000901D1">
        <w:rPr>
          <w:rFonts w:cs="Calibri"/>
        </w:rPr>
        <w:t xml:space="preserve">The secondary endpoint assessments included improvement or normalisation rates </w:t>
      </w:r>
      <w:r w:rsidR="00DE644C">
        <w:rPr>
          <w:rFonts w:cs="Calibri"/>
        </w:rPr>
        <w:t>from Baseline</w:t>
      </w:r>
      <w:r w:rsidRPr="000901D1">
        <w:rPr>
          <w:rFonts w:cs="Calibri"/>
        </w:rPr>
        <w:t xml:space="preserve"> to end of DB period in LDL-c, non-HDL-c, TGs, HDL-c, AST, liver fat content and liver volume and liver histopathology. Lipid abnormalities and the associated risk of accelerated atherosclerosis and cardiovascular complications are important clinical outcomes contributing to morbidity and mortality in the broader LAL Deficiency patient population. However, due to low prevalence of disease, it would have been very difficult to </w:t>
      </w:r>
      <w:r w:rsidR="00C4359A">
        <w:rPr>
          <w:rFonts w:cs="Calibri"/>
        </w:rPr>
        <w:t>study</w:t>
      </w:r>
      <w:r w:rsidRPr="000901D1">
        <w:rPr>
          <w:rFonts w:cs="Calibri"/>
        </w:rPr>
        <w:t xml:space="preserve"> large number of subjects which would be required to show any effect on clinical outcomes. Overall, the primary and secondary efficacy endpoints in this </w:t>
      </w:r>
      <w:r w:rsidR="00C4359A">
        <w:rPr>
          <w:rFonts w:cs="Calibri"/>
        </w:rPr>
        <w:t>study</w:t>
      </w:r>
      <w:r w:rsidRPr="000901D1">
        <w:rPr>
          <w:rFonts w:cs="Calibri"/>
        </w:rPr>
        <w:t xml:space="preserve"> were appropriate as these included </w:t>
      </w:r>
      <w:r w:rsidRPr="000901D1">
        <w:rPr>
          <w:rFonts w:cs="TimesNewRomanPSMT"/>
        </w:rPr>
        <w:t xml:space="preserve">clinically relevant biochemical markers of liver cell injury and disturbed lipid metabolism in addition to measures of liver fat content and organ volume representing relevant and sufficiently sensitive endpoints for the assessment of treatment efficacy in </w:t>
      </w:r>
      <w:r w:rsidRPr="000901D1">
        <w:rPr>
          <w:rFonts w:cs="TimesNewRomanPSMT"/>
          <w:color w:val="000000"/>
        </w:rPr>
        <w:t>LAL deficiency which is a multisystem disease</w:t>
      </w:r>
      <w:r w:rsidR="00B73619">
        <w:rPr>
          <w:rFonts w:cs="TimesNewRomanPSMT"/>
          <w:color w:val="000000"/>
        </w:rPr>
        <w:t>.</w:t>
      </w:r>
    </w:p>
    <w:p w14:paraId="3E6D5689" w14:textId="77777777" w:rsidR="00B73619" w:rsidRDefault="00934213" w:rsidP="00934213">
      <w:pPr>
        <w:autoSpaceDE w:val="0"/>
        <w:autoSpaceDN w:val="0"/>
        <w:adjustRightInd w:val="0"/>
        <w:spacing w:line="240" w:lineRule="auto"/>
      </w:pPr>
      <w:r w:rsidRPr="000901D1">
        <w:lastRenderedPageBreak/>
        <w:t xml:space="preserve">The rate of disease progression in LAL Deficiency is more heterogeneous in children and adults which precluded designing or conducting a </w:t>
      </w:r>
      <w:r w:rsidR="00C4359A">
        <w:t>study</w:t>
      </w:r>
      <w:r w:rsidRPr="000901D1">
        <w:t xml:space="preserve"> of the size and duration that would be required to directly assess the impact of ERT on clinical events associated with progressive liver disease (</w:t>
      </w:r>
      <w:r w:rsidR="00CC672B">
        <w:t>for example</w:t>
      </w:r>
      <w:r w:rsidRPr="000901D1">
        <w:t>, decompensated cirrhosis or liver-related mortality) or CVD (</w:t>
      </w:r>
      <w:r w:rsidR="00CC672B">
        <w:t>for example</w:t>
      </w:r>
      <w:r w:rsidRPr="000901D1">
        <w:t xml:space="preserve">, cardiac-related mortality) particularly in the context of the rarity of this disease. Thus, the design of the pivotal </w:t>
      </w:r>
      <w:r w:rsidR="00157E63">
        <w:t>Study</w:t>
      </w:r>
      <w:r w:rsidRPr="000901D1">
        <w:t xml:space="preserve"> LAL-CL02 in children and adults was appropriate</w:t>
      </w:r>
      <w:r w:rsidR="00B73619">
        <w:t>.</w:t>
      </w:r>
    </w:p>
    <w:p w14:paraId="039DA8E7" w14:textId="77777777" w:rsidR="00934213" w:rsidRPr="000901D1" w:rsidRDefault="00934213" w:rsidP="00934213">
      <w:pPr>
        <w:autoSpaceDE w:val="0"/>
        <w:autoSpaceDN w:val="0"/>
        <w:adjustRightInd w:val="0"/>
        <w:spacing w:line="240" w:lineRule="auto"/>
        <w:rPr>
          <w:rFonts w:cs="TimesNewRomanPSMT"/>
        </w:rPr>
      </w:pPr>
      <w:r w:rsidRPr="000901D1">
        <w:rPr>
          <w:rFonts w:cs="TimesNewRomanPSMT"/>
        </w:rPr>
        <w:t xml:space="preserve">Treatment with </w:t>
      </w:r>
      <w:proofErr w:type="spellStart"/>
      <w:r w:rsidRPr="000901D1">
        <w:rPr>
          <w:rFonts w:cs="TimesNewRomanPSMT"/>
        </w:rPr>
        <w:t>sebelipase</w:t>
      </w:r>
      <w:proofErr w:type="spellEnd"/>
      <w:r w:rsidRPr="000901D1">
        <w:rPr>
          <w:rFonts w:cs="TimesNewRomanPSMT"/>
        </w:rPr>
        <w:t xml:space="preserve"> alfa </w:t>
      </w:r>
      <w:r w:rsidR="00131B1C">
        <w:rPr>
          <w:rFonts w:cs="TimesNewRomanPSMT"/>
        </w:rPr>
        <w:t>1 mg</w:t>
      </w:r>
      <w:r w:rsidRPr="000901D1">
        <w:rPr>
          <w:rFonts w:cs="TimesNewRomanPSMT"/>
        </w:rPr>
        <w:t xml:space="preserve">/kg </w:t>
      </w:r>
      <w:proofErr w:type="spellStart"/>
      <w:r w:rsidRPr="000901D1">
        <w:rPr>
          <w:rFonts w:cs="TimesNewRomanPSMT"/>
        </w:rPr>
        <w:t>qow</w:t>
      </w:r>
      <w:proofErr w:type="spellEnd"/>
      <w:r w:rsidRPr="000901D1">
        <w:rPr>
          <w:rFonts w:cs="TimesNewRomanPSMT"/>
        </w:rPr>
        <w:t xml:space="preserve"> was statistically significantly more effective than placebo in improving a broad range of </w:t>
      </w:r>
      <w:r w:rsidR="00B73619">
        <w:rPr>
          <w:rFonts w:cs="TimesNewRomanPSMT"/>
        </w:rPr>
        <w:t>disease related</w:t>
      </w:r>
      <w:r w:rsidRPr="000901D1">
        <w:rPr>
          <w:rFonts w:cs="TimesNewRomanPSMT"/>
        </w:rPr>
        <w:t xml:space="preserve"> abnormalities, including normalisation of serum transaminases (ALT and AST), improvement in dyslipidaemia (reductions in LDL-c, non-HDL-c, and TG, and increases in HDL-c) and reduction in liver fat content as assessed by MRI. Furthermore, </w:t>
      </w:r>
      <w:proofErr w:type="spellStart"/>
      <w:r w:rsidRPr="000901D1">
        <w:rPr>
          <w:rFonts w:cs="TimesNewRomanPSMT"/>
        </w:rPr>
        <w:t>sebelipase</w:t>
      </w:r>
      <w:proofErr w:type="spellEnd"/>
      <w:r w:rsidRPr="000901D1">
        <w:rPr>
          <w:rFonts w:cs="TimesNewRomanPSMT"/>
        </w:rPr>
        <w:t xml:space="preserve"> alfa treatment produced clear reductions in MRI-estimated liver volume during the </w:t>
      </w:r>
      <w:r w:rsidR="00FE3465">
        <w:rPr>
          <w:rFonts w:cs="TimesNewRomanPSMT"/>
        </w:rPr>
        <w:t>20 week</w:t>
      </w:r>
      <w:r w:rsidRPr="000901D1">
        <w:rPr>
          <w:rFonts w:cs="TimesNewRomanPSMT"/>
        </w:rPr>
        <w:t xml:space="preserve"> </w:t>
      </w:r>
      <w:r w:rsidR="003F3AB4">
        <w:rPr>
          <w:rFonts w:cs="TimesNewRomanPSMT"/>
        </w:rPr>
        <w:t>double blind</w:t>
      </w:r>
      <w:r w:rsidRPr="000901D1">
        <w:rPr>
          <w:rFonts w:cs="TimesNewRomanPSMT"/>
        </w:rPr>
        <w:t xml:space="preserve"> treatment period. Treatment with </w:t>
      </w:r>
      <w:proofErr w:type="spellStart"/>
      <w:r w:rsidRPr="000901D1">
        <w:rPr>
          <w:rFonts w:cs="TimesNewRomanPSMT"/>
        </w:rPr>
        <w:t>sebelipase</w:t>
      </w:r>
      <w:proofErr w:type="spellEnd"/>
      <w:r w:rsidRPr="000901D1">
        <w:rPr>
          <w:rFonts w:cs="TimesNewRomanPSMT"/>
        </w:rPr>
        <w:t xml:space="preserve"> alfa was accompanied by short-term increases in total cholesterol, non-HDL-c, LDL-c, and TG with maximal increases at </w:t>
      </w:r>
      <w:r w:rsidR="002D28A4">
        <w:rPr>
          <w:rFonts w:cs="TimesNewRomanPSMT"/>
        </w:rPr>
        <w:t>Week</w:t>
      </w:r>
      <w:r w:rsidRPr="000901D1">
        <w:rPr>
          <w:rFonts w:cs="TimesNewRomanPSMT"/>
        </w:rPr>
        <w:t xml:space="preserve"> 2 (statistically significantly greater than placebo) in total cholesterol, non-HDL-c, and LDL-c which was consistent with mobilisation of accumulated lysosomal lipids. However, statistically significant mean percent decreases in these parameters with </w:t>
      </w:r>
      <w:proofErr w:type="spellStart"/>
      <w:r w:rsidRPr="000901D1">
        <w:rPr>
          <w:rFonts w:cs="TimesNewRomanPSMT"/>
        </w:rPr>
        <w:t>sebelipase</w:t>
      </w:r>
      <w:proofErr w:type="spellEnd"/>
      <w:r w:rsidRPr="000901D1">
        <w:rPr>
          <w:rFonts w:cs="TimesNewRomanPSMT"/>
        </w:rPr>
        <w:t xml:space="preserve"> alfa relative to placebo were seen by Week 10.</w:t>
      </w:r>
    </w:p>
    <w:p w14:paraId="5265654E" w14:textId="77777777" w:rsidR="00B73619" w:rsidRDefault="00934213" w:rsidP="00934213">
      <w:pPr>
        <w:autoSpaceDE w:val="0"/>
        <w:autoSpaceDN w:val="0"/>
        <w:adjustRightInd w:val="0"/>
        <w:spacing w:line="240" w:lineRule="auto"/>
        <w:rPr>
          <w:rFonts w:cs="TimesNewRomanPSMT"/>
        </w:rPr>
      </w:pPr>
      <w:r w:rsidRPr="000901D1">
        <w:t xml:space="preserve">In subjects who received </w:t>
      </w:r>
      <w:proofErr w:type="spellStart"/>
      <w:r w:rsidRPr="000901D1">
        <w:t>sebelipase</w:t>
      </w:r>
      <w:proofErr w:type="spellEnd"/>
      <w:r w:rsidRPr="000901D1">
        <w:t xml:space="preserve"> alfa during the </w:t>
      </w:r>
      <w:r w:rsidR="003F3AB4">
        <w:t>double blind</w:t>
      </w:r>
      <w:r w:rsidRPr="000901D1">
        <w:t xml:space="preserve"> period, reductions in ALT and AST levels during the first 20 weeks of treatment were maintained </w:t>
      </w:r>
      <w:r w:rsidRPr="000901D1">
        <w:rPr>
          <w:color w:val="000000"/>
        </w:rPr>
        <w:t xml:space="preserve">and further improvements were seen in lipid parameters including LDL-c and HDL-c levels during the subsequent </w:t>
      </w:r>
      <w:r w:rsidR="00B73619">
        <w:rPr>
          <w:color w:val="000000"/>
        </w:rPr>
        <w:t>open label</w:t>
      </w:r>
      <w:r w:rsidRPr="000901D1">
        <w:rPr>
          <w:color w:val="000000"/>
        </w:rPr>
        <w:t xml:space="preserve"> period. </w:t>
      </w:r>
      <w:r w:rsidR="00131B1C">
        <w:rPr>
          <w:color w:val="000000"/>
        </w:rPr>
        <w:t>Placebo treated</w:t>
      </w:r>
      <w:r w:rsidRPr="000901D1">
        <w:rPr>
          <w:color w:val="000000"/>
        </w:rPr>
        <w:t xml:space="preserve"> subjects had persistently elevated serum transaminase and serum lipid levels during </w:t>
      </w:r>
      <w:r w:rsidR="003F3AB4">
        <w:rPr>
          <w:color w:val="000000"/>
        </w:rPr>
        <w:t>double blind</w:t>
      </w:r>
      <w:r w:rsidRPr="000901D1">
        <w:rPr>
          <w:color w:val="000000"/>
        </w:rPr>
        <w:t xml:space="preserve"> period of the </w:t>
      </w:r>
      <w:r w:rsidR="00C4359A">
        <w:rPr>
          <w:color w:val="000000"/>
        </w:rPr>
        <w:t>study</w:t>
      </w:r>
      <w:r w:rsidRPr="000901D1">
        <w:rPr>
          <w:color w:val="000000"/>
        </w:rPr>
        <w:t xml:space="preserve">, but initiation of treatment with </w:t>
      </w:r>
      <w:proofErr w:type="spellStart"/>
      <w:r w:rsidRPr="000901D1">
        <w:rPr>
          <w:color w:val="000000"/>
        </w:rPr>
        <w:t>sebelipase</w:t>
      </w:r>
      <w:proofErr w:type="spellEnd"/>
      <w:r w:rsidRPr="000901D1">
        <w:rPr>
          <w:color w:val="000000"/>
        </w:rPr>
        <w:t xml:space="preserve"> alfa at 1 mg/kg </w:t>
      </w:r>
      <w:proofErr w:type="spellStart"/>
      <w:r w:rsidRPr="000901D1">
        <w:rPr>
          <w:color w:val="000000"/>
        </w:rPr>
        <w:t>qow</w:t>
      </w:r>
      <w:proofErr w:type="spellEnd"/>
      <w:r w:rsidRPr="000901D1">
        <w:rPr>
          <w:color w:val="000000"/>
        </w:rPr>
        <w:t xml:space="preserve"> in subjects who transitioned from placebo, during the </w:t>
      </w:r>
      <w:r w:rsidR="00B73619">
        <w:rPr>
          <w:color w:val="000000"/>
        </w:rPr>
        <w:t>open label</w:t>
      </w:r>
      <w:r w:rsidRPr="000901D1">
        <w:rPr>
          <w:color w:val="000000"/>
        </w:rPr>
        <w:t xml:space="preserve"> period, produced rapid improvements in ALT and AST levels</w:t>
      </w:r>
      <w:r w:rsidR="00CC672B">
        <w:rPr>
          <w:color w:val="000000"/>
        </w:rPr>
        <w:t xml:space="preserve"> </w:t>
      </w:r>
      <w:r w:rsidRPr="000901D1">
        <w:rPr>
          <w:color w:val="000000"/>
        </w:rPr>
        <w:t>and in l</w:t>
      </w:r>
      <w:r w:rsidR="00131B1C">
        <w:rPr>
          <w:color w:val="000000"/>
        </w:rPr>
        <w:t>ipid parameters including LDL-c</w:t>
      </w:r>
      <w:r w:rsidRPr="000901D1">
        <w:rPr>
          <w:color w:val="000000"/>
        </w:rPr>
        <w:t xml:space="preserve"> and HDL-c levels</w:t>
      </w:r>
      <w:r w:rsidRPr="000901D1">
        <w:rPr>
          <w:rFonts w:cs="TimesNewRomanPSMT"/>
        </w:rPr>
        <w:t>. Furthermore, age, gender, race/ethnicity, baseline ALT/ LDL-c, liver volume, fat content or genetic mutation status did not have any significant effect on the efficacy of SA although interpretation was limited by small sample sizes in some of the subgroups</w:t>
      </w:r>
      <w:r w:rsidR="00B73619">
        <w:rPr>
          <w:rFonts w:cs="TimesNewRomanPSMT"/>
        </w:rPr>
        <w:t>.</w:t>
      </w:r>
    </w:p>
    <w:p w14:paraId="16EC54CE" w14:textId="77777777" w:rsidR="00934213" w:rsidRPr="000901D1" w:rsidRDefault="00934213" w:rsidP="00934213">
      <w:pPr>
        <w:autoSpaceDE w:val="0"/>
        <w:autoSpaceDN w:val="0"/>
        <w:adjustRightInd w:val="0"/>
        <w:spacing w:line="240" w:lineRule="auto"/>
        <w:rPr>
          <w:rFonts w:cs="TimesNewRomanPSMT"/>
        </w:rPr>
      </w:pPr>
      <w:r w:rsidRPr="000901D1">
        <w:rPr>
          <w:rFonts w:cs="TimesNewRomanPSMT"/>
        </w:rPr>
        <w:t xml:space="preserve">Overall, the results of this pivotal </w:t>
      </w:r>
      <w:r w:rsidR="00C4359A">
        <w:rPr>
          <w:rFonts w:cs="TimesNewRomanPSMT"/>
        </w:rPr>
        <w:t>study</w:t>
      </w:r>
      <w:r w:rsidRPr="000901D1">
        <w:rPr>
          <w:rFonts w:cs="TimesNewRomanPSMT"/>
        </w:rPr>
        <w:t xml:space="preserve"> in children and adults with LAL deficiency provided robust evidence for the benefits of ERT with </w:t>
      </w:r>
      <w:proofErr w:type="spellStart"/>
      <w:r w:rsidRPr="000901D1">
        <w:rPr>
          <w:rFonts w:cs="TimesNewRomanPSMT"/>
        </w:rPr>
        <w:t>sebelipase</w:t>
      </w:r>
      <w:proofErr w:type="spellEnd"/>
      <w:r w:rsidRPr="000901D1">
        <w:rPr>
          <w:rFonts w:cs="TimesNewRomanPSMT"/>
        </w:rPr>
        <w:t xml:space="preserve"> alfa </w:t>
      </w:r>
      <w:r w:rsidRPr="000901D1">
        <w:t xml:space="preserve">1 mg/kg every other week dose administered by IV infusion (over 2 hours with option to reduce infusion duration to 1 hour if tolerated) </w:t>
      </w:r>
      <w:r w:rsidRPr="000901D1">
        <w:rPr>
          <w:rFonts w:cs="TimesNewRomanPSMT"/>
        </w:rPr>
        <w:t>across a broad range of disease abnormalities including favourable effects on a number of medically important biochemical abnormalities of serious liver disease and severe dyslipidaemia.</w:t>
      </w:r>
    </w:p>
    <w:p w14:paraId="037E12CB" w14:textId="77777777" w:rsidR="00934213" w:rsidRPr="000871CE" w:rsidRDefault="00934213" w:rsidP="00934213">
      <w:pPr>
        <w:pStyle w:val="Heading3"/>
      </w:pPr>
      <w:bookmarkStart w:id="243" w:name="_Toc468957473"/>
      <w:bookmarkStart w:id="244" w:name="_Toc519670964"/>
      <w:r>
        <w:t>O</w:t>
      </w:r>
      <w:r w:rsidRPr="000871CE">
        <w:t>ther efficacy studies</w:t>
      </w:r>
      <w:bookmarkEnd w:id="233"/>
      <w:bookmarkEnd w:id="234"/>
      <w:bookmarkEnd w:id="235"/>
      <w:bookmarkEnd w:id="236"/>
      <w:bookmarkEnd w:id="237"/>
      <w:bookmarkEnd w:id="238"/>
      <w:bookmarkEnd w:id="239"/>
      <w:bookmarkEnd w:id="240"/>
      <w:bookmarkEnd w:id="243"/>
      <w:bookmarkEnd w:id="244"/>
    </w:p>
    <w:p w14:paraId="16A3B2D1" w14:textId="77777777" w:rsidR="00934213" w:rsidRPr="00131B1C" w:rsidRDefault="00157E63" w:rsidP="00131B1C">
      <w:pPr>
        <w:pStyle w:val="Heading4"/>
      </w:pPr>
      <w:bookmarkStart w:id="245" w:name="_Toc416353720"/>
      <w:bookmarkStart w:id="246" w:name="_Ref463262467"/>
      <w:bookmarkStart w:id="247" w:name="_Toc468957474"/>
      <w:bookmarkEnd w:id="241"/>
      <w:bookmarkEnd w:id="242"/>
      <w:r>
        <w:t>Study</w:t>
      </w:r>
      <w:r w:rsidR="00934213" w:rsidRPr="00131B1C">
        <w:t xml:space="preserve"> </w:t>
      </w:r>
      <w:bookmarkEnd w:id="245"/>
      <w:r w:rsidR="00934213" w:rsidRPr="00131B1C">
        <w:t>LAL-CL03</w:t>
      </w:r>
      <w:bookmarkEnd w:id="246"/>
      <w:bookmarkEnd w:id="247"/>
    </w:p>
    <w:p w14:paraId="210FB0D4" w14:textId="77777777" w:rsidR="00934213" w:rsidRDefault="00157E63" w:rsidP="00934213">
      <w:pPr>
        <w:pStyle w:val="Heading5"/>
        <w:rPr>
          <w:rFonts w:eastAsiaTheme="minorHAnsi"/>
        </w:rPr>
      </w:pPr>
      <w:r>
        <w:rPr>
          <w:rFonts w:eastAsiaTheme="minorHAnsi"/>
        </w:rPr>
        <w:t>Study</w:t>
      </w:r>
      <w:r w:rsidR="00934213" w:rsidRPr="00884001">
        <w:rPr>
          <w:rFonts w:eastAsiaTheme="minorHAnsi"/>
        </w:rPr>
        <w:t xml:space="preserve"> </w:t>
      </w:r>
      <w:r w:rsidR="00131B1C">
        <w:rPr>
          <w:rFonts w:eastAsiaTheme="minorHAnsi"/>
        </w:rPr>
        <w:t>design, objectives, methodology</w:t>
      </w:r>
    </w:p>
    <w:p w14:paraId="71FF71A1" w14:textId="77777777" w:rsidR="00B73619" w:rsidRDefault="00934213" w:rsidP="00934213">
      <w:pPr>
        <w:autoSpaceDE w:val="0"/>
        <w:autoSpaceDN w:val="0"/>
        <w:adjustRightInd w:val="0"/>
        <w:spacing w:before="0" w:line="240" w:lineRule="auto"/>
        <w:rPr>
          <w:rFonts w:asciiTheme="minorHAnsi" w:eastAsiaTheme="minorHAnsi" w:hAnsiTheme="minorHAnsi" w:cs="TimesNewRomanPSMT"/>
        </w:rPr>
      </w:pPr>
      <w:r w:rsidRPr="00A635AF">
        <w:rPr>
          <w:rFonts w:asciiTheme="minorHAnsi" w:eastAsiaTheme="minorHAnsi" w:hAnsiTheme="minorHAnsi" w:cs="TimesNewRomanPSMT"/>
        </w:rPr>
        <w:t xml:space="preserve">This was a </w:t>
      </w:r>
      <w:r w:rsidR="00905BF2">
        <w:rPr>
          <w:rFonts w:asciiTheme="minorHAnsi" w:eastAsiaTheme="minorHAnsi" w:hAnsiTheme="minorHAnsi" w:cs="TimesNewRomanPSMT"/>
        </w:rPr>
        <w:t>Phase II/III</w:t>
      </w:r>
      <w:r w:rsidRPr="00A635AF">
        <w:rPr>
          <w:rFonts w:asciiTheme="minorHAnsi" w:eastAsiaTheme="minorHAnsi" w:hAnsiTheme="minorHAnsi" w:cs="TimesNewRomanPSMT"/>
        </w:rPr>
        <w:t xml:space="preserve">, </w:t>
      </w:r>
      <w:r w:rsidR="00B73619">
        <w:rPr>
          <w:rFonts w:asciiTheme="minorHAnsi" w:eastAsiaTheme="minorHAnsi" w:hAnsiTheme="minorHAnsi" w:cs="TimesNewRomanPSMT"/>
        </w:rPr>
        <w:t>open label</w:t>
      </w:r>
      <w:r w:rsidRPr="00A635AF">
        <w:rPr>
          <w:rFonts w:asciiTheme="minorHAnsi" w:eastAsiaTheme="minorHAnsi" w:hAnsiTheme="minorHAnsi" w:cs="TimesNewRomanPSMT"/>
        </w:rPr>
        <w:t xml:space="preserve">, </w:t>
      </w:r>
      <w:r w:rsidR="00131B1C">
        <w:rPr>
          <w:rFonts w:asciiTheme="minorHAnsi" w:eastAsiaTheme="minorHAnsi" w:hAnsiTheme="minorHAnsi" w:cs="TimesNewRomanPSMT"/>
        </w:rPr>
        <w:t>repeat dose</w:t>
      </w:r>
      <w:r w:rsidRPr="00A635AF">
        <w:rPr>
          <w:rFonts w:asciiTheme="minorHAnsi" w:eastAsiaTheme="minorHAnsi" w:hAnsiTheme="minorHAnsi" w:cs="TimesNewRomanPSMT"/>
        </w:rPr>
        <w:t xml:space="preserve">, </w:t>
      </w:r>
      <w:proofErr w:type="gramStart"/>
      <w:r w:rsidR="00131B1C">
        <w:rPr>
          <w:rFonts w:asciiTheme="minorHAnsi" w:eastAsiaTheme="minorHAnsi" w:hAnsiTheme="minorHAnsi" w:cs="TimesNewRomanPSMT"/>
        </w:rPr>
        <w:t>intra</w:t>
      </w:r>
      <w:proofErr w:type="gramEnd"/>
      <w:r w:rsidR="00131B1C">
        <w:rPr>
          <w:rFonts w:asciiTheme="minorHAnsi" w:eastAsiaTheme="minorHAnsi" w:hAnsiTheme="minorHAnsi" w:cs="TimesNewRomanPSMT"/>
        </w:rPr>
        <w:t xml:space="preserve"> subject</w:t>
      </w:r>
      <w:r w:rsidRPr="00A635AF">
        <w:rPr>
          <w:rFonts w:asciiTheme="minorHAnsi" w:eastAsiaTheme="minorHAnsi" w:hAnsiTheme="minorHAnsi" w:cs="TimesNewRomanPSMT"/>
        </w:rPr>
        <w:t xml:space="preserve"> dose escalation </w:t>
      </w:r>
      <w:r w:rsidR="00C4359A">
        <w:rPr>
          <w:rFonts w:asciiTheme="minorHAnsi" w:eastAsiaTheme="minorHAnsi" w:hAnsiTheme="minorHAnsi" w:cs="TimesNewRomanPSMT"/>
        </w:rPr>
        <w:t>study</w:t>
      </w:r>
      <w:r w:rsidRPr="00A635AF">
        <w:rPr>
          <w:rFonts w:asciiTheme="minorHAnsi" w:eastAsiaTheme="minorHAnsi" w:hAnsiTheme="minorHAnsi" w:cs="TimesNewRomanPSMT"/>
        </w:rPr>
        <w:t xml:space="preserve"> to</w:t>
      </w:r>
      <w:r>
        <w:rPr>
          <w:rFonts w:asciiTheme="minorHAnsi" w:eastAsiaTheme="minorHAnsi" w:hAnsiTheme="minorHAnsi" w:cs="TimesNewRomanPSMT"/>
        </w:rPr>
        <w:t xml:space="preserve"> </w:t>
      </w:r>
      <w:r w:rsidRPr="00A635AF">
        <w:rPr>
          <w:rFonts w:asciiTheme="minorHAnsi" w:eastAsiaTheme="minorHAnsi" w:hAnsiTheme="minorHAnsi" w:cs="TimesNewRomanPSMT"/>
        </w:rPr>
        <w:t xml:space="preserve">evaluate the safety, tolerability, efficacy, pharmacokinetics and pharmacodynamics of SBC-102 in children with growth failure due to LAL deficiency. </w:t>
      </w:r>
      <w:r w:rsidRPr="002138FC">
        <w:rPr>
          <w:rFonts w:asciiTheme="minorHAnsi" w:eastAsiaTheme="minorHAnsi" w:hAnsiTheme="minorHAnsi" w:cs="TimesNewRomanPSMT"/>
        </w:rPr>
        <w:t xml:space="preserve">The </w:t>
      </w:r>
      <w:r w:rsidR="00C4359A">
        <w:rPr>
          <w:rFonts w:asciiTheme="minorHAnsi" w:eastAsiaTheme="minorHAnsi" w:hAnsiTheme="minorHAnsi" w:cs="TimesNewRomanPSMT"/>
        </w:rPr>
        <w:t>study</w:t>
      </w:r>
      <w:r w:rsidRPr="002138FC">
        <w:rPr>
          <w:rFonts w:asciiTheme="minorHAnsi" w:eastAsiaTheme="minorHAnsi" w:hAnsiTheme="minorHAnsi" w:cs="TimesNewRomanPSMT"/>
        </w:rPr>
        <w:t xml:space="preserve"> consisted of a screening period of up to 3 weeks, a treatment</w:t>
      </w:r>
      <w:r>
        <w:rPr>
          <w:rFonts w:asciiTheme="minorHAnsi" w:eastAsiaTheme="minorHAnsi" w:hAnsiTheme="minorHAnsi" w:cs="TimesNewRomanPSMT"/>
        </w:rPr>
        <w:t xml:space="preserve"> </w:t>
      </w:r>
      <w:r w:rsidRPr="002138FC">
        <w:rPr>
          <w:rFonts w:asciiTheme="minorHAnsi" w:eastAsiaTheme="minorHAnsi" w:hAnsiTheme="minorHAnsi" w:cs="TimesNewRomanPSMT"/>
        </w:rPr>
        <w:t>period of up to 4 years, and a follow-up visit at least 30 days after the last dose of</w:t>
      </w:r>
      <w:r>
        <w:rPr>
          <w:rFonts w:asciiTheme="minorHAnsi" w:eastAsiaTheme="minorHAnsi" w:hAnsiTheme="minorHAnsi" w:cs="TimesNewRomanPSMT"/>
        </w:rPr>
        <w:t xml:space="preserve"> </w:t>
      </w:r>
      <w:r w:rsidRPr="002138FC">
        <w:rPr>
          <w:rFonts w:asciiTheme="minorHAnsi" w:eastAsiaTheme="minorHAnsi" w:hAnsiTheme="minorHAnsi" w:cs="TimesNewRomanPSMT"/>
        </w:rPr>
        <w:t xml:space="preserve">investigational medicinal product (IMP). </w:t>
      </w:r>
      <w:r w:rsidRPr="00A635AF">
        <w:rPr>
          <w:rFonts w:asciiTheme="minorHAnsi" w:eastAsiaTheme="minorHAnsi" w:hAnsiTheme="minorHAnsi" w:cs="TimesNewRomanPSMT"/>
        </w:rPr>
        <w:t xml:space="preserve">The primary objective of the </w:t>
      </w:r>
      <w:r w:rsidR="00C4359A">
        <w:rPr>
          <w:rFonts w:asciiTheme="minorHAnsi" w:eastAsiaTheme="minorHAnsi" w:hAnsiTheme="minorHAnsi" w:cs="TimesNewRomanPSMT"/>
        </w:rPr>
        <w:t>study</w:t>
      </w:r>
      <w:r w:rsidRPr="00A635AF">
        <w:rPr>
          <w:rFonts w:asciiTheme="minorHAnsi" w:eastAsiaTheme="minorHAnsi" w:hAnsiTheme="minorHAnsi" w:cs="TimesNewRomanPSMT"/>
        </w:rPr>
        <w:t xml:space="preserve"> was to evaluate the effect of </w:t>
      </w:r>
      <w:proofErr w:type="spellStart"/>
      <w:r w:rsidRPr="00A635AF">
        <w:rPr>
          <w:rFonts w:asciiTheme="minorHAnsi" w:eastAsiaTheme="minorHAnsi" w:hAnsiTheme="minorHAnsi" w:cs="TimesNewRomanPSMT"/>
        </w:rPr>
        <w:t>sebelipase</w:t>
      </w:r>
      <w:proofErr w:type="spellEnd"/>
      <w:r w:rsidRPr="00A635AF">
        <w:rPr>
          <w:rFonts w:asciiTheme="minorHAnsi" w:eastAsiaTheme="minorHAnsi" w:hAnsiTheme="minorHAnsi" w:cs="TimesNewRomanPSMT"/>
        </w:rPr>
        <w:t xml:space="preserve"> alfa (SBC-102)</w:t>
      </w:r>
      <w:r>
        <w:rPr>
          <w:rFonts w:asciiTheme="minorHAnsi" w:eastAsiaTheme="minorHAnsi" w:hAnsiTheme="minorHAnsi" w:cs="TimesNewRomanPSMT"/>
        </w:rPr>
        <w:t xml:space="preserve"> </w:t>
      </w:r>
      <w:r w:rsidRPr="00A635AF">
        <w:rPr>
          <w:rFonts w:asciiTheme="minorHAnsi" w:eastAsiaTheme="minorHAnsi" w:hAnsiTheme="minorHAnsi" w:cs="TimesNewRomanPSMT"/>
        </w:rPr>
        <w:t>therapy on survival at 12 months of age.</w:t>
      </w:r>
      <w:r>
        <w:rPr>
          <w:rFonts w:asciiTheme="minorHAnsi" w:eastAsiaTheme="minorHAnsi" w:hAnsiTheme="minorHAnsi" w:cs="TimesNewRomanPSMT"/>
        </w:rPr>
        <w:t xml:space="preserve"> The s</w:t>
      </w:r>
      <w:r w:rsidRPr="00A635AF">
        <w:rPr>
          <w:rFonts w:asciiTheme="minorHAnsi" w:eastAsiaTheme="minorHAnsi" w:hAnsiTheme="minorHAnsi" w:cs="TimesNewRomanPSMT"/>
        </w:rPr>
        <w:t>econdary objectives were</w:t>
      </w:r>
      <w:r>
        <w:rPr>
          <w:rFonts w:asciiTheme="minorHAnsi" w:eastAsiaTheme="minorHAnsi" w:hAnsiTheme="minorHAnsi" w:cs="TimesNewRomanPSMT"/>
        </w:rPr>
        <w:t xml:space="preserve"> to </w:t>
      </w:r>
      <w:r w:rsidRPr="00A635AF">
        <w:rPr>
          <w:rFonts w:asciiTheme="minorHAnsi" w:eastAsiaTheme="minorHAnsi" w:hAnsiTheme="minorHAnsi" w:cs="TimesNewRomanPSMT"/>
        </w:rPr>
        <w:t>evaluate the safety</w:t>
      </w:r>
      <w:r>
        <w:rPr>
          <w:rFonts w:asciiTheme="minorHAnsi" w:eastAsiaTheme="minorHAnsi" w:hAnsiTheme="minorHAnsi" w:cs="TimesNewRomanPSMT"/>
        </w:rPr>
        <w:t>/ tolerability,</w:t>
      </w:r>
      <w:r w:rsidR="00CC672B">
        <w:rPr>
          <w:rFonts w:asciiTheme="minorHAnsi" w:eastAsiaTheme="minorHAnsi" w:hAnsiTheme="minorHAnsi" w:cs="TimesNewRomanPSMT"/>
        </w:rPr>
        <w:t xml:space="preserve"> </w:t>
      </w:r>
      <w:r>
        <w:rPr>
          <w:rFonts w:asciiTheme="minorHAnsi" w:eastAsiaTheme="minorHAnsi" w:hAnsiTheme="minorHAnsi" w:cs="TimesNewRomanPSMT"/>
        </w:rPr>
        <w:t xml:space="preserve">effect on survival, on growth parameters, on </w:t>
      </w:r>
      <w:r w:rsidRPr="00A635AF">
        <w:rPr>
          <w:rFonts w:asciiTheme="minorHAnsi" w:eastAsiaTheme="minorHAnsi" w:hAnsiTheme="minorHAnsi" w:cs="TimesNewRomanPSMT"/>
        </w:rPr>
        <w:t>hepatomegaly, splenomegaly, and liver</w:t>
      </w:r>
      <w:r>
        <w:rPr>
          <w:rFonts w:asciiTheme="minorHAnsi" w:eastAsiaTheme="minorHAnsi" w:hAnsiTheme="minorHAnsi" w:cs="TimesNewRomanPSMT"/>
        </w:rPr>
        <w:t xml:space="preserve"> function on haematological parameters and PKs of </w:t>
      </w:r>
      <w:proofErr w:type="spellStart"/>
      <w:r>
        <w:rPr>
          <w:rFonts w:asciiTheme="minorHAnsi" w:eastAsiaTheme="minorHAnsi" w:hAnsiTheme="minorHAnsi" w:cs="TimesNewRomanPSMT"/>
        </w:rPr>
        <w:t>sebelipase</w:t>
      </w:r>
      <w:proofErr w:type="spellEnd"/>
      <w:r>
        <w:rPr>
          <w:rFonts w:asciiTheme="minorHAnsi" w:eastAsiaTheme="minorHAnsi" w:hAnsiTheme="minorHAnsi" w:cs="TimesNewRomanPSMT"/>
        </w:rPr>
        <w:t xml:space="preserve"> alfa (by IV infusion) in children with growth failure due to LAL deficiency. </w:t>
      </w:r>
      <w:r w:rsidRPr="002138FC">
        <w:rPr>
          <w:rFonts w:asciiTheme="minorHAnsi" w:eastAsiaTheme="minorHAnsi" w:hAnsiTheme="minorHAnsi" w:cs="TimesNewRomanPSMT"/>
        </w:rPr>
        <w:t xml:space="preserve">The </w:t>
      </w:r>
      <w:r w:rsidR="00C4359A">
        <w:rPr>
          <w:rFonts w:asciiTheme="minorHAnsi" w:eastAsiaTheme="minorHAnsi" w:hAnsiTheme="minorHAnsi" w:cs="TimesNewRomanPSMT"/>
        </w:rPr>
        <w:t>study</w:t>
      </w:r>
      <w:r w:rsidRPr="002138FC">
        <w:rPr>
          <w:rFonts w:asciiTheme="minorHAnsi" w:eastAsiaTheme="minorHAnsi" w:hAnsiTheme="minorHAnsi" w:cs="TimesNewRomanPSMT"/>
        </w:rPr>
        <w:t xml:space="preserve"> was conducted at 12 centres (9 primary centres in the UK, United States (US), France, Turkey, Saudi Arabia, Taiwan, Italy, and Egypt, and 3 qualified local medical centres in the UK,</w:t>
      </w:r>
      <w:r>
        <w:rPr>
          <w:rFonts w:asciiTheme="minorHAnsi" w:eastAsiaTheme="minorHAnsi" w:hAnsiTheme="minorHAnsi" w:cs="TimesNewRomanPSMT"/>
        </w:rPr>
        <w:t xml:space="preserve"> </w:t>
      </w:r>
      <w:r w:rsidRPr="00A635AF">
        <w:rPr>
          <w:rFonts w:asciiTheme="minorHAnsi" w:eastAsiaTheme="minorHAnsi" w:hAnsiTheme="minorHAnsi" w:cs="TimesNewRomanPSMT"/>
        </w:rPr>
        <w:t xml:space="preserve">France, and Ireland </w:t>
      </w:r>
      <w:r>
        <w:rPr>
          <w:rFonts w:asciiTheme="minorHAnsi" w:eastAsiaTheme="minorHAnsi" w:hAnsiTheme="minorHAnsi" w:cs="TimesNewRomanPSMT"/>
        </w:rPr>
        <w:t>(</w:t>
      </w:r>
      <w:r w:rsidRPr="00A635AF">
        <w:rPr>
          <w:rFonts w:asciiTheme="minorHAnsi" w:eastAsiaTheme="minorHAnsi" w:hAnsiTheme="minorHAnsi" w:cs="TimesNewRomanPSMT"/>
        </w:rPr>
        <w:t>where subjects who were medically stable could be transferred for</w:t>
      </w:r>
      <w:r>
        <w:rPr>
          <w:rFonts w:asciiTheme="minorHAnsi" w:eastAsiaTheme="minorHAnsi" w:hAnsiTheme="minorHAnsi" w:cs="TimesNewRomanPSMT"/>
        </w:rPr>
        <w:t xml:space="preserve"> </w:t>
      </w:r>
      <w:r w:rsidR="008F6668">
        <w:rPr>
          <w:rFonts w:asciiTheme="minorHAnsi" w:eastAsiaTheme="minorHAnsi" w:hAnsiTheme="minorHAnsi" w:cs="TimesNewRomanPSMT"/>
        </w:rPr>
        <w:t>long term</w:t>
      </w:r>
      <w:r w:rsidRPr="00A635AF">
        <w:rPr>
          <w:rFonts w:asciiTheme="minorHAnsi" w:eastAsiaTheme="minorHAnsi" w:hAnsiTheme="minorHAnsi" w:cs="TimesNewRomanPSMT"/>
        </w:rPr>
        <w:t xml:space="preserve"> treatmen</w:t>
      </w:r>
      <w:r>
        <w:rPr>
          <w:rFonts w:asciiTheme="minorHAnsi" w:eastAsiaTheme="minorHAnsi" w:hAnsiTheme="minorHAnsi" w:cs="TimesNewRomanPSMT"/>
        </w:rPr>
        <w:t xml:space="preserve">t) </w:t>
      </w:r>
      <w:r w:rsidRPr="00A635AF">
        <w:rPr>
          <w:rFonts w:asciiTheme="minorHAnsi" w:eastAsiaTheme="minorHAnsi" w:hAnsiTheme="minorHAnsi" w:cs="TimesNewRomanPSMT"/>
        </w:rPr>
        <w:t xml:space="preserve">from 4 May 2011 to 10 </w:t>
      </w:r>
      <w:r w:rsidR="00131B1C">
        <w:rPr>
          <w:rFonts w:asciiTheme="minorHAnsi" w:eastAsiaTheme="minorHAnsi" w:hAnsiTheme="minorHAnsi" w:cs="TimesNewRomanPSMT"/>
        </w:rPr>
        <w:t>June</w:t>
      </w:r>
      <w:r w:rsidRPr="00A635AF">
        <w:rPr>
          <w:rFonts w:asciiTheme="minorHAnsi" w:eastAsiaTheme="minorHAnsi" w:hAnsiTheme="minorHAnsi" w:cs="TimesNewRomanPSMT"/>
        </w:rPr>
        <w:t xml:space="preserve"> 2014 (data cut-off)</w:t>
      </w:r>
      <w:r w:rsidR="00B73619">
        <w:rPr>
          <w:rFonts w:asciiTheme="minorHAnsi" w:eastAsiaTheme="minorHAnsi" w:hAnsiTheme="minorHAnsi" w:cs="TimesNewRomanPSMT"/>
        </w:rPr>
        <w:t>.</w:t>
      </w:r>
    </w:p>
    <w:p w14:paraId="6FB72BAA" w14:textId="77777777" w:rsidR="00CC672B" w:rsidRDefault="00934213" w:rsidP="00934213">
      <w:pPr>
        <w:pStyle w:val="Heading5"/>
        <w:rPr>
          <w:rFonts w:eastAsiaTheme="minorHAnsi"/>
        </w:rPr>
      </w:pPr>
      <w:bookmarkStart w:id="248" w:name="_Toc290888505"/>
      <w:bookmarkStart w:id="249" w:name="_Toc416353721"/>
      <w:r w:rsidRPr="00884001">
        <w:rPr>
          <w:rFonts w:eastAsiaTheme="minorHAnsi"/>
        </w:rPr>
        <w:lastRenderedPageBreak/>
        <w:t>Inclusion/exc</w:t>
      </w:r>
      <w:r>
        <w:rPr>
          <w:rFonts w:eastAsiaTheme="minorHAnsi"/>
        </w:rPr>
        <w:t>l</w:t>
      </w:r>
      <w:r w:rsidRPr="00884001">
        <w:rPr>
          <w:rFonts w:eastAsiaTheme="minorHAnsi"/>
        </w:rPr>
        <w:t>usion criteria</w:t>
      </w:r>
    </w:p>
    <w:p w14:paraId="61131476" w14:textId="46EBD31E" w:rsidR="00B73619" w:rsidRDefault="00934213" w:rsidP="00934213">
      <w:pPr>
        <w:autoSpaceDE w:val="0"/>
        <w:autoSpaceDN w:val="0"/>
        <w:adjustRightInd w:val="0"/>
        <w:spacing w:before="0" w:line="240" w:lineRule="auto"/>
        <w:rPr>
          <w:rFonts w:asciiTheme="minorHAnsi" w:eastAsiaTheme="minorHAnsi" w:hAnsiTheme="minorHAnsi" w:cs="TimesNewRomanPSMT"/>
        </w:rPr>
      </w:pPr>
      <w:r w:rsidRPr="00A635AF">
        <w:rPr>
          <w:rFonts w:asciiTheme="minorHAnsi" w:eastAsiaTheme="minorHAnsi" w:hAnsiTheme="minorHAnsi" w:cs="TimesNewRomanPSMT"/>
        </w:rPr>
        <w:t>Male and female subjects with a confirmed diagnosis of LAL Deficiency who met</w:t>
      </w:r>
      <w:r>
        <w:rPr>
          <w:rFonts w:asciiTheme="minorHAnsi" w:eastAsiaTheme="minorHAnsi" w:hAnsiTheme="minorHAnsi" w:cs="TimesNewRomanPSMT"/>
        </w:rPr>
        <w:t xml:space="preserve"> </w:t>
      </w:r>
      <w:r w:rsidR="00FE3465">
        <w:rPr>
          <w:rFonts w:asciiTheme="minorHAnsi" w:eastAsiaTheme="minorHAnsi" w:hAnsiTheme="minorHAnsi" w:cs="TimesNewRomanPSMT"/>
        </w:rPr>
        <w:t>protocol defined</w:t>
      </w:r>
      <w:r w:rsidRPr="00A635AF">
        <w:rPr>
          <w:rFonts w:asciiTheme="minorHAnsi" w:eastAsiaTheme="minorHAnsi" w:hAnsiTheme="minorHAnsi" w:cs="TimesNewRomanPSMT"/>
        </w:rPr>
        <w:t xml:space="preserve"> criteria for growth failure within the first 6 months of life (or had other</w:t>
      </w:r>
      <w:r>
        <w:rPr>
          <w:rFonts w:asciiTheme="minorHAnsi" w:eastAsiaTheme="minorHAnsi" w:hAnsiTheme="minorHAnsi" w:cs="TimesNewRomanPSMT"/>
        </w:rPr>
        <w:t xml:space="preserve"> </w:t>
      </w:r>
      <w:r w:rsidRPr="00A635AF">
        <w:rPr>
          <w:rFonts w:asciiTheme="minorHAnsi" w:eastAsiaTheme="minorHAnsi" w:hAnsiTheme="minorHAnsi" w:cs="TimesNewRomanPSMT"/>
        </w:rPr>
        <w:t>clinical evidence of rapid disease progression requiring urgent medical intervention) were</w:t>
      </w:r>
      <w:r>
        <w:rPr>
          <w:rFonts w:asciiTheme="minorHAnsi" w:eastAsiaTheme="minorHAnsi" w:hAnsiTheme="minorHAnsi" w:cs="TimesNewRomanPSMT"/>
        </w:rPr>
        <w:t xml:space="preserve"> </w:t>
      </w:r>
      <w:r w:rsidRPr="00A635AF">
        <w:rPr>
          <w:rFonts w:asciiTheme="minorHAnsi" w:eastAsiaTheme="minorHAnsi" w:hAnsiTheme="minorHAnsi" w:cs="TimesNewRomanPSMT"/>
        </w:rPr>
        <w:t xml:space="preserve">eligible to participate in this </w:t>
      </w:r>
      <w:r w:rsidR="00C4359A">
        <w:rPr>
          <w:rFonts w:asciiTheme="minorHAnsi" w:eastAsiaTheme="minorHAnsi" w:hAnsiTheme="minorHAnsi" w:cs="TimesNewRomanPSMT"/>
        </w:rPr>
        <w:t>study</w:t>
      </w:r>
      <w:r w:rsidRPr="00A635AF">
        <w:rPr>
          <w:rFonts w:asciiTheme="minorHAnsi" w:eastAsiaTheme="minorHAnsi" w:hAnsiTheme="minorHAnsi" w:cs="TimesNewRomanPSMT"/>
        </w:rPr>
        <w:t xml:space="preserve">. Subjects who were </w:t>
      </w:r>
      <w:r w:rsidR="00B73619">
        <w:rPr>
          <w:rFonts w:asciiTheme="minorHAnsi" w:eastAsiaTheme="minorHAnsi" w:hAnsiTheme="minorHAnsi" w:cs="TimesNewRomanPSMT"/>
        </w:rPr>
        <w:t>&gt;</w:t>
      </w:r>
      <w:r w:rsidR="00CC672B">
        <w:rPr>
          <w:rFonts w:asciiTheme="minorHAnsi" w:eastAsiaTheme="minorHAnsi" w:hAnsiTheme="minorHAnsi" w:cs="TimesNewRomanPSMT"/>
        </w:rPr>
        <w:t xml:space="preserve"> </w:t>
      </w:r>
      <w:r w:rsidRPr="00A635AF">
        <w:rPr>
          <w:rFonts w:asciiTheme="minorHAnsi" w:eastAsiaTheme="minorHAnsi" w:hAnsiTheme="minorHAnsi" w:cs="TimesNewRomanPSMT"/>
        </w:rPr>
        <w:t>24 months of age or who had</w:t>
      </w:r>
      <w:r>
        <w:rPr>
          <w:rFonts w:asciiTheme="minorHAnsi" w:eastAsiaTheme="minorHAnsi" w:hAnsiTheme="minorHAnsi" w:cs="TimesNewRomanPSMT"/>
        </w:rPr>
        <w:t xml:space="preserve"> </w:t>
      </w:r>
      <w:r w:rsidRPr="00A635AF">
        <w:rPr>
          <w:rFonts w:asciiTheme="minorHAnsi" w:eastAsiaTheme="minorHAnsi" w:hAnsiTheme="minorHAnsi" w:cs="TimesNewRomanPSMT"/>
        </w:rPr>
        <w:t xml:space="preserve">received a transplant (haematopoietic stem cell transplant </w:t>
      </w:r>
      <w:r w:rsidR="00D074A0">
        <w:rPr>
          <w:rFonts w:asciiTheme="minorHAnsi" w:eastAsiaTheme="minorHAnsi" w:hAnsiTheme="minorHAnsi" w:cs="TimesNewRomanPSMT"/>
        </w:rPr>
        <w:t>(</w:t>
      </w:r>
      <w:r w:rsidRPr="00A635AF">
        <w:rPr>
          <w:rFonts w:asciiTheme="minorHAnsi" w:eastAsiaTheme="minorHAnsi" w:hAnsiTheme="minorHAnsi" w:cs="TimesNewRomanPSMT"/>
        </w:rPr>
        <w:t>HSCT</w:t>
      </w:r>
      <w:r w:rsidR="00D074A0">
        <w:rPr>
          <w:rFonts w:asciiTheme="minorHAnsi" w:eastAsiaTheme="minorHAnsi" w:hAnsiTheme="minorHAnsi" w:cs="TimesNewRomanPSMT"/>
        </w:rPr>
        <w:t>)</w:t>
      </w:r>
      <w:r w:rsidRPr="00A635AF">
        <w:rPr>
          <w:rFonts w:asciiTheme="minorHAnsi" w:eastAsiaTheme="minorHAnsi" w:hAnsiTheme="minorHAnsi" w:cs="TimesNewRomanPSMT"/>
        </w:rPr>
        <w:t xml:space="preserve"> or liver) or any</w:t>
      </w:r>
      <w:r>
        <w:rPr>
          <w:rFonts w:asciiTheme="minorHAnsi" w:eastAsiaTheme="minorHAnsi" w:hAnsiTheme="minorHAnsi" w:cs="TimesNewRomanPSMT"/>
        </w:rPr>
        <w:t xml:space="preserve"> </w:t>
      </w:r>
      <w:r w:rsidRPr="00A635AF">
        <w:rPr>
          <w:rFonts w:asciiTheme="minorHAnsi" w:eastAsiaTheme="minorHAnsi" w:hAnsiTheme="minorHAnsi" w:cs="TimesNewRomanPSMT"/>
        </w:rPr>
        <w:t xml:space="preserve">pre-transplant conditioning regimen were </w:t>
      </w:r>
      <w:r>
        <w:rPr>
          <w:rFonts w:asciiTheme="minorHAnsi" w:eastAsiaTheme="minorHAnsi" w:hAnsiTheme="minorHAnsi" w:cs="TimesNewRomanPSMT"/>
        </w:rPr>
        <w:t>excluded</w:t>
      </w:r>
      <w:r w:rsidR="00B73619">
        <w:rPr>
          <w:rFonts w:asciiTheme="minorHAnsi" w:eastAsiaTheme="minorHAnsi" w:hAnsiTheme="minorHAnsi" w:cs="TimesNewRomanPSMT"/>
        </w:rPr>
        <w:t>.</w:t>
      </w:r>
    </w:p>
    <w:p w14:paraId="3404EEE0" w14:textId="77777777" w:rsidR="00CC672B" w:rsidRDefault="00157E63" w:rsidP="00934213">
      <w:pPr>
        <w:pStyle w:val="Heading5"/>
        <w:rPr>
          <w:rFonts w:eastAsiaTheme="minorHAnsi"/>
        </w:rPr>
      </w:pPr>
      <w:r>
        <w:rPr>
          <w:rFonts w:eastAsiaTheme="minorHAnsi"/>
        </w:rPr>
        <w:t>Study</w:t>
      </w:r>
      <w:r w:rsidR="00934213" w:rsidRPr="00CA49B4">
        <w:rPr>
          <w:rFonts w:eastAsiaTheme="minorHAnsi"/>
        </w:rPr>
        <w:t xml:space="preserve"> treatment</w:t>
      </w:r>
    </w:p>
    <w:p w14:paraId="3C4CD274" w14:textId="600EEFED" w:rsidR="00934213" w:rsidRPr="00884001" w:rsidRDefault="00934213" w:rsidP="00934213">
      <w:pPr>
        <w:autoSpaceDE w:val="0"/>
        <w:autoSpaceDN w:val="0"/>
        <w:adjustRightInd w:val="0"/>
        <w:spacing w:before="0" w:line="240" w:lineRule="auto"/>
        <w:rPr>
          <w:rFonts w:asciiTheme="minorHAnsi" w:eastAsiaTheme="minorHAnsi" w:hAnsiTheme="minorHAnsi" w:cs="TimesNewRomanPSMT"/>
        </w:rPr>
      </w:pPr>
      <w:r w:rsidRPr="002138FC">
        <w:rPr>
          <w:rFonts w:asciiTheme="minorHAnsi" w:eastAsiaTheme="minorHAnsi" w:hAnsiTheme="minorHAnsi" w:cs="TimesNewRomanPSMT"/>
        </w:rPr>
        <w:t>A</w:t>
      </w:r>
      <w:r>
        <w:rPr>
          <w:rFonts w:asciiTheme="minorHAnsi" w:eastAsiaTheme="minorHAnsi" w:hAnsiTheme="minorHAnsi" w:cs="TimesNewRomanPSMT"/>
        </w:rPr>
        <w:t>ll eligible subjects</w:t>
      </w:r>
      <w:r>
        <w:rPr>
          <w:rStyle w:val="FootnoteReference"/>
          <w:rFonts w:asciiTheme="minorHAnsi" w:eastAsiaTheme="minorHAnsi" w:hAnsiTheme="minorHAnsi" w:cs="TimesNewRomanPSMT"/>
        </w:rPr>
        <w:footnoteReference w:id="26"/>
      </w:r>
      <w:r>
        <w:rPr>
          <w:rFonts w:asciiTheme="minorHAnsi" w:eastAsiaTheme="minorHAnsi" w:hAnsiTheme="minorHAnsi" w:cs="TimesNewRomanPSMT"/>
        </w:rPr>
        <w:t xml:space="preserve"> </w:t>
      </w:r>
      <w:r w:rsidRPr="002138FC">
        <w:rPr>
          <w:rFonts w:asciiTheme="minorHAnsi" w:eastAsiaTheme="minorHAnsi" w:hAnsiTheme="minorHAnsi" w:cs="TimesNewRomanPSMT"/>
        </w:rPr>
        <w:t>initiated</w:t>
      </w:r>
      <w:r>
        <w:rPr>
          <w:rFonts w:asciiTheme="minorHAnsi" w:eastAsiaTheme="minorHAnsi" w:hAnsiTheme="minorHAnsi" w:cs="TimesNewRomanPSMT"/>
        </w:rPr>
        <w:t xml:space="preserve"> </w:t>
      </w:r>
      <w:r w:rsidRPr="002138FC">
        <w:rPr>
          <w:rFonts w:asciiTheme="minorHAnsi" w:eastAsiaTheme="minorHAnsi" w:hAnsiTheme="minorHAnsi" w:cs="TimesNewRomanPSMT"/>
        </w:rPr>
        <w:t>weekly IV</w:t>
      </w:r>
      <w:r>
        <w:rPr>
          <w:rFonts w:asciiTheme="minorHAnsi" w:eastAsiaTheme="minorHAnsi" w:hAnsiTheme="minorHAnsi" w:cs="TimesNewRomanPSMT"/>
        </w:rPr>
        <w:t xml:space="preserve"> infusions with </w:t>
      </w:r>
      <w:proofErr w:type="spellStart"/>
      <w:r>
        <w:rPr>
          <w:rFonts w:asciiTheme="minorHAnsi" w:eastAsiaTheme="minorHAnsi" w:hAnsiTheme="minorHAnsi" w:cs="TimesNewRomanPSMT"/>
        </w:rPr>
        <w:t>sebelipase</w:t>
      </w:r>
      <w:proofErr w:type="spellEnd"/>
      <w:r>
        <w:rPr>
          <w:rFonts w:asciiTheme="minorHAnsi" w:eastAsiaTheme="minorHAnsi" w:hAnsiTheme="minorHAnsi" w:cs="TimesNewRomanPSMT"/>
        </w:rPr>
        <w:t xml:space="preserve"> alfa at a </w:t>
      </w:r>
      <w:r w:rsidR="00131B1C">
        <w:rPr>
          <w:rFonts w:asciiTheme="minorHAnsi" w:eastAsiaTheme="minorHAnsi" w:hAnsiTheme="minorHAnsi" w:cs="TimesNewRomanPSMT"/>
        </w:rPr>
        <w:t>starting dose of 0.35 </w:t>
      </w:r>
      <w:r w:rsidRPr="002138FC">
        <w:rPr>
          <w:rFonts w:asciiTheme="minorHAnsi" w:eastAsiaTheme="minorHAnsi" w:hAnsiTheme="minorHAnsi" w:cs="TimesNewRomanPSMT"/>
        </w:rPr>
        <w:t>mg/kg weekly (</w:t>
      </w:r>
      <w:proofErr w:type="spellStart"/>
      <w:r w:rsidRPr="002138FC">
        <w:rPr>
          <w:rFonts w:asciiTheme="minorHAnsi" w:eastAsiaTheme="minorHAnsi" w:hAnsiTheme="minorHAnsi" w:cs="TimesNewRomanPSMT"/>
        </w:rPr>
        <w:t>qw</w:t>
      </w:r>
      <w:proofErr w:type="spellEnd"/>
      <w:r w:rsidRPr="002138FC">
        <w:rPr>
          <w:rFonts w:asciiTheme="minorHAnsi" w:eastAsiaTheme="minorHAnsi" w:hAnsiTheme="minorHAnsi" w:cs="TimesNewRomanPSMT"/>
        </w:rPr>
        <w:t>), and were escalated</w:t>
      </w:r>
      <w:r>
        <w:rPr>
          <w:rFonts w:asciiTheme="minorHAnsi" w:eastAsiaTheme="minorHAnsi" w:hAnsiTheme="minorHAnsi" w:cs="TimesNewRomanPSMT"/>
        </w:rPr>
        <w:t xml:space="preserve"> </w:t>
      </w:r>
      <w:r w:rsidRPr="002138FC">
        <w:rPr>
          <w:rFonts w:asciiTheme="minorHAnsi" w:eastAsiaTheme="minorHAnsi" w:hAnsiTheme="minorHAnsi" w:cs="TimesNewRomanPSMT"/>
        </w:rPr>
        <w:t xml:space="preserve">to a dose of 1 mg/kg </w:t>
      </w:r>
      <w:proofErr w:type="spellStart"/>
      <w:r w:rsidRPr="002138FC">
        <w:rPr>
          <w:rFonts w:asciiTheme="minorHAnsi" w:eastAsiaTheme="minorHAnsi" w:hAnsiTheme="minorHAnsi" w:cs="TimesNewRomanPSMT"/>
        </w:rPr>
        <w:t>qw</w:t>
      </w:r>
      <w:proofErr w:type="spellEnd"/>
      <w:r w:rsidRPr="002138FC">
        <w:rPr>
          <w:rFonts w:asciiTheme="minorHAnsi" w:eastAsiaTheme="minorHAnsi" w:hAnsiTheme="minorHAnsi" w:cs="TimesNewRomanPSMT"/>
        </w:rPr>
        <w:t xml:space="preserve"> once acceptable safety and tolerability had been demonstrated</w:t>
      </w:r>
      <w:r>
        <w:rPr>
          <w:rFonts w:asciiTheme="minorHAnsi" w:eastAsiaTheme="minorHAnsi" w:hAnsiTheme="minorHAnsi" w:cs="TimesNewRomanPSMT"/>
        </w:rPr>
        <w:t xml:space="preserve"> </w:t>
      </w:r>
      <w:r w:rsidRPr="002138FC">
        <w:rPr>
          <w:rFonts w:asciiTheme="minorHAnsi" w:eastAsiaTheme="minorHAnsi" w:hAnsiTheme="minorHAnsi" w:cs="TimesNewRomanPSMT"/>
        </w:rPr>
        <w:t xml:space="preserve">during at least 2 infusions at the dose of 0.35 mg/kg. </w:t>
      </w:r>
      <w:proofErr w:type="gramStart"/>
      <w:r w:rsidR="001B7A56" w:rsidRPr="002138FC">
        <w:rPr>
          <w:rFonts w:asciiTheme="minorHAnsi" w:eastAsiaTheme="minorHAnsi" w:hAnsiTheme="minorHAnsi" w:cs="TimesNewRomanPSMT"/>
        </w:rPr>
        <w:t>Subjects</w:t>
      </w:r>
      <w:proofErr w:type="gramEnd"/>
      <w:r w:rsidR="001B7A56" w:rsidRPr="002138FC">
        <w:rPr>
          <w:rFonts w:asciiTheme="minorHAnsi" w:eastAsiaTheme="minorHAnsi" w:hAnsiTheme="minorHAnsi" w:cs="TimesNewRomanPSMT"/>
        </w:rPr>
        <w:t xml:space="preserve"> who had a suboptimal clinical response after receiving at least 4 infusions at a dose</w:t>
      </w:r>
      <w:r w:rsidR="001B7A56">
        <w:rPr>
          <w:rFonts w:asciiTheme="minorHAnsi" w:eastAsiaTheme="minorHAnsi" w:hAnsiTheme="minorHAnsi" w:cs="TimesNewRomanPSMT"/>
        </w:rPr>
        <w:t xml:space="preserve"> of 1 </w:t>
      </w:r>
      <w:r w:rsidR="001B7A56" w:rsidRPr="002138FC">
        <w:rPr>
          <w:rFonts w:asciiTheme="minorHAnsi" w:eastAsiaTheme="minorHAnsi" w:hAnsiTheme="minorHAnsi" w:cs="TimesNewRomanPSMT"/>
        </w:rPr>
        <w:t xml:space="preserve">mg/kg could be considered for a further dose escalation to 3 mg/kg </w:t>
      </w:r>
      <w:proofErr w:type="spellStart"/>
      <w:r w:rsidR="001B7A56" w:rsidRPr="002138FC">
        <w:rPr>
          <w:rFonts w:asciiTheme="minorHAnsi" w:eastAsiaTheme="minorHAnsi" w:hAnsiTheme="minorHAnsi" w:cs="TimesNewRomanPSMT"/>
        </w:rPr>
        <w:t>qw</w:t>
      </w:r>
      <w:proofErr w:type="spellEnd"/>
      <w:r w:rsidR="001B7A56" w:rsidRPr="002138FC">
        <w:rPr>
          <w:rFonts w:asciiTheme="minorHAnsi" w:eastAsiaTheme="minorHAnsi" w:hAnsiTheme="minorHAnsi" w:cs="TimesNewRomanPSMT"/>
        </w:rPr>
        <w:t xml:space="preserve">, </w:t>
      </w:r>
      <w:r w:rsidR="001B7A56">
        <w:rPr>
          <w:rFonts w:asciiTheme="minorHAnsi" w:eastAsiaTheme="minorHAnsi" w:hAnsiTheme="minorHAnsi" w:cs="TimesNewRomanPSMT"/>
        </w:rPr>
        <w:t xml:space="preserve">provided the preceding infusions showed </w:t>
      </w:r>
      <w:r w:rsidR="001B7A56" w:rsidRPr="002138FC">
        <w:rPr>
          <w:rFonts w:asciiTheme="minorHAnsi" w:eastAsiaTheme="minorHAnsi" w:hAnsiTheme="minorHAnsi" w:cs="TimesNewRomanPSMT"/>
        </w:rPr>
        <w:t xml:space="preserve">acceptable safety and tolerability. </w:t>
      </w:r>
      <w:proofErr w:type="gramStart"/>
      <w:r w:rsidRPr="002138FC">
        <w:rPr>
          <w:rFonts w:asciiTheme="minorHAnsi" w:eastAsiaTheme="minorHAnsi" w:hAnsiTheme="minorHAnsi" w:cs="TimesNewRomanPSMT"/>
        </w:rPr>
        <w:t xml:space="preserve">Subjects on </w:t>
      </w:r>
      <w:r w:rsidR="008F6668">
        <w:rPr>
          <w:rFonts w:asciiTheme="minorHAnsi" w:eastAsiaTheme="minorHAnsi" w:hAnsiTheme="minorHAnsi" w:cs="TimesNewRomanPSMT"/>
        </w:rPr>
        <w:t>long term</w:t>
      </w:r>
      <w:r w:rsidRPr="002138FC">
        <w:rPr>
          <w:rFonts w:asciiTheme="minorHAnsi" w:eastAsiaTheme="minorHAnsi" w:hAnsiTheme="minorHAnsi" w:cs="TimesNewRomanPSMT"/>
        </w:rPr>
        <w:t xml:space="preserve"> treatment</w:t>
      </w:r>
      <w:r>
        <w:rPr>
          <w:rFonts w:asciiTheme="minorHAnsi" w:eastAsiaTheme="minorHAnsi" w:hAnsiTheme="minorHAnsi" w:cs="TimesNewRomanPSMT"/>
        </w:rPr>
        <w:t xml:space="preserve"> </w:t>
      </w:r>
      <w:r w:rsidRPr="002138FC">
        <w:rPr>
          <w:rFonts w:asciiTheme="minorHAnsi" w:eastAsiaTheme="minorHAnsi" w:hAnsiTheme="minorHAnsi" w:cs="TimesNewRomanPSMT"/>
        </w:rPr>
        <w:t xml:space="preserve">(at least 96 weeks) who had been on a stable dose of </w:t>
      </w:r>
      <w:proofErr w:type="spellStart"/>
      <w:r w:rsidRPr="002138FC">
        <w:rPr>
          <w:rFonts w:asciiTheme="minorHAnsi" w:eastAsiaTheme="minorHAnsi" w:hAnsiTheme="minorHAnsi" w:cs="TimesNewRomanPSMT"/>
        </w:rPr>
        <w:t>sebelipase</w:t>
      </w:r>
      <w:proofErr w:type="spellEnd"/>
      <w:r w:rsidRPr="002138FC">
        <w:rPr>
          <w:rFonts w:asciiTheme="minorHAnsi" w:eastAsiaTheme="minorHAnsi" w:hAnsiTheme="minorHAnsi" w:cs="TimesNewRomanPSMT"/>
        </w:rPr>
        <w:t xml:space="preserve"> alfa for at least 24 weeks could be considered for a reduction in infusion frequency to every-other-week (</w:t>
      </w:r>
      <w:proofErr w:type="spellStart"/>
      <w:r w:rsidRPr="002138FC">
        <w:rPr>
          <w:rFonts w:asciiTheme="minorHAnsi" w:eastAsiaTheme="minorHAnsi" w:hAnsiTheme="minorHAnsi" w:cs="TimesNewRomanPSMT"/>
        </w:rPr>
        <w:t>qow</w:t>
      </w:r>
      <w:proofErr w:type="spellEnd"/>
      <w:r w:rsidRPr="002138FC">
        <w:rPr>
          <w:rFonts w:asciiTheme="minorHAnsi" w:eastAsiaTheme="minorHAnsi" w:hAnsiTheme="minorHAnsi" w:cs="TimesNewRomanPSMT"/>
        </w:rPr>
        <w:t xml:space="preserve">) infusions of </w:t>
      </w:r>
      <w:proofErr w:type="spellStart"/>
      <w:r w:rsidRPr="002138FC">
        <w:rPr>
          <w:rFonts w:asciiTheme="minorHAnsi" w:eastAsiaTheme="minorHAnsi" w:hAnsiTheme="minorHAnsi" w:cs="TimesNewRomanPSMT"/>
        </w:rPr>
        <w:t>sebelipase</w:t>
      </w:r>
      <w:proofErr w:type="spellEnd"/>
      <w:r w:rsidRPr="002138FC">
        <w:rPr>
          <w:rFonts w:asciiTheme="minorHAnsi" w:eastAsiaTheme="minorHAnsi" w:hAnsiTheme="minorHAnsi" w:cs="TimesNewRomanPSMT"/>
        </w:rPr>
        <w:t xml:space="preserve"> alfa.</w:t>
      </w:r>
      <w:proofErr w:type="gramEnd"/>
      <w:r w:rsidRPr="002138FC">
        <w:rPr>
          <w:rFonts w:asciiTheme="minorHAnsi" w:eastAsiaTheme="minorHAnsi" w:hAnsiTheme="minorHAnsi" w:cs="TimesNewRomanPSMT"/>
        </w:rPr>
        <w:t xml:space="preserve"> Such subjects received </w:t>
      </w:r>
      <w:proofErr w:type="spellStart"/>
      <w:r w:rsidRPr="002138FC">
        <w:rPr>
          <w:rFonts w:asciiTheme="minorHAnsi" w:eastAsiaTheme="minorHAnsi" w:hAnsiTheme="minorHAnsi" w:cs="TimesNewRomanPSMT"/>
        </w:rPr>
        <w:t>sebelipase</w:t>
      </w:r>
      <w:proofErr w:type="spellEnd"/>
      <w:r w:rsidRPr="002138FC">
        <w:rPr>
          <w:rFonts w:asciiTheme="minorHAnsi" w:eastAsiaTheme="minorHAnsi" w:hAnsiTheme="minorHAnsi" w:cs="TimesNewRomanPSMT"/>
        </w:rPr>
        <w:t xml:space="preserve"> alfa at the same dose (per infusion) that they had been receiving on their stable </w:t>
      </w:r>
      <w:proofErr w:type="spellStart"/>
      <w:r w:rsidRPr="002138FC">
        <w:rPr>
          <w:rFonts w:asciiTheme="minorHAnsi" w:eastAsiaTheme="minorHAnsi" w:hAnsiTheme="minorHAnsi" w:cs="TimesNewRomanPSMT"/>
        </w:rPr>
        <w:t>qw</w:t>
      </w:r>
      <w:proofErr w:type="spellEnd"/>
      <w:r w:rsidRPr="002138FC">
        <w:rPr>
          <w:rFonts w:asciiTheme="minorHAnsi" w:eastAsiaTheme="minorHAnsi" w:hAnsiTheme="minorHAnsi" w:cs="TimesNewRomanPSMT"/>
        </w:rPr>
        <w:t xml:space="preserve"> dosing schedule. Any subject receiving </w:t>
      </w:r>
      <w:proofErr w:type="spellStart"/>
      <w:r w:rsidRPr="002138FC">
        <w:rPr>
          <w:rFonts w:asciiTheme="minorHAnsi" w:eastAsiaTheme="minorHAnsi" w:hAnsiTheme="minorHAnsi" w:cs="TimesNewRomanPSMT"/>
        </w:rPr>
        <w:t>qow</w:t>
      </w:r>
      <w:proofErr w:type="spellEnd"/>
      <w:r w:rsidRPr="002138FC">
        <w:rPr>
          <w:rFonts w:asciiTheme="minorHAnsi" w:eastAsiaTheme="minorHAnsi" w:hAnsiTheme="minorHAnsi" w:cs="TimesNewRomanPSMT"/>
        </w:rPr>
        <w:t xml:space="preserve"> dosing who subsequently met criteria for a suboptimal clinical response was to either revert to his/her stable </w:t>
      </w:r>
      <w:proofErr w:type="spellStart"/>
      <w:r w:rsidRPr="002138FC">
        <w:rPr>
          <w:rFonts w:asciiTheme="minorHAnsi" w:eastAsiaTheme="minorHAnsi" w:hAnsiTheme="minorHAnsi" w:cs="TimesNewRomanPSMT"/>
        </w:rPr>
        <w:t>qw</w:t>
      </w:r>
      <w:proofErr w:type="spellEnd"/>
      <w:r w:rsidRPr="002138FC">
        <w:rPr>
          <w:rFonts w:asciiTheme="minorHAnsi" w:eastAsiaTheme="minorHAnsi" w:hAnsiTheme="minorHAnsi" w:cs="TimesNewRomanPSMT"/>
        </w:rPr>
        <w:t xml:space="preserve"> dosing schedule or, if applicable, escalate in dose from</w:t>
      </w:r>
      <w:r>
        <w:rPr>
          <w:rFonts w:asciiTheme="minorHAnsi" w:eastAsiaTheme="minorHAnsi" w:hAnsiTheme="minorHAnsi" w:cs="TimesNewRomanPSMT"/>
        </w:rPr>
        <w:t xml:space="preserve"> </w:t>
      </w:r>
      <w:r w:rsidRPr="002138FC">
        <w:rPr>
          <w:rFonts w:asciiTheme="minorHAnsi" w:eastAsiaTheme="minorHAnsi" w:hAnsiTheme="minorHAnsi" w:cs="TimesNewRomanPSMT"/>
        </w:rPr>
        <w:t xml:space="preserve">1 mg/kg </w:t>
      </w:r>
      <w:proofErr w:type="spellStart"/>
      <w:r w:rsidRPr="002138FC">
        <w:rPr>
          <w:rFonts w:asciiTheme="minorHAnsi" w:eastAsiaTheme="minorHAnsi" w:hAnsiTheme="minorHAnsi" w:cs="TimesNewRomanPSMT"/>
        </w:rPr>
        <w:t>qow</w:t>
      </w:r>
      <w:proofErr w:type="spellEnd"/>
      <w:r w:rsidRPr="002138FC">
        <w:rPr>
          <w:rFonts w:asciiTheme="minorHAnsi" w:eastAsiaTheme="minorHAnsi" w:hAnsiTheme="minorHAnsi" w:cs="TimesNewRomanPSMT"/>
        </w:rPr>
        <w:t xml:space="preserve"> to 3 mg/kg </w:t>
      </w:r>
      <w:proofErr w:type="spellStart"/>
      <w:r w:rsidRPr="002138FC">
        <w:rPr>
          <w:rFonts w:asciiTheme="minorHAnsi" w:eastAsiaTheme="minorHAnsi" w:hAnsiTheme="minorHAnsi" w:cs="TimesNewRomanPSMT"/>
        </w:rPr>
        <w:t>qow</w:t>
      </w:r>
      <w:proofErr w:type="spellEnd"/>
      <w:r w:rsidRPr="002138FC">
        <w:rPr>
          <w:rFonts w:asciiTheme="minorHAnsi" w:eastAsiaTheme="minorHAnsi" w:hAnsiTheme="minorHAnsi" w:cs="TimesNewRomanPSMT"/>
        </w:rPr>
        <w:t>. Dose reductions were permitted in the event of poor</w:t>
      </w:r>
      <w:r>
        <w:rPr>
          <w:rFonts w:asciiTheme="minorHAnsi" w:eastAsiaTheme="minorHAnsi" w:hAnsiTheme="minorHAnsi" w:cs="TimesNewRomanPSMT"/>
        </w:rPr>
        <w:t xml:space="preserve"> </w:t>
      </w:r>
      <w:r w:rsidRPr="002138FC">
        <w:rPr>
          <w:rFonts w:asciiTheme="minorHAnsi" w:eastAsiaTheme="minorHAnsi" w:hAnsiTheme="minorHAnsi" w:cs="TimesNewRomanPSMT"/>
        </w:rPr>
        <w:t xml:space="preserve">tolerability. </w:t>
      </w:r>
      <w:r>
        <w:rPr>
          <w:rFonts w:asciiTheme="minorHAnsi" w:eastAsiaTheme="minorHAnsi" w:hAnsiTheme="minorHAnsi" w:cs="TimesNewRomanPSMT"/>
        </w:rPr>
        <w:t xml:space="preserve">A protocol amendment allowed for increase </w:t>
      </w:r>
      <w:r w:rsidRPr="00884001">
        <w:rPr>
          <w:rFonts w:asciiTheme="minorHAnsi" w:eastAsiaTheme="minorHAnsi" w:hAnsiTheme="minorHAnsi" w:cs="TimesNewRomanPSMT"/>
        </w:rPr>
        <w:t xml:space="preserve">in dose to </w:t>
      </w:r>
      <w:r w:rsidR="00131B1C">
        <w:rPr>
          <w:rFonts w:asciiTheme="minorHAnsi" w:eastAsiaTheme="minorHAnsi" w:hAnsiTheme="minorHAnsi" w:cs="TimesNewRomanPSMT"/>
        </w:rPr>
        <w:t>5 mg</w:t>
      </w:r>
      <w:r w:rsidRPr="00884001">
        <w:rPr>
          <w:rFonts w:asciiTheme="minorHAnsi" w:eastAsiaTheme="minorHAnsi" w:hAnsiTheme="minorHAnsi" w:cs="TimesNewRomanPSMT"/>
        </w:rPr>
        <w:t xml:space="preserve">/kg </w:t>
      </w:r>
      <w:proofErr w:type="spellStart"/>
      <w:r w:rsidRPr="00884001">
        <w:rPr>
          <w:rFonts w:asciiTheme="minorHAnsi" w:eastAsiaTheme="minorHAnsi" w:hAnsiTheme="minorHAnsi" w:cs="TimesNewRomanPSMT"/>
        </w:rPr>
        <w:t>qw</w:t>
      </w:r>
      <w:proofErr w:type="spellEnd"/>
      <w:r w:rsidRPr="00884001">
        <w:rPr>
          <w:rFonts w:asciiTheme="minorHAnsi" w:eastAsiaTheme="minorHAnsi" w:hAnsiTheme="minorHAnsi" w:cs="TimesNewRomanPSMT"/>
        </w:rPr>
        <w:t xml:space="preserve"> in subjects showing suboptimal clinical response to </w:t>
      </w:r>
      <w:r w:rsidR="00131B1C">
        <w:rPr>
          <w:rFonts w:asciiTheme="minorHAnsi" w:eastAsiaTheme="minorHAnsi" w:hAnsiTheme="minorHAnsi" w:cs="TimesNewRomanPSMT"/>
        </w:rPr>
        <w:t>3 mg</w:t>
      </w:r>
      <w:r w:rsidRPr="00884001">
        <w:rPr>
          <w:rFonts w:asciiTheme="minorHAnsi" w:eastAsiaTheme="minorHAnsi" w:hAnsiTheme="minorHAnsi" w:cs="TimesNewRomanPSMT"/>
        </w:rPr>
        <w:t xml:space="preserve">/kg </w:t>
      </w:r>
      <w:proofErr w:type="spellStart"/>
      <w:r w:rsidRPr="00884001">
        <w:rPr>
          <w:rFonts w:asciiTheme="minorHAnsi" w:eastAsiaTheme="minorHAnsi" w:hAnsiTheme="minorHAnsi" w:cs="TimesNewRomanPSMT"/>
        </w:rPr>
        <w:t>qw</w:t>
      </w:r>
      <w:proofErr w:type="spellEnd"/>
      <w:r w:rsidRPr="00E75C61">
        <w:rPr>
          <w:rFonts w:asciiTheme="minorHAnsi" w:eastAsiaTheme="minorHAnsi" w:hAnsiTheme="minorHAnsi" w:cs="TimesNewRomanPSMT"/>
        </w:rPr>
        <w:t xml:space="preserve"> </w:t>
      </w:r>
      <w:r>
        <w:rPr>
          <w:rFonts w:asciiTheme="minorHAnsi" w:eastAsiaTheme="minorHAnsi" w:hAnsiTheme="minorHAnsi" w:cs="TimesNewRomanPSMT"/>
        </w:rPr>
        <w:t xml:space="preserve">due to emerging data that some subjects were developing antibodies to </w:t>
      </w:r>
      <w:proofErr w:type="spellStart"/>
      <w:r>
        <w:rPr>
          <w:rFonts w:asciiTheme="minorHAnsi" w:eastAsiaTheme="minorHAnsi" w:hAnsiTheme="minorHAnsi" w:cs="TimesNewRomanPSMT"/>
        </w:rPr>
        <w:t>sebelipase</w:t>
      </w:r>
      <w:proofErr w:type="spellEnd"/>
      <w:r>
        <w:rPr>
          <w:rFonts w:asciiTheme="minorHAnsi" w:eastAsiaTheme="minorHAnsi" w:hAnsiTheme="minorHAnsi" w:cs="TimesNewRomanPSMT"/>
        </w:rPr>
        <w:t xml:space="preserve"> a</w:t>
      </w:r>
      <w:r w:rsidR="004F183D">
        <w:rPr>
          <w:rFonts w:asciiTheme="minorHAnsi" w:eastAsiaTheme="minorHAnsi" w:hAnsiTheme="minorHAnsi" w:cs="TimesNewRomanPSMT"/>
        </w:rPr>
        <w:t>lfa (which may impact efficacy)</w:t>
      </w:r>
      <w:r w:rsidRPr="00884001">
        <w:rPr>
          <w:rFonts w:asciiTheme="minorHAnsi" w:eastAsiaTheme="minorHAnsi" w:hAnsiTheme="minorHAnsi" w:cs="TimesNewRomanPSMT"/>
        </w:rPr>
        <w:t xml:space="preserve">. The duration of each subject’s treatment in the </w:t>
      </w:r>
      <w:r w:rsidR="00C4359A">
        <w:rPr>
          <w:rFonts w:asciiTheme="minorHAnsi" w:eastAsiaTheme="minorHAnsi" w:hAnsiTheme="minorHAnsi" w:cs="TimesNewRomanPSMT"/>
        </w:rPr>
        <w:t>study</w:t>
      </w:r>
      <w:r w:rsidRPr="00884001">
        <w:rPr>
          <w:rFonts w:asciiTheme="minorHAnsi" w:eastAsiaTheme="minorHAnsi" w:hAnsiTheme="minorHAnsi" w:cs="TimesNewRomanPSMT"/>
        </w:rPr>
        <w:t xml:space="preserve"> was expected to be at least 18 months,</w:t>
      </w:r>
      <w:r>
        <w:rPr>
          <w:rFonts w:asciiTheme="minorHAnsi" w:eastAsiaTheme="minorHAnsi" w:hAnsiTheme="minorHAnsi" w:cs="TimesNewRomanPSMT"/>
        </w:rPr>
        <w:t xml:space="preserve"> </w:t>
      </w:r>
      <w:r w:rsidRPr="00884001">
        <w:rPr>
          <w:rFonts w:asciiTheme="minorHAnsi" w:eastAsiaTheme="minorHAnsi" w:hAnsiTheme="minorHAnsi" w:cs="TimesNewRomanPSMT"/>
        </w:rPr>
        <w:t xml:space="preserve">and subjects could continue to receive treatment in the </w:t>
      </w:r>
      <w:r w:rsidR="00C4359A">
        <w:rPr>
          <w:rFonts w:asciiTheme="minorHAnsi" w:eastAsiaTheme="minorHAnsi" w:hAnsiTheme="minorHAnsi" w:cs="TimesNewRomanPSMT"/>
        </w:rPr>
        <w:t>study</w:t>
      </w:r>
      <w:r w:rsidRPr="00884001">
        <w:rPr>
          <w:rFonts w:asciiTheme="minorHAnsi" w:eastAsiaTheme="minorHAnsi" w:hAnsiTheme="minorHAnsi" w:cs="TimesNewRomanPSMT"/>
        </w:rPr>
        <w:t xml:space="preserve"> for up to up to 4 years.</w:t>
      </w:r>
    </w:p>
    <w:p w14:paraId="6A328621" w14:textId="77777777" w:rsidR="00CC672B" w:rsidRDefault="00934213" w:rsidP="00934213">
      <w:pPr>
        <w:pStyle w:val="Heading5"/>
        <w:rPr>
          <w:rFonts w:eastAsiaTheme="minorHAnsi"/>
        </w:rPr>
      </w:pPr>
      <w:r w:rsidRPr="00CA49B4">
        <w:rPr>
          <w:rFonts w:eastAsiaTheme="minorHAnsi"/>
        </w:rPr>
        <w:t>Efficacy endpoints</w:t>
      </w:r>
    </w:p>
    <w:p w14:paraId="2F507F99" w14:textId="77777777" w:rsidR="00131B1C" w:rsidRDefault="00934213" w:rsidP="00934213">
      <w:pPr>
        <w:autoSpaceDE w:val="0"/>
        <w:autoSpaceDN w:val="0"/>
        <w:adjustRightInd w:val="0"/>
        <w:spacing w:before="0" w:line="240" w:lineRule="auto"/>
        <w:rPr>
          <w:rFonts w:asciiTheme="minorHAnsi" w:eastAsiaTheme="minorHAnsi" w:hAnsiTheme="minorHAnsi" w:cs="TimesNewRomanPSMT"/>
        </w:rPr>
      </w:pPr>
      <w:r w:rsidRPr="00884001">
        <w:rPr>
          <w:rFonts w:asciiTheme="minorHAnsi" w:eastAsiaTheme="minorHAnsi" w:hAnsiTheme="minorHAnsi" w:cs="TimesNewRomanPSMT"/>
        </w:rPr>
        <w:t>The primary efficacy endpoint was the proportion of subjects in the Primary Efficacy Set</w:t>
      </w:r>
      <w:r>
        <w:rPr>
          <w:rFonts w:asciiTheme="minorHAnsi" w:eastAsiaTheme="minorHAnsi" w:hAnsiTheme="minorHAnsi" w:cs="TimesNewRomanPSMT"/>
        </w:rPr>
        <w:t xml:space="preserve"> </w:t>
      </w:r>
      <w:r w:rsidRPr="00884001">
        <w:rPr>
          <w:rFonts w:asciiTheme="minorHAnsi" w:eastAsiaTheme="minorHAnsi" w:hAnsiTheme="minorHAnsi" w:cs="TimesNewRomanPSMT"/>
        </w:rPr>
        <w:t>(PES) surviving to 12 months of age.</w:t>
      </w:r>
    </w:p>
    <w:p w14:paraId="3E3BE1BB" w14:textId="77777777" w:rsidR="00131B1C" w:rsidRDefault="00934213" w:rsidP="00934213">
      <w:pPr>
        <w:autoSpaceDE w:val="0"/>
        <w:autoSpaceDN w:val="0"/>
        <w:adjustRightInd w:val="0"/>
        <w:spacing w:before="0" w:line="240" w:lineRule="auto"/>
        <w:rPr>
          <w:rFonts w:asciiTheme="minorHAnsi" w:eastAsiaTheme="minorHAnsi" w:hAnsiTheme="minorHAnsi" w:cs="TimesNewRomanPSMT"/>
        </w:rPr>
      </w:pPr>
      <w:r w:rsidRPr="00884001">
        <w:rPr>
          <w:rFonts w:asciiTheme="minorHAnsi" w:eastAsiaTheme="minorHAnsi" w:hAnsiTheme="minorHAnsi" w:cs="TimesNewRomanPSMT"/>
        </w:rPr>
        <w:t>Second</w:t>
      </w:r>
      <w:r w:rsidR="00131B1C">
        <w:rPr>
          <w:rFonts w:asciiTheme="minorHAnsi" w:eastAsiaTheme="minorHAnsi" w:hAnsiTheme="minorHAnsi" w:cs="TimesNewRomanPSMT"/>
        </w:rPr>
        <w:t>ary efficacy endpoints included:</w:t>
      </w:r>
    </w:p>
    <w:p w14:paraId="1A4F91E9" w14:textId="77777777" w:rsidR="00131B1C" w:rsidRDefault="00934213" w:rsidP="00131B1C">
      <w:pPr>
        <w:pStyle w:val="Numberbullet2"/>
      </w:pPr>
      <w:r w:rsidRPr="00884001">
        <w:t>the proportion of subjects surviving at 18 and</w:t>
      </w:r>
      <w:r>
        <w:t xml:space="preserve"> </w:t>
      </w:r>
      <w:r w:rsidR="00131B1C">
        <w:t>24 months of age;</w:t>
      </w:r>
    </w:p>
    <w:p w14:paraId="799D5C5A" w14:textId="77777777" w:rsidR="00131B1C" w:rsidRDefault="00131B1C" w:rsidP="00131B1C">
      <w:pPr>
        <w:pStyle w:val="Numberbullet2"/>
      </w:pPr>
      <w:r>
        <w:t>median age at death;</w:t>
      </w:r>
    </w:p>
    <w:p w14:paraId="24ECD831" w14:textId="3817429F" w:rsidR="00131B1C" w:rsidRDefault="00934213" w:rsidP="00131B1C">
      <w:pPr>
        <w:pStyle w:val="Numberbullet2"/>
      </w:pPr>
      <w:r w:rsidRPr="00884001">
        <w:t xml:space="preserve">changes </w:t>
      </w:r>
      <w:r w:rsidR="00DE644C">
        <w:t>from Baseline</w:t>
      </w:r>
      <w:r w:rsidRPr="00884001">
        <w:t xml:space="preserve"> in percentiles and/or</w:t>
      </w:r>
      <w:r>
        <w:t xml:space="preserve"> </w:t>
      </w:r>
      <w:r w:rsidRPr="00884001">
        <w:t>Z-scores for weight-for-age (WFA), weight-for-length or height (WFL/WFH), length or</w:t>
      </w:r>
      <w:r>
        <w:t xml:space="preserve"> </w:t>
      </w:r>
      <w:r w:rsidRPr="00884001">
        <w:t>height-for-Age (LFA/HFA), head circumference-for-age (HCFA), and mid-upper arm</w:t>
      </w:r>
      <w:r>
        <w:t xml:space="preserve"> </w:t>
      </w:r>
      <w:r w:rsidRPr="00884001">
        <w:t>circumference-for-age</w:t>
      </w:r>
      <w:r w:rsidR="00131B1C">
        <w:t xml:space="preserve"> (MUACFA);</w:t>
      </w:r>
    </w:p>
    <w:p w14:paraId="2D2E8E11" w14:textId="77777777" w:rsidR="00131B1C" w:rsidRDefault="00934213" w:rsidP="00131B1C">
      <w:pPr>
        <w:pStyle w:val="Numberbullet2"/>
      </w:pPr>
      <w:r w:rsidRPr="00884001">
        <w:t>dichotomous growth status indicators of</w:t>
      </w:r>
      <w:r>
        <w:t xml:space="preserve"> </w:t>
      </w:r>
      <w:r w:rsidRPr="00884001">
        <w:t>unde</w:t>
      </w:r>
      <w:r w:rsidR="00131B1C">
        <w:t>rweight, wasting, and stunting;</w:t>
      </w:r>
    </w:p>
    <w:p w14:paraId="6E0CF9D7" w14:textId="5B24C782" w:rsidR="00131B1C" w:rsidRDefault="001B7A56" w:rsidP="00131B1C">
      <w:pPr>
        <w:pStyle w:val="Numberbullet2"/>
      </w:pPr>
      <w:r w:rsidRPr="00884001">
        <w:t xml:space="preserve">changes </w:t>
      </w:r>
      <w:r>
        <w:t>from Baseline</w:t>
      </w:r>
      <w:r w:rsidRPr="00884001">
        <w:t xml:space="preserve"> in alanine aminotransferase</w:t>
      </w:r>
      <w:r>
        <w:t xml:space="preserve"> </w:t>
      </w:r>
      <w:r w:rsidRPr="00884001">
        <w:t>(ALT), aspartate aminotransferase</w:t>
      </w:r>
      <w:r>
        <w:t xml:space="preserve"> (AST), and serum ferritin; and</w:t>
      </w:r>
    </w:p>
    <w:p w14:paraId="02D99AE1" w14:textId="77777777" w:rsidR="00934213" w:rsidRPr="00884001" w:rsidRDefault="00934213" w:rsidP="00131B1C">
      <w:pPr>
        <w:pStyle w:val="Numberbullet2"/>
      </w:pPr>
      <w:proofErr w:type="gramStart"/>
      <w:r w:rsidRPr="00884001">
        <w:t>normalisation</w:t>
      </w:r>
      <w:proofErr w:type="gramEnd"/>
      <w:r w:rsidRPr="00884001">
        <w:t xml:space="preserve"> of</w:t>
      </w:r>
      <w:r>
        <w:t xml:space="preserve"> </w:t>
      </w:r>
      <w:r w:rsidRPr="00884001">
        <w:t>h</w:t>
      </w:r>
      <w:r>
        <w:t>a</w:t>
      </w:r>
      <w:r w:rsidRPr="00884001">
        <w:t>emoglobin levels without requirement for blood transfusion.</w:t>
      </w:r>
    </w:p>
    <w:p w14:paraId="71176142" w14:textId="77777777" w:rsidR="00CC672B" w:rsidRDefault="00934213" w:rsidP="00934213">
      <w:pPr>
        <w:pStyle w:val="Heading5"/>
        <w:rPr>
          <w:rFonts w:eastAsiaTheme="minorHAnsi"/>
        </w:rPr>
      </w:pPr>
      <w:r w:rsidRPr="00CA49B4">
        <w:rPr>
          <w:rFonts w:eastAsiaTheme="minorHAnsi"/>
        </w:rPr>
        <w:t>Sample size and statistical methods</w:t>
      </w:r>
    </w:p>
    <w:p w14:paraId="28FB11AC" w14:textId="77777777" w:rsidR="00934213" w:rsidRPr="00884001" w:rsidRDefault="00934213" w:rsidP="00934213">
      <w:pPr>
        <w:autoSpaceDE w:val="0"/>
        <w:autoSpaceDN w:val="0"/>
        <w:adjustRightInd w:val="0"/>
        <w:spacing w:before="0" w:line="240" w:lineRule="auto"/>
        <w:rPr>
          <w:rFonts w:asciiTheme="minorHAnsi" w:eastAsiaTheme="minorHAnsi" w:hAnsiTheme="minorHAnsi" w:cs="TimesNewRomanPSMT"/>
        </w:rPr>
      </w:pPr>
      <w:r w:rsidRPr="00884001">
        <w:rPr>
          <w:rFonts w:asciiTheme="minorHAnsi" w:eastAsiaTheme="minorHAnsi" w:hAnsiTheme="minorHAnsi" w:cs="TimesNewRomanPSMT"/>
        </w:rPr>
        <w:t>Sample size was based on feasibility, and took into account the rarity of the disease.</w:t>
      </w:r>
      <w:r>
        <w:rPr>
          <w:rFonts w:asciiTheme="minorHAnsi" w:eastAsiaTheme="minorHAnsi" w:hAnsiTheme="minorHAnsi" w:cs="TimesNewRomanPSMT"/>
        </w:rPr>
        <w:t xml:space="preserve"> </w:t>
      </w:r>
      <w:r w:rsidRPr="00884001">
        <w:rPr>
          <w:rFonts w:asciiTheme="minorHAnsi" w:eastAsiaTheme="minorHAnsi" w:hAnsiTheme="minorHAnsi" w:cs="TimesNewRomanPSMT"/>
        </w:rPr>
        <w:t>Supportive sample size calculations indicated that the planned enrolment of at least</w:t>
      </w:r>
      <w:r>
        <w:rPr>
          <w:rFonts w:asciiTheme="minorHAnsi" w:eastAsiaTheme="minorHAnsi" w:hAnsiTheme="minorHAnsi" w:cs="TimesNewRomanPSMT"/>
        </w:rPr>
        <w:t xml:space="preserve"> </w:t>
      </w:r>
      <w:r w:rsidRPr="00884001">
        <w:rPr>
          <w:rFonts w:asciiTheme="minorHAnsi" w:eastAsiaTheme="minorHAnsi" w:hAnsiTheme="minorHAnsi" w:cs="TimesNewRomanPSMT"/>
        </w:rPr>
        <w:t>8 subject</w:t>
      </w:r>
      <w:r w:rsidR="00131B1C">
        <w:rPr>
          <w:rFonts w:asciiTheme="minorHAnsi" w:eastAsiaTheme="minorHAnsi" w:hAnsiTheme="minorHAnsi" w:cs="TimesNewRomanPSMT"/>
        </w:rPr>
        <w:t xml:space="preserve">s who were </w:t>
      </w:r>
      <w:r w:rsidR="00131B1C">
        <w:rPr>
          <w:rFonts w:asciiTheme="minorHAnsi" w:eastAsiaTheme="minorHAnsi" w:hAnsiTheme="minorHAnsi" w:cs="TimesNewRomanPSMT"/>
        </w:rPr>
        <w:lastRenderedPageBreak/>
        <w:t>≤ </w:t>
      </w:r>
      <w:r w:rsidRPr="00884001">
        <w:rPr>
          <w:rFonts w:asciiTheme="minorHAnsi" w:eastAsiaTheme="minorHAnsi" w:hAnsiTheme="minorHAnsi" w:cs="TimesNewRomanPSMT"/>
        </w:rPr>
        <w:t>8 months of age on the date of their first infusion (and therefore</w:t>
      </w:r>
      <w:r>
        <w:rPr>
          <w:rFonts w:asciiTheme="minorHAnsi" w:eastAsiaTheme="minorHAnsi" w:hAnsiTheme="minorHAnsi" w:cs="TimesNewRomanPSMT"/>
        </w:rPr>
        <w:t xml:space="preserve"> </w:t>
      </w:r>
      <w:r w:rsidRPr="00884001">
        <w:rPr>
          <w:rFonts w:asciiTheme="minorHAnsi" w:eastAsiaTheme="minorHAnsi" w:hAnsiTheme="minorHAnsi" w:cs="TimesNewRomanPSMT"/>
        </w:rPr>
        <w:t>eligible for the primary efficacy analysis), would be adequate to facilitate a comparison of</w:t>
      </w:r>
      <w:r>
        <w:rPr>
          <w:rFonts w:asciiTheme="minorHAnsi" w:eastAsiaTheme="minorHAnsi" w:hAnsiTheme="minorHAnsi" w:cs="TimesNewRomanPSMT"/>
        </w:rPr>
        <w:t xml:space="preserve"> </w:t>
      </w:r>
      <w:r w:rsidRPr="00884001">
        <w:rPr>
          <w:rFonts w:asciiTheme="minorHAnsi" w:eastAsiaTheme="minorHAnsi" w:hAnsiTheme="minorHAnsi" w:cs="TimesNewRomanPSMT"/>
        </w:rPr>
        <w:t>survival with a historical control group of untreated infants with growth failure due to</w:t>
      </w:r>
      <w:r>
        <w:rPr>
          <w:rFonts w:asciiTheme="minorHAnsi" w:eastAsiaTheme="minorHAnsi" w:hAnsiTheme="minorHAnsi" w:cs="TimesNewRomanPSMT"/>
        </w:rPr>
        <w:t xml:space="preserve"> </w:t>
      </w:r>
      <w:r w:rsidR="00131B1C">
        <w:rPr>
          <w:rFonts w:asciiTheme="minorHAnsi" w:eastAsiaTheme="minorHAnsi" w:hAnsiTheme="minorHAnsi" w:cs="TimesNewRomanPSMT"/>
        </w:rPr>
        <w:t>LAL Deficiency (</w:t>
      </w:r>
      <w:r w:rsidR="00157E63">
        <w:rPr>
          <w:rFonts w:asciiTheme="minorHAnsi" w:eastAsiaTheme="minorHAnsi" w:hAnsiTheme="minorHAnsi" w:cs="TimesNewRomanPSMT"/>
        </w:rPr>
        <w:t>Study</w:t>
      </w:r>
      <w:r w:rsidR="00131B1C">
        <w:rPr>
          <w:rFonts w:asciiTheme="minorHAnsi" w:eastAsiaTheme="minorHAnsi" w:hAnsiTheme="minorHAnsi" w:cs="TimesNewRomanPSMT"/>
        </w:rPr>
        <w:t xml:space="preserve"> LAL</w:t>
      </w:r>
      <w:r w:rsidR="00131B1C">
        <w:rPr>
          <w:rFonts w:asciiTheme="minorHAnsi" w:eastAsiaTheme="minorHAnsi" w:hAnsiTheme="minorHAnsi" w:cs="TimesNewRomanPSMT"/>
        </w:rPr>
        <w:noBreakHyphen/>
        <w:t>1</w:t>
      </w:r>
      <w:r w:rsidR="00131B1C">
        <w:rPr>
          <w:rFonts w:asciiTheme="minorHAnsi" w:eastAsiaTheme="minorHAnsi" w:hAnsiTheme="minorHAnsi" w:cs="TimesNewRomanPSMT"/>
        </w:rPr>
        <w:noBreakHyphen/>
      </w:r>
      <w:r w:rsidRPr="00884001">
        <w:rPr>
          <w:rFonts w:asciiTheme="minorHAnsi" w:eastAsiaTheme="minorHAnsi" w:hAnsiTheme="minorHAnsi" w:cs="TimesNewRomanPSMT"/>
        </w:rPr>
        <w:t>NH01).</w:t>
      </w:r>
    </w:p>
    <w:p w14:paraId="42E1C53B" w14:textId="77777777" w:rsidR="00934213" w:rsidRPr="00884001" w:rsidRDefault="00934213" w:rsidP="00934213">
      <w:pPr>
        <w:autoSpaceDE w:val="0"/>
        <w:autoSpaceDN w:val="0"/>
        <w:adjustRightInd w:val="0"/>
        <w:spacing w:before="0" w:line="240" w:lineRule="auto"/>
        <w:rPr>
          <w:rFonts w:asciiTheme="minorHAnsi" w:eastAsiaTheme="minorHAnsi" w:hAnsiTheme="minorHAnsi" w:cs="TimesNewRomanPSMT"/>
        </w:rPr>
      </w:pPr>
      <w:r w:rsidRPr="00884001">
        <w:rPr>
          <w:rFonts w:asciiTheme="minorHAnsi" w:eastAsiaTheme="minorHAnsi" w:hAnsiTheme="minorHAnsi" w:cs="TimesNewRomanPSMT"/>
        </w:rPr>
        <w:t>The Full Analysis Set (FAS) and the Primary Efficacy Analysis Set (PES) were identical,</w:t>
      </w:r>
      <w:r>
        <w:rPr>
          <w:rFonts w:asciiTheme="minorHAnsi" w:eastAsiaTheme="minorHAnsi" w:hAnsiTheme="minorHAnsi" w:cs="TimesNewRomanPSMT"/>
        </w:rPr>
        <w:t xml:space="preserve"> </w:t>
      </w:r>
      <w:r w:rsidRPr="00884001">
        <w:rPr>
          <w:rFonts w:asciiTheme="minorHAnsi" w:eastAsiaTheme="minorHAnsi" w:hAnsiTheme="minorHAnsi" w:cs="TimesNewRomanPSMT"/>
        </w:rPr>
        <w:t xml:space="preserve">both including the 9 enrolled subjects who received any amount of </w:t>
      </w:r>
      <w:proofErr w:type="spellStart"/>
      <w:r w:rsidRPr="00884001">
        <w:rPr>
          <w:rFonts w:asciiTheme="minorHAnsi" w:eastAsiaTheme="minorHAnsi" w:hAnsiTheme="minorHAnsi" w:cs="TimesNewRomanPSMT"/>
        </w:rPr>
        <w:t>sebelipase</w:t>
      </w:r>
      <w:proofErr w:type="spellEnd"/>
      <w:r w:rsidRPr="00884001">
        <w:rPr>
          <w:rFonts w:asciiTheme="minorHAnsi" w:eastAsiaTheme="minorHAnsi" w:hAnsiTheme="minorHAnsi" w:cs="TimesNewRomanPSMT"/>
        </w:rPr>
        <w:t xml:space="preserve"> alfa (FAS), all</w:t>
      </w:r>
      <w:r>
        <w:rPr>
          <w:rFonts w:asciiTheme="minorHAnsi" w:eastAsiaTheme="minorHAnsi" w:hAnsiTheme="minorHAnsi" w:cs="TimesNewRomanPSMT"/>
        </w:rPr>
        <w:t xml:space="preserve"> </w:t>
      </w:r>
      <w:r w:rsidRPr="00884001">
        <w:rPr>
          <w:rFonts w:asciiTheme="minorHAnsi" w:eastAsiaTheme="minorHAnsi" w:hAnsiTheme="minorHAnsi" w:cs="TimesNewRomanPSMT"/>
        </w:rPr>
        <w:t xml:space="preserve">of whom were also ≤ 8 months of age on the date of their first infusion of </w:t>
      </w:r>
      <w:proofErr w:type="spellStart"/>
      <w:r w:rsidRPr="00884001">
        <w:rPr>
          <w:rFonts w:asciiTheme="minorHAnsi" w:eastAsiaTheme="minorHAnsi" w:hAnsiTheme="minorHAnsi" w:cs="TimesNewRomanPSMT"/>
        </w:rPr>
        <w:t>sebelipase</w:t>
      </w:r>
      <w:proofErr w:type="spellEnd"/>
      <w:r w:rsidRPr="00884001">
        <w:rPr>
          <w:rFonts w:asciiTheme="minorHAnsi" w:eastAsiaTheme="minorHAnsi" w:hAnsiTheme="minorHAnsi" w:cs="TimesNewRomanPSMT"/>
        </w:rPr>
        <w:t xml:space="preserve"> alfa</w:t>
      </w:r>
      <w:r>
        <w:rPr>
          <w:rFonts w:asciiTheme="minorHAnsi" w:eastAsiaTheme="minorHAnsi" w:hAnsiTheme="minorHAnsi" w:cs="TimesNewRomanPSMT"/>
        </w:rPr>
        <w:t xml:space="preserve"> </w:t>
      </w:r>
      <w:r w:rsidRPr="00884001">
        <w:rPr>
          <w:rFonts w:asciiTheme="minorHAnsi" w:eastAsiaTheme="minorHAnsi" w:hAnsiTheme="minorHAnsi" w:cs="TimesNewRomanPSMT"/>
        </w:rPr>
        <w:t>(PES). The Per Protocol Set (PPS) included the 7 subjects in the PES who received at least</w:t>
      </w:r>
      <w:r>
        <w:rPr>
          <w:rFonts w:asciiTheme="minorHAnsi" w:eastAsiaTheme="minorHAnsi" w:hAnsiTheme="minorHAnsi" w:cs="TimesNewRomanPSMT"/>
        </w:rPr>
        <w:t xml:space="preserve"> </w:t>
      </w:r>
      <w:r w:rsidRPr="00884001">
        <w:rPr>
          <w:rFonts w:asciiTheme="minorHAnsi" w:eastAsiaTheme="minorHAnsi" w:hAnsiTheme="minorHAnsi" w:cs="TimesNewRomanPSMT"/>
        </w:rPr>
        <w:t xml:space="preserve">4 complete infusions of </w:t>
      </w:r>
      <w:proofErr w:type="spellStart"/>
      <w:r w:rsidRPr="00884001">
        <w:rPr>
          <w:rFonts w:asciiTheme="minorHAnsi" w:eastAsiaTheme="minorHAnsi" w:hAnsiTheme="minorHAnsi" w:cs="TimesNewRomanPSMT"/>
        </w:rPr>
        <w:t>sebelipase</w:t>
      </w:r>
      <w:proofErr w:type="spellEnd"/>
      <w:r w:rsidRPr="00884001">
        <w:rPr>
          <w:rFonts w:asciiTheme="minorHAnsi" w:eastAsiaTheme="minorHAnsi" w:hAnsiTheme="minorHAnsi" w:cs="TimesNewRomanPSMT"/>
        </w:rPr>
        <w:t xml:space="preserve"> alfa.</w:t>
      </w:r>
    </w:p>
    <w:p w14:paraId="6A5848CA" w14:textId="77777777" w:rsidR="00CC672B" w:rsidRDefault="00934213" w:rsidP="00934213">
      <w:pPr>
        <w:pStyle w:val="Heading5"/>
        <w:rPr>
          <w:rFonts w:eastAsiaTheme="minorHAnsi"/>
        </w:rPr>
      </w:pPr>
      <w:r w:rsidRPr="00CA49B4">
        <w:rPr>
          <w:rFonts w:eastAsiaTheme="minorHAnsi"/>
        </w:rPr>
        <w:t>Patient disposition and baseline data</w:t>
      </w:r>
    </w:p>
    <w:p w14:paraId="57ED5DD9" w14:textId="77777777" w:rsidR="00B73619" w:rsidRDefault="00934213" w:rsidP="00934213">
      <w:pPr>
        <w:autoSpaceDE w:val="0"/>
        <w:autoSpaceDN w:val="0"/>
        <w:adjustRightInd w:val="0"/>
        <w:spacing w:before="0" w:line="240" w:lineRule="auto"/>
        <w:rPr>
          <w:rFonts w:asciiTheme="minorHAnsi" w:eastAsiaTheme="minorHAnsi" w:hAnsiTheme="minorHAnsi" w:cs="TimesNewRomanPSMT"/>
        </w:rPr>
      </w:pPr>
      <w:r w:rsidRPr="00CA49B4">
        <w:rPr>
          <w:rFonts w:asciiTheme="minorHAnsi" w:eastAsiaTheme="minorHAnsi" w:hAnsiTheme="minorHAnsi" w:cs="TimesNewRomanPSMT"/>
        </w:rPr>
        <w:t>Eleven subjects were screened, 2 of whom died during screening. The other 9 subjects were</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enrolled and treated in the </w:t>
      </w:r>
      <w:r w:rsidR="00C4359A">
        <w:rPr>
          <w:rFonts w:asciiTheme="minorHAnsi" w:eastAsiaTheme="minorHAnsi" w:hAnsiTheme="minorHAnsi" w:cs="TimesNewRomanPSMT"/>
        </w:rPr>
        <w:t>study</w:t>
      </w:r>
      <w:r w:rsidRPr="00CA49B4">
        <w:rPr>
          <w:rFonts w:asciiTheme="minorHAnsi" w:eastAsiaTheme="minorHAnsi" w:hAnsiTheme="minorHAnsi" w:cs="TimesNewRomanPSMT"/>
        </w:rPr>
        <w:t>. As of the data cut-off, 6 subjects continue to receive</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treatment in the </w:t>
      </w:r>
      <w:r w:rsidR="00C4359A">
        <w:rPr>
          <w:rFonts w:asciiTheme="minorHAnsi" w:eastAsiaTheme="minorHAnsi" w:hAnsiTheme="minorHAnsi" w:cs="TimesNewRomanPSMT"/>
        </w:rPr>
        <w:t>study</w:t>
      </w:r>
      <w:r w:rsidRPr="00CA49B4">
        <w:rPr>
          <w:rFonts w:asciiTheme="minorHAnsi" w:eastAsiaTheme="minorHAnsi" w:hAnsiTheme="minorHAnsi" w:cs="TimesNewRomanPSMT"/>
        </w:rPr>
        <w:t xml:space="preserve"> and 3 subjects </w:t>
      </w:r>
      <w:r>
        <w:rPr>
          <w:rFonts w:asciiTheme="minorHAnsi" w:eastAsiaTheme="minorHAnsi" w:hAnsiTheme="minorHAnsi" w:cs="TimesNewRomanPSMT"/>
        </w:rPr>
        <w:t xml:space="preserve">were terminated </w:t>
      </w:r>
      <w:r w:rsidRPr="00CA49B4">
        <w:rPr>
          <w:rFonts w:asciiTheme="minorHAnsi" w:eastAsiaTheme="minorHAnsi" w:hAnsiTheme="minorHAnsi" w:cs="TimesNewRomanPSMT"/>
        </w:rPr>
        <w:t xml:space="preserve">early </w:t>
      </w:r>
      <w:r>
        <w:rPr>
          <w:rFonts w:asciiTheme="minorHAnsi" w:eastAsiaTheme="minorHAnsi" w:hAnsiTheme="minorHAnsi" w:cs="TimesNewRomanPSMT"/>
        </w:rPr>
        <w:t>d</w:t>
      </w:r>
      <w:r w:rsidRPr="00CA49B4">
        <w:rPr>
          <w:rFonts w:asciiTheme="minorHAnsi" w:eastAsiaTheme="minorHAnsi" w:hAnsiTheme="minorHAnsi" w:cs="TimesNewRomanPSMT"/>
        </w:rPr>
        <w:t>ue to death prior to</w:t>
      </w:r>
      <w:r>
        <w:rPr>
          <w:rFonts w:asciiTheme="minorHAnsi" w:eastAsiaTheme="minorHAnsi" w:hAnsiTheme="minorHAnsi" w:cs="TimesNewRomanPSMT"/>
        </w:rPr>
        <w:t xml:space="preserve"> </w:t>
      </w:r>
      <w:r w:rsidRPr="00CA49B4">
        <w:rPr>
          <w:rFonts w:asciiTheme="minorHAnsi" w:eastAsiaTheme="minorHAnsi" w:hAnsiTheme="minorHAnsi" w:cs="TimesNewRomanPSMT"/>
        </w:rPr>
        <w:t>12 months of age.</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The </w:t>
      </w:r>
      <w:r w:rsidR="00C4359A">
        <w:rPr>
          <w:rFonts w:asciiTheme="minorHAnsi" w:eastAsiaTheme="minorHAnsi" w:hAnsiTheme="minorHAnsi" w:cs="TimesNewRomanPSMT"/>
        </w:rPr>
        <w:t>study</w:t>
      </w:r>
      <w:r w:rsidRPr="00CA49B4">
        <w:rPr>
          <w:rFonts w:asciiTheme="minorHAnsi" w:eastAsiaTheme="minorHAnsi" w:hAnsiTheme="minorHAnsi" w:cs="TimesNewRomanPSMT"/>
        </w:rPr>
        <w:t xml:space="preserve"> population was 56% male and 44% female. Of the 6 subjects for whom race data</w:t>
      </w:r>
      <w:r>
        <w:rPr>
          <w:rFonts w:asciiTheme="minorHAnsi" w:eastAsiaTheme="minorHAnsi" w:hAnsiTheme="minorHAnsi" w:cs="TimesNewRomanPSMT"/>
        </w:rPr>
        <w:t xml:space="preserve"> were available, 4 were W</w:t>
      </w:r>
      <w:r w:rsidRPr="00CA49B4">
        <w:rPr>
          <w:rFonts w:asciiTheme="minorHAnsi" w:eastAsiaTheme="minorHAnsi" w:hAnsiTheme="minorHAnsi" w:cs="TimesNewRomanPSMT"/>
        </w:rPr>
        <w:t xml:space="preserve">hite, 1 was </w:t>
      </w:r>
      <w:r>
        <w:rPr>
          <w:rFonts w:asciiTheme="minorHAnsi" w:eastAsiaTheme="minorHAnsi" w:hAnsiTheme="minorHAnsi" w:cs="TimesNewRomanPSMT"/>
        </w:rPr>
        <w:t>B</w:t>
      </w:r>
      <w:r w:rsidRPr="00CA49B4">
        <w:rPr>
          <w:rFonts w:asciiTheme="minorHAnsi" w:eastAsiaTheme="minorHAnsi" w:hAnsiTheme="minorHAnsi" w:cs="TimesNewRomanPSMT"/>
        </w:rPr>
        <w:t>lack, and 1 was Asian. Median age at initiation of</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treatment with </w:t>
      </w:r>
      <w:proofErr w:type="spellStart"/>
      <w:r w:rsidRPr="00CA49B4">
        <w:rPr>
          <w:rFonts w:asciiTheme="minorHAnsi" w:eastAsiaTheme="minorHAnsi" w:hAnsiTheme="minorHAnsi" w:cs="TimesNewRomanPSMT"/>
        </w:rPr>
        <w:t>sebelipase</w:t>
      </w:r>
      <w:proofErr w:type="spellEnd"/>
      <w:r w:rsidRPr="00CA49B4">
        <w:rPr>
          <w:rFonts w:asciiTheme="minorHAnsi" w:eastAsiaTheme="minorHAnsi" w:hAnsiTheme="minorHAnsi" w:cs="TimesNewRomanPSMT"/>
        </w:rPr>
        <w:t xml:space="preserve"> alfa was 3.0 months (range</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1.1 to 5.8 months)</w:t>
      </w:r>
      <w:r w:rsidR="00B73619">
        <w:rPr>
          <w:rFonts w:asciiTheme="minorHAnsi" w:eastAsiaTheme="minorHAnsi" w:hAnsiTheme="minorHAnsi" w:cs="TimesNewRomanPSMT"/>
        </w:rPr>
        <w:t>.</w:t>
      </w:r>
    </w:p>
    <w:p w14:paraId="48364053" w14:textId="24F7446A" w:rsidR="00934213" w:rsidRPr="00CA49B4" w:rsidRDefault="00934213" w:rsidP="00934213">
      <w:pPr>
        <w:autoSpaceDE w:val="0"/>
        <w:autoSpaceDN w:val="0"/>
        <w:adjustRightInd w:val="0"/>
        <w:spacing w:before="0" w:line="240" w:lineRule="auto"/>
        <w:rPr>
          <w:rFonts w:asciiTheme="minorHAnsi" w:eastAsiaTheme="minorHAnsi" w:hAnsiTheme="minorHAnsi" w:cs="TimesNewRomanPSMT"/>
        </w:rPr>
      </w:pPr>
      <w:r w:rsidRPr="00CA49B4">
        <w:rPr>
          <w:rFonts w:asciiTheme="minorHAnsi" w:eastAsiaTheme="minorHAnsi" w:hAnsiTheme="minorHAnsi" w:cs="TimesNewRomanPSMT"/>
        </w:rPr>
        <w:t>All subjects had confirmed LAL Deficiency based on LAL enzyme activity measured in</w:t>
      </w:r>
      <w:r>
        <w:rPr>
          <w:rFonts w:asciiTheme="minorHAnsi" w:eastAsiaTheme="minorHAnsi" w:hAnsiTheme="minorHAnsi" w:cs="TimesNewRomanPSMT"/>
        </w:rPr>
        <w:t xml:space="preserve"> </w:t>
      </w:r>
      <w:r w:rsidRPr="00CA49B4">
        <w:rPr>
          <w:rFonts w:asciiTheme="minorHAnsi" w:eastAsiaTheme="minorHAnsi" w:hAnsiTheme="minorHAnsi" w:cs="TimesNewRomanPSMT"/>
        </w:rPr>
        <w:t>peripheral blood mononuclear cells (PBMC, range</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 xml:space="preserve">5.1 to 69 </w:t>
      </w:r>
      <w:r w:rsidR="00DE644C">
        <w:rPr>
          <w:rFonts w:asciiTheme="minorHAnsi" w:eastAsiaTheme="minorHAnsi" w:hAnsiTheme="minorHAnsi" w:cs="TimesNewRomanPSMT"/>
        </w:rPr>
        <w:t>µ</w:t>
      </w:r>
      <w:proofErr w:type="spellStart"/>
      <w:r w:rsidRPr="00CA49B4">
        <w:rPr>
          <w:rFonts w:asciiTheme="minorHAnsi" w:eastAsiaTheme="minorHAnsi" w:hAnsiTheme="minorHAnsi" w:cs="TimesNewRomanPSMT"/>
        </w:rPr>
        <w:t>mol</w:t>
      </w:r>
      <w:proofErr w:type="spellEnd"/>
      <w:r w:rsidRPr="00CA49B4">
        <w:rPr>
          <w:rFonts w:asciiTheme="minorHAnsi" w:eastAsiaTheme="minorHAnsi" w:hAnsiTheme="minorHAnsi" w:cs="TimesNewRomanPSMT"/>
        </w:rPr>
        <w:t>/g/hr,</w:t>
      </w:r>
      <w:r>
        <w:rPr>
          <w:rFonts w:asciiTheme="minorHAnsi" w:eastAsiaTheme="minorHAnsi" w:hAnsiTheme="minorHAnsi" w:cs="TimesNewRomanPSMT"/>
        </w:rPr>
        <w:t xml:space="preserve"> </w:t>
      </w:r>
      <w:r w:rsidRPr="00CA49B4">
        <w:rPr>
          <w:rFonts w:asciiTheme="minorHAnsi" w:eastAsiaTheme="minorHAnsi" w:hAnsiTheme="minorHAnsi" w:cs="TimesNewRomanPSMT"/>
        </w:rPr>
        <w:t>LLN</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 xml:space="preserve">350 </w:t>
      </w:r>
      <w:r w:rsidR="00DE644C">
        <w:rPr>
          <w:rFonts w:asciiTheme="minorHAnsi" w:eastAsiaTheme="minorHAnsi" w:hAnsiTheme="minorHAnsi" w:cs="TimesNewRomanPSMT"/>
        </w:rPr>
        <w:t>µ</w:t>
      </w:r>
      <w:proofErr w:type="spellStart"/>
      <w:r w:rsidRPr="00CA49B4">
        <w:rPr>
          <w:rFonts w:asciiTheme="minorHAnsi" w:eastAsiaTheme="minorHAnsi" w:hAnsiTheme="minorHAnsi" w:cs="TimesNewRomanPSMT"/>
        </w:rPr>
        <w:t>mol</w:t>
      </w:r>
      <w:proofErr w:type="spellEnd"/>
      <w:r w:rsidRPr="00CA49B4">
        <w:rPr>
          <w:rFonts w:asciiTheme="minorHAnsi" w:eastAsiaTheme="minorHAnsi" w:hAnsiTheme="minorHAnsi" w:cs="TimesNewRomanPSMT"/>
        </w:rPr>
        <w:t>/g/hr) and/or in a reconstituted dried blood spot (DBS) assayed at the</w:t>
      </w:r>
      <w:r>
        <w:rPr>
          <w:rFonts w:asciiTheme="minorHAnsi" w:eastAsiaTheme="minorHAnsi" w:hAnsiTheme="minorHAnsi" w:cs="TimesNewRomanPSMT"/>
        </w:rPr>
        <w:t xml:space="preserve"> </w:t>
      </w:r>
      <w:r w:rsidRPr="00CA49B4">
        <w:rPr>
          <w:rFonts w:asciiTheme="minorHAnsi" w:eastAsiaTheme="minorHAnsi" w:hAnsiTheme="minorHAnsi" w:cs="TimesNewRomanPSMT"/>
        </w:rPr>
        <w:t>central lab (range</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 xml:space="preserve">0.004 </w:t>
      </w:r>
      <w:r w:rsidR="00157E63">
        <w:rPr>
          <w:rFonts w:asciiTheme="minorHAnsi" w:eastAsiaTheme="minorHAnsi" w:hAnsiTheme="minorHAnsi" w:cs="TimesNewRomanPSMT"/>
        </w:rPr>
        <w:t>to 0.018 </w:t>
      </w:r>
      <w:proofErr w:type="spellStart"/>
      <w:r w:rsidRPr="00CA49B4">
        <w:rPr>
          <w:rFonts w:asciiTheme="minorHAnsi" w:eastAsiaTheme="minorHAnsi" w:hAnsiTheme="minorHAnsi" w:cs="TimesNewRomanPSMT"/>
        </w:rPr>
        <w:t>nmol</w:t>
      </w:r>
      <w:proofErr w:type="spellEnd"/>
      <w:r w:rsidRPr="00CA49B4">
        <w:rPr>
          <w:rFonts w:asciiTheme="minorHAnsi" w:eastAsiaTheme="minorHAnsi" w:hAnsiTheme="minorHAnsi" w:cs="TimesNewRomanPSMT"/>
        </w:rPr>
        <w:t>/punch; affected range</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 xml:space="preserve">0 to 0.016 </w:t>
      </w:r>
      <w:proofErr w:type="spellStart"/>
      <w:r w:rsidRPr="00CA49B4">
        <w:rPr>
          <w:rFonts w:asciiTheme="minorHAnsi" w:eastAsiaTheme="minorHAnsi" w:hAnsiTheme="minorHAnsi" w:cs="TimesNewRomanPSMT"/>
        </w:rPr>
        <w:t>nmol</w:t>
      </w:r>
      <w:proofErr w:type="spellEnd"/>
      <w:r w:rsidRPr="00CA49B4">
        <w:rPr>
          <w:rFonts w:asciiTheme="minorHAnsi" w:eastAsiaTheme="minorHAnsi" w:hAnsiTheme="minorHAnsi" w:cs="TimesNewRomanPSMT"/>
        </w:rPr>
        <w:t>/punch)</w:t>
      </w:r>
      <w:r>
        <w:rPr>
          <w:rFonts w:asciiTheme="minorHAnsi" w:eastAsiaTheme="minorHAnsi" w:hAnsiTheme="minorHAnsi" w:cs="TimesNewRomanPSMT"/>
        </w:rPr>
        <w:t xml:space="preserve"> </w:t>
      </w:r>
      <w:r w:rsidRPr="00CA49B4">
        <w:rPr>
          <w:rFonts w:asciiTheme="minorHAnsi" w:eastAsiaTheme="minorHAnsi" w:hAnsiTheme="minorHAnsi" w:cs="TimesNewRomanPSMT"/>
        </w:rPr>
        <w:t>or a local lab (</w:t>
      </w:r>
      <w:r w:rsidR="00A87AAC">
        <w:rPr>
          <w:rFonts w:asciiTheme="minorHAnsi" w:eastAsiaTheme="minorHAnsi" w:hAnsiTheme="minorHAnsi" w:cs="TimesNewRomanPSMT"/>
        </w:rPr>
        <w:t xml:space="preserve">&lt; </w:t>
      </w:r>
      <w:r w:rsidRPr="00CA49B4">
        <w:rPr>
          <w:rFonts w:asciiTheme="minorHAnsi" w:eastAsiaTheme="minorHAnsi" w:hAnsiTheme="minorHAnsi" w:cs="TimesNewRomanPSMT"/>
        </w:rPr>
        <w:t xml:space="preserve">0.02 </w:t>
      </w:r>
      <w:proofErr w:type="spellStart"/>
      <w:r w:rsidRPr="00CA49B4">
        <w:rPr>
          <w:rFonts w:asciiTheme="minorHAnsi" w:eastAsiaTheme="minorHAnsi" w:hAnsiTheme="minorHAnsi" w:cs="TimesNewRomanPSMT"/>
        </w:rPr>
        <w:t>nmol</w:t>
      </w:r>
      <w:proofErr w:type="spellEnd"/>
      <w:r w:rsidRPr="00CA49B4">
        <w:rPr>
          <w:rFonts w:asciiTheme="minorHAnsi" w:eastAsiaTheme="minorHAnsi" w:hAnsiTheme="minorHAnsi" w:cs="TimesNewRomanPSMT"/>
        </w:rPr>
        <w:t xml:space="preserve">/punch; lower limit of normal </w:t>
      </w:r>
      <w:r w:rsidR="00D074A0">
        <w:rPr>
          <w:rFonts w:asciiTheme="minorHAnsi" w:eastAsiaTheme="minorHAnsi" w:hAnsiTheme="minorHAnsi" w:cs="TimesNewRomanPSMT"/>
        </w:rPr>
        <w:t>(</w:t>
      </w:r>
      <w:r w:rsidRPr="00CA49B4">
        <w:rPr>
          <w:rFonts w:asciiTheme="minorHAnsi" w:eastAsiaTheme="minorHAnsi" w:hAnsiTheme="minorHAnsi" w:cs="TimesNewRomanPSMT"/>
        </w:rPr>
        <w:t>LLN</w:t>
      </w:r>
      <w:r w:rsidR="00D074A0">
        <w:rPr>
          <w:rFonts w:asciiTheme="minorHAnsi" w:eastAsiaTheme="minorHAnsi" w:hAnsiTheme="minorHAnsi" w:cs="TimesNewRomanPSMT"/>
        </w:rPr>
        <w:t>)</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 xml:space="preserve">0.50 </w:t>
      </w:r>
      <w:proofErr w:type="spellStart"/>
      <w:r w:rsidRPr="00CA49B4">
        <w:rPr>
          <w:rFonts w:asciiTheme="minorHAnsi" w:eastAsiaTheme="minorHAnsi" w:hAnsiTheme="minorHAnsi" w:cs="TimesNewRomanPSMT"/>
        </w:rPr>
        <w:t>nmol</w:t>
      </w:r>
      <w:proofErr w:type="spellEnd"/>
      <w:r w:rsidRPr="00CA49B4">
        <w:rPr>
          <w:rFonts w:asciiTheme="minorHAnsi" w:eastAsiaTheme="minorHAnsi" w:hAnsiTheme="minorHAnsi" w:cs="TimesNewRomanPSMT"/>
        </w:rPr>
        <w:t>/punch)</w:t>
      </w:r>
      <w:r>
        <w:rPr>
          <w:rStyle w:val="FootnoteReference"/>
          <w:rFonts w:asciiTheme="minorHAnsi" w:eastAsiaTheme="minorHAnsi" w:hAnsiTheme="minorHAnsi" w:cs="TimesNewRomanPSMT"/>
        </w:rPr>
        <w:footnoteReference w:id="27"/>
      </w:r>
      <w:r w:rsidRPr="00CA49B4">
        <w:rPr>
          <w:rFonts w:asciiTheme="minorHAnsi" w:eastAsiaTheme="minorHAnsi" w:hAnsiTheme="minorHAnsi" w:cs="TimesNewRomanPSMT"/>
        </w:rPr>
        <w:t xml:space="preserve">. All 6 subjects tested also had </w:t>
      </w:r>
      <w:r w:rsidRPr="00157E63">
        <w:rPr>
          <w:rFonts w:asciiTheme="minorHAnsi" w:eastAsiaTheme="minorHAnsi" w:hAnsiTheme="minorHAnsi" w:cs="TimesNewRomanPS-ItalicMT"/>
          <w:i/>
          <w:iCs/>
        </w:rPr>
        <w:t>LIPA</w:t>
      </w:r>
      <w:r w:rsidRPr="00CA49B4">
        <w:rPr>
          <w:rFonts w:asciiTheme="minorHAnsi" w:eastAsiaTheme="minorHAnsi" w:hAnsiTheme="minorHAnsi" w:cs="TimesNewRomanPS-ItalicMT"/>
          <w:i/>
          <w:iCs/>
        </w:rPr>
        <w:t xml:space="preserve"> </w:t>
      </w:r>
      <w:r w:rsidRPr="00CA49B4">
        <w:rPr>
          <w:rFonts w:asciiTheme="minorHAnsi" w:eastAsiaTheme="minorHAnsi" w:hAnsiTheme="minorHAnsi" w:cs="TimesNewRomanPSMT"/>
        </w:rPr>
        <w:t>mutations, including 3 subjects with documented causative mutations that are known to be pathogenic. Initial signs and symptoms of LAL Deficiency reported for all subjects included</w:t>
      </w:r>
      <w:r>
        <w:rPr>
          <w:rFonts w:asciiTheme="minorHAnsi" w:eastAsiaTheme="minorHAnsi" w:hAnsiTheme="minorHAnsi" w:cs="TimesNewRomanPSMT"/>
        </w:rPr>
        <w:t xml:space="preserve"> </w:t>
      </w:r>
      <w:r w:rsidRPr="00CA49B4">
        <w:rPr>
          <w:rFonts w:asciiTheme="minorHAnsi" w:eastAsiaTheme="minorHAnsi" w:hAnsiTheme="minorHAnsi" w:cs="TimesNewRomanPSMT"/>
        </w:rPr>
        <w:t>hepatosplenomegaly, abdominal distension, vomiting, diarrhoea, adrenal calcification, and</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failure to thrive; other frequent medical history findings were </w:t>
      </w:r>
      <w:r w:rsidR="00157E63">
        <w:rPr>
          <w:rFonts w:asciiTheme="minorHAnsi" w:eastAsiaTheme="minorHAnsi" w:hAnsiTheme="minorHAnsi" w:cs="TimesNewRomanPSMT"/>
        </w:rPr>
        <w:t>ascites (4 subjects), anaemia (6 </w:t>
      </w:r>
      <w:r w:rsidRPr="00CA49B4">
        <w:rPr>
          <w:rFonts w:asciiTheme="minorHAnsi" w:eastAsiaTheme="minorHAnsi" w:hAnsiTheme="minorHAnsi" w:cs="TimesNewRomanPSMT"/>
        </w:rPr>
        <w:t>subjects), and thrombocytopenia (3 subjects). Three subjects</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had medical history findings suggestive of multiple organ dysfunction </w:t>
      </w:r>
      <w:proofErr w:type="gramStart"/>
      <w:r w:rsidRPr="00CA49B4">
        <w:rPr>
          <w:rFonts w:asciiTheme="minorHAnsi" w:eastAsiaTheme="minorHAnsi" w:hAnsiTheme="minorHAnsi" w:cs="TimesNewRomanPSMT"/>
        </w:rPr>
        <w:t>syndrome</w:t>
      </w:r>
      <w:proofErr w:type="gramEnd"/>
      <w:r w:rsidRPr="00CA49B4">
        <w:rPr>
          <w:rFonts w:asciiTheme="minorHAnsi" w:eastAsiaTheme="minorHAnsi" w:hAnsiTheme="minorHAnsi" w:cs="TimesNewRomanPSMT"/>
        </w:rPr>
        <w:t xml:space="preserve"> (MODS),</w:t>
      </w:r>
      <w:r>
        <w:rPr>
          <w:rFonts w:asciiTheme="minorHAnsi" w:eastAsiaTheme="minorHAnsi" w:hAnsiTheme="minorHAnsi" w:cs="TimesNewRomanPSMT"/>
        </w:rPr>
        <w:t xml:space="preserve"> </w:t>
      </w:r>
      <w:r w:rsidRPr="00CA49B4">
        <w:rPr>
          <w:rFonts w:asciiTheme="minorHAnsi" w:eastAsiaTheme="minorHAnsi" w:hAnsiTheme="minorHAnsi" w:cs="TimesNewRomanPSMT"/>
        </w:rPr>
        <w:t>all of whom died within the first 1 to 4 weeks of treatment. During the brief period between</w:t>
      </w:r>
      <w:r>
        <w:rPr>
          <w:rFonts w:asciiTheme="minorHAnsi" w:eastAsiaTheme="minorHAnsi" w:hAnsiTheme="minorHAnsi" w:cs="TimesNewRomanPSMT"/>
        </w:rPr>
        <w:t xml:space="preserve"> </w:t>
      </w:r>
      <w:r w:rsidRPr="00CA49B4">
        <w:rPr>
          <w:rFonts w:asciiTheme="minorHAnsi" w:eastAsiaTheme="minorHAnsi" w:hAnsiTheme="minorHAnsi" w:cs="TimesNewRomanPSMT"/>
        </w:rPr>
        <w:t>consent</w:t>
      </w:r>
      <w:r w:rsidR="00157E63">
        <w:rPr>
          <w:rFonts w:asciiTheme="minorHAnsi" w:eastAsiaTheme="minorHAnsi" w:hAnsiTheme="minorHAnsi" w:cs="TimesNewRomanPSMT"/>
        </w:rPr>
        <w:t xml:space="preserve"> and initiation of treatment, 4 </w:t>
      </w:r>
      <w:r w:rsidRPr="00CA49B4">
        <w:rPr>
          <w:rFonts w:asciiTheme="minorHAnsi" w:eastAsiaTheme="minorHAnsi" w:hAnsiTheme="minorHAnsi" w:cs="TimesNewRomanPSMT"/>
        </w:rPr>
        <w:t>(44%) subjects received one or more transfusions of</w:t>
      </w:r>
      <w:r>
        <w:rPr>
          <w:rFonts w:asciiTheme="minorHAnsi" w:eastAsiaTheme="minorHAnsi" w:hAnsiTheme="minorHAnsi" w:cs="TimesNewRomanPSMT"/>
        </w:rPr>
        <w:t xml:space="preserve"> </w:t>
      </w:r>
      <w:r w:rsidRPr="00CA49B4">
        <w:rPr>
          <w:rFonts w:asciiTheme="minorHAnsi" w:eastAsiaTheme="minorHAnsi" w:hAnsiTheme="minorHAnsi" w:cs="TimesNewRomanPSMT"/>
        </w:rPr>
        <w:t>red blood cells, plasma, and/or platelets, and 2 (22%) subjects received transfusions of</w:t>
      </w:r>
      <w:r>
        <w:rPr>
          <w:rFonts w:asciiTheme="minorHAnsi" w:eastAsiaTheme="minorHAnsi" w:hAnsiTheme="minorHAnsi" w:cs="TimesNewRomanPSMT"/>
        </w:rPr>
        <w:t xml:space="preserve"> </w:t>
      </w:r>
      <w:r w:rsidRPr="00CA49B4">
        <w:rPr>
          <w:rFonts w:asciiTheme="minorHAnsi" w:eastAsiaTheme="minorHAnsi" w:hAnsiTheme="minorHAnsi" w:cs="TimesNewRomanPSMT"/>
        </w:rPr>
        <w:t>albumin and/or a blood plasma replacement.</w:t>
      </w:r>
    </w:p>
    <w:p w14:paraId="644E789B" w14:textId="05AB9073" w:rsidR="00934213" w:rsidRPr="00CA49B4" w:rsidRDefault="00934213" w:rsidP="00934213">
      <w:pPr>
        <w:autoSpaceDE w:val="0"/>
        <w:autoSpaceDN w:val="0"/>
        <w:adjustRightInd w:val="0"/>
        <w:spacing w:before="0" w:line="240" w:lineRule="auto"/>
        <w:rPr>
          <w:rFonts w:asciiTheme="minorHAnsi" w:eastAsiaTheme="minorHAnsi" w:hAnsiTheme="minorHAnsi" w:cs="TimesNewRomanPSMT"/>
        </w:rPr>
      </w:pPr>
      <w:r w:rsidRPr="00CA49B4">
        <w:rPr>
          <w:rFonts w:asciiTheme="minorHAnsi" w:eastAsiaTheme="minorHAnsi" w:hAnsiTheme="minorHAnsi" w:cs="TimesNewRomanPSMT"/>
        </w:rPr>
        <w:t>Eight subjects had confirmed growth failure within the first 6 months of life, with 7 having</w:t>
      </w:r>
      <w:r>
        <w:rPr>
          <w:rFonts w:asciiTheme="minorHAnsi" w:eastAsiaTheme="minorHAnsi" w:hAnsiTheme="minorHAnsi" w:cs="TimesNewRomanPSMT"/>
        </w:rPr>
        <w:t xml:space="preserve"> </w:t>
      </w:r>
      <w:r w:rsidRPr="00CA49B4">
        <w:rPr>
          <w:rFonts w:asciiTheme="minorHAnsi" w:eastAsiaTheme="minorHAnsi" w:hAnsiTheme="minorHAnsi" w:cs="TimesNewRomanPSMT"/>
        </w:rPr>
        <w:t>a decrease in weight across at least 2 major centiles since birth. One other subject had other</w:t>
      </w:r>
      <w:r>
        <w:rPr>
          <w:rFonts w:asciiTheme="minorHAnsi" w:eastAsiaTheme="minorHAnsi" w:hAnsiTheme="minorHAnsi" w:cs="TimesNewRomanPSMT"/>
        </w:rPr>
        <w:t xml:space="preserve"> </w:t>
      </w:r>
      <w:r w:rsidRPr="00CA49B4">
        <w:rPr>
          <w:rFonts w:asciiTheme="minorHAnsi" w:eastAsiaTheme="minorHAnsi" w:hAnsiTheme="minorHAnsi" w:cs="TimesNewRomanPSMT"/>
        </w:rPr>
        <w:t>evidence of rapidly progressive disease requiring urgent medical inte</w:t>
      </w:r>
      <w:r>
        <w:rPr>
          <w:rFonts w:asciiTheme="minorHAnsi" w:eastAsiaTheme="minorHAnsi" w:hAnsiTheme="minorHAnsi" w:cs="TimesNewRomanPSMT"/>
        </w:rPr>
        <w:t xml:space="preserve">rvention, including </w:t>
      </w:r>
      <w:r w:rsidRPr="00CA49B4">
        <w:rPr>
          <w:rFonts w:asciiTheme="minorHAnsi" w:eastAsiaTheme="minorHAnsi" w:hAnsiTheme="minorHAnsi" w:cs="TimesNewRomanPSMT"/>
        </w:rPr>
        <w:t>marked abdominal distension since 8 weeks of age; a medical history of ascites, vomiting,</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and diarrhoea; and massive hepatosplenomegaly, anaemia, </w:t>
      </w:r>
      <w:proofErr w:type="spellStart"/>
      <w:r w:rsidRPr="00CA49B4">
        <w:rPr>
          <w:rFonts w:asciiTheme="minorHAnsi" w:eastAsiaTheme="minorHAnsi" w:hAnsiTheme="minorHAnsi" w:cs="TimesNewRomanPSMT"/>
        </w:rPr>
        <w:t>hypoalbuminaemia</w:t>
      </w:r>
      <w:proofErr w:type="spellEnd"/>
      <w:r w:rsidRPr="00CA49B4">
        <w:rPr>
          <w:rFonts w:asciiTheme="minorHAnsi" w:eastAsiaTheme="minorHAnsi" w:hAnsiTheme="minorHAnsi" w:cs="TimesNewRomanPSMT"/>
        </w:rPr>
        <w:t>, and elevated</w:t>
      </w:r>
      <w:r>
        <w:rPr>
          <w:rFonts w:asciiTheme="minorHAnsi" w:eastAsiaTheme="minorHAnsi" w:hAnsiTheme="minorHAnsi" w:cs="TimesNewRomanPSMT"/>
        </w:rPr>
        <w:t xml:space="preserve"> </w:t>
      </w:r>
      <w:r w:rsidRPr="00CA49B4">
        <w:rPr>
          <w:rFonts w:asciiTheme="minorHAnsi" w:eastAsiaTheme="minorHAnsi" w:hAnsiTheme="minorHAnsi" w:cs="TimesNewRomanPSMT"/>
        </w:rPr>
        <w:t>AST and lactate dehydrogenase (LDH) at screening. Median WFA percentile decreased</w:t>
      </w:r>
      <w:r>
        <w:rPr>
          <w:rFonts w:asciiTheme="minorHAnsi" w:eastAsiaTheme="minorHAnsi" w:hAnsiTheme="minorHAnsi" w:cs="TimesNewRomanPSMT"/>
        </w:rPr>
        <w:t xml:space="preserve"> </w:t>
      </w:r>
      <w:r w:rsidRPr="00CA49B4">
        <w:rPr>
          <w:rFonts w:asciiTheme="minorHAnsi" w:eastAsiaTheme="minorHAnsi" w:hAnsiTheme="minorHAnsi" w:cs="TimesNewRomanPSMT"/>
        </w:rPr>
        <w:t>from 81.33% at birth to 3.08% at the baseline assessment approximately 1 to 6 months later</w:t>
      </w:r>
      <w:r>
        <w:rPr>
          <w:rFonts w:asciiTheme="minorHAnsi" w:eastAsiaTheme="minorHAnsi" w:hAnsiTheme="minorHAnsi" w:cs="TimesNewRomanPSMT"/>
        </w:rPr>
        <w:t xml:space="preserve"> </w:t>
      </w:r>
      <w:r w:rsidRPr="00CA49B4">
        <w:rPr>
          <w:rFonts w:asciiTheme="minorHAnsi" w:eastAsiaTheme="minorHAnsi" w:hAnsiTheme="minorHAnsi" w:cs="TimesNewRomanPSMT"/>
        </w:rPr>
        <w:t>in the 8 subjects with available data.</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Marked abnormalities in liver biochemical parameters were observed </w:t>
      </w:r>
      <w:r w:rsidR="00DE644C">
        <w:rPr>
          <w:rFonts w:asciiTheme="minorHAnsi" w:eastAsiaTheme="minorHAnsi" w:hAnsiTheme="minorHAnsi" w:cs="TimesNewRomanPSMT"/>
        </w:rPr>
        <w:t>at Baseline</w:t>
      </w:r>
      <w:r w:rsidRPr="00CA49B4">
        <w:rPr>
          <w:rFonts w:asciiTheme="minorHAnsi" w:eastAsiaTheme="minorHAnsi" w:hAnsiTheme="minorHAnsi" w:cs="TimesNewRomanPSMT"/>
        </w:rPr>
        <w:t xml:space="preserve"> in all</w:t>
      </w:r>
      <w:r>
        <w:rPr>
          <w:rFonts w:asciiTheme="minorHAnsi" w:eastAsiaTheme="minorHAnsi" w:hAnsiTheme="minorHAnsi" w:cs="TimesNewRomanPSMT"/>
        </w:rPr>
        <w:t xml:space="preserve"> </w:t>
      </w:r>
      <w:r w:rsidRPr="00CA49B4">
        <w:rPr>
          <w:rFonts w:asciiTheme="minorHAnsi" w:eastAsiaTheme="minorHAnsi" w:hAnsiTheme="minorHAnsi" w:cs="TimesNewRomanPSMT"/>
        </w:rPr>
        <w:t>subjects: AST was elevated in all 9 subjects (median</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125 U/L; range</w:t>
      </w:r>
      <w:r w:rsidR="002D28A4">
        <w:rPr>
          <w:rFonts w:asciiTheme="minorHAnsi" w:eastAsiaTheme="minorHAnsi" w:hAnsiTheme="minorHAnsi" w:cs="TimesNewRomanPSMT"/>
        </w:rPr>
        <w:t xml:space="preserve"> = </w:t>
      </w:r>
      <w:proofErr w:type="gramStart"/>
      <w:r w:rsidR="00157E63">
        <w:rPr>
          <w:rFonts w:asciiTheme="minorHAnsi" w:eastAsiaTheme="minorHAnsi" w:hAnsiTheme="minorHAnsi" w:cs="TimesNewRomanPSMT"/>
        </w:rPr>
        <w:t>71 to 716 </w:t>
      </w:r>
      <w:r w:rsidRPr="00CA49B4">
        <w:rPr>
          <w:rFonts w:asciiTheme="minorHAnsi" w:eastAsiaTheme="minorHAnsi" w:hAnsiTheme="minorHAnsi" w:cs="TimesNewRomanPSMT"/>
        </w:rPr>
        <w:t>U/L</w:t>
      </w:r>
      <w:proofErr w:type="gramEnd"/>
      <w:r w:rsidRPr="00CA49B4">
        <w:rPr>
          <w:rFonts w:asciiTheme="minorHAnsi" w:eastAsiaTheme="minorHAnsi" w:hAnsiTheme="minorHAnsi" w:cs="TimesNewRomanPSMT"/>
        </w:rPr>
        <w:t>) and</w:t>
      </w:r>
      <w:r>
        <w:rPr>
          <w:rFonts w:asciiTheme="minorHAnsi" w:eastAsiaTheme="minorHAnsi" w:hAnsiTheme="minorHAnsi" w:cs="TimesNewRomanPSMT"/>
        </w:rPr>
        <w:t xml:space="preserve"> </w:t>
      </w:r>
      <w:r w:rsidRPr="00CA49B4">
        <w:rPr>
          <w:rFonts w:asciiTheme="minorHAnsi" w:eastAsiaTheme="minorHAnsi" w:hAnsiTheme="minorHAnsi" w:cs="TimesNewRomanPSMT"/>
        </w:rPr>
        <w:t>ALT was elevated in 7 subjects (median</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145 U/L; range</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16 to 297 U/L). Elevations in</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gamma </w:t>
      </w:r>
      <w:proofErr w:type="spellStart"/>
      <w:r w:rsidRPr="00CA49B4">
        <w:rPr>
          <w:rFonts w:asciiTheme="minorHAnsi" w:eastAsiaTheme="minorHAnsi" w:hAnsiTheme="minorHAnsi" w:cs="TimesNewRomanPSMT"/>
        </w:rPr>
        <w:t>glutamyltransferase</w:t>
      </w:r>
      <w:proofErr w:type="spellEnd"/>
      <w:r w:rsidRPr="00CA49B4">
        <w:rPr>
          <w:rFonts w:asciiTheme="minorHAnsi" w:eastAsiaTheme="minorHAnsi" w:hAnsiTheme="minorHAnsi" w:cs="TimesNewRomanPSMT"/>
        </w:rPr>
        <w:t xml:space="preserve"> (GGT), total bilirubin, and alkaline phosphatase were reported</w:t>
      </w:r>
      <w:r>
        <w:rPr>
          <w:rFonts w:asciiTheme="minorHAnsi" w:eastAsiaTheme="minorHAnsi" w:hAnsiTheme="minorHAnsi" w:cs="TimesNewRomanPSMT"/>
        </w:rPr>
        <w:t xml:space="preserve"> </w:t>
      </w:r>
      <w:r w:rsidRPr="00CA49B4">
        <w:rPr>
          <w:rFonts w:asciiTheme="minorHAnsi" w:eastAsiaTheme="minorHAnsi" w:hAnsiTheme="minorHAnsi" w:cs="TimesNewRomanPSMT"/>
        </w:rPr>
        <w:t>in 4, 3, and 2 subjects, respectively. Serum albumin (median</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29 g/L), haemoglobin</w:t>
      </w:r>
      <w:r>
        <w:rPr>
          <w:rFonts w:asciiTheme="minorHAnsi" w:eastAsiaTheme="minorHAnsi" w:hAnsiTheme="minorHAnsi" w:cs="TimesNewRomanPSMT"/>
        </w:rPr>
        <w:t xml:space="preserve"> </w:t>
      </w:r>
      <w:r w:rsidRPr="00CA49B4">
        <w:rPr>
          <w:rFonts w:asciiTheme="minorHAnsi" w:eastAsiaTheme="minorHAnsi" w:hAnsiTheme="minorHAnsi" w:cs="TimesNewRomanPSMT"/>
        </w:rPr>
        <w:t>(median</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93.0 g/L), and platelet counts (median</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173 x 10</w:t>
      </w:r>
      <w:r w:rsidRPr="00FD2A79">
        <w:rPr>
          <w:rFonts w:asciiTheme="minorHAnsi" w:eastAsiaTheme="minorHAnsi" w:hAnsiTheme="minorHAnsi" w:cs="TimesNewRomanPSMT"/>
          <w:vertAlign w:val="superscript"/>
        </w:rPr>
        <w:t>9</w:t>
      </w:r>
      <w:r w:rsidRPr="00CA49B4">
        <w:rPr>
          <w:rFonts w:asciiTheme="minorHAnsi" w:eastAsiaTheme="minorHAnsi" w:hAnsiTheme="minorHAnsi" w:cs="TimesNewRomanPSMT"/>
        </w:rPr>
        <w:t>/L) were also abnormal in 4 to</w:t>
      </w:r>
      <w:r>
        <w:rPr>
          <w:rFonts w:asciiTheme="minorHAnsi" w:eastAsiaTheme="minorHAnsi" w:hAnsiTheme="minorHAnsi" w:cs="TimesNewRomanPSMT"/>
        </w:rPr>
        <w:t xml:space="preserve"> </w:t>
      </w:r>
      <w:r w:rsidRPr="00CA49B4">
        <w:rPr>
          <w:rFonts w:asciiTheme="minorHAnsi" w:eastAsiaTheme="minorHAnsi" w:hAnsiTheme="minorHAnsi" w:cs="TimesNewRomanPSMT"/>
        </w:rPr>
        <w:t>6 subjects each. Hepatomegaly and/or splenomegaly were evident on baseline physical</w:t>
      </w:r>
      <w:r>
        <w:rPr>
          <w:rFonts w:asciiTheme="minorHAnsi" w:eastAsiaTheme="minorHAnsi" w:hAnsiTheme="minorHAnsi" w:cs="TimesNewRomanPSMT"/>
        </w:rPr>
        <w:t xml:space="preserve"> </w:t>
      </w:r>
      <w:r w:rsidRPr="00CA49B4">
        <w:rPr>
          <w:rFonts w:asciiTheme="minorHAnsi" w:eastAsiaTheme="minorHAnsi" w:hAnsiTheme="minorHAnsi" w:cs="TimesNewRomanPSMT"/>
        </w:rPr>
        <w:t>examination in all 8 subjects with available data</w:t>
      </w:r>
      <w:r>
        <w:rPr>
          <w:rFonts w:asciiTheme="minorHAnsi" w:eastAsiaTheme="minorHAnsi" w:hAnsiTheme="minorHAnsi" w:cs="TimesNewRomanPSMT"/>
        </w:rPr>
        <w:t>.</w:t>
      </w:r>
    </w:p>
    <w:p w14:paraId="3175C4F3" w14:textId="21D14A6B" w:rsidR="00934213" w:rsidRPr="008A0C07" w:rsidRDefault="001B7A56" w:rsidP="00934213">
      <w:pPr>
        <w:autoSpaceDE w:val="0"/>
        <w:autoSpaceDN w:val="0"/>
        <w:adjustRightInd w:val="0"/>
        <w:spacing w:before="0" w:line="240" w:lineRule="auto"/>
        <w:rPr>
          <w:rFonts w:asciiTheme="minorHAnsi" w:eastAsiaTheme="minorHAnsi" w:hAnsiTheme="minorHAnsi" w:cs="TimesNewRomanPSMT"/>
          <w:color w:val="000000"/>
        </w:rPr>
      </w:pPr>
      <w:r w:rsidRPr="008A0C07">
        <w:rPr>
          <w:rFonts w:asciiTheme="minorHAnsi" w:eastAsiaTheme="minorHAnsi" w:hAnsiTheme="minorHAnsi" w:cs="TimesNewRomanPSMT"/>
          <w:color w:val="000000"/>
        </w:rPr>
        <w:t>All 9 (100%) subjects received one or more concomitant medication, most commonly</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paracetamol (8 subjects), pneumococcal vaccine (6 subjects), third generation</w:t>
      </w:r>
      <w:r>
        <w:rPr>
          <w:rFonts w:asciiTheme="minorHAnsi" w:eastAsiaTheme="minorHAnsi" w:hAnsiTheme="minorHAnsi" w:cs="TimesNewRomanPSMT"/>
          <w:color w:val="000000"/>
        </w:rPr>
        <w:t xml:space="preserve"> </w:t>
      </w:r>
      <w:proofErr w:type="spellStart"/>
      <w:r w:rsidRPr="008A0C07">
        <w:rPr>
          <w:rFonts w:asciiTheme="minorHAnsi" w:eastAsiaTheme="minorHAnsi" w:hAnsiTheme="minorHAnsi" w:cs="TimesNewRomanPSMT"/>
          <w:color w:val="000000"/>
        </w:rPr>
        <w:t>cephalosporins</w:t>
      </w:r>
      <w:proofErr w:type="spellEnd"/>
      <w:r w:rsidRPr="008A0C07">
        <w:rPr>
          <w:rFonts w:asciiTheme="minorHAnsi" w:eastAsiaTheme="minorHAnsi" w:hAnsiTheme="minorHAnsi" w:cs="TimesNewRomanPSMT"/>
          <w:color w:val="000000"/>
        </w:rPr>
        <w:t xml:space="preserve"> (6 subjects), </w:t>
      </w:r>
      <w:r>
        <w:rPr>
          <w:rFonts w:asciiTheme="minorHAnsi" w:eastAsiaTheme="minorHAnsi" w:hAnsiTheme="minorHAnsi" w:cs="TimesNewRomanPSMT"/>
          <w:color w:val="000000"/>
        </w:rPr>
        <w:t>v</w:t>
      </w:r>
      <w:r w:rsidRPr="008A0C07">
        <w:rPr>
          <w:rFonts w:asciiTheme="minorHAnsi" w:eastAsiaTheme="minorHAnsi" w:hAnsiTheme="minorHAnsi" w:cs="TimesNewRomanPSMT"/>
          <w:color w:val="000000"/>
        </w:rPr>
        <w:t>itamin K (6 subjects), antibiotics (5 subjects),</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 xml:space="preserve">beta-lactamase resistant penicillins </w:t>
      </w:r>
      <w:r w:rsidRPr="008A0C07">
        <w:rPr>
          <w:rFonts w:asciiTheme="minorHAnsi" w:eastAsiaTheme="minorHAnsi" w:hAnsiTheme="minorHAnsi" w:cs="TimesNewRomanPSMT"/>
          <w:color w:val="000000"/>
        </w:rPr>
        <w:lastRenderedPageBreak/>
        <w:t xml:space="preserve">(5 subjects), glycopeptide </w:t>
      </w:r>
      <w:proofErr w:type="spellStart"/>
      <w:r w:rsidRPr="008A0C07">
        <w:rPr>
          <w:rFonts w:asciiTheme="minorHAnsi" w:eastAsiaTheme="minorHAnsi" w:hAnsiTheme="minorHAnsi" w:cs="TimesNewRomanPSMT"/>
          <w:color w:val="000000"/>
        </w:rPr>
        <w:t>antibacterials</w:t>
      </w:r>
      <w:proofErr w:type="spellEnd"/>
      <w:r w:rsidRPr="008A0C07">
        <w:rPr>
          <w:rFonts w:asciiTheme="minorHAnsi" w:eastAsiaTheme="minorHAnsi" w:hAnsiTheme="minorHAnsi" w:cs="TimesNewRomanPSMT"/>
          <w:color w:val="000000"/>
        </w:rPr>
        <w:t xml:space="preserve"> (5 subjects),</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other aminoglycosides (5 subjects), potassium (5 subjects)</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Eight (89%) of the 9 subjects received one or more concomitant</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procedure or therapy, most commonly central venous catheterisation (5 subjects)</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 xml:space="preserve">All subjects continued to receive nutritional supplements during the </w:t>
      </w:r>
      <w:r>
        <w:rPr>
          <w:rFonts w:asciiTheme="minorHAnsi" w:eastAsiaTheme="minorHAnsi" w:hAnsiTheme="minorHAnsi" w:cs="TimesNewRomanPSMT"/>
          <w:color w:val="000000"/>
        </w:rPr>
        <w:t>study</w:t>
      </w:r>
      <w:r w:rsidRPr="008A0C07">
        <w:rPr>
          <w:rFonts w:asciiTheme="minorHAnsi" w:eastAsiaTheme="minorHAnsi" w:hAnsiTheme="minorHAnsi" w:cs="TimesNewRomanPSMT"/>
          <w:color w:val="000000"/>
        </w:rPr>
        <w:t xml:space="preserve">. </w:t>
      </w:r>
      <w:r w:rsidR="00934213" w:rsidRPr="008A0C07">
        <w:rPr>
          <w:rFonts w:asciiTheme="minorHAnsi" w:eastAsiaTheme="minorHAnsi" w:hAnsiTheme="minorHAnsi" w:cs="TimesNewRomanPSMT"/>
          <w:color w:val="000000"/>
        </w:rPr>
        <w:t>Of the</w:t>
      </w:r>
      <w:r w:rsidR="00934213">
        <w:rPr>
          <w:rFonts w:asciiTheme="minorHAnsi" w:eastAsiaTheme="minorHAnsi" w:hAnsiTheme="minorHAnsi" w:cs="TimesNewRomanPSMT"/>
          <w:color w:val="000000"/>
        </w:rPr>
        <w:t xml:space="preserve"> </w:t>
      </w:r>
      <w:r w:rsidR="00934213" w:rsidRPr="008A0C07">
        <w:rPr>
          <w:rFonts w:asciiTheme="minorHAnsi" w:eastAsiaTheme="minorHAnsi" w:hAnsiTheme="minorHAnsi" w:cs="TimesNewRomanPSMT"/>
          <w:color w:val="000000"/>
        </w:rPr>
        <w:t>6 surviving subjects, 2 subjects were able to reduce their need for other enteral/parenteral</w:t>
      </w:r>
      <w:r w:rsidR="00934213">
        <w:rPr>
          <w:rFonts w:asciiTheme="minorHAnsi" w:eastAsiaTheme="minorHAnsi" w:hAnsiTheme="minorHAnsi" w:cs="TimesNewRomanPSMT"/>
          <w:color w:val="000000"/>
        </w:rPr>
        <w:t xml:space="preserve"> </w:t>
      </w:r>
      <w:r w:rsidR="00934213" w:rsidRPr="008A0C07">
        <w:rPr>
          <w:rFonts w:asciiTheme="minorHAnsi" w:eastAsiaTheme="minorHAnsi" w:hAnsiTheme="minorHAnsi" w:cs="TimesNewRomanPSMT"/>
          <w:color w:val="000000"/>
        </w:rPr>
        <w:t>supplements during treatment and the other 4 subjects were essentially stable.</w:t>
      </w:r>
    </w:p>
    <w:p w14:paraId="0E1174AC" w14:textId="77777777" w:rsidR="00CC672B" w:rsidRDefault="00934213" w:rsidP="00934213">
      <w:pPr>
        <w:pStyle w:val="Heading5"/>
        <w:rPr>
          <w:rFonts w:eastAsiaTheme="minorHAnsi"/>
        </w:rPr>
      </w:pPr>
      <w:r w:rsidRPr="00CA49B4">
        <w:rPr>
          <w:rFonts w:eastAsiaTheme="minorHAnsi"/>
        </w:rPr>
        <w:t>Primary Efficacy results</w:t>
      </w:r>
    </w:p>
    <w:p w14:paraId="4EB5AE85" w14:textId="7520BF03" w:rsidR="00934213" w:rsidRDefault="00934213" w:rsidP="00934213">
      <w:pPr>
        <w:autoSpaceDE w:val="0"/>
        <w:autoSpaceDN w:val="0"/>
        <w:adjustRightInd w:val="0"/>
        <w:spacing w:before="0" w:line="240" w:lineRule="auto"/>
        <w:rPr>
          <w:rFonts w:asciiTheme="minorHAnsi" w:eastAsiaTheme="minorHAnsi" w:hAnsiTheme="minorHAnsi" w:cs="TimesNewRomanPSMT"/>
          <w:color w:val="000000"/>
        </w:rPr>
      </w:pPr>
      <w:r w:rsidRPr="00CA49B4">
        <w:rPr>
          <w:rFonts w:asciiTheme="minorHAnsi" w:eastAsiaTheme="minorHAnsi" w:hAnsiTheme="minorHAnsi" w:cs="TimesNewRomanPSMT"/>
        </w:rPr>
        <w:t>For the PES</w:t>
      </w:r>
      <w:r>
        <w:rPr>
          <w:rFonts w:asciiTheme="minorHAnsi" w:eastAsiaTheme="minorHAnsi" w:hAnsiTheme="minorHAnsi" w:cs="TimesNewRomanPSMT"/>
        </w:rPr>
        <w:t xml:space="preserve"> (n</w:t>
      </w:r>
      <w:r w:rsidR="002D28A4">
        <w:rPr>
          <w:rFonts w:asciiTheme="minorHAnsi" w:eastAsiaTheme="minorHAnsi" w:hAnsiTheme="minorHAnsi" w:cs="TimesNewRomanPSMT"/>
        </w:rPr>
        <w:t xml:space="preserve"> = </w:t>
      </w:r>
      <w:r>
        <w:rPr>
          <w:rFonts w:asciiTheme="minorHAnsi" w:eastAsiaTheme="minorHAnsi" w:hAnsiTheme="minorHAnsi" w:cs="TimesNewRomanPSMT"/>
        </w:rPr>
        <w:t>9)</w:t>
      </w:r>
      <w:r w:rsidRPr="00CA49B4">
        <w:rPr>
          <w:rFonts w:asciiTheme="minorHAnsi" w:eastAsiaTheme="minorHAnsi" w:hAnsiTheme="minorHAnsi" w:cs="TimesNewRomanPSMT"/>
        </w:rPr>
        <w:t>, the proportion (exact 95% CI) of subjects surviving to 12 months of age was</w:t>
      </w:r>
      <w:r>
        <w:rPr>
          <w:rFonts w:asciiTheme="minorHAnsi" w:eastAsiaTheme="minorHAnsi" w:hAnsiTheme="minorHAnsi" w:cs="TimesNewRomanPSMT"/>
        </w:rPr>
        <w:t xml:space="preserve"> </w:t>
      </w:r>
      <w:r w:rsidRPr="00CA49B4">
        <w:rPr>
          <w:rFonts w:asciiTheme="minorHAnsi" w:eastAsiaTheme="minorHAnsi" w:hAnsiTheme="minorHAnsi" w:cs="TimesNewRomanPSMT"/>
        </w:rPr>
        <w:t>67% (29.93%, 92.51</w:t>
      </w:r>
      <w:r w:rsidRPr="008A0C07">
        <w:rPr>
          <w:rFonts w:asciiTheme="minorHAnsi" w:eastAsiaTheme="minorHAnsi" w:hAnsiTheme="minorHAnsi" w:cs="TimesNewRomanPSMT"/>
        </w:rPr>
        <w:t xml:space="preserve">%). </w:t>
      </w:r>
      <w:r w:rsidRPr="00CA49B4">
        <w:rPr>
          <w:rFonts w:asciiTheme="minorHAnsi" w:eastAsiaTheme="minorHAnsi" w:hAnsiTheme="minorHAnsi" w:cs="TimesNewRomanPSMT"/>
        </w:rPr>
        <w:t>For the PPS</w:t>
      </w:r>
      <w:r>
        <w:rPr>
          <w:rFonts w:asciiTheme="minorHAnsi" w:eastAsiaTheme="minorHAnsi" w:hAnsiTheme="minorHAnsi" w:cs="TimesNewRomanPSMT"/>
        </w:rPr>
        <w:t xml:space="preserve"> (which included 7 subjects who received at least 4 </w:t>
      </w:r>
      <w:proofErr w:type="spellStart"/>
      <w:r>
        <w:rPr>
          <w:rFonts w:asciiTheme="minorHAnsi" w:eastAsiaTheme="minorHAnsi" w:hAnsiTheme="minorHAnsi" w:cs="TimesNewRomanPSMT"/>
        </w:rPr>
        <w:t>sebelipase</w:t>
      </w:r>
      <w:proofErr w:type="spellEnd"/>
      <w:r>
        <w:rPr>
          <w:rFonts w:asciiTheme="minorHAnsi" w:eastAsiaTheme="minorHAnsi" w:hAnsiTheme="minorHAnsi" w:cs="TimesNewRomanPSMT"/>
        </w:rPr>
        <w:t xml:space="preserve"> alfa infusions)</w:t>
      </w:r>
      <w:r w:rsidRPr="00CA49B4">
        <w:rPr>
          <w:rFonts w:asciiTheme="minorHAnsi" w:eastAsiaTheme="minorHAnsi" w:hAnsiTheme="minorHAnsi" w:cs="TimesNewRomanPSMT"/>
        </w:rPr>
        <w:t>, the proporti</w:t>
      </w:r>
      <w:r>
        <w:rPr>
          <w:rFonts w:asciiTheme="minorHAnsi" w:eastAsiaTheme="minorHAnsi" w:hAnsiTheme="minorHAnsi" w:cs="TimesNewRomanPSMT"/>
        </w:rPr>
        <w:t xml:space="preserve">on of subjects surviving to 12months was </w:t>
      </w:r>
      <w:r w:rsidRPr="00CA49B4">
        <w:rPr>
          <w:rFonts w:asciiTheme="minorHAnsi" w:eastAsiaTheme="minorHAnsi" w:hAnsiTheme="minorHAnsi" w:cs="TimesNewRomanPSMT"/>
        </w:rPr>
        <w:t>86% (95% CI</w:t>
      </w:r>
      <w:r w:rsidR="002D28A4">
        <w:rPr>
          <w:rFonts w:asciiTheme="minorHAnsi" w:eastAsiaTheme="minorHAnsi" w:hAnsiTheme="minorHAnsi" w:cs="TimesNewRomanPSMT"/>
        </w:rPr>
        <w:t xml:space="preserve"> = </w:t>
      </w:r>
      <w:r w:rsidRPr="00CA49B4">
        <w:rPr>
          <w:rFonts w:asciiTheme="minorHAnsi" w:eastAsiaTheme="minorHAnsi" w:hAnsiTheme="minorHAnsi" w:cs="TimesNewRomanPSMT"/>
        </w:rPr>
        <w:t>42.13%, 99.64%)</w:t>
      </w:r>
      <w:r>
        <w:rPr>
          <w:rFonts w:asciiTheme="minorHAnsi" w:eastAsiaTheme="minorHAnsi" w:hAnsiTheme="minorHAnsi" w:cs="TimesNewRomanPSMT"/>
        </w:rPr>
        <w:t xml:space="preserve">. </w:t>
      </w:r>
      <w:r w:rsidRPr="008A0C07">
        <w:rPr>
          <w:rFonts w:asciiTheme="minorHAnsi" w:eastAsiaTheme="minorHAnsi" w:hAnsiTheme="minorHAnsi" w:cs="TimesNewRomanPSMT"/>
          <w:color w:val="000000"/>
        </w:rPr>
        <w:t xml:space="preserve">In a separate natural history </w:t>
      </w:r>
      <w:r w:rsidR="00157E63">
        <w:rPr>
          <w:rFonts w:asciiTheme="minorHAnsi" w:eastAsiaTheme="minorHAnsi" w:hAnsiTheme="minorHAnsi" w:cs="TimesNewRomanPSMT"/>
          <w:color w:val="000000"/>
        </w:rPr>
        <w:t>Study</w:t>
      </w:r>
      <w:r w:rsidRPr="008A0C07">
        <w:rPr>
          <w:rFonts w:asciiTheme="minorHAnsi" w:eastAsiaTheme="minorHAnsi" w:hAnsiTheme="minorHAnsi" w:cs="TimesNewRomanPSMT"/>
          <w:color w:val="000000"/>
        </w:rPr>
        <w:t xml:space="preserve"> LAL-1-NH01</w:t>
      </w:r>
      <w:r>
        <w:rPr>
          <w:rFonts w:asciiTheme="minorHAnsi" w:eastAsiaTheme="minorHAnsi" w:hAnsiTheme="minorHAnsi" w:cs="TimesNewRomanPSMT"/>
          <w:color w:val="000000"/>
        </w:rPr>
        <w:t>,</w:t>
      </w:r>
      <w:r w:rsidRPr="008A0C07">
        <w:rPr>
          <w:rFonts w:asciiTheme="minorHAnsi" w:eastAsiaTheme="minorHAnsi" w:hAnsiTheme="minorHAnsi" w:cs="TimesNewRomanPSMT"/>
          <w:color w:val="000000"/>
        </w:rPr>
        <w:t xml:space="preserve"> survival was evaluated for 35 patients</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who presented with LAL Deficiency in infancy. A subpopulation of 21 infants had</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growth failure within the first 6 months of life based on objective criteria similar to those</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 xml:space="preserve">used in </w:t>
      </w:r>
      <w:r w:rsidR="00157E63">
        <w:rPr>
          <w:rFonts w:asciiTheme="minorHAnsi" w:eastAsiaTheme="minorHAnsi" w:hAnsiTheme="minorHAnsi" w:cs="TimesNewRomanPSMT"/>
          <w:color w:val="000000"/>
        </w:rPr>
        <w:t>Study</w:t>
      </w:r>
      <w:r w:rsidRPr="008A0C07">
        <w:rPr>
          <w:rFonts w:asciiTheme="minorHAnsi" w:eastAsiaTheme="minorHAnsi" w:hAnsiTheme="minorHAnsi" w:cs="TimesNewRomanPSMT"/>
          <w:color w:val="000000"/>
        </w:rPr>
        <w:t xml:space="preserve"> LAL-CL03 and, like the subjects in LAL-CL03, had not received prior</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HSCT or liver transplant. In this subpopulation of untreated infants with early growth</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failure, the proportion (exact 95% CI) of patients surviving to 12 months of age,</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determined using the same methodology as in LAL-CL03 (</w:t>
      </w:r>
      <w:proofErr w:type="spellStart"/>
      <w:r w:rsidRPr="008A0C07">
        <w:rPr>
          <w:rFonts w:asciiTheme="minorHAnsi" w:eastAsiaTheme="minorHAnsi" w:hAnsiTheme="minorHAnsi" w:cs="TimesNewRomanPSMT"/>
          <w:color w:val="000000"/>
        </w:rPr>
        <w:t>Clopper</w:t>
      </w:r>
      <w:proofErr w:type="spellEnd"/>
      <w:r w:rsidRPr="008A0C07">
        <w:rPr>
          <w:rFonts w:asciiTheme="minorHAnsi" w:eastAsiaTheme="minorHAnsi" w:hAnsiTheme="minorHAnsi" w:cs="TimesNewRomanPSMT"/>
          <w:color w:val="000000"/>
        </w:rPr>
        <w:t>-Pearson) was</w:t>
      </w:r>
      <w:r>
        <w:rPr>
          <w:rFonts w:asciiTheme="minorHAnsi" w:eastAsiaTheme="minorHAnsi" w:hAnsiTheme="minorHAnsi" w:cs="TimesNewRomanPSMT"/>
          <w:color w:val="000000"/>
        </w:rPr>
        <w:t xml:space="preserve"> 0% (0%, 16.11</w:t>
      </w:r>
      <w:r w:rsidR="001B7A56">
        <w:rPr>
          <w:rFonts w:asciiTheme="minorHAnsi" w:eastAsiaTheme="minorHAnsi" w:hAnsiTheme="minorHAnsi" w:cs="TimesNewRomanPSMT"/>
          <w:color w:val="000000"/>
        </w:rPr>
        <w:t xml:space="preserve">%) </w:t>
      </w:r>
      <w:proofErr w:type="gramStart"/>
      <w:r w:rsidR="001B7A56">
        <w:rPr>
          <w:rFonts w:asciiTheme="minorHAnsi" w:eastAsiaTheme="minorHAnsi" w:hAnsiTheme="minorHAnsi" w:cs="TimesNewRomanPSMT"/>
          <w:color w:val="000000"/>
        </w:rPr>
        <w:t>(</w:t>
      </w:r>
      <w:r w:rsidR="00157E63" w:rsidRPr="00112368">
        <w:rPr>
          <w:rFonts w:asciiTheme="minorHAnsi" w:eastAsiaTheme="minorHAnsi" w:hAnsiTheme="minorHAnsi" w:cs="TimesNewRomanPSMT"/>
          <w:color w:val="000000"/>
        </w:rPr>
        <w:t xml:space="preserve">Figures </w:t>
      </w:r>
      <w:r w:rsidR="008267BC">
        <w:rPr>
          <w:rFonts w:asciiTheme="minorHAnsi" w:eastAsiaTheme="minorHAnsi" w:hAnsiTheme="minorHAnsi" w:cs="TimesNewRomanPSMT"/>
          <w:color w:val="000000"/>
        </w:rPr>
        <w:t>13</w:t>
      </w:r>
      <w:r w:rsidR="00157E63" w:rsidRPr="00112368">
        <w:rPr>
          <w:rFonts w:asciiTheme="minorHAnsi" w:eastAsiaTheme="minorHAnsi" w:hAnsiTheme="minorHAnsi" w:cs="TimesNewRomanPSMT"/>
          <w:color w:val="000000"/>
        </w:rPr>
        <w:t xml:space="preserve"> and </w:t>
      </w:r>
      <w:r w:rsidR="008267BC">
        <w:rPr>
          <w:rFonts w:asciiTheme="minorHAnsi" w:eastAsiaTheme="minorHAnsi" w:hAnsiTheme="minorHAnsi" w:cs="TimesNewRomanPSMT"/>
          <w:color w:val="000000"/>
        </w:rPr>
        <w:t>14</w:t>
      </w:r>
      <w:r w:rsidR="00112368">
        <w:rPr>
          <w:rFonts w:asciiTheme="minorHAnsi" w:eastAsiaTheme="minorHAnsi" w:hAnsiTheme="minorHAnsi" w:cs="TimesNewRomanPSMT"/>
          <w:color w:val="000000"/>
        </w:rPr>
        <w:t>)</w:t>
      </w:r>
      <w:r w:rsidRPr="00112368">
        <w:rPr>
          <w:rFonts w:asciiTheme="minorHAnsi" w:eastAsiaTheme="minorHAnsi" w:hAnsiTheme="minorHAnsi" w:cs="TimesNewRomanPSMT"/>
          <w:color w:val="000000"/>
        </w:rPr>
        <w:t>.</w:t>
      </w:r>
      <w:proofErr w:type="gramEnd"/>
      <w:r w:rsidRPr="00112368">
        <w:rPr>
          <w:rFonts w:asciiTheme="minorHAnsi" w:eastAsiaTheme="minorHAnsi" w:hAnsiTheme="minorHAnsi" w:cs="TimesNewRomanPSMT"/>
          <w:color w:val="000000"/>
        </w:rPr>
        <w:t xml:space="preserve"> Compared</w:t>
      </w:r>
      <w:r w:rsidRPr="008A0C07">
        <w:rPr>
          <w:rFonts w:asciiTheme="minorHAnsi" w:eastAsiaTheme="minorHAnsi" w:hAnsiTheme="minorHAnsi" w:cs="TimesNewRomanPSMT"/>
          <w:color w:val="000000"/>
        </w:rPr>
        <w:t xml:space="preserve"> with this</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 xml:space="preserve">historical control, </w:t>
      </w:r>
      <w:proofErr w:type="spellStart"/>
      <w:r w:rsidRPr="008A0C07">
        <w:rPr>
          <w:rFonts w:asciiTheme="minorHAnsi" w:eastAsiaTheme="minorHAnsi" w:hAnsiTheme="minorHAnsi" w:cs="TimesNewRomanPSMT"/>
          <w:color w:val="000000"/>
        </w:rPr>
        <w:t>sebelipase</w:t>
      </w:r>
      <w:proofErr w:type="spellEnd"/>
      <w:r w:rsidRPr="008A0C07">
        <w:rPr>
          <w:rFonts w:asciiTheme="minorHAnsi" w:eastAsiaTheme="minorHAnsi" w:hAnsiTheme="minorHAnsi" w:cs="TimesNewRomanPSMT"/>
          <w:color w:val="000000"/>
        </w:rPr>
        <w:t xml:space="preserve"> alfa treatment provides a clinically meaningful improvement</w:t>
      </w:r>
      <w:r>
        <w:rPr>
          <w:rFonts w:asciiTheme="minorHAnsi" w:eastAsiaTheme="minorHAnsi" w:hAnsiTheme="minorHAnsi" w:cs="TimesNewRomanPSMT"/>
          <w:color w:val="000000"/>
        </w:rPr>
        <w:t xml:space="preserve"> </w:t>
      </w:r>
      <w:r w:rsidRPr="008A0C07">
        <w:rPr>
          <w:rFonts w:asciiTheme="minorHAnsi" w:eastAsiaTheme="minorHAnsi" w:hAnsiTheme="minorHAnsi" w:cs="TimesNewRomanPSMT"/>
          <w:color w:val="000000"/>
        </w:rPr>
        <w:t>in survival in infants with LAL Deficiency.</w:t>
      </w:r>
    </w:p>
    <w:p w14:paraId="2AF4FB76" w14:textId="12ABEE16" w:rsidR="00157E63" w:rsidRDefault="008267BC" w:rsidP="00157E63">
      <w:pPr>
        <w:pStyle w:val="FigureTitle"/>
        <w:keepNext/>
      </w:pPr>
      <w:r>
        <w:t>Figure 13</w:t>
      </w:r>
      <w:r w:rsidR="00112368">
        <w:t xml:space="preserve">: </w:t>
      </w:r>
      <w:r w:rsidR="00157E63">
        <w:t>Kaplan-Meier pl</w:t>
      </w:r>
      <w:r w:rsidR="00DE644C">
        <w:t>o</w:t>
      </w:r>
      <w:r w:rsidR="00157E63">
        <w:t xml:space="preserve">t of survival from birth to 12 months of age for </w:t>
      </w:r>
      <w:proofErr w:type="spellStart"/>
      <w:r w:rsidR="00157E63">
        <w:t>s</w:t>
      </w:r>
      <w:r w:rsidR="00112368">
        <w:t>e</w:t>
      </w:r>
      <w:r w:rsidR="00157E63">
        <w:t>b</w:t>
      </w:r>
      <w:r w:rsidR="00112368">
        <w:t>el</w:t>
      </w:r>
      <w:r w:rsidR="00157E63">
        <w:t>ipase</w:t>
      </w:r>
      <w:proofErr w:type="spellEnd"/>
      <w:r w:rsidR="00157E63">
        <w:t xml:space="preserve"> alfa treated subjects in LAL-CL03 (PES) versus untreated patients in LAL-1-NH01 (</w:t>
      </w:r>
      <w:r w:rsidR="005B44AD">
        <w:t>patients</w:t>
      </w:r>
      <w:r w:rsidR="00157E63">
        <w:t xml:space="preserve"> with early growth failure only)</w:t>
      </w:r>
    </w:p>
    <w:p w14:paraId="135F9ADD" w14:textId="77777777" w:rsidR="00157E63" w:rsidRDefault="00695CDF" w:rsidP="00157E63">
      <w:r w:rsidRPr="008267BC">
        <w:rPr>
          <w:noProof/>
          <w:lang w:eastAsia="en-AU"/>
        </w:rPr>
        <w:drawing>
          <wp:inline distT="0" distB="0" distL="0" distR="0" wp14:anchorId="46DC3730" wp14:editId="093E1351">
            <wp:extent cx="5984308" cy="2333625"/>
            <wp:effectExtent l="0" t="0" r="0" b="0"/>
            <wp:docPr id="63" name="Picture 63" descr="Figure 13: Kaplan-Meier plat of survival from birth to 12 months of age for sebelipase alfa treated subjects in LAL-CL03 (PES) versus untreated patients in LAL-1-NH01 (patient’s with early growth failur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83738" cy="2333403"/>
                    </a:xfrm>
                    <a:prstGeom prst="rect">
                      <a:avLst/>
                    </a:prstGeom>
                  </pic:spPr>
                </pic:pic>
              </a:graphicData>
            </a:graphic>
          </wp:inline>
        </w:drawing>
      </w:r>
    </w:p>
    <w:p w14:paraId="55C4BE37" w14:textId="68D973BE" w:rsidR="00157E63" w:rsidRDefault="008267BC" w:rsidP="00695CDF">
      <w:pPr>
        <w:pStyle w:val="FigureTitle"/>
        <w:keepNext/>
      </w:pPr>
      <w:r>
        <w:lastRenderedPageBreak/>
        <w:t>Figure 14</w:t>
      </w:r>
      <w:r w:rsidR="00112368">
        <w:t xml:space="preserve">: </w:t>
      </w:r>
      <w:r w:rsidR="00157E63">
        <w:t>Kaplan-Meier pl</w:t>
      </w:r>
      <w:r w:rsidR="00DE644C">
        <w:t>o</w:t>
      </w:r>
      <w:r w:rsidR="00157E63">
        <w:t xml:space="preserve">t of survival from birth to 12 months of age for </w:t>
      </w:r>
      <w:proofErr w:type="spellStart"/>
      <w:r w:rsidR="00157E63">
        <w:t>s</w:t>
      </w:r>
      <w:r w:rsidR="00112368">
        <w:t>ebe</w:t>
      </w:r>
      <w:r w:rsidR="00157E63">
        <w:t>lipase</w:t>
      </w:r>
      <w:proofErr w:type="spellEnd"/>
      <w:r w:rsidR="00157E63">
        <w:t xml:space="preserve"> alfa treated subjects in LAL-CL03 (PES) versus untreated patients in LAL-1-NH01</w:t>
      </w:r>
    </w:p>
    <w:p w14:paraId="77C22B14" w14:textId="77777777" w:rsidR="00157E63" w:rsidRPr="00157E63" w:rsidRDefault="00695CDF" w:rsidP="00157E63">
      <w:r w:rsidRPr="00695CDF">
        <w:rPr>
          <w:noProof/>
          <w:lang w:eastAsia="en-AU"/>
        </w:rPr>
        <w:drawing>
          <wp:inline distT="0" distB="0" distL="0" distR="0" wp14:anchorId="2D77CCF7" wp14:editId="67FEDE98">
            <wp:extent cx="5731510" cy="2253414"/>
            <wp:effectExtent l="0" t="0" r="2540" b="0"/>
            <wp:docPr id="64" name="Picture 64" descr="Figure 14: Kaplan-Meier plat of survival from birth to 12 months of age for sebelipase alfa treated subjects in LAL-CL03 (PES) versus untreated patients in LAL-1-N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253414"/>
                    </a:xfrm>
                    <a:prstGeom prst="rect">
                      <a:avLst/>
                    </a:prstGeom>
                  </pic:spPr>
                </pic:pic>
              </a:graphicData>
            </a:graphic>
          </wp:inline>
        </w:drawing>
      </w:r>
    </w:p>
    <w:p w14:paraId="6EFB9C11" w14:textId="77777777" w:rsidR="00CC672B" w:rsidRDefault="00934213" w:rsidP="00934213">
      <w:pPr>
        <w:pStyle w:val="Heading5"/>
        <w:rPr>
          <w:rFonts w:eastAsiaTheme="minorHAnsi"/>
        </w:rPr>
      </w:pPr>
      <w:r w:rsidRPr="00CA49B4">
        <w:rPr>
          <w:rFonts w:eastAsiaTheme="minorHAnsi"/>
        </w:rPr>
        <w:t>Other efficacy results</w:t>
      </w:r>
    </w:p>
    <w:p w14:paraId="459F377B" w14:textId="77777777" w:rsidR="00B73619" w:rsidRDefault="00934213" w:rsidP="00934213">
      <w:pPr>
        <w:autoSpaceDE w:val="0"/>
        <w:autoSpaceDN w:val="0"/>
        <w:adjustRightInd w:val="0"/>
        <w:spacing w:before="0" w:line="240" w:lineRule="auto"/>
        <w:rPr>
          <w:rFonts w:asciiTheme="minorHAnsi" w:eastAsiaTheme="minorHAnsi" w:hAnsiTheme="minorHAnsi" w:cs="TimesNewRomanPSMT"/>
          <w:b/>
          <w:highlight w:val="yellow"/>
        </w:rPr>
      </w:pPr>
      <w:r w:rsidRPr="00CA49B4">
        <w:rPr>
          <w:rFonts w:asciiTheme="minorHAnsi" w:eastAsiaTheme="minorHAnsi" w:hAnsiTheme="minorHAnsi" w:cs="TimesNewRomanPSMT"/>
        </w:rPr>
        <w:t>The ages of the surviving subjects at their last available assessment</w:t>
      </w:r>
      <w:r>
        <w:rPr>
          <w:rFonts w:asciiTheme="minorHAnsi" w:eastAsiaTheme="minorHAnsi" w:hAnsiTheme="minorHAnsi" w:cs="TimesNewRomanPSMT"/>
        </w:rPr>
        <w:t xml:space="preserve"> </w:t>
      </w:r>
      <w:r w:rsidRPr="00CA49B4">
        <w:rPr>
          <w:rFonts w:asciiTheme="minorHAnsi" w:eastAsiaTheme="minorHAnsi" w:hAnsiTheme="minorHAnsi" w:cs="TimesNewRomanPSMT"/>
        </w:rPr>
        <w:t>were 12.0, 15.7, 15.8, 20.4, 25.1, and 42.2 months, and thus the proportion of subjects in the</w:t>
      </w:r>
      <w:r>
        <w:rPr>
          <w:rFonts w:asciiTheme="minorHAnsi" w:eastAsiaTheme="minorHAnsi" w:hAnsiTheme="minorHAnsi" w:cs="TimesNewRomanPSMT"/>
        </w:rPr>
        <w:t xml:space="preserve"> </w:t>
      </w:r>
      <w:r w:rsidRPr="00CA49B4">
        <w:rPr>
          <w:rFonts w:asciiTheme="minorHAnsi" w:eastAsiaTheme="minorHAnsi" w:hAnsiTheme="minorHAnsi" w:cs="TimesNewRomanPSMT"/>
        </w:rPr>
        <w:t xml:space="preserve">PES surviving to 18 and 24 </w:t>
      </w:r>
      <w:r w:rsidRPr="002D27EC">
        <w:rPr>
          <w:rFonts w:asciiTheme="minorHAnsi" w:eastAsiaTheme="minorHAnsi" w:hAnsiTheme="minorHAnsi" w:cs="TimesNewRomanPSMT"/>
        </w:rPr>
        <w:t>months of age were 33% (3 of 9 subjects) and 22% (2 of 9 subjects</w:t>
      </w:r>
      <w:r w:rsidRPr="00E45A80">
        <w:rPr>
          <w:rFonts w:asciiTheme="minorHAnsi" w:eastAsiaTheme="minorHAnsi" w:hAnsiTheme="minorHAnsi" w:cs="TimesNewRomanPSMT"/>
        </w:rPr>
        <w:t xml:space="preserve">) (Table </w:t>
      </w:r>
      <w:r w:rsidR="00E45A80" w:rsidRPr="00E45A80">
        <w:rPr>
          <w:rFonts w:asciiTheme="minorHAnsi" w:eastAsiaTheme="minorHAnsi" w:hAnsiTheme="minorHAnsi" w:cs="TimesNewRomanPSMT"/>
        </w:rPr>
        <w:t>12</w:t>
      </w:r>
      <w:r w:rsidRPr="00E45A80">
        <w:rPr>
          <w:rFonts w:asciiTheme="minorHAnsi" w:eastAsiaTheme="minorHAnsi" w:hAnsiTheme="minorHAnsi" w:cs="TimesNewRomanPSMT"/>
        </w:rPr>
        <w:t>)</w:t>
      </w:r>
      <w:r w:rsidR="00B73619" w:rsidRPr="00E45A80">
        <w:rPr>
          <w:rFonts w:asciiTheme="minorHAnsi" w:eastAsiaTheme="minorHAnsi" w:hAnsiTheme="minorHAnsi" w:cs="TimesNewRomanPSMT"/>
        </w:rPr>
        <w:t>.</w:t>
      </w:r>
    </w:p>
    <w:p w14:paraId="0820348A" w14:textId="6827CC8A" w:rsidR="00934213" w:rsidRDefault="00934213" w:rsidP="00934213">
      <w:pPr>
        <w:autoSpaceDE w:val="0"/>
        <w:autoSpaceDN w:val="0"/>
        <w:adjustRightInd w:val="0"/>
        <w:spacing w:before="0" w:line="240" w:lineRule="auto"/>
        <w:rPr>
          <w:rFonts w:asciiTheme="minorHAnsi" w:eastAsiaTheme="minorHAnsi" w:hAnsiTheme="minorHAnsi" w:cs="TimesNewRomanPSMT"/>
          <w:color w:val="000000"/>
        </w:rPr>
      </w:pPr>
      <w:r w:rsidRPr="002D27EC">
        <w:rPr>
          <w:rFonts w:asciiTheme="minorHAnsi" w:eastAsiaTheme="minorHAnsi" w:hAnsiTheme="minorHAnsi" w:cs="TimesNewRomanPSMT"/>
          <w:color w:val="000000"/>
        </w:rPr>
        <w:t>Three (33.3%) of the 9 subjects in the PES died prior to the data cut-off for this report</w:t>
      </w:r>
      <w:r>
        <w:rPr>
          <w:rFonts w:asciiTheme="minorHAnsi" w:eastAsiaTheme="minorHAnsi" w:hAnsiTheme="minorHAnsi" w:cs="TimesNewRomanPSMT"/>
          <w:color w:val="000000"/>
        </w:rPr>
        <w:t xml:space="preserve"> </w:t>
      </w:r>
      <w:r w:rsidRPr="002D27EC">
        <w:rPr>
          <w:rFonts w:asciiTheme="minorHAnsi" w:eastAsiaTheme="minorHAnsi" w:hAnsiTheme="minorHAnsi" w:cs="TimesNewRomanPSMT"/>
          <w:color w:val="000000"/>
        </w:rPr>
        <w:t xml:space="preserve">(10 </w:t>
      </w:r>
      <w:r w:rsidR="00131B1C">
        <w:rPr>
          <w:rFonts w:asciiTheme="minorHAnsi" w:eastAsiaTheme="minorHAnsi" w:hAnsiTheme="minorHAnsi" w:cs="TimesNewRomanPSMT"/>
          <w:color w:val="000000"/>
        </w:rPr>
        <w:t>June</w:t>
      </w:r>
      <w:r w:rsidRPr="002D27EC">
        <w:rPr>
          <w:rFonts w:asciiTheme="minorHAnsi" w:eastAsiaTheme="minorHAnsi" w:hAnsiTheme="minorHAnsi" w:cs="TimesNewRomanPSMT"/>
          <w:color w:val="000000"/>
        </w:rPr>
        <w:t xml:space="preserve"> 2014), after having received between 1 and 4 infusions of </w:t>
      </w:r>
      <w:proofErr w:type="spellStart"/>
      <w:r w:rsidRPr="002D27EC">
        <w:rPr>
          <w:rFonts w:asciiTheme="minorHAnsi" w:eastAsiaTheme="minorHAnsi" w:hAnsiTheme="minorHAnsi" w:cs="TimesNewRomanPSMT"/>
          <w:color w:val="000000"/>
        </w:rPr>
        <w:t>sebelipase</w:t>
      </w:r>
      <w:proofErr w:type="spellEnd"/>
      <w:r w:rsidRPr="002D27EC">
        <w:rPr>
          <w:rFonts w:asciiTheme="minorHAnsi" w:eastAsiaTheme="minorHAnsi" w:hAnsiTheme="minorHAnsi" w:cs="TimesNewRomanPSMT"/>
          <w:color w:val="000000"/>
        </w:rPr>
        <w:t xml:space="preserve"> alfa.</w:t>
      </w:r>
      <w:r>
        <w:rPr>
          <w:rFonts w:asciiTheme="minorHAnsi" w:eastAsiaTheme="minorHAnsi" w:hAnsiTheme="minorHAnsi" w:cs="TimesNewRomanPSMT"/>
          <w:color w:val="000000"/>
        </w:rPr>
        <w:t xml:space="preserve"> </w:t>
      </w:r>
      <w:r w:rsidRPr="002D27EC">
        <w:rPr>
          <w:rFonts w:asciiTheme="minorHAnsi" w:eastAsiaTheme="minorHAnsi" w:hAnsiTheme="minorHAnsi" w:cs="TimesNewRomanPSMT"/>
          <w:color w:val="000000"/>
        </w:rPr>
        <w:t>Median (range) age at death in these 3 subjects was</w:t>
      </w:r>
      <w:r>
        <w:rPr>
          <w:rFonts w:asciiTheme="minorHAnsi" w:eastAsiaTheme="minorHAnsi" w:hAnsiTheme="minorHAnsi" w:cs="TimesNewRomanPSMT"/>
          <w:color w:val="000000"/>
        </w:rPr>
        <w:t xml:space="preserve"> 2.9 months (2.8 to 4.3 months).</w:t>
      </w:r>
      <w:r w:rsidRPr="002D27EC">
        <w:rPr>
          <w:rFonts w:asciiTheme="minorHAnsi" w:eastAsiaTheme="minorHAnsi" w:hAnsiTheme="minorHAnsi" w:cs="TimesNewRomanPSMT"/>
          <w:color w:val="000000"/>
        </w:rPr>
        <w:t xml:space="preserve"> Cause of death was hepatic failure </w:t>
      </w:r>
      <w:r w:rsidR="004F183D">
        <w:rPr>
          <w:rFonts w:asciiTheme="minorHAnsi" w:eastAsiaTheme="minorHAnsi" w:hAnsiTheme="minorHAnsi" w:cs="TimesNewRomanPSMT"/>
          <w:color w:val="000000"/>
        </w:rPr>
        <w:t>[information redacted</w:t>
      </w:r>
      <w:r w:rsidR="00E11D80">
        <w:rPr>
          <w:rFonts w:asciiTheme="minorHAnsi" w:eastAsiaTheme="minorHAnsi" w:hAnsiTheme="minorHAnsi" w:cs="TimesNewRomanPSMT"/>
          <w:color w:val="000000"/>
        </w:rPr>
        <w:t>]</w:t>
      </w:r>
      <w:r w:rsidRPr="002D27EC">
        <w:rPr>
          <w:rFonts w:asciiTheme="minorHAnsi" w:eastAsiaTheme="minorHAnsi" w:hAnsiTheme="minorHAnsi" w:cs="TimesNewRomanPSMT"/>
          <w:color w:val="000000"/>
        </w:rPr>
        <w:t>, peritoneal haemorrhage</w:t>
      </w:r>
      <w:r>
        <w:rPr>
          <w:rFonts w:asciiTheme="minorHAnsi" w:eastAsiaTheme="minorHAnsi" w:hAnsiTheme="minorHAnsi" w:cs="TimesNewRomanPSMT"/>
          <w:color w:val="000000"/>
        </w:rPr>
        <w:t xml:space="preserve"> </w:t>
      </w:r>
      <w:r w:rsidR="004F183D">
        <w:rPr>
          <w:rFonts w:asciiTheme="minorHAnsi" w:eastAsiaTheme="minorHAnsi" w:hAnsiTheme="minorHAnsi" w:cs="TimesNewRomanPSMT"/>
          <w:color w:val="000000"/>
        </w:rPr>
        <w:t>[information redacted]</w:t>
      </w:r>
      <w:r w:rsidRPr="002D27EC">
        <w:rPr>
          <w:rFonts w:asciiTheme="minorHAnsi" w:eastAsiaTheme="minorHAnsi" w:hAnsiTheme="minorHAnsi" w:cs="TimesNewRomanPSMT"/>
          <w:color w:val="000000"/>
        </w:rPr>
        <w:t xml:space="preserve">, or cardiac arrest </w:t>
      </w:r>
      <w:r w:rsidR="004F183D">
        <w:rPr>
          <w:rFonts w:asciiTheme="minorHAnsi" w:eastAsiaTheme="minorHAnsi" w:hAnsiTheme="minorHAnsi" w:cs="TimesNewRomanPSMT"/>
          <w:color w:val="000000"/>
        </w:rPr>
        <w:t>[information redacted]</w:t>
      </w:r>
      <w:r w:rsidRPr="002D27EC">
        <w:rPr>
          <w:rFonts w:asciiTheme="minorHAnsi" w:eastAsiaTheme="minorHAnsi" w:hAnsiTheme="minorHAnsi" w:cs="TimesNewRomanPSMT"/>
          <w:color w:val="000000"/>
        </w:rPr>
        <w:t xml:space="preserve">, respectively, and was assessed as unrelated to </w:t>
      </w:r>
      <w:r w:rsidR="00C4359A">
        <w:rPr>
          <w:rFonts w:asciiTheme="minorHAnsi" w:eastAsiaTheme="minorHAnsi" w:hAnsiTheme="minorHAnsi" w:cs="TimesNewRomanPSMT"/>
          <w:color w:val="000000"/>
        </w:rPr>
        <w:t>study</w:t>
      </w:r>
      <w:r>
        <w:rPr>
          <w:rFonts w:asciiTheme="minorHAnsi" w:eastAsiaTheme="minorHAnsi" w:hAnsiTheme="minorHAnsi" w:cs="TimesNewRomanPSMT"/>
          <w:color w:val="000000"/>
        </w:rPr>
        <w:t xml:space="preserve"> </w:t>
      </w:r>
      <w:r w:rsidRPr="002D27EC">
        <w:rPr>
          <w:rFonts w:asciiTheme="minorHAnsi" w:eastAsiaTheme="minorHAnsi" w:hAnsiTheme="minorHAnsi" w:cs="TimesNewRomanPSMT"/>
          <w:color w:val="000000"/>
        </w:rPr>
        <w:t>drug.</w:t>
      </w:r>
    </w:p>
    <w:p w14:paraId="568C5737" w14:textId="77777777" w:rsidR="00157E63" w:rsidRDefault="00157E63" w:rsidP="00157E63">
      <w:pPr>
        <w:pStyle w:val="Tabletitle"/>
      </w:pPr>
      <w:r>
        <w:t xml:space="preserve">Table </w:t>
      </w:r>
      <w:r w:rsidR="00E45A80">
        <w:t>12:</w:t>
      </w:r>
      <w:r>
        <w:t xml:space="preserve"> Study LAL-CL03</w:t>
      </w:r>
      <w:r w:rsidR="00E45A80">
        <w:t>.</w:t>
      </w:r>
      <w:r>
        <w:t xml:space="preserve"> Proportion of subjects surviving to 18, 24, 30 and 36 mont</w:t>
      </w:r>
      <w:r w:rsidR="00E45A80">
        <w:t>hs of age, primary efficacy set</w:t>
      </w:r>
    </w:p>
    <w:p w14:paraId="60FAC4F3" w14:textId="77777777" w:rsidR="00157E63" w:rsidRPr="00695CDF" w:rsidRDefault="00695CDF" w:rsidP="00695CDF">
      <w:r>
        <w:rPr>
          <w:noProof/>
          <w:lang w:eastAsia="en-AU"/>
        </w:rPr>
        <w:drawing>
          <wp:inline distT="0" distB="0" distL="0" distR="0" wp14:anchorId="37AE5645" wp14:editId="363061DE">
            <wp:extent cx="5731510" cy="2044606"/>
            <wp:effectExtent l="0" t="0" r="2540" b="0"/>
            <wp:docPr id="65" name="Picture 65" descr="Table 12: Study LAL-CL03. Proportion of subjects surviving to 18, 24, 30 and 36 months of age, primary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2044606"/>
                    </a:xfrm>
                    <a:prstGeom prst="rect">
                      <a:avLst/>
                    </a:prstGeom>
                  </pic:spPr>
                </pic:pic>
              </a:graphicData>
            </a:graphic>
          </wp:inline>
        </w:drawing>
      </w:r>
    </w:p>
    <w:p w14:paraId="0F6294AB" w14:textId="77777777" w:rsidR="00CC672B" w:rsidRDefault="00934213" w:rsidP="00934213">
      <w:pPr>
        <w:pStyle w:val="Heading6"/>
        <w:rPr>
          <w:rFonts w:eastAsiaTheme="minorHAnsi"/>
        </w:rPr>
      </w:pPr>
      <w:r w:rsidRPr="00911497">
        <w:rPr>
          <w:rFonts w:eastAsiaTheme="minorHAnsi"/>
        </w:rPr>
        <w:t>Anthropometric measurements</w:t>
      </w:r>
    </w:p>
    <w:p w14:paraId="53EE174C" w14:textId="6C3F1247" w:rsidR="00B73619" w:rsidRPr="00FE32BB" w:rsidRDefault="00934213" w:rsidP="00934213">
      <w:pPr>
        <w:autoSpaceDE w:val="0"/>
        <w:autoSpaceDN w:val="0"/>
        <w:adjustRightInd w:val="0"/>
        <w:spacing w:before="0" w:line="240" w:lineRule="auto"/>
        <w:rPr>
          <w:rFonts w:asciiTheme="minorHAnsi" w:eastAsiaTheme="minorHAnsi" w:hAnsiTheme="minorHAnsi" w:cs="TimesNewRomanPSMT"/>
        </w:rPr>
      </w:pPr>
      <w:r w:rsidRPr="00911497">
        <w:rPr>
          <w:rFonts w:asciiTheme="minorHAnsi" w:eastAsiaTheme="minorHAnsi" w:hAnsiTheme="minorHAnsi" w:cs="TimesNewRomanPSMT"/>
          <w:color w:val="000000"/>
        </w:rPr>
        <w:t>Birth WFA percentiles ranged from 1.13% to 86.43%, with 2 subjects having low WFA</w:t>
      </w:r>
      <w:r>
        <w:rPr>
          <w:rFonts w:asciiTheme="minorHAnsi" w:eastAsiaTheme="minorHAnsi" w:hAnsiTheme="minorHAnsi" w:cs="TimesNewRomanPSMT"/>
          <w:color w:val="000000"/>
        </w:rPr>
        <w:t xml:space="preserve"> </w:t>
      </w:r>
      <w:r w:rsidRPr="00911497">
        <w:rPr>
          <w:rFonts w:asciiTheme="minorHAnsi" w:eastAsiaTheme="minorHAnsi" w:hAnsiTheme="minorHAnsi" w:cs="TimesNewRomanPSMT"/>
          <w:color w:val="000000"/>
        </w:rPr>
        <w:t>percentiles (1.13% and 20.05%), and 6 other</w:t>
      </w:r>
      <w:r>
        <w:rPr>
          <w:rFonts w:asciiTheme="minorHAnsi" w:eastAsiaTheme="minorHAnsi" w:hAnsiTheme="minorHAnsi" w:cs="TimesNewRomanPSMT"/>
          <w:color w:val="000000"/>
        </w:rPr>
        <w:t xml:space="preserve"> </w:t>
      </w:r>
      <w:r w:rsidRPr="00911497">
        <w:rPr>
          <w:rFonts w:asciiTheme="minorHAnsi" w:eastAsiaTheme="minorHAnsi" w:hAnsiTheme="minorHAnsi" w:cs="TimesNewRomanPSMT"/>
          <w:color w:val="000000"/>
        </w:rPr>
        <w:t>subjects having WFA between 53.98% and 86.43% (baseline data were unavailable for</w:t>
      </w:r>
      <w:r>
        <w:rPr>
          <w:rFonts w:asciiTheme="minorHAnsi" w:eastAsiaTheme="minorHAnsi" w:hAnsiTheme="minorHAnsi" w:cs="TimesNewRomanPSMT"/>
          <w:color w:val="000000"/>
        </w:rPr>
        <w:t xml:space="preserve"> </w:t>
      </w:r>
      <w:r w:rsidRPr="00911497">
        <w:rPr>
          <w:rFonts w:asciiTheme="minorHAnsi" w:eastAsiaTheme="minorHAnsi" w:hAnsiTheme="minorHAnsi" w:cs="TimesNewRomanPSMT"/>
          <w:color w:val="000000"/>
        </w:rPr>
        <w:t>1 subject). Growth deceleration from birth to the baseline assessment in</w:t>
      </w:r>
      <w:r>
        <w:rPr>
          <w:rFonts w:asciiTheme="minorHAnsi" w:eastAsiaTheme="minorHAnsi" w:hAnsiTheme="minorHAnsi" w:cs="TimesNewRomanPSMT"/>
          <w:color w:val="000000"/>
        </w:rPr>
        <w:t xml:space="preserve"> </w:t>
      </w:r>
      <w:r w:rsidR="00157E63">
        <w:rPr>
          <w:rFonts w:asciiTheme="minorHAnsi" w:eastAsiaTheme="minorHAnsi" w:hAnsiTheme="minorHAnsi" w:cs="TimesNewRomanPSMT"/>
          <w:color w:val="000000"/>
        </w:rPr>
        <w:t>Study</w:t>
      </w:r>
      <w:r>
        <w:rPr>
          <w:rFonts w:asciiTheme="minorHAnsi" w:eastAsiaTheme="minorHAnsi" w:hAnsiTheme="minorHAnsi" w:cs="TimesNewRomanPSMT"/>
          <w:color w:val="000000"/>
        </w:rPr>
        <w:t xml:space="preserve"> </w:t>
      </w:r>
      <w:r w:rsidRPr="00911497">
        <w:rPr>
          <w:rFonts w:asciiTheme="minorHAnsi" w:eastAsiaTheme="minorHAnsi" w:hAnsiTheme="minorHAnsi" w:cs="TimesNewRomanPSMT"/>
          <w:color w:val="000000"/>
        </w:rPr>
        <w:t>LAL-CL03 was observed for all 8 (100%) subje</w:t>
      </w:r>
      <w:r>
        <w:rPr>
          <w:rFonts w:asciiTheme="minorHAnsi" w:eastAsiaTheme="minorHAnsi" w:hAnsiTheme="minorHAnsi" w:cs="TimesNewRomanPSMT"/>
          <w:color w:val="000000"/>
        </w:rPr>
        <w:t xml:space="preserve">cts and </w:t>
      </w:r>
      <w:r w:rsidR="00DE644C">
        <w:rPr>
          <w:rFonts w:asciiTheme="minorHAnsi" w:eastAsiaTheme="minorHAnsi" w:hAnsiTheme="minorHAnsi" w:cs="TimesNewRomanPSMT"/>
          <w:color w:val="000000"/>
        </w:rPr>
        <w:t>at Baseline</w:t>
      </w:r>
      <w:r w:rsidRPr="00911497">
        <w:rPr>
          <w:rFonts w:asciiTheme="minorHAnsi" w:eastAsiaTheme="minorHAnsi" w:hAnsiTheme="minorHAnsi" w:cs="TimesNewRomanPSMT"/>
          <w:color w:val="000000"/>
        </w:rPr>
        <w:t>, the median WFA percentile was 3.08% (n</w:t>
      </w:r>
      <w:r w:rsidR="002D28A4">
        <w:rPr>
          <w:rFonts w:asciiTheme="minorHAnsi" w:eastAsiaTheme="minorHAnsi" w:hAnsiTheme="minorHAnsi" w:cs="TimesNewRomanPSMT"/>
          <w:color w:val="000000"/>
        </w:rPr>
        <w:t xml:space="preserve"> = </w:t>
      </w:r>
      <w:r w:rsidRPr="00911497">
        <w:rPr>
          <w:rFonts w:asciiTheme="minorHAnsi" w:eastAsiaTheme="minorHAnsi" w:hAnsiTheme="minorHAnsi" w:cs="TimesNewRomanPSMT"/>
          <w:color w:val="000000"/>
        </w:rPr>
        <w:t>8), with individual WFA</w:t>
      </w:r>
      <w:r>
        <w:rPr>
          <w:rFonts w:asciiTheme="minorHAnsi" w:eastAsiaTheme="minorHAnsi" w:hAnsiTheme="minorHAnsi" w:cs="TimesNewRomanPSMT"/>
          <w:color w:val="000000"/>
        </w:rPr>
        <w:t xml:space="preserve"> </w:t>
      </w:r>
      <w:r w:rsidRPr="00911497">
        <w:rPr>
          <w:rFonts w:asciiTheme="minorHAnsi" w:eastAsiaTheme="minorHAnsi" w:hAnsiTheme="minorHAnsi" w:cs="TimesNewRomanPSMT"/>
          <w:color w:val="000000"/>
        </w:rPr>
        <w:t>percentiles ranging from 0% to 11.51% in the 7 subjects with confirmed growth failure,</w:t>
      </w:r>
      <w:r>
        <w:rPr>
          <w:rFonts w:asciiTheme="minorHAnsi" w:eastAsiaTheme="minorHAnsi" w:hAnsiTheme="minorHAnsi" w:cs="TimesNewRomanPSMT"/>
          <w:color w:val="000000"/>
        </w:rPr>
        <w:t xml:space="preserve"> </w:t>
      </w:r>
      <w:r w:rsidRPr="00911497">
        <w:rPr>
          <w:rFonts w:asciiTheme="minorHAnsi" w:eastAsiaTheme="minorHAnsi" w:hAnsiTheme="minorHAnsi" w:cs="TimesNewRomanPSMT"/>
          <w:color w:val="000000"/>
        </w:rPr>
        <w:t>and a WFA percentile of 77.04% in the 1 subject without confirmed growth failure</w:t>
      </w:r>
      <w:r>
        <w:rPr>
          <w:rFonts w:asciiTheme="minorHAnsi" w:eastAsiaTheme="minorHAnsi" w:hAnsiTheme="minorHAnsi" w:cs="TimesNewRomanPSMT"/>
          <w:color w:val="000000"/>
        </w:rPr>
        <w:t>.</w:t>
      </w:r>
      <w:r w:rsidRPr="00911497">
        <w:rPr>
          <w:rFonts w:asciiTheme="minorHAnsi" w:eastAsiaTheme="minorHAnsi" w:hAnsiTheme="minorHAnsi" w:cs="TimesNewRomanPSMT"/>
        </w:rPr>
        <w:t xml:space="preserve"> All 6 subjects who survived beyond Week 4 had increases in WFA</w:t>
      </w:r>
      <w:r>
        <w:rPr>
          <w:rFonts w:asciiTheme="minorHAnsi" w:eastAsiaTheme="minorHAnsi" w:hAnsiTheme="minorHAnsi" w:cs="TimesNewRomanPSMT"/>
        </w:rPr>
        <w:t xml:space="preserve"> </w:t>
      </w:r>
      <w:r w:rsidRPr="00911497">
        <w:rPr>
          <w:rFonts w:asciiTheme="minorHAnsi" w:eastAsiaTheme="minorHAnsi" w:hAnsiTheme="minorHAnsi" w:cs="TimesNewRomanPSMT"/>
        </w:rPr>
        <w:t xml:space="preserve">percentile during treatment with </w:t>
      </w:r>
      <w:proofErr w:type="spellStart"/>
      <w:r w:rsidRPr="00911497">
        <w:rPr>
          <w:rFonts w:asciiTheme="minorHAnsi" w:eastAsiaTheme="minorHAnsi" w:hAnsiTheme="minorHAnsi" w:cs="TimesNewRomanPSMT"/>
        </w:rPr>
        <w:t>sebelipase</w:t>
      </w:r>
      <w:proofErr w:type="spellEnd"/>
      <w:r w:rsidRPr="00911497">
        <w:rPr>
          <w:rFonts w:asciiTheme="minorHAnsi" w:eastAsiaTheme="minorHAnsi" w:hAnsiTheme="minorHAnsi" w:cs="TimesNewRomanPSMT"/>
        </w:rPr>
        <w:t xml:space="preserve"> alfa. Three of these subjects achieved WFA</w:t>
      </w:r>
      <w:r>
        <w:rPr>
          <w:rFonts w:asciiTheme="minorHAnsi" w:eastAsiaTheme="minorHAnsi" w:hAnsiTheme="minorHAnsi" w:cs="TimesNewRomanPSMT"/>
        </w:rPr>
        <w:t xml:space="preserve"> </w:t>
      </w:r>
      <w:r w:rsidRPr="00911497">
        <w:rPr>
          <w:rFonts w:asciiTheme="minorHAnsi" w:eastAsiaTheme="minorHAnsi" w:hAnsiTheme="minorHAnsi" w:cs="TimesNewRomanPSMT"/>
        </w:rPr>
        <w:t>near or above the 25th centile and 1 subject achieved WFA</w:t>
      </w:r>
      <w:r>
        <w:rPr>
          <w:rFonts w:asciiTheme="minorHAnsi" w:eastAsiaTheme="minorHAnsi" w:hAnsiTheme="minorHAnsi" w:cs="TimesNewRomanPSMT"/>
        </w:rPr>
        <w:t xml:space="preserve"> </w:t>
      </w:r>
      <w:r w:rsidRPr="00911497">
        <w:rPr>
          <w:rFonts w:asciiTheme="minorHAnsi" w:eastAsiaTheme="minorHAnsi" w:hAnsiTheme="minorHAnsi" w:cs="TimesNewRomanPSMT"/>
        </w:rPr>
        <w:t xml:space="preserve">above the 90th </w:t>
      </w:r>
      <w:r w:rsidRPr="00911497">
        <w:rPr>
          <w:rFonts w:asciiTheme="minorHAnsi" w:eastAsiaTheme="minorHAnsi" w:hAnsiTheme="minorHAnsi" w:cs="TimesNewRomanPSMT"/>
        </w:rPr>
        <w:lastRenderedPageBreak/>
        <w:t>centile. The 1 subject without confirmed growth failure at</w:t>
      </w:r>
      <w:r>
        <w:rPr>
          <w:rFonts w:asciiTheme="minorHAnsi" w:eastAsiaTheme="minorHAnsi" w:hAnsiTheme="minorHAnsi" w:cs="TimesNewRomanPSMT"/>
        </w:rPr>
        <w:t xml:space="preserve"> </w:t>
      </w:r>
      <w:r w:rsidRPr="00911497">
        <w:rPr>
          <w:rFonts w:asciiTheme="minorHAnsi" w:eastAsiaTheme="minorHAnsi" w:hAnsiTheme="minorHAnsi" w:cs="TimesNewRomanPSMT"/>
        </w:rPr>
        <w:t>enrolment continued to have a WFA above the 75th centile at the data cut-off,</w:t>
      </w:r>
      <w:r>
        <w:rPr>
          <w:rFonts w:asciiTheme="minorHAnsi" w:eastAsiaTheme="minorHAnsi" w:hAnsiTheme="minorHAnsi" w:cs="TimesNewRomanPSMT"/>
        </w:rPr>
        <w:t xml:space="preserve"> </w:t>
      </w:r>
      <w:r w:rsidRPr="00911497">
        <w:rPr>
          <w:rFonts w:asciiTheme="minorHAnsi" w:eastAsiaTheme="minorHAnsi" w:hAnsiTheme="minorHAnsi" w:cs="TimesNewRomanPSMT"/>
        </w:rPr>
        <w:t>after having an initial decline prior to escalating to the 3 mg/kg dose. One subject with</w:t>
      </w:r>
      <w:r>
        <w:rPr>
          <w:rFonts w:asciiTheme="minorHAnsi" w:eastAsiaTheme="minorHAnsi" w:hAnsiTheme="minorHAnsi" w:cs="TimesNewRomanPSMT"/>
        </w:rPr>
        <w:t xml:space="preserve"> </w:t>
      </w:r>
      <w:r w:rsidRPr="00911497">
        <w:rPr>
          <w:rFonts w:asciiTheme="minorHAnsi" w:eastAsiaTheme="minorHAnsi" w:hAnsiTheme="minorHAnsi" w:cs="TimesNewRomanPSMT"/>
        </w:rPr>
        <w:t>the lowest WFA percentile at birth had increases in WFA but remained under</w:t>
      </w:r>
      <w:r>
        <w:rPr>
          <w:rFonts w:asciiTheme="minorHAnsi" w:eastAsiaTheme="minorHAnsi" w:hAnsiTheme="minorHAnsi" w:cs="TimesNewRomanPSMT"/>
        </w:rPr>
        <w:t xml:space="preserve"> </w:t>
      </w:r>
      <w:r w:rsidRPr="00911497">
        <w:rPr>
          <w:rFonts w:asciiTheme="minorHAnsi" w:eastAsiaTheme="minorHAnsi" w:hAnsiTheme="minorHAnsi" w:cs="TimesNewRomanPSMT"/>
        </w:rPr>
        <w:t>the 10th centile with intermittent periods of slower weight gain throughout therapy.</w:t>
      </w:r>
      <w:r>
        <w:rPr>
          <w:rFonts w:asciiTheme="minorHAnsi" w:eastAsiaTheme="minorHAnsi" w:hAnsiTheme="minorHAnsi" w:cs="TimesNewRomanPSMT"/>
        </w:rPr>
        <w:t xml:space="preserve"> </w:t>
      </w:r>
      <w:r w:rsidRPr="00911497">
        <w:rPr>
          <w:rFonts w:asciiTheme="minorHAnsi" w:eastAsiaTheme="minorHAnsi" w:hAnsiTheme="minorHAnsi" w:cs="TimesNewRomanPSMT"/>
        </w:rPr>
        <w:t xml:space="preserve">Mean WFA percentile initially decreased </w:t>
      </w:r>
      <w:r w:rsidR="00DE644C">
        <w:rPr>
          <w:rFonts w:asciiTheme="minorHAnsi" w:eastAsiaTheme="minorHAnsi" w:hAnsiTheme="minorHAnsi" w:cs="TimesNewRomanPSMT"/>
        </w:rPr>
        <w:t>from Baseline</w:t>
      </w:r>
      <w:r>
        <w:rPr>
          <w:rFonts w:asciiTheme="minorHAnsi" w:eastAsiaTheme="minorHAnsi" w:hAnsiTheme="minorHAnsi" w:cs="TimesNewRomanPSMT"/>
        </w:rPr>
        <w:t xml:space="preserve"> </w:t>
      </w:r>
      <w:r w:rsidRPr="00911497">
        <w:rPr>
          <w:rFonts w:asciiTheme="minorHAnsi" w:eastAsiaTheme="minorHAnsi" w:hAnsiTheme="minorHAnsi" w:cs="TimesNewRomanPSMT"/>
        </w:rPr>
        <w:t>(12.74%) through Week 2 (9.46%), but thereafter showed consistent and marked improvement over time, increasing from 12.41% at Week 4 (n</w:t>
      </w:r>
      <w:r w:rsidR="002D28A4">
        <w:rPr>
          <w:rFonts w:asciiTheme="minorHAnsi" w:eastAsiaTheme="minorHAnsi" w:hAnsiTheme="minorHAnsi" w:cs="TimesNewRomanPSMT"/>
        </w:rPr>
        <w:t xml:space="preserve"> = </w:t>
      </w:r>
      <w:r w:rsidRPr="00911497">
        <w:rPr>
          <w:rFonts w:asciiTheme="minorHAnsi" w:eastAsiaTheme="minorHAnsi" w:hAnsiTheme="minorHAnsi" w:cs="TimesNewRomanPSMT"/>
        </w:rPr>
        <w:t>6) to 29.83% at Week 48 (n</w:t>
      </w:r>
      <w:r w:rsidR="002D28A4">
        <w:rPr>
          <w:rFonts w:asciiTheme="minorHAnsi" w:eastAsiaTheme="minorHAnsi" w:hAnsiTheme="minorHAnsi" w:cs="TimesNewRomanPSMT"/>
        </w:rPr>
        <w:t xml:space="preserve"> = </w:t>
      </w:r>
      <w:r w:rsidRPr="00911497">
        <w:rPr>
          <w:rFonts w:asciiTheme="minorHAnsi" w:eastAsiaTheme="minorHAnsi" w:hAnsiTheme="minorHAnsi" w:cs="TimesNewRomanPSMT"/>
        </w:rPr>
        <w:t xml:space="preserve">4). </w:t>
      </w:r>
      <w:r>
        <w:rPr>
          <w:rFonts w:asciiTheme="minorHAnsi" w:eastAsiaTheme="minorHAnsi" w:hAnsiTheme="minorHAnsi" w:cs="TimesNewRomanPSMT"/>
        </w:rPr>
        <w:t>b</w:t>
      </w:r>
      <w:r w:rsidRPr="00911497">
        <w:rPr>
          <w:rFonts w:asciiTheme="minorHAnsi" w:eastAsiaTheme="minorHAnsi" w:hAnsiTheme="minorHAnsi" w:cs="TimesNewRomanPSMT"/>
        </w:rPr>
        <w:t xml:space="preserve">eyond Month 12, data were </w:t>
      </w:r>
      <w:r w:rsidRPr="00157E63">
        <w:rPr>
          <w:rFonts w:asciiTheme="minorHAnsi" w:eastAsiaTheme="minorHAnsi" w:hAnsiTheme="minorHAnsi" w:cs="TimesNewRomanPSMT"/>
        </w:rPr>
        <w:t>limited</w:t>
      </w:r>
      <w:r w:rsidR="00FE32BB">
        <w:rPr>
          <w:rFonts w:asciiTheme="minorHAnsi" w:eastAsiaTheme="minorHAnsi" w:hAnsiTheme="minorHAnsi" w:cs="TimesNewRomanPSMT"/>
        </w:rPr>
        <w:t xml:space="preserve"> (</w:t>
      </w:r>
      <w:r w:rsidR="00955CC5" w:rsidRPr="00FE32BB">
        <w:rPr>
          <w:rFonts w:asciiTheme="minorHAnsi" w:eastAsiaTheme="minorHAnsi" w:hAnsiTheme="minorHAnsi" w:cs="TimesNewRomanPSMT"/>
        </w:rPr>
        <w:t xml:space="preserve">Table </w:t>
      </w:r>
      <w:r w:rsidR="00E45A80">
        <w:rPr>
          <w:rFonts w:asciiTheme="minorHAnsi" w:eastAsiaTheme="minorHAnsi" w:hAnsiTheme="minorHAnsi" w:cs="TimesNewRomanPSMT"/>
        </w:rPr>
        <w:t>13</w:t>
      </w:r>
      <w:r w:rsidR="00FE32BB">
        <w:rPr>
          <w:rFonts w:asciiTheme="minorHAnsi" w:eastAsiaTheme="minorHAnsi" w:hAnsiTheme="minorHAnsi" w:cs="TimesNewRomanPSMT"/>
        </w:rPr>
        <w:t>)</w:t>
      </w:r>
      <w:r w:rsidR="00FE32BB" w:rsidRPr="00FE32BB">
        <w:rPr>
          <w:rFonts w:asciiTheme="minorHAnsi" w:eastAsiaTheme="minorHAnsi" w:hAnsiTheme="minorHAnsi" w:cs="TimesNewRomanPSMT"/>
        </w:rPr>
        <w:t>.</w:t>
      </w:r>
    </w:p>
    <w:p w14:paraId="70009AC5" w14:textId="4AAD242E" w:rsidR="00955CC5" w:rsidRDefault="00955CC5" w:rsidP="00955CC5">
      <w:pPr>
        <w:pStyle w:val="Tabletitle"/>
      </w:pPr>
      <w:r w:rsidRPr="00955CC5">
        <w:t xml:space="preserve">Table </w:t>
      </w:r>
      <w:r w:rsidR="00E45A80">
        <w:t>13</w:t>
      </w:r>
      <w:r w:rsidR="00FE32BB">
        <w:t>:</w:t>
      </w:r>
      <w:r>
        <w:t xml:space="preserve"> Study LAL-CL03</w:t>
      </w:r>
      <w:r w:rsidR="00E45A80">
        <w:t>.</w:t>
      </w:r>
      <w:r>
        <w:t xml:space="preserve"> Observed values and changes </w:t>
      </w:r>
      <w:r w:rsidR="00DE644C">
        <w:t>from Baseline</w:t>
      </w:r>
      <w:r>
        <w:t xml:space="preserve"> in weight for age z-scores and percentiles. Primary efficacy set</w:t>
      </w:r>
    </w:p>
    <w:p w14:paraId="623E6170" w14:textId="77777777" w:rsidR="00955CC5" w:rsidRPr="00955CC5" w:rsidRDefault="00695CDF" w:rsidP="00955CC5">
      <w:r>
        <w:rPr>
          <w:noProof/>
          <w:lang w:eastAsia="en-AU"/>
        </w:rPr>
        <w:drawing>
          <wp:inline distT="0" distB="0" distL="0" distR="0" wp14:anchorId="79276274" wp14:editId="76F8F00D">
            <wp:extent cx="5731510" cy="2710833"/>
            <wp:effectExtent l="0" t="0" r="2540" b="0"/>
            <wp:docPr id="66" name="Picture 66" descr="Table 13: Study LAL-CL03. Observed values and changes from baseline in weight for age z-scores and percentiles. Primary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2710833"/>
                    </a:xfrm>
                    <a:prstGeom prst="rect">
                      <a:avLst/>
                    </a:prstGeom>
                  </pic:spPr>
                </pic:pic>
              </a:graphicData>
            </a:graphic>
          </wp:inline>
        </w:drawing>
      </w:r>
    </w:p>
    <w:p w14:paraId="0E2CF8DB" w14:textId="23749156" w:rsidR="00934213" w:rsidRDefault="00934213" w:rsidP="00934213">
      <w:pPr>
        <w:autoSpaceDE w:val="0"/>
        <w:autoSpaceDN w:val="0"/>
        <w:adjustRightInd w:val="0"/>
        <w:spacing w:before="0" w:line="240" w:lineRule="auto"/>
        <w:rPr>
          <w:rFonts w:asciiTheme="minorHAnsi" w:eastAsiaTheme="minorHAnsi" w:hAnsiTheme="minorHAnsi" w:cs="TimesNewRomanPSMT"/>
        </w:rPr>
      </w:pPr>
      <w:r w:rsidRPr="00C60334">
        <w:rPr>
          <w:rFonts w:asciiTheme="minorHAnsi" w:eastAsiaTheme="minorHAnsi" w:hAnsiTheme="minorHAnsi" w:cs="TimesNewRomanPSMT"/>
        </w:rPr>
        <w:t>At baseline, the median LFA percentile was 1.80% for the 8 subjects with available data.</w:t>
      </w:r>
      <w:r>
        <w:rPr>
          <w:rFonts w:asciiTheme="minorHAnsi" w:eastAsiaTheme="minorHAnsi" w:hAnsiTheme="minorHAnsi" w:cs="TimesNewRomanPSMT"/>
        </w:rPr>
        <w:t xml:space="preserve"> </w:t>
      </w:r>
      <w:r w:rsidRPr="00C60334">
        <w:rPr>
          <w:rFonts w:asciiTheme="minorHAnsi" w:eastAsiaTheme="minorHAnsi" w:hAnsiTheme="minorHAnsi" w:cs="TimesNewRomanPSMT"/>
        </w:rPr>
        <w:t xml:space="preserve">Four subjects had LFA percentile scores </w:t>
      </w:r>
      <w:r w:rsidR="00A87AAC">
        <w:rPr>
          <w:rFonts w:asciiTheme="minorHAnsi" w:eastAsiaTheme="minorHAnsi" w:hAnsiTheme="minorHAnsi" w:cs="TimesNewRomanPSMT"/>
        </w:rPr>
        <w:t xml:space="preserve">&lt; </w:t>
      </w:r>
      <w:r w:rsidRPr="00C60334">
        <w:rPr>
          <w:rFonts w:asciiTheme="minorHAnsi" w:eastAsiaTheme="minorHAnsi" w:hAnsiTheme="minorHAnsi" w:cs="TimesNewRomanPSMT"/>
        </w:rPr>
        <w:t xml:space="preserve">1.0% </w:t>
      </w:r>
      <w:r w:rsidR="00DE644C">
        <w:rPr>
          <w:rFonts w:asciiTheme="minorHAnsi" w:eastAsiaTheme="minorHAnsi" w:hAnsiTheme="minorHAnsi" w:cs="TimesNewRomanPSMT"/>
        </w:rPr>
        <w:t>at Baseline</w:t>
      </w:r>
      <w:r w:rsidRPr="00C60334">
        <w:rPr>
          <w:rFonts w:asciiTheme="minorHAnsi" w:eastAsiaTheme="minorHAnsi" w:hAnsiTheme="minorHAnsi" w:cs="TimesNewRomanPSMT"/>
        </w:rPr>
        <w:t>, and the other 4 subjects had</w:t>
      </w:r>
      <w:r>
        <w:rPr>
          <w:rFonts w:asciiTheme="minorHAnsi" w:eastAsiaTheme="minorHAnsi" w:hAnsiTheme="minorHAnsi" w:cs="TimesNewRomanPSMT"/>
        </w:rPr>
        <w:t xml:space="preserve"> </w:t>
      </w:r>
      <w:r w:rsidRPr="00C60334">
        <w:rPr>
          <w:rFonts w:asciiTheme="minorHAnsi" w:eastAsiaTheme="minorHAnsi" w:hAnsiTheme="minorHAnsi" w:cs="TimesNewRomanPSMT"/>
        </w:rPr>
        <w:t>LFA percentiles of 3.29%, 17.88%, 59.87%, and 80.78%, respectively, with the highest</w:t>
      </w:r>
      <w:r>
        <w:rPr>
          <w:rFonts w:asciiTheme="minorHAnsi" w:eastAsiaTheme="minorHAnsi" w:hAnsiTheme="minorHAnsi" w:cs="TimesNewRomanPSMT"/>
        </w:rPr>
        <w:t xml:space="preserve"> </w:t>
      </w:r>
      <w:r w:rsidRPr="00C60334">
        <w:rPr>
          <w:rFonts w:asciiTheme="minorHAnsi" w:eastAsiaTheme="minorHAnsi" w:hAnsiTheme="minorHAnsi" w:cs="TimesNewRomanPSMT"/>
        </w:rPr>
        <w:t>LFA percentile reported for the subject without confirmed growth failure at enrolment Three of the 6 subjects who survived beyond Week 4 had</w:t>
      </w:r>
      <w:r>
        <w:rPr>
          <w:rFonts w:asciiTheme="minorHAnsi" w:eastAsiaTheme="minorHAnsi" w:hAnsiTheme="minorHAnsi" w:cs="TimesNewRomanPSMT"/>
        </w:rPr>
        <w:t xml:space="preserve"> </w:t>
      </w:r>
      <w:r w:rsidRPr="00C60334">
        <w:rPr>
          <w:rFonts w:asciiTheme="minorHAnsi" w:eastAsiaTheme="minorHAnsi" w:hAnsiTheme="minorHAnsi" w:cs="TimesNewRomanPSMT"/>
        </w:rPr>
        <w:t>LFA/HFA percentiles that fluctuated over time but showed an overall improvement</w:t>
      </w:r>
      <w:r>
        <w:rPr>
          <w:rFonts w:asciiTheme="minorHAnsi" w:eastAsiaTheme="minorHAnsi" w:hAnsiTheme="minorHAnsi" w:cs="TimesNewRomanPSMT"/>
        </w:rPr>
        <w:t xml:space="preserve"> </w:t>
      </w:r>
      <w:r w:rsidRPr="00C60334">
        <w:rPr>
          <w:rFonts w:asciiTheme="minorHAnsi" w:eastAsiaTheme="minorHAnsi" w:hAnsiTheme="minorHAnsi" w:cs="TimesNewRomanPSMT"/>
        </w:rPr>
        <w:t xml:space="preserve">during treatment with </w:t>
      </w:r>
      <w:proofErr w:type="spellStart"/>
      <w:r w:rsidRPr="00C60334">
        <w:rPr>
          <w:rFonts w:asciiTheme="minorHAnsi" w:eastAsiaTheme="minorHAnsi" w:hAnsiTheme="minorHAnsi" w:cs="TimesNewRomanPSMT"/>
        </w:rPr>
        <w:t>sebelipase</w:t>
      </w:r>
      <w:proofErr w:type="spellEnd"/>
      <w:r w:rsidRPr="00C60334">
        <w:rPr>
          <w:rFonts w:asciiTheme="minorHAnsi" w:eastAsiaTheme="minorHAnsi" w:hAnsiTheme="minorHAnsi" w:cs="TimesNewRomanPSMT"/>
        </w:rPr>
        <w:t xml:space="preserve"> alfa: Two other surviving subjects </w:t>
      </w:r>
      <w:r w:rsidR="00157E63">
        <w:rPr>
          <w:rFonts w:asciiTheme="minorHAnsi" w:eastAsiaTheme="minorHAnsi" w:hAnsiTheme="minorHAnsi" w:cs="TimesNewRomanPSMT"/>
        </w:rPr>
        <w:t>[information redacted]</w:t>
      </w:r>
      <w:r w:rsidRPr="00C60334">
        <w:rPr>
          <w:rFonts w:asciiTheme="minorHAnsi" w:eastAsiaTheme="minorHAnsi" w:hAnsiTheme="minorHAnsi" w:cs="TimesNewRomanPSMT"/>
        </w:rPr>
        <w:t xml:space="preserve"> had an initial</w:t>
      </w:r>
      <w:r>
        <w:rPr>
          <w:rFonts w:asciiTheme="minorHAnsi" w:eastAsiaTheme="minorHAnsi" w:hAnsiTheme="minorHAnsi" w:cs="TimesNewRomanPSMT"/>
        </w:rPr>
        <w:t xml:space="preserve"> </w:t>
      </w:r>
      <w:r w:rsidRPr="00C60334">
        <w:rPr>
          <w:rFonts w:asciiTheme="minorHAnsi" w:eastAsiaTheme="minorHAnsi" w:hAnsiTheme="minorHAnsi" w:cs="TimesNewRomanPSMT"/>
        </w:rPr>
        <w:t>decrease in LFA percentile on treatment after which LFA returned back to approximately</w:t>
      </w:r>
      <w:r>
        <w:rPr>
          <w:rFonts w:asciiTheme="minorHAnsi" w:eastAsiaTheme="minorHAnsi" w:hAnsiTheme="minorHAnsi" w:cs="TimesNewRomanPSMT"/>
        </w:rPr>
        <w:t xml:space="preserve"> </w:t>
      </w:r>
      <w:r w:rsidRPr="00C60334">
        <w:rPr>
          <w:rFonts w:asciiTheme="minorHAnsi" w:eastAsiaTheme="minorHAnsi" w:hAnsiTheme="minorHAnsi" w:cs="TimesNewRomanPSMT"/>
        </w:rPr>
        <w:t xml:space="preserve">baseline level. One other subject without confirmed growth failure </w:t>
      </w:r>
      <w:r w:rsidR="00157E63">
        <w:rPr>
          <w:rFonts w:asciiTheme="minorHAnsi" w:eastAsiaTheme="minorHAnsi" w:hAnsiTheme="minorHAnsi" w:cs="TimesNewRomanPSMT"/>
        </w:rPr>
        <w:t>[information redacted]</w:t>
      </w:r>
      <w:r w:rsidRPr="00C60334">
        <w:rPr>
          <w:rFonts w:asciiTheme="minorHAnsi" w:eastAsiaTheme="minorHAnsi" w:hAnsiTheme="minorHAnsi" w:cs="TimesNewRomanPSMT"/>
        </w:rPr>
        <w:t xml:space="preserve"> had an LFA</w:t>
      </w:r>
      <w:r>
        <w:rPr>
          <w:rFonts w:asciiTheme="minorHAnsi" w:eastAsiaTheme="minorHAnsi" w:hAnsiTheme="minorHAnsi" w:cs="TimesNewRomanPSMT"/>
        </w:rPr>
        <w:t xml:space="preserve"> </w:t>
      </w:r>
      <w:r w:rsidRPr="00C60334">
        <w:rPr>
          <w:rFonts w:asciiTheme="minorHAnsi" w:eastAsiaTheme="minorHAnsi" w:hAnsiTheme="minorHAnsi" w:cs="TimesNewRomanPSMT"/>
        </w:rPr>
        <w:t xml:space="preserve">percentile of 80.78% </w:t>
      </w:r>
      <w:r w:rsidR="00DE644C">
        <w:rPr>
          <w:rFonts w:asciiTheme="minorHAnsi" w:eastAsiaTheme="minorHAnsi" w:hAnsiTheme="minorHAnsi" w:cs="TimesNewRomanPSMT"/>
        </w:rPr>
        <w:t>at Baseline</w:t>
      </w:r>
      <w:r w:rsidRPr="00C60334">
        <w:rPr>
          <w:rFonts w:asciiTheme="minorHAnsi" w:eastAsiaTheme="minorHAnsi" w:hAnsiTheme="minorHAnsi" w:cs="TimesNewRomanPSMT"/>
        </w:rPr>
        <w:t xml:space="preserve"> that remained stable through Week 36 (87.08%) but</w:t>
      </w:r>
      <w:r>
        <w:rPr>
          <w:rFonts w:asciiTheme="minorHAnsi" w:eastAsiaTheme="minorHAnsi" w:hAnsiTheme="minorHAnsi" w:cs="TimesNewRomanPSMT"/>
        </w:rPr>
        <w:t xml:space="preserve"> </w:t>
      </w:r>
      <w:r w:rsidRPr="00C60334">
        <w:rPr>
          <w:rFonts w:asciiTheme="minorHAnsi" w:eastAsiaTheme="minorHAnsi" w:hAnsiTheme="minorHAnsi" w:cs="TimesNewRomanPSMT"/>
        </w:rPr>
        <w:t>appeared to decrease slightly thereafter and was 61.41% at the last assessment at</w:t>
      </w:r>
      <w:r>
        <w:rPr>
          <w:rFonts w:asciiTheme="minorHAnsi" w:eastAsiaTheme="minorHAnsi" w:hAnsiTheme="minorHAnsi" w:cs="TimesNewRomanPSMT"/>
        </w:rPr>
        <w:t xml:space="preserve"> </w:t>
      </w:r>
      <w:r w:rsidRPr="00C60334">
        <w:rPr>
          <w:rFonts w:asciiTheme="minorHAnsi" w:eastAsiaTheme="minorHAnsi" w:hAnsiTheme="minorHAnsi" w:cs="TimesNewRomanPSMT"/>
        </w:rPr>
        <w:t>Week 60. Mean LFA/HFA percentile initially</w:t>
      </w:r>
      <w:r>
        <w:rPr>
          <w:rFonts w:asciiTheme="minorHAnsi" w:eastAsiaTheme="minorHAnsi" w:hAnsiTheme="minorHAnsi" w:cs="TimesNewRomanPSMT"/>
        </w:rPr>
        <w:t xml:space="preserve"> </w:t>
      </w:r>
      <w:r w:rsidRPr="00C60334">
        <w:rPr>
          <w:rFonts w:asciiTheme="minorHAnsi" w:eastAsiaTheme="minorHAnsi" w:hAnsiTheme="minorHAnsi" w:cs="TimesNewRomanPSMT"/>
        </w:rPr>
        <w:t xml:space="preserve">decreased </w:t>
      </w:r>
      <w:r w:rsidR="00DE644C">
        <w:rPr>
          <w:rFonts w:asciiTheme="minorHAnsi" w:eastAsiaTheme="minorHAnsi" w:hAnsiTheme="minorHAnsi" w:cs="TimesNewRomanPSMT"/>
        </w:rPr>
        <w:t>from Baseline</w:t>
      </w:r>
      <w:r w:rsidRPr="00C60334">
        <w:rPr>
          <w:rFonts w:asciiTheme="minorHAnsi" w:eastAsiaTheme="minorHAnsi" w:hAnsiTheme="minorHAnsi" w:cs="TimesNewRomanPSMT"/>
        </w:rPr>
        <w:t xml:space="preserve"> (20.30%, n</w:t>
      </w:r>
      <w:r w:rsidR="002D28A4">
        <w:rPr>
          <w:rFonts w:asciiTheme="minorHAnsi" w:eastAsiaTheme="minorHAnsi" w:hAnsiTheme="minorHAnsi" w:cs="TimesNewRomanPSMT"/>
        </w:rPr>
        <w:t xml:space="preserve"> = </w:t>
      </w:r>
      <w:r w:rsidRPr="00C60334">
        <w:rPr>
          <w:rFonts w:asciiTheme="minorHAnsi" w:eastAsiaTheme="minorHAnsi" w:hAnsiTheme="minorHAnsi" w:cs="TimesNewRomanPSMT"/>
        </w:rPr>
        <w:t>8) through Week 2 (17.11%, n</w:t>
      </w:r>
      <w:r w:rsidR="002D28A4">
        <w:rPr>
          <w:rFonts w:asciiTheme="minorHAnsi" w:eastAsiaTheme="minorHAnsi" w:hAnsiTheme="minorHAnsi" w:cs="TimesNewRomanPSMT"/>
        </w:rPr>
        <w:t xml:space="preserve"> = </w:t>
      </w:r>
      <w:r w:rsidRPr="00C60334">
        <w:rPr>
          <w:rFonts w:asciiTheme="minorHAnsi" w:eastAsiaTheme="minorHAnsi" w:hAnsiTheme="minorHAnsi" w:cs="TimesNewRomanPSMT"/>
        </w:rPr>
        <w:t>7), and thereafter</w:t>
      </w:r>
      <w:r>
        <w:rPr>
          <w:rFonts w:asciiTheme="minorHAnsi" w:eastAsiaTheme="minorHAnsi" w:hAnsiTheme="minorHAnsi" w:cs="TimesNewRomanPSMT"/>
        </w:rPr>
        <w:t xml:space="preserve"> </w:t>
      </w:r>
      <w:r w:rsidRPr="00C60334">
        <w:rPr>
          <w:rFonts w:asciiTheme="minorHAnsi" w:eastAsiaTheme="minorHAnsi" w:hAnsiTheme="minorHAnsi" w:cs="TimesNewRomanPSMT"/>
        </w:rPr>
        <w:t>showed an increasing trend over time, with mean percentile scores increasing from</w:t>
      </w:r>
      <w:r>
        <w:rPr>
          <w:rFonts w:asciiTheme="minorHAnsi" w:eastAsiaTheme="minorHAnsi" w:hAnsiTheme="minorHAnsi" w:cs="TimesNewRomanPSMT"/>
        </w:rPr>
        <w:t xml:space="preserve"> </w:t>
      </w:r>
      <w:r w:rsidRPr="00C60334">
        <w:rPr>
          <w:rFonts w:asciiTheme="minorHAnsi" w:eastAsiaTheme="minorHAnsi" w:hAnsiTheme="minorHAnsi" w:cs="TimesNewRomanPSMT"/>
        </w:rPr>
        <w:t>17.53% at Week 4 (n</w:t>
      </w:r>
      <w:r w:rsidR="00157E63">
        <w:rPr>
          <w:rFonts w:asciiTheme="minorHAnsi" w:eastAsiaTheme="minorHAnsi" w:hAnsiTheme="minorHAnsi" w:cs="TimesNewRomanPSMT"/>
        </w:rPr>
        <w:t> = </w:t>
      </w:r>
      <w:r w:rsidRPr="00C60334">
        <w:rPr>
          <w:rFonts w:asciiTheme="minorHAnsi" w:eastAsiaTheme="minorHAnsi" w:hAnsiTheme="minorHAnsi" w:cs="TimesNewRomanPSMT"/>
        </w:rPr>
        <w:t>6) to 25.23% at Week 48 (n</w:t>
      </w:r>
      <w:r w:rsidR="002D28A4">
        <w:rPr>
          <w:rFonts w:asciiTheme="minorHAnsi" w:eastAsiaTheme="minorHAnsi" w:hAnsiTheme="minorHAnsi" w:cs="TimesNewRomanPSMT"/>
        </w:rPr>
        <w:t xml:space="preserve"> = </w:t>
      </w:r>
      <w:r w:rsidRPr="00E45A80">
        <w:rPr>
          <w:rFonts w:asciiTheme="minorHAnsi" w:eastAsiaTheme="minorHAnsi" w:hAnsiTheme="minorHAnsi" w:cs="TimesNewRomanPSMT"/>
        </w:rPr>
        <w:t xml:space="preserve">4) </w:t>
      </w:r>
      <w:r w:rsidR="00157E63" w:rsidRPr="00E45A80">
        <w:rPr>
          <w:rFonts w:asciiTheme="minorHAnsi" w:eastAsiaTheme="minorHAnsi" w:hAnsiTheme="minorHAnsi" w:cs="TimesNewRomanPSMT"/>
        </w:rPr>
        <w:t xml:space="preserve">(Table </w:t>
      </w:r>
      <w:r w:rsidR="00E45A80" w:rsidRPr="00E45A80">
        <w:rPr>
          <w:rFonts w:asciiTheme="minorHAnsi" w:eastAsiaTheme="minorHAnsi" w:hAnsiTheme="minorHAnsi" w:cs="TimesNewRomanPSMT"/>
        </w:rPr>
        <w:t>1</w:t>
      </w:r>
      <w:r w:rsidR="00157E63" w:rsidRPr="00E45A80">
        <w:rPr>
          <w:rFonts w:asciiTheme="minorHAnsi" w:eastAsiaTheme="minorHAnsi" w:hAnsiTheme="minorHAnsi" w:cs="TimesNewRomanPSMT"/>
        </w:rPr>
        <w:t>4</w:t>
      </w:r>
      <w:r w:rsidR="00E45A80" w:rsidRPr="00E45A80">
        <w:rPr>
          <w:rFonts w:asciiTheme="minorHAnsi" w:eastAsiaTheme="minorHAnsi" w:hAnsiTheme="minorHAnsi" w:cs="TimesNewRomanPSMT"/>
        </w:rPr>
        <w:t>).</w:t>
      </w:r>
      <w:r w:rsidR="00B73619" w:rsidRPr="00E45A80">
        <w:rPr>
          <w:rFonts w:asciiTheme="minorHAnsi" w:eastAsiaTheme="minorHAnsi" w:hAnsiTheme="minorHAnsi" w:cs="TimesNewRomanPSMT"/>
        </w:rPr>
        <w:t xml:space="preserve"> </w:t>
      </w:r>
      <w:r w:rsidRPr="00E45A80">
        <w:rPr>
          <w:rFonts w:asciiTheme="minorHAnsi" w:eastAsiaTheme="minorHAnsi" w:hAnsiTheme="minorHAnsi" w:cs="TimesNewRomanPS-BoldMT"/>
          <w:bCs/>
        </w:rPr>
        <w:t>Data for Mid-</w:t>
      </w:r>
      <w:r w:rsidRPr="00C60334">
        <w:rPr>
          <w:rFonts w:asciiTheme="minorHAnsi" w:eastAsiaTheme="minorHAnsi" w:hAnsiTheme="minorHAnsi" w:cs="TimesNewRomanPS-BoldMT"/>
          <w:bCs/>
        </w:rPr>
        <w:t>Upper Arm Circumference-for-Age (MUCFA), Head Circumference-for-</w:t>
      </w:r>
      <w:r>
        <w:rPr>
          <w:rFonts w:asciiTheme="minorHAnsi" w:eastAsiaTheme="minorHAnsi" w:hAnsiTheme="minorHAnsi" w:cs="TimesNewRomanPS-BoldMT"/>
          <w:bCs/>
        </w:rPr>
        <w:t xml:space="preserve"> </w:t>
      </w:r>
      <w:r w:rsidRPr="00C60334">
        <w:rPr>
          <w:rFonts w:asciiTheme="minorHAnsi" w:eastAsiaTheme="minorHAnsi" w:hAnsiTheme="minorHAnsi" w:cs="TimesNewRomanPS-BoldMT"/>
          <w:bCs/>
        </w:rPr>
        <w:t>Age (HCFA), BMI-for-Age (BMIFA), and Weight-for-Length (or Height</w:t>
      </w:r>
      <w:r w:rsidR="00DE644C" w:rsidRPr="00BD0B44">
        <w:rPr>
          <w:rFonts w:asciiTheme="minorHAnsi" w:eastAsiaTheme="minorHAnsi" w:hAnsiTheme="minorHAnsi" w:cs="TimesNewRomanPS-BoldMT"/>
          <w:bCs/>
        </w:rPr>
        <w:t>)</w:t>
      </w:r>
      <w:r w:rsidR="00DE644C">
        <w:rPr>
          <w:rFonts w:asciiTheme="minorHAnsi" w:eastAsiaTheme="minorHAnsi" w:hAnsiTheme="minorHAnsi" w:cs="TimesNewRomanPS-BoldMT"/>
          <w:b/>
          <w:bCs/>
        </w:rPr>
        <w:t xml:space="preserve"> </w:t>
      </w:r>
      <w:r w:rsidRPr="00C60334">
        <w:rPr>
          <w:rFonts w:asciiTheme="minorHAnsi" w:eastAsiaTheme="minorHAnsi" w:hAnsiTheme="minorHAnsi" w:cs="TimesNewRomanPSMT"/>
        </w:rPr>
        <w:t>WFL/WFH, while more limited, supported the</w:t>
      </w:r>
      <w:r>
        <w:rPr>
          <w:rFonts w:asciiTheme="minorHAnsi" w:eastAsiaTheme="minorHAnsi" w:hAnsiTheme="minorHAnsi" w:cs="TimesNewRomanPSMT"/>
        </w:rPr>
        <w:t xml:space="preserve"> </w:t>
      </w:r>
      <w:r w:rsidRPr="00C60334">
        <w:rPr>
          <w:rFonts w:asciiTheme="minorHAnsi" w:eastAsiaTheme="minorHAnsi" w:hAnsiTheme="minorHAnsi" w:cs="TimesNewRomanPSMT"/>
        </w:rPr>
        <w:t>trends observed for WFA and LFA</w:t>
      </w:r>
      <w:r>
        <w:rPr>
          <w:rFonts w:asciiTheme="minorHAnsi" w:eastAsiaTheme="minorHAnsi" w:hAnsiTheme="minorHAnsi" w:cs="TimesNewRomanPSMT"/>
        </w:rPr>
        <w:t>.</w:t>
      </w:r>
    </w:p>
    <w:p w14:paraId="6E53A400" w14:textId="77777777" w:rsidR="00157E63" w:rsidRDefault="00157E63" w:rsidP="00157E63">
      <w:pPr>
        <w:pStyle w:val="Tabletitle"/>
      </w:pPr>
      <w:r>
        <w:lastRenderedPageBreak/>
        <w:t xml:space="preserve">Table </w:t>
      </w:r>
      <w:r w:rsidR="00E45A80">
        <w:t>14:</w:t>
      </w:r>
      <w:r>
        <w:t xml:space="preserve"> Study LAL-CL-03.</w:t>
      </w:r>
      <w:r w:rsidR="00E45A80">
        <w:t xml:space="preserve"> </w:t>
      </w:r>
      <w:r>
        <w:t>Observed values and changes form baseline in length (or height) for age z-scores and percentiles. Primary efficacy set</w:t>
      </w:r>
    </w:p>
    <w:p w14:paraId="19C787EB" w14:textId="77777777" w:rsidR="00955CC5" w:rsidRPr="00695CDF" w:rsidRDefault="00695CDF" w:rsidP="00695CDF">
      <w:r>
        <w:rPr>
          <w:noProof/>
          <w:lang w:eastAsia="en-AU"/>
        </w:rPr>
        <w:drawing>
          <wp:inline distT="0" distB="0" distL="0" distR="0" wp14:anchorId="471E22ED" wp14:editId="6A2EAFD8">
            <wp:extent cx="5731510" cy="2693687"/>
            <wp:effectExtent l="0" t="0" r="2540" b="0"/>
            <wp:docPr id="67" name="Picture 67" descr="Table 14: Study LAL-CL-03. Observed values and changes form baseline in length (or height) for age z-scores and percentiles. Primary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2693687"/>
                    </a:xfrm>
                    <a:prstGeom prst="rect">
                      <a:avLst/>
                    </a:prstGeom>
                  </pic:spPr>
                </pic:pic>
              </a:graphicData>
            </a:graphic>
          </wp:inline>
        </w:drawing>
      </w:r>
    </w:p>
    <w:p w14:paraId="16B5F5DA" w14:textId="77777777" w:rsidR="00934213" w:rsidRPr="00C60334" w:rsidRDefault="00934213" w:rsidP="00934213">
      <w:pPr>
        <w:autoSpaceDE w:val="0"/>
        <w:autoSpaceDN w:val="0"/>
        <w:adjustRightInd w:val="0"/>
        <w:spacing w:before="0" w:line="240" w:lineRule="auto"/>
        <w:rPr>
          <w:rFonts w:asciiTheme="minorHAnsi" w:eastAsiaTheme="minorHAnsi" w:hAnsiTheme="minorHAnsi" w:cs="TimesNewRomanPSMT"/>
        </w:rPr>
      </w:pPr>
      <w:r w:rsidRPr="00C60334">
        <w:rPr>
          <w:rFonts w:asciiTheme="minorHAnsi" w:eastAsiaTheme="minorHAnsi" w:hAnsiTheme="minorHAnsi" w:cs="TimesNewRomanPSMT"/>
        </w:rPr>
        <w:t>At baseline, the percentages of subjects meeting the definition for underweight, stunting,</w:t>
      </w:r>
      <w:r>
        <w:rPr>
          <w:rFonts w:asciiTheme="minorHAnsi" w:eastAsiaTheme="minorHAnsi" w:hAnsiTheme="minorHAnsi" w:cs="TimesNewRomanPSMT"/>
        </w:rPr>
        <w:t xml:space="preserve"> </w:t>
      </w:r>
      <w:r w:rsidRPr="00C60334">
        <w:rPr>
          <w:rFonts w:asciiTheme="minorHAnsi" w:eastAsiaTheme="minorHAnsi" w:hAnsiTheme="minorHAnsi" w:cs="TimesNewRomanPSMT"/>
        </w:rPr>
        <w:t>and wasting based on anthropometric indicators were 50%, 25%, and 25%, respectively. By Week 48 (Month 12), only</w:t>
      </w:r>
      <w:r>
        <w:rPr>
          <w:rFonts w:asciiTheme="minorHAnsi" w:eastAsiaTheme="minorHAnsi" w:hAnsiTheme="minorHAnsi" w:cs="TimesNewRomanPSMT"/>
        </w:rPr>
        <w:t xml:space="preserve"> </w:t>
      </w:r>
      <w:r w:rsidRPr="00C60334">
        <w:rPr>
          <w:rFonts w:asciiTheme="minorHAnsi" w:eastAsiaTheme="minorHAnsi" w:hAnsiTheme="minorHAnsi" w:cs="TimesNewRomanPSMT"/>
        </w:rPr>
        <w:t>1 (25%) of the 4 subjects with available data met criteria for stunting, and no subject met</w:t>
      </w:r>
      <w:r>
        <w:rPr>
          <w:rFonts w:asciiTheme="minorHAnsi" w:eastAsiaTheme="minorHAnsi" w:hAnsiTheme="minorHAnsi" w:cs="TimesNewRomanPSMT"/>
        </w:rPr>
        <w:t xml:space="preserve"> </w:t>
      </w:r>
      <w:r w:rsidRPr="00C60334">
        <w:rPr>
          <w:rFonts w:asciiTheme="minorHAnsi" w:eastAsiaTheme="minorHAnsi" w:hAnsiTheme="minorHAnsi" w:cs="TimesNewRomanPSMT"/>
        </w:rPr>
        <w:t>criteria for underweight or wasting.</w:t>
      </w:r>
    </w:p>
    <w:p w14:paraId="5DA55781" w14:textId="49F861EA" w:rsidR="00934213" w:rsidRPr="00BD5B58" w:rsidRDefault="00934213" w:rsidP="00934213">
      <w:pPr>
        <w:autoSpaceDE w:val="0"/>
        <w:autoSpaceDN w:val="0"/>
        <w:adjustRightInd w:val="0"/>
        <w:spacing w:before="0" w:line="240" w:lineRule="auto"/>
        <w:rPr>
          <w:rFonts w:asciiTheme="minorHAnsi" w:eastAsiaTheme="minorHAnsi" w:hAnsiTheme="minorHAnsi" w:cs="Calibri"/>
        </w:rPr>
      </w:pPr>
      <w:r>
        <w:rPr>
          <w:rFonts w:asciiTheme="minorHAnsi" w:hAnsiTheme="minorHAnsi"/>
          <w:lang w:eastAsia="ja-JP"/>
        </w:rPr>
        <w:t>Overall, g</w:t>
      </w:r>
      <w:r w:rsidRPr="00BD5B58">
        <w:rPr>
          <w:rFonts w:asciiTheme="minorHAnsi" w:eastAsiaTheme="minorHAnsi" w:hAnsiTheme="minorHAnsi" w:cs="Calibri"/>
        </w:rPr>
        <w:t xml:space="preserve">rowth improvements were observed for all 6 surviving subjects. For WFA percentile, a key measure of growth in this </w:t>
      </w:r>
      <w:r w:rsidR="00C4359A">
        <w:rPr>
          <w:rFonts w:asciiTheme="minorHAnsi" w:eastAsiaTheme="minorHAnsi" w:hAnsiTheme="minorHAnsi" w:cs="Calibri"/>
        </w:rPr>
        <w:t>study</w:t>
      </w:r>
      <w:r w:rsidRPr="00BD5B58">
        <w:rPr>
          <w:rFonts w:asciiTheme="minorHAnsi" w:eastAsiaTheme="minorHAnsi" w:hAnsiTheme="minorHAnsi" w:cs="Calibri"/>
        </w:rPr>
        <w:t xml:space="preserve">, 1 subject improved across 2 major centiles, 2 subjects improved across 3 major centiles, 1 subject improved across 4 major centiles, and 1 subject improved across 5 major centiles </w:t>
      </w:r>
      <w:r w:rsidR="00DE644C">
        <w:rPr>
          <w:rFonts w:asciiTheme="minorHAnsi" w:eastAsiaTheme="minorHAnsi" w:hAnsiTheme="minorHAnsi" w:cs="Calibri"/>
        </w:rPr>
        <w:t>from Baseline</w:t>
      </w:r>
      <w:r w:rsidRPr="00BD5B58">
        <w:rPr>
          <w:rFonts w:asciiTheme="minorHAnsi" w:eastAsiaTheme="minorHAnsi" w:hAnsiTheme="minorHAnsi" w:cs="Calibri"/>
        </w:rPr>
        <w:t xml:space="preserve"> through the last assessment prior to data cut-off. Data for other growth parameters (LFA, MUACFA, HCFA, BMIFA, and WFL) supported the trends observed for WFA</w:t>
      </w:r>
      <w:r>
        <w:rPr>
          <w:rFonts w:asciiTheme="minorHAnsi" w:eastAsiaTheme="minorHAnsi" w:hAnsiTheme="minorHAnsi" w:cs="Calibri"/>
        </w:rPr>
        <w:t>.</w:t>
      </w:r>
    </w:p>
    <w:p w14:paraId="2B1AC941" w14:textId="77777777" w:rsidR="00CC672B" w:rsidRDefault="00934213" w:rsidP="00934213">
      <w:pPr>
        <w:pStyle w:val="Heading6"/>
        <w:rPr>
          <w:lang w:eastAsia="ja-JP"/>
        </w:rPr>
      </w:pPr>
      <w:r>
        <w:rPr>
          <w:lang w:eastAsia="ja-JP"/>
        </w:rPr>
        <w:t>Effects on liver biochemical parameters</w:t>
      </w:r>
    </w:p>
    <w:p w14:paraId="3DA790D7" w14:textId="08176527" w:rsidR="00934213" w:rsidRPr="00532644" w:rsidRDefault="00934213" w:rsidP="00934213">
      <w:pPr>
        <w:autoSpaceDE w:val="0"/>
        <w:autoSpaceDN w:val="0"/>
        <w:adjustRightInd w:val="0"/>
        <w:spacing w:before="0" w:line="240" w:lineRule="auto"/>
        <w:rPr>
          <w:rFonts w:asciiTheme="minorHAnsi" w:eastAsiaTheme="minorHAnsi" w:hAnsiTheme="minorHAnsi" w:cs="TimesNewRomanPSMT"/>
        </w:rPr>
      </w:pPr>
      <w:r w:rsidRPr="001B2B43">
        <w:rPr>
          <w:rFonts w:asciiTheme="minorHAnsi" w:eastAsiaTheme="minorHAnsi" w:hAnsiTheme="minorHAnsi" w:cs="TimesNewRomanPSMT"/>
          <w:color w:val="000000"/>
        </w:rPr>
        <w:t>At baseline, individual ALT levels ranged from 16.0 to 297.0 U/L (median</w:t>
      </w:r>
      <w:r w:rsidR="002D28A4">
        <w:rPr>
          <w:rFonts w:asciiTheme="minorHAnsi" w:eastAsiaTheme="minorHAnsi" w:hAnsiTheme="minorHAnsi" w:cs="TimesNewRomanPSMT"/>
          <w:color w:val="000000"/>
        </w:rPr>
        <w:t xml:space="preserve"> = </w:t>
      </w:r>
      <w:r w:rsidRPr="001B2B43">
        <w:rPr>
          <w:rFonts w:asciiTheme="minorHAnsi" w:eastAsiaTheme="minorHAnsi" w:hAnsiTheme="minorHAnsi" w:cs="TimesNewRomanPSMT"/>
          <w:color w:val="000000"/>
        </w:rPr>
        <w:t>145.0 U/L)</w:t>
      </w:r>
      <w:r>
        <w:rPr>
          <w:rFonts w:asciiTheme="minorHAnsi" w:eastAsiaTheme="minorHAnsi" w:hAnsiTheme="minorHAnsi" w:cs="TimesNewRomanPSMT"/>
          <w:color w:val="000000"/>
        </w:rPr>
        <w:t xml:space="preserve"> </w:t>
      </w:r>
      <w:r w:rsidR="00955CC5">
        <w:rPr>
          <w:rFonts w:asciiTheme="minorHAnsi" w:eastAsiaTheme="minorHAnsi" w:hAnsiTheme="minorHAnsi" w:cs="TimesNewRomanPSMT"/>
          <w:color w:val="000000"/>
        </w:rPr>
        <w:t>for the 9 </w:t>
      </w:r>
      <w:r w:rsidRPr="001B2B43">
        <w:rPr>
          <w:rFonts w:asciiTheme="minorHAnsi" w:eastAsiaTheme="minorHAnsi" w:hAnsiTheme="minorHAnsi" w:cs="TimesNewRomanPSMT"/>
          <w:color w:val="000000"/>
        </w:rPr>
        <w:t>subjects in the PES, and were above the ULN in 7 (77.8%) subjects</w:t>
      </w:r>
      <w:r>
        <w:rPr>
          <w:rFonts w:asciiTheme="minorHAnsi" w:eastAsiaTheme="minorHAnsi" w:hAnsiTheme="minorHAnsi" w:cs="TimesNewRomanPSMT"/>
          <w:color w:val="000000"/>
        </w:rPr>
        <w:t xml:space="preserve">. </w:t>
      </w:r>
      <w:r w:rsidRPr="001B2B43">
        <w:rPr>
          <w:rFonts w:asciiTheme="minorHAnsi" w:eastAsiaTheme="minorHAnsi" w:hAnsiTheme="minorHAnsi" w:cs="TimesNewRomanPSMT"/>
          <w:color w:val="000000"/>
        </w:rPr>
        <w:t>Baseline ALT levels in the 2 subjects who died after the first</w:t>
      </w:r>
      <w:r>
        <w:rPr>
          <w:rFonts w:asciiTheme="minorHAnsi" w:eastAsiaTheme="minorHAnsi" w:hAnsiTheme="minorHAnsi" w:cs="TimesNewRomanPSMT"/>
          <w:color w:val="000000"/>
        </w:rPr>
        <w:t xml:space="preserve"> </w:t>
      </w:r>
      <w:r w:rsidRPr="001B2B43">
        <w:rPr>
          <w:rFonts w:asciiTheme="minorHAnsi" w:eastAsiaTheme="minorHAnsi" w:hAnsiTheme="minorHAnsi" w:cs="TimesNewRomanPSMT"/>
          <w:color w:val="000000"/>
        </w:rPr>
        <w:t xml:space="preserve">infusion of </w:t>
      </w:r>
      <w:proofErr w:type="spellStart"/>
      <w:r w:rsidRPr="001B2B43">
        <w:rPr>
          <w:rFonts w:asciiTheme="minorHAnsi" w:eastAsiaTheme="minorHAnsi" w:hAnsiTheme="minorHAnsi" w:cs="TimesNewRomanPSMT"/>
          <w:color w:val="000000"/>
        </w:rPr>
        <w:t>sebelipase</w:t>
      </w:r>
      <w:proofErr w:type="spellEnd"/>
      <w:r w:rsidRPr="001B2B43">
        <w:rPr>
          <w:rFonts w:asciiTheme="minorHAnsi" w:eastAsiaTheme="minorHAnsi" w:hAnsiTheme="minorHAnsi" w:cs="TimesNewRomanPSMT"/>
          <w:color w:val="000000"/>
        </w:rPr>
        <w:t xml:space="preserve"> alfa were 145 U/L </w:t>
      </w:r>
      <w:r w:rsidR="00955CC5">
        <w:rPr>
          <w:rFonts w:asciiTheme="minorHAnsi" w:eastAsiaTheme="minorHAnsi" w:hAnsiTheme="minorHAnsi" w:cs="TimesNewRomanPSMT"/>
        </w:rPr>
        <w:t>[information redacted]</w:t>
      </w:r>
      <w:r w:rsidRPr="001B2B43">
        <w:rPr>
          <w:rFonts w:asciiTheme="minorHAnsi" w:eastAsiaTheme="minorHAnsi" w:hAnsiTheme="minorHAnsi" w:cs="TimesNewRomanPSMT"/>
          <w:color w:val="000000"/>
        </w:rPr>
        <w:t xml:space="preserve"> and 185 U/L</w:t>
      </w:r>
      <w:r>
        <w:rPr>
          <w:rFonts w:asciiTheme="minorHAnsi" w:eastAsiaTheme="minorHAnsi" w:hAnsiTheme="minorHAnsi" w:cs="TimesNewRomanPSMT"/>
          <w:color w:val="000000"/>
        </w:rPr>
        <w:t>.</w:t>
      </w:r>
      <w:r w:rsidRPr="001B2B43">
        <w:rPr>
          <w:rFonts w:asciiTheme="minorHAnsi" w:eastAsiaTheme="minorHAnsi" w:hAnsiTheme="minorHAnsi" w:cs="TimesNewRomanPSMT"/>
        </w:rPr>
        <w:t xml:space="preserve"> ALT levels decreased rapidly following initiation of treatment with </w:t>
      </w:r>
      <w:proofErr w:type="spellStart"/>
      <w:r w:rsidRPr="001B2B43">
        <w:rPr>
          <w:rFonts w:asciiTheme="minorHAnsi" w:eastAsiaTheme="minorHAnsi" w:hAnsiTheme="minorHAnsi" w:cs="TimesNewRomanPSMT"/>
        </w:rPr>
        <w:t>sebelipase</w:t>
      </w:r>
      <w:proofErr w:type="spellEnd"/>
      <w:r w:rsidRPr="001B2B43">
        <w:rPr>
          <w:rFonts w:asciiTheme="minorHAnsi" w:eastAsiaTheme="minorHAnsi" w:hAnsiTheme="minorHAnsi" w:cs="TimesNewRomanPSMT"/>
        </w:rPr>
        <w:t xml:space="preserve"> alfa.</w:t>
      </w:r>
      <w:r>
        <w:rPr>
          <w:rFonts w:asciiTheme="minorHAnsi" w:eastAsiaTheme="minorHAnsi" w:hAnsiTheme="minorHAnsi" w:cs="TimesNewRomanPSMT"/>
        </w:rPr>
        <w:t xml:space="preserve"> </w:t>
      </w:r>
      <w:r w:rsidRPr="001B2B43">
        <w:rPr>
          <w:rFonts w:asciiTheme="minorHAnsi" w:eastAsiaTheme="minorHAnsi" w:hAnsiTheme="minorHAnsi" w:cs="TimesNewRomanPSMT"/>
        </w:rPr>
        <w:t xml:space="preserve">Reductions in ALT were already evident at Week 1 Median percentage changes </w:t>
      </w:r>
      <w:r w:rsidR="00DE644C">
        <w:rPr>
          <w:rFonts w:asciiTheme="minorHAnsi" w:eastAsiaTheme="minorHAnsi" w:hAnsiTheme="minorHAnsi" w:cs="TimesNewRomanPSMT"/>
        </w:rPr>
        <w:t>from Baseline</w:t>
      </w:r>
      <w:r w:rsidRPr="001B2B43">
        <w:rPr>
          <w:rFonts w:asciiTheme="minorHAnsi" w:eastAsiaTheme="minorHAnsi" w:hAnsiTheme="minorHAnsi" w:cs="TimesNewRomanPSMT"/>
        </w:rPr>
        <w:t xml:space="preserve"> at Week 1</w:t>
      </w:r>
      <w:r>
        <w:rPr>
          <w:rFonts w:asciiTheme="minorHAnsi" w:eastAsiaTheme="minorHAnsi" w:hAnsiTheme="minorHAnsi" w:cs="TimesNewRomanPSMT"/>
        </w:rPr>
        <w:t xml:space="preserve"> </w:t>
      </w:r>
      <w:r w:rsidRPr="001B2B43">
        <w:rPr>
          <w:rFonts w:asciiTheme="minorHAnsi" w:eastAsiaTheme="minorHAnsi" w:hAnsiTheme="minorHAnsi" w:cs="TimesNewRomanPSMT"/>
        </w:rPr>
        <w:t xml:space="preserve">and Week 4 were </w:t>
      </w:r>
      <w:r w:rsidR="00955CC5">
        <w:rPr>
          <w:rFonts w:asciiTheme="minorHAnsi" w:eastAsiaTheme="minorHAnsi" w:hAnsiTheme="minorHAnsi" w:cs="TimesNewRomanPSMT"/>
        </w:rPr>
        <w:noBreakHyphen/>
      </w:r>
      <w:r w:rsidRPr="001B2B43">
        <w:rPr>
          <w:rFonts w:asciiTheme="minorHAnsi" w:eastAsiaTheme="minorHAnsi" w:hAnsiTheme="minorHAnsi" w:cs="TimesNewRomanPSMT"/>
        </w:rPr>
        <w:t xml:space="preserve">31.3%, and </w:t>
      </w:r>
      <w:r w:rsidR="00955CC5">
        <w:rPr>
          <w:rFonts w:asciiTheme="minorHAnsi" w:eastAsiaTheme="minorHAnsi" w:hAnsiTheme="minorHAnsi" w:cs="TimesNewRomanPSMT"/>
        </w:rPr>
        <w:noBreakHyphen/>
      </w:r>
      <w:r w:rsidRPr="001B2B43">
        <w:rPr>
          <w:rFonts w:asciiTheme="minorHAnsi" w:eastAsiaTheme="minorHAnsi" w:hAnsiTheme="minorHAnsi" w:cs="TimesNewRomanPSMT"/>
        </w:rPr>
        <w:t>66.00%, respectively. Median ALT levels were fairly</w:t>
      </w:r>
      <w:r>
        <w:rPr>
          <w:rFonts w:asciiTheme="minorHAnsi" w:eastAsiaTheme="minorHAnsi" w:hAnsiTheme="minorHAnsi" w:cs="TimesNewRomanPSMT"/>
        </w:rPr>
        <w:t xml:space="preserve"> </w:t>
      </w:r>
      <w:r w:rsidRPr="001B2B43">
        <w:rPr>
          <w:rFonts w:asciiTheme="minorHAnsi" w:eastAsiaTheme="minorHAnsi" w:hAnsiTheme="minorHAnsi" w:cs="TimesNewRomanPSMT"/>
        </w:rPr>
        <w:t>stable from Week 4 through Week 60, the last assessment for which data were available</w:t>
      </w:r>
      <w:r>
        <w:rPr>
          <w:rFonts w:asciiTheme="minorHAnsi" w:eastAsiaTheme="minorHAnsi" w:hAnsiTheme="minorHAnsi" w:cs="TimesNewRomanPSMT"/>
        </w:rPr>
        <w:t xml:space="preserve"> </w:t>
      </w:r>
      <w:r w:rsidRPr="001B2B43">
        <w:rPr>
          <w:rFonts w:asciiTheme="minorHAnsi" w:eastAsiaTheme="minorHAnsi" w:hAnsiTheme="minorHAnsi" w:cs="TimesNewRomanPSMT"/>
        </w:rPr>
        <w:t xml:space="preserve">for more than 1 subject, although a few subjects had fluctuations in ALT over </w:t>
      </w:r>
      <w:r w:rsidRPr="00FD1D3C">
        <w:rPr>
          <w:rFonts w:asciiTheme="minorHAnsi" w:eastAsiaTheme="minorHAnsi" w:hAnsiTheme="minorHAnsi" w:cs="TimesNewRomanPSMT"/>
        </w:rPr>
        <w:t>time</w:t>
      </w:r>
      <w:r w:rsidRPr="00FD1D3C">
        <w:rPr>
          <w:rFonts w:asciiTheme="minorHAnsi" w:eastAsiaTheme="minorHAnsi" w:hAnsiTheme="minorHAnsi" w:cs="TimesNewRomanPSMT"/>
          <w:b/>
        </w:rPr>
        <w:t>.</w:t>
      </w:r>
      <w:r w:rsidRPr="001B2B43">
        <w:rPr>
          <w:rFonts w:asciiTheme="minorHAnsi" w:eastAsiaTheme="minorHAnsi" w:hAnsiTheme="minorHAnsi" w:cs="TimesNewRomanPSMT"/>
          <w:b/>
        </w:rPr>
        <w:t xml:space="preserve"> </w:t>
      </w:r>
      <w:r w:rsidRPr="001B2B43">
        <w:rPr>
          <w:rFonts w:asciiTheme="minorHAnsi" w:eastAsiaTheme="minorHAnsi" w:hAnsiTheme="minorHAnsi" w:cs="TimesNewRomanPSMT"/>
        </w:rPr>
        <w:t>Of the 6 subjects surviving beyond Week 4, 4 subjects had abnormal ALT levels (</w:t>
      </w:r>
      <w:r w:rsidR="00B73619">
        <w:rPr>
          <w:rFonts w:asciiTheme="minorHAnsi" w:eastAsiaTheme="minorHAnsi" w:hAnsiTheme="minorHAnsi" w:cs="TimesNewRomanPSMT"/>
        </w:rPr>
        <w:t xml:space="preserve">&gt; </w:t>
      </w:r>
      <w:r w:rsidRPr="001B2B43">
        <w:rPr>
          <w:rFonts w:asciiTheme="minorHAnsi" w:eastAsiaTheme="minorHAnsi" w:hAnsiTheme="minorHAnsi" w:cs="TimesNewRomanPSMT"/>
        </w:rPr>
        <w:t>ULN)</w:t>
      </w:r>
      <w:r>
        <w:rPr>
          <w:rFonts w:asciiTheme="minorHAnsi" w:eastAsiaTheme="minorHAnsi" w:hAnsiTheme="minorHAnsi" w:cs="TimesNewRomanPSMT"/>
        </w:rPr>
        <w:t xml:space="preserve"> </w:t>
      </w:r>
      <w:r w:rsidR="00DE644C">
        <w:rPr>
          <w:rFonts w:asciiTheme="minorHAnsi" w:eastAsiaTheme="minorHAnsi" w:hAnsiTheme="minorHAnsi" w:cs="TimesNewRomanPSMT"/>
        </w:rPr>
        <w:t>at Baseline</w:t>
      </w:r>
      <w:r w:rsidRPr="001B2B43">
        <w:rPr>
          <w:rFonts w:asciiTheme="minorHAnsi" w:eastAsiaTheme="minorHAnsi" w:hAnsiTheme="minorHAnsi" w:cs="TimesNewRomanPSMT"/>
        </w:rPr>
        <w:t>. Normalisation of ALT was observed for all 4 of these subjects during</w:t>
      </w:r>
      <w:r>
        <w:rPr>
          <w:rFonts w:asciiTheme="minorHAnsi" w:eastAsiaTheme="minorHAnsi" w:hAnsiTheme="minorHAnsi" w:cs="TimesNewRomanPSMT"/>
        </w:rPr>
        <w:t xml:space="preserve"> </w:t>
      </w:r>
      <w:r w:rsidRPr="001B2B43">
        <w:rPr>
          <w:rFonts w:asciiTheme="minorHAnsi" w:eastAsiaTheme="minorHAnsi" w:hAnsiTheme="minorHAnsi" w:cs="TimesNewRomanPSMT"/>
        </w:rPr>
        <w:t xml:space="preserve">treatment with </w:t>
      </w:r>
      <w:proofErr w:type="spellStart"/>
      <w:r w:rsidRPr="001B2B43">
        <w:rPr>
          <w:rFonts w:asciiTheme="minorHAnsi" w:eastAsiaTheme="minorHAnsi" w:hAnsiTheme="minorHAnsi" w:cs="TimesNewRomanPSMT"/>
        </w:rPr>
        <w:t>sebelipase</w:t>
      </w:r>
      <w:proofErr w:type="spellEnd"/>
      <w:r w:rsidRPr="001B2B43">
        <w:rPr>
          <w:rFonts w:asciiTheme="minorHAnsi" w:eastAsiaTheme="minorHAnsi" w:hAnsiTheme="minorHAnsi" w:cs="TimesNewRomanPSMT"/>
        </w:rPr>
        <w:t xml:space="preserve"> alfa. Two of these subjects achieved</w:t>
      </w:r>
      <w:r>
        <w:rPr>
          <w:rFonts w:asciiTheme="minorHAnsi" w:eastAsiaTheme="minorHAnsi" w:hAnsiTheme="minorHAnsi" w:cs="TimesNewRomanPSMT"/>
        </w:rPr>
        <w:t xml:space="preserve"> </w:t>
      </w:r>
      <w:r w:rsidRPr="001B2B43">
        <w:rPr>
          <w:rFonts w:asciiTheme="minorHAnsi" w:eastAsiaTheme="minorHAnsi" w:hAnsiTheme="minorHAnsi" w:cs="TimesNewRomanPSMT"/>
        </w:rPr>
        <w:t>normal ALT levels by Week 1, and maintained normal ALT levels through the last</w:t>
      </w:r>
      <w:r>
        <w:rPr>
          <w:rFonts w:asciiTheme="minorHAnsi" w:eastAsiaTheme="minorHAnsi" w:hAnsiTheme="minorHAnsi" w:cs="TimesNewRomanPSMT"/>
        </w:rPr>
        <w:t xml:space="preserve"> </w:t>
      </w:r>
      <w:r w:rsidRPr="001B2B43">
        <w:rPr>
          <w:rFonts w:asciiTheme="minorHAnsi" w:eastAsiaTheme="minorHAnsi" w:hAnsiTheme="minorHAnsi" w:cs="TimesNewRomanPSMT"/>
        </w:rPr>
        <w:t>assessment prior to the data cut-off. The other 2 subjects initially</w:t>
      </w:r>
      <w:r>
        <w:rPr>
          <w:rFonts w:asciiTheme="minorHAnsi" w:eastAsiaTheme="minorHAnsi" w:hAnsiTheme="minorHAnsi" w:cs="TimesNewRomanPSMT"/>
        </w:rPr>
        <w:t xml:space="preserve"> </w:t>
      </w:r>
      <w:r w:rsidRPr="001B2B43">
        <w:rPr>
          <w:rFonts w:asciiTheme="minorHAnsi" w:eastAsiaTheme="minorHAnsi" w:hAnsiTheme="minorHAnsi" w:cs="TimesNewRomanPSMT"/>
        </w:rPr>
        <w:t>achieved normal ALT levels at Week 4 and Week 6, respectively, and while ALT</w:t>
      </w:r>
      <w:r>
        <w:rPr>
          <w:rFonts w:asciiTheme="minorHAnsi" w:eastAsiaTheme="minorHAnsi" w:hAnsiTheme="minorHAnsi" w:cs="TimesNewRomanPSMT"/>
        </w:rPr>
        <w:t xml:space="preserve"> </w:t>
      </w:r>
      <w:r w:rsidRPr="001B2B43">
        <w:rPr>
          <w:rFonts w:asciiTheme="minorHAnsi" w:eastAsiaTheme="minorHAnsi" w:hAnsiTheme="minorHAnsi" w:cs="TimesNewRomanPSMT"/>
        </w:rPr>
        <w:t xml:space="preserve">continued to be normal to </w:t>
      </w:r>
      <w:r w:rsidR="00FD1D3C">
        <w:rPr>
          <w:rFonts w:asciiTheme="minorHAnsi" w:eastAsiaTheme="minorHAnsi" w:hAnsiTheme="minorHAnsi" w:cs="TimesNewRomanPSMT"/>
        </w:rPr>
        <w:t>near normal</w:t>
      </w:r>
      <w:r w:rsidRPr="001B2B43">
        <w:rPr>
          <w:rFonts w:asciiTheme="minorHAnsi" w:eastAsiaTheme="minorHAnsi" w:hAnsiTheme="minorHAnsi" w:cs="TimesNewRomanPSMT"/>
        </w:rPr>
        <w:t xml:space="preserve"> at most subsequent assessments, these subjects</w:t>
      </w:r>
      <w:r>
        <w:rPr>
          <w:rFonts w:asciiTheme="minorHAnsi" w:eastAsiaTheme="minorHAnsi" w:hAnsiTheme="minorHAnsi" w:cs="TimesNewRomanPSMT"/>
        </w:rPr>
        <w:t xml:space="preserve"> </w:t>
      </w:r>
      <w:r w:rsidRPr="001B2B43">
        <w:rPr>
          <w:rFonts w:asciiTheme="minorHAnsi" w:eastAsiaTheme="minorHAnsi" w:hAnsiTheme="minorHAnsi" w:cs="TimesNewRomanPSMT"/>
        </w:rPr>
        <w:t>each had a further transient elevation in serum transaminases (ALT and AST) shortly</w:t>
      </w:r>
      <w:r>
        <w:rPr>
          <w:rFonts w:asciiTheme="minorHAnsi" w:eastAsiaTheme="minorHAnsi" w:hAnsiTheme="minorHAnsi" w:cs="TimesNewRomanPSMT"/>
        </w:rPr>
        <w:t xml:space="preserve"> </w:t>
      </w:r>
      <w:r w:rsidRPr="001B2B43">
        <w:rPr>
          <w:rFonts w:asciiTheme="minorHAnsi" w:eastAsiaTheme="minorHAnsi" w:hAnsiTheme="minorHAnsi" w:cs="TimesNewRomanPSMT"/>
        </w:rPr>
        <w:t>prior to the data cut-off</w:t>
      </w:r>
      <w:r>
        <w:rPr>
          <w:rFonts w:asciiTheme="minorHAnsi" w:eastAsiaTheme="minorHAnsi" w:hAnsiTheme="minorHAnsi" w:cs="TimesNewRomanPSMT"/>
        </w:rPr>
        <w:t xml:space="preserve">. </w:t>
      </w:r>
      <w:r w:rsidRPr="001B2B43">
        <w:rPr>
          <w:rFonts w:asciiTheme="minorHAnsi" w:eastAsiaTheme="minorHAnsi" w:hAnsiTheme="minorHAnsi" w:cs="TimesNewRomanPSMT"/>
        </w:rPr>
        <w:t xml:space="preserve">Similar to reduction in ALT levels, AST levels also decreased rapidly following initiation of treatment with </w:t>
      </w:r>
      <w:proofErr w:type="spellStart"/>
      <w:r w:rsidRPr="001B2B43">
        <w:rPr>
          <w:rFonts w:asciiTheme="minorHAnsi" w:eastAsiaTheme="minorHAnsi" w:hAnsiTheme="minorHAnsi" w:cs="TimesNewRomanPSMT"/>
        </w:rPr>
        <w:t>sebelipase</w:t>
      </w:r>
      <w:proofErr w:type="spellEnd"/>
      <w:r w:rsidRPr="001B2B43">
        <w:rPr>
          <w:rFonts w:asciiTheme="minorHAnsi" w:eastAsiaTheme="minorHAnsi" w:hAnsiTheme="minorHAnsi" w:cs="TimesNewRomanPSMT"/>
        </w:rPr>
        <w:t xml:space="preserve"> alfa with reductions apparent as early as Week </w:t>
      </w:r>
      <w:r w:rsidRPr="00FD1D3C">
        <w:rPr>
          <w:rFonts w:asciiTheme="minorHAnsi" w:eastAsiaTheme="minorHAnsi" w:hAnsiTheme="minorHAnsi" w:cs="TimesNewRomanPSMT"/>
        </w:rPr>
        <w:t>1</w:t>
      </w:r>
      <w:r w:rsidR="00B73619" w:rsidRPr="00FD1D3C">
        <w:rPr>
          <w:rFonts w:asciiTheme="minorHAnsi" w:eastAsiaTheme="minorHAnsi" w:hAnsiTheme="minorHAnsi" w:cs="TimesNewRomanPSMT"/>
        </w:rPr>
        <w:t>.</w:t>
      </w:r>
      <w:r w:rsidR="00B73619">
        <w:rPr>
          <w:rFonts w:asciiTheme="minorHAnsi" w:eastAsiaTheme="minorHAnsi" w:hAnsiTheme="minorHAnsi" w:cs="TimesNewRomanPSMT"/>
          <w:b/>
        </w:rPr>
        <w:t xml:space="preserve"> </w:t>
      </w:r>
      <w:r w:rsidRPr="001B2B43">
        <w:rPr>
          <w:rFonts w:asciiTheme="minorHAnsi" w:eastAsiaTheme="minorHAnsi" w:hAnsiTheme="minorHAnsi" w:cs="TimesNewRomanPSMT"/>
        </w:rPr>
        <w:t>All 6 subjects who survived beyond Week 4 had abnormal AST levels (</w:t>
      </w:r>
      <w:r w:rsidR="00B73619">
        <w:rPr>
          <w:rFonts w:asciiTheme="minorHAnsi" w:eastAsiaTheme="minorHAnsi" w:hAnsiTheme="minorHAnsi" w:cs="TimesNewRomanPSMT"/>
        </w:rPr>
        <w:t xml:space="preserve">&gt; </w:t>
      </w:r>
      <w:r w:rsidRPr="001B2B43">
        <w:rPr>
          <w:rFonts w:asciiTheme="minorHAnsi" w:eastAsiaTheme="minorHAnsi" w:hAnsiTheme="minorHAnsi" w:cs="TimesNewRomanPSMT"/>
        </w:rPr>
        <w:t xml:space="preserve">ULN) </w:t>
      </w:r>
      <w:r w:rsidR="00DE644C">
        <w:rPr>
          <w:rFonts w:asciiTheme="minorHAnsi" w:eastAsiaTheme="minorHAnsi" w:hAnsiTheme="minorHAnsi" w:cs="TimesNewRomanPSMT"/>
        </w:rPr>
        <w:t>at Baseline</w:t>
      </w:r>
      <w:r w:rsidRPr="001B2B43">
        <w:rPr>
          <w:rFonts w:asciiTheme="minorHAnsi" w:eastAsiaTheme="minorHAnsi" w:hAnsiTheme="minorHAnsi" w:cs="TimesNewRomanPSMT"/>
        </w:rPr>
        <w:t>. Normalisation of AST was observed for 4 of these subjects, beginning at</w:t>
      </w:r>
      <w:r>
        <w:rPr>
          <w:rFonts w:asciiTheme="minorHAnsi" w:eastAsiaTheme="minorHAnsi" w:hAnsiTheme="minorHAnsi" w:cs="TimesNewRomanPSMT"/>
        </w:rPr>
        <w:t xml:space="preserve"> </w:t>
      </w:r>
      <w:r w:rsidRPr="001B2B43">
        <w:rPr>
          <w:rFonts w:asciiTheme="minorHAnsi" w:eastAsiaTheme="minorHAnsi" w:hAnsiTheme="minorHAnsi" w:cs="TimesNewRomanPSMT"/>
        </w:rPr>
        <w:t xml:space="preserve">Week 1 or Week 5 of treatment with </w:t>
      </w:r>
      <w:proofErr w:type="spellStart"/>
      <w:r w:rsidRPr="001B2B43">
        <w:rPr>
          <w:rFonts w:asciiTheme="minorHAnsi" w:eastAsiaTheme="minorHAnsi" w:hAnsiTheme="minorHAnsi" w:cs="TimesNewRomanPSMT"/>
        </w:rPr>
        <w:t>sebelipase</w:t>
      </w:r>
      <w:proofErr w:type="spellEnd"/>
      <w:r w:rsidRPr="001B2B43">
        <w:rPr>
          <w:rFonts w:asciiTheme="minorHAnsi" w:eastAsiaTheme="minorHAnsi" w:hAnsiTheme="minorHAnsi" w:cs="TimesNewRomanPSMT"/>
        </w:rPr>
        <w:t xml:space="preserve"> alfa.</w:t>
      </w:r>
      <w:r>
        <w:rPr>
          <w:rFonts w:asciiTheme="minorHAnsi" w:eastAsiaTheme="minorHAnsi" w:hAnsiTheme="minorHAnsi" w:cs="TimesNewRomanPSMT"/>
        </w:rPr>
        <w:t xml:space="preserve"> </w:t>
      </w:r>
      <w:r w:rsidRPr="001B2B43">
        <w:rPr>
          <w:rFonts w:asciiTheme="minorHAnsi" w:eastAsiaTheme="minorHAnsi" w:hAnsiTheme="minorHAnsi" w:cs="TimesNewRomanPSMT"/>
        </w:rPr>
        <w:t xml:space="preserve">Three of these 4 subjects continued </w:t>
      </w:r>
      <w:r w:rsidRPr="00A078FD">
        <w:rPr>
          <w:rFonts w:asciiTheme="minorHAnsi" w:eastAsiaTheme="minorHAnsi" w:hAnsiTheme="minorHAnsi" w:cs="TimesNewRomanPSMT"/>
        </w:rPr>
        <w:t xml:space="preserve">to have normal AST through the data cut-off. The other subject had normal to </w:t>
      </w:r>
      <w:r w:rsidR="00FD1D3C">
        <w:rPr>
          <w:rFonts w:asciiTheme="minorHAnsi" w:eastAsiaTheme="minorHAnsi" w:hAnsiTheme="minorHAnsi" w:cs="TimesNewRomanPSMT"/>
        </w:rPr>
        <w:t>near normal</w:t>
      </w:r>
      <w:r w:rsidRPr="00A078FD">
        <w:rPr>
          <w:rFonts w:asciiTheme="minorHAnsi" w:eastAsiaTheme="minorHAnsi" w:hAnsiTheme="minorHAnsi" w:cs="TimesNewRomanPSMT"/>
        </w:rPr>
        <w:t xml:space="preserve"> AST levels with the exception of a </w:t>
      </w:r>
      <w:r w:rsidRPr="00A078FD">
        <w:rPr>
          <w:rFonts w:asciiTheme="minorHAnsi" w:eastAsiaTheme="minorHAnsi" w:hAnsiTheme="minorHAnsi" w:cs="TimesNewRomanPSMT"/>
        </w:rPr>
        <w:lastRenderedPageBreak/>
        <w:t xml:space="preserve">single markedly elevated result at Week 24 (89 U/L). </w:t>
      </w:r>
      <w:r w:rsidRPr="00A078FD">
        <w:rPr>
          <w:rFonts w:asciiTheme="minorHAnsi" w:eastAsiaTheme="minorHAnsi" w:hAnsiTheme="minorHAnsi" w:cs="TimesNewRomanPSMT"/>
          <w:color w:val="000000"/>
        </w:rPr>
        <w:t>At baseline, GGT levels ranged from 14.0 to 1000.0 U/L (median</w:t>
      </w:r>
      <w:r w:rsidR="002D28A4">
        <w:rPr>
          <w:rFonts w:asciiTheme="minorHAnsi" w:eastAsiaTheme="minorHAnsi" w:hAnsiTheme="minorHAnsi" w:cs="TimesNewRomanPSMT"/>
          <w:color w:val="000000"/>
        </w:rPr>
        <w:t xml:space="preserve"> = </w:t>
      </w:r>
      <w:r w:rsidRPr="00A078FD">
        <w:rPr>
          <w:rFonts w:asciiTheme="minorHAnsi" w:eastAsiaTheme="minorHAnsi" w:hAnsiTheme="minorHAnsi" w:cs="TimesNewRomanPSMT"/>
          <w:color w:val="000000"/>
        </w:rPr>
        <w:t>46.5 U/L), and were</w:t>
      </w:r>
      <w:r>
        <w:rPr>
          <w:rFonts w:asciiTheme="minorHAnsi" w:eastAsiaTheme="minorHAnsi" w:hAnsiTheme="minorHAnsi" w:cs="TimesNewRomanPSMT"/>
          <w:color w:val="000000"/>
        </w:rPr>
        <w:t xml:space="preserve"> </w:t>
      </w:r>
      <w:r w:rsidRPr="00A078FD">
        <w:rPr>
          <w:rFonts w:asciiTheme="minorHAnsi" w:eastAsiaTheme="minorHAnsi" w:hAnsiTheme="minorHAnsi" w:cs="TimesNewRomanPSMT"/>
          <w:color w:val="000000"/>
        </w:rPr>
        <w:t>above the ULN in 4 (50.0%) of the 8 subjects with available data. Baseline GGT levels were normal in the 2 subjects who died after the</w:t>
      </w:r>
      <w:r>
        <w:rPr>
          <w:rFonts w:asciiTheme="minorHAnsi" w:eastAsiaTheme="minorHAnsi" w:hAnsiTheme="minorHAnsi" w:cs="TimesNewRomanPSMT"/>
          <w:color w:val="000000"/>
        </w:rPr>
        <w:t xml:space="preserve"> </w:t>
      </w:r>
      <w:r w:rsidRPr="00A078FD">
        <w:rPr>
          <w:rFonts w:asciiTheme="minorHAnsi" w:eastAsiaTheme="minorHAnsi" w:hAnsiTheme="minorHAnsi" w:cs="TimesNewRomanPSMT"/>
          <w:color w:val="000000"/>
        </w:rPr>
        <w:t xml:space="preserve">first infusion of </w:t>
      </w:r>
      <w:proofErr w:type="spellStart"/>
      <w:r w:rsidRPr="00A078FD">
        <w:rPr>
          <w:rFonts w:asciiTheme="minorHAnsi" w:eastAsiaTheme="minorHAnsi" w:hAnsiTheme="minorHAnsi" w:cs="TimesNewRomanPSMT"/>
          <w:color w:val="000000"/>
        </w:rPr>
        <w:t>sebelipase</w:t>
      </w:r>
      <w:proofErr w:type="spellEnd"/>
      <w:r w:rsidRPr="00A078FD">
        <w:rPr>
          <w:rFonts w:asciiTheme="minorHAnsi" w:eastAsiaTheme="minorHAnsi" w:hAnsiTheme="minorHAnsi" w:cs="TimesNewRomanPSMT"/>
          <w:color w:val="000000"/>
        </w:rPr>
        <w:t xml:space="preserve"> alfa</w:t>
      </w:r>
      <w:r w:rsidRPr="00A078FD">
        <w:rPr>
          <w:rFonts w:asciiTheme="minorHAnsi" w:eastAsiaTheme="minorHAnsi" w:hAnsiTheme="minorHAnsi" w:cs="TimesNewRomanPSMT"/>
        </w:rPr>
        <w:t xml:space="preserve"> GGT levels decreased markedly over the first 3 months of treatment with </w:t>
      </w:r>
      <w:proofErr w:type="spellStart"/>
      <w:r w:rsidRPr="00A078FD">
        <w:rPr>
          <w:rFonts w:asciiTheme="minorHAnsi" w:eastAsiaTheme="minorHAnsi" w:hAnsiTheme="minorHAnsi" w:cs="TimesNewRomanPSMT"/>
        </w:rPr>
        <w:t>sebelipase</w:t>
      </w:r>
      <w:proofErr w:type="spellEnd"/>
      <w:r w:rsidRPr="00A078FD">
        <w:rPr>
          <w:rFonts w:asciiTheme="minorHAnsi" w:eastAsiaTheme="minorHAnsi" w:hAnsiTheme="minorHAnsi" w:cs="TimesNewRomanPSMT"/>
        </w:rPr>
        <w:t xml:space="preserve"> alfa,</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with median reductions </w:t>
      </w:r>
      <w:r w:rsidR="00DE644C">
        <w:rPr>
          <w:rFonts w:asciiTheme="minorHAnsi" w:eastAsiaTheme="minorHAnsi" w:hAnsiTheme="minorHAnsi" w:cs="TimesNewRomanPSMT"/>
        </w:rPr>
        <w:t>from Baseline</w:t>
      </w:r>
      <w:r w:rsidRPr="00A078FD">
        <w:rPr>
          <w:rFonts w:asciiTheme="minorHAnsi" w:eastAsiaTheme="minorHAnsi" w:hAnsiTheme="minorHAnsi" w:cs="TimesNewRomanPSMT"/>
        </w:rPr>
        <w:t xml:space="preserve"> of </w:t>
      </w:r>
      <w:r w:rsidR="00FD1D3C">
        <w:rPr>
          <w:rFonts w:asciiTheme="minorHAnsi" w:eastAsiaTheme="minorHAnsi" w:hAnsiTheme="minorHAnsi" w:cs="TimesNewRomanPSMT"/>
        </w:rPr>
        <w:noBreakHyphen/>
      </w:r>
      <w:r w:rsidRPr="00A078FD">
        <w:rPr>
          <w:rFonts w:asciiTheme="minorHAnsi" w:eastAsiaTheme="minorHAnsi" w:hAnsiTheme="minorHAnsi" w:cs="TimesNewRomanPSMT"/>
        </w:rPr>
        <w:t>6.0 U/L at Week 4 (n</w:t>
      </w:r>
      <w:r w:rsidR="002D28A4">
        <w:rPr>
          <w:rFonts w:asciiTheme="minorHAnsi" w:eastAsiaTheme="minorHAnsi" w:hAnsiTheme="minorHAnsi" w:cs="TimesNewRomanPSMT"/>
        </w:rPr>
        <w:t xml:space="preserve"> = </w:t>
      </w:r>
      <w:r w:rsidR="00FD1D3C">
        <w:rPr>
          <w:rFonts w:asciiTheme="minorHAnsi" w:eastAsiaTheme="minorHAnsi" w:hAnsiTheme="minorHAnsi" w:cs="TimesNewRomanPSMT"/>
        </w:rPr>
        <w:t xml:space="preserve">5) and </w:t>
      </w:r>
      <w:r w:rsidR="00FD1D3C">
        <w:rPr>
          <w:rFonts w:asciiTheme="minorHAnsi" w:eastAsiaTheme="minorHAnsi" w:hAnsiTheme="minorHAnsi" w:cs="TimesNewRomanPSMT"/>
        </w:rPr>
        <w:noBreakHyphen/>
      </w:r>
      <w:r w:rsidRPr="00A078FD">
        <w:rPr>
          <w:rFonts w:asciiTheme="minorHAnsi" w:eastAsiaTheme="minorHAnsi" w:hAnsiTheme="minorHAnsi" w:cs="TimesNewRomanPSMT"/>
        </w:rPr>
        <w:t>40.0 U/L at</w:t>
      </w:r>
      <w:r>
        <w:rPr>
          <w:rFonts w:asciiTheme="minorHAnsi" w:eastAsiaTheme="minorHAnsi" w:hAnsiTheme="minorHAnsi" w:cs="TimesNewRomanPSMT"/>
        </w:rPr>
        <w:t xml:space="preserve"> </w:t>
      </w:r>
      <w:r w:rsidRPr="00A078FD">
        <w:rPr>
          <w:rFonts w:asciiTheme="minorHAnsi" w:eastAsiaTheme="minorHAnsi" w:hAnsiTheme="minorHAnsi" w:cs="TimesNewRomanPSMT"/>
        </w:rPr>
        <w:t>Week 12 (n</w:t>
      </w:r>
      <w:r w:rsidR="002D28A4">
        <w:rPr>
          <w:rFonts w:asciiTheme="minorHAnsi" w:eastAsiaTheme="minorHAnsi" w:hAnsiTheme="minorHAnsi" w:cs="TimesNewRomanPSMT"/>
        </w:rPr>
        <w:t xml:space="preserve"> = </w:t>
      </w:r>
      <w:r w:rsidRPr="00A078FD">
        <w:rPr>
          <w:rFonts w:asciiTheme="minorHAnsi" w:eastAsiaTheme="minorHAnsi" w:hAnsiTheme="minorHAnsi" w:cs="TimesNewRomanPSMT"/>
        </w:rPr>
        <w:t>5). Thereafter, GGT was fairly stable through Week 60, at which time the</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median reduction </w:t>
      </w:r>
      <w:r w:rsidR="00DE644C">
        <w:rPr>
          <w:rFonts w:asciiTheme="minorHAnsi" w:eastAsiaTheme="minorHAnsi" w:hAnsiTheme="minorHAnsi" w:cs="TimesNewRomanPSMT"/>
        </w:rPr>
        <w:t>from Baseline</w:t>
      </w:r>
      <w:r w:rsidRPr="00A078FD">
        <w:rPr>
          <w:rFonts w:asciiTheme="minorHAnsi" w:eastAsiaTheme="minorHAnsi" w:hAnsiTheme="minorHAnsi" w:cs="TimesNewRomanPSMT"/>
        </w:rPr>
        <w:t xml:space="preserve"> was </w:t>
      </w:r>
      <w:r w:rsidR="00FD1D3C">
        <w:rPr>
          <w:rFonts w:asciiTheme="minorHAnsi" w:eastAsiaTheme="minorHAnsi" w:hAnsiTheme="minorHAnsi" w:cs="TimesNewRomanPSMT"/>
        </w:rPr>
        <w:noBreakHyphen/>
      </w:r>
      <w:r w:rsidRPr="00A078FD">
        <w:rPr>
          <w:rFonts w:asciiTheme="minorHAnsi" w:eastAsiaTheme="minorHAnsi" w:hAnsiTheme="minorHAnsi" w:cs="TimesNewRomanPSMT"/>
        </w:rPr>
        <w:t>34.0 U/L (n</w:t>
      </w:r>
      <w:r w:rsidR="002D28A4">
        <w:rPr>
          <w:rFonts w:asciiTheme="minorHAnsi" w:eastAsiaTheme="minorHAnsi" w:hAnsiTheme="minorHAnsi" w:cs="TimesNewRomanPSMT"/>
        </w:rPr>
        <w:t xml:space="preserve"> = </w:t>
      </w:r>
      <w:r w:rsidRPr="00A078FD">
        <w:rPr>
          <w:rFonts w:asciiTheme="minorHAnsi" w:eastAsiaTheme="minorHAnsi" w:hAnsiTheme="minorHAnsi" w:cs="TimesNewRomanPSMT"/>
        </w:rPr>
        <w:t xml:space="preserve">3). Total bilirubin levels </w:t>
      </w:r>
      <w:r w:rsidR="00DE644C">
        <w:rPr>
          <w:rFonts w:asciiTheme="minorHAnsi" w:eastAsiaTheme="minorHAnsi" w:hAnsiTheme="minorHAnsi" w:cs="TimesNewRomanPSMT"/>
        </w:rPr>
        <w:t>at Baseline</w:t>
      </w:r>
      <w:r w:rsidRPr="00A078FD">
        <w:rPr>
          <w:rFonts w:asciiTheme="minorHAnsi" w:eastAsiaTheme="minorHAnsi" w:hAnsiTheme="minorHAnsi" w:cs="TimesNewRomanPSMT"/>
        </w:rPr>
        <w:t xml:space="preserve"> ranged from 3.0 to 464.0 </w:t>
      </w:r>
      <w:r w:rsidR="00DE644C">
        <w:rPr>
          <w:rFonts w:asciiTheme="minorHAnsi" w:eastAsiaTheme="minorHAnsi" w:hAnsiTheme="minorHAnsi" w:cs="TimesNewRomanPSMT"/>
        </w:rPr>
        <w:t>µ</w:t>
      </w:r>
      <w:proofErr w:type="spellStart"/>
      <w:r w:rsidRPr="00A078FD">
        <w:rPr>
          <w:rFonts w:asciiTheme="minorHAnsi" w:eastAsiaTheme="minorHAnsi" w:hAnsiTheme="minorHAnsi" w:cs="TimesNewRomanPSMT"/>
        </w:rPr>
        <w:t>mol</w:t>
      </w:r>
      <w:proofErr w:type="spellEnd"/>
      <w:r w:rsidRPr="00A078FD">
        <w:rPr>
          <w:rFonts w:asciiTheme="minorHAnsi" w:eastAsiaTheme="minorHAnsi" w:hAnsiTheme="minorHAnsi" w:cs="TimesNewRomanPSMT"/>
        </w:rPr>
        <w:t>/L</w:t>
      </w:r>
      <w:r>
        <w:rPr>
          <w:rFonts w:asciiTheme="minorHAnsi" w:eastAsiaTheme="minorHAnsi" w:hAnsiTheme="minorHAnsi" w:cs="TimesNewRomanPSMT"/>
        </w:rPr>
        <w:t xml:space="preserve"> </w:t>
      </w:r>
      <w:r w:rsidRPr="00A078FD">
        <w:rPr>
          <w:rFonts w:asciiTheme="minorHAnsi" w:eastAsiaTheme="minorHAnsi" w:hAnsiTheme="minorHAnsi" w:cs="TimesNewRomanPSMT"/>
        </w:rPr>
        <w:t>(median</w:t>
      </w:r>
      <w:r w:rsidR="002D28A4">
        <w:rPr>
          <w:rFonts w:asciiTheme="minorHAnsi" w:eastAsiaTheme="minorHAnsi" w:hAnsiTheme="minorHAnsi" w:cs="TimesNewRomanPSMT"/>
        </w:rPr>
        <w:t xml:space="preserve"> = </w:t>
      </w:r>
      <w:r w:rsidRPr="00A078FD">
        <w:rPr>
          <w:rFonts w:asciiTheme="minorHAnsi" w:eastAsiaTheme="minorHAnsi" w:hAnsiTheme="minorHAnsi" w:cs="TimesNewRomanPSMT"/>
        </w:rPr>
        <w:t xml:space="preserve">29.0 </w:t>
      </w:r>
      <w:r w:rsidR="00DE644C">
        <w:rPr>
          <w:rFonts w:asciiTheme="minorHAnsi" w:eastAsiaTheme="minorHAnsi" w:hAnsiTheme="minorHAnsi" w:cs="TimesNewRomanPSMT"/>
        </w:rPr>
        <w:t>µ</w:t>
      </w:r>
      <w:proofErr w:type="spellStart"/>
      <w:r w:rsidRPr="00A078FD">
        <w:rPr>
          <w:rFonts w:asciiTheme="minorHAnsi" w:eastAsiaTheme="minorHAnsi" w:hAnsiTheme="minorHAnsi" w:cs="TimesNewRomanPSMT"/>
        </w:rPr>
        <w:t>mol</w:t>
      </w:r>
      <w:proofErr w:type="spellEnd"/>
      <w:r w:rsidRPr="00A078FD">
        <w:rPr>
          <w:rFonts w:asciiTheme="minorHAnsi" w:eastAsiaTheme="minorHAnsi" w:hAnsiTheme="minorHAnsi" w:cs="TimesNewRomanPSMT"/>
        </w:rPr>
        <w:t>/L) in the 8 subjects with available data, and were above the ULN in</w:t>
      </w:r>
      <w:r>
        <w:rPr>
          <w:rFonts w:asciiTheme="minorHAnsi" w:eastAsiaTheme="minorHAnsi" w:hAnsiTheme="minorHAnsi" w:cs="TimesNewRomanPSMT"/>
        </w:rPr>
        <w:t xml:space="preserve"> </w:t>
      </w:r>
      <w:r w:rsidRPr="00A078FD">
        <w:rPr>
          <w:rFonts w:asciiTheme="minorHAnsi" w:eastAsiaTheme="minorHAnsi" w:hAnsiTheme="minorHAnsi" w:cs="TimesNewRomanPSMT"/>
        </w:rPr>
        <w:t>3 (37.5%) of these subjects</w:t>
      </w:r>
      <w:r>
        <w:rPr>
          <w:rFonts w:asciiTheme="minorHAnsi" w:eastAsiaTheme="minorHAnsi" w:hAnsiTheme="minorHAnsi" w:cs="TimesNewRomanPSMT"/>
        </w:rPr>
        <w:t>.</w:t>
      </w:r>
      <w:r w:rsidRPr="00A078FD">
        <w:rPr>
          <w:rFonts w:asciiTheme="minorHAnsi" w:eastAsiaTheme="minorHAnsi" w:hAnsiTheme="minorHAnsi" w:cs="TimesNewRomanPSMT"/>
        </w:rPr>
        <w:t xml:space="preserve"> Total bilirubin levels decreased following initiation of treatment with </w:t>
      </w:r>
      <w:proofErr w:type="spellStart"/>
      <w:r w:rsidRPr="00A078FD">
        <w:rPr>
          <w:rFonts w:asciiTheme="minorHAnsi" w:eastAsiaTheme="minorHAnsi" w:hAnsiTheme="minorHAnsi" w:cs="TimesNewRomanPSMT"/>
        </w:rPr>
        <w:t>sebelipase</w:t>
      </w:r>
      <w:proofErr w:type="spellEnd"/>
      <w:r w:rsidRPr="00A078FD">
        <w:rPr>
          <w:rFonts w:asciiTheme="minorHAnsi" w:eastAsiaTheme="minorHAnsi" w:hAnsiTheme="minorHAnsi" w:cs="TimesNewRomanPSMT"/>
        </w:rPr>
        <w:t xml:space="preserve"> alfa,</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with a median percentage reduction </w:t>
      </w:r>
      <w:r w:rsidR="00DE644C">
        <w:rPr>
          <w:rFonts w:asciiTheme="minorHAnsi" w:eastAsiaTheme="minorHAnsi" w:hAnsiTheme="minorHAnsi" w:cs="TimesNewRomanPSMT"/>
        </w:rPr>
        <w:t>from Baseline</w:t>
      </w:r>
      <w:r w:rsidRPr="00A078FD">
        <w:rPr>
          <w:rFonts w:asciiTheme="minorHAnsi" w:eastAsiaTheme="minorHAnsi" w:hAnsiTheme="minorHAnsi" w:cs="TimesNewRomanPSMT"/>
        </w:rPr>
        <w:t xml:space="preserve"> of </w:t>
      </w:r>
      <w:r w:rsidR="00FD1D3C">
        <w:rPr>
          <w:rFonts w:asciiTheme="minorHAnsi" w:eastAsiaTheme="minorHAnsi" w:hAnsiTheme="minorHAnsi" w:cs="TimesNewRomanPSMT"/>
        </w:rPr>
        <w:noBreakHyphen/>
      </w:r>
      <w:r w:rsidRPr="00A078FD">
        <w:rPr>
          <w:rFonts w:asciiTheme="minorHAnsi" w:eastAsiaTheme="minorHAnsi" w:hAnsiTheme="minorHAnsi" w:cs="TimesNewRomanPSMT"/>
        </w:rPr>
        <w:t xml:space="preserve">1.5 </w:t>
      </w:r>
      <w:r w:rsidR="00DE644C">
        <w:rPr>
          <w:rFonts w:asciiTheme="minorHAnsi" w:eastAsiaTheme="minorHAnsi" w:hAnsiTheme="minorHAnsi" w:cs="TimesNewRomanPSMT"/>
        </w:rPr>
        <w:t>µ</w:t>
      </w:r>
      <w:proofErr w:type="spellStart"/>
      <w:r w:rsidRPr="00A078FD">
        <w:rPr>
          <w:rFonts w:asciiTheme="minorHAnsi" w:eastAsiaTheme="minorHAnsi" w:hAnsiTheme="minorHAnsi" w:cs="TimesNewRomanPSMT"/>
        </w:rPr>
        <w:t>mol</w:t>
      </w:r>
      <w:proofErr w:type="spellEnd"/>
      <w:r w:rsidRPr="00A078FD">
        <w:rPr>
          <w:rFonts w:asciiTheme="minorHAnsi" w:eastAsiaTheme="minorHAnsi" w:hAnsiTheme="minorHAnsi" w:cs="TimesNewRomanPSMT"/>
        </w:rPr>
        <w:t>/L (range</w:t>
      </w:r>
      <w:r w:rsidR="002D28A4">
        <w:rPr>
          <w:rFonts w:asciiTheme="minorHAnsi" w:eastAsiaTheme="minorHAnsi" w:hAnsiTheme="minorHAnsi" w:cs="TimesNewRomanPSMT"/>
        </w:rPr>
        <w:t xml:space="preserve"> = </w:t>
      </w:r>
      <w:r w:rsidRPr="00A078FD">
        <w:rPr>
          <w:rFonts w:asciiTheme="minorHAnsi" w:eastAsiaTheme="minorHAnsi" w:hAnsiTheme="minorHAnsi" w:cs="TimesNewRomanPSMT"/>
        </w:rPr>
        <w:t>-34.2 to</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0 </w:t>
      </w:r>
      <w:r w:rsidR="00DE644C">
        <w:rPr>
          <w:rFonts w:asciiTheme="minorHAnsi" w:eastAsiaTheme="minorHAnsi" w:hAnsiTheme="minorHAnsi" w:cs="TimesNewRomanPSMT"/>
        </w:rPr>
        <w:t>µ</w:t>
      </w:r>
      <w:proofErr w:type="spellStart"/>
      <w:r w:rsidRPr="00A078FD">
        <w:rPr>
          <w:rFonts w:asciiTheme="minorHAnsi" w:eastAsiaTheme="minorHAnsi" w:hAnsiTheme="minorHAnsi" w:cs="TimesNewRomanPSMT"/>
        </w:rPr>
        <w:t>mol</w:t>
      </w:r>
      <w:proofErr w:type="spellEnd"/>
      <w:r w:rsidRPr="00A078FD">
        <w:rPr>
          <w:rFonts w:asciiTheme="minorHAnsi" w:eastAsiaTheme="minorHAnsi" w:hAnsiTheme="minorHAnsi" w:cs="TimesNewRomanPSMT"/>
        </w:rPr>
        <w:t>/L) already apparent by Week 4 (n</w:t>
      </w:r>
      <w:r w:rsidR="002D28A4">
        <w:rPr>
          <w:rFonts w:asciiTheme="minorHAnsi" w:eastAsiaTheme="minorHAnsi" w:hAnsiTheme="minorHAnsi" w:cs="TimesNewRomanPSMT"/>
        </w:rPr>
        <w:t xml:space="preserve"> = </w:t>
      </w:r>
      <w:r w:rsidRPr="00A078FD">
        <w:rPr>
          <w:rFonts w:asciiTheme="minorHAnsi" w:eastAsiaTheme="minorHAnsi" w:hAnsiTheme="minorHAnsi" w:cs="TimesNewRomanPSMT"/>
        </w:rPr>
        <w:t>4). Median total bilirubin levels showed</w:t>
      </w:r>
      <w:r>
        <w:rPr>
          <w:rFonts w:asciiTheme="minorHAnsi" w:eastAsiaTheme="minorHAnsi" w:hAnsiTheme="minorHAnsi" w:cs="TimesNewRomanPSMT"/>
        </w:rPr>
        <w:t xml:space="preserve"> </w:t>
      </w:r>
      <w:r w:rsidRPr="00A078FD">
        <w:rPr>
          <w:rFonts w:asciiTheme="minorHAnsi" w:eastAsiaTheme="minorHAnsi" w:hAnsiTheme="minorHAnsi" w:cs="TimesNewRomanPSMT"/>
        </w:rPr>
        <w:t>further gradual decreases over the next couple months, and were stable thereafter. Direct</w:t>
      </w:r>
      <w:r w:rsidR="00CC672B">
        <w:rPr>
          <w:rFonts w:asciiTheme="minorHAnsi" w:eastAsiaTheme="minorHAnsi" w:hAnsiTheme="minorHAnsi" w:cs="TimesNewRomanPSMT"/>
        </w:rPr>
        <w:t xml:space="preserve"> </w:t>
      </w:r>
      <w:r>
        <w:rPr>
          <w:rFonts w:asciiTheme="minorHAnsi" w:eastAsiaTheme="minorHAnsi" w:hAnsiTheme="minorHAnsi" w:cs="TimesNewRomanPSMT"/>
        </w:rPr>
        <w:t>a</w:t>
      </w:r>
      <w:r w:rsidRPr="00A078FD">
        <w:rPr>
          <w:rFonts w:asciiTheme="minorHAnsi" w:eastAsiaTheme="minorHAnsi" w:hAnsiTheme="minorHAnsi" w:cs="TimesNewRomanPSMT"/>
        </w:rPr>
        <w:t>nd/or indirect bilirubin data were available for a subset of subjects. Direct</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bilirubin was markedly abnormal for the 3 subjects who died One subject surviving beyond Week 4 </w:t>
      </w:r>
      <w:r w:rsidR="00FD1D3C">
        <w:rPr>
          <w:rFonts w:asciiTheme="minorHAnsi" w:eastAsiaTheme="minorHAnsi" w:hAnsiTheme="minorHAnsi" w:cs="TimesNewRomanPSMT"/>
        </w:rPr>
        <w:t>[information redacted]</w:t>
      </w:r>
      <w:r w:rsidRPr="00A078FD">
        <w:rPr>
          <w:rFonts w:asciiTheme="minorHAnsi" w:eastAsiaTheme="minorHAnsi" w:hAnsiTheme="minorHAnsi" w:cs="TimesNewRomanPSMT"/>
        </w:rPr>
        <w:t xml:space="preserve"> also</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had an elevated direct bilirubin level </w:t>
      </w:r>
      <w:r w:rsidR="00DE644C">
        <w:rPr>
          <w:rFonts w:asciiTheme="minorHAnsi" w:eastAsiaTheme="minorHAnsi" w:hAnsiTheme="minorHAnsi" w:cs="TimesNewRomanPSMT"/>
        </w:rPr>
        <w:t>at Baseline</w:t>
      </w:r>
      <w:r w:rsidRPr="00A078FD">
        <w:rPr>
          <w:rFonts w:asciiTheme="minorHAnsi" w:eastAsiaTheme="minorHAnsi" w:hAnsiTheme="minorHAnsi" w:cs="TimesNewRomanPSMT"/>
        </w:rPr>
        <w:t xml:space="preserve"> (32.5 </w:t>
      </w:r>
      <w:r w:rsidR="00DE644C">
        <w:rPr>
          <w:rFonts w:asciiTheme="minorHAnsi" w:eastAsiaTheme="minorHAnsi" w:hAnsiTheme="minorHAnsi" w:cs="TimesNewRomanPSMT"/>
        </w:rPr>
        <w:t>µ</w:t>
      </w:r>
      <w:proofErr w:type="spellStart"/>
      <w:r w:rsidRPr="00A078FD">
        <w:rPr>
          <w:rFonts w:asciiTheme="minorHAnsi" w:eastAsiaTheme="minorHAnsi" w:hAnsiTheme="minorHAnsi" w:cs="TimesNewRomanPSMT"/>
        </w:rPr>
        <w:t>mol</w:t>
      </w:r>
      <w:proofErr w:type="spellEnd"/>
      <w:r w:rsidRPr="00A078FD">
        <w:rPr>
          <w:rFonts w:asciiTheme="minorHAnsi" w:eastAsiaTheme="minorHAnsi" w:hAnsiTheme="minorHAnsi" w:cs="TimesNewRomanPSMT"/>
        </w:rPr>
        <w:t>/L), which normalised by</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Week 6 of treatment (3.42 </w:t>
      </w:r>
      <w:r w:rsidR="00DE644C">
        <w:rPr>
          <w:rFonts w:asciiTheme="minorHAnsi" w:eastAsiaTheme="minorHAnsi" w:hAnsiTheme="minorHAnsi" w:cs="TimesNewRomanPSMT"/>
        </w:rPr>
        <w:t>µ</w:t>
      </w:r>
      <w:proofErr w:type="spellStart"/>
      <w:r w:rsidRPr="00A078FD">
        <w:rPr>
          <w:rFonts w:asciiTheme="minorHAnsi" w:eastAsiaTheme="minorHAnsi" w:hAnsiTheme="minorHAnsi" w:cs="TimesNewRomanPSMT"/>
        </w:rPr>
        <w:t>mol</w:t>
      </w:r>
      <w:proofErr w:type="spellEnd"/>
      <w:r w:rsidRPr="00A078FD">
        <w:rPr>
          <w:rFonts w:asciiTheme="minorHAnsi" w:eastAsiaTheme="minorHAnsi" w:hAnsiTheme="minorHAnsi" w:cs="TimesNewRomanPSMT"/>
        </w:rPr>
        <w:t>/L) and remained normal through the last available</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assessment (1.71 </w:t>
      </w:r>
      <w:r w:rsidR="00DE644C">
        <w:rPr>
          <w:rFonts w:asciiTheme="minorHAnsi" w:eastAsiaTheme="minorHAnsi" w:hAnsiTheme="minorHAnsi" w:cs="TimesNewRomanPSMT"/>
        </w:rPr>
        <w:t>µ</w:t>
      </w:r>
      <w:proofErr w:type="spellStart"/>
      <w:r w:rsidRPr="00A078FD">
        <w:rPr>
          <w:rFonts w:asciiTheme="minorHAnsi" w:eastAsiaTheme="minorHAnsi" w:hAnsiTheme="minorHAnsi" w:cs="TimesNewRomanPSMT"/>
        </w:rPr>
        <w:t>mol</w:t>
      </w:r>
      <w:proofErr w:type="spellEnd"/>
      <w:r w:rsidRPr="00A078FD">
        <w:rPr>
          <w:rFonts w:asciiTheme="minorHAnsi" w:eastAsiaTheme="minorHAnsi" w:hAnsiTheme="minorHAnsi" w:cs="TimesNewRomanPSMT"/>
        </w:rPr>
        <w:t>/L); a similar reduction in indirect bilirubin was observed for this</w:t>
      </w:r>
      <w:r>
        <w:rPr>
          <w:rFonts w:asciiTheme="minorHAnsi" w:eastAsiaTheme="minorHAnsi" w:hAnsiTheme="minorHAnsi" w:cs="TimesNewRomanPSMT"/>
        </w:rPr>
        <w:t xml:space="preserve"> </w:t>
      </w:r>
      <w:r w:rsidRPr="00A078FD">
        <w:rPr>
          <w:rFonts w:asciiTheme="minorHAnsi" w:eastAsiaTheme="minorHAnsi" w:hAnsiTheme="minorHAnsi" w:cs="TimesNewRomanPSMT"/>
        </w:rPr>
        <w:t xml:space="preserve">subject. No other relevant trends were observed in </w:t>
      </w:r>
      <w:r w:rsidRPr="00532644">
        <w:rPr>
          <w:rFonts w:asciiTheme="minorHAnsi" w:eastAsiaTheme="minorHAnsi" w:hAnsiTheme="minorHAnsi" w:cs="TimesNewRomanPSMT"/>
        </w:rPr>
        <w:t xml:space="preserve">direct or indirect bilirubin. Alkaline phosphatase levels </w:t>
      </w:r>
      <w:r w:rsidR="00DE644C">
        <w:rPr>
          <w:rFonts w:asciiTheme="minorHAnsi" w:eastAsiaTheme="minorHAnsi" w:hAnsiTheme="minorHAnsi" w:cs="TimesNewRomanPSMT"/>
        </w:rPr>
        <w:t>at Baseline</w:t>
      </w:r>
      <w:r w:rsidRPr="00532644">
        <w:rPr>
          <w:rFonts w:asciiTheme="minorHAnsi" w:eastAsiaTheme="minorHAnsi" w:hAnsiTheme="minorHAnsi" w:cs="TimesNewRomanPSMT"/>
        </w:rPr>
        <w:t xml:space="preserve"> ranged from 94.0 to 977.0 U/L</w:t>
      </w:r>
      <w:r>
        <w:rPr>
          <w:rFonts w:asciiTheme="minorHAnsi" w:eastAsiaTheme="minorHAnsi" w:hAnsiTheme="minorHAnsi" w:cs="TimesNewRomanPSMT"/>
        </w:rPr>
        <w:t xml:space="preserve"> </w:t>
      </w:r>
      <w:r w:rsidRPr="00532644">
        <w:rPr>
          <w:rFonts w:asciiTheme="minorHAnsi" w:eastAsiaTheme="minorHAnsi" w:hAnsiTheme="minorHAnsi" w:cs="TimesNewRomanPSMT"/>
        </w:rPr>
        <w:t>(median</w:t>
      </w:r>
      <w:r w:rsidR="00FD1D3C">
        <w:rPr>
          <w:rFonts w:asciiTheme="minorHAnsi" w:eastAsiaTheme="minorHAnsi" w:hAnsiTheme="minorHAnsi" w:cs="TimesNewRomanPSMT"/>
        </w:rPr>
        <w:t> = </w:t>
      </w:r>
      <w:r w:rsidRPr="00532644">
        <w:rPr>
          <w:rFonts w:asciiTheme="minorHAnsi" w:eastAsiaTheme="minorHAnsi" w:hAnsiTheme="minorHAnsi" w:cs="TimesNewRomanPSMT"/>
        </w:rPr>
        <w:t>186.0 U/L, n</w:t>
      </w:r>
      <w:r w:rsidR="002D28A4">
        <w:rPr>
          <w:rFonts w:asciiTheme="minorHAnsi" w:eastAsiaTheme="minorHAnsi" w:hAnsiTheme="minorHAnsi" w:cs="TimesNewRomanPSMT"/>
        </w:rPr>
        <w:t xml:space="preserve"> = </w:t>
      </w:r>
      <w:r w:rsidRPr="00532644">
        <w:rPr>
          <w:rFonts w:asciiTheme="minorHAnsi" w:eastAsiaTheme="minorHAnsi" w:hAnsiTheme="minorHAnsi" w:cs="TimesNewRomanPSMT"/>
        </w:rPr>
        <w:t>9), and were above the ULN in 2 (22%) of the 9 subjects.</w:t>
      </w:r>
      <w:r>
        <w:rPr>
          <w:rFonts w:asciiTheme="minorHAnsi" w:eastAsiaTheme="minorHAnsi" w:hAnsiTheme="minorHAnsi" w:cs="TimesNewRomanPSMT"/>
        </w:rPr>
        <w:t xml:space="preserve"> </w:t>
      </w:r>
      <w:r w:rsidRPr="00532644">
        <w:rPr>
          <w:rFonts w:asciiTheme="minorHAnsi" w:eastAsiaTheme="minorHAnsi" w:hAnsiTheme="minorHAnsi" w:cs="TimesNewRomanPSMT"/>
        </w:rPr>
        <w:t>Baseline levels of alkaline phosphatase were normal for the 2 subjects who died</w:t>
      </w:r>
      <w:r>
        <w:rPr>
          <w:rFonts w:asciiTheme="minorHAnsi" w:eastAsiaTheme="minorHAnsi" w:hAnsiTheme="minorHAnsi" w:cs="TimesNewRomanPSMT"/>
        </w:rPr>
        <w:t>.</w:t>
      </w:r>
      <w:r w:rsidRPr="00532644">
        <w:rPr>
          <w:rFonts w:asciiTheme="minorHAnsi" w:eastAsiaTheme="minorHAnsi" w:hAnsiTheme="minorHAnsi" w:cs="TimesNewRomanPSMT"/>
        </w:rPr>
        <w:t xml:space="preserve"> No consistent tre</w:t>
      </w:r>
      <w:r>
        <w:rPr>
          <w:rFonts w:asciiTheme="minorHAnsi" w:eastAsiaTheme="minorHAnsi" w:hAnsiTheme="minorHAnsi" w:cs="TimesNewRomanPSMT"/>
        </w:rPr>
        <w:t>n</w:t>
      </w:r>
      <w:r w:rsidRPr="00532644">
        <w:rPr>
          <w:rFonts w:asciiTheme="minorHAnsi" w:eastAsiaTheme="minorHAnsi" w:hAnsiTheme="minorHAnsi" w:cs="TimesNewRomanPSMT"/>
        </w:rPr>
        <w:t>ds in median or mean alkaline phosphatase levels were observed during</w:t>
      </w:r>
      <w:r>
        <w:rPr>
          <w:rFonts w:asciiTheme="minorHAnsi" w:eastAsiaTheme="minorHAnsi" w:hAnsiTheme="minorHAnsi" w:cs="TimesNewRomanPSMT"/>
        </w:rPr>
        <w:t xml:space="preserve"> </w:t>
      </w:r>
      <w:r w:rsidRPr="00532644">
        <w:rPr>
          <w:rFonts w:asciiTheme="minorHAnsi" w:eastAsiaTheme="minorHAnsi" w:hAnsiTheme="minorHAnsi" w:cs="TimesNewRomanPSMT"/>
        </w:rPr>
        <w:t xml:space="preserve">treatment with </w:t>
      </w:r>
      <w:proofErr w:type="spellStart"/>
      <w:r w:rsidRPr="00532644">
        <w:rPr>
          <w:rFonts w:asciiTheme="minorHAnsi" w:eastAsiaTheme="minorHAnsi" w:hAnsiTheme="minorHAnsi" w:cs="TimesNewRomanPSMT"/>
        </w:rPr>
        <w:t>sebelipase</w:t>
      </w:r>
      <w:proofErr w:type="spellEnd"/>
      <w:r w:rsidRPr="00532644">
        <w:rPr>
          <w:rFonts w:asciiTheme="minorHAnsi" w:eastAsiaTheme="minorHAnsi" w:hAnsiTheme="minorHAnsi" w:cs="TimesNewRomanPSMT"/>
        </w:rPr>
        <w:t xml:space="preserve"> alfa. </w:t>
      </w:r>
      <w:r w:rsidRPr="00532644">
        <w:rPr>
          <w:rFonts w:asciiTheme="minorHAnsi" w:eastAsiaTheme="minorHAnsi" w:hAnsiTheme="minorHAnsi" w:cs="TimesNewRomanPSMT"/>
          <w:color w:val="000000"/>
        </w:rPr>
        <w:t>Baseline albumin levels ranged from 12.8 to 40.0 g/L (median</w:t>
      </w:r>
      <w:r w:rsidR="002D28A4">
        <w:rPr>
          <w:rFonts w:asciiTheme="minorHAnsi" w:eastAsiaTheme="minorHAnsi" w:hAnsiTheme="minorHAnsi" w:cs="TimesNewRomanPSMT"/>
          <w:color w:val="000000"/>
        </w:rPr>
        <w:t xml:space="preserve"> = </w:t>
      </w:r>
      <w:r w:rsidRPr="00532644">
        <w:rPr>
          <w:rFonts w:asciiTheme="minorHAnsi" w:eastAsiaTheme="minorHAnsi" w:hAnsiTheme="minorHAnsi" w:cs="TimesNewRomanPSMT"/>
          <w:color w:val="000000"/>
        </w:rPr>
        <w:t>29.0 g/L, n</w:t>
      </w:r>
      <w:r w:rsidR="002D28A4">
        <w:rPr>
          <w:rFonts w:asciiTheme="minorHAnsi" w:eastAsiaTheme="minorHAnsi" w:hAnsiTheme="minorHAnsi" w:cs="TimesNewRomanPSMT"/>
          <w:color w:val="000000"/>
        </w:rPr>
        <w:t xml:space="preserve"> = </w:t>
      </w:r>
      <w:r w:rsidRPr="00532644">
        <w:rPr>
          <w:rFonts w:asciiTheme="minorHAnsi" w:eastAsiaTheme="minorHAnsi" w:hAnsiTheme="minorHAnsi" w:cs="TimesNewRomanPSMT"/>
          <w:color w:val="000000"/>
        </w:rPr>
        <w:t>9), and</w:t>
      </w:r>
      <w:r>
        <w:rPr>
          <w:rFonts w:asciiTheme="minorHAnsi" w:eastAsiaTheme="minorHAnsi" w:hAnsiTheme="minorHAnsi" w:cs="TimesNewRomanPSMT"/>
          <w:color w:val="000000"/>
        </w:rPr>
        <w:t xml:space="preserve"> </w:t>
      </w:r>
      <w:r w:rsidRPr="00532644">
        <w:rPr>
          <w:rFonts w:asciiTheme="minorHAnsi" w:eastAsiaTheme="minorHAnsi" w:hAnsiTheme="minorHAnsi" w:cs="TimesNewRomanPSMT"/>
          <w:color w:val="000000"/>
        </w:rPr>
        <w:t xml:space="preserve">were below the LLN in 4 (44%) of the 9 subjects. Three surviving subjects had low albumin </w:t>
      </w:r>
      <w:r w:rsidR="00DE644C">
        <w:rPr>
          <w:rFonts w:asciiTheme="minorHAnsi" w:eastAsiaTheme="minorHAnsi" w:hAnsiTheme="minorHAnsi" w:cs="TimesNewRomanPSMT"/>
          <w:color w:val="000000"/>
        </w:rPr>
        <w:t>at Baseline</w:t>
      </w:r>
      <w:r w:rsidRPr="00532644">
        <w:rPr>
          <w:rFonts w:asciiTheme="minorHAnsi" w:eastAsiaTheme="minorHAnsi" w:hAnsiTheme="minorHAnsi" w:cs="TimesNewRomanPSMT"/>
          <w:color w:val="000000"/>
        </w:rPr>
        <w:t>, and each of these subjects had an</w:t>
      </w:r>
      <w:r>
        <w:rPr>
          <w:rFonts w:asciiTheme="minorHAnsi" w:eastAsiaTheme="minorHAnsi" w:hAnsiTheme="minorHAnsi" w:cs="TimesNewRomanPSMT"/>
          <w:color w:val="000000"/>
        </w:rPr>
        <w:t xml:space="preserve"> </w:t>
      </w:r>
      <w:r w:rsidRPr="00532644">
        <w:rPr>
          <w:rFonts w:asciiTheme="minorHAnsi" w:eastAsiaTheme="minorHAnsi" w:hAnsiTheme="minorHAnsi" w:cs="TimesNewRomanPSMT"/>
          <w:color w:val="000000"/>
        </w:rPr>
        <w:t xml:space="preserve">increase in serum albumin during treatment with </w:t>
      </w:r>
      <w:proofErr w:type="spellStart"/>
      <w:r w:rsidRPr="00532644">
        <w:rPr>
          <w:rFonts w:asciiTheme="minorHAnsi" w:eastAsiaTheme="minorHAnsi" w:hAnsiTheme="minorHAnsi" w:cs="TimesNewRomanPSMT"/>
          <w:color w:val="000000"/>
        </w:rPr>
        <w:t>sebelipase</w:t>
      </w:r>
      <w:proofErr w:type="spellEnd"/>
      <w:r w:rsidRPr="00532644">
        <w:rPr>
          <w:rFonts w:asciiTheme="minorHAnsi" w:eastAsiaTheme="minorHAnsi" w:hAnsiTheme="minorHAnsi" w:cs="TimesNewRomanPSMT"/>
          <w:color w:val="000000"/>
        </w:rPr>
        <w:t xml:space="preserve"> alfa and achieved normal</w:t>
      </w:r>
      <w:r>
        <w:rPr>
          <w:rFonts w:asciiTheme="minorHAnsi" w:eastAsiaTheme="minorHAnsi" w:hAnsiTheme="minorHAnsi" w:cs="TimesNewRomanPSMT"/>
          <w:color w:val="000000"/>
        </w:rPr>
        <w:t xml:space="preserve"> </w:t>
      </w:r>
      <w:r w:rsidRPr="00532644">
        <w:rPr>
          <w:rFonts w:asciiTheme="minorHAnsi" w:eastAsiaTheme="minorHAnsi" w:hAnsiTheme="minorHAnsi" w:cs="TimesNewRomanPSMT"/>
          <w:color w:val="000000"/>
        </w:rPr>
        <w:t>serum albumin by Week 1, Week 4 and Week 16,</w:t>
      </w:r>
      <w:r w:rsidR="00FD1D3C">
        <w:rPr>
          <w:rFonts w:asciiTheme="minorHAnsi" w:eastAsiaTheme="minorHAnsi" w:hAnsiTheme="minorHAnsi" w:cs="TimesNewRomanPSMT"/>
          <w:color w:val="000000"/>
        </w:rPr>
        <w:t xml:space="preserve"> r</w:t>
      </w:r>
      <w:r w:rsidRPr="00532644">
        <w:rPr>
          <w:rFonts w:asciiTheme="minorHAnsi" w:eastAsiaTheme="minorHAnsi" w:hAnsiTheme="minorHAnsi" w:cs="TimesNewRomanPSMT"/>
          <w:color w:val="000000"/>
        </w:rPr>
        <w:t>espectively.</w:t>
      </w:r>
    </w:p>
    <w:p w14:paraId="606C53DB" w14:textId="77777777" w:rsidR="00934213" w:rsidRDefault="00FD1D3C" w:rsidP="00934213">
      <w:pPr>
        <w:pStyle w:val="Heading6"/>
        <w:rPr>
          <w:rFonts w:eastAsiaTheme="minorHAnsi"/>
        </w:rPr>
      </w:pPr>
      <w:r>
        <w:rPr>
          <w:rFonts w:eastAsiaTheme="minorHAnsi"/>
        </w:rPr>
        <w:t>Hepatosplenomegaly</w:t>
      </w:r>
    </w:p>
    <w:p w14:paraId="36D9EAE6" w14:textId="3F5401CA" w:rsidR="00934213" w:rsidRPr="00EA5903" w:rsidRDefault="00934213" w:rsidP="00934213">
      <w:pPr>
        <w:autoSpaceDE w:val="0"/>
        <w:autoSpaceDN w:val="0"/>
        <w:adjustRightInd w:val="0"/>
        <w:spacing w:before="0" w:line="240" w:lineRule="auto"/>
        <w:rPr>
          <w:rFonts w:asciiTheme="minorHAnsi" w:eastAsiaTheme="minorHAnsi" w:hAnsiTheme="minorHAnsi" w:cs="TimesNewRomanPSMT"/>
          <w:u w:val="single"/>
        </w:rPr>
      </w:pPr>
      <w:r w:rsidRPr="00EA5903">
        <w:rPr>
          <w:rFonts w:asciiTheme="minorHAnsi" w:eastAsiaTheme="minorHAnsi" w:hAnsiTheme="minorHAnsi" w:cs="TimesNewRomanPSMT"/>
        </w:rPr>
        <w:t xml:space="preserve">Improvement in hepatosplenomegaly was observed with </w:t>
      </w:r>
      <w:proofErr w:type="spellStart"/>
      <w:r w:rsidRPr="00EA5903">
        <w:rPr>
          <w:rFonts w:asciiTheme="minorHAnsi" w:eastAsiaTheme="minorHAnsi" w:hAnsiTheme="minorHAnsi" w:cs="TimesNewRomanPSMT"/>
        </w:rPr>
        <w:t>sebelipase</w:t>
      </w:r>
      <w:proofErr w:type="spellEnd"/>
      <w:r w:rsidRPr="00EA5903">
        <w:rPr>
          <w:rFonts w:asciiTheme="minorHAnsi" w:eastAsiaTheme="minorHAnsi" w:hAnsiTheme="minorHAnsi" w:cs="TimesNewRomanPSMT"/>
        </w:rPr>
        <w:t xml:space="preserve"> alfa treatment. On physical examination, improvement in liver and spleen size (</w:t>
      </w:r>
      <w:r w:rsidR="003F3AB4">
        <w:rPr>
          <w:rFonts w:asciiTheme="minorHAnsi" w:eastAsiaTheme="minorHAnsi" w:hAnsiTheme="minorHAnsi" w:cs="TimesNewRomanPSMT"/>
        </w:rPr>
        <w:t>that is</w:t>
      </w:r>
      <w:r w:rsidRPr="00EA5903">
        <w:rPr>
          <w:rFonts w:asciiTheme="minorHAnsi" w:eastAsiaTheme="minorHAnsi" w:hAnsiTheme="minorHAnsi" w:cs="TimesNewRomanPSMT"/>
        </w:rPr>
        <w:t>, distance below the</w:t>
      </w:r>
      <w:r>
        <w:rPr>
          <w:rFonts w:asciiTheme="minorHAnsi" w:eastAsiaTheme="minorHAnsi" w:hAnsiTheme="minorHAnsi" w:cs="TimesNewRomanPSMT"/>
        </w:rPr>
        <w:t xml:space="preserve"> </w:t>
      </w:r>
      <w:r w:rsidRPr="00EA5903">
        <w:rPr>
          <w:rFonts w:asciiTheme="minorHAnsi" w:eastAsiaTheme="minorHAnsi" w:hAnsiTheme="minorHAnsi" w:cs="TimesNewRomanPSMT"/>
        </w:rPr>
        <w:t xml:space="preserve">costal margin) was observed for all 6 subjects with a palpable liver </w:t>
      </w:r>
      <w:r w:rsidR="00DE644C">
        <w:rPr>
          <w:rFonts w:asciiTheme="minorHAnsi" w:eastAsiaTheme="minorHAnsi" w:hAnsiTheme="minorHAnsi" w:cs="TimesNewRomanPSMT"/>
        </w:rPr>
        <w:t>at Baseline</w:t>
      </w:r>
      <w:r w:rsidRPr="00EA5903">
        <w:rPr>
          <w:rFonts w:asciiTheme="minorHAnsi" w:eastAsiaTheme="minorHAnsi" w:hAnsiTheme="minorHAnsi" w:cs="TimesNewRomanPSMT"/>
        </w:rPr>
        <w:t xml:space="preserve"> (decreases</w:t>
      </w:r>
      <w:r>
        <w:rPr>
          <w:rFonts w:asciiTheme="minorHAnsi" w:eastAsiaTheme="minorHAnsi" w:hAnsiTheme="minorHAnsi" w:cs="TimesNewRomanPSMT"/>
        </w:rPr>
        <w:t xml:space="preserve"> </w:t>
      </w:r>
      <w:r w:rsidR="00DE644C">
        <w:rPr>
          <w:rFonts w:asciiTheme="minorHAnsi" w:eastAsiaTheme="minorHAnsi" w:hAnsiTheme="minorHAnsi" w:cs="TimesNewRomanPSMT"/>
        </w:rPr>
        <w:t>from Baseline</w:t>
      </w:r>
      <w:r w:rsidRPr="00EA5903">
        <w:rPr>
          <w:rFonts w:asciiTheme="minorHAnsi" w:eastAsiaTheme="minorHAnsi" w:hAnsiTheme="minorHAnsi" w:cs="TimesNewRomanPSMT"/>
        </w:rPr>
        <w:t xml:space="preserve"> ranging from 1.5 to 10 cm at the last assessment) and all 5 subjects who</w:t>
      </w:r>
      <w:r>
        <w:rPr>
          <w:rFonts w:asciiTheme="minorHAnsi" w:eastAsiaTheme="minorHAnsi" w:hAnsiTheme="minorHAnsi" w:cs="TimesNewRomanPSMT"/>
        </w:rPr>
        <w:t xml:space="preserve"> </w:t>
      </w:r>
      <w:r w:rsidRPr="00EA5903">
        <w:rPr>
          <w:rFonts w:asciiTheme="minorHAnsi" w:eastAsiaTheme="minorHAnsi" w:hAnsiTheme="minorHAnsi" w:cs="TimesNewRomanPSMT"/>
        </w:rPr>
        <w:t xml:space="preserve">had a palpable spleen </w:t>
      </w:r>
      <w:r w:rsidR="00DE644C">
        <w:rPr>
          <w:rFonts w:asciiTheme="minorHAnsi" w:eastAsiaTheme="minorHAnsi" w:hAnsiTheme="minorHAnsi" w:cs="TimesNewRomanPSMT"/>
        </w:rPr>
        <w:t>at Baseline</w:t>
      </w:r>
      <w:r w:rsidRPr="00EA5903">
        <w:rPr>
          <w:rFonts w:asciiTheme="minorHAnsi" w:eastAsiaTheme="minorHAnsi" w:hAnsiTheme="minorHAnsi" w:cs="TimesNewRomanPSMT"/>
        </w:rPr>
        <w:t xml:space="preserve"> (decreases </w:t>
      </w:r>
      <w:r w:rsidR="00DE644C">
        <w:rPr>
          <w:rFonts w:asciiTheme="minorHAnsi" w:eastAsiaTheme="minorHAnsi" w:hAnsiTheme="minorHAnsi" w:cs="TimesNewRomanPSMT"/>
        </w:rPr>
        <w:t>from Baseline</w:t>
      </w:r>
      <w:r w:rsidRPr="00EA5903">
        <w:rPr>
          <w:rFonts w:asciiTheme="minorHAnsi" w:eastAsiaTheme="minorHAnsi" w:hAnsiTheme="minorHAnsi" w:cs="TimesNewRomanPSMT"/>
        </w:rPr>
        <w:t xml:space="preserve"> ranging from 2.5 to 8 cm).</w:t>
      </w:r>
      <w:r>
        <w:rPr>
          <w:rFonts w:asciiTheme="minorHAnsi" w:eastAsiaTheme="minorHAnsi" w:hAnsiTheme="minorHAnsi" w:cs="TimesNewRomanPSMT"/>
        </w:rPr>
        <w:t xml:space="preserve"> </w:t>
      </w:r>
      <w:r w:rsidRPr="00EA5903">
        <w:rPr>
          <w:rFonts w:asciiTheme="minorHAnsi" w:eastAsiaTheme="minorHAnsi" w:hAnsiTheme="minorHAnsi" w:cs="TimesNewRomanPSMT"/>
        </w:rPr>
        <w:t>A non-palpable liver and spleen were reported for 2 subjects and 5 subjects, respectively,</w:t>
      </w:r>
      <w:r>
        <w:rPr>
          <w:rFonts w:asciiTheme="minorHAnsi" w:eastAsiaTheme="minorHAnsi" w:hAnsiTheme="minorHAnsi" w:cs="TimesNewRomanPSMT"/>
        </w:rPr>
        <w:t xml:space="preserve"> </w:t>
      </w:r>
      <w:r w:rsidRPr="00EA5903">
        <w:rPr>
          <w:rFonts w:asciiTheme="minorHAnsi" w:eastAsiaTheme="minorHAnsi" w:hAnsiTheme="minorHAnsi" w:cs="TimesNewRomanPSMT"/>
        </w:rPr>
        <w:t>by the last assessment. On abdominal imaging (ultrasound and MRI), improvement in</w:t>
      </w:r>
      <w:r>
        <w:rPr>
          <w:rFonts w:asciiTheme="minorHAnsi" w:eastAsiaTheme="minorHAnsi" w:hAnsiTheme="minorHAnsi" w:cs="TimesNewRomanPSMT"/>
        </w:rPr>
        <w:t xml:space="preserve"> </w:t>
      </w:r>
      <w:r w:rsidRPr="00EA5903">
        <w:rPr>
          <w:rFonts w:asciiTheme="minorHAnsi" w:eastAsiaTheme="minorHAnsi" w:hAnsiTheme="minorHAnsi" w:cs="TimesNewRomanPSMT"/>
        </w:rPr>
        <w:t xml:space="preserve">spleen size was observed for all 5 subjects with baseline and </w:t>
      </w:r>
      <w:r w:rsidR="00545648">
        <w:rPr>
          <w:rFonts w:asciiTheme="minorHAnsi" w:eastAsiaTheme="minorHAnsi" w:hAnsiTheme="minorHAnsi" w:cs="TimesNewRomanPSMT"/>
        </w:rPr>
        <w:t>post baseline</w:t>
      </w:r>
      <w:r w:rsidRPr="00EA5903">
        <w:rPr>
          <w:rFonts w:asciiTheme="minorHAnsi" w:eastAsiaTheme="minorHAnsi" w:hAnsiTheme="minorHAnsi" w:cs="TimesNewRomanPSMT"/>
        </w:rPr>
        <w:t xml:space="preserve"> data, and 4 of</w:t>
      </w:r>
      <w:r>
        <w:rPr>
          <w:rFonts w:asciiTheme="minorHAnsi" w:eastAsiaTheme="minorHAnsi" w:hAnsiTheme="minorHAnsi" w:cs="TimesNewRomanPSMT"/>
        </w:rPr>
        <w:t xml:space="preserve"> </w:t>
      </w:r>
      <w:r w:rsidRPr="00EA5903">
        <w:rPr>
          <w:rFonts w:asciiTheme="minorHAnsi" w:eastAsiaTheme="minorHAnsi" w:hAnsiTheme="minorHAnsi" w:cs="TimesNewRomanPSMT"/>
        </w:rPr>
        <w:t>these subjects also had an improvement in liver size. After the initial improvement, liver</w:t>
      </w:r>
      <w:r>
        <w:rPr>
          <w:rFonts w:asciiTheme="minorHAnsi" w:eastAsiaTheme="minorHAnsi" w:hAnsiTheme="minorHAnsi" w:cs="TimesNewRomanPSMT"/>
        </w:rPr>
        <w:t xml:space="preserve"> </w:t>
      </w:r>
      <w:r w:rsidRPr="00EA5903">
        <w:rPr>
          <w:rFonts w:asciiTheme="minorHAnsi" w:eastAsiaTheme="minorHAnsi" w:hAnsiTheme="minorHAnsi" w:cs="TimesNewRomanPSMT"/>
        </w:rPr>
        <w:t>and spleen sizes were stable or continued to decrease over time, with the exception of</w:t>
      </w:r>
      <w:r>
        <w:rPr>
          <w:rFonts w:asciiTheme="minorHAnsi" w:eastAsiaTheme="minorHAnsi" w:hAnsiTheme="minorHAnsi" w:cs="TimesNewRomanPSMT"/>
        </w:rPr>
        <w:t xml:space="preserve"> </w:t>
      </w:r>
      <w:r w:rsidRPr="00EA5903">
        <w:rPr>
          <w:rFonts w:asciiTheme="minorHAnsi" w:eastAsiaTheme="minorHAnsi" w:hAnsiTheme="minorHAnsi" w:cs="TimesNewRomanPSMT"/>
        </w:rPr>
        <w:t>1 subject who had a worsening splenomegaly that was temporally associated</w:t>
      </w:r>
      <w:r>
        <w:rPr>
          <w:rFonts w:asciiTheme="minorHAnsi" w:eastAsiaTheme="minorHAnsi" w:hAnsiTheme="minorHAnsi" w:cs="TimesNewRomanPSMT"/>
        </w:rPr>
        <w:t xml:space="preserve"> </w:t>
      </w:r>
      <w:r w:rsidRPr="00EA5903">
        <w:rPr>
          <w:rFonts w:asciiTheme="minorHAnsi" w:eastAsiaTheme="minorHAnsi" w:hAnsiTheme="minorHAnsi" w:cs="TimesNewRomanPSMT"/>
        </w:rPr>
        <w:t xml:space="preserve">with a switch to </w:t>
      </w:r>
      <w:proofErr w:type="spellStart"/>
      <w:r w:rsidRPr="00EA5903">
        <w:rPr>
          <w:rFonts w:asciiTheme="minorHAnsi" w:eastAsiaTheme="minorHAnsi" w:hAnsiTheme="minorHAnsi" w:cs="TimesNewRomanPSMT"/>
        </w:rPr>
        <w:t>qow</w:t>
      </w:r>
      <w:proofErr w:type="spellEnd"/>
      <w:r w:rsidRPr="00EA5903">
        <w:rPr>
          <w:rFonts w:asciiTheme="minorHAnsi" w:eastAsiaTheme="minorHAnsi" w:hAnsiTheme="minorHAnsi" w:cs="TimesNewRomanPSMT"/>
        </w:rPr>
        <w:t xml:space="preserve"> dosing</w:t>
      </w:r>
      <w:r>
        <w:rPr>
          <w:rFonts w:asciiTheme="minorHAnsi" w:eastAsiaTheme="minorHAnsi" w:hAnsiTheme="minorHAnsi" w:cs="TimesNewRomanPSMT"/>
        </w:rPr>
        <w:t>.</w:t>
      </w:r>
    </w:p>
    <w:p w14:paraId="61155A6F" w14:textId="77777777" w:rsidR="00CC672B" w:rsidRDefault="00934213" w:rsidP="00934213">
      <w:pPr>
        <w:pStyle w:val="Heading6"/>
        <w:rPr>
          <w:rFonts w:eastAsiaTheme="minorHAnsi"/>
        </w:rPr>
      </w:pPr>
      <w:r w:rsidRPr="00EA5903">
        <w:rPr>
          <w:rFonts w:eastAsiaTheme="minorHAnsi"/>
        </w:rPr>
        <w:t>Haematological effects</w:t>
      </w:r>
    </w:p>
    <w:p w14:paraId="0B3B4F36" w14:textId="5AD75466" w:rsidR="00B73619" w:rsidRPr="00E45A80" w:rsidRDefault="00934213" w:rsidP="00934213">
      <w:pPr>
        <w:autoSpaceDE w:val="0"/>
        <w:autoSpaceDN w:val="0"/>
        <w:adjustRightInd w:val="0"/>
        <w:spacing w:before="0" w:line="240" w:lineRule="auto"/>
        <w:rPr>
          <w:rFonts w:asciiTheme="minorHAnsi" w:eastAsiaTheme="minorHAnsi" w:hAnsiTheme="minorHAnsi" w:cs="TimesNewRomanPSMT"/>
          <w:color w:val="000000"/>
        </w:rPr>
      </w:pPr>
      <w:r w:rsidRPr="00532644">
        <w:rPr>
          <w:rFonts w:asciiTheme="minorHAnsi" w:eastAsiaTheme="minorHAnsi" w:hAnsiTheme="minorHAnsi" w:cs="TimesNewRomanPSMT"/>
        </w:rPr>
        <w:t>Median baseline haemoglobin was 93.0 g/L (n</w:t>
      </w:r>
      <w:r w:rsidR="002D28A4">
        <w:rPr>
          <w:rFonts w:asciiTheme="minorHAnsi" w:eastAsiaTheme="minorHAnsi" w:hAnsiTheme="minorHAnsi" w:cs="TimesNewRomanPSMT"/>
        </w:rPr>
        <w:t xml:space="preserve"> = </w:t>
      </w:r>
      <w:r w:rsidRPr="00532644">
        <w:rPr>
          <w:rFonts w:asciiTheme="minorHAnsi" w:eastAsiaTheme="minorHAnsi" w:hAnsiTheme="minorHAnsi" w:cs="TimesNewRomanPSMT"/>
        </w:rPr>
        <w:t>9), and 6 (66.6%) of</w:t>
      </w:r>
      <w:r>
        <w:rPr>
          <w:rFonts w:asciiTheme="minorHAnsi" w:eastAsiaTheme="minorHAnsi" w:hAnsiTheme="minorHAnsi" w:cs="TimesNewRomanPSMT"/>
        </w:rPr>
        <w:t xml:space="preserve"> </w:t>
      </w:r>
      <w:r w:rsidRPr="00532644">
        <w:rPr>
          <w:rFonts w:asciiTheme="minorHAnsi" w:eastAsiaTheme="minorHAnsi" w:hAnsiTheme="minorHAnsi" w:cs="TimesNewRomanPSMT"/>
        </w:rPr>
        <w:t xml:space="preserve">the 9 subjects had a low haemoglobin level </w:t>
      </w:r>
      <w:r w:rsidR="00DE644C">
        <w:rPr>
          <w:rFonts w:asciiTheme="minorHAnsi" w:eastAsiaTheme="minorHAnsi" w:hAnsiTheme="minorHAnsi" w:cs="TimesNewRomanPSMT"/>
        </w:rPr>
        <w:t>at Baseline.</w:t>
      </w:r>
      <w:r w:rsidRPr="00532644">
        <w:rPr>
          <w:rFonts w:asciiTheme="minorHAnsi" w:eastAsiaTheme="minorHAnsi" w:hAnsiTheme="minorHAnsi" w:cs="TimesNewRomanPSMT"/>
          <w:color w:val="000000"/>
        </w:rPr>
        <w:t xml:space="preserve"> Five subjects achieved transfusion free haemoglobin normalisation</w:t>
      </w:r>
      <w:r>
        <w:rPr>
          <w:rFonts w:asciiTheme="minorHAnsi" w:eastAsiaTheme="minorHAnsi" w:hAnsiTheme="minorHAnsi" w:cs="TimesNewRomanPSMT"/>
          <w:color w:val="000000"/>
        </w:rPr>
        <w:t xml:space="preserve"> (</w:t>
      </w:r>
      <w:r w:rsidRPr="00532644">
        <w:rPr>
          <w:rFonts w:asciiTheme="minorHAnsi" w:eastAsiaTheme="minorHAnsi" w:hAnsiTheme="minorHAnsi" w:cs="TimesNewRomanPSMT"/>
          <w:color w:val="000000"/>
        </w:rPr>
        <w:t>TFHN)</w:t>
      </w:r>
      <w:r>
        <w:rPr>
          <w:rStyle w:val="FootnoteReference"/>
          <w:rFonts w:asciiTheme="minorHAnsi" w:eastAsiaTheme="minorHAnsi" w:hAnsiTheme="minorHAnsi" w:cs="TimesNewRomanPSMT"/>
          <w:color w:val="000000"/>
        </w:rPr>
        <w:footnoteReference w:id="28"/>
      </w:r>
      <w:r w:rsidRPr="00532644">
        <w:rPr>
          <w:rFonts w:asciiTheme="minorHAnsi" w:eastAsiaTheme="minorHAnsi" w:hAnsiTheme="minorHAnsi" w:cs="TimesNewRomanPSMT"/>
          <w:color w:val="000000"/>
        </w:rPr>
        <w:t xml:space="preserve"> of at least</w:t>
      </w:r>
      <w:r>
        <w:rPr>
          <w:rFonts w:asciiTheme="minorHAnsi" w:eastAsiaTheme="minorHAnsi" w:hAnsiTheme="minorHAnsi" w:cs="TimesNewRomanPSMT"/>
          <w:color w:val="000000"/>
        </w:rPr>
        <w:t xml:space="preserve"> </w:t>
      </w:r>
      <w:r w:rsidRPr="00532644">
        <w:rPr>
          <w:rFonts w:asciiTheme="minorHAnsi" w:eastAsiaTheme="minorHAnsi" w:hAnsiTheme="minorHAnsi" w:cs="TimesNewRomanPSMT"/>
          <w:color w:val="000000"/>
        </w:rPr>
        <w:t>4 weeks prior to t</w:t>
      </w:r>
      <w:r>
        <w:rPr>
          <w:rFonts w:asciiTheme="minorHAnsi" w:eastAsiaTheme="minorHAnsi" w:hAnsiTheme="minorHAnsi" w:cs="TimesNewRomanPSMT"/>
          <w:color w:val="000000"/>
        </w:rPr>
        <w:t xml:space="preserve">he data cut-off for this report. </w:t>
      </w:r>
      <w:r w:rsidR="00FD1D3C">
        <w:rPr>
          <w:rFonts w:asciiTheme="minorHAnsi" w:eastAsiaTheme="minorHAnsi" w:hAnsiTheme="minorHAnsi" w:cs="TimesNewRomanPSMT"/>
          <w:color w:val="000000"/>
        </w:rPr>
        <w:t>These 5 </w:t>
      </w:r>
      <w:r w:rsidRPr="00532644">
        <w:rPr>
          <w:rFonts w:asciiTheme="minorHAnsi" w:eastAsiaTheme="minorHAnsi" w:hAnsiTheme="minorHAnsi" w:cs="TimesNewRomanPSMT"/>
          <w:color w:val="000000"/>
        </w:rPr>
        <w:t>subjects represent 55.6% of the 9 subjects in the PES and</w:t>
      </w:r>
      <w:r>
        <w:rPr>
          <w:rFonts w:asciiTheme="minorHAnsi" w:eastAsiaTheme="minorHAnsi" w:hAnsiTheme="minorHAnsi" w:cs="TimesNewRomanPSMT"/>
          <w:color w:val="000000"/>
        </w:rPr>
        <w:t xml:space="preserve"> </w:t>
      </w:r>
      <w:r w:rsidRPr="00532644">
        <w:rPr>
          <w:rFonts w:asciiTheme="minorHAnsi" w:eastAsiaTheme="minorHAnsi" w:hAnsiTheme="minorHAnsi" w:cs="TimesNewRomanPSMT"/>
          <w:color w:val="000000"/>
        </w:rPr>
        <w:t xml:space="preserve">83.3% of the 6 subjects in the PES who received treatment with </w:t>
      </w:r>
      <w:proofErr w:type="spellStart"/>
      <w:r w:rsidRPr="00532644">
        <w:rPr>
          <w:rFonts w:asciiTheme="minorHAnsi" w:eastAsiaTheme="minorHAnsi" w:hAnsiTheme="minorHAnsi" w:cs="TimesNewRomanPSMT"/>
          <w:color w:val="000000"/>
        </w:rPr>
        <w:t>sebelipase</w:t>
      </w:r>
      <w:proofErr w:type="spellEnd"/>
      <w:r w:rsidRPr="00532644">
        <w:rPr>
          <w:rFonts w:asciiTheme="minorHAnsi" w:eastAsiaTheme="minorHAnsi" w:hAnsiTheme="minorHAnsi" w:cs="TimesNewRomanPSMT"/>
          <w:color w:val="000000"/>
        </w:rPr>
        <w:t xml:space="preserve"> alfa for at</w:t>
      </w:r>
      <w:r>
        <w:rPr>
          <w:rFonts w:asciiTheme="minorHAnsi" w:eastAsiaTheme="minorHAnsi" w:hAnsiTheme="minorHAnsi" w:cs="TimesNewRomanPSMT"/>
          <w:color w:val="000000"/>
        </w:rPr>
        <w:t xml:space="preserve"> </w:t>
      </w:r>
      <w:r w:rsidRPr="00532644">
        <w:rPr>
          <w:rFonts w:asciiTheme="minorHAnsi" w:eastAsiaTheme="minorHAnsi" w:hAnsiTheme="minorHAnsi" w:cs="TimesNewRomanPSMT"/>
          <w:color w:val="000000"/>
        </w:rPr>
        <w:t>least 4 weeks and could therefore be assesse</w:t>
      </w:r>
      <w:r>
        <w:rPr>
          <w:rFonts w:asciiTheme="minorHAnsi" w:eastAsiaTheme="minorHAnsi" w:hAnsiTheme="minorHAnsi" w:cs="TimesNewRomanPSMT"/>
          <w:color w:val="000000"/>
        </w:rPr>
        <w:t xml:space="preserve">d for short-term TFHN. </w:t>
      </w:r>
      <w:r w:rsidRPr="00532644">
        <w:rPr>
          <w:rFonts w:asciiTheme="minorHAnsi" w:eastAsiaTheme="minorHAnsi" w:hAnsiTheme="minorHAnsi" w:cs="TimesNewRomanPSMT"/>
          <w:color w:val="000000"/>
        </w:rPr>
        <w:t>Based on a Kaplan-Meier analysis, the estimated median time (95% CI) to achieve</w:t>
      </w:r>
      <w:r>
        <w:rPr>
          <w:rFonts w:asciiTheme="minorHAnsi" w:eastAsiaTheme="minorHAnsi" w:hAnsiTheme="minorHAnsi" w:cs="TimesNewRomanPSMT"/>
          <w:color w:val="000000"/>
        </w:rPr>
        <w:t xml:space="preserve"> </w:t>
      </w:r>
      <w:r w:rsidRPr="00532644">
        <w:rPr>
          <w:rFonts w:asciiTheme="minorHAnsi" w:eastAsiaTheme="minorHAnsi" w:hAnsiTheme="minorHAnsi" w:cs="TimesNewRomanPSMT"/>
          <w:color w:val="000000"/>
        </w:rPr>
        <w:t>short-term TFHN for the PES was 4.6 months (0.2 months, not estimable)</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For the 6 subjects in the PES surviving beyond Week 4, baseline platelet counts were</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 xml:space="preserve">normal in </w:t>
      </w:r>
      <w:r w:rsidRPr="005B1921">
        <w:rPr>
          <w:rFonts w:asciiTheme="minorHAnsi" w:eastAsiaTheme="minorHAnsi" w:hAnsiTheme="minorHAnsi" w:cs="TimesNewRomanPSMT"/>
          <w:color w:val="000000"/>
        </w:rPr>
        <w:lastRenderedPageBreak/>
        <w:t xml:space="preserve">4 subjects, low in 1 subject (54 </w:t>
      </w:r>
      <w:r w:rsidR="002D28A4">
        <w:rPr>
          <w:rFonts w:asciiTheme="minorHAnsi" w:eastAsiaTheme="minorHAnsi" w:hAnsiTheme="minorHAnsi" w:cs="TimesNewRomanPSMT"/>
          <w:color w:val="000000"/>
        </w:rPr>
        <w:t>x 10</w:t>
      </w:r>
      <w:r w:rsidRPr="005B1921">
        <w:rPr>
          <w:rFonts w:asciiTheme="minorHAnsi" w:eastAsiaTheme="minorHAnsi" w:hAnsiTheme="minorHAnsi" w:cs="TimesNewRomanPSMT"/>
          <w:color w:val="000000"/>
          <w:vertAlign w:val="superscript"/>
        </w:rPr>
        <w:t>9</w:t>
      </w:r>
      <w:r w:rsidRPr="005B1921">
        <w:rPr>
          <w:rFonts w:asciiTheme="minorHAnsi" w:eastAsiaTheme="minorHAnsi" w:hAnsiTheme="minorHAnsi" w:cs="TimesNewRomanPSMT"/>
          <w:color w:val="000000"/>
        </w:rPr>
        <w:t xml:space="preserve">/L), and high in 1 subject (563 </w:t>
      </w:r>
      <w:r w:rsidR="002D28A4">
        <w:rPr>
          <w:rFonts w:asciiTheme="minorHAnsi" w:eastAsiaTheme="minorHAnsi" w:hAnsiTheme="minorHAnsi" w:cs="TimesNewRomanPSMT"/>
          <w:color w:val="000000"/>
        </w:rPr>
        <w:t>x 10</w:t>
      </w:r>
      <w:r w:rsidRPr="005B1921">
        <w:rPr>
          <w:rFonts w:asciiTheme="minorHAnsi" w:eastAsiaTheme="minorHAnsi" w:hAnsiTheme="minorHAnsi" w:cs="TimesNewRomanPSMT"/>
          <w:color w:val="000000"/>
          <w:vertAlign w:val="superscript"/>
        </w:rPr>
        <w:t>9</w:t>
      </w:r>
      <w:r w:rsidRPr="005B1921">
        <w:rPr>
          <w:rFonts w:asciiTheme="minorHAnsi" w:eastAsiaTheme="minorHAnsi" w:hAnsiTheme="minorHAnsi" w:cs="TimesNewRomanPSMT"/>
          <w:color w:val="000000"/>
        </w:rPr>
        <w:t xml:space="preserve">/L). The one subject with a low platelet count </w:t>
      </w:r>
      <w:r w:rsidR="00DE644C">
        <w:rPr>
          <w:rFonts w:asciiTheme="minorHAnsi" w:eastAsiaTheme="minorHAnsi" w:hAnsiTheme="minorHAnsi" w:cs="TimesNewRomanPSMT"/>
          <w:color w:val="000000"/>
        </w:rPr>
        <w:t>at Baseline</w:t>
      </w:r>
      <w:r w:rsidRPr="005B1921">
        <w:rPr>
          <w:rFonts w:asciiTheme="minorHAnsi" w:eastAsiaTheme="minorHAnsi" w:hAnsiTheme="minorHAnsi" w:cs="TimesNewRomanPSMT"/>
          <w:color w:val="000000"/>
        </w:rPr>
        <w:t xml:space="preserve"> had a marked</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increase in platelets during treatment and achieved a normal platelet count by Week 3</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 xml:space="preserve">(162 </w:t>
      </w:r>
      <w:r w:rsidR="002D28A4">
        <w:rPr>
          <w:rFonts w:asciiTheme="minorHAnsi" w:eastAsiaTheme="minorHAnsi" w:hAnsiTheme="minorHAnsi" w:cs="TimesNewRomanPSMT"/>
          <w:color w:val="000000"/>
        </w:rPr>
        <w:t>x 10</w:t>
      </w:r>
      <w:r w:rsidRPr="005B1921">
        <w:rPr>
          <w:rFonts w:asciiTheme="minorHAnsi" w:eastAsiaTheme="minorHAnsi" w:hAnsiTheme="minorHAnsi" w:cs="TimesNewRomanPSMT"/>
          <w:color w:val="000000"/>
          <w:vertAlign w:val="superscript"/>
        </w:rPr>
        <w:t>9</w:t>
      </w:r>
      <w:r w:rsidRPr="005B1921">
        <w:rPr>
          <w:rFonts w:asciiTheme="minorHAnsi" w:eastAsiaTheme="minorHAnsi" w:hAnsiTheme="minorHAnsi" w:cs="TimesNewRomanPSMT"/>
          <w:color w:val="000000"/>
        </w:rPr>
        <w:t>/L), which remained normal with the exception of borderline low results at the</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 xml:space="preserve">last 2 assessments at Week 20 (133 </w:t>
      </w:r>
      <w:r w:rsidR="002D28A4">
        <w:rPr>
          <w:rFonts w:asciiTheme="minorHAnsi" w:eastAsiaTheme="minorHAnsi" w:hAnsiTheme="minorHAnsi" w:cs="TimesNewRomanPSMT"/>
          <w:color w:val="000000"/>
        </w:rPr>
        <w:t>x 10</w:t>
      </w:r>
      <w:r w:rsidRPr="005B1921">
        <w:rPr>
          <w:rFonts w:asciiTheme="minorHAnsi" w:eastAsiaTheme="minorHAnsi" w:hAnsiTheme="minorHAnsi" w:cs="TimesNewRomanPSMT"/>
          <w:color w:val="000000"/>
          <w:vertAlign w:val="superscript"/>
        </w:rPr>
        <w:t>9</w:t>
      </w:r>
      <w:r w:rsidRPr="005B1921">
        <w:rPr>
          <w:rFonts w:asciiTheme="minorHAnsi" w:eastAsiaTheme="minorHAnsi" w:hAnsiTheme="minorHAnsi" w:cs="TimesNewRomanPSMT"/>
          <w:color w:val="000000"/>
        </w:rPr>
        <w:t xml:space="preserve">/L) and Week 24 (147 </w:t>
      </w:r>
      <w:r w:rsidR="002D28A4">
        <w:rPr>
          <w:rFonts w:asciiTheme="minorHAnsi" w:eastAsiaTheme="minorHAnsi" w:hAnsiTheme="minorHAnsi" w:cs="TimesNewRomanPSMT"/>
          <w:color w:val="000000"/>
        </w:rPr>
        <w:t>x 10</w:t>
      </w:r>
      <w:r w:rsidRPr="005B1921">
        <w:rPr>
          <w:rFonts w:asciiTheme="minorHAnsi" w:eastAsiaTheme="minorHAnsi" w:hAnsiTheme="minorHAnsi" w:cs="TimesNewRomanPSMT"/>
          <w:color w:val="000000"/>
          <w:vertAlign w:val="superscript"/>
        </w:rPr>
        <w:t>9</w:t>
      </w:r>
      <w:r w:rsidRPr="005B1921">
        <w:rPr>
          <w:rFonts w:asciiTheme="minorHAnsi" w:eastAsiaTheme="minorHAnsi" w:hAnsiTheme="minorHAnsi" w:cs="TimesNewRomanPSMT"/>
          <w:color w:val="000000"/>
        </w:rPr>
        <w:t>/L). In the other</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5 subjects, platelet counts fluctuated over time with an increasing trend apparent in</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 xml:space="preserve">4 subjects and a decreasing trend within normal range in 1 subject </w:t>
      </w:r>
      <w:r w:rsidR="00FD1D3C">
        <w:rPr>
          <w:rFonts w:asciiTheme="minorHAnsi" w:eastAsiaTheme="minorHAnsi" w:hAnsiTheme="minorHAnsi" w:cs="TimesNewRomanPSMT"/>
        </w:rPr>
        <w:t>[information redacted]</w:t>
      </w:r>
      <w:r w:rsidRPr="005B1921">
        <w:rPr>
          <w:rFonts w:asciiTheme="minorHAnsi" w:eastAsiaTheme="minorHAnsi" w:hAnsiTheme="minorHAnsi" w:cs="TimesNewRomanPSMT"/>
          <w:color w:val="000000"/>
        </w:rPr>
        <w:t>. Platelet</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counts ge</w:t>
      </w:r>
      <w:r w:rsidR="00FD1D3C">
        <w:rPr>
          <w:rFonts w:asciiTheme="minorHAnsi" w:eastAsiaTheme="minorHAnsi" w:hAnsiTheme="minorHAnsi" w:cs="TimesNewRomanPSMT"/>
          <w:color w:val="000000"/>
        </w:rPr>
        <w:t xml:space="preserve">nerally remained normal to near </w:t>
      </w:r>
      <w:r w:rsidRPr="005B1921">
        <w:rPr>
          <w:rFonts w:asciiTheme="minorHAnsi" w:eastAsiaTheme="minorHAnsi" w:hAnsiTheme="minorHAnsi" w:cs="TimesNewRomanPSMT"/>
          <w:color w:val="000000"/>
        </w:rPr>
        <w:t>normal in these subjects, with the exception of</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 xml:space="preserve">the subject who already had an elevated platelet count </w:t>
      </w:r>
      <w:r w:rsidR="00DE644C">
        <w:rPr>
          <w:rFonts w:asciiTheme="minorHAnsi" w:eastAsiaTheme="minorHAnsi" w:hAnsiTheme="minorHAnsi" w:cs="TimesNewRomanPSMT"/>
          <w:color w:val="000000"/>
        </w:rPr>
        <w:t>at Baseline</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Median and mean platelet counts also showed an increasing trend, particularly over the</w:t>
      </w:r>
      <w:r>
        <w:rPr>
          <w:rFonts w:asciiTheme="minorHAnsi" w:eastAsiaTheme="minorHAnsi" w:hAnsiTheme="minorHAnsi" w:cs="TimesNewRomanPSMT"/>
          <w:color w:val="000000"/>
        </w:rPr>
        <w:t xml:space="preserve"> </w:t>
      </w:r>
      <w:r w:rsidRPr="005B1921">
        <w:rPr>
          <w:rFonts w:asciiTheme="minorHAnsi" w:eastAsiaTheme="minorHAnsi" w:hAnsiTheme="minorHAnsi" w:cs="TimesNewRomanPSMT"/>
          <w:color w:val="000000"/>
        </w:rPr>
        <w:t xml:space="preserve">initial 4 weeks of </w:t>
      </w:r>
      <w:r w:rsidRPr="00E45A80">
        <w:rPr>
          <w:rFonts w:asciiTheme="minorHAnsi" w:eastAsiaTheme="minorHAnsi" w:hAnsiTheme="minorHAnsi" w:cs="TimesNewRomanPSMT"/>
          <w:color w:val="000000"/>
        </w:rPr>
        <w:t xml:space="preserve">treatment </w:t>
      </w:r>
      <w:r w:rsidR="00FD1D3C" w:rsidRPr="00E45A80">
        <w:rPr>
          <w:rFonts w:asciiTheme="minorHAnsi" w:eastAsiaTheme="minorHAnsi" w:hAnsiTheme="minorHAnsi" w:cs="TimesNewRomanPSMT"/>
          <w:color w:val="000000"/>
        </w:rPr>
        <w:t xml:space="preserve">(Table </w:t>
      </w:r>
      <w:r w:rsidR="00E45A80" w:rsidRPr="00E45A80">
        <w:rPr>
          <w:rFonts w:asciiTheme="minorHAnsi" w:eastAsiaTheme="minorHAnsi" w:hAnsiTheme="minorHAnsi" w:cs="TimesNewRomanPSMT"/>
          <w:color w:val="000000"/>
        </w:rPr>
        <w:t>15</w:t>
      </w:r>
      <w:r w:rsidRPr="00E45A80">
        <w:rPr>
          <w:rFonts w:asciiTheme="minorHAnsi" w:eastAsiaTheme="minorHAnsi" w:hAnsiTheme="minorHAnsi" w:cs="TimesNewRomanPSMT"/>
          <w:color w:val="000000"/>
        </w:rPr>
        <w:t>)</w:t>
      </w:r>
      <w:r w:rsidR="00B73619" w:rsidRPr="00E45A80">
        <w:rPr>
          <w:rFonts w:asciiTheme="minorHAnsi" w:eastAsiaTheme="minorHAnsi" w:hAnsiTheme="minorHAnsi" w:cs="TimesNewRomanPSMT"/>
          <w:color w:val="000000"/>
        </w:rPr>
        <w:t>.</w:t>
      </w:r>
    </w:p>
    <w:p w14:paraId="7D5A79E5" w14:textId="1C45D14F" w:rsidR="00FD1D3C" w:rsidRDefault="00FD1D3C" w:rsidP="00FD1D3C">
      <w:pPr>
        <w:pStyle w:val="Tabletitle"/>
      </w:pPr>
      <w:r w:rsidRPr="00FD1D3C">
        <w:t xml:space="preserve">Table </w:t>
      </w:r>
      <w:r w:rsidR="00E45A80">
        <w:t>15</w:t>
      </w:r>
      <w:r w:rsidRPr="00FD1D3C">
        <w:t xml:space="preserve">: Study LAL-CL03. Platelet count observed values and changes </w:t>
      </w:r>
      <w:r w:rsidR="00DE644C">
        <w:t>from Baseline</w:t>
      </w:r>
      <w:r w:rsidR="00E45A80">
        <w:t>: primary efficacy set</w:t>
      </w:r>
    </w:p>
    <w:p w14:paraId="130337A3" w14:textId="77777777" w:rsidR="00FD1D3C" w:rsidRPr="00FD1D3C" w:rsidRDefault="00695CDF" w:rsidP="00FD1D3C">
      <w:r>
        <w:rPr>
          <w:noProof/>
          <w:lang w:eastAsia="en-AU"/>
        </w:rPr>
        <w:drawing>
          <wp:inline distT="0" distB="0" distL="0" distR="0" wp14:anchorId="1C1CD1D4" wp14:editId="18AA7C1F">
            <wp:extent cx="5731510" cy="3038435"/>
            <wp:effectExtent l="0" t="0" r="2540" b="0"/>
            <wp:docPr id="68" name="Picture 68" descr="Table 15: Study LAL-CL03. Platelet count observed values and changes from baseline: primary efficac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3038435"/>
                    </a:xfrm>
                    <a:prstGeom prst="rect">
                      <a:avLst/>
                    </a:prstGeom>
                  </pic:spPr>
                </pic:pic>
              </a:graphicData>
            </a:graphic>
          </wp:inline>
        </w:drawing>
      </w:r>
    </w:p>
    <w:p w14:paraId="7D7A1BFD" w14:textId="77777777" w:rsidR="00CC672B" w:rsidRDefault="00934213" w:rsidP="00934213">
      <w:pPr>
        <w:pStyle w:val="Heading6"/>
        <w:rPr>
          <w:rFonts w:eastAsiaTheme="minorHAnsi"/>
        </w:rPr>
      </w:pPr>
      <w:r w:rsidRPr="00705C0F">
        <w:rPr>
          <w:rFonts w:eastAsiaTheme="minorHAnsi"/>
        </w:rPr>
        <w:t>Effects on serum lipids</w:t>
      </w:r>
    </w:p>
    <w:p w14:paraId="5090A674" w14:textId="77777777" w:rsidR="00B73619" w:rsidRDefault="00934213" w:rsidP="00934213">
      <w:pPr>
        <w:autoSpaceDE w:val="0"/>
        <w:autoSpaceDN w:val="0"/>
        <w:adjustRightInd w:val="0"/>
        <w:spacing w:before="0" w:line="240" w:lineRule="auto"/>
        <w:rPr>
          <w:rFonts w:asciiTheme="minorHAnsi" w:eastAsiaTheme="minorHAnsi" w:hAnsiTheme="minorHAnsi" w:cs="TimesNewRomanPSMT"/>
        </w:rPr>
      </w:pPr>
      <w:r w:rsidRPr="00705C0F">
        <w:rPr>
          <w:rFonts w:asciiTheme="minorHAnsi" w:eastAsiaTheme="minorHAnsi" w:hAnsiTheme="minorHAnsi" w:cs="TimesNewRomanPSMT"/>
        </w:rPr>
        <w:t>Hypertriglyceridemia was the most common baseline lipid abnormality, with elevated</w:t>
      </w:r>
      <w:r>
        <w:rPr>
          <w:rFonts w:asciiTheme="minorHAnsi" w:eastAsiaTheme="minorHAnsi" w:hAnsiTheme="minorHAnsi" w:cs="TimesNewRomanPSMT"/>
        </w:rPr>
        <w:t xml:space="preserve"> </w:t>
      </w:r>
      <w:r w:rsidRPr="00705C0F">
        <w:rPr>
          <w:rFonts w:asciiTheme="minorHAnsi" w:eastAsiaTheme="minorHAnsi" w:hAnsiTheme="minorHAnsi" w:cs="TimesNewRomanPSMT"/>
        </w:rPr>
        <w:t>baseline levels observed in 4 of the 6 subjects. All 4 subjects had decreases in serum</w:t>
      </w:r>
      <w:r>
        <w:rPr>
          <w:rFonts w:asciiTheme="minorHAnsi" w:eastAsiaTheme="minorHAnsi" w:hAnsiTheme="minorHAnsi" w:cs="TimesNewRomanPSMT"/>
        </w:rPr>
        <w:t xml:space="preserve"> </w:t>
      </w:r>
      <w:r w:rsidRPr="00705C0F">
        <w:rPr>
          <w:rFonts w:asciiTheme="minorHAnsi" w:eastAsiaTheme="minorHAnsi" w:hAnsiTheme="minorHAnsi" w:cs="TimesNewRomanPSMT"/>
        </w:rPr>
        <w:t xml:space="preserve">triglycerides following initiation of </w:t>
      </w:r>
      <w:proofErr w:type="spellStart"/>
      <w:r w:rsidRPr="00705C0F">
        <w:rPr>
          <w:rFonts w:asciiTheme="minorHAnsi" w:eastAsiaTheme="minorHAnsi" w:hAnsiTheme="minorHAnsi" w:cs="TimesNewRomanPSMT"/>
        </w:rPr>
        <w:t>sebelipase</w:t>
      </w:r>
      <w:proofErr w:type="spellEnd"/>
      <w:r w:rsidRPr="00705C0F">
        <w:rPr>
          <w:rFonts w:asciiTheme="minorHAnsi" w:eastAsiaTheme="minorHAnsi" w:hAnsiTheme="minorHAnsi" w:cs="TimesNewRomanPSMT"/>
        </w:rPr>
        <w:t xml:space="preserve"> alfa, and achieved a normal serum</w:t>
      </w:r>
      <w:r>
        <w:rPr>
          <w:rFonts w:asciiTheme="minorHAnsi" w:eastAsiaTheme="minorHAnsi" w:hAnsiTheme="minorHAnsi" w:cs="TimesNewRomanPSMT"/>
        </w:rPr>
        <w:t xml:space="preserve"> TG </w:t>
      </w:r>
      <w:r w:rsidRPr="00705C0F">
        <w:rPr>
          <w:rFonts w:asciiTheme="minorHAnsi" w:eastAsiaTheme="minorHAnsi" w:hAnsiTheme="minorHAnsi" w:cs="TimesNewRomanPSMT"/>
        </w:rPr>
        <w:t>level, although levels continued to fluctuate over time and were intermittently</w:t>
      </w:r>
      <w:r>
        <w:rPr>
          <w:rFonts w:asciiTheme="minorHAnsi" w:eastAsiaTheme="minorHAnsi" w:hAnsiTheme="minorHAnsi" w:cs="TimesNewRomanPSMT"/>
        </w:rPr>
        <w:t xml:space="preserve"> </w:t>
      </w:r>
      <w:r w:rsidRPr="00705C0F">
        <w:rPr>
          <w:rFonts w:asciiTheme="minorHAnsi" w:eastAsiaTheme="minorHAnsi" w:hAnsiTheme="minorHAnsi" w:cs="TimesNewRomanPSMT"/>
        </w:rPr>
        <w:t>elevated. Two other surviving subjects had increasing serum triglyceride levels on</w:t>
      </w:r>
      <w:r>
        <w:rPr>
          <w:rFonts w:asciiTheme="minorHAnsi" w:eastAsiaTheme="minorHAnsi" w:hAnsiTheme="minorHAnsi" w:cs="TimesNewRomanPSMT"/>
        </w:rPr>
        <w:t xml:space="preserve"> </w:t>
      </w:r>
      <w:r w:rsidRPr="00705C0F">
        <w:rPr>
          <w:rFonts w:asciiTheme="minorHAnsi" w:eastAsiaTheme="minorHAnsi" w:hAnsiTheme="minorHAnsi" w:cs="TimesNewRomanPSMT"/>
        </w:rPr>
        <w:t>treatment</w:t>
      </w:r>
      <w:r w:rsidR="00B73619">
        <w:rPr>
          <w:rFonts w:asciiTheme="minorHAnsi" w:eastAsiaTheme="minorHAnsi" w:hAnsiTheme="minorHAnsi" w:cs="TimesNewRomanPSMT"/>
        </w:rPr>
        <w:t>.</w:t>
      </w:r>
    </w:p>
    <w:p w14:paraId="584E9F8F" w14:textId="01428A4D" w:rsidR="00934213" w:rsidRDefault="00934213" w:rsidP="00934213">
      <w:pPr>
        <w:autoSpaceDE w:val="0"/>
        <w:autoSpaceDN w:val="0"/>
        <w:adjustRightInd w:val="0"/>
        <w:spacing w:before="0" w:line="240" w:lineRule="auto"/>
        <w:rPr>
          <w:rFonts w:asciiTheme="minorHAnsi" w:eastAsiaTheme="minorHAnsi" w:hAnsiTheme="minorHAnsi" w:cs="TimesNewRomanPSMT"/>
        </w:rPr>
      </w:pPr>
      <w:r w:rsidRPr="00705C0F">
        <w:rPr>
          <w:rFonts w:asciiTheme="minorHAnsi" w:eastAsiaTheme="minorHAnsi" w:hAnsiTheme="minorHAnsi" w:cs="TimesNewRomanPSMT"/>
        </w:rPr>
        <w:t>LDL levels decreased in 5 of the 6 surviving subjects during treatment, and normalised in</w:t>
      </w:r>
      <w:r>
        <w:rPr>
          <w:rFonts w:asciiTheme="minorHAnsi" w:eastAsiaTheme="minorHAnsi" w:hAnsiTheme="minorHAnsi" w:cs="TimesNewRomanPSMT"/>
        </w:rPr>
        <w:t xml:space="preserve"> </w:t>
      </w:r>
      <w:r w:rsidR="00FD1D3C">
        <w:rPr>
          <w:rFonts w:asciiTheme="minorHAnsi" w:eastAsiaTheme="minorHAnsi" w:hAnsiTheme="minorHAnsi" w:cs="TimesNewRomanPSMT"/>
        </w:rPr>
        <w:t>the 2 </w:t>
      </w:r>
      <w:r w:rsidRPr="00705C0F">
        <w:rPr>
          <w:rFonts w:asciiTheme="minorHAnsi" w:eastAsiaTheme="minorHAnsi" w:hAnsiTheme="minorHAnsi" w:cs="TimesNewRomanPSMT"/>
        </w:rPr>
        <w:t xml:space="preserve">subjects who had an elevated LDL </w:t>
      </w:r>
      <w:r w:rsidR="00DE644C">
        <w:rPr>
          <w:rFonts w:asciiTheme="minorHAnsi" w:eastAsiaTheme="minorHAnsi" w:hAnsiTheme="minorHAnsi" w:cs="TimesNewRomanPSMT"/>
        </w:rPr>
        <w:t>at Baseline</w:t>
      </w:r>
      <w:r w:rsidRPr="00705C0F">
        <w:rPr>
          <w:rFonts w:asciiTheme="minorHAnsi" w:eastAsiaTheme="minorHAnsi" w:hAnsiTheme="minorHAnsi" w:cs="TimesNewRomanPSMT"/>
        </w:rPr>
        <w:t xml:space="preserve"> or the first available assessment.</w:t>
      </w:r>
      <w:r>
        <w:rPr>
          <w:rFonts w:asciiTheme="minorHAnsi" w:eastAsiaTheme="minorHAnsi" w:hAnsiTheme="minorHAnsi" w:cs="TimesNewRomanPSMT"/>
        </w:rPr>
        <w:t xml:space="preserve"> </w:t>
      </w:r>
      <w:r w:rsidRPr="00705C0F">
        <w:rPr>
          <w:rFonts w:asciiTheme="minorHAnsi" w:eastAsiaTheme="minorHAnsi" w:hAnsiTheme="minorHAnsi" w:cs="TimesNewRomanPSMT"/>
        </w:rPr>
        <w:t>One other surviving subject showed an increasing trend in LDL level on</w:t>
      </w:r>
      <w:r>
        <w:rPr>
          <w:rFonts w:asciiTheme="minorHAnsi" w:eastAsiaTheme="minorHAnsi" w:hAnsiTheme="minorHAnsi" w:cs="TimesNewRomanPSMT"/>
        </w:rPr>
        <w:t xml:space="preserve"> </w:t>
      </w:r>
      <w:r w:rsidRPr="00705C0F">
        <w:rPr>
          <w:rFonts w:asciiTheme="minorHAnsi" w:eastAsiaTheme="minorHAnsi" w:hAnsiTheme="minorHAnsi" w:cs="TimesNewRomanPSMT"/>
        </w:rPr>
        <w:t>treatment, intermittently shifting from normal to abnormal. In the 3 subjects who had</w:t>
      </w:r>
      <w:r>
        <w:rPr>
          <w:rFonts w:asciiTheme="minorHAnsi" w:eastAsiaTheme="minorHAnsi" w:hAnsiTheme="minorHAnsi" w:cs="TimesNewRomanPSMT"/>
        </w:rPr>
        <w:t xml:space="preserve"> </w:t>
      </w:r>
      <w:r w:rsidRPr="00705C0F">
        <w:rPr>
          <w:rFonts w:asciiTheme="minorHAnsi" w:eastAsiaTheme="minorHAnsi" w:hAnsiTheme="minorHAnsi" w:cs="TimesNewRomanPSMT"/>
        </w:rPr>
        <w:t xml:space="preserve">data </w:t>
      </w:r>
      <w:r w:rsidR="00DE644C">
        <w:rPr>
          <w:rFonts w:asciiTheme="minorHAnsi" w:eastAsiaTheme="minorHAnsi" w:hAnsiTheme="minorHAnsi" w:cs="TimesNewRomanPSMT"/>
        </w:rPr>
        <w:t>at Baseline</w:t>
      </w:r>
      <w:r w:rsidRPr="00705C0F">
        <w:rPr>
          <w:rFonts w:asciiTheme="minorHAnsi" w:eastAsiaTheme="minorHAnsi" w:hAnsiTheme="minorHAnsi" w:cs="TimesNewRomanPSMT"/>
        </w:rPr>
        <w:t xml:space="preserve"> and the first 2 weeks of treatment, a transient small elevation in LDL</w:t>
      </w:r>
      <w:r>
        <w:rPr>
          <w:rFonts w:asciiTheme="minorHAnsi" w:eastAsiaTheme="minorHAnsi" w:hAnsiTheme="minorHAnsi" w:cs="TimesNewRomanPSMT"/>
        </w:rPr>
        <w:t xml:space="preserve"> </w:t>
      </w:r>
      <w:r w:rsidRPr="00705C0F">
        <w:rPr>
          <w:rFonts w:asciiTheme="minorHAnsi" w:eastAsiaTheme="minorHAnsi" w:hAnsiTheme="minorHAnsi" w:cs="TimesNewRomanPSMT"/>
        </w:rPr>
        <w:t xml:space="preserve">occurred at Week 1, consistent with the mechanism of action of </w:t>
      </w:r>
      <w:proofErr w:type="spellStart"/>
      <w:r w:rsidRPr="00705C0F">
        <w:rPr>
          <w:rFonts w:asciiTheme="minorHAnsi" w:eastAsiaTheme="minorHAnsi" w:hAnsiTheme="minorHAnsi" w:cs="TimesNewRomanPSMT"/>
        </w:rPr>
        <w:t>sebelipase</w:t>
      </w:r>
      <w:proofErr w:type="spellEnd"/>
      <w:r w:rsidRPr="00705C0F">
        <w:rPr>
          <w:rFonts w:asciiTheme="minorHAnsi" w:eastAsiaTheme="minorHAnsi" w:hAnsiTheme="minorHAnsi" w:cs="TimesNewRomanPSMT"/>
        </w:rPr>
        <w:t xml:space="preserve"> alfa.</w:t>
      </w:r>
      <w:r>
        <w:rPr>
          <w:rFonts w:asciiTheme="minorHAnsi" w:eastAsiaTheme="minorHAnsi" w:hAnsiTheme="minorHAnsi" w:cs="TimesNewRomanPSMT"/>
        </w:rPr>
        <w:t xml:space="preserve"> </w:t>
      </w:r>
      <w:r w:rsidRPr="00705C0F">
        <w:rPr>
          <w:rFonts w:asciiTheme="minorHAnsi" w:eastAsiaTheme="minorHAnsi" w:hAnsiTheme="minorHAnsi" w:cs="TimesNewRomanPSMT"/>
        </w:rPr>
        <w:t>Total cholesterol de</w:t>
      </w:r>
      <w:r w:rsidR="00FD1D3C">
        <w:rPr>
          <w:rFonts w:asciiTheme="minorHAnsi" w:eastAsiaTheme="minorHAnsi" w:hAnsiTheme="minorHAnsi" w:cs="TimesNewRomanPSMT"/>
        </w:rPr>
        <w:t>creased and normalised in the 2 </w:t>
      </w:r>
      <w:r w:rsidRPr="00705C0F">
        <w:rPr>
          <w:rFonts w:asciiTheme="minorHAnsi" w:eastAsiaTheme="minorHAnsi" w:hAnsiTheme="minorHAnsi" w:cs="TimesNewRomanPSMT"/>
        </w:rPr>
        <w:t>subjects with elevated baseline</w:t>
      </w:r>
      <w:r>
        <w:rPr>
          <w:rFonts w:asciiTheme="minorHAnsi" w:eastAsiaTheme="minorHAnsi" w:hAnsiTheme="minorHAnsi" w:cs="TimesNewRomanPSMT"/>
        </w:rPr>
        <w:t xml:space="preserve"> </w:t>
      </w:r>
      <w:r w:rsidRPr="00705C0F">
        <w:rPr>
          <w:rFonts w:asciiTheme="minorHAnsi" w:eastAsiaTheme="minorHAnsi" w:hAnsiTheme="minorHAnsi" w:cs="TimesNewRomanPSMT"/>
        </w:rPr>
        <w:t>levels, and fluctuated betw</w:t>
      </w:r>
      <w:r w:rsidR="00FD1D3C">
        <w:rPr>
          <w:rFonts w:asciiTheme="minorHAnsi" w:eastAsiaTheme="minorHAnsi" w:hAnsiTheme="minorHAnsi" w:cs="TimesNewRomanPSMT"/>
        </w:rPr>
        <w:t>een high and normal values in 1 </w:t>
      </w:r>
      <w:r w:rsidRPr="00705C0F">
        <w:rPr>
          <w:rFonts w:asciiTheme="minorHAnsi" w:eastAsiaTheme="minorHAnsi" w:hAnsiTheme="minorHAnsi" w:cs="TimesNewRomanPSMT"/>
        </w:rPr>
        <w:t xml:space="preserve">other subject who had </w:t>
      </w:r>
      <w:proofErr w:type="gramStart"/>
      <w:r w:rsidRPr="00705C0F">
        <w:rPr>
          <w:rFonts w:asciiTheme="minorHAnsi" w:eastAsiaTheme="minorHAnsi" w:hAnsiTheme="minorHAnsi" w:cs="TimesNewRomanPSMT"/>
        </w:rPr>
        <w:t>an</w:t>
      </w:r>
      <w:r>
        <w:rPr>
          <w:rFonts w:asciiTheme="minorHAnsi" w:eastAsiaTheme="minorHAnsi" w:hAnsiTheme="minorHAnsi" w:cs="TimesNewRomanPSMT"/>
        </w:rPr>
        <w:t xml:space="preserve"> </w:t>
      </w:r>
      <w:r w:rsidRPr="00705C0F">
        <w:rPr>
          <w:rFonts w:asciiTheme="minorHAnsi" w:eastAsiaTheme="minorHAnsi" w:hAnsiTheme="minorHAnsi" w:cs="TimesNewRomanPSMT"/>
        </w:rPr>
        <w:t>elevated</w:t>
      </w:r>
      <w:proofErr w:type="gramEnd"/>
      <w:r w:rsidRPr="00705C0F">
        <w:rPr>
          <w:rFonts w:asciiTheme="minorHAnsi" w:eastAsiaTheme="minorHAnsi" w:hAnsiTheme="minorHAnsi" w:cs="TimesNewRomanPSMT"/>
        </w:rPr>
        <w:t xml:space="preserve"> total cholesterol at the first available assessment. Total cholesterol levels in the</w:t>
      </w:r>
      <w:r>
        <w:rPr>
          <w:rFonts w:asciiTheme="minorHAnsi" w:eastAsiaTheme="minorHAnsi" w:hAnsiTheme="minorHAnsi" w:cs="TimesNewRomanPSMT"/>
        </w:rPr>
        <w:t xml:space="preserve"> </w:t>
      </w:r>
      <w:r w:rsidRPr="00705C0F">
        <w:rPr>
          <w:rFonts w:asciiTheme="minorHAnsi" w:eastAsiaTheme="minorHAnsi" w:hAnsiTheme="minorHAnsi" w:cs="TimesNewRomanPSMT"/>
        </w:rPr>
        <w:t xml:space="preserve">other subjects were normal or low </w:t>
      </w:r>
      <w:r w:rsidR="00DE644C">
        <w:rPr>
          <w:rFonts w:asciiTheme="minorHAnsi" w:eastAsiaTheme="minorHAnsi" w:hAnsiTheme="minorHAnsi" w:cs="TimesNewRomanPSMT"/>
        </w:rPr>
        <w:t>at Baseline</w:t>
      </w:r>
      <w:r w:rsidRPr="00705C0F">
        <w:rPr>
          <w:rFonts w:asciiTheme="minorHAnsi" w:eastAsiaTheme="minorHAnsi" w:hAnsiTheme="minorHAnsi" w:cs="TimesNewRomanPSMT"/>
        </w:rPr>
        <w:t xml:space="preserve"> and remained so at all or most assessments</w:t>
      </w:r>
      <w:r>
        <w:rPr>
          <w:rFonts w:asciiTheme="minorHAnsi" w:eastAsiaTheme="minorHAnsi" w:hAnsiTheme="minorHAnsi" w:cs="TimesNewRomanPSMT"/>
        </w:rPr>
        <w:t xml:space="preserve"> </w:t>
      </w:r>
      <w:r w:rsidRPr="00705C0F">
        <w:rPr>
          <w:rFonts w:asciiTheme="minorHAnsi" w:eastAsiaTheme="minorHAnsi" w:hAnsiTheme="minorHAnsi" w:cs="TimesNewRomanPSMT"/>
        </w:rPr>
        <w:t>on treatment.</w:t>
      </w:r>
      <w:r>
        <w:rPr>
          <w:rFonts w:asciiTheme="minorHAnsi" w:eastAsiaTheme="minorHAnsi" w:hAnsiTheme="minorHAnsi" w:cs="TimesNewRomanPSMT"/>
        </w:rPr>
        <w:t xml:space="preserve"> </w:t>
      </w:r>
      <w:r w:rsidRPr="00705C0F">
        <w:rPr>
          <w:rFonts w:asciiTheme="minorHAnsi" w:eastAsiaTheme="minorHAnsi" w:hAnsiTheme="minorHAnsi" w:cs="TimesNewRomanPSMT"/>
        </w:rPr>
        <w:t xml:space="preserve">HDL levels were low in all 6 surviving </w:t>
      </w:r>
      <w:r w:rsidR="001B7A56" w:rsidRPr="00705C0F">
        <w:rPr>
          <w:rFonts w:asciiTheme="minorHAnsi" w:eastAsiaTheme="minorHAnsi" w:hAnsiTheme="minorHAnsi" w:cs="TimesNewRomanPSMT"/>
        </w:rPr>
        <w:t>subjects</w:t>
      </w:r>
      <w:r w:rsidRPr="00705C0F">
        <w:rPr>
          <w:rFonts w:asciiTheme="minorHAnsi" w:eastAsiaTheme="minorHAnsi" w:hAnsiTheme="minorHAnsi" w:cs="TimesNewRomanPSMT"/>
        </w:rPr>
        <w:t xml:space="preserve"> </w:t>
      </w:r>
      <w:r w:rsidR="00DE644C">
        <w:rPr>
          <w:rFonts w:asciiTheme="minorHAnsi" w:eastAsiaTheme="minorHAnsi" w:hAnsiTheme="minorHAnsi" w:cs="TimesNewRomanPSMT"/>
        </w:rPr>
        <w:t>at Baseline</w:t>
      </w:r>
      <w:r w:rsidRPr="00705C0F">
        <w:rPr>
          <w:rFonts w:asciiTheme="minorHAnsi" w:eastAsiaTheme="minorHAnsi" w:hAnsiTheme="minorHAnsi" w:cs="TimesNewRomanPSMT"/>
        </w:rPr>
        <w:t xml:space="preserve"> or first assessment, and increased in 5 of these</w:t>
      </w:r>
      <w:r>
        <w:rPr>
          <w:rFonts w:asciiTheme="minorHAnsi" w:eastAsiaTheme="minorHAnsi" w:hAnsiTheme="minorHAnsi" w:cs="TimesNewRomanPSMT"/>
        </w:rPr>
        <w:t xml:space="preserve"> subjects on treatment. </w:t>
      </w:r>
      <w:r w:rsidRPr="00705C0F">
        <w:rPr>
          <w:rFonts w:asciiTheme="minorHAnsi" w:eastAsiaTheme="minorHAnsi" w:hAnsiTheme="minorHAnsi" w:cs="TimesNewRomanPSMT"/>
        </w:rPr>
        <w:t>Two</w:t>
      </w:r>
      <w:r>
        <w:rPr>
          <w:rFonts w:asciiTheme="minorHAnsi" w:eastAsiaTheme="minorHAnsi" w:hAnsiTheme="minorHAnsi" w:cs="TimesNewRomanPSMT"/>
        </w:rPr>
        <w:t xml:space="preserve"> </w:t>
      </w:r>
      <w:r w:rsidRPr="00705C0F">
        <w:rPr>
          <w:rFonts w:asciiTheme="minorHAnsi" w:eastAsiaTheme="minorHAnsi" w:hAnsiTheme="minorHAnsi" w:cs="TimesNewRomanPSMT"/>
        </w:rPr>
        <w:t>subjects achieved intermittent normal HDL levels on treatment.</w:t>
      </w:r>
    </w:p>
    <w:p w14:paraId="5B4C0E9C" w14:textId="77777777" w:rsidR="00CC672B" w:rsidRDefault="00934213" w:rsidP="00934213">
      <w:pPr>
        <w:pStyle w:val="Heading6"/>
        <w:rPr>
          <w:lang w:eastAsia="ja-JP"/>
        </w:rPr>
      </w:pPr>
      <w:r w:rsidRPr="00705C0F">
        <w:rPr>
          <w:lang w:eastAsia="ja-JP"/>
        </w:rPr>
        <w:lastRenderedPageBreak/>
        <w:t>Effects on serum ferritin</w:t>
      </w:r>
    </w:p>
    <w:p w14:paraId="0FD95276" w14:textId="1E5CD8FD" w:rsidR="00934213" w:rsidRDefault="00934213" w:rsidP="00934213">
      <w:pPr>
        <w:autoSpaceDE w:val="0"/>
        <w:autoSpaceDN w:val="0"/>
        <w:adjustRightInd w:val="0"/>
        <w:spacing w:before="0" w:line="240" w:lineRule="auto"/>
        <w:rPr>
          <w:rFonts w:asciiTheme="minorHAnsi" w:eastAsiaTheme="minorHAnsi" w:hAnsiTheme="minorHAnsi" w:cs="TimesNewRomanPSMT"/>
        </w:rPr>
      </w:pPr>
      <w:r w:rsidRPr="00705C0F">
        <w:rPr>
          <w:rFonts w:asciiTheme="minorHAnsi" w:eastAsiaTheme="minorHAnsi" w:hAnsiTheme="minorHAnsi" w:cs="TimesNewRomanPSMT"/>
        </w:rPr>
        <w:t>Serum ferritin decreased rapidly on treatment in all 6 surviving</w:t>
      </w:r>
      <w:r>
        <w:rPr>
          <w:rFonts w:asciiTheme="minorHAnsi" w:eastAsiaTheme="minorHAnsi" w:hAnsiTheme="minorHAnsi" w:cs="TimesNewRomanPSMT"/>
        </w:rPr>
        <w:t xml:space="preserve"> </w:t>
      </w:r>
      <w:r w:rsidRPr="00705C0F">
        <w:rPr>
          <w:rFonts w:asciiTheme="minorHAnsi" w:eastAsiaTheme="minorHAnsi" w:hAnsiTheme="minorHAnsi" w:cs="TimesNewRomanPSMT"/>
        </w:rPr>
        <w:t>subjects. The median</w:t>
      </w:r>
      <w:r>
        <w:rPr>
          <w:rFonts w:asciiTheme="minorHAnsi" w:eastAsiaTheme="minorHAnsi" w:hAnsiTheme="minorHAnsi" w:cs="TimesNewRomanPSMT"/>
        </w:rPr>
        <w:t xml:space="preserve"> </w:t>
      </w:r>
      <w:r w:rsidRPr="00705C0F">
        <w:rPr>
          <w:rFonts w:asciiTheme="minorHAnsi" w:eastAsiaTheme="minorHAnsi" w:hAnsiTheme="minorHAnsi" w:cs="TimesNewRomanPSMT"/>
        </w:rPr>
        <w:t xml:space="preserve">reduction in serum ferritin was </w:t>
      </w:r>
      <w:r w:rsidR="00FD1D3C">
        <w:rPr>
          <w:rFonts w:asciiTheme="minorHAnsi" w:eastAsiaTheme="minorHAnsi" w:hAnsiTheme="minorHAnsi" w:cs="TimesNewRomanPSMT"/>
        </w:rPr>
        <w:noBreakHyphen/>
      </w:r>
      <w:r w:rsidRPr="00705C0F">
        <w:rPr>
          <w:rFonts w:asciiTheme="minorHAnsi" w:eastAsiaTheme="minorHAnsi" w:hAnsiTheme="minorHAnsi" w:cs="TimesNewRomanPSMT"/>
        </w:rPr>
        <w:t xml:space="preserve">122.0 </w:t>
      </w:r>
      <w:r w:rsidR="00DE644C">
        <w:rPr>
          <w:rFonts w:asciiTheme="minorHAnsi" w:eastAsiaTheme="minorHAnsi" w:hAnsiTheme="minorHAnsi" w:cs="TimesNewRomanPSMT"/>
        </w:rPr>
        <w:t>µ</w:t>
      </w:r>
      <w:r w:rsidRPr="00705C0F">
        <w:rPr>
          <w:rFonts w:asciiTheme="minorHAnsi" w:eastAsiaTheme="minorHAnsi" w:hAnsiTheme="minorHAnsi" w:cs="TimesNewRomanPSMT"/>
        </w:rPr>
        <w:t>g/L by Week 1 (n</w:t>
      </w:r>
      <w:r w:rsidR="002D28A4">
        <w:rPr>
          <w:rFonts w:asciiTheme="minorHAnsi" w:eastAsiaTheme="minorHAnsi" w:hAnsiTheme="minorHAnsi" w:cs="TimesNewRomanPSMT"/>
        </w:rPr>
        <w:t xml:space="preserve"> = </w:t>
      </w:r>
      <w:r w:rsidRPr="00705C0F">
        <w:rPr>
          <w:rFonts w:asciiTheme="minorHAnsi" w:eastAsiaTheme="minorHAnsi" w:hAnsiTheme="minorHAnsi" w:cs="TimesNewRomanPSMT"/>
        </w:rPr>
        <w:t xml:space="preserve">4) and </w:t>
      </w:r>
      <w:r w:rsidR="00FD1D3C">
        <w:rPr>
          <w:rFonts w:asciiTheme="minorHAnsi" w:eastAsiaTheme="minorHAnsi" w:hAnsiTheme="minorHAnsi" w:cs="TimesNewRomanPSMT"/>
        </w:rPr>
        <w:noBreakHyphen/>
      </w:r>
      <w:r w:rsidRPr="00705C0F">
        <w:rPr>
          <w:rFonts w:asciiTheme="minorHAnsi" w:eastAsiaTheme="minorHAnsi" w:hAnsiTheme="minorHAnsi" w:cs="TimesNewRomanPSMT"/>
        </w:rPr>
        <w:t xml:space="preserve">269.3 </w:t>
      </w:r>
      <w:r w:rsidR="00DE644C">
        <w:rPr>
          <w:rFonts w:asciiTheme="minorHAnsi" w:eastAsiaTheme="minorHAnsi" w:hAnsiTheme="minorHAnsi" w:cs="TimesNewRomanPSMT"/>
        </w:rPr>
        <w:t>µ</w:t>
      </w:r>
      <w:r w:rsidRPr="00705C0F">
        <w:rPr>
          <w:rFonts w:asciiTheme="minorHAnsi" w:eastAsiaTheme="minorHAnsi" w:hAnsiTheme="minorHAnsi" w:cs="TimesNewRomanPSMT"/>
        </w:rPr>
        <w:t>g/L by</w:t>
      </w:r>
      <w:r>
        <w:rPr>
          <w:rFonts w:asciiTheme="minorHAnsi" w:eastAsiaTheme="minorHAnsi" w:hAnsiTheme="minorHAnsi" w:cs="TimesNewRomanPSMT"/>
        </w:rPr>
        <w:t xml:space="preserve"> </w:t>
      </w:r>
      <w:r w:rsidRPr="00705C0F">
        <w:rPr>
          <w:rFonts w:asciiTheme="minorHAnsi" w:eastAsiaTheme="minorHAnsi" w:hAnsiTheme="minorHAnsi" w:cs="TimesNewRomanPSMT"/>
        </w:rPr>
        <w:t>Week 6. Ferritin levels normalised in all 4 subjects who had an elevated baseline level;</w:t>
      </w:r>
      <w:r>
        <w:rPr>
          <w:rFonts w:asciiTheme="minorHAnsi" w:eastAsiaTheme="minorHAnsi" w:hAnsiTheme="minorHAnsi" w:cs="TimesNewRomanPSMT"/>
        </w:rPr>
        <w:t xml:space="preserve"> </w:t>
      </w:r>
      <w:r w:rsidRPr="00705C0F">
        <w:rPr>
          <w:rFonts w:asciiTheme="minorHAnsi" w:eastAsiaTheme="minorHAnsi" w:hAnsiTheme="minorHAnsi" w:cs="TimesNewRomanPSMT"/>
        </w:rPr>
        <w:t>time to normalisation ranged from approximately 1 week to 13 weeks</w:t>
      </w:r>
      <w:r>
        <w:rPr>
          <w:rFonts w:asciiTheme="minorHAnsi" w:eastAsiaTheme="minorHAnsi" w:hAnsiTheme="minorHAnsi" w:cs="TimesNewRomanPSMT"/>
        </w:rPr>
        <w:t>.</w:t>
      </w:r>
    </w:p>
    <w:p w14:paraId="1F3D3FE7" w14:textId="77777777" w:rsidR="00934213" w:rsidRPr="00805104" w:rsidRDefault="00934213" w:rsidP="00934213">
      <w:pPr>
        <w:pStyle w:val="Comment"/>
      </w:pPr>
      <w:r>
        <w:rPr>
          <w:b/>
        </w:rPr>
        <w:t>Comment</w:t>
      </w:r>
      <w:r w:rsidRPr="00934213">
        <w:rPr>
          <w:b/>
        </w:rPr>
        <w:t>:</w:t>
      </w:r>
      <w:r w:rsidRPr="000D329F">
        <w:t xml:space="preserve"> </w:t>
      </w:r>
      <w:r w:rsidRPr="00805104">
        <w:t>Elevations in serum ferritin are consistent with macrophage activation syndrome, a form of HLH that has recently been recognised in th</w:t>
      </w:r>
      <w:r w:rsidR="00FD1D3C" w:rsidRPr="00805104">
        <w:t>e differential diagnosis of LAL </w:t>
      </w:r>
      <w:r w:rsidRPr="00805104">
        <w:t>Deficiency in infancy (</w:t>
      </w:r>
      <w:proofErr w:type="spellStart"/>
      <w:r w:rsidRPr="00805104">
        <w:t>Taurisano</w:t>
      </w:r>
      <w:proofErr w:type="spellEnd"/>
      <w:r w:rsidRPr="00805104">
        <w:t xml:space="preserve">, 2014). In critically ill patients, </w:t>
      </w:r>
      <w:proofErr w:type="spellStart"/>
      <w:r w:rsidRPr="00805104">
        <w:t>hyperferritinaemia</w:t>
      </w:r>
      <w:proofErr w:type="spellEnd"/>
      <w:r w:rsidRPr="00805104">
        <w:t xml:space="preserve"> is associated with the severity of the underlying disease, which is consistent with the severe disease profile of the subjects enrolled in this </w:t>
      </w:r>
      <w:r w:rsidR="00C4359A" w:rsidRPr="00805104">
        <w:t>study</w:t>
      </w:r>
      <w:r w:rsidRPr="00805104">
        <w:t xml:space="preserve"> and especially those with marked elevations of ferritin (</w:t>
      </w:r>
      <w:proofErr w:type="spellStart"/>
      <w:r w:rsidRPr="00805104">
        <w:t>Rosário</w:t>
      </w:r>
      <w:proofErr w:type="spellEnd"/>
      <w:r w:rsidRPr="00805104">
        <w:t xml:space="preserve">, 2013). The results from this </w:t>
      </w:r>
      <w:r w:rsidR="00C4359A" w:rsidRPr="00805104">
        <w:t>study</w:t>
      </w:r>
      <w:r w:rsidRPr="00805104">
        <w:t xml:space="preserve"> indicate that </w:t>
      </w:r>
      <w:proofErr w:type="spellStart"/>
      <w:r w:rsidRPr="00805104">
        <w:t>sebelipase</w:t>
      </w:r>
      <w:proofErr w:type="spellEnd"/>
      <w:r w:rsidRPr="00805104">
        <w:t xml:space="preserve"> alfa was effective controlling ferritin levels and the associated inflammatory environment.</w:t>
      </w:r>
    </w:p>
    <w:p w14:paraId="0BC93BE4" w14:textId="77777777" w:rsidR="00CC672B" w:rsidRDefault="00934213" w:rsidP="00934213">
      <w:pPr>
        <w:pStyle w:val="Heading6"/>
        <w:rPr>
          <w:lang w:eastAsia="ja-JP"/>
        </w:rPr>
      </w:pPr>
      <w:r>
        <w:rPr>
          <w:lang w:eastAsia="ja-JP"/>
        </w:rPr>
        <w:t>Effect on diet</w:t>
      </w:r>
    </w:p>
    <w:p w14:paraId="420B4B6E" w14:textId="77777777" w:rsidR="00934213" w:rsidRPr="00705C0F" w:rsidRDefault="00934213" w:rsidP="00934213">
      <w:pPr>
        <w:autoSpaceDE w:val="0"/>
        <w:autoSpaceDN w:val="0"/>
        <w:adjustRightInd w:val="0"/>
        <w:spacing w:before="0" w:line="240" w:lineRule="auto"/>
        <w:rPr>
          <w:rFonts w:asciiTheme="minorHAnsi" w:hAnsiTheme="minorHAnsi" w:cs="Calibri"/>
          <w:u w:val="single"/>
          <w:lang w:eastAsia="ja-JP"/>
        </w:rPr>
      </w:pPr>
      <w:r w:rsidRPr="00705C0F">
        <w:rPr>
          <w:rFonts w:asciiTheme="minorHAnsi" w:eastAsiaTheme="minorHAnsi" w:hAnsiTheme="minorHAnsi" w:cs="TimesNewRomanPSMT"/>
        </w:rPr>
        <w:t>Two of the 6 surviving subjects were able to reduce their need for</w:t>
      </w:r>
      <w:r w:rsidR="00CC672B">
        <w:rPr>
          <w:rFonts w:asciiTheme="minorHAnsi" w:eastAsiaTheme="minorHAnsi" w:hAnsiTheme="minorHAnsi" w:cs="TimesNewRomanPSMT"/>
        </w:rPr>
        <w:t xml:space="preserve"> </w:t>
      </w:r>
      <w:r>
        <w:rPr>
          <w:rFonts w:asciiTheme="minorHAnsi" w:eastAsiaTheme="minorHAnsi" w:hAnsiTheme="minorHAnsi" w:cs="TimesNewRomanPSMT"/>
        </w:rPr>
        <w:t>e</w:t>
      </w:r>
      <w:r w:rsidRPr="00705C0F">
        <w:rPr>
          <w:rFonts w:asciiTheme="minorHAnsi" w:eastAsiaTheme="minorHAnsi" w:hAnsiTheme="minorHAnsi" w:cs="TimesNewRomanPSMT"/>
        </w:rPr>
        <w:t>nteral/</w:t>
      </w:r>
      <w:r>
        <w:rPr>
          <w:rFonts w:asciiTheme="minorHAnsi" w:eastAsiaTheme="minorHAnsi" w:hAnsiTheme="minorHAnsi" w:cs="TimesNewRomanPSMT"/>
        </w:rPr>
        <w:t xml:space="preserve"> </w:t>
      </w:r>
      <w:r w:rsidRPr="00705C0F">
        <w:rPr>
          <w:rFonts w:asciiTheme="minorHAnsi" w:eastAsiaTheme="minorHAnsi" w:hAnsiTheme="minorHAnsi" w:cs="TimesNewRomanPSMT"/>
        </w:rPr>
        <w:t>parenteral</w:t>
      </w:r>
      <w:r>
        <w:rPr>
          <w:rFonts w:asciiTheme="minorHAnsi" w:eastAsiaTheme="minorHAnsi" w:hAnsiTheme="minorHAnsi" w:cs="TimesNewRomanPSMT"/>
        </w:rPr>
        <w:t xml:space="preserve"> </w:t>
      </w:r>
      <w:r w:rsidRPr="00705C0F">
        <w:rPr>
          <w:rFonts w:asciiTheme="minorHAnsi" w:eastAsiaTheme="minorHAnsi" w:hAnsiTheme="minorHAnsi" w:cs="TimesNewRomanPSMT"/>
        </w:rPr>
        <w:t xml:space="preserve">supplements during treatment with </w:t>
      </w:r>
      <w:proofErr w:type="spellStart"/>
      <w:r w:rsidRPr="00705C0F">
        <w:rPr>
          <w:rFonts w:asciiTheme="minorHAnsi" w:eastAsiaTheme="minorHAnsi" w:hAnsiTheme="minorHAnsi" w:cs="TimesNewRomanPSMT"/>
        </w:rPr>
        <w:t>sebelipase</w:t>
      </w:r>
      <w:proofErr w:type="spellEnd"/>
      <w:r w:rsidRPr="00705C0F">
        <w:rPr>
          <w:rFonts w:asciiTheme="minorHAnsi" w:eastAsiaTheme="minorHAnsi" w:hAnsiTheme="minorHAnsi" w:cs="TimesNewRomanPSMT"/>
        </w:rPr>
        <w:t xml:space="preserve"> alfa. Both subjects were receiving</w:t>
      </w:r>
      <w:r>
        <w:rPr>
          <w:rFonts w:asciiTheme="minorHAnsi" w:eastAsiaTheme="minorHAnsi" w:hAnsiTheme="minorHAnsi" w:cs="TimesNewRomanPSMT"/>
        </w:rPr>
        <w:t xml:space="preserve"> </w:t>
      </w:r>
      <w:r w:rsidRPr="00705C0F">
        <w:rPr>
          <w:rFonts w:asciiTheme="minorHAnsi" w:eastAsiaTheme="minorHAnsi" w:hAnsiTheme="minorHAnsi" w:cs="TimesNewRomanPSMT"/>
        </w:rPr>
        <w:t>TPN/PPN for an extended period during the initial months of therapy, and were able to</w:t>
      </w:r>
      <w:r>
        <w:rPr>
          <w:rFonts w:asciiTheme="minorHAnsi" w:eastAsiaTheme="minorHAnsi" w:hAnsiTheme="minorHAnsi" w:cs="TimesNewRomanPSMT"/>
        </w:rPr>
        <w:t xml:space="preserve"> </w:t>
      </w:r>
      <w:r w:rsidRPr="00705C0F">
        <w:rPr>
          <w:rFonts w:asciiTheme="minorHAnsi" w:eastAsiaTheme="minorHAnsi" w:hAnsiTheme="minorHAnsi" w:cs="TimesNewRomanPSMT"/>
        </w:rPr>
        <w:t>discontinue routine use of TPN/PPN by Day 250 or Day 59. One of the subjects also</w:t>
      </w:r>
      <w:r>
        <w:rPr>
          <w:rFonts w:asciiTheme="minorHAnsi" w:eastAsiaTheme="minorHAnsi" w:hAnsiTheme="minorHAnsi" w:cs="TimesNewRomanPSMT"/>
        </w:rPr>
        <w:t xml:space="preserve"> </w:t>
      </w:r>
      <w:r w:rsidRPr="00705C0F">
        <w:rPr>
          <w:rFonts w:asciiTheme="minorHAnsi" w:eastAsiaTheme="minorHAnsi" w:hAnsiTheme="minorHAnsi" w:cs="TimesNewRomanPSMT"/>
        </w:rPr>
        <w:t>discontinued regular use of enteral supplements (</w:t>
      </w:r>
      <w:proofErr w:type="spellStart"/>
      <w:r w:rsidRPr="00705C0F">
        <w:rPr>
          <w:rFonts w:asciiTheme="minorHAnsi" w:eastAsiaTheme="minorHAnsi" w:hAnsiTheme="minorHAnsi" w:cs="TimesNewRomanPSMT"/>
        </w:rPr>
        <w:t>Liquigen</w:t>
      </w:r>
      <w:proofErr w:type="spellEnd"/>
      <w:r w:rsidRPr="00705C0F">
        <w:rPr>
          <w:rFonts w:asciiTheme="minorHAnsi" w:eastAsiaTheme="minorHAnsi" w:hAnsiTheme="minorHAnsi" w:cs="TimesNewRomanPSMT"/>
        </w:rPr>
        <w:t>, complete amino acids) and is</w:t>
      </w:r>
      <w:r>
        <w:rPr>
          <w:rFonts w:asciiTheme="minorHAnsi" w:eastAsiaTheme="minorHAnsi" w:hAnsiTheme="minorHAnsi" w:cs="TimesNewRomanPSMT"/>
        </w:rPr>
        <w:t xml:space="preserve"> </w:t>
      </w:r>
      <w:r w:rsidRPr="00705C0F">
        <w:rPr>
          <w:rFonts w:asciiTheme="minorHAnsi" w:eastAsiaTheme="minorHAnsi" w:hAnsiTheme="minorHAnsi" w:cs="TimesNewRomanPSMT"/>
        </w:rPr>
        <w:t>now receiving small amount of low-fat solid food. The</w:t>
      </w:r>
      <w:r>
        <w:rPr>
          <w:rFonts w:asciiTheme="minorHAnsi" w:eastAsiaTheme="minorHAnsi" w:hAnsiTheme="minorHAnsi" w:cs="TimesNewRomanPSMT"/>
        </w:rPr>
        <w:t xml:space="preserve"> </w:t>
      </w:r>
      <w:r w:rsidRPr="00705C0F">
        <w:rPr>
          <w:rFonts w:asciiTheme="minorHAnsi" w:eastAsiaTheme="minorHAnsi" w:hAnsiTheme="minorHAnsi" w:cs="TimesNewRomanPSMT"/>
        </w:rPr>
        <w:t>other 4 surviving subjects were essentially stable with respect to food intake throughout</w:t>
      </w:r>
      <w:r>
        <w:rPr>
          <w:rFonts w:asciiTheme="minorHAnsi" w:eastAsiaTheme="minorHAnsi" w:hAnsiTheme="minorHAnsi" w:cs="TimesNewRomanPSMT"/>
        </w:rPr>
        <w:t xml:space="preserve"> </w:t>
      </w:r>
      <w:r w:rsidRPr="00705C0F">
        <w:rPr>
          <w:rFonts w:asciiTheme="minorHAnsi" w:eastAsiaTheme="minorHAnsi" w:hAnsiTheme="minorHAnsi" w:cs="TimesNewRomanPSMT"/>
        </w:rPr>
        <w:t xml:space="preserve">treatment with </w:t>
      </w:r>
      <w:proofErr w:type="spellStart"/>
      <w:r w:rsidRPr="00705C0F">
        <w:rPr>
          <w:rFonts w:asciiTheme="minorHAnsi" w:eastAsiaTheme="minorHAnsi" w:hAnsiTheme="minorHAnsi" w:cs="TimesNewRomanPSMT"/>
        </w:rPr>
        <w:t>sebelipase</w:t>
      </w:r>
      <w:proofErr w:type="spellEnd"/>
      <w:r w:rsidRPr="00705C0F">
        <w:rPr>
          <w:rFonts w:asciiTheme="minorHAnsi" w:eastAsiaTheme="minorHAnsi" w:hAnsiTheme="minorHAnsi" w:cs="TimesNewRomanPSMT"/>
        </w:rPr>
        <w:t xml:space="preserve"> alfa</w:t>
      </w:r>
      <w:r>
        <w:rPr>
          <w:rFonts w:asciiTheme="minorHAnsi" w:eastAsiaTheme="minorHAnsi" w:hAnsiTheme="minorHAnsi" w:cs="TimesNewRomanPSMT"/>
        </w:rPr>
        <w:t>.</w:t>
      </w:r>
    </w:p>
    <w:p w14:paraId="46599E3E" w14:textId="77777777" w:rsidR="00934213" w:rsidRDefault="00934213" w:rsidP="00934213">
      <w:pPr>
        <w:pStyle w:val="Heading6"/>
        <w:rPr>
          <w:rFonts w:eastAsiaTheme="minorHAnsi"/>
        </w:rPr>
      </w:pPr>
      <w:r w:rsidRPr="007211E1">
        <w:rPr>
          <w:rFonts w:eastAsiaTheme="minorHAnsi"/>
        </w:rPr>
        <w:t>Development milestones</w:t>
      </w:r>
    </w:p>
    <w:p w14:paraId="77187DD9" w14:textId="0C57EF8D" w:rsidR="00934213" w:rsidRDefault="00FD1D3C" w:rsidP="00934213">
      <w:pPr>
        <w:autoSpaceDE w:val="0"/>
        <w:autoSpaceDN w:val="0"/>
        <w:adjustRightInd w:val="0"/>
        <w:spacing w:before="0" w:line="240" w:lineRule="auto"/>
        <w:rPr>
          <w:rFonts w:asciiTheme="minorHAnsi" w:eastAsiaTheme="minorHAnsi" w:hAnsiTheme="minorHAnsi" w:cs="TimesNewRomanPSMT"/>
        </w:rPr>
      </w:pPr>
      <w:r w:rsidRPr="007211E1">
        <w:rPr>
          <w:rFonts w:eastAsiaTheme="minorHAnsi"/>
        </w:rPr>
        <w:t>Development milestones</w:t>
      </w:r>
      <w:r w:rsidR="00934213" w:rsidRPr="007211E1">
        <w:rPr>
          <w:rFonts w:asciiTheme="minorHAnsi" w:eastAsiaTheme="minorHAnsi" w:hAnsiTheme="minorHAnsi" w:cs="TimesNewRomanPSMT"/>
        </w:rPr>
        <w:t xml:space="preserve"> were primarily normal for those subjects who were on treatment</w:t>
      </w:r>
      <w:r w:rsidR="00934213">
        <w:rPr>
          <w:rFonts w:asciiTheme="minorHAnsi" w:eastAsiaTheme="minorHAnsi" w:hAnsiTheme="minorHAnsi" w:cs="TimesNewRomanPSMT"/>
        </w:rPr>
        <w:t xml:space="preserve"> </w:t>
      </w:r>
      <w:r w:rsidR="00934213" w:rsidRPr="007211E1">
        <w:rPr>
          <w:rFonts w:asciiTheme="minorHAnsi" w:eastAsiaTheme="minorHAnsi" w:hAnsiTheme="minorHAnsi" w:cs="TimesNewRomanPSMT"/>
        </w:rPr>
        <w:t>with</w:t>
      </w:r>
      <w:r w:rsidR="00CC672B">
        <w:rPr>
          <w:rFonts w:asciiTheme="minorHAnsi" w:eastAsiaTheme="minorHAnsi" w:hAnsiTheme="minorHAnsi" w:cs="TimesNewRomanPSMT"/>
        </w:rPr>
        <w:t xml:space="preserve"> </w:t>
      </w:r>
      <w:proofErr w:type="spellStart"/>
      <w:r w:rsidR="00934213" w:rsidRPr="007211E1">
        <w:rPr>
          <w:rFonts w:asciiTheme="minorHAnsi" w:eastAsiaTheme="minorHAnsi" w:hAnsiTheme="minorHAnsi" w:cs="TimesNewRomanPSMT"/>
        </w:rPr>
        <w:t>sebelipase</w:t>
      </w:r>
      <w:proofErr w:type="spellEnd"/>
      <w:r w:rsidR="00934213" w:rsidRPr="007211E1">
        <w:rPr>
          <w:rFonts w:asciiTheme="minorHAnsi" w:eastAsiaTheme="minorHAnsi" w:hAnsiTheme="minorHAnsi" w:cs="TimesNewRomanPSMT"/>
        </w:rPr>
        <w:t xml:space="preserve"> alfa for 24 weeks or longer. No subject tested as abnormal in any skill</w:t>
      </w:r>
      <w:r w:rsidR="00934213">
        <w:rPr>
          <w:rFonts w:asciiTheme="minorHAnsi" w:eastAsiaTheme="minorHAnsi" w:hAnsiTheme="minorHAnsi" w:cs="TimesNewRomanPSMT"/>
        </w:rPr>
        <w:t xml:space="preserve"> </w:t>
      </w:r>
      <w:r w:rsidR="00934213" w:rsidRPr="007211E1">
        <w:rPr>
          <w:rFonts w:asciiTheme="minorHAnsi" w:eastAsiaTheme="minorHAnsi" w:hAnsiTheme="minorHAnsi" w:cs="TimesNewRomanPSMT"/>
        </w:rPr>
        <w:t xml:space="preserve">area at any time point, and </w:t>
      </w:r>
      <w:r w:rsidR="00F056E7">
        <w:rPr>
          <w:rFonts w:asciiTheme="minorHAnsi" w:eastAsiaTheme="minorHAnsi" w:hAnsiTheme="minorHAnsi" w:cs="TimesNewRomanPSMT"/>
        </w:rPr>
        <w:t>‘</w:t>
      </w:r>
      <w:r w:rsidR="00934213" w:rsidRPr="007211E1">
        <w:rPr>
          <w:rFonts w:asciiTheme="minorHAnsi" w:eastAsiaTheme="minorHAnsi" w:hAnsiTheme="minorHAnsi" w:cs="TimesNewRomanPSMT"/>
        </w:rPr>
        <w:t>suspect</w:t>
      </w:r>
      <w:r w:rsidR="00F056E7">
        <w:rPr>
          <w:rFonts w:asciiTheme="minorHAnsi" w:eastAsiaTheme="minorHAnsi" w:hAnsiTheme="minorHAnsi" w:cs="TimesNewRomanPSMT"/>
        </w:rPr>
        <w:t>’</w:t>
      </w:r>
      <w:r w:rsidR="00934213" w:rsidRPr="007211E1">
        <w:rPr>
          <w:rFonts w:asciiTheme="minorHAnsi" w:eastAsiaTheme="minorHAnsi" w:hAnsiTheme="minorHAnsi" w:cs="TimesNewRomanPSMT"/>
        </w:rPr>
        <w:t xml:space="preserve"> test results were reported in only a few instances in</w:t>
      </w:r>
      <w:r w:rsidR="00934213">
        <w:rPr>
          <w:rFonts w:asciiTheme="minorHAnsi" w:eastAsiaTheme="minorHAnsi" w:hAnsiTheme="minorHAnsi" w:cs="TimesNewRomanPSMT"/>
        </w:rPr>
        <w:t xml:space="preserve"> </w:t>
      </w:r>
      <w:r w:rsidR="00934213" w:rsidRPr="007211E1">
        <w:rPr>
          <w:rFonts w:asciiTheme="minorHAnsi" w:eastAsiaTheme="minorHAnsi" w:hAnsiTheme="minorHAnsi" w:cs="TimesNewRomanPSMT"/>
        </w:rPr>
        <w:t>gross motor and language skills. At Week 24, language, fine motor adaptive, and</w:t>
      </w:r>
      <w:r w:rsidR="00934213">
        <w:rPr>
          <w:rFonts w:asciiTheme="minorHAnsi" w:eastAsiaTheme="minorHAnsi" w:hAnsiTheme="minorHAnsi" w:cs="TimesNewRomanPSMT"/>
        </w:rPr>
        <w:t xml:space="preserve"> </w:t>
      </w:r>
      <w:r>
        <w:rPr>
          <w:rFonts w:asciiTheme="minorHAnsi" w:eastAsiaTheme="minorHAnsi" w:hAnsiTheme="minorHAnsi" w:cs="TimesNewRomanPSMT"/>
        </w:rPr>
        <w:t xml:space="preserve">personal </w:t>
      </w:r>
      <w:r w:rsidR="00934213" w:rsidRPr="007211E1">
        <w:rPr>
          <w:rFonts w:asciiTheme="minorHAnsi" w:eastAsiaTheme="minorHAnsi" w:hAnsiTheme="minorHAnsi" w:cs="TimesNewRomanPSMT"/>
        </w:rPr>
        <w:t>social skills were normal in 4 of the 5 subjects and gross motor skills were</w:t>
      </w:r>
      <w:r w:rsidR="00934213">
        <w:rPr>
          <w:rFonts w:asciiTheme="minorHAnsi" w:eastAsiaTheme="minorHAnsi" w:hAnsiTheme="minorHAnsi" w:cs="TimesNewRomanPSMT"/>
        </w:rPr>
        <w:t xml:space="preserve"> </w:t>
      </w:r>
      <w:r w:rsidR="00934213" w:rsidRPr="007211E1">
        <w:rPr>
          <w:rFonts w:asciiTheme="minorHAnsi" w:eastAsiaTheme="minorHAnsi" w:hAnsiTheme="minorHAnsi" w:cs="TimesNewRomanPSMT"/>
        </w:rPr>
        <w:t>normal in 2 of the 5 subjects. Data appeared similar at later time points, although much</w:t>
      </w:r>
      <w:r w:rsidR="00934213">
        <w:rPr>
          <w:rFonts w:asciiTheme="minorHAnsi" w:eastAsiaTheme="minorHAnsi" w:hAnsiTheme="minorHAnsi" w:cs="TimesNewRomanPSMT"/>
        </w:rPr>
        <w:t xml:space="preserve"> </w:t>
      </w:r>
      <w:r w:rsidR="00934213" w:rsidRPr="007211E1">
        <w:rPr>
          <w:rFonts w:asciiTheme="minorHAnsi" w:eastAsiaTheme="minorHAnsi" w:hAnsiTheme="minorHAnsi" w:cs="TimesNewRomanPSMT"/>
        </w:rPr>
        <w:t>more limited.</w:t>
      </w:r>
    </w:p>
    <w:p w14:paraId="01A0D90F" w14:textId="77777777" w:rsidR="00CC672B" w:rsidRDefault="00934213" w:rsidP="00787F40">
      <w:pPr>
        <w:pStyle w:val="Heading5"/>
        <w:rPr>
          <w:lang w:eastAsia="ja-JP"/>
        </w:rPr>
      </w:pPr>
      <w:r w:rsidRPr="000D329F">
        <w:rPr>
          <w:lang w:eastAsia="ja-JP"/>
        </w:rPr>
        <w:t>Overall Comments</w:t>
      </w:r>
    </w:p>
    <w:p w14:paraId="12B3C53B" w14:textId="77777777" w:rsidR="00B73619" w:rsidRDefault="00934213" w:rsidP="00787F40">
      <w:pPr>
        <w:pStyle w:val="ListBullet"/>
      </w:pPr>
      <w:r w:rsidRPr="000D329F">
        <w:rPr>
          <w:lang w:eastAsia="ja-JP"/>
        </w:rPr>
        <w:t xml:space="preserve">This was the only </w:t>
      </w:r>
      <w:r w:rsidR="00FD1D3C">
        <w:rPr>
          <w:lang w:eastAsia="ja-JP"/>
        </w:rPr>
        <w:t>s</w:t>
      </w:r>
      <w:r w:rsidR="00157E63">
        <w:rPr>
          <w:lang w:eastAsia="ja-JP"/>
        </w:rPr>
        <w:t>tudy</w:t>
      </w:r>
      <w:r w:rsidRPr="000D329F">
        <w:rPr>
          <w:lang w:eastAsia="ja-JP"/>
        </w:rPr>
        <w:t xml:space="preserve"> which evaluated the effect of </w:t>
      </w:r>
      <w:proofErr w:type="spellStart"/>
      <w:r w:rsidRPr="000D329F">
        <w:rPr>
          <w:lang w:eastAsia="ja-JP"/>
        </w:rPr>
        <w:t>sebelipase</w:t>
      </w:r>
      <w:proofErr w:type="spellEnd"/>
      <w:r w:rsidRPr="000D329F">
        <w:rPr>
          <w:lang w:eastAsia="ja-JP"/>
        </w:rPr>
        <w:t xml:space="preserve"> alfa in infants </w:t>
      </w:r>
      <w:r>
        <w:rPr>
          <w:lang w:eastAsia="ja-JP"/>
        </w:rPr>
        <w:t xml:space="preserve">with LAL deficiency showing evidence of </w:t>
      </w:r>
      <w:r w:rsidRPr="000D329F">
        <w:rPr>
          <w:lang w:eastAsia="ja-JP"/>
        </w:rPr>
        <w:t>growth failure. This group of patients with LAL deficiency represents a subgroup with serious complications and high mortality and morbidity risks.</w:t>
      </w:r>
      <w:r w:rsidRPr="000D329F">
        <w:t xml:space="preserve"> Subjects in the current </w:t>
      </w:r>
      <w:r w:rsidR="00FD1D3C">
        <w:t>s</w:t>
      </w:r>
      <w:r w:rsidR="00157E63">
        <w:t>tudy</w:t>
      </w:r>
      <w:r w:rsidRPr="000D329F">
        <w:t xml:space="preserve"> presented with signs and/or symptoms and were diagnosed with LAL Deficiency between birth and 5.8 months of age</w:t>
      </w:r>
      <w:r>
        <w:t xml:space="preserve">. </w:t>
      </w:r>
      <w:r w:rsidRPr="000D329F">
        <w:t xml:space="preserve">Overall, the baseline disease characteristics in this </w:t>
      </w:r>
      <w:r w:rsidR="00FD1D3C">
        <w:t>s</w:t>
      </w:r>
      <w:r w:rsidR="00157E63">
        <w:t>tudy</w:t>
      </w:r>
      <w:r w:rsidRPr="000D329F">
        <w:t xml:space="preserve"> population, including medical history, laboratory evaluations, and concomitant supportive therapies, indicate that these infants presented with immediately </w:t>
      </w:r>
      <w:r w:rsidR="00FD1D3C">
        <w:t>life threatening</w:t>
      </w:r>
      <w:r w:rsidRPr="000D329F">
        <w:t xml:space="preserve"> </w:t>
      </w:r>
      <w:r w:rsidR="00FD1D3C">
        <w:t>multi systemic</w:t>
      </w:r>
      <w:r w:rsidRPr="000D329F">
        <w:t xml:space="preserve"> disease. Further</w:t>
      </w:r>
      <w:r>
        <w:t>more</w:t>
      </w:r>
      <w:r w:rsidRPr="000D329F">
        <w:t xml:space="preserve">, these baseline characteristics </w:t>
      </w:r>
      <w:r>
        <w:t>we</w:t>
      </w:r>
      <w:r w:rsidRPr="000D329F">
        <w:t xml:space="preserve">re consistent with those reported among the patients in natural history </w:t>
      </w:r>
      <w:r w:rsidR="00157E63">
        <w:t>Study</w:t>
      </w:r>
      <w:r w:rsidRPr="000D329F">
        <w:t xml:space="preserve"> LAL-1-NH01, supporting the comparison of survival data and outcomes between these 2 populations</w:t>
      </w:r>
      <w:r>
        <w:t xml:space="preserve">. Hence the </w:t>
      </w:r>
      <w:r w:rsidR="00FD1D3C">
        <w:t>s</w:t>
      </w:r>
      <w:r w:rsidR="00157E63">
        <w:t>tudy</w:t>
      </w:r>
      <w:r>
        <w:t xml:space="preserve"> design and primary efficacy endpoint of survival was appropriate</w:t>
      </w:r>
      <w:r w:rsidR="00B73619">
        <w:t>.</w:t>
      </w:r>
    </w:p>
    <w:p w14:paraId="15A2256E" w14:textId="77777777" w:rsidR="00934213" w:rsidRPr="000D329F" w:rsidRDefault="00934213" w:rsidP="00787F40">
      <w:pPr>
        <w:pStyle w:val="ListBullet"/>
        <w:rPr>
          <w:rFonts w:eastAsiaTheme="minorHAnsi"/>
        </w:rPr>
      </w:pPr>
      <w:r w:rsidRPr="000D329F">
        <w:rPr>
          <w:rFonts w:eastAsiaTheme="minorHAnsi"/>
        </w:rPr>
        <w:t>Dyslipidaemia is common in patients with LAL Deficiency and has been associated with accelerated atherosclerosis, which may become more apparent in children and adults as the disease develops in the absence of treatment. While lipid abnormalities and the associated risk of accelerated atherosclerosis and cardiovascular complications are important clinical outcomes contributing to morbidity and mortality in the broader LAL Deficiency patient population, for infants, early death continues to be largely due to severe failure to thrive and/or rapidly progressive liver disease in the absence of a treatment such as ERT that addresses the root cause of the disease</w:t>
      </w:r>
      <w:r>
        <w:rPr>
          <w:rFonts w:eastAsiaTheme="minorHAnsi"/>
        </w:rPr>
        <w:t>.</w:t>
      </w:r>
    </w:p>
    <w:p w14:paraId="0882A666" w14:textId="77777777" w:rsidR="00B73619" w:rsidRDefault="00934213" w:rsidP="00787F40">
      <w:pPr>
        <w:pStyle w:val="ListBullet"/>
      </w:pPr>
      <w:proofErr w:type="spellStart"/>
      <w:r w:rsidRPr="000901D1">
        <w:lastRenderedPageBreak/>
        <w:t>Sebelipase</w:t>
      </w:r>
      <w:proofErr w:type="spellEnd"/>
      <w:r w:rsidRPr="000901D1">
        <w:t xml:space="preserve"> alfa improves survival in subjects presenting with LAL Deficiency in infancy, with 67% (exact 95% CI</w:t>
      </w:r>
      <w:r w:rsidR="002D28A4">
        <w:t xml:space="preserve"> = </w:t>
      </w:r>
      <w:r w:rsidRPr="000901D1">
        <w:t xml:space="preserve">29.93%, 92.51%) of </w:t>
      </w:r>
      <w:proofErr w:type="spellStart"/>
      <w:r w:rsidRPr="000901D1">
        <w:t>sebelipase</w:t>
      </w:r>
      <w:proofErr w:type="spellEnd"/>
      <w:r w:rsidRPr="000901D1">
        <w:t xml:space="preserve"> alfa-t</w:t>
      </w:r>
      <w:r w:rsidR="00FD1D3C">
        <w:t>reated subjects surviving to 12 </w:t>
      </w:r>
      <w:r w:rsidRPr="000901D1">
        <w:t xml:space="preserve">months of age compared with 0% (0, 16.11%) of untreated patients in a historical control group. </w:t>
      </w:r>
      <w:proofErr w:type="spellStart"/>
      <w:r w:rsidRPr="000901D1">
        <w:t>Sebelipase</w:t>
      </w:r>
      <w:proofErr w:type="spellEnd"/>
      <w:r w:rsidRPr="000901D1">
        <w:t xml:space="preserve"> alfa produced clinically meaningful improvements in </w:t>
      </w:r>
      <w:r w:rsidR="00FD1D3C">
        <w:t>multi systemic</w:t>
      </w:r>
      <w:r w:rsidRPr="000901D1">
        <w:t xml:space="preserve"> and </w:t>
      </w:r>
      <w:r w:rsidR="00FD1D3C">
        <w:t>life threatening</w:t>
      </w:r>
      <w:r w:rsidRPr="000901D1">
        <w:t xml:space="preserve"> manifestations of LAL Deficiency presenting in infancy, including improvements in growth (WFA percentile), biochemical markers of liver injury, hepatosplenomegaly, haematological abnormalities such as anaemia and thrombocytopenia, serum ferritin and lipid profile. I</w:t>
      </w:r>
      <w:r w:rsidRPr="000901D1">
        <w:rPr>
          <w:color w:val="000000"/>
        </w:rPr>
        <w:t xml:space="preserve">nitiation of </w:t>
      </w:r>
      <w:proofErr w:type="spellStart"/>
      <w:r w:rsidRPr="000901D1">
        <w:rPr>
          <w:color w:val="000000"/>
        </w:rPr>
        <w:t>sebelipase</w:t>
      </w:r>
      <w:proofErr w:type="spellEnd"/>
      <w:r w:rsidRPr="000901D1">
        <w:rPr>
          <w:color w:val="000000"/>
        </w:rPr>
        <w:t xml:space="preserve"> alfa at doses up to 1 mg/kg </w:t>
      </w:r>
      <w:proofErr w:type="spellStart"/>
      <w:r w:rsidRPr="000901D1">
        <w:rPr>
          <w:color w:val="000000"/>
        </w:rPr>
        <w:t>qw</w:t>
      </w:r>
      <w:proofErr w:type="spellEnd"/>
      <w:r w:rsidRPr="000901D1">
        <w:rPr>
          <w:color w:val="000000"/>
        </w:rPr>
        <w:t xml:space="preserve"> (by IV infusion over 2 hours) resulted in improvements in ALT and AST levels and weight gain within the first several weeks of treatment. Dose adjustment to 3 mg/kg </w:t>
      </w:r>
      <w:proofErr w:type="spellStart"/>
      <w:r w:rsidRPr="000901D1">
        <w:rPr>
          <w:color w:val="000000"/>
        </w:rPr>
        <w:t>qw</w:t>
      </w:r>
      <w:proofErr w:type="spellEnd"/>
      <w:r w:rsidRPr="000901D1">
        <w:rPr>
          <w:color w:val="000000"/>
        </w:rPr>
        <w:t xml:space="preserve"> was associated with additional improvements in some parameters including weight gain, lymphadenopathy, and serum albumin. These results suggested that </w:t>
      </w:r>
      <w:r w:rsidRPr="000901D1">
        <w:t xml:space="preserve">disease stabilisation and improvement in some disease related abnormalities is achieved with a dose of </w:t>
      </w:r>
      <w:r w:rsidR="00FD1D3C">
        <w:t>1 </w:t>
      </w:r>
      <w:r w:rsidR="00131B1C">
        <w:t>mg</w:t>
      </w:r>
      <w:r w:rsidR="00FD1D3C">
        <w:t>/kg </w:t>
      </w:r>
      <w:proofErr w:type="spellStart"/>
      <w:r w:rsidRPr="000901D1">
        <w:t>qw</w:t>
      </w:r>
      <w:proofErr w:type="spellEnd"/>
      <w:r w:rsidRPr="000901D1">
        <w:t xml:space="preserve"> but higher doses of </w:t>
      </w:r>
      <w:proofErr w:type="spellStart"/>
      <w:r w:rsidRPr="000901D1">
        <w:t>sebelipase</w:t>
      </w:r>
      <w:proofErr w:type="spellEnd"/>
      <w:r w:rsidRPr="000901D1">
        <w:t xml:space="preserve"> alfa may be required to achieve an optimal response for some clinical outcome measures. It is important to note that the option to reduce infusion duration to 1 hour was not evaluated in infants</w:t>
      </w:r>
      <w:r w:rsidR="00B73619">
        <w:t>.</w:t>
      </w:r>
    </w:p>
    <w:p w14:paraId="17364015" w14:textId="77777777" w:rsidR="00934213" w:rsidRPr="000871CE" w:rsidRDefault="00157E63" w:rsidP="00787F40">
      <w:pPr>
        <w:pStyle w:val="Heading4"/>
      </w:pPr>
      <w:bookmarkStart w:id="250" w:name="_Toc468957475"/>
      <w:r>
        <w:t>Study</w:t>
      </w:r>
      <w:r w:rsidR="00934213" w:rsidRPr="000871CE">
        <w:t xml:space="preserve"> </w:t>
      </w:r>
      <w:bookmarkEnd w:id="248"/>
      <w:bookmarkEnd w:id="249"/>
      <w:r w:rsidR="00934213">
        <w:t>LAL-CL04</w:t>
      </w:r>
      <w:bookmarkEnd w:id="250"/>
    </w:p>
    <w:p w14:paraId="1745171F" w14:textId="77777777" w:rsidR="00934213" w:rsidRDefault="00934213" w:rsidP="00934213">
      <w:pPr>
        <w:autoSpaceDE w:val="0"/>
        <w:autoSpaceDN w:val="0"/>
        <w:adjustRightInd w:val="0"/>
        <w:spacing w:before="0" w:line="240" w:lineRule="auto"/>
        <w:rPr>
          <w:rFonts w:asciiTheme="minorHAnsi" w:eastAsiaTheme="minorHAnsi" w:hAnsiTheme="minorHAnsi" w:cs="TimesNewRomanPSMT"/>
        </w:rPr>
      </w:pPr>
      <w:bookmarkStart w:id="251" w:name="_Toc290888506"/>
      <w:bookmarkStart w:id="252" w:name="_Toc416353722"/>
      <w:r>
        <w:rPr>
          <w:rFonts w:asciiTheme="minorHAnsi" w:eastAsiaTheme="minorHAnsi" w:hAnsiTheme="minorHAnsi" w:cs="TimesNewRomanPSMT"/>
        </w:rPr>
        <w:t>This was an o</w:t>
      </w:r>
      <w:r w:rsidRPr="00415158">
        <w:rPr>
          <w:rFonts w:asciiTheme="minorHAnsi" w:eastAsiaTheme="minorHAnsi" w:hAnsiTheme="minorHAnsi" w:cs="TimesNewRomanPSMT"/>
        </w:rPr>
        <w:t xml:space="preserve">pen </w:t>
      </w:r>
      <w:r>
        <w:rPr>
          <w:rFonts w:asciiTheme="minorHAnsi" w:eastAsiaTheme="minorHAnsi" w:hAnsiTheme="minorHAnsi" w:cs="TimesNewRomanPSMT"/>
        </w:rPr>
        <w:t>l</w:t>
      </w:r>
      <w:r w:rsidRPr="00415158">
        <w:rPr>
          <w:rFonts w:asciiTheme="minorHAnsi" w:eastAsiaTheme="minorHAnsi" w:hAnsiTheme="minorHAnsi" w:cs="TimesNewRomanPSMT"/>
        </w:rPr>
        <w:t>abel</w:t>
      </w:r>
      <w:r>
        <w:rPr>
          <w:rFonts w:asciiTheme="minorHAnsi" w:eastAsiaTheme="minorHAnsi" w:hAnsiTheme="minorHAnsi" w:cs="TimesNewRomanPSMT"/>
        </w:rPr>
        <w:t xml:space="preserve">, </w:t>
      </w:r>
      <w:r w:rsidR="00B73619">
        <w:rPr>
          <w:rFonts w:asciiTheme="minorHAnsi" w:eastAsiaTheme="minorHAnsi" w:hAnsiTheme="minorHAnsi" w:cs="TimesNewRomanPSMT"/>
        </w:rPr>
        <w:t>Phase II</w:t>
      </w:r>
      <w:r>
        <w:rPr>
          <w:rFonts w:asciiTheme="minorHAnsi" w:eastAsiaTheme="minorHAnsi" w:hAnsiTheme="minorHAnsi" w:cs="TimesNewRomanPSMT"/>
        </w:rPr>
        <w:t>, m</w:t>
      </w:r>
      <w:r w:rsidRPr="00415158">
        <w:rPr>
          <w:rFonts w:asciiTheme="minorHAnsi" w:eastAsiaTheme="minorHAnsi" w:hAnsiTheme="minorHAnsi" w:cs="TimesNewRomanPSMT"/>
        </w:rPr>
        <w:t xml:space="preserve">ulticentre </w:t>
      </w:r>
      <w:r>
        <w:rPr>
          <w:rFonts w:asciiTheme="minorHAnsi" w:eastAsiaTheme="minorHAnsi" w:hAnsiTheme="minorHAnsi" w:cs="TimesNewRomanPSMT"/>
        </w:rPr>
        <w:t>e</w:t>
      </w:r>
      <w:r w:rsidRPr="00415158">
        <w:rPr>
          <w:rFonts w:asciiTheme="minorHAnsi" w:eastAsiaTheme="minorHAnsi" w:hAnsiTheme="minorHAnsi" w:cs="TimesNewRomanPSMT"/>
        </w:rPr>
        <w:t xml:space="preserve">xtension </w:t>
      </w:r>
      <w:r w:rsidR="00FD1D3C">
        <w:rPr>
          <w:rFonts w:asciiTheme="minorHAnsi" w:eastAsiaTheme="minorHAnsi" w:hAnsiTheme="minorHAnsi" w:cs="TimesNewRomanPSMT"/>
        </w:rPr>
        <w:t>s</w:t>
      </w:r>
      <w:r w:rsidR="00157E63">
        <w:rPr>
          <w:rFonts w:asciiTheme="minorHAnsi" w:eastAsiaTheme="minorHAnsi" w:hAnsiTheme="minorHAnsi" w:cs="TimesNewRomanPSMT"/>
        </w:rPr>
        <w:t>tudy</w:t>
      </w:r>
      <w:r w:rsidRPr="00415158">
        <w:rPr>
          <w:rFonts w:asciiTheme="minorHAnsi" w:eastAsiaTheme="minorHAnsi" w:hAnsiTheme="minorHAnsi" w:cs="TimesNewRomanPSMT"/>
        </w:rPr>
        <w:t xml:space="preserve"> in </w:t>
      </w:r>
      <w:r>
        <w:rPr>
          <w:rFonts w:asciiTheme="minorHAnsi" w:eastAsiaTheme="minorHAnsi" w:hAnsiTheme="minorHAnsi" w:cs="TimesNewRomanPSMT"/>
        </w:rPr>
        <w:t>a</w:t>
      </w:r>
      <w:r w:rsidRPr="00415158">
        <w:rPr>
          <w:rFonts w:asciiTheme="minorHAnsi" w:eastAsiaTheme="minorHAnsi" w:hAnsiTheme="minorHAnsi" w:cs="TimesNewRomanPSMT"/>
        </w:rPr>
        <w:t xml:space="preserve">dult </w:t>
      </w:r>
      <w:r>
        <w:rPr>
          <w:rFonts w:asciiTheme="minorHAnsi" w:eastAsiaTheme="minorHAnsi" w:hAnsiTheme="minorHAnsi" w:cs="TimesNewRomanPSMT"/>
        </w:rPr>
        <w:t>s</w:t>
      </w:r>
      <w:r w:rsidRPr="00415158">
        <w:rPr>
          <w:rFonts w:asciiTheme="minorHAnsi" w:eastAsiaTheme="minorHAnsi" w:hAnsiTheme="minorHAnsi" w:cs="TimesNewRomanPSMT"/>
        </w:rPr>
        <w:t xml:space="preserve">ubjects with </w:t>
      </w:r>
      <w:r>
        <w:rPr>
          <w:rFonts w:asciiTheme="minorHAnsi" w:eastAsiaTheme="minorHAnsi" w:hAnsiTheme="minorHAnsi" w:cs="TimesNewRomanPSMT"/>
        </w:rPr>
        <w:t>l</w:t>
      </w:r>
      <w:r w:rsidRPr="00415158">
        <w:rPr>
          <w:rFonts w:asciiTheme="minorHAnsi" w:eastAsiaTheme="minorHAnsi" w:hAnsiTheme="minorHAnsi" w:cs="TimesNewRomanPSMT"/>
        </w:rPr>
        <w:t xml:space="preserve">iver </w:t>
      </w:r>
      <w:r>
        <w:rPr>
          <w:rFonts w:asciiTheme="minorHAnsi" w:eastAsiaTheme="minorHAnsi" w:hAnsiTheme="minorHAnsi" w:cs="TimesNewRomanPSMT"/>
        </w:rPr>
        <w:t>d</w:t>
      </w:r>
      <w:r w:rsidRPr="00415158">
        <w:rPr>
          <w:rFonts w:asciiTheme="minorHAnsi" w:eastAsiaTheme="minorHAnsi" w:hAnsiTheme="minorHAnsi" w:cs="TimesNewRomanPSMT"/>
        </w:rPr>
        <w:t xml:space="preserve">ysfunction </w:t>
      </w:r>
      <w:r>
        <w:rPr>
          <w:rFonts w:asciiTheme="minorHAnsi" w:eastAsiaTheme="minorHAnsi" w:hAnsiTheme="minorHAnsi" w:cs="TimesNewRomanPSMT"/>
        </w:rPr>
        <w:t>d</w:t>
      </w:r>
      <w:r w:rsidRPr="00415158">
        <w:rPr>
          <w:rFonts w:asciiTheme="minorHAnsi" w:eastAsiaTheme="minorHAnsi" w:hAnsiTheme="minorHAnsi" w:cs="TimesNewRomanPSMT"/>
        </w:rPr>
        <w:t>ue to</w:t>
      </w:r>
      <w:r>
        <w:rPr>
          <w:rFonts w:asciiTheme="minorHAnsi" w:eastAsiaTheme="minorHAnsi" w:hAnsiTheme="minorHAnsi" w:cs="TimesNewRomanPSMT"/>
        </w:rPr>
        <w:t xml:space="preserve"> LAL </w:t>
      </w:r>
      <w:r w:rsidRPr="00415158">
        <w:rPr>
          <w:rFonts w:asciiTheme="minorHAnsi" w:eastAsiaTheme="minorHAnsi" w:hAnsiTheme="minorHAnsi" w:cs="TimesNewRomanPSMT"/>
        </w:rPr>
        <w:t xml:space="preserve">Deficiency </w:t>
      </w:r>
      <w:r>
        <w:rPr>
          <w:rFonts w:asciiTheme="minorHAnsi" w:eastAsiaTheme="minorHAnsi" w:hAnsiTheme="minorHAnsi" w:cs="TimesNewRomanPSMT"/>
        </w:rPr>
        <w:t>who p</w:t>
      </w:r>
      <w:r w:rsidRPr="00415158">
        <w:rPr>
          <w:rFonts w:asciiTheme="minorHAnsi" w:eastAsiaTheme="minorHAnsi" w:hAnsiTheme="minorHAnsi" w:cs="TimesNewRomanPSMT"/>
        </w:rPr>
        <w:t xml:space="preserve">reviously </w:t>
      </w:r>
      <w:r>
        <w:rPr>
          <w:rFonts w:asciiTheme="minorHAnsi" w:eastAsiaTheme="minorHAnsi" w:hAnsiTheme="minorHAnsi" w:cs="TimesNewRomanPSMT"/>
        </w:rPr>
        <w:t>r</w:t>
      </w:r>
      <w:r w:rsidRPr="00415158">
        <w:rPr>
          <w:rFonts w:asciiTheme="minorHAnsi" w:eastAsiaTheme="minorHAnsi" w:hAnsiTheme="minorHAnsi" w:cs="TimesNewRomanPSMT"/>
        </w:rPr>
        <w:t xml:space="preserve">eceived </w:t>
      </w:r>
      <w:r>
        <w:rPr>
          <w:rFonts w:asciiTheme="minorHAnsi" w:eastAsiaTheme="minorHAnsi" w:hAnsiTheme="minorHAnsi" w:cs="TimesNewRomanPSMT"/>
        </w:rPr>
        <w:t>t</w:t>
      </w:r>
      <w:r w:rsidRPr="00415158">
        <w:rPr>
          <w:rFonts w:asciiTheme="minorHAnsi" w:eastAsiaTheme="minorHAnsi" w:hAnsiTheme="minorHAnsi" w:cs="TimesNewRomanPSMT"/>
        </w:rPr>
        <w:t xml:space="preserve">reatment in </w:t>
      </w:r>
      <w:r w:rsidR="00FD1D3C">
        <w:rPr>
          <w:rFonts w:asciiTheme="minorHAnsi" w:eastAsiaTheme="minorHAnsi" w:hAnsiTheme="minorHAnsi" w:cs="TimesNewRomanPSMT"/>
        </w:rPr>
        <w:t>the P</w:t>
      </w:r>
      <w:r>
        <w:rPr>
          <w:rFonts w:asciiTheme="minorHAnsi" w:eastAsiaTheme="minorHAnsi" w:hAnsiTheme="minorHAnsi" w:cs="TimesNewRomanPSMT"/>
        </w:rPr>
        <w:t xml:space="preserve">hase </w:t>
      </w:r>
      <w:r w:rsidR="003F3AB4">
        <w:rPr>
          <w:rFonts w:asciiTheme="minorHAnsi" w:eastAsiaTheme="minorHAnsi" w:hAnsiTheme="minorHAnsi" w:cs="TimesNewRomanPSMT"/>
        </w:rPr>
        <w:t>I/II</w:t>
      </w:r>
      <w:r>
        <w:rPr>
          <w:rFonts w:asciiTheme="minorHAnsi" w:eastAsiaTheme="minorHAnsi" w:hAnsiTheme="minorHAnsi" w:cs="TimesNewRomanPSMT"/>
        </w:rPr>
        <w:t xml:space="preserve">, </w:t>
      </w:r>
      <w:r w:rsidR="00131B1C">
        <w:rPr>
          <w:rFonts w:asciiTheme="minorHAnsi" w:eastAsiaTheme="minorHAnsi" w:hAnsiTheme="minorHAnsi" w:cs="TimesNewRomanPSMT"/>
        </w:rPr>
        <w:t>repeat dose</w:t>
      </w:r>
      <w:r>
        <w:rPr>
          <w:rFonts w:asciiTheme="minorHAnsi" w:eastAsiaTheme="minorHAnsi" w:hAnsiTheme="minorHAnsi" w:cs="TimesNewRomanPSMT"/>
        </w:rPr>
        <w:t xml:space="preserve">, </w:t>
      </w:r>
      <w:r w:rsidR="00FD1D3C">
        <w:rPr>
          <w:rFonts w:asciiTheme="minorHAnsi" w:eastAsiaTheme="minorHAnsi" w:hAnsiTheme="minorHAnsi" w:cs="TimesNewRomanPSMT"/>
        </w:rPr>
        <w:t>dose escalation</w:t>
      </w:r>
      <w:r>
        <w:rPr>
          <w:rFonts w:asciiTheme="minorHAnsi" w:eastAsiaTheme="minorHAnsi" w:hAnsiTheme="minorHAnsi" w:cs="TimesNewRomanPSMT"/>
        </w:rPr>
        <w:t xml:space="preserve"> </w:t>
      </w:r>
      <w:r w:rsidR="00157E63">
        <w:rPr>
          <w:rFonts w:asciiTheme="minorHAnsi" w:eastAsiaTheme="minorHAnsi" w:hAnsiTheme="minorHAnsi" w:cs="TimesNewRomanPSMT"/>
        </w:rPr>
        <w:t>Study</w:t>
      </w:r>
      <w:r w:rsidRPr="00415158">
        <w:rPr>
          <w:rFonts w:asciiTheme="minorHAnsi" w:eastAsiaTheme="minorHAnsi" w:hAnsiTheme="minorHAnsi" w:cs="TimesNewRomanPSMT"/>
        </w:rPr>
        <w:t xml:space="preserve"> LAL-CL01</w:t>
      </w:r>
      <w:r>
        <w:rPr>
          <w:rFonts w:asciiTheme="minorHAnsi" w:eastAsiaTheme="minorHAnsi" w:hAnsiTheme="minorHAnsi" w:cs="TimesNewRomanPSMT"/>
        </w:rPr>
        <w:t xml:space="preserve">. The </w:t>
      </w:r>
      <w:r w:rsidR="00C4359A">
        <w:rPr>
          <w:rFonts w:asciiTheme="minorHAnsi" w:eastAsiaTheme="minorHAnsi" w:hAnsiTheme="minorHAnsi" w:cs="TimesNewRomanPSMT"/>
        </w:rPr>
        <w:t>study</w:t>
      </w:r>
      <w:r>
        <w:rPr>
          <w:rFonts w:asciiTheme="minorHAnsi" w:eastAsiaTheme="minorHAnsi" w:hAnsiTheme="minorHAnsi" w:cs="TimesNewRomanPSMT"/>
        </w:rPr>
        <w:t xml:space="preserve"> was conducted at 11 sites in USA, UK, France, Canada and the Czech Republic from 12 </w:t>
      </w:r>
      <w:r w:rsidR="00FD1D3C">
        <w:rPr>
          <w:rFonts w:asciiTheme="minorHAnsi" w:eastAsiaTheme="minorHAnsi" w:hAnsiTheme="minorHAnsi" w:cs="TimesNewRomanPSMT"/>
        </w:rPr>
        <w:t>December</w:t>
      </w:r>
      <w:r>
        <w:rPr>
          <w:rFonts w:asciiTheme="minorHAnsi" w:eastAsiaTheme="minorHAnsi" w:hAnsiTheme="minorHAnsi" w:cs="TimesNewRomanPSMT"/>
        </w:rPr>
        <w:t xml:space="preserve"> 2011 to 5 Feb</w:t>
      </w:r>
      <w:r w:rsidR="00FD1D3C">
        <w:rPr>
          <w:rFonts w:asciiTheme="minorHAnsi" w:eastAsiaTheme="minorHAnsi" w:hAnsiTheme="minorHAnsi" w:cs="TimesNewRomanPSMT"/>
        </w:rPr>
        <w:t>ruary</w:t>
      </w:r>
      <w:r>
        <w:rPr>
          <w:rFonts w:asciiTheme="minorHAnsi" w:eastAsiaTheme="minorHAnsi" w:hAnsiTheme="minorHAnsi" w:cs="TimesNewRomanPSMT"/>
        </w:rPr>
        <w:t xml:space="preserve"> 2014. The primary objective was </w:t>
      </w:r>
      <w:r w:rsidRPr="00415158">
        <w:rPr>
          <w:rFonts w:asciiTheme="minorHAnsi" w:eastAsiaTheme="minorHAnsi" w:hAnsiTheme="minorHAnsi" w:cs="TimesNewRomanPSMT"/>
        </w:rPr>
        <w:t xml:space="preserve">to </w:t>
      </w:r>
      <w:r>
        <w:rPr>
          <w:rFonts w:asciiTheme="minorHAnsi" w:eastAsiaTheme="minorHAnsi" w:hAnsiTheme="minorHAnsi" w:cs="TimesNewRomanPSMT"/>
        </w:rPr>
        <w:t>e</w:t>
      </w:r>
      <w:r w:rsidRPr="00415158">
        <w:rPr>
          <w:rFonts w:asciiTheme="minorHAnsi" w:eastAsiaTheme="minorHAnsi" w:hAnsiTheme="minorHAnsi" w:cs="TimesNewRomanPSMT"/>
        </w:rPr>
        <w:t xml:space="preserve">valuate the </w:t>
      </w:r>
      <w:r w:rsidR="008F6668">
        <w:rPr>
          <w:rFonts w:asciiTheme="minorHAnsi" w:eastAsiaTheme="minorHAnsi" w:hAnsiTheme="minorHAnsi" w:cs="TimesNewRomanPSMT"/>
        </w:rPr>
        <w:t>long term</w:t>
      </w:r>
      <w:r w:rsidRPr="00415158">
        <w:rPr>
          <w:rFonts w:asciiTheme="minorHAnsi" w:eastAsiaTheme="minorHAnsi" w:hAnsiTheme="minorHAnsi" w:cs="TimesNewRomanPSMT"/>
        </w:rPr>
        <w:t xml:space="preserve"> </w:t>
      </w:r>
      <w:r>
        <w:rPr>
          <w:rFonts w:asciiTheme="minorHAnsi" w:eastAsiaTheme="minorHAnsi" w:hAnsiTheme="minorHAnsi" w:cs="TimesNewRomanPSMT"/>
        </w:rPr>
        <w:t>s</w:t>
      </w:r>
      <w:r w:rsidRPr="00415158">
        <w:rPr>
          <w:rFonts w:asciiTheme="minorHAnsi" w:eastAsiaTheme="minorHAnsi" w:hAnsiTheme="minorHAnsi" w:cs="TimesNewRomanPSMT"/>
        </w:rPr>
        <w:t>afety</w:t>
      </w:r>
      <w:r>
        <w:rPr>
          <w:rFonts w:asciiTheme="minorHAnsi" w:eastAsiaTheme="minorHAnsi" w:hAnsiTheme="minorHAnsi" w:cs="TimesNewRomanPSMT"/>
        </w:rPr>
        <w:t xml:space="preserve"> and t</w:t>
      </w:r>
      <w:r w:rsidRPr="00415158">
        <w:rPr>
          <w:rFonts w:asciiTheme="minorHAnsi" w:eastAsiaTheme="minorHAnsi" w:hAnsiTheme="minorHAnsi" w:cs="TimesNewRomanPSMT"/>
        </w:rPr>
        <w:t xml:space="preserve">olerability of </w:t>
      </w:r>
      <w:proofErr w:type="spellStart"/>
      <w:r w:rsidRPr="00415158">
        <w:rPr>
          <w:rFonts w:asciiTheme="minorHAnsi" w:eastAsiaTheme="minorHAnsi" w:hAnsiTheme="minorHAnsi" w:cs="TimesNewRomanPSMT"/>
        </w:rPr>
        <w:t>Sebelipase</w:t>
      </w:r>
      <w:proofErr w:type="spellEnd"/>
      <w:r w:rsidRPr="00415158">
        <w:rPr>
          <w:rFonts w:asciiTheme="minorHAnsi" w:eastAsiaTheme="minorHAnsi" w:hAnsiTheme="minorHAnsi" w:cs="TimesNewRomanPSMT"/>
        </w:rPr>
        <w:t xml:space="preserve"> Alfa</w:t>
      </w:r>
      <w:r>
        <w:rPr>
          <w:rFonts w:asciiTheme="minorHAnsi" w:eastAsiaTheme="minorHAnsi" w:hAnsiTheme="minorHAnsi" w:cs="TimesNewRomanPSMT"/>
        </w:rPr>
        <w:t xml:space="preserve"> </w:t>
      </w:r>
      <w:r w:rsidRPr="00415158">
        <w:rPr>
          <w:rFonts w:asciiTheme="minorHAnsi" w:eastAsiaTheme="minorHAnsi" w:hAnsiTheme="minorHAnsi" w:cs="TimesNewRomanPSMT"/>
        </w:rPr>
        <w:t xml:space="preserve">in </w:t>
      </w:r>
      <w:r>
        <w:rPr>
          <w:rFonts w:asciiTheme="minorHAnsi" w:eastAsiaTheme="minorHAnsi" w:hAnsiTheme="minorHAnsi" w:cs="TimesNewRomanPSMT"/>
        </w:rPr>
        <w:t>a</w:t>
      </w:r>
      <w:r w:rsidRPr="00415158">
        <w:rPr>
          <w:rFonts w:asciiTheme="minorHAnsi" w:eastAsiaTheme="minorHAnsi" w:hAnsiTheme="minorHAnsi" w:cs="TimesNewRomanPSMT"/>
        </w:rPr>
        <w:t xml:space="preserve">dult </w:t>
      </w:r>
      <w:r>
        <w:rPr>
          <w:rFonts w:asciiTheme="minorHAnsi" w:eastAsiaTheme="minorHAnsi" w:hAnsiTheme="minorHAnsi" w:cs="TimesNewRomanPSMT"/>
        </w:rPr>
        <w:t>s</w:t>
      </w:r>
      <w:r w:rsidRPr="00415158">
        <w:rPr>
          <w:rFonts w:asciiTheme="minorHAnsi" w:eastAsiaTheme="minorHAnsi" w:hAnsiTheme="minorHAnsi" w:cs="TimesNewRomanPSMT"/>
        </w:rPr>
        <w:t xml:space="preserve">ubjects with </w:t>
      </w:r>
      <w:r>
        <w:rPr>
          <w:rFonts w:asciiTheme="minorHAnsi" w:eastAsiaTheme="minorHAnsi" w:hAnsiTheme="minorHAnsi" w:cs="TimesNewRomanPSMT"/>
        </w:rPr>
        <w:t>l</w:t>
      </w:r>
      <w:r w:rsidRPr="00415158">
        <w:rPr>
          <w:rFonts w:asciiTheme="minorHAnsi" w:eastAsiaTheme="minorHAnsi" w:hAnsiTheme="minorHAnsi" w:cs="TimesNewRomanPSMT"/>
        </w:rPr>
        <w:t xml:space="preserve">iver </w:t>
      </w:r>
      <w:r>
        <w:rPr>
          <w:rFonts w:asciiTheme="minorHAnsi" w:eastAsiaTheme="minorHAnsi" w:hAnsiTheme="minorHAnsi" w:cs="TimesNewRomanPSMT"/>
        </w:rPr>
        <w:t>d</w:t>
      </w:r>
      <w:r w:rsidRPr="00415158">
        <w:rPr>
          <w:rFonts w:asciiTheme="minorHAnsi" w:eastAsiaTheme="minorHAnsi" w:hAnsiTheme="minorHAnsi" w:cs="TimesNewRomanPSMT"/>
        </w:rPr>
        <w:t xml:space="preserve">ysfunction </w:t>
      </w:r>
      <w:r>
        <w:rPr>
          <w:rFonts w:asciiTheme="minorHAnsi" w:eastAsiaTheme="minorHAnsi" w:hAnsiTheme="minorHAnsi" w:cs="TimesNewRomanPSMT"/>
        </w:rPr>
        <w:t>d</w:t>
      </w:r>
      <w:r w:rsidRPr="00415158">
        <w:rPr>
          <w:rFonts w:asciiTheme="minorHAnsi" w:eastAsiaTheme="minorHAnsi" w:hAnsiTheme="minorHAnsi" w:cs="TimesNewRomanPSMT"/>
        </w:rPr>
        <w:t>ue to</w:t>
      </w:r>
      <w:r>
        <w:rPr>
          <w:rFonts w:asciiTheme="minorHAnsi" w:eastAsiaTheme="minorHAnsi" w:hAnsiTheme="minorHAnsi" w:cs="TimesNewRomanPSMT"/>
        </w:rPr>
        <w:t xml:space="preserve"> LAL </w:t>
      </w:r>
      <w:r w:rsidRPr="00415158">
        <w:rPr>
          <w:rFonts w:asciiTheme="minorHAnsi" w:eastAsiaTheme="minorHAnsi" w:hAnsiTheme="minorHAnsi" w:cs="TimesNewRomanPSMT"/>
        </w:rPr>
        <w:t>Deficiency</w:t>
      </w:r>
      <w:r>
        <w:rPr>
          <w:rFonts w:asciiTheme="minorHAnsi" w:eastAsiaTheme="minorHAnsi" w:hAnsiTheme="minorHAnsi" w:cs="TimesNewRomanPSMT"/>
        </w:rPr>
        <w:t xml:space="preserve">. The </w:t>
      </w:r>
      <w:r w:rsidRPr="00371920">
        <w:rPr>
          <w:rFonts w:asciiTheme="minorHAnsi" w:eastAsiaTheme="minorHAnsi" w:hAnsiTheme="minorHAnsi" w:cs="TimesNewRomanPSMT"/>
        </w:rPr>
        <w:t xml:space="preserve">secondary objectives were to evaluate the </w:t>
      </w:r>
      <w:r w:rsidR="008F6668">
        <w:rPr>
          <w:rFonts w:asciiTheme="minorHAnsi" w:eastAsiaTheme="minorHAnsi" w:hAnsiTheme="minorHAnsi" w:cs="TimesNewRomanPSMT"/>
        </w:rPr>
        <w:t>long term</w:t>
      </w:r>
      <w:r w:rsidRPr="00371920">
        <w:rPr>
          <w:rFonts w:asciiTheme="minorHAnsi" w:eastAsiaTheme="minorHAnsi" w:hAnsiTheme="minorHAnsi" w:cs="TimesNewRomanPSMT"/>
        </w:rPr>
        <w:t xml:space="preserve"> efficacy, </w:t>
      </w:r>
      <w:r w:rsidR="00131B1C">
        <w:rPr>
          <w:rFonts w:asciiTheme="minorHAnsi" w:eastAsiaTheme="minorHAnsi" w:hAnsiTheme="minorHAnsi" w:cs="TimesNewRomanPSMT"/>
        </w:rPr>
        <w:t>repeat dose</w:t>
      </w:r>
      <w:r w:rsidRPr="00371920">
        <w:rPr>
          <w:rFonts w:asciiTheme="minorHAnsi" w:eastAsiaTheme="minorHAnsi" w:hAnsiTheme="minorHAnsi" w:cs="TimesNewRomanPSMT"/>
        </w:rPr>
        <w:t xml:space="preserve"> PKs and effect on PD biomarkers of </w:t>
      </w:r>
      <w:proofErr w:type="spellStart"/>
      <w:r w:rsidRPr="00371920">
        <w:rPr>
          <w:rFonts w:asciiTheme="minorHAnsi" w:eastAsiaTheme="minorHAnsi" w:hAnsiTheme="minorHAnsi" w:cs="TimesNewRomanPSMT"/>
        </w:rPr>
        <w:t>sebelipase</w:t>
      </w:r>
      <w:proofErr w:type="spellEnd"/>
      <w:r w:rsidRPr="00371920">
        <w:rPr>
          <w:rFonts w:asciiTheme="minorHAnsi" w:eastAsiaTheme="minorHAnsi" w:hAnsiTheme="minorHAnsi" w:cs="TimesNewRomanPSMT"/>
        </w:rPr>
        <w:t xml:space="preserve"> alfa. After completing all follow-up assessments for </w:t>
      </w:r>
      <w:r w:rsidR="00157E63">
        <w:rPr>
          <w:rFonts w:asciiTheme="minorHAnsi" w:eastAsiaTheme="minorHAnsi" w:hAnsiTheme="minorHAnsi" w:cs="TimesNewRomanPSMT"/>
        </w:rPr>
        <w:t>Study</w:t>
      </w:r>
      <w:r w:rsidRPr="00371920">
        <w:rPr>
          <w:rFonts w:asciiTheme="minorHAnsi" w:eastAsiaTheme="minorHAnsi" w:hAnsiTheme="minorHAnsi" w:cs="TimesNewRomanPSMT"/>
        </w:rPr>
        <w:t xml:space="preserve"> LAL-CL01 (and no sooner than 4 weeks</w:t>
      </w:r>
      <w:r>
        <w:rPr>
          <w:rFonts w:asciiTheme="minorHAnsi" w:eastAsiaTheme="minorHAnsi" w:hAnsiTheme="minorHAnsi" w:cs="TimesNewRomanPSMT"/>
        </w:rPr>
        <w:t xml:space="preserve"> </w:t>
      </w:r>
      <w:r w:rsidRPr="00371920">
        <w:rPr>
          <w:rFonts w:asciiTheme="minorHAnsi" w:eastAsiaTheme="minorHAnsi" w:hAnsiTheme="minorHAnsi" w:cs="TimesNewRomanPSMT"/>
        </w:rPr>
        <w:t xml:space="preserve">after the last dose in that </w:t>
      </w:r>
      <w:r w:rsidR="00C4359A">
        <w:rPr>
          <w:rFonts w:asciiTheme="minorHAnsi" w:eastAsiaTheme="minorHAnsi" w:hAnsiTheme="minorHAnsi" w:cs="TimesNewRomanPSMT"/>
        </w:rPr>
        <w:t>study</w:t>
      </w:r>
      <w:r w:rsidRPr="00371920">
        <w:rPr>
          <w:rFonts w:asciiTheme="minorHAnsi" w:eastAsiaTheme="minorHAnsi" w:hAnsiTheme="minorHAnsi" w:cs="TimesNewRomanPSMT"/>
        </w:rPr>
        <w:t xml:space="preserve">), eligible subjects initiated treatment in the extension </w:t>
      </w:r>
      <w:r w:rsidR="00C4359A">
        <w:rPr>
          <w:rFonts w:asciiTheme="minorHAnsi" w:eastAsiaTheme="minorHAnsi" w:hAnsiTheme="minorHAnsi" w:cs="TimesNewRomanPSMT"/>
        </w:rPr>
        <w:t>study</w:t>
      </w:r>
      <w:r>
        <w:rPr>
          <w:rStyle w:val="FootnoteReference"/>
          <w:rFonts w:asciiTheme="minorHAnsi" w:eastAsiaTheme="minorHAnsi" w:hAnsiTheme="minorHAnsi" w:cs="TimesNewRomanPSMT"/>
        </w:rPr>
        <w:footnoteReference w:id="29"/>
      </w:r>
      <w:r w:rsidRPr="00371920">
        <w:rPr>
          <w:rFonts w:asciiTheme="minorHAnsi" w:eastAsiaTheme="minorHAnsi" w:hAnsiTheme="minorHAnsi" w:cs="TimesNewRomanPSMT"/>
        </w:rPr>
        <w:t xml:space="preserve"> at a once weekly (</w:t>
      </w:r>
      <w:proofErr w:type="spellStart"/>
      <w:r w:rsidRPr="00371920">
        <w:rPr>
          <w:rFonts w:asciiTheme="minorHAnsi" w:eastAsiaTheme="minorHAnsi" w:hAnsiTheme="minorHAnsi" w:cs="TimesNewRomanPSMT"/>
        </w:rPr>
        <w:t>qw</w:t>
      </w:r>
      <w:proofErr w:type="spellEnd"/>
      <w:r w:rsidRPr="00371920">
        <w:rPr>
          <w:rFonts w:asciiTheme="minorHAnsi" w:eastAsiaTheme="minorHAnsi" w:hAnsiTheme="minorHAnsi" w:cs="TimesNewRomanPSMT"/>
        </w:rPr>
        <w:t xml:space="preserve">) dose of </w:t>
      </w:r>
      <w:proofErr w:type="spellStart"/>
      <w:r w:rsidRPr="00371920">
        <w:rPr>
          <w:rFonts w:asciiTheme="minorHAnsi" w:eastAsiaTheme="minorHAnsi" w:hAnsiTheme="minorHAnsi" w:cs="TimesNewRomanPSMT"/>
        </w:rPr>
        <w:t>sebelipase</w:t>
      </w:r>
      <w:proofErr w:type="spellEnd"/>
      <w:r w:rsidRPr="00371920">
        <w:rPr>
          <w:rFonts w:asciiTheme="minorHAnsi" w:eastAsiaTheme="minorHAnsi" w:hAnsiTheme="minorHAnsi" w:cs="TimesNewRomanPSMT"/>
        </w:rPr>
        <w:t xml:space="preserve"> alfa equivalent to the doses administered in </w:t>
      </w:r>
      <w:r w:rsidR="00157E63">
        <w:rPr>
          <w:rFonts w:asciiTheme="minorHAnsi" w:eastAsiaTheme="minorHAnsi" w:hAnsiTheme="minorHAnsi" w:cs="TimesNewRomanPSMT"/>
        </w:rPr>
        <w:t>Study</w:t>
      </w:r>
      <w:r w:rsidR="00FD1D3C">
        <w:rPr>
          <w:rFonts w:asciiTheme="minorHAnsi" w:eastAsiaTheme="minorHAnsi" w:hAnsiTheme="minorHAnsi" w:cs="TimesNewRomanPSMT"/>
        </w:rPr>
        <w:t> LAL</w:t>
      </w:r>
      <w:r w:rsidR="00FD1D3C">
        <w:rPr>
          <w:rFonts w:asciiTheme="minorHAnsi" w:eastAsiaTheme="minorHAnsi" w:hAnsiTheme="minorHAnsi" w:cs="TimesNewRomanPSMT"/>
        </w:rPr>
        <w:noBreakHyphen/>
      </w:r>
      <w:r w:rsidRPr="00371920">
        <w:rPr>
          <w:rFonts w:asciiTheme="minorHAnsi" w:eastAsiaTheme="minorHAnsi" w:hAnsiTheme="minorHAnsi" w:cs="TimesNewRomanPSMT"/>
        </w:rPr>
        <w:t>CL01 (</w:t>
      </w:r>
      <w:r w:rsidR="003F3AB4">
        <w:rPr>
          <w:rFonts w:asciiTheme="minorHAnsi" w:eastAsiaTheme="minorHAnsi" w:hAnsiTheme="minorHAnsi" w:cs="TimesNewRomanPSMT"/>
        </w:rPr>
        <w:t>that is</w:t>
      </w:r>
      <w:r w:rsidRPr="00371920">
        <w:rPr>
          <w:rFonts w:asciiTheme="minorHAnsi" w:eastAsiaTheme="minorHAnsi" w:hAnsiTheme="minorHAnsi" w:cs="TimesNewRomanPSMT"/>
        </w:rPr>
        <w:t xml:space="preserve">, 0.35 mg/kg </w:t>
      </w:r>
      <w:proofErr w:type="spellStart"/>
      <w:r w:rsidRPr="00371920">
        <w:rPr>
          <w:rFonts w:asciiTheme="minorHAnsi" w:eastAsiaTheme="minorHAnsi" w:hAnsiTheme="minorHAnsi" w:cs="TimesNewRomanPSMT"/>
        </w:rPr>
        <w:t>qw</w:t>
      </w:r>
      <w:proofErr w:type="spellEnd"/>
      <w:r w:rsidRPr="00371920">
        <w:rPr>
          <w:rFonts w:asciiTheme="minorHAnsi" w:eastAsiaTheme="minorHAnsi" w:hAnsiTheme="minorHAnsi" w:cs="TimesNewRomanPSMT"/>
        </w:rPr>
        <w:t xml:space="preserve">, 1 mg/kg </w:t>
      </w:r>
      <w:proofErr w:type="spellStart"/>
      <w:r w:rsidRPr="00371920">
        <w:rPr>
          <w:rFonts w:asciiTheme="minorHAnsi" w:eastAsiaTheme="minorHAnsi" w:hAnsiTheme="minorHAnsi" w:cs="TimesNewRomanPSMT"/>
        </w:rPr>
        <w:t>qw</w:t>
      </w:r>
      <w:proofErr w:type="spellEnd"/>
      <w:r w:rsidRPr="00371920">
        <w:rPr>
          <w:rFonts w:asciiTheme="minorHAnsi" w:eastAsiaTheme="minorHAnsi" w:hAnsiTheme="minorHAnsi" w:cs="TimesNewRomanPSMT"/>
        </w:rPr>
        <w:t xml:space="preserve">, or 3 mg/kg </w:t>
      </w:r>
      <w:proofErr w:type="spellStart"/>
      <w:r w:rsidRPr="00371920">
        <w:rPr>
          <w:rFonts w:asciiTheme="minorHAnsi" w:eastAsiaTheme="minorHAnsi" w:hAnsiTheme="minorHAnsi" w:cs="TimesNewRomanPSMT"/>
        </w:rPr>
        <w:t>qw</w:t>
      </w:r>
      <w:proofErr w:type="spellEnd"/>
      <w:r w:rsidRPr="00371920">
        <w:rPr>
          <w:rFonts w:asciiTheme="minorHAnsi" w:eastAsiaTheme="minorHAnsi" w:hAnsiTheme="minorHAnsi" w:cs="TimesNewRomanPSMT"/>
        </w:rPr>
        <w:t xml:space="preserve"> for 4 weeks)</w:t>
      </w:r>
      <w:r w:rsidR="00B73619">
        <w:rPr>
          <w:rFonts w:asciiTheme="minorHAnsi" w:eastAsiaTheme="minorHAnsi" w:hAnsiTheme="minorHAnsi" w:cs="TimesNewRomanPSMT"/>
        </w:rPr>
        <w:t xml:space="preserve">. </w:t>
      </w:r>
      <w:r w:rsidRPr="00371920">
        <w:rPr>
          <w:rFonts w:asciiTheme="minorHAnsi" w:eastAsiaTheme="minorHAnsi" w:hAnsiTheme="minorHAnsi" w:cs="TimesNewRomanPSMT"/>
        </w:rPr>
        <w:t>After the 4th weekly infusion, all subjects moved to an every other week (</w:t>
      </w:r>
      <w:proofErr w:type="spellStart"/>
      <w:r w:rsidRPr="00371920">
        <w:rPr>
          <w:rFonts w:asciiTheme="minorHAnsi" w:eastAsiaTheme="minorHAnsi" w:hAnsiTheme="minorHAnsi" w:cs="TimesNewRomanPSMT"/>
        </w:rPr>
        <w:t>qow</w:t>
      </w:r>
      <w:proofErr w:type="spellEnd"/>
      <w:r w:rsidRPr="00371920">
        <w:rPr>
          <w:rFonts w:asciiTheme="minorHAnsi" w:eastAsiaTheme="minorHAnsi" w:hAnsiTheme="minorHAnsi" w:cs="TimesNewRomanPSMT"/>
        </w:rPr>
        <w:t>) dosing regimen of 1 or 3 mg/kg</w:t>
      </w:r>
      <w:r>
        <w:rPr>
          <w:rFonts w:asciiTheme="minorHAnsi" w:eastAsiaTheme="minorHAnsi" w:hAnsiTheme="minorHAnsi" w:cs="TimesNewRomanPSMT"/>
        </w:rPr>
        <w:t xml:space="preserve"> </w:t>
      </w:r>
      <w:r w:rsidRPr="00112368">
        <w:rPr>
          <w:rFonts w:asciiTheme="minorHAnsi" w:eastAsiaTheme="minorHAnsi" w:hAnsiTheme="minorHAnsi" w:cs="TimesNewRomanPSMT"/>
        </w:rPr>
        <w:t>(</w:t>
      </w:r>
      <w:r w:rsidR="00803642" w:rsidRPr="00112368">
        <w:rPr>
          <w:rFonts w:asciiTheme="minorHAnsi" w:eastAsiaTheme="minorHAnsi" w:hAnsiTheme="minorHAnsi" w:cs="TimesNewRomanPSMT"/>
        </w:rPr>
        <w:t xml:space="preserve">Figure </w:t>
      </w:r>
      <w:r w:rsidR="008267BC">
        <w:rPr>
          <w:rFonts w:asciiTheme="minorHAnsi" w:eastAsiaTheme="minorHAnsi" w:hAnsiTheme="minorHAnsi" w:cs="TimesNewRomanPSMT"/>
        </w:rPr>
        <w:t>15</w:t>
      </w:r>
      <w:r w:rsidRPr="00112368">
        <w:rPr>
          <w:rFonts w:asciiTheme="minorHAnsi" w:eastAsiaTheme="minorHAnsi" w:hAnsiTheme="minorHAnsi" w:cs="TimesNewRomanPSMT"/>
        </w:rPr>
        <w:t>). Subsequent</w:t>
      </w:r>
      <w:r w:rsidRPr="00371920">
        <w:rPr>
          <w:rFonts w:asciiTheme="minorHAnsi" w:eastAsiaTheme="minorHAnsi" w:hAnsiTheme="minorHAnsi" w:cs="TimesNewRomanPSMT"/>
        </w:rPr>
        <w:t xml:space="preserve"> dose modifications may have been considered for individual subjects based on observed safety and tolerability and/or clinical</w:t>
      </w:r>
      <w:r>
        <w:rPr>
          <w:rFonts w:asciiTheme="minorHAnsi" w:eastAsiaTheme="minorHAnsi" w:hAnsiTheme="minorHAnsi" w:cs="TimesNewRomanPSMT"/>
        </w:rPr>
        <w:t xml:space="preserve"> </w:t>
      </w:r>
      <w:r w:rsidRPr="00371920">
        <w:rPr>
          <w:rFonts w:asciiTheme="minorHAnsi" w:eastAsiaTheme="minorHAnsi" w:hAnsiTheme="minorHAnsi" w:cs="TimesNewRomanPSMT"/>
        </w:rPr>
        <w:t>response</w:t>
      </w:r>
      <w:r>
        <w:rPr>
          <w:rStyle w:val="FootnoteReference"/>
          <w:rFonts w:asciiTheme="minorHAnsi" w:eastAsiaTheme="minorHAnsi" w:hAnsiTheme="minorHAnsi" w:cs="TimesNewRomanPSMT"/>
        </w:rPr>
        <w:footnoteReference w:id="30"/>
      </w:r>
      <w:r w:rsidRPr="00371920">
        <w:rPr>
          <w:rFonts w:asciiTheme="minorHAnsi" w:eastAsiaTheme="minorHAnsi" w:hAnsiTheme="minorHAnsi" w:cs="TimesNewRomanPSMT"/>
        </w:rPr>
        <w:t xml:space="preserve"> to treatment after Week 12. This is an ongoing </w:t>
      </w:r>
      <w:r w:rsidR="00C4359A">
        <w:rPr>
          <w:rFonts w:asciiTheme="minorHAnsi" w:eastAsiaTheme="minorHAnsi" w:hAnsiTheme="minorHAnsi" w:cs="TimesNewRomanPSMT"/>
        </w:rPr>
        <w:t>study</w:t>
      </w:r>
      <w:r w:rsidRPr="00371920">
        <w:rPr>
          <w:rFonts w:asciiTheme="minorHAnsi" w:eastAsiaTheme="minorHAnsi" w:hAnsiTheme="minorHAnsi" w:cs="TimesNewRomanPSMT"/>
        </w:rPr>
        <w:t xml:space="preserve"> and the CSR provided in this submission includes data up to 05 February 2014, a date at which 7 of the 8 subjects enrolled had completed the Week 104 visit.</w:t>
      </w:r>
    </w:p>
    <w:p w14:paraId="5094C5E8" w14:textId="77777777" w:rsidR="00803642" w:rsidRDefault="00803642" w:rsidP="00803642">
      <w:pPr>
        <w:pStyle w:val="FigureTitle"/>
        <w:keepNext/>
      </w:pPr>
      <w:r>
        <w:lastRenderedPageBreak/>
        <w:t xml:space="preserve">Figure </w:t>
      </w:r>
      <w:r w:rsidR="008267BC">
        <w:t>15</w:t>
      </w:r>
      <w:r w:rsidR="00112368">
        <w:t>:</w:t>
      </w:r>
      <w:r>
        <w:t xml:space="preserve"> Study LAL-CL04. Study </w:t>
      </w:r>
      <w:r w:rsidR="00112368">
        <w:t>flow diagram</w:t>
      </w:r>
    </w:p>
    <w:p w14:paraId="76793BF8" w14:textId="77777777" w:rsidR="00AB35F9" w:rsidRDefault="00AB35F9" w:rsidP="00803642">
      <w:pPr>
        <w:pStyle w:val="FigureTitle"/>
        <w:keepNext/>
      </w:pPr>
      <w:r>
        <w:rPr>
          <w:noProof/>
          <w:lang w:eastAsia="en-AU"/>
        </w:rPr>
        <w:drawing>
          <wp:inline distT="0" distB="0" distL="0" distR="0" wp14:anchorId="5F687D63" wp14:editId="469F2DC9">
            <wp:extent cx="5731510" cy="3798350"/>
            <wp:effectExtent l="0" t="0" r="2540" b="0"/>
            <wp:docPr id="69" name="Picture 69" descr="Figure 15: Study LAL-CL04. Study flow diagram&#10;After completing all follow-up assessments for Study LAL-CL01 (and no sooner than 4 weeks after the last dose in that study), eligible subjects initiated treatment in the extension study  at a once weekly (qw) dose of sebelipase alfa equivalent to the doses administered in Study LAL CL01 (that is, 0.35 mg/kg qw, 1 mg/kg qw, or 3 mg/kg qw for 4 weeks). After the 4th weekly infusion, all subjects moved to an every other week (qow) dosing regimen of 1 or 3 mg/kg (Figure 15). Subsequent dose modifications may have been considered for individual subjects based on observed safety and tolerability and/or clinica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3798350"/>
                    </a:xfrm>
                    <a:prstGeom prst="rect">
                      <a:avLst/>
                    </a:prstGeom>
                  </pic:spPr>
                </pic:pic>
              </a:graphicData>
            </a:graphic>
          </wp:inline>
        </w:drawing>
      </w:r>
    </w:p>
    <w:p w14:paraId="23FE83CB" w14:textId="77777777" w:rsidR="00803642" w:rsidRPr="00805104" w:rsidRDefault="00803642" w:rsidP="00805104"/>
    <w:p w14:paraId="7612CF65" w14:textId="77777777" w:rsidR="00B73619" w:rsidRPr="00805104" w:rsidRDefault="00934213" w:rsidP="00805104">
      <w:r w:rsidRPr="00805104">
        <w:t xml:space="preserve">Efficacy measures included change and/or percent change in liver and spleen volumes (by MRI) and liver and spleen fat content by multi-echo gradient-echo (MEGE) MRI and 1H-magnetic resonance spectroscopy (1H-MRS) (if available). An assessment of hepatic histopathology was also conducted in those subjects who agreed to an optional liver biopsy. The effect of ADAs on the efficacy of </w:t>
      </w:r>
      <w:proofErr w:type="spellStart"/>
      <w:r w:rsidRPr="00805104">
        <w:t>sebelipase</w:t>
      </w:r>
      <w:proofErr w:type="spellEnd"/>
      <w:r w:rsidRPr="00805104">
        <w:t xml:space="preserve"> alfa was also to be explored</w:t>
      </w:r>
      <w:r w:rsidR="00B73619" w:rsidRPr="00805104">
        <w:t>.</w:t>
      </w:r>
    </w:p>
    <w:p w14:paraId="4AAB4EED" w14:textId="5D76823E" w:rsidR="00934213" w:rsidRPr="00803642" w:rsidRDefault="00934213" w:rsidP="00934213">
      <w:pPr>
        <w:autoSpaceDE w:val="0"/>
        <w:autoSpaceDN w:val="0"/>
        <w:adjustRightInd w:val="0"/>
        <w:spacing w:before="0" w:line="240" w:lineRule="auto"/>
        <w:rPr>
          <w:rFonts w:asciiTheme="minorHAnsi" w:eastAsiaTheme="minorHAnsi" w:hAnsiTheme="minorHAnsi" w:cs="TimesNewRomanPS-ItalicMT"/>
          <w:iCs/>
        </w:rPr>
      </w:pPr>
      <w:r w:rsidRPr="00AD392D">
        <w:rPr>
          <w:rFonts w:asciiTheme="minorHAnsi" w:eastAsiaTheme="minorHAnsi" w:hAnsiTheme="minorHAnsi" w:cs="TimesNewRomanPSMT"/>
        </w:rPr>
        <w:t>Overall, 8 of the 9 subjects who completed LAL-CL01 were treated in LAL-CL04.</w:t>
      </w:r>
      <w:r w:rsidRPr="00AD392D">
        <w:rPr>
          <w:rFonts w:asciiTheme="minorHAnsi" w:eastAsiaTheme="minorHAnsi" w:hAnsiTheme="minorHAnsi" w:cs="TimesNewRomanPS-ItalicMT"/>
          <w:i/>
          <w:iCs/>
        </w:rPr>
        <w:t xml:space="preserve"> </w:t>
      </w:r>
      <w:r w:rsidRPr="00AD392D">
        <w:rPr>
          <w:rFonts w:asciiTheme="minorHAnsi" w:eastAsiaTheme="minorHAnsi" w:hAnsiTheme="minorHAnsi" w:cs="TimesNewRomanPSMT"/>
        </w:rPr>
        <w:t>All subjects were White</w:t>
      </w:r>
      <w:r>
        <w:rPr>
          <w:rFonts w:asciiTheme="minorHAnsi" w:eastAsiaTheme="minorHAnsi" w:hAnsiTheme="minorHAnsi" w:cs="TimesNewRomanPSMT"/>
        </w:rPr>
        <w:t xml:space="preserve">, </w:t>
      </w:r>
      <w:r w:rsidRPr="00AD392D">
        <w:rPr>
          <w:rFonts w:asciiTheme="minorHAnsi" w:eastAsiaTheme="minorHAnsi" w:hAnsiTheme="minorHAnsi" w:cs="TimesNewRomanPSMT"/>
        </w:rPr>
        <w:t>75% were male</w:t>
      </w:r>
      <w:r>
        <w:rPr>
          <w:rFonts w:asciiTheme="minorHAnsi" w:eastAsiaTheme="minorHAnsi" w:hAnsiTheme="minorHAnsi" w:cs="TimesNewRomanPSMT"/>
        </w:rPr>
        <w:t xml:space="preserve"> with mean age of </w:t>
      </w:r>
      <w:r w:rsidRPr="00AD392D">
        <w:rPr>
          <w:rFonts w:asciiTheme="minorHAnsi" w:eastAsiaTheme="minorHAnsi" w:hAnsiTheme="minorHAnsi" w:cs="TimesNewRomanPSMT"/>
        </w:rPr>
        <w:t>30.3 years. All subjects except one were non-obese (</w:t>
      </w:r>
      <w:r w:rsidR="003F3AB4">
        <w:rPr>
          <w:rFonts w:asciiTheme="minorHAnsi" w:eastAsiaTheme="minorHAnsi" w:hAnsiTheme="minorHAnsi" w:cs="TimesNewRomanPSMT"/>
        </w:rPr>
        <w:t>that is</w:t>
      </w:r>
      <w:r w:rsidRPr="00AD392D">
        <w:rPr>
          <w:rFonts w:asciiTheme="minorHAnsi" w:eastAsiaTheme="minorHAnsi" w:hAnsiTheme="minorHAnsi" w:cs="TimesNewRomanPSMT"/>
        </w:rPr>
        <w:t>, body</w:t>
      </w:r>
      <w:r>
        <w:rPr>
          <w:rFonts w:asciiTheme="minorHAnsi" w:eastAsiaTheme="minorHAnsi" w:hAnsiTheme="minorHAnsi" w:cs="TimesNewRomanPSMT"/>
        </w:rPr>
        <w:t xml:space="preserve"> </w:t>
      </w:r>
      <w:r w:rsidRPr="00AD392D">
        <w:rPr>
          <w:rFonts w:asciiTheme="minorHAnsi" w:eastAsiaTheme="minorHAnsi" w:hAnsiTheme="minorHAnsi" w:cs="TimesNewRomanPSMT"/>
        </w:rPr>
        <w:t xml:space="preserve">mass index </w:t>
      </w:r>
      <w:r w:rsidR="00D074A0">
        <w:rPr>
          <w:rFonts w:asciiTheme="minorHAnsi" w:eastAsiaTheme="minorHAnsi" w:hAnsiTheme="minorHAnsi" w:cs="TimesNewRomanPSMT"/>
        </w:rPr>
        <w:t>(</w:t>
      </w:r>
      <w:r w:rsidRPr="00AD392D">
        <w:rPr>
          <w:rFonts w:asciiTheme="minorHAnsi" w:eastAsiaTheme="minorHAnsi" w:hAnsiTheme="minorHAnsi" w:cs="TimesNewRomanPSMT"/>
        </w:rPr>
        <w:t>BMI</w:t>
      </w:r>
      <w:r w:rsidR="00D074A0">
        <w:rPr>
          <w:rFonts w:asciiTheme="minorHAnsi" w:eastAsiaTheme="minorHAnsi" w:hAnsiTheme="minorHAnsi" w:cs="TimesNewRomanPSMT"/>
        </w:rPr>
        <w:t>)</w:t>
      </w:r>
      <w:r w:rsidRPr="00AD392D">
        <w:rPr>
          <w:rFonts w:asciiTheme="minorHAnsi" w:eastAsiaTheme="minorHAnsi" w:hAnsiTheme="minorHAnsi" w:cs="TimesNewRomanPSMT"/>
        </w:rPr>
        <w:t xml:space="preserve"> </w:t>
      </w:r>
      <w:r w:rsidR="00A87AAC">
        <w:rPr>
          <w:rFonts w:asciiTheme="minorHAnsi" w:eastAsiaTheme="minorHAnsi" w:hAnsiTheme="minorHAnsi" w:cs="TimesNewRomanPSMT"/>
        </w:rPr>
        <w:t xml:space="preserve">&lt; </w:t>
      </w:r>
      <w:r w:rsidRPr="00AD392D">
        <w:rPr>
          <w:rFonts w:asciiTheme="minorHAnsi" w:eastAsiaTheme="minorHAnsi" w:hAnsiTheme="minorHAnsi" w:cs="TimesNewRomanPSMT"/>
        </w:rPr>
        <w:t>30.0 kg/m</w:t>
      </w:r>
      <w:r w:rsidRPr="00AD392D">
        <w:rPr>
          <w:rFonts w:asciiTheme="minorHAnsi" w:eastAsiaTheme="minorHAnsi" w:hAnsiTheme="minorHAnsi" w:cs="TimesNewRomanPSMT"/>
          <w:vertAlign w:val="superscript"/>
        </w:rPr>
        <w:t>2</w:t>
      </w:r>
      <w:r w:rsidRPr="00AD392D">
        <w:rPr>
          <w:rFonts w:asciiTheme="minorHAnsi" w:eastAsiaTheme="minorHAnsi" w:hAnsiTheme="minorHAnsi" w:cs="TimesNewRomanPSMT"/>
        </w:rPr>
        <w:t>). The age of subjects at the time of diagnosis of LAL Deficiency was variable (range 4 to</w:t>
      </w:r>
      <w:r>
        <w:rPr>
          <w:rFonts w:asciiTheme="minorHAnsi" w:eastAsiaTheme="minorHAnsi" w:hAnsiTheme="minorHAnsi" w:cs="TimesNewRomanPSMT"/>
        </w:rPr>
        <w:t xml:space="preserve"> </w:t>
      </w:r>
      <w:r w:rsidRPr="00AD392D">
        <w:rPr>
          <w:rFonts w:asciiTheme="minorHAnsi" w:eastAsiaTheme="minorHAnsi" w:hAnsiTheme="minorHAnsi" w:cs="TimesNewRomanPSMT"/>
        </w:rPr>
        <w:t xml:space="preserve">42 years). The time between diagnosis and enrolment in LAL-CL04 ranged from 2 to 36 </w:t>
      </w:r>
      <w:r w:rsidRPr="00803642">
        <w:rPr>
          <w:rFonts w:asciiTheme="minorHAnsi" w:eastAsiaTheme="minorHAnsi" w:hAnsiTheme="minorHAnsi" w:cs="TimesNewRomanPSMT"/>
        </w:rPr>
        <w:t>years.</w:t>
      </w:r>
      <w:r w:rsidRPr="00AD392D">
        <w:rPr>
          <w:rFonts w:asciiTheme="minorHAnsi" w:eastAsiaTheme="minorHAnsi" w:hAnsiTheme="minorHAnsi" w:cs="TimesNewRomanPSMT"/>
        </w:rPr>
        <w:t xml:space="preserve"> Medical history findings were consistent with those expected in this patient population</w:t>
      </w:r>
      <w:r>
        <w:rPr>
          <w:rFonts w:asciiTheme="minorHAnsi" w:eastAsiaTheme="minorHAnsi" w:hAnsiTheme="minorHAnsi" w:cs="TimesNewRomanPSMT"/>
        </w:rPr>
        <w:t xml:space="preserve"> as 6 </w:t>
      </w:r>
      <w:r w:rsidRPr="00AD392D">
        <w:rPr>
          <w:rFonts w:asciiTheme="minorHAnsi" w:eastAsiaTheme="minorHAnsi" w:hAnsiTheme="minorHAnsi" w:cs="TimesNewRomanPSMT"/>
        </w:rPr>
        <w:t>subjects had a medical history of hepatomegaly and/or splenomegaly and 1 subject had prior</w:t>
      </w:r>
      <w:r>
        <w:rPr>
          <w:rFonts w:asciiTheme="minorHAnsi" w:eastAsiaTheme="minorHAnsi" w:hAnsiTheme="minorHAnsi" w:cs="TimesNewRomanPSMT"/>
        </w:rPr>
        <w:t xml:space="preserve"> </w:t>
      </w:r>
      <w:r w:rsidRPr="00AD392D">
        <w:rPr>
          <w:rFonts w:asciiTheme="minorHAnsi" w:eastAsiaTheme="minorHAnsi" w:hAnsiTheme="minorHAnsi" w:cs="TimesNewRomanPSMT"/>
        </w:rPr>
        <w:t>biopsy evidence of hepatic fibrosis. All 8 (100%) subjects had a medical history of</w:t>
      </w:r>
      <w:r>
        <w:rPr>
          <w:rFonts w:asciiTheme="minorHAnsi" w:eastAsiaTheme="minorHAnsi" w:hAnsiTheme="minorHAnsi" w:cs="TimesNewRomanPSMT"/>
        </w:rPr>
        <w:t xml:space="preserve"> </w:t>
      </w:r>
      <w:r w:rsidRPr="00AD392D">
        <w:rPr>
          <w:rFonts w:asciiTheme="minorHAnsi" w:eastAsiaTheme="minorHAnsi" w:hAnsiTheme="minorHAnsi" w:cs="TimesNewRomanPSMT"/>
        </w:rPr>
        <w:t>dyslipidaemia</w:t>
      </w:r>
      <w:r>
        <w:rPr>
          <w:rFonts w:asciiTheme="minorHAnsi" w:eastAsiaTheme="minorHAnsi" w:hAnsiTheme="minorHAnsi" w:cs="TimesNewRomanPSMT"/>
        </w:rPr>
        <w:t xml:space="preserve">, </w:t>
      </w:r>
      <w:r w:rsidRPr="00AD392D">
        <w:rPr>
          <w:rFonts w:asciiTheme="minorHAnsi" w:eastAsiaTheme="minorHAnsi" w:hAnsiTheme="minorHAnsi" w:cs="TimesNewRomanPSMT"/>
        </w:rPr>
        <w:t>6 (75%) also had a histo</w:t>
      </w:r>
      <w:r>
        <w:rPr>
          <w:rFonts w:asciiTheme="minorHAnsi" w:eastAsiaTheme="minorHAnsi" w:hAnsiTheme="minorHAnsi" w:cs="TimesNewRomanPSMT"/>
        </w:rPr>
        <w:t>ry of cardiovascular conditions; 3, 2 and 2</w:t>
      </w:r>
      <w:r w:rsidR="00CC672B">
        <w:rPr>
          <w:rFonts w:asciiTheme="minorHAnsi" w:eastAsiaTheme="minorHAnsi" w:hAnsiTheme="minorHAnsi" w:cs="TimesNewRomanPSMT"/>
        </w:rPr>
        <w:t xml:space="preserve"> </w:t>
      </w:r>
      <w:r w:rsidRPr="00AD392D">
        <w:rPr>
          <w:rFonts w:asciiTheme="minorHAnsi" w:eastAsiaTheme="minorHAnsi" w:hAnsiTheme="minorHAnsi" w:cs="TimesNewRomanPSMT"/>
        </w:rPr>
        <w:t>subjects had a medical history of elevated transaminases, elevated bilirubin and diarrhoea</w:t>
      </w:r>
      <w:r>
        <w:rPr>
          <w:rFonts w:asciiTheme="minorHAnsi" w:eastAsiaTheme="minorHAnsi" w:hAnsiTheme="minorHAnsi" w:cs="TimesNewRomanPSMT"/>
        </w:rPr>
        <w:t xml:space="preserve">, respectively. </w:t>
      </w:r>
      <w:r w:rsidRPr="00AD392D">
        <w:rPr>
          <w:rFonts w:asciiTheme="minorHAnsi" w:eastAsiaTheme="minorHAnsi" w:hAnsiTheme="minorHAnsi" w:cs="TimesNewRomanPSMT"/>
        </w:rPr>
        <w:t xml:space="preserve">Six (75%) subjects were receiving treatment with </w:t>
      </w:r>
      <w:r w:rsidR="00803642">
        <w:rPr>
          <w:rFonts w:asciiTheme="minorHAnsi" w:eastAsiaTheme="minorHAnsi" w:hAnsiTheme="minorHAnsi" w:cs="TimesNewRomanPSMT"/>
        </w:rPr>
        <w:t>lipid modifying</w:t>
      </w:r>
      <w:r w:rsidRPr="00AD392D">
        <w:rPr>
          <w:rFonts w:asciiTheme="minorHAnsi" w:eastAsiaTheme="minorHAnsi" w:hAnsiTheme="minorHAnsi" w:cs="TimesNewRomanPSMT"/>
        </w:rPr>
        <w:t xml:space="preserve"> therapies, including statins</w:t>
      </w:r>
      <w:r>
        <w:rPr>
          <w:rFonts w:asciiTheme="minorHAnsi" w:eastAsiaTheme="minorHAnsi" w:hAnsiTheme="minorHAnsi" w:cs="TimesNewRomanPSMT"/>
        </w:rPr>
        <w:t xml:space="preserve"> </w:t>
      </w:r>
      <w:r w:rsidRPr="00AD392D">
        <w:rPr>
          <w:rFonts w:asciiTheme="minorHAnsi" w:eastAsiaTheme="minorHAnsi" w:hAnsiTheme="minorHAnsi" w:cs="TimesNewRomanPSMT"/>
        </w:rPr>
        <w:t xml:space="preserve">(5 subjects </w:t>
      </w:r>
      <w:r w:rsidR="00D074A0">
        <w:rPr>
          <w:rFonts w:asciiTheme="minorHAnsi" w:eastAsiaTheme="minorHAnsi" w:hAnsiTheme="minorHAnsi" w:cs="TimesNewRomanPSMT"/>
        </w:rPr>
        <w:t>(</w:t>
      </w:r>
      <w:r w:rsidRPr="00AD392D">
        <w:rPr>
          <w:rFonts w:asciiTheme="minorHAnsi" w:eastAsiaTheme="minorHAnsi" w:hAnsiTheme="minorHAnsi" w:cs="TimesNewRomanPSMT"/>
        </w:rPr>
        <w:t>63%</w:t>
      </w:r>
      <w:r w:rsidR="00D074A0">
        <w:rPr>
          <w:rFonts w:asciiTheme="minorHAnsi" w:eastAsiaTheme="minorHAnsi" w:hAnsiTheme="minorHAnsi" w:cs="TimesNewRomanPSMT"/>
        </w:rPr>
        <w:t>)</w:t>
      </w:r>
      <w:r w:rsidRPr="00AD392D">
        <w:rPr>
          <w:rFonts w:asciiTheme="minorHAnsi" w:eastAsiaTheme="minorHAnsi" w:hAnsiTheme="minorHAnsi" w:cs="TimesNewRomanPSMT"/>
        </w:rPr>
        <w:t xml:space="preserve">), ezetimibe (1 subject </w:t>
      </w:r>
      <w:r w:rsidR="00D074A0">
        <w:rPr>
          <w:rFonts w:asciiTheme="minorHAnsi" w:eastAsiaTheme="minorHAnsi" w:hAnsiTheme="minorHAnsi" w:cs="TimesNewRomanPSMT"/>
        </w:rPr>
        <w:t>(</w:t>
      </w:r>
      <w:r w:rsidRPr="00AD392D">
        <w:rPr>
          <w:rFonts w:asciiTheme="minorHAnsi" w:eastAsiaTheme="minorHAnsi" w:hAnsiTheme="minorHAnsi" w:cs="TimesNewRomanPSMT"/>
        </w:rPr>
        <w:t>13%</w:t>
      </w:r>
      <w:r w:rsidR="00D074A0">
        <w:rPr>
          <w:rFonts w:asciiTheme="minorHAnsi" w:eastAsiaTheme="minorHAnsi" w:hAnsiTheme="minorHAnsi" w:cs="TimesNewRomanPSMT"/>
        </w:rPr>
        <w:t>)</w:t>
      </w:r>
      <w:r w:rsidRPr="00AD392D">
        <w:rPr>
          <w:rFonts w:asciiTheme="minorHAnsi" w:eastAsiaTheme="minorHAnsi" w:hAnsiTheme="minorHAnsi" w:cs="TimesNewRomanPSMT"/>
        </w:rPr>
        <w:t xml:space="preserve">), and other medications (2 subjects </w:t>
      </w:r>
      <w:r w:rsidR="00D074A0">
        <w:rPr>
          <w:rFonts w:asciiTheme="minorHAnsi" w:eastAsiaTheme="minorHAnsi" w:hAnsiTheme="minorHAnsi" w:cs="TimesNewRomanPSMT"/>
        </w:rPr>
        <w:t>(</w:t>
      </w:r>
      <w:r w:rsidRPr="00AD392D">
        <w:rPr>
          <w:rFonts w:asciiTheme="minorHAnsi" w:eastAsiaTheme="minorHAnsi" w:hAnsiTheme="minorHAnsi" w:cs="TimesNewRomanPSMT"/>
        </w:rPr>
        <w:t>25%</w:t>
      </w:r>
      <w:r w:rsidR="00D074A0">
        <w:rPr>
          <w:rFonts w:asciiTheme="minorHAnsi" w:eastAsiaTheme="minorHAnsi" w:hAnsiTheme="minorHAnsi" w:cs="TimesNewRomanPSMT"/>
        </w:rPr>
        <w:t>)</w:t>
      </w:r>
      <w:r w:rsidRPr="00AD392D">
        <w:rPr>
          <w:rFonts w:asciiTheme="minorHAnsi" w:eastAsiaTheme="minorHAnsi" w:hAnsiTheme="minorHAnsi" w:cs="TimesNewRomanPSMT"/>
        </w:rPr>
        <w:t>).</w:t>
      </w:r>
      <w:r>
        <w:rPr>
          <w:rFonts w:asciiTheme="minorHAnsi" w:eastAsiaTheme="minorHAnsi" w:hAnsiTheme="minorHAnsi" w:cs="TimesNewRomanPSMT"/>
        </w:rPr>
        <w:t xml:space="preserve"> </w:t>
      </w:r>
      <w:r w:rsidRPr="002A0F37">
        <w:rPr>
          <w:rFonts w:asciiTheme="minorHAnsi" w:eastAsiaTheme="minorHAnsi" w:hAnsiTheme="minorHAnsi" w:cs="TimesNewRomanPSMT"/>
        </w:rPr>
        <w:t>There were 219 protocol deviations</w:t>
      </w:r>
      <w:r>
        <w:rPr>
          <w:rStyle w:val="FootnoteReference"/>
          <w:rFonts w:asciiTheme="minorHAnsi" w:eastAsiaTheme="minorHAnsi" w:hAnsiTheme="minorHAnsi" w:cs="TimesNewRomanPSMT"/>
        </w:rPr>
        <w:footnoteReference w:id="31"/>
      </w:r>
      <w:r>
        <w:rPr>
          <w:rFonts w:asciiTheme="minorHAnsi" w:eastAsiaTheme="minorHAnsi" w:hAnsiTheme="minorHAnsi" w:cs="TimesNewRomanPSMT"/>
        </w:rPr>
        <w:t xml:space="preserve"> and al</w:t>
      </w:r>
      <w:r w:rsidRPr="002A0F37">
        <w:rPr>
          <w:rFonts w:asciiTheme="minorHAnsi" w:eastAsiaTheme="minorHAnsi" w:hAnsiTheme="minorHAnsi" w:cs="TimesNewRomanPSMT"/>
        </w:rPr>
        <w:t>l were minor and not considered to affect the</w:t>
      </w:r>
      <w:r>
        <w:rPr>
          <w:rFonts w:asciiTheme="minorHAnsi" w:eastAsiaTheme="minorHAnsi" w:hAnsiTheme="minorHAnsi" w:cs="TimesNewRomanPSMT"/>
        </w:rPr>
        <w:t xml:space="preserve"> </w:t>
      </w:r>
      <w:r w:rsidRPr="002A0F37">
        <w:rPr>
          <w:rFonts w:asciiTheme="minorHAnsi" w:eastAsiaTheme="minorHAnsi" w:hAnsiTheme="minorHAnsi" w:cs="TimesNewRomanPSMT"/>
        </w:rPr>
        <w:t xml:space="preserve">validity or interpretation of the </w:t>
      </w:r>
      <w:r w:rsidR="00C4359A">
        <w:rPr>
          <w:rFonts w:asciiTheme="minorHAnsi" w:eastAsiaTheme="minorHAnsi" w:hAnsiTheme="minorHAnsi" w:cs="TimesNewRomanPSMT"/>
        </w:rPr>
        <w:t>study</w:t>
      </w:r>
      <w:r w:rsidRPr="002A0F37">
        <w:rPr>
          <w:rFonts w:asciiTheme="minorHAnsi" w:eastAsiaTheme="minorHAnsi" w:hAnsiTheme="minorHAnsi" w:cs="TimesNewRomanPSMT"/>
        </w:rPr>
        <w:t xml:space="preserve"> results.</w:t>
      </w:r>
    </w:p>
    <w:p w14:paraId="28FFB00B" w14:textId="77777777" w:rsidR="00CC672B" w:rsidRDefault="00934213" w:rsidP="00787F40">
      <w:pPr>
        <w:pStyle w:val="Heading5"/>
        <w:rPr>
          <w:rFonts w:eastAsiaTheme="minorHAnsi"/>
        </w:rPr>
      </w:pPr>
      <w:r>
        <w:rPr>
          <w:rFonts w:eastAsiaTheme="minorHAnsi"/>
        </w:rPr>
        <w:lastRenderedPageBreak/>
        <w:t>Results</w:t>
      </w:r>
    </w:p>
    <w:p w14:paraId="74115695" w14:textId="77777777" w:rsidR="00CC672B" w:rsidRDefault="00934213" w:rsidP="00787F40">
      <w:pPr>
        <w:pStyle w:val="Heading6"/>
        <w:rPr>
          <w:rFonts w:eastAsiaTheme="minorHAnsi"/>
        </w:rPr>
      </w:pPr>
      <w:r w:rsidRPr="00AD392D">
        <w:rPr>
          <w:rFonts w:eastAsiaTheme="minorHAnsi"/>
        </w:rPr>
        <w:t>Liver Volume and Fat Content</w:t>
      </w:r>
      <w:r>
        <w:rPr>
          <w:rStyle w:val="FootnoteReference"/>
          <w:rFonts w:asciiTheme="minorHAnsi" w:eastAsiaTheme="minorHAnsi" w:hAnsiTheme="minorHAnsi" w:cs="TimesNewRomanPS-ItalicMT"/>
          <w:iCs/>
        </w:rPr>
        <w:footnoteReference w:id="32"/>
      </w:r>
    </w:p>
    <w:p w14:paraId="583381FF" w14:textId="77777777" w:rsidR="00934213" w:rsidRDefault="00934213" w:rsidP="00934213">
      <w:pPr>
        <w:autoSpaceDE w:val="0"/>
        <w:autoSpaceDN w:val="0"/>
        <w:adjustRightInd w:val="0"/>
        <w:spacing w:before="0" w:after="0" w:line="240" w:lineRule="auto"/>
        <w:rPr>
          <w:rFonts w:asciiTheme="minorHAnsi" w:eastAsiaTheme="minorHAnsi" w:hAnsiTheme="minorHAnsi" w:cs="TimesNewRomanPSMT"/>
        </w:rPr>
      </w:pPr>
      <w:r w:rsidRPr="002F2D3E">
        <w:rPr>
          <w:rFonts w:asciiTheme="minorHAnsi" w:eastAsiaTheme="minorHAnsi" w:hAnsiTheme="minorHAnsi" w:cs="TimesNewRomanPSMT"/>
        </w:rPr>
        <w:t xml:space="preserve">At the LAL-CL04 </w:t>
      </w:r>
      <w:r>
        <w:rPr>
          <w:rFonts w:asciiTheme="minorHAnsi" w:eastAsiaTheme="minorHAnsi" w:hAnsiTheme="minorHAnsi" w:cs="TimesNewRomanPSMT"/>
        </w:rPr>
        <w:t>b</w:t>
      </w:r>
      <w:r w:rsidRPr="002F2D3E">
        <w:rPr>
          <w:rFonts w:asciiTheme="minorHAnsi" w:eastAsiaTheme="minorHAnsi" w:hAnsiTheme="minorHAnsi" w:cs="TimesNewRomanPSMT"/>
        </w:rPr>
        <w:t xml:space="preserve">aseline the mean liver volume was 1.045 </w:t>
      </w:r>
      <w:r w:rsidR="00803642">
        <w:rPr>
          <w:rFonts w:asciiTheme="minorHAnsi" w:eastAsiaTheme="minorHAnsi" w:hAnsiTheme="minorHAnsi" w:cs="TimesNewRomanPSMT"/>
        </w:rPr>
        <w:t>±</w:t>
      </w:r>
      <w:r w:rsidRPr="002F2D3E">
        <w:rPr>
          <w:rFonts w:asciiTheme="minorHAnsi" w:eastAsiaTheme="minorHAnsi" w:hAnsiTheme="minorHAnsi" w:cs="TimesNewRomanPSMT"/>
        </w:rPr>
        <w:t xml:space="preserve"> 0.13 multiples of normal (MN)</w:t>
      </w:r>
      <w:r>
        <w:rPr>
          <w:rFonts w:asciiTheme="minorHAnsi" w:eastAsiaTheme="minorHAnsi" w:hAnsiTheme="minorHAnsi" w:cs="TimesNewRomanPSMT"/>
        </w:rPr>
        <w:t xml:space="preserve"> and m</w:t>
      </w:r>
      <w:r w:rsidRPr="002F2D3E">
        <w:rPr>
          <w:rFonts w:asciiTheme="minorHAnsi" w:eastAsiaTheme="minorHAnsi" w:hAnsiTheme="minorHAnsi" w:cs="TimesNewRomanPSMT"/>
        </w:rPr>
        <w:t xml:space="preserve">ean absolute decreases in liver volume </w:t>
      </w:r>
      <w:r>
        <w:rPr>
          <w:rFonts w:asciiTheme="minorHAnsi" w:eastAsiaTheme="minorHAnsi" w:hAnsiTheme="minorHAnsi" w:cs="TimesNewRomanPSMT"/>
        </w:rPr>
        <w:t>(</w:t>
      </w:r>
      <w:r w:rsidRPr="002F2D3E">
        <w:rPr>
          <w:rFonts w:asciiTheme="minorHAnsi" w:eastAsiaTheme="minorHAnsi" w:hAnsiTheme="minorHAnsi" w:cs="TimesNewRomanPSMT"/>
        </w:rPr>
        <w:t>MN</w:t>
      </w:r>
      <w:r>
        <w:rPr>
          <w:rFonts w:asciiTheme="minorHAnsi" w:eastAsiaTheme="minorHAnsi" w:hAnsiTheme="minorHAnsi" w:cs="TimesNewRomanPSMT"/>
        </w:rPr>
        <w:t>)</w:t>
      </w:r>
      <w:r w:rsidRPr="002F2D3E">
        <w:rPr>
          <w:rFonts w:asciiTheme="minorHAnsi" w:eastAsiaTheme="minorHAnsi" w:hAnsiTheme="minorHAnsi" w:cs="TimesNewRomanPSMT"/>
        </w:rPr>
        <w:t xml:space="preserve"> from LAL-CL04 </w:t>
      </w:r>
      <w:r>
        <w:rPr>
          <w:rFonts w:asciiTheme="minorHAnsi" w:eastAsiaTheme="minorHAnsi" w:hAnsiTheme="minorHAnsi" w:cs="TimesNewRomanPSMT"/>
        </w:rPr>
        <w:t>b</w:t>
      </w:r>
      <w:r w:rsidRPr="002F2D3E">
        <w:rPr>
          <w:rFonts w:asciiTheme="minorHAnsi" w:eastAsiaTheme="minorHAnsi" w:hAnsiTheme="minorHAnsi" w:cs="TimesNewRomanPSMT"/>
        </w:rPr>
        <w:t xml:space="preserve">aseline </w:t>
      </w:r>
      <w:r>
        <w:rPr>
          <w:rFonts w:asciiTheme="minorHAnsi" w:eastAsiaTheme="minorHAnsi" w:hAnsiTheme="minorHAnsi" w:cs="TimesNewRomanPSMT"/>
        </w:rPr>
        <w:t xml:space="preserve">were </w:t>
      </w:r>
      <w:r w:rsidR="00803642">
        <w:rPr>
          <w:rFonts w:asciiTheme="minorHAnsi" w:eastAsiaTheme="minorHAnsi" w:hAnsiTheme="minorHAnsi" w:cs="TimesNewRomanPSMT"/>
        </w:rPr>
        <w:noBreakHyphen/>
      </w:r>
      <w:r w:rsidRPr="002F2D3E">
        <w:rPr>
          <w:rFonts w:asciiTheme="minorHAnsi" w:eastAsiaTheme="minorHAnsi" w:hAnsiTheme="minorHAnsi" w:cs="TimesNewRomanPSMT"/>
        </w:rPr>
        <w:t>0.096 (n</w:t>
      </w:r>
      <w:r w:rsidR="00803642">
        <w:rPr>
          <w:rFonts w:asciiTheme="minorHAnsi" w:eastAsiaTheme="minorHAnsi" w:hAnsiTheme="minorHAnsi" w:cs="TimesNewRomanPSMT"/>
        </w:rPr>
        <w:t> </w:t>
      </w:r>
      <w:r w:rsidR="002D28A4">
        <w:rPr>
          <w:rFonts w:asciiTheme="minorHAnsi" w:eastAsiaTheme="minorHAnsi" w:hAnsiTheme="minorHAnsi" w:cs="TimesNewRomanPSMT"/>
        </w:rPr>
        <w:t>=</w:t>
      </w:r>
      <w:r w:rsidR="00803642">
        <w:rPr>
          <w:rFonts w:asciiTheme="minorHAnsi" w:eastAsiaTheme="minorHAnsi" w:hAnsiTheme="minorHAnsi" w:cs="TimesNewRomanPSMT"/>
        </w:rPr>
        <w:t> </w:t>
      </w:r>
      <w:r w:rsidRPr="002F2D3E">
        <w:rPr>
          <w:rFonts w:asciiTheme="minorHAnsi" w:eastAsiaTheme="minorHAnsi" w:hAnsiTheme="minorHAnsi" w:cs="TimesNewRomanPSMT"/>
        </w:rPr>
        <w:t xml:space="preserve">8), </w:t>
      </w:r>
      <w:r w:rsidR="00803642">
        <w:rPr>
          <w:rFonts w:asciiTheme="minorHAnsi" w:eastAsiaTheme="minorHAnsi" w:hAnsiTheme="minorHAnsi" w:cs="TimesNewRomanPSMT"/>
        </w:rPr>
        <w:noBreakHyphen/>
      </w:r>
      <w:r w:rsidRPr="002F2D3E">
        <w:rPr>
          <w:rFonts w:asciiTheme="minorHAnsi" w:eastAsiaTheme="minorHAnsi" w:hAnsiTheme="minorHAnsi" w:cs="TimesNewRomanPSMT"/>
        </w:rPr>
        <w:t>0.</w:t>
      </w:r>
      <w:r w:rsidRPr="00F521FC">
        <w:rPr>
          <w:rFonts w:asciiTheme="minorHAnsi" w:eastAsiaTheme="minorHAnsi" w:hAnsiTheme="minorHAnsi" w:cs="TimesNewRomanPSMT"/>
        </w:rPr>
        <w:t>092 (n</w:t>
      </w:r>
      <w:r w:rsidR="002D28A4">
        <w:rPr>
          <w:rFonts w:asciiTheme="minorHAnsi" w:eastAsiaTheme="minorHAnsi" w:hAnsiTheme="minorHAnsi" w:cs="TimesNewRomanPSMT"/>
        </w:rPr>
        <w:t xml:space="preserve"> = </w:t>
      </w:r>
      <w:r w:rsidRPr="00F521FC">
        <w:rPr>
          <w:rFonts w:asciiTheme="minorHAnsi" w:eastAsiaTheme="minorHAnsi" w:hAnsiTheme="minorHAnsi" w:cs="TimesNewRomanPSMT"/>
        </w:rPr>
        <w:t>7), -0.096 (n</w:t>
      </w:r>
      <w:r w:rsidR="002D28A4">
        <w:rPr>
          <w:rFonts w:asciiTheme="minorHAnsi" w:eastAsiaTheme="minorHAnsi" w:hAnsiTheme="minorHAnsi" w:cs="TimesNewRomanPSMT"/>
        </w:rPr>
        <w:t xml:space="preserve"> = </w:t>
      </w:r>
      <w:r w:rsidRPr="00F521FC">
        <w:rPr>
          <w:rFonts w:asciiTheme="minorHAnsi" w:eastAsiaTheme="minorHAnsi" w:hAnsiTheme="minorHAnsi" w:cs="TimesNewRomanPSMT"/>
        </w:rPr>
        <w:t>7) and -0.177 (n</w:t>
      </w:r>
      <w:r w:rsidR="002D28A4">
        <w:rPr>
          <w:rFonts w:asciiTheme="minorHAnsi" w:eastAsiaTheme="minorHAnsi" w:hAnsiTheme="minorHAnsi" w:cs="TimesNewRomanPSMT"/>
        </w:rPr>
        <w:t xml:space="preserve"> = </w:t>
      </w:r>
      <w:r w:rsidRPr="00F521FC">
        <w:rPr>
          <w:rFonts w:asciiTheme="minorHAnsi" w:eastAsiaTheme="minorHAnsi" w:hAnsiTheme="minorHAnsi" w:cs="TimesNewRomanPSMT"/>
        </w:rPr>
        <w:t>5) at Week 10 or 12,</w:t>
      </w:r>
      <w:r>
        <w:rPr>
          <w:rFonts w:asciiTheme="minorHAnsi" w:eastAsiaTheme="minorHAnsi" w:hAnsiTheme="minorHAnsi" w:cs="TimesNewRomanPSMT"/>
        </w:rPr>
        <w:t xml:space="preserve"> </w:t>
      </w:r>
      <w:r w:rsidRPr="00F521FC">
        <w:rPr>
          <w:rFonts w:asciiTheme="minorHAnsi" w:eastAsiaTheme="minorHAnsi" w:hAnsiTheme="minorHAnsi" w:cs="TimesNewRomanPSMT"/>
        </w:rPr>
        <w:t xml:space="preserve">Week 24, Week 52 and Week 104, </w:t>
      </w:r>
      <w:r w:rsidRPr="00E45A80">
        <w:rPr>
          <w:rFonts w:asciiTheme="minorHAnsi" w:eastAsiaTheme="minorHAnsi" w:hAnsiTheme="minorHAnsi" w:cs="TimesNewRomanPSMT"/>
        </w:rPr>
        <w:t>respectively (</w:t>
      </w:r>
      <w:r w:rsidR="00803642" w:rsidRPr="00E45A80">
        <w:rPr>
          <w:rFonts w:asciiTheme="minorHAnsi" w:eastAsiaTheme="minorHAnsi" w:hAnsiTheme="minorHAnsi" w:cs="TimesNewRomanPSMT"/>
        </w:rPr>
        <w:t xml:space="preserve">Table </w:t>
      </w:r>
      <w:r w:rsidR="00E45A80" w:rsidRPr="00E45A80">
        <w:rPr>
          <w:rFonts w:asciiTheme="minorHAnsi" w:eastAsiaTheme="minorHAnsi" w:hAnsiTheme="minorHAnsi" w:cs="TimesNewRomanPSMT"/>
        </w:rPr>
        <w:t>16</w:t>
      </w:r>
      <w:r w:rsidRPr="00E45A80">
        <w:rPr>
          <w:rFonts w:asciiTheme="minorHAnsi" w:eastAsiaTheme="minorHAnsi" w:hAnsiTheme="minorHAnsi" w:cs="TimesNewRomanPSMT"/>
        </w:rPr>
        <w:t>).</w:t>
      </w:r>
      <w:r w:rsidRPr="00F521FC">
        <w:rPr>
          <w:rFonts w:asciiTheme="minorHAnsi" w:eastAsiaTheme="minorHAnsi" w:hAnsiTheme="minorHAnsi" w:cs="TimesNewRomanPSMT"/>
        </w:rPr>
        <w:t xml:space="preserve"> Reductions in liver fat content</w:t>
      </w:r>
      <w:r w:rsidRPr="00F521FC">
        <w:rPr>
          <w:rStyle w:val="FootnoteReference"/>
          <w:rFonts w:asciiTheme="minorHAnsi" w:eastAsiaTheme="minorHAnsi" w:hAnsiTheme="minorHAnsi" w:cs="TimesNewRomanPSMT"/>
        </w:rPr>
        <w:footnoteReference w:id="33"/>
      </w:r>
      <w:r w:rsidRPr="00F521FC">
        <w:rPr>
          <w:rFonts w:asciiTheme="minorHAnsi" w:eastAsiaTheme="minorHAnsi" w:hAnsiTheme="minorHAnsi" w:cs="TimesNewRomanPSMT"/>
        </w:rPr>
        <w:t xml:space="preserve"> were seen within 10/12 weeks of initiation of treatment in LAL-CL04 with further improvements through the last available time point. Mean percentage</w:t>
      </w:r>
      <w:r w:rsidRPr="002F2D3E">
        <w:rPr>
          <w:rFonts w:asciiTheme="minorHAnsi" w:eastAsiaTheme="minorHAnsi" w:hAnsiTheme="minorHAnsi" w:cs="TimesNewRomanPSMT"/>
        </w:rPr>
        <w:t xml:space="preserve"> decreases in liver</w:t>
      </w:r>
      <w:r>
        <w:rPr>
          <w:rFonts w:asciiTheme="minorHAnsi" w:eastAsiaTheme="minorHAnsi" w:hAnsiTheme="minorHAnsi" w:cs="TimesNewRomanPSMT"/>
        </w:rPr>
        <w:t xml:space="preserve"> </w:t>
      </w:r>
      <w:r w:rsidRPr="002F2D3E">
        <w:rPr>
          <w:rFonts w:asciiTheme="minorHAnsi" w:eastAsiaTheme="minorHAnsi" w:hAnsiTheme="minorHAnsi" w:cs="TimesNewRomanPSMT"/>
        </w:rPr>
        <w:t>fat content from LAL-CL04 Baseline of 30% (n</w:t>
      </w:r>
      <w:r w:rsidR="002D28A4">
        <w:rPr>
          <w:rFonts w:asciiTheme="minorHAnsi" w:eastAsiaTheme="minorHAnsi" w:hAnsiTheme="minorHAnsi" w:cs="TimesNewRomanPSMT"/>
        </w:rPr>
        <w:t xml:space="preserve"> = </w:t>
      </w:r>
      <w:r w:rsidRPr="002F2D3E">
        <w:rPr>
          <w:rFonts w:asciiTheme="minorHAnsi" w:eastAsiaTheme="minorHAnsi" w:hAnsiTheme="minorHAnsi" w:cs="TimesNewRomanPSMT"/>
        </w:rPr>
        <w:t>5), 15% (n</w:t>
      </w:r>
      <w:r w:rsidR="002D28A4">
        <w:rPr>
          <w:rFonts w:asciiTheme="minorHAnsi" w:eastAsiaTheme="minorHAnsi" w:hAnsiTheme="minorHAnsi" w:cs="TimesNewRomanPSMT"/>
        </w:rPr>
        <w:t xml:space="preserve"> = </w:t>
      </w:r>
      <w:r w:rsidRPr="002F2D3E">
        <w:rPr>
          <w:rFonts w:asciiTheme="minorHAnsi" w:eastAsiaTheme="minorHAnsi" w:hAnsiTheme="minorHAnsi" w:cs="TimesNewRomanPSMT"/>
        </w:rPr>
        <w:t>4), 37% (n</w:t>
      </w:r>
      <w:r w:rsidR="002D28A4">
        <w:rPr>
          <w:rFonts w:asciiTheme="minorHAnsi" w:eastAsiaTheme="minorHAnsi" w:hAnsiTheme="minorHAnsi" w:cs="TimesNewRomanPSMT"/>
        </w:rPr>
        <w:t xml:space="preserve"> = </w:t>
      </w:r>
      <w:r w:rsidRPr="002F2D3E">
        <w:rPr>
          <w:rFonts w:asciiTheme="minorHAnsi" w:eastAsiaTheme="minorHAnsi" w:hAnsiTheme="minorHAnsi" w:cs="TimesNewRomanPSMT"/>
        </w:rPr>
        <w:t>4), and 39% (n</w:t>
      </w:r>
      <w:r w:rsidR="002D28A4">
        <w:rPr>
          <w:rFonts w:asciiTheme="minorHAnsi" w:eastAsiaTheme="minorHAnsi" w:hAnsiTheme="minorHAnsi" w:cs="TimesNewRomanPSMT"/>
        </w:rPr>
        <w:t xml:space="preserve"> = </w:t>
      </w:r>
      <w:r w:rsidRPr="002F2D3E">
        <w:rPr>
          <w:rFonts w:asciiTheme="minorHAnsi" w:eastAsiaTheme="minorHAnsi" w:hAnsiTheme="minorHAnsi" w:cs="TimesNewRomanPSMT"/>
        </w:rPr>
        <w:t>2)</w:t>
      </w:r>
      <w:r>
        <w:rPr>
          <w:rFonts w:asciiTheme="minorHAnsi" w:eastAsiaTheme="minorHAnsi" w:hAnsiTheme="minorHAnsi" w:cs="TimesNewRomanPSMT"/>
        </w:rPr>
        <w:t xml:space="preserve"> </w:t>
      </w:r>
      <w:r w:rsidRPr="002F2D3E">
        <w:rPr>
          <w:rFonts w:asciiTheme="minorHAnsi" w:eastAsiaTheme="minorHAnsi" w:hAnsiTheme="minorHAnsi" w:cs="TimesNewRomanPSMT"/>
        </w:rPr>
        <w:t>were observed at Week 10 or 12, Week 24, Week 52, and Week 104, respectively</w:t>
      </w:r>
      <w:r>
        <w:rPr>
          <w:rFonts w:asciiTheme="minorHAnsi" w:eastAsiaTheme="minorHAnsi" w:hAnsiTheme="minorHAnsi" w:cs="TimesNewRomanPSMT"/>
        </w:rPr>
        <w:t xml:space="preserve"> </w:t>
      </w:r>
      <w:r w:rsidRPr="00E45A80">
        <w:rPr>
          <w:rFonts w:asciiTheme="minorHAnsi" w:eastAsiaTheme="minorHAnsi" w:hAnsiTheme="minorHAnsi" w:cs="TimesNewRomanPSMT"/>
        </w:rPr>
        <w:t>(</w:t>
      </w:r>
      <w:r w:rsidR="00E71317" w:rsidRPr="00E45A80">
        <w:rPr>
          <w:rFonts w:asciiTheme="minorHAnsi" w:eastAsiaTheme="minorHAnsi" w:hAnsiTheme="minorHAnsi" w:cs="TimesNewRomanPSMT"/>
        </w:rPr>
        <w:t xml:space="preserve">Table </w:t>
      </w:r>
      <w:r w:rsidR="00E45A80" w:rsidRPr="00E45A80">
        <w:rPr>
          <w:rFonts w:asciiTheme="minorHAnsi" w:eastAsiaTheme="minorHAnsi" w:hAnsiTheme="minorHAnsi" w:cs="TimesNewRomanPSMT"/>
        </w:rPr>
        <w:t>17</w:t>
      </w:r>
      <w:r w:rsidRPr="00E45A80">
        <w:rPr>
          <w:rFonts w:asciiTheme="minorHAnsi" w:eastAsiaTheme="minorHAnsi" w:hAnsiTheme="minorHAnsi" w:cs="TimesNewRomanPSMT"/>
        </w:rPr>
        <w:t>)</w:t>
      </w:r>
      <w:r w:rsidR="00B73619" w:rsidRPr="00E45A80">
        <w:rPr>
          <w:rFonts w:asciiTheme="minorHAnsi" w:eastAsiaTheme="minorHAnsi" w:hAnsiTheme="minorHAnsi" w:cs="TimesNewRomanPSMT"/>
        </w:rPr>
        <w:t xml:space="preserve">. </w:t>
      </w:r>
      <w:r w:rsidRPr="00E45A80">
        <w:rPr>
          <w:rFonts w:asciiTheme="minorHAnsi" w:eastAsiaTheme="minorHAnsi" w:hAnsiTheme="minorHAnsi" w:cs="TimesNewRomanPSMT"/>
        </w:rPr>
        <w:t>Summaries of the spleen fat content were not created as the low values made the data difficult to interpret</w:t>
      </w:r>
      <w:r w:rsidRPr="00F521FC">
        <w:rPr>
          <w:rFonts w:asciiTheme="minorHAnsi" w:eastAsiaTheme="minorHAnsi" w:hAnsiTheme="minorHAnsi" w:cs="TimesNewRomanPSMT"/>
        </w:rPr>
        <w:t>.</w:t>
      </w:r>
      <w:r>
        <w:rPr>
          <w:rFonts w:asciiTheme="minorHAnsi" w:eastAsiaTheme="minorHAnsi" w:hAnsiTheme="minorHAnsi" w:cs="TimesNewRomanPSMT"/>
        </w:rPr>
        <w:t xml:space="preserve"> However, </w:t>
      </w:r>
      <w:r w:rsidRPr="00F521FC">
        <w:rPr>
          <w:rFonts w:asciiTheme="minorHAnsi" w:eastAsiaTheme="minorHAnsi" w:hAnsiTheme="minorHAnsi" w:cs="TimesNewRomanPSMT"/>
        </w:rPr>
        <w:t>reductions were observed over time</w:t>
      </w:r>
      <w:r>
        <w:rPr>
          <w:rFonts w:asciiTheme="minorHAnsi" w:eastAsiaTheme="minorHAnsi" w:hAnsiTheme="minorHAnsi" w:cs="TimesNewRomanPSMT"/>
        </w:rPr>
        <w:t xml:space="preserve"> in </w:t>
      </w:r>
      <w:r w:rsidRPr="00F521FC">
        <w:rPr>
          <w:rFonts w:asciiTheme="minorHAnsi" w:eastAsiaTheme="minorHAnsi" w:hAnsiTheme="minorHAnsi" w:cs="TimesNewRomanPSMT"/>
        </w:rPr>
        <w:t xml:space="preserve">5 subjects where </w:t>
      </w:r>
      <w:r>
        <w:rPr>
          <w:rFonts w:asciiTheme="minorHAnsi" w:eastAsiaTheme="minorHAnsi" w:hAnsiTheme="minorHAnsi" w:cs="TimesNewRomanPSMT"/>
        </w:rPr>
        <w:t>b</w:t>
      </w:r>
      <w:r w:rsidRPr="00F521FC">
        <w:rPr>
          <w:rFonts w:asciiTheme="minorHAnsi" w:eastAsiaTheme="minorHAnsi" w:hAnsiTheme="minorHAnsi" w:cs="TimesNewRomanPSMT"/>
        </w:rPr>
        <w:t xml:space="preserve">aseline data were available, Pathology reports of </w:t>
      </w:r>
      <w:r w:rsidR="00905BF2">
        <w:rPr>
          <w:rFonts w:asciiTheme="minorHAnsi" w:eastAsiaTheme="minorHAnsi" w:hAnsiTheme="minorHAnsi" w:cs="TimesNewRomanPSMT"/>
        </w:rPr>
        <w:t>post treatment</w:t>
      </w:r>
      <w:r w:rsidRPr="00F521FC">
        <w:rPr>
          <w:rFonts w:asciiTheme="minorHAnsi" w:eastAsiaTheme="minorHAnsi" w:hAnsiTheme="minorHAnsi" w:cs="TimesNewRomanPSMT"/>
        </w:rPr>
        <w:t xml:space="preserve"> liver biopsy assessments were available in only 2 subjects limiting interpretation. However, there appeared to be a marked reduction in fat content and fibrosis in both of these subjects following </w:t>
      </w:r>
      <w:proofErr w:type="spellStart"/>
      <w:r w:rsidRPr="00F521FC">
        <w:rPr>
          <w:rFonts w:asciiTheme="minorHAnsi" w:eastAsiaTheme="minorHAnsi" w:hAnsiTheme="minorHAnsi" w:cs="TimesNewRomanPSMT"/>
        </w:rPr>
        <w:t>sebelipase</w:t>
      </w:r>
      <w:proofErr w:type="spellEnd"/>
      <w:r w:rsidRPr="00F521FC">
        <w:rPr>
          <w:rFonts w:asciiTheme="minorHAnsi" w:eastAsiaTheme="minorHAnsi" w:hAnsiTheme="minorHAnsi" w:cs="TimesNewRomanPSMT"/>
        </w:rPr>
        <w:t xml:space="preserve"> alfa treatment.</w:t>
      </w:r>
    </w:p>
    <w:p w14:paraId="4B0EF4D2" w14:textId="77777777" w:rsidR="00803642" w:rsidRDefault="00803642" w:rsidP="00803642">
      <w:pPr>
        <w:pStyle w:val="Tabletitle"/>
      </w:pPr>
      <w:r>
        <w:t xml:space="preserve">Table </w:t>
      </w:r>
      <w:r w:rsidR="00E45A80">
        <w:t xml:space="preserve">16: </w:t>
      </w:r>
      <w:r>
        <w:t xml:space="preserve">Study </w:t>
      </w:r>
      <w:r w:rsidR="00E71317">
        <w:t>LAL-CL04. Change over time in li</w:t>
      </w:r>
      <w:r>
        <w:t>ver volumes (MN) from LAL-CL04 baseline assessed by MRI by visit FAS</w:t>
      </w:r>
    </w:p>
    <w:p w14:paraId="17D2E652" w14:textId="77777777" w:rsidR="00803642" w:rsidRDefault="00AB35F9" w:rsidP="00803642">
      <w:r>
        <w:rPr>
          <w:noProof/>
          <w:lang w:eastAsia="en-AU"/>
        </w:rPr>
        <w:drawing>
          <wp:inline distT="0" distB="0" distL="0" distR="0" wp14:anchorId="63AC444B" wp14:editId="62C4EE00">
            <wp:extent cx="5731510" cy="3261327"/>
            <wp:effectExtent l="0" t="0" r="2540" b="0"/>
            <wp:docPr id="70" name="Picture 70" descr="Table 16: Study LAL-CL04. Change over time in liver volumes (MN) from LAL-CL04 baseline assessed by MRI by visi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3261327"/>
                    </a:xfrm>
                    <a:prstGeom prst="rect">
                      <a:avLst/>
                    </a:prstGeom>
                  </pic:spPr>
                </pic:pic>
              </a:graphicData>
            </a:graphic>
          </wp:inline>
        </w:drawing>
      </w:r>
    </w:p>
    <w:p w14:paraId="10DA9CF3" w14:textId="77777777" w:rsidR="00E71317" w:rsidRDefault="00E71317" w:rsidP="00E71317">
      <w:pPr>
        <w:pStyle w:val="Tabletitle"/>
      </w:pPr>
      <w:r>
        <w:lastRenderedPageBreak/>
        <w:t xml:space="preserve">Table </w:t>
      </w:r>
      <w:r w:rsidR="00E45A80">
        <w:t>17:</w:t>
      </w:r>
      <w:r>
        <w:t xml:space="preserve"> Study LAL-CL04. Change over time in liver fat content from</w:t>
      </w:r>
      <w:r w:rsidRPr="00E71317">
        <w:t xml:space="preserve"> </w:t>
      </w:r>
      <w:r>
        <w:t>LAL-CL04 baseline by multi echo gradient echo MRI FAS</w:t>
      </w:r>
    </w:p>
    <w:p w14:paraId="2DC3E2DB" w14:textId="77777777" w:rsidR="00E71317" w:rsidRPr="00E71317" w:rsidRDefault="00AB35F9" w:rsidP="00E71317">
      <w:r>
        <w:rPr>
          <w:noProof/>
          <w:lang w:eastAsia="en-AU"/>
        </w:rPr>
        <w:drawing>
          <wp:inline distT="0" distB="0" distL="0" distR="0" wp14:anchorId="37EB6066" wp14:editId="5BDE0032">
            <wp:extent cx="5731510" cy="2953932"/>
            <wp:effectExtent l="0" t="0" r="2540" b="0"/>
            <wp:docPr id="71" name="Picture 71" descr="Table 17: Study LAL-CL04. Change over time in liver fat content from LAL-CL04 baseline by multi echo gradient echo MRI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2953932"/>
                    </a:xfrm>
                    <a:prstGeom prst="rect">
                      <a:avLst/>
                    </a:prstGeom>
                  </pic:spPr>
                </pic:pic>
              </a:graphicData>
            </a:graphic>
          </wp:inline>
        </w:drawing>
      </w:r>
    </w:p>
    <w:p w14:paraId="4EE2B776" w14:textId="77777777" w:rsidR="00CC672B" w:rsidRDefault="00934213" w:rsidP="00787F40">
      <w:pPr>
        <w:pStyle w:val="Heading6"/>
        <w:rPr>
          <w:lang w:eastAsia="ja-JP"/>
        </w:rPr>
      </w:pPr>
      <w:r w:rsidRPr="00F521FC">
        <w:rPr>
          <w:lang w:eastAsia="ja-JP"/>
        </w:rPr>
        <w:t>Liver parameters</w:t>
      </w:r>
    </w:p>
    <w:p w14:paraId="6AA503C7" w14:textId="1E0D3336" w:rsidR="00B73619" w:rsidRPr="00E71317" w:rsidRDefault="00934213" w:rsidP="00934213">
      <w:pPr>
        <w:autoSpaceDE w:val="0"/>
        <w:autoSpaceDN w:val="0"/>
        <w:adjustRightInd w:val="0"/>
        <w:spacing w:before="0" w:after="0" w:line="240" w:lineRule="auto"/>
        <w:rPr>
          <w:rFonts w:asciiTheme="minorHAnsi" w:eastAsiaTheme="minorHAnsi" w:hAnsiTheme="minorHAnsi" w:cs="TimesNewRomanPSMT"/>
        </w:rPr>
      </w:pPr>
      <w:r w:rsidRPr="00AD392D">
        <w:rPr>
          <w:rFonts w:asciiTheme="minorHAnsi" w:eastAsiaTheme="minorHAnsi" w:hAnsiTheme="minorHAnsi" w:cs="TimesNewRomanPSMT"/>
        </w:rPr>
        <w:t xml:space="preserve">Both mean ALT and AST were increased at the LAL-CL04 </w:t>
      </w:r>
      <w:r>
        <w:rPr>
          <w:rFonts w:asciiTheme="minorHAnsi" w:eastAsiaTheme="minorHAnsi" w:hAnsiTheme="minorHAnsi" w:cs="TimesNewRomanPSMT"/>
        </w:rPr>
        <w:t>b</w:t>
      </w:r>
      <w:r w:rsidRPr="00AD392D">
        <w:rPr>
          <w:rFonts w:asciiTheme="minorHAnsi" w:eastAsiaTheme="minorHAnsi" w:hAnsiTheme="minorHAnsi" w:cs="TimesNewRomanPSMT"/>
        </w:rPr>
        <w:t>aseline</w:t>
      </w:r>
      <w:r>
        <w:rPr>
          <w:rFonts w:asciiTheme="minorHAnsi" w:eastAsiaTheme="minorHAnsi" w:hAnsiTheme="minorHAnsi" w:cs="TimesNewRomanPSMT"/>
        </w:rPr>
        <w:t xml:space="preserve"> </w:t>
      </w:r>
      <w:r w:rsidRPr="00AD392D">
        <w:rPr>
          <w:rFonts w:asciiTheme="minorHAnsi" w:eastAsiaTheme="minorHAnsi" w:hAnsiTheme="minorHAnsi" w:cs="TimesNewRomanPSMT"/>
        </w:rPr>
        <w:t>relative to the end of treatment value in LAL-CL01. Re-initiation of treatment in LAL-CL04</w:t>
      </w:r>
      <w:r>
        <w:rPr>
          <w:rFonts w:asciiTheme="minorHAnsi" w:eastAsiaTheme="minorHAnsi" w:hAnsiTheme="minorHAnsi" w:cs="TimesNewRomanPSMT"/>
        </w:rPr>
        <w:t xml:space="preserve"> </w:t>
      </w:r>
      <w:r w:rsidRPr="00AD392D">
        <w:rPr>
          <w:rFonts w:asciiTheme="minorHAnsi" w:eastAsiaTheme="minorHAnsi" w:hAnsiTheme="minorHAnsi" w:cs="TimesNewRomanPSMT"/>
        </w:rPr>
        <w:t>produced a rapid decline in ALT and AST. The improvements in ALT and AST were</w:t>
      </w:r>
      <w:r>
        <w:rPr>
          <w:rFonts w:asciiTheme="minorHAnsi" w:eastAsiaTheme="minorHAnsi" w:hAnsiTheme="minorHAnsi" w:cs="TimesNewRomanPSMT"/>
        </w:rPr>
        <w:t xml:space="preserve"> </w:t>
      </w:r>
      <w:r w:rsidRPr="00AD392D">
        <w:rPr>
          <w:rFonts w:asciiTheme="minorHAnsi" w:eastAsiaTheme="minorHAnsi" w:hAnsiTheme="minorHAnsi" w:cs="TimesNewRomanPSMT"/>
        </w:rPr>
        <w:t xml:space="preserve">maintained after the transition from </w:t>
      </w:r>
      <w:proofErr w:type="spellStart"/>
      <w:r w:rsidRPr="00AD392D">
        <w:rPr>
          <w:rFonts w:asciiTheme="minorHAnsi" w:eastAsiaTheme="minorHAnsi" w:hAnsiTheme="minorHAnsi" w:cs="TimesNewRomanPSMT"/>
        </w:rPr>
        <w:t>qw</w:t>
      </w:r>
      <w:proofErr w:type="spellEnd"/>
      <w:r w:rsidRPr="00AD392D">
        <w:rPr>
          <w:rFonts w:asciiTheme="minorHAnsi" w:eastAsiaTheme="minorHAnsi" w:hAnsiTheme="minorHAnsi" w:cs="TimesNewRomanPSMT"/>
        </w:rPr>
        <w:t xml:space="preserve"> to </w:t>
      </w:r>
      <w:proofErr w:type="spellStart"/>
      <w:r w:rsidRPr="00AD392D">
        <w:rPr>
          <w:rFonts w:asciiTheme="minorHAnsi" w:eastAsiaTheme="minorHAnsi" w:hAnsiTheme="minorHAnsi" w:cs="TimesNewRomanPSMT"/>
        </w:rPr>
        <w:t>qow</w:t>
      </w:r>
      <w:proofErr w:type="spellEnd"/>
      <w:r w:rsidRPr="00AD392D">
        <w:rPr>
          <w:rFonts w:asciiTheme="minorHAnsi" w:eastAsiaTheme="minorHAnsi" w:hAnsiTheme="minorHAnsi" w:cs="TimesNewRomanPSMT"/>
        </w:rPr>
        <w:t xml:space="preserve"> dosing. A transient increase in mean AST was</w:t>
      </w:r>
      <w:r>
        <w:rPr>
          <w:rFonts w:asciiTheme="minorHAnsi" w:eastAsiaTheme="minorHAnsi" w:hAnsiTheme="minorHAnsi" w:cs="TimesNewRomanPSMT"/>
        </w:rPr>
        <w:t xml:space="preserve"> noted at Week 25 and m</w:t>
      </w:r>
      <w:r w:rsidRPr="00AD392D">
        <w:rPr>
          <w:rFonts w:asciiTheme="minorHAnsi" w:eastAsiaTheme="minorHAnsi" w:hAnsiTheme="minorHAnsi" w:cs="TimesNewRomanPSMT"/>
        </w:rPr>
        <w:t xml:space="preserve">eans for both ALT and AST were within the normal range </w:t>
      </w:r>
      <w:r>
        <w:rPr>
          <w:rFonts w:asciiTheme="minorHAnsi" w:eastAsiaTheme="minorHAnsi" w:hAnsiTheme="minorHAnsi" w:cs="TimesNewRomanPSMT"/>
        </w:rPr>
        <w:t xml:space="preserve">from </w:t>
      </w:r>
      <w:r w:rsidRPr="00AD392D">
        <w:rPr>
          <w:rFonts w:asciiTheme="minorHAnsi" w:eastAsiaTheme="minorHAnsi" w:hAnsiTheme="minorHAnsi" w:cs="TimesNewRomanPSMT"/>
        </w:rPr>
        <w:t>Week 32</w:t>
      </w:r>
      <w:r>
        <w:rPr>
          <w:rFonts w:asciiTheme="minorHAnsi" w:eastAsiaTheme="minorHAnsi" w:hAnsiTheme="minorHAnsi" w:cs="TimesNewRomanPSMT"/>
        </w:rPr>
        <w:t xml:space="preserve"> </w:t>
      </w:r>
      <w:r w:rsidRPr="00AD392D">
        <w:rPr>
          <w:rFonts w:asciiTheme="minorHAnsi" w:eastAsiaTheme="minorHAnsi" w:hAnsiTheme="minorHAnsi" w:cs="TimesNewRomanPSMT"/>
        </w:rPr>
        <w:t>through Week 104</w:t>
      </w:r>
      <w:r>
        <w:rPr>
          <w:rFonts w:asciiTheme="minorHAnsi" w:eastAsiaTheme="minorHAnsi" w:hAnsiTheme="minorHAnsi" w:cs="TimesNewRomanPSMT"/>
        </w:rPr>
        <w:t>.</w:t>
      </w:r>
      <w:r w:rsidRPr="00AD392D">
        <w:rPr>
          <w:rFonts w:asciiTheme="minorHAnsi" w:eastAsiaTheme="minorHAnsi" w:hAnsiTheme="minorHAnsi" w:cs="TimesNewRomanPSMT"/>
        </w:rPr>
        <w:t xml:space="preserve"> Six of 8 (75%) subjects had ALT </w:t>
      </w:r>
      <w:r w:rsidR="00B73619">
        <w:rPr>
          <w:rFonts w:asciiTheme="minorHAnsi" w:eastAsiaTheme="minorHAnsi" w:hAnsiTheme="minorHAnsi" w:cs="TimesNewRomanPSMT"/>
        </w:rPr>
        <w:t xml:space="preserve">&gt; </w:t>
      </w:r>
      <w:r w:rsidRPr="00AD392D">
        <w:rPr>
          <w:rFonts w:asciiTheme="minorHAnsi" w:eastAsiaTheme="minorHAnsi" w:hAnsiTheme="minorHAnsi" w:cs="TimesNewRomanPSMT"/>
        </w:rPr>
        <w:t xml:space="preserve">ULN at the LAL-CL01 </w:t>
      </w:r>
      <w:r>
        <w:rPr>
          <w:rFonts w:asciiTheme="minorHAnsi" w:eastAsiaTheme="minorHAnsi" w:hAnsiTheme="minorHAnsi" w:cs="TimesNewRomanPSMT"/>
        </w:rPr>
        <w:t>b</w:t>
      </w:r>
      <w:r w:rsidRPr="00AD392D">
        <w:rPr>
          <w:rFonts w:asciiTheme="minorHAnsi" w:eastAsiaTheme="minorHAnsi" w:hAnsiTheme="minorHAnsi" w:cs="TimesNewRomanPSMT"/>
        </w:rPr>
        <w:t>aseline, 5 of 8 (63%)</w:t>
      </w:r>
      <w:r>
        <w:rPr>
          <w:rFonts w:asciiTheme="minorHAnsi" w:eastAsiaTheme="minorHAnsi" w:hAnsiTheme="minorHAnsi" w:cs="TimesNewRomanPSMT"/>
        </w:rPr>
        <w:t xml:space="preserve"> </w:t>
      </w:r>
      <w:r w:rsidRPr="00AD392D">
        <w:rPr>
          <w:rFonts w:asciiTheme="minorHAnsi" w:eastAsiaTheme="minorHAnsi" w:hAnsiTheme="minorHAnsi" w:cs="TimesNewRomanPSMT"/>
        </w:rPr>
        <w:t xml:space="preserve">subjects had an ALT </w:t>
      </w:r>
      <w:r w:rsidR="00B73619">
        <w:rPr>
          <w:rFonts w:asciiTheme="minorHAnsi" w:eastAsiaTheme="minorHAnsi" w:hAnsiTheme="minorHAnsi" w:cs="TimesNewRomanPSMT"/>
        </w:rPr>
        <w:t xml:space="preserve">&gt; </w:t>
      </w:r>
      <w:r w:rsidRPr="00AD392D">
        <w:rPr>
          <w:rFonts w:asciiTheme="minorHAnsi" w:eastAsiaTheme="minorHAnsi" w:hAnsiTheme="minorHAnsi" w:cs="TimesNewRomanPSMT"/>
        </w:rPr>
        <w:t xml:space="preserve">ULN at the LAL-CL04 </w:t>
      </w:r>
      <w:r>
        <w:rPr>
          <w:rFonts w:asciiTheme="minorHAnsi" w:eastAsiaTheme="minorHAnsi" w:hAnsiTheme="minorHAnsi" w:cs="TimesNewRomanPSMT"/>
        </w:rPr>
        <w:t>b</w:t>
      </w:r>
      <w:r w:rsidRPr="00AD392D">
        <w:rPr>
          <w:rFonts w:asciiTheme="minorHAnsi" w:eastAsiaTheme="minorHAnsi" w:hAnsiTheme="minorHAnsi" w:cs="TimesNewRomanPSMT"/>
        </w:rPr>
        <w:t>aseline, and all normalised on</w:t>
      </w:r>
      <w:r>
        <w:rPr>
          <w:rFonts w:asciiTheme="minorHAnsi" w:eastAsiaTheme="minorHAnsi" w:hAnsiTheme="minorHAnsi" w:cs="TimesNewRomanPSMT"/>
        </w:rPr>
        <w:t xml:space="preserve"> </w:t>
      </w:r>
      <w:r w:rsidRPr="00AD392D">
        <w:rPr>
          <w:rFonts w:asciiTheme="minorHAnsi" w:eastAsiaTheme="minorHAnsi" w:hAnsiTheme="minorHAnsi" w:cs="TimesNewRomanPSMT"/>
        </w:rPr>
        <w:t xml:space="preserve">treatment. No subject had an ALT value </w:t>
      </w:r>
      <w:r w:rsidR="00B73619">
        <w:rPr>
          <w:rFonts w:asciiTheme="minorHAnsi" w:eastAsiaTheme="minorHAnsi" w:hAnsiTheme="minorHAnsi" w:cs="TimesNewRomanPSMT"/>
        </w:rPr>
        <w:t xml:space="preserve">&gt; </w:t>
      </w:r>
      <w:r w:rsidRPr="00AD392D">
        <w:rPr>
          <w:rFonts w:asciiTheme="minorHAnsi" w:eastAsiaTheme="minorHAnsi" w:hAnsiTheme="minorHAnsi" w:cs="TimesNewRomanPSMT"/>
        </w:rPr>
        <w:t>ULN after Week 25. Five of 8 (63%)</w:t>
      </w:r>
      <w:r>
        <w:rPr>
          <w:rFonts w:asciiTheme="minorHAnsi" w:eastAsiaTheme="minorHAnsi" w:hAnsiTheme="minorHAnsi" w:cs="TimesNewRomanPSMT"/>
        </w:rPr>
        <w:t xml:space="preserve"> </w:t>
      </w:r>
      <w:r w:rsidRPr="00AD392D">
        <w:rPr>
          <w:rFonts w:asciiTheme="minorHAnsi" w:eastAsiaTheme="minorHAnsi" w:hAnsiTheme="minorHAnsi" w:cs="TimesNewRomanPSMT"/>
        </w:rPr>
        <w:t xml:space="preserve">subjects had an AST </w:t>
      </w:r>
      <w:r w:rsidR="00B73619">
        <w:rPr>
          <w:rFonts w:asciiTheme="minorHAnsi" w:eastAsiaTheme="minorHAnsi" w:hAnsiTheme="minorHAnsi" w:cs="TimesNewRomanPSMT"/>
        </w:rPr>
        <w:t xml:space="preserve">&gt; </w:t>
      </w:r>
      <w:r w:rsidRPr="00AD392D">
        <w:rPr>
          <w:rFonts w:asciiTheme="minorHAnsi" w:eastAsiaTheme="minorHAnsi" w:hAnsiTheme="minorHAnsi" w:cs="TimesNewRomanPSMT"/>
        </w:rPr>
        <w:t xml:space="preserve">ULN at LAL-CL01 </w:t>
      </w:r>
      <w:r>
        <w:rPr>
          <w:rFonts w:asciiTheme="minorHAnsi" w:eastAsiaTheme="minorHAnsi" w:hAnsiTheme="minorHAnsi" w:cs="TimesNewRomanPSMT"/>
        </w:rPr>
        <w:t>b</w:t>
      </w:r>
      <w:r w:rsidRPr="00AD392D">
        <w:rPr>
          <w:rFonts w:asciiTheme="minorHAnsi" w:eastAsiaTheme="minorHAnsi" w:hAnsiTheme="minorHAnsi" w:cs="TimesNewRomanPSMT"/>
        </w:rPr>
        <w:t xml:space="preserve">aseline, 4 of 8 (50%) subjects had an AST </w:t>
      </w:r>
      <w:r w:rsidR="00B73619">
        <w:rPr>
          <w:rFonts w:asciiTheme="minorHAnsi" w:eastAsiaTheme="minorHAnsi" w:hAnsiTheme="minorHAnsi" w:cs="TimesNewRomanPSMT"/>
        </w:rPr>
        <w:t xml:space="preserve">&gt; </w:t>
      </w:r>
      <w:r w:rsidRPr="00AD392D">
        <w:rPr>
          <w:rFonts w:asciiTheme="minorHAnsi" w:eastAsiaTheme="minorHAnsi" w:hAnsiTheme="minorHAnsi" w:cs="TimesNewRomanPSMT"/>
        </w:rPr>
        <w:t xml:space="preserve">ULN at the LAL-CL04 </w:t>
      </w:r>
      <w:r>
        <w:rPr>
          <w:rFonts w:asciiTheme="minorHAnsi" w:eastAsiaTheme="minorHAnsi" w:hAnsiTheme="minorHAnsi" w:cs="TimesNewRomanPSMT"/>
        </w:rPr>
        <w:t>b</w:t>
      </w:r>
      <w:r w:rsidRPr="00AD392D">
        <w:rPr>
          <w:rFonts w:asciiTheme="minorHAnsi" w:eastAsiaTheme="minorHAnsi" w:hAnsiTheme="minorHAnsi" w:cs="TimesNewRomanPSMT"/>
        </w:rPr>
        <w:t>aseline, and all but 1 of the 6 (87%) subjects with</w:t>
      </w:r>
      <w:r>
        <w:rPr>
          <w:rFonts w:asciiTheme="minorHAnsi" w:eastAsiaTheme="minorHAnsi" w:hAnsiTheme="minorHAnsi" w:cs="TimesNewRomanPSMT"/>
        </w:rPr>
        <w:t xml:space="preserve"> </w:t>
      </w:r>
      <w:r w:rsidRPr="00AD392D">
        <w:rPr>
          <w:rFonts w:asciiTheme="minorHAnsi" w:eastAsiaTheme="minorHAnsi" w:hAnsiTheme="minorHAnsi" w:cs="TimesNewRomanPSMT"/>
        </w:rPr>
        <w:t xml:space="preserve">available </w:t>
      </w:r>
      <w:r w:rsidRPr="00ED4AD4">
        <w:rPr>
          <w:rFonts w:asciiTheme="minorHAnsi" w:eastAsiaTheme="minorHAnsi" w:hAnsiTheme="minorHAnsi" w:cs="TimesNewRomanPSMT"/>
        </w:rPr>
        <w:t xml:space="preserve">values normalised at Week </w:t>
      </w:r>
      <w:r w:rsidRPr="00E45A80">
        <w:rPr>
          <w:rFonts w:asciiTheme="minorHAnsi" w:eastAsiaTheme="minorHAnsi" w:hAnsiTheme="minorHAnsi" w:cs="TimesNewRomanPSMT"/>
        </w:rPr>
        <w:t xml:space="preserve">104 </w:t>
      </w:r>
      <w:r w:rsidR="00E71317" w:rsidRPr="00E45A80">
        <w:rPr>
          <w:rFonts w:asciiTheme="minorHAnsi" w:eastAsiaTheme="minorHAnsi" w:hAnsiTheme="minorHAnsi" w:cs="TimesNewRomanPSMT"/>
        </w:rPr>
        <w:t xml:space="preserve">(Table </w:t>
      </w:r>
      <w:r w:rsidR="00E45A80" w:rsidRPr="00E45A80">
        <w:rPr>
          <w:rFonts w:asciiTheme="minorHAnsi" w:eastAsiaTheme="minorHAnsi" w:hAnsiTheme="minorHAnsi" w:cs="TimesNewRomanPSMT"/>
        </w:rPr>
        <w:t>18</w:t>
      </w:r>
      <w:r w:rsidRPr="00E45A80">
        <w:rPr>
          <w:rFonts w:asciiTheme="minorHAnsi" w:eastAsiaTheme="minorHAnsi" w:hAnsiTheme="minorHAnsi" w:cs="TimesNewRomanPSMT"/>
        </w:rPr>
        <w:t>). Reductions</w:t>
      </w:r>
      <w:r w:rsidRPr="00F73CD3">
        <w:rPr>
          <w:rFonts w:asciiTheme="minorHAnsi" w:eastAsiaTheme="minorHAnsi" w:hAnsiTheme="minorHAnsi" w:cs="TimesNewRomanPSMT"/>
        </w:rPr>
        <w:t xml:space="preserve"> in GGT and </w:t>
      </w:r>
      <w:r>
        <w:rPr>
          <w:rFonts w:asciiTheme="minorHAnsi" w:eastAsiaTheme="minorHAnsi" w:hAnsiTheme="minorHAnsi" w:cs="TimesNewRomanPSMT"/>
        </w:rPr>
        <w:t>ALP</w:t>
      </w:r>
      <w:r w:rsidRPr="00F73CD3">
        <w:rPr>
          <w:rFonts w:asciiTheme="minorHAnsi" w:eastAsiaTheme="minorHAnsi" w:hAnsiTheme="minorHAnsi" w:cs="TimesNewRomanPSMT"/>
        </w:rPr>
        <w:t xml:space="preserve"> were observed; mean decrease </w:t>
      </w:r>
      <w:r w:rsidR="00DE644C">
        <w:rPr>
          <w:rFonts w:asciiTheme="minorHAnsi" w:eastAsiaTheme="minorHAnsi" w:hAnsiTheme="minorHAnsi" w:cs="TimesNewRomanPSMT"/>
        </w:rPr>
        <w:t>from Baseline</w:t>
      </w:r>
      <w:r w:rsidRPr="00F73CD3">
        <w:rPr>
          <w:rFonts w:asciiTheme="minorHAnsi" w:eastAsiaTheme="minorHAnsi" w:hAnsiTheme="minorHAnsi" w:cs="TimesNewRomanPSMT"/>
        </w:rPr>
        <w:t xml:space="preserve"> to </w:t>
      </w:r>
      <w:r w:rsidR="002D28A4">
        <w:rPr>
          <w:rFonts w:asciiTheme="minorHAnsi" w:eastAsiaTheme="minorHAnsi" w:hAnsiTheme="minorHAnsi" w:cs="TimesNewRomanPSMT"/>
        </w:rPr>
        <w:t>Week</w:t>
      </w:r>
      <w:r w:rsidRPr="00F73CD3">
        <w:rPr>
          <w:rFonts w:asciiTheme="minorHAnsi" w:eastAsiaTheme="minorHAnsi" w:hAnsiTheme="minorHAnsi" w:cs="TimesNewRomanPSMT"/>
        </w:rPr>
        <w:t xml:space="preserve"> 104 was observed for both GGT (from 54 to 23 U/L) and ALP (91 to 66 U/L)</w:t>
      </w:r>
      <w:r>
        <w:rPr>
          <w:rFonts w:asciiTheme="minorHAnsi" w:eastAsiaTheme="minorHAnsi" w:hAnsiTheme="minorHAnsi" w:cs="TimesNewRomanPSMT"/>
        </w:rPr>
        <w:t>.</w:t>
      </w:r>
      <w:r w:rsidRPr="00F73CD3">
        <w:rPr>
          <w:rFonts w:asciiTheme="minorHAnsi" w:eastAsiaTheme="minorHAnsi" w:hAnsiTheme="minorHAnsi" w:cs="TimesNewRomanPSMT"/>
        </w:rPr>
        <w:t xml:space="preserve"> With the exception of one subject total bilirubin levels were within the</w:t>
      </w:r>
      <w:r>
        <w:rPr>
          <w:rFonts w:asciiTheme="minorHAnsi" w:eastAsiaTheme="minorHAnsi" w:hAnsiTheme="minorHAnsi" w:cs="TimesNewRomanPSMT"/>
        </w:rPr>
        <w:t xml:space="preserve"> </w:t>
      </w:r>
      <w:r w:rsidRPr="00F73CD3">
        <w:rPr>
          <w:rFonts w:asciiTheme="minorHAnsi" w:eastAsiaTheme="minorHAnsi" w:hAnsiTheme="minorHAnsi" w:cs="TimesNewRomanPSMT"/>
        </w:rPr>
        <w:t>normal range and remained stable over time through Week 104</w:t>
      </w:r>
      <w:r>
        <w:rPr>
          <w:rFonts w:asciiTheme="minorHAnsi" w:eastAsiaTheme="minorHAnsi" w:hAnsiTheme="minorHAnsi" w:cs="TimesNewRomanPSMT"/>
        </w:rPr>
        <w:t>.</w:t>
      </w:r>
      <w:r w:rsidRPr="00F73CD3">
        <w:rPr>
          <w:rFonts w:asciiTheme="minorHAnsi" w:eastAsiaTheme="minorHAnsi" w:hAnsiTheme="minorHAnsi" w:cs="TimesNewRomanPSMT"/>
          <w:b/>
        </w:rPr>
        <w:t xml:space="preserve"> </w:t>
      </w:r>
      <w:r w:rsidRPr="00F73CD3">
        <w:rPr>
          <w:rFonts w:asciiTheme="minorHAnsi" w:eastAsiaTheme="minorHAnsi" w:hAnsiTheme="minorHAnsi" w:cs="TimesNewRomanPSMT"/>
        </w:rPr>
        <w:t>Albumin levels remained in the normal range in all subjects</w:t>
      </w:r>
      <w:r w:rsidR="00B73619" w:rsidRPr="00E71317">
        <w:rPr>
          <w:rFonts w:asciiTheme="minorHAnsi" w:eastAsiaTheme="minorHAnsi" w:hAnsiTheme="minorHAnsi" w:cs="TimesNewRomanPSMT"/>
        </w:rPr>
        <w:t>.</w:t>
      </w:r>
    </w:p>
    <w:p w14:paraId="578EE84C" w14:textId="77777777" w:rsidR="00E71317" w:rsidRDefault="00E71317" w:rsidP="00E71317">
      <w:pPr>
        <w:pStyle w:val="Tabletitle"/>
      </w:pPr>
      <w:r w:rsidRPr="00E71317">
        <w:lastRenderedPageBreak/>
        <w:t xml:space="preserve">Table </w:t>
      </w:r>
      <w:r w:rsidR="00E45A80">
        <w:t>18:</w:t>
      </w:r>
      <w:r w:rsidRPr="00E71317">
        <w:t xml:space="preserve"> </w:t>
      </w:r>
      <w:r>
        <w:t>Study LAL-CL04. Number (%) of subjects with transaminases &gt; ULN</w:t>
      </w:r>
    </w:p>
    <w:p w14:paraId="207280E1" w14:textId="77777777" w:rsidR="00E71317" w:rsidRPr="00E71317" w:rsidRDefault="00AB35F9" w:rsidP="00E71317">
      <w:r>
        <w:rPr>
          <w:noProof/>
          <w:lang w:eastAsia="en-AU"/>
        </w:rPr>
        <w:drawing>
          <wp:inline distT="0" distB="0" distL="0" distR="0" wp14:anchorId="6EBA6184" wp14:editId="7F3BFF9B">
            <wp:extent cx="4987438" cy="5171847"/>
            <wp:effectExtent l="0" t="0" r="3810" b="0"/>
            <wp:docPr id="72" name="Picture 72" descr="Table 18: Study LAL-CL04. Number (%) of subjects with transaminases &gt; U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85762" cy="5170109"/>
                    </a:xfrm>
                    <a:prstGeom prst="rect">
                      <a:avLst/>
                    </a:prstGeom>
                  </pic:spPr>
                </pic:pic>
              </a:graphicData>
            </a:graphic>
          </wp:inline>
        </w:drawing>
      </w:r>
    </w:p>
    <w:p w14:paraId="63C70656" w14:textId="77777777" w:rsidR="00CC672B" w:rsidRDefault="00934213" w:rsidP="00787F40">
      <w:pPr>
        <w:pStyle w:val="Heading6"/>
        <w:rPr>
          <w:lang w:eastAsia="ja-JP"/>
        </w:rPr>
      </w:pPr>
      <w:r w:rsidRPr="00C35965">
        <w:rPr>
          <w:lang w:eastAsia="ja-JP"/>
        </w:rPr>
        <w:t>Serum lipids</w:t>
      </w:r>
    </w:p>
    <w:p w14:paraId="654AFFD6" w14:textId="7B7268B8" w:rsidR="00B73619" w:rsidRDefault="00934213" w:rsidP="00934213">
      <w:pPr>
        <w:autoSpaceDE w:val="0"/>
        <w:autoSpaceDN w:val="0"/>
        <w:adjustRightInd w:val="0"/>
        <w:spacing w:before="0" w:after="0" w:line="240" w:lineRule="auto"/>
        <w:rPr>
          <w:rFonts w:asciiTheme="minorHAnsi" w:eastAsiaTheme="minorHAnsi" w:hAnsiTheme="minorHAnsi" w:cs="TimesNewRomanPSMT"/>
          <w:b/>
          <w:color w:val="000000"/>
          <w:highlight w:val="yellow"/>
        </w:rPr>
      </w:pPr>
      <w:r w:rsidRPr="00ED4AD4">
        <w:rPr>
          <w:rFonts w:asciiTheme="minorHAnsi" w:eastAsiaTheme="minorHAnsi" w:hAnsiTheme="minorHAnsi" w:cs="TimesNewRomanPSMT"/>
        </w:rPr>
        <w:t xml:space="preserve">Increases in LDL cholesterol and triglycerides were seen after 4 weekly infusions of </w:t>
      </w:r>
      <w:proofErr w:type="spellStart"/>
      <w:r w:rsidRPr="00ED4AD4">
        <w:rPr>
          <w:rFonts w:asciiTheme="minorHAnsi" w:eastAsiaTheme="minorHAnsi" w:hAnsiTheme="minorHAnsi" w:cs="TimesNewRomanPSMT"/>
        </w:rPr>
        <w:t>sebelipase</w:t>
      </w:r>
      <w:proofErr w:type="spellEnd"/>
      <w:r>
        <w:rPr>
          <w:rFonts w:asciiTheme="minorHAnsi" w:eastAsiaTheme="minorHAnsi" w:hAnsiTheme="minorHAnsi" w:cs="TimesNewRomanPSMT"/>
        </w:rPr>
        <w:t xml:space="preserve"> </w:t>
      </w:r>
      <w:r w:rsidRPr="00ED4AD4">
        <w:rPr>
          <w:rFonts w:asciiTheme="minorHAnsi" w:eastAsiaTheme="minorHAnsi" w:hAnsiTheme="minorHAnsi" w:cs="TimesNewRomanPSMT"/>
        </w:rPr>
        <w:t>alfa in LAL-CL01 which rapidly reversed following discontinuation of therapy. Consistent with</w:t>
      </w:r>
      <w:r>
        <w:rPr>
          <w:rFonts w:asciiTheme="minorHAnsi" w:eastAsiaTheme="minorHAnsi" w:hAnsiTheme="minorHAnsi" w:cs="TimesNewRomanPSMT"/>
        </w:rPr>
        <w:t xml:space="preserve"> </w:t>
      </w:r>
      <w:r w:rsidRPr="00ED4AD4">
        <w:rPr>
          <w:rFonts w:asciiTheme="minorHAnsi" w:eastAsiaTheme="minorHAnsi" w:hAnsiTheme="minorHAnsi" w:cs="TimesNewRomanPSMT"/>
        </w:rPr>
        <w:t>mobilisation of pathological accumulations of lipids, increases in total and LDL cholesterol</w:t>
      </w:r>
      <w:r>
        <w:rPr>
          <w:rFonts w:asciiTheme="minorHAnsi" w:eastAsiaTheme="minorHAnsi" w:hAnsiTheme="minorHAnsi" w:cs="TimesNewRomanPSMT"/>
        </w:rPr>
        <w:t xml:space="preserve"> </w:t>
      </w:r>
      <w:r w:rsidRPr="00ED4AD4">
        <w:rPr>
          <w:rFonts w:asciiTheme="minorHAnsi" w:eastAsiaTheme="minorHAnsi" w:hAnsiTheme="minorHAnsi" w:cs="TimesNewRomanPSMT"/>
        </w:rPr>
        <w:t>were also observed at Week 4 in LAL-CL04. No AEs were associated with these transient</w:t>
      </w:r>
      <w:r>
        <w:rPr>
          <w:rFonts w:asciiTheme="minorHAnsi" w:eastAsiaTheme="minorHAnsi" w:hAnsiTheme="minorHAnsi" w:cs="TimesNewRomanPSMT"/>
        </w:rPr>
        <w:t xml:space="preserve"> </w:t>
      </w:r>
      <w:r w:rsidRPr="00ED4AD4">
        <w:rPr>
          <w:rFonts w:asciiTheme="minorHAnsi" w:eastAsiaTheme="minorHAnsi" w:hAnsiTheme="minorHAnsi" w:cs="TimesNewRomanPSMT"/>
        </w:rPr>
        <w:t xml:space="preserve">increases in lipids. As expected with continued treatment with </w:t>
      </w:r>
      <w:proofErr w:type="spellStart"/>
      <w:r w:rsidRPr="00ED4AD4">
        <w:rPr>
          <w:rFonts w:asciiTheme="minorHAnsi" w:eastAsiaTheme="minorHAnsi" w:hAnsiTheme="minorHAnsi" w:cs="TimesNewRomanPSMT"/>
        </w:rPr>
        <w:t>sebelipase</w:t>
      </w:r>
      <w:proofErr w:type="spellEnd"/>
      <w:r w:rsidRPr="00ED4AD4">
        <w:rPr>
          <w:rFonts w:asciiTheme="minorHAnsi" w:eastAsiaTheme="minorHAnsi" w:hAnsiTheme="minorHAnsi" w:cs="TimesNewRomanPSMT"/>
        </w:rPr>
        <w:t xml:space="preserve"> alfa, the mean LDL</w:t>
      </w:r>
      <w:r>
        <w:rPr>
          <w:rFonts w:asciiTheme="minorHAnsi" w:eastAsiaTheme="minorHAnsi" w:hAnsiTheme="minorHAnsi" w:cs="TimesNewRomanPSMT"/>
        </w:rPr>
        <w:t xml:space="preserve"> </w:t>
      </w:r>
      <w:r w:rsidRPr="00ED4AD4">
        <w:rPr>
          <w:rFonts w:asciiTheme="minorHAnsi" w:eastAsiaTheme="minorHAnsi" w:hAnsiTheme="minorHAnsi" w:cs="TimesNewRomanPSMT"/>
        </w:rPr>
        <w:t xml:space="preserve">and triglycerides decreased to below original </w:t>
      </w:r>
      <w:r>
        <w:rPr>
          <w:rFonts w:asciiTheme="minorHAnsi" w:eastAsiaTheme="minorHAnsi" w:hAnsiTheme="minorHAnsi" w:cs="TimesNewRomanPSMT"/>
        </w:rPr>
        <w:t>b</w:t>
      </w:r>
      <w:r w:rsidRPr="00ED4AD4">
        <w:rPr>
          <w:rFonts w:asciiTheme="minorHAnsi" w:eastAsiaTheme="minorHAnsi" w:hAnsiTheme="minorHAnsi" w:cs="TimesNewRomanPSMT"/>
        </w:rPr>
        <w:t>aseline levels at Week 12 and remained so</w:t>
      </w:r>
      <w:r>
        <w:rPr>
          <w:rFonts w:asciiTheme="minorHAnsi" w:eastAsiaTheme="minorHAnsi" w:hAnsiTheme="minorHAnsi" w:cs="TimesNewRomanPSMT"/>
        </w:rPr>
        <w:t xml:space="preserve"> </w:t>
      </w:r>
      <w:r w:rsidRPr="00ED4AD4">
        <w:rPr>
          <w:rFonts w:asciiTheme="minorHAnsi" w:eastAsiaTheme="minorHAnsi" w:hAnsiTheme="minorHAnsi" w:cs="TimesNewRomanPSMT"/>
        </w:rPr>
        <w:t xml:space="preserve">through Week 104 on the </w:t>
      </w:r>
      <w:proofErr w:type="spellStart"/>
      <w:r w:rsidRPr="00ED4AD4">
        <w:rPr>
          <w:rFonts w:asciiTheme="minorHAnsi" w:eastAsiaTheme="minorHAnsi" w:hAnsiTheme="minorHAnsi" w:cs="TimesNewRomanPSMT"/>
        </w:rPr>
        <w:t>qow</w:t>
      </w:r>
      <w:proofErr w:type="spellEnd"/>
      <w:r w:rsidRPr="00ED4AD4">
        <w:rPr>
          <w:rFonts w:asciiTheme="minorHAnsi" w:eastAsiaTheme="minorHAnsi" w:hAnsiTheme="minorHAnsi" w:cs="TimesNewRomanPSMT"/>
        </w:rPr>
        <w:t xml:space="preserve"> dosing regimens. Over time, decreases were observed in LDL, total cholesterol, and triglycerides. Mean HDL increased by 9 mg/</w:t>
      </w:r>
      <w:proofErr w:type="spellStart"/>
      <w:r w:rsidRPr="00ED4AD4">
        <w:rPr>
          <w:rFonts w:asciiTheme="minorHAnsi" w:eastAsiaTheme="minorHAnsi" w:hAnsiTheme="minorHAnsi" w:cs="TimesNewRomanPSMT"/>
        </w:rPr>
        <w:t>dL</w:t>
      </w:r>
      <w:proofErr w:type="spellEnd"/>
      <w:r w:rsidRPr="00ED4AD4">
        <w:rPr>
          <w:rFonts w:asciiTheme="minorHAnsi" w:eastAsiaTheme="minorHAnsi" w:hAnsiTheme="minorHAnsi" w:cs="TimesNewRomanPSMT"/>
        </w:rPr>
        <w:t xml:space="preserve"> (0.24 </w:t>
      </w:r>
      <w:proofErr w:type="spellStart"/>
      <w:r w:rsidRPr="00ED4AD4">
        <w:rPr>
          <w:rFonts w:asciiTheme="minorHAnsi" w:eastAsiaTheme="minorHAnsi" w:hAnsiTheme="minorHAnsi" w:cs="TimesNewRomanPSMT"/>
        </w:rPr>
        <w:t>mmol</w:t>
      </w:r>
      <w:proofErr w:type="spellEnd"/>
      <w:r w:rsidRPr="00ED4AD4">
        <w:rPr>
          <w:rFonts w:asciiTheme="minorHAnsi" w:eastAsiaTheme="minorHAnsi" w:hAnsiTheme="minorHAnsi" w:cs="TimesNewRomanPSMT"/>
        </w:rPr>
        <w:t>/L; p</w:t>
      </w:r>
      <w:r w:rsidR="002D28A4">
        <w:rPr>
          <w:rFonts w:asciiTheme="minorHAnsi" w:eastAsiaTheme="minorHAnsi" w:hAnsiTheme="minorHAnsi" w:cs="TimesNewRomanPSMT"/>
        </w:rPr>
        <w:t xml:space="preserve"> = </w:t>
      </w:r>
      <w:r w:rsidRPr="00ED4AD4">
        <w:rPr>
          <w:rFonts w:asciiTheme="minorHAnsi" w:eastAsiaTheme="minorHAnsi" w:hAnsiTheme="minorHAnsi" w:cs="TimesNewRomanPSMT"/>
        </w:rPr>
        <w:t>0.0156;</w:t>
      </w:r>
      <w:r>
        <w:rPr>
          <w:rFonts w:asciiTheme="minorHAnsi" w:eastAsiaTheme="minorHAnsi" w:hAnsiTheme="minorHAnsi" w:cs="TimesNewRomanPSMT"/>
        </w:rPr>
        <w:t xml:space="preserve"> </w:t>
      </w:r>
      <w:r w:rsidRPr="00ED4AD4">
        <w:rPr>
          <w:rFonts w:asciiTheme="minorHAnsi" w:eastAsiaTheme="minorHAnsi" w:hAnsiTheme="minorHAnsi" w:cs="TimesNewRomanPSMT"/>
        </w:rPr>
        <w:t>29%) at Week 52 and by 5 mg/</w:t>
      </w:r>
      <w:proofErr w:type="spellStart"/>
      <w:r w:rsidRPr="00ED4AD4">
        <w:rPr>
          <w:rFonts w:asciiTheme="minorHAnsi" w:eastAsiaTheme="minorHAnsi" w:hAnsiTheme="minorHAnsi" w:cs="TimesNewRomanPSMT"/>
        </w:rPr>
        <w:t>dL</w:t>
      </w:r>
      <w:proofErr w:type="spellEnd"/>
      <w:r w:rsidRPr="00ED4AD4">
        <w:rPr>
          <w:rFonts w:asciiTheme="minorHAnsi" w:eastAsiaTheme="minorHAnsi" w:hAnsiTheme="minorHAnsi" w:cs="TimesNewRomanPSMT"/>
        </w:rPr>
        <w:t xml:space="preserve"> (0.13 </w:t>
      </w:r>
      <w:proofErr w:type="spellStart"/>
      <w:r w:rsidRPr="00ED4AD4">
        <w:rPr>
          <w:rFonts w:asciiTheme="minorHAnsi" w:eastAsiaTheme="minorHAnsi" w:hAnsiTheme="minorHAnsi" w:cs="TimesNewRomanPSMT"/>
        </w:rPr>
        <w:t>mmol</w:t>
      </w:r>
      <w:proofErr w:type="spellEnd"/>
      <w:r w:rsidRPr="00ED4AD4">
        <w:rPr>
          <w:rFonts w:asciiTheme="minorHAnsi" w:eastAsiaTheme="minorHAnsi" w:hAnsiTheme="minorHAnsi" w:cs="TimesNewRomanPSMT"/>
        </w:rPr>
        <w:t>/L; p</w:t>
      </w:r>
      <w:r w:rsidR="002D28A4">
        <w:rPr>
          <w:rFonts w:asciiTheme="minorHAnsi" w:eastAsiaTheme="minorHAnsi" w:hAnsiTheme="minorHAnsi" w:cs="TimesNewRomanPSMT"/>
        </w:rPr>
        <w:t xml:space="preserve"> = </w:t>
      </w:r>
      <w:r w:rsidRPr="00ED4AD4">
        <w:rPr>
          <w:rFonts w:asciiTheme="minorHAnsi" w:eastAsiaTheme="minorHAnsi" w:hAnsiTheme="minorHAnsi" w:cs="TimesNewRomanPSMT"/>
        </w:rPr>
        <w:t>0.1250; 18%) at Week 104</w:t>
      </w:r>
      <w:r w:rsidRPr="00E71317">
        <w:rPr>
          <w:rFonts w:asciiTheme="minorHAnsi" w:eastAsiaTheme="minorHAnsi" w:hAnsiTheme="minorHAnsi" w:cs="TimesNewRomanPSMT"/>
        </w:rPr>
        <w:t xml:space="preserve">. </w:t>
      </w:r>
      <w:r w:rsidRPr="00651B3A">
        <w:rPr>
          <w:rFonts w:asciiTheme="minorHAnsi" w:eastAsiaTheme="minorHAnsi" w:hAnsiTheme="minorHAnsi" w:cs="TimesNewRomanPSMT"/>
          <w:color w:val="000000"/>
        </w:rPr>
        <w:t xml:space="preserve">At the LAL-CL01 </w:t>
      </w:r>
      <w:r>
        <w:rPr>
          <w:rFonts w:asciiTheme="minorHAnsi" w:eastAsiaTheme="minorHAnsi" w:hAnsiTheme="minorHAnsi" w:cs="TimesNewRomanPSMT"/>
          <w:color w:val="000000"/>
        </w:rPr>
        <w:t>b</w:t>
      </w:r>
      <w:r w:rsidRPr="00651B3A">
        <w:rPr>
          <w:rFonts w:asciiTheme="minorHAnsi" w:eastAsiaTheme="minorHAnsi" w:hAnsiTheme="minorHAnsi" w:cs="TimesNewRomanPSMT"/>
          <w:color w:val="000000"/>
        </w:rPr>
        <w:t xml:space="preserve">aseline only 25% (2 of 8) of subjects had LDL levels </w:t>
      </w:r>
      <w:r w:rsidR="00A87AAC">
        <w:rPr>
          <w:rFonts w:asciiTheme="minorHAnsi" w:eastAsiaTheme="minorHAnsi" w:hAnsiTheme="minorHAnsi" w:cs="TimesNewRomanPSMT"/>
          <w:color w:val="000000"/>
        </w:rPr>
        <w:t xml:space="preserve">&lt; </w:t>
      </w:r>
      <w:r w:rsidRPr="00651B3A">
        <w:rPr>
          <w:rFonts w:asciiTheme="minorHAnsi" w:eastAsiaTheme="minorHAnsi" w:hAnsiTheme="minorHAnsi" w:cs="TimesNewRomanPSMT"/>
          <w:color w:val="000000"/>
        </w:rPr>
        <w:t>00 mg/</w:t>
      </w:r>
      <w:proofErr w:type="spellStart"/>
      <w:r w:rsidRPr="00651B3A">
        <w:rPr>
          <w:rFonts w:asciiTheme="minorHAnsi" w:eastAsiaTheme="minorHAnsi" w:hAnsiTheme="minorHAnsi" w:cs="TimesNewRomanPSMT"/>
          <w:color w:val="000000"/>
        </w:rPr>
        <w:t>dL</w:t>
      </w:r>
      <w:proofErr w:type="spellEnd"/>
      <w:r w:rsidRPr="00651B3A">
        <w:rPr>
          <w:rFonts w:asciiTheme="minorHAnsi" w:eastAsiaTheme="minorHAnsi" w:hAnsiTheme="minorHAnsi" w:cs="TimesNewRomanPSMT"/>
          <w:color w:val="000000"/>
        </w:rPr>
        <w:t xml:space="preserve"> (</w:t>
      </w:r>
      <w:r w:rsidR="00A87AAC">
        <w:rPr>
          <w:rFonts w:asciiTheme="minorHAnsi" w:eastAsiaTheme="minorHAnsi" w:hAnsiTheme="minorHAnsi" w:cs="TimesNewRomanPSMT"/>
          <w:color w:val="000000"/>
        </w:rPr>
        <w:t xml:space="preserve">&lt; </w:t>
      </w:r>
      <w:r w:rsidRPr="00651B3A">
        <w:rPr>
          <w:rFonts w:asciiTheme="minorHAnsi" w:eastAsiaTheme="minorHAnsi" w:hAnsiTheme="minorHAnsi" w:cs="TimesNewRomanPSMT"/>
          <w:color w:val="000000"/>
        </w:rPr>
        <w:t xml:space="preserve">2.59 </w:t>
      </w:r>
      <w:proofErr w:type="spellStart"/>
      <w:r w:rsidRPr="00651B3A">
        <w:rPr>
          <w:rFonts w:asciiTheme="minorHAnsi" w:eastAsiaTheme="minorHAnsi" w:hAnsiTheme="minorHAnsi" w:cs="TimesNewRomanPSMT"/>
          <w:color w:val="000000"/>
        </w:rPr>
        <w:t>mmol</w:t>
      </w:r>
      <w:proofErr w:type="spellEnd"/>
      <w:r w:rsidRPr="00651B3A">
        <w:rPr>
          <w:rFonts w:asciiTheme="minorHAnsi" w:eastAsiaTheme="minorHAnsi" w:hAnsiTheme="minorHAnsi" w:cs="TimesNewRomanPSMT"/>
          <w:color w:val="000000"/>
        </w:rPr>
        <w:t>/L) compa</w:t>
      </w:r>
      <w:r>
        <w:rPr>
          <w:rFonts w:asciiTheme="minorHAnsi" w:eastAsiaTheme="minorHAnsi" w:hAnsiTheme="minorHAnsi" w:cs="TimesNewRomanPSMT"/>
          <w:color w:val="000000"/>
        </w:rPr>
        <w:t xml:space="preserve">red to 71% (5 of 7) at Week 104 and </w:t>
      </w:r>
      <w:r w:rsidRPr="00651B3A">
        <w:rPr>
          <w:rFonts w:asciiTheme="minorHAnsi" w:eastAsiaTheme="minorHAnsi" w:hAnsiTheme="minorHAnsi" w:cs="TimesNewRomanPSMT"/>
          <w:color w:val="000000"/>
        </w:rPr>
        <w:t>29% (2 of 7) of subjects with available LDL levels had an LDL level</w:t>
      </w:r>
      <w:r>
        <w:rPr>
          <w:rFonts w:asciiTheme="minorHAnsi" w:eastAsiaTheme="minorHAnsi" w:hAnsiTheme="minorHAnsi" w:cs="TimesNewRomanPSMT"/>
          <w:color w:val="000000"/>
        </w:rPr>
        <w:t xml:space="preserve"> </w:t>
      </w:r>
      <w:r w:rsidRPr="00651B3A">
        <w:rPr>
          <w:rFonts w:asciiTheme="minorHAnsi" w:eastAsiaTheme="minorHAnsi" w:hAnsiTheme="minorHAnsi" w:cs="TimesNewRomanPSMT"/>
          <w:color w:val="000000"/>
        </w:rPr>
        <w:t>≤ 40 mg/</w:t>
      </w:r>
      <w:proofErr w:type="spellStart"/>
      <w:r w:rsidRPr="00651B3A">
        <w:rPr>
          <w:rFonts w:asciiTheme="minorHAnsi" w:eastAsiaTheme="minorHAnsi" w:hAnsiTheme="minorHAnsi" w:cs="TimesNewRomanPSMT"/>
          <w:color w:val="000000"/>
        </w:rPr>
        <w:t>dL</w:t>
      </w:r>
      <w:proofErr w:type="spellEnd"/>
      <w:r w:rsidRPr="00651B3A">
        <w:rPr>
          <w:rFonts w:asciiTheme="minorHAnsi" w:eastAsiaTheme="minorHAnsi" w:hAnsiTheme="minorHAnsi" w:cs="TimesNewRomanPSMT"/>
          <w:color w:val="000000"/>
        </w:rPr>
        <w:t xml:space="preserve"> (≤ </w:t>
      </w:r>
      <w:proofErr w:type="gramStart"/>
      <w:r w:rsidRPr="00651B3A">
        <w:rPr>
          <w:rFonts w:asciiTheme="minorHAnsi" w:eastAsiaTheme="minorHAnsi" w:hAnsiTheme="minorHAnsi" w:cs="TimesNewRomanPSMT"/>
          <w:color w:val="000000"/>
        </w:rPr>
        <w:t xml:space="preserve">1.03 </w:t>
      </w:r>
      <w:proofErr w:type="spellStart"/>
      <w:r w:rsidRPr="00651B3A">
        <w:rPr>
          <w:rFonts w:asciiTheme="minorHAnsi" w:eastAsiaTheme="minorHAnsi" w:hAnsiTheme="minorHAnsi" w:cs="TimesNewRomanPSMT"/>
          <w:color w:val="000000"/>
        </w:rPr>
        <w:t>mmol</w:t>
      </w:r>
      <w:proofErr w:type="spellEnd"/>
      <w:r w:rsidRPr="00651B3A">
        <w:rPr>
          <w:rFonts w:asciiTheme="minorHAnsi" w:eastAsiaTheme="minorHAnsi" w:hAnsiTheme="minorHAnsi" w:cs="TimesNewRomanPSMT"/>
          <w:color w:val="000000"/>
        </w:rPr>
        <w:t>/L</w:t>
      </w:r>
      <w:proofErr w:type="gramEnd"/>
      <w:r w:rsidRPr="00651B3A">
        <w:rPr>
          <w:rFonts w:asciiTheme="minorHAnsi" w:eastAsiaTheme="minorHAnsi" w:hAnsiTheme="minorHAnsi" w:cs="TimesNewRomanPSMT"/>
          <w:color w:val="000000"/>
        </w:rPr>
        <w:t>)</w:t>
      </w:r>
      <w:r>
        <w:rPr>
          <w:rFonts w:asciiTheme="minorHAnsi" w:eastAsiaTheme="minorHAnsi" w:hAnsiTheme="minorHAnsi" w:cs="TimesNewRomanPSMT"/>
          <w:color w:val="000000"/>
        </w:rPr>
        <w:t xml:space="preserve"> a</w:t>
      </w:r>
      <w:r w:rsidRPr="00651B3A">
        <w:rPr>
          <w:rFonts w:asciiTheme="minorHAnsi" w:eastAsiaTheme="minorHAnsi" w:hAnsiTheme="minorHAnsi" w:cs="TimesNewRomanPSMT"/>
          <w:color w:val="000000"/>
        </w:rPr>
        <w:t xml:space="preserve">t Week </w:t>
      </w:r>
      <w:r w:rsidR="001B7A56" w:rsidRPr="00651B3A">
        <w:rPr>
          <w:rFonts w:asciiTheme="minorHAnsi" w:eastAsiaTheme="minorHAnsi" w:hAnsiTheme="minorHAnsi" w:cs="TimesNewRomanPSMT"/>
          <w:color w:val="000000"/>
        </w:rPr>
        <w:t>104.</w:t>
      </w:r>
      <w:r w:rsidRPr="00651B3A">
        <w:rPr>
          <w:rFonts w:asciiTheme="minorHAnsi" w:eastAsiaTheme="minorHAnsi" w:hAnsiTheme="minorHAnsi" w:cs="TimesNewRomanPSMT"/>
        </w:rPr>
        <w:t xml:space="preserve"> The effects of </w:t>
      </w:r>
      <w:proofErr w:type="spellStart"/>
      <w:r w:rsidRPr="00651B3A">
        <w:rPr>
          <w:rFonts w:asciiTheme="minorHAnsi" w:eastAsiaTheme="minorHAnsi" w:hAnsiTheme="minorHAnsi" w:cs="TimesNewRomanPSMT"/>
        </w:rPr>
        <w:t>sebelipase</w:t>
      </w:r>
      <w:proofErr w:type="spellEnd"/>
      <w:r w:rsidRPr="00651B3A">
        <w:rPr>
          <w:rFonts w:asciiTheme="minorHAnsi" w:eastAsiaTheme="minorHAnsi" w:hAnsiTheme="minorHAnsi" w:cs="TimesNewRomanPSMT"/>
        </w:rPr>
        <w:t xml:space="preserve"> alfa on the lipid profile were seen in subjects treated with</w:t>
      </w:r>
      <w:r>
        <w:rPr>
          <w:rFonts w:asciiTheme="minorHAnsi" w:eastAsiaTheme="minorHAnsi" w:hAnsiTheme="minorHAnsi" w:cs="TimesNewRomanPSMT"/>
        </w:rPr>
        <w:t xml:space="preserve"> </w:t>
      </w:r>
      <w:r w:rsidRPr="00651B3A">
        <w:rPr>
          <w:rFonts w:asciiTheme="minorHAnsi" w:eastAsiaTheme="minorHAnsi" w:hAnsiTheme="minorHAnsi" w:cs="TimesNewRomanPSMT"/>
        </w:rPr>
        <w:t xml:space="preserve">LLM and those </w:t>
      </w:r>
      <w:r w:rsidRPr="00E45A80">
        <w:rPr>
          <w:rFonts w:asciiTheme="minorHAnsi" w:eastAsiaTheme="minorHAnsi" w:hAnsiTheme="minorHAnsi" w:cs="TimesNewRomanPSMT"/>
        </w:rPr>
        <w:t xml:space="preserve">without </w:t>
      </w:r>
      <w:r w:rsidR="00DD3FEF" w:rsidRPr="00E45A80">
        <w:rPr>
          <w:rFonts w:asciiTheme="minorHAnsi" w:eastAsiaTheme="minorHAnsi" w:hAnsiTheme="minorHAnsi" w:cs="TimesNewRomanPSMT"/>
        </w:rPr>
        <w:t xml:space="preserve">(Table </w:t>
      </w:r>
      <w:r w:rsidR="00E45A80" w:rsidRPr="00E45A80">
        <w:rPr>
          <w:rFonts w:asciiTheme="minorHAnsi" w:eastAsiaTheme="minorHAnsi" w:hAnsiTheme="minorHAnsi" w:cs="TimesNewRomanPSMT"/>
        </w:rPr>
        <w:t>19</w:t>
      </w:r>
      <w:r w:rsidRPr="00E45A80">
        <w:rPr>
          <w:rFonts w:asciiTheme="minorHAnsi" w:eastAsiaTheme="minorHAnsi" w:hAnsiTheme="minorHAnsi" w:cs="TimesNewRomanPSMT"/>
        </w:rPr>
        <w:t>).</w:t>
      </w:r>
      <w:r>
        <w:rPr>
          <w:rFonts w:asciiTheme="minorHAnsi" w:eastAsiaTheme="minorHAnsi" w:hAnsiTheme="minorHAnsi" w:cs="TimesNewRomanPSMT"/>
        </w:rPr>
        <w:t xml:space="preserve"> </w:t>
      </w:r>
      <w:r w:rsidRPr="00651B3A">
        <w:rPr>
          <w:rFonts w:asciiTheme="minorHAnsi" w:eastAsiaTheme="minorHAnsi" w:hAnsiTheme="minorHAnsi" w:cs="TimesNewRomanPSMT"/>
          <w:color w:val="000000"/>
        </w:rPr>
        <w:t>All 7 subjects who received the full set of infusions through Week 104 showed decreases from their original LAL-CL01 Baseline values in total</w:t>
      </w:r>
      <w:r>
        <w:rPr>
          <w:rFonts w:asciiTheme="minorHAnsi" w:eastAsiaTheme="minorHAnsi" w:hAnsiTheme="minorHAnsi" w:cs="TimesNewRomanPSMT"/>
          <w:color w:val="000000"/>
        </w:rPr>
        <w:t xml:space="preserve"> </w:t>
      </w:r>
      <w:r w:rsidRPr="00651B3A">
        <w:rPr>
          <w:rFonts w:asciiTheme="minorHAnsi" w:eastAsiaTheme="minorHAnsi" w:hAnsiTheme="minorHAnsi" w:cs="TimesNewRomanPSMT"/>
          <w:color w:val="000000"/>
        </w:rPr>
        <w:t>cholesterol and LDL, as did one subject</w:t>
      </w:r>
      <w:r w:rsidR="00CC672B">
        <w:rPr>
          <w:rFonts w:asciiTheme="minorHAnsi" w:eastAsiaTheme="minorHAnsi" w:hAnsiTheme="minorHAnsi" w:cs="TimesNewRomanPSMT"/>
          <w:color w:val="000000"/>
        </w:rPr>
        <w:t xml:space="preserve"> </w:t>
      </w:r>
      <w:r w:rsidRPr="00651B3A">
        <w:rPr>
          <w:rFonts w:asciiTheme="minorHAnsi" w:eastAsiaTheme="minorHAnsi" w:hAnsiTheme="minorHAnsi" w:cs="TimesNewRomanPSMT"/>
          <w:color w:val="000000"/>
        </w:rPr>
        <w:t xml:space="preserve">who </w:t>
      </w:r>
      <w:proofErr w:type="gramStart"/>
      <w:r w:rsidRPr="00651B3A">
        <w:rPr>
          <w:rFonts w:asciiTheme="minorHAnsi" w:eastAsiaTheme="minorHAnsi" w:hAnsiTheme="minorHAnsi" w:cs="TimesNewRomanPSMT"/>
          <w:color w:val="000000"/>
        </w:rPr>
        <w:t>paused</w:t>
      </w:r>
      <w:proofErr w:type="gramEnd"/>
      <w:r w:rsidRPr="00651B3A">
        <w:rPr>
          <w:rFonts w:asciiTheme="minorHAnsi" w:eastAsiaTheme="minorHAnsi" w:hAnsiTheme="minorHAnsi" w:cs="TimesNewRomanPSMT"/>
          <w:color w:val="000000"/>
        </w:rPr>
        <w:t xml:space="preserve"> therapy between Weeks 40</w:t>
      </w:r>
      <w:r>
        <w:rPr>
          <w:rFonts w:asciiTheme="minorHAnsi" w:eastAsiaTheme="minorHAnsi" w:hAnsiTheme="minorHAnsi" w:cs="TimesNewRomanPSMT"/>
          <w:color w:val="000000"/>
        </w:rPr>
        <w:t xml:space="preserve"> </w:t>
      </w:r>
      <w:r w:rsidRPr="00651B3A">
        <w:rPr>
          <w:rFonts w:asciiTheme="minorHAnsi" w:eastAsiaTheme="minorHAnsi" w:hAnsiTheme="minorHAnsi" w:cs="TimesNewRomanPSMT"/>
          <w:color w:val="000000"/>
        </w:rPr>
        <w:t>and 88. In addition, most had increases in HDL and</w:t>
      </w:r>
      <w:r>
        <w:rPr>
          <w:rFonts w:asciiTheme="minorHAnsi" w:eastAsiaTheme="minorHAnsi" w:hAnsiTheme="minorHAnsi" w:cs="TimesNewRomanPSMT"/>
          <w:color w:val="000000"/>
        </w:rPr>
        <w:t xml:space="preserve"> </w:t>
      </w:r>
      <w:r w:rsidR="00DD3FEF">
        <w:rPr>
          <w:rFonts w:asciiTheme="minorHAnsi" w:eastAsiaTheme="minorHAnsi" w:hAnsiTheme="minorHAnsi" w:cs="TimesNewRomanPSMT"/>
          <w:color w:val="000000"/>
        </w:rPr>
        <w:t>decreases in TGs.</w:t>
      </w:r>
    </w:p>
    <w:p w14:paraId="0945927B" w14:textId="77777777" w:rsidR="00E71317" w:rsidRDefault="00E71317" w:rsidP="00E71317">
      <w:pPr>
        <w:pStyle w:val="Tabletitle"/>
      </w:pPr>
      <w:r w:rsidRPr="00E71317">
        <w:lastRenderedPageBreak/>
        <w:t xml:space="preserve">Table </w:t>
      </w:r>
      <w:r w:rsidR="00E45A80">
        <w:t>19:</w:t>
      </w:r>
      <w:r>
        <w:t xml:space="preserve"> Study LAL-CL04. </w:t>
      </w:r>
      <w:r w:rsidR="00DD3FEF">
        <w:t>By subject change from LAL-CL01 and LAL-CL04 baseline for serum lipids in LAL-CL04</w:t>
      </w:r>
    </w:p>
    <w:p w14:paraId="4D113513" w14:textId="77777777" w:rsidR="00AB35F9" w:rsidRPr="00AB35F9" w:rsidRDefault="00AB35F9" w:rsidP="00AB35F9">
      <w:r>
        <w:rPr>
          <w:noProof/>
          <w:lang w:eastAsia="en-AU"/>
        </w:rPr>
        <w:drawing>
          <wp:inline distT="0" distB="0" distL="0" distR="0" wp14:anchorId="3BC9EAD9" wp14:editId="4C436551">
            <wp:extent cx="5731510" cy="5175053"/>
            <wp:effectExtent l="0" t="0" r="2540" b="6985"/>
            <wp:docPr id="76" name="Picture 76" descr="Table 19: Study LAL-CL04. By subject change from LAL-CL01 and LAL-CL04 baseline for serum lipids in LAL-C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5175053"/>
                    </a:xfrm>
                    <a:prstGeom prst="rect">
                      <a:avLst/>
                    </a:prstGeom>
                  </pic:spPr>
                </pic:pic>
              </a:graphicData>
            </a:graphic>
          </wp:inline>
        </w:drawing>
      </w:r>
    </w:p>
    <w:p w14:paraId="1C476888" w14:textId="47781F57" w:rsidR="00E71317" w:rsidRDefault="00934213" w:rsidP="00E71317">
      <w:pPr>
        <w:pStyle w:val="Heading6"/>
        <w:rPr>
          <w:rFonts w:eastAsiaTheme="minorHAnsi"/>
        </w:rPr>
      </w:pPr>
      <w:r w:rsidRPr="00ED4AD4">
        <w:rPr>
          <w:rFonts w:eastAsiaTheme="minorHAnsi"/>
        </w:rPr>
        <w:t xml:space="preserve">Serum </w:t>
      </w:r>
      <w:r w:rsidR="00460033" w:rsidRPr="00ED4AD4">
        <w:rPr>
          <w:rFonts w:eastAsiaTheme="minorHAnsi"/>
        </w:rPr>
        <w:t xml:space="preserve">ferritin and high sensitivity </w:t>
      </w:r>
      <w:proofErr w:type="gramStart"/>
      <w:r w:rsidRPr="00ED4AD4">
        <w:rPr>
          <w:rFonts w:eastAsiaTheme="minorHAnsi"/>
        </w:rPr>
        <w:t>C-Reactive</w:t>
      </w:r>
      <w:proofErr w:type="gramEnd"/>
      <w:r w:rsidRPr="00ED4AD4">
        <w:rPr>
          <w:rFonts w:eastAsiaTheme="minorHAnsi"/>
        </w:rPr>
        <w:t xml:space="preserve"> </w:t>
      </w:r>
      <w:r w:rsidR="00460033">
        <w:rPr>
          <w:rFonts w:eastAsiaTheme="minorHAnsi"/>
        </w:rPr>
        <w:t>p</w:t>
      </w:r>
      <w:r w:rsidRPr="00ED4AD4">
        <w:rPr>
          <w:rFonts w:eastAsiaTheme="minorHAnsi"/>
        </w:rPr>
        <w:t>rotein</w:t>
      </w:r>
    </w:p>
    <w:p w14:paraId="7A81F814" w14:textId="3C1177B9" w:rsidR="00B73619" w:rsidRPr="00805104" w:rsidRDefault="00934213" w:rsidP="00805104">
      <w:r w:rsidRPr="00805104">
        <w:t xml:space="preserve">Mean serum ferritin decreased from LAL-CL01 baseline to Week 104 (227 </w:t>
      </w:r>
      <w:r w:rsidR="00DE644C" w:rsidRPr="00805104">
        <w:t>µ</w:t>
      </w:r>
      <w:r w:rsidRPr="00805104">
        <w:t xml:space="preserve">g/ L to 139 </w:t>
      </w:r>
      <w:r w:rsidR="00DE644C" w:rsidRPr="00805104">
        <w:t>µ</w:t>
      </w:r>
      <w:r w:rsidRPr="00805104">
        <w:t>g/L, p</w:t>
      </w:r>
      <w:r w:rsidR="00DD3FEF" w:rsidRPr="00805104">
        <w:t> </w:t>
      </w:r>
      <w:r w:rsidR="002D28A4" w:rsidRPr="00805104">
        <w:t xml:space="preserve">= </w:t>
      </w:r>
      <w:r w:rsidRPr="00805104">
        <w:t>0.0313). Mean high sensitivity C-reactive protein (</w:t>
      </w:r>
      <w:proofErr w:type="spellStart"/>
      <w:r w:rsidRPr="00805104">
        <w:t>hs</w:t>
      </w:r>
      <w:proofErr w:type="spellEnd"/>
      <w:r w:rsidRPr="00805104">
        <w:t>-CRP) also showed slight reduction from LAL-CL01 baseline to Week 104 (0.23 mg/</w:t>
      </w:r>
      <w:proofErr w:type="spellStart"/>
      <w:r w:rsidRPr="00805104">
        <w:t>dL</w:t>
      </w:r>
      <w:proofErr w:type="spellEnd"/>
      <w:r w:rsidRPr="00805104">
        <w:t xml:space="preserve"> </w:t>
      </w:r>
      <w:r w:rsidR="00D074A0" w:rsidRPr="00805104">
        <w:t>(</w:t>
      </w:r>
      <w:r w:rsidRPr="00805104">
        <w:t>2.3 mg/L</w:t>
      </w:r>
      <w:r w:rsidR="00D074A0" w:rsidRPr="00805104">
        <w:t>)</w:t>
      </w:r>
      <w:r w:rsidRPr="00805104">
        <w:t xml:space="preserve"> to 0.11 mg/</w:t>
      </w:r>
      <w:proofErr w:type="spellStart"/>
      <w:r w:rsidRPr="00805104">
        <w:t>dL</w:t>
      </w:r>
      <w:proofErr w:type="spellEnd"/>
      <w:r w:rsidRPr="00805104">
        <w:t xml:space="preserve"> </w:t>
      </w:r>
      <w:r w:rsidR="00D074A0" w:rsidRPr="00805104">
        <w:t>(</w:t>
      </w:r>
      <w:r w:rsidRPr="00805104">
        <w:t>1.1 mg/L</w:t>
      </w:r>
      <w:r w:rsidR="00D074A0" w:rsidRPr="00805104">
        <w:t>)</w:t>
      </w:r>
      <w:r w:rsidRPr="00805104">
        <w:t>, p</w:t>
      </w:r>
      <w:r w:rsidR="00DD3FEF" w:rsidRPr="00805104">
        <w:t> = </w:t>
      </w:r>
      <w:r w:rsidRPr="00805104">
        <w:t>0.1563)</w:t>
      </w:r>
      <w:r w:rsidR="00B73619" w:rsidRPr="00805104">
        <w:t xml:space="preserve">. </w:t>
      </w:r>
      <w:r w:rsidRPr="00805104">
        <w:t>No clinically meaningful trends were apparent over time in any of the QOL measures (FACIT-Fatigue scale and CLDQ)</w:t>
      </w:r>
      <w:r w:rsidR="00B73619" w:rsidRPr="00805104">
        <w:t>.</w:t>
      </w:r>
    </w:p>
    <w:p w14:paraId="67170CD3" w14:textId="77777777" w:rsidR="00934213" w:rsidRPr="000D329F" w:rsidRDefault="00787F40" w:rsidP="00787F40">
      <w:pPr>
        <w:pStyle w:val="Comment"/>
      </w:pPr>
      <w:r w:rsidRPr="00787F40">
        <w:rPr>
          <w:b/>
          <w:lang w:eastAsia="ja-JP"/>
        </w:rPr>
        <w:t>Comment</w:t>
      </w:r>
      <w:r w:rsidR="00934213" w:rsidRPr="00787F40">
        <w:rPr>
          <w:b/>
          <w:lang w:eastAsia="ja-JP"/>
        </w:rPr>
        <w:t>:</w:t>
      </w:r>
      <w:r w:rsidR="00934213" w:rsidRPr="000D329F">
        <w:rPr>
          <w:lang w:eastAsia="ja-JP"/>
        </w:rPr>
        <w:t xml:space="preserve"> </w:t>
      </w:r>
      <w:r w:rsidR="00934213" w:rsidRPr="000D329F">
        <w:t xml:space="preserve">Results from </w:t>
      </w:r>
      <w:r w:rsidR="00157E63">
        <w:t>Study</w:t>
      </w:r>
      <w:r w:rsidR="00934213" w:rsidRPr="000D329F">
        <w:t xml:space="preserve"> LAL-CL04 </w:t>
      </w:r>
      <w:r w:rsidR="00934213">
        <w:t xml:space="preserve">showed </w:t>
      </w:r>
      <w:r w:rsidR="00934213" w:rsidRPr="000D329F">
        <w:t>that the previously observed early benefits of enzyme re</w:t>
      </w:r>
      <w:r w:rsidR="00934213">
        <w:t xml:space="preserve">placement with </w:t>
      </w:r>
      <w:proofErr w:type="spellStart"/>
      <w:r w:rsidR="00934213">
        <w:t>sebelipase</w:t>
      </w:r>
      <w:proofErr w:type="spellEnd"/>
      <w:r w:rsidR="00934213">
        <w:t xml:space="preserve"> alfa </w:t>
      </w:r>
      <w:r w:rsidR="00934213" w:rsidRPr="000D329F">
        <w:t xml:space="preserve">reported in </w:t>
      </w:r>
      <w:r w:rsidR="00157E63">
        <w:t>Study</w:t>
      </w:r>
      <w:r w:rsidR="00934213">
        <w:t xml:space="preserve"> </w:t>
      </w:r>
      <w:r w:rsidR="00934213" w:rsidRPr="000D329F">
        <w:t xml:space="preserve">LAL-CL01 can be achieved with </w:t>
      </w:r>
      <w:proofErr w:type="spellStart"/>
      <w:r w:rsidR="00934213" w:rsidRPr="000D329F">
        <w:t>qow</w:t>
      </w:r>
      <w:proofErr w:type="spellEnd"/>
      <w:r w:rsidR="00934213" w:rsidRPr="000D329F">
        <w:t xml:space="preserve"> dosing and continue through Week 104 with sustained normalisation of transaminases, sustained </w:t>
      </w:r>
      <w:r w:rsidR="00934213">
        <w:t>improvements i</w:t>
      </w:r>
      <w:r w:rsidR="00934213" w:rsidRPr="000D329F">
        <w:t>n serum lipids, and reduction in fat fraction in the liver in adult subjects with LAL Deficiency.</w:t>
      </w:r>
    </w:p>
    <w:p w14:paraId="7A53FAB4" w14:textId="77777777" w:rsidR="00934213" w:rsidRDefault="00934213" w:rsidP="00DD3FEF">
      <w:pPr>
        <w:pStyle w:val="Heading4"/>
      </w:pPr>
      <w:bookmarkStart w:id="253" w:name="_Ref463263382"/>
      <w:bookmarkStart w:id="254" w:name="_Toc468957476"/>
      <w:r w:rsidRPr="00DD3FEF">
        <w:t>Studies</w:t>
      </w:r>
      <w:r w:rsidRPr="00527FA9">
        <w:t xml:space="preserve"> </w:t>
      </w:r>
      <w:bookmarkEnd w:id="251"/>
      <w:bookmarkEnd w:id="252"/>
      <w:r>
        <w:t>LAL-1-NH01 and LAL-2-NH01</w:t>
      </w:r>
      <w:bookmarkEnd w:id="253"/>
      <w:bookmarkEnd w:id="254"/>
    </w:p>
    <w:p w14:paraId="02C5B57E" w14:textId="77777777" w:rsidR="00787F40" w:rsidRDefault="00787F40" w:rsidP="00787F40">
      <w:pPr>
        <w:pStyle w:val="Heading5"/>
        <w:rPr>
          <w:lang w:eastAsia="ja-JP"/>
        </w:rPr>
      </w:pPr>
      <w:r w:rsidRPr="00DC6318">
        <w:rPr>
          <w:lang w:eastAsia="ja-JP"/>
        </w:rPr>
        <w:t>LAL-1-NH01</w:t>
      </w:r>
    </w:p>
    <w:p w14:paraId="75D05E0A" w14:textId="77777777" w:rsidR="00B73619" w:rsidRDefault="00DD3FEF" w:rsidP="00934213">
      <w:pPr>
        <w:pStyle w:val="Default"/>
        <w:spacing w:after="120"/>
        <w:rPr>
          <w:rFonts w:asciiTheme="minorHAnsi" w:hAnsiTheme="minorHAnsi"/>
          <w:b/>
          <w:sz w:val="22"/>
          <w:szCs w:val="22"/>
        </w:rPr>
      </w:pPr>
      <w:r>
        <w:rPr>
          <w:rFonts w:asciiTheme="minorHAnsi" w:hAnsiTheme="minorHAnsi"/>
          <w:sz w:val="22"/>
          <w:szCs w:val="22"/>
          <w:lang w:eastAsia="ja-JP"/>
        </w:rPr>
        <w:t xml:space="preserve">Study </w:t>
      </w:r>
      <w:r w:rsidR="00934213" w:rsidRPr="00DD3FEF">
        <w:rPr>
          <w:rFonts w:asciiTheme="minorHAnsi" w:hAnsiTheme="minorHAnsi"/>
          <w:sz w:val="22"/>
          <w:szCs w:val="22"/>
          <w:lang w:eastAsia="ja-JP"/>
        </w:rPr>
        <w:t>LAL-1-NH01</w:t>
      </w:r>
      <w:r w:rsidR="00934213" w:rsidRPr="00DC6318">
        <w:rPr>
          <w:rFonts w:asciiTheme="minorHAnsi" w:hAnsiTheme="minorHAnsi"/>
          <w:sz w:val="22"/>
          <w:szCs w:val="22"/>
          <w:lang w:eastAsia="ja-JP"/>
        </w:rPr>
        <w:t xml:space="preserve"> was a </w:t>
      </w:r>
      <w:r w:rsidR="00934213" w:rsidRPr="00DC6318">
        <w:rPr>
          <w:rFonts w:asciiTheme="minorHAnsi" w:hAnsiTheme="minorHAnsi"/>
          <w:sz w:val="22"/>
          <w:szCs w:val="22"/>
        </w:rPr>
        <w:t xml:space="preserve">was a multinational, multicentre natural history </w:t>
      </w:r>
      <w:r>
        <w:rPr>
          <w:rFonts w:asciiTheme="minorHAnsi" w:hAnsiTheme="minorHAnsi"/>
          <w:sz w:val="22"/>
          <w:szCs w:val="22"/>
        </w:rPr>
        <w:t>s</w:t>
      </w:r>
      <w:r w:rsidR="00157E63">
        <w:rPr>
          <w:rFonts w:asciiTheme="minorHAnsi" w:hAnsiTheme="minorHAnsi"/>
          <w:sz w:val="22"/>
          <w:szCs w:val="22"/>
        </w:rPr>
        <w:t>tudy</w:t>
      </w:r>
      <w:r w:rsidR="00934213" w:rsidRPr="00DC6318">
        <w:rPr>
          <w:rFonts w:asciiTheme="minorHAnsi" w:hAnsiTheme="minorHAnsi"/>
          <w:sz w:val="22"/>
          <w:szCs w:val="22"/>
        </w:rPr>
        <w:t xml:space="preserve"> of </w:t>
      </w:r>
      <w:r w:rsidR="00934213">
        <w:rPr>
          <w:rFonts w:asciiTheme="minorHAnsi" w:hAnsiTheme="minorHAnsi"/>
          <w:sz w:val="22"/>
          <w:szCs w:val="22"/>
        </w:rPr>
        <w:t xml:space="preserve">35 </w:t>
      </w:r>
      <w:r w:rsidR="00934213" w:rsidRPr="00DC6318">
        <w:rPr>
          <w:rFonts w:asciiTheme="minorHAnsi" w:hAnsiTheme="minorHAnsi"/>
          <w:sz w:val="22"/>
          <w:szCs w:val="22"/>
        </w:rPr>
        <w:t xml:space="preserve">patients diagnosed with LAL Deficiency presenting in infancy (historically called Wolman disease or LAL Deficiency/Wolman phenotype). </w:t>
      </w:r>
      <w:r w:rsidR="00934213">
        <w:rPr>
          <w:rFonts w:asciiTheme="minorHAnsi" w:hAnsiTheme="minorHAnsi"/>
          <w:sz w:val="22"/>
          <w:szCs w:val="22"/>
        </w:rPr>
        <w:t xml:space="preserve">Details of the </w:t>
      </w:r>
      <w:r>
        <w:rPr>
          <w:rFonts w:asciiTheme="minorHAnsi" w:hAnsiTheme="minorHAnsi"/>
          <w:sz w:val="22"/>
          <w:szCs w:val="22"/>
        </w:rPr>
        <w:t>s</w:t>
      </w:r>
      <w:r w:rsidR="00157E63">
        <w:rPr>
          <w:rFonts w:asciiTheme="minorHAnsi" w:hAnsiTheme="minorHAnsi"/>
          <w:sz w:val="22"/>
          <w:szCs w:val="22"/>
        </w:rPr>
        <w:t>tudy</w:t>
      </w:r>
      <w:r w:rsidR="00934213">
        <w:rPr>
          <w:rFonts w:asciiTheme="minorHAnsi" w:hAnsiTheme="minorHAnsi"/>
          <w:sz w:val="22"/>
          <w:szCs w:val="22"/>
        </w:rPr>
        <w:t xml:space="preserve"> design, objectives, methodology, </w:t>
      </w:r>
      <w:r w:rsidR="00934213">
        <w:rPr>
          <w:rFonts w:asciiTheme="minorHAnsi" w:hAnsiTheme="minorHAnsi"/>
          <w:sz w:val="22"/>
          <w:szCs w:val="22"/>
        </w:rPr>
        <w:lastRenderedPageBreak/>
        <w:t xml:space="preserve">demographics, disease characteristics and results including liver, lipid, anthropometric parameters and survival </w:t>
      </w:r>
      <w:r w:rsidR="00C4359A">
        <w:rPr>
          <w:rFonts w:asciiTheme="minorHAnsi" w:hAnsiTheme="minorHAnsi"/>
          <w:sz w:val="22"/>
          <w:szCs w:val="22"/>
        </w:rPr>
        <w:t>were provided</w:t>
      </w:r>
      <w:r w:rsidR="00B73619" w:rsidRPr="00C4359A">
        <w:rPr>
          <w:rFonts w:asciiTheme="minorHAnsi" w:hAnsiTheme="minorHAnsi"/>
          <w:sz w:val="22"/>
          <w:szCs w:val="22"/>
        </w:rPr>
        <w:t>.</w:t>
      </w:r>
    </w:p>
    <w:p w14:paraId="55B49979" w14:textId="77777777" w:rsidR="00934213" w:rsidRPr="00EF53B7" w:rsidRDefault="00934213" w:rsidP="00934213">
      <w:pPr>
        <w:autoSpaceDE w:val="0"/>
        <w:autoSpaceDN w:val="0"/>
        <w:adjustRightInd w:val="0"/>
        <w:spacing w:before="0" w:line="240" w:lineRule="auto"/>
        <w:rPr>
          <w:rFonts w:asciiTheme="minorHAnsi" w:eastAsiaTheme="minorHAnsi" w:hAnsiTheme="minorHAnsi"/>
          <w:color w:val="000000"/>
        </w:rPr>
      </w:pPr>
      <w:r w:rsidRPr="00EF53B7">
        <w:rPr>
          <w:rFonts w:asciiTheme="minorHAnsi" w:eastAsiaTheme="minorHAnsi" w:hAnsiTheme="minorHAnsi"/>
          <w:color w:val="000000"/>
        </w:rPr>
        <w:t xml:space="preserve">The major findings of the retrospective, natural history </w:t>
      </w:r>
      <w:r w:rsidR="00157E63" w:rsidRPr="00EF53B7">
        <w:rPr>
          <w:rFonts w:asciiTheme="minorHAnsi" w:eastAsiaTheme="minorHAnsi" w:hAnsiTheme="minorHAnsi"/>
          <w:color w:val="000000"/>
        </w:rPr>
        <w:t>Study</w:t>
      </w:r>
      <w:r w:rsidRPr="00EF53B7">
        <w:rPr>
          <w:rFonts w:asciiTheme="minorHAnsi" w:eastAsiaTheme="minorHAnsi" w:hAnsiTheme="minorHAnsi"/>
          <w:color w:val="000000"/>
        </w:rPr>
        <w:t xml:space="preserve"> LAL-1-NH01 were:</w:t>
      </w:r>
    </w:p>
    <w:p w14:paraId="0C70A0D6" w14:textId="77777777" w:rsidR="00B73619" w:rsidRPr="00EF53B7" w:rsidRDefault="00934213" w:rsidP="00787F40">
      <w:pPr>
        <w:pStyle w:val="ListBullet"/>
        <w:rPr>
          <w:b/>
        </w:rPr>
      </w:pPr>
      <w:r w:rsidRPr="00EF53B7">
        <w:t>Survival was poor, irrespective of treatment, with a median age at death of 3.71 months and a K-M estimate for probability of survival past 12 months of 0.114 (95% CI</w:t>
      </w:r>
      <w:r w:rsidR="002D28A4" w:rsidRPr="00EF53B7">
        <w:t xml:space="preserve"> = </w:t>
      </w:r>
      <w:r w:rsidRPr="00EF53B7">
        <w:t xml:space="preserve">0.009, 0.220) for all eligible patients in this </w:t>
      </w:r>
      <w:r w:rsidR="00C4359A" w:rsidRPr="00EF53B7">
        <w:t>s</w:t>
      </w:r>
      <w:r w:rsidR="00157E63" w:rsidRPr="00EF53B7">
        <w:t>tudy</w:t>
      </w:r>
      <w:r w:rsidRPr="00EF53B7">
        <w:t xml:space="preserve"> </w:t>
      </w:r>
      <w:r w:rsidR="00C4359A" w:rsidRPr="00EF53B7">
        <w:t xml:space="preserve">(Table </w:t>
      </w:r>
      <w:r w:rsidR="00E45A80" w:rsidRPr="00EF53B7">
        <w:t>20</w:t>
      </w:r>
      <w:r w:rsidR="00C4359A" w:rsidRPr="00EF53B7">
        <w:t>, Figure</w:t>
      </w:r>
      <w:r w:rsidR="008267BC">
        <w:t>s</w:t>
      </w:r>
      <w:r w:rsidR="00C4359A" w:rsidRPr="00EF53B7">
        <w:t xml:space="preserve"> </w:t>
      </w:r>
      <w:r w:rsidR="008267BC">
        <w:t>16, 17 and 18</w:t>
      </w:r>
      <w:r w:rsidRPr="00EF53B7">
        <w:t>)</w:t>
      </w:r>
      <w:r w:rsidR="00B73619" w:rsidRPr="00EF53B7">
        <w:t>.</w:t>
      </w:r>
    </w:p>
    <w:p w14:paraId="57D6D81B" w14:textId="77777777" w:rsidR="00B73619" w:rsidRDefault="00934213" w:rsidP="00787F40">
      <w:pPr>
        <w:pStyle w:val="ListBullet"/>
      </w:pPr>
      <w:r w:rsidRPr="00870317">
        <w:t xml:space="preserve">Survival was particularly poor in </w:t>
      </w:r>
      <w:r>
        <w:t xml:space="preserve">21 of the 26 </w:t>
      </w:r>
      <w:r w:rsidRPr="00870317">
        <w:t>patients with early growth failure who were untreated. K-M analyses estimated zero probability of survival past 12 months of age, and none of these patients survived beyond 8 months of age. Thus, the presence of early growth failure appears to be predictive of the most severe and rapidly progressive presentation of LAL Deficiency</w:t>
      </w:r>
      <w:r w:rsidR="00B73619">
        <w:t>.</w:t>
      </w:r>
    </w:p>
    <w:p w14:paraId="682D5DA5" w14:textId="77777777" w:rsidR="00B73619" w:rsidRDefault="00934213" w:rsidP="00787F40">
      <w:pPr>
        <w:pStyle w:val="ListBullet"/>
      </w:pPr>
      <w:r w:rsidRPr="00870317">
        <w:t xml:space="preserve">Despite the consistently poor outcome, there was some variability in the nature, onset, and severity of clinical manifestations among the patients in this </w:t>
      </w:r>
      <w:r w:rsidR="00C4359A">
        <w:t>study</w:t>
      </w:r>
      <w:r w:rsidRPr="00870317">
        <w:t>, supporting the current scientific understanding of LAL Deficiency as a disease spectrum</w:t>
      </w:r>
      <w:r w:rsidR="00B73619">
        <w:t>.</w:t>
      </w:r>
    </w:p>
    <w:p w14:paraId="2F6E7AFA" w14:textId="77777777" w:rsidR="00B73619" w:rsidRDefault="00934213" w:rsidP="00787F40">
      <w:pPr>
        <w:pStyle w:val="ListBullet"/>
      </w:pPr>
      <w:r w:rsidRPr="00870317">
        <w:t>In addition to growth failure, hepatic injury, as evidenced by elevated transaminases, was also common. There was evidence early in life of liver fibrosis and cirrhosis in association with liver steatosis. Rapidly progressive liver disease was also seen and was likely an important contributor to early mortality</w:t>
      </w:r>
      <w:r w:rsidR="00B73619">
        <w:t>.</w:t>
      </w:r>
    </w:p>
    <w:p w14:paraId="3C70A236" w14:textId="77777777" w:rsidR="00B73619" w:rsidRDefault="00934213" w:rsidP="00787F40">
      <w:pPr>
        <w:pStyle w:val="ListBullet"/>
      </w:pPr>
      <w:r w:rsidRPr="00870317">
        <w:t>Disease progression was rapid for a majority of patients, with a median of 1.1 months from symptom onset to diagnosis and 0.673 months from diagnosis to death</w:t>
      </w:r>
      <w:r w:rsidR="00B73619">
        <w:t>.</w:t>
      </w:r>
    </w:p>
    <w:p w14:paraId="480BBFD8" w14:textId="77777777" w:rsidR="00C4359A" w:rsidRDefault="007C25DF" w:rsidP="007C25DF">
      <w:pPr>
        <w:pStyle w:val="Tabletitle"/>
      </w:pPr>
      <w:bookmarkStart w:id="255" w:name="_Ref463262822"/>
      <w:bookmarkStart w:id="256" w:name="_Ref463263081"/>
      <w:bookmarkStart w:id="257" w:name="_Toc468957368"/>
      <w:r>
        <w:lastRenderedPageBreak/>
        <w:t xml:space="preserve">Table </w:t>
      </w:r>
      <w:r w:rsidR="00E45A80">
        <w:t>20</w:t>
      </w:r>
      <w:r>
        <w:t>:</w:t>
      </w:r>
      <w:bookmarkEnd w:id="255"/>
      <w:bookmarkEnd w:id="256"/>
      <w:r w:rsidRPr="00887E80">
        <w:rPr>
          <w:noProof/>
          <w:lang w:eastAsia="en-AU"/>
        </w:rPr>
        <w:t xml:space="preserve"> </w:t>
      </w:r>
      <w:r w:rsidRPr="00C576C1">
        <w:t>Study LAL-01-NH01</w:t>
      </w:r>
      <w:bookmarkEnd w:id="257"/>
      <w:r>
        <w:t xml:space="preserve"> Summary statistics for age at death</w:t>
      </w:r>
    </w:p>
    <w:p w14:paraId="6CF58FAF" w14:textId="64289979" w:rsidR="00AB35F9" w:rsidRPr="00AB35F9" w:rsidRDefault="00AB35F9" w:rsidP="00AB35F9">
      <w:r>
        <w:rPr>
          <w:noProof/>
          <w:lang w:eastAsia="en-AU"/>
        </w:rPr>
        <w:drawing>
          <wp:inline distT="0" distB="0" distL="0" distR="0" wp14:anchorId="5092B023" wp14:editId="267C1525">
            <wp:extent cx="5731510" cy="6505031"/>
            <wp:effectExtent l="0" t="0" r="2540" b="0"/>
            <wp:docPr id="82" name="Picture 82" descr="Table 20: Study LAL-01-NH01 Summary statistics for age at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6505031"/>
                    </a:xfrm>
                    <a:prstGeom prst="rect">
                      <a:avLst/>
                    </a:prstGeom>
                  </pic:spPr>
                </pic:pic>
              </a:graphicData>
            </a:graphic>
          </wp:inline>
        </w:drawing>
      </w:r>
      <w:r>
        <w:rPr>
          <w:noProof/>
          <w:lang w:eastAsia="en-AU"/>
        </w:rPr>
        <w:drawing>
          <wp:inline distT="0" distB="0" distL="0" distR="0" wp14:anchorId="0143EB89" wp14:editId="2F746D19">
            <wp:extent cx="4543425" cy="285750"/>
            <wp:effectExtent l="0" t="0" r="9525" b="0"/>
            <wp:docPr id="80" name="Picture 80" descr="treatment refers to a HSCT and or liver transplant. data for treated patients only reflect data up to the time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43425" cy="285750"/>
                    </a:xfrm>
                    <a:prstGeom prst="rect">
                      <a:avLst/>
                    </a:prstGeom>
                  </pic:spPr>
                </pic:pic>
              </a:graphicData>
            </a:graphic>
          </wp:inline>
        </w:drawing>
      </w:r>
    </w:p>
    <w:p w14:paraId="23960D75" w14:textId="77777777" w:rsidR="00112368" w:rsidRPr="00AB35F9" w:rsidRDefault="008267BC" w:rsidP="00AB35F9">
      <w:pPr>
        <w:pStyle w:val="FigureTitle"/>
        <w:keepNext/>
      </w:pPr>
      <w:r>
        <w:lastRenderedPageBreak/>
        <w:t>Figure 16</w:t>
      </w:r>
      <w:r w:rsidR="00112368" w:rsidRPr="00AB35F9">
        <w:t>: Study LAL-01-NAH01</w:t>
      </w:r>
      <w:r w:rsidR="00AB35F9" w:rsidRPr="00AB35F9">
        <w:t xml:space="preserve"> Kaplan-Meier Plot of Time from Birth t</w:t>
      </w:r>
      <w:r>
        <w:t>o Death - All Eligible Patients</w:t>
      </w:r>
    </w:p>
    <w:p w14:paraId="4E8F1619" w14:textId="77777777" w:rsidR="00AB35F9" w:rsidRDefault="00AB35F9" w:rsidP="008267BC">
      <w:r w:rsidRPr="008267BC">
        <w:rPr>
          <w:noProof/>
          <w:lang w:eastAsia="en-AU"/>
        </w:rPr>
        <w:drawing>
          <wp:inline distT="0" distB="0" distL="0" distR="0" wp14:anchorId="5C66F870" wp14:editId="7555CE1E">
            <wp:extent cx="5731510" cy="2526518"/>
            <wp:effectExtent l="0" t="0" r="2540" b="7620"/>
            <wp:docPr id="83" name="Picture 83" descr="Figure 16: Study LAL-01-NAH01 Kaplan-Meier Plot of Time from Birth to Death - All Eligibl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brightnessContrast contrast="-40000"/>
                              </a14:imgEffect>
                            </a14:imgLayer>
                          </a14:imgProps>
                        </a:ext>
                      </a:extLst>
                    </a:blip>
                    <a:stretch>
                      <a:fillRect/>
                    </a:stretch>
                  </pic:blipFill>
                  <pic:spPr>
                    <a:xfrm>
                      <a:off x="0" y="0"/>
                      <a:ext cx="5731510" cy="2526518"/>
                    </a:xfrm>
                    <a:prstGeom prst="rect">
                      <a:avLst/>
                    </a:prstGeom>
                  </pic:spPr>
                </pic:pic>
              </a:graphicData>
            </a:graphic>
          </wp:inline>
        </w:drawing>
      </w:r>
    </w:p>
    <w:p w14:paraId="624F99B1" w14:textId="77777777" w:rsidR="00AB35F9" w:rsidRPr="009C5E31" w:rsidRDefault="009C5E31" w:rsidP="009C5E31">
      <w:pPr>
        <w:pStyle w:val="FigureTitle"/>
        <w:keepNext/>
      </w:pPr>
      <w:r w:rsidRPr="008267BC">
        <w:t xml:space="preserve">Figure </w:t>
      </w:r>
      <w:r w:rsidR="008267BC" w:rsidRPr="008267BC">
        <w:t>1</w:t>
      </w:r>
      <w:r w:rsidRPr="008267BC">
        <w:t xml:space="preserve">7: Kaplan-Meier </w:t>
      </w:r>
      <w:r w:rsidR="008267BC" w:rsidRPr="008267BC">
        <w:t xml:space="preserve">plot of time from birth to death - eligible patients who were untreated (did not receive a hematopoietic stem cell transplant, liver transplant </w:t>
      </w:r>
      <w:r w:rsidRPr="008267BC">
        <w:t>or ERT)</w:t>
      </w:r>
    </w:p>
    <w:p w14:paraId="22C808A0" w14:textId="77777777" w:rsidR="00AB35F9" w:rsidRPr="009C5E31" w:rsidRDefault="009C5E31" w:rsidP="009C5E31">
      <w:r>
        <w:rPr>
          <w:noProof/>
          <w:lang w:eastAsia="en-AU"/>
        </w:rPr>
        <w:drawing>
          <wp:inline distT="0" distB="0" distL="0" distR="0" wp14:anchorId="77D14CEE" wp14:editId="3381465D">
            <wp:extent cx="5731510" cy="2257088"/>
            <wp:effectExtent l="0" t="0" r="2540" b="0"/>
            <wp:docPr id="85" name="Picture 85" descr="Figure 17: Kaplan-Meier plot of time from birth to death - eligible patients who were untreated (did not receive a hematopoietic stem cell transplant, liver transplant or 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257088"/>
                    </a:xfrm>
                    <a:prstGeom prst="rect">
                      <a:avLst/>
                    </a:prstGeom>
                  </pic:spPr>
                </pic:pic>
              </a:graphicData>
            </a:graphic>
          </wp:inline>
        </w:drawing>
      </w:r>
    </w:p>
    <w:p w14:paraId="6EFF961F" w14:textId="77777777" w:rsidR="00AB35F9" w:rsidRDefault="00AB35F9" w:rsidP="00AB35F9">
      <w:pPr>
        <w:pStyle w:val="FigureTitle"/>
        <w:keepNext/>
      </w:pPr>
      <w:r w:rsidRPr="008267BC">
        <w:t xml:space="preserve">Figure </w:t>
      </w:r>
      <w:r w:rsidR="008267BC" w:rsidRPr="008267BC">
        <w:t>1</w:t>
      </w:r>
      <w:r w:rsidRPr="008267BC">
        <w:t xml:space="preserve">8: Kaplan-Meier </w:t>
      </w:r>
      <w:r w:rsidR="008267BC" w:rsidRPr="008267BC">
        <w:t>plot of time from birth to death for eligible patients with early growth failure</w:t>
      </w:r>
    </w:p>
    <w:p w14:paraId="5E2F25B6" w14:textId="77777777" w:rsidR="00112368" w:rsidRPr="007C25DF" w:rsidRDefault="00AB35F9" w:rsidP="00EF53B7">
      <w:pPr>
        <w:pStyle w:val="FigureTitle"/>
      </w:pPr>
      <w:r>
        <w:rPr>
          <w:noProof/>
          <w:lang w:eastAsia="en-AU"/>
        </w:rPr>
        <w:drawing>
          <wp:inline distT="0" distB="0" distL="0" distR="0" wp14:anchorId="01753A07" wp14:editId="093FC2A9">
            <wp:extent cx="5731510" cy="2463447"/>
            <wp:effectExtent l="0" t="0" r="2540" b="0"/>
            <wp:docPr id="84" name="Picture 84" descr="Figure 18: Kaplan-Meier plot of time from birth to death for eligible patients with early growth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2463447"/>
                    </a:xfrm>
                    <a:prstGeom prst="rect">
                      <a:avLst/>
                    </a:prstGeom>
                  </pic:spPr>
                </pic:pic>
              </a:graphicData>
            </a:graphic>
          </wp:inline>
        </w:drawing>
      </w:r>
    </w:p>
    <w:p w14:paraId="51C69A19" w14:textId="77777777" w:rsidR="00B73619" w:rsidRPr="00805104" w:rsidRDefault="00157E63" w:rsidP="00805104">
      <w:r w:rsidRPr="00805104">
        <w:lastRenderedPageBreak/>
        <w:t>Study</w:t>
      </w:r>
      <w:r w:rsidR="00934213" w:rsidRPr="00805104">
        <w:t xml:space="preserve"> LAL-01-NH01 provided the first systematic evaluation</w:t>
      </w:r>
      <w:r w:rsidR="007C25DF" w:rsidRPr="00805104">
        <w:t xml:space="preserve"> of the natural history of LAL d</w:t>
      </w:r>
      <w:r w:rsidR="00934213" w:rsidRPr="00805104">
        <w:t>eficiency in infants based on retrospective data collected and summarized for 35 eligible patients with a confirmed diagnosis of LAL Deficiency prior to 2 years of age. Patients were enrolled at 18 centres in 6 countries, based on eligibility criteria that were defined to ensure enrolment of the broadest possible population in order to fully characterize the clinical presentation in infants across its entire spectrum</w:t>
      </w:r>
      <w:r w:rsidR="00B73619" w:rsidRPr="00805104">
        <w:t>.</w:t>
      </w:r>
    </w:p>
    <w:p w14:paraId="4B1288E6" w14:textId="77777777" w:rsidR="00B73619" w:rsidRPr="00805104" w:rsidRDefault="00934213" w:rsidP="00805104">
      <w:r w:rsidRPr="00805104">
        <w:t xml:space="preserve">The data from this </w:t>
      </w:r>
      <w:r w:rsidR="00C4359A" w:rsidRPr="00805104">
        <w:t>study</w:t>
      </w:r>
      <w:r w:rsidRPr="00805104">
        <w:t xml:space="preserve"> largely confirm previously published findings that LAL Deficiency in infants is characterized by severe growth failure and progressive liver disease that lead to mortality within the first year of life in a majority of patients, irrespective of any treatments (</w:t>
      </w:r>
      <w:r w:rsidR="00CC672B" w:rsidRPr="00805104">
        <w:t>for example</w:t>
      </w:r>
      <w:r w:rsidRPr="00805104">
        <w:t>, HSCT) or supportive interventions</w:t>
      </w:r>
      <w:r w:rsidR="00B73619" w:rsidRPr="00805104">
        <w:t>.</w:t>
      </w:r>
    </w:p>
    <w:p w14:paraId="211AB4E6" w14:textId="77777777" w:rsidR="00B73619" w:rsidRPr="00805104" w:rsidRDefault="00934213" w:rsidP="00805104">
      <w:r w:rsidRPr="00805104">
        <w:t xml:space="preserve">The </w:t>
      </w:r>
      <w:r w:rsidR="00C4359A" w:rsidRPr="00805104">
        <w:t>study</w:t>
      </w:r>
      <w:r w:rsidRPr="00805104">
        <w:t xml:space="preserve"> also characterised the presentation and progression of LAL Deficiency in a subgroup of patients who had early growth failure within the first 6 months of life, and did not receive HSCT or ERT. This subgroup was identified using growth failure criteria that closely mirror the eligibility criteria for </w:t>
      </w:r>
      <w:r w:rsidR="00157E63" w:rsidRPr="00805104">
        <w:t>Study</w:t>
      </w:r>
      <w:r w:rsidRPr="00805104">
        <w:t xml:space="preserve"> LAL-CL03 and served as a relevant historical control to support interpretation of data for patients receiving ERT (</w:t>
      </w:r>
      <w:proofErr w:type="spellStart"/>
      <w:r w:rsidRPr="00805104">
        <w:t>sebelipase</w:t>
      </w:r>
      <w:proofErr w:type="spellEnd"/>
      <w:r w:rsidRPr="00805104">
        <w:t xml:space="preserve"> alfa) in LAL-CL03</w:t>
      </w:r>
      <w:r w:rsidR="00B73619" w:rsidRPr="00805104">
        <w:t>.</w:t>
      </w:r>
    </w:p>
    <w:p w14:paraId="189AB120" w14:textId="77777777" w:rsidR="00787F40" w:rsidRDefault="00787F40" w:rsidP="00787F40">
      <w:pPr>
        <w:pStyle w:val="Heading5"/>
      </w:pPr>
      <w:r w:rsidRPr="004A4C0C">
        <w:t>LAL-02-NH01</w:t>
      </w:r>
    </w:p>
    <w:p w14:paraId="0189DCBD" w14:textId="77777777" w:rsidR="00934213" w:rsidRPr="004A4C0C" w:rsidRDefault="00934213" w:rsidP="00934213">
      <w:pPr>
        <w:spacing w:line="240" w:lineRule="auto"/>
      </w:pPr>
      <w:r w:rsidRPr="007C25DF">
        <w:t>LAL-02-NH01 was</w:t>
      </w:r>
      <w:r w:rsidRPr="004A4C0C">
        <w:t xml:space="preserve"> an observational, multicentre </w:t>
      </w:r>
      <w:r w:rsidR="00C4359A">
        <w:t>study</w:t>
      </w:r>
      <w:r w:rsidRPr="004A4C0C">
        <w:t xml:space="preserve"> using data from the clinical charts of 48 children and adults presenting with LAL Deficiency and represents the largest case review of subjects with LAL Deficiency, and is the first that combined both retrospective and prospective data collection. The </w:t>
      </w:r>
      <w:r w:rsidR="00C4359A">
        <w:t>study</w:t>
      </w:r>
      <w:r w:rsidRPr="004A4C0C">
        <w:t xml:space="preserve"> design, endpoints and results </w:t>
      </w:r>
      <w:r w:rsidR="007C25DF">
        <w:t>were provided.</w:t>
      </w:r>
      <w:r w:rsidRPr="004A4C0C">
        <w:t xml:space="preserve"> Overall, data were collected from the 48 subjects with a confirmed diagnosis of LAL Deficiency and prospective data were generated in a subset of 24 of these subjects. Overall, the </w:t>
      </w:r>
      <w:r w:rsidR="00C4359A">
        <w:t>study</w:t>
      </w:r>
      <w:r w:rsidRPr="004A4C0C">
        <w:t xml:space="preserve"> data confirms previously published findings that LAL deficiency is predominantly a paediatric disease that primarily targets the liver, causing progressive hepatic dysfunction that often leads to liver failure and the need for palliative transplant procedure. Other main results from this </w:t>
      </w:r>
      <w:r w:rsidR="00C4359A">
        <w:t>study</w:t>
      </w:r>
      <w:r w:rsidRPr="004A4C0C">
        <w:t xml:space="preserve"> were as follows:</w:t>
      </w:r>
    </w:p>
    <w:p w14:paraId="20E5F669" w14:textId="77777777" w:rsidR="00B73619" w:rsidRDefault="00934213" w:rsidP="00787F40">
      <w:pPr>
        <w:pStyle w:val="ListBullet"/>
      </w:pPr>
      <w:r w:rsidRPr="004A4C0C">
        <w:t>Persistently elevated serum transaminases and lipids is a consistent feature supporting the utility of these markers as relevant endpoints for assessment of therapeutic interventions</w:t>
      </w:r>
      <w:r w:rsidR="00B73619">
        <w:t>.</w:t>
      </w:r>
    </w:p>
    <w:p w14:paraId="312AD304" w14:textId="77777777" w:rsidR="00B73619" w:rsidRDefault="00934213" w:rsidP="00787F40">
      <w:pPr>
        <w:pStyle w:val="ListBullet"/>
      </w:pPr>
      <w:r w:rsidRPr="004A4C0C">
        <w:t xml:space="preserve">Despite the clinical heterogeneity, there is a fairly unique hepatic histology, characterized by diffuse </w:t>
      </w:r>
      <w:proofErr w:type="spellStart"/>
      <w:r w:rsidRPr="004A4C0C">
        <w:t>microvesicular</w:t>
      </w:r>
      <w:proofErr w:type="spellEnd"/>
      <w:r w:rsidRPr="004A4C0C">
        <w:t xml:space="preserve"> steatosis frequently accompanied by fibrosis and cirrhosis. Unlike non-alcoholic steatohepatitis and alcoholic liver disease, </w:t>
      </w:r>
      <w:r w:rsidR="007C25DF">
        <w:t>steatosis in subjects with LAL d</w:t>
      </w:r>
      <w:r w:rsidRPr="004A4C0C">
        <w:t>eficiency appears to persist even throughout the end-stage hepatic dysfunction and is frequently found in explanted livers during transplantation</w:t>
      </w:r>
      <w:r w:rsidR="00B73619">
        <w:t>.</w:t>
      </w:r>
    </w:p>
    <w:p w14:paraId="52EE209F" w14:textId="77777777" w:rsidR="00B73619" w:rsidRDefault="00934213" w:rsidP="00787F40">
      <w:pPr>
        <w:pStyle w:val="ListBullet"/>
      </w:pPr>
      <w:r w:rsidRPr="004A4C0C">
        <w:t>There is a high rate of liver disease progressing to end-stage, requiring liver transplant in young children, adolescents, and adults</w:t>
      </w:r>
      <w:r w:rsidR="00B73619">
        <w:t>.</w:t>
      </w:r>
    </w:p>
    <w:p w14:paraId="146665FE" w14:textId="77777777" w:rsidR="00934213" w:rsidRPr="004A4C0C" w:rsidRDefault="00934213" w:rsidP="00787F40">
      <w:pPr>
        <w:pStyle w:val="ListBullet"/>
      </w:pPr>
      <w:r w:rsidRPr="004A4C0C">
        <w:t>Intervention with LLM and/or DI has limited effectiveness in normalizing markers of disease activity, such as serum lipids or hepatic transaminases.</w:t>
      </w:r>
    </w:p>
    <w:p w14:paraId="3763848F" w14:textId="77777777" w:rsidR="00934213" w:rsidRPr="000871CE" w:rsidRDefault="00934213" w:rsidP="00787F40">
      <w:pPr>
        <w:pStyle w:val="Heading4"/>
      </w:pPr>
      <w:bookmarkStart w:id="258" w:name="_Toc468957477"/>
      <w:r w:rsidRPr="000871CE">
        <w:t>Evaluator commentary: other efficacy studies</w:t>
      </w:r>
      <w:bookmarkEnd w:id="258"/>
    </w:p>
    <w:p w14:paraId="7FE14021" w14:textId="77777777" w:rsidR="00B73619" w:rsidRDefault="00934213" w:rsidP="00934213">
      <w:pPr>
        <w:autoSpaceDE w:val="0"/>
        <w:autoSpaceDN w:val="0"/>
        <w:adjustRightInd w:val="0"/>
        <w:spacing w:before="0" w:line="240" w:lineRule="auto"/>
        <w:rPr>
          <w:rFonts w:asciiTheme="minorHAnsi" w:hAnsiTheme="minorHAnsi"/>
          <w:lang w:eastAsia="ja-JP"/>
        </w:rPr>
      </w:pPr>
      <w:bookmarkStart w:id="259" w:name="_Toc241374312"/>
      <w:bookmarkStart w:id="260" w:name="_Toc272414656"/>
      <w:bookmarkStart w:id="261" w:name="_Toc290888507"/>
      <w:bookmarkStart w:id="262" w:name="_Toc416353723"/>
      <w:bookmarkStart w:id="263" w:name="_Toc421005271"/>
      <w:bookmarkStart w:id="264" w:name="_Toc432079153"/>
      <w:bookmarkStart w:id="265" w:name="_Toc432080726"/>
      <w:r w:rsidRPr="00143A67">
        <w:rPr>
          <w:rFonts w:asciiTheme="minorHAnsi" w:hAnsiTheme="minorHAnsi"/>
          <w:lang w:eastAsia="ja-JP"/>
        </w:rPr>
        <w:t xml:space="preserve">Although interpretation of results from the ‘other efficacy studies’ discussed above was limited by their </w:t>
      </w:r>
      <w:r w:rsidR="00B73619">
        <w:rPr>
          <w:rFonts w:asciiTheme="minorHAnsi" w:hAnsiTheme="minorHAnsi"/>
          <w:lang w:eastAsia="ja-JP"/>
        </w:rPr>
        <w:t>open label</w:t>
      </w:r>
      <w:r w:rsidRPr="00143A67">
        <w:rPr>
          <w:rFonts w:asciiTheme="minorHAnsi" w:hAnsiTheme="minorHAnsi"/>
          <w:lang w:eastAsia="ja-JP"/>
        </w:rPr>
        <w:t xml:space="preserve">, uncontrolled </w:t>
      </w:r>
      <w:r w:rsidR="00C4359A">
        <w:rPr>
          <w:rFonts w:asciiTheme="minorHAnsi" w:hAnsiTheme="minorHAnsi"/>
          <w:lang w:eastAsia="ja-JP"/>
        </w:rPr>
        <w:t>study</w:t>
      </w:r>
      <w:r w:rsidRPr="00143A67">
        <w:rPr>
          <w:rFonts w:asciiTheme="minorHAnsi" w:hAnsiTheme="minorHAnsi"/>
          <w:lang w:eastAsia="ja-JP"/>
        </w:rPr>
        <w:t xml:space="preserve"> design, </w:t>
      </w:r>
      <w:r>
        <w:rPr>
          <w:rFonts w:asciiTheme="minorHAnsi" w:hAnsiTheme="minorHAnsi"/>
          <w:lang w:eastAsia="ja-JP"/>
        </w:rPr>
        <w:t xml:space="preserve">results from </w:t>
      </w:r>
      <w:r w:rsidR="00157E63">
        <w:rPr>
          <w:rFonts w:asciiTheme="minorHAnsi" w:hAnsiTheme="minorHAnsi"/>
          <w:lang w:eastAsia="ja-JP"/>
        </w:rPr>
        <w:t>Study</w:t>
      </w:r>
      <w:r>
        <w:rPr>
          <w:rFonts w:asciiTheme="minorHAnsi" w:hAnsiTheme="minorHAnsi"/>
          <w:lang w:eastAsia="ja-JP"/>
        </w:rPr>
        <w:t xml:space="preserve"> LAL-CL03 </w:t>
      </w:r>
      <w:r w:rsidRPr="00143A67">
        <w:rPr>
          <w:rFonts w:asciiTheme="minorHAnsi" w:hAnsiTheme="minorHAnsi"/>
          <w:lang w:eastAsia="ja-JP"/>
        </w:rPr>
        <w:t xml:space="preserve">provided valuable information regarding efficacy and safety of </w:t>
      </w:r>
      <w:proofErr w:type="spellStart"/>
      <w:r w:rsidRPr="00143A67">
        <w:rPr>
          <w:rFonts w:asciiTheme="minorHAnsi" w:hAnsiTheme="minorHAnsi"/>
          <w:lang w:eastAsia="ja-JP"/>
        </w:rPr>
        <w:t>sebelipase</w:t>
      </w:r>
      <w:proofErr w:type="spellEnd"/>
      <w:r w:rsidRPr="00143A67">
        <w:rPr>
          <w:rFonts w:asciiTheme="minorHAnsi" w:hAnsiTheme="minorHAnsi"/>
          <w:lang w:eastAsia="ja-JP"/>
        </w:rPr>
        <w:t xml:space="preserve"> alfa in treatment of infants </w:t>
      </w:r>
      <w:r>
        <w:rPr>
          <w:rFonts w:asciiTheme="minorHAnsi" w:hAnsiTheme="minorHAnsi"/>
          <w:lang w:eastAsia="ja-JP"/>
        </w:rPr>
        <w:t xml:space="preserve">with growth failure which is a subgroup with poor prognosis due to high risk of mortality and morbidity. </w:t>
      </w:r>
      <w:r w:rsidR="00157E63">
        <w:rPr>
          <w:rFonts w:asciiTheme="minorHAnsi" w:hAnsiTheme="minorHAnsi"/>
          <w:lang w:eastAsia="ja-JP"/>
        </w:rPr>
        <w:t>Study</w:t>
      </w:r>
      <w:r>
        <w:rPr>
          <w:rFonts w:asciiTheme="minorHAnsi" w:hAnsiTheme="minorHAnsi"/>
          <w:lang w:eastAsia="ja-JP"/>
        </w:rPr>
        <w:t xml:space="preserve"> LAL-CL04 provided evidence for </w:t>
      </w:r>
      <w:r w:rsidR="008F6668">
        <w:rPr>
          <w:rFonts w:asciiTheme="minorHAnsi" w:hAnsiTheme="minorHAnsi"/>
          <w:lang w:eastAsia="ja-JP"/>
        </w:rPr>
        <w:t>long term</w:t>
      </w:r>
      <w:r>
        <w:rPr>
          <w:rFonts w:asciiTheme="minorHAnsi" w:hAnsiTheme="minorHAnsi"/>
          <w:lang w:eastAsia="ja-JP"/>
        </w:rPr>
        <w:t xml:space="preserve"> efficacy of ERT with </w:t>
      </w:r>
      <w:proofErr w:type="spellStart"/>
      <w:r>
        <w:rPr>
          <w:rFonts w:asciiTheme="minorHAnsi" w:hAnsiTheme="minorHAnsi"/>
          <w:lang w:eastAsia="ja-JP"/>
        </w:rPr>
        <w:t>sebelipase</w:t>
      </w:r>
      <w:proofErr w:type="spellEnd"/>
      <w:r>
        <w:rPr>
          <w:rFonts w:asciiTheme="minorHAnsi" w:hAnsiTheme="minorHAnsi"/>
          <w:lang w:eastAsia="ja-JP"/>
        </w:rPr>
        <w:t xml:space="preserve"> alfa in adults with LAL-D</w:t>
      </w:r>
      <w:r w:rsidR="00B73619">
        <w:rPr>
          <w:rFonts w:asciiTheme="minorHAnsi" w:hAnsiTheme="minorHAnsi"/>
          <w:lang w:eastAsia="ja-JP"/>
        </w:rPr>
        <w:t>.</w:t>
      </w:r>
    </w:p>
    <w:p w14:paraId="7F663E8D" w14:textId="5D13634A" w:rsidR="00934213" w:rsidRPr="000871CE" w:rsidRDefault="00934213" w:rsidP="00787F40">
      <w:pPr>
        <w:pStyle w:val="Heading3"/>
      </w:pPr>
      <w:bookmarkStart w:id="266" w:name="_Toc468957478"/>
      <w:bookmarkStart w:id="267" w:name="_Toc519670965"/>
      <w:r w:rsidRPr="000871CE">
        <w:lastRenderedPageBreak/>
        <w:t>Analyses performed</w:t>
      </w:r>
      <w:r>
        <w:t xml:space="preserve"> across trials: pooled and meta</w:t>
      </w:r>
      <w:r w:rsidR="001B7A56">
        <w:t>-a</w:t>
      </w:r>
      <w:r w:rsidRPr="000871CE">
        <w:t>nalyses</w:t>
      </w:r>
      <w:bookmarkEnd w:id="259"/>
      <w:bookmarkEnd w:id="260"/>
      <w:bookmarkEnd w:id="261"/>
      <w:bookmarkEnd w:id="262"/>
      <w:bookmarkEnd w:id="263"/>
      <w:bookmarkEnd w:id="264"/>
      <w:bookmarkEnd w:id="265"/>
      <w:bookmarkEnd w:id="266"/>
      <w:bookmarkEnd w:id="267"/>
    </w:p>
    <w:p w14:paraId="107A9E23" w14:textId="77777777" w:rsidR="00934213" w:rsidRPr="000871CE" w:rsidRDefault="00934213" w:rsidP="00934213">
      <w:pPr>
        <w:spacing w:before="0" w:line="240" w:lineRule="auto"/>
        <w:rPr>
          <w:rFonts w:asciiTheme="minorHAnsi" w:hAnsiTheme="minorHAnsi"/>
          <w:lang w:eastAsia="ja-JP"/>
        </w:rPr>
      </w:pPr>
      <w:bookmarkStart w:id="268" w:name="_Ref271126605"/>
      <w:bookmarkStart w:id="269" w:name="_Toc272414657"/>
      <w:bookmarkStart w:id="270" w:name="_Toc290888508"/>
      <w:bookmarkStart w:id="271" w:name="_Toc416353724"/>
      <w:bookmarkStart w:id="272" w:name="_Toc421005272"/>
      <w:bookmarkStart w:id="273" w:name="_Toc432079154"/>
      <w:bookmarkStart w:id="274" w:name="_Toc432080727"/>
      <w:r>
        <w:rPr>
          <w:rFonts w:asciiTheme="minorHAnsi" w:hAnsiTheme="minorHAnsi"/>
          <w:lang w:eastAsia="ja-JP"/>
        </w:rPr>
        <w:t xml:space="preserve">Formal pooled </w:t>
      </w:r>
      <w:r w:rsidR="0094262A">
        <w:rPr>
          <w:rFonts w:asciiTheme="minorHAnsi" w:hAnsiTheme="minorHAnsi"/>
          <w:lang w:eastAsia="ja-JP"/>
        </w:rPr>
        <w:t>analyses of efficacy were</w:t>
      </w:r>
      <w:r>
        <w:rPr>
          <w:rFonts w:asciiTheme="minorHAnsi" w:hAnsiTheme="minorHAnsi"/>
          <w:lang w:eastAsia="ja-JP"/>
        </w:rPr>
        <w:t xml:space="preserve"> not performed but some summaries were provided in Module 2.7.3</w:t>
      </w:r>
      <w:r w:rsidR="00CC672B">
        <w:rPr>
          <w:rFonts w:asciiTheme="minorHAnsi" w:hAnsiTheme="minorHAnsi"/>
          <w:lang w:eastAsia="ja-JP"/>
        </w:rPr>
        <w:t xml:space="preserve"> </w:t>
      </w:r>
      <w:r>
        <w:rPr>
          <w:rFonts w:asciiTheme="minorHAnsi" w:hAnsiTheme="minorHAnsi"/>
          <w:lang w:eastAsia="ja-JP"/>
        </w:rPr>
        <w:t>to enable cross-</w:t>
      </w:r>
      <w:r w:rsidR="00C4359A">
        <w:rPr>
          <w:rFonts w:asciiTheme="minorHAnsi" w:hAnsiTheme="minorHAnsi"/>
          <w:lang w:eastAsia="ja-JP"/>
        </w:rPr>
        <w:t>study</w:t>
      </w:r>
      <w:r>
        <w:rPr>
          <w:rFonts w:asciiTheme="minorHAnsi" w:hAnsiTheme="minorHAnsi"/>
          <w:lang w:eastAsia="ja-JP"/>
        </w:rPr>
        <w:t xml:space="preserve"> comparisons</w:t>
      </w:r>
      <w:r w:rsidR="00B73619">
        <w:rPr>
          <w:rFonts w:asciiTheme="minorHAnsi" w:hAnsiTheme="minorHAnsi"/>
          <w:lang w:eastAsia="ja-JP"/>
        </w:rPr>
        <w:t>.</w:t>
      </w:r>
    </w:p>
    <w:p w14:paraId="4B116261" w14:textId="77777777" w:rsidR="00934213" w:rsidRPr="000871CE" w:rsidRDefault="00934213" w:rsidP="00787F40">
      <w:pPr>
        <w:pStyle w:val="Heading3"/>
      </w:pPr>
      <w:bookmarkStart w:id="275" w:name="_Toc468957479"/>
      <w:bookmarkStart w:id="276" w:name="_Toc519670966"/>
      <w:r w:rsidRPr="000871CE">
        <w:t>Evaluator’s concl</w:t>
      </w:r>
      <w:r>
        <w:t>u</w:t>
      </w:r>
      <w:r w:rsidRPr="000871CE">
        <w:t>sions on clinical efficacy</w:t>
      </w:r>
      <w:bookmarkEnd w:id="268"/>
      <w:bookmarkEnd w:id="269"/>
      <w:bookmarkEnd w:id="270"/>
      <w:bookmarkEnd w:id="271"/>
      <w:bookmarkEnd w:id="272"/>
      <w:bookmarkEnd w:id="273"/>
      <w:bookmarkEnd w:id="274"/>
      <w:bookmarkEnd w:id="275"/>
      <w:bookmarkEnd w:id="276"/>
    </w:p>
    <w:p w14:paraId="74F80FE2" w14:textId="77777777" w:rsidR="00B73619" w:rsidRPr="00805104" w:rsidRDefault="00934213" w:rsidP="00805104">
      <w:r w:rsidRPr="00805104">
        <w:t xml:space="preserve">LAL Deficiency is a very rare, serious and </w:t>
      </w:r>
      <w:r w:rsidR="00FD1D3C" w:rsidRPr="00805104">
        <w:t>life threatening</w:t>
      </w:r>
      <w:r w:rsidRPr="00805104">
        <w:t xml:space="preserve"> lysosomal storage disorder caused by mutations affecting a single gene. It is associated with significant morbidity and mortality affecting individuals from infancy through to adulthood. LAL-D presenting in infants is a medical emergency with rapid disease progression over a period of weeks that is typically fatal within the first 6 months of life. Current treatment options only include supportive therapies and there are no approved treatments addressing the root cause of the disease</w:t>
      </w:r>
      <w:r w:rsidR="00B73619" w:rsidRPr="00805104">
        <w:t>.</w:t>
      </w:r>
    </w:p>
    <w:p w14:paraId="6B863979" w14:textId="77777777" w:rsidR="00B73619" w:rsidRDefault="00934213" w:rsidP="00934213">
      <w:pPr>
        <w:autoSpaceDE w:val="0"/>
        <w:autoSpaceDN w:val="0"/>
        <w:adjustRightInd w:val="0"/>
        <w:spacing w:line="240" w:lineRule="auto"/>
        <w:rPr>
          <w:rFonts w:cs="Calibri"/>
          <w:lang w:eastAsia="ja-JP"/>
        </w:rPr>
      </w:pPr>
      <w:r w:rsidRPr="004A4C0C">
        <w:rPr>
          <w:rFonts w:cs="TimesNewRomanPSMT"/>
        </w:rPr>
        <w:t xml:space="preserve">The main evidence for efficacy of </w:t>
      </w:r>
      <w:proofErr w:type="spellStart"/>
      <w:r w:rsidRPr="004A4C0C">
        <w:rPr>
          <w:rFonts w:cs="TimesNewRomanPSMT"/>
        </w:rPr>
        <w:t>sebelipase</w:t>
      </w:r>
      <w:proofErr w:type="spellEnd"/>
      <w:r w:rsidRPr="004A4C0C">
        <w:rPr>
          <w:rFonts w:cs="TimesNewRomanPSMT"/>
        </w:rPr>
        <w:t xml:space="preserve"> alfa was provided by the well-conducted, </w:t>
      </w:r>
      <w:r w:rsidR="00CC672B">
        <w:rPr>
          <w:rFonts w:cs="TimesNewRomanPSMT"/>
        </w:rPr>
        <w:t>Phase III</w:t>
      </w:r>
      <w:r w:rsidRPr="004A4C0C">
        <w:rPr>
          <w:rFonts w:cs="TimesNewRomanPSMT"/>
        </w:rPr>
        <w:t xml:space="preserve">, </w:t>
      </w:r>
      <w:r w:rsidR="003F3AB4">
        <w:rPr>
          <w:rFonts w:cs="TimesNewRomanPSMT"/>
        </w:rPr>
        <w:t>double blind</w:t>
      </w:r>
      <w:r w:rsidRPr="004A4C0C">
        <w:rPr>
          <w:rFonts w:cs="TimesNewRomanPSMT"/>
        </w:rPr>
        <w:t xml:space="preserve">, </w:t>
      </w:r>
      <w:r w:rsidR="00B73619">
        <w:rPr>
          <w:rFonts w:cs="TimesNewRomanPSMT"/>
        </w:rPr>
        <w:t>placebo controlled</w:t>
      </w:r>
      <w:r w:rsidRPr="004A4C0C">
        <w:rPr>
          <w:rFonts w:cs="TimesNewRomanPSMT"/>
        </w:rPr>
        <w:t xml:space="preserve"> </w:t>
      </w:r>
      <w:r w:rsidR="00157E63">
        <w:rPr>
          <w:rFonts w:cs="TimesNewRomanPSMT"/>
        </w:rPr>
        <w:t>Study</w:t>
      </w:r>
      <w:r w:rsidRPr="004A4C0C">
        <w:rPr>
          <w:rFonts w:cs="TimesNewRomanPSMT"/>
        </w:rPr>
        <w:t xml:space="preserve"> LAL-CL02 involving 66 patients with LAL-D (children and adults, with 71% aged </w:t>
      </w:r>
      <w:r w:rsidR="00B73619">
        <w:rPr>
          <w:rFonts w:cs="TimesNewRomanPSMT"/>
        </w:rPr>
        <w:t xml:space="preserve">&gt; </w:t>
      </w:r>
      <w:r w:rsidRPr="004A4C0C">
        <w:rPr>
          <w:rFonts w:cs="TimesNewRomanPSMT"/>
        </w:rPr>
        <w:t xml:space="preserve">18 years). The </w:t>
      </w:r>
      <w:r w:rsidR="00C4359A">
        <w:rPr>
          <w:rFonts w:cs="TimesNewRomanPSMT"/>
        </w:rPr>
        <w:t>study</w:t>
      </w:r>
      <w:r w:rsidRPr="004A4C0C">
        <w:rPr>
          <w:rFonts w:cs="TimesNewRomanPSMT"/>
        </w:rPr>
        <w:t xml:space="preserve"> was conducted in a broad range of subjects at different stages of disease progression including subjects with histologically confirmed cirrhosis and different genotypes</w:t>
      </w:r>
      <w:r w:rsidR="00B73619">
        <w:rPr>
          <w:rFonts w:cs="TimesNewRomanPSMT"/>
        </w:rPr>
        <w:t xml:space="preserve">. </w:t>
      </w:r>
      <w:r w:rsidRPr="004A4C0C">
        <w:rPr>
          <w:rFonts w:cs="Calibri"/>
        </w:rPr>
        <w:t xml:space="preserve">LAL-CL03 was the </w:t>
      </w:r>
      <w:r w:rsidRPr="004A4C0C">
        <w:rPr>
          <w:rFonts w:cs="Calibri"/>
          <w:lang w:eastAsia="ja-JP"/>
        </w:rPr>
        <w:t xml:space="preserve">only </w:t>
      </w:r>
      <w:r w:rsidR="00C4359A">
        <w:rPr>
          <w:rFonts w:cs="Calibri"/>
          <w:lang w:eastAsia="ja-JP"/>
        </w:rPr>
        <w:t>study</w:t>
      </w:r>
      <w:r w:rsidRPr="004A4C0C">
        <w:rPr>
          <w:rFonts w:cs="Calibri"/>
          <w:lang w:eastAsia="ja-JP"/>
        </w:rPr>
        <w:t xml:space="preserve"> which evaluated the effect of </w:t>
      </w:r>
      <w:proofErr w:type="spellStart"/>
      <w:r w:rsidRPr="004A4C0C">
        <w:rPr>
          <w:rFonts w:cs="Calibri"/>
          <w:lang w:eastAsia="ja-JP"/>
        </w:rPr>
        <w:t>sebelipase</w:t>
      </w:r>
      <w:proofErr w:type="spellEnd"/>
      <w:r w:rsidRPr="004A4C0C">
        <w:rPr>
          <w:rFonts w:cs="Calibri"/>
          <w:lang w:eastAsia="ja-JP"/>
        </w:rPr>
        <w:t xml:space="preserve"> alfa in 9 infants with growth failure. This group of patients with LAL deficiency represents subgroup with serious complications and high mortality and morbidity risks. Overall, subjects enrolled in these 2 main studies were representative of the target patient population for the proposed indication</w:t>
      </w:r>
      <w:r w:rsidR="00B73619">
        <w:rPr>
          <w:rFonts w:cs="Calibri"/>
          <w:lang w:eastAsia="ja-JP"/>
        </w:rPr>
        <w:t>.</w:t>
      </w:r>
    </w:p>
    <w:p w14:paraId="1757D836" w14:textId="77777777" w:rsidR="00B73619" w:rsidRDefault="00934213" w:rsidP="00934213">
      <w:pPr>
        <w:spacing w:line="240" w:lineRule="auto"/>
        <w:rPr>
          <w:color w:val="000000"/>
        </w:rPr>
      </w:pPr>
      <w:r w:rsidRPr="004A4C0C">
        <w:rPr>
          <w:rFonts w:cs="TimesNewRomanPSMT"/>
        </w:rPr>
        <w:t xml:space="preserve">In pivotal </w:t>
      </w:r>
      <w:r w:rsidR="00157E63">
        <w:rPr>
          <w:rFonts w:cs="TimesNewRomanPSMT"/>
        </w:rPr>
        <w:t>Study</w:t>
      </w:r>
      <w:r w:rsidRPr="004A4C0C">
        <w:rPr>
          <w:rFonts w:cs="TimesNewRomanPSMT"/>
        </w:rPr>
        <w:t xml:space="preserve"> LAL-CL02, ERT with </w:t>
      </w:r>
      <w:proofErr w:type="spellStart"/>
      <w:r w:rsidRPr="004A4C0C">
        <w:rPr>
          <w:rFonts w:cs="TimesNewRomanPSMT"/>
        </w:rPr>
        <w:t>sebelipase</w:t>
      </w:r>
      <w:proofErr w:type="spellEnd"/>
      <w:r w:rsidRPr="004A4C0C">
        <w:rPr>
          <w:rFonts w:cs="TimesNewRomanPSMT"/>
        </w:rPr>
        <w:t xml:space="preserve"> alfa </w:t>
      </w:r>
      <w:r w:rsidRPr="004A4C0C">
        <w:t xml:space="preserve">1 mg/kg every other week (administered by IV infusion over 2 hours with option to reduce infusion duration to 1 hour if tolerated) during the </w:t>
      </w:r>
      <w:r w:rsidR="00FE3465">
        <w:t>20 week</w:t>
      </w:r>
      <w:r w:rsidRPr="004A4C0C">
        <w:t xml:space="preserve"> </w:t>
      </w:r>
      <w:r w:rsidR="003F3AB4">
        <w:t>double blind</w:t>
      </w:r>
      <w:r w:rsidRPr="004A4C0C">
        <w:t xml:space="preserve"> treatment period </w:t>
      </w:r>
      <w:r w:rsidRPr="004A4C0C">
        <w:rPr>
          <w:rFonts w:cs="TimesNewRomanPSMT"/>
        </w:rPr>
        <w:t>resulted in clinically meaningful reductions in ongoing liver cell injury, as evidenced by statistically significant improvements in the primary endpoint of ALT normalisation over placebo, with marked decreases in ALT and AST levels</w:t>
      </w:r>
      <w:r w:rsidR="00B73619">
        <w:rPr>
          <w:rFonts w:cs="TimesNewRomanPSMT"/>
        </w:rPr>
        <w:t xml:space="preserve">. </w:t>
      </w:r>
      <w:r w:rsidRPr="004A4C0C">
        <w:rPr>
          <w:rFonts w:cs="TimesNewRomanPSMT"/>
        </w:rPr>
        <w:t xml:space="preserve">Reductions in liver cell injury were accompanied by clinically relevant reductions in other markers of liver dysfunction, including GGT and bilirubin. </w:t>
      </w:r>
      <w:proofErr w:type="spellStart"/>
      <w:r w:rsidRPr="004A4C0C">
        <w:rPr>
          <w:rFonts w:cs="TimesNewRomanPSMT"/>
        </w:rPr>
        <w:t>Sebelipase</w:t>
      </w:r>
      <w:proofErr w:type="spellEnd"/>
      <w:r w:rsidRPr="004A4C0C">
        <w:rPr>
          <w:rFonts w:cs="TimesNewRomanPSMT"/>
        </w:rPr>
        <w:t xml:space="preserve"> alfa also improved LAL Deficiency related dyslipidaemia, with clinically meaningful and statistically significant reductions in LDL-c accompanied by statistically significant decreases in TG, increases in HDL-c, and favourable changes in other abnormalities associated with increased risk of ASCVD. </w:t>
      </w:r>
      <w:proofErr w:type="spellStart"/>
      <w:r w:rsidRPr="004A4C0C">
        <w:rPr>
          <w:rFonts w:cs="TimesNewRomanPSMT"/>
        </w:rPr>
        <w:t>Sebelipase</w:t>
      </w:r>
      <w:proofErr w:type="spellEnd"/>
      <w:r w:rsidRPr="004A4C0C">
        <w:rPr>
          <w:rFonts w:cs="TimesNewRomanPSMT"/>
        </w:rPr>
        <w:t xml:space="preserve"> alfa produced statistically significant decreases in liver fat fractions assessed by MEGE MRI and reductions in liver and spleen volume reflecting reductions in lysosomal lipid accumulation, which is directly related to LAL enzyme deficiency which is the root cause of the disease. Clinical endpoints such as cardiovascular morbidity/ mortality or effects on liver histopathology would have required larger sample size with longer </w:t>
      </w:r>
      <w:r w:rsidR="003F3AB4">
        <w:rPr>
          <w:rFonts w:cs="TimesNewRomanPSMT"/>
        </w:rPr>
        <w:t>double blind</w:t>
      </w:r>
      <w:r w:rsidRPr="004A4C0C">
        <w:rPr>
          <w:rFonts w:cs="TimesNewRomanPSMT"/>
        </w:rPr>
        <w:t xml:space="preserve"> treatment periods which was not possible due to the low prevalence and variable disease progression associated with this multisystem disorder. </w:t>
      </w:r>
      <w:r w:rsidRPr="004A4C0C">
        <w:rPr>
          <w:color w:val="000000"/>
        </w:rPr>
        <w:t xml:space="preserve">During the </w:t>
      </w:r>
      <w:r w:rsidR="00B73619">
        <w:rPr>
          <w:color w:val="000000"/>
        </w:rPr>
        <w:t>open label</w:t>
      </w:r>
      <w:r w:rsidRPr="004A4C0C">
        <w:rPr>
          <w:color w:val="000000"/>
        </w:rPr>
        <w:t xml:space="preserve"> treatment period, these improvements were maintained in the subjects treated with </w:t>
      </w:r>
      <w:proofErr w:type="spellStart"/>
      <w:r w:rsidRPr="004A4C0C">
        <w:rPr>
          <w:color w:val="000000"/>
        </w:rPr>
        <w:t>sebelipase</w:t>
      </w:r>
      <w:proofErr w:type="spellEnd"/>
      <w:r w:rsidRPr="004A4C0C">
        <w:rPr>
          <w:color w:val="000000"/>
        </w:rPr>
        <w:t xml:space="preserve"> alfa during the </w:t>
      </w:r>
      <w:r w:rsidR="003F3AB4">
        <w:rPr>
          <w:color w:val="000000"/>
        </w:rPr>
        <w:t>double blind</w:t>
      </w:r>
      <w:r w:rsidRPr="004A4C0C">
        <w:rPr>
          <w:color w:val="000000"/>
        </w:rPr>
        <w:t xml:space="preserve"> period, and a similar pattern of response was observed in subjects switched from placebo to 1 mg/kg </w:t>
      </w:r>
      <w:proofErr w:type="spellStart"/>
      <w:r w:rsidRPr="004A4C0C">
        <w:rPr>
          <w:color w:val="000000"/>
        </w:rPr>
        <w:t>qow</w:t>
      </w:r>
      <w:proofErr w:type="spellEnd"/>
      <w:r w:rsidRPr="004A4C0C">
        <w:rPr>
          <w:color w:val="000000"/>
        </w:rPr>
        <w:t xml:space="preserve"> </w:t>
      </w:r>
      <w:proofErr w:type="spellStart"/>
      <w:r w:rsidRPr="004A4C0C">
        <w:rPr>
          <w:color w:val="000000"/>
        </w:rPr>
        <w:t>sebelipase</w:t>
      </w:r>
      <w:proofErr w:type="spellEnd"/>
      <w:r w:rsidRPr="004A4C0C">
        <w:rPr>
          <w:color w:val="000000"/>
        </w:rPr>
        <w:t xml:space="preserve"> alfa</w:t>
      </w:r>
      <w:r w:rsidR="00B73619">
        <w:rPr>
          <w:color w:val="000000"/>
        </w:rPr>
        <w:t>.</w:t>
      </w:r>
    </w:p>
    <w:p w14:paraId="200E4FD5" w14:textId="77777777" w:rsidR="00934213" w:rsidRPr="004A4C0C" w:rsidRDefault="00934213" w:rsidP="00934213">
      <w:pPr>
        <w:autoSpaceDE w:val="0"/>
        <w:autoSpaceDN w:val="0"/>
        <w:adjustRightInd w:val="0"/>
        <w:spacing w:line="240" w:lineRule="auto"/>
        <w:rPr>
          <w:rFonts w:cs="Calibri"/>
        </w:rPr>
      </w:pPr>
      <w:r w:rsidRPr="004A4C0C">
        <w:rPr>
          <w:rFonts w:cs="Calibri"/>
        </w:rPr>
        <w:t xml:space="preserve">In </w:t>
      </w:r>
      <w:r w:rsidR="00157E63">
        <w:rPr>
          <w:rFonts w:cs="Calibri"/>
        </w:rPr>
        <w:t>Study</w:t>
      </w:r>
      <w:r w:rsidRPr="004A4C0C">
        <w:rPr>
          <w:rFonts w:cs="Calibri"/>
        </w:rPr>
        <w:t xml:space="preserve"> LAL-CL03, 9 infants with LAL-D and growth failure were treated with </w:t>
      </w:r>
      <w:proofErr w:type="spellStart"/>
      <w:r w:rsidRPr="004A4C0C">
        <w:rPr>
          <w:rFonts w:cs="Calibri"/>
        </w:rPr>
        <w:t>sebelipase</w:t>
      </w:r>
      <w:proofErr w:type="spellEnd"/>
      <w:r w:rsidRPr="004A4C0C">
        <w:rPr>
          <w:rFonts w:cs="Calibri"/>
        </w:rPr>
        <w:t xml:space="preserve"> alfa (</w:t>
      </w:r>
      <w:r w:rsidR="00131B1C">
        <w:t>1 mg</w:t>
      </w:r>
      <w:r w:rsidRPr="004A4C0C">
        <w:t xml:space="preserve">/kg every week with option to increase dose to </w:t>
      </w:r>
      <w:r w:rsidR="00131B1C">
        <w:t>3 mg</w:t>
      </w:r>
      <w:r w:rsidRPr="004A4C0C">
        <w:t>/kg for infants who present with rapidly progressive disease administered by IV infusion over 2 hours). These</w:t>
      </w:r>
      <w:r w:rsidRPr="004A4C0C">
        <w:rPr>
          <w:rFonts w:cs="Calibri"/>
        </w:rPr>
        <w:t xml:space="preserve"> infants presented with immediately </w:t>
      </w:r>
      <w:r w:rsidR="00FD1D3C">
        <w:rPr>
          <w:rFonts w:cs="Calibri"/>
        </w:rPr>
        <w:t>life threatening</w:t>
      </w:r>
      <w:r w:rsidRPr="004A4C0C">
        <w:rPr>
          <w:rFonts w:cs="Calibri"/>
        </w:rPr>
        <w:t xml:space="preserve"> </w:t>
      </w:r>
      <w:r w:rsidR="00FD1D3C">
        <w:rPr>
          <w:rFonts w:cs="Calibri"/>
        </w:rPr>
        <w:t>multi systemic</w:t>
      </w:r>
      <w:r w:rsidRPr="004A4C0C">
        <w:rPr>
          <w:rFonts w:cs="Calibri"/>
        </w:rPr>
        <w:t xml:space="preserve"> disease and their baseline characteristics were consistent with those reported among the patients in natural history </w:t>
      </w:r>
      <w:r w:rsidR="00157E63">
        <w:rPr>
          <w:rFonts w:cs="Calibri"/>
        </w:rPr>
        <w:t>Study</w:t>
      </w:r>
      <w:r w:rsidRPr="004A4C0C">
        <w:rPr>
          <w:rFonts w:cs="Calibri"/>
        </w:rPr>
        <w:t xml:space="preserve"> LAL-1-NH01, supporting the comparison of survival data and outcomes between these 2 populations. Hence the </w:t>
      </w:r>
      <w:r w:rsidR="00C4359A">
        <w:rPr>
          <w:rFonts w:cs="Calibri"/>
        </w:rPr>
        <w:t>study</w:t>
      </w:r>
      <w:r w:rsidRPr="004A4C0C">
        <w:rPr>
          <w:rFonts w:cs="Calibri"/>
        </w:rPr>
        <w:t xml:space="preserve"> design and primary efficacy endpoint of survival was appropriate. Efficacy of </w:t>
      </w:r>
      <w:proofErr w:type="spellStart"/>
      <w:r w:rsidRPr="004A4C0C">
        <w:rPr>
          <w:rFonts w:cs="Calibri"/>
        </w:rPr>
        <w:t>sebelipase</w:t>
      </w:r>
      <w:proofErr w:type="spellEnd"/>
      <w:r w:rsidRPr="004A4C0C">
        <w:rPr>
          <w:rFonts w:cs="Calibri"/>
        </w:rPr>
        <w:t xml:space="preserve"> alfa was demonstrated in this subgroup of patients with poor prognosis with 67% (95% CI</w:t>
      </w:r>
      <w:r w:rsidR="002D28A4">
        <w:rPr>
          <w:rFonts w:cs="Calibri"/>
        </w:rPr>
        <w:t xml:space="preserve"> = </w:t>
      </w:r>
      <w:r w:rsidRPr="004A4C0C">
        <w:rPr>
          <w:rFonts w:cs="Calibri"/>
        </w:rPr>
        <w:t xml:space="preserve">29.93%, 92.51%) of </w:t>
      </w:r>
      <w:proofErr w:type="spellStart"/>
      <w:r w:rsidRPr="004A4C0C">
        <w:rPr>
          <w:rFonts w:cs="Calibri"/>
        </w:rPr>
        <w:t>sebelipase</w:t>
      </w:r>
      <w:proofErr w:type="spellEnd"/>
      <w:r w:rsidRPr="004A4C0C">
        <w:rPr>
          <w:rFonts w:cs="Calibri"/>
        </w:rPr>
        <w:t xml:space="preserve"> alfa-treated subjects surviving to 12 months of age compared with 0% (0, 16.11%) of untreated patients in a historical control group. </w:t>
      </w:r>
      <w:proofErr w:type="spellStart"/>
      <w:r w:rsidRPr="004A4C0C">
        <w:rPr>
          <w:rFonts w:cs="Calibri"/>
        </w:rPr>
        <w:t>Sebelipase</w:t>
      </w:r>
      <w:proofErr w:type="spellEnd"/>
      <w:r w:rsidRPr="004A4C0C">
        <w:rPr>
          <w:rFonts w:cs="Calibri"/>
        </w:rPr>
        <w:t xml:space="preserve"> </w:t>
      </w:r>
      <w:r w:rsidRPr="004A4C0C">
        <w:rPr>
          <w:rFonts w:cs="Calibri"/>
        </w:rPr>
        <w:lastRenderedPageBreak/>
        <w:t xml:space="preserve">alfa also produced clinically meaningful improvements in growth (WFA percentile), biochemical markers of liver injury, hepatosplenomegaly, </w:t>
      </w:r>
      <w:proofErr w:type="gramStart"/>
      <w:r w:rsidRPr="004A4C0C">
        <w:rPr>
          <w:rFonts w:cs="Calibri"/>
        </w:rPr>
        <w:t>haematological</w:t>
      </w:r>
      <w:proofErr w:type="gramEnd"/>
      <w:r w:rsidRPr="004A4C0C">
        <w:rPr>
          <w:rFonts w:cs="Calibri"/>
        </w:rPr>
        <w:t xml:space="preserve"> abnormalities such as anaemia and thrombocytopenia, and lipid profile.</w:t>
      </w:r>
    </w:p>
    <w:p w14:paraId="60196B67" w14:textId="77777777" w:rsidR="00934213" w:rsidRPr="004A4C0C" w:rsidRDefault="00934213" w:rsidP="00934213">
      <w:pPr>
        <w:autoSpaceDE w:val="0"/>
        <w:autoSpaceDN w:val="0"/>
        <w:adjustRightInd w:val="0"/>
        <w:spacing w:line="240" w:lineRule="auto"/>
        <w:rPr>
          <w:rFonts w:cs="Calibri"/>
        </w:rPr>
      </w:pPr>
      <w:r w:rsidRPr="004A4C0C">
        <w:rPr>
          <w:rFonts w:cs="Calibri"/>
        </w:rPr>
        <w:t xml:space="preserve">Results from </w:t>
      </w:r>
      <w:r w:rsidR="00157E63">
        <w:rPr>
          <w:rFonts w:cs="Calibri"/>
        </w:rPr>
        <w:t>Study</w:t>
      </w:r>
      <w:r w:rsidRPr="004A4C0C">
        <w:rPr>
          <w:rFonts w:cs="Calibri"/>
        </w:rPr>
        <w:t xml:space="preserve"> LAL-CL04 showed that the previously observed early benefits of enzyme replacement with </w:t>
      </w:r>
      <w:proofErr w:type="spellStart"/>
      <w:r w:rsidRPr="004A4C0C">
        <w:rPr>
          <w:rFonts w:cs="Calibri"/>
        </w:rPr>
        <w:t>sebelipase</w:t>
      </w:r>
      <w:proofErr w:type="spellEnd"/>
      <w:r w:rsidRPr="004A4C0C">
        <w:rPr>
          <w:rFonts w:cs="Calibri"/>
        </w:rPr>
        <w:t xml:space="preserve"> alfa that were reported in LAL-CL01 can be achieved with </w:t>
      </w:r>
      <w:proofErr w:type="spellStart"/>
      <w:r w:rsidRPr="004A4C0C">
        <w:rPr>
          <w:rFonts w:cs="Calibri"/>
        </w:rPr>
        <w:t>qow</w:t>
      </w:r>
      <w:proofErr w:type="spellEnd"/>
      <w:r w:rsidRPr="004A4C0C">
        <w:rPr>
          <w:rFonts w:cs="Calibri"/>
        </w:rPr>
        <w:t xml:space="preserve"> dosing and continue through Week 104 with sustained normalisation of transaminases, sustained improvements on serum lipids, and reduction in fat fraction in the liver in adult subjects with LAL Deficiency.</w:t>
      </w:r>
    </w:p>
    <w:p w14:paraId="4A3A4421" w14:textId="77777777" w:rsidR="00B73619" w:rsidRDefault="00934213" w:rsidP="00934213">
      <w:pPr>
        <w:autoSpaceDE w:val="0"/>
        <w:autoSpaceDN w:val="0"/>
        <w:adjustRightInd w:val="0"/>
        <w:spacing w:line="240" w:lineRule="auto"/>
      </w:pPr>
      <w:r w:rsidRPr="004A4C0C">
        <w:rPr>
          <w:rFonts w:cs="Calibri"/>
        </w:rPr>
        <w:t xml:space="preserve">Overall, there was adequate evidence to support efficacy of </w:t>
      </w:r>
      <w:proofErr w:type="spellStart"/>
      <w:r w:rsidRPr="004A4C0C">
        <w:rPr>
          <w:rFonts w:cs="Calibri"/>
        </w:rPr>
        <w:t>sebelipase</w:t>
      </w:r>
      <w:proofErr w:type="spellEnd"/>
      <w:r w:rsidRPr="004A4C0C">
        <w:rPr>
          <w:rFonts w:cs="Calibri"/>
        </w:rPr>
        <w:t xml:space="preserve"> alfa for </w:t>
      </w:r>
      <w:r w:rsidR="008F6668">
        <w:t>long term</w:t>
      </w:r>
      <w:r w:rsidRPr="004A4C0C">
        <w:t xml:space="preserve"> enzyme replacement therapy (ERT) in patients of all ages with lysosomal acid lipase deficiency (LAL-D)</w:t>
      </w:r>
      <w:r w:rsidR="00B73619">
        <w:t>.</w:t>
      </w:r>
    </w:p>
    <w:p w14:paraId="38548D8A" w14:textId="77777777" w:rsidR="00B73619" w:rsidRDefault="00934213" w:rsidP="00934213">
      <w:pPr>
        <w:autoSpaceDE w:val="0"/>
        <w:autoSpaceDN w:val="0"/>
        <w:adjustRightInd w:val="0"/>
        <w:spacing w:line="240" w:lineRule="auto"/>
      </w:pPr>
      <w:r w:rsidRPr="004A4C0C">
        <w:t>The efficacy sections of the proposed PI are satisfactory</w:t>
      </w:r>
      <w:r w:rsidR="00B73619">
        <w:t>.</w:t>
      </w:r>
    </w:p>
    <w:p w14:paraId="1EC6C206" w14:textId="77777777" w:rsidR="00C22678" w:rsidRDefault="00C22678" w:rsidP="00C22678">
      <w:pPr>
        <w:pStyle w:val="Heading2"/>
      </w:pPr>
      <w:bookmarkStart w:id="277" w:name="_Toc519670967"/>
      <w:r>
        <w:t>Clinical safety</w:t>
      </w:r>
      <w:bookmarkEnd w:id="277"/>
    </w:p>
    <w:p w14:paraId="4A0E2051" w14:textId="77777777" w:rsidR="00787F40" w:rsidRDefault="00787F40" w:rsidP="00787F40">
      <w:pPr>
        <w:pStyle w:val="Heading3"/>
      </w:pPr>
      <w:bookmarkStart w:id="278" w:name="_Toc272414659"/>
      <w:bookmarkStart w:id="279" w:name="_Toc290888510"/>
      <w:bookmarkStart w:id="280" w:name="_Toc416353726"/>
      <w:bookmarkStart w:id="281" w:name="_Toc421005274"/>
      <w:bookmarkStart w:id="282" w:name="_Toc432079156"/>
      <w:bookmarkStart w:id="283" w:name="_Toc432080729"/>
      <w:bookmarkStart w:id="284" w:name="_Toc468957481"/>
      <w:bookmarkStart w:id="285" w:name="_Toc519670968"/>
      <w:r w:rsidRPr="000871CE">
        <w:t>Studies providing evaluable safety data</w:t>
      </w:r>
      <w:bookmarkEnd w:id="278"/>
      <w:bookmarkEnd w:id="279"/>
      <w:bookmarkEnd w:id="280"/>
      <w:bookmarkEnd w:id="281"/>
      <w:bookmarkEnd w:id="282"/>
      <w:bookmarkEnd w:id="283"/>
      <w:bookmarkEnd w:id="284"/>
      <w:bookmarkEnd w:id="285"/>
    </w:p>
    <w:p w14:paraId="1AFAAFD9" w14:textId="77777777" w:rsidR="00787F40" w:rsidRPr="00CF02C7" w:rsidRDefault="00787F40" w:rsidP="00787F40">
      <w:pPr>
        <w:spacing w:before="0" w:after="0" w:line="240" w:lineRule="auto"/>
      </w:pPr>
      <w:r w:rsidRPr="00CF02C7">
        <w:rPr>
          <w:rFonts w:asciiTheme="minorHAnsi" w:hAnsiTheme="minorHAnsi"/>
        </w:rPr>
        <w:t xml:space="preserve">Six clinical studies have been initiated to evaluate </w:t>
      </w:r>
      <w:proofErr w:type="spellStart"/>
      <w:r w:rsidRPr="00CF02C7">
        <w:rPr>
          <w:rFonts w:asciiTheme="minorHAnsi" w:hAnsiTheme="minorHAnsi"/>
        </w:rPr>
        <w:t>sebelipase</w:t>
      </w:r>
      <w:proofErr w:type="spellEnd"/>
      <w:r w:rsidRPr="00CF02C7">
        <w:rPr>
          <w:rFonts w:asciiTheme="minorHAnsi" w:hAnsiTheme="minorHAnsi"/>
        </w:rPr>
        <w:t xml:space="preserve"> alfa treatment in infants, children, and adults with LAL Deficiency. (Studies LAL-CL03 and LAL-CL08 in infants, Studies LAL-CL02 and LAL-CL06 included children and adults, and Studies LAL-CL01 and LAL-CL04 included adults only) An initial comprehensive integrated safety analysis (hereafter the Integrated Safety Analysis)</w:t>
      </w:r>
      <w:r w:rsidRPr="00CF02C7">
        <w:rPr>
          <w:rStyle w:val="FootnoteReference"/>
          <w:rFonts w:asciiTheme="minorHAnsi" w:hAnsiTheme="minorHAnsi"/>
        </w:rPr>
        <w:footnoteReference w:id="34"/>
      </w:r>
      <w:r w:rsidRPr="00CF02C7">
        <w:rPr>
          <w:rFonts w:asciiTheme="minorHAnsi" w:hAnsiTheme="minorHAnsi"/>
        </w:rPr>
        <w:t xml:space="preserve"> and an updated integrated safety analysis of relevant new safety information (hereafter the D120 Safety Update)</w:t>
      </w:r>
      <w:r w:rsidRPr="00CF02C7">
        <w:rPr>
          <w:rStyle w:val="FootnoteReference"/>
          <w:rFonts w:asciiTheme="minorHAnsi" w:hAnsiTheme="minorHAnsi"/>
        </w:rPr>
        <w:footnoteReference w:id="35"/>
      </w:r>
      <w:r w:rsidRPr="00CF02C7">
        <w:rPr>
          <w:rFonts w:asciiTheme="minorHAnsi" w:hAnsiTheme="minorHAnsi"/>
        </w:rPr>
        <w:t xml:space="preserve"> were conducted </w:t>
      </w:r>
      <w:r w:rsidRPr="00E45A80">
        <w:rPr>
          <w:rFonts w:asciiTheme="minorHAnsi" w:hAnsiTheme="minorHAnsi"/>
        </w:rPr>
        <w:t>(</w:t>
      </w:r>
      <w:r w:rsidR="00847442" w:rsidRPr="00E45A80">
        <w:rPr>
          <w:rFonts w:asciiTheme="minorHAnsi" w:hAnsiTheme="minorHAnsi"/>
        </w:rPr>
        <w:t xml:space="preserve">Table </w:t>
      </w:r>
      <w:r w:rsidR="00E45A80" w:rsidRPr="00E45A80">
        <w:rPr>
          <w:rFonts w:asciiTheme="minorHAnsi" w:hAnsiTheme="minorHAnsi"/>
        </w:rPr>
        <w:t>2</w:t>
      </w:r>
      <w:r w:rsidR="00847442" w:rsidRPr="00E45A80">
        <w:rPr>
          <w:rFonts w:asciiTheme="minorHAnsi" w:hAnsiTheme="minorHAnsi"/>
        </w:rPr>
        <w:t>1</w:t>
      </w:r>
      <w:r w:rsidRPr="00E45A80">
        <w:rPr>
          <w:rFonts w:asciiTheme="minorHAnsi" w:hAnsiTheme="minorHAnsi"/>
        </w:rPr>
        <w:t>).</w:t>
      </w:r>
      <w:r w:rsidRPr="00CF02C7">
        <w:rPr>
          <w:rFonts w:asciiTheme="minorHAnsi" w:hAnsiTheme="minorHAnsi"/>
        </w:rPr>
        <w:t xml:space="preserve"> The </w:t>
      </w:r>
      <w:r w:rsidRPr="002E71EC">
        <w:rPr>
          <w:rFonts w:asciiTheme="minorHAnsi" w:eastAsiaTheme="minorHAnsi" w:hAnsiTheme="minorHAnsi"/>
          <w:color w:val="000000"/>
        </w:rPr>
        <w:t>D120 Safety Update</w:t>
      </w:r>
      <w:r w:rsidRPr="00CF02C7">
        <w:rPr>
          <w:rFonts w:asciiTheme="minorHAnsi" w:eastAsiaTheme="minorHAnsi" w:hAnsiTheme="minorHAnsi"/>
          <w:color w:val="000000"/>
        </w:rPr>
        <w:t xml:space="preserve"> was based on a dynamic database rather than on a cleaned, locked database.</w:t>
      </w:r>
      <w:r w:rsidRPr="00CF02C7">
        <w:t xml:space="preserve"> The pooling of data for the integrated analyses supporting this application was restricted to subjects who were administered at least 1 dose (partial or complete) of </w:t>
      </w:r>
      <w:proofErr w:type="spellStart"/>
      <w:r w:rsidRPr="00CF02C7">
        <w:t>sebelipase</w:t>
      </w:r>
      <w:proofErr w:type="spellEnd"/>
      <w:r w:rsidRPr="00CF02C7">
        <w:t xml:space="preserve"> alfa in the 4 fully enrolled studies included in the Integrated Safety Analysis (Pooled Safety Set) and the 4 fully enrolled studies and 2 additional ongoing studies included in the D120 Safety Update (Updated Pooled Safety Set), Adverse events for both the Pooled Safety Set and the Updated Pooled Safety Set were coded using the Medical Dictionary for Regulatory Activities (</w:t>
      </w:r>
      <w:proofErr w:type="spellStart"/>
      <w:r w:rsidRPr="00CF02C7">
        <w:t>MedDRA</w:t>
      </w:r>
      <w:proofErr w:type="spellEnd"/>
      <w:r w:rsidRPr="00CF02C7">
        <w:t>), Version 17.0.</w:t>
      </w:r>
    </w:p>
    <w:p w14:paraId="1E38EB4E" w14:textId="577CE507" w:rsidR="00787F40" w:rsidRPr="006960BE" w:rsidRDefault="00787F40" w:rsidP="00787F40">
      <w:pPr>
        <w:spacing w:before="0" w:line="240" w:lineRule="auto"/>
      </w:pPr>
      <w:r w:rsidRPr="006960BE">
        <w:t>Pooled safety assessment was conducted to determine if any safety signals would be revealed that were not otherwise evident in the individual clinical studies</w:t>
      </w:r>
      <w:r>
        <w:t xml:space="preserve"> but </w:t>
      </w:r>
      <w:r w:rsidR="001B7A56">
        <w:t>these exploratory analyses</w:t>
      </w:r>
      <w:r w:rsidRPr="006960BE">
        <w:t xml:space="preserve"> across the entire enrolled subject population </w:t>
      </w:r>
      <w:r>
        <w:t xml:space="preserve">was limited due to </w:t>
      </w:r>
      <w:r w:rsidRPr="006960BE">
        <w:t xml:space="preserve">differences in the rate of disease progression, frequency of </w:t>
      </w:r>
      <w:proofErr w:type="spellStart"/>
      <w:r w:rsidRPr="006960BE">
        <w:t>intercurrent</w:t>
      </w:r>
      <w:proofErr w:type="spellEnd"/>
      <w:r w:rsidRPr="006960BE">
        <w:t xml:space="preserve"> illness and requirements for invasive procedures for disease management. </w:t>
      </w:r>
      <w:r>
        <w:t xml:space="preserve">Furthermore, management of patients </w:t>
      </w:r>
      <w:r w:rsidRPr="006960BE">
        <w:t xml:space="preserve">during the treatment period with the </w:t>
      </w:r>
      <w:r w:rsidR="00C4359A">
        <w:t>study</w:t>
      </w:r>
      <w:r w:rsidRPr="006960BE">
        <w:t xml:space="preserve"> drug varie</w:t>
      </w:r>
      <w:r>
        <w:t>d</w:t>
      </w:r>
      <w:r w:rsidRPr="006960BE">
        <w:t xml:space="preserve"> across subject populations from infants with rapidly progressive disease, who are frequently hospitalised due to more severe symptoms, to children and adults, whose progression to serious complications is more variable.</w:t>
      </w:r>
    </w:p>
    <w:p w14:paraId="08A7D027" w14:textId="77777777" w:rsidR="00B73619" w:rsidRDefault="00787F40" w:rsidP="00787F40">
      <w:pPr>
        <w:spacing w:before="0" w:line="240" w:lineRule="auto"/>
        <w:rPr>
          <w:rFonts w:asciiTheme="minorHAnsi" w:hAnsiTheme="minorHAnsi"/>
        </w:rPr>
      </w:pPr>
      <w:r w:rsidRPr="006960BE">
        <w:rPr>
          <w:rFonts w:asciiTheme="minorHAnsi" w:hAnsiTheme="minorHAnsi"/>
        </w:rPr>
        <w:t xml:space="preserve">Safety information was also available for 3 patients who received </w:t>
      </w:r>
      <w:proofErr w:type="spellStart"/>
      <w:r w:rsidRPr="006960BE">
        <w:rPr>
          <w:rFonts w:asciiTheme="minorHAnsi" w:hAnsiTheme="minorHAnsi"/>
        </w:rPr>
        <w:t>sebelipase</w:t>
      </w:r>
      <w:proofErr w:type="spellEnd"/>
      <w:r w:rsidRPr="006960BE">
        <w:rPr>
          <w:rFonts w:asciiTheme="minorHAnsi" w:hAnsiTheme="minorHAnsi"/>
        </w:rPr>
        <w:t xml:space="preserve"> alfa treatment under a compassionate use protocol. Data from the 2 observational, non-interventional studies (LAL-1-NH01 and LAL-2-NH01) were not included in the pooled safety set and only used as reference to historical controls in comparison to patients treated with </w:t>
      </w:r>
      <w:proofErr w:type="spellStart"/>
      <w:r w:rsidRPr="006960BE">
        <w:rPr>
          <w:rFonts w:asciiTheme="minorHAnsi" w:hAnsiTheme="minorHAnsi"/>
        </w:rPr>
        <w:t>sebelipase</w:t>
      </w:r>
      <w:proofErr w:type="spellEnd"/>
      <w:r w:rsidRPr="006960BE">
        <w:rPr>
          <w:rFonts w:asciiTheme="minorHAnsi" w:hAnsiTheme="minorHAnsi"/>
        </w:rPr>
        <w:t xml:space="preserve"> alfa</w:t>
      </w:r>
      <w:r w:rsidR="00B73619">
        <w:rPr>
          <w:rFonts w:asciiTheme="minorHAnsi" w:hAnsiTheme="minorHAnsi"/>
        </w:rPr>
        <w:t>.</w:t>
      </w:r>
    </w:p>
    <w:p w14:paraId="28E92037" w14:textId="77777777" w:rsidR="00847442" w:rsidRDefault="00847442" w:rsidP="00847442">
      <w:pPr>
        <w:pStyle w:val="Tabletitle"/>
      </w:pPr>
      <w:r>
        <w:lastRenderedPageBreak/>
        <w:t xml:space="preserve">Table </w:t>
      </w:r>
      <w:r w:rsidR="00E45A80">
        <w:t>21:</w:t>
      </w:r>
      <w:r>
        <w:t xml:space="preserve"> Completed and ongoing studies with </w:t>
      </w:r>
      <w:proofErr w:type="spellStart"/>
      <w:r>
        <w:t>sebelipase</w:t>
      </w:r>
      <w:proofErr w:type="spellEnd"/>
      <w:r>
        <w:t xml:space="preserve"> alfa included in pooled safety set and/or the updated pooled safety set</w:t>
      </w:r>
    </w:p>
    <w:p w14:paraId="1285B2BA" w14:textId="77777777" w:rsidR="00847442" w:rsidRPr="00847442" w:rsidRDefault="009C5E31" w:rsidP="0094262A">
      <w:r>
        <w:rPr>
          <w:noProof/>
          <w:lang w:eastAsia="en-AU"/>
        </w:rPr>
        <w:drawing>
          <wp:inline distT="0" distB="0" distL="0" distR="0" wp14:anchorId="6E1B9600" wp14:editId="335663B7">
            <wp:extent cx="5731510" cy="7796936"/>
            <wp:effectExtent l="0" t="0" r="2540" b="0"/>
            <wp:docPr id="89" name="Picture 89" descr="Table 21: Completed and ongoing studies with sebelipase alfa included in pooled safety set and/or the updated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7796936"/>
                    </a:xfrm>
                    <a:prstGeom prst="rect">
                      <a:avLst/>
                    </a:prstGeom>
                  </pic:spPr>
                </pic:pic>
              </a:graphicData>
            </a:graphic>
          </wp:inline>
        </w:drawing>
      </w:r>
    </w:p>
    <w:p w14:paraId="2E264DC2" w14:textId="77777777" w:rsidR="00B73619" w:rsidRDefault="00E45A80" w:rsidP="00787F40">
      <w:pPr>
        <w:spacing w:before="0" w:line="240" w:lineRule="auto"/>
      </w:pPr>
      <w:r w:rsidRPr="00E45A80">
        <w:t>Table 2</w:t>
      </w:r>
      <w:r w:rsidR="00787F40" w:rsidRPr="00E45A80">
        <w:t>2 provides the parameters examined in the overall and subgroup summaries of results</w:t>
      </w:r>
      <w:r w:rsidR="00787F40" w:rsidRPr="006960BE">
        <w:t xml:space="preserve"> for the Integrated Safety Analyses</w:t>
      </w:r>
      <w:r w:rsidR="00787F40">
        <w:t xml:space="preserve"> and the D120 Safety Update</w:t>
      </w:r>
      <w:r w:rsidR="00B73619">
        <w:t>.</w:t>
      </w:r>
    </w:p>
    <w:p w14:paraId="0E81CA32" w14:textId="77777777" w:rsidR="00847442" w:rsidRDefault="00847442" w:rsidP="00847442">
      <w:pPr>
        <w:pStyle w:val="Tabletitle"/>
      </w:pPr>
      <w:r>
        <w:lastRenderedPageBreak/>
        <w:t xml:space="preserve">Table </w:t>
      </w:r>
      <w:r w:rsidR="00E45A80">
        <w:t>22:</w:t>
      </w:r>
      <w:r>
        <w:t xml:space="preserve"> Analyses and subgroups for the </w:t>
      </w:r>
      <w:proofErr w:type="spellStart"/>
      <w:r>
        <w:t>sebelipase</w:t>
      </w:r>
      <w:proofErr w:type="spellEnd"/>
      <w:r>
        <w:t xml:space="preserve"> alfa pooled safety set and updated pooled safety set</w:t>
      </w:r>
    </w:p>
    <w:p w14:paraId="243694EA" w14:textId="77777777" w:rsidR="00847442" w:rsidRPr="00847442" w:rsidRDefault="009C5E31" w:rsidP="00847442">
      <w:r>
        <w:rPr>
          <w:noProof/>
          <w:lang w:eastAsia="en-AU"/>
        </w:rPr>
        <w:drawing>
          <wp:inline distT="0" distB="0" distL="0" distR="0" wp14:anchorId="143C4052" wp14:editId="667C3F49">
            <wp:extent cx="5731510" cy="3530145"/>
            <wp:effectExtent l="0" t="0" r="2540" b="0"/>
            <wp:docPr id="90" name="Picture 90" descr="Table 22: Analyses and subgroups for the sebelipase alfa pooled safety set and updated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3530145"/>
                    </a:xfrm>
                    <a:prstGeom prst="rect">
                      <a:avLst/>
                    </a:prstGeom>
                  </pic:spPr>
                </pic:pic>
              </a:graphicData>
            </a:graphic>
          </wp:inline>
        </w:drawing>
      </w:r>
    </w:p>
    <w:p w14:paraId="5CFBAA0D" w14:textId="77777777" w:rsidR="00787F40" w:rsidRPr="00787F40" w:rsidRDefault="00787F40" w:rsidP="00787F40">
      <w:pPr>
        <w:pStyle w:val="Heading4"/>
      </w:pPr>
      <w:bookmarkStart w:id="286" w:name="_Toc421005275"/>
      <w:bookmarkStart w:id="287" w:name="_Toc432079157"/>
      <w:bookmarkStart w:id="288" w:name="_Toc432080730"/>
      <w:bookmarkStart w:id="289" w:name="_Toc468957482"/>
      <w:r w:rsidRPr="00787F40">
        <w:t>Pivotal studies that assessed safety as the sole primary outcome</w:t>
      </w:r>
      <w:bookmarkEnd w:id="286"/>
      <w:bookmarkEnd w:id="287"/>
      <w:bookmarkEnd w:id="288"/>
      <w:bookmarkEnd w:id="289"/>
    </w:p>
    <w:p w14:paraId="3DB794C8" w14:textId="77777777" w:rsidR="00B73619" w:rsidRDefault="00787F40" w:rsidP="00787F40">
      <w:pPr>
        <w:spacing w:before="0" w:line="240" w:lineRule="auto"/>
        <w:rPr>
          <w:lang w:eastAsia="ja-JP"/>
        </w:rPr>
      </w:pPr>
      <w:proofErr w:type="gramStart"/>
      <w:r>
        <w:rPr>
          <w:lang w:eastAsia="ja-JP"/>
        </w:rPr>
        <w:t>None</w:t>
      </w:r>
      <w:r w:rsidR="00B73619">
        <w:rPr>
          <w:lang w:eastAsia="ja-JP"/>
        </w:rPr>
        <w:t>.</w:t>
      </w:r>
      <w:proofErr w:type="gramEnd"/>
    </w:p>
    <w:p w14:paraId="46D39140" w14:textId="77777777" w:rsidR="00787F40" w:rsidRPr="00545B14" w:rsidRDefault="00787F40" w:rsidP="00787F40">
      <w:pPr>
        <w:pStyle w:val="Heading4"/>
      </w:pPr>
      <w:bookmarkStart w:id="290" w:name="_Ref268776745"/>
      <w:bookmarkStart w:id="291" w:name="_Toc421005276"/>
      <w:bookmarkStart w:id="292" w:name="_Toc432079158"/>
      <w:bookmarkStart w:id="293" w:name="_Toc432080731"/>
      <w:bookmarkStart w:id="294" w:name="_Toc468957483"/>
      <w:r w:rsidRPr="00545B14">
        <w:t xml:space="preserve">Pivotal </w:t>
      </w:r>
      <w:r>
        <w:t xml:space="preserve">and/or main </w:t>
      </w:r>
      <w:r w:rsidRPr="00545B14">
        <w:t>efficacy studies</w:t>
      </w:r>
      <w:bookmarkEnd w:id="290"/>
      <w:bookmarkEnd w:id="291"/>
      <w:bookmarkEnd w:id="292"/>
      <w:bookmarkEnd w:id="293"/>
      <w:bookmarkEnd w:id="294"/>
    </w:p>
    <w:p w14:paraId="3D7820DD" w14:textId="77777777" w:rsidR="00CC672B" w:rsidRDefault="00787F40" w:rsidP="00460033">
      <w:pPr>
        <w:pStyle w:val="Heading5"/>
        <w:pageBreakBefore/>
        <w:rPr>
          <w:rFonts w:eastAsiaTheme="minorHAnsi"/>
        </w:rPr>
      </w:pPr>
      <w:bookmarkStart w:id="295" w:name="_Toc421005277"/>
      <w:bookmarkStart w:id="296" w:name="_Toc432079159"/>
      <w:bookmarkStart w:id="297" w:name="_Toc432080732"/>
      <w:r w:rsidRPr="006960BE">
        <w:rPr>
          <w:rFonts w:eastAsiaTheme="minorHAnsi"/>
        </w:rPr>
        <w:lastRenderedPageBreak/>
        <w:t>LAL-CL02</w:t>
      </w:r>
    </w:p>
    <w:p w14:paraId="4491853E" w14:textId="798EF14C" w:rsidR="00787F40" w:rsidRPr="00EF7ABA" w:rsidRDefault="00787F40" w:rsidP="00787F40">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 xml:space="preserve">An </w:t>
      </w:r>
      <w:r>
        <w:t xml:space="preserve">ongoing </w:t>
      </w:r>
      <w:r w:rsidR="00CC672B">
        <w:t>Phase III</w:t>
      </w:r>
      <w:r>
        <w:t xml:space="preserve"> multicentre, multinational, randomised placebo- controlled </w:t>
      </w:r>
      <w:r w:rsidR="00C4359A">
        <w:t>study</w:t>
      </w:r>
      <w:r>
        <w:t xml:space="preserve"> of </w:t>
      </w:r>
      <w:proofErr w:type="spellStart"/>
      <w:r>
        <w:t>sebelipase</w:t>
      </w:r>
      <w:proofErr w:type="spellEnd"/>
      <w:r>
        <w:t xml:space="preserve"> alfa in 66 children and adults with LAL Deficiency. </w:t>
      </w:r>
      <w:r w:rsidRPr="00EF7ABA">
        <w:rPr>
          <w:rFonts w:asciiTheme="minorHAnsi" w:eastAsiaTheme="minorHAnsi" w:hAnsiTheme="minorHAnsi" w:cs="TimesNewRomanPSMT"/>
        </w:rPr>
        <w:t xml:space="preserve">Safety endpoints included the incidence of </w:t>
      </w:r>
      <w:r>
        <w:rPr>
          <w:rFonts w:asciiTheme="minorHAnsi" w:eastAsiaTheme="minorHAnsi" w:hAnsiTheme="minorHAnsi" w:cs="TimesNewRomanPSMT"/>
        </w:rPr>
        <w:t>AEs</w:t>
      </w:r>
      <w:r w:rsidRPr="00EF7ABA">
        <w:rPr>
          <w:rFonts w:asciiTheme="minorHAnsi" w:eastAsiaTheme="minorHAnsi" w:hAnsiTheme="minorHAnsi" w:cs="TimesNewRomanPSMT"/>
        </w:rPr>
        <w:t xml:space="preserve">, SAEs and IARs; changes </w:t>
      </w:r>
      <w:r w:rsidR="00DE644C">
        <w:rPr>
          <w:rFonts w:asciiTheme="minorHAnsi" w:eastAsiaTheme="minorHAnsi" w:hAnsiTheme="minorHAnsi" w:cs="TimesNewRomanPSMT"/>
        </w:rPr>
        <w:t>from Baseline</w:t>
      </w:r>
      <w:r w:rsidRPr="00EF7ABA">
        <w:rPr>
          <w:rFonts w:asciiTheme="minorHAnsi" w:eastAsiaTheme="minorHAnsi" w:hAnsiTheme="minorHAnsi" w:cs="TimesNewRomanPSMT"/>
        </w:rPr>
        <w:t xml:space="preserve"> in 12-lead ECGs</w:t>
      </w:r>
      <w:r>
        <w:rPr>
          <w:rStyle w:val="FootnoteReference"/>
          <w:rFonts w:asciiTheme="minorHAnsi" w:eastAsiaTheme="minorHAnsi" w:hAnsiTheme="minorHAnsi" w:cs="TimesNewRomanPSMT"/>
        </w:rPr>
        <w:footnoteReference w:id="36"/>
      </w:r>
      <w:r w:rsidRPr="00EF7ABA">
        <w:rPr>
          <w:rFonts w:asciiTheme="minorHAnsi" w:eastAsiaTheme="minorHAnsi" w:hAnsiTheme="minorHAnsi" w:cs="TimesNewRomanPSMT"/>
        </w:rPr>
        <w:t xml:space="preserve"> and clinical laboratory tests</w:t>
      </w:r>
      <w:r>
        <w:rPr>
          <w:rStyle w:val="FootnoteReference"/>
          <w:rFonts w:asciiTheme="minorHAnsi" w:eastAsiaTheme="minorHAnsi" w:hAnsiTheme="minorHAnsi" w:cs="TimesNewRomanPSMT"/>
        </w:rPr>
        <w:footnoteReference w:id="37"/>
      </w:r>
      <w:r w:rsidRPr="00EF7ABA">
        <w:rPr>
          <w:rFonts w:asciiTheme="minorHAnsi" w:eastAsiaTheme="minorHAnsi" w:hAnsiTheme="minorHAnsi" w:cs="TimesNewRomanPSMT"/>
        </w:rPr>
        <w:t xml:space="preserve"> (haematology, serum chemistry </w:t>
      </w:r>
      <w:r w:rsidR="00D074A0">
        <w:rPr>
          <w:rFonts w:asciiTheme="minorHAnsi" w:eastAsiaTheme="minorHAnsi" w:hAnsiTheme="minorHAnsi" w:cs="TimesNewRomanPSMT"/>
        </w:rPr>
        <w:t>(</w:t>
      </w:r>
      <w:r w:rsidRPr="00EF7ABA">
        <w:rPr>
          <w:rFonts w:asciiTheme="minorHAnsi" w:eastAsiaTheme="minorHAnsi" w:hAnsiTheme="minorHAnsi" w:cs="TimesNewRomanPSMT"/>
        </w:rPr>
        <w:t>including lipid panel</w:t>
      </w:r>
      <w:r w:rsidR="00D074A0">
        <w:rPr>
          <w:rFonts w:asciiTheme="minorHAnsi" w:eastAsiaTheme="minorHAnsi" w:hAnsiTheme="minorHAnsi" w:cs="TimesNewRomanPSMT"/>
        </w:rPr>
        <w:t>)</w:t>
      </w:r>
      <w:r w:rsidRPr="00EF7ABA">
        <w:rPr>
          <w:rFonts w:asciiTheme="minorHAnsi" w:eastAsiaTheme="minorHAnsi" w:hAnsiTheme="minorHAnsi" w:cs="TimesNewRomanPSMT"/>
        </w:rPr>
        <w:t>, and urinalysis); changes in vital signs</w:t>
      </w:r>
      <w:r>
        <w:rPr>
          <w:rStyle w:val="FootnoteReference"/>
          <w:rFonts w:asciiTheme="minorHAnsi" w:eastAsiaTheme="minorHAnsi" w:hAnsiTheme="minorHAnsi" w:cs="TimesNewRomanPSMT"/>
        </w:rPr>
        <w:footnoteReference w:id="38"/>
      </w:r>
      <w:r>
        <w:rPr>
          <w:rFonts w:asciiTheme="minorHAnsi" w:eastAsiaTheme="minorHAnsi" w:hAnsiTheme="minorHAnsi" w:cs="TimesNewRomanPSMT"/>
        </w:rPr>
        <w:t xml:space="preserve"> during and post-infusion</w:t>
      </w:r>
      <w:r w:rsidRPr="00EF7ABA">
        <w:rPr>
          <w:rFonts w:asciiTheme="minorHAnsi" w:eastAsiaTheme="minorHAnsi" w:hAnsiTheme="minorHAnsi" w:cs="TimesNewRomanPSMT"/>
        </w:rPr>
        <w:t>; physical examination</w:t>
      </w:r>
      <w:r>
        <w:rPr>
          <w:rStyle w:val="FootnoteReference"/>
          <w:rFonts w:asciiTheme="minorHAnsi" w:eastAsiaTheme="minorHAnsi" w:hAnsiTheme="minorHAnsi" w:cs="TimesNewRomanPSMT"/>
        </w:rPr>
        <w:footnoteReference w:id="39"/>
      </w:r>
      <w:r w:rsidRPr="00EF7ABA">
        <w:rPr>
          <w:rFonts w:asciiTheme="minorHAnsi" w:eastAsiaTheme="minorHAnsi" w:hAnsiTheme="minorHAnsi" w:cs="TimesNewRomanPSMT"/>
        </w:rPr>
        <w:t xml:space="preserve"> findings; use of concomitant medications/therapies; and characterisation of ADAs including proportion antibody positive, time to antibody positivity, ADA titre by time point, peak ADA titre, and time to peak ADA titre. The effect of ADAs on the safety of </w:t>
      </w:r>
      <w:proofErr w:type="spellStart"/>
      <w:r w:rsidRPr="00EF7ABA">
        <w:rPr>
          <w:rFonts w:asciiTheme="minorHAnsi" w:eastAsiaTheme="minorHAnsi" w:hAnsiTheme="minorHAnsi" w:cs="TimesNewRomanPSMT"/>
        </w:rPr>
        <w:t>sebelipase</w:t>
      </w:r>
      <w:proofErr w:type="spellEnd"/>
      <w:r w:rsidRPr="00EF7ABA">
        <w:rPr>
          <w:rFonts w:asciiTheme="minorHAnsi" w:eastAsiaTheme="minorHAnsi" w:hAnsiTheme="minorHAnsi" w:cs="TimesNewRomanPSMT"/>
        </w:rPr>
        <w:t xml:space="preserve"> alfa also was explored, in particular, the relationship between </w:t>
      </w:r>
      <w:r w:rsidR="003F3AB4">
        <w:rPr>
          <w:rFonts w:asciiTheme="minorHAnsi" w:eastAsiaTheme="minorHAnsi" w:hAnsiTheme="minorHAnsi" w:cs="TimesNewRomanPSMT"/>
        </w:rPr>
        <w:t>ADA positive</w:t>
      </w:r>
      <w:r w:rsidRPr="00EF7ABA">
        <w:rPr>
          <w:rFonts w:asciiTheme="minorHAnsi" w:eastAsiaTheme="minorHAnsi" w:hAnsiTheme="minorHAnsi" w:cs="TimesNewRomanPSMT"/>
        </w:rPr>
        <w:t xml:space="preserve"> subjects and the incidence of IARs. An </w:t>
      </w:r>
      <w:r w:rsidRPr="00D84865">
        <w:rPr>
          <w:rFonts w:asciiTheme="minorHAnsi" w:eastAsiaTheme="minorHAnsi" w:hAnsiTheme="minorHAnsi" w:cs="TimesNewRomanPSMT"/>
        </w:rPr>
        <w:t xml:space="preserve">independent safety committee (SC) appointed by the </w:t>
      </w:r>
      <w:r w:rsidR="002D28A4">
        <w:rPr>
          <w:rFonts w:asciiTheme="minorHAnsi" w:eastAsiaTheme="minorHAnsi" w:hAnsiTheme="minorHAnsi" w:cs="TimesNewRomanPSMT"/>
        </w:rPr>
        <w:t>sponsor</w:t>
      </w:r>
      <w:r w:rsidRPr="00D84865">
        <w:rPr>
          <w:rFonts w:asciiTheme="minorHAnsi" w:eastAsiaTheme="minorHAnsi" w:hAnsiTheme="minorHAnsi" w:cs="TimesNewRomanPSMT"/>
        </w:rPr>
        <w:t xml:space="preserve"> provided additional oversight of subject safety in this </w:t>
      </w:r>
      <w:r w:rsidR="00C4359A">
        <w:rPr>
          <w:rFonts w:asciiTheme="minorHAnsi" w:eastAsiaTheme="minorHAnsi" w:hAnsiTheme="minorHAnsi" w:cs="TimesNewRomanPSMT"/>
        </w:rPr>
        <w:t>study</w:t>
      </w:r>
      <w:r w:rsidRPr="00D84865">
        <w:rPr>
          <w:rFonts w:asciiTheme="minorHAnsi" w:eastAsiaTheme="minorHAnsi" w:hAnsiTheme="minorHAnsi" w:cs="TimesNewRomanPSMT"/>
        </w:rPr>
        <w:t xml:space="preserve"> through periodic and ad-hoc reviews of safety data.</w:t>
      </w:r>
    </w:p>
    <w:p w14:paraId="1DB175E4" w14:textId="77777777" w:rsidR="00787F40" w:rsidRPr="00D84865" w:rsidRDefault="00787F40" w:rsidP="00787F40">
      <w:pPr>
        <w:pStyle w:val="Heading4"/>
      </w:pPr>
      <w:bookmarkStart w:id="298" w:name="_Toc468957484"/>
      <w:r w:rsidRPr="00D84865">
        <w:t>Other studies</w:t>
      </w:r>
      <w:bookmarkEnd w:id="295"/>
      <w:bookmarkEnd w:id="296"/>
      <w:bookmarkEnd w:id="297"/>
      <w:bookmarkEnd w:id="298"/>
    </w:p>
    <w:p w14:paraId="3C04618D" w14:textId="77777777" w:rsidR="00787F40" w:rsidRPr="00D84865" w:rsidRDefault="00787F40" w:rsidP="00787F40">
      <w:pPr>
        <w:pStyle w:val="Heading5"/>
      </w:pPr>
      <w:r w:rsidRPr="00D84865">
        <w:t>Other efficacy studies</w:t>
      </w:r>
    </w:p>
    <w:p w14:paraId="0F1F4122" w14:textId="77777777" w:rsidR="00CC672B" w:rsidRDefault="00787F40" w:rsidP="00787F40">
      <w:pPr>
        <w:pStyle w:val="Heading6"/>
        <w:rPr>
          <w:lang w:eastAsia="ja-JP"/>
        </w:rPr>
      </w:pPr>
      <w:r w:rsidRPr="006960BE">
        <w:rPr>
          <w:lang w:eastAsia="ja-JP"/>
        </w:rPr>
        <w:t>LAL-CL03</w:t>
      </w:r>
    </w:p>
    <w:p w14:paraId="3D125FD6" w14:textId="77777777" w:rsidR="00787F40" w:rsidRPr="006960BE" w:rsidRDefault="00787F40" w:rsidP="00787F40">
      <w:pPr>
        <w:spacing w:before="0" w:line="240" w:lineRule="auto"/>
        <w:rPr>
          <w:rFonts w:asciiTheme="minorHAnsi" w:hAnsiTheme="minorHAnsi"/>
          <w:b/>
          <w:u w:val="single"/>
          <w:lang w:eastAsia="ja-JP"/>
        </w:rPr>
      </w:pPr>
      <w:r>
        <w:t xml:space="preserve">An ongoing </w:t>
      </w:r>
      <w:r w:rsidR="00905BF2">
        <w:t>Phase II/III</w:t>
      </w:r>
      <w:r>
        <w:t xml:space="preserve"> mul</w:t>
      </w:r>
      <w:r w:rsidR="00847442">
        <w:t xml:space="preserve">ticentre, multinational, single </w:t>
      </w:r>
      <w:r>
        <w:t xml:space="preserve">arm, </w:t>
      </w:r>
      <w:r w:rsidR="00B73619">
        <w:t>open label</w:t>
      </w:r>
      <w:r>
        <w:t xml:space="preserve">, repeat dose, dose escalation </w:t>
      </w:r>
      <w:r w:rsidR="00C4359A">
        <w:t>study</w:t>
      </w:r>
      <w:r>
        <w:t xml:space="preserve"> of </w:t>
      </w:r>
      <w:proofErr w:type="spellStart"/>
      <w:r>
        <w:t>sebelipase</w:t>
      </w:r>
      <w:proofErr w:type="spellEnd"/>
      <w:r>
        <w:t xml:space="preserve"> alfa in 9 infants with documented growth failure or other clinical evidence of a rapidly progressive course of LAL Deficiency prior to the age of 6 months.</w:t>
      </w:r>
    </w:p>
    <w:p w14:paraId="04F36E36" w14:textId="77777777" w:rsidR="00CC672B" w:rsidRDefault="00787F40" w:rsidP="00787F40">
      <w:pPr>
        <w:pStyle w:val="Heading6"/>
        <w:rPr>
          <w:lang w:eastAsia="ja-JP"/>
        </w:rPr>
      </w:pPr>
      <w:r w:rsidRPr="006960BE">
        <w:rPr>
          <w:lang w:eastAsia="ja-JP"/>
        </w:rPr>
        <w:lastRenderedPageBreak/>
        <w:t>LAL-CL04</w:t>
      </w:r>
    </w:p>
    <w:p w14:paraId="09D7BC73" w14:textId="560DF955" w:rsidR="00787F40" w:rsidRPr="00D84865" w:rsidRDefault="00787F40" w:rsidP="00787F40">
      <w:pPr>
        <w:spacing w:before="0" w:line="240" w:lineRule="auto"/>
        <w:rPr>
          <w:rFonts w:asciiTheme="minorHAnsi" w:hAnsiTheme="minorHAnsi"/>
          <w:lang w:eastAsia="ja-JP"/>
        </w:rPr>
      </w:pPr>
      <w:r>
        <w:t xml:space="preserve">An ongoing Phase </w:t>
      </w:r>
      <w:r w:rsidR="00847442">
        <w:t>I/II</w:t>
      </w:r>
      <w:r>
        <w:t xml:space="preserve">, </w:t>
      </w:r>
      <w:r w:rsidR="00B73619">
        <w:t>open label</w:t>
      </w:r>
      <w:r>
        <w:t xml:space="preserve">, extension </w:t>
      </w:r>
      <w:r w:rsidR="00C4359A">
        <w:t>study</w:t>
      </w:r>
      <w:r>
        <w:t xml:space="preserve"> in 9 adults who previously received 4 doses of </w:t>
      </w:r>
      <w:proofErr w:type="spellStart"/>
      <w:r>
        <w:t>sebelipase</w:t>
      </w:r>
      <w:proofErr w:type="spellEnd"/>
      <w:r>
        <w:t xml:space="preserve"> alfa in </w:t>
      </w:r>
      <w:r w:rsidR="00157E63">
        <w:t>Study</w:t>
      </w:r>
      <w:r>
        <w:t xml:space="preserve"> LAL-CL01 to assess the </w:t>
      </w:r>
      <w:r w:rsidR="008F6668">
        <w:t>long term</w:t>
      </w:r>
      <w:r>
        <w:t xml:space="preserve"> safety, tolerability, and efficacy of </w:t>
      </w:r>
      <w:proofErr w:type="spellStart"/>
      <w:r>
        <w:t>sebelipase</w:t>
      </w:r>
      <w:proofErr w:type="spellEnd"/>
      <w:r>
        <w:t xml:space="preserve"> alfa at 2 dose levels (1 and 3 mg/kg every other week </w:t>
      </w:r>
      <w:r w:rsidR="00D074A0">
        <w:t>(</w:t>
      </w:r>
      <w:proofErr w:type="spellStart"/>
      <w:r>
        <w:t>qow</w:t>
      </w:r>
      <w:proofErr w:type="spellEnd"/>
      <w:r w:rsidR="00D074A0">
        <w:t>)</w:t>
      </w:r>
      <w:r>
        <w:t>).</w:t>
      </w:r>
    </w:p>
    <w:p w14:paraId="34654F69" w14:textId="4C7E6DFF" w:rsidR="00787F40" w:rsidRPr="00DB7D82" w:rsidRDefault="00787F40" w:rsidP="00787F40">
      <w:pPr>
        <w:pStyle w:val="Heading5"/>
      </w:pPr>
      <w:r w:rsidRPr="00D84865">
        <w:t xml:space="preserve">Studies </w:t>
      </w:r>
      <w:r w:rsidRPr="00DB7D82">
        <w:t>with evaluable safety data</w:t>
      </w:r>
      <w:r w:rsidR="00460033">
        <w:t>: dose finding and pharmacology</w:t>
      </w:r>
    </w:p>
    <w:p w14:paraId="2DA43B7F" w14:textId="77777777" w:rsidR="00787F40" w:rsidRDefault="00847442" w:rsidP="00787F40">
      <w:pPr>
        <w:pStyle w:val="Heading6"/>
        <w:rPr>
          <w:lang w:eastAsia="ja-JP"/>
        </w:rPr>
      </w:pPr>
      <w:r>
        <w:rPr>
          <w:lang w:eastAsia="ja-JP"/>
        </w:rPr>
        <w:t>LAL-CL01</w:t>
      </w:r>
    </w:p>
    <w:p w14:paraId="108B5480" w14:textId="77777777" w:rsidR="00787F40" w:rsidRPr="00DB7D82" w:rsidRDefault="00787F40" w:rsidP="00787F40">
      <w:pPr>
        <w:spacing w:before="0" w:line="240" w:lineRule="auto"/>
      </w:pPr>
      <w:r w:rsidRPr="00DB7D82">
        <w:rPr>
          <w:rFonts w:asciiTheme="minorHAnsi" w:hAnsiTheme="minorHAnsi"/>
          <w:lang w:eastAsia="ja-JP"/>
        </w:rPr>
        <w:t xml:space="preserve">A </w:t>
      </w:r>
      <w:r w:rsidRPr="00DB7D82">
        <w:t xml:space="preserve">completed multinational, first-in-human, Phase </w:t>
      </w:r>
      <w:r w:rsidR="003F3AB4">
        <w:t>I/II</w:t>
      </w:r>
      <w:r w:rsidR="00847442">
        <w:t xml:space="preserve"> </w:t>
      </w:r>
      <w:r w:rsidR="00B73619">
        <w:t>open label</w:t>
      </w:r>
      <w:r w:rsidRPr="00DB7D82">
        <w:t xml:space="preserve"> </w:t>
      </w:r>
      <w:r w:rsidR="00FD1D3C">
        <w:t>dose escalation</w:t>
      </w:r>
      <w:r w:rsidRPr="00DB7D82">
        <w:t xml:space="preserve"> </w:t>
      </w:r>
      <w:r w:rsidR="00C4359A">
        <w:t>study</w:t>
      </w:r>
      <w:r w:rsidR="00EF53B7">
        <w:t xml:space="preserve"> in 9 </w:t>
      </w:r>
      <w:r w:rsidRPr="00DB7D82">
        <w:t>adults with liver dysfunction due to LAL Deficiency.to ass</w:t>
      </w:r>
      <w:r w:rsidR="00847442">
        <w:t>ess the safety, tolerability, PK</w:t>
      </w:r>
      <w:r w:rsidRPr="00DB7D82">
        <w:t xml:space="preserve"> and PDs of 3 dose levels of </w:t>
      </w:r>
      <w:proofErr w:type="spellStart"/>
      <w:r w:rsidRPr="00DB7D82">
        <w:t>sebelipase</w:t>
      </w:r>
      <w:proofErr w:type="spellEnd"/>
      <w:r w:rsidRPr="00DB7D82">
        <w:t xml:space="preserve"> alfa (0.35 mg/kg, 1 mg/kg, and 3 mg/kg).</w:t>
      </w:r>
    </w:p>
    <w:p w14:paraId="4C35726A" w14:textId="77777777" w:rsidR="00787F40" w:rsidRPr="00DB7D82" w:rsidRDefault="00787F40" w:rsidP="00787F40">
      <w:pPr>
        <w:pStyle w:val="Heading5"/>
      </w:pPr>
      <w:r w:rsidRPr="00DB7D82">
        <w:t>Studies evaluable for safety only</w:t>
      </w:r>
    </w:p>
    <w:p w14:paraId="39732406" w14:textId="77777777" w:rsidR="00B73619" w:rsidRDefault="00787F40" w:rsidP="00787F40">
      <w:pPr>
        <w:spacing w:before="0" w:line="240" w:lineRule="auto"/>
        <w:rPr>
          <w:rFonts w:asciiTheme="minorHAnsi" w:hAnsiTheme="minorHAnsi"/>
          <w:lang w:eastAsia="ja-JP"/>
        </w:rPr>
      </w:pPr>
      <w:bookmarkStart w:id="299" w:name="_Ref269204367"/>
      <w:bookmarkStart w:id="300" w:name="_Ref271195835"/>
      <w:bookmarkStart w:id="301" w:name="_Ref271195841"/>
      <w:bookmarkStart w:id="302" w:name="_Toc272414660"/>
      <w:bookmarkStart w:id="303" w:name="_Toc290888511"/>
      <w:bookmarkStart w:id="304" w:name="_Toc416353727"/>
      <w:bookmarkStart w:id="305" w:name="_Toc421005283"/>
      <w:bookmarkStart w:id="306" w:name="_Toc432079160"/>
      <w:bookmarkStart w:id="307" w:name="_Toc432080733"/>
      <w:proofErr w:type="gramStart"/>
      <w:r w:rsidRPr="00DB7D82">
        <w:rPr>
          <w:rFonts w:asciiTheme="minorHAnsi" w:hAnsiTheme="minorHAnsi"/>
          <w:lang w:eastAsia="ja-JP"/>
        </w:rPr>
        <w:t>None</w:t>
      </w:r>
      <w:r w:rsidR="00B73619">
        <w:rPr>
          <w:rFonts w:asciiTheme="minorHAnsi" w:hAnsiTheme="minorHAnsi"/>
          <w:lang w:eastAsia="ja-JP"/>
        </w:rPr>
        <w:t>.</w:t>
      </w:r>
      <w:proofErr w:type="gramEnd"/>
    </w:p>
    <w:p w14:paraId="1139DA04" w14:textId="77777777" w:rsidR="00787F40" w:rsidRPr="00DB7D82" w:rsidRDefault="00787F40" w:rsidP="00787F40">
      <w:pPr>
        <w:pStyle w:val="Heading3"/>
      </w:pPr>
      <w:bookmarkStart w:id="308" w:name="_Toc468957485"/>
      <w:bookmarkStart w:id="309" w:name="_Toc519670969"/>
      <w:r w:rsidRPr="00DB7D82">
        <w:t>Studies that assessed safety as the sole primary outcome</w:t>
      </w:r>
      <w:bookmarkEnd w:id="299"/>
      <w:bookmarkEnd w:id="300"/>
      <w:bookmarkEnd w:id="301"/>
      <w:bookmarkEnd w:id="302"/>
      <w:bookmarkEnd w:id="303"/>
      <w:bookmarkEnd w:id="304"/>
      <w:bookmarkEnd w:id="305"/>
      <w:bookmarkEnd w:id="306"/>
      <w:bookmarkEnd w:id="307"/>
      <w:bookmarkEnd w:id="308"/>
      <w:bookmarkEnd w:id="309"/>
    </w:p>
    <w:p w14:paraId="736D8B24" w14:textId="77777777" w:rsidR="00B73619" w:rsidRDefault="00787F40" w:rsidP="00787F40">
      <w:pPr>
        <w:rPr>
          <w:lang w:eastAsia="ja-JP"/>
        </w:rPr>
      </w:pPr>
      <w:r w:rsidRPr="00DB7D82">
        <w:rPr>
          <w:lang w:eastAsia="ja-JP"/>
        </w:rPr>
        <w:t>Not applicable</w:t>
      </w:r>
      <w:r w:rsidR="00B73619">
        <w:rPr>
          <w:lang w:eastAsia="ja-JP"/>
        </w:rPr>
        <w:t>.</w:t>
      </w:r>
    </w:p>
    <w:p w14:paraId="4C7FCD0D" w14:textId="77777777" w:rsidR="00787F40" w:rsidRPr="00DB7D82" w:rsidRDefault="00787F40" w:rsidP="00787F40">
      <w:pPr>
        <w:pStyle w:val="Heading3"/>
      </w:pPr>
      <w:bookmarkStart w:id="310" w:name="_Toc241374318"/>
      <w:bookmarkStart w:id="311" w:name="_Ref271196630"/>
      <w:bookmarkStart w:id="312" w:name="_Toc272414662"/>
      <w:bookmarkStart w:id="313" w:name="_Toc290888526"/>
      <w:bookmarkStart w:id="314" w:name="_Toc416353742"/>
      <w:bookmarkStart w:id="315" w:name="_Toc421005285"/>
      <w:bookmarkStart w:id="316" w:name="_Toc432079162"/>
      <w:bookmarkStart w:id="317" w:name="_Toc432080735"/>
      <w:bookmarkStart w:id="318" w:name="_Toc468957486"/>
      <w:bookmarkStart w:id="319" w:name="_Toc519670970"/>
      <w:r w:rsidRPr="00DB7D82">
        <w:t>Patient exposure</w:t>
      </w:r>
      <w:bookmarkEnd w:id="310"/>
      <w:bookmarkEnd w:id="311"/>
      <w:bookmarkEnd w:id="312"/>
      <w:bookmarkEnd w:id="313"/>
      <w:bookmarkEnd w:id="314"/>
      <w:bookmarkEnd w:id="315"/>
      <w:bookmarkEnd w:id="316"/>
      <w:bookmarkEnd w:id="317"/>
      <w:bookmarkEnd w:id="318"/>
      <w:bookmarkEnd w:id="319"/>
    </w:p>
    <w:p w14:paraId="5DEA57FE" w14:textId="77777777" w:rsidR="00787F40" w:rsidRPr="00F35D50" w:rsidRDefault="00787F40" w:rsidP="00787F40">
      <w:pPr>
        <w:spacing w:before="0" w:line="240" w:lineRule="auto"/>
        <w:rPr>
          <w:rFonts w:asciiTheme="minorHAnsi" w:hAnsiTheme="minorHAnsi"/>
        </w:rPr>
      </w:pPr>
      <w:r w:rsidRPr="00F35D50">
        <w:rPr>
          <w:rFonts w:asciiTheme="minorHAnsi" w:hAnsiTheme="minorHAnsi"/>
        </w:rPr>
        <w:t xml:space="preserve">In the Integrated safety database across 4 studies, a total of 84 subjects with LAL Deficiency have received treatment with </w:t>
      </w:r>
      <w:proofErr w:type="spellStart"/>
      <w:r w:rsidRPr="00F35D50">
        <w:rPr>
          <w:rFonts w:asciiTheme="minorHAnsi" w:hAnsiTheme="minorHAnsi"/>
        </w:rPr>
        <w:t>sebelipase</w:t>
      </w:r>
      <w:proofErr w:type="spellEnd"/>
      <w:r w:rsidRPr="00F35D50">
        <w:rPr>
          <w:rFonts w:asciiTheme="minorHAnsi" w:hAnsiTheme="minorHAnsi"/>
        </w:rPr>
        <w:t xml:space="preserve"> alfa, including 9 infants, 47 children, and 28 adults.</w:t>
      </w:r>
    </w:p>
    <w:p w14:paraId="023E972D" w14:textId="77777777" w:rsidR="00787F40" w:rsidRPr="00F35D50" w:rsidRDefault="00787F40" w:rsidP="00787F40">
      <w:pPr>
        <w:autoSpaceDE w:val="0"/>
        <w:autoSpaceDN w:val="0"/>
        <w:adjustRightInd w:val="0"/>
        <w:spacing w:before="0" w:line="240" w:lineRule="auto"/>
        <w:rPr>
          <w:rFonts w:asciiTheme="minorHAnsi" w:eastAsiaTheme="minorHAnsi" w:hAnsiTheme="minorHAnsi"/>
          <w:color w:val="000000"/>
        </w:rPr>
      </w:pPr>
      <w:r w:rsidRPr="002E71EC">
        <w:rPr>
          <w:rFonts w:asciiTheme="minorHAnsi" w:eastAsiaTheme="minorHAnsi" w:hAnsiTheme="minorHAnsi"/>
          <w:color w:val="000000"/>
        </w:rPr>
        <w:t>Across the 6 studies</w:t>
      </w:r>
      <w:r w:rsidRPr="00F35D50">
        <w:rPr>
          <w:rFonts w:asciiTheme="minorHAnsi" w:eastAsiaTheme="minorHAnsi" w:hAnsiTheme="minorHAnsi"/>
          <w:color w:val="000000"/>
        </w:rPr>
        <w:t xml:space="preserve"> included in the D120 safety update</w:t>
      </w:r>
      <w:r w:rsidRPr="002E71EC">
        <w:rPr>
          <w:rFonts w:asciiTheme="minorHAnsi" w:eastAsiaTheme="minorHAnsi" w:hAnsiTheme="minorHAnsi"/>
          <w:color w:val="000000"/>
        </w:rPr>
        <w:t xml:space="preserve">, 106 subjects with LAL Deficiency have received treatment with </w:t>
      </w:r>
      <w:proofErr w:type="spellStart"/>
      <w:r w:rsidRPr="002E71EC">
        <w:rPr>
          <w:rFonts w:asciiTheme="minorHAnsi" w:eastAsiaTheme="minorHAnsi" w:hAnsiTheme="minorHAnsi"/>
          <w:color w:val="000000"/>
        </w:rPr>
        <w:t>sebelipase</w:t>
      </w:r>
      <w:proofErr w:type="spellEnd"/>
      <w:r w:rsidRPr="002E71EC">
        <w:rPr>
          <w:rFonts w:asciiTheme="minorHAnsi" w:eastAsiaTheme="minorHAnsi" w:hAnsiTheme="minorHAnsi"/>
          <w:color w:val="000000"/>
        </w:rPr>
        <w:t xml:space="preserve"> alfa, including 14 infants, 57 children, and 35 adults</w:t>
      </w:r>
      <w:r w:rsidRPr="00F35D50">
        <w:rPr>
          <w:rFonts w:asciiTheme="minorHAnsi" w:eastAsiaTheme="minorHAnsi" w:hAnsiTheme="minorHAnsi"/>
          <w:color w:val="000000"/>
        </w:rPr>
        <w:t>.</w:t>
      </w:r>
    </w:p>
    <w:p w14:paraId="363A3C0A" w14:textId="6C177A63" w:rsidR="00B73619" w:rsidRPr="00805104" w:rsidRDefault="00847442" w:rsidP="00805104">
      <w:r w:rsidRPr="00805104">
        <w:t xml:space="preserve">Table </w:t>
      </w:r>
      <w:r w:rsidR="00E45A80" w:rsidRPr="00805104">
        <w:t>23</w:t>
      </w:r>
      <w:r w:rsidR="00787F40" w:rsidRPr="00805104">
        <w:t xml:space="preserve"> provides the summary of </w:t>
      </w:r>
      <w:proofErr w:type="spellStart"/>
      <w:r w:rsidR="00787F40" w:rsidRPr="00805104">
        <w:t>sebelipase</w:t>
      </w:r>
      <w:proofErr w:type="spellEnd"/>
      <w:r w:rsidR="00787F40" w:rsidRPr="00805104">
        <w:t xml:space="preserve"> alfa exposure by </w:t>
      </w:r>
      <w:r w:rsidR="00C4359A" w:rsidRPr="00805104">
        <w:t>study</w:t>
      </w:r>
      <w:r w:rsidR="00787F40" w:rsidRPr="00805104">
        <w:t xml:space="preserve"> and overall within each dosing regimen for the Pooled Safety Set. Overall, majority of subjects (71/84 </w:t>
      </w:r>
      <w:r w:rsidR="00D074A0" w:rsidRPr="00805104">
        <w:t>(</w:t>
      </w:r>
      <w:r w:rsidR="00787F40" w:rsidRPr="00805104">
        <w:t>84.5%</w:t>
      </w:r>
      <w:r w:rsidR="00D074A0" w:rsidRPr="00805104">
        <w:t>)</w:t>
      </w:r>
      <w:r w:rsidR="00787F40" w:rsidRPr="00805104">
        <w:t xml:space="preserve">), mainly from </w:t>
      </w:r>
      <w:r w:rsidR="00157E63" w:rsidRPr="00805104">
        <w:t>Study</w:t>
      </w:r>
      <w:r w:rsidR="00787F40" w:rsidRPr="00805104">
        <w:t xml:space="preserve"> LAL-CL02 received </w:t>
      </w:r>
      <w:proofErr w:type="spellStart"/>
      <w:r w:rsidR="00787F40" w:rsidRPr="00805104">
        <w:t>sebelipase</w:t>
      </w:r>
      <w:proofErr w:type="spellEnd"/>
      <w:r w:rsidR="00787F40" w:rsidRPr="00805104">
        <w:t xml:space="preserve"> alfa 1 mg/kg </w:t>
      </w:r>
      <w:proofErr w:type="spellStart"/>
      <w:r w:rsidR="00787F40" w:rsidRPr="00805104">
        <w:t>qow</w:t>
      </w:r>
      <w:proofErr w:type="spellEnd"/>
      <w:r w:rsidR="00787F40" w:rsidRPr="00805104">
        <w:t xml:space="preserve">. The median duration of exposure was 5.13 months (range of 0.03 to 29.14 months) and the longest duration of exposure was in the 3 mg/kg </w:t>
      </w:r>
      <w:proofErr w:type="spellStart"/>
      <w:r w:rsidR="00787F40" w:rsidRPr="00805104">
        <w:t>qow</w:t>
      </w:r>
      <w:proofErr w:type="spellEnd"/>
      <w:r w:rsidR="00787F40" w:rsidRPr="00805104">
        <w:t xml:space="preserve"> dosing regimen administered largely to subjects from </w:t>
      </w:r>
      <w:r w:rsidR="00157E63" w:rsidRPr="00805104">
        <w:t>Study</w:t>
      </w:r>
      <w:r w:rsidRPr="00805104">
        <w:t> LAL</w:t>
      </w:r>
      <w:r w:rsidRPr="00805104">
        <w:noBreakHyphen/>
        <w:t>CL01/LAL</w:t>
      </w:r>
      <w:r w:rsidRPr="00805104">
        <w:noBreakHyphen/>
      </w:r>
      <w:r w:rsidR="00787F40" w:rsidRPr="00805104">
        <w:t xml:space="preserve">CL04, wherein 3 subjects received a median of 27.17 months of treatment (range of 23.95 to 27.56 months), while one subject in </w:t>
      </w:r>
      <w:r w:rsidR="00157E63" w:rsidRPr="00805104">
        <w:t>Study</w:t>
      </w:r>
      <w:r w:rsidR="00787F40" w:rsidRPr="00805104">
        <w:t xml:space="preserve"> LAL-CL03 received </w:t>
      </w:r>
      <w:r w:rsidR="00131B1C" w:rsidRPr="00805104">
        <w:t>3 mg</w:t>
      </w:r>
      <w:r w:rsidR="00787F40" w:rsidRPr="00805104">
        <w:t xml:space="preserve">/kg </w:t>
      </w:r>
      <w:proofErr w:type="spellStart"/>
      <w:r w:rsidRPr="00805104">
        <w:t>qow</w:t>
      </w:r>
      <w:proofErr w:type="spellEnd"/>
      <w:r w:rsidRPr="00805104">
        <w:t xml:space="preserve"> for 7.59 months.</w:t>
      </w:r>
      <w:r w:rsidR="00787F40" w:rsidRPr="00805104">
        <w:t xml:space="preserve"> The median durations of exposure in the 0.35 mg/kg </w:t>
      </w:r>
      <w:proofErr w:type="spellStart"/>
      <w:r w:rsidR="00787F40" w:rsidRPr="00805104">
        <w:t>qw</w:t>
      </w:r>
      <w:proofErr w:type="spellEnd"/>
      <w:r w:rsidR="00787F40" w:rsidRPr="00805104">
        <w:t xml:space="preserve"> and 5 mg/kg </w:t>
      </w:r>
      <w:proofErr w:type="spellStart"/>
      <w:r w:rsidR="00787F40" w:rsidRPr="00805104">
        <w:t>qw</w:t>
      </w:r>
      <w:proofErr w:type="spellEnd"/>
      <w:r w:rsidR="00787F40" w:rsidRPr="00805104">
        <w:t xml:space="preserve"> dosing regimens were low (0.46 and 1.61 months, respectively)</w:t>
      </w:r>
      <w:r w:rsidR="00B73619" w:rsidRPr="00805104">
        <w:t>.</w:t>
      </w:r>
    </w:p>
    <w:p w14:paraId="731E294B" w14:textId="77777777" w:rsidR="003D146C" w:rsidRDefault="003D146C" w:rsidP="003D146C">
      <w:pPr>
        <w:pStyle w:val="Tabletitle"/>
      </w:pPr>
      <w:r>
        <w:lastRenderedPageBreak/>
        <w:t xml:space="preserve">Table </w:t>
      </w:r>
      <w:r w:rsidR="00E45A80">
        <w:t>23:</w:t>
      </w:r>
      <w:r>
        <w:t xml:space="preserve"> Duration of study drug exposure in the pooled safety set overall and by study</w:t>
      </w:r>
    </w:p>
    <w:p w14:paraId="67231509" w14:textId="77777777" w:rsidR="009C5E31" w:rsidRPr="009C5E31" w:rsidRDefault="009C5E31" w:rsidP="009C5E31">
      <w:r>
        <w:rPr>
          <w:noProof/>
          <w:lang w:eastAsia="en-AU"/>
        </w:rPr>
        <w:drawing>
          <wp:inline distT="0" distB="0" distL="0" distR="0" wp14:anchorId="4794C7E2" wp14:editId="31C50650">
            <wp:extent cx="5541645" cy="8229600"/>
            <wp:effectExtent l="0" t="0" r="1905" b="0"/>
            <wp:docPr id="93" name="Picture 93" descr="Table 23: Duration of study drug exposure in the pooled safety set overall and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41645" cy="8229600"/>
                    </a:xfrm>
                    <a:prstGeom prst="rect">
                      <a:avLst/>
                    </a:prstGeom>
                  </pic:spPr>
                </pic:pic>
              </a:graphicData>
            </a:graphic>
          </wp:inline>
        </w:drawing>
      </w:r>
    </w:p>
    <w:p w14:paraId="47EADE99" w14:textId="77777777" w:rsidR="00B73619" w:rsidRDefault="00787F40" w:rsidP="00787F40">
      <w:pPr>
        <w:autoSpaceDE w:val="0"/>
        <w:autoSpaceDN w:val="0"/>
        <w:adjustRightInd w:val="0"/>
        <w:spacing w:before="0" w:line="240" w:lineRule="auto"/>
        <w:rPr>
          <w:rFonts w:asciiTheme="minorHAnsi" w:eastAsiaTheme="minorHAnsi" w:hAnsiTheme="minorHAnsi"/>
          <w:color w:val="000000"/>
        </w:rPr>
      </w:pPr>
      <w:r w:rsidRPr="00DB7D82">
        <w:rPr>
          <w:rFonts w:asciiTheme="minorHAnsi" w:eastAsiaTheme="minorHAnsi" w:hAnsiTheme="minorHAnsi"/>
          <w:color w:val="000000"/>
        </w:rPr>
        <w:lastRenderedPageBreak/>
        <w:t xml:space="preserve">The greatest number of </w:t>
      </w:r>
      <w:proofErr w:type="spellStart"/>
      <w:r w:rsidRPr="00DB7D82">
        <w:rPr>
          <w:rFonts w:asciiTheme="minorHAnsi" w:eastAsiaTheme="minorHAnsi" w:hAnsiTheme="minorHAnsi"/>
          <w:color w:val="000000"/>
        </w:rPr>
        <w:t>sebelipase</w:t>
      </w:r>
      <w:proofErr w:type="spellEnd"/>
      <w:r w:rsidRPr="00DB7D82">
        <w:rPr>
          <w:rFonts w:asciiTheme="minorHAnsi" w:eastAsiaTheme="minorHAnsi" w:hAnsiTheme="minorHAnsi"/>
          <w:color w:val="000000"/>
        </w:rPr>
        <w:t xml:space="preserve"> alfa infusions (1</w:t>
      </w:r>
      <w:r w:rsidR="003D146C">
        <w:rPr>
          <w:rFonts w:asciiTheme="minorHAnsi" w:eastAsiaTheme="minorHAnsi" w:hAnsiTheme="minorHAnsi"/>
          <w:color w:val="000000"/>
        </w:rPr>
        <w:t>,</w:t>
      </w:r>
      <w:r w:rsidRPr="00DB7D82">
        <w:rPr>
          <w:rFonts w:asciiTheme="minorHAnsi" w:eastAsiaTheme="minorHAnsi" w:hAnsiTheme="minorHAnsi"/>
          <w:color w:val="000000"/>
        </w:rPr>
        <w:t>009) w</w:t>
      </w:r>
      <w:r>
        <w:rPr>
          <w:rFonts w:asciiTheme="minorHAnsi" w:eastAsiaTheme="minorHAnsi" w:hAnsiTheme="minorHAnsi"/>
          <w:color w:val="000000"/>
        </w:rPr>
        <w:t>as</w:t>
      </w:r>
      <w:r w:rsidRPr="00DB7D82">
        <w:rPr>
          <w:rFonts w:asciiTheme="minorHAnsi" w:eastAsiaTheme="minorHAnsi" w:hAnsiTheme="minorHAnsi"/>
          <w:color w:val="000000"/>
        </w:rPr>
        <w:t xml:space="preserve"> administered using the 1 mg/kg </w:t>
      </w:r>
      <w:proofErr w:type="spellStart"/>
      <w:r w:rsidRPr="00DB7D82">
        <w:rPr>
          <w:rFonts w:asciiTheme="minorHAnsi" w:eastAsiaTheme="minorHAnsi" w:hAnsiTheme="minorHAnsi"/>
          <w:color w:val="000000"/>
        </w:rPr>
        <w:t>qow</w:t>
      </w:r>
      <w:proofErr w:type="spellEnd"/>
      <w:r w:rsidRPr="00DB7D82">
        <w:rPr>
          <w:rFonts w:asciiTheme="minorHAnsi" w:eastAsiaTheme="minorHAnsi" w:hAnsiTheme="minorHAnsi"/>
          <w:color w:val="000000"/>
        </w:rPr>
        <w:t xml:space="preserve"> dosing regimen, which corresponded to the longer duration of treatment at that dose level. There were 302, 190 and 161 infusions administered using the 3 mg/kg </w:t>
      </w:r>
      <w:proofErr w:type="spellStart"/>
      <w:r w:rsidRPr="00DB7D82">
        <w:rPr>
          <w:rFonts w:asciiTheme="minorHAnsi" w:eastAsiaTheme="minorHAnsi" w:hAnsiTheme="minorHAnsi"/>
          <w:color w:val="000000"/>
        </w:rPr>
        <w:t>qw</w:t>
      </w:r>
      <w:proofErr w:type="spellEnd"/>
      <w:r w:rsidRPr="00DB7D82">
        <w:rPr>
          <w:rFonts w:asciiTheme="minorHAnsi" w:eastAsiaTheme="minorHAnsi" w:hAnsiTheme="minorHAnsi"/>
          <w:color w:val="000000"/>
        </w:rPr>
        <w:t xml:space="preserve">, 3 mg/kg </w:t>
      </w:r>
      <w:proofErr w:type="spellStart"/>
      <w:r w:rsidRPr="00DB7D82">
        <w:rPr>
          <w:rFonts w:asciiTheme="minorHAnsi" w:eastAsiaTheme="minorHAnsi" w:hAnsiTheme="minorHAnsi"/>
          <w:color w:val="000000"/>
        </w:rPr>
        <w:t>qow</w:t>
      </w:r>
      <w:proofErr w:type="spellEnd"/>
      <w:r w:rsidRPr="00DB7D82">
        <w:rPr>
          <w:rFonts w:asciiTheme="minorHAnsi" w:eastAsiaTheme="minorHAnsi" w:hAnsiTheme="minorHAnsi"/>
          <w:color w:val="000000"/>
        </w:rPr>
        <w:t xml:space="preserve">, and 1 mg/kg </w:t>
      </w:r>
      <w:proofErr w:type="spellStart"/>
      <w:r w:rsidRPr="00DB7D82">
        <w:rPr>
          <w:rFonts w:asciiTheme="minorHAnsi" w:eastAsiaTheme="minorHAnsi" w:hAnsiTheme="minorHAnsi"/>
          <w:color w:val="000000"/>
        </w:rPr>
        <w:t>qw</w:t>
      </w:r>
      <w:proofErr w:type="spellEnd"/>
      <w:r w:rsidRPr="00DB7D82">
        <w:rPr>
          <w:rFonts w:asciiTheme="minorHAnsi" w:eastAsiaTheme="minorHAnsi" w:hAnsiTheme="minorHAnsi"/>
          <w:color w:val="000000"/>
        </w:rPr>
        <w:t xml:space="preserve"> dosing regimens, respectively. </w:t>
      </w:r>
      <w:r w:rsidRPr="00F35D50">
        <w:rPr>
          <w:rFonts w:asciiTheme="minorHAnsi" w:eastAsiaTheme="minorHAnsi" w:hAnsiTheme="minorHAnsi"/>
          <w:color w:val="000000"/>
        </w:rPr>
        <w:t>Few infusions w</w:t>
      </w:r>
      <w:r w:rsidR="003D146C">
        <w:rPr>
          <w:rFonts w:asciiTheme="minorHAnsi" w:eastAsiaTheme="minorHAnsi" w:hAnsiTheme="minorHAnsi"/>
          <w:color w:val="000000"/>
        </w:rPr>
        <w:t>ere administered using the 0.35 </w:t>
      </w:r>
      <w:r w:rsidRPr="00F35D50">
        <w:rPr>
          <w:rFonts w:asciiTheme="minorHAnsi" w:eastAsiaTheme="minorHAnsi" w:hAnsiTheme="minorHAnsi"/>
          <w:color w:val="000000"/>
        </w:rPr>
        <w:t xml:space="preserve">mg/kg </w:t>
      </w:r>
      <w:proofErr w:type="spellStart"/>
      <w:r w:rsidRPr="00F35D50">
        <w:rPr>
          <w:rFonts w:asciiTheme="minorHAnsi" w:eastAsiaTheme="minorHAnsi" w:hAnsiTheme="minorHAnsi"/>
          <w:color w:val="000000"/>
        </w:rPr>
        <w:t>qw</w:t>
      </w:r>
      <w:proofErr w:type="spellEnd"/>
      <w:r w:rsidRPr="00F35D50">
        <w:rPr>
          <w:rFonts w:asciiTheme="minorHAnsi" w:eastAsiaTheme="minorHAnsi" w:hAnsiTheme="minorHAnsi"/>
          <w:color w:val="000000"/>
        </w:rPr>
        <w:t xml:space="preserve"> or 5 mg/kg </w:t>
      </w:r>
      <w:proofErr w:type="spellStart"/>
      <w:r w:rsidRPr="00F35D50">
        <w:rPr>
          <w:rFonts w:asciiTheme="minorHAnsi" w:eastAsiaTheme="minorHAnsi" w:hAnsiTheme="minorHAnsi"/>
          <w:color w:val="000000"/>
        </w:rPr>
        <w:t>qw</w:t>
      </w:r>
      <w:proofErr w:type="spellEnd"/>
      <w:r w:rsidRPr="00F35D50">
        <w:rPr>
          <w:rFonts w:asciiTheme="minorHAnsi" w:eastAsiaTheme="minorHAnsi" w:hAnsiTheme="minorHAnsi"/>
          <w:color w:val="000000"/>
        </w:rPr>
        <w:t xml:space="preserve"> dosing regimens (38 and 8 infusions, respectively)</w:t>
      </w:r>
      <w:r w:rsidR="00B73619">
        <w:rPr>
          <w:rFonts w:asciiTheme="minorHAnsi" w:eastAsiaTheme="minorHAnsi" w:hAnsiTheme="minorHAnsi"/>
          <w:color w:val="000000"/>
        </w:rPr>
        <w:t>.</w:t>
      </w:r>
    </w:p>
    <w:p w14:paraId="186A75BE" w14:textId="77777777" w:rsidR="00B73619" w:rsidRPr="00E45A80" w:rsidRDefault="00787F40" w:rsidP="00787F40">
      <w:pPr>
        <w:autoSpaceDE w:val="0"/>
        <w:autoSpaceDN w:val="0"/>
        <w:adjustRightInd w:val="0"/>
        <w:spacing w:before="0" w:line="240" w:lineRule="auto"/>
        <w:rPr>
          <w:rFonts w:asciiTheme="minorHAnsi" w:eastAsiaTheme="minorHAnsi" w:hAnsiTheme="minorHAnsi"/>
          <w:color w:val="000000"/>
        </w:rPr>
      </w:pPr>
      <w:r>
        <w:rPr>
          <w:rFonts w:asciiTheme="minorHAnsi" w:eastAsiaTheme="minorHAnsi" w:hAnsiTheme="minorHAnsi"/>
          <w:color w:val="000000"/>
        </w:rPr>
        <w:t xml:space="preserve">Similar trends were observed in terms of </w:t>
      </w:r>
      <w:proofErr w:type="spellStart"/>
      <w:r>
        <w:rPr>
          <w:rFonts w:asciiTheme="minorHAnsi" w:eastAsiaTheme="minorHAnsi" w:hAnsiTheme="minorHAnsi"/>
          <w:color w:val="000000"/>
        </w:rPr>
        <w:t>sebelipase</w:t>
      </w:r>
      <w:proofErr w:type="spellEnd"/>
      <w:r>
        <w:rPr>
          <w:rFonts w:asciiTheme="minorHAnsi" w:eastAsiaTheme="minorHAnsi" w:hAnsiTheme="minorHAnsi"/>
          <w:color w:val="000000"/>
        </w:rPr>
        <w:t xml:space="preserve"> alfa exposure by </w:t>
      </w:r>
      <w:r w:rsidR="00C4359A">
        <w:rPr>
          <w:rFonts w:asciiTheme="minorHAnsi" w:eastAsiaTheme="minorHAnsi" w:hAnsiTheme="minorHAnsi"/>
          <w:color w:val="000000"/>
        </w:rPr>
        <w:t>study</w:t>
      </w:r>
      <w:r>
        <w:rPr>
          <w:rFonts w:asciiTheme="minorHAnsi" w:eastAsiaTheme="minorHAnsi" w:hAnsiTheme="minorHAnsi"/>
          <w:color w:val="000000"/>
        </w:rPr>
        <w:t xml:space="preserve"> and overall within each dosing regimen for the Updated Pooled </w:t>
      </w:r>
      <w:r w:rsidRPr="00E45A80">
        <w:rPr>
          <w:rFonts w:asciiTheme="minorHAnsi" w:eastAsiaTheme="minorHAnsi" w:hAnsiTheme="minorHAnsi"/>
          <w:color w:val="000000"/>
        </w:rPr>
        <w:t>Safety set (</w:t>
      </w:r>
      <w:r w:rsidR="003D146C" w:rsidRPr="00E45A80">
        <w:rPr>
          <w:rFonts w:asciiTheme="minorHAnsi" w:eastAsiaTheme="minorHAnsi" w:hAnsiTheme="minorHAnsi"/>
          <w:color w:val="000000"/>
        </w:rPr>
        <w:t xml:space="preserve">Table </w:t>
      </w:r>
      <w:r w:rsidR="00E45A80" w:rsidRPr="00E45A80">
        <w:rPr>
          <w:rFonts w:asciiTheme="minorHAnsi" w:eastAsiaTheme="minorHAnsi" w:hAnsiTheme="minorHAnsi"/>
          <w:color w:val="000000"/>
        </w:rPr>
        <w:t>24</w:t>
      </w:r>
      <w:r w:rsidRPr="00E45A80">
        <w:rPr>
          <w:rFonts w:asciiTheme="minorHAnsi" w:eastAsiaTheme="minorHAnsi" w:hAnsiTheme="minorHAnsi"/>
          <w:color w:val="000000"/>
        </w:rPr>
        <w:t>)</w:t>
      </w:r>
      <w:r w:rsidR="00B73619" w:rsidRPr="00E45A80">
        <w:rPr>
          <w:rFonts w:asciiTheme="minorHAnsi" w:eastAsiaTheme="minorHAnsi" w:hAnsiTheme="minorHAnsi"/>
          <w:color w:val="000000"/>
        </w:rPr>
        <w:t>.</w:t>
      </w:r>
    </w:p>
    <w:p w14:paraId="4733AB8D" w14:textId="77777777" w:rsidR="003D146C" w:rsidRDefault="003D146C" w:rsidP="00787F40">
      <w:pPr>
        <w:autoSpaceDE w:val="0"/>
        <w:autoSpaceDN w:val="0"/>
        <w:adjustRightInd w:val="0"/>
        <w:spacing w:before="0" w:line="240" w:lineRule="auto"/>
        <w:rPr>
          <w:rFonts w:asciiTheme="minorHAnsi" w:eastAsiaTheme="minorHAnsi" w:hAnsiTheme="minorHAnsi"/>
          <w:b/>
          <w:color w:val="000000"/>
        </w:rPr>
      </w:pPr>
      <w:r>
        <w:rPr>
          <w:rFonts w:asciiTheme="minorHAnsi" w:eastAsiaTheme="minorHAnsi" w:hAnsiTheme="minorHAnsi"/>
          <w:b/>
          <w:color w:val="000000"/>
        </w:rPr>
        <w:t xml:space="preserve">Table </w:t>
      </w:r>
      <w:r w:rsidR="00E45A80">
        <w:rPr>
          <w:rFonts w:asciiTheme="minorHAnsi" w:eastAsiaTheme="minorHAnsi" w:hAnsiTheme="minorHAnsi"/>
          <w:b/>
          <w:color w:val="000000"/>
        </w:rPr>
        <w:t>24:</w:t>
      </w:r>
      <w:r>
        <w:rPr>
          <w:rFonts w:asciiTheme="minorHAnsi" w:eastAsiaTheme="minorHAnsi" w:hAnsiTheme="minorHAnsi"/>
          <w:b/>
          <w:color w:val="000000"/>
        </w:rPr>
        <w:t xml:space="preserve"> Duration of </w:t>
      </w:r>
      <w:proofErr w:type="spellStart"/>
      <w:r>
        <w:rPr>
          <w:rFonts w:asciiTheme="minorHAnsi" w:eastAsiaTheme="minorHAnsi" w:hAnsiTheme="minorHAnsi"/>
          <w:b/>
          <w:color w:val="000000"/>
        </w:rPr>
        <w:t>sebelipase</w:t>
      </w:r>
      <w:proofErr w:type="spellEnd"/>
      <w:r>
        <w:rPr>
          <w:rFonts w:asciiTheme="minorHAnsi" w:eastAsiaTheme="minorHAnsi" w:hAnsiTheme="minorHAnsi"/>
          <w:b/>
          <w:color w:val="000000"/>
        </w:rPr>
        <w:t xml:space="preserve"> alfa exposure in the updated pooled safety set overall and by study</w:t>
      </w:r>
    </w:p>
    <w:p w14:paraId="24491C89" w14:textId="77777777" w:rsidR="00E07FA6" w:rsidRDefault="00E07FA6" w:rsidP="00787F40">
      <w:pPr>
        <w:autoSpaceDE w:val="0"/>
        <w:autoSpaceDN w:val="0"/>
        <w:adjustRightInd w:val="0"/>
        <w:spacing w:before="0" w:line="240" w:lineRule="auto"/>
        <w:rPr>
          <w:rFonts w:asciiTheme="minorHAnsi" w:eastAsiaTheme="minorHAnsi" w:hAnsiTheme="minorHAnsi"/>
          <w:b/>
          <w:color w:val="000000"/>
        </w:rPr>
      </w:pPr>
      <w:r>
        <w:rPr>
          <w:noProof/>
          <w:lang w:eastAsia="en-AU"/>
        </w:rPr>
        <w:drawing>
          <wp:inline distT="0" distB="0" distL="0" distR="0" wp14:anchorId="6E900367" wp14:editId="25DF662E">
            <wp:extent cx="5731510" cy="6739039"/>
            <wp:effectExtent l="0" t="0" r="2540" b="5080"/>
            <wp:docPr id="96" name="Picture 96" descr="Table 24: Duration of sebelipase alfa exposure in the updated pooled safety set overall and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6739039"/>
                    </a:xfrm>
                    <a:prstGeom prst="rect">
                      <a:avLst/>
                    </a:prstGeom>
                  </pic:spPr>
                </pic:pic>
              </a:graphicData>
            </a:graphic>
          </wp:inline>
        </w:drawing>
      </w:r>
    </w:p>
    <w:p w14:paraId="23D88538" w14:textId="77777777" w:rsidR="00787F40" w:rsidRPr="00805104" w:rsidRDefault="00787F40" w:rsidP="00805104">
      <w:r w:rsidRPr="00805104">
        <w:lastRenderedPageBreak/>
        <w:t xml:space="preserve">Of the 84 subjects treated with </w:t>
      </w:r>
      <w:proofErr w:type="spellStart"/>
      <w:r w:rsidRPr="00805104">
        <w:t>sebelipase</w:t>
      </w:r>
      <w:proofErr w:type="spellEnd"/>
      <w:r w:rsidRPr="00805104">
        <w:t xml:space="preserve"> alfa in the Pooled Safety Set, 9 were </w:t>
      </w:r>
      <w:r w:rsidR="00A87AAC" w:rsidRPr="00805104">
        <w:t xml:space="preserve">&lt; </w:t>
      </w:r>
      <w:r w:rsidRPr="00805104">
        <w:t>2 years of age, 24 were 2 to 12 years of age, 23 were 12.01 to 17.99 years of age, and 28 were ≥ 18 years of age at time of first dose</w:t>
      </w:r>
      <w:r w:rsidRPr="00805104">
        <w:rPr>
          <w:vertAlign w:val="superscript"/>
        </w:rPr>
        <w:footnoteReference w:id="40"/>
      </w:r>
      <w:r w:rsidRPr="00805104">
        <w:rPr>
          <w:vertAlign w:val="superscript"/>
        </w:rPr>
        <w:t>.</w:t>
      </w:r>
      <w:r w:rsidRPr="00805104">
        <w:t xml:space="preserve"> </w:t>
      </w:r>
      <w:proofErr w:type="gramStart"/>
      <w:r w:rsidRPr="00805104">
        <w:t xml:space="preserve">For subjects </w:t>
      </w:r>
      <w:r w:rsidR="00A87AAC" w:rsidRPr="00805104">
        <w:t xml:space="preserve">&lt; </w:t>
      </w:r>
      <w:r w:rsidRPr="00805104">
        <w:t xml:space="preserve">2 years of age (all infants from </w:t>
      </w:r>
      <w:r w:rsidR="00157E63" w:rsidRPr="00805104">
        <w:t>Study</w:t>
      </w:r>
      <w:r w:rsidRPr="00805104">
        <w:t xml:space="preserve"> LAL-CL03), the longest median treatment duration was in the 3 mg/kg </w:t>
      </w:r>
      <w:proofErr w:type="spellStart"/>
      <w:r w:rsidRPr="00805104">
        <w:t>qw</w:t>
      </w:r>
      <w:proofErr w:type="spellEnd"/>
      <w:r w:rsidRPr="00805104">
        <w:t xml:space="preserve"> dose (11.71 months)</w:t>
      </w:r>
      <w:r w:rsidRPr="00805104">
        <w:rPr>
          <w:vertAlign w:val="superscript"/>
        </w:rPr>
        <w:footnoteReference w:id="41"/>
      </w:r>
      <w:r w:rsidRPr="00805104">
        <w:t xml:space="preserve"> and a total of 295 infusions were administered.</w:t>
      </w:r>
      <w:proofErr w:type="gramEnd"/>
      <w:r w:rsidRPr="00805104">
        <w:t xml:space="preserve"> For subjects 2 to 12 years of age (all children from </w:t>
      </w:r>
      <w:r w:rsidR="00157E63" w:rsidRPr="00805104">
        <w:t>Study</w:t>
      </w:r>
      <w:r w:rsidRPr="00805104">
        <w:t xml:space="preserve"> LAL</w:t>
      </w:r>
      <w:r w:rsidR="003D146C" w:rsidRPr="00805104">
        <w:noBreakHyphen/>
      </w:r>
      <w:r w:rsidRPr="00805104">
        <w:t xml:space="preserve">CL02), the median treatment duration was 5.16 months; all subjects in this category were treated using the 1 mg/kg </w:t>
      </w:r>
      <w:proofErr w:type="spellStart"/>
      <w:r w:rsidRPr="00805104">
        <w:t>qow</w:t>
      </w:r>
      <w:proofErr w:type="spellEnd"/>
      <w:r w:rsidRPr="00805104">
        <w:t xml:space="preserve"> dosing regimen and a total of 295 infusions were administered. For subjects 12.01 to 17.99 years of age (all children from </w:t>
      </w:r>
      <w:r w:rsidR="00157E63" w:rsidRPr="00805104">
        <w:t>Study</w:t>
      </w:r>
      <w:r w:rsidRPr="00805104">
        <w:t xml:space="preserve"> LAL-CL02), the median treatment duration was 3.25 months; all subjects in this ca</w:t>
      </w:r>
      <w:r w:rsidR="003D146C" w:rsidRPr="00805104">
        <w:t>tegory were treated using the 1 </w:t>
      </w:r>
      <w:r w:rsidRPr="00805104">
        <w:t xml:space="preserve">mg/kg </w:t>
      </w:r>
      <w:proofErr w:type="spellStart"/>
      <w:r w:rsidRPr="00805104">
        <w:t>qow</w:t>
      </w:r>
      <w:proofErr w:type="spellEnd"/>
      <w:r w:rsidRPr="00805104">
        <w:t xml:space="preserve"> dosing regimen and a total of 204 infusions were administered. For subjects ≥ 18 years of age (included adults from Studies LAL-CL02 and LAL-CL01/LAL-CL04), the longest median treatment durations were in the 1 mg/kg </w:t>
      </w:r>
      <w:proofErr w:type="spellStart"/>
      <w:r w:rsidRPr="00805104">
        <w:t>qow</w:t>
      </w:r>
      <w:proofErr w:type="spellEnd"/>
      <w:r w:rsidRPr="00805104">
        <w:t xml:space="preserve"> and 3 mg/kg </w:t>
      </w:r>
      <w:proofErr w:type="spellStart"/>
      <w:r w:rsidRPr="00805104">
        <w:t>qow</w:t>
      </w:r>
      <w:proofErr w:type="spellEnd"/>
      <w:r w:rsidRPr="00805104">
        <w:t xml:space="preserve"> dosing regimens (5.75 and 27.17 months, respectively). The long term exposure to 3 mg/kg </w:t>
      </w:r>
      <w:proofErr w:type="spellStart"/>
      <w:r w:rsidRPr="00805104">
        <w:t>qow</w:t>
      </w:r>
      <w:proofErr w:type="spellEnd"/>
      <w:r w:rsidRPr="00805104">
        <w:t xml:space="preserve"> was obtained from the long term extension </w:t>
      </w:r>
      <w:r w:rsidR="00157E63" w:rsidRPr="00805104">
        <w:t>Study</w:t>
      </w:r>
      <w:r w:rsidRPr="00805104">
        <w:t xml:space="preserve"> (LAL-CL04) which included </w:t>
      </w:r>
      <w:proofErr w:type="gramStart"/>
      <w:r w:rsidRPr="00805104">
        <w:t>subjects</w:t>
      </w:r>
      <w:proofErr w:type="gramEnd"/>
      <w:r w:rsidRPr="00805104">
        <w:t xml:space="preserve"> ≥ 18 years of age at the time of </w:t>
      </w:r>
      <w:r w:rsidR="00C4359A" w:rsidRPr="00805104">
        <w:t>study</w:t>
      </w:r>
      <w:r w:rsidRPr="00805104">
        <w:t xml:space="preserve"> entry. Cumulatively, 683 infusions were administered using these dosing regimens.</w:t>
      </w:r>
    </w:p>
    <w:p w14:paraId="447B79D4" w14:textId="77777777" w:rsidR="00B73619" w:rsidRDefault="00787F40" w:rsidP="00787F40">
      <w:pPr>
        <w:autoSpaceDE w:val="0"/>
        <w:autoSpaceDN w:val="0"/>
        <w:adjustRightInd w:val="0"/>
        <w:spacing w:before="0" w:line="240" w:lineRule="auto"/>
        <w:rPr>
          <w:rFonts w:asciiTheme="minorHAnsi" w:eastAsiaTheme="minorHAnsi" w:hAnsiTheme="minorHAnsi"/>
          <w:color w:val="000000"/>
        </w:rPr>
      </w:pPr>
      <w:r w:rsidRPr="00F63CB1">
        <w:rPr>
          <w:rFonts w:asciiTheme="minorHAnsi" w:eastAsiaTheme="minorHAnsi" w:hAnsiTheme="minorHAnsi"/>
          <w:color w:val="000000"/>
        </w:rPr>
        <w:t xml:space="preserve">Of the 84 subjects treated with </w:t>
      </w:r>
      <w:proofErr w:type="spellStart"/>
      <w:r w:rsidRPr="00F63CB1">
        <w:rPr>
          <w:rFonts w:asciiTheme="minorHAnsi" w:eastAsiaTheme="minorHAnsi" w:hAnsiTheme="minorHAnsi"/>
          <w:color w:val="000000"/>
        </w:rPr>
        <w:t>sebelipase</w:t>
      </w:r>
      <w:proofErr w:type="spellEnd"/>
      <w:r w:rsidRPr="00F63CB1">
        <w:rPr>
          <w:rFonts w:asciiTheme="minorHAnsi" w:eastAsiaTheme="minorHAnsi" w:hAnsiTheme="minorHAnsi"/>
          <w:color w:val="000000"/>
        </w:rPr>
        <w:t xml:space="preserve"> alfa in the Pooled Safety Set, 44 were male and 40 were </w:t>
      </w:r>
      <w:r w:rsidRPr="00394691">
        <w:rPr>
          <w:rFonts w:asciiTheme="minorHAnsi" w:eastAsiaTheme="minorHAnsi" w:hAnsiTheme="minorHAnsi"/>
          <w:color w:val="000000"/>
        </w:rPr>
        <w:t>female. Between genders, median treatment durations within each treatment regimen were relatively similar with the following exceptions:</w:t>
      </w:r>
      <w:r w:rsidR="00CC672B">
        <w:rPr>
          <w:rFonts w:asciiTheme="minorHAnsi" w:eastAsiaTheme="minorHAnsi" w:hAnsiTheme="minorHAnsi"/>
          <w:color w:val="000000"/>
        </w:rPr>
        <w:t xml:space="preserve"> </w:t>
      </w:r>
      <w:r w:rsidRPr="00394691">
        <w:rPr>
          <w:rFonts w:asciiTheme="minorHAnsi" w:eastAsiaTheme="minorHAnsi" w:hAnsiTheme="minorHAnsi"/>
          <w:color w:val="000000"/>
        </w:rPr>
        <w:t xml:space="preserve">In the 3 mg/kg </w:t>
      </w:r>
      <w:proofErr w:type="spellStart"/>
      <w:r w:rsidRPr="00394691">
        <w:rPr>
          <w:rFonts w:asciiTheme="minorHAnsi" w:eastAsiaTheme="minorHAnsi" w:hAnsiTheme="minorHAnsi"/>
          <w:color w:val="000000"/>
        </w:rPr>
        <w:t>qw</w:t>
      </w:r>
      <w:proofErr w:type="spellEnd"/>
      <w:r w:rsidRPr="00394691">
        <w:rPr>
          <w:rFonts w:asciiTheme="minorHAnsi" w:eastAsiaTheme="minorHAnsi" w:hAnsiTheme="minorHAnsi"/>
          <w:color w:val="000000"/>
        </w:rPr>
        <w:t xml:space="preserve"> dosing regimen, median treatment duration was greater in female subjects (11.43 months) compared to male subjects (6.59 months); In the 3 mg/kg </w:t>
      </w:r>
      <w:proofErr w:type="spellStart"/>
      <w:r w:rsidRPr="00394691">
        <w:rPr>
          <w:rFonts w:asciiTheme="minorHAnsi" w:eastAsiaTheme="minorHAnsi" w:hAnsiTheme="minorHAnsi"/>
          <w:color w:val="000000"/>
        </w:rPr>
        <w:t>qow</w:t>
      </w:r>
      <w:proofErr w:type="spellEnd"/>
      <w:r w:rsidRPr="00394691">
        <w:rPr>
          <w:rFonts w:asciiTheme="minorHAnsi" w:eastAsiaTheme="minorHAnsi" w:hAnsiTheme="minorHAnsi"/>
          <w:color w:val="000000"/>
        </w:rPr>
        <w:t xml:space="preserve"> dosing regimen, median treatment duration was greater in male subjects (27.17 months) compared to female subjects (23.95 months)</w:t>
      </w:r>
      <w:r w:rsidR="00B73619">
        <w:rPr>
          <w:rFonts w:asciiTheme="minorHAnsi" w:eastAsiaTheme="minorHAnsi" w:hAnsiTheme="minorHAnsi"/>
          <w:color w:val="000000"/>
        </w:rPr>
        <w:t>.</w:t>
      </w:r>
    </w:p>
    <w:p w14:paraId="4FFD949A" w14:textId="64F7D900" w:rsidR="00787F40" w:rsidRPr="00394691" w:rsidRDefault="00787F40" w:rsidP="00787F40">
      <w:pPr>
        <w:autoSpaceDE w:val="0"/>
        <w:autoSpaceDN w:val="0"/>
        <w:adjustRightInd w:val="0"/>
        <w:spacing w:before="0" w:line="240" w:lineRule="auto"/>
      </w:pPr>
      <w:r w:rsidRPr="00394691">
        <w:rPr>
          <w:rFonts w:asciiTheme="minorHAnsi" w:eastAsiaTheme="minorHAnsi" w:hAnsiTheme="minorHAnsi"/>
          <w:color w:val="000000"/>
        </w:rPr>
        <w:t xml:space="preserve">In the Pooled Safety Set, majority of subjects were White (81.0% </w:t>
      </w:r>
      <w:r w:rsidR="00D074A0">
        <w:rPr>
          <w:rFonts w:asciiTheme="minorHAnsi" w:eastAsiaTheme="minorHAnsi" w:hAnsiTheme="minorHAnsi"/>
          <w:color w:val="000000"/>
        </w:rPr>
        <w:t>(</w:t>
      </w:r>
      <w:r w:rsidRPr="00394691">
        <w:rPr>
          <w:rFonts w:asciiTheme="minorHAnsi" w:eastAsiaTheme="minorHAnsi" w:hAnsiTheme="minorHAnsi"/>
          <w:color w:val="000000"/>
        </w:rPr>
        <w:t>68/84</w:t>
      </w:r>
      <w:r w:rsidR="00D074A0">
        <w:rPr>
          <w:rFonts w:asciiTheme="minorHAnsi" w:eastAsiaTheme="minorHAnsi" w:hAnsiTheme="minorHAnsi"/>
          <w:color w:val="000000"/>
        </w:rPr>
        <w:t>)</w:t>
      </w:r>
      <w:r w:rsidRPr="00394691">
        <w:rPr>
          <w:rFonts w:asciiTheme="minorHAnsi" w:eastAsiaTheme="minorHAnsi" w:hAnsiTheme="minorHAnsi"/>
          <w:color w:val="000000"/>
        </w:rPr>
        <w:t xml:space="preserve">). Two subjects were of Japanese descent (2.4% </w:t>
      </w:r>
      <w:r w:rsidR="00D074A0">
        <w:rPr>
          <w:rFonts w:asciiTheme="minorHAnsi" w:eastAsiaTheme="minorHAnsi" w:hAnsiTheme="minorHAnsi"/>
          <w:color w:val="000000"/>
        </w:rPr>
        <w:t>(</w:t>
      </w:r>
      <w:r w:rsidRPr="00394691">
        <w:rPr>
          <w:rFonts w:asciiTheme="minorHAnsi" w:eastAsiaTheme="minorHAnsi" w:hAnsiTheme="minorHAnsi"/>
          <w:color w:val="000000"/>
        </w:rPr>
        <w:t>2/84</w:t>
      </w:r>
      <w:r w:rsidR="00D074A0">
        <w:rPr>
          <w:rFonts w:asciiTheme="minorHAnsi" w:eastAsiaTheme="minorHAnsi" w:hAnsiTheme="minorHAnsi"/>
          <w:color w:val="000000"/>
        </w:rPr>
        <w:t>)</w:t>
      </w:r>
      <w:r w:rsidRPr="00394691">
        <w:rPr>
          <w:rFonts w:asciiTheme="minorHAnsi" w:eastAsiaTheme="minorHAnsi" w:hAnsiTheme="minorHAnsi"/>
          <w:color w:val="000000"/>
        </w:rPr>
        <w:t xml:space="preserve">) and 10 were Hispanic (11.9% </w:t>
      </w:r>
      <w:r w:rsidR="00D074A0">
        <w:rPr>
          <w:rFonts w:asciiTheme="minorHAnsi" w:eastAsiaTheme="minorHAnsi" w:hAnsiTheme="minorHAnsi"/>
          <w:color w:val="000000"/>
        </w:rPr>
        <w:t>(</w:t>
      </w:r>
      <w:r w:rsidRPr="00394691">
        <w:rPr>
          <w:rFonts w:asciiTheme="minorHAnsi" w:eastAsiaTheme="minorHAnsi" w:hAnsiTheme="minorHAnsi"/>
          <w:color w:val="000000"/>
        </w:rPr>
        <w:t>10/84</w:t>
      </w:r>
      <w:r w:rsidR="00D074A0">
        <w:rPr>
          <w:rFonts w:asciiTheme="minorHAnsi" w:eastAsiaTheme="minorHAnsi" w:hAnsiTheme="minorHAnsi"/>
          <w:color w:val="000000"/>
        </w:rPr>
        <w:t>)</w:t>
      </w:r>
      <w:r w:rsidRPr="00394691">
        <w:rPr>
          <w:rFonts w:asciiTheme="minorHAnsi" w:eastAsiaTheme="minorHAnsi" w:hAnsiTheme="minorHAnsi"/>
          <w:color w:val="000000"/>
        </w:rPr>
        <w:t xml:space="preserve">). With respect to mutation category, the majority of subjects were </w:t>
      </w:r>
      <w:r w:rsidR="003D146C" w:rsidRPr="00394691">
        <w:rPr>
          <w:rFonts w:asciiTheme="minorHAnsi" w:eastAsiaTheme="minorHAnsi" w:hAnsiTheme="minorHAnsi"/>
          <w:color w:val="000000"/>
        </w:rPr>
        <w:t>heterozygous</w:t>
      </w:r>
      <w:r w:rsidRPr="00394691">
        <w:rPr>
          <w:rFonts w:asciiTheme="minorHAnsi" w:eastAsiaTheme="minorHAnsi" w:hAnsiTheme="minorHAnsi"/>
          <w:color w:val="000000"/>
        </w:rPr>
        <w:t xml:space="preserve"> common (51.2% </w:t>
      </w:r>
      <w:r w:rsidR="00D074A0">
        <w:rPr>
          <w:rFonts w:asciiTheme="minorHAnsi" w:eastAsiaTheme="minorHAnsi" w:hAnsiTheme="minorHAnsi"/>
          <w:color w:val="000000"/>
        </w:rPr>
        <w:t>(</w:t>
      </w:r>
      <w:r w:rsidRPr="00394691">
        <w:rPr>
          <w:rFonts w:asciiTheme="minorHAnsi" w:eastAsiaTheme="minorHAnsi" w:hAnsiTheme="minorHAnsi"/>
          <w:color w:val="000000"/>
        </w:rPr>
        <w:t>43/84</w:t>
      </w:r>
      <w:r w:rsidR="00D074A0">
        <w:rPr>
          <w:rFonts w:asciiTheme="minorHAnsi" w:eastAsiaTheme="minorHAnsi" w:hAnsiTheme="minorHAnsi"/>
          <w:color w:val="000000"/>
        </w:rPr>
        <w:t>)</w:t>
      </w:r>
      <w:r w:rsidRPr="00394691">
        <w:rPr>
          <w:rFonts w:asciiTheme="minorHAnsi" w:eastAsiaTheme="minorHAnsi" w:hAnsiTheme="minorHAnsi"/>
          <w:color w:val="000000"/>
        </w:rPr>
        <w:t xml:space="preserve">) as compared to </w:t>
      </w:r>
      <w:r w:rsidR="003D146C" w:rsidRPr="00394691">
        <w:rPr>
          <w:rFonts w:asciiTheme="minorHAnsi" w:eastAsiaTheme="minorHAnsi" w:hAnsiTheme="minorHAnsi"/>
          <w:color w:val="000000"/>
        </w:rPr>
        <w:t>homozygous</w:t>
      </w:r>
      <w:r w:rsidRPr="00394691">
        <w:rPr>
          <w:rFonts w:asciiTheme="minorHAnsi" w:eastAsiaTheme="minorHAnsi" w:hAnsiTheme="minorHAnsi"/>
          <w:color w:val="000000"/>
        </w:rPr>
        <w:t xml:space="preserve"> common (26.2% </w:t>
      </w:r>
      <w:r w:rsidR="00D074A0">
        <w:rPr>
          <w:rFonts w:asciiTheme="minorHAnsi" w:eastAsiaTheme="minorHAnsi" w:hAnsiTheme="minorHAnsi"/>
          <w:color w:val="000000"/>
        </w:rPr>
        <w:t>(</w:t>
      </w:r>
      <w:r w:rsidRPr="00394691">
        <w:rPr>
          <w:rFonts w:asciiTheme="minorHAnsi" w:eastAsiaTheme="minorHAnsi" w:hAnsiTheme="minorHAnsi"/>
          <w:color w:val="000000"/>
        </w:rPr>
        <w:t>22/84</w:t>
      </w:r>
      <w:r w:rsidR="00D074A0">
        <w:rPr>
          <w:rFonts w:asciiTheme="minorHAnsi" w:eastAsiaTheme="minorHAnsi" w:hAnsiTheme="minorHAnsi"/>
          <w:color w:val="000000"/>
        </w:rPr>
        <w:t>)</w:t>
      </w:r>
      <w:r w:rsidRPr="00394691">
        <w:rPr>
          <w:rFonts w:asciiTheme="minorHAnsi" w:eastAsiaTheme="minorHAnsi" w:hAnsiTheme="minorHAnsi"/>
          <w:color w:val="000000"/>
        </w:rPr>
        <w:t xml:space="preserve">) or having an </w:t>
      </w:r>
      <w:r w:rsidR="00F056E7">
        <w:rPr>
          <w:rFonts w:asciiTheme="minorHAnsi" w:eastAsiaTheme="minorHAnsi" w:hAnsiTheme="minorHAnsi"/>
          <w:color w:val="000000"/>
        </w:rPr>
        <w:t>‘</w:t>
      </w:r>
      <w:r w:rsidRPr="00394691">
        <w:rPr>
          <w:rFonts w:asciiTheme="minorHAnsi" w:eastAsiaTheme="minorHAnsi" w:hAnsiTheme="minorHAnsi"/>
          <w:color w:val="000000"/>
        </w:rPr>
        <w:t>Other</w:t>
      </w:r>
      <w:r w:rsidR="00F056E7">
        <w:rPr>
          <w:rFonts w:asciiTheme="minorHAnsi" w:eastAsiaTheme="minorHAnsi" w:hAnsiTheme="minorHAnsi"/>
          <w:color w:val="000000"/>
        </w:rPr>
        <w:t>’</w:t>
      </w:r>
      <w:r w:rsidRPr="00394691">
        <w:rPr>
          <w:rFonts w:asciiTheme="minorHAnsi" w:eastAsiaTheme="minorHAnsi" w:hAnsiTheme="minorHAnsi"/>
          <w:color w:val="000000"/>
        </w:rPr>
        <w:t xml:space="preserve"> mutation (22.6% </w:t>
      </w:r>
      <w:r w:rsidR="00D074A0">
        <w:rPr>
          <w:rFonts w:asciiTheme="minorHAnsi" w:eastAsiaTheme="minorHAnsi" w:hAnsiTheme="minorHAnsi"/>
          <w:color w:val="000000"/>
        </w:rPr>
        <w:t>(</w:t>
      </w:r>
      <w:r w:rsidRPr="00394691">
        <w:rPr>
          <w:rFonts w:asciiTheme="minorHAnsi" w:eastAsiaTheme="minorHAnsi" w:hAnsiTheme="minorHAnsi"/>
          <w:color w:val="000000"/>
        </w:rPr>
        <w:t>19/84</w:t>
      </w:r>
      <w:r w:rsidR="00D074A0">
        <w:rPr>
          <w:rFonts w:asciiTheme="minorHAnsi" w:eastAsiaTheme="minorHAnsi" w:hAnsiTheme="minorHAnsi"/>
          <w:color w:val="000000"/>
        </w:rPr>
        <w:t>)</w:t>
      </w:r>
      <w:r w:rsidRPr="00394691">
        <w:rPr>
          <w:rFonts w:asciiTheme="minorHAnsi" w:eastAsiaTheme="minorHAnsi" w:hAnsiTheme="minorHAnsi"/>
          <w:color w:val="000000"/>
        </w:rPr>
        <w:t xml:space="preserve">). For the Pooled Safety Set, the median age (range) at onset of LAL Deficiency symptoms was 4.58 (0.00 to 42.42) years and the median age (range) at first dose was 13.63 (0.08 to 59.25) years. The majority were (47/84 </w:t>
      </w:r>
      <w:r w:rsidR="00D074A0">
        <w:rPr>
          <w:rFonts w:asciiTheme="minorHAnsi" w:eastAsiaTheme="minorHAnsi" w:hAnsiTheme="minorHAnsi"/>
          <w:color w:val="000000"/>
        </w:rPr>
        <w:t>(</w:t>
      </w:r>
      <w:r w:rsidRPr="00394691">
        <w:rPr>
          <w:rFonts w:asciiTheme="minorHAnsi" w:eastAsiaTheme="minorHAnsi" w:hAnsiTheme="minorHAnsi"/>
          <w:color w:val="000000"/>
        </w:rPr>
        <w:t>56.0%</w:t>
      </w:r>
      <w:r w:rsidR="00D074A0">
        <w:rPr>
          <w:rFonts w:asciiTheme="minorHAnsi" w:eastAsiaTheme="minorHAnsi" w:hAnsiTheme="minorHAnsi"/>
          <w:color w:val="000000"/>
        </w:rPr>
        <w:t>)</w:t>
      </w:r>
      <w:r w:rsidRPr="00394691">
        <w:rPr>
          <w:rFonts w:asciiTheme="minorHAnsi" w:eastAsiaTheme="minorHAnsi" w:hAnsiTheme="minorHAnsi"/>
          <w:color w:val="000000"/>
        </w:rPr>
        <w:t>) paediatric subjects at the age of first dose; 24/84 (28.6%) were in the 2.00 to 12.00 years age group and 23/84 (27.4%) were in the 12.01 to 17.99 years age group. The remaining subjects were categorised as adults ≥</w:t>
      </w:r>
      <w:r w:rsidR="003D146C">
        <w:rPr>
          <w:rFonts w:asciiTheme="minorHAnsi" w:eastAsiaTheme="minorHAnsi" w:hAnsiTheme="minorHAnsi"/>
          <w:color w:val="000000"/>
        </w:rPr>
        <w:t xml:space="preserve"> </w:t>
      </w:r>
      <w:r w:rsidRPr="00394691">
        <w:rPr>
          <w:rFonts w:asciiTheme="minorHAnsi" w:eastAsiaTheme="minorHAnsi" w:hAnsiTheme="minorHAnsi"/>
          <w:color w:val="000000"/>
        </w:rPr>
        <w:t xml:space="preserve">18 years of age (28/84 </w:t>
      </w:r>
      <w:r w:rsidR="00D074A0">
        <w:rPr>
          <w:rFonts w:asciiTheme="minorHAnsi" w:eastAsiaTheme="minorHAnsi" w:hAnsiTheme="minorHAnsi"/>
          <w:color w:val="000000"/>
        </w:rPr>
        <w:t>(</w:t>
      </w:r>
      <w:r w:rsidRPr="00394691">
        <w:rPr>
          <w:rFonts w:asciiTheme="minorHAnsi" w:eastAsiaTheme="minorHAnsi" w:hAnsiTheme="minorHAnsi"/>
          <w:color w:val="000000"/>
        </w:rPr>
        <w:t>33.3%</w:t>
      </w:r>
      <w:r w:rsidR="00D074A0">
        <w:rPr>
          <w:rFonts w:asciiTheme="minorHAnsi" w:eastAsiaTheme="minorHAnsi" w:hAnsiTheme="minorHAnsi"/>
          <w:color w:val="000000"/>
        </w:rPr>
        <w:t>)</w:t>
      </w:r>
      <w:r w:rsidRPr="00394691">
        <w:rPr>
          <w:rFonts w:asciiTheme="minorHAnsi" w:eastAsiaTheme="minorHAnsi" w:hAnsiTheme="minorHAnsi"/>
          <w:color w:val="000000"/>
        </w:rPr>
        <w:t xml:space="preserve">) or infants </w:t>
      </w:r>
      <w:r w:rsidR="00A87AAC">
        <w:rPr>
          <w:rFonts w:asciiTheme="minorHAnsi" w:eastAsiaTheme="minorHAnsi" w:hAnsiTheme="minorHAnsi"/>
          <w:color w:val="000000"/>
        </w:rPr>
        <w:t xml:space="preserve">&lt; </w:t>
      </w:r>
      <w:r w:rsidRPr="00394691">
        <w:rPr>
          <w:rFonts w:asciiTheme="minorHAnsi" w:eastAsiaTheme="minorHAnsi" w:hAnsiTheme="minorHAnsi"/>
          <w:color w:val="000000"/>
        </w:rPr>
        <w:t>2 years of a</w:t>
      </w:r>
      <w:r w:rsidR="002912EE">
        <w:rPr>
          <w:rFonts w:asciiTheme="minorHAnsi" w:eastAsiaTheme="minorHAnsi" w:hAnsiTheme="minorHAnsi"/>
          <w:color w:val="000000"/>
        </w:rPr>
        <w:t xml:space="preserve">ge (9/84 </w:t>
      </w:r>
      <w:r w:rsidR="00D074A0">
        <w:rPr>
          <w:rFonts w:asciiTheme="minorHAnsi" w:eastAsiaTheme="minorHAnsi" w:hAnsiTheme="minorHAnsi"/>
          <w:color w:val="000000"/>
        </w:rPr>
        <w:t>(</w:t>
      </w:r>
      <w:r w:rsidR="002912EE">
        <w:rPr>
          <w:rFonts w:asciiTheme="minorHAnsi" w:eastAsiaTheme="minorHAnsi" w:hAnsiTheme="minorHAnsi"/>
          <w:color w:val="000000"/>
        </w:rPr>
        <w:t>10.7%</w:t>
      </w:r>
      <w:r w:rsidR="00D074A0">
        <w:rPr>
          <w:rFonts w:asciiTheme="minorHAnsi" w:eastAsiaTheme="minorHAnsi" w:hAnsiTheme="minorHAnsi"/>
          <w:color w:val="000000"/>
        </w:rPr>
        <w:t>)</w:t>
      </w:r>
      <w:r w:rsidR="002912EE">
        <w:rPr>
          <w:rFonts w:asciiTheme="minorHAnsi" w:eastAsiaTheme="minorHAnsi" w:hAnsiTheme="minorHAnsi"/>
          <w:color w:val="000000"/>
        </w:rPr>
        <w:t>) at first dose.</w:t>
      </w:r>
      <w:r w:rsidRPr="00394691">
        <w:rPr>
          <w:rFonts w:asciiTheme="minorHAnsi" w:eastAsiaTheme="minorHAnsi" w:hAnsiTheme="minorHAnsi"/>
          <w:color w:val="000000"/>
        </w:rPr>
        <w:t xml:space="preserve"> Similar demographics and baseline disease characteristics were observed in the D120 Safet</w:t>
      </w:r>
      <w:r w:rsidR="002912EE">
        <w:rPr>
          <w:rFonts w:asciiTheme="minorHAnsi" w:eastAsiaTheme="minorHAnsi" w:hAnsiTheme="minorHAnsi"/>
          <w:color w:val="000000"/>
        </w:rPr>
        <w:t>y Update set.</w:t>
      </w:r>
    </w:p>
    <w:p w14:paraId="4E3AC8F0" w14:textId="1EB659D3" w:rsidR="002912EE" w:rsidRDefault="00787F40" w:rsidP="00787F40">
      <w:pPr>
        <w:autoSpaceDE w:val="0"/>
        <w:autoSpaceDN w:val="0"/>
        <w:adjustRightInd w:val="0"/>
        <w:spacing w:before="0" w:line="240" w:lineRule="auto"/>
        <w:rPr>
          <w:rFonts w:eastAsiaTheme="minorHAnsi"/>
          <w:color w:val="000000"/>
        </w:rPr>
      </w:pPr>
      <w:r w:rsidRPr="00394691">
        <w:t>Overall, the most commonly used concomitant medications included pain relievers</w:t>
      </w:r>
      <w:r w:rsidRPr="008865CF">
        <w:t>/antipyretics (</w:t>
      </w:r>
      <w:r w:rsidR="00CC672B">
        <w:t>for example</w:t>
      </w:r>
      <w:r w:rsidRPr="008865CF">
        <w:t>, paracetamol and ibuprofen) and LLMs (</w:t>
      </w:r>
      <w:r w:rsidR="00CC672B">
        <w:t>for example</w:t>
      </w:r>
      <w:r w:rsidRPr="008865CF">
        <w:t>, simvastatin, atorvastatin, cholestyramine).</w:t>
      </w:r>
      <w:r>
        <w:t xml:space="preserve"> </w:t>
      </w:r>
      <w:r w:rsidRPr="008865CF">
        <w:t>Other concomitant medications of note included vitamin K and heparin (</w:t>
      </w:r>
      <w:r w:rsidR="00157E63">
        <w:t>Study</w:t>
      </w:r>
      <w:r w:rsidR="002912EE">
        <w:t> </w:t>
      </w:r>
      <w:r w:rsidRPr="008865CF">
        <w:t xml:space="preserve">LAL-CL03), and </w:t>
      </w:r>
      <w:proofErr w:type="spellStart"/>
      <w:r w:rsidRPr="008865CF">
        <w:t>ursodeoxycholic</w:t>
      </w:r>
      <w:proofErr w:type="spellEnd"/>
      <w:r w:rsidRPr="008865CF">
        <w:t xml:space="preserve"> acid (</w:t>
      </w:r>
      <w:r w:rsidR="00157E63">
        <w:t>Study</w:t>
      </w:r>
      <w:r w:rsidRPr="008865CF">
        <w:t xml:space="preserve"> LAL-CL01/CL04 and </w:t>
      </w:r>
      <w:r w:rsidR="00157E63">
        <w:t>Study</w:t>
      </w:r>
      <w:r w:rsidRPr="008865CF">
        <w:t xml:space="preserve"> LAL-CL02)</w:t>
      </w:r>
      <w:r w:rsidR="002912EE">
        <w:t xml:space="preserve">. </w:t>
      </w:r>
      <w:r w:rsidRPr="00394691">
        <w:rPr>
          <w:rFonts w:eastAsiaTheme="minorHAnsi"/>
          <w:color w:val="000000"/>
        </w:rPr>
        <w:t xml:space="preserve">Of the 84 subjects treated with </w:t>
      </w:r>
      <w:proofErr w:type="spellStart"/>
      <w:r w:rsidRPr="00394691">
        <w:rPr>
          <w:rFonts w:eastAsiaTheme="minorHAnsi"/>
          <w:color w:val="000000"/>
        </w:rPr>
        <w:t>sebelipase</w:t>
      </w:r>
      <w:proofErr w:type="spellEnd"/>
      <w:r w:rsidRPr="00394691">
        <w:rPr>
          <w:rFonts w:eastAsiaTheme="minorHAnsi"/>
          <w:color w:val="000000"/>
        </w:rPr>
        <w:t xml:space="preserve"> alfa in the Pooled Safety Set, 35 were using at least 1 LLM </w:t>
      </w:r>
      <w:r w:rsidR="00DE644C">
        <w:rPr>
          <w:rFonts w:eastAsiaTheme="minorHAnsi"/>
          <w:color w:val="000000"/>
        </w:rPr>
        <w:t>at Baseline</w:t>
      </w:r>
      <w:r w:rsidRPr="00394691">
        <w:rPr>
          <w:rFonts w:eastAsiaTheme="minorHAnsi"/>
          <w:color w:val="000000"/>
        </w:rPr>
        <w:t xml:space="preserve">, and 49 were not using an LLM </w:t>
      </w:r>
      <w:r w:rsidR="00DE644C">
        <w:rPr>
          <w:rFonts w:eastAsiaTheme="minorHAnsi"/>
          <w:color w:val="000000"/>
        </w:rPr>
        <w:t>at Baseline</w:t>
      </w:r>
      <w:r w:rsidRPr="00394691">
        <w:rPr>
          <w:rFonts w:eastAsiaTheme="minorHAnsi"/>
          <w:color w:val="000000"/>
        </w:rPr>
        <w:t xml:space="preserve">. Between the LLM dosing categories, median treatment durations and the numbers of infusions were similar </w:t>
      </w:r>
      <w:r w:rsidR="002912EE">
        <w:rPr>
          <w:rFonts w:eastAsiaTheme="minorHAnsi"/>
          <w:color w:val="000000"/>
        </w:rPr>
        <w:t>with the following exceptions:</w:t>
      </w:r>
    </w:p>
    <w:p w14:paraId="403B75BB" w14:textId="3252FD88" w:rsidR="002912EE" w:rsidRDefault="00787F40" w:rsidP="002912EE">
      <w:pPr>
        <w:pStyle w:val="ListBullet"/>
      </w:pPr>
      <w:r w:rsidRPr="00394691">
        <w:t xml:space="preserve">Median treatment duration for subjects treated using the 3 mg/kg </w:t>
      </w:r>
      <w:proofErr w:type="spellStart"/>
      <w:r w:rsidRPr="00394691">
        <w:t>qow</w:t>
      </w:r>
      <w:proofErr w:type="spellEnd"/>
      <w:r w:rsidRPr="00394691">
        <w:t xml:space="preserve"> dosing regimen was greater in subjects who were using LLMs </w:t>
      </w:r>
      <w:r w:rsidR="00DE644C">
        <w:t>at Baseline</w:t>
      </w:r>
      <w:r w:rsidRPr="00394691">
        <w:t xml:space="preserve"> (25.56 months) compared with subjects who were not using LLMs at </w:t>
      </w:r>
      <w:r>
        <w:t>b</w:t>
      </w:r>
      <w:r w:rsidR="002912EE">
        <w:t>aseline (17.58 months)</w:t>
      </w:r>
    </w:p>
    <w:p w14:paraId="442058E8" w14:textId="6EA304A7" w:rsidR="002912EE" w:rsidRDefault="00787F40" w:rsidP="002912EE">
      <w:pPr>
        <w:pStyle w:val="ListBullet"/>
      </w:pPr>
      <w:r w:rsidRPr="00394691">
        <w:lastRenderedPageBreak/>
        <w:t xml:space="preserve">Median treatment duration for subjects using the 3 mg kg </w:t>
      </w:r>
      <w:proofErr w:type="spellStart"/>
      <w:r w:rsidRPr="00394691">
        <w:t>qw</w:t>
      </w:r>
      <w:proofErr w:type="spellEnd"/>
      <w:r w:rsidRPr="00394691">
        <w:t xml:space="preserve"> dosing regimen was greater in subjects who were not using LLMs at Baseline (9.23 months) compared with subjects who were using LLMs at </w:t>
      </w:r>
      <w:r>
        <w:t>b</w:t>
      </w:r>
      <w:r w:rsidR="002912EE">
        <w:t>aseline (6.93 months)</w:t>
      </w:r>
    </w:p>
    <w:p w14:paraId="27FF8B2F" w14:textId="2FEA5CA6" w:rsidR="00787F40" w:rsidRPr="00394691" w:rsidRDefault="00787F40" w:rsidP="002912EE">
      <w:pPr>
        <w:pStyle w:val="ListBullet"/>
      </w:pPr>
      <w:proofErr w:type="gramStart"/>
      <w:r w:rsidRPr="00394691">
        <w:t>number</w:t>
      </w:r>
      <w:proofErr w:type="gramEnd"/>
      <w:r w:rsidRPr="00394691">
        <w:t xml:space="preserve"> of infusions administered using the 1 mg/kg </w:t>
      </w:r>
      <w:proofErr w:type="spellStart"/>
      <w:r w:rsidRPr="00394691">
        <w:t>qw</w:t>
      </w:r>
      <w:proofErr w:type="spellEnd"/>
      <w:r w:rsidRPr="00394691">
        <w:t xml:space="preserve"> dosing regimen was substantially greater in subje</w:t>
      </w:r>
      <w:r>
        <w:t>cts who were not using LLMs at b</w:t>
      </w:r>
      <w:r w:rsidRPr="00394691">
        <w:t>aseline (127) compared with s</w:t>
      </w:r>
      <w:r>
        <w:t xml:space="preserve">ubjects who were using LLMs </w:t>
      </w:r>
      <w:r w:rsidR="00DE644C">
        <w:t>at Baseline</w:t>
      </w:r>
      <w:r w:rsidRPr="00394691">
        <w:t xml:space="preserve"> (34).</w:t>
      </w:r>
    </w:p>
    <w:p w14:paraId="118B47D1" w14:textId="5734EEEF" w:rsidR="00B73619" w:rsidRPr="00805104" w:rsidRDefault="00787F40" w:rsidP="00805104">
      <w:r w:rsidRPr="00805104">
        <w:t xml:space="preserve">In the Pooled Safety Set, 84 subjects received </w:t>
      </w:r>
      <w:proofErr w:type="spellStart"/>
      <w:r w:rsidRPr="00805104">
        <w:t>sebelipase</w:t>
      </w:r>
      <w:proofErr w:type="spellEnd"/>
      <w:r w:rsidRPr="00805104">
        <w:t xml:space="preserve"> alfa treatment and 79/84 (94.0%) were actively continuing </w:t>
      </w:r>
      <w:proofErr w:type="spellStart"/>
      <w:r w:rsidRPr="00805104">
        <w:t>sebelipase</w:t>
      </w:r>
      <w:proofErr w:type="spellEnd"/>
      <w:r w:rsidRPr="00805104">
        <w:t xml:space="preserve"> alfa treatment as of the data cut-off. Three subjects (3/84 </w:t>
      </w:r>
      <w:r w:rsidR="00D074A0" w:rsidRPr="00805104">
        <w:t>(</w:t>
      </w:r>
      <w:r w:rsidRPr="00805104">
        <w:t>3.6%</w:t>
      </w:r>
      <w:r w:rsidR="00D074A0" w:rsidRPr="00805104">
        <w:t>)</w:t>
      </w:r>
      <w:r w:rsidRPr="00805104">
        <w:t xml:space="preserve">) died while on-treatment during </w:t>
      </w:r>
      <w:r w:rsidR="00157E63" w:rsidRPr="00805104">
        <w:t>Study</w:t>
      </w:r>
      <w:r w:rsidRPr="00805104">
        <w:t xml:space="preserve"> LAL-CL03. One subject discontinued from treatment in the </w:t>
      </w:r>
      <w:r w:rsidR="003F3AB4" w:rsidRPr="00805104">
        <w:t>double blind</w:t>
      </w:r>
      <w:r w:rsidRPr="00805104">
        <w:t xml:space="preserve"> period of </w:t>
      </w:r>
      <w:r w:rsidR="00157E63" w:rsidRPr="00805104">
        <w:t>Study</w:t>
      </w:r>
      <w:r w:rsidRPr="00805104">
        <w:t xml:space="preserve"> LAL-CL02 but remained in the </w:t>
      </w:r>
      <w:r w:rsidR="00C4359A" w:rsidRPr="00805104">
        <w:t>study</w:t>
      </w:r>
      <w:r w:rsidRPr="00805104">
        <w:t xml:space="preserve"> and was later successfully rechallenged and 1 subject from </w:t>
      </w:r>
      <w:r w:rsidR="00157E63" w:rsidRPr="00805104">
        <w:t>Study</w:t>
      </w:r>
      <w:r w:rsidRPr="00805104">
        <w:t xml:space="preserve"> LAL-CL01 did not continue treatment in extension </w:t>
      </w:r>
      <w:r w:rsidR="002912EE" w:rsidRPr="00805104">
        <w:t>S</w:t>
      </w:r>
      <w:r w:rsidR="00C4359A" w:rsidRPr="00805104">
        <w:t>tudy</w:t>
      </w:r>
      <w:r w:rsidR="002912EE" w:rsidRPr="00805104">
        <w:t> </w:t>
      </w:r>
      <w:r w:rsidRPr="00805104">
        <w:t>LAL-CL04</w:t>
      </w:r>
      <w:r w:rsidR="002912EE" w:rsidRPr="00805104">
        <w:t xml:space="preserve">. </w:t>
      </w:r>
      <w:r w:rsidRPr="00805104">
        <w:t xml:space="preserve">In the Updated Pooled Safety Set, 106 subjects received </w:t>
      </w:r>
      <w:proofErr w:type="spellStart"/>
      <w:r w:rsidRPr="00805104">
        <w:t>sebelipase</w:t>
      </w:r>
      <w:proofErr w:type="spellEnd"/>
      <w:r w:rsidRPr="00805104">
        <w:t xml:space="preserve"> alfa treatment, and 98 subjects (92.5%) were actively continuing </w:t>
      </w:r>
      <w:proofErr w:type="spellStart"/>
      <w:r w:rsidRPr="00805104">
        <w:t>sebelipase</w:t>
      </w:r>
      <w:proofErr w:type="spellEnd"/>
      <w:r w:rsidRPr="00805104">
        <w:t xml:space="preserve"> alfa treatment as of the data cut-off date. A total of 5 subjects died while on-treatment, including 3 infants in </w:t>
      </w:r>
      <w:r w:rsidR="00157E63" w:rsidRPr="00805104">
        <w:t>Study</w:t>
      </w:r>
      <w:r w:rsidRPr="00805104">
        <w:t xml:space="preserve"> LAL-CL03 who died prior to the data cut-off for the Pooled Safety Set and a further 2 infants, one each in </w:t>
      </w:r>
      <w:r w:rsidR="00157E63" w:rsidRPr="00805104">
        <w:t>Study</w:t>
      </w:r>
      <w:r w:rsidRPr="00805104">
        <w:t xml:space="preserve"> LAL-CL03 and </w:t>
      </w:r>
      <w:r w:rsidR="00157E63" w:rsidRPr="00805104">
        <w:t>Study</w:t>
      </w:r>
      <w:r w:rsidRPr="00805104">
        <w:t xml:space="preserve"> LAL-CL08, who died prior to the data cut-off for the Updated Pooled Safety Set. Except for these 5 deaths, no subjects terminated a </w:t>
      </w:r>
      <w:r w:rsidR="00C4359A" w:rsidRPr="00805104">
        <w:t>study</w:t>
      </w:r>
      <w:r w:rsidRPr="00805104">
        <w:t xml:space="preserve"> early </w:t>
      </w:r>
      <w:r w:rsidR="002912EE" w:rsidRPr="00805104">
        <w:t xml:space="preserve">(Table </w:t>
      </w:r>
      <w:r w:rsidR="00E45A80" w:rsidRPr="00805104">
        <w:t>25</w:t>
      </w:r>
      <w:r w:rsidRPr="00805104">
        <w:t>)</w:t>
      </w:r>
      <w:r w:rsidR="00B73619" w:rsidRPr="00805104">
        <w:t>.</w:t>
      </w:r>
    </w:p>
    <w:p w14:paraId="274EEA2E" w14:textId="77777777" w:rsidR="002912EE" w:rsidRDefault="002912EE" w:rsidP="002912EE">
      <w:pPr>
        <w:pStyle w:val="Tabletitle"/>
      </w:pPr>
      <w:r>
        <w:t xml:space="preserve">Table </w:t>
      </w:r>
      <w:r w:rsidR="00E45A80">
        <w:t>25:</w:t>
      </w:r>
      <w:r>
        <w:t xml:space="preserve"> Summary of subject disposition in the updated pooled safety set, by study and overall</w:t>
      </w:r>
    </w:p>
    <w:p w14:paraId="197AA49B" w14:textId="77777777" w:rsidR="002912EE" w:rsidRPr="00951F3F" w:rsidRDefault="00951F3F" w:rsidP="00951F3F">
      <w:r>
        <w:rPr>
          <w:noProof/>
          <w:lang w:eastAsia="en-AU"/>
        </w:rPr>
        <w:drawing>
          <wp:inline distT="0" distB="0" distL="0" distR="0" wp14:anchorId="065FAB96" wp14:editId="1F4647CD">
            <wp:extent cx="5731510" cy="4200046"/>
            <wp:effectExtent l="0" t="0" r="2540" b="0"/>
            <wp:docPr id="5" name="Picture 5" descr="Table 25: Summary of subject disposition in the updated pooled safety set, by study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4200046"/>
                    </a:xfrm>
                    <a:prstGeom prst="rect">
                      <a:avLst/>
                    </a:prstGeom>
                  </pic:spPr>
                </pic:pic>
              </a:graphicData>
            </a:graphic>
          </wp:inline>
        </w:drawing>
      </w:r>
    </w:p>
    <w:p w14:paraId="11098323" w14:textId="77777777" w:rsidR="00787F40" w:rsidRPr="002B27FB" w:rsidRDefault="00787F40" w:rsidP="00E66350">
      <w:pPr>
        <w:pStyle w:val="Heading3"/>
      </w:pPr>
      <w:bookmarkStart w:id="320" w:name="_Toc241374319"/>
      <w:bookmarkStart w:id="321" w:name="_Ref271044764"/>
      <w:bookmarkStart w:id="322" w:name="_Toc272414663"/>
      <w:bookmarkStart w:id="323" w:name="_Toc290888527"/>
      <w:bookmarkStart w:id="324" w:name="_Toc416353743"/>
      <w:bookmarkStart w:id="325" w:name="_Toc421005286"/>
      <w:bookmarkStart w:id="326" w:name="_Toc432079163"/>
      <w:bookmarkStart w:id="327" w:name="_Toc432080736"/>
      <w:bookmarkStart w:id="328" w:name="_Toc468957487"/>
      <w:bookmarkStart w:id="329" w:name="_Toc519670971"/>
      <w:r w:rsidRPr="002B27FB">
        <w:t>Adverse events</w:t>
      </w:r>
      <w:bookmarkEnd w:id="320"/>
      <w:bookmarkEnd w:id="321"/>
      <w:bookmarkEnd w:id="322"/>
      <w:bookmarkEnd w:id="323"/>
      <w:bookmarkEnd w:id="324"/>
      <w:bookmarkEnd w:id="325"/>
      <w:bookmarkEnd w:id="326"/>
      <w:bookmarkEnd w:id="327"/>
      <w:bookmarkEnd w:id="328"/>
      <w:bookmarkEnd w:id="329"/>
    </w:p>
    <w:p w14:paraId="34F88B5D" w14:textId="77777777" w:rsidR="00787F40" w:rsidRPr="00CF02C7" w:rsidRDefault="00787F40" w:rsidP="00787F40">
      <w:pPr>
        <w:spacing w:before="0" w:line="240" w:lineRule="auto"/>
      </w:pPr>
      <w:r w:rsidRPr="00CF02C7">
        <w:t>Adverse events for both the Pooled Safety Set and the Updated Pooled Safety Set were coded using the Medical Dictionary for Regulatory Activities (</w:t>
      </w:r>
      <w:proofErr w:type="spellStart"/>
      <w:r w:rsidRPr="00CF02C7">
        <w:t>MedDRA</w:t>
      </w:r>
      <w:proofErr w:type="spellEnd"/>
      <w:r w:rsidRPr="00CF02C7">
        <w:t>), Version 17.0.</w:t>
      </w:r>
    </w:p>
    <w:p w14:paraId="3E074AB9" w14:textId="77777777" w:rsidR="00787F40" w:rsidRPr="00545B14" w:rsidRDefault="00787F40" w:rsidP="00E66350">
      <w:pPr>
        <w:pStyle w:val="Heading4"/>
      </w:pPr>
      <w:bookmarkStart w:id="330" w:name="_Ref272317284"/>
      <w:bookmarkStart w:id="331" w:name="_Ref272333565"/>
      <w:bookmarkStart w:id="332" w:name="_Toc272414664"/>
      <w:bookmarkStart w:id="333" w:name="_Toc290888528"/>
      <w:bookmarkStart w:id="334" w:name="_Toc416353744"/>
      <w:bookmarkStart w:id="335" w:name="_Toc421005287"/>
      <w:bookmarkStart w:id="336" w:name="_Toc432079164"/>
      <w:bookmarkStart w:id="337" w:name="_Toc432080737"/>
      <w:bookmarkStart w:id="338" w:name="_Toc468957488"/>
      <w:r w:rsidRPr="00545B14">
        <w:lastRenderedPageBreak/>
        <w:t xml:space="preserve">All adverse events (irrespective of relationship to </w:t>
      </w:r>
      <w:r w:rsidR="00C4359A">
        <w:t>study</w:t>
      </w:r>
      <w:r w:rsidRPr="00545B14">
        <w:t xml:space="preserve"> treatment)</w:t>
      </w:r>
      <w:bookmarkEnd w:id="330"/>
      <w:bookmarkEnd w:id="331"/>
      <w:bookmarkEnd w:id="332"/>
      <w:bookmarkEnd w:id="333"/>
      <w:bookmarkEnd w:id="334"/>
      <w:bookmarkEnd w:id="335"/>
      <w:bookmarkEnd w:id="336"/>
      <w:bookmarkEnd w:id="337"/>
      <w:bookmarkEnd w:id="338"/>
    </w:p>
    <w:p w14:paraId="38CA702D" w14:textId="77777777" w:rsidR="00787F40" w:rsidRDefault="00787F40" w:rsidP="00E66350">
      <w:pPr>
        <w:pStyle w:val="Heading5"/>
      </w:pPr>
      <w:r w:rsidRPr="00073FEC">
        <w:t>Integrated safety analyses</w:t>
      </w:r>
    </w:p>
    <w:p w14:paraId="493E4770" w14:textId="77777777" w:rsidR="00CC672B" w:rsidRDefault="00787F40" w:rsidP="00E66350">
      <w:pPr>
        <w:pStyle w:val="Heading6"/>
        <w:rPr>
          <w:rFonts w:eastAsiaTheme="minorHAnsi"/>
        </w:rPr>
      </w:pPr>
      <w:r w:rsidRPr="007A05F8">
        <w:rPr>
          <w:rFonts w:eastAsiaTheme="minorHAnsi"/>
        </w:rPr>
        <w:t>Pooled safety set</w:t>
      </w:r>
    </w:p>
    <w:p w14:paraId="75476C66" w14:textId="5225F31A" w:rsidR="00787F40" w:rsidRPr="002514D1" w:rsidRDefault="00787F40" w:rsidP="00787F40">
      <w:pPr>
        <w:autoSpaceDE w:val="0"/>
        <w:autoSpaceDN w:val="0"/>
        <w:adjustRightInd w:val="0"/>
        <w:spacing w:before="0" w:line="240" w:lineRule="auto"/>
        <w:rPr>
          <w:rFonts w:asciiTheme="minorHAnsi" w:hAnsiTheme="minorHAnsi"/>
        </w:rPr>
      </w:pPr>
      <w:r w:rsidRPr="007A05F8">
        <w:rPr>
          <w:rFonts w:asciiTheme="minorHAnsi" w:eastAsiaTheme="minorHAnsi" w:hAnsiTheme="minorHAnsi"/>
          <w:color w:val="000000"/>
        </w:rPr>
        <w:t>Overall, 7</w:t>
      </w:r>
      <w:r w:rsidR="002912EE">
        <w:rPr>
          <w:rFonts w:asciiTheme="minorHAnsi" w:eastAsiaTheme="minorHAnsi" w:hAnsiTheme="minorHAnsi"/>
          <w:color w:val="000000"/>
        </w:rPr>
        <w:t xml:space="preserve">9.8% (67/84) of </w:t>
      </w:r>
      <w:proofErr w:type="spellStart"/>
      <w:r w:rsidR="002912EE">
        <w:rPr>
          <w:rFonts w:asciiTheme="minorHAnsi" w:eastAsiaTheme="minorHAnsi" w:hAnsiTheme="minorHAnsi"/>
          <w:color w:val="000000"/>
        </w:rPr>
        <w:t>sebelipase</w:t>
      </w:r>
      <w:proofErr w:type="spellEnd"/>
      <w:r w:rsidR="002912EE">
        <w:rPr>
          <w:rFonts w:asciiTheme="minorHAnsi" w:eastAsiaTheme="minorHAnsi" w:hAnsiTheme="minorHAnsi"/>
          <w:color w:val="000000"/>
        </w:rPr>
        <w:t xml:space="preserve"> alfa </w:t>
      </w:r>
      <w:r w:rsidRPr="007A05F8">
        <w:rPr>
          <w:rFonts w:asciiTheme="minorHAnsi" w:eastAsiaTheme="minorHAnsi" w:hAnsiTheme="minorHAnsi"/>
          <w:color w:val="000000"/>
        </w:rPr>
        <w:t>treated subjects in the Pooled Safety Set reported a TEAE. No major differences were observed regarding the timing of onset of events, including related TEAEs, from the start of infusion to within 4 or 24 hours after the end of infusion for subjects in the Pooled Safety Set</w:t>
      </w:r>
      <w:r w:rsidRPr="002912EE">
        <w:rPr>
          <w:rFonts w:asciiTheme="minorHAnsi" w:eastAsiaTheme="minorHAnsi" w:hAnsiTheme="minorHAnsi"/>
          <w:color w:val="000000"/>
        </w:rPr>
        <w:t>.</w:t>
      </w:r>
      <w:r w:rsidRPr="007A05F8">
        <w:rPr>
          <w:rFonts w:asciiTheme="minorHAnsi" w:eastAsiaTheme="minorHAnsi" w:hAnsiTheme="minorHAnsi"/>
          <w:color w:val="000000"/>
        </w:rPr>
        <w:t xml:space="preserve"> The majority of subjects reported TEAEs that were considered by the Investigator as not related to </w:t>
      </w:r>
      <w:proofErr w:type="spellStart"/>
      <w:r w:rsidRPr="007A05F8">
        <w:rPr>
          <w:rFonts w:asciiTheme="minorHAnsi" w:eastAsiaTheme="minorHAnsi" w:hAnsiTheme="minorHAnsi"/>
          <w:color w:val="000000"/>
        </w:rPr>
        <w:t>sebelipase</w:t>
      </w:r>
      <w:proofErr w:type="spellEnd"/>
      <w:r w:rsidRPr="007A05F8">
        <w:rPr>
          <w:rFonts w:asciiTheme="minorHAnsi" w:eastAsiaTheme="minorHAnsi" w:hAnsiTheme="minorHAnsi"/>
          <w:color w:val="000000"/>
        </w:rPr>
        <w:t xml:space="preserve"> alfa treatment (related TEAEs, 19/84 </w:t>
      </w:r>
      <w:r w:rsidR="00D074A0">
        <w:rPr>
          <w:rFonts w:asciiTheme="minorHAnsi" w:eastAsiaTheme="minorHAnsi" w:hAnsiTheme="minorHAnsi"/>
          <w:color w:val="000000"/>
        </w:rPr>
        <w:t>(</w:t>
      </w:r>
      <w:r w:rsidRPr="007A05F8">
        <w:rPr>
          <w:rFonts w:asciiTheme="minorHAnsi" w:eastAsiaTheme="minorHAnsi" w:hAnsiTheme="minorHAnsi"/>
          <w:color w:val="000000"/>
        </w:rPr>
        <w:t>22.6%</w:t>
      </w:r>
      <w:r w:rsidR="00D074A0">
        <w:rPr>
          <w:rFonts w:asciiTheme="minorHAnsi" w:eastAsiaTheme="minorHAnsi" w:hAnsiTheme="minorHAnsi"/>
          <w:color w:val="000000"/>
        </w:rPr>
        <w:t>)</w:t>
      </w:r>
      <w:r w:rsidRPr="007A05F8">
        <w:rPr>
          <w:rFonts w:asciiTheme="minorHAnsi" w:eastAsiaTheme="minorHAnsi" w:hAnsiTheme="minorHAnsi"/>
          <w:color w:val="000000"/>
        </w:rPr>
        <w:t xml:space="preserve">) and mild or moderate in severity (35/67 </w:t>
      </w:r>
      <w:r w:rsidR="00D074A0">
        <w:rPr>
          <w:rFonts w:asciiTheme="minorHAnsi" w:eastAsiaTheme="minorHAnsi" w:hAnsiTheme="minorHAnsi"/>
          <w:color w:val="000000"/>
        </w:rPr>
        <w:t>(</w:t>
      </w:r>
      <w:r w:rsidRPr="007A05F8">
        <w:rPr>
          <w:rFonts w:asciiTheme="minorHAnsi" w:eastAsiaTheme="minorHAnsi" w:hAnsiTheme="minorHAnsi"/>
          <w:color w:val="000000"/>
        </w:rPr>
        <w:t>41.7%</w:t>
      </w:r>
      <w:r w:rsidR="00D074A0">
        <w:rPr>
          <w:rFonts w:asciiTheme="minorHAnsi" w:eastAsiaTheme="minorHAnsi" w:hAnsiTheme="minorHAnsi"/>
          <w:color w:val="000000"/>
        </w:rPr>
        <w:t>)</w:t>
      </w:r>
      <w:r w:rsidRPr="007A05F8">
        <w:rPr>
          <w:rFonts w:asciiTheme="minorHAnsi" w:eastAsiaTheme="minorHAnsi" w:hAnsiTheme="minorHAnsi"/>
          <w:color w:val="000000"/>
        </w:rPr>
        <w:t xml:space="preserve"> and 18/67 </w:t>
      </w:r>
      <w:r w:rsidR="00D074A0">
        <w:rPr>
          <w:rFonts w:asciiTheme="minorHAnsi" w:eastAsiaTheme="minorHAnsi" w:hAnsiTheme="minorHAnsi"/>
          <w:color w:val="000000"/>
        </w:rPr>
        <w:t>(</w:t>
      </w:r>
      <w:r w:rsidRPr="007A05F8">
        <w:rPr>
          <w:rFonts w:asciiTheme="minorHAnsi" w:eastAsiaTheme="minorHAnsi" w:hAnsiTheme="minorHAnsi"/>
          <w:color w:val="000000"/>
        </w:rPr>
        <w:t>21.4%</w:t>
      </w:r>
      <w:r w:rsidR="00D074A0">
        <w:rPr>
          <w:rFonts w:asciiTheme="minorHAnsi" w:eastAsiaTheme="minorHAnsi" w:hAnsiTheme="minorHAnsi"/>
          <w:color w:val="000000"/>
        </w:rPr>
        <w:t>)</w:t>
      </w:r>
      <w:r w:rsidRPr="007A05F8">
        <w:rPr>
          <w:rFonts w:asciiTheme="minorHAnsi" w:eastAsiaTheme="minorHAnsi" w:hAnsiTheme="minorHAnsi"/>
          <w:color w:val="000000"/>
        </w:rPr>
        <w:t xml:space="preserve">, respectively); 14/84 (16.7%) subjects experienced severe TEAEs. </w:t>
      </w:r>
      <w:r>
        <w:rPr>
          <w:rFonts w:asciiTheme="minorHAnsi" w:eastAsiaTheme="minorHAnsi" w:hAnsiTheme="minorHAnsi"/>
          <w:color w:val="000000"/>
        </w:rPr>
        <w:t>M</w:t>
      </w:r>
      <w:r w:rsidRPr="007A05F8">
        <w:rPr>
          <w:rFonts w:asciiTheme="minorHAnsi" w:eastAsiaTheme="minorHAnsi" w:hAnsiTheme="minorHAnsi"/>
          <w:color w:val="000000"/>
        </w:rPr>
        <w:t xml:space="preserve">ajority of subjects in the Pooled Safety Set were receiving the 1 mg/kg dose (61/79 </w:t>
      </w:r>
      <w:r w:rsidR="00D074A0">
        <w:rPr>
          <w:rFonts w:asciiTheme="minorHAnsi" w:eastAsiaTheme="minorHAnsi" w:hAnsiTheme="minorHAnsi"/>
          <w:color w:val="000000"/>
        </w:rPr>
        <w:t>(</w:t>
      </w:r>
      <w:r w:rsidRPr="007A05F8">
        <w:rPr>
          <w:rFonts w:asciiTheme="minorHAnsi" w:eastAsiaTheme="minorHAnsi" w:hAnsiTheme="minorHAnsi"/>
          <w:color w:val="000000"/>
        </w:rPr>
        <w:t>77.2%</w:t>
      </w:r>
      <w:r w:rsidR="00D074A0">
        <w:rPr>
          <w:rFonts w:asciiTheme="minorHAnsi" w:eastAsiaTheme="minorHAnsi" w:hAnsiTheme="minorHAnsi"/>
          <w:color w:val="000000"/>
        </w:rPr>
        <w:t>)</w:t>
      </w:r>
      <w:r w:rsidRPr="007A05F8">
        <w:rPr>
          <w:rFonts w:asciiTheme="minorHAnsi" w:eastAsiaTheme="minorHAnsi" w:hAnsiTheme="minorHAnsi"/>
          <w:color w:val="000000"/>
        </w:rPr>
        <w:t xml:space="preserve">) at the time of any TEAE. For infants and adults in the 3 mg/kg dose group (8/84 </w:t>
      </w:r>
      <w:r w:rsidR="00D074A0">
        <w:rPr>
          <w:rFonts w:asciiTheme="minorHAnsi" w:eastAsiaTheme="minorHAnsi" w:hAnsiTheme="minorHAnsi"/>
          <w:color w:val="000000"/>
        </w:rPr>
        <w:t>(</w:t>
      </w:r>
      <w:r w:rsidRPr="007A05F8">
        <w:rPr>
          <w:rFonts w:asciiTheme="minorHAnsi" w:eastAsiaTheme="minorHAnsi" w:hAnsiTheme="minorHAnsi"/>
          <w:color w:val="000000"/>
        </w:rPr>
        <w:t>9.5%</w:t>
      </w:r>
      <w:r w:rsidR="00D074A0">
        <w:rPr>
          <w:rFonts w:asciiTheme="minorHAnsi" w:eastAsiaTheme="minorHAnsi" w:hAnsiTheme="minorHAnsi"/>
          <w:color w:val="000000"/>
        </w:rPr>
        <w:t>)</w:t>
      </w:r>
      <w:r w:rsidRPr="007A05F8">
        <w:rPr>
          <w:rFonts w:asciiTheme="minorHAnsi" w:eastAsiaTheme="minorHAnsi" w:hAnsiTheme="minorHAnsi"/>
          <w:color w:val="000000"/>
        </w:rPr>
        <w:t xml:space="preserve">) at the time of any TEAE, there was a higher incidence of SAEs, IARs, and </w:t>
      </w:r>
      <w:r w:rsidR="00EA7323">
        <w:rPr>
          <w:rFonts w:asciiTheme="minorHAnsi" w:eastAsiaTheme="minorHAnsi" w:hAnsiTheme="minorHAnsi"/>
          <w:color w:val="000000"/>
        </w:rPr>
        <w:t>treatment related</w:t>
      </w:r>
      <w:r w:rsidRPr="007A05F8">
        <w:rPr>
          <w:rFonts w:asciiTheme="minorHAnsi" w:eastAsiaTheme="minorHAnsi" w:hAnsiTheme="minorHAnsi"/>
          <w:color w:val="000000"/>
        </w:rPr>
        <w:t xml:space="preserve"> TEAEs as com</w:t>
      </w:r>
      <w:r>
        <w:rPr>
          <w:rFonts w:asciiTheme="minorHAnsi" w:eastAsiaTheme="minorHAnsi" w:hAnsiTheme="minorHAnsi"/>
          <w:color w:val="000000"/>
        </w:rPr>
        <w:t>pared to the 1 mg/kg dose group</w:t>
      </w:r>
      <w:r w:rsidRPr="007A05F8">
        <w:rPr>
          <w:rFonts w:asciiTheme="minorHAnsi" w:eastAsiaTheme="minorHAnsi" w:hAnsiTheme="minorHAnsi"/>
          <w:color w:val="000000"/>
        </w:rPr>
        <w:t xml:space="preserve">. Subjects in the 3 mg/kg dose group also experienced a higher incidence of TEAEs (related or not) within 4 and 24 hours from the end of infusion. </w:t>
      </w:r>
      <w:r>
        <w:rPr>
          <w:rFonts w:asciiTheme="minorHAnsi" w:eastAsiaTheme="minorHAnsi" w:hAnsiTheme="minorHAnsi"/>
          <w:color w:val="000000"/>
        </w:rPr>
        <w:t>These results may have been due to p</w:t>
      </w:r>
      <w:r w:rsidRPr="007A05F8">
        <w:rPr>
          <w:rFonts w:asciiTheme="minorHAnsi" w:eastAsiaTheme="minorHAnsi" w:hAnsiTheme="minorHAnsi"/>
          <w:color w:val="000000"/>
        </w:rPr>
        <w:t xml:space="preserve">redominance of infants with the more rapidly progressive disease (6/9 </w:t>
      </w:r>
      <w:r w:rsidR="00D074A0">
        <w:rPr>
          <w:rFonts w:asciiTheme="minorHAnsi" w:eastAsiaTheme="minorHAnsi" w:hAnsiTheme="minorHAnsi"/>
          <w:color w:val="000000"/>
        </w:rPr>
        <w:t>(</w:t>
      </w:r>
      <w:r w:rsidRPr="007A05F8">
        <w:rPr>
          <w:rFonts w:asciiTheme="minorHAnsi" w:eastAsiaTheme="minorHAnsi" w:hAnsiTheme="minorHAnsi"/>
          <w:color w:val="000000"/>
        </w:rPr>
        <w:t>66.7%</w:t>
      </w:r>
      <w:r w:rsidR="00D074A0">
        <w:rPr>
          <w:rFonts w:asciiTheme="minorHAnsi" w:eastAsiaTheme="minorHAnsi" w:hAnsiTheme="minorHAnsi"/>
          <w:color w:val="000000"/>
        </w:rPr>
        <w:t>)</w:t>
      </w:r>
      <w:r w:rsidRPr="007A05F8">
        <w:rPr>
          <w:rFonts w:asciiTheme="minorHAnsi" w:eastAsiaTheme="minorHAnsi" w:hAnsiTheme="minorHAnsi"/>
          <w:color w:val="000000"/>
        </w:rPr>
        <w:t xml:space="preserve">) in the 3 mg/kg dose group. The small number of subjects in the 0.35 mg/kg (2/84 </w:t>
      </w:r>
      <w:r w:rsidR="00D074A0">
        <w:rPr>
          <w:rFonts w:asciiTheme="minorHAnsi" w:eastAsiaTheme="minorHAnsi" w:hAnsiTheme="minorHAnsi"/>
          <w:color w:val="000000"/>
        </w:rPr>
        <w:t>(</w:t>
      </w:r>
      <w:r w:rsidRPr="007A05F8">
        <w:rPr>
          <w:rFonts w:asciiTheme="minorHAnsi" w:eastAsiaTheme="minorHAnsi" w:hAnsiTheme="minorHAnsi"/>
          <w:color w:val="000000"/>
        </w:rPr>
        <w:t>2.3%</w:t>
      </w:r>
      <w:r w:rsidR="00D074A0">
        <w:rPr>
          <w:rFonts w:asciiTheme="minorHAnsi" w:eastAsiaTheme="minorHAnsi" w:hAnsiTheme="minorHAnsi"/>
          <w:color w:val="000000"/>
        </w:rPr>
        <w:t>)</w:t>
      </w:r>
      <w:r w:rsidRPr="007A05F8">
        <w:rPr>
          <w:rFonts w:asciiTheme="minorHAnsi" w:eastAsiaTheme="minorHAnsi" w:hAnsiTheme="minorHAnsi"/>
          <w:color w:val="000000"/>
        </w:rPr>
        <w:t xml:space="preserve">) dose group precluded meaningful comparisons of this group with the other dose groups. </w:t>
      </w:r>
      <w:r w:rsidRPr="007A05F8">
        <w:rPr>
          <w:rFonts w:asciiTheme="minorHAnsi" w:hAnsiTheme="minorHAnsi"/>
        </w:rPr>
        <w:t xml:space="preserve">More than half the subjects in the Pooled Safety Set (59/84 </w:t>
      </w:r>
      <w:r w:rsidR="00D074A0">
        <w:rPr>
          <w:rFonts w:asciiTheme="minorHAnsi" w:hAnsiTheme="minorHAnsi"/>
        </w:rPr>
        <w:t>(</w:t>
      </w:r>
      <w:r w:rsidRPr="007A05F8">
        <w:rPr>
          <w:rFonts w:asciiTheme="minorHAnsi" w:hAnsiTheme="minorHAnsi"/>
        </w:rPr>
        <w:t>70.2%</w:t>
      </w:r>
      <w:r w:rsidR="00D074A0">
        <w:rPr>
          <w:rFonts w:asciiTheme="minorHAnsi" w:hAnsiTheme="minorHAnsi"/>
        </w:rPr>
        <w:t>)</w:t>
      </w:r>
      <w:r w:rsidRPr="007A05F8">
        <w:rPr>
          <w:rFonts w:asciiTheme="minorHAnsi" w:hAnsiTheme="minorHAnsi"/>
        </w:rPr>
        <w:t xml:space="preserve">) received treatment with </w:t>
      </w:r>
      <w:proofErr w:type="spellStart"/>
      <w:r w:rsidRPr="007A05F8">
        <w:rPr>
          <w:rFonts w:asciiTheme="minorHAnsi" w:hAnsiTheme="minorHAnsi"/>
        </w:rPr>
        <w:t>sebelipase</w:t>
      </w:r>
      <w:proofErr w:type="spellEnd"/>
      <w:r w:rsidRPr="007A05F8">
        <w:rPr>
          <w:rFonts w:asciiTheme="minorHAnsi" w:hAnsiTheme="minorHAnsi"/>
        </w:rPr>
        <w:t xml:space="preserve"> alfa for at least 26 weeks and </w:t>
      </w:r>
      <w:r>
        <w:rPr>
          <w:rFonts w:asciiTheme="minorHAnsi" w:hAnsiTheme="minorHAnsi"/>
        </w:rPr>
        <w:t xml:space="preserve">incidence of </w:t>
      </w:r>
      <w:r w:rsidRPr="007A05F8">
        <w:rPr>
          <w:rFonts w:asciiTheme="minorHAnsi" w:hAnsiTheme="minorHAnsi"/>
        </w:rPr>
        <w:t xml:space="preserve">TEAEs </w:t>
      </w:r>
      <w:r>
        <w:rPr>
          <w:rFonts w:asciiTheme="minorHAnsi" w:hAnsiTheme="minorHAnsi"/>
        </w:rPr>
        <w:t xml:space="preserve">in these patients was </w:t>
      </w:r>
      <w:r w:rsidRPr="007A05F8">
        <w:rPr>
          <w:rFonts w:asciiTheme="minorHAnsi" w:hAnsiTheme="minorHAnsi"/>
        </w:rPr>
        <w:t xml:space="preserve">similar to that of the Pooled Safety Set (43/59 </w:t>
      </w:r>
      <w:r w:rsidR="00D074A0">
        <w:rPr>
          <w:rFonts w:asciiTheme="minorHAnsi" w:hAnsiTheme="minorHAnsi"/>
        </w:rPr>
        <w:t>(</w:t>
      </w:r>
      <w:r w:rsidRPr="007A05F8">
        <w:rPr>
          <w:rFonts w:asciiTheme="minorHAnsi" w:hAnsiTheme="minorHAnsi"/>
        </w:rPr>
        <w:t>72.9%</w:t>
      </w:r>
      <w:r w:rsidR="00D074A0">
        <w:rPr>
          <w:rFonts w:asciiTheme="minorHAnsi" w:hAnsiTheme="minorHAnsi"/>
        </w:rPr>
        <w:t>)</w:t>
      </w:r>
      <w:r w:rsidRPr="007A05F8">
        <w:rPr>
          <w:rFonts w:asciiTheme="minorHAnsi" w:hAnsiTheme="minorHAnsi"/>
        </w:rPr>
        <w:t xml:space="preserve">). The incidence of </w:t>
      </w:r>
      <w:r w:rsidR="004D59E7">
        <w:rPr>
          <w:rFonts w:asciiTheme="minorHAnsi" w:hAnsiTheme="minorHAnsi"/>
        </w:rPr>
        <w:t>treatment emergent</w:t>
      </w:r>
      <w:r w:rsidRPr="007A05F8">
        <w:rPr>
          <w:rFonts w:asciiTheme="minorHAnsi" w:hAnsiTheme="minorHAnsi"/>
        </w:rPr>
        <w:t xml:space="preserve"> SAEs, IARs, and related TEAEs decreased steadily over time relative to </w:t>
      </w:r>
      <w:r w:rsidRPr="002514D1">
        <w:rPr>
          <w:rFonts w:asciiTheme="minorHAnsi" w:hAnsiTheme="minorHAnsi"/>
        </w:rPr>
        <w:t xml:space="preserve">length of </w:t>
      </w:r>
      <w:proofErr w:type="spellStart"/>
      <w:r w:rsidRPr="002514D1">
        <w:rPr>
          <w:rFonts w:asciiTheme="minorHAnsi" w:hAnsiTheme="minorHAnsi"/>
        </w:rPr>
        <w:t>sebelipase</w:t>
      </w:r>
      <w:proofErr w:type="spellEnd"/>
      <w:r w:rsidRPr="002514D1">
        <w:rPr>
          <w:rFonts w:asciiTheme="minorHAnsi" w:hAnsiTheme="minorHAnsi"/>
        </w:rPr>
        <w:t xml:space="preserve"> alfa treatment. Analysis of pooled data beyond 78 weeks should be interpreted with caution given the limited number of subjects in this category, most of whom were either infants in </w:t>
      </w:r>
      <w:r w:rsidR="00157E63">
        <w:rPr>
          <w:rFonts w:asciiTheme="minorHAnsi" w:hAnsiTheme="minorHAnsi"/>
        </w:rPr>
        <w:t>Study</w:t>
      </w:r>
      <w:r w:rsidRPr="002514D1">
        <w:rPr>
          <w:rFonts w:asciiTheme="minorHAnsi" w:hAnsiTheme="minorHAnsi"/>
        </w:rPr>
        <w:t xml:space="preserve"> LAL-CL03 or adults in </w:t>
      </w:r>
      <w:r w:rsidR="00157E63">
        <w:rPr>
          <w:rFonts w:asciiTheme="minorHAnsi" w:hAnsiTheme="minorHAnsi"/>
        </w:rPr>
        <w:t>Study</w:t>
      </w:r>
      <w:r w:rsidRPr="002514D1">
        <w:rPr>
          <w:rFonts w:asciiTheme="minorHAnsi" w:hAnsiTheme="minorHAnsi"/>
        </w:rPr>
        <w:t xml:space="preserve"> LAL-CL04.</w:t>
      </w:r>
    </w:p>
    <w:p w14:paraId="501687A7" w14:textId="74ABC6DB" w:rsidR="00787F40" w:rsidRPr="002514D1" w:rsidRDefault="00787F40" w:rsidP="00412570">
      <w:pPr>
        <w:rPr>
          <w:rFonts w:asciiTheme="minorHAnsi" w:hAnsiTheme="minorHAnsi"/>
        </w:rPr>
      </w:pPr>
      <w:r w:rsidRPr="002514D1">
        <w:t xml:space="preserve">The incidence of TEAEs occurred most frequently in the SOCs of Gastrointestinal Disorders (41/84 </w:t>
      </w:r>
      <w:r w:rsidR="00D074A0">
        <w:t>(</w:t>
      </w:r>
      <w:r w:rsidRPr="002514D1">
        <w:t>48.8%</w:t>
      </w:r>
      <w:r w:rsidR="00D074A0">
        <w:t>)</w:t>
      </w:r>
      <w:r w:rsidRPr="002514D1">
        <w:t xml:space="preserve">), Infections and Infestations (37/84 </w:t>
      </w:r>
      <w:r w:rsidR="00D074A0">
        <w:t>(</w:t>
      </w:r>
      <w:r w:rsidRPr="002514D1">
        <w:t>44.0%</w:t>
      </w:r>
      <w:r w:rsidR="00D074A0">
        <w:t>)</w:t>
      </w:r>
      <w:r w:rsidRPr="002514D1">
        <w:t xml:space="preserve">) and Respiratory, Thoracic and Mediastinal Disorders (33/84 </w:t>
      </w:r>
      <w:r w:rsidR="00D074A0">
        <w:t>(</w:t>
      </w:r>
      <w:r w:rsidRPr="002514D1">
        <w:t>39.3%</w:t>
      </w:r>
      <w:r w:rsidR="00D074A0">
        <w:t>)</w:t>
      </w:r>
      <w:r w:rsidRPr="002514D1">
        <w:t xml:space="preserve">). Across studies, the most frequently </w:t>
      </w:r>
      <w:r w:rsidR="00B847B9">
        <w:t>occurring TEAEs (≥ </w:t>
      </w:r>
      <w:r w:rsidRPr="002514D1">
        <w:t xml:space="preserve">10% of subjects in the Pooled Safety Set) were </w:t>
      </w:r>
      <w:r>
        <w:t>d</w:t>
      </w:r>
      <w:r w:rsidRPr="002514D1">
        <w:t xml:space="preserve">iarrhoea (23/84 </w:t>
      </w:r>
      <w:r w:rsidR="00D074A0">
        <w:t>(</w:t>
      </w:r>
      <w:r w:rsidRPr="002514D1">
        <w:t>27.4%</w:t>
      </w:r>
      <w:r w:rsidR="00D074A0">
        <w:t>)</w:t>
      </w:r>
      <w:r w:rsidRPr="002514D1">
        <w:t xml:space="preserve">), </w:t>
      </w:r>
      <w:r>
        <w:t>h</w:t>
      </w:r>
      <w:r w:rsidRPr="002514D1">
        <w:t xml:space="preserve">eadache (18/84 </w:t>
      </w:r>
      <w:r w:rsidR="00D074A0">
        <w:t>(</w:t>
      </w:r>
      <w:r w:rsidRPr="002514D1">
        <w:t>21.4%</w:t>
      </w:r>
      <w:r w:rsidR="00D074A0">
        <w:t>)</w:t>
      </w:r>
      <w:r w:rsidRPr="002514D1">
        <w:t xml:space="preserve">), </w:t>
      </w:r>
      <w:proofErr w:type="spellStart"/>
      <w:r>
        <w:t>n</w:t>
      </w:r>
      <w:r w:rsidRPr="002514D1">
        <w:t>a</w:t>
      </w:r>
      <w:r>
        <w:t>sopharyngitis</w:t>
      </w:r>
      <w:proofErr w:type="spellEnd"/>
      <w:r>
        <w:t xml:space="preserve"> (14/84 </w:t>
      </w:r>
      <w:r w:rsidR="00D074A0">
        <w:t>(</w:t>
      </w:r>
      <w:r>
        <w:t>16.7%</w:t>
      </w:r>
      <w:r w:rsidR="00D074A0">
        <w:t>)</w:t>
      </w:r>
      <w:r>
        <w:t xml:space="preserve">), cough (13/84 </w:t>
      </w:r>
      <w:r w:rsidR="00D074A0">
        <w:t>(</w:t>
      </w:r>
      <w:r>
        <w:t>15.5%</w:t>
      </w:r>
      <w:r w:rsidR="00D074A0">
        <w:t>)</w:t>
      </w:r>
      <w:r>
        <w:t>), p</w:t>
      </w:r>
      <w:r w:rsidRPr="002514D1">
        <w:t xml:space="preserve">yrexia (13/84 </w:t>
      </w:r>
      <w:r w:rsidR="00D074A0">
        <w:t>(</w:t>
      </w:r>
      <w:r w:rsidRPr="002514D1">
        <w:t>15.5%</w:t>
      </w:r>
      <w:r w:rsidR="00D074A0">
        <w:t>)</w:t>
      </w:r>
      <w:r w:rsidRPr="002514D1">
        <w:t xml:space="preserve">), </w:t>
      </w:r>
      <w:r>
        <w:t>v</w:t>
      </w:r>
      <w:r w:rsidRPr="002514D1">
        <w:t xml:space="preserve">omiting (13/84 </w:t>
      </w:r>
      <w:r w:rsidR="00D074A0">
        <w:t>(</w:t>
      </w:r>
      <w:r w:rsidRPr="002514D1">
        <w:t>15.5%</w:t>
      </w:r>
      <w:r w:rsidR="00D074A0">
        <w:t>)</w:t>
      </w:r>
      <w:r w:rsidRPr="002514D1">
        <w:t xml:space="preserve">), </w:t>
      </w:r>
      <w:r>
        <w:t>r</w:t>
      </w:r>
      <w:r w:rsidRPr="002514D1">
        <w:t xml:space="preserve">hinitis (11/84 </w:t>
      </w:r>
      <w:r w:rsidR="00D074A0">
        <w:t>(</w:t>
      </w:r>
      <w:r w:rsidRPr="002514D1">
        <w:t>13.1%</w:t>
      </w:r>
      <w:r w:rsidR="00D074A0">
        <w:t>)</w:t>
      </w:r>
      <w:r w:rsidRPr="002514D1">
        <w:t xml:space="preserve">), </w:t>
      </w:r>
      <w:r>
        <w:t>u</w:t>
      </w:r>
      <w:r w:rsidRPr="002514D1">
        <w:t xml:space="preserve">pper respiratory tract infection (11/84 </w:t>
      </w:r>
      <w:r w:rsidR="00D074A0">
        <w:t>(</w:t>
      </w:r>
      <w:r w:rsidRPr="002514D1">
        <w:t>13.1%</w:t>
      </w:r>
      <w:r w:rsidR="00D074A0">
        <w:t>)</w:t>
      </w:r>
      <w:r w:rsidRPr="002514D1">
        <w:t xml:space="preserve">), </w:t>
      </w:r>
      <w:r>
        <w:t>a</w:t>
      </w:r>
      <w:r w:rsidRPr="002514D1">
        <w:t xml:space="preserve">bdominal pain (10/84 </w:t>
      </w:r>
      <w:r w:rsidR="00D074A0">
        <w:t>(</w:t>
      </w:r>
      <w:r w:rsidRPr="002514D1">
        <w:t>11.9%</w:t>
      </w:r>
      <w:r w:rsidR="00D074A0">
        <w:t>)</w:t>
      </w:r>
      <w:r w:rsidRPr="002514D1">
        <w:t xml:space="preserve">), </w:t>
      </w:r>
      <w:r>
        <w:t>n</w:t>
      </w:r>
      <w:r w:rsidRPr="002514D1">
        <w:t xml:space="preserve">ausea (10/84 </w:t>
      </w:r>
      <w:r w:rsidR="00D074A0">
        <w:t>(</w:t>
      </w:r>
      <w:r w:rsidRPr="002514D1">
        <w:t>11.9%</w:t>
      </w:r>
      <w:r w:rsidR="00D074A0">
        <w:t>)</w:t>
      </w:r>
      <w:r w:rsidRPr="002514D1">
        <w:t xml:space="preserve">), </w:t>
      </w:r>
      <w:r>
        <w:t>a</w:t>
      </w:r>
      <w:r w:rsidRPr="002514D1">
        <w:t xml:space="preserve">bdominal pain upper (9/84 </w:t>
      </w:r>
      <w:r w:rsidR="00D074A0">
        <w:t>(</w:t>
      </w:r>
      <w:r w:rsidRPr="002514D1">
        <w:t>10.7%</w:t>
      </w:r>
      <w:r w:rsidR="00D074A0">
        <w:t>)</w:t>
      </w:r>
      <w:r w:rsidRPr="002514D1">
        <w:t xml:space="preserve">) and </w:t>
      </w:r>
      <w:r>
        <w:t>o</w:t>
      </w:r>
      <w:r w:rsidRPr="002514D1">
        <w:t xml:space="preserve">ropharyngeal </w:t>
      </w:r>
      <w:r>
        <w:t>p</w:t>
      </w:r>
      <w:r w:rsidRPr="002514D1">
        <w:t xml:space="preserve">ain (9/84 </w:t>
      </w:r>
      <w:r w:rsidR="00D074A0">
        <w:t>(</w:t>
      </w:r>
      <w:r w:rsidRPr="002514D1">
        <w:t>10.7%</w:t>
      </w:r>
      <w:r w:rsidR="00D074A0">
        <w:t>)</w:t>
      </w:r>
      <w:r w:rsidRPr="002514D1">
        <w:t>).</w:t>
      </w:r>
    </w:p>
    <w:p w14:paraId="0B5F0297" w14:textId="77777777" w:rsidR="00B847B9" w:rsidRDefault="00B847B9" w:rsidP="00B847B9">
      <w:pPr>
        <w:pStyle w:val="Heading6"/>
      </w:pPr>
      <w:r>
        <w:t>Updated pooled safety set</w:t>
      </w:r>
    </w:p>
    <w:p w14:paraId="56F30411" w14:textId="77777777" w:rsidR="00787F40" w:rsidRPr="00412570" w:rsidRDefault="00787F40" w:rsidP="00412570">
      <w:r w:rsidRPr="00412570">
        <w:t xml:space="preserve">Overall, the cumulative TEAE data for the Updated Pooled Safety Set were consistent with the TEAE data reported for the Pooled Safety Set. Overall, 84.0% of </w:t>
      </w:r>
      <w:proofErr w:type="spellStart"/>
      <w:r w:rsidRPr="00412570">
        <w:t>sebelipase</w:t>
      </w:r>
      <w:proofErr w:type="spellEnd"/>
      <w:r w:rsidRPr="00412570">
        <w:t xml:space="preserve"> alfa-treated subjects reported a TEAE (only 29.2% of subjects reported </w:t>
      </w:r>
      <w:r w:rsidR="00EA7323" w:rsidRPr="00412570">
        <w:t>treatment related</w:t>
      </w:r>
      <w:r w:rsidRPr="00412570">
        <w:t xml:space="preserve"> AEs) there were no major differences in the timing of onset of TEAEs, including related TEAEs, from the start of infusion to within 4 hours of, or 24 hours after the end of infusion, and the majority of subjects reported TEAEs that were mild or moderate in severity (33.0% of subjects for each category), with severe TEAEs reported </w:t>
      </w:r>
      <w:r w:rsidR="00B847B9" w:rsidRPr="00412570">
        <w:t>by 19 subjects (17.9%).</w:t>
      </w:r>
      <w:r w:rsidRPr="00412570">
        <w:t xml:space="preserve"> The most frequently occurring TEAEs in the Updated Pooled Safety Set (≥</w:t>
      </w:r>
      <w:r w:rsidR="00B847B9" w:rsidRPr="00412570">
        <w:t xml:space="preserve"> </w:t>
      </w:r>
      <w:r w:rsidRPr="00412570">
        <w:t>10% of subjects) by PT were</w:t>
      </w:r>
      <w:r w:rsidR="00CC672B" w:rsidRPr="00412570">
        <w:t xml:space="preserve"> </w:t>
      </w:r>
      <w:r w:rsidRPr="00412570">
        <w:t>diarrhoea</w:t>
      </w:r>
      <w:r w:rsidR="00CC672B" w:rsidRPr="00412570">
        <w:t xml:space="preserve"> </w:t>
      </w:r>
      <w:r w:rsidRPr="00412570">
        <w:t xml:space="preserve">(28.3%), pyrexia (24.5%), headache (23.6%), </w:t>
      </w:r>
      <w:proofErr w:type="spellStart"/>
      <w:r w:rsidRPr="00412570">
        <w:t>nasopharyngitis</w:t>
      </w:r>
      <w:proofErr w:type="spellEnd"/>
      <w:r w:rsidRPr="00412570">
        <w:t xml:space="preserve"> (22.6%), cough (21.7%), vomiting (17.9%), rhinitis (17.0%), upper respiratory tract infection (16.0%), abdominal pain (15.1%), nausea (12.3%), oropharyngeal pain (12.3%),</w:t>
      </w:r>
      <w:r w:rsidR="00CC672B" w:rsidRPr="00412570">
        <w:t xml:space="preserve"> </w:t>
      </w:r>
      <w:r w:rsidRPr="00412570">
        <w:t xml:space="preserve">rhinorrhoea (11.3%), abdominal pain upper (10.4%) and gastroenteritis (10.4%). These TEAEs were also among the most frequently occurring TEAEs in the Pooled Safety Set (≥ 10% of subjects), with the exception of Rhinorrhoea and Gastroenteritis, which were reported by 7.1% and 4.8% of subjects, respectively, in the Pooled Safety Set. Compared with children and adults from Studies LAL-CL01/LAL-CL04, LAL-CL02, and LAL-CL06, infants from Studies LAL-CL03 and LAL-CL08 had notably higher frequencies of TEAEs in the SOCs of Blood and Lymphatic System Disorders, Cardiac Disorders, Investigations, Metabolism and Nutrition </w:t>
      </w:r>
      <w:r w:rsidRPr="00412570">
        <w:lastRenderedPageBreak/>
        <w:t xml:space="preserve">Disorders, and Skin and Subcutaneous Disorders. However, the numbers of subjects in the infant studies are low, so comparisons across studies must be interpreted with caution </w:t>
      </w:r>
      <w:r w:rsidR="00893412" w:rsidRPr="00412570">
        <w:t xml:space="preserve">(Table </w:t>
      </w:r>
      <w:r w:rsidR="00E45A80" w:rsidRPr="00412570">
        <w:t>26</w:t>
      </w:r>
      <w:r w:rsidRPr="00412570">
        <w:t>).</w:t>
      </w:r>
    </w:p>
    <w:p w14:paraId="43EFD645" w14:textId="77777777" w:rsidR="00B847B9" w:rsidRDefault="00B847B9" w:rsidP="00893412">
      <w:pPr>
        <w:pStyle w:val="Tabletitle"/>
      </w:pPr>
      <w:r>
        <w:t xml:space="preserve">Table </w:t>
      </w:r>
      <w:r w:rsidR="00E45A80">
        <w:t>26</w:t>
      </w:r>
      <w:r>
        <w:t>: Incidence of common treatment emergent adverse events (</w:t>
      </w:r>
      <w:r w:rsidR="00893412">
        <w:t>occurring in ≥ 4 subjects by preferred term) regardless of causality in the updated pooled safety set, by study and overall</w:t>
      </w:r>
    </w:p>
    <w:p w14:paraId="62FBE397" w14:textId="77777777" w:rsidR="00951F3F" w:rsidRPr="00951F3F" w:rsidRDefault="00951F3F" w:rsidP="00951F3F">
      <w:r>
        <w:rPr>
          <w:noProof/>
          <w:lang w:eastAsia="en-AU"/>
        </w:rPr>
        <w:drawing>
          <wp:inline distT="0" distB="0" distL="0" distR="0" wp14:anchorId="663D40B0" wp14:editId="56E78923">
            <wp:extent cx="5731510" cy="6270982"/>
            <wp:effectExtent l="0" t="0" r="2540" b="0"/>
            <wp:docPr id="10" name="Picture 10" descr="Table 26: Incidence of common treatment emergent adverse events (occurring in ≥ 4 subjects by preferred term) regardless of causality in the updated pooled safety set, by study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6270982"/>
                    </a:xfrm>
                    <a:prstGeom prst="rect">
                      <a:avLst/>
                    </a:prstGeom>
                  </pic:spPr>
                </pic:pic>
              </a:graphicData>
            </a:graphic>
          </wp:inline>
        </w:drawing>
      </w:r>
    </w:p>
    <w:p w14:paraId="7456FF7A" w14:textId="77777777" w:rsidR="00951F3F" w:rsidRDefault="00951F3F" w:rsidP="00951F3F">
      <w:pPr>
        <w:pStyle w:val="Tabletitle"/>
      </w:pPr>
      <w:r>
        <w:lastRenderedPageBreak/>
        <w:t>Table 26 continued: Incidence of common treatment emergent adverse events (occurring in ≥ 4 subjects by preferred term) regardless of causality in the updated pooled safety set, by study and overall</w:t>
      </w:r>
    </w:p>
    <w:p w14:paraId="4893F38A" w14:textId="77777777" w:rsidR="00893412" w:rsidRPr="00F66D71" w:rsidRDefault="00951F3F" w:rsidP="00893412">
      <w:r>
        <w:rPr>
          <w:noProof/>
          <w:lang w:eastAsia="en-AU"/>
        </w:rPr>
        <w:drawing>
          <wp:inline distT="0" distB="0" distL="0" distR="0" wp14:anchorId="0B84DE75" wp14:editId="0356E0B6">
            <wp:extent cx="5731510" cy="3184172"/>
            <wp:effectExtent l="0" t="0" r="2540" b="0"/>
            <wp:docPr id="9" name="Picture 9" descr="Table 26 continued: Incidence of common treatment emergent adverse events (occurring in ≥ 4 subjects by preferred term) regardless of causality in the updated pooled safety set, by study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3184172"/>
                    </a:xfrm>
                    <a:prstGeom prst="rect">
                      <a:avLst/>
                    </a:prstGeom>
                  </pic:spPr>
                </pic:pic>
              </a:graphicData>
            </a:graphic>
          </wp:inline>
        </w:drawing>
      </w:r>
    </w:p>
    <w:p w14:paraId="6EF2D7A9" w14:textId="6406613B" w:rsidR="00B73619" w:rsidRPr="00B744F4" w:rsidRDefault="00787F40" w:rsidP="00412570">
      <w:r w:rsidRPr="00412570">
        <w:t xml:space="preserve">Subjects in the 3 mg/kg dose group (comprising infants from </w:t>
      </w:r>
      <w:r w:rsidR="00157E63" w:rsidRPr="00412570">
        <w:t>Study</w:t>
      </w:r>
      <w:r w:rsidRPr="00412570">
        <w:t xml:space="preserve"> LAL-CL03 and adults from </w:t>
      </w:r>
      <w:r w:rsidR="00157E63" w:rsidRPr="00412570">
        <w:t>Study</w:t>
      </w:r>
      <w:r w:rsidRPr="00412570">
        <w:t xml:space="preserve"> LAL-CL01/LAL-CL04) experienced a higher incidence of common TEAEs as compared to the other dose groups and the Pooled Safety Set in the SOCs of </w:t>
      </w:r>
      <w:r w:rsidR="00EF53B7" w:rsidRPr="00412570">
        <w:t>gastrointestinal disorders and infections and infestations</w:t>
      </w:r>
      <w:r w:rsidRPr="00412570">
        <w:t xml:space="preserve"> (8/9 </w:t>
      </w:r>
      <w:r w:rsidR="00D074A0" w:rsidRPr="00412570">
        <w:t>(</w:t>
      </w:r>
      <w:r w:rsidRPr="00412570">
        <w:t>88.9%</w:t>
      </w:r>
      <w:r w:rsidR="00D074A0" w:rsidRPr="00412570">
        <w:t>)</w:t>
      </w:r>
      <w:r w:rsidRPr="00412570">
        <w:t xml:space="preserve"> each</w:t>
      </w:r>
      <w:r w:rsidR="00EF53B7" w:rsidRPr="00412570">
        <w:t>), investigations and skin and subcutaneous disorder</w:t>
      </w:r>
      <w:r w:rsidRPr="00412570">
        <w:t xml:space="preserve">s (7/9 </w:t>
      </w:r>
      <w:r w:rsidR="00D074A0" w:rsidRPr="00412570">
        <w:t>(</w:t>
      </w:r>
      <w:r w:rsidRPr="00412570">
        <w:t>77.8%</w:t>
      </w:r>
      <w:r w:rsidR="00D074A0" w:rsidRPr="00412570">
        <w:t>)</w:t>
      </w:r>
      <w:r w:rsidRPr="00412570">
        <w:t xml:space="preserve"> each), </w:t>
      </w:r>
      <w:r w:rsidR="00EF53B7" w:rsidRPr="00412570">
        <w:t xml:space="preserve">and respiratory, thoracic and mediastinal disorders </w:t>
      </w:r>
      <w:r w:rsidRPr="00412570">
        <w:t xml:space="preserve">(6/9 </w:t>
      </w:r>
      <w:r w:rsidR="00D074A0" w:rsidRPr="00412570">
        <w:t>(</w:t>
      </w:r>
      <w:r w:rsidRPr="00412570">
        <w:t>66.7%</w:t>
      </w:r>
      <w:r w:rsidR="00D074A0" w:rsidRPr="00412570">
        <w:t>)</w:t>
      </w:r>
      <w:r w:rsidRPr="00412570">
        <w:t>) (</w:t>
      </w:r>
      <w:r w:rsidR="00B0095E" w:rsidRPr="00412570">
        <w:t xml:space="preserve">Table </w:t>
      </w:r>
      <w:r w:rsidR="00E45A80" w:rsidRPr="00412570">
        <w:t>27</w:t>
      </w:r>
      <w:r w:rsidR="00B0095E" w:rsidRPr="00412570">
        <w:t xml:space="preserve">). </w:t>
      </w:r>
      <w:r w:rsidRPr="00412570">
        <w:t xml:space="preserve">The most frequently reported TEAEs in the 3 mg/kg dose group as compared to the other dose groups and the Pooled Safety Set included vomiting (6/9 </w:t>
      </w:r>
      <w:r w:rsidR="00D074A0" w:rsidRPr="00B744F4">
        <w:t>(</w:t>
      </w:r>
      <w:r w:rsidRPr="00B744F4">
        <w:t>66.7%</w:t>
      </w:r>
      <w:r w:rsidR="00D074A0" w:rsidRPr="00B744F4">
        <w:t>)</w:t>
      </w:r>
      <w:r w:rsidRPr="00B744F4">
        <w:t xml:space="preserve">), cough (4/9 </w:t>
      </w:r>
      <w:r w:rsidR="00D074A0" w:rsidRPr="00B744F4">
        <w:t>(</w:t>
      </w:r>
      <w:r w:rsidRPr="00B744F4">
        <w:t>44.4%</w:t>
      </w:r>
      <w:r w:rsidR="00D074A0" w:rsidRPr="00B744F4">
        <w:t>)</w:t>
      </w:r>
      <w:r w:rsidRPr="00B744F4">
        <w:t xml:space="preserve">), diarrhoea (4/9 </w:t>
      </w:r>
      <w:r w:rsidR="00D074A0" w:rsidRPr="00B744F4">
        <w:t>(</w:t>
      </w:r>
      <w:r w:rsidRPr="00B744F4">
        <w:t>44.4%</w:t>
      </w:r>
      <w:r w:rsidR="00D074A0" w:rsidRPr="00B744F4">
        <w:t>)</w:t>
      </w:r>
      <w:r w:rsidRPr="00B744F4">
        <w:t xml:space="preserve">), pyrexia (4/9 </w:t>
      </w:r>
      <w:r w:rsidR="00D074A0" w:rsidRPr="00B744F4">
        <w:t>(</w:t>
      </w:r>
      <w:r w:rsidRPr="00B744F4">
        <w:t>44.4%</w:t>
      </w:r>
      <w:r w:rsidR="00D074A0" w:rsidRPr="00B744F4">
        <w:t>)</w:t>
      </w:r>
      <w:r w:rsidRPr="00B744F4">
        <w:t xml:space="preserve">), and rhinitis (4/9 </w:t>
      </w:r>
      <w:r w:rsidR="00D074A0" w:rsidRPr="00B744F4">
        <w:t>(</w:t>
      </w:r>
      <w:r w:rsidRPr="00B744F4">
        <w:t>44.4%</w:t>
      </w:r>
      <w:r w:rsidR="00D074A0" w:rsidRPr="00B744F4">
        <w:t>)</w:t>
      </w:r>
      <w:r w:rsidRPr="00B744F4">
        <w:t xml:space="preserve">). With the exception of diarrhoea, which was reported at a similar incidence in infants in </w:t>
      </w:r>
      <w:r w:rsidR="00157E63" w:rsidRPr="00B744F4">
        <w:t>Study</w:t>
      </w:r>
      <w:r w:rsidRPr="00B744F4">
        <w:t xml:space="preserve"> LAL-CL03 and adults in </w:t>
      </w:r>
      <w:r w:rsidR="00157E63" w:rsidRPr="00B744F4">
        <w:t>Study</w:t>
      </w:r>
      <w:r w:rsidRPr="00B744F4">
        <w:t xml:space="preserve"> LAL-CL01/LAL-CL04, the other most commonly reported TEAEs were more frequently reported in infants than adults in this dose group. The distribution of very common (≥ 10% of subjects) TEAEs among the dose groups was similar to the incidence for common TEAEs with the 3 mg/kg dose group reporting the highest incidence of very common TEAEs Overall, the occurrence of TEAEs remained relatively consistent across treatment periods through at least 130 weeks of treatment, and ranged from 41/84 (48.8%) subjects through </w:t>
      </w:r>
      <w:r w:rsidR="00A87AAC" w:rsidRPr="00B744F4">
        <w:t xml:space="preserve">&lt; </w:t>
      </w:r>
      <w:r w:rsidRPr="00B744F4">
        <w:t xml:space="preserve">4 weeks of treatment to 17/21 (81.0%) subjects through </w:t>
      </w:r>
      <w:r w:rsidR="00A87AAC" w:rsidRPr="00B744F4">
        <w:t xml:space="preserve">&lt; </w:t>
      </w:r>
      <w:r w:rsidR="00B0095E" w:rsidRPr="00B744F4">
        <w:t xml:space="preserve">52 weeks of treatment. </w:t>
      </w:r>
      <w:r w:rsidRPr="00B744F4">
        <w:t xml:space="preserve">Only 10 subjects received treatment for at least 78 weeks (infants from </w:t>
      </w:r>
      <w:r w:rsidR="00157E63" w:rsidRPr="00B744F4">
        <w:t>Study</w:t>
      </w:r>
      <w:r w:rsidR="00B0095E" w:rsidRPr="00B744F4">
        <w:t xml:space="preserve"> LAL</w:t>
      </w:r>
      <w:r w:rsidR="00B0095E" w:rsidRPr="00B744F4">
        <w:noBreakHyphen/>
      </w:r>
      <w:r w:rsidRPr="00B744F4">
        <w:t xml:space="preserve">CL03 and adults from </w:t>
      </w:r>
      <w:r w:rsidR="00157E63" w:rsidRPr="00B744F4">
        <w:t>Study</w:t>
      </w:r>
      <w:r w:rsidRPr="00B744F4">
        <w:t xml:space="preserve"> LAL-CL01/CL04), and the small numbers of</w:t>
      </w:r>
      <w:r w:rsidR="00CC672B" w:rsidRPr="00B744F4">
        <w:t xml:space="preserve"> </w:t>
      </w:r>
      <w:r w:rsidRPr="00B744F4">
        <w:t xml:space="preserve">subjects included in each of the subsequent time periods prevented meaningful comparisons of these time periods to the earlier time periods. </w:t>
      </w:r>
      <w:proofErr w:type="gramStart"/>
      <w:r w:rsidRPr="00B744F4">
        <w:t>In the Pooled Safety Set, 35/84 (41.7</w:t>
      </w:r>
      <w:r w:rsidR="00EF53B7" w:rsidRPr="00B744F4">
        <w:t>%) subjects reported at least 1 </w:t>
      </w:r>
      <w:r w:rsidRPr="00B744F4">
        <w:t>TEAE during and ≤</w:t>
      </w:r>
      <w:r w:rsidR="00B0095E" w:rsidRPr="00B744F4">
        <w:t xml:space="preserve"> </w:t>
      </w:r>
      <w:r w:rsidRPr="00B744F4">
        <w:t>4 hours after the end of infusion.</w:t>
      </w:r>
      <w:proofErr w:type="gramEnd"/>
      <w:r w:rsidRPr="00B744F4">
        <w:t xml:space="preserve"> The in</w:t>
      </w:r>
      <w:r w:rsidR="00EF53B7" w:rsidRPr="00B744F4">
        <w:t>cidence of TEAEs during and ≤ 4 </w:t>
      </w:r>
      <w:r w:rsidRPr="00B744F4">
        <w:t>hours after the end of infusion was greatest in the SOCs of</w:t>
      </w:r>
      <w:r w:rsidR="00CC672B" w:rsidRPr="00B744F4">
        <w:t xml:space="preserve"> </w:t>
      </w:r>
      <w:r w:rsidR="00EF53B7" w:rsidRPr="00B744F4">
        <w:t xml:space="preserve">gastrointestinal disorders </w:t>
      </w:r>
      <w:r w:rsidRPr="00B744F4">
        <w:t xml:space="preserve">(12/84 </w:t>
      </w:r>
      <w:r w:rsidR="00D074A0" w:rsidRPr="00B744F4">
        <w:t>(</w:t>
      </w:r>
      <w:r w:rsidRPr="00B744F4">
        <w:t>14.3%</w:t>
      </w:r>
      <w:r w:rsidR="00D074A0" w:rsidRPr="00B744F4">
        <w:t>)</w:t>
      </w:r>
      <w:r w:rsidRPr="00B744F4">
        <w:t xml:space="preserve">), </w:t>
      </w:r>
      <w:r w:rsidR="00EF53B7" w:rsidRPr="00B744F4">
        <w:t xml:space="preserve">general disorders and administration site conditions </w:t>
      </w:r>
      <w:r w:rsidRPr="00B744F4">
        <w:t xml:space="preserve">(10/84 </w:t>
      </w:r>
      <w:r w:rsidR="00D074A0" w:rsidRPr="00B744F4">
        <w:t>(</w:t>
      </w:r>
      <w:r w:rsidRPr="00B744F4">
        <w:t>11.9%</w:t>
      </w:r>
      <w:r w:rsidR="00D074A0" w:rsidRPr="00B744F4">
        <w:t>)</w:t>
      </w:r>
      <w:r w:rsidRPr="00B744F4">
        <w:t xml:space="preserve">), and Skin and Subcutaneous Disorders (8/84 </w:t>
      </w:r>
      <w:r w:rsidR="00D074A0" w:rsidRPr="00B744F4">
        <w:t>(</w:t>
      </w:r>
      <w:r w:rsidRPr="00B744F4">
        <w:t>9.5%</w:t>
      </w:r>
      <w:r w:rsidR="00D074A0" w:rsidRPr="00B744F4">
        <w:t>)</w:t>
      </w:r>
      <w:r w:rsidRPr="00B744F4">
        <w:t xml:space="preserve">). The most frequently (≥ 4 subjects in the Pooled Safety Set) reported TEAEs during and ≤ 4 hours after the end of infusion were Pyrexia (5/84 </w:t>
      </w:r>
      <w:r w:rsidR="00D074A0" w:rsidRPr="00B744F4">
        <w:t>(</w:t>
      </w:r>
      <w:r w:rsidRPr="00B744F4">
        <w:t>6.0%</w:t>
      </w:r>
      <w:r w:rsidR="00D074A0" w:rsidRPr="00B744F4">
        <w:t>)</w:t>
      </w:r>
      <w:r w:rsidRPr="00B744F4">
        <w:t xml:space="preserve">), Headache (4/84 </w:t>
      </w:r>
      <w:r w:rsidR="00D074A0" w:rsidRPr="00B744F4">
        <w:t>(</w:t>
      </w:r>
      <w:r w:rsidRPr="00B744F4">
        <w:t>4.8%</w:t>
      </w:r>
      <w:r w:rsidR="00D074A0" w:rsidRPr="00B744F4">
        <w:t>)</w:t>
      </w:r>
      <w:r w:rsidRPr="00B744F4">
        <w:t xml:space="preserve">), and Nausea, Vomiting, and Cough (4/84 </w:t>
      </w:r>
      <w:r w:rsidR="00D074A0" w:rsidRPr="00B744F4">
        <w:t>(</w:t>
      </w:r>
      <w:r w:rsidR="00B0095E" w:rsidRPr="00B744F4">
        <w:t>4.8%</w:t>
      </w:r>
      <w:r w:rsidR="00D074A0" w:rsidRPr="00B744F4">
        <w:t>)</w:t>
      </w:r>
      <w:r w:rsidR="00B0095E" w:rsidRPr="00B744F4">
        <w:t xml:space="preserve"> each). </w:t>
      </w:r>
      <w:r w:rsidRPr="00B744F4">
        <w:t xml:space="preserve">For adults in </w:t>
      </w:r>
      <w:r w:rsidR="00157E63" w:rsidRPr="00B744F4">
        <w:t>Study</w:t>
      </w:r>
      <w:r w:rsidRPr="00B744F4">
        <w:t xml:space="preserve"> LAL-CL01/LAL-CL04, the most frequently (≥ 30% of subjects) reported TEAE during and ≤ 4 hours after the end of infusion was </w:t>
      </w:r>
      <w:r w:rsidR="00EF53B7" w:rsidRPr="00B744F4">
        <w:t>a</w:t>
      </w:r>
      <w:r w:rsidRPr="00B744F4">
        <w:t xml:space="preserve">bdominal pain (3/9 </w:t>
      </w:r>
      <w:r w:rsidR="00D074A0" w:rsidRPr="00B744F4">
        <w:t>(</w:t>
      </w:r>
      <w:r w:rsidRPr="00B744F4">
        <w:t>33.3%</w:t>
      </w:r>
      <w:r w:rsidR="00D074A0" w:rsidRPr="00B744F4">
        <w:t>)</w:t>
      </w:r>
      <w:r w:rsidRPr="00B744F4">
        <w:t xml:space="preserve">). For infants in </w:t>
      </w:r>
      <w:r w:rsidR="00157E63" w:rsidRPr="00B744F4">
        <w:t>Study</w:t>
      </w:r>
      <w:r w:rsidR="00B0095E" w:rsidRPr="00B744F4">
        <w:t xml:space="preserve"> LAL</w:t>
      </w:r>
      <w:r w:rsidR="00B0095E" w:rsidRPr="00B744F4">
        <w:noBreakHyphen/>
      </w:r>
      <w:r w:rsidRPr="00B744F4">
        <w:t xml:space="preserve">CL03, the most frequently (≥ 30% of subjects) reported TEAEs during and ≤ 4 hours after the end of infusion were </w:t>
      </w:r>
      <w:r w:rsidR="00EF53B7" w:rsidRPr="00B744F4">
        <w:t>a</w:t>
      </w:r>
      <w:r w:rsidRPr="00B744F4">
        <w:t xml:space="preserve">naemia (3/9 </w:t>
      </w:r>
      <w:r w:rsidR="00D074A0" w:rsidRPr="00B744F4">
        <w:t>(</w:t>
      </w:r>
      <w:r w:rsidRPr="00B744F4">
        <w:t>33.3%</w:t>
      </w:r>
      <w:r w:rsidR="00D074A0" w:rsidRPr="00B744F4">
        <w:t>)</w:t>
      </w:r>
      <w:r w:rsidRPr="00B744F4">
        <w:t xml:space="preserve">), </w:t>
      </w:r>
      <w:r w:rsidR="00EF53B7" w:rsidRPr="00B744F4">
        <w:t>v</w:t>
      </w:r>
      <w:r w:rsidRPr="00B744F4">
        <w:t xml:space="preserve">omiting (3/9 </w:t>
      </w:r>
      <w:r w:rsidR="00D074A0" w:rsidRPr="00B744F4">
        <w:t>(</w:t>
      </w:r>
      <w:r w:rsidRPr="00B744F4">
        <w:t>33.3%</w:t>
      </w:r>
      <w:r w:rsidR="00D074A0" w:rsidRPr="00B744F4">
        <w:t>)</w:t>
      </w:r>
      <w:r w:rsidRPr="00B744F4">
        <w:t xml:space="preserve">), and </w:t>
      </w:r>
      <w:r w:rsidR="00EF53B7" w:rsidRPr="00B744F4">
        <w:t>p</w:t>
      </w:r>
      <w:r w:rsidRPr="00B744F4">
        <w:t xml:space="preserve">yrexia (3/9 </w:t>
      </w:r>
      <w:r w:rsidR="00D074A0" w:rsidRPr="00B744F4">
        <w:lastRenderedPageBreak/>
        <w:t>(</w:t>
      </w:r>
      <w:r w:rsidRPr="00B744F4">
        <w:t>33.3%</w:t>
      </w:r>
      <w:r w:rsidR="00D074A0" w:rsidRPr="00B744F4">
        <w:t>)</w:t>
      </w:r>
      <w:r w:rsidRPr="00B744F4">
        <w:t xml:space="preserve">). During the </w:t>
      </w:r>
      <w:r w:rsidR="003F3AB4" w:rsidRPr="00B744F4">
        <w:t>double blind</w:t>
      </w:r>
      <w:r w:rsidRPr="00B744F4">
        <w:t xml:space="preserve"> period of </w:t>
      </w:r>
      <w:r w:rsidR="00157E63" w:rsidRPr="00B744F4">
        <w:t>Study</w:t>
      </w:r>
      <w:r w:rsidRPr="00B744F4">
        <w:t xml:space="preserve"> LAL-CL02, a total of 15/36 (44.4%) subjects in the </w:t>
      </w:r>
      <w:proofErr w:type="spellStart"/>
      <w:r w:rsidRPr="00B744F4">
        <w:t>sebelipase</w:t>
      </w:r>
      <w:proofErr w:type="spellEnd"/>
      <w:r w:rsidRPr="00B744F4">
        <w:t xml:space="preserve"> alfa group and 9/30 (30.0%) subjects in the placebo group experienced at least 1 TEAE during and ≤ 4 hours after the end of </w:t>
      </w:r>
      <w:r w:rsidR="001B7A56" w:rsidRPr="00B744F4">
        <w:t>infusion;</w:t>
      </w:r>
      <w:r w:rsidRPr="00B744F4">
        <w:t xml:space="preserve"> the incidence rates by preferred term were similar between treatment groups</w:t>
      </w:r>
      <w:r w:rsidR="00B73619" w:rsidRPr="00B744F4">
        <w:t>.</w:t>
      </w:r>
    </w:p>
    <w:p w14:paraId="75486920" w14:textId="77777777" w:rsidR="00B0095E" w:rsidRDefault="00B0095E" w:rsidP="00B0095E">
      <w:pPr>
        <w:pStyle w:val="Tabletitle"/>
      </w:pPr>
      <w:r>
        <w:lastRenderedPageBreak/>
        <w:t xml:space="preserve">Table </w:t>
      </w:r>
      <w:r w:rsidR="00FA48CC">
        <w:t>27:</w:t>
      </w:r>
      <w:r>
        <w:t xml:space="preserve"> Incidence of common treatment emergent adverse events regardless of causality in the pooled safety set, by dose at time of event and overall</w:t>
      </w:r>
    </w:p>
    <w:p w14:paraId="75F5DED7" w14:textId="77777777" w:rsidR="00B0095E" w:rsidRPr="00B0095E" w:rsidRDefault="00951F3F" w:rsidP="00B0095E">
      <w:r>
        <w:rPr>
          <w:noProof/>
          <w:lang w:eastAsia="en-AU"/>
        </w:rPr>
        <w:drawing>
          <wp:inline distT="0" distB="0" distL="0" distR="0" wp14:anchorId="36F74E0E" wp14:editId="487A41CE">
            <wp:extent cx="5070475" cy="8229600"/>
            <wp:effectExtent l="0" t="0" r="0" b="0"/>
            <wp:docPr id="15" name="Picture 15" descr="Table 27: Incidence of common treatment emergent adverse events regardless of causality in the pooled safety set, by dose at time of event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70475" cy="8229600"/>
                    </a:xfrm>
                    <a:prstGeom prst="rect">
                      <a:avLst/>
                    </a:prstGeom>
                  </pic:spPr>
                </pic:pic>
              </a:graphicData>
            </a:graphic>
          </wp:inline>
        </w:drawing>
      </w:r>
    </w:p>
    <w:p w14:paraId="7472E5CC" w14:textId="7A3B6102" w:rsidR="00787F40" w:rsidRDefault="00787F40" w:rsidP="00787F40">
      <w:pPr>
        <w:autoSpaceDE w:val="0"/>
        <w:autoSpaceDN w:val="0"/>
        <w:adjustRightInd w:val="0"/>
        <w:spacing w:before="0" w:line="240" w:lineRule="auto"/>
        <w:rPr>
          <w:rFonts w:asciiTheme="minorHAnsi" w:eastAsiaTheme="minorHAnsi" w:hAnsiTheme="minorHAnsi"/>
          <w:color w:val="000000"/>
        </w:rPr>
      </w:pPr>
      <w:r w:rsidRPr="00F66D71">
        <w:rPr>
          <w:rFonts w:asciiTheme="minorHAnsi" w:eastAsiaTheme="minorHAnsi" w:hAnsiTheme="minorHAnsi"/>
          <w:color w:val="000000"/>
        </w:rPr>
        <w:lastRenderedPageBreak/>
        <w:t xml:space="preserve">Of the total number of subjects who reported at least 1 TEAE in the Pooled Safety Set (67/84 </w:t>
      </w:r>
      <w:r w:rsidR="00D074A0">
        <w:rPr>
          <w:rFonts w:asciiTheme="minorHAnsi" w:eastAsiaTheme="minorHAnsi" w:hAnsiTheme="minorHAnsi"/>
          <w:color w:val="000000"/>
        </w:rPr>
        <w:t>(</w:t>
      </w:r>
      <w:r w:rsidRPr="00F66D71">
        <w:rPr>
          <w:rFonts w:asciiTheme="minorHAnsi" w:eastAsiaTheme="minorHAnsi" w:hAnsiTheme="minorHAnsi"/>
          <w:color w:val="000000"/>
        </w:rPr>
        <w:t>79.8%</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the majority reported TEAEs that were mild (35/84 </w:t>
      </w:r>
      <w:r w:rsidR="00D074A0">
        <w:rPr>
          <w:rFonts w:asciiTheme="minorHAnsi" w:eastAsiaTheme="minorHAnsi" w:hAnsiTheme="minorHAnsi"/>
          <w:color w:val="000000"/>
        </w:rPr>
        <w:t>(</w:t>
      </w:r>
      <w:r w:rsidRPr="00F66D71">
        <w:rPr>
          <w:rFonts w:asciiTheme="minorHAnsi" w:eastAsiaTheme="minorHAnsi" w:hAnsiTheme="minorHAnsi"/>
          <w:color w:val="000000"/>
        </w:rPr>
        <w:t>41.7%</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or moderate (18/84 </w:t>
      </w:r>
      <w:r w:rsidR="00D074A0">
        <w:rPr>
          <w:rFonts w:asciiTheme="minorHAnsi" w:eastAsiaTheme="minorHAnsi" w:hAnsiTheme="minorHAnsi"/>
          <w:color w:val="000000"/>
        </w:rPr>
        <w:t>(</w:t>
      </w:r>
      <w:r w:rsidRPr="00F66D71">
        <w:rPr>
          <w:rFonts w:asciiTheme="minorHAnsi" w:eastAsiaTheme="minorHAnsi" w:hAnsiTheme="minorHAnsi"/>
          <w:color w:val="000000"/>
        </w:rPr>
        <w:t>21.4%</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in </w:t>
      </w:r>
      <w:r w:rsidRPr="00FA48CC">
        <w:rPr>
          <w:rFonts w:asciiTheme="minorHAnsi" w:eastAsiaTheme="minorHAnsi" w:hAnsiTheme="minorHAnsi"/>
          <w:color w:val="000000"/>
        </w:rPr>
        <w:t xml:space="preserve">severity (Table </w:t>
      </w:r>
      <w:r w:rsidR="00FA48CC" w:rsidRPr="00FA48CC">
        <w:rPr>
          <w:rFonts w:asciiTheme="minorHAnsi" w:eastAsiaTheme="minorHAnsi" w:hAnsiTheme="minorHAnsi"/>
          <w:color w:val="000000"/>
        </w:rPr>
        <w:t>28</w:t>
      </w:r>
      <w:r w:rsidRPr="00FA48CC">
        <w:rPr>
          <w:rFonts w:asciiTheme="minorHAnsi" w:eastAsiaTheme="minorHAnsi" w:hAnsiTheme="minorHAnsi"/>
          <w:color w:val="000000"/>
        </w:rPr>
        <w:t>). Similarly</w:t>
      </w:r>
      <w:r w:rsidRPr="00F66D71">
        <w:rPr>
          <w:rFonts w:asciiTheme="minorHAnsi" w:eastAsiaTheme="minorHAnsi" w:hAnsiTheme="minorHAnsi"/>
          <w:color w:val="000000"/>
        </w:rPr>
        <w:t xml:space="preserve">, of the total number of subjects who reported at least 1 </w:t>
      </w:r>
      <w:r w:rsidR="00EA7323">
        <w:rPr>
          <w:rFonts w:asciiTheme="minorHAnsi" w:eastAsiaTheme="minorHAnsi" w:hAnsiTheme="minorHAnsi"/>
          <w:color w:val="000000"/>
        </w:rPr>
        <w:t>treatment related</w:t>
      </w:r>
      <w:r w:rsidRPr="00F66D71">
        <w:rPr>
          <w:rFonts w:asciiTheme="minorHAnsi" w:eastAsiaTheme="minorHAnsi" w:hAnsiTheme="minorHAnsi"/>
          <w:color w:val="000000"/>
        </w:rPr>
        <w:t xml:space="preserve"> TEAE in the Pooled Safety Set (19/84 </w:t>
      </w:r>
      <w:r w:rsidR="00D074A0">
        <w:rPr>
          <w:rFonts w:asciiTheme="minorHAnsi" w:eastAsiaTheme="minorHAnsi" w:hAnsiTheme="minorHAnsi"/>
          <w:color w:val="000000"/>
        </w:rPr>
        <w:t>(</w:t>
      </w:r>
      <w:r w:rsidRPr="00F66D71">
        <w:rPr>
          <w:rFonts w:asciiTheme="minorHAnsi" w:eastAsiaTheme="minorHAnsi" w:hAnsiTheme="minorHAnsi"/>
          <w:color w:val="000000"/>
        </w:rPr>
        <w:t>22.6%</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the majority reported </w:t>
      </w:r>
      <w:r w:rsidR="00EA7323">
        <w:rPr>
          <w:rFonts w:asciiTheme="minorHAnsi" w:eastAsiaTheme="minorHAnsi" w:hAnsiTheme="minorHAnsi"/>
          <w:color w:val="000000"/>
        </w:rPr>
        <w:t>treatment related</w:t>
      </w:r>
      <w:r w:rsidRPr="00F66D71">
        <w:rPr>
          <w:rFonts w:asciiTheme="minorHAnsi" w:eastAsiaTheme="minorHAnsi" w:hAnsiTheme="minorHAnsi"/>
          <w:color w:val="000000"/>
        </w:rPr>
        <w:t xml:space="preserve"> TEAEs that were mild (8/84 </w:t>
      </w:r>
      <w:r w:rsidR="00D074A0">
        <w:rPr>
          <w:rFonts w:asciiTheme="minorHAnsi" w:eastAsiaTheme="minorHAnsi" w:hAnsiTheme="minorHAnsi"/>
          <w:color w:val="000000"/>
        </w:rPr>
        <w:t>(</w:t>
      </w:r>
      <w:r w:rsidRPr="00F66D71">
        <w:rPr>
          <w:rFonts w:asciiTheme="minorHAnsi" w:eastAsiaTheme="minorHAnsi" w:hAnsiTheme="minorHAnsi"/>
          <w:color w:val="000000"/>
        </w:rPr>
        <w:t>9.5%</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or moderate (7/84 </w:t>
      </w:r>
      <w:r w:rsidR="00D074A0">
        <w:rPr>
          <w:rFonts w:asciiTheme="minorHAnsi" w:eastAsiaTheme="minorHAnsi" w:hAnsiTheme="minorHAnsi"/>
          <w:color w:val="000000"/>
        </w:rPr>
        <w:t>(</w:t>
      </w:r>
      <w:r w:rsidRPr="00F66D71">
        <w:rPr>
          <w:rFonts w:asciiTheme="minorHAnsi" w:eastAsiaTheme="minorHAnsi" w:hAnsiTheme="minorHAnsi"/>
          <w:color w:val="000000"/>
        </w:rPr>
        <w:t>21.4%</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in severity. A total of 14 subjects reported at least 1 severe TEAE (14/84 </w:t>
      </w:r>
      <w:r w:rsidR="00D074A0">
        <w:rPr>
          <w:rFonts w:asciiTheme="minorHAnsi" w:eastAsiaTheme="minorHAnsi" w:hAnsiTheme="minorHAnsi"/>
          <w:color w:val="000000"/>
        </w:rPr>
        <w:t>(</w:t>
      </w:r>
      <w:r w:rsidRPr="00F66D71">
        <w:rPr>
          <w:rFonts w:asciiTheme="minorHAnsi" w:eastAsiaTheme="minorHAnsi" w:hAnsiTheme="minorHAnsi"/>
          <w:color w:val="000000"/>
        </w:rPr>
        <w:t>16.7%</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of which 4 subjects reported at least 1 severe </w:t>
      </w:r>
      <w:r w:rsidR="00EA7323">
        <w:rPr>
          <w:rFonts w:asciiTheme="minorHAnsi" w:eastAsiaTheme="minorHAnsi" w:hAnsiTheme="minorHAnsi"/>
          <w:color w:val="000000"/>
        </w:rPr>
        <w:t>treatment related</w:t>
      </w:r>
      <w:r w:rsidRPr="00F66D71">
        <w:rPr>
          <w:rFonts w:asciiTheme="minorHAnsi" w:eastAsiaTheme="minorHAnsi" w:hAnsiTheme="minorHAnsi"/>
          <w:color w:val="000000"/>
        </w:rPr>
        <w:t xml:space="preserve"> TEAE (4/84 </w:t>
      </w:r>
      <w:r w:rsidR="00D074A0">
        <w:rPr>
          <w:rFonts w:asciiTheme="minorHAnsi" w:eastAsiaTheme="minorHAnsi" w:hAnsiTheme="minorHAnsi"/>
          <w:color w:val="000000"/>
        </w:rPr>
        <w:t>(</w:t>
      </w:r>
      <w:r w:rsidRPr="00F66D71">
        <w:rPr>
          <w:rFonts w:asciiTheme="minorHAnsi" w:eastAsiaTheme="minorHAnsi" w:hAnsiTheme="minorHAnsi"/>
          <w:color w:val="000000"/>
        </w:rPr>
        <w:t>4.8%</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Severe TEAEs occurred more frequently in the SOCs </w:t>
      </w:r>
      <w:r w:rsidR="00EF53B7" w:rsidRPr="00F66D71">
        <w:rPr>
          <w:rFonts w:asciiTheme="minorHAnsi" w:eastAsiaTheme="minorHAnsi" w:hAnsiTheme="minorHAnsi"/>
          <w:color w:val="000000"/>
        </w:rPr>
        <w:t xml:space="preserve">of </w:t>
      </w:r>
      <w:r w:rsidR="00EF53B7">
        <w:rPr>
          <w:rFonts w:asciiTheme="minorHAnsi" w:eastAsiaTheme="minorHAnsi" w:hAnsiTheme="minorHAnsi"/>
          <w:color w:val="000000"/>
        </w:rPr>
        <w:t>g</w:t>
      </w:r>
      <w:r w:rsidR="00EF53B7" w:rsidRPr="00F66D71">
        <w:rPr>
          <w:rFonts w:asciiTheme="minorHAnsi" w:eastAsiaTheme="minorHAnsi" w:hAnsiTheme="minorHAnsi"/>
          <w:color w:val="000000"/>
        </w:rPr>
        <w:t xml:space="preserve">astrointestinal disorders (5/84 </w:t>
      </w:r>
      <w:r w:rsidR="00D074A0">
        <w:rPr>
          <w:rFonts w:asciiTheme="minorHAnsi" w:eastAsiaTheme="minorHAnsi" w:hAnsiTheme="minorHAnsi"/>
          <w:color w:val="000000"/>
        </w:rPr>
        <w:t>(</w:t>
      </w:r>
      <w:r w:rsidR="00EF53B7" w:rsidRPr="00F66D71">
        <w:rPr>
          <w:rFonts w:asciiTheme="minorHAnsi" w:eastAsiaTheme="minorHAnsi" w:hAnsiTheme="minorHAnsi"/>
          <w:color w:val="000000"/>
        </w:rPr>
        <w:t>6.0%</w:t>
      </w:r>
      <w:r w:rsidR="00D074A0">
        <w:rPr>
          <w:rFonts w:asciiTheme="minorHAnsi" w:eastAsiaTheme="minorHAnsi" w:hAnsiTheme="minorHAnsi"/>
          <w:color w:val="000000"/>
        </w:rPr>
        <w:t>)</w:t>
      </w:r>
      <w:r w:rsidR="00EF53B7" w:rsidRPr="00F66D71">
        <w:rPr>
          <w:rFonts w:asciiTheme="minorHAnsi" w:eastAsiaTheme="minorHAnsi" w:hAnsiTheme="minorHAnsi"/>
          <w:color w:val="000000"/>
        </w:rPr>
        <w:t>) and infections and infestations</w:t>
      </w:r>
      <w:r w:rsidRPr="00F66D71">
        <w:rPr>
          <w:rFonts w:asciiTheme="minorHAnsi" w:eastAsiaTheme="minorHAnsi" w:hAnsiTheme="minorHAnsi"/>
          <w:color w:val="000000"/>
        </w:rPr>
        <w:t xml:space="preserve"> (4/84 </w:t>
      </w:r>
      <w:r w:rsidR="00D074A0">
        <w:rPr>
          <w:rFonts w:asciiTheme="minorHAnsi" w:eastAsiaTheme="minorHAnsi" w:hAnsiTheme="minorHAnsi"/>
          <w:color w:val="000000"/>
        </w:rPr>
        <w:t>(</w:t>
      </w:r>
      <w:r w:rsidRPr="00F66D71">
        <w:rPr>
          <w:rFonts w:asciiTheme="minorHAnsi" w:eastAsiaTheme="minorHAnsi" w:hAnsiTheme="minorHAnsi"/>
          <w:color w:val="000000"/>
        </w:rPr>
        <w:t>4.8%</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The most frequently occurring severe TEAE (≥4 subjects) was Diarrhoea, which was assessed as unrelated to treatment; all other severe TEAEs were reported by only 1 subject in the Pooled Safety Set (1/84 </w:t>
      </w:r>
      <w:r w:rsidR="00D074A0">
        <w:rPr>
          <w:rFonts w:asciiTheme="minorHAnsi" w:eastAsiaTheme="minorHAnsi" w:hAnsiTheme="minorHAnsi"/>
          <w:color w:val="000000"/>
        </w:rPr>
        <w:t>(</w:t>
      </w:r>
      <w:r w:rsidRPr="00F66D71">
        <w:rPr>
          <w:rFonts w:asciiTheme="minorHAnsi" w:eastAsiaTheme="minorHAnsi" w:hAnsiTheme="minorHAnsi"/>
          <w:color w:val="000000"/>
        </w:rPr>
        <w:t>1.2%</w:t>
      </w:r>
      <w:r w:rsidR="00D074A0">
        <w:rPr>
          <w:rFonts w:asciiTheme="minorHAnsi" w:eastAsiaTheme="minorHAnsi" w:hAnsiTheme="minorHAnsi"/>
          <w:color w:val="000000"/>
        </w:rPr>
        <w:t>)</w:t>
      </w:r>
      <w:r w:rsidRPr="00F66D71">
        <w:rPr>
          <w:rFonts w:asciiTheme="minorHAnsi" w:eastAsiaTheme="minorHAnsi" w:hAnsiTheme="minorHAnsi"/>
          <w:color w:val="000000"/>
        </w:rPr>
        <w:t xml:space="preserve">) No severe TEAE by </w:t>
      </w:r>
      <w:proofErr w:type="spellStart"/>
      <w:r w:rsidRPr="00F66D71">
        <w:rPr>
          <w:rFonts w:asciiTheme="minorHAnsi" w:eastAsiaTheme="minorHAnsi" w:hAnsiTheme="minorHAnsi"/>
          <w:color w:val="000000"/>
        </w:rPr>
        <w:t>MedDRA</w:t>
      </w:r>
      <w:proofErr w:type="spellEnd"/>
      <w:r w:rsidRPr="00F66D71">
        <w:rPr>
          <w:rFonts w:asciiTheme="minorHAnsi" w:eastAsiaTheme="minorHAnsi" w:hAnsiTheme="minorHAnsi"/>
          <w:color w:val="000000"/>
        </w:rPr>
        <w:t xml:space="preserve"> PT was reported by more than one subject; severe, related events</w:t>
      </w:r>
      <w:r>
        <w:rPr>
          <w:rFonts w:asciiTheme="minorHAnsi" w:eastAsiaTheme="minorHAnsi" w:hAnsiTheme="minorHAnsi"/>
          <w:color w:val="000000"/>
        </w:rPr>
        <w:t xml:space="preserve"> reported by subjects included chest discomfort, i</w:t>
      </w:r>
      <w:r w:rsidRPr="00F66D71">
        <w:rPr>
          <w:rFonts w:asciiTheme="minorHAnsi" w:eastAsiaTheme="minorHAnsi" w:hAnsiTheme="minorHAnsi"/>
          <w:color w:val="000000"/>
        </w:rPr>
        <w:t xml:space="preserve">nfusion related reaction, </w:t>
      </w:r>
      <w:r>
        <w:rPr>
          <w:rFonts w:asciiTheme="minorHAnsi" w:eastAsiaTheme="minorHAnsi" w:hAnsiTheme="minorHAnsi"/>
          <w:color w:val="000000"/>
        </w:rPr>
        <w:t>b</w:t>
      </w:r>
      <w:r w:rsidRPr="00F66D71">
        <w:rPr>
          <w:rFonts w:asciiTheme="minorHAnsi" w:eastAsiaTheme="minorHAnsi" w:hAnsiTheme="minorHAnsi"/>
          <w:color w:val="000000"/>
        </w:rPr>
        <w:t>ody temperature increased,</w:t>
      </w:r>
      <w:r w:rsidRPr="00261B4D">
        <w:rPr>
          <w:rFonts w:asciiTheme="minorHAnsi" w:eastAsiaTheme="minorHAnsi" w:hAnsiTheme="minorHAnsi"/>
          <w:color w:val="000000"/>
        </w:rPr>
        <w:t xml:space="preserve"> </w:t>
      </w:r>
      <w:r>
        <w:rPr>
          <w:rFonts w:asciiTheme="minorHAnsi" w:eastAsiaTheme="minorHAnsi" w:hAnsiTheme="minorHAnsi"/>
          <w:color w:val="000000"/>
        </w:rPr>
        <w:t>h</w:t>
      </w:r>
      <w:r w:rsidRPr="00261B4D">
        <w:rPr>
          <w:rFonts w:asciiTheme="minorHAnsi" w:eastAsiaTheme="minorHAnsi" w:hAnsiTheme="minorHAnsi"/>
          <w:color w:val="000000"/>
        </w:rPr>
        <w:t xml:space="preserve">ypercholesterolemia, </w:t>
      </w:r>
      <w:r>
        <w:rPr>
          <w:rFonts w:asciiTheme="minorHAnsi" w:eastAsiaTheme="minorHAnsi" w:hAnsiTheme="minorHAnsi"/>
          <w:color w:val="000000"/>
        </w:rPr>
        <w:t>d</w:t>
      </w:r>
      <w:r w:rsidRPr="00261B4D">
        <w:rPr>
          <w:rFonts w:asciiTheme="minorHAnsi" w:eastAsiaTheme="minorHAnsi" w:hAnsiTheme="minorHAnsi"/>
          <w:color w:val="000000"/>
        </w:rPr>
        <w:t xml:space="preserve">izziness, </w:t>
      </w:r>
      <w:r>
        <w:rPr>
          <w:rFonts w:asciiTheme="minorHAnsi" w:eastAsiaTheme="minorHAnsi" w:hAnsiTheme="minorHAnsi"/>
          <w:color w:val="000000"/>
        </w:rPr>
        <w:t>a</w:t>
      </w:r>
      <w:r w:rsidRPr="00261B4D">
        <w:rPr>
          <w:rFonts w:asciiTheme="minorHAnsi" w:eastAsiaTheme="minorHAnsi" w:hAnsiTheme="minorHAnsi"/>
          <w:color w:val="000000"/>
        </w:rPr>
        <w:t xml:space="preserve">nxiety, </w:t>
      </w:r>
      <w:r>
        <w:rPr>
          <w:rFonts w:asciiTheme="minorHAnsi" w:eastAsiaTheme="minorHAnsi" w:hAnsiTheme="minorHAnsi"/>
          <w:color w:val="000000"/>
        </w:rPr>
        <w:t>l</w:t>
      </w:r>
      <w:r w:rsidRPr="00261B4D">
        <w:rPr>
          <w:rFonts w:asciiTheme="minorHAnsi" w:eastAsiaTheme="minorHAnsi" w:hAnsiTheme="minorHAnsi"/>
          <w:color w:val="000000"/>
        </w:rPr>
        <w:t xml:space="preserve">aryngeal oedema, </w:t>
      </w:r>
      <w:r>
        <w:rPr>
          <w:rFonts w:asciiTheme="minorHAnsi" w:eastAsiaTheme="minorHAnsi" w:hAnsiTheme="minorHAnsi"/>
          <w:color w:val="000000"/>
        </w:rPr>
        <w:t>r</w:t>
      </w:r>
      <w:r w:rsidRPr="00261B4D">
        <w:rPr>
          <w:rFonts w:asciiTheme="minorHAnsi" w:eastAsiaTheme="minorHAnsi" w:hAnsiTheme="minorHAnsi"/>
          <w:color w:val="000000"/>
        </w:rPr>
        <w:t xml:space="preserve">ash, </w:t>
      </w:r>
      <w:r>
        <w:rPr>
          <w:rFonts w:asciiTheme="minorHAnsi" w:eastAsiaTheme="minorHAnsi" w:hAnsiTheme="minorHAnsi"/>
          <w:color w:val="000000"/>
        </w:rPr>
        <w:t>h</w:t>
      </w:r>
      <w:r w:rsidRPr="00261B4D">
        <w:rPr>
          <w:rFonts w:asciiTheme="minorHAnsi" w:eastAsiaTheme="minorHAnsi" w:hAnsiTheme="minorHAnsi"/>
          <w:color w:val="000000"/>
        </w:rPr>
        <w:t xml:space="preserve">yperaemia and </w:t>
      </w:r>
      <w:r>
        <w:rPr>
          <w:rFonts w:asciiTheme="minorHAnsi" w:eastAsiaTheme="minorHAnsi" w:hAnsiTheme="minorHAnsi"/>
          <w:color w:val="000000"/>
        </w:rPr>
        <w:t>p</w:t>
      </w:r>
      <w:r w:rsidRPr="00261B4D">
        <w:rPr>
          <w:rFonts w:asciiTheme="minorHAnsi" w:eastAsiaTheme="minorHAnsi" w:hAnsiTheme="minorHAnsi"/>
          <w:color w:val="000000"/>
        </w:rPr>
        <w:t xml:space="preserve">allor. Infants in </w:t>
      </w:r>
      <w:r w:rsidR="00157E63">
        <w:rPr>
          <w:rFonts w:asciiTheme="minorHAnsi" w:eastAsiaTheme="minorHAnsi" w:hAnsiTheme="minorHAnsi"/>
          <w:color w:val="000000"/>
        </w:rPr>
        <w:t>Study</w:t>
      </w:r>
      <w:r w:rsidRPr="00261B4D">
        <w:rPr>
          <w:rFonts w:asciiTheme="minorHAnsi" w:eastAsiaTheme="minorHAnsi" w:hAnsiTheme="minorHAnsi"/>
          <w:color w:val="000000"/>
        </w:rPr>
        <w:t xml:space="preserve"> LAL-CL03 tended to have a higher incidence of severe TEAEs (8/9 </w:t>
      </w:r>
      <w:r w:rsidR="00D074A0">
        <w:rPr>
          <w:rFonts w:asciiTheme="minorHAnsi" w:eastAsiaTheme="minorHAnsi" w:hAnsiTheme="minorHAnsi"/>
          <w:color w:val="000000"/>
        </w:rPr>
        <w:t>(</w:t>
      </w:r>
      <w:r w:rsidRPr="00261B4D">
        <w:rPr>
          <w:rFonts w:asciiTheme="minorHAnsi" w:eastAsiaTheme="minorHAnsi" w:hAnsiTheme="minorHAnsi"/>
          <w:color w:val="000000"/>
        </w:rPr>
        <w:t>88.9%</w:t>
      </w:r>
      <w:r w:rsidR="00D074A0">
        <w:rPr>
          <w:rFonts w:asciiTheme="minorHAnsi" w:eastAsiaTheme="minorHAnsi" w:hAnsiTheme="minorHAnsi"/>
          <w:color w:val="000000"/>
        </w:rPr>
        <w:t>)</w:t>
      </w:r>
      <w:r w:rsidRPr="00261B4D">
        <w:rPr>
          <w:rFonts w:asciiTheme="minorHAnsi" w:eastAsiaTheme="minorHAnsi" w:hAnsiTheme="minorHAnsi"/>
          <w:color w:val="000000"/>
        </w:rPr>
        <w:t xml:space="preserve">) as </w:t>
      </w:r>
      <w:r w:rsidRPr="006C3A1C">
        <w:rPr>
          <w:rFonts w:asciiTheme="minorHAnsi" w:eastAsiaTheme="minorHAnsi" w:hAnsiTheme="minorHAnsi"/>
          <w:color w:val="000000"/>
        </w:rPr>
        <w:t>compared to the other studies</w:t>
      </w:r>
      <w:r>
        <w:rPr>
          <w:rFonts w:asciiTheme="minorHAnsi" w:eastAsiaTheme="minorHAnsi" w:hAnsiTheme="minorHAnsi"/>
          <w:color w:val="000000"/>
        </w:rPr>
        <w:t>.</w:t>
      </w:r>
    </w:p>
    <w:p w14:paraId="76E6C183" w14:textId="77777777" w:rsidR="00B0095E" w:rsidRDefault="00B0095E" w:rsidP="00B0095E">
      <w:pPr>
        <w:pStyle w:val="Tabletitle"/>
      </w:pPr>
      <w:r>
        <w:t xml:space="preserve">Table </w:t>
      </w:r>
      <w:r w:rsidR="00FA48CC">
        <w:t>28:</w:t>
      </w:r>
      <w:r>
        <w:t xml:space="preserve"> Incidence of treatment emergent adverse events by severity in the pooled safety set by study and overall</w:t>
      </w:r>
    </w:p>
    <w:p w14:paraId="0D9AA8EB" w14:textId="77777777" w:rsidR="00B0095E" w:rsidRPr="00B0095E" w:rsidRDefault="00951F3F" w:rsidP="00B0095E">
      <w:r>
        <w:rPr>
          <w:noProof/>
          <w:lang w:eastAsia="en-AU"/>
        </w:rPr>
        <w:drawing>
          <wp:inline distT="0" distB="0" distL="0" distR="0" wp14:anchorId="153B6A0F" wp14:editId="13354C63">
            <wp:extent cx="5731510" cy="3437069"/>
            <wp:effectExtent l="0" t="0" r="2540" b="0"/>
            <wp:docPr id="20" name="Picture 20" descr="Table 28: Incidence of treatment emergent adverse events by severity in the pooled safety set by study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3437069"/>
                    </a:xfrm>
                    <a:prstGeom prst="rect">
                      <a:avLst/>
                    </a:prstGeom>
                  </pic:spPr>
                </pic:pic>
              </a:graphicData>
            </a:graphic>
          </wp:inline>
        </w:drawing>
      </w:r>
    </w:p>
    <w:p w14:paraId="014EE943" w14:textId="77777777" w:rsidR="00CC672B" w:rsidRDefault="00787F40" w:rsidP="00E66350">
      <w:pPr>
        <w:pStyle w:val="Heading4"/>
      </w:pPr>
      <w:r w:rsidRPr="006C3A1C">
        <w:t>AEs by SOC</w:t>
      </w:r>
    </w:p>
    <w:p w14:paraId="4B57510F" w14:textId="77777777" w:rsidR="00EA7323" w:rsidRPr="00805104" w:rsidRDefault="00787F40" w:rsidP="00805104">
      <w:proofErr w:type="gramStart"/>
      <w:r w:rsidRPr="00805104">
        <w:t xml:space="preserve">Listing of AEs by organ system or syndrome </w:t>
      </w:r>
      <w:r w:rsidR="00EA7323" w:rsidRPr="00805104">
        <w:t>were</w:t>
      </w:r>
      <w:proofErr w:type="gramEnd"/>
      <w:r w:rsidR="00EA7323" w:rsidRPr="00805104">
        <w:t xml:space="preserve"> provided.</w:t>
      </w:r>
    </w:p>
    <w:p w14:paraId="6FCD7C3F" w14:textId="77777777" w:rsidR="00EA7323" w:rsidRDefault="00787F40" w:rsidP="00EA7323">
      <w:pPr>
        <w:pStyle w:val="Heading5"/>
      </w:pPr>
      <w:r w:rsidRPr="006C3A1C">
        <w:t>Infec</w:t>
      </w:r>
      <w:r w:rsidR="00EA7323">
        <w:t>tions and infestations</w:t>
      </w:r>
    </w:p>
    <w:p w14:paraId="39247359" w14:textId="47C3CD8C" w:rsidR="00787F40" w:rsidRPr="00805104" w:rsidRDefault="00787F40" w:rsidP="00805104">
      <w:r w:rsidRPr="00805104">
        <w:t xml:space="preserve">Five of 84 subjects in the Pooled Safety Set (5/84 </w:t>
      </w:r>
      <w:r w:rsidR="00D074A0" w:rsidRPr="00805104">
        <w:t>(</w:t>
      </w:r>
      <w:r w:rsidRPr="00805104">
        <w:t>6.0%</w:t>
      </w:r>
      <w:r w:rsidR="00D074A0" w:rsidRPr="00805104">
        <w:t>)</w:t>
      </w:r>
      <w:r w:rsidRPr="00805104">
        <w:t xml:space="preserve">) experienced events related to use of a catheter or central line </w:t>
      </w:r>
      <w:r w:rsidR="00EA7323" w:rsidRPr="00805104">
        <w:t xml:space="preserve">including catheter site rash, catheter site pain, catheter </w:t>
      </w:r>
      <w:r w:rsidRPr="00805104">
        <w:t xml:space="preserve">site infection, </w:t>
      </w:r>
      <w:r w:rsidR="00EA7323" w:rsidRPr="00805104">
        <w:t>d</w:t>
      </w:r>
      <w:r w:rsidRPr="00805104">
        <w:t xml:space="preserve">evice related infection, and </w:t>
      </w:r>
      <w:r w:rsidR="00EA7323" w:rsidRPr="00805104">
        <w:t>d</w:t>
      </w:r>
      <w:r w:rsidRPr="00805104">
        <w:t>evice related sepsis. Additionally, one of these 5 subjects also reported a TEAE of Staphylococcal bacteraemia and one other subject reported a TEAE of Staphylococcal sepsis. All of the events were assessed as unlikely related or not related and varied in intensity.</w:t>
      </w:r>
    </w:p>
    <w:p w14:paraId="4669FDEA" w14:textId="77777777" w:rsidR="00E66350" w:rsidRDefault="00EA7323" w:rsidP="00EA7323">
      <w:pPr>
        <w:pStyle w:val="Heading5"/>
      </w:pPr>
      <w:r>
        <w:lastRenderedPageBreak/>
        <w:t>Central nervous system</w:t>
      </w:r>
    </w:p>
    <w:p w14:paraId="6B3ED904" w14:textId="150331DE" w:rsidR="00787F40" w:rsidRPr="00805104" w:rsidRDefault="00787F40" w:rsidP="00805104">
      <w:r w:rsidRPr="00805104">
        <w:t xml:space="preserve">Eighteen of 84 subjects in the Pooled Safety Set (18/84 </w:t>
      </w:r>
      <w:r w:rsidR="00D074A0" w:rsidRPr="00805104">
        <w:t>(</w:t>
      </w:r>
      <w:r w:rsidRPr="00805104">
        <w:t>21.4%</w:t>
      </w:r>
      <w:r w:rsidR="00D074A0" w:rsidRPr="00805104">
        <w:t>)</w:t>
      </w:r>
      <w:r w:rsidRPr="00805104">
        <w:t xml:space="preserve">) reported </w:t>
      </w:r>
      <w:r w:rsidR="00EA7323" w:rsidRPr="00805104">
        <w:t>h</w:t>
      </w:r>
      <w:r w:rsidRPr="00805104">
        <w:t xml:space="preserve">eadache while receiving treatment with </w:t>
      </w:r>
      <w:proofErr w:type="spellStart"/>
      <w:r w:rsidRPr="00805104">
        <w:t>sebelipase</w:t>
      </w:r>
      <w:proofErr w:type="spellEnd"/>
      <w:r w:rsidRPr="00805104">
        <w:t xml:space="preserve"> alfa including 33.3% (3/9) of subjects in </w:t>
      </w:r>
      <w:r w:rsidR="00157E63" w:rsidRPr="00805104">
        <w:t>Study</w:t>
      </w:r>
      <w:r w:rsidRPr="00805104">
        <w:t xml:space="preserve"> LAL-CL01/ LAL-CL04 and 22.7% (15/66) of subjects in </w:t>
      </w:r>
      <w:r w:rsidR="00157E63" w:rsidRPr="00805104">
        <w:t>Study</w:t>
      </w:r>
      <w:r w:rsidRPr="00805104">
        <w:t xml:space="preserve"> LAL-CL02. Headache was among the most common TEAEs reported by </w:t>
      </w:r>
      <w:proofErr w:type="spellStart"/>
      <w:r w:rsidRPr="00805104">
        <w:t>sebelipase</w:t>
      </w:r>
      <w:proofErr w:type="spellEnd"/>
      <w:r w:rsidRPr="00805104">
        <w:t xml:space="preserve"> alfa-treated subjects in the </w:t>
      </w:r>
      <w:r w:rsidR="003F3AB4" w:rsidRPr="00805104">
        <w:t>double blind</w:t>
      </w:r>
      <w:r w:rsidRPr="00805104">
        <w:t xml:space="preserve"> period (10/36 </w:t>
      </w:r>
      <w:r w:rsidR="00D074A0" w:rsidRPr="00805104">
        <w:t>(</w:t>
      </w:r>
      <w:r w:rsidRPr="00805104">
        <w:t>27.7%</w:t>
      </w:r>
      <w:r w:rsidR="00D074A0" w:rsidRPr="00805104">
        <w:t>)</w:t>
      </w:r>
      <w:r w:rsidRPr="00805104">
        <w:t xml:space="preserve">) compared to </w:t>
      </w:r>
      <w:r w:rsidR="00131B1C" w:rsidRPr="00805104">
        <w:t>Placebo treated</w:t>
      </w:r>
      <w:r w:rsidRPr="00805104">
        <w:t xml:space="preserve"> subjects (6/30 </w:t>
      </w:r>
      <w:r w:rsidR="00D074A0" w:rsidRPr="00805104">
        <w:t>(</w:t>
      </w:r>
      <w:r w:rsidRPr="00805104">
        <w:t>20.0%</w:t>
      </w:r>
      <w:r w:rsidR="00D074A0" w:rsidRPr="00805104">
        <w:t>)</w:t>
      </w:r>
      <w:r w:rsidRPr="00805104">
        <w:t xml:space="preserve">). All occurrences of these events in children and adults were mild and unrelated to </w:t>
      </w:r>
      <w:r w:rsidR="00C4359A" w:rsidRPr="00805104">
        <w:t>study</w:t>
      </w:r>
      <w:r w:rsidRPr="00805104">
        <w:t xml:space="preserve"> drug.</w:t>
      </w:r>
    </w:p>
    <w:p w14:paraId="65185494" w14:textId="77777777" w:rsidR="00CC672B" w:rsidRDefault="00787F40" w:rsidP="00EA7323">
      <w:pPr>
        <w:pStyle w:val="Heading5"/>
      </w:pPr>
      <w:r w:rsidRPr="006C3A1C">
        <w:t>Respiratory, thoracic, mediastinal</w:t>
      </w:r>
    </w:p>
    <w:p w14:paraId="7171A1C8" w14:textId="16F84749" w:rsidR="00787F40" w:rsidRPr="00805104" w:rsidRDefault="00787F40" w:rsidP="00805104">
      <w:r w:rsidRPr="00805104">
        <w:t xml:space="preserve">Nine of 84 subjects in the Pooled Safety Set reported Oropharyngeal pain including 22.2% (2/9) subjects in </w:t>
      </w:r>
      <w:r w:rsidR="00157E63" w:rsidRPr="00805104">
        <w:t>Study</w:t>
      </w:r>
      <w:r w:rsidRPr="00805104">
        <w:t xml:space="preserve"> LAL-CL01/LAL-CL04 and 10.7% (7/66) subjects in </w:t>
      </w:r>
      <w:r w:rsidR="00157E63" w:rsidRPr="00805104">
        <w:t>Study</w:t>
      </w:r>
      <w:r w:rsidRPr="00805104">
        <w:t xml:space="preserve"> LAL-CL02. Oropharyngeal pain was among one of the most common TEAEs reported by </w:t>
      </w:r>
      <w:proofErr w:type="spellStart"/>
      <w:r w:rsidRPr="00805104">
        <w:t>sebelipase</w:t>
      </w:r>
      <w:proofErr w:type="spellEnd"/>
      <w:r w:rsidRPr="00805104">
        <w:t xml:space="preserve"> alfa-treated subjects (6/36 </w:t>
      </w:r>
      <w:r w:rsidR="00D074A0" w:rsidRPr="00805104">
        <w:t>(</w:t>
      </w:r>
      <w:r w:rsidRPr="00805104">
        <w:t>16.7%</w:t>
      </w:r>
      <w:r w:rsidR="00D074A0" w:rsidRPr="00805104">
        <w:t>)</w:t>
      </w:r>
      <w:r w:rsidRPr="00805104">
        <w:t xml:space="preserve">) as compared to </w:t>
      </w:r>
      <w:r w:rsidR="00131B1C" w:rsidRPr="00805104">
        <w:t>Placebo treated</w:t>
      </w:r>
      <w:r w:rsidRPr="00805104">
        <w:t xml:space="preserve"> subjects (1/30 </w:t>
      </w:r>
      <w:r w:rsidR="00D074A0" w:rsidRPr="00805104">
        <w:t>(</w:t>
      </w:r>
      <w:r w:rsidRPr="00805104">
        <w:t>3.3%</w:t>
      </w:r>
      <w:r w:rsidR="00D074A0" w:rsidRPr="00805104">
        <w:t>)</w:t>
      </w:r>
      <w:r w:rsidRPr="00805104">
        <w:t xml:space="preserve">) in </w:t>
      </w:r>
      <w:r w:rsidR="00157E63" w:rsidRPr="00805104">
        <w:t>Study</w:t>
      </w:r>
      <w:r w:rsidRPr="00805104">
        <w:t xml:space="preserve"> LAL-CL02 (</w:t>
      </w:r>
      <w:r w:rsidR="003F3AB4" w:rsidRPr="00805104">
        <w:t>double blind</w:t>
      </w:r>
      <w:r w:rsidRPr="00805104">
        <w:t xml:space="preserve"> period). The PT of Oropharyngeal pain was coded from the verbatim term of </w:t>
      </w:r>
      <w:r w:rsidR="00F056E7" w:rsidRPr="00805104">
        <w:t>‘</w:t>
      </w:r>
      <w:r w:rsidRPr="00805104">
        <w:t>sore throat</w:t>
      </w:r>
      <w:r w:rsidR="00F056E7" w:rsidRPr="00805104">
        <w:t>’</w:t>
      </w:r>
      <w:r w:rsidRPr="00805104">
        <w:t xml:space="preserve"> in all cases. In </w:t>
      </w:r>
      <w:r w:rsidR="00157E63" w:rsidRPr="00805104">
        <w:t>Study</w:t>
      </w:r>
      <w:r w:rsidRPr="00805104">
        <w:t xml:space="preserve"> LAL-CL02, all subjects who reported Oropharyngeal pain were ≤ 12 years of age.</w:t>
      </w:r>
    </w:p>
    <w:p w14:paraId="2F5864B4" w14:textId="77777777" w:rsidR="00787F40" w:rsidRPr="00073FEC" w:rsidRDefault="00787F40" w:rsidP="00EA7323">
      <w:pPr>
        <w:pStyle w:val="Heading4"/>
      </w:pPr>
      <w:r w:rsidRPr="00073FEC">
        <w:t xml:space="preserve">Pivotal and/or main efficacy </w:t>
      </w:r>
      <w:r w:rsidR="00157E63">
        <w:t>Study</w:t>
      </w:r>
      <w:r>
        <w:t xml:space="preserve"> (LAL-CL02)</w:t>
      </w:r>
    </w:p>
    <w:p w14:paraId="6D1C085B" w14:textId="6EEA8C9E" w:rsidR="00787F40" w:rsidRDefault="00787F40" w:rsidP="00787F40">
      <w:pPr>
        <w:autoSpaceDE w:val="0"/>
        <w:autoSpaceDN w:val="0"/>
        <w:adjustRightInd w:val="0"/>
        <w:spacing w:before="0" w:line="240" w:lineRule="auto"/>
        <w:rPr>
          <w:rFonts w:asciiTheme="minorHAnsi" w:eastAsiaTheme="minorHAnsi" w:hAnsiTheme="minorHAnsi"/>
          <w:color w:val="000000"/>
        </w:rPr>
      </w:pPr>
      <w:r w:rsidRPr="00F51223">
        <w:rPr>
          <w:rFonts w:asciiTheme="minorHAnsi" w:eastAsiaTheme="minorHAnsi" w:hAnsiTheme="minorHAnsi" w:cs="TimesNewRomanPSMT"/>
        </w:rPr>
        <w:t xml:space="preserve">Overall, 89% of subjects, 86% </w:t>
      </w:r>
      <w:r>
        <w:rPr>
          <w:rFonts w:asciiTheme="minorHAnsi" w:eastAsiaTheme="minorHAnsi" w:hAnsiTheme="minorHAnsi" w:cs="TimesNewRomanPSMT"/>
        </w:rPr>
        <w:t xml:space="preserve">(31/36) </w:t>
      </w:r>
      <w:r w:rsidRPr="00F51223">
        <w:rPr>
          <w:rFonts w:asciiTheme="minorHAnsi" w:eastAsiaTheme="minorHAnsi" w:hAnsiTheme="minorHAnsi" w:cs="TimesNewRomanPSMT"/>
        </w:rPr>
        <w:t>in the SA group and 93%</w:t>
      </w:r>
      <w:r>
        <w:rPr>
          <w:rFonts w:asciiTheme="minorHAnsi" w:eastAsiaTheme="minorHAnsi" w:hAnsiTheme="minorHAnsi" w:cs="TimesNewRomanPSMT"/>
        </w:rPr>
        <w:t xml:space="preserve"> (28/30)</w:t>
      </w:r>
      <w:r w:rsidRPr="00F51223">
        <w:rPr>
          <w:rFonts w:asciiTheme="minorHAnsi" w:eastAsiaTheme="minorHAnsi" w:hAnsiTheme="minorHAnsi" w:cs="TimesNewRomanPSMT"/>
        </w:rPr>
        <w:t xml:space="preserve"> in the placebo group, experienced at least 1 TEAE during the </w:t>
      </w:r>
      <w:r w:rsidR="003F3AB4">
        <w:rPr>
          <w:rFonts w:asciiTheme="minorHAnsi" w:eastAsiaTheme="minorHAnsi" w:hAnsiTheme="minorHAnsi" w:cs="TimesNewRomanPSMT"/>
        </w:rPr>
        <w:t>double blind</w:t>
      </w:r>
      <w:r w:rsidRPr="00F51223">
        <w:rPr>
          <w:rFonts w:asciiTheme="minorHAnsi" w:eastAsiaTheme="minorHAnsi" w:hAnsiTheme="minorHAnsi" w:cs="TimesNewRomanPSMT"/>
        </w:rPr>
        <w:t xml:space="preserve"> treatment period. </w:t>
      </w:r>
      <w:r>
        <w:rPr>
          <w:rFonts w:asciiTheme="minorHAnsi" w:eastAsiaTheme="minorHAnsi" w:hAnsiTheme="minorHAnsi"/>
          <w:color w:val="000000"/>
        </w:rPr>
        <w:t>T</w:t>
      </w:r>
      <w:r w:rsidRPr="00F51223">
        <w:rPr>
          <w:rFonts w:asciiTheme="minorHAnsi" w:eastAsiaTheme="minorHAnsi" w:hAnsiTheme="minorHAnsi"/>
          <w:color w:val="000000"/>
        </w:rPr>
        <w:t>he most common (</w:t>
      </w:r>
      <w:r w:rsidR="003F3AB4">
        <w:rPr>
          <w:rFonts w:asciiTheme="minorHAnsi" w:eastAsiaTheme="minorHAnsi" w:hAnsiTheme="minorHAnsi"/>
          <w:color w:val="000000"/>
        </w:rPr>
        <w:t>that is</w:t>
      </w:r>
      <w:r w:rsidRPr="00F51223">
        <w:rPr>
          <w:rFonts w:asciiTheme="minorHAnsi" w:eastAsiaTheme="minorHAnsi" w:hAnsiTheme="minorHAnsi"/>
          <w:color w:val="000000"/>
        </w:rPr>
        <w:t xml:space="preserve">, incidence ≥ 10%) TEAEs reported among the 36 subjects in the </w:t>
      </w:r>
      <w:proofErr w:type="spellStart"/>
      <w:r w:rsidRPr="00F51223">
        <w:rPr>
          <w:rFonts w:asciiTheme="minorHAnsi" w:eastAsiaTheme="minorHAnsi" w:hAnsiTheme="minorHAnsi"/>
          <w:color w:val="000000"/>
        </w:rPr>
        <w:t>sebelipase</w:t>
      </w:r>
      <w:proofErr w:type="spellEnd"/>
      <w:r w:rsidRPr="00F51223">
        <w:rPr>
          <w:rFonts w:asciiTheme="minorHAnsi" w:eastAsiaTheme="minorHAnsi" w:hAnsiTheme="minorHAnsi"/>
          <w:color w:val="000000"/>
        </w:rPr>
        <w:t xml:space="preserve"> alfa group during the </w:t>
      </w:r>
      <w:r w:rsidR="003F3AB4">
        <w:rPr>
          <w:rFonts w:asciiTheme="minorHAnsi" w:eastAsiaTheme="minorHAnsi" w:hAnsiTheme="minorHAnsi"/>
          <w:color w:val="000000"/>
        </w:rPr>
        <w:t>double blind</w:t>
      </w:r>
      <w:r w:rsidRPr="00F51223">
        <w:rPr>
          <w:rFonts w:asciiTheme="minorHAnsi" w:eastAsiaTheme="minorHAnsi" w:hAnsiTheme="minorHAnsi"/>
          <w:color w:val="000000"/>
        </w:rPr>
        <w:t xml:space="preserve"> period were </w:t>
      </w:r>
      <w:r>
        <w:rPr>
          <w:rFonts w:asciiTheme="minorHAnsi" w:eastAsiaTheme="minorHAnsi" w:hAnsiTheme="minorHAnsi"/>
          <w:color w:val="000000"/>
        </w:rPr>
        <w:t>h</w:t>
      </w:r>
      <w:r w:rsidRPr="00F51223">
        <w:rPr>
          <w:rFonts w:asciiTheme="minorHAnsi" w:eastAsiaTheme="minorHAnsi" w:hAnsiTheme="minorHAnsi"/>
          <w:color w:val="000000"/>
        </w:rPr>
        <w:t xml:space="preserve">eadache (10/36 </w:t>
      </w:r>
      <w:r w:rsidR="00D074A0">
        <w:rPr>
          <w:rFonts w:asciiTheme="minorHAnsi" w:eastAsiaTheme="minorHAnsi" w:hAnsiTheme="minorHAnsi"/>
          <w:color w:val="000000"/>
        </w:rPr>
        <w:t>(</w:t>
      </w:r>
      <w:r w:rsidRPr="00F51223">
        <w:rPr>
          <w:rFonts w:asciiTheme="minorHAnsi" w:eastAsiaTheme="minorHAnsi" w:hAnsiTheme="minorHAnsi"/>
          <w:color w:val="000000"/>
        </w:rPr>
        <w:t>28%</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w:t>
      </w:r>
      <w:r>
        <w:rPr>
          <w:rFonts w:asciiTheme="minorHAnsi" w:eastAsiaTheme="minorHAnsi" w:hAnsiTheme="minorHAnsi"/>
          <w:color w:val="000000"/>
        </w:rPr>
        <w:t>p</w:t>
      </w:r>
      <w:r w:rsidRPr="00F51223">
        <w:rPr>
          <w:rFonts w:asciiTheme="minorHAnsi" w:eastAsiaTheme="minorHAnsi" w:hAnsiTheme="minorHAnsi"/>
          <w:color w:val="000000"/>
        </w:rPr>
        <w:t xml:space="preserve">yrexia (7/36 </w:t>
      </w:r>
      <w:r w:rsidR="00D074A0">
        <w:rPr>
          <w:rFonts w:asciiTheme="minorHAnsi" w:eastAsiaTheme="minorHAnsi" w:hAnsiTheme="minorHAnsi"/>
          <w:color w:val="000000"/>
        </w:rPr>
        <w:t>(</w:t>
      </w:r>
      <w:r w:rsidRPr="00F51223">
        <w:rPr>
          <w:rFonts w:asciiTheme="minorHAnsi" w:eastAsiaTheme="minorHAnsi" w:hAnsiTheme="minorHAnsi"/>
          <w:color w:val="000000"/>
        </w:rPr>
        <w:t>19%</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w:t>
      </w:r>
      <w:r>
        <w:rPr>
          <w:rFonts w:asciiTheme="minorHAnsi" w:eastAsiaTheme="minorHAnsi" w:hAnsiTheme="minorHAnsi"/>
          <w:color w:val="000000"/>
        </w:rPr>
        <w:t>d</w:t>
      </w:r>
      <w:r w:rsidRPr="00F51223">
        <w:rPr>
          <w:rFonts w:asciiTheme="minorHAnsi" w:eastAsiaTheme="minorHAnsi" w:hAnsiTheme="minorHAnsi"/>
          <w:color w:val="000000"/>
        </w:rPr>
        <w:t xml:space="preserve">iarrhoea (6/36 </w:t>
      </w:r>
      <w:r w:rsidR="00D074A0">
        <w:rPr>
          <w:rFonts w:asciiTheme="minorHAnsi" w:eastAsiaTheme="minorHAnsi" w:hAnsiTheme="minorHAnsi"/>
          <w:color w:val="000000"/>
        </w:rPr>
        <w:t>(</w:t>
      </w:r>
      <w:r w:rsidRPr="00F51223">
        <w:rPr>
          <w:rFonts w:asciiTheme="minorHAnsi" w:eastAsiaTheme="minorHAnsi" w:hAnsiTheme="minorHAnsi"/>
          <w:color w:val="000000"/>
        </w:rPr>
        <w:t>17%</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w:t>
      </w:r>
      <w:r>
        <w:rPr>
          <w:rFonts w:asciiTheme="minorHAnsi" w:eastAsiaTheme="minorHAnsi" w:hAnsiTheme="minorHAnsi"/>
          <w:color w:val="000000"/>
        </w:rPr>
        <w:t>o</w:t>
      </w:r>
      <w:r w:rsidRPr="00F51223">
        <w:rPr>
          <w:rFonts w:asciiTheme="minorHAnsi" w:eastAsiaTheme="minorHAnsi" w:hAnsiTheme="minorHAnsi"/>
          <w:color w:val="000000"/>
        </w:rPr>
        <w:t xml:space="preserve">ropharyngeal pain (6/36 </w:t>
      </w:r>
      <w:r w:rsidR="00D074A0">
        <w:rPr>
          <w:rFonts w:asciiTheme="minorHAnsi" w:eastAsiaTheme="minorHAnsi" w:hAnsiTheme="minorHAnsi"/>
          <w:color w:val="000000"/>
        </w:rPr>
        <w:t>(</w:t>
      </w:r>
      <w:r w:rsidRPr="00F51223">
        <w:rPr>
          <w:rFonts w:asciiTheme="minorHAnsi" w:eastAsiaTheme="minorHAnsi" w:hAnsiTheme="minorHAnsi"/>
          <w:color w:val="000000"/>
        </w:rPr>
        <w:t>17%</w:t>
      </w:r>
      <w:r w:rsidR="00D074A0">
        <w:rPr>
          <w:rFonts w:asciiTheme="minorHAnsi" w:eastAsiaTheme="minorHAnsi" w:hAnsiTheme="minorHAnsi"/>
          <w:color w:val="000000"/>
        </w:rPr>
        <w:t>)</w:t>
      </w:r>
      <w:r w:rsidRPr="00F51223">
        <w:rPr>
          <w:rFonts w:asciiTheme="minorHAnsi" w:eastAsiaTheme="minorHAnsi" w:hAnsiTheme="minorHAnsi"/>
          <w:color w:val="000000"/>
        </w:rPr>
        <w:t>)</w:t>
      </w:r>
      <w:r>
        <w:rPr>
          <w:rFonts w:asciiTheme="minorHAnsi" w:eastAsiaTheme="minorHAnsi" w:hAnsiTheme="minorHAnsi"/>
          <w:color w:val="000000"/>
        </w:rPr>
        <w:t>,</w:t>
      </w:r>
      <w:r w:rsidRPr="00F51223">
        <w:rPr>
          <w:rFonts w:asciiTheme="minorHAnsi" w:eastAsiaTheme="minorHAnsi" w:hAnsiTheme="minorHAnsi"/>
          <w:color w:val="000000"/>
        </w:rPr>
        <w:t xml:space="preserve"> </w:t>
      </w:r>
      <w:r>
        <w:rPr>
          <w:rFonts w:asciiTheme="minorHAnsi" w:eastAsiaTheme="minorHAnsi" w:hAnsiTheme="minorHAnsi"/>
          <w:color w:val="000000"/>
        </w:rPr>
        <w:t>u</w:t>
      </w:r>
      <w:r w:rsidRPr="00F51223">
        <w:rPr>
          <w:rFonts w:asciiTheme="minorHAnsi" w:eastAsiaTheme="minorHAnsi" w:hAnsiTheme="minorHAnsi"/>
          <w:color w:val="000000"/>
        </w:rPr>
        <w:t xml:space="preserve">pper respiratory infection (6/36 </w:t>
      </w:r>
      <w:r w:rsidR="00D074A0">
        <w:rPr>
          <w:rFonts w:asciiTheme="minorHAnsi" w:eastAsiaTheme="minorHAnsi" w:hAnsiTheme="minorHAnsi"/>
          <w:color w:val="000000"/>
        </w:rPr>
        <w:t>(</w:t>
      </w:r>
      <w:r w:rsidRPr="00F51223">
        <w:rPr>
          <w:rFonts w:asciiTheme="minorHAnsi" w:eastAsiaTheme="minorHAnsi" w:hAnsiTheme="minorHAnsi"/>
          <w:color w:val="000000"/>
        </w:rPr>
        <w:t>17%</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w:t>
      </w:r>
      <w:r>
        <w:rPr>
          <w:rFonts w:asciiTheme="minorHAnsi" w:eastAsiaTheme="minorHAnsi" w:hAnsiTheme="minorHAnsi"/>
          <w:color w:val="000000"/>
        </w:rPr>
        <w:t>e</w:t>
      </w:r>
      <w:r w:rsidRPr="00F51223">
        <w:rPr>
          <w:rFonts w:asciiTheme="minorHAnsi" w:eastAsiaTheme="minorHAnsi" w:hAnsiTheme="minorHAnsi"/>
          <w:color w:val="000000"/>
        </w:rPr>
        <w:t xml:space="preserve">pistaxis </w:t>
      </w:r>
      <w:r>
        <w:rPr>
          <w:rFonts w:asciiTheme="minorHAnsi" w:eastAsiaTheme="minorHAnsi" w:hAnsiTheme="minorHAnsi"/>
          <w:color w:val="000000"/>
        </w:rPr>
        <w:t xml:space="preserve">(4/36 </w:t>
      </w:r>
      <w:r w:rsidR="00D074A0">
        <w:rPr>
          <w:rFonts w:asciiTheme="minorHAnsi" w:eastAsiaTheme="minorHAnsi" w:hAnsiTheme="minorHAnsi"/>
          <w:color w:val="000000"/>
        </w:rPr>
        <w:t>(</w:t>
      </w:r>
      <w:r>
        <w:rPr>
          <w:rFonts w:asciiTheme="minorHAnsi" w:eastAsiaTheme="minorHAnsi" w:hAnsiTheme="minorHAnsi"/>
          <w:color w:val="000000"/>
        </w:rPr>
        <w:t>11%</w:t>
      </w:r>
      <w:r w:rsidR="00D074A0">
        <w:rPr>
          <w:rFonts w:asciiTheme="minorHAnsi" w:eastAsiaTheme="minorHAnsi" w:hAnsiTheme="minorHAnsi"/>
          <w:color w:val="000000"/>
        </w:rPr>
        <w:t>)</w:t>
      </w:r>
      <w:r>
        <w:rPr>
          <w:rFonts w:asciiTheme="minorHAnsi" w:eastAsiaTheme="minorHAnsi" w:hAnsiTheme="minorHAnsi"/>
          <w:color w:val="000000"/>
        </w:rPr>
        <w:t xml:space="preserve">) and </w:t>
      </w:r>
      <w:proofErr w:type="spellStart"/>
      <w:r>
        <w:rPr>
          <w:rFonts w:asciiTheme="minorHAnsi" w:eastAsiaTheme="minorHAnsi" w:hAnsiTheme="minorHAnsi"/>
          <w:color w:val="000000"/>
        </w:rPr>
        <w:t>n</w:t>
      </w:r>
      <w:r w:rsidRPr="00F51223">
        <w:rPr>
          <w:rFonts w:asciiTheme="minorHAnsi" w:eastAsiaTheme="minorHAnsi" w:hAnsiTheme="minorHAnsi"/>
          <w:color w:val="000000"/>
        </w:rPr>
        <w:t>asopharyngitis</w:t>
      </w:r>
      <w:proofErr w:type="spellEnd"/>
      <w:r w:rsidRPr="00F51223">
        <w:rPr>
          <w:rFonts w:asciiTheme="minorHAnsi" w:eastAsiaTheme="minorHAnsi" w:hAnsiTheme="minorHAnsi"/>
          <w:color w:val="000000"/>
        </w:rPr>
        <w:t xml:space="preserve"> (4/36 </w:t>
      </w:r>
      <w:r w:rsidR="00D074A0">
        <w:rPr>
          <w:rFonts w:asciiTheme="minorHAnsi" w:eastAsiaTheme="minorHAnsi" w:hAnsiTheme="minorHAnsi"/>
          <w:color w:val="000000"/>
        </w:rPr>
        <w:t>(</w:t>
      </w:r>
      <w:r w:rsidRPr="00F51223">
        <w:rPr>
          <w:rFonts w:asciiTheme="minorHAnsi" w:eastAsiaTheme="minorHAnsi" w:hAnsiTheme="minorHAnsi"/>
          <w:color w:val="000000"/>
        </w:rPr>
        <w:t>11%</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Of these events, those with a notably higher incidence (≥ 5% difference) in the </w:t>
      </w:r>
      <w:proofErr w:type="spellStart"/>
      <w:r w:rsidRPr="00F51223">
        <w:rPr>
          <w:rFonts w:asciiTheme="minorHAnsi" w:eastAsiaTheme="minorHAnsi" w:hAnsiTheme="minorHAnsi"/>
          <w:color w:val="000000"/>
        </w:rPr>
        <w:t>sebelipase</w:t>
      </w:r>
      <w:proofErr w:type="spellEnd"/>
      <w:r w:rsidRPr="00F51223">
        <w:rPr>
          <w:rFonts w:asciiTheme="minorHAnsi" w:eastAsiaTheme="minorHAnsi" w:hAnsiTheme="minorHAnsi"/>
          <w:color w:val="000000"/>
        </w:rPr>
        <w:t xml:space="preserve"> alfa group than in the placebo group were </w:t>
      </w:r>
      <w:r>
        <w:rPr>
          <w:rFonts w:asciiTheme="minorHAnsi" w:eastAsiaTheme="minorHAnsi" w:hAnsiTheme="minorHAnsi"/>
          <w:color w:val="000000"/>
        </w:rPr>
        <w:t>h</w:t>
      </w:r>
      <w:r w:rsidRPr="00F51223">
        <w:rPr>
          <w:rFonts w:asciiTheme="minorHAnsi" w:eastAsiaTheme="minorHAnsi" w:hAnsiTheme="minorHAnsi"/>
          <w:color w:val="000000"/>
        </w:rPr>
        <w:t xml:space="preserve">eadache (10/36 </w:t>
      </w:r>
      <w:r w:rsidR="00D074A0">
        <w:rPr>
          <w:rFonts w:asciiTheme="minorHAnsi" w:eastAsiaTheme="minorHAnsi" w:hAnsiTheme="minorHAnsi"/>
          <w:color w:val="000000"/>
        </w:rPr>
        <w:t>(</w:t>
      </w:r>
      <w:r w:rsidRPr="00F51223">
        <w:rPr>
          <w:rFonts w:asciiTheme="minorHAnsi" w:eastAsiaTheme="minorHAnsi" w:hAnsiTheme="minorHAnsi"/>
          <w:color w:val="000000"/>
        </w:rPr>
        <w:t>28%</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versus 6/30 </w:t>
      </w:r>
      <w:r w:rsidR="00D074A0">
        <w:rPr>
          <w:rFonts w:asciiTheme="minorHAnsi" w:eastAsiaTheme="minorHAnsi" w:hAnsiTheme="minorHAnsi"/>
          <w:color w:val="000000"/>
        </w:rPr>
        <w:t>(</w:t>
      </w:r>
      <w:r w:rsidRPr="00F51223">
        <w:rPr>
          <w:rFonts w:asciiTheme="minorHAnsi" w:eastAsiaTheme="minorHAnsi" w:hAnsiTheme="minorHAnsi"/>
          <w:color w:val="000000"/>
        </w:rPr>
        <w:t>20%</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and </w:t>
      </w:r>
      <w:r>
        <w:rPr>
          <w:rFonts w:asciiTheme="minorHAnsi" w:eastAsiaTheme="minorHAnsi" w:hAnsiTheme="minorHAnsi"/>
          <w:color w:val="000000"/>
        </w:rPr>
        <w:t>o</w:t>
      </w:r>
      <w:r w:rsidRPr="00F51223">
        <w:rPr>
          <w:rFonts w:asciiTheme="minorHAnsi" w:eastAsiaTheme="minorHAnsi" w:hAnsiTheme="minorHAnsi"/>
          <w:color w:val="000000"/>
        </w:rPr>
        <w:t xml:space="preserve">ropharyngeal pain (6/36 </w:t>
      </w:r>
      <w:r w:rsidR="00D074A0">
        <w:rPr>
          <w:rFonts w:asciiTheme="minorHAnsi" w:eastAsiaTheme="minorHAnsi" w:hAnsiTheme="minorHAnsi"/>
          <w:color w:val="000000"/>
        </w:rPr>
        <w:t>(</w:t>
      </w:r>
      <w:r w:rsidRPr="00F51223">
        <w:rPr>
          <w:rFonts w:asciiTheme="minorHAnsi" w:eastAsiaTheme="minorHAnsi" w:hAnsiTheme="minorHAnsi"/>
          <w:color w:val="000000"/>
        </w:rPr>
        <w:t>17%</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versus 1/30 </w:t>
      </w:r>
      <w:r w:rsidR="00D074A0">
        <w:rPr>
          <w:rFonts w:asciiTheme="minorHAnsi" w:eastAsiaTheme="minorHAnsi" w:hAnsiTheme="minorHAnsi"/>
          <w:color w:val="000000"/>
        </w:rPr>
        <w:t>(</w:t>
      </w:r>
      <w:r w:rsidRPr="00F51223">
        <w:rPr>
          <w:rFonts w:asciiTheme="minorHAnsi" w:eastAsiaTheme="minorHAnsi" w:hAnsiTheme="minorHAnsi"/>
          <w:color w:val="000000"/>
        </w:rPr>
        <w:t>3%</w:t>
      </w:r>
      <w:r w:rsidR="00D074A0">
        <w:rPr>
          <w:rFonts w:asciiTheme="minorHAnsi" w:eastAsiaTheme="minorHAnsi" w:hAnsiTheme="minorHAnsi"/>
          <w:color w:val="000000"/>
        </w:rPr>
        <w:t>)</w:t>
      </w:r>
      <w:r w:rsidRPr="00F51223">
        <w:rPr>
          <w:rFonts w:asciiTheme="minorHAnsi" w:eastAsiaTheme="minorHAnsi" w:hAnsiTheme="minorHAnsi"/>
          <w:color w:val="000000"/>
        </w:rPr>
        <w:t>), respective</w:t>
      </w:r>
      <w:r>
        <w:rPr>
          <w:rFonts w:asciiTheme="minorHAnsi" w:eastAsiaTheme="minorHAnsi" w:hAnsiTheme="minorHAnsi"/>
          <w:color w:val="000000"/>
        </w:rPr>
        <w:t>ly.</w:t>
      </w:r>
    </w:p>
    <w:p w14:paraId="67798963" w14:textId="77777777" w:rsidR="00787F40" w:rsidRPr="00F51223" w:rsidRDefault="00787F40" w:rsidP="00787F40">
      <w:pPr>
        <w:autoSpaceDE w:val="0"/>
        <w:autoSpaceDN w:val="0"/>
        <w:adjustRightInd w:val="0"/>
        <w:spacing w:before="0" w:line="240" w:lineRule="auto"/>
        <w:rPr>
          <w:rFonts w:asciiTheme="minorHAnsi" w:eastAsiaTheme="minorHAnsi" w:hAnsiTheme="minorHAnsi" w:cs="TimesNewRomanPSMT"/>
        </w:rPr>
      </w:pPr>
      <w:r w:rsidRPr="00F51223">
        <w:rPr>
          <w:rFonts w:asciiTheme="minorHAnsi" w:eastAsiaTheme="minorHAnsi" w:hAnsiTheme="minorHAnsi" w:cs="TimesNewRomanPSMT"/>
        </w:rPr>
        <w:t xml:space="preserve">Most TEAEs during the </w:t>
      </w:r>
      <w:r w:rsidR="003F3AB4">
        <w:rPr>
          <w:rFonts w:asciiTheme="minorHAnsi" w:eastAsiaTheme="minorHAnsi" w:hAnsiTheme="minorHAnsi" w:cs="TimesNewRomanPSMT"/>
        </w:rPr>
        <w:t>double blind</w:t>
      </w:r>
      <w:r w:rsidRPr="00F51223">
        <w:rPr>
          <w:rFonts w:asciiTheme="minorHAnsi" w:eastAsiaTheme="minorHAnsi" w:hAnsiTheme="minorHAnsi" w:cs="TimesNewRomanPSMT"/>
        </w:rPr>
        <w:t xml:space="preserve"> period were assessed by the Investigator as mild to moderate in intensity; 8% and 3% of subjects in the SA and placebo groups, respectively, experienced at least 1 severe TEAE. In the SA group, severe TEAEs included an </w:t>
      </w:r>
      <w:r w:rsidR="00B866BC">
        <w:rPr>
          <w:rFonts w:asciiTheme="minorHAnsi" w:eastAsiaTheme="minorHAnsi" w:hAnsiTheme="minorHAnsi" w:cs="TimesNewRomanPSMT"/>
        </w:rPr>
        <w:t>infusion related</w:t>
      </w:r>
      <w:r w:rsidRPr="00F51223">
        <w:rPr>
          <w:rFonts w:asciiTheme="minorHAnsi" w:eastAsiaTheme="minorHAnsi" w:hAnsiTheme="minorHAnsi" w:cs="TimesNewRomanPSMT"/>
        </w:rPr>
        <w:t xml:space="preserve"> reaction, also considered an SAE, in which severe anxiety, chest discomfort, dyspnoea, laryngeal oedema, nausea, rash, and body temperature increased occurred in 1 subject, with these events considered to represent an IAR. The only other severe TEAEs in the SA group </w:t>
      </w:r>
      <w:proofErr w:type="gramStart"/>
      <w:r w:rsidRPr="00F51223">
        <w:rPr>
          <w:rFonts w:asciiTheme="minorHAnsi" w:eastAsiaTheme="minorHAnsi" w:hAnsiTheme="minorHAnsi" w:cs="TimesNewRomanPSMT"/>
        </w:rPr>
        <w:t>was</w:t>
      </w:r>
      <w:proofErr w:type="gramEnd"/>
      <w:r w:rsidRPr="00F51223">
        <w:rPr>
          <w:rFonts w:asciiTheme="minorHAnsi" w:eastAsiaTheme="minorHAnsi" w:hAnsiTheme="minorHAnsi" w:cs="TimesNewRomanPSMT"/>
        </w:rPr>
        <w:t xml:space="preserve"> a case of non-serious sinusitis and procedural pain (after liver biopsy)</w:t>
      </w:r>
      <w:r>
        <w:rPr>
          <w:rFonts w:asciiTheme="minorHAnsi" w:eastAsiaTheme="minorHAnsi" w:hAnsiTheme="minorHAnsi" w:cs="TimesNewRomanPSMT"/>
        </w:rPr>
        <w:t xml:space="preserve"> (both unrelated to </w:t>
      </w:r>
      <w:r w:rsidR="00C4359A">
        <w:rPr>
          <w:rFonts w:asciiTheme="minorHAnsi" w:eastAsiaTheme="minorHAnsi" w:hAnsiTheme="minorHAnsi" w:cs="TimesNewRomanPSMT"/>
        </w:rPr>
        <w:t>study</w:t>
      </w:r>
      <w:r>
        <w:rPr>
          <w:rFonts w:asciiTheme="minorHAnsi" w:eastAsiaTheme="minorHAnsi" w:hAnsiTheme="minorHAnsi" w:cs="TimesNewRomanPSMT"/>
        </w:rPr>
        <w:t xml:space="preserve"> medication). </w:t>
      </w:r>
      <w:r w:rsidRPr="00F51223">
        <w:rPr>
          <w:rFonts w:asciiTheme="minorHAnsi" w:eastAsiaTheme="minorHAnsi" w:hAnsiTheme="minorHAnsi" w:cs="TimesNewRomanPSMT"/>
        </w:rPr>
        <w:t xml:space="preserve">In the placebo group, the only severe TEAE was a road traffic accident, an SAE, which was unrelated to </w:t>
      </w:r>
      <w:r w:rsidR="00C4359A">
        <w:rPr>
          <w:rFonts w:asciiTheme="minorHAnsi" w:eastAsiaTheme="minorHAnsi" w:hAnsiTheme="minorHAnsi" w:cs="TimesNewRomanPSMT"/>
        </w:rPr>
        <w:t>study</w:t>
      </w:r>
      <w:r w:rsidRPr="00F51223">
        <w:rPr>
          <w:rFonts w:asciiTheme="minorHAnsi" w:eastAsiaTheme="minorHAnsi" w:hAnsiTheme="minorHAnsi" w:cs="TimesNewRomanPSMT"/>
        </w:rPr>
        <w:t xml:space="preserve"> drug.</w:t>
      </w:r>
    </w:p>
    <w:p w14:paraId="3C987E65" w14:textId="77777777" w:rsidR="00B73619" w:rsidRDefault="00787F40" w:rsidP="00787F40">
      <w:pPr>
        <w:autoSpaceDE w:val="0"/>
        <w:autoSpaceDN w:val="0"/>
        <w:adjustRightInd w:val="0"/>
        <w:spacing w:before="0" w:line="240" w:lineRule="auto"/>
        <w:rPr>
          <w:rFonts w:asciiTheme="minorHAnsi" w:eastAsiaTheme="minorHAnsi" w:hAnsiTheme="minorHAnsi" w:cs="TimesNewRomanPSMT"/>
        </w:rPr>
      </w:pPr>
      <w:r w:rsidRPr="00BF17DF">
        <w:rPr>
          <w:rFonts w:asciiTheme="minorHAnsi" w:eastAsiaTheme="minorHAnsi" w:hAnsiTheme="minorHAnsi" w:cs="TimesNewRomanPSMT"/>
        </w:rPr>
        <w:t xml:space="preserve">Overall, among the 66 subjects exposed to </w:t>
      </w:r>
      <w:proofErr w:type="spellStart"/>
      <w:r w:rsidRPr="00BF17DF">
        <w:rPr>
          <w:rFonts w:asciiTheme="minorHAnsi" w:eastAsiaTheme="minorHAnsi" w:hAnsiTheme="minorHAnsi" w:cs="TimesNewRomanPSMT"/>
        </w:rPr>
        <w:t>sebelipase</w:t>
      </w:r>
      <w:proofErr w:type="spellEnd"/>
      <w:r w:rsidRPr="00BF17DF">
        <w:rPr>
          <w:rFonts w:asciiTheme="minorHAnsi" w:eastAsiaTheme="minorHAnsi" w:hAnsiTheme="minorHAnsi" w:cs="TimesNewRomanPSMT"/>
        </w:rPr>
        <w:t xml:space="preserve"> alfa in this </w:t>
      </w:r>
      <w:r w:rsidR="00C4359A">
        <w:rPr>
          <w:rFonts w:asciiTheme="minorHAnsi" w:eastAsiaTheme="minorHAnsi" w:hAnsiTheme="minorHAnsi" w:cs="TimesNewRomanPSMT"/>
        </w:rPr>
        <w:t>study</w:t>
      </w:r>
      <w:r w:rsidRPr="00BF17DF">
        <w:rPr>
          <w:rFonts w:asciiTheme="minorHAnsi" w:eastAsiaTheme="minorHAnsi" w:hAnsiTheme="minorHAnsi" w:cs="TimesNewRomanPSMT"/>
        </w:rPr>
        <w:t xml:space="preserve">, either in the </w:t>
      </w:r>
      <w:r w:rsidR="003F3AB4">
        <w:rPr>
          <w:rFonts w:asciiTheme="minorHAnsi" w:eastAsiaTheme="minorHAnsi" w:hAnsiTheme="minorHAnsi" w:cs="TimesNewRomanPSMT"/>
        </w:rPr>
        <w:t>double blind</w:t>
      </w:r>
      <w:r w:rsidRPr="00BF17DF">
        <w:rPr>
          <w:rFonts w:asciiTheme="minorHAnsi" w:eastAsiaTheme="minorHAnsi" w:hAnsiTheme="minorHAnsi" w:cs="TimesNewRomanPSMT"/>
        </w:rPr>
        <w:t xml:space="preserve"> period</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and/or the </w:t>
      </w:r>
      <w:r w:rsidR="00B73619">
        <w:rPr>
          <w:rFonts w:asciiTheme="minorHAnsi" w:eastAsiaTheme="minorHAnsi" w:hAnsiTheme="minorHAnsi" w:cs="TimesNewRomanPSMT"/>
        </w:rPr>
        <w:t>open label</w:t>
      </w:r>
      <w:r w:rsidRPr="00BF17DF">
        <w:rPr>
          <w:rFonts w:asciiTheme="minorHAnsi" w:eastAsiaTheme="minorHAnsi" w:hAnsiTheme="minorHAnsi" w:cs="TimesNewRomanPSMT"/>
        </w:rPr>
        <w:t xml:space="preserve"> period, 4 (6%) experienced an IAR. The IAR was mild and non-serious for 3 of these</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4 subjects, with all 3 receiving subsequent infusions of </w:t>
      </w:r>
      <w:proofErr w:type="spellStart"/>
      <w:r w:rsidRPr="00BF17DF">
        <w:rPr>
          <w:rFonts w:asciiTheme="minorHAnsi" w:eastAsiaTheme="minorHAnsi" w:hAnsiTheme="minorHAnsi" w:cs="TimesNewRomanPSMT"/>
        </w:rPr>
        <w:t>sebelipase</w:t>
      </w:r>
      <w:proofErr w:type="spellEnd"/>
      <w:r w:rsidRPr="00BF17DF">
        <w:rPr>
          <w:rFonts w:asciiTheme="minorHAnsi" w:eastAsiaTheme="minorHAnsi" w:hAnsiTheme="minorHAnsi" w:cs="TimesNewRomanPSMT"/>
        </w:rPr>
        <w:t xml:space="preserve"> alfa, 1 with and 2 without premedication,</w:t>
      </w:r>
      <w:r>
        <w:rPr>
          <w:rFonts w:asciiTheme="minorHAnsi" w:eastAsiaTheme="minorHAnsi" w:hAnsiTheme="minorHAnsi" w:cs="TimesNewRomanPSMT"/>
        </w:rPr>
        <w:t xml:space="preserve"> </w:t>
      </w:r>
      <w:r w:rsidRPr="00BF17DF">
        <w:rPr>
          <w:rFonts w:asciiTheme="minorHAnsi" w:eastAsiaTheme="minorHAnsi" w:hAnsiTheme="minorHAnsi" w:cs="TimesNewRomanPSMT"/>
        </w:rPr>
        <w:t>without IAR recurrence. For the remaining subject, who experienced IARs after both the first</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and second </w:t>
      </w:r>
      <w:r w:rsidR="00C4359A">
        <w:rPr>
          <w:rFonts w:asciiTheme="minorHAnsi" w:eastAsiaTheme="minorHAnsi" w:hAnsiTheme="minorHAnsi" w:cs="TimesNewRomanPSMT"/>
        </w:rPr>
        <w:t>study</w:t>
      </w:r>
      <w:r w:rsidRPr="00BF17DF">
        <w:rPr>
          <w:rFonts w:asciiTheme="minorHAnsi" w:eastAsiaTheme="minorHAnsi" w:hAnsiTheme="minorHAnsi" w:cs="TimesNewRomanPSMT"/>
        </w:rPr>
        <w:t xml:space="preserve"> drug infusions, and was pre-medicated prior to the second </w:t>
      </w:r>
      <w:r w:rsidR="00C4359A">
        <w:rPr>
          <w:rFonts w:asciiTheme="minorHAnsi" w:eastAsiaTheme="minorHAnsi" w:hAnsiTheme="minorHAnsi" w:cs="TimesNewRomanPSMT"/>
        </w:rPr>
        <w:t>study</w:t>
      </w:r>
      <w:r w:rsidRPr="00BF17DF">
        <w:rPr>
          <w:rFonts w:asciiTheme="minorHAnsi" w:eastAsiaTheme="minorHAnsi" w:hAnsiTheme="minorHAnsi" w:cs="TimesNewRomanPSMT"/>
        </w:rPr>
        <w:t xml:space="preserve"> drug infusion, the IAR</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after the second </w:t>
      </w:r>
      <w:r w:rsidR="00C4359A">
        <w:rPr>
          <w:rFonts w:asciiTheme="minorHAnsi" w:eastAsiaTheme="minorHAnsi" w:hAnsiTheme="minorHAnsi" w:cs="TimesNewRomanPSMT"/>
        </w:rPr>
        <w:t>study</w:t>
      </w:r>
      <w:r w:rsidRPr="00BF17DF">
        <w:rPr>
          <w:rFonts w:asciiTheme="minorHAnsi" w:eastAsiaTheme="minorHAnsi" w:hAnsiTheme="minorHAnsi" w:cs="TimesNewRomanPSMT"/>
        </w:rPr>
        <w:t xml:space="preserve"> drug infusion was considered severe and serious</w:t>
      </w:r>
      <w:r w:rsidR="00B73619">
        <w:rPr>
          <w:rFonts w:asciiTheme="minorHAnsi" w:eastAsiaTheme="minorHAnsi" w:hAnsiTheme="minorHAnsi" w:cs="TimesNewRomanPSMT"/>
        </w:rPr>
        <w:t>.</w:t>
      </w:r>
    </w:p>
    <w:p w14:paraId="4135C3F4" w14:textId="77777777" w:rsidR="00B73619" w:rsidRDefault="00787F40" w:rsidP="00787F40">
      <w:pPr>
        <w:autoSpaceDE w:val="0"/>
        <w:autoSpaceDN w:val="0"/>
        <w:adjustRightInd w:val="0"/>
        <w:spacing w:before="0" w:line="240" w:lineRule="auto"/>
        <w:rPr>
          <w:rFonts w:asciiTheme="minorHAnsi" w:eastAsiaTheme="minorHAnsi" w:hAnsiTheme="minorHAnsi" w:cs="TimesNewRomanPSMT"/>
        </w:rPr>
      </w:pPr>
      <w:r>
        <w:rPr>
          <w:rFonts w:asciiTheme="minorHAnsi" w:eastAsiaTheme="minorHAnsi" w:hAnsiTheme="minorHAnsi" w:cs="TimesNewRomanPSMT"/>
        </w:rPr>
        <w:t>T</w:t>
      </w:r>
      <w:r w:rsidRPr="00BF17DF">
        <w:rPr>
          <w:rFonts w:asciiTheme="minorHAnsi" w:eastAsiaTheme="minorHAnsi" w:hAnsiTheme="minorHAnsi" w:cs="TimesNewRomanPSMT"/>
        </w:rPr>
        <w:t xml:space="preserve">he safety profile of </w:t>
      </w:r>
      <w:proofErr w:type="spellStart"/>
      <w:r w:rsidRPr="00BF17DF">
        <w:rPr>
          <w:rFonts w:asciiTheme="minorHAnsi" w:eastAsiaTheme="minorHAnsi" w:hAnsiTheme="minorHAnsi" w:cs="TimesNewRomanPSMT"/>
        </w:rPr>
        <w:t>sebelipase</w:t>
      </w:r>
      <w:proofErr w:type="spellEnd"/>
      <w:r w:rsidRPr="00BF17DF">
        <w:rPr>
          <w:rFonts w:asciiTheme="minorHAnsi" w:eastAsiaTheme="minorHAnsi" w:hAnsiTheme="minorHAnsi" w:cs="TimesNewRomanPSMT"/>
        </w:rPr>
        <w:t xml:space="preserve"> alfa </w:t>
      </w:r>
      <w:r>
        <w:rPr>
          <w:rFonts w:asciiTheme="minorHAnsi" w:eastAsiaTheme="minorHAnsi" w:hAnsiTheme="minorHAnsi" w:cs="TimesNewRomanPSMT"/>
        </w:rPr>
        <w:t xml:space="preserve">during the </w:t>
      </w:r>
      <w:r w:rsidR="00B73619">
        <w:rPr>
          <w:rFonts w:asciiTheme="minorHAnsi" w:eastAsiaTheme="minorHAnsi" w:hAnsiTheme="minorHAnsi" w:cs="TimesNewRomanPSMT"/>
        </w:rPr>
        <w:t>open label</w:t>
      </w:r>
      <w:r>
        <w:rPr>
          <w:rFonts w:asciiTheme="minorHAnsi" w:eastAsiaTheme="minorHAnsi" w:hAnsiTheme="minorHAnsi" w:cs="TimesNewRomanPSMT"/>
        </w:rPr>
        <w:t xml:space="preserve"> period </w:t>
      </w:r>
      <w:r w:rsidRPr="00BF17DF">
        <w:rPr>
          <w:rFonts w:asciiTheme="minorHAnsi" w:eastAsiaTheme="minorHAnsi" w:hAnsiTheme="minorHAnsi" w:cs="TimesNewRomanPSMT"/>
        </w:rPr>
        <w:t>was consistent</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with that seen during the </w:t>
      </w:r>
      <w:r w:rsidR="003F3AB4">
        <w:rPr>
          <w:rFonts w:asciiTheme="minorHAnsi" w:eastAsiaTheme="minorHAnsi" w:hAnsiTheme="minorHAnsi" w:cs="TimesNewRomanPSMT"/>
        </w:rPr>
        <w:t>double blind</w:t>
      </w:r>
      <w:r w:rsidRPr="00BF17DF">
        <w:rPr>
          <w:rFonts w:asciiTheme="minorHAnsi" w:eastAsiaTheme="minorHAnsi" w:hAnsiTheme="minorHAnsi" w:cs="TimesNewRomanPSMT"/>
        </w:rPr>
        <w:t xml:space="preserve"> treatment period</w:t>
      </w:r>
      <w:r w:rsidR="00B73619">
        <w:rPr>
          <w:rFonts w:asciiTheme="minorHAnsi" w:eastAsiaTheme="minorHAnsi" w:hAnsiTheme="minorHAnsi" w:cs="TimesNewRomanPSMT"/>
        </w:rPr>
        <w:t>.</w:t>
      </w:r>
    </w:p>
    <w:p w14:paraId="46AB4A9F" w14:textId="77777777" w:rsidR="00787F40" w:rsidRPr="00BB409C" w:rsidRDefault="00787F40" w:rsidP="00EA7323">
      <w:pPr>
        <w:pStyle w:val="Heading4"/>
      </w:pPr>
      <w:r w:rsidRPr="00BB409C">
        <w:t>Other studies</w:t>
      </w:r>
    </w:p>
    <w:p w14:paraId="345A8D94" w14:textId="40B6FA2C" w:rsidR="00B73619" w:rsidRDefault="00787F40" w:rsidP="00787F40">
      <w:pPr>
        <w:autoSpaceDE w:val="0"/>
        <w:autoSpaceDN w:val="0"/>
        <w:adjustRightInd w:val="0"/>
        <w:spacing w:before="0" w:line="240" w:lineRule="auto"/>
        <w:rPr>
          <w:rFonts w:asciiTheme="minorHAnsi" w:eastAsiaTheme="minorHAnsi" w:hAnsiTheme="minorHAnsi"/>
          <w:color w:val="000000"/>
        </w:rPr>
      </w:pPr>
      <w:r w:rsidRPr="00F51223">
        <w:rPr>
          <w:rFonts w:asciiTheme="minorHAnsi" w:eastAsiaTheme="minorHAnsi" w:hAnsiTheme="minorHAnsi"/>
          <w:color w:val="000000"/>
        </w:rPr>
        <w:t xml:space="preserve">For adults in </w:t>
      </w:r>
      <w:r w:rsidR="00157E63">
        <w:rPr>
          <w:rFonts w:asciiTheme="minorHAnsi" w:eastAsiaTheme="minorHAnsi" w:hAnsiTheme="minorHAnsi"/>
          <w:color w:val="000000"/>
        </w:rPr>
        <w:t>Study</w:t>
      </w:r>
      <w:r w:rsidRPr="00F51223">
        <w:rPr>
          <w:rFonts w:asciiTheme="minorHAnsi" w:eastAsiaTheme="minorHAnsi" w:hAnsiTheme="minorHAnsi"/>
          <w:color w:val="000000"/>
        </w:rPr>
        <w:t xml:space="preserve"> LAL-CL01/LAL-CL04, there was a greater incidence of pain-related TEAEs (≥</w:t>
      </w:r>
      <w:r w:rsidR="00EA7323">
        <w:rPr>
          <w:rFonts w:asciiTheme="minorHAnsi" w:eastAsiaTheme="minorHAnsi" w:hAnsiTheme="minorHAnsi"/>
          <w:color w:val="000000"/>
        </w:rPr>
        <w:t> </w:t>
      </w:r>
      <w:r w:rsidRPr="00F51223">
        <w:rPr>
          <w:rFonts w:asciiTheme="minorHAnsi" w:eastAsiaTheme="minorHAnsi" w:hAnsiTheme="minorHAnsi"/>
          <w:color w:val="000000"/>
        </w:rPr>
        <w:t xml:space="preserve">30% of subjects) including </w:t>
      </w:r>
      <w:r>
        <w:rPr>
          <w:rFonts w:asciiTheme="minorHAnsi" w:eastAsiaTheme="minorHAnsi" w:hAnsiTheme="minorHAnsi"/>
          <w:color w:val="000000"/>
        </w:rPr>
        <w:t xml:space="preserve">abdominal pain (5/9 </w:t>
      </w:r>
      <w:r w:rsidR="00D074A0">
        <w:rPr>
          <w:rFonts w:asciiTheme="minorHAnsi" w:eastAsiaTheme="minorHAnsi" w:hAnsiTheme="minorHAnsi"/>
          <w:color w:val="000000"/>
        </w:rPr>
        <w:t>(</w:t>
      </w:r>
      <w:r>
        <w:rPr>
          <w:rFonts w:asciiTheme="minorHAnsi" w:eastAsiaTheme="minorHAnsi" w:hAnsiTheme="minorHAnsi"/>
          <w:color w:val="000000"/>
        </w:rPr>
        <w:t>55.6%</w:t>
      </w:r>
      <w:r w:rsidR="00D074A0">
        <w:rPr>
          <w:rFonts w:asciiTheme="minorHAnsi" w:eastAsiaTheme="minorHAnsi" w:hAnsiTheme="minorHAnsi"/>
          <w:color w:val="000000"/>
        </w:rPr>
        <w:t>)</w:t>
      </w:r>
      <w:r>
        <w:rPr>
          <w:rFonts w:asciiTheme="minorHAnsi" w:eastAsiaTheme="minorHAnsi" w:hAnsiTheme="minorHAnsi"/>
          <w:color w:val="000000"/>
        </w:rPr>
        <w:t>), m</w:t>
      </w:r>
      <w:r w:rsidR="00EA7323">
        <w:rPr>
          <w:rFonts w:asciiTheme="minorHAnsi" w:eastAsiaTheme="minorHAnsi" w:hAnsiTheme="minorHAnsi"/>
          <w:color w:val="000000"/>
        </w:rPr>
        <w:t>usculoskeletal pain (4/9 </w:t>
      </w:r>
      <w:r w:rsidR="00D074A0">
        <w:rPr>
          <w:rFonts w:asciiTheme="minorHAnsi" w:eastAsiaTheme="minorHAnsi" w:hAnsiTheme="minorHAnsi"/>
          <w:color w:val="000000"/>
        </w:rPr>
        <w:t>(</w:t>
      </w:r>
      <w:r w:rsidRPr="00F51223">
        <w:rPr>
          <w:rFonts w:asciiTheme="minorHAnsi" w:eastAsiaTheme="minorHAnsi" w:hAnsiTheme="minorHAnsi"/>
          <w:color w:val="000000"/>
        </w:rPr>
        <w:t>44.4%</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w:t>
      </w:r>
      <w:r>
        <w:rPr>
          <w:rFonts w:asciiTheme="minorHAnsi" w:eastAsiaTheme="minorHAnsi" w:hAnsiTheme="minorHAnsi"/>
          <w:color w:val="000000"/>
        </w:rPr>
        <w:t>a</w:t>
      </w:r>
      <w:r w:rsidRPr="00F51223">
        <w:rPr>
          <w:rFonts w:asciiTheme="minorHAnsi" w:eastAsiaTheme="minorHAnsi" w:hAnsiTheme="minorHAnsi"/>
          <w:color w:val="000000"/>
        </w:rPr>
        <w:t xml:space="preserve">bdominal pain upper (3/9 </w:t>
      </w:r>
      <w:r w:rsidR="00D074A0">
        <w:rPr>
          <w:rFonts w:asciiTheme="minorHAnsi" w:eastAsiaTheme="minorHAnsi" w:hAnsiTheme="minorHAnsi"/>
          <w:color w:val="000000"/>
        </w:rPr>
        <w:t>(</w:t>
      </w:r>
      <w:r w:rsidRPr="00F51223">
        <w:rPr>
          <w:rFonts w:asciiTheme="minorHAnsi" w:eastAsiaTheme="minorHAnsi" w:hAnsiTheme="minorHAnsi"/>
          <w:color w:val="000000"/>
        </w:rPr>
        <w:t>33.3%</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w:t>
      </w:r>
      <w:r>
        <w:rPr>
          <w:rFonts w:asciiTheme="minorHAnsi" w:eastAsiaTheme="minorHAnsi" w:hAnsiTheme="minorHAnsi"/>
          <w:color w:val="000000"/>
        </w:rPr>
        <w:t>e</w:t>
      </w:r>
      <w:r w:rsidRPr="00F51223">
        <w:rPr>
          <w:rFonts w:asciiTheme="minorHAnsi" w:eastAsiaTheme="minorHAnsi" w:hAnsiTheme="minorHAnsi"/>
          <w:color w:val="000000"/>
        </w:rPr>
        <w:t xml:space="preserve">ar pain (3/9 </w:t>
      </w:r>
      <w:r w:rsidR="00D074A0">
        <w:rPr>
          <w:rFonts w:asciiTheme="minorHAnsi" w:eastAsiaTheme="minorHAnsi" w:hAnsiTheme="minorHAnsi"/>
          <w:color w:val="000000"/>
        </w:rPr>
        <w:t>(</w:t>
      </w:r>
      <w:r w:rsidRPr="00F51223">
        <w:rPr>
          <w:rFonts w:asciiTheme="minorHAnsi" w:eastAsiaTheme="minorHAnsi" w:hAnsiTheme="minorHAnsi"/>
          <w:color w:val="000000"/>
        </w:rPr>
        <w:t>33.3%</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w:t>
      </w:r>
      <w:r w:rsidR="00EA7323">
        <w:rPr>
          <w:rFonts w:asciiTheme="minorHAnsi" w:eastAsiaTheme="minorHAnsi" w:hAnsiTheme="minorHAnsi"/>
          <w:color w:val="000000"/>
        </w:rPr>
        <w:t>back pain (3/9 </w:t>
      </w:r>
      <w:r w:rsidR="00D074A0">
        <w:rPr>
          <w:rFonts w:asciiTheme="minorHAnsi" w:eastAsiaTheme="minorHAnsi" w:hAnsiTheme="minorHAnsi"/>
          <w:color w:val="000000"/>
        </w:rPr>
        <w:t>(</w:t>
      </w:r>
      <w:r>
        <w:rPr>
          <w:rFonts w:asciiTheme="minorHAnsi" w:eastAsiaTheme="minorHAnsi" w:hAnsiTheme="minorHAnsi"/>
          <w:color w:val="000000"/>
        </w:rPr>
        <w:t>33.3%</w:t>
      </w:r>
      <w:r w:rsidR="00D074A0">
        <w:rPr>
          <w:rFonts w:asciiTheme="minorHAnsi" w:eastAsiaTheme="minorHAnsi" w:hAnsiTheme="minorHAnsi"/>
          <w:color w:val="000000"/>
        </w:rPr>
        <w:t>)</w:t>
      </w:r>
      <w:r>
        <w:rPr>
          <w:rFonts w:asciiTheme="minorHAnsi" w:eastAsiaTheme="minorHAnsi" w:hAnsiTheme="minorHAnsi"/>
          <w:color w:val="000000"/>
        </w:rPr>
        <w:t>), m</w:t>
      </w:r>
      <w:r w:rsidRPr="00F51223">
        <w:rPr>
          <w:rFonts w:asciiTheme="minorHAnsi" w:eastAsiaTheme="minorHAnsi" w:hAnsiTheme="minorHAnsi"/>
          <w:color w:val="000000"/>
        </w:rPr>
        <w:t xml:space="preserve">yalgia (3/9 </w:t>
      </w:r>
      <w:r w:rsidR="00D074A0">
        <w:rPr>
          <w:rFonts w:asciiTheme="minorHAnsi" w:eastAsiaTheme="minorHAnsi" w:hAnsiTheme="minorHAnsi"/>
          <w:color w:val="000000"/>
        </w:rPr>
        <w:t>(</w:t>
      </w:r>
      <w:r w:rsidRPr="00F51223">
        <w:rPr>
          <w:rFonts w:asciiTheme="minorHAnsi" w:eastAsiaTheme="minorHAnsi" w:hAnsiTheme="minorHAnsi"/>
          <w:color w:val="000000"/>
        </w:rPr>
        <w:t>33.3%</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and </w:t>
      </w:r>
      <w:r>
        <w:rPr>
          <w:rFonts w:asciiTheme="minorHAnsi" w:eastAsiaTheme="minorHAnsi" w:hAnsiTheme="minorHAnsi"/>
          <w:color w:val="000000"/>
        </w:rPr>
        <w:t>h</w:t>
      </w:r>
      <w:r w:rsidRPr="00F51223">
        <w:rPr>
          <w:rFonts w:asciiTheme="minorHAnsi" w:eastAsiaTheme="minorHAnsi" w:hAnsiTheme="minorHAnsi"/>
          <w:color w:val="000000"/>
        </w:rPr>
        <w:t xml:space="preserve">eadache (3/9 </w:t>
      </w:r>
      <w:r w:rsidR="00D074A0">
        <w:rPr>
          <w:rFonts w:asciiTheme="minorHAnsi" w:eastAsiaTheme="minorHAnsi" w:hAnsiTheme="minorHAnsi"/>
          <w:color w:val="000000"/>
        </w:rPr>
        <w:t>(</w:t>
      </w:r>
      <w:r w:rsidRPr="00F51223">
        <w:rPr>
          <w:rFonts w:asciiTheme="minorHAnsi" w:eastAsiaTheme="minorHAnsi" w:hAnsiTheme="minorHAnsi"/>
          <w:color w:val="000000"/>
        </w:rPr>
        <w:t>33.3%</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The number of subjects with TEAEs was similar during the 4 weeks of </w:t>
      </w:r>
      <w:proofErr w:type="spellStart"/>
      <w:r w:rsidRPr="00F51223">
        <w:rPr>
          <w:rFonts w:asciiTheme="minorHAnsi" w:eastAsiaTheme="minorHAnsi" w:hAnsiTheme="minorHAnsi"/>
          <w:color w:val="000000"/>
        </w:rPr>
        <w:t>qw</w:t>
      </w:r>
      <w:proofErr w:type="spellEnd"/>
      <w:r w:rsidRPr="00F51223">
        <w:rPr>
          <w:rFonts w:asciiTheme="minorHAnsi" w:eastAsiaTheme="minorHAnsi" w:hAnsiTheme="minorHAnsi"/>
          <w:color w:val="000000"/>
        </w:rPr>
        <w:t xml:space="preserve"> dosing and the first 4 weeks of </w:t>
      </w:r>
      <w:proofErr w:type="spellStart"/>
      <w:r w:rsidRPr="00F51223">
        <w:rPr>
          <w:rFonts w:asciiTheme="minorHAnsi" w:eastAsiaTheme="minorHAnsi" w:hAnsiTheme="minorHAnsi"/>
          <w:color w:val="000000"/>
        </w:rPr>
        <w:t>qow</w:t>
      </w:r>
      <w:proofErr w:type="spellEnd"/>
      <w:r w:rsidRPr="00F51223">
        <w:rPr>
          <w:rFonts w:asciiTheme="minorHAnsi" w:eastAsiaTheme="minorHAnsi" w:hAnsiTheme="minorHAnsi"/>
          <w:color w:val="000000"/>
        </w:rPr>
        <w:t xml:space="preserve"> dosing </w:t>
      </w:r>
      <w:r w:rsidRPr="007F7CC3">
        <w:rPr>
          <w:rFonts w:asciiTheme="minorHAnsi" w:eastAsiaTheme="minorHAnsi" w:hAnsiTheme="minorHAnsi"/>
        </w:rPr>
        <w:lastRenderedPageBreak/>
        <w:t>(LAL</w:t>
      </w:r>
      <w:r w:rsidR="0094262A">
        <w:rPr>
          <w:rFonts w:asciiTheme="minorHAnsi" w:eastAsiaTheme="minorHAnsi" w:hAnsiTheme="minorHAnsi"/>
        </w:rPr>
        <w:noBreakHyphen/>
      </w:r>
      <w:r w:rsidRPr="007F7CC3">
        <w:rPr>
          <w:rFonts w:asciiTheme="minorHAnsi" w:eastAsiaTheme="minorHAnsi" w:hAnsiTheme="minorHAnsi"/>
        </w:rPr>
        <w:t xml:space="preserve">CL04). For infants in </w:t>
      </w:r>
      <w:r w:rsidR="00157E63">
        <w:rPr>
          <w:rFonts w:asciiTheme="minorHAnsi" w:eastAsiaTheme="minorHAnsi" w:hAnsiTheme="minorHAnsi"/>
        </w:rPr>
        <w:t>Study</w:t>
      </w:r>
      <w:r w:rsidRPr="007F7CC3">
        <w:rPr>
          <w:rFonts w:asciiTheme="minorHAnsi" w:eastAsiaTheme="minorHAnsi" w:hAnsiTheme="minorHAnsi"/>
        </w:rPr>
        <w:t xml:space="preserve"> LAL-CL03, there was a greater incidence of TEAEs including </w:t>
      </w:r>
      <w:r>
        <w:rPr>
          <w:rFonts w:asciiTheme="minorHAnsi" w:eastAsiaTheme="minorHAnsi" w:hAnsiTheme="minorHAnsi"/>
        </w:rPr>
        <w:t>d</w:t>
      </w:r>
      <w:r w:rsidRPr="007F7CC3">
        <w:rPr>
          <w:rFonts w:asciiTheme="minorHAnsi" w:eastAsiaTheme="minorHAnsi" w:hAnsiTheme="minorHAnsi"/>
        </w:rPr>
        <w:t xml:space="preserve">iarrhoea (6/9 </w:t>
      </w:r>
      <w:r w:rsidR="00D074A0">
        <w:rPr>
          <w:rFonts w:asciiTheme="minorHAnsi" w:eastAsiaTheme="minorHAnsi" w:hAnsiTheme="minorHAnsi"/>
        </w:rPr>
        <w:t>(</w:t>
      </w:r>
      <w:r w:rsidRPr="007F7CC3">
        <w:rPr>
          <w:rFonts w:asciiTheme="minorHAnsi" w:eastAsiaTheme="minorHAnsi" w:hAnsiTheme="minorHAnsi"/>
        </w:rPr>
        <w:t>66.7%</w:t>
      </w:r>
      <w:r w:rsidR="00D074A0">
        <w:rPr>
          <w:rFonts w:asciiTheme="minorHAnsi" w:eastAsiaTheme="minorHAnsi" w:hAnsiTheme="minorHAnsi"/>
        </w:rPr>
        <w:t>)</w:t>
      </w:r>
      <w:r w:rsidRPr="007F7CC3">
        <w:rPr>
          <w:rFonts w:asciiTheme="minorHAnsi" w:eastAsiaTheme="minorHAnsi" w:hAnsiTheme="minorHAnsi"/>
        </w:rPr>
        <w:t xml:space="preserve">), </w:t>
      </w:r>
      <w:r>
        <w:rPr>
          <w:rFonts w:asciiTheme="minorHAnsi" w:eastAsiaTheme="minorHAnsi" w:hAnsiTheme="minorHAnsi"/>
        </w:rPr>
        <w:t>v</w:t>
      </w:r>
      <w:r w:rsidRPr="007F7CC3">
        <w:rPr>
          <w:rFonts w:asciiTheme="minorHAnsi" w:eastAsiaTheme="minorHAnsi" w:hAnsiTheme="minorHAnsi"/>
        </w:rPr>
        <w:t xml:space="preserve">omiting (6/9 </w:t>
      </w:r>
      <w:r w:rsidR="00D074A0">
        <w:rPr>
          <w:rFonts w:asciiTheme="minorHAnsi" w:eastAsiaTheme="minorHAnsi" w:hAnsiTheme="minorHAnsi"/>
        </w:rPr>
        <w:t>(</w:t>
      </w:r>
      <w:r w:rsidRPr="007F7CC3">
        <w:rPr>
          <w:rFonts w:asciiTheme="minorHAnsi" w:eastAsiaTheme="minorHAnsi" w:hAnsiTheme="minorHAnsi"/>
        </w:rPr>
        <w:t>66.7%</w:t>
      </w:r>
      <w:r w:rsidR="00D074A0">
        <w:rPr>
          <w:rFonts w:asciiTheme="minorHAnsi" w:eastAsiaTheme="minorHAnsi" w:hAnsiTheme="minorHAnsi"/>
        </w:rPr>
        <w:t>)</w:t>
      </w:r>
      <w:r w:rsidRPr="007F7CC3">
        <w:rPr>
          <w:rFonts w:asciiTheme="minorHAnsi" w:eastAsiaTheme="minorHAnsi" w:hAnsiTheme="minorHAnsi"/>
        </w:rPr>
        <w:t xml:space="preserve">), </w:t>
      </w:r>
      <w:r>
        <w:rPr>
          <w:rFonts w:asciiTheme="minorHAnsi" w:eastAsiaTheme="minorHAnsi" w:hAnsiTheme="minorHAnsi"/>
        </w:rPr>
        <w:t>p</w:t>
      </w:r>
      <w:r w:rsidRPr="007F7CC3">
        <w:rPr>
          <w:rFonts w:asciiTheme="minorHAnsi" w:eastAsiaTheme="minorHAnsi" w:hAnsiTheme="minorHAnsi"/>
        </w:rPr>
        <w:t xml:space="preserve">yrexia (5/9 </w:t>
      </w:r>
      <w:r w:rsidR="00D074A0">
        <w:rPr>
          <w:rFonts w:asciiTheme="minorHAnsi" w:eastAsiaTheme="minorHAnsi" w:hAnsiTheme="minorHAnsi"/>
        </w:rPr>
        <w:t>(</w:t>
      </w:r>
      <w:r w:rsidRPr="007F7CC3">
        <w:rPr>
          <w:rFonts w:asciiTheme="minorHAnsi" w:eastAsiaTheme="minorHAnsi" w:hAnsiTheme="minorHAnsi"/>
        </w:rPr>
        <w:t>55.6%</w:t>
      </w:r>
      <w:r w:rsidR="00D074A0">
        <w:rPr>
          <w:rFonts w:asciiTheme="minorHAnsi" w:eastAsiaTheme="minorHAnsi" w:hAnsiTheme="minorHAnsi"/>
        </w:rPr>
        <w:t>)</w:t>
      </w:r>
      <w:r w:rsidRPr="007F7CC3">
        <w:rPr>
          <w:rFonts w:asciiTheme="minorHAnsi" w:eastAsiaTheme="minorHAnsi" w:hAnsiTheme="minorHAnsi"/>
        </w:rPr>
        <w:t xml:space="preserve">), </w:t>
      </w:r>
      <w:r>
        <w:rPr>
          <w:rFonts w:asciiTheme="minorHAnsi" w:eastAsiaTheme="minorHAnsi" w:hAnsiTheme="minorHAnsi"/>
        </w:rPr>
        <w:t>r</w:t>
      </w:r>
      <w:r w:rsidRPr="007F7CC3">
        <w:rPr>
          <w:rFonts w:asciiTheme="minorHAnsi" w:eastAsiaTheme="minorHAnsi" w:hAnsiTheme="minorHAnsi"/>
        </w:rPr>
        <w:t xml:space="preserve">hinitis (5/9 </w:t>
      </w:r>
      <w:r w:rsidR="00D074A0">
        <w:rPr>
          <w:rFonts w:asciiTheme="minorHAnsi" w:eastAsiaTheme="minorHAnsi" w:hAnsiTheme="minorHAnsi"/>
          <w:color w:val="000000"/>
        </w:rPr>
        <w:t>(</w:t>
      </w:r>
      <w:r w:rsidRPr="00F51223">
        <w:rPr>
          <w:rFonts w:asciiTheme="minorHAnsi" w:eastAsiaTheme="minorHAnsi" w:hAnsiTheme="minorHAnsi"/>
          <w:color w:val="000000"/>
        </w:rPr>
        <w:t>55.6%</w:t>
      </w:r>
      <w:r w:rsidR="00D074A0">
        <w:rPr>
          <w:rFonts w:asciiTheme="minorHAnsi" w:eastAsiaTheme="minorHAnsi" w:hAnsiTheme="minorHAnsi"/>
          <w:color w:val="000000"/>
        </w:rPr>
        <w:t>)</w:t>
      </w:r>
      <w:r w:rsidRPr="00F51223">
        <w:rPr>
          <w:rFonts w:asciiTheme="minorHAnsi" w:eastAsiaTheme="minorHAnsi" w:hAnsiTheme="minorHAnsi"/>
          <w:color w:val="000000"/>
        </w:rPr>
        <w:t xml:space="preserve">) and </w:t>
      </w:r>
      <w:r>
        <w:rPr>
          <w:rFonts w:asciiTheme="minorHAnsi" w:eastAsiaTheme="minorHAnsi" w:hAnsiTheme="minorHAnsi"/>
          <w:color w:val="000000"/>
        </w:rPr>
        <w:t>a</w:t>
      </w:r>
      <w:r w:rsidRPr="00F51223">
        <w:rPr>
          <w:rFonts w:asciiTheme="minorHAnsi" w:eastAsiaTheme="minorHAnsi" w:hAnsiTheme="minorHAnsi"/>
          <w:color w:val="000000"/>
        </w:rPr>
        <w:t xml:space="preserve">naemia (4/9 </w:t>
      </w:r>
      <w:r w:rsidR="00D074A0">
        <w:rPr>
          <w:rFonts w:asciiTheme="minorHAnsi" w:eastAsiaTheme="minorHAnsi" w:hAnsiTheme="minorHAnsi"/>
          <w:color w:val="000000"/>
        </w:rPr>
        <w:t>(</w:t>
      </w:r>
      <w:r w:rsidRPr="00F51223">
        <w:rPr>
          <w:rFonts w:asciiTheme="minorHAnsi" w:eastAsiaTheme="minorHAnsi" w:hAnsiTheme="minorHAnsi"/>
          <w:color w:val="000000"/>
        </w:rPr>
        <w:t>44.4%</w:t>
      </w:r>
      <w:r w:rsidR="00D074A0">
        <w:rPr>
          <w:rFonts w:asciiTheme="minorHAnsi" w:eastAsiaTheme="minorHAnsi" w:hAnsiTheme="minorHAnsi"/>
          <w:color w:val="000000"/>
        </w:rPr>
        <w:t>)</w:t>
      </w:r>
      <w:r w:rsidRPr="00F51223">
        <w:rPr>
          <w:rFonts w:asciiTheme="minorHAnsi" w:eastAsiaTheme="minorHAnsi" w:hAnsiTheme="minorHAnsi"/>
          <w:color w:val="000000"/>
        </w:rPr>
        <w:t>)</w:t>
      </w:r>
      <w:r w:rsidR="00B73619">
        <w:rPr>
          <w:rFonts w:asciiTheme="minorHAnsi" w:eastAsiaTheme="minorHAnsi" w:hAnsiTheme="minorHAnsi"/>
          <w:color w:val="000000"/>
        </w:rPr>
        <w:t>.</w:t>
      </w:r>
    </w:p>
    <w:p w14:paraId="10F63C1D" w14:textId="77777777" w:rsidR="00787F40" w:rsidRDefault="00787F40" w:rsidP="00EA7323">
      <w:pPr>
        <w:pStyle w:val="Heading3"/>
      </w:pPr>
      <w:bookmarkStart w:id="339" w:name="_Ref272333567"/>
      <w:bookmarkStart w:id="340" w:name="_Toc272414665"/>
      <w:bookmarkStart w:id="341" w:name="_Toc290888529"/>
      <w:bookmarkStart w:id="342" w:name="_Toc416353745"/>
      <w:bookmarkStart w:id="343" w:name="_Toc421005288"/>
      <w:bookmarkStart w:id="344" w:name="_Toc432079165"/>
      <w:bookmarkStart w:id="345" w:name="_Toc432080738"/>
      <w:bookmarkStart w:id="346" w:name="_Toc468957489"/>
      <w:bookmarkStart w:id="347" w:name="_Toc519670972"/>
      <w:r w:rsidRPr="00545B14">
        <w:t>Treatment</w:t>
      </w:r>
      <w:r>
        <w:t xml:space="preserve"> </w:t>
      </w:r>
      <w:r w:rsidRPr="00545B14">
        <w:t>related adverse events (adverse drug reactions)</w:t>
      </w:r>
      <w:bookmarkEnd w:id="339"/>
      <w:bookmarkEnd w:id="340"/>
      <w:bookmarkEnd w:id="341"/>
      <w:bookmarkEnd w:id="342"/>
      <w:bookmarkEnd w:id="343"/>
      <w:bookmarkEnd w:id="344"/>
      <w:bookmarkEnd w:id="345"/>
      <w:bookmarkEnd w:id="346"/>
      <w:bookmarkEnd w:id="347"/>
    </w:p>
    <w:p w14:paraId="516CD3BD" w14:textId="77777777" w:rsidR="00787F40" w:rsidRPr="00073FEC" w:rsidRDefault="00787F40" w:rsidP="00EA7323">
      <w:pPr>
        <w:pStyle w:val="Heading4"/>
      </w:pPr>
      <w:r w:rsidRPr="00073FEC">
        <w:t>Integrated safety analyses</w:t>
      </w:r>
    </w:p>
    <w:p w14:paraId="5703E422" w14:textId="77777777" w:rsidR="00E66350" w:rsidRDefault="00EA7323" w:rsidP="00EA7323">
      <w:pPr>
        <w:pStyle w:val="Heading5"/>
      </w:pPr>
      <w:r>
        <w:t>Pooled Safety Set</w:t>
      </w:r>
    </w:p>
    <w:p w14:paraId="4B53CA76" w14:textId="74AEA020" w:rsidR="00787F40" w:rsidRPr="00984CC7" w:rsidRDefault="00787F40" w:rsidP="00984CC7">
      <w:r w:rsidRPr="00984CC7">
        <w:t xml:space="preserve">In the Pooled Safety Set, the proportion of subjects who experienced at least one </w:t>
      </w:r>
      <w:r w:rsidR="00EA7323" w:rsidRPr="00984CC7">
        <w:t>treatment related</w:t>
      </w:r>
      <w:r w:rsidRPr="00984CC7">
        <w:t xml:space="preserve"> TEAE was 22.6% (19/84). Incidence of </w:t>
      </w:r>
      <w:r w:rsidR="00EA7323" w:rsidRPr="00984CC7">
        <w:t>treatment related</w:t>
      </w:r>
      <w:r w:rsidRPr="00984CC7">
        <w:t xml:space="preserve"> TEAEs occurred more frequently (≥ 10% of subjects) in the SOCs of </w:t>
      </w:r>
      <w:r w:rsidR="00EF53B7" w:rsidRPr="00984CC7">
        <w:t>gastrointestinal d</w:t>
      </w:r>
      <w:r w:rsidRPr="00984CC7">
        <w:t xml:space="preserve">isorders (11/84 </w:t>
      </w:r>
      <w:r w:rsidR="00D074A0" w:rsidRPr="00984CC7">
        <w:t>(</w:t>
      </w:r>
      <w:r w:rsidRPr="00984CC7">
        <w:t>13.1%</w:t>
      </w:r>
      <w:r w:rsidR="00D074A0" w:rsidRPr="00984CC7">
        <w:t>)</w:t>
      </w:r>
      <w:r w:rsidRPr="00984CC7">
        <w:t xml:space="preserve">) and </w:t>
      </w:r>
      <w:r w:rsidR="00EF53B7" w:rsidRPr="00984CC7">
        <w:t xml:space="preserve">general disorders and administration site conditions </w:t>
      </w:r>
      <w:r w:rsidRPr="00984CC7">
        <w:t xml:space="preserve">(9/84 </w:t>
      </w:r>
      <w:r w:rsidR="00D074A0" w:rsidRPr="00984CC7">
        <w:t>(</w:t>
      </w:r>
      <w:r w:rsidRPr="00984CC7">
        <w:t>10.7%</w:t>
      </w:r>
      <w:r w:rsidR="00D074A0" w:rsidRPr="00984CC7">
        <w:t>)</w:t>
      </w:r>
      <w:r w:rsidRPr="00984CC7">
        <w:t xml:space="preserve">). The most frequently occurring treatment- related TEAEs (≥ 3 subjects in the Pooled Safety Set) included abdominal pain, nausea, vomiting, pyrexia and </w:t>
      </w:r>
      <w:proofErr w:type="spellStart"/>
      <w:r w:rsidRPr="00984CC7">
        <w:t>urticaria</w:t>
      </w:r>
      <w:proofErr w:type="spellEnd"/>
      <w:r w:rsidRPr="00984CC7">
        <w:t xml:space="preserve"> (3/84 </w:t>
      </w:r>
      <w:r w:rsidR="00D074A0" w:rsidRPr="00984CC7">
        <w:t>(</w:t>
      </w:r>
      <w:r w:rsidRPr="00984CC7">
        <w:t>3.6%</w:t>
      </w:r>
      <w:r w:rsidR="00D074A0" w:rsidRPr="00984CC7">
        <w:t>)</w:t>
      </w:r>
      <w:r w:rsidRPr="00984CC7">
        <w:t xml:space="preserve"> for each PT)</w:t>
      </w:r>
      <w:r w:rsidR="00B73619" w:rsidRPr="00984CC7">
        <w:t xml:space="preserve">. </w:t>
      </w:r>
      <w:r w:rsidRPr="00984CC7">
        <w:t xml:space="preserve">For adults in </w:t>
      </w:r>
      <w:r w:rsidR="00157E63" w:rsidRPr="00984CC7">
        <w:t>Study</w:t>
      </w:r>
      <w:r w:rsidR="00EF53B7" w:rsidRPr="00984CC7">
        <w:t> LAL</w:t>
      </w:r>
      <w:r w:rsidR="00EF53B7" w:rsidRPr="00984CC7">
        <w:noBreakHyphen/>
      </w:r>
      <w:r w:rsidRPr="00984CC7">
        <w:t xml:space="preserve">CL01/LAL-CL04, there was a greater incidence of </w:t>
      </w:r>
      <w:r w:rsidR="00EA7323" w:rsidRPr="00984CC7">
        <w:t>treatment related</w:t>
      </w:r>
      <w:r w:rsidRPr="00984CC7">
        <w:t xml:space="preserve"> gastrointestinal TEAEs including </w:t>
      </w:r>
      <w:r w:rsidR="00EF53B7" w:rsidRPr="00984CC7">
        <w:t>a</w:t>
      </w:r>
      <w:r w:rsidRPr="00984CC7">
        <w:t xml:space="preserve">bdominal pain (3/9 </w:t>
      </w:r>
      <w:r w:rsidR="00D074A0" w:rsidRPr="00984CC7">
        <w:t>(</w:t>
      </w:r>
      <w:r w:rsidRPr="00984CC7">
        <w:t>33.3%</w:t>
      </w:r>
      <w:r w:rsidR="00D074A0" w:rsidRPr="00984CC7">
        <w:t>)</w:t>
      </w:r>
      <w:r w:rsidRPr="00984CC7">
        <w:t xml:space="preserve">) and Nausea (2/9 </w:t>
      </w:r>
      <w:r w:rsidR="00D074A0" w:rsidRPr="00984CC7">
        <w:t>(</w:t>
      </w:r>
      <w:r w:rsidRPr="00984CC7">
        <w:t>22.2%</w:t>
      </w:r>
      <w:r w:rsidR="00D074A0" w:rsidRPr="00984CC7">
        <w:t>)</w:t>
      </w:r>
      <w:r w:rsidRPr="00984CC7">
        <w:t xml:space="preserve">). For infants in </w:t>
      </w:r>
      <w:r w:rsidR="00157E63" w:rsidRPr="00984CC7">
        <w:t>Study</w:t>
      </w:r>
      <w:r w:rsidRPr="00984CC7">
        <w:t xml:space="preserve"> LAL-CL03, there was a greater incidence of </w:t>
      </w:r>
      <w:r w:rsidR="00EA7323" w:rsidRPr="00984CC7">
        <w:t>treatment related</w:t>
      </w:r>
      <w:r w:rsidRPr="00984CC7">
        <w:t xml:space="preserve"> TEAEs including vomiting, pyrexia, and </w:t>
      </w:r>
      <w:proofErr w:type="spellStart"/>
      <w:r w:rsidRPr="00984CC7">
        <w:t>urticaria</w:t>
      </w:r>
      <w:proofErr w:type="spellEnd"/>
      <w:r w:rsidRPr="00984CC7">
        <w:t xml:space="preserve"> (3/9 </w:t>
      </w:r>
      <w:r w:rsidR="00D074A0" w:rsidRPr="00984CC7">
        <w:t>(</w:t>
      </w:r>
      <w:r w:rsidRPr="00984CC7">
        <w:t>33.3%</w:t>
      </w:r>
      <w:r w:rsidR="00D074A0" w:rsidRPr="00984CC7">
        <w:t>)</w:t>
      </w:r>
      <w:r w:rsidRPr="00984CC7">
        <w:t xml:space="preserve"> for each PT). </w:t>
      </w:r>
      <w:proofErr w:type="gramStart"/>
      <w:r w:rsidRPr="00984CC7">
        <w:t xml:space="preserve">Children and adults in </w:t>
      </w:r>
      <w:r w:rsidR="00157E63" w:rsidRPr="00984CC7">
        <w:t>Study</w:t>
      </w:r>
      <w:r w:rsidRPr="00984CC7">
        <w:t xml:space="preserve"> LAL-CL02 reported similar TEAEs, but at a relatively lower incidence (≤</w:t>
      </w:r>
      <w:r w:rsidR="00EA7323" w:rsidRPr="00984CC7">
        <w:t xml:space="preserve"> </w:t>
      </w:r>
      <w:r w:rsidRPr="00984CC7">
        <w:t>2 of subjects).</w:t>
      </w:r>
      <w:proofErr w:type="gramEnd"/>
    </w:p>
    <w:p w14:paraId="688AF019" w14:textId="2DCDA1B0" w:rsidR="00E66350" w:rsidRDefault="00E66350" w:rsidP="00EA7323">
      <w:pPr>
        <w:pStyle w:val="Heading5"/>
        <w:rPr>
          <w:rFonts w:eastAsiaTheme="minorHAnsi"/>
        </w:rPr>
      </w:pPr>
      <w:r w:rsidRPr="00F4405E">
        <w:rPr>
          <w:rFonts w:eastAsiaTheme="minorHAnsi"/>
        </w:rPr>
        <w:t xml:space="preserve">Updated </w:t>
      </w:r>
      <w:r w:rsidR="00460033" w:rsidRPr="00F4405E">
        <w:rPr>
          <w:rFonts w:eastAsiaTheme="minorHAnsi"/>
        </w:rPr>
        <w:t>pooled safety set</w:t>
      </w:r>
    </w:p>
    <w:p w14:paraId="3529EA1E" w14:textId="77777777" w:rsidR="00787F40" w:rsidRPr="00F4405E" w:rsidRDefault="00787F40" w:rsidP="00787F40">
      <w:pPr>
        <w:autoSpaceDE w:val="0"/>
        <w:autoSpaceDN w:val="0"/>
        <w:adjustRightInd w:val="0"/>
        <w:spacing w:before="0" w:line="240" w:lineRule="auto"/>
        <w:rPr>
          <w:rFonts w:asciiTheme="minorHAnsi" w:hAnsiTheme="minorHAnsi"/>
        </w:rPr>
      </w:pPr>
      <w:r w:rsidRPr="00F4405E">
        <w:rPr>
          <w:rFonts w:asciiTheme="minorHAnsi" w:eastAsiaTheme="minorHAnsi" w:hAnsiTheme="minorHAnsi"/>
          <w:color w:val="000000"/>
        </w:rPr>
        <w:t xml:space="preserve">For the </w:t>
      </w:r>
      <w:r w:rsidRPr="00EA7323">
        <w:rPr>
          <w:rFonts w:asciiTheme="minorHAnsi" w:eastAsiaTheme="minorHAnsi" w:hAnsiTheme="minorHAnsi"/>
          <w:color w:val="000000"/>
        </w:rPr>
        <w:t xml:space="preserve">Updated Pooled Safety Set, the proportion of subjects who reported at least 1 </w:t>
      </w:r>
      <w:r w:rsidR="00EA7323">
        <w:rPr>
          <w:rFonts w:asciiTheme="minorHAnsi" w:eastAsiaTheme="minorHAnsi" w:hAnsiTheme="minorHAnsi"/>
          <w:color w:val="000000"/>
        </w:rPr>
        <w:t>treatment related</w:t>
      </w:r>
      <w:r w:rsidRPr="00EA7323">
        <w:rPr>
          <w:rFonts w:asciiTheme="minorHAnsi" w:eastAsiaTheme="minorHAnsi" w:hAnsiTheme="minorHAnsi"/>
          <w:color w:val="000000"/>
        </w:rPr>
        <w:t xml:space="preserve"> TEAE was 29.2% and the most</w:t>
      </w:r>
      <w:r w:rsidRPr="00F4405E">
        <w:rPr>
          <w:rFonts w:asciiTheme="minorHAnsi" w:eastAsiaTheme="minorHAnsi" w:hAnsiTheme="minorHAnsi"/>
          <w:color w:val="000000"/>
        </w:rPr>
        <w:t xml:space="preserve"> frequently reported (≥</w:t>
      </w:r>
      <w:r w:rsidR="00EA7323">
        <w:rPr>
          <w:rFonts w:asciiTheme="minorHAnsi" w:eastAsiaTheme="minorHAnsi" w:hAnsiTheme="minorHAnsi"/>
          <w:color w:val="000000"/>
        </w:rPr>
        <w:t xml:space="preserve"> </w:t>
      </w:r>
      <w:r w:rsidRPr="00F4405E">
        <w:rPr>
          <w:rFonts w:asciiTheme="minorHAnsi" w:eastAsiaTheme="minorHAnsi" w:hAnsiTheme="minorHAnsi"/>
          <w:color w:val="000000"/>
        </w:rPr>
        <w:t xml:space="preserve">10% of subjects) </w:t>
      </w:r>
      <w:r w:rsidR="00EA7323">
        <w:rPr>
          <w:rFonts w:asciiTheme="minorHAnsi" w:eastAsiaTheme="minorHAnsi" w:hAnsiTheme="minorHAnsi"/>
          <w:color w:val="000000"/>
        </w:rPr>
        <w:t>treatment related</w:t>
      </w:r>
      <w:r w:rsidRPr="00F4405E">
        <w:rPr>
          <w:rFonts w:asciiTheme="minorHAnsi" w:eastAsiaTheme="minorHAnsi" w:hAnsiTheme="minorHAnsi"/>
          <w:color w:val="000000"/>
        </w:rPr>
        <w:t xml:space="preserve"> TEAEs were in the SOCs </w:t>
      </w:r>
      <w:r w:rsidR="00091687" w:rsidRPr="00F4405E">
        <w:rPr>
          <w:rFonts w:asciiTheme="minorHAnsi" w:eastAsiaTheme="minorHAnsi" w:hAnsiTheme="minorHAnsi"/>
          <w:color w:val="000000"/>
        </w:rPr>
        <w:t xml:space="preserve">of gastrointestinal disorders and general disorders </w:t>
      </w:r>
      <w:r w:rsidRPr="00F4405E">
        <w:rPr>
          <w:rFonts w:asciiTheme="minorHAnsi" w:eastAsiaTheme="minorHAnsi" w:hAnsiTheme="minorHAnsi"/>
          <w:color w:val="000000"/>
        </w:rPr>
        <w:t>and</w:t>
      </w:r>
      <w:r w:rsidR="00CC672B">
        <w:rPr>
          <w:rFonts w:asciiTheme="minorHAnsi" w:eastAsiaTheme="minorHAnsi" w:hAnsiTheme="minorHAnsi"/>
          <w:color w:val="000000"/>
        </w:rPr>
        <w:t xml:space="preserve"> </w:t>
      </w:r>
      <w:r w:rsidR="00091687" w:rsidRPr="00F4405E">
        <w:rPr>
          <w:rFonts w:asciiTheme="minorHAnsi" w:eastAsiaTheme="minorHAnsi" w:hAnsiTheme="minorHAnsi"/>
          <w:color w:val="000000"/>
        </w:rPr>
        <w:t>administration site conditions</w:t>
      </w:r>
      <w:r w:rsidRPr="00F4405E">
        <w:rPr>
          <w:rFonts w:asciiTheme="minorHAnsi" w:eastAsiaTheme="minorHAnsi" w:hAnsiTheme="minorHAnsi"/>
          <w:color w:val="000000"/>
        </w:rPr>
        <w:t xml:space="preserve">, consistent with results for the Pooled Safety Set. The most frequently reported </w:t>
      </w:r>
      <w:r w:rsidR="00EA7323">
        <w:rPr>
          <w:rFonts w:asciiTheme="minorHAnsi" w:eastAsiaTheme="minorHAnsi" w:hAnsiTheme="minorHAnsi"/>
          <w:color w:val="000000"/>
        </w:rPr>
        <w:t>treatment related</w:t>
      </w:r>
      <w:r w:rsidRPr="00F4405E">
        <w:rPr>
          <w:rFonts w:asciiTheme="minorHAnsi" w:eastAsiaTheme="minorHAnsi" w:hAnsiTheme="minorHAnsi"/>
          <w:color w:val="000000"/>
        </w:rPr>
        <w:t xml:space="preserve"> TEAEs (≥ 3 subjects) by PT were </w:t>
      </w:r>
      <w:proofErr w:type="spellStart"/>
      <w:r>
        <w:rPr>
          <w:rFonts w:asciiTheme="minorHAnsi" w:eastAsiaTheme="minorHAnsi" w:hAnsiTheme="minorHAnsi"/>
          <w:color w:val="000000"/>
        </w:rPr>
        <w:t>u</w:t>
      </w:r>
      <w:r w:rsidRPr="00F4405E">
        <w:rPr>
          <w:rFonts w:asciiTheme="minorHAnsi" w:eastAsiaTheme="minorHAnsi" w:hAnsiTheme="minorHAnsi"/>
          <w:color w:val="000000"/>
        </w:rPr>
        <w:t>rticaria</w:t>
      </w:r>
      <w:proofErr w:type="spellEnd"/>
      <w:r w:rsidRPr="00F4405E">
        <w:rPr>
          <w:rFonts w:asciiTheme="minorHAnsi" w:eastAsiaTheme="minorHAnsi" w:hAnsiTheme="minorHAnsi"/>
          <w:color w:val="000000"/>
        </w:rPr>
        <w:t xml:space="preserve"> (6 subjects), </w:t>
      </w:r>
      <w:r>
        <w:rPr>
          <w:rFonts w:asciiTheme="minorHAnsi" w:eastAsiaTheme="minorHAnsi" w:hAnsiTheme="minorHAnsi"/>
          <w:color w:val="000000"/>
        </w:rPr>
        <w:t>d</w:t>
      </w:r>
      <w:r w:rsidRPr="00F4405E">
        <w:rPr>
          <w:rFonts w:asciiTheme="minorHAnsi" w:eastAsiaTheme="minorHAnsi" w:hAnsiTheme="minorHAnsi"/>
          <w:color w:val="000000"/>
        </w:rPr>
        <w:t xml:space="preserve">iarrhoea (5 subjects), </w:t>
      </w:r>
      <w:r>
        <w:rPr>
          <w:rFonts w:asciiTheme="minorHAnsi" w:eastAsiaTheme="minorHAnsi" w:hAnsiTheme="minorHAnsi"/>
          <w:color w:val="000000"/>
        </w:rPr>
        <w:t>t</w:t>
      </w:r>
      <w:r w:rsidRPr="00F4405E">
        <w:rPr>
          <w:rFonts w:asciiTheme="minorHAnsi" w:eastAsiaTheme="minorHAnsi" w:hAnsiTheme="minorHAnsi"/>
          <w:color w:val="000000"/>
        </w:rPr>
        <w:t xml:space="preserve">achycardia, </w:t>
      </w:r>
      <w:r>
        <w:rPr>
          <w:rFonts w:asciiTheme="minorHAnsi" w:eastAsiaTheme="minorHAnsi" w:hAnsiTheme="minorHAnsi"/>
          <w:color w:val="000000"/>
        </w:rPr>
        <w:t>p</w:t>
      </w:r>
      <w:r w:rsidRPr="00F4405E">
        <w:rPr>
          <w:rFonts w:asciiTheme="minorHAnsi" w:eastAsiaTheme="minorHAnsi" w:hAnsiTheme="minorHAnsi"/>
          <w:color w:val="000000"/>
        </w:rPr>
        <w:t xml:space="preserve">yrexia, </w:t>
      </w:r>
      <w:r>
        <w:rPr>
          <w:rFonts w:asciiTheme="minorHAnsi" w:eastAsiaTheme="minorHAnsi" w:hAnsiTheme="minorHAnsi"/>
          <w:color w:val="000000"/>
        </w:rPr>
        <w:t>v</w:t>
      </w:r>
      <w:r w:rsidRPr="00F4405E">
        <w:rPr>
          <w:rFonts w:asciiTheme="minorHAnsi" w:eastAsiaTheme="minorHAnsi" w:hAnsiTheme="minorHAnsi"/>
          <w:color w:val="000000"/>
        </w:rPr>
        <w:t xml:space="preserve">omiting, </w:t>
      </w:r>
      <w:r>
        <w:rPr>
          <w:rFonts w:asciiTheme="minorHAnsi" w:eastAsiaTheme="minorHAnsi" w:hAnsiTheme="minorHAnsi"/>
          <w:color w:val="000000"/>
        </w:rPr>
        <w:t>n</w:t>
      </w:r>
      <w:r w:rsidRPr="00F4405E">
        <w:rPr>
          <w:rFonts w:asciiTheme="minorHAnsi" w:eastAsiaTheme="minorHAnsi" w:hAnsiTheme="minorHAnsi"/>
          <w:color w:val="000000"/>
        </w:rPr>
        <w:t xml:space="preserve">ausea, </w:t>
      </w:r>
      <w:r>
        <w:rPr>
          <w:rFonts w:asciiTheme="minorHAnsi" w:eastAsiaTheme="minorHAnsi" w:hAnsiTheme="minorHAnsi"/>
          <w:color w:val="000000"/>
        </w:rPr>
        <w:t>a</w:t>
      </w:r>
      <w:r w:rsidRPr="00F4405E">
        <w:rPr>
          <w:rFonts w:asciiTheme="minorHAnsi" w:eastAsiaTheme="minorHAnsi" w:hAnsiTheme="minorHAnsi"/>
          <w:color w:val="000000"/>
        </w:rPr>
        <w:t>b</w:t>
      </w:r>
      <w:r>
        <w:rPr>
          <w:rFonts w:asciiTheme="minorHAnsi" w:eastAsiaTheme="minorHAnsi" w:hAnsiTheme="minorHAnsi"/>
          <w:color w:val="000000"/>
        </w:rPr>
        <w:t>dominal pain (4 subjects each) and f</w:t>
      </w:r>
      <w:r w:rsidR="00091687">
        <w:rPr>
          <w:rFonts w:asciiTheme="minorHAnsi" w:eastAsiaTheme="minorHAnsi" w:hAnsiTheme="minorHAnsi"/>
          <w:color w:val="000000"/>
        </w:rPr>
        <w:t xml:space="preserve">atigue (3 subjects). </w:t>
      </w:r>
      <w:r w:rsidRPr="00F4405E">
        <w:rPr>
          <w:rFonts w:asciiTheme="minorHAnsi" w:eastAsiaTheme="minorHAnsi" w:hAnsiTheme="minorHAnsi"/>
          <w:color w:val="000000"/>
        </w:rPr>
        <w:t xml:space="preserve">For adults and children in Studies LAL-CL01/LAL-CL04, LAL-CL02, and LAL-CL06, the only </w:t>
      </w:r>
      <w:r w:rsidR="00EA7323">
        <w:rPr>
          <w:rFonts w:asciiTheme="minorHAnsi" w:eastAsiaTheme="minorHAnsi" w:hAnsiTheme="minorHAnsi"/>
          <w:color w:val="000000"/>
        </w:rPr>
        <w:t>treatment related</w:t>
      </w:r>
      <w:r w:rsidRPr="00F4405E">
        <w:rPr>
          <w:rFonts w:asciiTheme="minorHAnsi" w:eastAsiaTheme="minorHAnsi" w:hAnsiTheme="minorHAnsi"/>
          <w:color w:val="000000"/>
        </w:rPr>
        <w:t xml:space="preserve"> TEAEs reported in </w:t>
      </w:r>
      <w:r w:rsidR="00091687">
        <w:rPr>
          <w:rFonts w:asciiTheme="minorHAnsi" w:eastAsiaTheme="minorHAnsi" w:hAnsiTheme="minorHAnsi"/>
          <w:color w:val="000000"/>
        </w:rPr>
        <w:t>≥ 3</w:t>
      </w:r>
      <w:r w:rsidRPr="00F4405E">
        <w:rPr>
          <w:rFonts w:asciiTheme="minorHAnsi" w:eastAsiaTheme="minorHAnsi" w:hAnsiTheme="minorHAnsi"/>
          <w:color w:val="000000"/>
        </w:rPr>
        <w:t xml:space="preserve"> subjects were </w:t>
      </w:r>
      <w:r>
        <w:rPr>
          <w:rFonts w:asciiTheme="minorHAnsi" w:eastAsiaTheme="minorHAnsi" w:hAnsiTheme="minorHAnsi"/>
          <w:color w:val="000000"/>
        </w:rPr>
        <w:t>a</w:t>
      </w:r>
      <w:r w:rsidRPr="00F4405E">
        <w:rPr>
          <w:rFonts w:asciiTheme="minorHAnsi" w:eastAsiaTheme="minorHAnsi" w:hAnsiTheme="minorHAnsi"/>
          <w:color w:val="000000"/>
        </w:rPr>
        <w:t xml:space="preserve">bdominal pain (4 subjects), </w:t>
      </w:r>
      <w:r>
        <w:rPr>
          <w:rFonts w:asciiTheme="minorHAnsi" w:eastAsiaTheme="minorHAnsi" w:hAnsiTheme="minorHAnsi"/>
          <w:color w:val="000000"/>
        </w:rPr>
        <w:t>d</w:t>
      </w:r>
      <w:r w:rsidRPr="00F4405E">
        <w:rPr>
          <w:rFonts w:asciiTheme="minorHAnsi" w:eastAsiaTheme="minorHAnsi" w:hAnsiTheme="minorHAnsi"/>
          <w:color w:val="000000"/>
        </w:rPr>
        <w:t xml:space="preserve">iarrhoea (4 subjects), </w:t>
      </w:r>
      <w:r>
        <w:rPr>
          <w:rFonts w:asciiTheme="minorHAnsi" w:eastAsiaTheme="minorHAnsi" w:hAnsiTheme="minorHAnsi"/>
          <w:color w:val="000000"/>
        </w:rPr>
        <w:t>nausea (4 subjects)</w:t>
      </w:r>
      <w:r w:rsidRPr="00F4405E">
        <w:rPr>
          <w:rFonts w:asciiTheme="minorHAnsi" w:eastAsiaTheme="minorHAnsi" w:hAnsiTheme="minorHAnsi"/>
          <w:color w:val="000000"/>
        </w:rPr>
        <w:t xml:space="preserve"> and fatigue (3 subjects). For infants in Studies LAL-CL03 and LAL-CL08, </w:t>
      </w:r>
      <w:r w:rsidR="00EA7323">
        <w:rPr>
          <w:rFonts w:asciiTheme="minorHAnsi" w:eastAsiaTheme="minorHAnsi" w:hAnsiTheme="minorHAnsi"/>
          <w:color w:val="000000"/>
        </w:rPr>
        <w:t>treatment related</w:t>
      </w:r>
      <w:r w:rsidRPr="00F4405E">
        <w:rPr>
          <w:rFonts w:asciiTheme="minorHAnsi" w:eastAsiaTheme="minorHAnsi" w:hAnsiTheme="minorHAnsi"/>
          <w:color w:val="000000"/>
        </w:rPr>
        <w:t xml:space="preserve"> TEAEs reported in </w:t>
      </w:r>
      <w:r w:rsidR="00091687">
        <w:rPr>
          <w:rFonts w:asciiTheme="minorHAnsi" w:eastAsiaTheme="minorHAnsi" w:hAnsiTheme="minorHAnsi"/>
          <w:color w:val="000000"/>
        </w:rPr>
        <w:t>≥ 3</w:t>
      </w:r>
      <w:r w:rsidRPr="00F4405E">
        <w:rPr>
          <w:rFonts w:asciiTheme="minorHAnsi" w:eastAsiaTheme="minorHAnsi" w:hAnsiTheme="minorHAnsi"/>
          <w:color w:val="000000"/>
        </w:rPr>
        <w:t xml:space="preserve"> subjects included </w:t>
      </w:r>
      <w:r>
        <w:rPr>
          <w:rFonts w:asciiTheme="minorHAnsi" w:eastAsiaTheme="minorHAnsi" w:hAnsiTheme="minorHAnsi"/>
          <w:color w:val="000000"/>
        </w:rPr>
        <w:t>t</w:t>
      </w:r>
      <w:r w:rsidRPr="00F4405E">
        <w:rPr>
          <w:rFonts w:asciiTheme="minorHAnsi" w:eastAsiaTheme="minorHAnsi" w:hAnsiTheme="minorHAnsi"/>
          <w:color w:val="000000"/>
        </w:rPr>
        <w:t xml:space="preserve">achycardia (4 subjects), </w:t>
      </w:r>
      <w:proofErr w:type="spellStart"/>
      <w:r>
        <w:rPr>
          <w:rFonts w:asciiTheme="minorHAnsi" w:eastAsiaTheme="minorHAnsi" w:hAnsiTheme="minorHAnsi"/>
          <w:color w:val="000000"/>
        </w:rPr>
        <w:t>u</w:t>
      </w:r>
      <w:r w:rsidRPr="00F4405E">
        <w:rPr>
          <w:rFonts w:asciiTheme="minorHAnsi" w:eastAsiaTheme="minorHAnsi" w:hAnsiTheme="minorHAnsi"/>
          <w:color w:val="000000"/>
        </w:rPr>
        <w:t>rticaria</w:t>
      </w:r>
      <w:proofErr w:type="spellEnd"/>
      <w:r w:rsidRPr="00F4405E">
        <w:rPr>
          <w:rFonts w:asciiTheme="minorHAnsi" w:eastAsiaTheme="minorHAnsi" w:hAnsiTheme="minorHAnsi"/>
          <w:color w:val="000000"/>
        </w:rPr>
        <w:t xml:space="preserve"> (4 subjects), </w:t>
      </w:r>
      <w:r>
        <w:rPr>
          <w:rFonts w:asciiTheme="minorHAnsi" w:eastAsiaTheme="minorHAnsi" w:hAnsiTheme="minorHAnsi"/>
          <w:color w:val="000000"/>
        </w:rPr>
        <w:t>vomiting (3 subjects)</w:t>
      </w:r>
      <w:r w:rsidRPr="00F4405E">
        <w:rPr>
          <w:rFonts w:asciiTheme="minorHAnsi" w:eastAsiaTheme="minorHAnsi" w:hAnsiTheme="minorHAnsi"/>
          <w:color w:val="000000"/>
        </w:rPr>
        <w:t xml:space="preserve"> and </w:t>
      </w:r>
      <w:r>
        <w:rPr>
          <w:rFonts w:asciiTheme="minorHAnsi" w:eastAsiaTheme="minorHAnsi" w:hAnsiTheme="minorHAnsi"/>
          <w:color w:val="000000"/>
        </w:rPr>
        <w:t>p</w:t>
      </w:r>
      <w:r w:rsidRPr="00F4405E">
        <w:rPr>
          <w:rFonts w:asciiTheme="minorHAnsi" w:eastAsiaTheme="minorHAnsi" w:hAnsiTheme="minorHAnsi"/>
          <w:color w:val="000000"/>
        </w:rPr>
        <w:t>yrexia (3 subjects), all of which occurred with a greater incidence in infants compared with children and adults.</w:t>
      </w:r>
    </w:p>
    <w:p w14:paraId="24073E1E" w14:textId="04713231" w:rsidR="00787F40" w:rsidRPr="0008704E" w:rsidRDefault="00787F40" w:rsidP="00787F40">
      <w:pPr>
        <w:spacing w:before="0" w:line="240" w:lineRule="auto"/>
        <w:rPr>
          <w:rFonts w:asciiTheme="minorHAnsi" w:hAnsiTheme="minorHAnsi"/>
        </w:rPr>
      </w:pPr>
      <w:r w:rsidRPr="00F4405E">
        <w:rPr>
          <w:rFonts w:asciiTheme="minorHAnsi" w:hAnsiTheme="minorHAnsi"/>
        </w:rPr>
        <w:t xml:space="preserve">Of the subjects who experienced at least 1 </w:t>
      </w:r>
      <w:r w:rsidR="00EA7323">
        <w:rPr>
          <w:rFonts w:asciiTheme="minorHAnsi" w:hAnsiTheme="minorHAnsi"/>
        </w:rPr>
        <w:t>treatment related</w:t>
      </w:r>
      <w:r w:rsidRPr="00F4405E">
        <w:rPr>
          <w:rFonts w:asciiTheme="minorHAnsi" w:hAnsiTheme="minorHAnsi"/>
        </w:rPr>
        <w:t xml:space="preserve"> TEAE in the Pooled Safety Set, a higher proportion of infants in </w:t>
      </w:r>
      <w:r w:rsidR="00157E63">
        <w:rPr>
          <w:rFonts w:asciiTheme="minorHAnsi" w:hAnsiTheme="minorHAnsi"/>
        </w:rPr>
        <w:t>Study</w:t>
      </w:r>
      <w:r w:rsidRPr="00F4405E">
        <w:rPr>
          <w:rFonts w:asciiTheme="minorHAnsi" w:hAnsiTheme="minorHAnsi"/>
        </w:rPr>
        <w:t xml:space="preserve"> LAL-CL03 and adults in </w:t>
      </w:r>
      <w:r w:rsidR="00157E63">
        <w:rPr>
          <w:rFonts w:asciiTheme="minorHAnsi" w:hAnsiTheme="minorHAnsi"/>
        </w:rPr>
        <w:t>Study</w:t>
      </w:r>
      <w:r w:rsidRPr="00F4405E">
        <w:rPr>
          <w:rFonts w:asciiTheme="minorHAnsi" w:hAnsiTheme="minorHAnsi"/>
        </w:rPr>
        <w:t xml:space="preserve"> LAL-CL01/ LAL-CL04 in the 3 mg/kg dose (5/9 </w:t>
      </w:r>
      <w:r w:rsidR="00D074A0">
        <w:rPr>
          <w:rFonts w:asciiTheme="minorHAnsi" w:hAnsiTheme="minorHAnsi"/>
        </w:rPr>
        <w:t>(</w:t>
      </w:r>
      <w:r w:rsidRPr="00F4405E">
        <w:rPr>
          <w:rFonts w:asciiTheme="minorHAnsi" w:hAnsiTheme="minorHAnsi"/>
        </w:rPr>
        <w:t>62.5%</w:t>
      </w:r>
      <w:r w:rsidR="00D074A0">
        <w:rPr>
          <w:rFonts w:asciiTheme="minorHAnsi" w:hAnsiTheme="minorHAnsi"/>
        </w:rPr>
        <w:t>)</w:t>
      </w:r>
      <w:r w:rsidRPr="00F4405E">
        <w:rPr>
          <w:rFonts w:asciiTheme="minorHAnsi" w:hAnsiTheme="minorHAnsi"/>
        </w:rPr>
        <w:t xml:space="preserve">) groups experienced related TEAEs as compared to the 0.35 mg/kg dose (2/11 </w:t>
      </w:r>
      <w:r w:rsidR="00D074A0">
        <w:rPr>
          <w:rFonts w:asciiTheme="minorHAnsi" w:hAnsiTheme="minorHAnsi"/>
        </w:rPr>
        <w:t>(</w:t>
      </w:r>
      <w:r w:rsidRPr="00F4405E">
        <w:rPr>
          <w:rFonts w:asciiTheme="minorHAnsi" w:hAnsiTheme="minorHAnsi"/>
        </w:rPr>
        <w:t>18.2%</w:t>
      </w:r>
      <w:r w:rsidR="00D074A0">
        <w:rPr>
          <w:rFonts w:asciiTheme="minorHAnsi" w:hAnsiTheme="minorHAnsi"/>
        </w:rPr>
        <w:t>)</w:t>
      </w:r>
      <w:r w:rsidRPr="00F4405E">
        <w:rPr>
          <w:rFonts w:asciiTheme="minorHAnsi" w:hAnsiTheme="minorHAnsi"/>
        </w:rPr>
        <w:t xml:space="preserve">) and 1 mg/kg dose (17/79 </w:t>
      </w:r>
      <w:r w:rsidR="00D074A0">
        <w:rPr>
          <w:rFonts w:asciiTheme="minorHAnsi" w:hAnsiTheme="minorHAnsi"/>
        </w:rPr>
        <w:t>(</w:t>
      </w:r>
      <w:r w:rsidRPr="00F4405E">
        <w:rPr>
          <w:rFonts w:asciiTheme="minorHAnsi" w:hAnsiTheme="minorHAnsi"/>
        </w:rPr>
        <w:t>21.5%</w:t>
      </w:r>
      <w:r w:rsidR="00D074A0">
        <w:rPr>
          <w:rFonts w:asciiTheme="minorHAnsi" w:hAnsiTheme="minorHAnsi"/>
        </w:rPr>
        <w:t>)</w:t>
      </w:r>
      <w:r w:rsidRPr="00F4405E">
        <w:rPr>
          <w:rFonts w:asciiTheme="minorHAnsi" w:hAnsiTheme="minorHAnsi"/>
        </w:rPr>
        <w:t xml:space="preserve">) groups, although </w:t>
      </w:r>
      <w:r>
        <w:rPr>
          <w:rFonts w:asciiTheme="minorHAnsi" w:hAnsiTheme="minorHAnsi"/>
        </w:rPr>
        <w:t xml:space="preserve">interpretation was limited by </w:t>
      </w:r>
      <w:r w:rsidRPr="00F4405E">
        <w:rPr>
          <w:rFonts w:asciiTheme="minorHAnsi" w:hAnsiTheme="minorHAnsi"/>
        </w:rPr>
        <w:t>the limited number of subjects, the varying duration of treatment at various doses, a</w:t>
      </w:r>
      <w:r w:rsidR="004D59E7">
        <w:rPr>
          <w:rFonts w:asciiTheme="minorHAnsi" w:hAnsiTheme="minorHAnsi"/>
        </w:rPr>
        <w:t xml:space="preserve">nd the preponderance of infants. </w:t>
      </w:r>
      <w:r w:rsidRPr="00F4405E">
        <w:rPr>
          <w:rFonts w:asciiTheme="minorHAnsi" w:hAnsiTheme="minorHAnsi"/>
        </w:rPr>
        <w:t xml:space="preserve">Subjects in all dose groups experienced </w:t>
      </w:r>
      <w:r w:rsidR="00EA7323">
        <w:rPr>
          <w:rFonts w:asciiTheme="minorHAnsi" w:hAnsiTheme="minorHAnsi"/>
        </w:rPr>
        <w:t>treatment related</w:t>
      </w:r>
      <w:r w:rsidRPr="00F4405E">
        <w:rPr>
          <w:rFonts w:asciiTheme="minorHAnsi" w:hAnsiTheme="minorHAnsi"/>
        </w:rPr>
        <w:t xml:space="preserve"> gastrointestinal events including </w:t>
      </w:r>
      <w:r>
        <w:rPr>
          <w:rFonts w:asciiTheme="minorHAnsi" w:hAnsiTheme="minorHAnsi"/>
        </w:rPr>
        <w:t>abdominal pain, nausea, vomiting</w:t>
      </w:r>
      <w:r w:rsidRPr="00F4405E">
        <w:rPr>
          <w:rFonts w:asciiTheme="minorHAnsi" w:hAnsiTheme="minorHAnsi"/>
        </w:rPr>
        <w:t xml:space="preserve"> and </w:t>
      </w:r>
      <w:r>
        <w:rPr>
          <w:rFonts w:asciiTheme="minorHAnsi" w:hAnsiTheme="minorHAnsi"/>
        </w:rPr>
        <w:t>d</w:t>
      </w:r>
      <w:r w:rsidRPr="00F4405E">
        <w:rPr>
          <w:rFonts w:asciiTheme="minorHAnsi" w:hAnsiTheme="minorHAnsi"/>
        </w:rPr>
        <w:t xml:space="preserve">iarrhoea more frequently than other TEAEs. Overall, the incidence of </w:t>
      </w:r>
      <w:r w:rsidR="00EA7323">
        <w:rPr>
          <w:rFonts w:asciiTheme="minorHAnsi" w:hAnsiTheme="minorHAnsi"/>
        </w:rPr>
        <w:t>treatment related</w:t>
      </w:r>
      <w:r w:rsidRPr="00F4405E">
        <w:rPr>
          <w:rFonts w:asciiTheme="minorHAnsi" w:hAnsiTheme="minorHAnsi"/>
        </w:rPr>
        <w:t xml:space="preserve"> TEAEs decreased</w:t>
      </w:r>
      <w:r w:rsidRPr="0008704E">
        <w:rPr>
          <w:rFonts w:asciiTheme="minorHAnsi" w:hAnsiTheme="minorHAnsi"/>
        </w:rPr>
        <w:t xml:space="preserve"> steadily over time relative to length of </w:t>
      </w:r>
      <w:proofErr w:type="spellStart"/>
      <w:r w:rsidRPr="0008704E">
        <w:rPr>
          <w:rFonts w:asciiTheme="minorHAnsi" w:hAnsiTheme="minorHAnsi"/>
        </w:rPr>
        <w:t>sebelipase</w:t>
      </w:r>
      <w:proofErr w:type="spellEnd"/>
      <w:r w:rsidRPr="0008704E">
        <w:rPr>
          <w:rFonts w:asciiTheme="minorHAnsi" w:hAnsiTheme="minorHAnsi"/>
        </w:rPr>
        <w:t xml:space="preserve"> alfa treatment. The proportions of subjects with TEAEs in the SOCs </w:t>
      </w:r>
      <w:r w:rsidR="004D59E7" w:rsidRPr="0008704E">
        <w:rPr>
          <w:rFonts w:asciiTheme="minorHAnsi" w:hAnsiTheme="minorHAnsi"/>
        </w:rPr>
        <w:t xml:space="preserve">of gastrointestinal disorders, general disorders and administration site conditions, and skin and subcutaneous tissue disorders decreased </w:t>
      </w:r>
      <w:r w:rsidRPr="0008704E">
        <w:rPr>
          <w:rFonts w:asciiTheme="minorHAnsi" w:hAnsiTheme="minorHAnsi"/>
        </w:rPr>
        <w:t xml:space="preserve">over time. The proportion of subjects with PTs of </w:t>
      </w:r>
      <w:r>
        <w:rPr>
          <w:rFonts w:asciiTheme="minorHAnsi" w:hAnsiTheme="minorHAnsi"/>
        </w:rPr>
        <w:t>d</w:t>
      </w:r>
      <w:r w:rsidRPr="0008704E">
        <w:rPr>
          <w:rFonts w:asciiTheme="minorHAnsi" w:hAnsiTheme="minorHAnsi"/>
        </w:rPr>
        <w:t xml:space="preserve">iarrhoea, </w:t>
      </w:r>
      <w:r>
        <w:rPr>
          <w:rFonts w:asciiTheme="minorHAnsi" w:hAnsiTheme="minorHAnsi"/>
        </w:rPr>
        <w:t>v</w:t>
      </w:r>
      <w:r w:rsidRPr="0008704E">
        <w:rPr>
          <w:rFonts w:asciiTheme="minorHAnsi" w:hAnsiTheme="minorHAnsi"/>
        </w:rPr>
        <w:t xml:space="preserve">omiting and </w:t>
      </w:r>
      <w:r>
        <w:rPr>
          <w:rFonts w:asciiTheme="minorHAnsi" w:hAnsiTheme="minorHAnsi"/>
        </w:rPr>
        <w:t>a</w:t>
      </w:r>
      <w:r w:rsidRPr="0008704E">
        <w:rPr>
          <w:rFonts w:asciiTheme="minorHAnsi" w:hAnsiTheme="minorHAnsi"/>
        </w:rPr>
        <w:t xml:space="preserve">bdominal pain also decreased over time. There was an increase in the incidence of TEAEs in subjects receiving treatment for </w:t>
      </w:r>
      <w:r w:rsidR="004D59E7">
        <w:rPr>
          <w:rFonts w:asciiTheme="minorHAnsi" w:hAnsiTheme="minorHAnsi"/>
        </w:rPr>
        <w:t xml:space="preserve">≥ 26 </w:t>
      </w:r>
      <w:r w:rsidRPr="0008704E">
        <w:rPr>
          <w:rFonts w:asciiTheme="minorHAnsi" w:hAnsiTheme="minorHAnsi"/>
        </w:rPr>
        <w:t xml:space="preserve">weeks in the SOCs of Infections and Infestations and Nervous System Disorders; the incidence of events in these SOCs decreased steadily over time thereafter. This observation may be due to the fact that the majority of subjects receiving treatment for </w:t>
      </w:r>
      <w:r w:rsidR="004D59E7">
        <w:rPr>
          <w:rFonts w:asciiTheme="minorHAnsi" w:hAnsiTheme="minorHAnsi"/>
        </w:rPr>
        <w:t xml:space="preserve">≥ 26 </w:t>
      </w:r>
      <w:r w:rsidRPr="0008704E">
        <w:rPr>
          <w:rFonts w:asciiTheme="minorHAnsi" w:hAnsiTheme="minorHAnsi"/>
        </w:rPr>
        <w:t xml:space="preserve">weeks were infants from </w:t>
      </w:r>
      <w:r w:rsidR="00157E63">
        <w:rPr>
          <w:rFonts w:asciiTheme="minorHAnsi" w:hAnsiTheme="minorHAnsi"/>
        </w:rPr>
        <w:t>Study</w:t>
      </w:r>
      <w:r w:rsidRPr="0008704E">
        <w:rPr>
          <w:rFonts w:asciiTheme="minorHAnsi" w:hAnsiTheme="minorHAnsi"/>
        </w:rPr>
        <w:t xml:space="preserve"> LAL-CL03 with more rapidly progressive disease and greater occurrence of TEAEs.</w:t>
      </w:r>
    </w:p>
    <w:p w14:paraId="44E6C7BC" w14:textId="30E012F3" w:rsidR="00B73619" w:rsidRDefault="00787F40" w:rsidP="00787F40">
      <w:pPr>
        <w:autoSpaceDE w:val="0"/>
        <w:autoSpaceDN w:val="0"/>
        <w:adjustRightInd w:val="0"/>
        <w:spacing w:before="0" w:line="240" w:lineRule="auto"/>
        <w:rPr>
          <w:rFonts w:asciiTheme="minorHAnsi" w:eastAsiaTheme="minorHAnsi" w:hAnsiTheme="minorHAnsi"/>
          <w:color w:val="000000"/>
        </w:rPr>
      </w:pPr>
      <w:r w:rsidRPr="0008704E">
        <w:rPr>
          <w:rFonts w:asciiTheme="minorHAnsi" w:eastAsiaTheme="minorHAnsi" w:hAnsiTheme="minorHAnsi"/>
          <w:color w:val="000000"/>
        </w:rPr>
        <w:lastRenderedPageBreak/>
        <w:t xml:space="preserve">In the Pooled Safety Set, a total of 12/84 (14.3%) subjects reported at least 1 related TEAE during and ≤ 4 hours after the end of infusion. The incidence of TEAEs during and ≤ 4 hours after the end of infusion was greatest in the SOCs </w:t>
      </w:r>
      <w:r w:rsidR="00EF53B7" w:rsidRPr="0008704E">
        <w:rPr>
          <w:rFonts w:asciiTheme="minorHAnsi" w:eastAsiaTheme="minorHAnsi" w:hAnsiTheme="minorHAnsi"/>
          <w:color w:val="000000"/>
        </w:rPr>
        <w:t>of gastrointestinal disorders and general disorders and administration site conditions (6</w:t>
      </w:r>
      <w:r w:rsidRPr="0008704E">
        <w:rPr>
          <w:rFonts w:asciiTheme="minorHAnsi" w:eastAsiaTheme="minorHAnsi" w:hAnsiTheme="minorHAnsi"/>
          <w:color w:val="000000"/>
        </w:rPr>
        <w:t xml:space="preserve">/84 </w:t>
      </w:r>
      <w:r w:rsidR="00D074A0">
        <w:rPr>
          <w:rFonts w:asciiTheme="minorHAnsi" w:eastAsiaTheme="minorHAnsi" w:hAnsiTheme="minorHAnsi"/>
          <w:color w:val="000000"/>
        </w:rPr>
        <w:t>(</w:t>
      </w:r>
      <w:r w:rsidRPr="0008704E">
        <w:rPr>
          <w:rFonts w:asciiTheme="minorHAnsi" w:eastAsiaTheme="minorHAnsi" w:hAnsiTheme="minorHAnsi"/>
          <w:color w:val="000000"/>
        </w:rPr>
        <w:t>7.1%</w:t>
      </w:r>
      <w:r w:rsidR="00D074A0">
        <w:rPr>
          <w:rFonts w:asciiTheme="minorHAnsi" w:eastAsiaTheme="minorHAnsi" w:hAnsiTheme="minorHAnsi"/>
          <w:color w:val="000000"/>
        </w:rPr>
        <w:t>)</w:t>
      </w:r>
      <w:r w:rsidRPr="0008704E">
        <w:rPr>
          <w:rFonts w:asciiTheme="minorHAnsi" w:eastAsiaTheme="minorHAnsi" w:hAnsiTheme="minorHAnsi"/>
          <w:color w:val="000000"/>
        </w:rPr>
        <w:t xml:space="preserve"> each). The only PT reported by more than 2 subjects during and ≤ 4 hours after the end of infusion was pyrexia (3/84 </w:t>
      </w:r>
      <w:r w:rsidR="00D074A0">
        <w:rPr>
          <w:rFonts w:asciiTheme="minorHAnsi" w:eastAsiaTheme="minorHAnsi" w:hAnsiTheme="minorHAnsi"/>
          <w:color w:val="000000"/>
        </w:rPr>
        <w:t>(</w:t>
      </w:r>
      <w:r w:rsidRPr="0008704E">
        <w:rPr>
          <w:rFonts w:asciiTheme="minorHAnsi" w:eastAsiaTheme="minorHAnsi" w:hAnsiTheme="minorHAnsi"/>
          <w:color w:val="000000"/>
        </w:rPr>
        <w:t>3.6%</w:t>
      </w:r>
      <w:r w:rsidR="00D074A0">
        <w:rPr>
          <w:rFonts w:asciiTheme="minorHAnsi" w:eastAsiaTheme="minorHAnsi" w:hAnsiTheme="minorHAnsi"/>
          <w:color w:val="000000"/>
        </w:rPr>
        <w:t>)</w:t>
      </w:r>
      <w:r w:rsidRPr="0008704E">
        <w:rPr>
          <w:rFonts w:asciiTheme="minorHAnsi" w:eastAsiaTheme="minorHAnsi" w:hAnsiTheme="minorHAnsi"/>
          <w:color w:val="000000"/>
        </w:rPr>
        <w:t>)</w:t>
      </w:r>
      <w:r w:rsidR="00B73619">
        <w:rPr>
          <w:rFonts w:asciiTheme="minorHAnsi" w:eastAsiaTheme="minorHAnsi" w:hAnsiTheme="minorHAnsi"/>
          <w:color w:val="000000"/>
        </w:rPr>
        <w:t>.</w:t>
      </w:r>
    </w:p>
    <w:p w14:paraId="64895208" w14:textId="77777777" w:rsidR="00B73619" w:rsidRDefault="00787F40" w:rsidP="00787F40">
      <w:pPr>
        <w:autoSpaceDE w:val="0"/>
        <w:autoSpaceDN w:val="0"/>
        <w:adjustRightInd w:val="0"/>
        <w:spacing w:before="0" w:line="240" w:lineRule="auto"/>
        <w:rPr>
          <w:rFonts w:asciiTheme="minorHAnsi" w:eastAsiaTheme="minorHAnsi" w:hAnsiTheme="minorHAnsi"/>
          <w:color w:val="000000"/>
        </w:rPr>
      </w:pPr>
      <w:r w:rsidRPr="0008704E">
        <w:rPr>
          <w:rFonts w:asciiTheme="minorHAnsi" w:eastAsiaTheme="minorHAnsi" w:hAnsiTheme="minorHAnsi"/>
          <w:color w:val="000000"/>
        </w:rPr>
        <w:t xml:space="preserve">Across studies, related TEAEs that occurred during and ≤ 4 hours after the end of infusion were consistent with those that were identified in the hypersensitivity standardised </w:t>
      </w:r>
      <w:proofErr w:type="spellStart"/>
      <w:r w:rsidRPr="0008704E">
        <w:rPr>
          <w:rFonts w:asciiTheme="minorHAnsi" w:eastAsiaTheme="minorHAnsi" w:hAnsiTheme="minorHAnsi"/>
          <w:color w:val="000000"/>
        </w:rPr>
        <w:t>MedDRA</w:t>
      </w:r>
      <w:proofErr w:type="spellEnd"/>
      <w:r w:rsidRPr="0008704E">
        <w:rPr>
          <w:rFonts w:asciiTheme="minorHAnsi" w:eastAsiaTheme="minorHAnsi" w:hAnsiTheme="minorHAnsi"/>
          <w:color w:val="000000"/>
        </w:rPr>
        <w:t xml:space="preserve"> queries (SMQs)</w:t>
      </w:r>
      <w:r w:rsidR="00B73619">
        <w:rPr>
          <w:rFonts w:asciiTheme="minorHAnsi" w:eastAsiaTheme="minorHAnsi" w:hAnsiTheme="minorHAnsi"/>
          <w:color w:val="000000"/>
        </w:rPr>
        <w:t>.</w:t>
      </w:r>
    </w:p>
    <w:p w14:paraId="031CFBD7" w14:textId="06140305" w:rsidR="00787F40" w:rsidRPr="00073FEC" w:rsidRDefault="00787F40" w:rsidP="00E66350">
      <w:pPr>
        <w:pStyle w:val="Heading5"/>
      </w:pPr>
      <w:r w:rsidRPr="00073FEC">
        <w:t xml:space="preserve">Pivotal and/or main efficacy </w:t>
      </w:r>
      <w:r w:rsidR="00C02E47">
        <w:t>s</w:t>
      </w:r>
      <w:r w:rsidR="00157E63">
        <w:t>tudy</w:t>
      </w:r>
      <w:r>
        <w:t xml:space="preserve"> (LAL-CL02)</w:t>
      </w:r>
    </w:p>
    <w:p w14:paraId="09F60F0C" w14:textId="77777777" w:rsidR="00787F40" w:rsidRPr="00F51223" w:rsidRDefault="00787F40" w:rsidP="00787F40">
      <w:pPr>
        <w:autoSpaceDE w:val="0"/>
        <w:autoSpaceDN w:val="0"/>
        <w:adjustRightInd w:val="0"/>
        <w:spacing w:before="0" w:line="240" w:lineRule="auto"/>
        <w:rPr>
          <w:rFonts w:asciiTheme="minorHAnsi" w:eastAsiaTheme="minorHAnsi" w:hAnsiTheme="minorHAnsi" w:cs="TimesNewRomanPSMT"/>
        </w:rPr>
      </w:pPr>
      <w:r w:rsidRPr="00F51223">
        <w:rPr>
          <w:rFonts w:asciiTheme="minorHAnsi" w:eastAsiaTheme="minorHAnsi" w:hAnsiTheme="minorHAnsi" w:cs="TimesNewRomanPSMT"/>
        </w:rPr>
        <w:t xml:space="preserve">Overall, 17% of subjects (14% and 20% in the SA and placebo groups, respectively) experienced at least 1 </w:t>
      </w:r>
      <w:r w:rsidR="00C4359A">
        <w:rPr>
          <w:rFonts w:asciiTheme="minorHAnsi" w:eastAsiaTheme="minorHAnsi" w:hAnsiTheme="minorHAnsi" w:cs="TimesNewRomanPSMT"/>
        </w:rPr>
        <w:t>study</w:t>
      </w:r>
      <w:r w:rsidRPr="00F51223">
        <w:rPr>
          <w:rFonts w:asciiTheme="minorHAnsi" w:eastAsiaTheme="minorHAnsi" w:hAnsiTheme="minorHAnsi" w:cs="TimesNewRomanPSMT"/>
        </w:rPr>
        <w:t xml:space="preserve"> </w:t>
      </w:r>
      <w:r w:rsidR="004D59E7">
        <w:rPr>
          <w:rFonts w:asciiTheme="minorHAnsi" w:eastAsiaTheme="minorHAnsi" w:hAnsiTheme="minorHAnsi" w:cs="TimesNewRomanPSMT"/>
        </w:rPr>
        <w:t>drug related</w:t>
      </w:r>
      <w:r w:rsidRPr="00F51223">
        <w:rPr>
          <w:rFonts w:asciiTheme="minorHAnsi" w:eastAsiaTheme="minorHAnsi" w:hAnsiTheme="minorHAnsi" w:cs="TimesNewRomanPSMT"/>
        </w:rPr>
        <w:t xml:space="preserve"> TEAE during the </w:t>
      </w:r>
      <w:r w:rsidR="003F3AB4">
        <w:rPr>
          <w:rFonts w:asciiTheme="minorHAnsi" w:eastAsiaTheme="minorHAnsi" w:hAnsiTheme="minorHAnsi" w:cs="TimesNewRomanPSMT"/>
        </w:rPr>
        <w:t>double blind</w:t>
      </w:r>
      <w:r w:rsidRPr="00F51223">
        <w:rPr>
          <w:rFonts w:asciiTheme="minorHAnsi" w:eastAsiaTheme="minorHAnsi" w:hAnsiTheme="minorHAnsi" w:cs="TimesNewRomanPSMT"/>
        </w:rPr>
        <w:t xml:space="preserve"> treatment period. No particular </w:t>
      </w:r>
      <w:r w:rsidR="00C4359A">
        <w:rPr>
          <w:rFonts w:asciiTheme="minorHAnsi" w:eastAsiaTheme="minorHAnsi" w:hAnsiTheme="minorHAnsi" w:cs="TimesNewRomanPSMT"/>
        </w:rPr>
        <w:t>study</w:t>
      </w:r>
      <w:r w:rsidRPr="00F51223">
        <w:rPr>
          <w:rFonts w:asciiTheme="minorHAnsi" w:eastAsiaTheme="minorHAnsi" w:hAnsiTheme="minorHAnsi" w:cs="TimesNewRomanPSMT"/>
        </w:rPr>
        <w:t xml:space="preserve"> </w:t>
      </w:r>
      <w:r w:rsidR="004D59E7">
        <w:rPr>
          <w:rFonts w:asciiTheme="minorHAnsi" w:eastAsiaTheme="minorHAnsi" w:hAnsiTheme="minorHAnsi" w:cs="TimesNewRomanPSMT"/>
        </w:rPr>
        <w:t>drug related</w:t>
      </w:r>
      <w:r w:rsidRPr="00F51223">
        <w:rPr>
          <w:rFonts w:asciiTheme="minorHAnsi" w:eastAsiaTheme="minorHAnsi" w:hAnsiTheme="minorHAnsi" w:cs="TimesNewRomanPSMT"/>
        </w:rPr>
        <w:t xml:space="preserve"> TEAE occurred in </w:t>
      </w:r>
      <w:r w:rsidR="00B73619">
        <w:rPr>
          <w:rFonts w:asciiTheme="minorHAnsi" w:eastAsiaTheme="minorHAnsi" w:hAnsiTheme="minorHAnsi" w:cs="TimesNewRomanPSMT"/>
        </w:rPr>
        <w:t>&gt;</w:t>
      </w:r>
      <w:r w:rsidR="00CC672B">
        <w:rPr>
          <w:rFonts w:asciiTheme="minorHAnsi" w:eastAsiaTheme="minorHAnsi" w:hAnsiTheme="minorHAnsi" w:cs="TimesNewRomanPSMT"/>
        </w:rPr>
        <w:t xml:space="preserve"> </w:t>
      </w:r>
      <w:r w:rsidRPr="00F51223">
        <w:rPr>
          <w:rFonts w:asciiTheme="minorHAnsi" w:eastAsiaTheme="minorHAnsi" w:hAnsiTheme="minorHAnsi" w:cs="TimesNewRomanPSMT"/>
        </w:rPr>
        <w:t>1 subject in the SA group.</w:t>
      </w:r>
    </w:p>
    <w:p w14:paraId="3FABEBB8" w14:textId="77777777" w:rsidR="00787F40" w:rsidRPr="00073FEC" w:rsidRDefault="00787F40" w:rsidP="00E66350">
      <w:pPr>
        <w:pStyle w:val="Heading5"/>
      </w:pPr>
      <w:r w:rsidRPr="00073FEC">
        <w:t>Other studies</w:t>
      </w:r>
    </w:p>
    <w:p w14:paraId="417ED0B2" w14:textId="1A3BEC7E" w:rsidR="00B73619" w:rsidRDefault="00787F40" w:rsidP="00787F40">
      <w:pPr>
        <w:spacing w:before="0" w:line="240" w:lineRule="auto"/>
      </w:pPr>
      <w:r w:rsidRPr="0038337D">
        <w:t xml:space="preserve">For adults in </w:t>
      </w:r>
      <w:r w:rsidR="00157E63">
        <w:t>Study</w:t>
      </w:r>
      <w:r w:rsidRPr="0038337D">
        <w:t xml:space="preserve"> LAL-CL01/LAL-CL04, there was a greater incidence of </w:t>
      </w:r>
      <w:r w:rsidR="00EA7323">
        <w:t>treatment related</w:t>
      </w:r>
      <w:r w:rsidRPr="0038337D">
        <w:t xml:space="preserve"> gastrointestinal TEAEs </w:t>
      </w:r>
      <w:r w:rsidR="004D59E7" w:rsidRPr="0038337D">
        <w:t xml:space="preserve">including abdominal pain (3/9 </w:t>
      </w:r>
      <w:r w:rsidR="00D074A0">
        <w:t>(</w:t>
      </w:r>
      <w:r w:rsidR="004D59E7" w:rsidRPr="0038337D">
        <w:t>33.3%</w:t>
      </w:r>
      <w:r w:rsidR="00D074A0">
        <w:t>)</w:t>
      </w:r>
      <w:r w:rsidR="004D59E7" w:rsidRPr="0038337D">
        <w:t xml:space="preserve">) and nausea </w:t>
      </w:r>
      <w:r w:rsidRPr="0038337D">
        <w:t xml:space="preserve">(2/9 </w:t>
      </w:r>
      <w:r w:rsidR="00D074A0">
        <w:t>(</w:t>
      </w:r>
      <w:r w:rsidRPr="0038337D">
        <w:t>22.2%</w:t>
      </w:r>
      <w:r w:rsidR="00D074A0">
        <w:t>)</w:t>
      </w:r>
      <w:r w:rsidRPr="0038337D">
        <w:t xml:space="preserve">). For infants in </w:t>
      </w:r>
      <w:r w:rsidR="00157E63">
        <w:t>Study</w:t>
      </w:r>
      <w:r w:rsidRPr="0038337D">
        <w:t xml:space="preserve"> LAL-CL03, there was a greater incidence of </w:t>
      </w:r>
      <w:r w:rsidR="00EA7323">
        <w:t>treatment related</w:t>
      </w:r>
      <w:r w:rsidRPr="0038337D">
        <w:t xml:space="preserve"> TEAEs including </w:t>
      </w:r>
      <w:r w:rsidR="004D59E7" w:rsidRPr="0038337D">
        <w:t xml:space="preserve">vomiting, pyrexia, and </w:t>
      </w:r>
      <w:proofErr w:type="spellStart"/>
      <w:r w:rsidR="004D59E7" w:rsidRPr="0038337D">
        <w:t>urticaria</w:t>
      </w:r>
      <w:proofErr w:type="spellEnd"/>
      <w:r w:rsidR="004D59E7" w:rsidRPr="0038337D">
        <w:t xml:space="preserve"> </w:t>
      </w:r>
      <w:r w:rsidRPr="0038337D">
        <w:t xml:space="preserve">(3/9 </w:t>
      </w:r>
      <w:r w:rsidR="00D074A0">
        <w:t>(</w:t>
      </w:r>
      <w:r w:rsidRPr="0038337D">
        <w:t>33.3%</w:t>
      </w:r>
      <w:r w:rsidR="00D074A0">
        <w:t>)</w:t>
      </w:r>
      <w:r w:rsidRPr="0038337D">
        <w:t xml:space="preserve"> for each PT)</w:t>
      </w:r>
      <w:r w:rsidR="00B73619">
        <w:t>.</w:t>
      </w:r>
    </w:p>
    <w:p w14:paraId="39190592" w14:textId="77777777" w:rsidR="00787F40" w:rsidRDefault="00787F40" w:rsidP="00787F40">
      <w:pPr>
        <w:spacing w:before="0" w:line="240" w:lineRule="auto"/>
      </w:pPr>
      <w:bookmarkStart w:id="348" w:name="_Toc241374320"/>
      <w:bookmarkStart w:id="349" w:name="_Ref272333507"/>
      <w:bookmarkStart w:id="350" w:name="_Toc272414666"/>
      <w:bookmarkStart w:id="351" w:name="_Toc290888530"/>
      <w:bookmarkStart w:id="352" w:name="_Toc416353746"/>
      <w:bookmarkStart w:id="353" w:name="_Toc421005289"/>
      <w:bookmarkStart w:id="354" w:name="_Toc432079166"/>
      <w:bookmarkStart w:id="355" w:name="_Toc432080739"/>
      <w:r w:rsidRPr="0038337D">
        <w:t xml:space="preserve">For infants in Studies LAL-CL03 and LAL-CL08, </w:t>
      </w:r>
      <w:r w:rsidR="00EA7323">
        <w:t>treatment related</w:t>
      </w:r>
      <w:r w:rsidRPr="0038337D">
        <w:t xml:space="preserve"> TEAEs reported in </w:t>
      </w:r>
      <w:r w:rsidR="00091687">
        <w:t>≥ 3</w:t>
      </w:r>
      <w:r w:rsidRPr="0038337D">
        <w:t xml:space="preserve"> subjects included </w:t>
      </w:r>
      <w:r w:rsidR="004D59E7" w:rsidRPr="0038337D">
        <w:t xml:space="preserve">tachycardia (4 subjects), </w:t>
      </w:r>
      <w:proofErr w:type="spellStart"/>
      <w:r w:rsidR="004D59E7" w:rsidRPr="0038337D">
        <w:t>urticaria</w:t>
      </w:r>
      <w:proofErr w:type="spellEnd"/>
      <w:r w:rsidR="004D59E7" w:rsidRPr="0038337D">
        <w:t xml:space="preserve"> (4 subjects), vomiting (3 subjects</w:t>
      </w:r>
      <w:r w:rsidRPr="0038337D">
        <w:t xml:space="preserve">), and </w:t>
      </w:r>
      <w:r w:rsidR="00EF53B7">
        <w:t>p</w:t>
      </w:r>
      <w:r w:rsidRPr="0038337D">
        <w:t>yrexia (3 subjects), all of which occurred with a greater incidence in infants compared with children and adults</w:t>
      </w:r>
      <w:r>
        <w:t>.</w:t>
      </w:r>
    </w:p>
    <w:p w14:paraId="0FF781C4" w14:textId="77777777" w:rsidR="00787F40" w:rsidRDefault="00787F40" w:rsidP="00E66350">
      <w:pPr>
        <w:pStyle w:val="Heading3"/>
      </w:pPr>
      <w:bookmarkStart w:id="356" w:name="_Toc468957490"/>
      <w:bookmarkStart w:id="357" w:name="_Toc519670973"/>
      <w:r w:rsidRPr="00545B14">
        <w:t>Deaths and other serious adverse events</w:t>
      </w:r>
      <w:bookmarkEnd w:id="348"/>
      <w:bookmarkEnd w:id="349"/>
      <w:bookmarkEnd w:id="350"/>
      <w:bookmarkEnd w:id="351"/>
      <w:bookmarkEnd w:id="352"/>
      <w:bookmarkEnd w:id="353"/>
      <w:bookmarkEnd w:id="354"/>
      <w:bookmarkEnd w:id="355"/>
      <w:bookmarkEnd w:id="356"/>
      <w:bookmarkEnd w:id="357"/>
    </w:p>
    <w:p w14:paraId="2539F9DF" w14:textId="77777777" w:rsidR="00787F40" w:rsidRPr="002B7B05" w:rsidRDefault="00787F40" w:rsidP="00E66350">
      <w:pPr>
        <w:pStyle w:val="Heading4"/>
      </w:pPr>
      <w:r>
        <w:t>I</w:t>
      </w:r>
      <w:r w:rsidRPr="002B7B05">
        <w:t>ntegrated safety analyses</w:t>
      </w:r>
    </w:p>
    <w:p w14:paraId="3C33A64C" w14:textId="77777777" w:rsidR="00CC672B" w:rsidRDefault="00787F40" w:rsidP="00E66350">
      <w:pPr>
        <w:pStyle w:val="Heading5"/>
        <w:rPr>
          <w:rFonts w:eastAsiaTheme="minorHAnsi"/>
        </w:rPr>
      </w:pPr>
      <w:r w:rsidRPr="003056B6">
        <w:rPr>
          <w:rFonts w:eastAsiaTheme="minorHAnsi"/>
        </w:rPr>
        <w:t>Deaths</w:t>
      </w:r>
    </w:p>
    <w:p w14:paraId="247F73A0" w14:textId="77777777" w:rsidR="00B73619" w:rsidRDefault="00787F40" w:rsidP="00E66350">
      <w:r w:rsidRPr="00B712D1">
        <w:t xml:space="preserve">Five deaths have been reported in the </w:t>
      </w:r>
      <w:proofErr w:type="spellStart"/>
      <w:r w:rsidRPr="00B712D1">
        <w:t>sebelipase</w:t>
      </w:r>
      <w:proofErr w:type="spellEnd"/>
      <w:r w:rsidRPr="00B712D1">
        <w:t xml:space="preserve"> alfa clinical programme and one additional death has been reported for a subject in the Compassionate Use Programme who had fatal events of asystole and progressive liver failure. All 6 deaths occurred in infants (≤ 2 years of age) with rapidly progressive disease, and all deaths were assessed by the Investigator as unrelated or unlikely related to </w:t>
      </w:r>
      <w:proofErr w:type="spellStart"/>
      <w:r w:rsidRPr="00B712D1">
        <w:t>sebelipase</w:t>
      </w:r>
      <w:proofErr w:type="spellEnd"/>
      <w:r w:rsidRPr="00B712D1">
        <w:t xml:space="preserve"> alfa treatment. Three deaths had been reported as of the data cut-off dates for the Pooled Safety Set, all in subjects enrolled in </w:t>
      </w:r>
      <w:r w:rsidR="00157E63">
        <w:t>Study</w:t>
      </w:r>
      <w:r w:rsidRPr="00B712D1">
        <w:t xml:space="preserve"> LAL-CL03. An additional 3 deaths were reported though the data cut-off </w:t>
      </w:r>
      <w:proofErr w:type="gramStart"/>
      <w:r w:rsidRPr="00B712D1">
        <w:t>date</w:t>
      </w:r>
      <w:proofErr w:type="gramEnd"/>
      <w:r w:rsidRPr="00B712D1">
        <w:t xml:space="preserve"> for the</w:t>
      </w:r>
      <w:r w:rsidR="00CC672B">
        <w:t xml:space="preserve"> </w:t>
      </w:r>
      <w:r w:rsidRPr="00B712D1">
        <w:t xml:space="preserve">Updated Pooled Safety Set, one each in </w:t>
      </w:r>
      <w:r w:rsidR="00157E63">
        <w:t>Study</w:t>
      </w:r>
      <w:r w:rsidRPr="00B712D1">
        <w:t xml:space="preserve"> LAL-CL03, </w:t>
      </w:r>
      <w:r w:rsidR="00157E63">
        <w:t>Study</w:t>
      </w:r>
      <w:r w:rsidRPr="00B712D1">
        <w:t xml:space="preserve"> LAL-CL08 and the</w:t>
      </w:r>
      <w:r w:rsidR="00CC672B">
        <w:t xml:space="preserve"> </w:t>
      </w:r>
      <w:r w:rsidRPr="00B712D1">
        <w:t xml:space="preserve">Compassionate Use Programme. No additional subjects have died as of the cut-off date </w:t>
      </w:r>
      <w:r w:rsidR="00EF53B7">
        <w:t>for late-breaking information (</w:t>
      </w:r>
      <w:r w:rsidRPr="00B712D1">
        <w:t xml:space="preserve">8 </w:t>
      </w:r>
      <w:r w:rsidR="004D59E7">
        <w:t>April</w:t>
      </w:r>
      <w:r w:rsidRPr="00B712D1">
        <w:t xml:space="preserve"> 2015)</w:t>
      </w:r>
      <w:r w:rsidR="00B73619">
        <w:t>.</w:t>
      </w:r>
    </w:p>
    <w:p w14:paraId="48837593" w14:textId="77777777" w:rsidR="00CC672B" w:rsidRDefault="00787F40" w:rsidP="00E66350">
      <w:pPr>
        <w:pStyle w:val="Heading5"/>
        <w:rPr>
          <w:rFonts w:eastAsiaTheme="minorHAnsi"/>
        </w:rPr>
      </w:pPr>
      <w:r>
        <w:rPr>
          <w:rFonts w:eastAsiaTheme="minorHAnsi"/>
        </w:rPr>
        <w:t>SAEs</w:t>
      </w:r>
      <w:r w:rsidR="00CC672B">
        <w:rPr>
          <w:rFonts w:eastAsiaTheme="minorHAnsi"/>
        </w:rPr>
        <w:t>:</w:t>
      </w:r>
    </w:p>
    <w:p w14:paraId="764267EF" w14:textId="57A21823" w:rsidR="00787F40" w:rsidRPr="001F0073" w:rsidRDefault="00787F40" w:rsidP="004D59E7">
      <w:pPr>
        <w:rPr>
          <w:rFonts w:asciiTheme="minorHAnsi" w:eastAsiaTheme="minorHAnsi" w:hAnsiTheme="minorHAnsi"/>
          <w:color w:val="000000"/>
        </w:rPr>
      </w:pPr>
      <w:r>
        <w:rPr>
          <w:rFonts w:asciiTheme="minorHAnsi" w:eastAsiaTheme="minorHAnsi" w:hAnsiTheme="minorHAnsi"/>
          <w:color w:val="000000"/>
        </w:rPr>
        <w:t>In the p</w:t>
      </w:r>
      <w:r w:rsidRPr="003056B6">
        <w:rPr>
          <w:rFonts w:asciiTheme="minorHAnsi" w:eastAsiaTheme="minorHAnsi" w:hAnsiTheme="minorHAnsi"/>
          <w:color w:val="000000"/>
        </w:rPr>
        <w:t>ooled safety set</w:t>
      </w:r>
      <w:r>
        <w:rPr>
          <w:rFonts w:asciiTheme="minorHAnsi" w:eastAsiaTheme="minorHAnsi" w:hAnsiTheme="minorHAnsi"/>
          <w:color w:val="000000"/>
        </w:rPr>
        <w:t>, a</w:t>
      </w:r>
      <w:r w:rsidRPr="00B712D1">
        <w:t xml:space="preserve"> total of 36 </w:t>
      </w:r>
      <w:r w:rsidR="004D59E7">
        <w:t>treatment emergent</w:t>
      </w:r>
      <w:r w:rsidRPr="00B712D1">
        <w:t xml:space="preserve"> SAEs occurred (regardless of causality) in 12/84 (14.3%) subjects in the </w:t>
      </w:r>
      <w:proofErr w:type="spellStart"/>
      <w:r w:rsidRPr="00B712D1">
        <w:t>sebelipase</w:t>
      </w:r>
      <w:proofErr w:type="spellEnd"/>
      <w:r w:rsidRPr="00B712D1">
        <w:t xml:space="preserve"> alfa clinical studies combined through the data cut-off date; 31/36 </w:t>
      </w:r>
      <w:r w:rsidR="00D074A0">
        <w:t>(</w:t>
      </w:r>
      <w:r w:rsidRPr="00B712D1">
        <w:t>86.1%</w:t>
      </w:r>
      <w:r w:rsidR="00D074A0">
        <w:t>)</w:t>
      </w:r>
      <w:r w:rsidRPr="00B712D1">
        <w:t xml:space="preserve"> of these SAEs has occurred in infants from </w:t>
      </w:r>
      <w:r w:rsidR="00157E63">
        <w:t>Study</w:t>
      </w:r>
      <w:r w:rsidR="004D59E7">
        <w:t xml:space="preserve"> LAL</w:t>
      </w:r>
      <w:r w:rsidR="004D59E7">
        <w:noBreakHyphen/>
      </w:r>
      <w:r w:rsidRPr="00B712D1">
        <w:t>CL03;</w:t>
      </w:r>
      <w:r w:rsidR="004D59E7">
        <w:t xml:space="preserve"> </w:t>
      </w:r>
      <w:r w:rsidRPr="00B712D1">
        <w:rPr>
          <w:rFonts w:asciiTheme="minorHAnsi" w:eastAsiaTheme="minorHAnsi" w:hAnsiTheme="minorHAnsi"/>
          <w:color w:val="000000"/>
        </w:rPr>
        <w:t xml:space="preserve">31/36 </w:t>
      </w:r>
      <w:r w:rsidR="00D074A0">
        <w:rPr>
          <w:rFonts w:asciiTheme="minorHAnsi" w:eastAsiaTheme="minorHAnsi" w:hAnsiTheme="minorHAnsi"/>
          <w:color w:val="000000"/>
        </w:rPr>
        <w:t>(</w:t>
      </w:r>
      <w:r w:rsidRPr="00B712D1">
        <w:rPr>
          <w:rFonts w:asciiTheme="minorHAnsi" w:eastAsiaTheme="minorHAnsi" w:hAnsiTheme="minorHAnsi"/>
          <w:color w:val="000000"/>
        </w:rPr>
        <w:t>86.1%</w:t>
      </w:r>
      <w:r w:rsidR="00D074A0">
        <w:rPr>
          <w:rFonts w:asciiTheme="minorHAnsi" w:eastAsiaTheme="minorHAnsi" w:hAnsiTheme="minorHAnsi"/>
          <w:color w:val="000000"/>
        </w:rPr>
        <w:t>)</w:t>
      </w:r>
      <w:r w:rsidRPr="00B712D1">
        <w:rPr>
          <w:rFonts w:asciiTheme="minorHAnsi" w:eastAsiaTheme="minorHAnsi" w:hAnsiTheme="minorHAnsi"/>
          <w:color w:val="000000"/>
        </w:rPr>
        <w:t xml:space="preserve"> of these SAEs has occurred in infants from </w:t>
      </w:r>
      <w:r w:rsidR="00157E63">
        <w:rPr>
          <w:rFonts w:asciiTheme="minorHAnsi" w:eastAsiaTheme="minorHAnsi" w:hAnsiTheme="minorHAnsi"/>
          <w:color w:val="000000"/>
        </w:rPr>
        <w:t>Study</w:t>
      </w:r>
      <w:r w:rsidRPr="00B712D1">
        <w:rPr>
          <w:rFonts w:asciiTheme="minorHAnsi" w:eastAsiaTheme="minorHAnsi" w:hAnsiTheme="minorHAnsi"/>
          <w:color w:val="000000"/>
        </w:rPr>
        <w:t xml:space="preserve"> LAL-CL03. For the Pooled Safety Set, there were no SOCs in which </w:t>
      </w:r>
      <w:r w:rsidR="004D59E7">
        <w:rPr>
          <w:rFonts w:asciiTheme="minorHAnsi" w:eastAsiaTheme="minorHAnsi" w:hAnsiTheme="minorHAnsi"/>
          <w:color w:val="000000"/>
        </w:rPr>
        <w:t>≥ 1</w:t>
      </w:r>
      <w:r w:rsidRPr="00B712D1">
        <w:rPr>
          <w:rFonts w:asciiTheme="minorHAnsi" w:eastAsiaTheme="minorHAnsi" w:hAnsiTheme="minorHAnsi"/>
          <w:color w:val="000000"/>
        </w:rPr>
        <w:t xml:space="preserve">0% of subjects reported an SAE, and there was no PT reported for </w:t>
      </w:r>
      <w:r w:rsidR="004D59E7">
        <w:rPr>
          <w:rFonts w:asciiTheme="minorHAnsi" w:eastAsiaTheme="minorHAnsi" w:hAnsiTheme="minorHAnsi"/>
          <w:color w:val="000000"/>
        </w:rPr>
        <w:t>≥ 1</w:t>
      </w:r>
      <w:r w:rsidRPr="00B712D1">
        <w:rPr>
          <w:rFonts w:asciiTheme="minorHAnsi" w:eastAsiaTheme="minorHAnsi" w:hAnsiTheme="minorHAnsi"/>
          <w:color w:val="000000"/>
        </w:rPr>
        <w:t xml:space="preserve">0% of subjects. Serious adverse events reported for 2 or more subjects in the Pooled Safety Set included Pyrexia, Catheter site infection, and Device related infection (2/84 </w:t>
      </w:r>
      <w:r w:rsidR="00D074A0">
        <w:rPr>
          <w:rFonts w:asciiTheme="minorHAnsi" w:eastAsiaTheme="minorHAnsi" w:hAnsiTheme="minorHAnsi"/>
          <w:color w:val="000000"/>
        </w:rPr>
        <w:t>(</w:t>
      </w:r>
      <w:r w:rsidRPr="00B712D1">
        <w:rPr>
          <w:rFonts w:asciiTheme="minorHAnsi" w:eastAsiaTheme="minorHAnsi" w:hAnsiTheme="minorHAnsi"/>
          <w:color w:val="000000"/>
        </w:rPr>
        <w:t>2.4%</w:t>
      </w:r>
      <w:r w:rsidR="00D074A0">
        <w:rPr>
          <w:rFonts w:asciiTheme="minorHAnsi" w:eastAsiaTheme="minorHAnsi" w:hAnsiTheme="minorHAnsi"/>
          <w:color w:val="000000"/>
        </w:rPr>
        <w:t>)</w:t>
      </w:r>
      <w:r w:rsidRPr="00B712D1">
        <w:rPr>
          <w:rFonts w:asciiTheme="minorHAnsi" w:eastAsiaTheme="minorHAnsi" w:hAnsiTheme="minorHAnsi"/>
          <w:color w:val="000000"/>
        </w:rPr>
        <w:t xml:space="preserve"> for each PT). All of these events were reported in infants in </w:t>
      </w:r>
      <w:r w:rsidR="00157E63">
        <w:rPr>
          <w:rFonts w:asciiTheme="minorHAnsi" w:eastAsiaTheme="minorHAnsi" w:hAnsiTheme="minorHAnsi"/>
          <w:color w:val="000000"/>
        </w:rPr>
        <w:t>Study</w:t>
      </w:r>
      <w:r w:rsidRPr="00B712D1">
        <w:rPr>
          <w:rFonts w:asciiTheme="minorHAnsi" w:eastAsiaTheme="minorHAnsi" w:hAnsiTheme="minorHAnsi"/>
          <w:color w:val="000000"/>
        </w:rPr>
        <w:t xml:space="preserve"> LAL-CL03. The majority of SAEs were assessed by the Investigator as severe in intensity, includin</w:t>
      </w:r>
      <w:r w:rsidRPr="001F0073">
        <w:rPr>
          <w:rFonts w:asciiTheme="minorHAnsi" w:eastAsiaTheme="minorHAnsi" w:hAnsiTheme="minorHAnsi"/>
          <w:color w:val="000000"/>
        </w:rPr>
        <w:t>g the 3 events leading to death;</w:t>
      </w:r>
      <w:r w:rsidRPr="00B712D1">
        <w:rPr>
          <w:rFonts w:asciiTheme="minorHAnsi" w:eastAsiaTheme="minorHAnsi" w:hAnsiTheme="minorHAnsi"/>
          <w:color w:val="000000"/>
        </w:rPr>
        <w:t xml:space="preserve"> all other events were considered resolved/recovered. </w:t>
      </w:r>
      <w:r w:rsidRPr="001F0073">
        <w:rPr>
          <w:rFonts w:asciiTheme="minorHAnsi" w:eastAsiaTheme="minorHAnsi" w:hAnsiTheme="minorHAnsi"/>
          <w:color w:val="000000"/>
        </w:rPr>
        <w:t xml:space="preserve">The majority of SAEs were assessed by the Investigator as unrelated to </w:t>
      </w:r>
      <w:r w:rsidR="00C4359A">
        <w:rPr>
          <w:rFonts w:asciiTheme="minorHAnsi" w:eastAsiaTheme="minorHAnsi" w:hAnsiTheme="minorHAnsi"/>
          <w:color w:val="000000"/>
        </w:rPr>
        <w:t>study</w:t>
      </w:r>
      <w:r w:rsidRPr="001F0073">
        <w:rPr>
          <w:rFonts w:asciiTheme="minorHAnsi" w:eastAsiaTheme="minorHAnsi" w:hAnsiTheme="minorHAnsi"/>
          <w:color w:val="000000"/>
        </w:rPr>
        <w:t xml:space="preserve"> drug; 2 subjects experienced 5 SAEs that were considered by the Investigators as related to treatment.</w:t>
      </w:r>
    </w:p>
    <w:p w14:paraId="6C9A2C5D" w14:textId="77777777" w:rsidR="00787F40" w:rsidRDefault="00787F40" w:rsidP="004D59E7">
      <w:r>
        <w:lastRenderedPageBreak/>
        <w:t xml:space="preserve">In the </w:t>
      </w:r>
      <w:r w:rsidRPr="003056B6">
        <w:t>Updated pooled safety set</w:t>
      </w:r>
      <w:r>
        <w:t>, a</w:t>
      </w:r>
      <w:r w:rsidRPr="001F0073">
        <w:t xml:space="preserve"> total of 64 serious TEAEs were reported for a total of 19 (17.9%) subjects, including 7 new subjects with SAEs in the Updated Pooled Safety Set. Four (3.8%) subjects (including 2 new subjects) had serious TEAEs that were considered at least possibly related to </w:t>
      </w:r>
      <w:proofErr w:type="spellStart"/>
      <w:r w:rsidRPr="001F0073">
        <w:t>sebelipase</w:t>
      </w:r>
      <w:proofErr w:type="spellEnd"/>
      <w:r w:rsidRPr="001F0073">
        <w:t xml:space="preserve"> alfa by the Investigator; 16 (15.1%) subjects reported IARs, including 6 new subjects with IARs i</w:t>
      </w:r>
      <w:r w:rsidR="004D59E7">
        <w:t>n the Updated Pooled Safety Set;</w:t>
      </w:r>
      <w:r w:rsidRPr="004D59E7">
        <w:t xml:space="preserve"> </w:t>
      </w:r>
      <w:r w:rsidRPr="001F0073">
        <w:t>27 of the 28 n</w:t>
      </w:r>
      <w:r w:rsidRPr="00B712D1">
        <w:t xml:space="preserve">ew serious TEAEs occurred in infants (Studies LAL-CL03 and LAL-CL08), consistent with the trend previously observed in the Pooled Safety Set. Of the 28 new serious TEAEs, approximately half (15 serious TEAEs) were assessed by the Investigator as moderate in intensity, 12 were assessed as severe, and 1 was assessed as mild. This differs from the Pooled Safety Set, where the majority of serious TEAEs were assessed by the Investigator as severe in intensity. </w:t>
      </w:r>
      <w:r w:rsidRPr="001F0073">
        <w:t>Two of the 12 new severe serious TEAEs, led to death, both in infants. Of the remaining 10 new severe serious TEAEs, eight were considered recovered/resolved as of the data cut-off for Updated Pooled Safety Set, one s</w:t>
      </w:r>
      <w:r>
        <w:t xml:space="preserve">evere serious TEAE of Sepsis in </w:t>
      </w:r>
      <w:r w:rsidR="00157E63">
        <w:t>Study</w:t>
      </w:r>
      <w:r>
        <w:t xml:space="preserve"> LAL-CL03 </w:t>
      </w:r>
      <w:r w:rsidRPr="001F0073">
        <w:t>was</w:t>
      </w:r>
      <w:r>
        <w:t xml:space="preserve"> </w:t>
      </w:r>
      <w:r w:rsidRPr="001F0073">
        <w:t xml:space="preserve">ongoing at time of death (but was not the cause of death), and 1 severe serious TEAE of </w:t>
      </w:r>
      <w:proofErr w:type="spellStart"/>
      <w:r w:rsidRPr="001F0073">
        <w:t>Haemophagocytic</w:t>
      </w:r>
      <w:proofErr w:type="spellEnd"/>
      <w:r w:rsidRPr="001F0073">
        <w:t xml:space="preserve"> </w:t>
      </w:r>
      <w:proofErr w:type="spellStart"/>
      <w:r w:rsidRPr="001F0073">
        <w:t>lymphohistiocytosis</w:t>
      </w:r>
      <w:proofErr w:type="spellEnd"/>
      <w:r w:rsidRPr="001F0073">
        <w:t xml:space="preserve"> in </w:t>
      </w:r>
      <w:r>
        <w:t xml:space="preserve">a subject in </w:t>
      </w:r>
      <w:r w:rsidR="00157E63">
        <w:t>Study</w:t>
      </w:r>
      <w:r>
        <w:t xml:space="preserve"> LAL-CL08 is ongoing.</w:t>
      </w:r>
    </w:p>
    <w:p w14:paraId="71A4E564" w14:textId="20408F87" w:rsidR="00787F40" w:rsidRPr="001F0073" w:rsidRDefault="00787F40" w:rsidP="004D59E7">
      <w:r w:rsidRPr="001F0073">
        <w:t xml:space="preserve">Of the subjects who experienced at least 1 </w:t>
      </w:r>
      <w:r w:rsidR="004D59E7">
        <w:t>treatment emergent</w:t>
      </w:r>
      <w:r w:rsidRPr="001F0073">
        <w:t xml:space="preserve"> SAE in the Pooled Safety Set, a higher proportion of subjects in the 3 mg/kg dose (5/9 </w:t>
      </w:r>
      <w:r w:rsidR="00D074A0">
        <w:t>(</w:t>
      </w:r>
      <w:r w:rsidRPr="001F0073">
        <w:t>55.6%</w:t>
      </w:r>
      <w:r w:rsidR="00D074A0">
        <w:t>)</w:t>
      </w:r>
      <w:r w:rsidRPr="001F0073">
        <w:t xml:space="preserve">) group (including 4 infants in </w:t>
      </w:r>
      <w:r w:rsidR="00157E63">
        <w:t>Study</w:t>
      </w:r>
      <w:r w:rsidRPr="001F0073">
        <w:t xml:space="preserve"> LAL-CL03 and one adult in </w:t>
      </w:r>
      <w:r w:rsidR="00157E63">
        <w:t>Study</w:t>
      </w:r>
      <w:r w:rsidRPr="001F0073">
        <w:t xml:space="preserve"> LAL-CL01/LAL-CL04 in the experienced </w:t>
      </w:r>
      <w:r w:rsidR="004D59E7">
        <w:t>treatment emergent</w:t>
      </w:r>
      <w:r w:rsidRPr="001F0073">
        <w:t xml:space="preserve"> SAEs as compared to the 0.35 mg/kg dose (2/11 </w:t>
      </w:r>
      <w:r w:rsidR="00D074A0">
        <w:t>(</w:t>
      </w:r>
      <w:r w:rsidRPr="001F0073">
        <w:t>18.2%</w:t>
      </w:r>
      <w:r w:rsidR="00D074A0">
        <w:t>)</w:t>
      </w:r>
      <w:r w:rsidRPr="001F0073">
        <w:t xml:space="preserve">) and 1 mg/kg dose (9/79 </w:t>
      </w:r>
      <w:r w:rsidR="00D074A0">
        <w:t>(</w:t>
      </w:r>
      <w:r w:rsidRPr="001F0073">
        <w:t>11.4%</w:t>
      </w:r>
      <w:r w:rsidR="00D074A0">
        <w:t>)</w:t>
      </w:r>
      <w:r w:rsidRPr="001F0073">
        <w:t xml:space="preserve">) groups and the Pooled Safety Set. Subjects in the 3 mg/kg dose group, </w:t>
      </w:r>
      <w:r>
        <w:t xml:space="preserve">which </w:t>
      </w:r>
      <w:r w:rsidRPr="001F0073">
        <w:t xml:space="preserve">comprised mostly of the infants in </w:t>
      </w:r>
      <w:r w:rsidR="00157E63">
        <w:t>Study</w:t>
      </w:r>
      <w:r w:rsidRPr="001F0073">
        <w:t xml:space="preserve"> LAL-CL03, experienced more </w:t>
      </w:r>
      <w:r w:rsidR="004D59E7">
        <w:t>treatment emergent</w:t>
      </w:r>
      <w:r w:rsidRPr="001F0073">
        <w:t xml:space="preserve"> SAEs as compared to the other groups in the SOCs of Infections and Infestations (4/9 </w:t>
      </w:r>
      <w:r w:rsidR="00D074A0">
        <w:t>(</w:t>
      </w:r>
      <w:r w:rsidRPr="001F0073">
        <w:t>44.4%</w:t>
      </w:r>
      <w:r w:rsidR="00D074A0">
        <w:t>)</w:t>
      </w:r>
      <w:r w:rsidRPr="001F0073">
        <w:t xml:space="preserve">), </w:t>
      </w:r>
      <w:r w:rsidR="004D59E7" w:rsidRPr="001F0073">
        <w:t xml:space="preserve">metabolism and nutrition disorders </w:t>
      </w:r>
      <w:r w:rsidRPr="001F0073">
        <w:t xml:space="preserve">(2/9 </w:t>
      </w:r>
      <w:r w:rsidR="00D074A0">
        <w:t>(</w:t>
      </w:r>
      <w:r w:rsidRPr="001F0073">
        <w:t>22.2%</w:t>
      </w:r>
      <w:r w:rsidR="00D074A0">
        <w:t>)</w:t>
      </w:r>
      <w:r w:rsidRPr="001F0073">
        <w:t xml:space="preserve">), and </w:t>
      </w:r>
      <w:r w:rsidR="00EF53B7" w:rsidRPr="001F0073">
        <w:t xml:space="preserve">vascular disorders </w:t>
      </w:r>
      <w:r w:rsidRPr="001F0073">
        <w:t xml:space="preserve">(2/9 </w:t>
      </w:r>
      <w:r w:rsidR="00D074A0">
        <w:t>(</w:t>
      </w:r>
      <w:r w:rsidRPr="001F0073">
        <w:t>22.2%</w:t>
      </w:r>
      <w:r w:rsidR="00D074A0">
        <w:t>)</w:t>
      </w:r>
      <w:r w:rsidRPr="001F0073">
        <w:t>).</w:t>
      </w:r>
      <w:r>
        <w:t xml:space="preserve"> </w:t>
      </w:r>
      <w:r w:rsidRPr="001F0073">
        <w:t xml:space="preserve">The incidence of </w:t>
      </w:r>
      <w:r w:rsidR="004D59E7">
        <w:t>treatment emergent</w:t>
      </w:r>
      <w:r w:rsidRPr="001F0073">
        <w:t xml:space="preserve"> SAEs decreased steadily over time relative to length of </w:t>
      </w:r>
      <w:proofErr w:type="spellStart"/>
      <w:r w:rsidRPr="001F0073">
        <w:t>sebelipase</w:t>
      </w:r>
      <w:proofErr w:type="spellEnd"/>
      <w:r w:rsidRPr="001F0073">
        <w:t xml:space="preserve"> alfa treatment. The incidence of </w:t>
      </w:r>
      <w:r w:rsidR="004D59E7">
        <w:t>treatment emergent</w:t>
      </w:r>
      <w:r w:rsidRPr="001F0073">
        <w:t xml:space="preserve"> SAEs in the SOC </w:t>
      </w:r>
      <w:r w:rsidR="004D59E7" w:rsidRPr="001F0073">
        <w:t xml:space="preserve">of infections and infestations </w:t>
      </w:r>
      <w:r w:rsidRPr="001F0073">
        <w:t xml:space="preserve">increased up to 26 weeks of treatment and decreased thereafter. The 3 fatal </w:t>
      </w:r>
      <w:r w:rsidR="004D59E7">
        <w:t>treatment emergent</w:t>
      </w:r>
      <w:r w:rsidRPr="001F0073">
        <w:t xml:space="preserve"> SAEs (assessed by the Investigators as not related or unlikely related) in the Pooled Safety Set occurred within 4 weeks of initiating treatment with </w:t>
      </w:r>
      <w:proofErr w:type="spellStart"/>
      <w:r w:rsidRPr="001F0073">
        <w:t>sebelipase</w:t>
      </w:r>
      <w:proofErr w:type="spellEnd"/>
      <w:r w:rsidRPr="001F0073">
        <w:t xml:space="preserve"> </w:t>
      </w:r>
      <w:r w:rsidRPr="004D59E7">
        <w:t>alfa</w:t>
      </w:r>
      <w:r w:rsidR="00B73619" w:rsidRPr="004D59E7">
        <w:t xml:space="preserve">. </w:t>
      </w:r>
      <w:r w:rsidRPr="004D59E7">
        <w:t>An</w:t>
      </w:r>
      <w:r w:rsidRPr="001F0073">
        <w:t xml:space="preserve"> additional 3 fatal </w:t>
      </w:r>
      <w:proofErr w:type="gramStart"/>
      <w:r w:rsidR="004D59E7">
        <w:t>treatment</w:t>
      </w:r>
      <w:proofErr w:type="gramEnd"/>
      <w:r w:rsidR="004D59E7">
        <w:t xml:space="preserve"> emergent</w:t>
      </w:r>
      <w:r w:rsidRPr="001F0073">
        <w:t xml:space="preserve"> SAEs were reported in the Updated Pooled Safety Set and Compassionate Use, of which 2 occurred within 4 weeks of initiating treatment with </w:t>
      </w:r>
      <w:proofErr w:type="spellStart"/>
      <w:r w:rsidRPr="001F0073">
        <w:t>sebelipase</w:t>
      </w:r>
      <w:proofErr w:type="spellEnd"/>
      <w:r w:rsidRPr="001F0073">
        <w:t xml:space="preserve"> alfa and 1 occurred after 9 months of treatment</w:t>
      </w:r>
      <w:r w:rsidR="004D59E7">
        <w:t>.</w:t>
      </w:r>
    </w:p>
    <w:p w14:paraId="5E012609" w14:textId="77777777" w:rsidR="00787F40" w:rsidRPr="00AB0217" w:rsidRDefault="00787F40" w:rsidP="004D59E7">
      <w:r w:rsidRPr="00AB0217">
        <w:t xml:space="preserve">From the data cut-off date for the Updated Pooled Safety Set (26 </w:t>
      </w:r>
      <w:r w:rsidR="00CC672B">
        <w:t>January</w:t>
      </w:r>
      <w:r w:rsidRPr="00AB0217">
        <w:t xml:space="preserve"> 2015) through the late breaking period (08 </w:t>
      </w:r>
      <w:r w:rsidR="004D59E7">
        <w:t>April</w:t>
      </w:r>
      <w:r w:rsidRPr="00AB0217">
        <w:t xml:space="preserve"> 2015), 33 additional SAEs or moderate or severe IARs have been reported in 11 subjects; there have been no deaths and no subject has discontinued participation from any ongoing studies due to a TEAE.</w:t>
      </w:r>
    </w:p>
    <w:p w14:paraId="6D1D1915" w14:textId="3858E124" w:rsidR="00787F40" w:rsidRPr="00C2074B" w:rsidRDefault="00787F40" w:rsidP="00E66350">
      <w:pPr>
        <w:pStyle w:val="Heading5"/>
      </w:pPr>
      <w:r w:rsidRPr="00C2074B">
        <w:t xml:space="preserve">Pivotal and/or main efficacy </w:t>
      </w:r>
      <w:r w:rsidR="00C02E47">
        <w:t>s</w:t>
      </w:r>
      <w:r w:rsidR="00157E63">
        <w:t>tudy</w:t>
      </w:r>
      <w:r>
        <w:t xml:space="preserve"> (LAL-CL02)</w:t>
      </w:r>
    </w:p>
    <w:p w14:paraId="10583776" w14:textId="77777777" w:rsidR="00787F40" w:rsidRPr="00F51223" w:rsidRDefault="00787F40" w:rsidP="00787F40">
      <w:pPr>
        <w:autoSpaceDE w:val="0"/>
        <w:autoSpaceDN w:val="0"/>
        <w:adjustRightInd w:val="0"/>
        <w:spacing w:before="0" w:line="240" w:lineRule="auto"/>
        <w:rPr>
          <w:rFonts w:asciiTheme="minorHAnsi" w:eastAsiaTheme="minorHAnsi" w:hAnsiTheme="minorHAnsi" w:cs="TimesNewRomanPSMT"/>
        </w:rPr>
      </w:pPr>
      <w:r w:rsidRPr="00BF17DF">
        <w:rPr>
          <w:rFonts w:asciiTheme="minorHAnsi" w:eastAsiaTheme="minorHAnsi" w:hAnsiTheme="minorHAnsi" w:cs="TimesNewRomanPSMT"/>
        </w:rPr>
        <w:t xml:space="preserve">No deaths occurred in this </w:t>
      </w:r>
      <w:r w:rsidR="00C4359A">
        <w:rPr>
          <w:rFonts w:asciiTheme="minorHAnsi" w:eastAsiaTheme="minorHAnsi" w:hAnsiTheme="minorHAnsi" w:cs="TimesNewRomanPSMT"/>
        </w:rPr>
        <w:t>study</w:t>
      </w:r>
      <w:r w:rsidRPr="00BF17DF">
        <w:rPr>
          <w:rFonts w:asciiTheme="minorHAnsi" w:eastAsiaTheme="minorHAnsi" w:hAnsiTheme="minorHAnsi" w:cs="TimesNewRomanPSMT"/>
        </w:rPr>
        <w:t xml:space="preserve">. The incidence of SAEs in the </w:t>
      </w:r>
      <w:r w:rsidR="003F3AB4">
        <w:rPr>
          <w:rFonts w:asciiTheme="minorHAnsi" w:eastAsiaTheme="minorHAnsi" w:hAnsiTheme="minorHAnsi" w:cs="TimesNewRomanPSMT"/>
        </w:rPr>
        <w:t>double blind</w:t>
      </w:r>
      <w:r w:rsidRPr="00BF17DF">
        <w:rPr>
          <w:rFonts w:asciiTheme="minorHAnsi" w:eastAsiaTheme="minorHAnsi" w:hAnsiTheme="minorHAnsi" w:cs="TimesNewRomanPSMT"/>
        </w:rPr>
        <w:t xml:space="preserve"> period was low, with 5% of</w:t>
      </w:r>
      <w:r>
        <w:rPr>
          <w:rFonts w:asciiTheme="minorHAnsi" w:eastAsiaTheme="minorHAnsi" w:hAnsiTheme="minorHAnsi" w:cs="TimesNewRomanPSMT"/>
        </w:rPr>
        <w:t xml:space="preserve"> </w:t>
      </w:r>
      <w:r w:rsidRPr="00BF17DF">
        <w:rPr>
          <w:rFonts w:asciiTheme="minorHAnsi" w:eastAsiaTheme="minorHAnsi" w:hAnsiTheme="minorHAnsi" w:cs="TimesNewRomanPSMT"/>
        </w:rPr>
        <w:t>subjects overall, including 6% and 3% of subjects in the SA and placebo groups, respectively, experiencing</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an SAE. No particular SAE was reported in </w:t>
      </w:r>
      <w:r w:rsidR="00B73619">
        <w:rPr>
          <w:rFonts w:asciiTheme="minorHAnsi" w:eastAsiaTheme="minorHAnsi" w:hAnsiTheme="minorHAnsi" w:cs="TimesNewRomanPSMT"/>
        </w:rPr>
        <w:t>&gt;</w:t>
      </w:r>
      <w:r w:rsidR="00CC672B">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1 subject. SAEs reported among </w:t>
      </w:r>
      <w:r w:rsidR="00A87AAC">
        <w:rPr>
          <w:rFonts w:asciiTheme="minorHAnsi" w:eastAsiaTheme="minorHAnsi" w:hAnsiTheme="minorHAnsi" w:cs="TimesNewRomanPSMT"/>
        </w:rPr>
        <w:t xml:space="preserve">SA treated </w:t>
      </w:r>
      <w:r w:rsidRPr="00BF17DF">
        <w:rPr>
          <w:rFonts w:asciiTheme="minorHAnsi" w:eastAsiaTheme="minorHAnsi" w:hAnsiTheme="minorHAnsi" w:cs="TimesNewRomanPSMT"/>
        </w:rPr>
        <w:t>subjects in the</w:t>
      </w:r>
      <w:r>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BF17DF">
        <w:rPr>
          <w:rFonts w:asciiTheme="minorHAnsi" w:eastAsiaTheme="minorHAnsi" w:hAnsiTheme="minorHAnsi" w:cs="TimesNewRomanPSMT"/>
        </w:rPr>
        <w:t xml:space="preserve"> period included gastritis and </w:t>
      </w:r>
      <w:r w:rsidR="00B866BC">
        <w:rPr>
          <w:rFonts w:asciiTheme="minorHAnsi" w:eastAsiaTheme="minorHAnsi" w:hAnsiTheme="minorHAnsi" w:cs="TimesNewRomanPSMT"/>
        </w:rPr>
        <w:t>infusion related</w:t>
      </w:r>
      <w:r w:rsidRPr="00BF17DF">
        <w:rPr>
          <w:rFonts w:asciiTheme="minorHAnsi" w:eastAsiaTheme="minorHAnsi" w:hAnsiTheme="minorHAnsi" w:cs="TimesNewRomanPSMT"/>
        </w:rPr>
        <w:t xml:space="preserve"> reaction (each 3%). The only SAE reported</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among the 30 </w:t>
      </w:r>
      <w:r w:rsidR="00131B1C">
        <w:rPr>
          <w:rFonts w:asciiTheme="minorHAnsi" w:eastAsiaTheme="minorHAnsi" w:hAnsiTheme="minorHAnsi" w:cs="TimesNewRomanPSMT"/>
        </w:rPr>
        <w:t>Placebo treated</w:t>
      </w:r>
      <w:r w:rsidRPr="00BF17DF">
        <w:rPr>
          <w:rFonts w:asciiTheme="minorHAnsi" w:eastAsiaTheme="minorHAnsi" w:hAnsiTheme="minorHAnsi" w:cs="TimesNewRomanPSMT"/>
        </w:rPr>
        <w:t xml:space="preserve"> subjects in the </w:t>
      </w:r>
      <w:r w:rsidR="003F3AB4">
        <w:rPr>
          <w:rFonts w:asciiTheme="minorHAnsi" w:eastAsiaTheme="minorHAnsi" w:hAnsiTheme="minorHAnsi" w:cs="TimesNewRomanPSMT"/>
        </w:rPr>
        <w:t>double blind</w:t>
      </w:r>
      <w:r w:rsidRPr="00BF17DF">
        <w:rPr>
          <w:rFonts w:asciiTheme="minorHAnsi" w:eastAsiaTheme="minorHAnsi" w:hAnsiTheme="minorHAnsi" w:cs="TimesNewRomanPSMT"/>
        </w:rPr>
        <w:t xml:space="preserve"> period was road traffic accident (3%).</w:t>
      </w:r>
      <w:r>
        <w:rPr>
          <w:rFonts w:asciiTheme="minorHAnsi" w:eastAsiaTheme="minorHAnsi" w:hAnsiTheme="minorHAnsi" w:cs="TimesNewRomanPSMT"/>
        </w:rPr>
        <w:t xml:space="preserve"> </w:t>
      </w:r>
      <w:r w:rsidRPr="00BF17DF">
        <w:rPr>
          <w:rFonts w:asciiTheme="minorHAnsi" w:eastAsiaTheme="minorHAnsi" w:hAnsiTheme="minorHAnsi" w:cs="TimesNewRomanPSMT"/>
        </w:rPr>
        <w:t>One (3%) subject in the placebo/SA group</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experienced an SAE during the </w:t>
      </w:r>
      <w:r w:rsidR="00B73619">
        <w:rPr>
          <w:rFonts w:asciiTheme="minorHAnsi" w:eastAsiaTheme="minorHAnsi" w:hAnsiTheme="minorHAnsi" w:cs="TimesNewRomanPSMT"/>
        </w:rPr>
        <w:t>open label</w:t>
      </w:r>
      <w:r w:rsidRPr="00BF17DF">
        <w:rPr>
          <w:rFonts w:asciiTheme="minorHAnsi" w:eastAsiaTheme="minorHAnsi" w:hAnsiTheme="minorHAnsi" w:cs="TimesNewRomanPSMT"/>
        </w:rPr>
        <w:t xml:space="preserve"> period (mild gastroenteritis), with the event considered unrelated</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to </w:t>
      </w:r>
      <w:r w:rsidR="00C4359A">
        <w:rPr>
          <w:rFonts w:asciiTheme="minorHAnsi" w:eastAsiaTheme="minorHAnsi" w:hAnsiTheme="minorHAnsi" w:cs="TimesNewRomanPSMT"/>
        </w:rPr>
        <w:t>study</w:t>
      </w:r>
      <w:r w:rsidRPr="00BF17DF">
        <w:rPr>
          <w:rFonts w:asciiTheme="minorHAnsi" w:eastAsiaTheme="minorHAnsi" w:hAnsiTheme="minorHAnsi" w:cs="TimesNewRomanPSMT"/>
        </w:rPr>
        <w:t xml:space="preserve"> drug.</w:t>
      </w:r>
    </w:p>
    <w:p w14:paraId="23547506" w14:textId="77777777" w:rsidR="00787F40" w:rsidRPr="00C2074B" w:rsidRDefault="00787F40" w:rsidP="00E66350">
      <w:pPr>
        <w:pStyle w:val="Heading5"/>
      </w:pPr>
      <w:r w:rsidRPr="00C2074B">
        <w:t>Other studies</w:t>
      </w:r>
    </w:p>
    <w:p w14:paraId="7A1A21C5" w14:textId="77777777" w:rsidR="00B73619" w:rsidRPr="004D59E7" w:rsidRDefault="00787F40" w:rsidP="004D59E7">
      <w:r w:rsidRPr="004D59E7">
        <w:t>Majority of the SAEs (31/36, 86.1%) reported in the pooled safety set occurred in infants in</w:t>
      </w:r>
      <w:r w:rsidR="004D59E7" w:rsidRPr="004D59E7">
        <w:t xml:space="preserve"> </w:t>
      </w:r>
      <w:r w:rsidR="00157E63" w:rsidRPr="004D59E7">
        <w:t>Study</w:t>
      </w:r>
      <w:r w:rsidRPr="004D59E7">
        <w:t xml:space="preserve"> LAL-CL03</w:t>
      </w:r>
      <w:r w:rsidR="00B73619" w:rsidRPr="004D59E7">
        <w:t>.</w:t>
      </w:r>
    </w:p>
    <w:p w14:paraId="578E846B" w14:textId="77777777" w:rsidR="00B73619" w:rsidRDefault="00787F40" w:rsidP="00787F40">
      <w:pPr>
        <w:spacing w:before="0" w:line="240" w:lineRule="auto"/>
      </w:pPr>
      <w:r>
        <w:t xml:space="preserve">There were no SAEs reported in </w:t>
      </w:r>
      <w:r w:rsidR="00157E63">
        <w:t>Study</w:t>
      </w:r>
      <w:r>
        <w:t xml:space="preserve"> LAL-CL01 and only 1 subject reported a SAE of cholecystitis (unrelated to </w:t>
      </w:r>
      <w:r w:rsidR="00C4359A">
        <w:t>study</w:t>
      </w:r>
      <w:r>
        <w:t xml:space="preserve"> treatment) in LAL-CL04</w:t>
      </w:r>
      <w:r w:rsidR="00B73619">
        <w:t>.</w:t>
      </w:r>
    </w:p>
    <w:p w14:paraId="117ACE79" w14:textId="77777777" w:rsidR="00787F40" w:rsidRPr="00545B14" w:rsidRDefault="00787F40" w:rsidP="00E66350">
      <w:pPr>
        <w:pStyle w:val="Heading3"/>
      </w:pPr>
      <w:bookmarkStart w:id="358" w:name="_Toc241374325"/>
      <w:bookmarkStart w:id="359" w:name="_Ref272333477"/>
      <w:bookmarkStart w:id="360" w:name="_Toc272414667"/>
      <w:bookmarkStart w:id="361" w:name="_Toc290888531"/>
      <w:bookmarkStart w:id="362" w:name="_Toc416353747"/>
      <w:bookmarkStart w:id="363" w:name="_Toc421005290"/>
      <w:bookmarkStart w:id="364" w:name="_Toc432079167"/>
      <w:bookmarkStart w:id="365" w:name="_Toc432080740"/>
      <w:bookmarkStart w:id="366" w:name="_Toc468957491"/>
      <w:bookmarkStart w:id="367" w:name="_Toc519670974"/>
      <w:r w:rsidRPr="00545B14">
        <w:lastRenderedPageBreak/>
        <w:t>Discontinuation</w:t>
      </w:r>
      <w:r>
        <w:t>s</w:t>
      </w:r>
      <w:r w:rsidRPr="00545B14">
        <w:t xml:space="preserve"> due to adverse events</w:t>
      </w:r>
      <w:bookmarkEnd w:id="358"/>
      <w:bookmarkEnd w:id="359"/>
      <w:bookmarkEnd w:id="360"/>
      <w:bookmarkEnd w:id="361"/>
      <w:bookmarkEnd w:id="362"/>
      <w:bookmarkEnd w:id="363"/>
      <w:bookmarkEnd w:id="364"/>
      <w:bookmarkEnd w:id="365"/>
      <w:bookmarkEnd w:id="366"/>
      <w:bookmarkEnd w:id="367"/>
    </w:p>
    <w:p w14:paraId="2F4FA404" w14:textId="77777777" w:rsidR="00787F40" w:rsidRPr="002B7B05" w:rsidRDefault="00787F40" w:rsidP="00E66350">
      <w:pPr>
        <w:pStyle w:val="Heading4"/>
      </w:pPr>
      <w:r>
        <w:t>I</w:t>
      </w:r>
      <w:r w:rsidRPr="002B7B05">
        <w:t>ntegrated safety analyses</w:t>
      </w:r>
    </w:p>
    <w:p w14:paraId="1D53FFCD" w14:textId="77777777" w:rsidR="00B73619" w:rsidRDefault="00787F40" w:rsidP="00787F40">
      <w:pPr>
        <w:autoSpaceDE w:val="0"/>
        <w:autoSpaceDN w:val="0"/>
        <w:adjustRightInd w:val="0"/>
        <w:spacing w:before="0" w:line="240" w:lineRule="auto"/>
        <w:rPr>
          <w:rFonts w:asciiTheme="minorHAnsi" w:eastAsiaTheme="minorHAnsi" w:hAnsiTheme="minorHAnsi"/>
          <w:color w:val="000000"/>
        </w:rPr>
      </w:pPr>
      <w:r>
        <w:rPr>
          <w:rFonts w:asciiTheme="minorHAnsi" w:eastAsiaTheme="minorHAnsi" w:hAnsiTheme="minorHAnsi"/>
          <w:color w:val="000000"/>
        </w:rPr>
        <w:t>In both the pooled safety set and D120 safety update, n</w:t>
      </w:r>
      <w:r w:rsidRPr="00A26501">
        <w:rPr>
          <w:rFonts w:asciiTheme="minorHAnsi" w:eastAsiaTheme="minorHAnsi" w:hAnsiTheme="minorHAnsi"/>
          <w:color w:val="000000"/>
        </w:rPr>
        <w:t>o subject experienced a TEAE that l</w:t>
      </w:r>
      <w:r>
        <w:rPr>
          <w:rFonts w:asciiTheme="minorHAnsi" w:eastAsiaTheme="minorHAnsi" w:hAnsiTheme="minorHAnsi"/>
          <w:color w:val="000000"/>
        </w:rPr>
        <w:t xml:space="preserve">ed to withdrawal from the </w:t>
      </w:r>
      <w:r w:rsidR="00C4359A">
        <w:rPr>
          <w:rFonts w:asciiTheme="minorHAnsi" w:eastAsiaTheme="minorHAnsi" w:hAnsiTheme="minorHAnsi"/>
          <w:color w:val="000000"/>
        </w:rPr>
        <w:t>study</w:t>
      </w:r>
      <w:r>
        <w:rPr>
          <w:rFonts w:asciiTheme="minorHAnsi" w:eastAsiaTheme="minorHAnsi" w:hAnsiTheme="minorHAnsi"/>
          <w:color w:val="000000"/>
        </w:rPr>
        <w:t xml:space="preserve"> (</w:t>
      </w:r>
      <w:r w:rsidRPr="00A26501">
        <w:rPr>
          <w:rFonts w:asciiTheme="minorHAnsi" w:eastAsiaTheme="minorHAnsi" w:hAnsiTheme="minorHAnsi"/>
          <w:color w:val="000000"/>
        </w:rPr>
        <w:t xml:space="preserve">other than the 5 deaths in clinical studies, no subject terminated a </w:t>
      </w:r>
      <w:r w:rsidR="00C4359A">
        <w:rPr>
          <w:rFonts w:asciiTheme="minorHAnsi" w:eastAsiaTheme="minorHAnsi" w:hAnsiTheme="minorHAnsi"/>
          <w:color w:val="000000"/>
        </w:rPr>
        <w:t>study</w:t>
      </w:r>
      <w:r w:rsidRPr="00A26501">
        <w:rPr>
          <w:rFonts w:asciiTheme="minorHAnsi" w:eastAsiaTheme="minorHAnsi" w:hAnsiTheme="minorHAnsi"/>
          <w:color w:val="000000"/>
        </w:rPr>
        <w:t xml:space="preserve"> early</w:t>
      </w:r>
      <w:r>
        <w:rPr>
          <w:rFonts w:asciiTheme="minorHAnsi" w:eastAsiaTheme="minorHAnsi" w:hAnsiTheme="minorHAnsi"/>
          <w:color w:val="000000"/>
        </w:rPr>
        <w:t>)</w:t>
      </w:r>
      <w:r w:rsidR="00B73619">
        <w:rPr>
          <w:rFonts w:asciiTheme="minorHAnsi" w:eastAsiaTheme="minorHAnsi" w:hAnsiTheme="minorHAnsi"/>
          <w:color w:val="000000"/>
        </w:rPr>
        <w:t>.</w:t>
      </w:r>
    </w:p>
    <w:p w14:paraId="3A8926DA" w14:textId="77777777" w:rsidR="00787F40" w:rsidRPr="00C2074B" w:rsidRDefault="00787F40" w:rsidP="00E66350">
      <w:pPr>
        <w:pStyle w:val="Heading4"/>
      </w:pPr>
      <w:r w:rsidRPr="00C2074B">
        <w:t xml:space="preserve">Pivotal and/or main efficacy </w:t>
      </w:r>
      <w:r w:rsidR="00157E63">
        <w:t>Study</w:t>
      </w:r>
      <w:r>
        <w:t xml:space="preserve"> (LAL-CL02)</w:t>
      </w:r>
    </w:p>
    <w:p w14:paraId="3AA448B2" w14:textId="77777777" w:rsidR="00787F40" w:rsidRPr="00BF17DF" w:rsidRDefault="00787F40" w:rsidP="00787F40">
      <w:pPr>
        <w:autoSpaceDE w:val="0"/>
        <w:autoSpaceDN w:val="0"/>
        <w:adjustRightInd w:val="0"/>
        <w:spacing w:before="0" w:line="240" w:lineRule="auto"/>
        <w:rPr>
          <w:rFonts w:asciiTheme="minorHAnsi" w:eastAsiaTheme="minorHAnsi" w:hAnsiTheme="minorHAnsi" w:cs="TimesNewRomanPSMT"/>
        </w:rPr>
      </w:pPr>
      <w:r w:rsidRPr="00BF17DF">
        <w:rPr>
          <w:rFonts w:asciiTheme="minorHAnsi" w:eastAsiaTheme="minorHAnsi" w:hAnsiTheme="minorHAnsi" w:cs="TimesNewRomanPSMT"/>
        </w:rPr>
        <w:t xml:space="preserve">No </w:t>
      </w:r>
      <w:r w:rsidR="00C4359A">
        <w:rPr>
          <w:rFonts w:asciiTheme="minorHAnsi" w:eastAsiaTheme="minorHAnsi" w:hAnsiTheme="minorHAnsi" w:cs="TimesNewRomanPSMT"/>
        </w:rPr>
        <w:t>study</w:t>
      </w:r>
      <w:r w:rsidRPr="00BF17DF">
        <w:rPr>
          <w:rFonts w:asciiTheme="minorHAnsi" w:eastAsiaTheme="minorHAnsi" w:hAnsiTheme="minorHAnsi" w:cs="TimesNewRomanPSMT"/>
        </w:rPr>
        <w:t xml:space="preserve"> </w:t>
      </w:r>
      <w:r w:rsidR="004D59E7">
        <w:rPr>
          <w:rFonts w:asciiTheme="minorHAnsi" w:eastAsiaTheme="minorHAnsi" w:hAnsiTheme="minorHAnsi" w:cs="TimesNewRomanPSMT"/>
        </w:rPr>
        <w:t>drug related</w:t>
      </w:r>
      <w:r w:rsidRPr="00BF17DF">
        <w:rPr>
          <w:rFonts w:asciiTheme="minorHAnsi" w:eastAsiaTheme="minorHAnsi" w:hAnsiTheme="minorHAnsi" w:cs="TimesNewRomanPSMT"/>
        </w:rPr>
        <w:t xml:space="preserve"> SAEs or TEAEs leading to </w:t>
      </w:r>
      <w:r w:rsidR="00C4359A">
        <w:rPr>
          <w:rFonts w:asciiTheme="minorHAnsi" w:eastAsiaTheme="minorHAnsi" w:hAnsiTheme="minorHAnsi" w:cs="TimesNewRomanPSMT"/>
        </w:rPr>
        <w:t>study</w:t>
      </w:r>
      <w:r w:rsidRPr="00BF17DF">
        <w:rPr>
          <w:rFonts w:asciiTheme="minorHAnsi" w:eastAsiaTheme="minorHAnsi" w:hAnsiTheme="minorHAnsi" w:cs="TimesNewRomanPSMT"/>
        </w:rPr>
        <w:t xml:space="preserve"> drug discontinuation were seen in</w:t>
      </w:r>
      <w:r>
        <w:rPr>
          <w:rFonts w:asciiTheme="minorHAnsi" w:eastAsiaTheme="minorHAnsi" w:hAnsiTheme="minorHAnsi" w:cs="TimesNewRomanPSMT"/>
        </w:rPr>
        <w:t xml:space="preserve"> </w:t>
      </w:r>
      <w:r w:rsidRPr="00BF17DF">
        <w:rPr>
          <w:rFonts w:asciiTheme="minorHAnsi" w:eastAsiaTheme="minorHAnsi" w:hAnsiTheme="minorHAnsi" w:cs="TimesNewRomanPSMT"/>
        </w:rPr>
        <w:t xml:space="preserve">the either the SA or placebo/SA groups during the </w:t>
      </w:r>
      <w:r w:rsidR="00B73619">
        <w:rPr>
          <w:rFonts w:asciiTheme="minorHAnsi" w:eastAsiaTheme="minorHAnsi" w:hAnsiTheme="minorHAnsi" w:cs="TimesNewRomanPSMT"/>
        </w:rPr>
        <w:t>open label</w:t>
      </w:r>
      <w:r w:rsidRPr="00BF17DF">
        <w:rPr>
          <w:rFonts w:asciiTheme="minorHAnsi" w:eastAsiaTheme="minorHAnsi" w:hAnsiTheme="minorHAnsi" w:cs="TimesNewRomanPSMT"/>
        </w:rPr>
        <w:t xml:space="preserve"> period.</w:t>
      </w:r>
    </w:p>
    <w:p w14:paraId="4B85A3CA" w14:textId="77777777" w:rsidR="00787F40" w:rsidRPr="00C2074B" w:rsidRDefault="00787F40" w:rsidP="00E66350">
      <w:pPr>
        <w:pStyle w:val="Heading4"/>
      </w:pPr>
      <w:r w:rsidRPr="00C2074B">
        <w:t>Other studies</w:t>
      </w:r>
    </w:p>
    <w:p w14:paraId="60E94F07" w14:textId="77777777" w:rsidR="00B73619" w:rsidRDefault="00787F40" w:rsidP="00787F40">
      <w:pPr>
        <w:spacing w:before="0" w:line="240" w:lineRule="auto"/>
      </w:pPr>
      <w:r w:rsidRPr="0008704E">
        <w:t>There were no withdrawals due to AEs in the other efficacy studies</w:t>
      </w:r>
      <w:r w:rsidR="00B73619">
        <w:t>.</w:t>
      </w:r>
    </w:p>
    <w:p w14:paraId="7189A6CB" w14:textId="77777777" w:rsidR="00787F40" w:rsidRPr="00545B14" w:rsidRDefault="00787F40" w:rsidP="00E66350">
      <w:pPr>
        <w:pStyle w:val="Heading3"/>
      </w:pPr>
      <w:bookmarkStart w:id="368" w:name="_Toc241374321"/>
      <w:bookmarkStart w:id="369" w:name="_Ref271044780"/>
      <w:bookmarkStart w:id="370" w:name="_Ref271196640"/>
      <w:bookmarkStart w:id="371" w:name="_Ref272333085"/>
      <w:bookmarkStart w:id="372" w:name="_Toc272414668"/>
      <w:bookmarkStart w:id="373" w:name="_Toc290888532"/>
      <w:bookmarkStart w:id="374" w:name="_Toc416353748"/>
      <w:bookmarkStart w:id="375" w:name="_Toc421005291"/>
      <w:bookmarkStart w:id="376" w:name="_Toc432079168"/>
      <w:bookmarkStart w:id="377" w:name="_Toc432080741"/>
      <w:bookmarkStart w:id="378" w:name="_Toc468957492"/>
      <w:bookmarkStart w:id="379" w:name="_Toc519670975"/>
      <w:r>
        <w:t xml:space="preserve">Evaluation of issues </w:t>
      </w:r>
      <w:bookmarkEnd w:id="368"/>
      <w:bookmarkEnd w:id="369"/>
      <w:bookmarkEnd w:id="370"/>
      <w:bookmarkEnd w:id="371"/>
      <w:bookmarkEnd w:id="372"/>
      <w:bookmarkEnd w:id="373"/>
      <w:bookmarkEnd w:id="374"/>
      <w:bookmarkEnd w:id="375"/>
      <w:r>
        <w:t>with possible regulatory impact</w:t>
      </w:r>
      <w:bookmarkEnd w:id="376"/>
      <w:bookmarkEnd w:id="377"/>
      <w:bookmarkEnd w:id="378"/>
      <w:bookmarkEnd w:id="379"/>
    </w:p>
    <w:p w14:paraId="48D09F20" w14:textId="77777777" w:rsidR="00787F40" w:rsidRPr="00545B14" w:rsidRDefault="00787F40" w:rsidP="00E66350">
      <w:pPr>
        <w:pStyle w:val="Heading4"/>
      </w:pPr>
      <w:bookmarkStart w:id="380" w:name="_Toc272414669"/>
      <w:bookmarkStart w:id="381" w:name="_Toc290888533"/>
      <w:bookmarkStart w:id="382" w:name="_Toc416353749"/>
      <w:bookmarkStart w:id="383" w:name="_Toc421005292"/>
      <w:bookmarkStart w:id="384" w:name="_Toc432079169"/>
      <w:bookmarkStart w:id="385" w:name="_Toc432080742"/>
      <w:bookmarkStart w:id="386" w:name="_Toc468957493"/>
      <w:r w:rsidRPr="00545B14">
        <w:t>Liver function</w:t>
      </w:r>
      <w:bookmarkEnd w:id="380"/>
      <w:bookmarkEnd w:id="381"/>
      <w:bookmarkEnd w:id="382"/>
      <w:bookmarkEnd w:id="383"/>
      <w:r>
        <w:t xml:space="preserve"> and liver toxicity</w:t>
      </w:r>
      <w:bookmarkEnd w:id="384"/>
      <w:bookmarkEnd w:id="385"/>
      <w:bookmarkEnd w:id="386"/>
    </w:p>
    <w:p w14:paraId="06755F54" w14:textId="77777777" w:rsidR="00787F40" w:rsidRPr="002B7B05" w:rsidRDefault="00787F40" w:rsidP="00E66350">
      <w:pPr>
        <w:pStyle w:val="Heading5"/>
      </w:pPr>
      <w:r>
        <w:t>I</w:t>
      </w:r>
      <w:r w:rsidRPr="002B7B05">
        <w:t>ntegrated safety analyses</w:t>
      </w:r>
    </w:p>
    <w:p w14:paraId="5FD6BEAE" w14:textId="131AB8F4" w:rsidR="00787F40" w:rsidRPr="007D1E77" w:rsidRDefault="00787F40" w:rsidP="00787F40">
      <w:pPr>
        <w:spacing w:before="0" w:line="240" w:lineRule="auto"/>
      </w:pPr>
      <w:r w:rsidRPr="00732A8D">
        <w:t xml:space="preserve">Liver parameters, including ALT, AST, GGT, ALP, and </w:t>
      </w:r>
      <w:proofErr w:type="spellStart"/>
      <w:r w:rsidRPr="00732A8D">
        <w:t>TBil</w:t>
      </w:r>
      <w:proofErr w:type="spellEnd"/>
      <w:r w:rsidRPr="00732A8D">
        <w:t xml:space="preserve">, decreased </w:t>
      </w:r>
      <w:r w:rsidR="00DE644C">
        <w:t>from Baseline</w:t>
      </w:r>
      <w:r w:rsidRPr="00732A8D">
        <w:t xml:space="preserve"> to the last assessment. In an analysis by </w:t>
      </w:r>
      <w:r w:rsidR="00C4359A">
        <w:t>study</w:t>
      </w:r>
      <w:r w:rsidRPr="00732A8D">
        <w:t xml:space="preserve">, reductions in ALT, AST, GGT, ALP, and </w:t>
      </w:r>
      <w:proofErr w:type="spellStart"/>
      <w:r w:rsidRPr="00732A8D">
        <w:t>TBil</w:t>
      </w:r>
      <w:proofErr w:type="spellEnd"/>
      <w:r w:rsidRPr="00732A8D">
        <w:t xml:space="preserve"> were apparent across all </w:t>
      </w:r>
      <w:r w:rsidRPr="00FA48CC">
        <w:t xml:space="preserve">studies </w:t>
      </w:r>
      <w:r w:rsidR="004D59E7" w:rsidRPr="00FA48CC">
        <w:t>(Table</w:t>
      </w:r>
      <w:r w:rsidR="00FA48CC" w:rsidRPr="00FA48CC">
        <w:t>s</w:t>
      </w:r>
      <w:r w:rsidR="004D59E7" w:rsidRPr="00FA48CC">
        <w:t xml:space="preserve"> </w:t>
      </w:r>
      <w:r w:rsidR="00FA48CC" w:rsidRPr="00FA48CC">
        <w:t>29 and 30</w:t>
      </w:r>
      <w:r w:rsidRPr="00FA48CC">
        <w:t>). In</w:t>
      </w:r>
      <w:r>
        <w:t xml:space="preserve"> a few subjects, </w:t>
      </w:r>
      <w:r w:rsidRPr="00732A8D">
        <w:t xml:space="preserve">individual </w:t>
      </w:r>
      <w:proofErr w:type="spellStart"/>
      <w:r w:rsidRPr="00732A8D">
        <w:t>TBil</w:t>
      </w:r>
      <w:proofErr w:type="spellEnd"/>
      <w:r w:rsidRPr="00732A8D">
        <w:t xml:space="preserve"> values remained very high at the last assessment</w:t>
      </w:r>
      <w:r>
        <w:t xml:space="preserve"> and a </w:t>
      </w:r>
      <w:r w:rsidRPr="00732A8D">
        <w:t xml:space="preserve">further medical review indicated that these high </w:t>
      </w:r>
      <w:proofErr w:type="spellStart"/>
      <w:r w:rsidRPr="00732A8D">
        <w:t>TBil</w:t>
      </w:r>
      <w:proofErr w:type="spellEnd"/>
      <w:r w:rsidRPr="00732A8D">
        <w:t xml:space="preserve"> values occurred in the context of worsening disease, including a subject </w:t>
      </w:r>
      <w:r>
        <w:t xml:space="preserve">in </w:t>
      </w:r>
      <w:r w:rsidR="00157E63">
        <w:t>Study</w:t>
      </w:r>
      <w:r>
        <w:t xml:space="preserve"> LAL-CL03 </w:t>
      </w:r>
      <w:r w:rsidRPr="00732A8D">
        <w:t>who died early in the course of treatment (</w:t>
      </w:r>
      <w:proofErr w:type="spellStart"/>
      <w:r w:rsidRPr="00732A8D">
        <w:t>TBil</w:t>
      </w:r>
      <w:proofErr w:type="spellEnd"/>
      <w:r w:rsidR="002D28A4">
        <w:t xml:space="preserve"> = </w:t>
      </w:r>
      <w:r w:rsidRPr="00732A8D">
        <w:t xml:space="preserve">443 </w:t>
      </w:r>
      <w:r>
        <w:t xml:space="preserve">and 419 </w:t>
      </w:r>
      <w:r w:rsidR="00DE644C">
        <w:t>µ</w:t>
      </w:r>
      <w:proofErr w:type="spellStart"/>
      <w:r w:rsidRPr="00732A8D">
        <w:t>mol</w:t>
      </w:r>
      <w:proofErr w:type="spellEnd"/>
      <w:r w:rsidRPr="00732A8D">
        <w:t xml:space="preserve">/L </w:t>
      </w:r>
      <w:r w:rsidR="00DE644C">
        <w:t>at Baseline</w:t>
      </w:r>
      <w:r w:rsidRPr="00732A8D">
        <w:t xml:space="preserve"> and at last assessment</w:t>
      </w:r>
      <w:r>
        <w:t>, respectively</w:t>
      </w:r>
      <w:r w:rsidRPr="00732A8D">
        <w:t xml:space="preserve">) and a subject </w:t>
      </w:r>
      <w:r w:rsidRPr="007D1E77">
        <w:t>who had evidence of liver decompensation and required an urgent liver transplant</w:t>
      </w:r>
      <w:r w:rsidR="00CC672B">
        <w:t xml:space="preserve"> </w:t>
      </w:r>
      <w:r>
        <w:t xml:space="preserve">in </w:t>
      </w:r>
      <w:r w:rsidR="00157E63">
        <w:t>Study</w:t>
      </w:r>
      <w:r>
        <w:t xml:space="preserve"> </w:t>
      </w:r>
      <w:r w:rsidRPr="007D1E77">
        <w:t>LAL-CL01/LAL-CL04</w:t>
      </w:r>
      <w:r>
        <w:t xml:space="preserve"> (</w:t>
      </w:r>
      <w:proofErr w:type="spellStart"/>
      <w:r w:rsidRPr="007D1E77">
        <w:t>TBil</w:t>
      </w:r>
      <w:proofErr w:type="spellEnd"/>
      <w:r w:rsidR="002D28A4">
        <w:t xml:space="preserve"> = </w:t>
      </w:r>
      <w:r w:rsidRPr="007D1E77">
        <w:t>25.</w:t>
      </w:r>
      <w:r>
        <w:t>1</w:t>
      </w:r>
      <w:r w:rsidR="004D59E7">
        <w:t xml:space="preserve"> and 129.3 </w:t>
      </w:r>
      <w:r w:rsidR="00DE644C">
        <w:t>µ</w:t>
      </w:r>
      <w:proofErr w:type="spellStart"/>
      <w:r w:rsidRPr="007D1E77">
        <w:t>mol</w:t>
      </w:r>
      <w:proofErr w:type="spellEnd"/>
      <w:r w:rsidRPr="007D1E77">
        <w:t>/L</w:t>
      </w:r>
      <w:r>
        <w:t>, respectively)</w:t>
      </w:r>
      <w:r w:rsidRPr="007D1E77">
        <w:t xml:space="preserve">. Direct bilirubin showed minimal changes </w:t>
      </w:r>
      <w:r w:rsidR="00DE644C">
        <w:t>from Baseline</w:t>
      </w:r>
      <w:r w:rsidRPr="007D1E77">
        <w:t xml:space="preserve"> to the last assessment in </w:t>
      </w:r>
      <w:r w:rsidR="00157E63">
        <w:t>Study</w:t>
      </w:r>
      <w:r w:rsidRPr="007D1E77">
        <w:t xml:space="preserve"> LAL-CL01/LAL-CL04 and </w:t>
      </w:r>
      <w:r w:rsidR="00157E63">
        <w:t>Study</w:t>
      </w:r>
      <w:r>
        <w:t xml:space="preserve"> LAL-CL02, and increased </w:t>
      </w:r>
      <w:r w:rsidR="00DE644C">
        <w:t>from Baseline</w:t>
      </w:r>
      <w:r w:rsidR="004D59E7">
        <w:t xml:space="preserve"> (27 </w:t>
      </w:r>
      <w:r w:rsidR="00DE644C">
        <w:t>µ</w:t>
      </w:r>
      <w:proofErr w:type="spellStart"/>
      <w:r w:rsidRPr="007D1E77">
        <w:t>mol</w:t>
      </w:r>
      <w:proofErr w:type="spellEnd"/>
      <w:r w:rsidRPr="007D1E77">
        <w:t xml:space="preserve">/L) to the last assessment (71 </w:t>
      </w:r>
      <w:r w:rsidR="00DE644C">
        <w:t>µ</w:t>
      </w:r>
      <w:proofErr w:type="spellStart"/>
      <w:r w:rsidRPr="007D1E77">
        <w:t>mol</w:t>
      </w:r>
      <w:proofErr w:type="spellEnd"/>
      <w:r w:rsidRPr="007D1E77">
        <w:t xml:space="preserve">/L) in </w:t>
      </w:r>
      <w:r w:rsidR="00157E63">
        <w:t>Study</w:t>
      </w:r>
      <w:r w:rsidRPr="007D1E77">
        <w:t xml:space="preserve"> LAL-CL03. The analysis of </w:t>
      </w:r>
      <w:proofErr w:type="spellStart"/>
      <w:r w:rsidRPr="007D1E77">
        <w:t>DBil</w:t>
      </w:r>
      <w:proofErr w:type="spellEnd"/>
      <w:r w:rsidRPr="007D1E77">
        <w:t xml:space="preserve"> in </w:t>
      </w:r>
      <w:r w:rsidR="00157E63">
        <w:t>Study</w:t>
      </w:r>
      <w:r w:rsidRPr="007D1E77">
        <w:t xml:space="preserve"> LAL-CL03 </w:t>
      </w:r>
      <w:r>
        <w:t xml:space="preserve">was </w:t>
      </w:r>
      <w:r w:rsidRPr="007D1E77">
        <w:t xml:space="preserve">based on available data for only 3 subjects, 2 of whom died early in the course of treatment and had marked increases in </w:t>
      </w:r>
      <w:proofErr w:type="spellStart"/>
      <w:r w:rsidRPr="007D1E77">
        <w:t>DBil</w:t>
      </w:r>
      <w:proofErr w:type="spellEnd"/>
      <w:r w:rsidRPr="007D1E77">
        <w:t xml:space="preserve"> shortly prior to death; the other subje</w:t>
      </w:r>
      <w:r>
        <w:t xml:space="preserve">ct had a decrease in </w:t>
      </w:r>
      <w:proofErr w:type="spellStart"/>
      <w:r>
        <w:t>DBil</w:t>
      </w:r>
      <w:proofErr w:type="spellEnd"/>
      <w:r>
        <w:t xml:space="preserve"> </w:t>
      </w:r>
      <w:r w:rsidR="00DE644C">
        <w:t>from Baseline</w:t>
      </w:r>
      <w:r w:rsidRPr="007D1E77">
        <w:t xml:space="preserve"> to the last assessment.</w:t>
      </w:r>
    </w:p>
    <w:p w14:paraId="4C5DF6A5" w14:textId="77777777" w:rsidR="00787F40" w:rsidRDefault="00787F40" w:rsidP="00787F40">
      <w:pPr>
        <w:spacing w:before="0" w:line="240" w:lineRule="auto"/>
      </w:pPr>
      <w:r w:rsidRPr="007D1E77">
        <w:t>In the Pooled Safety Set overall, 1 subject (1/84; 1%) each had at least 1 ALT</w:t>
      </w:r>
      <w:r w:rsidRPr="007D1E77">
        <w:rPr>
          <w:rStyle w:val="FootnoteReference"/>
        </w:rPr>
        <w:footnoteReference w:id="42"/>
      </w:r>
      <w:r w:rsidRPr="007D1E77">
        <w:t>, AST</w:t>
      </w:r>
      <w:r w:rsidRPr="007D1E77">
        <w:rPr>
          <w:rStyle w:val="FootnoteReference"/>
        </w:rPr>
        <w:footnoteReference w:id="43"/>
      </w:r>
      <w:r w:rsidRPr="007D1E77">
        <w:t>, or GGT</w:t>
      </w:r>
      <w:r w:rsidRPr="007D1E77">
        <w:rPr>
          <w:rStyle w:val="FootnoteReference"/>
        </w:rPr>
        <w:footnoteReference w:id="44"/>
      </w:r>
      <w:r w:rsidRPr="007D1E77">
        <w:t xml:space="preserve"> value </w:t>
      </w:r>
      <w:r w:rsidR="00B73619">
        <w:t xml:space="preserve">&gt; </w:t>
      </w:r>
      <w:r w:rsidRPr="007D1E77">
        <w:t xml:space="preserve">5 </w:t>
      </w:r>
      <w:r w:rsidR="002D28A4">
        <w:t>x</w:t>
      </w:r>
      <w:r w:rsidRPr="007D1E77">
        <w:t xml:space="preserve"> ULN that was at least twice the highest pre</w:t>
      </w:r>
      <w:r w:rsidR="004D59E7">
        <w:t>-</w:t>
      </w:r>
      <w:r w:rsidRPr="007D1E77">
        <w:t>treatment value.</w:t>
      </w:r>
    </w:p>
    <w:p w14:paraId="4BCC0530" w14:textId="0A99EA3C" w:rsidR="004D59E7" w:rsidRPr="00951F3F" w:rsidRDefault="004D59E7" w:rsidP="00951F3F">
      <w:pPr>
        <w:pStyle w:val="Tabletitle"/>
      </w:pPr>
      <w:r w:rsidRPr="00951F3F">
        <w:lastRenderedPageBreak/>
        <w:t xml:space="preserve">Table </w:t>
      </w:r>
      <w:r w:rsidR="00FA48CC" w:rsidRPr="00951F3F">
        <w:t>29:</w:t>
      </w:r>
      <w:r w:rsidRPr="00951F3F">
        <w:t xml:space="preserve"> Changes </w:t>
      </w:r>
      <w:r w:rsidR="00DE644C">
        <w:t>from Baseline</w:t>
      </w:r>
      <w:r w:rsidRPr="00951F3F">
        <w:t xml:space="preserve"> to last assessment for select chemistry parameters, pooled safety set</w:t>
      </w:r>
    </w:p>
    <w:p w14:paraId="6CEFD5D5" w14:textId="77777777" w:rsidR="00951F3F" w:rsidRDefault="00951F3F" w:rsidP="00951F3F">
      <w:pPr>
        <w:rPr>
          <w:noProof/>
          <w:lang w:eastAsia="en-AU"/>
        </w:rPr>
      </w:pPr>
      <w:r w:rsidRPr="00951F3F">
        <w:rPr>
          <w:noProof/>
          <w:lang w:eastAsia="en-AU"/>
        </w:rPr>
        <w:drawing>
          <wp:inline distT="0" distB="0" distL="0" distR="0" wp14:anchorId="478F0CF7" wp14:editId="55F14721">
            <wp:extent cx="5731510" cy="4911586"/>
            <wp:effectExtent l="0" t="0" r="2540" b="3810"/>
            <wp:docPr id="21" name="Picture 21" descr="Table 29: Changes from baseline to last assessment for select chemistry parameters,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4911586"/>
                    </a:xfrm>
                    <a:prstGeom prst="rect">
                      <a:avLst/>
                    </a:prstGeom>
                  </pic:spPr>
                </pic:pic>
              </a:graphicData>
            </a:graphic>
          </wp:inline>
        </w:drawing>
      </w:r>
    </w:p>
    <w:p w14:paraId="47EB2C96" w14:textId="4A04E04B" w:rsidR="00951F3F" w:rsidRDefault="00951F3F" w:rsidP="00951F3F">
      <w:pPr>
        <w:pStyle w:val="Tabletitle"/>
      </w:pPr>
      <w:r w:rsidRPr="00951F3F">
        <w:lastRenderedPageBreak/>
        <w:t>Table 29</w:t>
      </w:r>
      <w:r>
        <w:t xml:space="preserve"> continued</w:t>
      </w:r>
      <w:r w:rsidRPr="00951F3F">
        <w:t xml:space="preserve">: Changes </w:t>
      </w:r>
      <w:r w:rsidR="00DE644C">
        <w:t>from Baseline</w:t>
      </w:r>
      <w:r w:rsidRPr="00951F3F">
        <w:t xml:space="preserve"> to last assessment for select chemistry parameters, pooled safety set</w:t>
      </w:r>
    </w:p>
    <w:p w14:paraId="241A5906" w14:textId="77777777" w:rsidR="00951F3F" w:rsidRPr="00951F3F" w:rsidRDefault="00951F3F" w:rsidP="00951F3F">
      <w:r w:rsidRPr="00951F3F">
        <w:rPr>
          <w:noProof/>
          <w:lang w:eastAsia="en-AU"/>
        </w:rPr>
        <w:t xml:space="preserve"> </w:t>
      </w:r>
      <w:r>
        <w:rPr>
          <w:noProof/>
          <w:lang w:eastAsia="en-AU"/>
        </w:rPr>
        <w:drawing>
          <wp:inline distT="0" distB="0" distL="0" distR="0" wp14:anchorId="2442B04E" wp14:editId="2D7268B8">
            <wp:extent cx="5731510" cy="6225057"/>
            <wp:effectExtent l="0" t="0" r="2540" b="4445"/>
            <wp:docPr id="22" name="Picture 22" descr="Table 29 continued: Changes from baseline to last assessment for select chemistry parameters,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6225057"/>
                    </a:xfrm>
                    <a:prstGeom prst="rect">
                      <a:avLst/>
                    </a:prstGeom>
                  </pic:spPr>
                </pic:pic>
              </a:graphicData>
            </a:graphic>
          </wp:inline>
        </w:drawing>
      </w:r>
    </w:p>
    <w:p w14:paraId="21D60F8D" w14:textId="78C21D47" w:rsidR="004D59E7" w:rsidRDefault="004D59E7" w:rsidP="004D59E7">
      <w:pPr>
        <w:pStyle w:val="Tabletitle"/>
      </w:pPr>
      <w:r>
        <w:lastRenderedPageBreak/>
        <w:t xml:space="preserve">Table </w:t>
      </w:r>
      <w:r w:rsidR="00FA48CC">
        <w:t>30:</w:t>
      </w:r>
      <w:r>
        <w:t xml:space="preserve"> Changes </w:t>
      </w:r>
      <w:r w:rsidR="00DE644C">
        <w:t>from Baseline</w:t>
      </w:r>
      <w:r>
        <w:t xml:space="preserve"> to last assessment for select chemistry parameters, by study</w:t>
      </w:r>
    </w:p>
    <w:p w14:paraId="2C1F5BEE" w14:textId="77777777" w:rsidR="004D59E7" w:rsidRPr="004D59E7" w:rsidRDefault="004D59E7" w:rsidP="004D59E7">
      <w:r>
        <w:rPr>
          <w:noProof/>
          <w:lang w:eastAsia="en-AU"/>
        </w:rPr>
        <w:drawing>
          <wp:inline distT="0" distB="0" distL="0" distR="0" wp14:anchorId="19282028" wp14:editId="336652AF">
            <wp:extent cx="5715000" cy="7753350"/>
            <wp:effectExtent l="0" t="0" r="0" b="0"/>
            <wp:docPr id="46" name="Picture 46" descr="Table 30: Changes from baseline to last assessment for select chemistry parameters,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25000"/>
                              </a14:imgEffect>
                              <a14:imgEffect>
                                <a14:brightnessContrast contrast="-40000"/>
                              </a14:imgEffect>
                            </a14:imgLayer>
                          </a14:imgProps>
                        </a:ext>
                      </a:extLst>
                    </a:blip>
                    <a:stretch>
                      <a:fillRect/>
                    </a:stretch>
                  </pic:blipFill>
                  <pic:spPr>
                    <a:xfrm>
                      <a:off x="0" y="0"/>
                      <a:ext cx="5715000" cy="7753350"/>
                    </a:xfrm>
                    <a:prstGeom prst="rect">
                      <a:avLst/>
                    </a:prstGeom>
                  </pic:spPr>
                </pic:pic>
              </a:graphicData>
            </a:graphic>
          </wp:inline>
        </w:drawing>
      </w:r>
    </w:p>
    <w:p w14:paraId="4A168CC8" w14:textId="77777777" w:rsidR="00787F40" w:rsidRPr="00C2074B" w:rsidRDefault="00787F40" w:rsidP="00E66350">
      <w:pPr>
        <w:pStyle w:val="Heading5"/>
      </w:pPr>
      <w:r w:rsidRPr="00C2074B">
        <w:t>Pivotal and/or main efficacy studies</w:t>
      </w:r>
    </w:p>
    <w:p w14:paraId="5E23ADE5" w14:textId="77777777" w:rsidR="00B73619" w:rsidRDefault="00787F40" w:rsidP="00787F40">
      <w:pPr>
        <w:spacing w:before="0" w:line="240" w:lineRule="auto"/>
        <w:rPr>
          <w:lang w:eastAsia="ja-JP"/>
        </w:rPr>
      </w:pPr>
      <w:r>
        <w:rPr>
          <w:lang w:eastAsia="ja-JP"/>
        </w:rPr>
        <w:t>Refer section 8.5.1.1 above</w:t>
      </w:r>
      <w:r w:rsidR="00B73619">
        <w:rPr>
          <w:lang w:eastAsia="ja-JP"/>
        </w:rPr>
        <w:t>.</w:t>
      </w:r>
    </w:p>
    <w:p w14:paraId="19D310D9" w14:textId="77777777" w:rsidR="00787F40" w:rsidRPr="00C2074B" w:rsidRDefault="00787F40" w:rsidP="00E66350">
      <w:pPr>
        <w:pStyle w:val="Heading5"/>
      </w:pPr>
      <w:r w:rsidRPr="00C2074B">
        <w:lastRenderedPageBreak/>
        <w:t>Other studies</w:t>
      </w:r>
    </w:p>
    <w:p w14:paraId="513A0276" w14:textId="77777777" w:rsidR="00B73619" w:rsidRDefault="00787F40" w:rsidP="00787F40">
      <w:pPr>
        <w:spacing w:before="0" w:line="240" w:lineRule="auto"/>
        <w:rPr>
          <w:lang w:eastAsia="ja-JP"/>
        </w:rPr>
      </w:pPr>
      <w:r>
        <w:rPr>
          <w:lang w:eastAsia="ja-JP"/>
        </w:rPr>
        <w:t>Refer section 8.5.1.1 above</w:t>
      </w:r>
      <w:r w:rsidR="00B73619">
        <w:rPr>
          <w:lang w:eastAsia="ja-JP"/>
        </w:rPr>
        <w:t>.</w:t>
      </w:r>
    </w:p>
    <w:p w14:paraId="397D5A76" w14:textId="77777777" w:rsidR="00787F40" w:rsidRPr="00545B14" w:rsidRDefault="00787F40" w:rsidP="00E66350">
      <w:pPr>
        <w:pStyle w:val="Heading4"/>
      </w:pPr>
      <w:bookmarkStart w:id="387" w:name="_Toc272414670"/>
      <w:bookmarkStart w:id="388" w:name="_Toc290888534"/>
      <w:bookmarkStart w:id="389" w:name="_Toc416353750"/>
      <w:bookmarkStart w:id="390" w:name="_Toc421005293"/>
      <w:bookmarkStart w:id="391" w:name="_Toc432079170"/>
      <w:bookmarkStart w:id="392" w:name="_Toc432080743"/>
      <w:bookmarkStart w:id="393" w:name="_Toc468957494"/>
      <w:r>
        <w:t xml:space="preserve">Renal </w:t>
      </w:r>
      <w:r w:rsidRPr="00545B14">
        <w:t>function</w:t>
      </w:r>
      <w:bookmarkEnd w:id="387"/>
      <w:bookmarkEnd w:id="388"/>
      <w:bookmarkEnd w:id="389"/>
      <w:bookmarkEnd w:id="390"/>
      <w:r>
        <w:t xml:space="preserve"> and renal toxicity</w:t>
      </w:r>
      <w:bookmarkEnd w:id="391"/>
      <w:bookmarkEnd w:id="392"/>
      <w:bookmarkEnd w:id="393"/>
    </w:p>
    <w:p w14:paraId="1904226F" w14:textId="77777777" w:rsidR="00787F40" w:rsidRDefault="00787F40" w:rsidP="00E66350">
      <w:pPr>
        <w:pStyle w:val="Heading5"/>
      </w:pPr>
      <w:r>
        <w:t>I</w:t>
      </w:r>
      <w:r w:rsidRPr="002B7B05">
        <w:t>ntegrated safety analyses</w:t>
      </w:r>
    </w:p>
    <w:p w14:paraId="4EA9AD54" w14:textId="77777777" w:rsidR="00B73619" w:rsidRDefault="00787F40" w:rsidP="00787F40">
      <w:pPr>
        <w:spacing w:before="0" w:line="240" w:lineRule="auto"/>
        <w:rPr>
          <w:lang w:eastAsia="ja-JP"/>
        </w:rPr>
      </w:pPr>
      <w:r>
        <w:rPr>
          <w:lang w:eastAsia="ja-JP"/>
        </w:rPr>
        <w:t>No specific trends were observed regarding renal function in the pooled safety sets</w:t>
      </w:r>
      <w:r w:rsidR="00B73619">
        <w:rPr>
          <w:lang w:eastAsia="ja-JP"/>
        </w:rPr>
        <w:t>.</w:t>
      </w:r>
    </w:p>
    <w:p w14:paraId="5E6B4169" w14:textId="77777777" w:rsidR="00787F40" w:rsidRPr="00C2074B" w:rsidRDefault="00787F40" w:rsidP="00E66350">
      <w:pPr>
        <w:pStyle w:val="Heading5"/>
      </w:pPr>
      <w:r>
        <w:t>Main/p</w:t>
      </w:r>
      <w:r w:rsidRPr="00C2074B">
        <w:t>ivotal studies that assessed safety as the sole primary outcome</w:t>
      </w:r>
    </w:p>
    <w:p w14:paraId="53B94770" w14:textId="77777777" w:rsidR="00B73619" w:rsidRDefault="00787F40" w:rsidP="00787F40">
      <w:pPr>
        <w:spacing w:before="0" w:line="240" w:lineRule="auto"/>
        <w:rPr>
          <w:lang w:eastAsia="ja-JP"/>
        </w:rPr>
      </w:pPr>
      <w:r>
        <w:rPr>
          <w:lang w:eastAsia="ja-JP"/>
        </w:rPr>
        <w:t>Not applicable</w:t>
      </w:r>
      <w:r w:rsidR="00B73619">
        <w:rPr>
          <w:lang w:eastAsia="ja-JP"/>
        </w:rPr>
        <w:t>.</w:t>
      </w:r>
    </w:p>
    <w:p w14:paraId="05F67BEB" w14:textId="77777777" w:rsidR="00787F40" w:rsidRPr="00C2074B" w:rsidRDefault="00787F40" w:rsidP="00E66350">
      <w:pPr>
        <w:pStyle w:val="Heading5"/>
      </w:pPr>
      <w:r w:rsidRPr="00C2074B">
        <w:t>Pivotal and/or main efficacy studies</w:t>
      </w:r>
    </w:p>
    <w:p w14:paraId="5BFC8CE2" w14:textId="77777777" w:rsidR="00B73619" w:rsidRDefault="00787F40" w:rsidP="00787F40">
      <w:pPr>
        <w:spacing w:before="0" w:line="240" w:lineRule="auto"/>
        <w:rPr>
          <w:lang w:eastAsia="ja-JP"/>
        </w:rPr>
      </w:pPr>
      <w:r>
        <w:rPr>
          <w:lang w:eastAsia="ja-JP"/>
        </w:rPr>
        <w:t xml:space="preserve">In </w:t>
      </w:r>
      <w:r w:rsidR="00157E63">
        <w:rPr>
          <w:lang w:eastAsia="ja-JP"/>
        </w:rPr>
        <w:t>Study</w:t>
      </w:r>
      <w:r>
        <w:rPr>
          <w:lang w:eastAsia="ja-JP"/>
        </w:rPr>
        <w:t xml:space="preserve"> LAL-CL02, no specific trends were observed regarding renal function</w:t>
      </w:r>
      <w:r w:rsidR="00B73619">
        <w:rPr>
          <w:lang w:eastAsia="ja-JP"/>
        </w:rPr>
        <w:t>.</w:t>
      </w:r>
    </w:p>
    <w:p w14:paraId="02B5A1E2" w14:textId="77777777" w:rsidR="00787F40" w:rsidRPr="00C2074B" w:rsidRDefault="00787F40" w:rsidP="00E66350">
      <w:pPr>
        <w:pStyle w:val="Heading5"/>
      </w:pPr>
      <w:r w:rsidRPr="00C2074B">
        <w:t>Other studies</w:t>
      </w:r>
    </w:p>
    <w:p w14:paraId="0D0FFE2C" w14:textId="77777777" w:rsidR="00B73619" w:rsidRDefault="00787F40" w:rsidP="00787F40">
      <w:pPr>
        <w:spacing w:before="0" w:line="240" w:lineRule="auto"/>
        <w:rPr>
          <w:rFonts w:asciiTheme="minorHAnsi" w:hAnsiTheme="minorHAnsi"/>
          <w:lang w:eastAsia="ja-JP"/>
        </w:rPr>
      </w:pPr>
      <w:r>
        <w:rPr>
          <w:lang w:eastAsia="ja-JP"/>
        </w:rPr>
        <w:t xml:space="preserve">No specific </w:t>
      </w:r>
      <w:r w:rsidRPr="003056B6">
        <w:rPr>
          <w:rFonts w:asciiTheme="minorHAnsi" w:hAnsiTheme="minorHAnsi"/>
          <w:lang w:eastAsia="ja-JP"/>
        </w:rPr>
        <w:t xml:space="preserve">trends were observed regarding renal function in the other </w:t>
      </w:r>
      <w:r w:rsidR="00B73619">
        <w:rPr>
          <w:rFonts w:asciiTheme="minorHAnsi" w:hAnsiTheme="minorHAnsi"/>
          <w:lang w:eastAsia="ja-JP"/>
        </w:rPr>
        <w:t>open label</w:t>
      </w:r>
      <w:r w:rsidRPr="003056B6">
        <w:rPr>
          <w:rFonts w:asciiTheme="minorHAnsi" w:hAnsiTheme="minorHAnsi"/>
          <w:lang w:eastAsia="ja-JP"/>
        </w:rPr>
        <w:t>, uncontrolled studies (LAL-CL03; LAL-CL01/LAL-CL04)</w:t>
      </w:r>
      <w:r w:rsidR="00B73619">
        <w:rPr>
          <w:rFonts w:asciiTheme="minorHAnsi" w:hAnsiTheme="minorHAnsi"/>
          <w:lang w:eastAsia="ja-JP"/>
        </w:rPr>
        <w:t>.</w:t>
      </w:r>
    </w:p>
    <w:p w14:paraId="399691C3" w14:textId="77777777" w:rsidR="00787F40" w:rsidRPr="003056B6" w:rsidRDefault="00787F40" w:rsidP="00E66350">
      <w:pPr>
        <w:pStyle w:val="Heading4"/>
      </w:pPr>
      <w:bookmarkStart w:id="394" w:name="_Toc272414671"/>
      <w:bookmarkStart w:id="395" w:name="_Toc290888535"/>
      <w:bookmarkStart w:id="396" w:name="_Toc416353751"/>
      <w:bookmarkStart w:id="397" w:name="_Toc421005294"/>
      <w:bookmarkStart w:id="398" w:name="_Toc432079171"/>
      <w:bookmarkStart w:id="399" w:name="_Toc432080744"/>
      <w:bookmarkStart w:id="400" w:name="_Toc468957495"/>
      <w:r w:rsidRPr="003056B6">
        <w:t>Other clinical chemistry</w:t>
      </w:r>
      <w:bookmarkEnd w:id="394"/>
      <w:bookmarkEnd w:id="395"/>
      <w:bookmarkEnd w:id="396"/>
      <w:bookmarkEnd w:id="397"/>
      <w:bookmarkEnd w:id="398"/>
      <w:bookmarkEnd w:id="399"/>
      <w:bookmarkEnd w:id="400"/>
    </w:p>
    <w:p w14:paraId="6062C404" w14:textId="77777777" w:rsidR="00787F40" w:rsidRPr="003056B6" w:rsidRDefault="00787F40" w:rsidP="00E66350">
      <w:pPr>
        <w:pStyle w:val="Heading5"/>
      </w:pPr>
      <w:r w:rsidRPr="003056B6">
        <w:t>Integrated safety analyses</w:t>
      </w:r>
    </w:p>
    <w:p w14:paraId="4806A45F" w14:textId="78C1E0E0" w:rsidR="00787F40" w:rsidRPr="003056B6" w:rsidRDefault="00787F40" w:rsidP="00787F40">
      <w:pPr>
        <w:spacing w:before="0" w:line="240" w:lineRule="auto"/>
        <w:rPr>
          <w:rFonts w:asciiTheme="minorHAnsi" w:hAnsiTheme="minorHAnsi"/>
        </w:rPr>
      </w:pPr>
      <w:r w:rsidRPr="003056B6">
        <w:rPr>
          <w:rFonts w:asciiTheme="minorHAnsi" w:hAnsiTheme="minorHAnsi"/>
        </w:rPr>
        <w:t xml:space="preserve">A transient increase in serum lipids (LDL-C, triglycerides, total cholesterol, and/or non-HDL cholesterol) was noted following initiation of </w:t>
      </w:r>
      <w:proofErr w:type="spellStart"/>
      <w:r w:rsidRPr="003056B6">
        <w:rPr>
          <w:rFonts w:asciiTheme="minorHAnsi" w:hAnsiTheme="minorHAnsi"/>
        </w:rPr>
        <w:t>sebelipase</w:t>
      </w:r>
      <w:proofErr w:type="spellEnd"/>
      <w:r w:rsidRPr="003056B6">
        <w:rPr>
          <w:rFonts w:asciiTheme="minorHAnsi" w:hAnsiTheme="minorHAnsi"/>
        </w:rPr>
        <w:t xml:space="preserve"> alfa therapy. From </w:t>
      </w:r>
      <w:r>
        <w:rPr>
          <w:rFonts w:asciiTheme="minorHAnsi" w:hAnsiTheme="minorHAnsi"/>
        </w:rPr>
        <w:t>b</w:t>
      </w:r>
      <w:r w:rsidRPr="003056B6">
        <w:rPr>
          <w:rFonts w:asciiTheme="minorHAnsi" w:hAnsiTheme="minorHAnsi"/>
        </w:rPr>
        <w:t xml:space="preserve">aseline to the last assessment, total cholesterol, LDL-C and triglyceride values decreased and HDL-C values increased for subjects in the Pooled Safety Set </w:t>
      </w:r>
      <w:r w:rsidRPr="00FA48CC">
        <w:rPr>
          <w:rFonts w:asciiTheme="minorHAnsi" w:hAnsiTheme="minorHAnsi"/>
        </w:rPr>
        <w:t>(</w:t>
      </w:r>
      <w:r w:rsidR="004D59E7" w:rsidRPr="00FA48CC">
        <w:rPr>
          <w:rFonts w:asciiTheme="minorHAnsi" w:hAnsiTheme="minorHAnsi"/>
        </w:rPr>
        <w:t>Table</w:t>
      </w:r>
      <w:r w:rsidR="00FA48CC" w:rsidRPr="00FA48CC">
        <w:rPr>
          <w:rFonts w:asciiTheme="minorHAnsi" w:hAnsiTheme="minorHAnsi"/>
        </w:rPr>
        <w:t>s</w:t>
      </w:r>
      <w:r w:rsidR="004D59E7" w:rsidRPr="00FA48CC">
        <w:rPr>
          <w:rFonts w:asciiTheme="minorHAnsi" w:hAnsiTheme="minorHAnsi"/>
        </w:rPr>
        <w:t xml:space="preserve"> </w:t>
      </w:r>
      <w:r w:rsidR="00FA48CC" w:rsidRPr="00FA48CC">
        <w:rPr>
          <w:rFonts w:asciiTheme="minorHAnsi" w:hAnsiTheme="minorHAnsi"/>
        </w:rPr>
        <w:t>29 and 30</w:t>
      </w:r>
      <w:r w:rsidRPr="00FA48CC">
        <w:rPr>
          <w:rFonts w:asciiTheme="minorHAnsi" w:hAnsiTheme="minorHAnsi"/>
        </w:rPr>
        <w:t xml:space="preserve">). </w:t>
      </w:r>
      <w:r w:rsidRPr="003056B6">
        <w:rPr>
          <w:rFonts w:asciiTheme="minorHAnsi" w:hAnsiTheme="minorHAnsi"/>
        </w:rPr>
        <w:t xml:space="preserve">All of these changes were consistent with an improvement in underlying disease and did not represent a safety concern for </w:t>
      </w:r>
      <w:proofErr w:type="spellStart"/>
      <w:r w:rsidRPr="003056B6">
        <w:rPr>
          <w:rFonts w:asciiTheme="minorHAnsi" w:hAnsiTheme="minorHAnsi"/>
        </w:rPr>
        <w:t>sebelipase</w:t>
      </w:r>
      <w:proofErr w:type="spellEnd"/>
      <w:r w:rsidRPr="003056B6">
        <w:rPr>
          <w:rFonts w:asciiTheme="minorHAnsi" w:hAnsiTheme="minorHAnsi"/>
        </w:rPr>
        <w:t xml:space="preserve"> alfa. Median total cholesterol, LDL-C, and triglyceride levels decreased </w:t>
      </w:r>
      <w:r w:rsidR="00DE644C">
        <w:rPr>
          <w:rFonts w:asciiTheme="minorHAnsi" w:hAnsiTheme="minorHAnsi"/>
        </w:rPr>
        <w:t>from Baseline</w:t>
      </w:r>
      <w:r w:rsidRPr="003056B6">
        <w:rPr>
          <w:rFonts w:asciiTheme="minorHAnsi" w:hAnsiTheme="minorHAnsi"/>
        </w:rPr>
        <w:t xml:space="preserve"> to the last assessment across all studies. Increases in median HDL-C were noted </w:t>
      </w:r>
      <w:r w:rsidR="00DE644C">
        <w:rPr>
          <w:rFonts w:asciiTheme="minorHAnsi" w:hAnsiTheme="minorHAnsi"/>
        </w:rPr>
        <w:t>from Baseline</w:t>
      </w:r>
      <w:r w:rsidRPr="003056B6">
        <w:rPr>
          <w:rFonts w:asciiTheme="minorHAnsi" w:hAnsiTheme="minorHAnsi"/>
        </w:rPr>
        <w:t xml:space="preserve"> to last assessment in all studies, and were most pronounced in </w:t>
      </w:r>
      <w:r w:rsidR="00157E63">
        <w:rPr>
          <w:rFonts w:asciiTheme="minorHAnsi" w:hAnsiTheme="minorHAnsi"/>
        </w:rPr>
        <w:t>Study</w:t>
      </w:r>
      <w:r w:rsidRPr="003056B6">
        <w:rPr>
          <w:rFonts w:asciiTheme="minorHAnsi" w:hAnsiTheme="minorHAnsi"/>
        </w:rPr>
        <w:t xml:space="preserve"> LAL-CL03 (median increase</w:t>
      </w:r>
      <w:r w:rsidR="002D28A4">
        <w:rPr>
          <w:rFonts w:asciiTheme="minorHAnsi" w:hAnsiTheme="minorHAnsi"/>
        </w:rPr>
        <w:t xml:space="preserve"> = </w:t>
      </w:r>
      <w:r w:rsidRPr="003056B6">
        <w:rPr>
          <w:rFonts w:asciiTheme="minorHAnsi" w:hAnsiTheme="minorHAnsi"/>
        </w:rPr>
        <w:t xml:space="preserve">0.30 </w:t>
      </w:r>
      <w:proofErr w:type="spellStart"/>
      <w:r w:rsidRPr="003056B6">
        <w:rPr>
          <w:rFonts w:asciiTheme="minorHAnsi" w:hAnsiTheme="minorHAnsi"/>
        </w:rPr>
        <w:t>mmol</w:t>
      </w:r>
      <w:proofErr w:type="spellEnd"/>
      <w:r w:rsidRPr="003056B6">
        <w:rPr>
          <w:rFonts w:asciiTheme="minorHAnsi" w:hAnsiTheme="minorHAnsi"/>
        </w:rPr>
        <w:t xml:space="preserve">/L) and </w:t>
      </w:r>
      <w:r w:rsidR="00157E63">
        <w:rPr>
          <w:rFonts w:asciiTheme="minorHAnsi" w:hAnsiTheme="minorHAnsi"/>
        </w:rPr>
        <w:t>Study</w:t>
      </w:r>
      <w:r w:rsidRPr="003056B6">
        <w:rPr>
          <w:rFonts w:asciiTheme="minorHAnsi" w:hAnsiTheme="minorHAnsi"/>
        </w:rPr>
        <w:t xml:space="preserve"> LAL-CL01/LAL-CL04 (median increase</w:t>
      </w:r>
      <w:r w:rsidR="004D59E7">
        <w:rPr>
          <w:rFonts w:asciiTheme="minorHAnsi" w:hAnsiTheme="minorHAnsi"/>
        </w:rPr>
        <w:t> = 0.25 </w:t>
      </w:r>
      <w:proofErr w:type="spellStart"/>
      <w:r w:rsidRPr="003056B6">
        <w:rPr>
          <w:rFonts w:asciiTheme="minorHAnsi" w:hAnsiTheme="minorHAnsi"/>
        </w:rPr>
        <w:t>mmol</w:t>
      </w:r>
      <w:proofErr w:type="spellEnd"/>
      <w:r w:rsidRPr="003056B6">
        <w:rPr>
          <w:rFonts w:asciiTheme="minorHAnsi" w:hAnsiTheme="minorHAnsi"/>
        </w:rPr>
        <w:t xml:space="preserve">/L). These results are consistent with the known mechanism of </w:t>
      </w:r>
      <w:proofErr w:type="spellStart"/>
      <w:r w:rsidRPr="003056B6">
        <w:rPr>
          <w:rFonts w:asciiTheme="minorHAnsi" w:hAnsiTheme="minorHAnsi"/>
        </w:rPr>
        <w:t>sebelipase</w:t>
      </w:r>
      <w:proofErr w:type="spellEnd"/>
      <w:r w:rsidRPr="003056B6">
        <w:rPr>
          <w:rFonts w:asciiTheme="minorHAnsi" w:hAnsiTheme="minorHAnsi"/>
        </w:rPr>
        <w:t xml:space="preserve"> alfa and are also influenced by the varying clinical presentation in subjects with LAL Deficiency enrolled across the studies. No definitive associations were noted in the analysis of changes </w:t>
      </w:r>
      <w:r w:rsidR="00DE644C">
        <w:rPr>
          <w:rFonts w:asciiTheme="minorHAnsi" w:hAnsiTheme="minorHAnsi"/>
        </w:rPr>
        <w:t>from Baseline</w:t>
      </w:r>
      <w:r w:rsidRPr="003056B6">
        <w:rPr>
          <w:rFonts w:asciiTheme="minorHAnsi" w:hAnsiTheme="minorHAnsi"/>
        </w:rPr>
        <w:t xml:space="preserve"> in chemistry parameters by various subgroups (according to age, gender, race or baseline LLM use). No subject met the criteria for total cholesterol </w:t>
      </w:r>
      <w:r w:rsidR="00B73619">
        <w:rPr>
          <w:rFonts w:asciiTheme="minorHAnsi" w:hAnsiTheme="minorHAnsi"/>
        </w:rPr>
        <w:t xml:space="preserve">&gt; </w:t>
      </w:r>
      <w:r w:rsidRPr="003056B6">
        <w:rPr>
          <w:rFonts w:asciiTheme="minorHAnsi" w:hAnsiTheme="minorHAnsi"/>
        </w:rPr>
        <w:t xml:space="preserve">10.36 </w:t>
      </w:r>
      <w:proofErr w:type="spellStart"/>
      <w:r w:rsidRPr="003056B6">
        <w:rPr>
          <w:rFonts w:asciiTheme="minorHAnsi" w:hAnsiTheme="minorHAnsi"/>
        </w:rPr>
        <w:t>mmol</w:t>
      </w:r>
      <w:proofErr w:type="spellEnd"/>
      <w:r w:rsidRPr="003056B6">
        <w:rPr>
          <w:rFonts w:asciiTheme="minorHAnsi" w:hAnsiTheme="minorHAnsi"/>
        </w:rPr>
        <w:t>/L (</w:t>
      </w:r>
      <w:r w:rsidR="00B73619">
        <w:rPr>
          <w:rFonts w:asciiTheme="minorHAnsi" w:hAnsiTheme="minorHAnsi"/>
        </w:rPr>
        <w:t>&gt;</w:t>
      </w:r>
      <w:r w:rsidR="004D59E7">
        <w:rPr>
          <w:rFonts w:asciiTheme="minorHAnsi" w:hAnsiTheme="minorHAnsi"/>
        </w:rPr>
        <w:t> 400 </w:t>
      </w:r>
      <w:r w:rsidRPr="003056B6">
        <w:rPr>
          <w:rFonts w:asciiTheme="minorHAnsi" w:hAnsiTheme="minorHAnsi"/>
        </w:rPr>
        <w:t>mg/</w:t>
      </w:r>
      <w:proofErr w:type="spellStart"/>
      <w:r w:rsidRPr="003056B6">
        <w:rPr>
          <w:rFonts w:asciiTheme="minorHAnsi" w:hAnsiTheme="minorHAnsi"/>
        </w:rPr>
        <w:t>dL</w:t>
      </w:r>
      <w:proofErr w:type="spellEnd"/>
      <w:r w:rsidRPr="003056B6">
        <w:rPr>
          <w:rFonts w:asciiTheme="minorHAnsi" w:hAnsiTheme="minorHAnsi"/>
        </w:rPr>
        <w:t xml:space="preserve">) with at least a 50% increase from the </w:t>
      </w:r>
      <w:r>
        <w:rPr>
          <w:rFonts w:asciiTheme="minorHAnsi" w:hAnsiTheme="minorHAnsi"/>
        </w:rPr>
        <w:t>b</w:t>
      </w:r>
      <w:r w:rsidRPr="003056B6">
        <w:rPr>
          <w:rFonts w:asciiTheme="minorHAnsi" w:hAnsiTheme="minorHAnsi"/>
        </w:rPr>
        <w:t xml:space="preserve">aseline value for 2 consecutive assessments, or triglycerides </w:t>
      </w:r>
      <w:r w:rsidR="00B73619">
        <w:rPr>
          <w:rFonts w:asciiTheme="minorHAnsi" w:hAnsiTheme="minorHAnsi"/>
        </w:rPr>
        <w:t>&gt;</w:t>
      </w:r>
      <w:r w:rsidR="00CC672B">
        <w:rPr>
          <w:rFonts w:asciiTheme="minorHAnsi" w:hAnsiTheme="minorHAnsi"/>
        </w:rPr>
        <w:t xml:space="preserve"> </w:t>
      </w:r>
      <w:r w:rsidRPr="003056B6">
        <w:rPr>
          <w:rFonts w:asciiTheme="minorHAnsi" w:hAnsiTheme="minorHAnsi"/>
        </w:rPr>
        <w:t xml:space="preserve">9.04 </w:t>
      </w:r>
      <w:proofErr w:type="spellStart"/>
      <w:r w:rsidRPr="003056B6">
        <w:rPr>
          <w:rFonts w:asciiTheme="minorHAnsi" w:hAnsiTheme="minorHAnsi"/>
        </w:rPr>
        <w:t>mmol</w:t>
      </w:r>
      <w:proofErr w:type="spellEnd"/>
      <w:r w:rsidRPr="003056B6">
        <w:rPr>
          <w:rFonts w:asciiTheme="minorHAnsi" w:hAnsiTheme="minorHAnsi"/>
        </w:rPr>
        <w:t>/L (</w:t>
      </w:r>
      <w:r w:rsidR="00B73619">
        <w:rPr>
          <w:rFonts w:asciiTheme="minorHAnsi" w:hAnsiTheme="minorHAnsi"/>
        </w:rPr>
        <w:t>&gt;</w:t>
      </w:r>
      <w:r w:rsidR="00CC672B">
        <w:rPr>
          <w:rFonts w:asciiTheme="minorHAnsi" w:hAnsiTheme="minorHAnsi"/>
        </w:rPr>
        <w:t xml:space="preserve"> </w:t>
      </w:r>
      <w:r w:rsidRPr="003056B6">
        <w:rPr>
          <w:rFonts w:asciiTheme="minorHAnsi" w:hAnsiTheme="minorHAnsi"/>
        </w:rPr>
        <w:t>800 mg/</w:t>
      </w:r>
      <w:proofErr w:type="spellStart"/>
      <w:r w:rsidRPr="003056B6">
        <w:rPr>
          <w:rFonts w:asciiTheme="minorHAnsi" w:hAnsiTheme="minorHAnsi"/>
        </w:rPr>
        <w:t>dL</w:t>
      </w:r>
      <w:proofErr w:type="spellEnd"/>
      <w:r w:rsidRPr="003056B6">
        <w:rPr>
          <w:rFonts w:asciiTheme="minorHAnsi" w:hAnsiTheme="minorHAnsi"/>
        </w:rPr>
        <w:t>) at any assessment.</w:t>
      </w:r>
    </w:p>
    <w:p w14:paraId="41DC9EF6" w14:textId="77777777" w:rsidR="00787F40" w:rsidRPr="003056B6" w:rsidRDefault="00787F40" w:rsidP="00E66350">
      <w:pPr>
        <w:pStyle w:val="Heading5"/>
      </w:pPr>
      <w:r w:rsidRPr="003056B6">
        <w:t>Pivotal and/or main efficacy studies</w:t>
      </w:r>
    </w:p>
    <w:p w14:paraId="47CB2406" w14:textId="77777777" w:rsidR="00787F40" w:rsidRPr="003056B6" w:rsidRDefault="00787F40" w:rsidP="00787F40">
      <w:pPr>
        <w:autoSpaceDE w:val="0"/>
        <w:autoSpaceDN w:val="0"/>
        <w:adjustRightInd w:val="0"/>
        <w:spacing w:before="0" w:line="240" w:lineRule="auto"/>
        <w:rPr>
          <w:rFonts w:asciiTheme="minorHAnsi" w:eastAsiaTheme="minorHAnsi" w:hAnsiTheme="minorHAnsi" w:cs="TimesNewRomanPSMT"/>
        </w:rPr>
      </w:pPr>
      <w:r w:rsidRPr="003056B6">
        <w:rPr>
          <w:rFonts w:asciiTheme="minorHAnsi" w:eastAsiaTheme="minorHAnsi" w:hAnsiTheme="minorHAnsi" w:cs="TimesNewRomanPSMT"/>
        </w:rPr>
        <w:t>Refer to section 8.5.3.1 above.</w:t>
      </w:r>
    </w:p>
    <w:p w14:paraId="5731E028" w14:textId="77777777" w:rsidR="00787F40" w:rsidRPr="003056B6" w:rsidRDefault="00787F40" w:rsidP="00E66350">
      <w:pPr>
        <w:pStyle w:val="Heading5"/>
      </w:pPr>
      <w:r w:rsidRPr="003056B6">
        <w:t>Other studies</w:t>
      </w:r>
    </w:p>
    <w:p w14:paraId="2F71408A" w14:textId="77777777" w:rsidR="00B73619" w:rsidRDefault="00787F40" w:rsidP="00787F40">
      <w:pPr>
        <w:autoSpaceDE w:val="0"/>
        <w:autoSpaceDN w:val="0"/>
        <w:adjustRightInd w:val="0"/>
        <w:spacing w:before="0" w:line="240" w:lineRule="auto"/>
        <w:rPr>
          <w:rFonts w:asciiTheme="minorHAnsi" w:eastAsiaTheme="minorHAnsi" w:hAnsiTheme="minorHAnsi" w:cs="TimesNewRomanPSMT"/>
        </w:rPr>
      </w:pPr>
      <w:bookmarkStart w:id="401" w:name="_Toc272414672"/>
      <w:bookmarkStart w:id="402" w:name="_Toc290888536"/>
      <w:bookmarkStart w:id="403" w:name="_Toc416353752"/>
      <w:bookmarkStart w:id="404" w:name="_Toc421005295"/>
      <w:bookmarkStart w:id="405" w:name="_Toc432079172"/>
      <w:bookmarkStart w:id="406" w:name="_Toc432080745"/>
      <w:r w:rsidRPr="003056B6">
        <w:rPr>
          <w:rFonts w:asciiTheme="minorHAnsi" w:eastAsiaTheme="minorHAnsi" w:hAnsiTheme="minorHAnsi" w:cs="TimesNewRomanPSMT"/>
        </w:rPr>
        <w:t>Refer to section 8.5.3.1 above</w:t>
      </w:r>
      <w:r w:rsidR="00B73619">
        <w:rPr>
          <w:rFonts w:asciiTheme="minorHAnsi" w:eastAsiaTheme="minorHAnsi" w:hAnsiTheme="minorHAnsi" w:cs="TimesNewRomanPSMT"/>
        </w:rPr>
        <w:t>.</w:t>
      </w:r>
    </w:p>
    <w:p w14:paraId="26C5B817" w14:textId="77777777" w:rsidR="00787F40" w:rsidRPr="003056B6" w:rsidRDefault="00787F40" w:rsidP="00E66350">
      <w:pPr>
        <w:pStyle w:val="Heading4"/>
      </w:pPr>
      <w:bookmarkStart w:id="407" w:name="_Toc468957496"/>
      <w:r w:rsidRPr="003056B6">
        <w:t>Haematology</w:t>
      </w:r>
      <w:bookmarkEnd w:id="401"/>
      <w:bookmarkEnd w:id="402"/>
      <w:bookmarkEnd w:id="403"/>
      <w:bookmarkEnd w:id="404"/>
      <w:r w:rsidRPr="003056B6">
        <w:t xml:space="preserve"> and haematological toxicity</w:t>
      </w:r>
      <w:bookmarkEnd w:id="405"/>
      <w:bookmarkEnd w:id="406"/>
      <w:bookmarkEnd w:id="407"/>
    </w:p>
    <w:p w14:paraId="0A34088D" w14:textId="77777777" w:rsidR="00787F40" w:rsidRPr="003056B6" w:rsidRDefault="00787F40" w:rsidP="00E66350">
      <w:pPr>
        <w:pStyle w:val="Heading5"/>
      </w:pPr>
      <w:r w:rsidRPr="003056B6">
        <w:t>Integrated safety analyses</w:t>
      </w:r>
    </w:p>
    <w:p w14:paraId="0938B390" w14:textId="4EC73561" w:rsidR="00787F40" w:rsidRDefault="00787F40" w:rsidP="00787F40">
      <w:pPr>
        <w:spacing w:before="0" w:line="240" w:lineRule="auto"/>
        <w:rPr>
          <w:rFonts w:asciiTheme="minorHAnsi" w:hAnsiTheme="minorHAnsi"/>
        </w:rPr>
      </w:pPr>
      <w:r w:rsidRPr="003056B6">
        <w:rPr>
          <w:rFonts w:asciiTheme="minorHAnsi" w:hAnsiTheme="minorHAnsi"/>
        </w:rPr>
        <w:t xml:space="preserve">Overall, mean values for RBC count, haemoglobin, haematocrit, and platelet count increased </w:t>
      </w:r>
      <w:r w:rsidR="00DE644C">
        <w:rPr>
          <w:rFonts w:asciiTheme="minorHAnsi" w:hAnsiTheme="minorHAnsi"/>
        </w:rPr>
        <w:t>from Baseline</w:t>
      </w:r>
      <w:r w:rsidRPr="003056B6">
        <w:rPr>
          <w:rFonts w:asciiTheme="minorHAnsi" w:hAnsiTheme="minorHAnsi"/>
        </w:rPr>
        <w:t xml:space="preserve"> to the last assessment for subjects in the Pooled Safety Set </w:t>
      </w:r>
      <w:r w:rsidRPr="00FA48CC">
        <w:rPr>
          <w:rFonts w:asciiTheme="minorHAnsi" w:hAnsiTheme="minorHAnsi"/>
        </w:rPr>
        <w:t>(</w:t>
      </w:r>
      <w:r w:rsidR="004D59E7" w:rsidRPr="00FA48CC">
        <w:rPr>
          <w:rFonts w:asciiTheme="minorHAnsi" w:hAnsiTheme="minorHAnsi"/>
        </w:rPr>
        <w:t xml:space="preserve">Table </w:t>
      </w:r>
      <w:r w:rsidR="00FA48CC" w:rsidRPr="00FA48CC">
        <w:rPr>
          <w:rFonts w:asciiTheme="minorHAnsi" w:hAnsiTheme="minorHAnsi"/>
        </w:rPr>
        <w:t>31</w:t>
      </w:r>
      <w:r w:rsidRPr="00FA48CC">
        <w:rPr>
          <w:rFonts w:asciiTheme="minorHAnsi" w:hAnsiTheme="minorHAnsi"/>
        </w:rPr>
        <w:t>).</w:t>
      </w:r>
      <w:r w:rsidRPr="003056B6">
        <w:rPr>
          <w:rFonts w:asciiTheme="minorHAnsi" w:hAnsiTheme="minorHAnsi"/>
        </w:rPr>
        <w:t xml:space="preserve"> An analysis by </w:t>
      </w:r>
      <w:r w:rsidR="00C4359A">
        <w:rPr>
          <w:rFonts w:asciiTheme="minorHAnsi" w:hAnsiTheme="minorHAnsi"/>
        </w:rPr>
        <w:t>study</w:t>
      </w:r>
      <w:r w:rsidRPr="003056B6">
        <w:rPr>
          <w:rFonts w:asciiTheme="minorHAnsi" w:hAnsiTheme="minorHAnsi"/>
        </w:rPr>
        <w:t xml:space="preserve"> indicated that these increases in RBC count, haemoglobin, haematocrit, and platelet count were influenced by the more pronounced haematological changes observed for infants in </w:t>
      </w:r>
      <w:r w:rsidR="00157E63">
        <w:rPr>
          <w:rFonts w:asciiTheme="minorHAnsi" w:hAnsiTheme="minorHAnsi"/>
        </w:rPr>
        <w:t>Study</w:t>
      </w:r>
      <w:r w:rsidRPr="003056B6">
        <w:rPr>
          <w:rFonts w:asciiTheme="minorHAnsi" w:hAnsiTheme="minorHAnsi"/>
        </w:rPr>
        <w:t xml:space="preserve"> LAL-CL03. Several haematology parameters, including haemoglobin, haematocrit, RBCs and platelet count, show</w:t>
      </w:r>
      <w:r>
        <w:rPr>
          <w:rFonts w:asciiTheme="minorHAnsi" w:hAnsiTheme="minorHAnsi"/>
        </w:rPr>
        <w:t xml:space="preserve">ed more pronounced changes </w:t>
      </w:r>
      <w:r w:rsidR="00DE644C">
        <w:rPr>
          <w:rFonts w:asciiTheme="minorHAnsi" w:hAnsiTheme="minorHAnsi"/>
        </w:rPr>
        <w:t>from Baseline</w:t>
      </w:r>
      <w:r w:rsidRPr="003056B6">
        <w:rPr>
          <w:rFonts w:asciiTheme="minorHAnsi" w:hAnsiTheme="minorHAnsi"/>
        </w:rPr>
        <w:t xml:space="preserve"> to the last assessment for subjects in the </w:t>
      </w:r>
      <w:r w:rsidR="00A87AAC">
        <w:rPr>
          <w:rFonts w:asciiTheme="minorHAnsi" w:hAnsiTheme="minorHAnsi"/>
        </w:rPr>
        <w:t xml:space="preserve">&lt; </w:t>
      </w:r>
      <w:r w:rsidRPr="003056B6">
        <w:rPr>
          <w:rFonts w:asciiTheme="minorHAnsi" w:hAnsiTheme="minorHAnsi"/>
        </w:rPr>
        <w:t xml:space="preserve">2.00 years group </w:t>
      </w:r>
      <w:r w:rsidR="004D59E7">
        <w:rPr>
          <w:rFonts w:asciiTheme="minorHAnsi" w:hAnsiTheme="minorHAnsi"/>
        </w:rPr>
        <w:t>compared with other age groups.</w:t>
      </w:r>
      <w:r w:rsidRPr="003056B6">
        <w:rPr>
          <w:rFonts w:asciiTheme="minorHAnsi" w:hAnsiTheme="minorHAnsi"/>
        </w:rPr>
        <w:t xml:space="preserve"> All subjects in the </w:t>
      </w:r>
      <w:r w:rsidR="00A87AAC">
        <w:rPr>
          <w:rFonts w:asciiTheme="minorHAnsi" w:hAnsiTheme="minorHAnsi"/>
        </w:rPr>
        <w:t xml:space="preserve">&lt; </w:t>
      </w:r>
      <w:r w:rsidRPr="003056B6">
        <w:rPr>
          <w:rFonts w:asciiTheme="minorHAnsi" w:hAnsiTheme="minorHAnsi"/>
        </w:rPr>
        <w:t xml:space="preserve">2.00 year age group were enrolled in </w:t>
      </w:r>
      <w:r w:rsidR="00157E63">
        <w:rPr>
          <w:rFonts w:asciiTheme="minorHAnsi" w:hAnsiTheme="minorHAnsi"/>
        </w:rPr>
        <w:t>Study</w:t>
      </w:r>
      <w:r w:rsidRPr="003056B6">
        <w:rPr>
          <w:rFonts w:asciiTheme="minorHAnsi" w:hAnsiTheme="minorHAnsi"/>
        </w:rPr>
        <w:t xml:space="preserve"> LAL-CL03 and many of the subjects in this </w:t>
      </w:r>
      <w:r w:rsidR="00C4359A">
        <w:rPr>
          <w:rFonts w:asciiTheme="minorHAnsi" w:hAnsiTheme="minorHAnsi"/>
        </w:rPr>
        <w:t>study</w:t>
      </w:r>
      <w:r w:rsidRPr="003056B6">
        <w:rPr>
          <w:rFonts w:asciiTheme="minorHAnsi" w:hAnsiTheme="minorHAnsi"/>
        </w:rPr>
        <w:t xml:space="preserve"> were </w:t>
      </w:r>
      <w:r w:rsidRPr="003056B6">
        <w:rPr>
          <w:rFonts w:asciiTheme="minorHAnsi" w:hAnsiTheme="minorHAnsi"/>
        </w:rPr>
        <w:lastRenderedPageBreak/>
        <w:t xml:space="preserve">receiving packed RBC and/or platelet concentrates as part of their supportive care. Most of the shifts in haematology parameters noted for the Pooled Safety Set were consistent with improvements in underlying disease, and did not represent a safety concern. Overall, most of the subjects who had clinically meaningful shifts in haematology parameters from Baseline to the last assessment were from </w:t>
      </w:r>
      <w:r w:rsidR="00157E63">
        <w:rPr>
          <w:rFonts w:asciiTheme="minorHAnsi" w:hAnsiTheme="minorHAnsi"/>
        </w:rPr>
        <w:t>Study</w:t>
      </w:r>
      <w:r w:rsidRPr="003056B6">
        <w:rPr>
          <w:rFonts w:asciiTheme="minorHAnsi" w:hAnsiTheme="minorHAnsi"/>
        </w:rPr>
        <w:t xml:space="preserve"> LAL-CL02, which was not unexpected given the substantially greater number of subjects in this </w:t>
      </w:r>
      <w:r w:rsidR="00C4359A">
        <w:rPr>
          <w:rFonts w:asciiTheme="minorHAnsi" w:hAnsiTheme="minorHAnsi"/>
        </w:rPr>
        <w:t>study</w:t>
      </w:r>
      <w:r w:rsidRPr="003056B6">
        <w:rPr>
          <w:rFonts w:asciiTheme="minorHAnsi" w:hAnsiTheme="minorHAnsi"/>
        </w:rPr>
        <w:t xml:space="preserve"> (N</w:t>
      </w:r>
      <w:r w:rsidR="002D28A4">
        <w:rPr>
          <w:rFonts w:asciiTheme="minorHAnsi" w:hAnsiTheme="minorHAnsi"/>
        </w:rPr>
        <w:t xml:space="preserve"> = </w:t>
      </w:r>
      <w:r w:rsidRPr="003056B6">
        <w:rPr>
          <w:rFonts w:asciiTheme="minorHAnsi" w:hAnsiTheme="minorHAnsi"/>
        </w:rPr>
        <w:t>66) compared with the other 2 studies (N</w:t>
      </w:r>
      <w:r w:rsidR="002D28A4">
        <w:rPr>
          <w:rFonts w:asciiTheme="minorHAnsi" w:hAnsiTheme="minorHAnsi"/>
        </w:rPr>
        <w:t xml:space="preserve"> = </w:t>
      </w:r>
      <w:r w:rsidRPr="003056B6">
        <w:rPr>
          <w:rFonts w:asciiTheme="minorHAnsi" w:hAnsiTheme="minorHAnsi"/>
        </w:rPr>
        <w:t>9 for both studies).</w:t>
      </w:r>
    </w:p>
    <w:p w14:paraId="5F4D407A" w14:textId="60AAC550" w:rsidR="004D59E7" w:rsidRDefault="004D59E7" w:rsidP="004D59E7">
      <w:pPr>
        <w:pStyle w:val="Tabletitle"/>
      </w:pPr>
      <w:r>
        <w:t xml:space="preserve">Table </w:t>
      </w:r>
      <w:r w:rsidR="00FA48CC">
        <w:t>31:</w:t>
      </w:r>
      <w:r>
        <w:t xml:space="preserve"> Changes </w:t>
      </w:r>
      <w:r w:rsidR="00DE644C">
        <w:t>from Baseline</w:t>
      </w:r>
      <w:r>
        <w:t xml:space="preserve"> to last assessment for select </w:t>
      </w:r>
      <w:r w:rsidR="00FA48CC">
        <w:t>haematology</w:t>
      </w:r>
      <w:r>
        <w:t xml:space="preserve"> parameters, pooled safety set</w:t>
      </w:r>
    </w:p>
    <w:p w14:paraId="31AF65C2" w14:textId="77777777" w:rsidR="004D59E7" w:rsidRPr="004D59E7" w:rsidRDefault="00951F3F" w:rsidP="004D59E7">
      <w:r>
        <w:rPr>
          <w:noProof/>
          <w:lang w:eastAsia="en-AU"/>
        </w:rPr>
        <w:drawing>
          <wp:inline distT="0" distB="0" distL="0" distR="0" wp14:anchorId="777EC73B" wp14:editId="55AE2376">
            <wp:extent cx="5731510" cy="5698444"/>
            <wp:effectExtent l="0" t="0" r="2540" b="0"/>
            <wp:docPr id="23" name="Picture 23" descr="Table 31: Changes from baseline to last assessment for select haematology parameters,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5698444"/>
                    </a:xfrm>
                    <a:prstGeom prst="rect">
                      <a:avLst/>
                    </a:prstGeom>
                  </pic:spPr>
                </pic:pic>
              </a:graphicData>
            </a:graphic>
          </wp:inline>
        </w:drawing>
      </w:r>
    </w:p>
    <w:p w14:paraId="30DF8A5C" w14:textId="4CF86AA7" w:rsidR="00787F40" w:rsidRPr="003056B6" w:rsidRDefault="00787F40" w:rsidP="00787F40">
      <w:pPr>
        <w:autoSpaceDE w:val="0"/>
        <w:autoSpaceDN w:val="0"/>
        <w:adjustRightInd w:val="0"/>
        <w:spacing w:before="0" w:line="240" w:lineRule="auto"/>
        <w:rPr>
          <w:rFonts w:asciiTheme="minorHAnsi" w:eastAsiaTheme="minorHAnsi" w:hAnsiTheme="minorHAnsi"/>
          <w:color w:val="000000"/>
        </w:rPr>
      </w:pPr>
      <w:r w:rsidRPr="003056B6">
        <w:rPr>
          <w:rFonts w:asciiTheme="minorHAnsi" w:eastAsiaTheme="minorHAnsi" w:hAnsiTheme="minorHAnsi"/>
          <w:color w:val="000000"/>
        </w:rPr>
        <w:t>For subjects in the Pooled Safety Set, median prothrombin time</w:t>
      </w:r>
      <w:r w:rsidR="0079096A">
        <w:rPr>
          <w:rFonts w:asciiTheme="minorHAnsi" w:eastAsiaTheme="minorHAnsi" w:hAnsiTheme="minorHAnsi"/>
          <w:color w:val="000000"/>
        </w:rPr>
        <w:t>s at the last assessment (12.70 </w:t>
      </w:r>
      <w:r w:rsidRPr="003056B6">
        <w:rPr>
          <w:rFonts w:asciiTheme="minorHAnsi" w:eastAsiaTheme="minorHAnsi" w:hAnsiTheme="minorHAnsi"/>
          <w:color w:val="000000"/>
        </w:rPr>
        <w:t xml:space="preserve">sec) were similar to the median value observed </w:t>
      </w:r>
      <w:r w:rsidR="00DE644C">
        <w:rPr>
          <w:rFonts w:asciiTheme="minorHAnsi" w:eastAsiaTheme="minorHAnsi" w:hAnsiTheme="minorHAnsi"/>
          <w:color w:val="000000"/>
        </w:rPr>
        <w:t>at Baseline</w:t>
      </w:r>
      <w:r w:rsidRPr="003056B6">
        <w:rPr>
          <w:rFonts w:asciiTheme="minorHAnsi" w:eastAsiaTheme="minorHAnsi" w:hAnsiTheme="minorHAnsi"/>
          <w:color w:val="000000"/>
        </w:rPr>
        <w:t xml:space="preserve"> (12.80 sec). Median INR values and </w:t>
      </w:r>
      <w:proofErr w:type="spellStart"/>
      <w:r w:rsidRPr="003056B6">
        <w:rPr>
          <w:rFonts w:asciiTheme="minorHAnsi" w:eastAsiaTheme="minorHAnsi" w:hAnsiTheme="minorHAnsi"/>
          <w:color w:val="000000"/>
        </w:rPr>
        <w:t>aPTT</w:t>
      </w:r>
      <w:proofErr w:type="spellEnd"/>
      <w:r w:rsidRPr="003056B6">
        <w:rPr>
          <w:rFonts w:asciiTheme="minorHAnsi" w:eastAsiaTheme="minorHAnsi" w:hAnsiTheme="minorHAnsi"/>
          <w:color w:val="000000"/>
        </w:rPr>
        <w:t xml:space="preserve"> also rem</w:t>
      </w:r>
      <w:r>
        <w:rPr>
          <w:rFonts w:asciiTheme="minorHAnsi" w:eastAsiaTheme="minorHAnsi" w:hAnsiTheme="minorHAnsi"/>
          <w:color w:val="000000"/>
        </w:rPr>
        <w:t xml:space="preserve">ained virtually unchanged </w:t>
      </w:r>
      <w:r w:rsidR="00DE644C">
        <w:rPr>
          <w:rFonts w:asciiTheme="minorHAnsi" w:eastAsiaTheme="minorHAnsi" w:hAnsiTheme="minorHAnsi"/>
          <w:color w:val="000000"/>
        </w:rPr>
        <w:t>from Baseline</w:t>
      </w:r>
      <w:r w:rsidRPr="003056B6">
        <w:rPr>
          <w:rFonts w:asciiTheme="minorHAnsi" w:eastAsiaTheme="minorHAnsi" w:hAnsiTheme="minorHAnsi"/>
          <w:color w:val="000000"/>
        </w:rPr>
        <w:t xml:space="preserve"> to the last assessment. Median changes in prothrombin time and INR were not remarkably different across studies. The median change in </w:t>
      </w:r>
      <w:proofErr w:type="spellStart"/>
      <w:r w:rsidRPr="003056B6">
        <w:rPr>
          <w:rFonts w:asciiTheme="minorHAnsi" w:eastAsiaTheme="minorHAnsi" w:hAnsiTheme="minorHAnsi"/>
          <w:color w:val="000000"/>
        </w:rPr>
        <w:t>aPTT</w:t>
      </w:r>
      <w:proofErr w:type="spellEnd"/>
      <w:r w:rsidRPr="003056B6">
        <w:rPr>
          <w:rFonts w:asciiTheme="minorHAnsi" w:eastAsiaTheme="minorHAnsi" w:hAnsiTheme="minorHAnsi"/>
          <w:color w:val="000000"/>
        </w:rPr>
        <w:t xml:space="preserve"> was greater in </w:t>
      </w:r>
      <w:r w:rsidR="00157E63">
        <w:rPr>
          <w:rFonts w:asciiTheme="minorHAnsi" w:eastAsiaTheme="minorHAnsi" w:hAnsiTheme="minorHAnsi"/>
          <w:color w:val="000000"/>
        </w:rPr>
        <w:t>Study</w:t>
      </w:r>
      <w:r w:rsidRPr="003056B6">
        <w:rPr>
          <w:rFonts w:asciiTheme="minorHAnsi" w:eastAsiaTheme="minorHAnsi" w:hAnsiTheme="minorHAnsi"/>
          <w:color w:val="000000"/>
        </w:rPr>
        <w:t xml:space="preserve"> LAL-CL03 (increase of 5.80 sec) compared with </w:t>
      </w:r>
      <w:r w:rsidR="00157E63">
        <w:rPr>
          <w:rFonts w:asciiTheme="minorHAnsi" w:eastAsiaTheme="minorHAnsi" w:hAnsiTheme="minorHAnsi"/>
          <w:color w:val="000000"/>
        </w:rPr>
        <w:t>Study</w:t>
      </w:r>
      <w:r w:rsidRPr="003056B6">
        <w:rPr>
          <w:rFonts w:asciiTheme="minorHAnsi" w:eastAsiaTheme="minorHAnsi" w:hAnsiTheme="minorHAnsi"/>
          <w:color w:val="000000"/>
        </w:rPr>
        <w:t xml:space="preserve"> LAL-CL01/ LAL-CL04 (increase of 0.80 sec) and </w:t>
      </w:r>
      <w:r w:rsidR="00157E63">
        <w:rPr>
          <w:rFonts w:asciiTheme="minorHAnsi" w:eastAsiaTheme="minorHAnsi" w:hAnsiTheme="minorHAnsi"/>
          <w:color w:val="000000"/>
        </w:rPr>
        <w:t>Study</w:t>
      </w:r>
      <w:r w:rsidRPr="003056B6">
        <w:rPr>
          <w:rFonts w:asciiTheme="minorHAnsi" w:eastAsiaTheme="minorHAnsi" w:hAnsiTheme="minorHAnsi"/>
          <w:color w:val="000000"/>
        </w:rPr>
        <w:t xml:space="preserve"> LAL-CL02 (decrease of 0.10 sec). </w:t>
      </w:r>
      <w:r w:rsidRPr="003056B6">
        <w:rPr>
          <w:rFonts w:asciiTheme="minorHAnsi" w:eastAsiaTheme="minorHAnsi" w:hAnsiTheme="minorHAnsi"/>
          <w:color w:val="000000"/>
        </w:rPr>
        <w:lastRenderedPageBreak/>
        <w:t xml:space="preserve">The increase in </w:t>
      </w:r>
      <w:proofErr w:type="spellStart"/>
      <w:r w:rsidRPr="003056B6">
        <w:rPr>
          <w:rFonts w:asciiTheme="minorHAnsi" w:eastAsiaTheme="minorHAnsi" w:hAnsiTheme="minorHAnsi"/>
          <w:color w:val="000000"/>
        </w:rPr>
        <w:t>aPTT</w:t>
      </w:r>
      <w:proofErr w:type="spellEnd"/>
      <w:r w:rsidRPr="003056B6">
        <w:rPr>
          <w:rFonts w:asciiTheme="minorHAnsi" w:eastAsiaTheme="minorHAnsi" w:hAnsiTheme="minorHAnsi"/>
          <w:color w:val="000000"/>
        </w:rPr>
        <w:t xml:space="preserve"> in </w:t>
      </w:r>
      <w:r w:rsidR="00157E63">
        <w:rPr>
          <w:rFonts w:asciiTheme="minorHAnsi" w:eastAsiaTheme="minorHAnsi" w:hAnsiTheme="minorHAnsi"/>
          <w:color w:val="000000"/>
        </w:rPr>
        <w:t>Study</w:t>
      </w:r>
      <w:r w:rsidRPr="003056B6">
        <w:rPr>
          <w:rFonts w:asciiTheme="minorHAnsi" w:eastAsiaTheme="minorHAnsi" w:hAnsiTheme="minorHAnsi"/>
          <w:color w:val="000000"/>
        </w:rPr>
        <w:t xml:space="preserve"> LAL-CL03 was primarily driven by 1 subject who had an </w:t>
      </w:r>
      <w:proofErr w:type="spellStart"/>
      <w:r w:rsidRPr="003056B6">
        <w:rPr>
          <w:rFonts w:asciiTheme="minorHAnsi" w:eastAsiaTheme="minorHAnsi" w:hAnsiTheme="minorHAnsi"/>
          <w:color w:val="000000"/>
        </w:rPr>
        <w:t>aPTT</w:t>
      </w:r>
      <w:proofErr w:type="spellEnd"/>
      <w:r w:rsidRPr="003056B6">
        <w:rPr>
          <w:rFonts w:asciiTheme="minorHAnsi" w:eastAsiaTheme="minorHAnsi" w:hAnsiTheme="minorHAnsi"/>
          <w:color w:val="000000"/>
        </w:rPr>
        <w:t xml:space="preserve"> that was very low </w:t>
      </w:r>
      <w:r w:rsidR="00DE644C">
        <w:rPr>
          <w:rFonts w:asciiTheme="minorHAnsi" w:eastAsiaTheme="minorHAnsi" w:hAnsiTheme="minorHAnsi"/>
          <w:color w:val="000000"/>
        </w:rPr>
        <w:t>at Baseline</w:t>
      </w:r>
      <w:r w:rsidRPr="003056B6">
        <w:rPr>
          <w:rFonts w:asciiTheme="minorHAnsi" w:eastAsiaTheme="minorHAnsi" w:hAnsiTheme="minorHAnsi"/>
          <w:color w:val="000000"/>
        </w:rPr>
        <w:t xml:space="preserve"> (10.2 sec; LLN</w:t>
      </w:r>
      <w:r w:rsidR="002D28A4">
        <w:rPr>
          <w:rFonts w:asciiTheme="minorHAnsi" w:eastAsiaTheme="minorHAnsi" w:hAnsiTheme="minorHAnsi"/>
          <w:color w:val="000000"/>
        </w:rPr>
        <w:t xml:space="preserve"> = </w:t>
      </w:r>
      <w:r w:rsidRPr="003056B6">
        <w:rPr>
          <w:rFonts w:asciiTheme="minorHAnsi" w:eastAsiaTheme="minorHAnsi" w:hAnsiTheme="minorHAnsi"/>
          <w:color w:val="000000"/>
        </w:rPr>
        <w:t>23 sec)</w:t>
      </w:r>
      <w:r>
        <w:rPr>
          <w:rStyle w:val="FootnoteReference"/>
          <w:rFonts w:asciiTheme="minorHAnsi" w:eastAsiaTheme="minorHAnsi" w:hAnsiTheme="minorHAnsi"/>
          <w:color w:val="000000"/>
        </w:rPr>
        <w:footnoteReference w:id="45"/>
      </w:r>
      <w:r w:rsidRPr="003056B6">
        <w:rPr>
          <w:rFonts w:asciiTheme="minorHAnsi" w:eastAsiaTheme="minorHAnsi" w:hAnsiTheme="minorHAnsi"/>
          <w:color w:val="000000"/>
        </w:rPr>
        <w:t>. Interpretation of results was confounded by small number of patients and data and the fact that infants were known to have coagulopathies that required treatment with fresh frozen plasma.</w:t>
      </w:r>
    </w:p>
    <w:p w14:paraId="0ACBBED2" w14:textId="77777777" w:rsidR="00787F40" w:rsidRPr="003056B6" w:rsidRDefault="00787F40" w:rsidP="00E66350">
      <w:pPr>
        <w:pStyle w:val="Heading5"/>
      </w:pPr>
      <w:r w:rsidRPr="003056B6">
        <w:t>Pivotal and/or main efficacy studies</w:t>
      </w:r>
    </w:p>
    <w:p w14:paraId="45643822" w14:textId="3071F26F" w:rsidR="00B73619" w:rsidRDefault="00787F40" w:rsidP="00787F40">
      <w:pPr>
        <w:spacing w:before="0" w:line="240" w:lineRule="auto"/>
        <w:rPr>
          <w:rFonts w:asciiTheme="minorHAnsi" w:hAnsiTheme="minorHAnsi"/>
        </w:rPr>
      </w:pPr>
      <w:r w:rsidRPr="003056B6">
        <w:rPr>
          <w:rFonts w:asciiTheme="minorHAnsi" w:hAnsiTheme="minorHAnsi"/>
        </w:rPr>
        <w:t xml:space="preserve">In </w:t>
      </w:r>
      <w:r w:rsidR="00157E63">
        <w:rPr>
          <w:rFonts w:asciiTheme="minorHAnsi" w:hAnsiTheme="minorHAnsi"/>
        </w:rPr>
        <w:t>Study</w:t>
      </w:r>
      <w:r w:rsidRPr="003056B6">
        <w:rPr>
          <w:rFonts w:asciiTheme="minorHAnsi" w:hAnsiTheme="minorHAnsi"/>
        </w:rPr>
        <w:t xml:space="preserve"> LAL-CL02 there were no clinically meaningful mean changes over time in any standard haematology parameters, and no apparent trend between </w:t>
      </w:r>
      <w:proofErr w:type="spellStart"/>
      <w:r w:rsidRPr="003056B6">
        <w:rPr>
          <w:rFonts w:asciiTheme="minorHAnsi" w:hAnsiTheme="minorHAnsi"/>
        </w:rPr>
        <w:t>sebelipase</w:t>
      </w:r>
      <w:proofErr w:type="spellEnd"/>
      <w:r w:rsidRPr="003056B6">
        <w:rPr>
          <w:rFonts w:asciiTheme="minorHAnsi" w:hAnsiTheme="minorHAnsi"/>
        </w:rPr>
        <w:t xml:space="preserve"> alfa-treated subjects and placebo subjects during the </w:t>
      </w:r>
      <w:r w:rsidR="00FE3465">
        <w:rPr>
          <w:rFonts w:asciiTheme="minorHAnsi" w:hAnsiTheme="minorHAnsi"/>
        </w:rPr>
        <w:t>20 week</w:t>
      </w:r>
      <w:r w:rsidRPr="003056B6">
        <w:rPr>
          <w:rFonts w:asciiTheme="minorHAnsi" w:hAnsiTheme="minorHAnsi"/>
        </w:rPr>
        <w:t xml:space="preserve"> </w:t>
      </w:r>
      <w:r w:rsidR="003F3AB4">
        <w:rPr>
          <w:rFonts w:asciiTheme="minorHAnsi" w:hAnsiTheme="minorHAnsi"/>
        </w:rPr>
        <w:t>double blind</w:t>
      </w:r>
      <w:r w:rsidRPr="003056B6">
        <w:rPr>
          <w:rFonts w:asciiTheme="minorHAnsi" w:hAnsiTheme="minorHAnsi"/>
        </w:rPr>
        <w:t xml:space="preserve"> period based on examination of chan</w:t>
      </w:r>
      <w:r>
        <w:rPr>
          <w:rFonts w:asciiTheme="minorHAnsi" w:hAnsiTheme="minorHAnsi"/>
        </w:rPr>
        <w:t xml:space="preserve">ges </w:t>
      </w:r>
      <w:r w:rsidR="00DE644C">
        <w:rPr>
          <w:rFonts w:asciiTheme="minorHAnsi" w:hAnsiTheme="minorHAnsi"/>
        </w:rPr>
        <w:t>from Baseline</w:t>
      </w:r>
      <w:r w:rsidRPr="003056B6">
        <w:rPr>
          <w:rFonts w:asciiTheme="minorHAnsi" w:hAnsiTheme="minorHAnsi"/>
        </w:rPr>
        <w:t xml:space="preserve"> to each </w:t>
      </w:r>
      <w:r w:rsidR="00C4359A">
        <w:rPr>
          <w:rFonts w:asciiTheme="minorHAnsi" w:hAnsiTheme="minorHAnsi"/>
        </w:rPr>
        <w:t>study</w:t>
      </w:r>
      <w:r w:rsidRPr="003056B6">
        <w:rPr>
          <w:rFonts w:asciiTheme="minorHAnsi" w:hAnsiTheme="minorHAnsi"/>
        </w:rPr>
        <w:t xml:space="preserve"> time point</w:t>
      </w:r>
      <w:r w:rsidR="00B73619">
        <w:rPr>
          <w:rFonts w:asciiTheme="minorHAnsi" w:hAnsiTheme="minorHAnsi"/>
        </w:rPr>
        <w:t>.</w:t>
      </w:r>
    </w:p>
    <w:p w14:paraId="30CA52E2" w14:textId="77777777" w:rsidR="00787F40" w:rsidRPr="003056B6" w:rsidRDefault="00787F40" w:rsidP="00E66350">
      <w:pPr>
        <w:pStyle w:val="Heading5"/>
      </w:pPr>
      <w:r w:rsidRPr="003056B6">
        <w:t>Other studies</w:t>
      </w:r>
    </w:p>
    <w:p w14:paraId="5CDA7C78" w14:textId="48CAF02D" w:rsidR="00B73619" w:rsidRDefault="00787F40" w:rsidP="00787F40">
      <w:r w:rsidRPr="003056B6">
        <w:t xml:space="preserve">Refer to </w:t>
      </w:r>
      <w:r w:rsidR="00D074A0">
        <w:t>S</w:t>
      </w:r>
      <w:r w:rsidR="00D074A0" w:rsidRPr="003056B6">
        <w:t xml:space="preserve">ection </w:t>
      </w:r>
      <w:r w:rsidRPr="003056B6">
        <w:t>8.5.4.1 above</w:t>
      </w:r>
      <w:r w:rsidR="00B73619">
        <w:t>.</w:t>
      </w:r>
    </w:p>
    <w:p w14:paraId="44E5F5AA" w14:textId="77777777" w:rsidR="00787F40" w:rsidRPr="003056B6" w:rsidRDefault="00787F40" w:rsidP="00E66350">
      <w:pPr>
        <w:pStyle w:val="Heading4"/>
      </w:pPr>
      <w:bookmarkStart w:id="408" w:name="_Toc272414674"/>
      <w:bookmarkStart w:id="409" w:name="_Toc290888538"/>
      <w:bookmarkStart w:id="410" w:name="_Toc416353753"/>
      <w:bookmarkStart w:id="411" w:name="_Toc421005296"/>
      <w:bookmarkStart w:id="412" w:name="_Toc432079173"/>
      <w:bookmarkStart w:id="413" w:name="_Toc432080746"/>
      <w:bookmarkStart w:id="414" w:name="_Toc468957497"/>
      <w:r w:rsidRPr="003056B6">
        <w:t>Other laboratory test</w:t>
      </w:r>
      <w:bookmarkEnd w:id="408"/>
      <w:bookmarkEnd w:id="409"/>
      <w:bookmarkEnd w:id="410"/>
      <w:bookmarkEnd w:id="411"/>
      <w:bookmarkEnd w:id="412"/>
      <w:bookmarkEnd w:id="413"/>
      <w:r w:rsidRPr="003056B6">
        <w:t>s</w:t>
      </w:r>
      <w:bookmarkEnd w:id="414"/>
    </w:p>
    <w:p w14:paraId="450E4E14" w14:textId="77777777" w:rsidR="00B73619" w:rsidRDefault="00787F40" w:rsidP="00787F40">
      <w:pPr>
        <w:spacing w:before="0" w:line="240" w:lineRule="auto"/>
        <w:rPr>
          <w:rFonts w:asciiTheme="minorHAnsi" w:hAnsiTheme="minorHAnsi"/>
          <w:lang w:eastAsia="ja-JP"/>
        </w:rPr>
      </w:pPr>
      <w:bookmarkStart w:id="415" w:name="_Toc272414675"/>
      <w:bookmarkStart w:id="416" w:name="_Toc290888539"/>
      <w:bookmarkStart w:id="417" w:name="_Toc416353754"/>
      <w:bookmarkStart w:id="418" w:name="_Toc421005297"/>
      <w:bookmarkStart w:id="419" w:name="_Toc432079174"/>
      <w:bookmarkStart w:id="420" w:name="_Toc432080747"/>
      <w:r w:rsidRPr="003056B6">
        <w:rPr>
          <w:rFonts w:asciiTheme="minorHAnsi" w:hAnsiTheme="minorHAnsi"/>
          <w:lang w:eastAsia="ja-JP"/>
        </w:rPr>
        <w:t>Not applicable</w:t>
      </w:r>
      <w:r w:rsidR="00B73619">
        <w:rPr>
          <w:rFonts w:asciiTheme="minorHAnsi" w:hAnsiTheme="minorHAnsi"/>
          <w:lang w:eastAsia="ja-JP"/>
        </w:rPr>
        <w:t>.</w:t>
      </w:r>
    </w:p>
    <w:p w14:paraId="50D62E81" w14:textId="77777777" w:rsidR="00787F40" w:rsidRPr="003056B6" w:rsidRDefault="00787F40" w:rsidP="00E66350">
      <w:pPr>
        <w:pStyle w:val="Heading4"/>
      </w:pPr>
      <w:bookmarkStart w:id="421" w:name="_Toc468957498"/>
      <w:r w:rsidRPr="003056B6">
        <w:t>Electrocardiograph</w:t>
      </w:r>
      <w:bookmarkEnd w:id="415"/>
      <w:bookmarkEnd w:id="416"/>
      <w:bookmarkEnd w:id="417"/>
      <w:bookmarkEnd w:id="418"/>
      <w:r w:rsidRPr="003056B6">
        <w:t xml:space="preserve"> findings and cardiovascular safety</w:t>
      </w:r>
      <w:bookmarkEnd w:id="419"/>
      <w:bookmarkEnd w:id="420"/>
      <w:bookmarkEnd w:id="421"/>
    </w:p>
    <w:p w14:paraId="43C2F184" w14:textId="77777777" w:rsidR="00787F40" w:rsidRPr="003056B6" w:rsidRDefault="00787F40" w:rsidP="00E66350">
      <w:pPr>
        <w:pStyle w:val="Heading5"/>
      </w:pPr>
      <w:r w:rsidRPr="003056B6">
        <w:t>Integrated safety analyses</w:t>
      </w:r>
    </w:p>
    <w:p w14:paraId="28B828F3" w14:textId="77777777" w:rsidR="00787F40" w:rsidRDefault="00787F40" w:rsidP="00787F40">
      <w:pPr>
        <w:spacing w:before="0" w:line="240" w:lineRule="auto"/>
        <w:rPr>
          <w:rFonts w:asciiTheme="minorHAnsi" w:hAnsiTheme="minorHAnsi"/>
        </w:rPr>
      </w:pPr>
      <w:r w:rsidRPr="003056B6">
        <w:rPr>
          <w:rFonts w:asciiTheme="minorHAnsi" w:hAnsiTheme="minorHAnsi"/>
        </w:rPr>
        <w:t>Across all studies, no clinically relevant trends in ECG findings were apparent over time.</w:t>
      </w:r>
    </w:p>
    <w:p w14:paraId="3C07BD82" w14:textId="77777777" w:rsidR="00787F40" w:rsidRPr="003056B6" w:rsidRDefault="00787F40" w:rsidP="00E66350">
      <w:pPr>
        <w:pStyle w:val="Heading5"/>
      </w:pPr>
      <w:r w:rsidRPr="003056B6">
        <w:t>Main/pivotal studies that assessed safety as the sole primary outcome</w:t>
      </w:r>
    </w:p>
    <w:p w14:paraId="0FFDE5CB" w14:textId="77777777" w:rsidR="00B73619" w:rsidRDefault="00787F40" w:rsidP="00787F40">
      <w:pPr>
        <w:spacing w:before="0" w:line="240" w:lineRule="auto"/>
        <w:rPr>
          <w:rFonts w:asciiTheme="minorHAnsi" w:hAnsiTheme="minorHAnsi"/>
          <w:lang w:eastAsia="ja-JP"/>
        </w:rPr>
      </w:pPr>
      <w:r w:rsidRPr="003056B6">
        <w:rPr>
          <w:rFonts w:asciiTheme="minorHAnsi" w:hAnsiTheme="minorHAnsi"/>
          <w:lang w:eastAsia="ja-JP"/>
        </w:rPr>
        <w:t>Not applicable</w:t>
      </w:r>
      <w:r w:rsidR="00B73619">
        <w:rPr>
          <w:rFonts w:asciiTheme="minorHAnsi" w:hAnsiTheme="minorHAnsi"/>
          <w:lang w:eastAsia="ja-JP"/>
        </w:rPr>
        <w:t>.</w:t>
      </w:r>
    </w:p>
    <w:p w14:paraId="1A654DC0" w14:textId="77777777" w:rsidR="00787F40" w:rsidRPr="003056B6" w:rsidRDefault="00787F40" w:rsidP="00E66350">
      <w:pPr>
        <w:pStyle w:val="Heading5"/>
      </w:pPr>
      <w:r w:rsidRPr="003056B6">
        <w:t>Pivotal and/or main efficacy studies</w:t>
      </w:r>
    </w:p>
    <w:p w14:paraId="3B6490A6" w14:textId="77777777" w:rsidR="00787F40" w:rsidRDefault="00787F40" w:rsidP="00787F40">
      <w:pPr>
        <w:autoSpaceDE w:val="0"/>
        <w:autoSpaceDN w:val="0"/>
        <w:adjustRightInd w:val="0"/>
        <w:spacing w:before="0" w:line="240" w:lineRule="auto"/>
        <w:rPr>
          <w:rFonts w:asciiTheme="minorHAnsi" w:eastAsiaTheme="minorHAnsi" w:hAnsiTheme="minorHAnsi" w:cs="TimesNewRomanPSMT"/>
        </w:rPr>
      </w:pPr>
      <w:r w:rsidRPr="003056B6">
        <w:rPr>
          <w:rFonts w:asciiTheme="minorHAnsi" w:eastAsiaTheme="minorHAnsi" w:hAnsiTheme="minorHAnsi" w:cs="TimesNewRomanPSMT"/>
        </w:rPr>
        <w:t xml:space="preserve">In </w:t>
      </w:r>
      <w:r w:rsidR="00157E63">
        <w:rPr>
          <w:rFonts w:asciiTheme="minorHAnsi" w:eastAsiaTheme="minorHAnsi" w:hAnsiTheme="minorHAnsi" w:cs="TimesNewRomanPSMT"/>
        </w:rPr>
        <w:t>Study</w:t>
      </w:r>
      <w:r w:rsidRPr="003056B6">
        <w:rPr>
          <w:rFonts w:asciiTheme="minorHAnsi" w:eastAsiaTheme="minorHAnsi" w:hAnsiTheme="minorHAnsi" w:cs="TimesNewRomanPSMT"/>
        </w:rPr>
        <w:t xml:space="preserve"> LAL-CL02, no clinically meaningful differences between the SA and placebo groups were noted in any ECG parameters in the </w:t>
      </w:r>
      <w:r w:rsidR="003F3AB4">
        <w:rPr>
          <w:rFonts w:asciiTheme="minorHAnsi" w:eastAsiaTheme="minorHAnsi" w:hAnsiTheme="minorHAnsi" w:cs="TimesNewRomanPSMT"/>
        </w:rPr>
        <w:t>double blind</w:t>
      </w:r>
      <w:r w:rsidRPr="003056B6">
        <w:rPr>
          <w:rFonts w:asciiTheme="minorHAnsi" w:eastAsiaTheme="minorHAnsi" w:hAnsiTheme="minorHAnsi" w:cs="TimesNewRomanPSMT"/>
        </w:rPr>
        <w:t xml:space="preserve"> period.</w:t>
      </w:r>
    </w:p>
    <w:p w14:paraId="1C0DF83D" w14:textId="77777777" w:rsidR="00787F40" w:rsidRPr="003056B6" w:rsidRDefault="00787F40" w:rsidP="00E66350">
      <w:pPr>
        <w:pStyle w:val="Heading5"/>
      </w:pPr>
      <w:r w:rsidRPr="003056B6">
        <w:t>Other studies</w:t>
      </w:r>
    </w:p>
    <w:p w14:paraId="5EF8FE05" w14:textId="77777777" w:rsidR="00B73619" w:rsidRDefault="00787F40" w:rsidP="00787F40">
      <w:pPr>
        <w:spacing w:before="0" w:line="240" w:lineRule="auto"/>
        <w:rPr>
          <w:rFonts w:asciiTheme="minorHAnsi" w:hAnsiTheme="minorHAnsi"/>
          <w:lang w:eastAsia="ja-JP"/>
        </w:rPr>
      </w:pPr>
      <w:bookmarkStart w:id="422" w:name="_Toc272414676"/>
      <w:bookmarkStart w:id="423" w:name="_Toc290888540"/>
      <w:bookmarkStart w:id="424" w:name="_Toc416353755"/>
      <w:bookmarkStart w:id="425" w:name="_Toc421005298"/>
      <w:bookmarkStart w:id="426" w:name="_Toc432079175"/>
      <w:bookmarkStart w:id="427" w:name="_Toc432080748"/>
      <w:r w:rsidRPr="003056B6">
        <w:rPr>
          <w:rFonts w:asciiTheme="minorHAnsi" w:hAnsiTheme="minorHAnsi"/>
          <w:lang w:eastAsia="ja-JP"/>
        </w:rPr>
        <w:t>Refer to section 8.5.6.1 above</w:t>
      </w:r>
      <w:r w:rsidR="00B73619">
        <w:rPr>
          <w:rFonts w:asciiTheme="minorHAnsi" w:hAnsiTheme="minorHAnsi"/>
          <w:lang w:eastAsia="ja-JP"/>
        </w:rPr>
        <w:t>.</w:t>
      </w:r>
    </w:p>
    <w:p w14:paraId="1135F90F" w14:textId="77777777" w:rsidR="00787F40" w:rsidRPr="003056B6" w:rsidRDefault="00787F40" w:rsidP="00E66350">
      <w:pPr>
        <w:pStyle w:val="Heading4"/>
      </w:pPr>
      <w:bookmarkStart w:id="428" w:name="_Toc468957499"/>
      <w:r w:rsidRPr="003056B6">
        <w:t>Vital signs</w:t>
      </w:r>
      <w:bookmarkEnd w:id="422"/>
      <w:bookmarkEnd w:id="423"/>
      <w:bookmarkEnd w:id="424"/>
      <w:bookmarkEnd w:id="425"/>
      <w:r w:rsidRPr="003056B6">
        <w:t xml:space="preserve"> and clinical examination findings</w:t>
      </w:r>
      <w:bookmarkEnd w:id="426"/>
      <w:bookmarkEnd w:id="427"/>
      <w:bookmarkEnd w:id="428"/>
    </w:p>
    <w:p w14:paraId="5EA075DC" w14:textId="77777777" w:rsidR="00B73619" w:rsidRPr="00FA48CC" w:rsidRDefault="00787F40" w:rsidP="00787F40">
      <w:pPr>
        <w:autoSpaceDE w:val="0"/>
        <w:autoSpaceDN w:val="0"/>
        <w:adjustRightInd w:val="0"/>
        <w:spacing w:before="0" w:line="240" w:lineRule="auto"/>
        <w:rPr>
          <w:rFonts w:asciiTheme="minorHAnsi" w:eastAsiaTheme="minorHAnsi" w:hAnsiTheme="minorHAnsi"/>
          <w:color w:val="000000"/>
        </w:rPr>
      </w:pPr>
      <w:r w:rsidRPr="003056B6">
        <w:rPr>
          <w:rFonts w:asciiTheme="minorHAnsi" w:eastAsiaTheme="minorHAnsi" w:hAnsiTheme="minorHAnsi"/>
          <w:color w:val="000000"/>
        </w:rPr>
        <w:t xml:space="preserve">Across </w:t>
      </w:r>
      <w:proofErr w:type="spellStart"/>
      <w:r w:rsidRPr="003056B6">
        <w:rPr>
          <w:rFonts w:asciiTheme="minorHAnsi" w:eastAsiaTheme="minorHAnsi" w:hAnsiTheme="minorHAnsi"/>
          <w:color w:val="000000"/>
        </w:rPr>
        <w:t>sebelipase</w:t>
      </w:r>
      <w:proofErr w:type="spellEnd"/>
      <w:r w:rsidRPr="003056B6">
        <w:rPr>
          <w:rFonts w:asciiTheme="minorHAnsi" w:eastAsiaTheme="minorHAnsi" w:hAnsiTheme="minorHAnsi"/>
          <w:color w:val="000000"/>
        </w:rPr>
        <w:t xml:space="preserve"> alfa clinical studies, vital signs were measured just before, during, and immediately following each </w:t>
      </w:r>
      <w:r w:rsidR="00C4359A">
        <w:rPr>
          <w:rFonts w:asciiTheme="minorHAnsi" w:eastAsiaTheme="minorHAnsi" w:hAnsiTheme="minorHAnsi"/>
          <w:color w:val="000000"/>
        </w:rPr>
        <w:t>study</w:t>
      </w:r>
      <w:r w:rsidRPr="003056B6">
        <w:rPr>
          <w:rFonts w:asciiTheme="minorHAnsi" w:eastAsiaTheme="minorHAnsi" w:hAnsiTheme="minorHAnsi"/>
          <w:color w:val="000000"/>
        </w:rPr>
        <w:t xml:space="preserve"> drug infusion. Vital signs abnormalities assessed by the Investigator as clinically significant may have been reported by the Investigator as TEAEs. Potentially clinically meaningful changes in select vital sign parameters were identified for further medical review using the criteria described </w:t>
      </w:r>
      <w:r w:rsidRPr="00FA48CC">
        <w:rPr>
          <w:rFonts w:asciiTheme="minorHAnsi" w:eastAsiaTheme="minorHAnsi" w:hAnsiTheme="minorHAnsi"/>
          <w:color w:val="000000"/>
        </w:rPr>
        <w:t xml:space="preserve">in </w:t>
      </w:r>
      <w:r w:rsidR="0079096A" w:rsidRPr="00FA48CC">
        <w:rPr>
          <w:rFonts w:asciiTheme="minorHAnsi" w:eastAsiaTheme="minorHAnsi" w:hAnsiTheme="minorHAnsi"/>
          <w:color w:val="000000"/>
        </w:rPr>
        <w:t xml:space="preserve">Table </w:t>
      </w:r>
      <w:r w:rsidR="00FA48CC" w:rsidRPr="00FA48CC">
        <w:rPr>
          <w:rFonts w:asciiTheme="minorHAnsi" w:eastAsiaTheme="minorHAnsi" w:hAnsiTheme="minorHAnsi"/>
          <w:color w:val="000000"/>
        </w:rPr>
        <w:t>32</w:t>
      </w:r>
      <w:r w:rsidR="00B73619" w:rsidRPr="00FA48CC">
        <w:rPr>
          <w:rFonts w:asciiTheme="minorHAnsi" w:eastAsiaTheme="minorHAnsi" w:hAnsiTheme="minorHAnsi"/>
          <w:color w:val="000000"/>
        </w:rPr>
        <w:t>.</w:t>
      </w:r>
    </w:p>
    <w:p w14:paraId="4CD668B7" w14:textId="77777777" w:rsidR="0079096A" w:rsidRDefault="0079096A" w:rsidP="0079096A">
      <w:pPr>
        <w:pStyle w:val="Tabletitle"/>
      </w:pPr>
      <w:r>
        <w:lastRenderedPageBreak/>
        <w:t xml:space="preserve">Table </w:t>
      </w:r>
      <w:r w:rsidR="00FA48CC">
        <w:t>32:</w:t>
      </w:r>
      <w:r>
        <w:t xml:space="preserve"> Criteria for clinically meaningful changes in vital signs</w:t>
      </w:r>
    </w:p>
    <w:p w14:paraId="587C0E9E" w14:textId="77777777" w:rsidR="0079096A" w:rsidRPr="0079096A" w:rsidRDefault="00951F3F" w:rsidP="0079096A">
      <w:r>
        <w:rPr>
          <w:noProof/>
          <w:lang w:eastAsia="en-AU"/>
        </w:rPr>
        <w:drawing>
          <wp:inline distT="0" distB="0" distL="0" distR="0" wp14:anchorId="1493379E" wp14:editId="6EC96264">
            <wp:extent cx="5731510" cy="4963022"/>
            <wp:effectExtent l="0" t="0" r="2540" b="9525"/>
            <wp:docPr id="24" name="Picture 24" descr="Table 32: Criteria for clinically meaningful changes in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4963022"/>
                    </a:xfrm>
                    <a:prstGeom prst="rect">
                      <a:avLst/>
                    </a:prstGeom>
                  </pic:spPr>
                </pic:pic>
              </a:graphicData>
            </a:graphic>
          </wp:inline>
        </w:drawing>
      </w:r>
    </w:p>
    <w:p w14:paraId="2A49B0F2" w14:textId="77777777" w:rsidR="00787F40" w:rsidRPr="003056B6" w:rsidRDefault="00787F40" w:rsidP="00E66350">
      <w:pPr>
        <w:pStyle w:val="Heading5"/>
      </w:pPr>
      <w:r w:rsidRPr="003056B6">
        <w:t>Integrated safety analyses</w:t>
      </w:r>
    </w:p>
    <w:p w14:paraId="6815FCD1" w14:textId="77777777" w:rsidR="00787F40" w:rsidRDefault="00787F40" w:rsidP="00787F40">
      <w:pPr>
        <w:spacing w:before="0" w:line="240" w:lineRule="auto"/>
        <w:rPr>
          <w:rFonts w:asciiTheme="minorHAnsi" w:hAnsiTheme="minorHAnsi"/>
        </w:rPr>
      </w:pPr>
      <w:r w:rsidRPr="003056B6">
        <w:rPr>
          <w:rFonts w:asciiTheme="minorHAnsi" w:hAnsiTheme="minorHAnsi"/>
        </w:rPr>
        <w:t xml:space="preserve">Integration of data across studies did not reveal new information regarding the effect of </w:t>
      </w:r>
      <w:proofErr w:type="spellStart"/>
      <w:r w:rsidRPr="003056B6">
        <w:rPr>
          <w:rFonts w:asciiTheme="minorHAnsi" w:hAnsiTheme="minorHAnsi"/>
        </w:rPr>
        <w:t>sebelipase</w:t>
      </w:r>
      <w:proofErr w:type="spellEnd"/>
      <w:r w:rsidRPr="003056B6">
        <w:rPr>
          <w:rFonts w:asciiTheme="minorHAnsi" w:hAnsiTheme="minorHAnsi"/>
        </w:rPr>
        <w:t xml:space="preserve"> alfa on any vital sign parameter. The occurrence of potentially clinically meaningful changes in vital sign parameters were not influenced by differences in age, gender, race, mutation category, or Baseline use of LLMs.</w:t>
      </w:r>
    </w:p>
    <w:p w14:paraId="2E90D404" w14:textId="77777777" w:rsidR="00787F40" w:rsidRPr="003056B6" w:rsidRDefault="00787F40" w:rsidP="00E66350">
      <w:pPr>
        <w:pStyle w:val="Heading5"/>
      </w:pPr>
      <w:r w:rsidRPr="003056B6">
        <w:t>Pivotal and/or main efficacy studies</w:t>
      </w:r>
    </w:p>
    <w:p w14:paraId="05225B1F" w14:textId="531239C5" w:rsidR="00787F40" w:rsidRDefault="00787F40" w:rsidP="00787F40">
      <w:pPr>
        <w:spacing w:before="0" w:line="240" w:lineRule="auto"/>
        <w:rPr>
          <w:rFonts w:asciiTheme="minorHAnsi" w:eastAsiaTheme="minorHAnsi" w:hAnsiTheme="minorHAnsi" w:cs="TimesNewRomanPSMT"/>
        </w:rPr>
      </w:pPr>
      <w:r w:rsidRPr="003056B6">
        <w:rPr>
          <w:rFonts w:asciiTheme="minorHAnsi" w:hAnsiTheme="minorHAnsi"/>
        </w:rPr>
        <w:t xml:space="preserve">For children and adults in </w:t>
      </w:r>
      <w:r w:rsidR="00157E63">
        <w:rPr>
          <w:rFonts w:asciiTheme="minorHAnsi" w:hAnsiTheme="minorHAnsi"/>
        </w:rPr>
        <w:t>Study</w:t>
      </w:r>
      <w:r w:rsidRPr="003056B6">
        <w:rPr>
          <w:rFonts w:asciiTheme="minorHAnsi" w:hAnsiTheme="minorHAnsi"/>
        </w:rPr>
        <w:t xml:space="preserve"> LAL-CL02, </w:t>
      </w:r>
      <w:r w:rsidRPr="003056B6">
        <w:rPr>
          <w:rFonts w:asciiTheme="minorHAnsi" w:eastAsiaTheme="minorHAnsi" w:hAnsiTheme="minorHAnsi" w:cs="TimesNewRomanPSMT"/>
        </w:rPr>
        <w:t>one-fourth</w:t>
      </w:r>
      <w:r w:rsidR="0079096A">
        <w:rPr>
          <w:rFonts w:asciiTheme="minorHAnsi" w:eastAsiaTheme="minorHAnsi" w:hAnsiTheme="minorHAnsi" w:cs="TimesNewRomanPSMT"/>
        </w:rPr>
        <w:t xml:space="preserve"> (9/36; 25%) of </w:t>
      </w:r>
      <w:proofErr w:type="spellStart"/>
      <w:r w:rsidR="0079096A">
        <w:rPr>
          <w:rFonts w:asciiTheme="minorHAnsi" w:eastAsiaTheme="minorHAnsi" w:hAnsiTheme="minorHAnsi" w:cs="TimesNewRomanPSMT"/>
        </w:rPr>
        <w:t>sebelipase</w:t>
      </w:r>
      <w:proofErr w:type="spellEnd"/>
      <w:r w:rsidR="0079096A">
        <w:rPr>
          <w:rFonts w:asciiTheme="minorHAnsi" w:eastAsiaTheme="minorHAnsi" w:hAnsiTheme="minorHAnsi" w:cs="TimesNewRomanPSMT"/>
        </w:rPr>
        <w:t xml:space="preserve"> alfa </w:t>
      </w:r>
      <w:r w:rsidRPr="003056B6">
        <w:rPr>
          <w:rFonts w:asciiTheme="minorHAnsi" w:eastAsiaTheme="minorHAnsi" w:hAnsiTheme="minorHAnsi" w:cs="TimesNewRomanPSMT"/>
        </w:rPr>
        <w:t xml:space="preserve">treated subjects had an elevated body temperature/pyrexia as some point during the </w:t>
      </w:r>
      <w:r w:rsidR="00FE3465">
        <w:rPr>
          <w:rFonts w:asciiTheme="minorHAnsi" w:eastAsiaTheme="minorHAnsi" w:hAnsiTheme="minorHAnsi" w:cs="TimesNewRomanPSMT"/>
        </w:rPr>
        <w:t>20 week</w:t>
      </w:r>
      <w:r w:rsidRPr="003056B6">
        <w:rPr>
          <w:rFonts w:asciiTheme="minorHAnsi" w:eastAsiaTheme="minorHAnsi" w:hAnsiTheme="minorHAnsi" w:cs="TimesNewRomanPSMT"/>
        </w:rPr>
        <w:t xml:space="preserve"> </w:t>
      </w:r>
      <w:r w:rsidR="003F3AB4">
        <w:rPr>
          <w:rFonts w:asciiTheme="minorHAnsi" w:eastAsiaTheme="minorHAnsi" w:hAnsiTheme="minorHAnsi" w:cs="TimesNewRomanPSMT"/>
        </w:rPr>
        <w:t>double blind</w:t>
      </w:r>
      <w:r w:rsidRPr="003056B6">
        <w:rPr>
          <w:rFonts w:asciiTheme="minorHAnsi" w:eastAsiaTheme="minorHAnsi" w:hAnsiTheme="minorHAnsi" w:cs="TimesNewRomanPSMT"/>
        </w:rPr>
        <w:t xml:space="preserve"> treatment period, with a similar incidence seen among </w:t>
      </w:r>
      <w:r w:rsidR="00131B1C">
        <w:rPr>
          <w:rFonts w:asciiTheme="minorHAnsi" w:eastAsiaTheme="minorHAnsi" w:hAnsiTheme="minorHAnsi" w:cs="TimesNewRomanPSMT"/>
        </w:rPr>
        <w:t>Placebo treated</w:t>
      </w:r>
      <w:r w:rsidRPr="003056B6">
        <w:rPr>
          <w:rFonts w:asciiTheme="minorHAnsi" w:eastAsiaTheme="minorHAnsi" w:hAnsiTheme="minorHAnsi" w:cs="TimesNewRomanPSMT"/>
        </w:rPr>
        <w:t xml:space="preserve"> subjects (7/30; 23%). </w:t>
      </w:r>
      <w:r w:rsidRPr="003056B6">
        <w:rPr>
          <w:rFonts w:asciiTheme="minorHAnsi" w:hAnsiTheme="minorHAnsi"/>
        </w:rPr>
        <w:t>Pyrexia/</w:t>
      </w:r>
      <w:r w:rsidR="0079096A">
        <w:rPr>
          <w:rFonts w:asciiTheme="minorHAnsi" w:hAnsiTheme="minorHAnsi"/>
        </w:rPr>
        <w:t>b</w:t>
      </w:r>
      <w:r w:rsidRPr="003056B6">
        <w:rPr>
          <w:rFonts w:asciiTheme="minorHAnsi" w:hAnsiTheme="minorHAnsi"/>
        </w:rPr>
        <w:t xml:space="preserve">ody temperature increased was considered to be </w:t>
      </w:r>
      <w:r w:rsidR="00EA7323">
        <w:rPr>
          <w:rFonts w:asciiTheme="minorHAnsi" w:hAnsiTheme="minorHAnsi"/>
        </w:rPr>
        <w:t>treatment related</w:t>
      </w:r>
      <w:r w:rsidRPr="003056B6">
        <w:rPr>
          <w:rFonts w:asciiTheme="minorHAnsi" w:hAnsiTheme="minorHAnsi"/>
        </w:rPr>
        <w:t xml:space="preserve"> for 1/36 (3%) subject in the </w:t>
      </w:r>
      <w:proofErr w:type="spellStart"/>
      <w:r w:rsidRPr="003056B6">
        <w:rPr>
          <w:rFonts w:asciiTheme="minorHAnsi" w:hAnsiTheme="minorHAnsi"/>
        </w:rPr>
        <w:t>sebelipase</w:t>
      </w:r>
      <w:proofErr w:type="spellEnd"/>
      <w:r w:rsidRPr="003056B6">
        <w:rPr>
          <w:rFonts w:asciiTheme="minorHAnsi" w:hAnsiTheme="minorHAnsi"/>
        </w:rPr>
        <w:t xml:space="preserve"> alfa group, with this event considered to be an IAR, and 3/30 (10%) subjects in the placebo group, with the event considered to be an IAR for 2 of these 3 subjects. All cases </w:t>
      </w:r>
      <w:r w:rsidR="0079096A" w:rsidRPr="003056B6">
        <w:rPr>
          <w:rFonts w:asciiTheme="minorHAnsi" w:hAnsiTheme="minorHAnsi"/>
        </w:rPr>
        <w:t xml:space="preserve">of body temperature increased/pyrexia were </w:t>
      </w:r>
      <w:r w:rsidRPr="003056B6">
        <w:rPr>
          <w:rFonts w:asciiTheme="minorHAnsi" w:hAnsiTheme="minorHAnsi"/>
        </w:rPr>
        <w:t xml:space="preserve">assessed by the Investigator to be mild or moderate in intensity, with the exception of 1 severe event in the </w:t>
      </w:r>
      <w:proofErr w:type="spellStart"/>
      <w:r w:rsidRPr="003056B6">
        <w:rPr>
          <w:rFonts w:asciiTheme="minorHAnsi" w:hAnsiTheme="minorHAnsi"/>
        </w:rPr>
        <w:t>sebelipase</w:t>
      </w:r>
      <w:proofErr w:type="spellEnd"/>
      <w:r w:rsidRPr="003056B6">
        <w:rPr>
          <w:rFonts w:asciiTheme="minorHAnsi" w:hAnsiTheme="minorHAnsi"/>
        </w:rPr>
        <w:t xml:space="preserve"> alfa group. </w:t>
      </w:r>
      <w:r w:rsidRPr="003056B6">
        <w:rPr>
          <w:rFonts w:asciiTheme="minorHAnsi" w:eastAsiaTheme="minorHAnsi" w:hAnsiTheme="minorHAnsi" w:cs="TimesNewRomanPSMT"/>
        </w:rPr>
        <w:t xml:space="preserve">No apparent trend was seen with regard to change </w:t>
      </w:r>
      <w:r w:rsidR="00DE644C">
        <w:rPr>
          <w:rFonts w:asciiTheme="minorHAnsi" w:eastAsiaTheme="minorHAnsi" w:hAnsiTheme="minorHAnsi" w:cs="TimesNewRomanPSMT"/>
        </w:rPr>
        <w:t>from Baseline</w:t>
      </w:r>
      <w:r w:rsidRPr="003056B6">
        <w:rPr>
          <w:rFonts w:asciiTheme="minorHAnsi" w:eastAsiaTheme="minorHAnsi" w:hAnsiTheme="minorHAnsi" w:cs="TimesNewRomanPSMT"/>
        </w:rPr>
        <w:t xml:space="preserve"> in </w:t>
      </w:r>
      <w:r>
        <w:rPr>
          <w:rFonts w:asciiTheme="minorHAnsi" w:eastAsiaTheme="minorHAnsi" w:hAnsiTheme="minorHAnsi" w:cs="TimesNewRomanPSMT"/>
        </w:rPr>
        <w:t xml:space="preserve">other </w:t>
      </w:r>
      <w:r w:rsidRPr="003056B6">
        <w:rPr>
          <w:rFonts w:asciiTheme="minorHAnsi" w:eastAsiaTheme="minorHAnsi" w:hAnsiTheme="minorHAnsi" w:cs="TimesNewRomanPSMT"/>
        </w:rPr>
        <w:t xml:space="preserve">vital sign parameters </w:t>
      </w:r>
      <w:r>
        <w:rPr>
          <w:rFonts w:asciiTheme="minorHAnsi" w:eastAsiaTheme="minorHAnsi" w:hAnsiTheme="minorHAnsi" w:cs="TimesNewRomanPSMT"/>
        </w:rPr>
        <w:t xml:space="preserve">(BP, heart rate, respiratory rate) with </w:t>
      </w:r>
      <w:proofErr w:type="gramStart"/>
      <w:r w:rsidRPr="003056B6">
        <w:rPr>
          <w:rFonts w:asciiTheme="minorHAnsi" w:eastAsiaTheme="minorHAnsi" w:hAnsiTheme="minorHAnsi" w:cs="TimesNewRomanPSMT"/>
        </w:rPr>
        <w:t>no</w:t>
      </w:r>
      <w:proofErr w:type="gramEnd"/>
      <w:r w:rsidRPr="003056B6">
        <w:rPr>
          <w:rFonts w:asciiTheme="minorHAnsi" w:eastAsiaTheme="minorHAnsi" w:hAnsiTheme="minorHAnsi" w:cs="TimesNewRomanPSMT"/>
        </w:rPr>
        <w:t xml:space="preserve"> clinically meaningful differences from placebo.</w:t>
      </w:r>
    </w:p>
    <w:p w14:paraId="120E7A8C" w14:textId="77777777" w:rsidR="00787F40" w:rsidRPr="003056B6" w:rsidRDefault="00787F40" w:rsidP="00E66350">
      <w:pPr>
        <w:pStyle w:val="Heading5"/>
      </w:pPr>
      <w:r w:rsidRPr="002E3FF7">
        <w:rPr>
          <w:rStyle w:val="Heading5Char"/>
          <w:b/>
          <w:i/>
        </w:rPr>
        <w:lastRenderedPageBreak/>
        <w:t>O</w:t>
      </w:r>
      <w:r w:rsidRPr="003056B6">
        <w:t>ther studies</w:t>
      </w:r>
    </w:p>
    <w:p w14:paraId="50800EDF" w14:textId="77777777" w:rsidR="00787F40" w:rsidRPr="003056B6" w:rsidRDefault="00787F40" w:rsidP="00787F40">
      <w:pPr>
        <w:spacing w:before="0" w:line="240" w:lineRule="auto"/>
        <w:rPr>
          <w:rFonts w:asciiTheme="minorHAnsi" w:hAnsiTheme="minorHAnsi"/>
        </w:rPr>
      </w:pPr>
      <w:r w:rsidRPr="003056B6">
        <w:rPr>
          <w:rFonts w:asciiTheme="minorHAnsi" w:hAnsiTheme="minorHAnsi"/>
        </w:rPr>
        <w:t xml:space="preserve">For infants in </w:t>
      </w:r>
      <w:r w:rsidR="00157E63">
        <w:rPr>
          <w:rFonts w:asciiTheme="minorHAnsi" w:hAnsiTheme="minorHAnsi"/>
        </w:rPr>
        <w:t>Study</w:t>
      </w:r>
      <w:r w:rsidRPr="003056B6">
        <w:rPr>
          <w:rFonts w:asciiTheme="minorHAnsi" w:hAnsiTheme="minorHAnsi"/>
        </w:rPr>
        <w:t xml:space="preserve"> LAL-CL03, there was some variability in BP measurements noted, but elevations in BP were not consistently observed for all subjects or for a given subject across a majority of </w:t>
      </w:r>
      <w:r w:rsidR="00C4359A">
        <w:rPr>
          <w:rFonts w:asciiTheme="minorHAnsi" w:hAnsiTheme="minorHAnsi"/>
        </w:rPr>
        <w:t>study</w:t>
      </w:r>
      <w:r w:rsidRPr="003056B6">
        <w:rPr>
          <w:rFonts w:asciiTheme="minorHAnsi" w:hAnsiTheme="minorHAnsi"/>
        </w:rPr>
        <w:t xml:space="preserve"> infusions, and did not appear to be related to the dose of </w:t>
      </w:r>
      <w:proofErr w:type="spellStart"/>
      <w:r w:rsidRPr="003056B6">
        <w:rPr>
          <w:rFonts w:asciiTheme="minorHAnsi" w:hAnsiTheme="minorHAnsi"/>
        </w:rPr>
        <w:t>sebelipase</w:t>
      </w:r>
      <w:proofErr w:type="spellEnd"/>
      <w:r w:rsidRPr="003056B6">
        <w:rPr>
          <w:rFonts w:asciiTheme="minorHAnsi" w:hAnsiTheme="minorHAnsi"/>
        </w:rPr>
        <w:t xml:space="preserve"> alfa. Individual changes in body temperature were reported as TEAEs of </w:t>
      </w:r>
      <w:r w:rsidR="0079096A" w:rsidRPr="003056B6">
        <w:rPr>
          <w:rFonts w:asciiTheme="minorHAnsi" w:hAnsiTheme="minorHAnsi"/>
        </w:rPr>
        <w:t>pyrexia, hyperthermia</w:t>
      </w:r>
      <w:r w:rsidRPr="003056B6">
        <w:rPr>
          <w:rFonts w:asciiTheme="minorHAnsi" w:hAnsiTheme="minorHAnsi"/>
        </w:rPr>
        <w:t xml:space="preserve">, or </w:t>
      </w:r>
      <w:r>
        <w:rPr>
          <w:rFonts w:asciiTheme="minorHAnsi" w:hAnsiTheme="minorHAnsi"/>
        </w:rPr>
        <w:t>i</w:t>
      </w:r>
      <w:r w:rsidRPr="003056B6">
        <w:rPr>
          <w:rFonts w:asciiTheme="minorHAnsi" w:hAnsiTheme="minorHAnsi"/>
        </w:rPr>
        <w:t>ncreased body temperature in 6 of 9 subjects. Many of these events were further characterised as IARs, and those that were not characterised as IARs were considered unrelated to treatment. Two subjects had transient increases in heart rate that were reported as IARs of tachycardia. No TEAEs related to changes in respiratory rate were reported for any subject.</w:t>
      </w:r>
    </w:p>
    <w:p w14:paraId="5BC75BD3" w14:textId="77777777" w:rsidR="00B73619" w:rsidRDefault="00787F40" w:rsidP="00787F40">
      <w:pPr>
        <w:spacing w:before="0" w:line="240" w:lineRule="auto"/>
        <w:rPr>
          <w:rFonts w:asciiTheme="minorHAnsi" w:hAnsiTheme="minorHAnsi"/>
        </w:rPr>
      </w:pPr>
      <w:r w:rsidRPr="003056B6">
        <w:rPr>
          <w:rFonts w:asciiTheme="minorHAnsi" w:hAnsiTheme="minorHAnsi"/>
        </w:rPr>
        <w:t xml:space="preserve">For adults in </w:t>
      </w:r>
      <w:r w:rsidR="00157E63">
        <w:rPr>
          <w:rFonts w:asciiTheme="minorHAnsi" w:hAnsiTheme="minorHAnsi"/>
        </w:rPr>
        <w:t>Study</w:t>
      </w:r>
      <w:r w:rsidRPr="003056B6">
        <w:rPr>
          <w:rFonts w:asciiTheme="minorHAnsi" w:hAnsiTheme="minorHAnsi"/>
        </w:rPr>
        <w:t xml:space="preserve"> LAL-CL01/LAL-CL04, no TEAEs related to changes in vital signs were reported for any subject. There were no clinically relevant tendencies in systolic or diastolic BP, heart rate, respiratory rate, or body temperature, either in association with </w:t>
      </w:r>
      <w:proofErr w:type="spellStart"/>
      <w:r w:rsidRPr="003056B6">
        <w:rPr>
          <w:rFonts w:asciiTheme="minorHAnsi" w:hAnsiTheme="minorHAnsi"/>
        </w:rPr>
        <w:t>sebelipase</w:t>
      </w:r>
      <w:proofErr w:type="spellEnd"/>
      <w:r w:rsidRPr="003056B6">
        <w:rPr>
          <w:rFonts w:asciiTheme="minorHAnsi" w:hAnsiTheme="minorHAnsi"/>
        </w:rPr>
        <w:t xml:space="preserve"> alfa infusions or over the course of the </w:t>
      </w:r>
      <w:r w:rsidR="00C4359A">
        <w:rPr>
          <w:rFonts w:asciiTheme="minorHAnsi" w:hAnsiTheme="minorHAnsi"/>
        </w:rPr>
        <w:t>study</w:t>
      </w:r>
      <w:r w:rsidR="00B73619">
        <w:rPr>
          <w:rFonts w:asciiTheme="minorHAnsi" w:hAnsiTheme="minorHAnsi"/>
        </w:rPr>
        <w:t>.</w:t>
      </w:r>
    </w:p>
    <w:p w14:paraId="0A1A8D31" w14:textId="77777777" w:rsidR="00787F40" w:rsidRPr="003056B6" w:rsidRDefault="00787F40" w:rsidP="00E66350">
      <w:pPr>
        <w:pStyle w:val="Heading4"/>
      </w:pPr>
      <w:bookmarkStart w:id="429" w:name="_Toc432079176"/>
      <w:bookmarkStart w:id="430" w:name="_Toc432080749"/>
      <w:bookmarkStart w:id="431" w:name="_Toc468957500"/>
      <w:r w:rsidRPr="003056B6">
        <w:t>I</w:t>
      </w:r>
      <w:r w:rsidR="00EF53B7">
        <w:t xml:space="preserve">mmunogenicity and immunological </w:t>
      </w:r>
      <w:r w:rsidRPr="003056B6">
        <w:t>events</w:t>
      </w:r>
      <w:bookmarkEnd w:id="429"/>
      <w:bookmarkEnd w:id="430"/>
      <w:bookmarkEnd w:id="431"/>
    </w:p>
    <w:p w14:paraId="37A7349E" w14:textId="77777777" w:rsidR="00787F40" w:rsidRPr="003056B6" w:rsidRDefault="00787F40" w:rsidP="00E66350">
      <w:pPr>
        <w:pStyle w:val="Heading5"/>
      </w:pPr>
      <w:r w:rsidRPr="003056B6">
        <w:t>Integrated safety analyses</w:t>
      </w:r>
    </w:p>
    <w:p w14:paraId="249A647F" w14:textId="77777777" w:rsidR="00CC672B" w:rsidRDefault="00787F40" w:rsidP="00E66350">
      <w:pPr>
        <w:pStyle w:val="Heading6"/>
      </w:pPr>
      <w:r w:rsidRPr="003056B6">
        <w:t>Immunogenicity</w:t>
      </w:r>
    </w:p>
    <w:p w14:paraId="520E2078" w14:textId="77777777" w:rsidR="00787F40" w:rsidRPr="003056B6" w:rsidRDefault="00787F40" w:rsidP="00787F40">
      <w:pPr>
        <w:spacing w:before="0" w:line="240" w:lineRule="auto"/>
        <w:rPr>
          <w:rFonts w:asciiTheme="minorHAnsi" w:hAnsiTheme="minorHAnsi"/>
          <w:b/>
          <w:u w:val="single"/>
        </w:rPr>
      </w:pPr>
      <w:r w:rsidRPr="003056B6">
        <w:rPr>
          <w:rFonts w:asciiTheme="minorHAnsi" w:hAnsiTheme="minorHAnsi"/>
        </w:rPr>
        <w:t xml:space="preserve">Serum antibodies that bind to </w:t>
      </w:r>
      <w:proofErr w:type="spellStart"/>
      <w:r w:rsidRPr="003056B6">
        <w:rPr>
          <w:rFonts w:asciiTheme="minorHAnsi" w:hAnsiTheme="minorHAnsi"/>
        </w:rPr>
        <w:t>rhLAL</w:t>
      </w:r>
      <w:proofErr w:type="spellEnd"/>
      <w:r w:rsidRPr="003056B6">
        <w:rPr>
          <w:rFonts w:asciiTheme="minorHAnsi" w:hAnsiTheme="minorHAnsi"/>
        </w:rPr>
        <w:t xml:space="preserve"> were detected using an enzyme-linked immunosorbent assay (ELISA) screening assay and confirmed for specificity using a confirmatory ELISA. A subject was considered to be positive for ADAs at a given time point if he/she had a positive result on both the screening and confirmatory ELISAs. Antibody titre was determined for all ADA positive subjects by serial dilution, beginning at a minimum required dilution (MRD) of 1:20.</w:t>
      </w:r>
    </w:p>
    <w:p w14:paraId="03008E9D" w14:textId="08DCA3D1" w:rsidR="00787F40" w:rsidRPr="003056B6" w:rsidRDefault="00787F40" w:rsidP="00805104">
      <w:pPr>
        <w:rPr>
          <w:b/>
          <w:u w:val="single"/>
        </w:rPr>
      </w:pPr>
      <w:r w:rsidRPr="003056B6">
        <w:t>Overall, 10 subjects in the Pooled Safety Set (N</w:t>
      </w:r>
      <w:r w:rsidR="002D28A4">
        <w:t xml:space="preserve"> = </w:t>
      </w:r>
      <w:r w:rsidRPr="003056B6">
        <w:t>84) tested posi</w:t>
      </w:r>
      <w:r w:rsidR="0079096A">
        <w:t>tive for ADAs during at least 1 </w:t>
      </w:r>
      <w:r w:rsidR="009D434A">
        <w:t>assessment.</w:t>
      </w:r>
      <w:r w:rsidRPr="003056B6">
        <w:t xml:space="preserve"> Of the 84 subjects in the Pooled Safety Set, 81 subjects had ADA testing </w:t>
      </w:r>
      <w:r w:rsidR="00DE644C">
        <w:t>at Baseline</w:t>
      </w:r>
      <w:r w:rsidRPr="003056B6">
        <w:t xml:space="preserve"> and 65 subjects had ADA testing for at least one time point after initiation of treatment with </w:t>
      </w:r>
      <w:proofErr w:type="spellStart"/>
      <w:r w:rsidRPr="003056B6">
        <w:t>sebelipase</w:t>
      </w:r>
      <w:proofErr w:type="spellEnd"/>
      <w:r w:rsidRPr="003056B6">
        <w:t xml:space="preserve"> alfa (7 subjects in </w:t>
      </w:r>
      <w:r w:rsidR="00157E63">
        <w:t>Study</w:t>
      </w:r>
      <w:r w:rsidRPr="003056B6">
        <w:t xml:space="preserve"> LAL-CL03, 49 subjects in </w:t>
      </w:r>
      <w:r w:rsidR="00157E63">
        <w:t>Study</w:t>
      </w:r>
      <w:r w:rsidRPr="003056B6">
        <w:t xml:space="preserve"> LAL-CL02, and 9 subjects in </w:t>
      </w:r>
      <w:r w:rsidR="00157E63">
        <w:t>Study</w:t>
      </w:r>
      <w:r w:rsidRPr="003056B6">
        <w:t xml:space="preserve"> LAL-CL01/LAL-CL04). For the 10 </w:t>
      </w:r>
      <w:r w:rsidR="003F3AB4">
        <w:t>ADA positive</w:t>
      </w:r>
      <w:r w:rsidRPr="003056B6">
        <w:t xml:space="preserve"> subjects in the Pooled Safety Set, the median time to first </w:t>
      </w:r>
      <w:r w:rsidR="003F3AB4">
        <w:t>ADA positive</w:t>
      </w:r>
      <w:r w:rsidRPr="003056B6">
        <w:t xml:space="preserve"> result was 57 days (range 29 to 418 days). Maximum titres ranged from </w:t>
      </w:r>
      <w:r w:rsidR="00A87AAC">
        <w:t xml:space="preserve">&lt; </w:t>
      </w:r>
      <w:r w:rsidRPr="003056B6">
        <w:t xml:space="preserve">1/20 to 1/1142. The median time to these maximum titres was 84.5 days (range 29 to 677 days). Of the 10 </w:t>
      </w:r>
      <w:r w:rsidR="003F3AB4">
        <w:t>ADA positive</w:t>
      </w:r>
      <w:r w:rsidRPr="003056B6">
        <w:t xml:space="preserve"> subjects, six (6/10 </w:t>
      </w:r>
      <w:r w:rsidR="00D074A0">
        <w:t>(</w:t>
      </w:r>
      <w:r w:rsidRPr="003056B6">
        <w:t>60.0%</w:t>
      </w:r>
      <w:r w:rsidR="00D074A0">
        <w:t>)</w:t>
      </w:r>
      <w:r w:rsidRPr="003056B6">
        <w:t xml:space="preserve">) </w:t>
      </w:r>
      <w:r>
        <w:t xml:space="preserve">who </w:t>
      </w:r>
      <w:r w:rsidRPr="003056B6">
        <w:t>tested positive for ADAs at more than one time point through the data cut-off for the Pooled Safety Set</w:t>
      </w:r>
      <w:r>
        <w:t>, a</w:t>
      </w:r>
      <w:r w:rsidRPr="003056B6">
        <w:t xml:space="preserve"> higher proportion of infants from </w:t>
      </w:r>
      <w:r w:rsidR="00157E63">
        <w:t>Study</w:t>
      </w:r>
      <w:r w:rsidRPr="003056B6">
        <w:t xml:space="preserve"> LAL-CL03 were </w:t>
      </w:r>
      <w:r w:rsidR="003F3AB4">
        <w:t>ADA positive</w:t>
      </w:r>
      <w:r w:rsidRPr="003056B6">
        <w:t xml:space="preserve"> a</w:t>
      </w:r>
      <w:r w:rsidR="009D434A">
        <w:t>t more than one time point (3/7 </w:t>
      </w:r>
      <w:r w:rsidR="00D074A0">
        <w:t>(</w:t>
      </w:r>
      <w:r w:rsidRPr="003056B6">
        <w:t>42.9%</w:t>
      </w:r>
      <w:r w:rsidR="00D074A0">
        <w:t>)</w:t>
      </w:r>
      <w:r w:rsidRPr="003056B6">
        <w:t xml:space="preserve">; all subjects </w:t>
      </w:r>
      <w:r w:rsidR="00A87AAC">
        <w:t xml:space="preserve">&lt; </w:t>
      </w:r>
      <w:r w:rsidRPr="003056B6">
        <w:t>2 years of age) compared to child</w:t>
      </w:r>
      <w:r w:rsidR="009D434A">
        <w:t>ren and adults from Studies LAL</w:t>
      </w:r>
      <w:r w:rsidR="009D434A">
        <w:noBreakHyphen/>
      </w:r>
      <w:r w:rsidRPr="003056B6">
        <w:t xml:space="preserve">CL02 and LAL-CL01/LAL-CL04 (3/58 </w:t>
      </w:r>
      <w:r w:rsidR="00D074A0">
        <w:t>(</w:t>
      </w:r>
      <w:r w:rsidRPr="003056B6">
        <w:t>5.2%</w:t>
      </w:r>
      <w:r w:rsidR="00D074A0">
        <w:t>)</w:t>
      </w:r>
      <w:r w:rsidR="009D434A">
        <w:t>.</w:t>
      </w:r>
      <w:r>
        <w:rPr>
          <w:rStyle w:val="FootnoteReference"/>
          <w:rFonts w:asciiTheme="minorHAnsi" w:hAnsiTheme="minorHAnsi"/>
        </w:rPr>
        <w:footnoteReference w:id="46"/>
      </w:r>
      <w:r w:rsidRPr="003056B6">
        <w:t xml:space="preserve"> </w:t>
      </w:r>
      <w:r>
        <w:t>T</w:t>
      </w:r>
      <w:r w:rsidRPr="003056B6">
        <w:t xml:space="preserve">he </w:t>
      </w:r>
      <w:r>
        <w:t xml:space="preserve">likelihood </w:t>
      </w:r>
      <w:r w:rsidRPr="003056B6">
        <w:t>of the infants to develop ADAs over the course of treatment</w:t>
      </w:r>
      <w:r>
        <w:t xml:space="preserve"> may have been affected by the fact that i</w:t>
      </w:r>
      <w:r w:rsidRPr="003056B6">
        <w:t xml:space="preserve">nfants received higher doses of </w:t>
      </w:r>
      <w:proofErr w:type="spellStart"/>
      <w:r w:rsidRPr="003056B6">
        <w:t>sebelipase</w:t>
      </w:r>
      <w:proofErr w:type="spellEnd"/>
      <w:r w:rsidRPr="003056B6">
        <w:t xml:space="preserve"> alfa as well as more frequent dosing compared to the dosing regimens of the children and adults</w:t>
      </w:r>
      <w:r w:rsidR="00B73619">
        <w:t xml:space="preserve">. </w:t>
      </w:r>
      <w:r w:rsidRPr="003056B6">
        <w:t xml:space="preserve">In addition, the impact of mutation status cannot be excluded as 70% (7/10) of </w:t>
      </w:r>
      <w:r w:rsidR="003F3AB4">
        <w:t>ADA positive</w:t>
      </w:r>
      <w:r w:rsidRPr="003056B6">
        <w:t xml:space="preserve"> subjects were categorised as </w:t>
      </w:r>
      <w:r w:rsidR="00F056E7">
        <w:t>‘</w:t>
      </w:r>
      <w:r w:rsidRPr="003056B6">
        <w:t>Other</w:t>
      </w:r>
      <w:r w:rsidR="00F056E7">
        <w:t>’</w:t>
      </w:r>
      <w:r w:rsidRPr="003056B6">
        <w:t xml:space="preserve"> mutation status as compared to 30% (3/10) of </w:t>
      </w:r>
      <w:r w:rsidR="003F3AB4">
        <w:t>ADA positive</w:t>
      </w:r>
      <w:r w:rsidRPr="003056B6">
        <w:t xml:space="preserve"> su</w:t>
      </w:r>
      <w:r w:rsidR="009D434A">
        <w:t>bjects who were categorised as h</w:t>
      </w:r>
      <w:r w:rsidRPr="003056B6">
        <w:t>eterozygous common mutation. In the Updated Pooled Safety Set, 12 subjects tested positive for ADAs during at least 1 assessment including 2 new subjects who tested posit</w:t>
      </w:r>
      <w:r w:rsidR="009D434A">
        <w:t>ive for ADAs after the data cut</w:t>
      </w:r>
      <w:r w:rsidR="009D434A">
        <w:noBreakHyphen/>
      </w:r>
      <w:r w:rsidRPr="003056B6">
        <w:t xml:space="preserve">off for the Pooled Safety Set (1 subject in </w:t>
      </w:r>
      <w:r w:rsidR="00157E63">
        <w:t>Study</w:t>
      </w:r>
      <w:r w:rsidRPr="003056B6">
        <w:t xml:space="preserve"> LAL-CL02 who tested positive during the </w:t>
      </w:r>
      <w:r w:rsidR="00B73619">
        <w:t>open label</w:t>
      </w:r>
      <w:r w:rsidRPr="003056B6">
        <w:t xml:space="preserve"> period, and 1 subject in </w:t>
      </w:r>
      <w:r w:rsidR="00157E63">
        <w:t>Study</w:t>
      </w:r>
      <w:r w:rsidRPr="003056B6">
        <w:t xml:space="preserve"> LAL-CL08</w:t>
      </w:r>
      <w:r w:rsidRPr="00FA48CC">
        <w:t>)</w:t>
      </w:r>
      <w:r w:rsidR="009D434A" w:rsidRPr="00FA48CC">
        <w:t xml:space="preserve">. Table </w:t>
      </w:r>
      <w:r w:rsidR="00FA48CC" w:rsidRPr="00FA48CC">
        <w:t>33</w:t>
      </w:r>
      <w:r w:rsidRPr="00FA48CC">
        <w:t xml:space="preserve"> summarises</w:t>
      </w:r>
      <w:r w:rsidRPr="003056B6">
        <w:t xml:space="preserve"> TEAEs by ADA status and overall for subjects in the Pooled Safety Set and for the Updated Pooled Safety Set. No </w:t>
      </w:r>
      <w:r w:rsidR="003F3AB4">
        <w:t>ADA positive</w:t>
      </w:r>
      <w:r w:rsidRPr="003056B6">
        <w:t xml:space="preserve"> subject died, discontinued </w:t>
      </w:r>
      <w:r w:rsidR="00C4359A">
        <w:t>study</w:t>
      </w:r>
      <w:r w:rsidRPr="003056B6">
        <w:t xml:space="preserve"> drug, or withdrew from a </w:t>
      </w:r>
      <w:r w:rsidR="00C4359A">
        <w:t>study</w:t>
      </w:r>
      <w:r w:rsidRPr="003056B6">
        <w:t xml:space="preserve"> due to TEAEs through the data cut-off for the Updated Pooled Safety Set.</w:t>
      </w:r>
    </w:p>
    <w:p w14:paraId="476BC98B" w14:textId="77777777" w:rsidR="00787F40" w:rsidRDefault="00787F40" w:rsidP="00787F40">
      <w:pPr>
        <w:autoSpaceDE w:val="0"/>
        <w:autoSpaceDN w:val="0"/>
        <w:adjustRightInd w:val="0"/>
        <w:spacing w:before="0" w:line="240" w:lineRule="auto"/>
        <w:rPr>
          <w:rFonts w:asciiTheme="minorHAnsi" w:hAnsiTheme="minorHAnsi"/>
        </w:rPr>
      </w:pPr>
      <w:r w:rsidRPr="003056B6">
        <w:rPr>
          <w:rFonts w:asciiTheme="minorHAnsi" w:hAnsiTheme="minorHAnsi"/>
        </w:rPr>
        <w:lastRenderedPageBreak/>
        <w:t xml:space="preserve">There was a marked difference in the proportion of infants in the </w:t>
      </w:r>
      <w:r w:rsidR="003F3AB4">
        <w:rPr>
          <w:rFonts w:asciiTheme="minorHAnsi" w:hAnsiTheme="minorHAnsi"/>
        </w:rPr>
        <w:t>ADA positive</w:t>
      </w:r>
      <w:r w:rsidRPr="003056B6">
        <w:rPr>
          <w:rFonts w:asciiTheme="minorHAnsi" w:hAnsiTheme="minorHAnsi"/>
        </w:rPr>
        <w:t xml:space="preserve"> group (40.0%) compared with the </w:t>
      </w:r>
      <w:r w:rsidR="009D434A">
        <w:rPr>
          <w:rFonts w:asciiTheme="minorHAnsi" w:hAnsiTheme="minorHAnsi"/>
        </w:rPr>
        <w:t>ADA negative</w:t>
      </w:r>
      <w:r w:rsidRPr="003056B6">
        <w:rPr>
          <w:rFonts w:asciiTheme="minorHAnsi" w:hAnsiTheme="minorHAnsi"/>
        </w:rPr>
        <w:t xml:space="preserve"> group (6.8%) and this, together with the limited number of </w:t>
      </w:r>
      <w:r w:rsidR="003F3AB4">
        <w:rPr>
          <w:rFonts w:asciiTheme="minorHAnsi" w:hAnsiTheme="minorHAnsi"/>
        </w:rPr>
        <w:t>ADA positive</w:t>
      </w:r>
      <w:r w:rsidRPr="003056B6">
        <w:rPr>
          <w:rFonts w:asciiTheme="minorHAnsi" w:hAnsiTheme="minorHAnsi"/>
        </w:rPr>
        <w:t xml:space="preserve"> subjects overall (N</w:t>
      </w:r>
      <w:r w:rsidR="002D28A4">
        <w:rPr>
          <w:rFonts w:asciiTheme="minorHAnsi" w:hAnsiTheme="minorHAnsi"/>
        </w:rPr>
        <w:t xml:space="preserve"> = </w:t>
      </w:r>
      <w:r w:rsidRPr="003056B6">
        <w:rPr>
          <w:rFonts w:asciiTheme="minorHAnsi" w:hAnsiTheme="minorHAnsi"/>
        </w:rPr>
        <w:t xml:space="preserve">10) and fluctuations in ADA positivity in these subjects over time, precluded any meaningful conclusions </w:t>
      </w:r>
      <w:r>
        <w:rPr>
          <w:rFonts w:asciiTheme="minorHAnsi" w:hAnsiTheme="minorHAnsi"/>
        </w:rPr>
        <w:t xml:space="preserve">regarding effects on </w:t>
      </w:r>
      <w:r w:rsidRPr="003056B6">
        <w:rPr>
          <w:rFonts w:asciiTheme="minorHAnsi" w:hAnsiTheme="minorHAnsi"/>
        </w:rPr>
        <w:t>laboratory parameters by ADA status.</w:t>
      </w:r>
    </w:p>
    <w:p w14:paraId="0D1FAF4B" w14:textId="77777777" w:rsidR="009D434A" w:rsidRDefault="009D434A" w:rsidP="009D434A">
      <w:pPr>
        <w:pStyle w:val="Tabletitle"/>
      </w:pPr>
      <w:r>
        <w:t xml:space="preserve">Table </w:t>
      </w:r>
      <w:r w:rsidR="00FA48CC">
        <w:t>33:</w:t>
      </w:r>
      <w:r>
        <w:t xml:space="preserve"> Overview of treatment emergent adverse events in the pooled safety set and updated pooled safety set by antibody status and overall</w:t>
      </w:r>
    </w:p>
    <w:p w14:paraId="139499E7" w14:textId="77777777" w:rsidR="009D434A" w:rsidRPr="009D434A" w:rsidRDefault="00951F3F" w:rsidP="009D434A">
      <w:r>
        <w:rPr>
          <w:noProof/>
          <w:lang w:eastAsia="en-AU"/>
        </w:rPr>
        <w:drawing>
          <wp:inline distT="0" distB="0" distL="0" distR="0" wp14:anchorId="3ED086CC" wp14:editId="60D00C4F">
            <wp:extent cx="5731510" cy="3050682"/>
            <wp:effectExtent l="0" t="0" r="2540" b="0"/>
            <wp:docPr id="25" name="Picture 25" descr="Table 33: Overview of treatment emergent adverse events in the pooled safety set and updated pooled safety set by antibody status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3050682"/>
                    </a:xfrm>
                    <a:prstGeom prst="rect">
                      <a:avLst/>
                    </a:prstGeom>
                  </pic:spPr>
                </pic:pic>
              </a:graphicData>
            </a:graphic>
          </wp:inline>
        </w:drawing>
      </w:r>
    </w:p>
    <w:p w14:paraId="46E0FB99" w14:textId="77777777" w:rsidR="00CC672B" w:rsidRDefault="00787F40" w:rsidP="00E66350">
      <w:pPr>
        <w:pStyle w:val="Heading6"/>
      </w:pPr>
      <w:r w:rsidRPr="003056B6">
        <w:t>Hypersensitivity reactions</w:t>
      </w:r>
    </w:p>
    <w:p w14:paraId="4020FDC4" w14:textId="77777777" w:rsidR="00787F40" w:rsidRPr="003056B6" w:rsidRDefault="00787F40" w:rsidP="00787F40">
      <w:pPr>
        <w:spacing w:before="0" w:line="240" w:lineRule="auto"/>
        <w:rPr>
          <w:rFonts w:asciiTheme="minorHAnsi" w:hAnsiTheme="minorHAnsi"/>
        </w:rPr>
      </w:pPr>
      <w:r w:rsidRPr="003056B6">
        <w:rPr>
          <w:rFonts w:asciiTheme="minorHAnsi" w:hAnsiTheme="minorHAnsi"/>
        </w:rPr>
        <w:t>In the Pooled Safety Set, a total of 16/84 (19.0%) subjects, including 5/9 (56.0%) infants and 11/75 (15.0%) children and adults, were reported to have experienced signs and symptoms either consistent with or potentially related to a hypersensitivity reaction. All these potential hypersensitivity reactions were mild or moderate in severity with the exception of severe TEAEs in 3 subjects.</w:t>
      </w:r>
    </w:p>
    <w:p w14:paraId="4CB4123B" w14:textId="77777777" w:rsidR="00B73619" w:rsidRDefault="00787F40" w:rsidP="00787F40">
      <w:pPr>
        <w:autoSpaceDE w:val="0"/>
        <w:autoSpaceDN w:val="0"/>
        <w:adjustRightInd w:val="0"/>
        <w:spacing w:before="0" w:line="240" w:lineRule="auto"/>
        <w:rPr>
          <w:rFonts w:asciiTheme="minorHAnsi" w:eastAsiaTheme="minorHAnsi" w:hAnsiTheme="minorHAnsi"/>
          <w:color w:val="000000"/>
        </w:rPr>
      </w:pPr>
      <w:r w:rsidRPr="003056B6">
        <w:rPr>
          <w:rFonts w:asciiTheme="minorHAnsi" w:eastAsiaTheme="minorHAnsi" w:hAnsiTheme="minorHAnsi"/>
          <w:color w:val="000000"/>
        </w:rPr>
        <w:t>In the Updated Pooled Safety Set, a total of 21/106 (19.8%) subjects, including 9/14 infants (64.3%) and 12/92 children and adults (13.0%), experienced signs and symptoms either consistent with or potentially related to a hypersensitivity reaction</w:t>
      </w:r>
      <w:r w:rsidRPr="003056B6">
        <w:rPr>
          <w:rFonts w:asciiTheme="minorHAnsi" w:eastAsiaTheme="minorHAnsi" w:hAnsiTheme="minorHAnsi"/>
          <w:b/>
          <w:color w:val="000000"/>
        </w:rPr>
        <w:t>.</w:t>
      </w:r>
      <w:r w:rsidRPr="003056B6">
        <w:rPr>
          <w:rFonts w:asciiTheme="minorHAnsi" w:eastAsiaTheme="minorHAnsi" w:hAnsiTheme="minorHAnsi"/>
          <w:color w:val="000000"/>
        </w:rPr>
        <w:t xml:space="preserve"> The Updated Pooled Safety Set included 5 new subjects with potential hypersensitivity reactions. All new potential hypersensitivity reactions were mild or moderate in severity, with the exception of severe hypersensitivity reactions occurring in 2 subjects</w:t>
      </w:r>
      <w:r w:rsidR="00B73619">
        <w:rPr>
          <w:rFonts w:asciiTheme="minorHAnsi" w:eastAsiaTheme="minorHAnsi" w:hAnsiTheme="minorHAnsi"/>
          <w:color w:val="000000"/>
        </w:rPr>
        <w:t>.</w:t>
      </w:r>
    </w:p>
    <w:p w14:paraId="332C4CF5" w14:textId="77777777" w:rsidR="00787F40" w:rsidRPr="003056B6" w:rsidRDefault="00787F40" w:rsidP="00787F40">
      <w:pPr>
        <w:autoSpaceDE w:val="0"/>
        <w:autoSpaceDN w:val="0"/>
        <w:adjustRightInd w:val="0"/>
        <w:spacing w:before="0" w:line="240" w:lineRule="auto"/>
        <w:rPr>
          <w:rFonts w:asciiTheme="minorHAnsi" w:hAnsiTheme="minorHAnsi"/>
        </w:rPr>
      </w:pPr>
      <w:r w:rsidRPr="003056B6">
        <w:rPr>
          <w:rFonts w:asciiTheme="minorHAnsi" w:hAnsiTheme="minorHAnsi"/>
        </w:rPr>
        <w:t xml:space="preserve">No clear relationship between the presence of ADAs and hypersensitivity reactions was apparent. Furthermore, the TEAE profile seen among </w:t>
      </w:r>
      <w:r w:rsidR="003F3AB4">
        <w:rPr>
          <w:rFonts w:asciiTheme="minorHAnsi" w:hAnsiTheme="minorHAnsi"/>
        </w:rPr>
        <w:t>ADA positive</w:t>
      </w:r>
      <w:r w:rsidRPr="003056B6">
        <w:rPr>
          <w:rFonts w:asciiTheme="minorHAnsi" w:hAnsiTheme="minorHAnsi"/>
        </w:rPr>
        <w:t xml:space="preserve"> subjects was consistent with that in the </w:t>
      </w:r>
      <w:r w:rsidR="00C4359A">
        <w:rPr>
          <w:rFonts w:asciiTheme="minorHAnsi" w:hAnsiTheme="minorHAnsi"/>
        </w:rPr>
        <w:t>study</w:t>
      </w:r>
      <w:r w:rsidRPr="003056B6">
        <w:rPr>
          <w:rFonts w:asciiTheme="minorHAnsi" w:hAnsiTheme="minorHAnsi"/>
        </w:rPr>
        <w:t xml:space="preserve"> population as a whole (</w:t>
      </w:r>
      <w:r w:rsidR="003F3AB4">
        <w:rPr>
          <w:rFonts w:asciiTheme="minorHAnsi" w:hAnsiTheme="minorHAnsi"/>
        </w:rPr>
        <w:t>that is</w:t>
      </w:r>
      <w:r w:rsidRPr="003056B6">
        <w:rPr>
          <w:rFonts w:asciiTheme="minorHAnsi" w:hAnsiTheme="minorHAnsi"/>
        </w:rPr>
        <w:t xml:space="preserve">, Pooled Safety Set), and no </w:t>
      </w:r>
      <w:r w:rsidR="003F3AB4">
        <w:rPr>
          <w:rFonts w:asciiTheme="minorHAnsi" w:hAnsiTheme="minorHAnsi"/>
        </w:rPr>
        <w:t>ADA positive</w:t>
      </w:r>
      <w:r w:rsidRPr="003056B6">
        <w:rPr>
          <w:rFonts w:asciiTheme="minorHAnsi" w:hAnsiTheme="minorHAnsi"/>
        </w:rPr>
        <w:t xml:space="preserve"> subject experienced a severe TEAE, SAE, or TEAE that led to </w:t>
      </w:r>
      <w:r w:rsidR="00C4359A">
        <w:rPr>
          <w:rFonts w:asciiTheme="minorHAnsi" w:hAnsiTheme="minorHAnsi"/>
        </w:rPr>
        <w:t>study</w:t>
      </w:r>
      <w:r w:rsidRPr="003056B6">
        <w:rPr>
          <w:rFonts w:asciiTheme="minorHAnsi" w:hAnsiTheme="minorHAnsi"/>
        </w:rPr>
        <w:t xml:space="preserve"> drug discontinuation.</w:t>
      </w:r>
    </w:p>
    <w:p w14:paraId="45911F95" w14:textId="77777777" w:rsidR="00787F40" w:rsidRPr="003056B6" w:rsidRDefault="00787F40" w:rsidP="00787F40">
      <w:pPr>
        <w:autoSpaceDE w:val="0"/>
        <w:autoSpaceDN w:val="0"/>
        <w:adjustRightInd w:val="0"/>
        <w:spacing w:before="0" w:line="240" w:lineRule="auto"/>
        <w:rPr>
          <w:rFonts w:asciiTheme="minorHAnsi" w:hAnsiTheme="minorHAnsi"/>
        </w:rPr>
      </w:pPr>
      <w:r w:rsidRPr="003056B6">
        <w:rPr>
          <w:rFonts w:asciiTheme="minorHAnsi" w:hAnsiTheme="minorHAnsi"/>
        </w:rPr>
        <w:t>Three subjects experienced signs and symptoms consistent with an anaphylactic reaction:</w:t>
      </w:r>
    </w:p>
    <w:p w14:paraId="6B756307" w14:textId="77777777" w:rsidR="00B73619" w:rsidRDefault="00787F40" w:rsidP="00E66350">
      <w:pPr>
        <w:pStyle w:val="ListBullet"/>
      </w:pPr>
      <w:r w:rsidRPr="00E66350">
        <w:t xml:space="preserve">In </w:t>
      </w:r>
      <w:r w:rsidR="00157E63">
        <w:t>Study</w:t>
      </w:r>
      <w:r w:rsidRPr="00E66350">
        <w:t xml:space="preserve"> LAL-CL02, a subject exper</w:t>
      </w:r>
      <w:r w:rsidR="009D434A">
        <w:t>ienced an anaphylactic reaction</w:t>
      </w:r>
      <w:r w:rsidRPr="00E66350">
        <w:t xml:space="preserve"> during </w:t>
      </w:r>
      <w:r w:rsidR="00B73619">
        <w:t>open label</w:t>
      </w:r>
      <w:r w:rsidRPr="00E66350">
        <w:t xml:space="preserve"> treatment with </w:t>
      </w:r>
      <w:proofErr w:type="spellStart"/>
      <w:r w:rsidRPr="00E66350">
        <w:t>sebelipase</w:t>
      </w:r>
      <w:proofErr w:type="spellEnd"/>
      <w:r w:rsidRPr="00E66350">
        <w:t xml:space="preserve"> alfa </w:t>
      </w:r>
      <w:r w:rsidR="00131B1C">
        <w:t>1 mg</w:t>
      </w:r>
      <w:r w:rsidRPr="00E66350">
        <w:t xml:space="preserve">/kg </w:t>
      </w:r>
      <w:proofErr w:type="spellStart"/>
      <w:r w:rsidRPr="00E66350">
        <w:t>qow</w:t>
      </w:r>
      <w:proofErr w:type="spellEnd"/>
      <w:r w:rsidRPr="00E66350">
        <w:t>. Treatment has been paused pending further evaluation</w:t>
      </w:r>
      <w:r w:rsidR="00B73619">
        <w:t>.</w:t>
      </w:r>
    </w:p>
    <w:p w14:paraId="116503D3" w14:textId="77777777" w:rsidR="00B73619" w:rsidRDefault="00787F40" w:rsidP="00E66350">
      <w:pPr>
        <w:pStyle w:val="ListBullet"/>
      </w:pPr>
      <w:r w:rsidRPr="00E66350">
        <w:t xml:space="preserve">In </w:t>
      </w:r>
      <w:r w:rsidR="00157E63">
        <w:t>Study</w:t>
      </w:r>
      <w:r w:rsidRPr="00E66350">
        <w:t xml:space="preserve"> LAL-CL08, an infant experienced signs and symptoms of anaphylaxis, 15 mins from start of the 6</w:t>
      </w:r>
      <w:r w:rsidRPr="00E66350">
        <w:rPr>
          <w:vertAlign w:val="superscript"/>
        </w:rPr>
        <w:t>th</w:t>
      </w:r>
      <w:r w:rsidRPr="00E66350">
        <w:t xml:space="preserve"> infusion at </w:t>
      </w:r>
      <w:r w:rsidR="00131B1C">
        <w:t>1 mg</w:t>
      </w:r>
      <w:r w:rsidRPr="00E66350">
        <w:t xml:space="preserve">/kg once weekly. All symptoms resolved on discontinuation </w:t>
      </w:r>
      <w:r w:rsidRPr="00E66350">
        <w:lastRenderedPageBreak/>
        <w:t xml:space="preserve">of treatment and this subject continues on treatment in the </w:t>
      </w:r>
      <w:r w:rsidR="00C4359A">
        <w:t>study</w:t>
      </w:r>
      <w:r w:rsidRPr="00E66350">
        <w:t xml:space="preserve"> with no further reports of IARs</w:t>
      </w:r>
      <w:r w:rsidR="00B73619">
        <w:t>.</w:t>
      </w:r>
    </w:p>
    <w:p w14:paraId="6B5067ED" w14:textId="77777777" w:rsidR="00787F40" w:rsidRPr="00E66350" w:rsidRDefault="00787F40" w:rsidP="00E66350">
      <w:pPr>
        <w:pStyle w:val="ListBullet"/>
        <w:rPr>
          <w:lang w:eastAsia="ja-JP"/>
        </w:rPr>
      </w:pPr>
      <w:r w:rsidRPr="00E66350">
        <w:t xml:space="preserve">In </w:t>
      </w:r>
      <w:r w:rsidR="00157E63">
        <w:t>Study</w:t>
      </w:r>
      <w:r w:rsidRPr="00E66350">
        <w:t xml:space="preserve"> LAL-CL06, a subject experienced an SAE of anaphylactic reaction on </w:t>
      </w:r>
      <w:r w:rsidR="00C4359A">
        <w:t>study</w:t>
      </w:r>
      <w:r w:rsidRPr="00E66350">
        <w:t xml:space="preserve"> Day 86 (seventh infusion) after 90 minutes of infusion of 1 mg/kg </w:t>
      </w:r>
      <w:proofErr w:type="spellStart"/>
      <w:r w:rsidRPr="00E66350">
        <w:t>qow</w:t>
      </w:r>
      <w:proofErr w:type="spellEnd"/>
      <w:r w:rsidRPr="00E66350">
        <w:t xml:space="preserve"> </w:t>
      </w:r>
      <w:proofErr w:type="spellStart"/>
      <w:r w:rsidRPr="00E66350">
        <w:t>sebelipase</w:t>
      </w:r>
      <w:proofErr w:type="spellEnd"/>
      <w:r w:rsidRPr="00E66350">
        <w:t xml:space="preserve"> alfa. The subject continues in the </w:t>
      </w:r>
      <w:r w:rsidR="00C4359A">
        <w:t>study</w:t>
      </w:r>
      <w:r w:rsidRPr="00E66350">
        <w:t xml:space="preserve">, receiving </w:t>
      </w:r>
      <w:proofErr w:type="spellStart"/>
      <w:r w:rsidRPr="00E66350">
        <w:t>sebelipase</w:t>
      </w:r>
      <w:proofErr w:type="spellEnd"/>
      <w:r w:rsidRPr="00E66350">
        <w:t xml:space="preserve"> alfa infusions under a desensitization protocol.</w:t>
      </w:r>
    </w:p>
    <w:p w14:paraId="06AFEABC" w14:textId="77777777" w:rsidR="00787F40" w:rsidRDefault="00787F40" w:rsidP="00787F40">
      <w:pPr>
        <w:spacing w:before="0" w:line="240" w:lineRule="auto"/>
        <w:rPr>
          <w:rFonts w:asciiTheme="minorHAnsi" w:eastAsiaTheme="minorHAnsi" w:hAnsiTheme="minorHAnsi"/>
          <w:color w:val="000000"/>
        </w:rPr>
      </w:pPr>
      <w:r w:rsidRPr="003056B6">
        <w:rPr>
          <w:rFonts w:asciiTheme="minorHAnsi" w:hAnsiTheme="minorHAnsi"/>
        </w:rPr>
        <w:t xml:space="preserve">Due to the low level of immunogenicity found in the clinical studies of </w:t>
      </w:r>
      <w:proofErr w:type="spellStart"/>
      <w:r w:rsidRPr="003056B6">
        <w:rPr>
          <w:rFonts w:asciiTheme="minorHAnsi" w:hAnsiTheme="minorHAnsi"/>
        </w:rPr>
        <w:t>sebelipase</w:t>
      </w:r>
      <w:proofErr w:type="spellEnd"/>
      <w:r w:rsidRPr="003056B6">
        <w:rPr>
          <w:rFonts w:asciiTheme="minorHAnsi" w:hAnsiTheme="minorHAnsi"/>
        </w:rPr>
        <w:t xml:space="preserve"> alfa, immunogenicity was not considered in the </w:t>
      </w:r>
      <w:r w:rsidR="009D434A">
        <w:rPr>
          <w:rFonts w:asciiTheme="minorHAnsi" w:hAnsiTheme="minorHAnsi"/>
        </w:rPr>
        <w:t>e</w:t>
      </w:r>
      <w:r w:rsidR="003F3AB4">
        <w:rPr>
          <w:rFonts w:asciiTheme="minorHAnsi" w:hAnsiTheme="minorHAnsi"/>
        </w:rPr>
        <w:t>xposure response</w:t>
      </w:r>
      <w:r w:rsidRPr="003056B6">
        <w:rPr>
          <w:rFonts w:asciiTheme="minorHAnsi" w:hAnsiTheme="minorHAnsi"/>
        </w:rPr>
        <w:t xml:space="preserve"> analyses of efficacy endpoints or safety endpoints (occurrence of IARs). </w:t>
      </w:r>
      <w:r w:rsidRPr="003056B6">
        <w:rPr>
          <w:rFonts w:asciiTheme="minorHAnsi" w:eastAsiaTheme="minorHAnsi" w:hAnsiTheme="minorHAnsi"/>
          <w:color w:val="000000"/>
        </w:rPr>
        <w:t xml:space="preserve">The population PK analysis of </w:t>
      </w:r>
      <w:proofErr w:type="spellStart"/>
      <w:r w:rsidRPr="003056B6">
        <w:rPr>
          <w:rFonts w:asciiTheme="minorHAnsi" w:eastAsiaTheme="minorHAnsi" w:hAnsiTheme="minorHAnsi"/>
          <w:color w:val="000000"/>
        </w:rPr>
        <w:t>sebelipase</w:t>
      </w:r>
      <w:proofErr w:type="spellEnd"/>
      <w:r w:rsidRPr="003056B6">
        <w:rPr>
          <w:rFonts w:asciiTheme="minorHAnsi" w:eastAsiaTheme="minorHAnsi" w:hAnsiTheme="minorHAnsi"/>
          <w:color w:val="000000"/>
        </w:rPr>
        <w:t xml:space="preserve"> alfa revealed no relevant effect of ADA positivity on the exposure to </w:t>
      </w:r>
      <w:proofErr w:type="spellStart"/>
      <w:r w:rsidRPr="003056B6">
        <w:rPr>
          <w:rFonts w:asciiTheme="minorHAnsi" w:eastAsiaTheme="minorHAnsi" w:hAnsiTheme="minorHAnsi"/>
          <w:color w:val="000000"/>
        </w:rPr>
        <w:t>sebelipase</w:t>
      </w:r>
      <w:proofErr w:type="spellEnd"/>
      <w:r w:rsidRPr="003056B6">
        <w:rPr>
          <w:rFonts w:asciiTheme="minorHAnsi" w:eastAsiaTheme="minorHAnsi" w:hAnsiTheme="minorHAnsi"/>
          <w:color w:val="000000"/>
        </w:rPr>
        <w:t xml:space="preserve"> alfa. In </w:t>
      </w:r>
      <w:r w:rsidR="00157E63">
        <w:rPr>
          <w:rFonts w:asciiTheme="minorHAnsi" w:eastAsiaTheme="minorHAnsi" w:hAnsiTheme="minorHAnsi"/>
          <w:color w:val="000000"/>
        </w:rPr>
        <w:t>Study</w:t>
      </w:r>
      <w:r w:rsidRPr="003056B6">
        <w:rPr>
          <w:rFonts w:asciiTheme="minorHAnsi" w:eastAsiaTheme="minorHAnsi" w:hAnsiTheme="minorHAnsi"/>
          <w:color w:val="000000"/>
        </w:rPr>
        <w:t xml:space="preserve"> LAL-CL02 (in children and adults) and </w:t>
      </w:r>
      <w:r w:rsidR="00157E63">
        <w:rPr>
          <w:rFonts w:asciiTheme="minorHAnsi" w:eastAsiaTheme="minorHAnsi" w:hAnsiTheme="minorHAnsi"/>
          <w:color w:val="000000"/>
        </w:rPr>
        <w:t>Study</w:t>
      </w:r>
      <w:r w:rsidRPr="003056B6">
        <w:rPr>
          <w:rFonts w:asciiTheme="minorHAnsi" w:eastAsiaTheme="minorHAnsi" w:hAnsiTheme="minorHAnsi"/>
          <w:color w:val="000000"/>
        </w:rPr>
        <w:t xml:space="preserve"> LAL-CL04 (in adults), there were no relevant effects of ADAs on the clinical efficacy and safety findings. In </w:t>
      </w:r>
      <w:r w:rsidR="00157E63">
        <w:rPr>
          <w:rFonts w:asciiTheme="minorHAnsi" w:eastAsiaTheme="minorHAnsi" w:hAnsiTheme="minorHAnsi"/>
          <w:color w:val="000000"/>
        </w:rPr>
        <w:t>Study</w:t>
      </w:r>
      <w:r w:rsidRPr="003056B6">
        <w:rPr>
          <w:rFonts w:asciiTheme="minorHAnsi" w:eastAsiaTheme="minorHAnsi" w:hAnsiTheme="minorHAnsi"/>
          <w:color w:val="000000"/>
        </w:rPr>
        <w:t xml:space="preserve"> LAL-CL03 (in infants), however, some potential impact on efficacy was observed in one infant positive for ADAs.</w:t>
      </w:r>
    </w:p>
    <w:p w14:paraId="25CCD6AF" w14:textId="77777777" w:rsidR="00787F40" w:rsidRPr="003056B6" w:rsidRDefault="00787F40" w:rsidP="00E66350">
      <w:pPr>
        <w:pStyle w:val="Heading5"/>
      </w:pPr>
      <w:r w:rsidRPr="003056B6">
        <w:t>Pivotal and/or main efficacy studies</w:t>
      </w:r>
    </w:p>
    <w:p w14:paraId="3E54CDBE" w14:textId="77777777" w:rsidR="00787F40" w:rsidRPr="003056B6" w:rsidRDefault="00787F40" w:rsidP="00787F40">
      <w:pPr>
        <w:autoSpaceDE w:val="0"/>
        <w:autoSpaceDN w:val="0"/>
        <w:adjustRightInd w:val="0"/>
        <w:spacing w:before="0" w:line="240" w:lineRule="auto"/>
        <w:rPr>
          <w:rFonts w:asciiTheme="minorHAnsi" w:eastAsiaTheme="minorHAnsi" w:hAnsiTheme="minorHAnsi" w:cs="TimesNewRomanPSMT"/>
        </w:rPr>
      </w:pPr>
      <w:r w:rsidRPr="003056B6">
        <w:rPr>
          <w:rFonts w:asciiTheme="minorHAnsi" w:hAnsiTheme="minorHAnsi"/>
        </w:rPr>
        <w:t xml:space="preserve">In </w:t>
      </w:r>
      <w:r w:rsidR="00157E63">
        <w:rPr>
          <w:rFonts w:asciiTheme="minorHAnsi" w:hAnsiTheme="minorHAnsi"/>
        </w:rPr>
        <w:t>Study</w:t>
      </w:r>
      <w:r w:rsidRPr="003056B6">
        <w:rPr>
          <w:rFonts w:asciiTheme="minorHAnsi" w:hAnsiTheme="minorHAnsi"/>
        </w:rPr>
        <w:t xml:space="preserve"> LAL-CL02, </w:t>
      </w:r>
      <w:r w:rsidRPr="003056B6">
        <w:rPr>
          <w:rFonts w:asciiTheme="minorHAnsi" w:eastAsiaTheme="minorHAnsi" w:hAnsiTheme="minorHAnsi" w:cs="TimesNewRomanPSMT"/>
        </w:rPr>
        <w:t xml:space="preserve">5 (8%) 66 subjects exposed to </w:t>
      </w:r>
      <w:proofErr w:type="spellStart"/>
      <w:r w:rsidRPr="003056B6">
        <w:rPr>
          <w:rFonts w:asciiTheme="minorHAnsi" w:eastAsiaTheme="minorHAnsi" w:hAnsiTheme="minorHAnsi" w:cs="TimesNewRomanPSMT"/>
        </w:rPr>
        <w:t>sebelipase</w:t>
      </w:r>
      <w:proofErr w:type="spellEnd"/>
      <w:r w:rsidRPr="003056B6">
        <w:rPr>
          <w:rFonts w:asciiTheme="minorHAnsi" w:eastAsiaTheme="minorHAnsi" w:hAnsiTheme="minorHAnsi" w:cs="TimesNewRomanPSMT"/>
        </w:rPr>
        <w:t xml:space="preserve"> alfa were determined to be </w:t>
      </w:r>
      <w:r w:rsidR="003F3AB4">
        <w:rPr>
          <w:rFonts w:asciiTheme="minorHAnsi" w:eastAsiaTheme="minorHAnsi" w:hAnsiTheme="minorHAnsi" w:cs="TimesNewRomanPSMT"/>
        </w:rPr>
        <w:t>ADA positive</w:t>
      </w:r>
      <w:r w:rsidRPr="003056B6">
        <w:rPr>
          <w:rFonts w:asciiTheme="minorHAnsi" w:eastAsiaTheme="minorHAnsi" w:hAnsiTheme="minorHAnsi" w:cs="TimesNewRomanPSMT"/>
        </w:rPr>
        <w:t xml:space="preserve"> at some point during the </w:t>
      </w:r>
      <w:r w:rsidR="00C4359A">
        <w:rPr>
          <w:rFonts w:asciiTheme="minorHAnsi" w:eastAsiaTheme="minorHAnsi" w:hAnsiTheme="minorHAnsi" w:cs="TimesNewRomanPSMT"/>
        </w:rPr>
        <w:t>study</w:t>
      </w:r>
      <w:r w:rsidRPr="003056B6">
        <w:rPr>
          <w:rFonts w:asciiTheme="minorHAnsi" w:hAnsiTheme="minorHAnsi"/>
        </w:rPr>
        <w:t xml:space="preserve"> with 1 additional subject reported as </w:t>
      </w:r>
      <w:r w:rsidR="003F3AB4">
        <w:rPr>
          <w:rFonts w:asciiTheme="minorHAnsi" w:hAnsiTheme="minorHAnsi"/>
        </w:rPr>
        <w:t>ADA positive</w:t>
      </w:r>
      <w:r w:rsidRPr="003056B6">
        <w:rPr>
          <w:rFonts w:asciiTheme="minorHAnsi" w:hAnsiTheme="minorHAnsi"/>
        </w:rPr>
        <w:t xml:space="preserve"> in the Updated Pooled Safety Set</w:t>
      </w:r>
      <w:r w:rsidRPr="003056B6">
        <w:rPr>
          <w:rFonts w:asciiTheme="minorHAnsi" w:eastAsiaTheme="minorHAnsi" w:hAnsiTheme="minorHAnsi" w:cs="TimesNewRomanPSMT"/>
        </w:rPr>
        <w:t xml:space="preserve">. Among these </w:t>
      </w:r>
      <w:r w:rsidR="003F3AB4">
        <w:rPr>
          <w:rFonts w:asciiTheme="minorHAnsi" w:eastAsiaTheme="minorHAnsi" w:hAnsiTheme="minorHAnsi" w:cs="TimesNewRomanPSMT"/>
        </w:rPr>
        <w:t>ADA positive</w:t>
      </w:r>
      <w:r w:rsidRPr="003056B6">
        <w:rPr>
          <w:rFonts w:asciiTheme="minorHAnsi" w:eastAsiaTheme="minorHAnsi" w:hAnsiTheme="minorHAnsi" w:cs="TimesNewRomanPSMT"/>
        </w:rPr>
        <w:t xml:space="preserve"> subjects, ADA titres were low and decreased to undetectable levels by the last time point assessed, and no subject developed neutralising antibodies at any time. The TEAE profile seen among </w:t>
      </w:r>
      <w:r w:rsidR="003F3AB4">
        <w:rPr>
          <w:rFonts w:asciiTheme="minorHAnsi" w:eastAsiaTheme="minorHAnsi" w:hAnsiTheme="minorHAnsi" w:cs="TimesNewRomanPSMT"/>
        </w:rPr>
        <w:t>ADA positive</w:t>
      </w:r>
      <w:r w:rsidRPr="003056B6">
        <w:rPr>
          <w:rFonts w:asciiTheme="minorHAnsi" w:eastAsiaTheme="minorHAnsi" w:hAnsiTheme="minorHAnsi" w:cs="TimesNewRomanPSMT"/>
        </w:rPr>
        <w:t xml:space="preserve"> subjects was consistent with that in the </w:t>
      </w:r>
      <w:r w:rsidR="00C4359A">
        <w:rPr>
          <w:rFonts w:asciiTheme="minorHAnsi" w:eastAsiaTheme="minorHAnsi" w:hAnsiTheme="minorHAnsi" w:cs="TimesNewRomanPSMT"/>
        </w:rPr>
        <w:t>study</w:t>
      </w:r>
      <w:r w:rsidRPr="003056B6">
        <w:rPr>
          <w:rFonts w:asciiTheme="minorHAnsi" w:eastAsiaTheme="minorHAnsi" w:hAnsiTheme="minorHAnsi" w:cs="TimesNewRomanPSMT"/>
        </w:rPr>
        <w:t xml:space="preserve"> population as a whole, and no </w:t>
      </w:r>
      <w:r w:rsidR="003F3AB4">
        <w:rPr>
          <w:rFonts w:asciiTheme="minorHAnsi" w:eastAsiaTheme="minorHAnsi" w:hAnsiTheme="minorHAnsi" w:cs="TimesNewRomanPSMT"/>
        </w:rPr>
        <w:t>ADA positive</w:t>
      </w:r>
      <w:r w:rsidRPr="003056B6">
        <w:rPr>
          <w:rFonts w:asciiTheme="minorHAnsi" w:eastAsiaTheme="minorHAnsi" w:hAnsiTheme="minorHAnsi" w:cs="TimesNewRomanPSMT"/>
        </w:rPr>
        <w:t xml:space="preserve"> subject experienced a severe TEAE, SAE, or TEAE leading to </w:t>
      </w:r>
      <w:r w:rsidR="00C4359A">
        <w:rPr>
          <w:rFonts w:asciiTheme="minorHAnsi" w:eastAsiaTheme="minorHAnsi" w:hAnsiTheme="minorHAnsi" w:cs="TimesNewRomanPSMT"/>
        </w:rPr>
        <w:t>study</w:t>
      </w:r>
      <w:r w:rsidRPr="003056B6">
        <w:rPr>
          <w:rFonts w:asciiTheme="minorHAnsi" w:eastAsiaTheme="minorHAnsi" w:hAnsiTheme="minorHAnsi" w:cs="TimesNewRomanPSMT"/>
        </w:rPr>
        <w:t xml:space="preserve"> dru</w:t>
      </w:r>
      <w:r w:rsidR="009D434A">
        <w:rPr>
          <w:rFonts w:asciiTheme="minorHAnsi" w:eastAsiaTheme="minorHAnsi" w:hAnsiTheme="minorHAnsi" w:cs="TimesNewRomanPSMT"/>
        </w:rPr>
        <w:t>g discontinuation. One of 5 ADA </w:t>
      </w:r>
      <w:r w:rsidRPr="003056B6">
        <w:rPr>
          <w:rFonts w:asciiTheme="minorHAnsi" w:eastAsiaTheme="minorHAnsi" w:hAnsiTheme="minorHAnsi" w:cs="TimesNewRomanPSMT"/>
        </w:rPr>
        <w:t xml:space="preserve">positive subjects experienced a single IAR (mild oedema). No reduction in efficacy of </w:t>
      </w:r>
      <w:proofErr w:type="spellStart"/>
      <w:r w:rsidRPr="003056B6">
        <w:rPr>
          <w:rFonts w:asciiTheme="minorHAnsi" w:eastAsiaTheme="minorHAnsi" w:hAnsiTheme="minorHAnsi" w:cs="TimesNewRomanPSMT"/>
        </w:rPr>
        <w:t>sebelipase</w:t>
      </w:r>
      <w:proofErr w:type="spellEnd"/>
      <w:r w:rsidRPr="003056B6">
        <w:rPr>
          <w:rFonts w:asciiTheme="minorHAnsi" w:eastAsiaTheme="minorHAnsi" w:hAnsiTheme="minorHAnsi" w:cs="TimesNewRomanPSMT"/>
        </w:rPr>
        <w:t xml:space="preserve"> alfa was seen among </w:t>
      </w:r>
      <w:r w:rsidR="003F3AB4">
        <w:rPr>
          <w:rFonts w:asciiTheme="minorHAnsi" w:eastAsiaTheme="minorHAnsi" w:hAnsiTheme="minorHAnsi" w:cs="TimesNewRomanPSMT"/>
        </w:rPr>
        <w:t>ADA positive</w:t>
      </w:r>
      <w:r w:rsidRPr="003056B6">
        <w:rPr>
          <w:rFonts w:asciiTheme="minorHAnsi" w:eastAsiaTheme="minorHAnsi" w:hAnsiTheme="minorHAnsi" w:cs="TimesNewRomanPSMT"/>
        </w:rPr>
        <w:t xml:space="preserve"> subjects.</w:t>
      </w:r>
    </w:p>
    <w:p w14:paraId="5665C784" w14:textId="5180C0AD" w:rsidR="00787F40" w:rsidRPr="000D2935" w:rsidRDefault="00E66350" w:rsidP="00E66350">
      <w:pPr>
        <w:pStyle w:val="Comment"/>
      </w:pPr>
      <w:r w:rsidRPr="00E66350">
        <w:rPr>
          <w:b/>
        </w:rPr>
        <w:t>Comment:</w:t>
      </w:r>
      <w:r w:rsidR="00C662C3" w:rsidRPr="00C662C3">
        <w:rPr>
          <w:b/>
        </w:rPr>
        <w:t xml:space="preserve"> </w:t>
      </w:r>
      <w:r w:rsidR="00787F40" w:rsidRPr="000D2935">
        <w:t xml:space="preserve">It is important to note that the low number of </w:t>
      </w:r>
      <w:r w:rsidR="003F3AB4">
        <w:t>ADA positive</w:t>
      </w:r>
      <w:r w:rsidR="00787F40" w:rsidRPr="000D2935">
        <w:t xml:space="preserve"> subjects in the </w:t>
      </w:r>
      <w:r w:rsidR="00C4359A">
        <w:t>study</w:t>
      </w:r>
      <w:r w:rsidR="00787F40" w:rsidRPr="000D2935">
        <w:t xml:space="preserve"> overall, and the low number of </w:t>
      </w:r>
      <w:r w:rsidR="003F3AB4">
        <w:t>ADA positive</w:t>
      </w:r>
      <w:r w:rsidR="00787F40" w:rsidRPr="000D2935">
        <w:t xml:space="preserve"> subjects experiencing individual TEAEs (with no particular TEAE experienced by </w:t>
      </w:r>
      <w:r w:rsidR="00B73619">
        <w:t xml:space="preserve">&gt; </w:t>
      </w:r>
      <w:r w:rsidR="00787F40" w:rsidRPr="000D2935">
        <w:t xml:space="preserve">3 such subjects in the Pooled Safety Set), precluded any meaningful comparison of the incidence of TEAEs in </w:t>
      </w:r>
      <w:r w:rsidR="003F3AB4">
        <w:t>ADA positive</w:t>
      </w:r>
      <w:r w:rsidR="00787F40" w:rsidRPr="000D2935">
        <w:t xml:space="preserve"> versus </w:t>
      </w:r>
      <w:r w:rsidR="009D434A">
        <w:t>ADA negative</w:t>
      </w:r>
      <w:r w:rsidR="00787F40" w:rsidRPr="000D2935">
        <w:t xml:space="preserve"> subjects in this </w:t>
      </w:r>
      <w:r w:rsidR="00C4359A">
        <w:t>study</w:t>
      </w:r>
      <w:r w:rsidR="00787F40" w:rsidRPr="000D2935">
        <w:t>.</w:t>
      </w:r>
    </w:p>
    <w:p w14:paraId="19A3F676" w14:textId="77777777" w:rsidR="00787F40" w:rsidRPr="003056B6" w:rsidRDefault="00787F40" w:rsidP="00E66350">
      <w:pPr>
        <w:pStyle w:val="Heading5"/>
      </w:pPr>
      <w:r w:rsidRPr="003056B6">
        <w:t>Other studies</w:t>
      </w:r>
    </w:p>
    <w:p w14:paraId="4232C8BC" w14:textId="77777777" w:rsidR="00787F40" w:rsidRDefault="00787F40" w:rsidP="00787F40">
      <w:pPr>
        <w:spacing w:before="0" w:line="240" w:lineRule="auto"/>
        <w:rPr>
          <w:rFonts w:asciiTheme="minorHAnsi" w:hAnsiTheme="minorHAnsi"/>
        </w:rPr>
      </w:pPr>
      <w:r w:rsidRPr="003056B6">
        <w:rPr>
          <w:rFonts w:asciiTheme="minorHAnsi" w:hAnsiTheme="minorHAnsi"/>
        </w:rPr>
        <w:t xml:space="preserve">In </w:t>
      </w:r>
      <w:r w:rsidR="00157E63">
        <w:rPr>
          <w:rFonts w:asciiTheme="minorHAnsi" w:hAnsiTheme="minorHAnsi"/>
        </w:rPr>
        <w:t>Study</w:t>
      </w:r>
      <w:r w:rsidRPr="003056B6">
        <w:rPr>
          <w:rFonts w:asciiTheme="minorHAnsi" w:hAnsiTheme="minorHAnsi"/>
        </w:rPr>
        <w:t xml:space="preserve"> LAL-CL03, a total of 4 subjects developed ADAs, all prior to the data cut-off for the Pooled Safety Set, representing 44.4% (4/9) of the total number of subjects in the </w:t>
      </w:r>
      <w:r w:rsidR="00C4359A">
        <w:rPr>
          <w:rFonts w:asciiTheme="minorHAnsi" w:hAnsiTheme="minorHAnsi"/>
        </w:rPr>
        <w:t>study</w:t>
      </w:r>
      <w:r w:rsidRPr="003056B6">
        <w:rPr>
          <w:rFonts w:asciiTheme="minorHAnsi" w:hAnsiTheme="minorHAnsi"/>
        </w:rPr>
        <w:t xml:space="preserve"> and 57.1% (4/7) of the subjects for whom ADA testing was performed post- </w:t>
      </w:r>
      <w:r>
        <w:rPr>
          <w:rFonts w:asciiTheme="minorHAnsi" w:hAnsiTheme="minorHAnsi"/>
        </w:rPr>
        <w:t>b</w:t>
      </w:r>
      <w:r w:rsidRPr="003056B6">
        <w:rPr>
          <w:rFonts w:asciiTheme="minorHAnsi" w:hAnsiTheme="minorHAnsi"/>
        </w:rPr>
        <w:t>aseline. As of the data cut-off for the Updated Pooled Safety Set, all 4 subjects had tested positive for ADAs at more than one time point.</w:t>
      </w:r>
    </w:p>
    <w:p w14:paraId="314BB328" w14:textId="77777777" w:rsidR="00787F40" w:rsidRPr="003056B6" w:rsidRDefault="00787F40" w:rsidP="00E66350">
      <w:pPr>
        <w:pStyle w:val="Heading4"/>
      </w:pPr>
      <w:bookmarkStart w:id="432" w:name="_Toc432079177"/>
      <w:bookmarkStart w:id="433" w:name="_Toc432080750"/>
      <w:bookmarkStart w:id="434" w:name="_Toc468957501"/>
      <w:r w:rsidRPr="003056B6">
        <w:t>Serious skin reactions</w:t>
      </w:r>
      <w:bookmarkEnd w:id="432"/>
      <w:bookmarkEnd w:id="433"/>
      <w:bookmarkEnd w:id="434"/>
    </w:p>
    <w:p w14:paraId="4024DDB9" w14:textId="77777777" w:rsidR="00B73619" w:rsidRDefault="00787F40" w:rsidP="00787F40">
      <w:pPr>
        <w:spacing w:before="0" w:line="240" w:lineRule="auto"/>
        <w:rPr>
          <w:rFonts w:asciiTheme="minorHAnsi" w:hAnsiTheme="minorHAnsi"/>
        </w:rPr>
      </w:pPr>
      <w:bookmarkStart w:id="435" w:name="_Toc272414678"/>
      <w:bookmarkStart w:id="436" w:name="_Toc290888542"/>
      <w:bookmarkStart w:id="437" w:name="_Toc416353757"/>
      <w:bookmarkStart w:id="438" w:name="_Toc421005300"/>
      <w:bookmarkStart w:id="439" w:name="_Toc432079178"/>
      <w:bookmarkStart w:id="440" w:name="_Toc432080751"/>
      <w:proofErr w:type="gramStart"/>
      <w:r w:rsidRPr="003056B6">
        <w:rPr>
          <w:rFonts w:asciiTheme="minorHAnsi" w:hAnsiTheme="minorHAnsi"/>
        </w:rPr>
        <w:t>None</w:t>
      </w:r>
      <w:r w:rsidR="00B73619">
        <w:rPr>
          <w:rFonts w:asciiTheme="minorHAnsi" w:hAnsiTheme="minorHAnsi"/>
        </w:rPr>
        <w:t>.</w:t>
      </w:r>
      <w:proofErr w:type="gramEnd"/>
    </w:p>
    <w:p w14:paraId="615AD407" w14:textId="77777777" w:rsidR="00787F40" w:rsidRPr="003056B6" w:rsidRDefault="00787F40" w:rsidP="00E66350">
      <w:pPr>
        <w:pStyle w:val="Heading3"/>
      </w:pPr>
      <w:bookmarkStart w:id="441" w:name="_Toc272414686"/>
      <w:bookmarkStart w:id="442" w:name="_Ref273005527"/>
      <w:bookmarkStart w:id="443" w:name="_Toc290888550"/>
      <w:bookmarkStart w:id="444" w:name="_Toc416353765"/>
      <w:bookmarkStart w:id="445" w:name="_Toc421005308"/>
      <w:bookmarkStart w:id="446" w:name="_Toc432079179"/>
      <w:bookmarkStart w:id="447" w:name="_Toc432080752"/>
      <w:bookmarkStart w:id="448" w:name="_Toc468957502"/>
      <w:bookmarkStart w:id="449" w:name="_Toc519670976"/>
      <w:bookmarkEnd w:id="435"/>
      <w:bookmarkEnd w:id="436"/>
      <w:bookmarkEnd w:id="437"/>
      <w:bookmarkEnd w:id="438"/>
      <w:bookmarkEnd w:id="439"/>
      <w:bookmarkEnd w:id="440"/>
      <w:r w:rsidRPr="003056B6">
        <w:t>Other safety issues</w:t>
      </w:r>
      <w:bookmarkEnd w:id="441"/>
      <w:bookmarkEnd w:id="442"/>
      <w:bookmarkEnd w:id="443"/>
      <w:bookmarkEnd w:id="444"/>
      <w:bookmarkEnd w:id="445"/>
      <w:bookmarkEnd w:id="446"/>
      <w:bookmarkEnd w:id="447"/>
      <w:bookmarkEnd w:id="448"/>
      <w:bookmarkEnd w:id="449"/>
    </w:p>
    <w:p w14:paraId="7484F7DE" w14:textId="77777777" w:rsidR="00787F40" w:rsidRPr="003056B6" w:rsidRDefault="00787F40" w:rsidP="00E66350">
      <w:pPr>
        <w:pStyle w:val="Heading4"/>
      </w:pPr>
      <w:bookmarkStart w:id="450" w:name="_Toc241374322"/>
      <w:bookmarkStart w:id="451" w:name="_Ref272331212"/>
      <w:bookmarkStart w:id="452" w:name="_Toc272414687"/>
      <w:bookmarkStart w:id="453" w:name="_Toc290888551"/>
      <w:bookmarkStart w:id="454" w:name="_Toc416353766"/>
      <w:bookmarkStart w:id="455" w:name="_Toc421005309"/>
      <w:bookmarkStart w:id="456" w:name="_Toc432079180"/>
      <w:bookmarkStart w:id="457" w:name="_Toc432080753"/>
      <w:bookmarkStart w:id="458" w:name="_Toc468957503"/>
      <w:r w:rsidRPr="003056B6">
        <w:t>Safety in special populations</w:t>
      </w:r>
      <w:bookmarkEnd w:id="450"/>
      <w:bookmarkEnd w:id="451"/>
      <w:bookmarkEnd w:id="452"/>
      <w:bookmarkEnd w:id="453"/>
      <w:bookmarkEnd w:id="454"/>
      <w:bookmarkEnd w:id="455"/>
      <w:bookmarkEnd w:id="456"/>
      <w:bookmarkEnd w:id="457"/>
      <w:bookmarkEnd w:id="458"/>
    </w:p>
    <w:p w14:paraId="2C25EBFF" w14:textId="77777777" w:rsidR="009D434A" w:rsidRDefault="009D434A" w:rsidP="009D434A">
      <w:pPr>
        <w:pStyle w:val="Heading5"/>
        <w:rPr>
          <w:lang w:eastAsia="ja-JP"/>
        </w:rPr>
      </w:pPr>
      <w:bookmarkStart w:id="459" w:name="_Toc241374324"/>
      <w:bookmarkStart w:id="460" w:name="_Ref272331214"/>
      <w:bookmarkStart w:id="461" w:name="_Toc272414688"/>
      <w:bookmarkStart w:id="462" w:name="_Toc290888552"/>
      <w:bookmarkStart w:id="463" w:name="_Toc416353767"/>
      <w:bookmarkStart w:id="464" w:name="_Toc421005310"/>
      <w:bookmarkStart w:id="465" w:name="_Toc432079181"/>
      <w:bookmarkStart w:id="466" w:name="_Toc432080754"/>
      <w:r>
        <w:rPr>
          <w:lang w:eastAsia="ja-JP"/>
        </w:rPr>
        <w:t>Effect of age</w:t>
      </w:r>
    </w:p>
    <w:p w14:paraId="45DB624A" w14:textId="77777777" w:rsidR="00B73619" w:rsidRDefault="00787F40" w:rsidP="00E912BE">
      <w:pPr>
        <w:rPr>
          <w:b/>
          <w:highlight w:val="yellow"/>
        </w:rPr>
      </w:pPr>
      <w:r w:rsidRPr="003056B6">
        <w:t xml:space="preserve">A greater proportion of subjects </w:t>
      </w:r>
      <w:r w:rsidR="00A87AAC">
        <w:t xml:space="preserve">&lt; </w:t>
      </w:r>
      <w:r w:rsidRPr="003056B6">
        <w:t xml:space="preserve">2.00 years of age reported certain TEAEs compared to the other age groups </w:t>
      </w:r>
      <w:r>
        <w:t xml:space="preserve">in </w:t>
      </w:r>
      <w:r w:rsidRPr="003056B6">
        <w:t xml:space="preserve">the Pooled Safety Set, most notably, </w:t>
      </w:r>
      <w:r>
        <w:t>a</w:t>
      </w:r>
      <w:r w:rsidRPr="003056B6">
        <w:t xml:space="preserve">naemia, </w:t>
      </w:r>
      <w:r>
        <w:t>p</w:t>
      </w:r>
      <w:r w:rsidRPr="003056B6">
        <w:t xml:space="preserve">yrexia and </w:t>
      </w:r>
      <w:r>
        <w:t>r</w:t>
      </w:r>
      <w:r w:rsidRPr="003056B6">
        <w:t xml:space="preserve">hinitis. Subjects 2 to 12 years of age predominantly reported </w:t>
      </w:r>
      <w:r>
        <w:t>c</w:t>
      </w:r>
      <w:r w:rsidRPr="003056B6">
        <w:t xml:space="preserve">ough and </w:t>
      </w:r>
      <w:r>
        <w:t>o</w:t>
      </w:r>
      <w:r w:rsidR="009D434A">
        <w:t>ropharyngeal pain. Adults (aged &gt; 18 </w:t>
      </w:r>
      <w:r w:rsidRPr="003056B6">
        <w:t xml:space="preserve">years) were more likely to report AEs such as </w:t>
      </w:r>
      <w:r>
        <w:t>m</w:t>
      </w:r>
      <w:r w:rsidRPr="003056B6">
        <w:t xml:space="preserve">usculoskeletal pain, </w:t>
      </w:r>
      <w:r>
        <w:t>b</w:t>
      </w:r>
      <w:r w:rsidRPr="003056B6">
        <w:t xml:space="preserve">ack pain, </w:t>
      </w:r>
      <w:r>
        <w:t>m</w:t>
      </w:r>
      <w:r w:rsidRPr="003056B6">
        <w:t>yalgia</w:t>
      </w:r>
      <w:r>
        <w:t>,</w:t>
      </w:r>
      <w:r w:rsidRPr="003056B6">
        <w:t xml:space="preserve"> </w:t>
      </w:r>
      <w:r>
        <w:t>a</w:t>
      </w:r>
      <w:r w:rsidRPr="003056B6">
        <w:t>bdominal pain</w:t>
      </w:r>
      <w:r>
        <w:t>,</w:t>
      </w:r>
      <w:r w:rsidRPr="003056B6">
        <w:t xml:space="preserve"> </w:t>
      </w:r>
      <w:r>
        <w:t>h</w:t>
      </w:r>
      <w:r w:rsidRPr="003056B6">
        <w:t xml:space="preserve">eadache, </w:t>
      </w:r>
      <w:r>
        <w:t>dizziness</w:t>
      </w:r>
      <w:r w:rsidRPr="003056B6">
        <w:t xml:space="preserve"> and </w:t>
      </w:r>
      <w:r>
        <w:t>p</w:t>
      </w:r>
      <w:r w:rsidRPr="003056B6">
        <w:t xml:space="preserve">araesthesia. Overall, by age group, there were more TEAEs with onset during or </w:t>
      </w:r>
      <w:r w:rsidR="00A87AAC">
        <w:t xml:space="preserve">&lt; </w:t>
      </w:r>
      <w:r w:rsidRPr="003056B6">
        <w:t xml:space="preserve">4 hours after end of infusion, related TEAEs, serious TEAEs, and TEAEs with an outcome of death in subjects </w:t>
      </w:r>
      <w:r w:rsidR="00A87AAC">
        <w:t xml:space="preserve">&lt; </w:t>
      </w:r>
      <w:r w:rsidRPr="003056B6">
        <w:t>2 years of age group; these findings are consistent with rapidly progressive disease as observed in the infants in this age group</w:t>
      </w:r>
      <w:r w:rsidRPr="009D434A">
        <w:t>.</w:t>
      </w:r>
      <w:r w:rsidRPr="003056B6">
        <w:t xml:space="preserve"> </w:t>
      </w:r>
      <w:r w:rsidRPr="003056B6">
        <w:lastRenderedPageBreak/>
        <w:t xml:space="preserve">Overall, findings for TEAEs by age in the Updated Pooled Safety Set </w:t>
      </w:r>
      <w:r>
        <w:t>we</w:t>
      </w:r>
      <w:r w:rsidRPr="003056B6">
        <w:t xml:space="preserve">re consistent with the findings in the Pooled Safety Set. The most frequently reported TEAEs for subjects </w:t>
      </w:r>
      <w:r w:rsidR="00A87AAC">
        <w:t xml:space="preserve">&lt; </w:t>
      </w:r>
      <w:r w:rsidRPr="003056B6">
        <w:t xml:space="preserve">2 years of age were </w:t>
      </w:r>
      <w:r>
        <w:t>p</w:t>
      </w:r>
      <w:r w:rsidRPr="003056B6">
        <w:t xml:space="preserve">yrexia (9 </w:t>
      </w:r>
      <w:r>
        <w:t>subjects),</w:t>
      </w:r>
      <w:r w:rsidRPr="003056B6">
        <w:t xml:space="preserve"> </w:t>
      </w:r>
      <w:r>
        <w:t>d</w:t>
      </w:r>
      <w:r w:rsidRPr="003056B6">
        <w:t xml:space="preserve">iarrhoea and </w:t>
      </w:r>
      <w:r>
        <w:t>v</w:t>
      </w:r>
      <w:r w:rsidRPr="003056B6">
        <w:t xml:space="preserve">omiting (8 subjects each). The most frequently reported TEAEs for subjects 2 to 12 years of age were </w:t>
      </w:r>
      <w:r>
        <w:t>h</w:t>
      </w:r>
      <w:r w:rsidRPr="003056B6">
        <w:t>eadache (13 subjects)</w:t>
      </w:r>
      <w:r>
        <w:t>,</w:t>
      </w:r>
      <w:r w:rsidRPr="003056B6">
        <w:t xml:space="preserve"> </w:t>
      </w:r>
      <w:r>
        <w:t>c</w:t>
      </w:r>
      <w:r w:rsidRPr="003056B6">
        <w:t xml:space="preserve">ough (9 subjects) and the most frequently reported TEAEs for subjects </w:t>
      </w:r>
      <w:r w:rsidR="00B73619">
        <w:t>&gt;</w:t>
      </w:r>
      <w:r w:rsidR="00CC672B">
        <w:t xml:space="preserve"> </w:t>
      </w:r>
      <w:r w:rsidRPr="003056B6">
        <w:t xml:space="preserve">12 to </w:t>
      </w:r>
      <w:r w:rsidR="00A87AAC">
        <w:t xml:space="preserve">&lt; </w:t>
      </w:r>
      <w:r w:rsidRPr="003056B6">
        <w:t xml:space="preserve">18 years of age were </w:t>
      </w:r>
      <w:r>
        <w:t>d</w:t>
      </w:r>
      <w:r w:rsidRPr="003056B6">
        <w:t>iarrhoea</w:t>
      </w:r>
      <w:r w:rsidR="00CC672B">
        <w:t xml:space="preserve"> </w:t>
      </w:r>
      <w:r w:rsidRPr="003056B6">
        <w:t xml:space="preserve">(8 subjects) and </w:t>
      </w:r>
      <w:r>
        <w:t>p</w:t>
      </w:r>
      <w:r w:rsidRPr="003056B6">
        <w:t xml:space="preserve">yrexia (7 subjects). In adults (≥ 18 years of age), the most frequently reported TEAEs were </w:t>
      </w:r>
      <w:proofErr w:type="spellStart"/>
      <w:r>
        <w:t>n</w:t>
      </w:r>
      <w:r w:rsidRPr="003056B6">
        <w:t>asopharyngitis</w:t>
      </w:r>
      <w:proofErr w:type="spellEnd"/>
      <w:r w:rsidRPr="003056B6">
        <w:t xml:space="preserve"> (10 subjects), </w:t>
      </w:r>
      <w:r>
        <w:t>d</w:t>
      </w:r>
      <w:r w:rsidRPr="003056B6">
        <w:t>iarrhoea</w:t>
      </w:r>
      <w:r w:rsidR="00CC672B">
        <w:t xml:space="preserve"> </w:t>
      </w:r>
      <w:r w:rsidRPr="003056B6">
        <w:t xml:space="preserve">(9 subjects) and </w:t>
      </w:r>
      <w:r>
        <w:t>a</w:t>
      </w:r>
      <w:r w:rsidRPr="003056B6">
        <w:t xml:space="preserve">bdominal pain (8 subjects). Given the greater ability of adults to communicate pain symptoms </w:t>
      </w:r>
      <w:r>
        <w:t xml:space="preserve">compared </w:t>
      </w:r>
      <w:r w:rsidRPr="003056B6">
        <w:t xml:space="preserve">to infants and young children, it was not unexpected that the proportion of subjects who reported events such as </w:t>
      </w:r>
      <w:r w:rsidR="009D434A">
        <w:t>m</w:t>
      </w:r>
      <w:r w:rsidRPr="003056B6">
        <w:t xml:space="preserve">usculoskeletal pain, </w:t>
      </w:r>
      <w:r>
        <w:t>b</w:t>
      </w:r>
      <w:r w:rsidRPr="003056B6">
        <w:t xml:space="preserve">ack pain, </w:t>
      </w:r>
      <w:r>
        <w:t>m</w:t>
      </w:r>
      <w:r w:rsidRPr="003056B6">
        <w:t xml:space="preserve">yalgia and </w:t>
      </w:r>
      <w:r>
        <w:t>a</w:t>
      </w:r>
      <w:r w:rsidRPr="003056B6">
        <w:t xml:space="preserve">bdominal pain was higher in subjects in the </w:t>
      </w:r>
      <w:r w:rsidR="004D59E7">
        <w:t>≥ 1</w:t>
      </w:r>
      <w:r w:rsidRPr="003056B6">
        <w:t xml:space="preserve">8 years of age group compared with the other age groups. There was a higher frequency of TEAEs with onset during or ≤4 hours after the end of infusion, related TEAEs, serious TEAEs, and TEAEs with an outcome of death in subjects </w:t>
      </w:r>
      <w:r w:rsidR="00A87AAC">
        <w:t xml:space="preserve">&lt; </w:t>
      </w:r>
      <w:r w:rsidRPr="003056B6">
        <w:t>2 years of age group</w:t>
      </w:r>
      <w:r>
        <w:t xml:space="preserve"> which were </w:t>
      </w:r>
      <w:r w:rsidRPr="003056B6">
        <w:t>consistent with rapidly progressive disea</w:t>
      </w:r>
      <w:r w:rsidR="009D434A">
        <w:t>se as observed in this age group.</w:t>
      </w:r>
    </w:p>
    <w:p w14:paraId="0C5683C2" w14:textId="77777777" w:rsidR="009D434A" w:rsidRDefault="00787F40" w:rsidP="009D434A">
      <w:pPr>
        <w:pStyle w:val="Heading5"/>
      </w:pPr>
      <w:r w:rsidRPr="003056B6">
        <w:t xml:space="preserve">Gender </w:t>
      </w:r>
      <w:r w:rsidR="009D434A">
        <w:t>and race</w:t>
      </w:r>
    </w:p>
    <w:p w14:paraId="6E0958E7" w14:textId="77777777" w:rsidR="00B73619" w:rsidRDefault="00787F40" w:rsidP="00787F40">
      <w:pPr>
        <w:spacing w:before="0" w:line="240" w:lineRule="auto"/>
        <w:rPr>
          <w:rFonts w:asciiTheme="minorHAnsi" w:hAnsiTheme="minorHAnsi"/>
        </w:rPr>
      </w:pPr>
      <w:r w:rsidRPr="003056B6">
        <w:rPr>
          <w:rFonts w:asciiTheme="minorHAnsi" w:hAnsiTheme="minorHAnsi"/>
        </w:rPr>
        <w:t xml:space="preserve">A review of individual TEAE terms reported in the Pooled Safety Set by gender did not reveal a clinically meaningful difference in the AE profile of </w:t>
      </w:r>
      <w:proofErr w:type="spellStart"/>
      <w:r w:rsidRPr="003056B6">
        <w:rPr>
          <w:rFonts w:asciiTheme="minorHAnsi" w:hAnsiTheme="minorHAnsi"/>
        </w:rPr>
        <w:t>sebelipase</w:t>
      </w:r>
      <w:proofErr w:type="spellEnd"/>
      <w:r w:rsidRPr="003056B6">
        <w:rPr>
          <w:rFonts w:asciiTheme="minorHAnsi" w:hAnsiTheme="minorHAnsi"/>
        </w:rPr>
        <w:t xml:space="preserve"> alfa between males and females. Interpretation of results by race were limited due to small number of Non-White subjects (n</w:t>
      </w:r>
      <w:r w:rsidR="009D434A">
        <w:rPr>
          <w:rFonts w:asciiTheme="minorHAnsi" w:hAnsiTheme="minorHAnsi"/>
        </w:rPr>
        <w:t> = </w:t>
      </w:r>
      <w:r w:rsidRPr="003056B6">
        <w:rPr>
          <w:rFonts w:asciiTheme="minorHAnsi" w:hAnsiTheme="minorHAnsi"/>
        </w:rPr>
        <w:t>16) compared with White subjects (n</w:t>
      </w:r>
      <w:r w:rsidR="002D28A4">
        <w:rPr>
          <w:rFonts w:asciiTheme="minorHAnsi" w:hAnsiTheme="minorHAnsi"/>
        </w:rPr>
        <w:t xml:space="preserve"> = </w:t>
      </w:r>
      <w:r w:rsidRPr="003056B6">
        <w:rPr>
          <w:rFonts w:asciiTheme="minorHAnsi" w:hAnsiTheme="minorHAnsi"/>
        </w:rPr>
        <w:t>68)</w:t>
      </w:r>
      <w:r w:rsidR="00B73619">
        <w:rPr>
          <w:rFonts w:asciiTheme="minorHAnsi" w:hAnsiTheme="minorHAnsi"/>
        </w:rPr>
        <w:t>.</w:t>
      </w:r>
    </w:p>
    <w:p w14:paraId="77A4954B" w14:textId="77777777" w:rsidR="009D434A" w:rsidRDefault="009D434A" w:rsidP="009D434A">
      <w:pPr>
        <w:pStyle w:val="Heading5"/>
        <w:rPr>
          <w:lang w:eastAsia="ja-JP"/>
        </w:rPr>
      </w:pPr>
      <w:r>
        <w:rPr>
          <w:lang w:eastAsia="ja-JP"/>
        </w:rPr>
        <w:t>Use in pregnancy/ lactation</w:t>
      </w:r>
    </w:p>
    <w:p w14:paraId="0000565C" w14:textId="77777777" w:rsidR="00B73619" w:rsidRDefault="00787F40" w:rsidP="00787F40">
      <w:pPr>
        <w:spacing w:before="0" w:line="240" w:lineRule="auto"/>
        <w:rPr>
          <w:rFonts w:asciiTheme="minorHAnsi" w:hAnsiTheme="minorHAnsi"/>
        </w:rPr>
      </w:pPr>
      <w:proofErr w:type="spellStart"/>
      <w:r w:rsidRPr="003056B6">
        <w:rPr>
          <w:rFonts w:asciiTheme="minorHAnsi" w:hAnsiTheme="minorHAnsi"/>
        </w:rPr>
        <w:t>Sebelipase</w:t>
      </w:r>
      <w:proofErr w:type="spellEnd"/>
      <w:r w:rsidRPr="003056B6">
        <w:rPr>
          <w:rFonts w:asciiTheme="minorHAnsi" w:hAnsiTheme="minorHAnsi"/>
        </w:rPr>
        <w:t xml:space="preserve"> alfa has not been studied in pregnant or lactating women. Studies in rats and rabbits</w:t>
      </w:r>
      <w:r w:rsidR="009D434A">
        <w:rPr>
          <w:rFonts w:asciiTheme="minorHAnsi" w:hAnsiTheme="minorHAnsi"/>
        </w:rPr>
        <w:t xml:space="preserve"> have not shown </w:t>
      </w:r>
      <w:proofErr w:type="spellStart"/>
      <w:r w:rsidR="009D434A">
        <w:rPr>
          <w:rFonts w:asciiTheme="minorHAnsi" w:hAnsiTheme="minorHAnsi"/>
        </w:rPr>
        <w:t>sebelipase</w:t>
      </w:r>
      <w:proofErr w:type="spellEnd"/>
      <w:r w:rsidR="009D434A">
        <w:rPr>
          <w:rFonts w:asciiTheme="minorHAnsi" w:hAnsiTheme="minorHAnsi"/>
        </w:rPr>
        <w:t xml:space="preserve"> alfa </w:t>
      </w:r>
      <w:r w:rsidRPr="003056B6">
        <w:rPr>
          <w:rFonts w:asciiTheme="minorHAnsi" w:hAnsiTheme="minorHAnsi"/>
        </w:rPr>
        <w:t xml:space="preserve">related adverse clinical signs were observed, and there was no evidence of </w:t>
      </w:r>
      <w:proofErr w:type="spellStart"/>
      <w:r w:rsidRPr="003056B6">
        <w:rPr>
          <w:rFonts w:asciiTheme="minorHAnsi" w:hAnsiTheme="minorHAnsi"/>
        </w:rPr>
        <w:t>fetotoxicity</w:t>
      </w:r>
      <w:proofErr w:type="spellEnd"/>
      <w:r w:rsidRPr="003056B6">
        <w:rPr>
          <w:rFonts w:asciiTheme="minorHAnsi" w:hAnsiTheme="minorHAnsi"/>
        </w:rPr>
        <w:t xml:space="preserve"> or teratogenicity</w:t>
      </w:r>
      <w:r w:rsidR="00B73619">
        <w:rPr>
          <w:rFonts w:asciiTheme="minorHAnsi" w:hAnsiTheme="minorHAnsi"/>
        </w:rPr>
        <w:t>.</w:t>
      </w:r>
    </w:p>
    <w:p w14:paraId="27FDC17E" w14:textId="77777777" w:rsidR="009D434A" w:rsidRDefault="00787F40" w:rsidP="009D434A">
      <w:pPr>
        <w:pStyle w:val="Heading5"/>
      </w:pPr>
      <w:r w:rsidRPr="003056B6">
        <w:t>Overdose, d</w:t>
      </w:r>
      <w:r w:rsidR="009D434A">
        <w:t>rug abuse, withdrawal/ rebound</w:t>
      </w:r>
    </w:p>
    <w:p w14:paraId="4CF4CFD9" w14:textId="77777777" w:rsidR="00787F40" w:rsidRPr="003056B6" w:rsidRDefault="00787F40" w:rsidP="00E912BE">
      <w:r w:rsidRPr="003056B6">
        <w:t xml:space="preserve">In clinical studies, doses up to 5 mg/kg </w:t>
      </w:r>
      <w:proofErr w:type="spellStart"/>
      <w:r w:rsidRPr="003056B6">
        <w:t>qw</w:t>
      </w:r>
      <w:proofErr w:type="spellEnd"/>
      <w:r w:rsidRPr="003056B6">
        <w:t xml:space="preserve"> were used. There has been no known occurrence of a subject receiving an overdose of </w:t>
      </w:r>
      <w:proofErr w:type="spellStart"/>
      <w:r w:rsidRPr="003056B6">
        <w:t>sebelipase</w:t>
      </w:r>
      <w:proofErr w:type="spellEnd"/>
      <w:r w:rsidRPr="003056B6">
        <w:t xml:space="preserve"> alfa, not otherwise specified per protocol, in completed or ongoing clinical studies as of the data cut-off date. There have been no reports of subject abuse or dependence on </w:t>
      </w:r>
      <w:proofErr w:type="spellStart"/>
      <w:r w:rsidRPr="003056B6">
        <w:t>sebelipase</w:t>
      </w:r>
      <w:proofErr w:type="spellEnd"/>
      <w:r w:rsidRPr="003056B6">
        <w:t xml:space="preserve"> alfa. As </w:t>
      </w:r>
      <w:proofErr w:type="spellStart"/>
      <w:r w:rsidRPr="003056B6">
        <w:t>sebelipase</w:t>
      </w:r>
      <w:proofErr w:type="spellEnd"/>
      <w:r w:rsidRPr="003056B6">
        <w:t xml:space="preserve"> alfa is not pharmacologically or structurally related to drugs known to have abuse potential, drug abuse wi</w:t>
      </w:r>
      <w:r w:rsidR="009D434A">
        <w:t xml:space="preserve">th </w:t>
      </w:r>
      <w:proofErr w:type="spellStart"/>
      <w:r w:rsidR="009D434A">
        <w:t>sebelipase</w:t>
      </w:r>
      <w:proofErr w:type="spellEnd"/>
      <w:r w:rsidR="009D434A">
        <w:t xml:space="preserve"> alfa is unlikely.</w:t>
      </w:r>
    </w:p>
    <w:p w14:paraId="66D68D9F" w14:textId="77777777" w:rsidR="00787F40" w:rsidRDefault="00787F40" w:rsidP="00E912BE">
      <w:r w:rsidRPr="003056B6">
        <w:t xml:space="preserve">No formal studies for withdrawal or rebound effects associated with </w:t>
      </w:r>
      <w:proofErr w:type="spellStart"/>
      <w:r w:rsidRPr="003056B6">
        <w:t>sebelipase</w:t>
      </w:r>
      <w:proofErr w:type="spellEnd"/>
      <w:r w:rsidRPr="003056B6">
        <w:t xml:space="preserve"> alfa treatment have been conducted. However, subjects in </w:t>
      </w:r>
      <w:r w:rsidR="00157E63">
        <w:t>Study</w:t>
      </w:r>
      <w:r w:rsidRPr="003056B6">
        <w:t xml:space="preserve"> LAL-CL04 </w:t>
      </w:r>
      <w:r>
        <w:t xml:space="preserve">had </w:t>
      </w:r>
      <w:r w:rsidRPr="003056B6">
        <w:t xml:space="preserve">discontinued </w:t>
      </w:r>
      <w:proofErr w:type="spellStart"/>
      <w:r w:rsidRPr="003056B6">
        <w:t>sebelipase</w:t>
      </w:r>
      <w:proofErr w:type="spellEnd"/>
      <w:r w:rsidRPr="003056B6">
        <w:t xml:space="preserve"> alfa treatment upon completion of </w:t>
      </w:r>
      <w:r w:rsidR="00157E63">
        <w:t>Study</w:t>
      </w:r>
      <w:r w:rsidRPr="003056B6">
        <w:t xml:space="preserve"> LAL-CL01; all subjects were successfully reintroduced to treatment with no clinically meaningful changes in their safety profiles in </w:t>
      </w:r>
      <w:r w:rsidR="00157E63">
        <w:t>Study</w:t>
      </w:r>
      <w:r w:rsidRPr="003056B6">
        <w:t xml:space="preserve"> LAL-CL04 relative to their initial exposure in </w:t>
      </w:r>
      <w:r w:rsidR="00157E63">
        <w:t>Study</w:t>
      </w:r>
      <w:r w:rsidRPr="003056B6">
        <w:t xml:space="preserve"> LAL-CL01. Given that LAL Deficiency is a chronic</w:t>
      </w:r>
      <w:r w:rsidR="009D434A">
        <w:t xml:space="preserve"> and debilitating disease, lifel</w:t>
      </w:r>
      <w:r w:rsidR="009D434A" w:rsidRPr="003056B6">
        <w:t>ong</w:t>
      </w:r>
      <w:r w:rsidRPr="003056B6">
        <w:t xml:space="preserve"> treatment is anticipated and the clinical benefits of treatment likely outweigh any risk of withdrawal or rebound.</w:t>
      </w:r>
    </w:p>
    <w:p w14:paraId="50040C24" w14:textId="77777777" w:rsidR="00787F40" w:rsidRPr="003056B6" w:rsidRDefault="00787F40" w:rsidP="00E66350">
      <w:pPr>
        <w:pStyle w:val="Heading4"/>
      </w:pPr>
      <w:bookmarkStart w:id="467" w:name="_Toc468957504"/>
      <w:r w:rsidRPr="003056B6">
        <w:t>Safety related to drug-drug interactions and other interactions</w:t>
      </w:r>
      <w:bookmarkEnd w:id="459"/>
      <w:bookmarkEnd w:id="460"/>
      <w:bookmarkEnd w:id="461"/>
      <w:bookmarkEnd w:id="462"/>
      <w:bookmarkEnd w:id="463"/>
      <w:bookmarkEnd w:id="464"/>
      <w:bookmarkEnd w:id="465"/>
      <w:bookmarkEnd w:id="466"/>
      <w:bookmarkEnd w:id="467"/>
    </w:p>
    <w:p w14:paraId="465292D3" w14:textId="77777777" w:rsidR="00B73619" w:rsidRDefault="00787F40" w:rsidP="00787F40">
      <w:pPr>
        <w:spacing w:before="0" w:line="240" w:lineRule="auto"/>
        <w:rPr>
          <w:rFonts w:asciiTheme="minorHAnsi" w:hAnsiTheme="minorHAnsi"/>
        </w:rPr>
      </w:pPr>
      <w:bookmarkStart w:id="468" w:name="_Toc241374326"/>
      <w:bookmarkStart w:id="469" w:name="_Ref272333048"/>
      <w:bookmarkStart w:id="470" w:name="_Toc272414679"/>
      <w:bookmarkStart w:id="471" w:name="_Toc290888543"/>
      <w:bookmarkStart w:id="472" w:name="_Toc416353758"/>
      <w:bookmarkStart w:id="473" w:name="_Toc421005301"/>
      <w:bookmarkStart w:id="474" w:name="_Toc432079182"/>
      <w:bookmarkStart w:id="475" w:name="_Toc432080755"/>
      <w:r w:rsidRPr="003056B6">
        <w:rPr>
          <w:rFonts w:asciiTheme="minorHAnsi" w:hAnsiTheme="minorHAnsi"/>
        </w:rPr>
        <w:t xml:space="preserve">No formal drug-drug interaction studies with </w:t>
      </w:r>
      <w:proofErr w:type="spellStart"/>
      <w:r w:rsidRPr="003056B6">
        <w:rPr>
          <w:rFonts w:asciiTheme="minorHAnsi" w:hAnsiTheme="minorHAnsi"/>
        </w:rPr>
        <w:t>sebelipase</w:t>
      </w:r>
      <w:proofErr w:type="spellEnd"/>
      <w:r w:rsidRPr="003056B6">
        <w:rPr>
          <w:rFonts w:asciiTheme="minorHAnsi" w:hAnsiTheme="minorHAnsi"/>
        </w:rPr>
        <w:t xml:space="preserve"> alfa treatment have been conducted. </w:t>
      </w:r>
      <w:proofErr w:type="spellStart"/>
      <w:r w:rsidRPr="003056B6">
        <w:rPr>
          <w:rFonts w:asciiTheme="minorHAnsi" w:hAnsiTheme="minorHAnsi"/>
        </w:rPr>
        <w:t>Sebelipase</w:t>
      </w:r>
      <w:proofErr w:type="spellEnd"/>
      <w:r w:rsidRPr="003056B6">
        <w:rPr>
          <w:rFonts w:asciiTheme="minorHAnsi" w:hAnsiTheme="minorHAnsi"/>
        </w:rPr>
        <w:t xml:space="preserve"> alfa is an unlikel</w:t>
      </w:r>
      <w:r w:rsidR="009D434A">
        <w:rPr>
          <w:rFonts w:asciiTheme="minorHAnsi" w:hAnsiTheme="minorHAnsi"/>
        </w:rPr>
        <w:t xml:space="preserve">y candidate for cytochrome P450 </w:t>
      </w:r>
      <w:r w:rsidRPr="003056B6">
        <w:rPr>
          <w:rFonts w:asciiTheme="minorHAnsi" w:hAnsiTheme="minorHAnsi"/>
        </w:rPr>
        <w:t>mediated interactions based on its structure and PK properties</w:t>
      </w:r>
      <w:r w:rsidR="00B73619">
        <w:rPr>
          <w:rFonts w:asciiTheme="minorHAnsi" w:hAnsiTheme="minorHAnsi"/>
        </w:rPr>
        <w:t>.</w:t>
      </w:r>
    </w:p>
    <w:p w14:paraId="68D78902" w14:textId="77777777" w:rsidR="00787F40" w:rsidRPr="003056B6" w:rsidRDefault="00787F40" w:rsidP="00E66350">
      <w:pPr>
        <w:pStyle w:val="Heading3"/>
      </w:pPr>
      <w:bookmarkStart w:id="476" w:name="_Toc468957505"/>
      <w:bookmarkStart w:id="477" w:name="_Toc519670977"/>
      <w:r w:rsidRPr="003056B6">
        <w:t>Post marketing experience</w:t>
      </w:r>
      <w:bookmarkEnd w:id="468"/>
      <w:bookmarkEnd w:id="469"/>
      <w:bookmarkEnd w:id="470"/>
      <w:bookmarkEnd w:id="471"/>
      <w:bookmarkEnd w:id="472"/>
      <w:bookmarkEnd w:id="473"/>
      <w:bookmarkEnd w:id="474"/>
      <w:bookmarkEnd w:id="475"/>
      <w:bookmarkEnd w:id="476"/>
      <w:bookmarkEnd w:id="477"/>
    </w:p>
    <w:p w14:paraId="2FB00232" w14:textId="77777777" w:rsidR="00B73619" w:rsidRDefault="00787F40" w:rsidP="00787F40">
      <w:pPr>
        <w:spacing w:before="0" w:line="240" w:lineRule="auto"/>
        <w:rPr>
          <w:rFonts w:asciiTheme="minorHAnsi" w:hAnsiTheme="minorHAnsi"/>
        </w:rPr>
      </w:pPr>
      <w:bookmarkStart w:id="478" w:name="_Toc241374328"/>
      <w:bookmarkStart w:id="479" w:name="_Toc272414691"/>
      <w:bookmarkStart w:id="480" w:name="_Toc290888555"/>
      <w:bookmarkStart w:id="481" w:name="_Toc416353770"/>
      <w:bookmarkStart w:id="482" w:name="_Toc421005312"/>
      <w:bookmarkStart w:id="483" w:name="_Toc432079183"/>
      <w:bookmarkStart w:id="484" w:name="_Toc432080756"/>
      <w:proofErr w:type="spellStart"/>
      <w:r w:rsidRPr="003056B6">
        <w:rPr>
          <w:rFonts w:asciiTheme="minorHAnsi" w:hAnsiTheme="minorHAnsi"/>
        </w:rPr>
        <w:t>Sebelipase</w:t>
      </w:r>
      <w:proofErr w:type="spellEnd"/>
      <w:r w:rsidRPr="003056B6">
        <w:rPr>
          <w:rFonts w:asciiTheme="minorHAnsi" w:hAnsiTheme="minorHAnsi"/>
        </w:rPr>
        <w:t xml:space="preserve"> alfa received marketing approval in the European Un</w:t>
      </w:r>
      <w:r w:rsidR="009D434A">
        <w:rPr>
          <w:rFonts w:asciiTheme="minorHAnsi" w:hAnsiTheme="minorHAnsi"/>
        </w:rPr>
        <w:t>ion and the United States on 28 August</w:t>
      </w:r>
      <w:r w:rsidR="00EF53B7">
        <w:rPr>
          <w:rFonts w:asciiTheme="minorHAnsi" w:hAnsiTheme="minorHAnsi"/>
        </w:rPr>
        <w:t xml:space="preserve"> 2015 and </w:t>
      </w:r>
      <w:r w:rsidRPr="003056B6">
        <w:rPr>
          <w:rFonts w:asciiTheme="minorHAnsi" w:hAnsiTheme="minorHAnsi"/>
        </w:rPr>
        <w:t xml:space="preserve">8 </w:t>
      </w:r>
      <w:r w:rsidR="00FD1D3C">
        <w:rPr>
          <w:rFonts w:asciiTheme="minorHAnsi" w:hAnsiTheme="minorHAnsi"/>
        </w:rPr>
        <w:t>December</w:t>
      </w:r>
      <w:r w:rsidRPr="003056B6">
        <w:rPr>
          <w:rFonts w:asciiTheme="minorHAnsi" w:hAnsiTheme="minorHAnsi"/>
        </w:rPr>
        <w:t xml:space="preserve"> 2015, respectively. The sponsor has stated that no new safety concerns associated with </w:t>
      </w:r>
      <w:proofErr w:type="spellStart"/>
      <w:r w:rsidRPr="003056B6">
        <w:rPr>
          <w:rFonts w:asciiTheme="minorHAnsi" w:hAnsiTheme="minorHAnsi"/>
        </w:rPr>
        <w:t>sebelipase</w:t>
      </w:r>
      <w:proofErr w:type="spellEnd"/>
      <w:r w:rsidRPr="003056B6">
        <w:rPr>
          <w:rFonts w:asciiTheme="minorHAnsi" w:hAnsiTheme="minorHAnsi"/>
        </w:rPr>
        <w:t xml:space="preserve"> alfa administration have been identified to date based on cumulative safety data receive</w:t>
      </w:r>
      <w:r w:rsidR="009D434A">
        <w:rPr>
          <w:rFonts w:asciiTheme="minorHAnsi" w:hAnsiTheme="minorHAnsi"/>
        </w:rPr>
        <w:t>d in the post-marketing setting</w:t>
      </w:r>
      <w:r w:rsidRPr="003056B6">
        <w:rPr>
          <w:rFonts w:asciiTheme="minorHAnsi" w:hAnsiTheme="minorHAnsi"/>
        </w:rPr>
        <w:t>. However, no PSURs were provided for evaluation in the submitted dossier</w:t>
      </w:r>
      <w:r w:rsidR="00B73619">
        <w:rPr>
          <w:rFonts w:asciiTheme="minorHAnsi" w:hAnsiTheme="minorHAnsi"/>
        </w:rPr>
        <w:t>.</w:t>
      </w:r>
    </w:p>
    <w:p w14:paraId="0E51044B" w14:textId="77777777" w:rsidR="00787F40" w:rsidRPr="003056B6" w:rsidRDefault="00787F40" w:rsidP="00E66350">
      <w:pPr>
        <w:pStyle w:val="Heading3"/>
      </w:pPr>
      <w:bookmarkStart w:id="485" w:name="_Toc468957506"/>
      <w:bookmarkStart w:id="486" w:name="_Toc519670978"/>
      <w:r w:rsidRPr="003056B6">
        <w:lastRenderedPageBreak/>
        <w:t>Evaluator’s overall conclusions on clinical safety</w:t>
      </w:r>
      <w:bookmarkEnd w:id="478"/>
      <w:bookmarkEnd w:id="479"/>
      <w:bookmarkEnd w:id="480"/>
      <w:bookmarkEnd w:id="481"/>
      <w:bookmarkEnd w:id="482"/>
      <w:bookmarkEnd w:id="483"/>
      <w:bookmarkEnd w:id="484"/>
      <w:bookmarkEnd w:id="485"/>
      <w:bookmarkEnd w:id="486"/>
    </w:p>
    <w:p w14:paraId="551E79B3" w14:textId="2E95F501" w:rsidR="00787F40" w:rsidRPr="003056B6" w:rsidRDefault="00787F40" w:rsidP="00787F40">
      <w:pPr>
        <w:spacing w:before="0" w:line="240" w:lineRule="auto"/>
        <w:rPr>
          <w:rFonts w:asciiTheme="minorHAnsi" w:hAnsiTheme="minorHAnsi"/>
        </w:rPr>
      </w:pPr>
      <w:r w:rsidRPr="003056B6">
        <w:rPr>
          <w:rFonts w:asciiTheme="minorHAnsi" w:hAnsiTheme="minorHAnsi"/>
        </w:rPr>
        <w:t xml:space="preserve">An integrated analysis of the safety data was conducted to assess any safety signals not otherwise previously reported from analyses performed in the individual studies. The integrated analysis was performed using safety data from </w:t>
      </w:r>
      <w:r w:rsidR="00B73619">
        <w:rPr>
          <w:rFonts w:asciiTheme="minorHAnsi" w:hAnsiTheme="minorHAnsi"/>
        </w:rPr>
        <w:t>open label</w:t>
      </w:r>
      <w:r w:rsidRPr="003056B6">
        <w:rPr>
          <w:rFonts w:asciiTheme="minorHAnsi" w:hAnsiTheme="minorHAnsi"/>
        </w:rPr>
        <w:t xml:space="preserve"> studies (Stud</w:t>
      </w:r>
      <w:r>
        <w:rPr>
          <w:rFonts w:asciiTheme="minorHAnsi" w:hAnsiTheme="minorHAnsi"/>
        </w:rPr>
        <w:t>ies</w:t>
      </w:r>
      <w:r w:rsidRPr="003056B6">
        <w:rPr>
          <w:rFonts w:asciiTheme="minorHAnsi" w:hAnsiTheme="minorHAnsi"/>
        </w:rPr>
        <w:t xml:space="preserve"> </w:t>
      </w:r>
      <w:r>
        <w:rPr>
          <w:rFonts w:asciiTheme="minorHAnsi" w:hAnsiTheme="minorHAnsi"/>
        </w:rPr>
        <w:t>LAL</w:t>
      </w:r>
      <w:r w:rsidR="009D434A">
        <w:rPr>
          <w:rFonts w:asciiTheme="minorHAnsi" w:hAnsiTheme="minorHAnsi"/>
        </w:rPr>
        <w:noBreakHyphen/>
      </w:r>
      <w:r>
        <w:rPr>
          <w:rFonts w:asciiTheme="minorHAnsi" w:hAnsiTheme="minorHAnsi"/>
        </w:rPr>
        <w:t xml:space="preserve">CL01/ </w:t>
      </w:r>
      <w:r w:rsidRPr="003056B6">
        <w:rPr>
          <w:rFonts w:asciiTheme="minorHAnsi" w:hAnsiTheme="minorHAnsi"/>
        </w:rPr>
        <w:t xml:space="preserve">LAL-CL04 </w:t>
      </w:r>
      <w:r>
        <w:rPr>
          <w:rFonts w:asciiTheme="minorHAnsi" w:hAnsiTheme="minorHAnsi"/>
        </w:rPr>
        <w:t xml:space="preserve">and </w:t>
      </w:r>
      <w:r w:rsidRPr="003056B6">
        <w:rPr>
          <w:rFonts w:asciiTheme="minorHAnsi" w:hAnsiTheme="minorHAnsi"/>
        </w:rPr>
        <w:t xml:space="preserve">LAL-CL03) and a single randomised </w:t>
      </w:r>
      <w:r w:rsidR="00B73619">
        <w:rPr>
          <w:rFonts w:asciiTheme="minorHAnsi" w:hAnsiTheme="minorHAnsi"/>
        </w:rPr>
        <w:t>placebo controlled</w:t>
      </w:r>
      <w:r w:rsidRPr="003056B6">
        <w:rPr>
          <w:rFonts w:asciiTheme="minorHAnsi" w:hAnsiTheme="minorHAnsi"/>
        </w:rPr>
        <w:t xml:space="preserve"> clinical trial (</w:t>
      </w:r>
      <w:r w:rsidR="00157E63">
        <w:rPr>
          <w:rFonts w:asciiTheme="minorHAnsi" w:hAnsiTheme="minorHAnsi"/>
        </w:rPr>
        <w:t>Study</w:t>
      </w:r>
      <w:r w:rsidRPr="003056B6">
        <w:rPr>
          <w:rFonts w:asciiTheme="minorHAnsi" w:hAnsiTheme="minorHAnsi"/>
        </w:rPr>
        <w:t xml:space="preserve"> LAL-CL02). Interpretation of results from this integrated safety analysis was limited by the marked differences in the rate of LAL deficiency disease </w:t>
      </w:r>
      <w:proofErr w:type="gramStart"/>
      <w:r w:rsidR="009D434A">
        <w:rPr>
          <w:rFonts w:asciiTheme="minorHAnsi" w:hAnsiTheme="minorHAnsi"/>
        </w:rPr>
        <w:t>progression,</w:t>
      </w:r>
      <w:proofErr w:type="gramEnd"/>
      <w:r w:rsidRPr="003056B6">
        <w:rPr>
          <w:rFonts w:asciiTheme="minorHAnsi" w:hAnsiTheme="minorHAnsi"/>
        </w:rPr>
        <w:t xml:space="preserve"> comorbidities and frequency of inter</w:t>
      </w:r>
      <w:r w:rsidR="009D434A">
        <w:rPr>
          <w:rFonts w:asciiTheme="minorHAnsi" w:hAnsiTheme="minorHAnsi"/>
        </w:rPr>
        <w:t xml:space="preserve"> </w:t>
      </w:r>
      <w:r w:rsidRPr="003056B6">
        <w:rPr>
          <w:rFonts w:asciiTheme="minorHAnsi" w:hAnsiTheme="minorHAnsi"/>
        </w:rPr>
        <w:t xml:space="preserve">current illness in infants relative to the children and adults. Infants (10.7% of the Pooled Safety Set </w:t>
      </w:r>
      <w:r w:rsidR="00D074A0">
        <w:rPr>
          <w:rFonts w:asciiTheme="minorHAnsi" w:hAnsiTheme="minorHAnsi"/>
        </w:rPr>
        <w:t>(</w:t>
      </w:r>
      <w:r w:rsidRPr="003056B6">
        <w:rPr>
          <w:rFonts w:asciiTheme="minorHAnsi" w:hAnsiTheme="minorHAnsi"/>
        </w:rPr>
        <w:t>9/84</w:t>
      </w:r>
      <w:r w:rsidR="00D074A0">
        <w:rPr>
          <w:rFonts w:asciiTheme="minorHAnsi" w:hAnsiTheme="minorHAnsi"/>
        </w:rPr>
        <w:t>)</w:t>
      </w:r>
      <w:r w:rsidRPr="003056B6">
        <w:rPr>
          <w:rFonts w:asciiTheme="minorHAnsi" w:hAnsiTheme="minorHAnsi"/>
        </w:rPr>
        <w:t xml:space="preserve">) were already substantially clinically compromised at the start of </w:t>
      </w:r>
      <w:proofErr w:type="spellStart"/>
      <w:r w:rsidRPr="003056B6">
        <w:rPr>
          <w:rFonts w:asciiTheme="minorHAnsi" w:hAnsiTheme="minorHAnsi"/>
        </w:rPr>
        <w:t>sebelipase</w:t>
      </w:r>
      <w:proofErr w:type="spellEnd"/>
      <w:r w:rsidRPr="003056B6">
        <w:rPr>
          <w:rFonts w:asciiTheme="minorHAnsi" w:hAnsiTheme="minorHAnsi"/>
        </w:rPr>
        <w:t xml:space="preserve"> alfa treatment with important co-morbidities in addition to risks of serious complications related to the to rapidly progressive liver, haematological, and malabsorption. Children and adults (89.2% of the Pooled Safety Set </w:t>
      </w:r>
      <w:r w:rsidR="00D074A0">
        <w:rPr>
          <w:rFonts w:asciiTheme="minorHAnsi" w:hAnsiTheme="minorHAnsi"/>
        </w:rPr>
        <w:t>(</w:t>
      </w:r>
      <w:r w:rsidRPr="003056B6">
        <w:rPr>
          <w:rFonts w:asciiTheme="minorHAnsi" w:hAnsiTheme="minorHAnsi"/>
        </w:rPr>
        <w:t>75/84</w:t>
      </w:r>
      <w:r w:rsidR="00D074A0">
        <w:rPr>
          <w:rFonts w:asciiTheme="minorHAnsi" w:hAnsiTheme="minorHAnsi"/>
        </w:rPr>
        <w:t>)</w:t>
      </w:r>
      <w:r w:rsidRPr="003056B6">
        <w:rPr>
          <w:rFonts w:asciiTheme="minorHAnsi" w:hAnsiTheme="minorHAnsi"/>
        </w:rPr>
        <w:t xml:space="preserve">) had more variable progression to serious complications and presented with less comorbidities at the start of </w:t>
      </w:r>
      <w:proofErr w:type="spellStart"/>
      <w:r w:rsidRPr="003056B6">
        <w:rPr>
          <w:rFonts w:asciiTheme="minorHAnsi" w:hAnsiTheme="minorHAnsi"/>
        </w:rPr>
        <w:t>sebelipase</w:t>
      </w:r>
      <w:proofErr w:type="spellEnd"/>
      <w:r w:rsidRPr="003056B6">
        <w:rPr>
          <w:rFonts w:asciiTheme="minorHAnsi" w:hAnsiTheme="minorHAnsi"/>
        </w:rPr>
        <w:t xml:space="preserve"> alfa treatment. In addition, infants were treated for longer treatment periods at the 3 mg/kg </w:t>
      </w:r>
      <w:proofErr w:type="spellStart"/>
      <w:r w:rsidRPr="003056B6">
        <w:rPr>
          <w:rFonts w:asciiTheme="minorHAnsi" w:hAnsiTheme="minorHAnsi"/>
        </w:rPr>
        <w:t>qw</w:t>
      </w:r>
      <w:proofErr w:type="spellEnd"/>
      <w:r w:rsidRPr="003056B6">
        <w:rPr>
          <w:rFonts w:asciiTheme="minorHAnsi" w:hAnsiTheme="minorHAnsi"/>
        </w:rPr>
        <w:t xml:space="preserve"> dosing regimens as compared to other </w:t>
      </w:r>
      <w:proofErr w:type="spellStart"/>
      <w:r w:rsidRPr="003056B6">
        <w:rPr>
          <w:rFonts w:asciiTheme="minorHAnsi" w:hAnsiTheme="minorHAnsi"/>
        </w:rPr>
        <w:t>sebelipase</w:t>
      </w:r>
      <w:proofErr w:type="spellEnd"/>
      <w:r w:rsidRPr="003056B6">
        <w:rPr>
          <w:rFonts w:asciiTheme="minorHAnsi" w:hAnsiTheme="minorHAnsi"/>
        </w:rPr>
        <w:t xml:space="preserve"> alfa dosing</w:t>
      </w:r>
      <w:r w:rsidR="009D434A">
        <w:rPr>
          <w:rFonts w:asciiTheme="minorHAnsi" w:hAnsiTheme="minorHAnsi"/>
        </w:rPr>
        <w:t xml:space="preserve"> regimens including the 3 mg/kg </w:t>
      </w:r>
      <w:proofErr w:type="spellStart"/>
      <w:r w:rsidRPr="003056B6">
        <w:rPr>
          <w:rFonts w:asciiTheme="minorHAnsi" w:hAnsiTheme="minorHAnsi"/>
        </w:rPr>
        <w:t>qow</w:t>
      </w:r>
      <w:proofErr w:type="spellEnd"/>
      <w:r w:rsidRPr="003056B6">
        <w:rPr>
          <w:rFonts w:asciiTheme="minorHAnsi" w:hAnsiTheme="minorHAnsi"/>
        </w:rPr>
        <w:t xml:space="preserve"> dosing regimen which primarily included adults.</w:t>
      </w:r>
    </w:p>
    <w:p w14:paraId="0D2FBAAC" w14:textId="77777777" w:rsidR="00787F40" w:rsidRPr="000D2935" w:rsidRDefault="00787F40" w:rsidP="00787F40">
      <w:pPr>
        <w:autoSpaceDE w:val="0"/>
        <w:autoSpaceDN w:val="0"/>
        <w:adjustRightInd w:val="0"/>
        <w:spacing w:before="0" w:line="240" w:lineRule="auto"/>
        <w:rPr>
          <w:rFonts w:asciiTheme="minorHAnsi" w:hAnsiTheme="minorHAnsi"/>
        </w:rPr>
      </w:pPr>
      <w:r w:rsidRPr="003056B6">
        <w:rPr>
          <w:rFonts w:asciiTheme="minorHAnsi" w:hAnsiTheme="minorHAnsi"/>
        </w:rPr>
        <w:t xml:space="preserve">When administered at doses up to 3 mg/kg </w:t>
      </w:r>
      <w:proofErr w:type="spellStart"/>
      <w:r w:rsidRPr="003056B6">
        <w:rPr>
          <w:rFonts w:asciiTheme="minorHAnsi" w:hAnsiTheme="minorHAnsi"/>
        </w:rPr>
        <w:t>qow</w:t>
      </w:r>
      <w:proofErr w:type="spellEnd"/>
      <w:r w:rsidRPr="003056B6">
        <w:rPr>
          <w:rFonts w:asciiTheme="minorHAnsi" w:hAnsiTheme="minorHAnsi"/>
        </w:rPr>
        <w:t xml:space="preserve"> in children and adults and up to 3 mg/kg </w:t>
      </w:r>
      <w:proofErr w:type="spellStart"/>
      <w:r w:rsidRPr="003056B6">
        <w:rPr>
          <w:rFonts w:asciiTheme="minorHAnsi" w:hAnsiTheme="minorHAnsi"/>
        </w:rPr>
        <w:t>qw</w:t>
      </w:r>
      <w:proofErr w:type="spellEnd"/>
      <w:r w:rsidRPr="003056B6">
        <w:rPr>
          <w:rFonts w:asciiTheme="minorHAnsi" w:hAnsiTheme="minorHAnsi"/>
        </w:rPr>
        <w:t xml:space="preserve"> in infants, the safety profile of </w:t>
      </w:r>
      <w:proofErr w:type="spellStart"/>
      <w:r w:rsidRPr="003056B6">
        <w:rPr>
          <w:rFonts w:asciiTheme="minorHAnsi" w:hAnsiTheme="minorHAnsi"/>
        </w:rPr>
        <w:t>sebelipase</w:t>
      </w:r>
      <w:proofErr w:type="spellEnd"/>
      <w:r w:rsidRPr="003056B6">
        <w:rPr>
          <w:rFonts w:asciiTheme="minorHAnsi" w:hAnsiTheme="minorHAnsi"/>
        </w:rPr>
        <w:t xml:space="preserve"> alfa was considered to be favourable. Dose increases up to 5 mg/kg </w:t>
      </w:r>
      <w:proofErr w:type="spellStart"/>
      <w:r w:rsidRPr="003056B6">
        <w:rPr>
          <w:rFonts w:asciiTheme="minorHAnsi" w:hAnsiTheme="minorHAnsi"/>
        </w:rPr>
        <w:t>qw</w:t>
      </w:r>
      <w:proofErr w:type="spellEnd"/>
      <w:r w:rsidRPr="003056B6">
        <w:rPr>
          <w:rFonts w:asciiTheme="minorHAnsi" w:hAnsiTheme="minorHAnsi"/>
        </w:rPr>
        <w:t xml:space="preserve"> in 2 infants, based on clinical response, did not substantially alter the safety profile. The majority of TEAEs were non</w:t>
      </w:r>
      <w:r>
        <w:rPr>
          <w:rFonts w:asciiTheme="minorHAnsi" w:hAnsiTheme="minorHAnsi"/>
        </w:rPr>
        <w:t>-</w:t>
      </w:r>
      <w:r w:rsidRPr="003056B6">
        <w:rPr>
          <w:rFonts w:asciiTheme="minorHAnsi" w:hAnsiTheme="minorHAnsi"/>
        </w:rPr>
        <w:t xml:space="preserve">serious, mild or moderate in severity, and reported as unrelated to treatment with </w:t>
      </w:r>
      <w:proofErr w:type="spellStart"/>
      <w:r w:rsidRPr="003056B6">
        <w:rPr>
          <w:rFonts w:asciiTheme="minorHAnsi" w:hAnsiTheme="minorHAnsi"/>
        </w:rPr>
        <w:t>sebelipase</w:t>
      </w:r>
      <w:proofErr w:type="spellEnd"/>
      <w:r w:rsidRPr="003056B6">
        <w:rPr>
          <w:rFonts w:asciiTheme="minorHAnsi" w:hAnsiTheme="minorHAnsi"/>
        </w:rPr>
        <w:t xml:space="preserve"> alfa. The use of LLMs by subjects who received </w:t>
      </w:r>
      <w:proofErr w:type="spellStart"/>
      <w:r w:rsidRPr="003056B6">
        <w:rPr>
          <w:rFonts w:asciiTheme="minorHAnsi" w:hAnsiTheme="minorHAnsi"/>
        </w:rPr>
        <w:t>sebelipase</w:t>
      </w:r>
      <w:proofErr w:type="spellEnd"/>
      <w:r w:rsidRPr="003056B6">
        <w:rPr>
          <w:rFonts w:asciiTheme="minorHAnsi" w:hAnsiTheme="minorHAnsi"/>
        </w:rPr>
        <w:t xml:space="preserve"> alfa did not appear to impact the safety profile of </w:t>
      </w:r>
      <w:proofErr w:type="spellStart"/>
      <w:r w:rsidRPr="003056B6">
        <w:rPr>
          <w:rFonts w:asciiTheme="minorHAnsi" w:hAnsiTheme="minorHAnsi"/>
        </w:rPr>
        <w:t>sebelipase</w:t>
      </w:r>
      <w:proofErr w:type="spellEnd"/>
      <w:r w:rsidRPr="003056B6">
        <w:rPr>
          <w:rFonts w:asciiTheme="minorHAnsi" w:hAnsiTheme="minorHAnsi"/>
        </w:rPr>
        <w:t xml:space="preserve"> </w:t>
      </w:r>
      <w:r w:rsidRPr="000D2935">
        <w:rPr>
          <w:rFonts w:asciiTheme="minorHAnsi" w:hAnsiTheme="minorHAnsi"/>
        </w:rPr>
        <w:t xml:space="preserve">alfa. </w:t>
      </w:r>
      <w:r>
        <w:rPr>
          <w:rFonts w:asciiTheme="minorHAnsi" w:hAnsiTheme="minorHAnsi"/>
        </w:rPr>
        <w:t>The most common AEs in p</w:t>
      </w:r>
      <w:r w:rsidRPr="000D2935">
        <w:rPr>
          <w:rFonts w:asciiTheme="minorHAnsi" w:eastAsia="TimesNewRoman" w:hAnsiTheme="minorHAnsi" w:cs="TimesNewRoman"/>
        </w:rPr>
        <w:t xml:space="preserve">atients with </w:t>
      </w:r>
      <w:r>
        <w:rPr>
          <w:rFonts w:asciiTheme="minorHAnsi" w:eastAsia="TimesNewRoman" w:hAnsiTheme="minorHAnsi" w:cs="TimesNewRoman"/>
        </w:rPr>
        <w:t>rapidly p</w:t>
      </w:r>
      <w:r w:rsidRPr="000D2935">
        <w:rPr>
          <w:rFonts w:asciiTheme="minorHAnsi" w:eastAsia="TimesNewRoman" w:hAnsiTheme="minorHAnsi" w:cs="TimesNewRoman"/>
        </w:rPr>
        <w:t xml:space="preserve">rogressive </w:t>
      </w:r>
      <w:r>
        <w:rPr>
          <w:rFonts w:asciiTheme="minorHAnsi" w:eastAsia="TimesNewRoman" w:hAnsiTheme="minorHAnsi" w:cs="TimesNewRoman"/>
        </w:rPr>
        <w:t>d</w:t>
      </w:r>
      <w:r w:rsidRPr="000D2935">
        <w:rPr>
          <w:rFonts w:asciiTheme="minorHAnsi" w:eastAsia="TimesNewRoman" w:hAnsiTheme="minorHAnsi" w:cs="TimesNewRoman"/>
        </w:rPr>
        <w:t xml:space="preserve">isease </w:t>
      </w:r>
      <w:r>
        <w:rPr>
          <w:rFonts w:asciiTheme="minorHAnsi" w:eastAsia="TimesNewRoman" w:hAnsiTheme="minorHAnsi" w:cs="TimesNewRoman"/>
        </w:rPr>
        <w:t>presenting within the f</w:t>
      </w:r>
      <w:r w:rsidRPr="000D2935">
        <w:rPr>
          <w:rFonts w:asciiTheme="minorHAnsi" w:eastAsia="TimesNewRoman" w:hAnsiTheme="minorHAnsi" w:cs="TimesNewRoman"/>
        </w:rPr>
        <w:t>irst 6</w:t>
      </w:r>
      <w:r>
        <w:rPr>
          <w:rFonts w:asciiTheme="minorHAnsi" w:eastAsia="TimesNewRoman" w:hAnsiTheme="minorHAnsi" w:cs="TimesNewRoman"/>
        </w:rPr>
        <w:t xml:space="preserve"> m</w:t>
      </w:r>
      <w:r w:rsidRPr="000D2935">
        <w:rPr>
          <w:rFonts w:asciiTheme="minorHAnsi" w:eastAsia="TimesNewRoman" w:hAnsiTheme="minorHAnsi" w:cs="TimesNewRoman"/>
        </w:rPr>
        <w:t xml:space="preserve">onths of </w:t>
      </w:r>
      <w:r>
        <w:rPr>
          <w:rFonts w:asciiTheme="minorHAnsi" w:eastAsia="TimesNewRoman" w:hAnsiTheme="minorHAnsi" w:cs="TimesNewRoman"/>
        </w:rPr>
        <w:t>l</w:t>
      </w:r>
      <w:r w:rsidRPr="000D2935">
        <w:rPr>
          <w:rFonts w:asciiTheme="minorHAnsi" w:eastAsia="TimesNewRoman" w:hAnsiTheme="minorHAnsi" w:cs="TimesNewRoman"/>
        </w:rPr>
        <w:t>ife (</w:t>
      </w:r>
      <w:r w:rsidR="009D434A">
        <w:rPr>
          <w:rFonts w:asciiTheme="minorHAnsi" w:eastAsia="TimesNewRoman" w:hAnsiTheme="minorHAnsi" w:cs="SymbolMT"/>
        </w:rPr>
        <w:t>≥ </w:t>
      </w:r>
      <w:r w:rsidR="00091687">
        <w:rPr>
          <w:rFonts w:asciiTheme="minorHAnsi" w:eastAsia="TimesNewRoman" w:hAnsiTheme="minorHAnsi" w:cs="SymbolMT"/>
        </w:rPr>
        <w:t>3</w:t>
      </w:r>
      <w:r w:rsidRPr="000D2935">
        <w:rPr>
          <w:rFonts w:asciiTheme="minorHAnsi" w:eastAsia="TimesNewRoman" w:hAnsiTheme="minorHAnsi" w:cs="TimesNewRoman"/>
        </w:rPr>
        <w:t>0%)</w:t>
      </w:r>
      <w:r>
        <w:rPr>
          <w:rFonts w:asciiTheme="minorHAnsi" w:eastAsia="TimesNewRoman" w:hAnsiTheme="minorHAnsi" w:cs="TimesNewRoman"/>
        </w:rPr>
        <w:t xml:space="preserve"> were </w:t>
      </w:r>
      <w:r w:rsidRPr="000D2935">
        <w:rPr>
          <w:rFonts w:asciiTheme="minorHAnsi" w:eastAsia="TimesNewRoman" w:hAnsiTheme="minorHAnsi" w:cs="TimesNewRoman"/>
        </w:rPr>
        <w:t>diarrh</w:t>
      </w:r>
      <w:r>
        <w:rPr>
          <w:rFonts w:asciiTheme="minorHAnsi" w:eastAsia="TimesNewRoman" w:hAnsiTheme="minorHAnsi" w:cs="TimesNewRoman"/>
        </w:rPr>
        <w:t>o</w:t>
      </w:r>
      <w:r w:rsidRPr="000D2935">
        <w:rPr>
          <w:rFonts w:asciiTheme="minorHAnsi" w:eastAsia="TimesNewRoman" w:hAnsiTheme="minorHAnsi" w:cs="TimesNewRoman"/>
        </w:rPr>
        <w:t>ea, vomiting, fever, rhinitis, an</w:t>
      </w:r>
      <w:r>
        <w:rPr>
          <w:rFonts w:asciiTheme="minorHAnsi" w:eastAsia="TimesNewRoman" w:hAnsiTheme="minorHAnsi" w:cs="TimesNewRoman"/>
        </w:rPr>
        <w:t>a</w:t>
      </w:r>
      <w:r w:rsidRPr="000D2935">
        <w:rPr>
          <w:rFonts w:asciiTheme="minorHAnsi" w:eastAsia="TimesNewRoman" w:hAnsiTheme="minorHAnsi" w:cs="TimesNewRoman"/>
        </w:rPr>
        <w:t>emia,</w:t>
      </w:r>
      <w:r>
        <w:rPr>
          <w:rFonts w:asciiTheme="minorHAnsi" w:eastAsia="TimesNewRoman" w:hAnsiTheme="minorHAnsi" w:cs="TimesNewRoman"/>
        </w:rPr>
        <w:t xml:space="preserve"> </w:t>
      </w:r>
      <w:r w:rsidRPr="000D2935">
        <w:rPr>
          <w:rFonts w:asciiTheme="minorHAnsi" w:eastAsia="TimesNewRoman" w:hAnsiTheme="minorHAnsi" w:cs="TimesNewRoman"/>
        </w:rPr>
        <w:t xml:space="preserve">cough, </w:t>
      </w:r>
      <w:proofErr w:type="spellStart"/>
      <w:r w:rsidRPr="000D2935">
        <w:rPr>
          <w:rFonts w:asciiTheme="minorHAnsi" w:eastAsia="TimesNewRoman" w:hAnsiTheme="minorHAnsi" w:cs="TimesNewRoman"/>
        </w:rPr>
        <w:t>nasop</w:t>
      </w:r>
      <w:r>
        <w:rPr>
          <w:rFonts w:asciiTheme="minorHAnsi" w:eastAsia="TimesNewRoman" w:hAnsiTheme="minorHAnsi" w:cs="TimesNewRoman"/>
        </w:rPr>
        <w:t>haryngitis</w:t>
      </w:r>
      <w:proofErr w:type="spellEnd"/>
      <w:r>
        <w:rPr>
          <w:rFonts w:asciiTheme="minorHAnsi" w:eastAsia="TimesNewRoman" w:hAnsiTheme="minorHAnsi" w:cs="TimesNewRoman"/>
        </w:rPr>
        <w:t xml:space="preserve">, and </w:t>
      </w:r>
      <w:proofErr w:type="spellStart"/>
      <w:r>
        <w:rPr>
          <w:rFonts w:asciiTheme="minorHAnsi" w:eastAsia="TimesNewRoman" w:hAnsiTheme="minorHAnsi" w:cs="TimesNewRoman"/>
        </w:rPr>
        <w:t>urticaria</w:t>
      </w:r>
      <w:proofErr w:type="spellEnd"/>
      <w:r>
        <w:rPr>
          <w:rFonts w:asciiTheme="minorHAnsi" w:eastAsia="TimesNewRoman" w:hAnsiTheme="minorHAnsi" w:cs="TimesNewRoman"/>
        </w:rPr>
        <w:t>. Common AEs in the paediatric and adult patients</w:t>
      </w:r>
      <w:r w:rsidRPr="000D2935">
        <w:rPr>
          <w:rFonts w:asciiTheme="minorHAnsi" w:eastAsia="TimesNewRoman" w:hAnsiTheme="minorHAnsi" w:cs="TimesNewRoman"/>
        </w:rPr>
        <w:t xml:space="preserve"> (</w:t>
      </w:r>
      <w:r w:rsidR="009D434A">
        <w:rPr>
          <w:rFonts w:asciiTheme="minorHAnsi" w:eastAsia="TimesNewRoman" w:hAnsiTheme="minorHAnsi" w:cs="TimesNewRoman"/>
        </w:rPr>
        <w:t>≥ 8</w:t>
      </w:r>
      <w:r w:rsidRPr="000D2935">
        <w:rPr>
          <w:rFonts w:asciiTheme="minorHAnsi" w:eastAsia="TimesNewRoman" w:hAnsiTheme="minorHAnsi" w:cs="TimesNewRoman"/>
        </w:rPr>
        <w:t>%)</w:t>
      </w:r>
      <w:r>
        <w:rPr>
          <w:rFonts w:asciiTheme="minorHAnsi" w:eastAsia="TimesNewRoman" w:hAnsiTheme="minorHAnsi" w:cs="TimesNewRoman"/>
        </w:rPr>
        <w:t xml:space="preserve"> included</w:t>
      </w:r>
      <w:r w:rsidRPr="000D2935">
        <w:rPr>
          <w:rFonts w:asciiTheme="minorHAnsi" w:eastAsia="TimesNewRoman" w:hAnsiTheme="minorHAnsi" w:cs="TimesNewRoman"/>
        </w:rPr>
        <w:t xml:space="preserve"> headache, fever, oropharyngeal</w:t>
      </w:r>
      <w:r>
        <w:rPr>
          <w:rFonts w:asciiTheme="minorHAnsi" w:eastAsia="TimesNewRoman" w:hAnsiTheme="minorHAnsi" w:cs="TimesNewRoman"/>
        </w:rPr>
        <w:t xml:space="preserve"> </w:t>
      </w:r>
      <w:r w:rsidRPr="000D2935">
        <w:rPr>
          <w:rFonts w:asciiTheme="minorHAnsi" w:eastAsia="TimesNewRoman" w:hAnsiTheme="minorHAnsi" w:cs="TimesNewRoman"/>
        </w:rPr>
        <w:t xml:space="preserve">pain, </w:t>
      </w:r>
      <w:proofErr w:type="spellStart"/>
      <w:r w:rsidRPr="000D2935">
        <w:rPr>
          <w:rFonts w:asciiTheme="minorHAnsi" w:eastAsia="TimesNewRoman" w:hAnsiTheme="minorHAnsi" w:cs="TimesNewRoman"/>
        </w:rPr>
        <w:t>nasopharyngitis</w:t>
      </w:r>
      <w:proofErr w:type="spellEnd"/>
      <w:r w:rsidRPr="000D2935">
        <w:rPr>
          <w:rFonts w:asciiTheme="minorHAnsi" w:eastAsia="TimesNewRoman" w:hAnsiTheme="minorHAnsi" w:cs="TimesNewRoman"/>
        </w:rPr>
        <w:t>, asthenia, constipation, and nausea.</w:t>
      </w:r>
    </w:p>
    <w:p w14:paraId="7B190883" w14:textId="77777777" w:rsidR="00B73619" w:rsidRDefault="00787F40" w:rsidP="00787F40">
      <w:pPr>
        <w:autoSpaceDE w:val="0"/>
        <w:autoSpaceDN w:val="0"/>
        <w:adjustRightInd w:val="0"/>
        <w:spacing w:before="0" w:line="240" w:lineRule="auto"/>
        <w:rPr>
          <w:rFonts w:asciiTheme="minorHAnsi" w:hAnsiTheme="minorHAnsi"/>
        </w:rPr>
      </w:pPr>
      <w:r w:rsidRPr="000D2935">
        <w:rPr>
          <w:rFonts w:asciiTheme="minorHAnsi" w:eastAsia="TimesNewRoman" w:hAnsiTheme="minorHAnsi" w:cs="TimesNewRoman"/>
        </w:rPr>
        <w:t xml:space="preserve">In clinical trials, 3 of 106 (3%) patients treated with </w:t>
      </w:r>
      <w:proofErr w:type="spellStart"/>
      <w:r w:rsidR="008F6668">
        <w:rPr>
          <w:rFonts w:asciiTheme="minorHAnsi" w:eastAsia="TimesNewRoman" w:hAnsiTheme="minorHAnsi" w:cs="TimesNewRoman"/>
        </w:rPr>
        <w:t>Kanuma</w:t>
      </w:r>
      <w:proofErr w:type="spellEnd"/>
      <w:r w:rsidRPr="000D2935">
        <w:rPr>
          <w:rFonts w:asciiTheme="minorHAnsi" w:eastAsia="TimesNewRoman" w:hAnsiTheme="minorHAnsi" w:cs="TimesNewRoman"/>
        </w:rPr>
        <w:t xml:space="preserve"> experienced signs and</w:t>
      </w:r>
      <w:r>
        <w:rPr>
          <w:rFonts w:asciiTheme="minorHAnsi" w:eastAsia="TimesNewRoman" w:hAnsiTheme="minorHAnsi" w:cs="TimesNewRoman"/>
        </w:rPr>
        <w:t xml:space="preserve"> </w:t>
      </w:r>
      <w:r w:rsidRPr="000D2935">
        <w:rPr>
          <w:rFonts w:asciiTheme="minorHAnsi" w:eastAsia="TimesNewRoman" w:hAnsiTheme="minorHAnsi" w:cs="TimesNewRoman"/>
        </w:rPr>
        <w:t>symptoms consistent with anaphylaxis. These patients experienced reactions during infusion</w:t>
      </w:r>
      <w:r>
        <w:rPr>
          <w:rFonts w:asciiTheme="minorHAnsi" w:eastAsia="TimesNewRoman" w:hAnsiTheme="minorHAnsi" w:cs="TimesNewRoman"/>
        </w:rPr>
        <w:t xml:space="preserve"> </w:t>
      </w:r>
      <w:r w:rsidRPr="000D2935">
        <w:rPr>
          <w:rFonts w:asciiTheme="minorHAnsi" w:eastAsia="TimesNewRoman" w:hAnsiTheme="minorHAnsi" w:cs="TimesNewRoman"/>
        </w:rPr>
        <w:t>with signs and symptoms including chest discomfort, conjunctival injection, dyspn</w:t>
      </w:r>
      <w:r>
        <w:rPr>
          <w:rFonts w:asciiTheme="minorHAnsi" w:eastAsia="TimesNewRoman" w:hAnsiTheme="minorHAnsi" w:cs="TimesNewRoman"/>
        </w:rPr>
        <w:t>o</w:t>
      </w:r>
      <w:r w:rsidRPr="000D2935">
        <w:rPr>
          <w:rFonts w:asciiTheme="minorHAnsi" w:eastAsia="TimesNewRoman" w:hAnsiTheme="minorHAnsi" w:cs="TimesNewRoman"/>
        </w:rPr>
        <w:t>ea,</w:t>
      </w:r>
      <w:r>
        <w:rPr>
          <w:rFonts w:asciiTheme="minorHAnsi" w:eastAsia="TimesNewRoman" w:hAnsiTheme="minorHAnsi" w:cs="TimesNewRoman"/>
        </w:rPr>
        <w:t xml:space="preserve"> </w:t>
      </w:r>
      <w:r w:rsidRPr="000D2935">
        <w:rPr>
          <w:rFonts w:asciiTheme="minorHAnsi" w:eastAsia="TimesNewRoman" w:hAnsiTheme="minorHAnsi" w:cs="TimesNewRoman"/>
        </w:rPr>
        <w:t>generalized and itchy rash, hyper</w:t>
      </w:r>
      <w:r>
        <w:rPr>
          <w:rFonts w:asciiTheme="minorHAnsi" w:eastAsia="TimesNewRoman" w:hAnsiTheme="minorHAnsi" w:cs="TimesNewRoman"/>
        </w:rPr>
        <w:t>a</w:t>
      </w:r>
      <w:r w:rsidRPr="000D2935">
        <w:rPr>
          <w:rFonts w:asciiTheme="minorHAnsi" w:eastAsia="TimesNewRoman" w:hAnsiTheme="minorHAnsi" w:cs="TimesNewRoman"/>
        </w:rPr>
        <w:t>emia, swelling of eyelids, rhinorrh</w:t>
      </w:r>
      <w:r>
        <w:rPr>
          <w:rFonts w:asciiTheme="minorHAnsi" w:eastAsia="TimesNewRoman" w:hAnsiTheme="minorHAnsi" w:cs="TimesNewRoman"/>
        </w:rPr>
        <w:t>o</w:t>
      </w:r>
      <w:r w:rsidRPr="000D2935">
        <w:rPr>
          <w:rFonts w:asciiTheme="minorHAnsi" w:eastAsia="TimesNewRoman" w:hAnsiTheme="minorHAnsi" w:cs="TimesNewRoman"/>
        </w:rPr>
        <w:t>ea, severe respiratory</w:t>
      </w:r>
      <w:r>
        <w:rPr>
          <w:rFonts w:asciiTheme="minorHAnsi" w:eastAsia="TimesNewRoman" w:hAnsiTheme="minorHAnsi" w:cs="TimesNewRoman"/>
        </w:rPr>
        <w:t xml:space="preserve"> </w:t>
      </w:r>
      <w:r w:rsidRPr="000D2935">
        <w:rPr>
          <w:rFonts w:asciiTheme="minorHAnsi" w:eastAsia="TimesNewRoman" w:hAnsiTheme="minorHAnsi" w:cs="TimesNewRoman"/>
        </w:rPr>
        <w:t>distress, tachycardia, tachypn</w:t>
      </w:r>
      <w:r>
        <w:rPr>
          <w:rFonts w:asciiTheme="minorHAnsi" w:eastAsia="TimesNewRoman" w:hAnsiTheme="minorHAnsi" w:cs="TimesNewRoman"/>
        </w:rPr>
        <w:t>o</w:t>
      </w:r>
      <w:r w:rsidRPr="000D2935">
        <w:rPr>
          <w:rFonts w:asciiTheme="minorHAnsi" w:eastAsia="TimesNewRoman" w:hAnsiTheme="minorHAnsi" w:cs="TimesNewRoman"/>
        </w:rPr>
        <w:t xml:space="preserve">ea, and </w:t>
      </w:r>
      <w:proofErr w:type="spellStart"/>
      <w:r w:rsidRPr="000D2935">
        <w:rPr>
          <w:rFonts w:asciiTheme="minorHAnsi" w:eastAsia="TimesNewRoman" w:hAnsiTheme="minorHAnsi" w:cs="TimesNewRoman"/>
        </w:rPr>
        <w:t>urticaria</w:t>
      </w:r>
      <w:proofErr w:type="spellEnd"/>
      <w:r w:rsidRPr="000D2935">
        <w:rPr>
          <w:rFonts w:asciiTheme="minorHAnsi" w:eastAsia="TimesNewRoman" w:hAnsiTheme="minorHAnsi" w:cs="TimesNewRoman"/>
        </w:rPr>
        <w:t>. Anaphylaxis has occurred as early as the sixth</w:t>
      </w:r>
      <w:r>
        <w:rPr>
          <w:rFonts w:asciiTheme="minorHAnsi" w:eastAsia="TimesNewRoman" w:hAnsiTheme="minorHAnsi" w:cs="TimesNewRoman"/>
        </w:rPr>
        <w:t xml:space="preserve"> </w:t>
      </w:r>
      <w:r w:rsidRPr="000D2935">
        <w:rPr>
          <w:rFonts w:asciiTheme="minorHAnsi" w:eastAsia="TimesNewRoman" w:hAnsiTheme="minorHAnsi" w:cs="TimesNewRoman"/>
        </w:rPr>
        <w:t>infusion and as late as 1 year after treatment initiation</w:t>
      </w:r>
      <w:r>
        <w:rPr>
          <w:rFonts w:asciiTheme="minorHAnsi" w:eastAsia="TimesNewRoman" w:hAnsiTheme="minorHAnsi" w:cs="TimesNewRoman"/>
        </w:rPr>
        <w:t xml:space="preserve">. </w:t>
      </w:r>
      <w:r w:rsidRPr="000D2935">
        <w:rPr>
          <w:rFonts w:asciiTheme="minorHAnsi" w:hAnsiTheme="minorHAnsi"/>
        </w:rPr>
        <w:t>Signs and symptoms suggestive of a</w:t>
      </w:r>
      <w:r w:rsidR="00CC672B">
        <w:rPr>
          <w:rFonts w:asciiTheme="minorHAnsi" w:hAnsiTheme="minorHAnsi"/>
        </w:rPr>
        <w:t xml:space="preserve"> </w:t>
      </w:r>
      <w:r>
        <w:rPr>
          <w:rFonts w:asciiTheme="minorHAnsi" w:hAnsiTheme="minorHAnsi"/>
        </w:rPr>
        <w:t>h</w:t>
      </w:r>
      <w:r w:rsidRPr="000D2935">
        <w:rPr>
          <w:rFonts w:asciiTheme="minorHAnsi" w:hAnsiTheme="minorHAnsi"/>
        </w:rPr>
        <w:t xml:space="preserve">ypersensitivity reaction were identified in 21/106 (20%) subjects who received </w:t>
      </w:r>
      <w:proofErr w:type="spellStart"/>
      <w:r w:rsidRPr="000D2935">
        <w:rPr>
          <w:rFonts w:asciiTheme="minorHAnsi" w:hAnsiTheme="minorHAnsi"/>
        </w:rPr>
        <w:t>sebelipase</w:t>
      </w:r>
      <w:proofErr w:type="spellEnd"/>
      <w:r w:rsidRPr="000D2935">
        <w:rPr>
          <w:rFonts w:asciiTheme="minorHAnsi" w:hAnsiTheme="minorHAnsi"/>
        </w:rPr>
        <w:t xml:space="preserve"> alfa, including 9/14 (64%) infants and 12/92 (13%) children and adults (based on the Updated Pooled Safety Set). These events occurred most often during or within 4 hours of the infusion. Although a small number of subjects experienced severe reactions, no</w:t>
      </w:r>
      <w:r w:rsidRPr="003056B6">
        <w:rPr>
          <w:rFonts w:asciiTheme="minorHAnsi" w:hAnsiTheme="minorHAnsi"/>
        </w:rPr>
        <w:t xml:space="preserve"> subject permanently discontinued treatment with </w:t>
      </w:r>
      <w:proofErr w:type="spellStart"/>
      <w:r w:rsidRPr="003056B6">
        <w:rPr>
          <w:rFonts w:asciiTheme="minorHAnsi" w:hAnsiTheme="minorHAnsi"/>
        </w:rPr>
        <w:t>sebelipase</w:t>
      </w:r>
      <w:proofErr w:type="spellEnd"/>
      <w:r w:rsidRPr="003056B6">
        <w:rPr>
          <w:rFonts w:asciiTheme="minorHAnsi" w:hAnsiTheme="minorHAnsi"/>
        </w:rPr>
        <w:t xml:space="preserve"> alfa due to a possible hypersensitivity reaction. Hypersensitivity reactions were successfully managed by temporarily interrupting the infusion, reducing the infusion rate, and administration of antipyretics</w:t>
      </w:r>
      <w:r>
        <w:rPr>
          <w:rFonts w:asciiTheme="minorHAnsi" w:hAnsiTheme="minorHAnsi"/>
        </w:rPr>
        <w:t xml:space="preserve">, </w:t>
      </w:r>
      <w:r w:rsidRPr="003056B6">
        <w:rPr>
          <w:rFonts w:asciiTheme="minorHAnsi" w:hAnsiTheme="minorHAnsi"/>
        </w:rPr>
        <w:t>antihistamines</w:t>
      </w:r>
      <w:r>
        <w:rPr>
          <w:rFonts w:asciiTheme="minorHAnsi" w:hAnsiTheme="minorHAnsi"/>
        </w:rPr>
        <w:t xml:space="preserve"> and c</w:t>
      </w:r>
      <w:r w:rsidRPr="003056B6">
        <w:rPr>
          <w:rFonts w:asciiTheme="minorHAnsi" w:hAnsiTheme="minorHAnsi"/>
        </w:rPr>
        <w:t>orticosteroids</w:t>
      </w:r>
      <w:r w:rsidR="00B73619">
        <w:rPr>
          <w:rFonts w:asciiTheme="minorHAnsi" w:hAnsiTheme="minorHAnsi"/>
        </w:rPr>
        <w:t>.</w:t>
      </w:r>
    </w:p>
    <w:p w14:paraId="0A6873FE" w14:textId="648DA561" w:rsidR="00787F40" w:rsidRDefault="00787F40" w:rsidP="00E912BE">
      <w:r w:rsidRPr="003056B6">
        <w:t xml:space="preserve">Twelve subjects in the Updated Pooled Safety Set tested positive for ADAs during the course of treatment with </w:t>
      </w:r>
      <w:proofErr w:type="spellStart"/>
      <w:r w:rsidRPr="003056B6">
        <w:t>sebelipase</w:t>
      </w:r>
      <w:proofErr w:type="spellEnd"/>
      <w:r w:rsidRPr="003056B6">
        <w:t xml:space="preserve"> alfa. A higher proportion of infants tested positive for ADAs at more than one time point compared to children and adults</w:t>
      </w:r>
      <w:r>
        <w:t xml:space="preserve"> most likely due to fact that </w:t>
      </w:r>
      <w:r w:rsidRPr="003056B6">
        <w:t xml:space="preserve">infants received higher doses of </w:t>
      </w:r>
      <w:proofErr w:type="spellStart"/>
      <w:r w:rsidRPr="003056B6">
        <w:t>sebelipase</w:t>
      </w:r>
      <w:proofErr w:type="spellEnd"/>
      <w:r w:rsidRPr="003056B6">
        <w:t xml:space="preserve"> alfa and more frequent dosing as compared to dosing regimens for the children and adults. A possible relationship of mutation status on the formation of ADAs could not be excluded as the majority of </w:t>
      </w:r>
      <w:r w:rsidR="003F3AB4">
        <w:t>ADA positive</w:t>
      </w:r>
      <w:r w:rsidRPr="003056B6">
        <w:t xml:space="preserve"> subjects were categorised as </w:t>
      </w:r>
      <w:r w:rsidR="00F056E7">
        <w:t>‘</w:t>
      </w:r>
      <w:r w:rsidRPr="003056B6">
        <w:t>Other</w:t>
      </w:r>
      <w:r w:rsidR="00F056E7">
        <w:t>’</w:t>
      </w:r>
      <w:r w:rsidRPr="003056B6">
        <w:t xml:space="preserve"> mutation. No apparent impact of ADA development on hypersensitivity reactions, including anaphylaxis, was identified.</w:t>
      </w:r>
    </w:p>
    <w:p w14:paraId="6436880D" w14:textId="77777777" w:rsidR="00B73619" w:rsidRDefault="00787F40" w:rsidP="00E912BE">
      <w:r>
        <w:t>The safety aspects of the proposed PI</w:t>
      </w:r>
      <w:r w:rsidR="009D434A">
        <w:t xml:space="preserve"> </w:t>
      </w:r>
      <w:r>
        <w:t>are satisfactory</w:t>
      </w:r>
      <w:r w:rsidR="00B73619">
        <w:t>.</w:t>
      </w:r>
    </w:p>
    <w:p w14:paraId="1B0E3E15" w14:textId="77777777" w:rsidR="00C22678" w:rsidRDefault="00C22678" w:rsidP="00C22678">
      <w:pPr>
        <w:pStyle w:val="Heading2"/>
      </w:pPr>
      <w:bookmarkStart w:id="487" w:name="_Toc519670979"/>
      <w:r>
        <w:lastRenderedPageBreak/>
        <w:t>First round benefit-risk assessment</w:t>
      </w:r>
      <w:bookmarkEnd w:id="487"/>
    </w:p>
    <w:p w14:paraId="0C705990" w14:textId="77777777" w:rsidR="008F6668" w:rsidRDefault="008F6668" w:rsidP="008F6668">
      <w:pPr>
        <w:pStyle w:val="Heading3"/>
      </w:pPr>
      <w:bookmarkStart w:id="488" w:name="_Toc236802592"/>
      <w:bookmarkStart w:id="489" w:name="_Toc241374331"/>
      <w:bookmarkStart w:id="490" w:name="_Ref272160836"/>
      <w:bookmarkStart w:id="491" w:name="_Toc272414693"/>
      <w:bookmarkStart w:id="492" w:name="_Toc290888557"/>
      <w:bookmarkStart w:id="493" w:name="_Toc416353772"/>
      <w:bookmarkStart w:id="494" w:name="_Toc421005314"/>
      <w:bookmarkStart w:id="495" w:name="_Toc432079185"/>
      <w:bookmarkStart w:id="496" w:name="_Toc432080758"/>
      <w:bookmarkStart w:id="497" w:name="_Toc468957508"/>
      <w:bookmarkStart w:id="498" w:name="_Toc519670980"/>
      <w:r w:rsidRPr="008F6668">
        <w:t>First round assessment of benefits</w:t>
      </w:r>
      <w:bookmarkEnd w:id="488"/>
      <w:bookmarkEnd w:id="489"/>
      <w:bookmarkEnd w:id="490"/>
      <w:bookmarkEnd w:id="491"/>
      <w:bookmarkEnd w:id="492"/>
      <w:bookmarkEnd w:id="493"/>
      <w:bookmarkEnd w:id="494"/>
      <w:bookmarkEnd w:id="495"/>
      <w:bookmarkEnd w:id="496"/>
      <w:bookmarkEnd w:id="497"/>
      <w:bookmarkEnd w:id="498"/>
    </w:p>
    <w:p w14:paraId="4D28AA0D" w14:textId="77777777" w:rsidR="009D434A" w:rsidRPr="009D434A" w:rsidRDefault="00FA48CC" w:rsidP="009D434A">
      <w:pPr>
        <w:pStyle w:val="Tabletitle"/>
        <w:rPr>
          <w:lang w:eastAsia="ja-JP"/>
        </w:rPr>
      </w:pPr>
      <w:r>
        <w:rPr>
          <w:lang w:eastAsia="ja-JP"/>
        </w:rPr>
        <w:t>Table 34:</w:t>
      </w:r>
      <w:r w:rsidR="009D434A">
        <w:rPr>
          <w:lang w:eastAsia="ja-JP"/>
        </w:rPr>
        <w:t xml:space="preserve"> First round assessment of benefits</w:t>
      </w:r>
    </w:p>
    <w:tbl>
      <w:tblPr>
        <w:tblStyle w:val="TableGrid"/>
        <w:tblW w:w="0" w:type="auto"/>
        <w:tblInd w:w="108" w:type="dxa"/>
        <w:tblLook w:val="04A0" w:firstRow="1" w:lastRow="0" w:firstColumn="1" w:lastColumn="0" w:noHBand="0" w:noVBand="1"/>
      </w:tblPr>
      <w:tblGrid>
        <w:gridCol w:w="4511"/>
        <w:gridCol w:w="4278"/>
      </w:tblGrid>
      <w:tr w:rsidR="008F6668" w:rsidRPr="003056B6" w14:paraId="0CB78F70" w14:textId="77777777" w:rsidTr="00EF53B7">
        <w:trPr>
          <w:tblHeader/>
        </w:trPr>
        <w:tc>
          <w:tcPr>
            <w:tcW w:w="4511" w:type="dxa"/>
            <w:shd w:val="clear" w:color="auto" w:fill="006D9D"/>
          </w:tcPr>
          <w:p w14:paraId="2C108C2A" w14:textId="77777777" w:rsidR="008F6668" w:rsidRPr="003056B6" w:rsidRDefault="008F6668" w:rsidP="009D434A">
            <w:pPr>
              <w:keepNext/>
              <w:spacing w:before="0" w:line="240" w:lineRule="auto"/>
              <w:rPr>
                <w:rFonts w:asciiTheme="minorHAnsi" w:hAnsiTheme="minorHAnsi"/>
                <w:b/>
                <w:color w:val="FFFFFF" w:themeColor="background1"/>
                <w:sz w:val="22"/>
                <w:szCs w:val="22"/>
              </w:rPr>
            </w:pPr>
            <w:r w:rsidRPr="003056B6">
              <w:rPr>
                <w:rFonts w:asciiTheme="minorHAnsi" w:hAnsiTheme="minorHAnsi"/>
                <w:b/>
                <w:color w:val="FFFFFF" w:themeColor="background1"/>
                <w:sz w:val="22"/>
                <w:szCs w:val="22"/>
              </w:rPr>
              <w:t>Benefits</w:t>
            </w:r>
          </w:p>
        </w:tc>
        <w:tc>
          <w:tcPr>
            <w:tcW w:w="4278" w:type="dxa"/>
            <w:shd w:val="clear" w:color="auto" w:fill="006D9D"/>
          </w:tcPr>
          <w:p w14:paraId="11DE0020" w14:textId="77777777" w:rsidR="008F6668" w:rsidRPr="003056B6" w:rsidRDefault="008F6668" w:rsidP="009D434A">
            <w:pPr>
              <w:keepNext/>
              <w:spacing w:before="0" w:line="240" w:lineRule="auto"/>
              <w:rPr>
                <w:rFonts w:asciiTheme="minorHAnsi" w:hAnsiTheme="minorHAnsi"/>
                <w:b/>
                <w:color w:val="FFFFFF" w:themeColor="background1"/>
                <w:sz w:val="22"/>
                <w:szCs w:val="22"/>
              </w:rPr>
            </w:pPr>
            <w:r w:rsidRPr="003056B6">
              <w:rPr>
                <w:rFonts w:asciiTheme="minorHAnsi" w:hAnsiTheme="minorHAnsi"/>
                <w:b/>
                <w:color w:val="FFFFFF" w:themeColor="background1"/>
                <w:sz w:val="22"/>
                <w:szCs w:val="22"/>
              </w:rPr>
              <w:t>Strengths and Uncertainties</w:t>
            </w:r>
          </w:p>
        </w:tc>
      </w:tr>
      <w:tr w:rsidR="008F6668" w:rsidRPr="000A1B5F" w14:paraId="3A795363" w14:textId="77777777" w:rsidTr="008F6668">
        <w:tc>
          <w:tcPr>
            <w:tcW w:w="4511" w:type="dxa"/>
          </w:tcPr>
          <w:p w14:paraId="79067DEC" w14:textId="77777777" w:rsidR="008F6668" w:rsidRPr="000A1B5F" w:rsidRDefault="008F6668" w:rsidP="00A31C7F">
            <w:pPr>
              <w:spacing w:before="0" w:line="240" w:lineRule="auto"/>
              <w:rPr>
                <w:rFonts w:cstheme="minorHAnsi"/>
                <w:sz w:val="22"/>
                <w:szCs w:val="22"/>
              </w:rPr>
            </w:pPr>
            <w:r w:rsidRPr="000A1B5F">
              <w:rPr>
                <w:sz w:val="22"/>
                <w:szCs w:val="22"/>
              </w:rPr>
              <w:t xml:space="preserve">In children and adults with LAL deficiency, </w:t>
            </w:r>
            <w:proofErr w:type="spellStart"/>
            <w:r w:rsidRPr="000A1B5F">
              <w:rPr>
                <w:sz w:val="22"/>
                <w:szCs w:val="22"/>
              </w:rPr>
              <w:t>sebelipase</w:t>
            </w:r>
            <w:proofErr w:type="spellEnd"/>
            <w:r w:rsidRPr="000A1B5F">
              <w:rPr>
                <w:sz w:val="22"/>
                <w:szCs w:val="22"/>
              </w:rPr>
              <w:t xml:space="preserve"> alfa was significantly more effective than placebo in normalisation of serum transaminases, correction of multiple dyslipidaemia parameters and reduction in hepatic fat content.</w:t>
            </w:r>
          </w:p>
        </w:tc>
        <w:tc>
          <w:tcPr>
            <w:tcW w:w="4278" w:type="dxa"/>
          </w:tcPr>
          <w:p w14:paraId="0919B675" w14:textId="77777777" w:rsidR="008F6668" w:rsidRPr="000A1B5F" w:rsidRDefault="008F6668" w:rsidP="00A31C7F">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before="0" w:line="240" w:lineRule="auto"/>
              <w:rPr>
                <w:rFonts w:cstheme="minorHAnsi"/>
                <w:i/>
                <w:sz w:val="22"/>
                <w:szCs w:val="22"/>
              </w:rPr>
            </w:pPr>
            <w:r w:rsidRPr="000A1B5F">
              <w:rPr>
                <w:sz w:val="22"/>
                <w:szCs w:val="22"/>
              </w:rPr>
              <w:t xml:space="preserve">Survival or effect on clinical endpoints was not evaluated. However, efficacy was shown across multiple endpoints representing important clinical abnormalities in children </w:t>
            </w:r>
            <w:r w:rsidR="009D434A">
              <w:rPr>
                <w:sz w:val="22"/>
                <w:szCs w:val="22"/>
              </w:rPr>
              <w:t>and adults with LAL Deficiency.</w:t>
            </w:r>
          </w:p>
        </w:tc>
      </w:tr>
      <w:tr w:rsidR="008F6668" w:rsidRPr="000A1B5F" w14:paraId="147D83A9" w14:textId="77777777" w:rsidTr="008F6668">
        <w:tc>
          <w:tcPr>
            <w:tcW w:w="4511" w:type="dxa"/>
          </w:tcPr>
          <w:p w14:paraId="5B80CF3C" w14:textId="77777777" w:rsidR="008F6668" w:rsidRPr="000A1B5F" w:rsidRDefault="008F6668" w:rsidP="00A31C7F">
            <w:pPr>
              <w:spacing w:before="0" w:line="240" w:lineRule="auto"/>
              <w:rPr>
                <w:rFonts w:eastAsiaTheme="minorHAnsi" w:cs="Calibri"/>
                <w:sz w:val="22"/>
                <w:szCs w:val="22"/>
              </w:rPr>
            </w:pPr>
            <w:r w:rsidRPr="000A1B5F">
              <w:rPr>
                <w:rFonts w:eastAsiaTheme="minorHAnsi" w:cs="Calibri"/>
                <w:sz w:val="22"/>
                <w:szCs w:val="22"/>
              </w:rPr>
              <w:t xml:space="preserve">Evidence of efficacy in terms of improved survival and positive clinically meaningful effects on the </w:t>
            </w:r>
            <w:r w:rsidR="00FD1D3C">
              <w:rPr>
                <w:rFonts w:eastAsiaTheme="minorHAnsi" w:cs="Calibri"/>
                <w:sz w:val="22"/>
                <w:szCs w:val="22"/>
              </w:rPr>
              <w:t>multi systemic</w:t>
            </w:r>
            <w:r w:rsidRPr="000A1B5F">
              <w:rPr>
                <w:rFonts w:eastAsiaTheme="minorHAnsi" w:cs="Calibri"/>
                <w:sz w:val="22"/>
                <w:szCs w:val="22"/>
              </w:rPr>
              <w:t xml:space="preserve"> manifestations of LAL Deficiency shown in </w:t>
            </w:r>
            <w:r w:rsidR="00B73619">
              <w:rPr>
                <w:rFonts w:eastAsiaTheme="minorHAnsi" w:cs="Calibri"/>
                <w:sz w:val="22"/>
                <w:szCs w:val="22"/>
              </w:rPr>
              <w:t>open label</w:t>
            </w:r>
            <w:r w:rsidRPr="000A1B5F">
              <w:rPr>
                <w:rFonts w:eastAsiaTheme="minorHAnsi" w:cs="Calibri"/>
                <w:sz w:val="22"/>
                <w:szCs w:val="22"/>
              </w:rPr>
              <w:t xml:space="preserve">, uncontrolled </w:t>
            </w:r>
            <w:r w:rsidR="00C4359A">
              <w:rPr>
                <w:rFonts w:eastAsiaTheme="minorHAnsi" w:cs="Calibri"/>
                <w:sz w:val="22"/>
                <w:szCs w:val="22"/>
              </w:rPr>
              <w:t>study</w:t>
            </w:r>
            <w:r w:rsidRPr="000A1B5F">
              <w:rPr>
                <w:rFonts w:eastAsiaTheme="minorHAnsi" w:cs="Calibri"/>
                <w:sz w:val="22"/>
                <w:szCs w:val="22"/>
              </w:rPr>
              <w:t xml:space="preserve"> involving 9 infants with growth failure due to LAL deficiency.</w:t>
            </w:r>
          </w:p>
        </w:tc>
        <w:tc>
          <w:tcPr>
            <w:tcW w:w="4278" w:type="dxa"/>
          </w:tcPr>
          <w:p w14:paraId="779B1B91" w14:textId="77777777" w:rsidR="008F6668" w:rsidRPr="000A1B5F" w:rsidRDefault="008F6668" w:rsidP="008F666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before="0" w:line="240" w:lineRule="auto"/>
              <w:rPr>
                <w:rFonts w:cstheme="minorHAnsi"/>
                <w:sz w:val="22"/>
                <w:szCs w:val="22"/>
              </w:rPr>
            </w:pPr>
            <w:r w:rsidRPr="000A1B5F">
              <w:rPr>
                <w:rFonts w:cstheme="minorHAnsi"/>
              </w:rPr>
              <w:t xml:space="preserve">Due to the more progressive and serious nature of the disease in infants and due to low prevalence, a placebo controlled </w:t>
            </w:r>
            <w:r w:rsidR="00C4359A">
              <w:rPr>
                <w:rFonts w:cstheme="minorHAnsi"/>
              </w:rPr>
              <w:t>study</w:t>
            </w:r>
            <w:r w:rsidRPr="000A1B5F">
              <w:rPr>
                <w:rFonts w:cstheme="minorHAnsi"/>
              </w:rPr>
              <w:t xml:space="preserve"> was not justified or possible in infants.</w:t>
            </w:r>
          </w:p>
        </w:tc>
      </w:tr>
      <w:tr w:rsidR="008F6668" w:rsidRPr="000A1B5F" w14:paraId="6F0DB42A" w14:textId="77777777" w:rsidTr="008F6668">
        <w:tc>
          <w:tcPr>
            <w:tcW w:w="4511" w:type="dxa"/>
          </w:tcPr>
          <w:p w14:paraId="2E30B925" w14:textId="77777777" w:rsidR="008F6668" w:rsidRPr="000A1B5F" w:rsidRDefault="008F6668" w:rsidP="008F6668">
            <w:pPr>
              <w:spacing w:before="0" w:line="240" w:lineRule="auto"/>
              <w:rPr>
                <w:rFonts w:eastAsiaTheme="minorHAnsi" w:cs="Calibri"/>
                <w:sz w:val="22"/>
                <w:szCs w:val="22"/>
              </w:rPr>
            </w:pPr>
            <w:r w:rsidRPr="000A1B5F">
              <w:rPr>
                <w:rFonts w:eastAsiaTheme="minorHAnsi" w:cs="Calibri"/>
                <w:sz w:val="22"/>
                <w:szCs w:val="22"/>
              </w:rPr>
              <w:t xml:space="preserve">ERT with </w:t>
            </w:r>
            <w:proofErr w:type="spellStart"/>
            <w:r w:rsidRPr="000A1B5F">
              <w:rPr>
                <w:rFonts w:eastAsiaTheme="minorHAnsi" w:cs="Calibri"/>
                <w:sz w:val="22"/>
                <w:szCs w:val="22"/>
              </w:rPr>
              <w:t>sebelipase</w:t>
            </w:r>
            <w:proofErr w:type="spellEnd"/>
            <w:r w:rsidRPr="000A1B5F">
              <w:rPr>
                <w:rFonts w:eastAsiaTheme="minorHAnsi" w:cs="Calibri"/>
                <w:sz w:val="22"/>
                <w:szCs w:val="22"/>
              </w:rPr>
              <w:t xml:space="preserve"> alfa addresses the root cause of the disease. Currently available treatment options onl</w:t>
            </w:r>
            <w:r w:rsidR="009D434A">
              <w:rPr>
                <w:rFonts w:eastAsiaTheme="minorHAnsi" w:cs="Calibri"/>
                <w:sz w:val="22"/>
                <w:szCs w:val="22"/>
              </w:rPr>
              <w:t>y include supportive therapies.</w:t>
            </w:r>
          </w:p>
        </w:tc>
        <w:tc>
          <w:tcPr>
            <w:tcW w:w="4278" w:type="dxa"/>
          </w:tcPr>
          <w:p w14:paraId="1E3B969D" w14:textId="77777777" w:rsidR="008F6668" w:rsidRPr="000A1B5F" w:rsidRDefault="008F6668" w:rsidP="008F666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before="0" w:line="240" w:lineRule="auto"/>
              <w:rPr>
                <w:rFonts w:cstheme="minorHAnsi"/>
                <w:sz w:val="22"/>
                <w:szCs w:val="22"/>
              </w:rPr>
            </w:pPr>
            <w:proofErr w:type="spellStart"/>
            <w:r w:rsidRPr="000A1B5F">
              <w:rPr>
                <w:rFonts w:cstheme="minorHAnsi"/>
                <w:sz w:val="22"/>
                <w:szCs w:val="22"/>
              </w:rPr>
              <w:t>Sebelipase</w:t>
            </w:r>
            <w:proofErr w:type="spellEnd"/>
            <w:r w:rsidRPr="000A1B5F">
              <w:rPr>
                <w:rFonts w:cstheme="minorHAnsi"/>
                <w:sz w:val="22"/>
                <w:szCs w:val="22"/>
              </w:rPr>
              <w:t xml:space="preserve"> alfa replaces the missing or deficient enzyme leading to </w:t>
            </w:r>
            <w:r w:rsidRPr="000A1B5F">
              <w:t>statistically significant and clinically meaningful reductions of the accumulated substrates and restoration of lipid metabolism</w:t>
            </w:r>
          </w:p>
        </w:tc>
      </w:tr>
      <w:tr w:rsidR="008F6668" w:rsidRPr="000A1B5F" w14:paraId="32470279" w14:textId="77777777" w:rsidTr="008F6668">
        <w:tc>
          <w:tcPr>
            <w:tcW w:w="4511" w:type="dxa"/>
          </w:tcPr>
          <w:p w14:paraId="7BC592C2" w14:textId="77777777" w:rsidR="008F6668" w:rsidRPr="000A1B5F" w:rsidRDefault="009D434A" w:rsidP="008F6668">
            <w:pPr>
              <w:spacing w:before="0" w:line="240" w:lineRule="auto"/>
              <w:rPr>
                <w:rFonts w:eastAsiaTheme="minorHAnsi" w:cs="Calibri"/>
                <w:sz w:val="22"/>
                <w:szCs w:val="22"/>
              </w:rPr>
            </w:pPr>
            <w:r>
              <w:rPr>
                <w:rFonts w:eastAsiaTheme="minorHAnsi" w:cs="Calibri"/>
                <w:sz w:val="22"/>
                <w:szCs w:val="22"/>
              </w:rPr>
              <w:t>Favourable safety profile.</w:t>
            </w:r>
          </w:p>
        </w:tc>
        <w:tc>
          <w:tcPr>
            <w:tcW w:w="4278" w:type="dxa"/>
          </w:tcPr>
          <w:p w14:paraId="659C2512" w14:textId="77777777" w:rsidR="008F6668" w:rsidRPr="000A1B5F" w:rsidRDefault="008F6668" w:rsidP="008F6668">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spacing w:before="0" w:line="240" w:lineRule="auto"/>
              <w:rPr>
                <w:rFonts w:cstheme="minorHAnsi"/>
                <w:i/>
                <w:sz w:val="22"/>
                <w:szCs w:val="22"/>
              </w:rPr>
            </w:pPr>
            <w:r w:rsidRPr="000A1B5F">
              <w:rPr>
                <w:sz w:val="22"/>
                <w:szCs w:val="22"/>
              </w:rPr>
              <w:t xml:space="preserve">Majority of TEAEs were non-serious, mild or moderate in severity, and reported as unrelated to treatment with </w:t>
            </w:r>
            <w:proofErr w:type="spellStart"/>
            <w:r w:rsidRPr="000A1B5F">
              <w:rPr>
                <w:sz w:val="22"/>
                <w:szCs w:val="22"/>
              </w:rPr>
              <w:t>sebelipase</w:t>
            </w:r>
            <w:proofErr w:type="spellEnd"/>
            <w:r w:rsidRPr="000A1B5F">
              <w:rPr>
                <w:sz w:val="22"/>
                <w:szCs w:val="22"/>
              </w:rPr>
              <w:t xml:space="preserve"> alfa.</w:t>
            </w:r>
          </w:p>
        </w:tc>
      </w:tr>
    </w:tbl>
    <w:p w14:paraId="6936BB1D" w14:textId="77777777" w:rsidR="008F6668" w:rsidRDefault="008F6668" w:rsidP="008F6668">
      <w:pPr>
        <w:pStyle w:val="Heading3"/>
      </w:pPr>
      <w:bookmarkStart w:id="499" w:name="_Toc236802596"/>
      <w:bookmarkStart w:id="500" w:name="_Toc241374334"/>
      <w:bookmarkStart w:id="501" w:name="_Ref272160964"/>
      <w:bookmarkStart w:id="502" w:name="_Toc272414694"/>
      <w:bookmarkStart w:id="503" w:name="_Toc290888558"/>
      <w:bookmarkStart w:id="504" w:name="_Toc416353773"/>
      <w:bookmarkStart w:id="505" w:name="_Toc421005315"/>
      <w:bookmarkStart w:id="506" w:name="_Toc432079186"/>
      <w:bookmarkStart w:id="507" w:name="_Toc432080759"/>
      <w:bookmarkStart w:id="508" w:name="_Toc468957509"/>
      <w:bookmarkStart w:id="509" w:name="_Toc519670981"/>
      <w:r w:rsidRPr="008F6668">
        <w:t>First round assessment of risks</w:t>
      </w:r>
      <w:bookmarkEnd w:id="499"/>
      <w:bookmarkEnd w:id="500"/>
      <w:bookmarkEnd w:id="501"/>
      <w:bookmarkEnd w:id="502"/>
      <w:bookmarkEnd w:id="503"/>
      <w:bookmarkEnd w:id="504"/>
      <w:bookmarkEnd w:id="505"/>
      <w:bookmarkEnd w:id="506"/>
      <w:bookmarkEnd w:id="507"/>
      <w:bookmarkEnd w:id="508"/>
      <w:bookmarkEnd w:id="509"/>
    </w:p>
    <w:p w14:paraId="73B53B99" w14:textId="77777777" w:rsidR="009D434A" w:rsidRPr="009D434A" w:rsidRDefault="009D434A" w:rsidP="009D434A">
      <w:pPr>
        <w:pStyle w:val="Tabletitle"/>
        <w:rPr>
          <w:lang w:eastAsia="ja-JP"/>
        </w:rPr>
      </w:pPr>
      <w:r>
        <w:rPr>
          <w:lang w:eastAsia="ja-JP"/>
        </w:rPr>
        <w:t xml:space="preserve">Table </w:t>
      </w:r>
      <w:r w:rsidR="00FA48CC">
        <w:rPr>
          <w:lang w:eastAsia="ja-JP"/>
        </w:rPr>
        <w:t>35:</w:t>
      </w:r>
      <w:r>
        <w:rPr>
          <w:lang w:eastAsia="ja-JP"/>
        </w:rPr>
        <w:t xml:space="preserve"> first round assessment of risks</w:t>
      </w:r>
    </w:p>
    <w:tbl>
      <w:tblPr>
        <w:tblStyle w:val="TableGrid"/>
        <w:tblW w:w="0" w:type="auto"/>
        <w:tblInd w:w="108" w:type="dxa"/>
        <w:tblLook w:val="04A0" w:firstRow="1" w:lastRow="0" w:firstColumn="1" w:lastColumn="0" w:noHBand="0" w:noVBand="1"/>
      </w:tblPr>
      <w:tblGrid>
        <w:gridCol w:w="4395"/>
        <w:gridCol w:w="4394"/>
      </w:tblGrid>
      <w:tr w:rsidR="008F6668" w:rsidRPr="00AB7834" w14:paraId="1F3F8972" w14:textId="77777777" w:rsidTr="008F6668">
        <w:trPr>
          <w:tblHeader/>
        </w:trPr>
        <w:tc>
          <w:tcPr>
            <w:tcW w:w="4395" w:type="dxa"/>
            <w:shd w:val="clear" w:color="auto" w:fill="006DA7" w:themeFill="accent3"/>
          </w:tcPr>
          <w:p w14:paraId="0ABC4449" w14:textId="77777777" w:rsidR="008F6668" w:rsidRPr="00AB7834" w:rsidRDefault="008F6668" w:rsidP="008F6668">
            <w:pPr>
              <w:keepNext/>
              <w:spacing w:before="0" w:line="240" w:lineRule="auto"/>
              <w:rPr>
                <w:rFonts w:asciiTheme="minorHAnsi" w:hAnsiTheme="minorHAnsi"/>
                <w:b/>
                <w:color w:val="FFFFFF" w:themeColor="background1"/>
                <w:sz w:val="22"/>
                <w:szCs w:val="22"/>
              </w:rPr>
            </w:pPr>
            <w:r w:rsidRPr="00AB7834">
              <w:rPr>
                <w:rFonts w:asciiTheme="minorHAnsi" w:hAnsiTheme="minorHAnsi"/>
                <w:b/>
                <w:color w:val="FFFFFF" w:themeColor="background1"/>
                <w:sz w:val="22"/>
                <w:szCs w:val="22"/>
              </w:rPr>
              <w:t>Risks</w:t>
            </w:r>
          </w:p>
        </w:tc>
        <w:tc>
          <w:tcPr>
            <w:tcW w:w="4394" w:type="dxa"/>
            <w:shd w:val="clear" w:color="auto" w:fill="006DA7" w:themeFill="accent3"/>
          </w:tcPr>
          <w:p w14:paraId="739466FA" w14:textId="77777777" w:rsidR="008F6668" w:rsidRPr="00AB7834" w:rsidRDefault="008F6668" w:rsidP="008F6668">
            <w:pPr>
              <w:spacing w:before="0" w:line="240" w:lineRule="auto"/>
              <w:rPr>
                <w:rFonts w:asciiTheme="minorHAnsi" w:hAnsiTheme="minorHAnsi"/>
                <w:b/>
                <w:color w:val="FFFFFF" w:themeColor="background1"/>
                <w:sz w:val="22"/>
                <w:szCs w:val="22"/>
              </w:rPr>
            </w:pPr>
            <w:r w:rsidRPr="00AB7834">
              <w:rPr>
                <w:rFonts w:asciiTheme="minorHAnsi" w:hAnsiTheme="minorHAnsi"/>
                <w:b/>
                <w:color w:val="FFFFFF" w:themeColor="background1"/>
                <w:sz w:val="22"/>
                <w:szCs w:val="22"/>
              </w:rPr>
              <w:t>Strengths and Uncertainties</w:t>
            </w:r>
          </w:p>
        </w:tc>
      </w:tr>
      <w:tr w:rsidR="008F6668" w:rsidRPr="000A1B5F" w14:paraId="1D6CD477" w14:textId="77777777" w:rsidTr="008F6668">
        <w:tc>
          <w:tcPr>
            <w:tcW w:w="4395" w:type="dxa"/>
          </w:tcPr>
          <w:p w14:paraId="6388A15F" w14:textId="77777777" w:rsidR="008F6668" w:rsidRPr="000A1B5F" w:rsidRDefault="008F6668" w:rsidP="008F6668">
            <w:pPr>
              <w:spacing w:before="0" w:line="240" w:lineRule="auto"/>
              <w:rPr>
                <w:rFonts w:cstheme="minorHAnsi"/>
                <w:sz w:val="22"/>
                <w:szCs w:val="22"/>
              </w:rPr>
            </w:pPr>
            <w:r w:rsidRPr="000A1B5F">
              <w:rPr>
                <w:rFonts w:cstheme="minorHAnsi"/>
                <w:sz w:val="22"/>
                <w:szCs w:val="22"/>
              </w:rPr>
              <w:t>Risk of hypersensitivity including anaphylaxis</w:t>
            </w:r>
            <w:r w:rsidR="00B73619">
              <w:rPr>
                <w:rFonts w:cstheme="minorHAnsi"/>
                <w:sz w:val="22"/>
                <w:szCs w:val="22"/>
              </w:rPr>
              <w:t>.</w:t>
            </w:r>
          </w:p>
        </w:tc>
        <w:tc>
          <w:tcPr>
            <w:tcW w:w="4394" w:type="dxa"/>
          </w:tcPr>
          <w:p w14:paraId="0BA393E1" w14:textId="77777777" w:rsidR="008F6668" w:rsidRPr="000A1B5F" w:rsidRDefault="008F6668" w:rsidP="008F6668">
            <w:pPr>
              <w:spacing w:before="0" w:line="240" w:lineRule="auto"/>
              <w:rPr>
                <w:rFonts w:cstheme="minorHAnsi"/>
                <w:sz w:val="22"/>
                <w:szCs w:val="22"/>
                <w:u w:val="single"/>
              </w:rPr>
            </w:pPr>
            <w:r w:rsidRPr="000A1B5F">
              <w:rPr>
                <w:sz w:val="22"/>
                <w:szCs w:val="22"/>
              </w:rPr>
              <w:t xml:space="preserve">Signs and symptoms suggestive of a hypersensitivity reaction were identified in 21/106 (20%) subjects who received </w:t>
            </w:r>
            <w:proofErr w:type="spellStart"/>
            <w:r w:rsidRPr="000A1B5F">
              <w:rPr>
                <w:sz w:val="22"/>
                <w:szCs w:val="22"/>
              </w:rPr>
              <w:t>sebelipase</w:t>
            </w:r>
            <w:proofErr w:type="spellEnd"/>
            <w:r w:rsidRPr="000A1B5F">
              <w:rPr>
                <w:sz w:val="22"/>
                <w:szCs w:val="22"/>
              </w:rPr>
              <w:t xml:space="preserve"> alfa, including 9/14 (64%) infants and 12/92 (13%) children and adults. These events occurred most often during or within 4 hours of the infusion. No subject permanently discontinued treatment with </w:t>
            </w:r>
            <w:proofErr w:type="spellStart"/>
            <w:r w:rsidRPr="000A1B5F">
              <w:rPr>
                <w:sz w:val="22"/>
                <w:szCs w:val="22"/>
              </w:rPr>
              <w:t>sebelipase</w:t>
            </w:r>
            <w:proofErr w:type="spellEnd"/>
            <w:r w:rsidRPr="000A1B5F">
              <w:rPr>
                <w:sz w:val="22"/>
                <w:szCs w:val="22"/>
              </w:rPr>
              <w:t xml:space="preserve"> alfa due to a possible hypersensitivity reaction. Hypersensitivity reactions were successfully managed by temporarily interrupting the infusion, reducing the infusion rate, and administration of antipyretics and antihistamines with occasional use of corticosteroids</w:t>
            </w:r>
          </w:p>
        </w:tc>
      </w:tr>
      <w:tr w:rsidR="008F6668" w:rsidRPr="000A1B5F" w14:paraId="27CEB4D6" w14:textId="77777777" w:rsidTr="008F6668">
        <w:tc>
          <w:tcPr>
            <w:tcW w:w="4395" w:type="dxa"/>
          </w:tcPr>
          <w:p w14:paraId="731F95C5" w14:textId="77777777" w:rsidR="008F6668" w:rsidRPr="000A1B5F" w:rsidRDefault="008F6668" w:rsidP="008F6668">
            <w:pPr>
              <w:spacing w:before="0" w:line="240" w:lineRule="auto"/>
              <w:rPr>
                <w:rFonts w:cstheme="minorHAnsi"/>
              </w:rPr>
            </w:pPr>
            <w:r w:rsidRPr="000A1B5F">
              <w:rPr>
                <w:rFonts w:cstheme="minorHAnsi"/>
              </w:rPr>
              <w:lastRenderedPageBreak/>
              <w:t>Development of anti-drug antibodies (ADA)</w:t>
            </w:r>
          </w:p>
        </w:tc>
        <w:tc>
          <w:tcPr>
            <w:tcW w:w="4394" w:type="dxa"/>
          </w:tcPr>
          <w:p w14:paraId="1DC19DC8" w14:textId="77777777" w:rsidR="008F6668" w:rsidRPr="000A1B5F" w:rsidRDefault="008F6668" w:rsidP="008F6668">
            <w:pPr>
              <w:spacing w:before="0" w:line="240" w:lineRule="auto"/>
              <w:rPr>
                <w:rFonts w:cstheme="minorHAnsi"/>
              </w:rPr>
            </w:pPr>
            <w:r w:rsidRPr="000A1B5F">
              <w:rPr>
                <w:sz w:val="22"/>
                <w:szCs w:val="22"/>
              </w:rPr>
              <w:t xml:space="preserve">A higher proportion of infants tested positive for ADAs at more than one time point compared to children and adults most likely due to fact that infants received higher doses of </w:t>
            </w:r>
            <w:proofErr w:type="spellStart"/>
            <w:r w:rsidRPr="000A1B5F">
              <w:rPr>
                <w:sz w:val="22"/>
                <w:szCs w:val="22"/>
              </w:rPr>
              <w:t>sebelipase</w:t>
            </w:r>
            <w:proofErr w:type="spellEnd"/>
            <w:r w:rsidRPr="000A1B5F">
              <w:rPr>
                <w:sz w:val="22"/>
                <w:szCs w:val="22"/>
              </w:rPr>
              <w:t xml:space="preserve"> alfa and more frequent dosing as compared to dosing regimens for the children and adults. No apparent impact of ADA development on hypersensitivity reactions, including anaphylaxis, was identified.</w:t>
            </w:r>
          </w:p>
        </w:tc>
      </w:tr>
    </w:tbl>
    <w:p w14:paraId="3FFC2B8B" w14:textId="77777777" w:rsidR="008F6668" w:rsidRPr="008F6668" w:rsidRDefault="008F6668" w:rsidP="008F6668">
      <w:pPr>
        <w:pStyle w:val="Heading3"/>
      </w:pPr>
      <w:bookmarkStart w:id="510" w:name="_Toc236802597"/>
      <w:bookmarkStart w:id="511" w:name="_Toc241374335"/>
      <w:bookmarkStart w:id="512" w:name="_Toc272414695"/>
      <w:bookmarkStart w:id="513" w:name="_Toc290888559"/>
      <w:bookmarkStart w:id="514" w:name="_Toc416353775"/>
      <w:bookmarkStart w:id="515" w:name="_Toc421005316"/>
      <w:bookmarkStart w:id="516" w:name="_Toc432079187"/>
      <w:bookmarkStart w:id="517" w:name="_Toc432080760"/>
      <w:bookmarkStart w:id="518" w:name="_Toc468957510"/>
      <w:bookmarkStart w:id="519" w:name="_Toc519670982"/>
      <w:r w:rsidRPr="008F6668">
        <w:t>First round assessment of benefit-risk</w:t>
      </w:r>
      <w:bookmarkEnd w:id="510"/>
      <w:bookmarkEnd w:id="511"/>
      <w:bookmarkEnd w:id="512"/>
      <w:bookmarkEnd w:id="513"/>
      <w:bookmarkEnd w:id="514"/>
      <w:bookmarkEnd w:id="515"/>
      <w:r w:rsidRPr="008F6668">
        <w:t xml:space="preserve"> balance</w:t>
      </w:r>
      <w:bookmarkEnd w:id="516"/>
      <w:bookmarkEnd w:id="517"/>
      <w:bookmarkEnd w:id="518"/>
      <w:bookmarkEnd w:id="519"/>
    </w:p>
    <w:p w14:paraId="481F3702" w14:textId="77777777" w:rsidR="008F6668" w:rsidRPr="000A1B5F" w:rsidRDefault="008F6668" w:rsidP="008F6668">
      <w:pPr>
        <w:rPr>
          <w:lang w:eastAsia="ja-JP"/>
        </w:rPr>
      </w:pPr>
      <w:r w:rsidRPr="000A1B5F">
        <w:t xml:space="preserve">The clinical development programme for </w:t>
      </w:r>
      <w:proofErr w:type="spellStart"/>
      <w:r w:rsidRPr="000A1B5F">
        <w:t>sebelipase</w:t>
      </w:r>
      <w:proofErr w:type="spellEnd"/>
      <w:r w:rsidRPr="000A1B5F">
        <w:t xml:space="preserve"> alfa was designed to provide evidence of safety and efficacy across the full spectrum of patients with LAL Deficiency. Six clinical studies have been initiated to evaluate </w:t>
      </w:r>
      <w:proofErr w:type="spellStart"/>
      <w:r w:rsidRPr="000A1B5F">
        <w:t>sebelipase</w:t>
      </w:r>
      <w:proofErr w:type="spellEnd"/>
      <w:r w:rsidRPr="000A1B5F">
        <w:t xml:space="preserve"> alfa treatment in infants, children, and adults with LAL Deficiency. Across the 4 studies submitted in the current dossier (LAL-CL02, LAL-CL03, LAL-CL01, LAL-CL04), a total of 84 subjects with LAL Deficiency, including 9 infants, 47 children and 28 adults, have received treatment with </w:t>
      </w:r>
      <w:proofErr w:type="spellStart"/>
      <w:r w:rsidRPr="000A1B5F">
        <w:t>sebelipase</w:t>
      </w:r>
      <w:proofErr w:type="spellEnd"/>
      <w:r w:rsidRPr="000A1B5F">
        <w:t xml:space="preserve"> alfa as of the data cut-offs for reporting the primary analyses of PK, PD, efficacy, and safety, and a total of 106 subjects (14 infants and 92 children and adults) have received </w:t>
      </w:r>
      <w:proofErr w:type="spellStart"/>
      <w:r w:rsidRPr="000A1B5F">
        <w:t>sebelipase</w:t>
      </w:r>
      <w:proofErr w:type="spellEnd"/>
      <w:r w:rsidRPr="000A1B5F">
        <w:t xml:space="preserve"> alfa as of the data cut-off for an updated safety analysis (which also included some data from the ongoing studies (LAL-CL06 and LAL-CL08). In addition, the </w:t>
      </w:r>
      <w:r w:rsidR="002D28A4">
        <w:t>sponsor</w:t>
      </w:r>
      <w:r w:rsidRPr="000A1B5F">
        <w:t xml:space="preserve"> has completed a natural history </w:t>
      </w:r>
      <w:r w:rsidR="00157E63">
        <w:t>Study</w:t>
      </w:r>
      <w:r w:rsidRPr="000A1B5F">
        <w:t xml:space="preserve"> (LAL-01-NH01)</w:t>
      </w:r>
      <w:r w:rsidR="009D434A">
        <w:t xml:space="preserve"> </w:t>
      </w:r>
      <w:r w:rsidRPr="000A1B5F">
        <w:t xml:space="preserve">in infants which provides a historical control for interpretation of the results of the interventional </w:t>
      </w:r>
      <w:r w:rsidR="00C4359A">
        <w:t>study</w:t>
      </w:r>
      <w:r w:rsidRPr="000A1B5F">
        <w:t xml:space="preserve"> in infants and an observational </w:t>
      </w:r>
      <w:r w:rsidR="00157E63">
        <w:t>Study</w:t>
      </w:r>
      <w:r w:rsidRPr="000A1B5F">
        <w:t xml:space="preserve"> (LAL-02-NH01) in children and adults which provides additional insights into the abnormalities associated with this disease across a broader population.</w:t>
      </w:r>
    </w:p>
    <w:p w14:paraId="708E1473" w14:textId="77777777" w:rsidR="008F6668" w:rsidRPr="000A1B5F" w:rsidRDefault="008F6668" w:rsidP="008F6668">
      <w:r w:rsidRPr="000A1B5F">
        <w:t xml:space="preserve">The pivotal development strategy included 2 studies focused on developing evidence of safety and efficacy in the target patient population. The first was a randomised, </w:t>
      </w:r>
      <w:r w:rsidR="003F3AB4">
        <w:t xml:space="preserve">double </w:t>
      </w:r>
      <w:proofErr w:type="gramStart"/>
      <w:r w:rsidR="003F3AB4">
        <w:t>blind</w:t>
      </w:r>
      <w:r w:rsidRPr="000A1B5F">
        <w:t>,</w:t>
      </w:r>
      <w:proofErr w:type="gramEnd"/>
      <w:r w:rsidRPr="000A1B5F">
        <w:t xml:space="preserve"> </w:t>
      </w:r>
      <w:r w:rsidR="00B73619">
        <w:t>placebo controlled</w:t>
      </w:r>
      <w:r w:rsidRPr="000A1B5F">
        <w:t xml:space="preserve"> </w:t>
      </w:r>
      <w:r w:rsidR="00157E63">
        <w:t>Study</w:t>
      </w:r>
      <w:r w:rsidR="009D434A">
        <w:t xml:space="preserve"> LAL-CL02</w:t>
      </w:r>
      <w:r w:rsidRPr="000A1B5F">
        <w:t xml:space="preserve">, evaluating improvements in multiple clinically important </w:t>
      </w:r>
      <w:r w:rsidR="00B73619">
        <w:t>disease related</w:t>
      </w:r>
      <w:r w:rsidRPr="000A1B5F">
        <w:t xml:space="preserve"> abnormalities in children and adults where the rate of disease progression is more variable. In this </w:t>
      </w:r>
      <w:r w:rsidR="00C4359A">
        <w:t>study</w:t>
      </w:r>
      <w:r w:rsidRPr="000A1B5F">
        <w:t xml:space="preserve">, treatment with </w:t>
      </w:r>
      <w:proofErr w:type="spellStart"/>
      <w:r w:rsidRPr="000A1B5F">
        <w:t>sebelipase</w:t>
      </w:r>
      <w:proofErr w:type="spellEnd"/>
      <w:r w:rsidRPr="000A1B5F">
        <w:t xml:space="preserve"> alfa at proposed dose of </w:t>
      </w:r>
      <w:r w:rsidR="00131B1C">
        <w:t>1 mg</w:t>
      </w:r>
      <w:r w:rsidRPr="000A1B5F">
        <w:t xml:space="preserve">/kg </w:t>
      </w:r>
      <w:proofErr w:type="spellStart"/>
      <w:r w:rsidRPr="000A1B5F">
        <w:t>qow</w:t>
      </w:r>
      <w:proofErr w:type="spellEnd"/>
      <w:r w:rsidRPr="000A1B5F">
        <w:t xml:space="preserve"> was significantly more effective than placebo across multiple endpoints representing important clinical abnormalities in children and adults with LAL Deficiency, including improvements over placebo in normalisation of serum transaminases, correction of multiple dyslipidaemia parameters, and reduction in hepatic fat content. Furthermore, the efficacy of </w:t>
      </w:r>
      <w:proofErr w:type="spellStart"/>
      <w:r w:rsidRPr="000A1B5F">
        <w:t>sebelipase</w:t>
      </w:r>
      <w:proofErr w:type="spellEnd"/>
      <w:r w:rsidRPr="000A1B5F">
        <w:t xml:space="preserve"> alfa was observed across subgroups based on demographic and baseline characteristics. </w:t>
      </w:r>
      <w:r w:rsidRPr="000A1B5F">
        <w:rPr>
          <w:color w:val="000000"/>
        </w:rPr>
        <w:t xml:space="preserve">During the </w:t>
      </w:r>
      <w:r w:rsidR="00B73619">
        <w:rPr>
          <w:color w:val="000000"/>
        </w:rPr>
        <w:t>open label</w:t>
      </w:r>
      <w:r w:rsidRPr="000A1B5F">
        <w:rPr>
          <w:color w:val="000000"/>
        </w:rPr>
        <w:t xml:space="preserve"> treatment period, these improvements were maintained in the subjects treated with </w:t>
      </w:r>
      <w:proofErr w:type="spellStart"/>
      <w:r w:rsidRPr="000A1B5F">
        <w:rPr>
          <w:color w:val="000000"/>
        </w:rPr>
        <w:t>sebelipase</w:t>
      </w:r>
      <w:proofErr w:type="spellEnd"/>
      <w:r w:rsidRPr="000A1B5F">
        <w:rPr>
          <w:color w:val="000000"/>
        </w:rPr>
        <w:t xml:space="preserve"> alfa during the </w:t>
      </w:r>
      <w:r w:rsidR="003F3AB4">
        <w:rPr>
          <w:color w:val="000000"/>
        </w:rPr>
        <w:t>double blind</w:t>
      </w:r>
      <w:r w:rsidRPr="000A1B5F">
        <w:rPr>
          <w:color w:val="000000"/>
        </w:rPr>
        <w:t xml:space="preserve"> period, and a similar pattern of response was observed in subjects switched from placebo to 1 mg/kg </w:t>
      </w:r>
      <w:proofErr w:type="spellStart"/>
      <w:r w:rsidRPr="000A1B5F">
        <w:rPr>
          <w:color w:val="000000"/>
        </w:rPr>
        <w:t>qow</w:t>
      </w:r>
      <w:proofErr w:type="spellEnd"/>
      <w:r w:rsidRPr="000A1B5F">
        <w:rPr>
          <w:color w:val="000000"/>
        </w:rPr>
        <w:t xml:space="preserve"> </w:t>
      </w:r>
      <w:proofErr w:type="spellStart"/>
      <w:r w:rsidRPr="000A1B5F">
        <w:rPr>
          <w:color w:val="000000"/>
        </w:rPr>
        <w:t>sebelipase</w:t>
      </w:r>
      <w:proofErr w:type="spellEnd"/>
      <w:r w:rsidRPr="000A1B5F">
        <w:rPr>
          <w:color w:val="000000"/>
        </w:rPr>
        <w:t xml:space="preserve"> alfa </w:t>
      </w:r>
      <w:r w:rsidRPr="000A1B5F">
        <w:t>with sustained normalisation of transaminases, further reduction in fat fraction in the liver and further reductions in total cholesterol, LDL-c, and triglycerides, with increases in HDL-c.</w:t>
      </w:r>
    </w:p>
    <w:p w14:paraId="15B37FFC" w14:textId="77777777" w:rsidR="008F6668" w:rsidRPr="000A1B5F" w:rsidRDefault="008F6668" w:rsidP="008F6668">
      <w:r w:rsidRPr="000A1B5F">
        <w:t xml:space="preserve">The second </w:t>
      </w:r>
      <w:r w:rsidR="00157E63">
        <w:t>Study</w:t>
      </w:r>
      <w:r w:rsidRPr="000A1B5F">
        <w:t xml:space="preserve"> (LAL-CL03) was based on demonstrating a survival benefit in infants with the most rapidly progressive presentation of this disease where a placebo- controlled </w:t>
      </w:r>
      <w:r w:rsidR="00C4359A">
        <w:t>study</w:t>
      </w:r>
      <w:r w:rsidRPr="000A1B5F">
        <w:t xml:space="preserve"> would not be clinically or ethically acceptable. Use of the historical control was justified in the </w:t>
      </w:r>
      <w:r w:rsidR="00C4359A">
        <w:t>study</w:t>
      </w:r>
      <w:r w:rsidRPr="000A1B5F">
        <w:t xml:space="preserve"> in infants presenting with rapidly progressive disease given the reliably poor outcome in these patients. Infants with rapidly progressive LAL Deficiency who received treatment with </w:t>
      </w:r>
      <w:proofErr w:type="spellStart"/>
      <w:r w:rsidRPr="000A1B5F">
        <w:t>sebelipase</w:t>
      </w:r>
      <w:proofErr w:type="spellEnd"/>
      <w:r w:rsidRPr="000A1B5F">
        <w:t xml:space="preserve"> alfa demonstrated prolonged survival compared with an untreated historical control group. Survival was accompanied by substantial and rapid improvements in liver disease parameters, growth, and haematological abnormalities.</w:t>
      </w:r>
    </w:p>
    <w:p w14:paraId="224191EF" w14:textId="77777777" w:rsidR="00B73619" w:rsidRDefault="008F6668" w:rsidP="008F6668">
      <w:pPr>
        <w:rPr>
          <w:rFonts w:cs="TimesNewRomanPSMT"/>
        </w:rPr>
      </w:pPr>
      <w:r w:rsidRPr="000A1B5F">
        <w:lastRenderedPageBreak/>
        <w:t xml:space="preserve">While it is recognised that majority of endpoints used in these 2 main studies were surrogate endpoints, some of these assessments are used in clinical practice to monitor liver injury and the effectiveness of therapies in reducing cardiovascular risk. The consistent and substantial effects of </w:t>
      </w:r>
      <w:proofErr w:type="spellStart"/>
      <w:r w:rsidRPr="000A1B5F">
        <w:t>sebelipase</w:t>
      </w:r>
      <w:proofErr w:type="spellEnd"/>
      <w:r w:rsidRPr="000A1B5F">
        <w:t xml:space="preserve"> alfa treatment on these assessments, including reduction and normalisation of transaminase levels, improvements in multiple lipid parameters suggest that patients would likely be at reduced risk of important clinical events associated with disease progression that would occur in the absence of effective intervention. </w:t>
      </w:r>
      <w:r w:rsidRPr="000A1B5F">
        <w:rPr>
          <w:rFonts w:cs="TimesNewRomanPSMT"/>
        </w:rPr>
        <w:t xml:space="preserve">Clinical endpoints such as cardiovascular morbidity/ mortality or effects on liver histopathology would have required larger sample size with longer </w:t>
      </w:r>
      <w:r w:rsidR="003F3AB4">
        <w:rPr>
          <w:rFonts w:cs="TimesNewRomanPSMT"/>
        </w:rPr>
        <w:t>double blind</w:t>
      </w:r>
      <w:r w:rsidRPr="000A1B5F">
        <w:rPr>
          <w:rFonts w:cs="TimesNewRomanPSMT"/>
        </w:rPr>
        <w:t xml:space="preserve"> treatment periods which was not possible due to the low prevalence and variable disease progression associated with this multisystem disorder</w:t>
      </w:r>
      <w:r w:rsidR="00B73619">
        <w:rPr>
          <w:rFonts w:cs="TimesNewRomanPSMT"/>
        </w:rPr>
        <w:t>.</w:t>
      </w:r>
    </w:p>
    <w:p w14:paraId="488837D2" w14:textId="77777777" w:rsidR="00B73619" w:rsidRDefault="008F6668" w:rsidP="008F6668">
      <w:r w:rsidRPr="000A1B5F">
        <w:t xml:space="preserve">The 2 </w:t>
      </w:r>
      <w:r w:rsidR="00C4359A">
        <w:t>study</w:t>
      </w:r>
      <w:r w:rsidRPr="000A1B5F">
        <w:t xml:space="preserve"> populations that contributed main evidence for safety of </w:t>
      </w:r>
      <w:proofErr w:type="spellStart"/>
      <w:r w:rsidRPr="000A1B5F">
        <w:t>sebelipase</w:t>
      </w:r>
      <w:proofErr w:type="spellEnd"/>
      <w:r w:rsidRPr="000A1B5F">
        <w:t xml:space="preserve"> alfa were from </w:t>
      </w:r>
      <w:r w:rsidR="00157E63">
        <w:t>Study</w:t>
      </w:r>
      <w:r w:rsidRPr="000A1B5F">
        <w:t xml:space="preserve"> LAL-CL03, with a small number of critically ill infants with the most rapidly progressive disease, and controlled </w:t>
      </w:r>
      <w:r w:rsidR="00157E63">
        <w:t>Study</w:t>
      </w:r>
      <w:r w:rsidRPr="000A1B5F">
        <w:t xml:space="preserve"> LAL-CL02, which allowed for a more thorough evaluation due to a larger sample size and the use of a placebo group. The safety and tolerability profile of </w:t>
      </w:r>
      <w:proofErr w:type="spellStart"/>
      <w:r w:rsidRPr="000A1B5F">
        <w:t>sebelipase</w:t>
      </w:r>
      <w:proofErr w:type="spellEnd"/>
      <w:r w:rsidRPr="000A1B5F">
        <w:t xml:space="preserve"> alfa was considered to be favourable when administered at the recommended doses of 1 mg/kg </w:t>
      </w:r>
      <w:proofErr w:type="spellStart"/>
      <w:r w:rsidRPr="000A1B5F">
        <w:t>qow</w:t>
      </w:r>
      <w:proofErr w:type="spellEnd"/>
      <w:r w:rsidRPr="000A1B5F">
        <w:t xml:space="preserve"> in children and adults and 1 to 3 mg/kg </w:t>
      </w:r>
      <w:proofErr w:type="spellStart"/>
      <w:r w:rsidRPr="000A1B5F">
        <w:t>qw</w:t>
      </w:r>
      <w:proofErr w:type="spellEnd"/>
      <w:r w:rsidRPr="000A1B5F">
        <w:t xml:space="preserve"> in infants. The most commonly reported types of AEs were gastrointestinal disturbances, headache, pyrexia/body temperature increases, and upper respiratory signs and symptoms. The majority of TEAEs were non-serious, mild or moderate in severity, and reported as unrelated to treatment with </w:t>
      </w:r>
      <w:proofErr w:type="spellStart"/>
      <w:r w:rsidRPr="000A1B5F">
        <w:t>sebelipase</w:t>
      </w:r>
      <w:proofErr w:type="spellEnd"/>
      <w:r w:rsidRPr="000A1B5F">
        <w:t xml:space="preserve"> alfa. To date, there does not appear to be any apparent cumulative toxicity based on review of TEAE incidence over time on treatment. Review of the safety data across subgroups based on demographic and baseline characteristics did not reveal any group for which the risk of treatment would outweigh the benefits. The use of LLMs by subjects receiving </w:t>
      </w:r>
      <w:proofErr w:type="spellStart"/>
      <w:r w:rsidRPr="000A1B5F">
        <w:t>sebelipase</w:t>
      </w:r>
      <w:proofErr w:type="spellEnd"/>
      <w:r w:rsidRPr="000A1B5F">
        <w:t xml:space="preserve"> alfa does not appear to impact the safety profile of </w:t>
      </w:r>
      <w:proofErr w:type="spellStart"/>
      <w:r w:rsidRPr="000A1B5F">
        <w:t>sebelipase</w:t>
      </w:r>
      <w:proofErr w:type="spellEnd"/>
      <w:r w:rsidRPr="000A1B5F">
        <w:t xml:space="preserve"> alfa</w:t>
      </w:r>
      <w:r w:rsidR="00B73619">
        <w:t>.</w:t>
      </w:r>
    </w:p>
    <w:p w14:paraId="2CD23D65" w14:textId="77777777" w:rsidR="00B73619" w:rsidRDefault="008F6668" w:rsidP="008F6668">
      <w:r w:rsidRPr="000A1B5F">
        <w:t xml:space="preserve">The safety profile in infants with the most rapidly progressive form of LAL Deficiency was consistent with their more severe underlying condition and comorbidities. Not unexpectedly, SAEs were more frequent among infants in </w:t>
      </w:r>
      <w:r w:rsidR="00157E63">
        <w:t>Study</w:t>
      </w:r>
      <w:r w:rsidRPr="000A1B5F">
        <w:t xml:space="preserve"> LAL-CL03 (8 of 9 subjects, 89%) compared to children and adults in </w:t>
      </w:r>
      <w:r w:rsidR="00157E63">
        <w:t>Study</w:t>
      </w:r>
      <w:r w:rsidRPr="000A1B5F">
        <w:t xml:space="preserve"> LAL-CL02 (4 of 75 subjects, 5%). The most common types of SAEs were infections, primarily catheter site or device-related infections in infants; these types of infections occurred early in treatment likely due to the compromised </w:t>
      </w:r>
      <w:r w:rsidR="00C4359A">
        <w:t>study</w:t>
      </w:r>
      <w:r w:rsidRPr="000A1B5F">
        <w:t xml:space="preserve"> of these subjects at </w:t>
      </w:r>
      <w:r w:rsidR="00C4359A">
        <w:t>study</w:t>
      </w:r>
      <w:r w:rsidRPr="000A1B5F">
        <w:t xml:space="preserve"> entry. There were no safety signals for </w:t>
      </w:r>
      <w:proofErr w:type="spellStart"/>
      <w:r w:rsidRPr="000A1B5F">
        <w:t>sebelipase</w:t>
      </w:r>
      <w:proofErr w:type="spellEnd"/>
      <w:r w:rsidRPr="000A1B5F">
        <w:t xml:space="preserve"> alfa treatment based on review of haematology, clinical chemistry, vital signs, or ECG parameters</w:t>
      </w:r>
      <w:r w:rsidR="00B73619">
        <w:t>.</w:t>
      </w:r>
    </w:p>
    <w:p w14:paraId="188A17D2" w14:textId="77777777" w:rsidR="008F6668" w:rsidRPr="000A1B5F" w:rsidRDefault="003F3AB4" w:rsidP="008F6668">
      <w:r>
        <w:t>Infusion associated</w:t>
      </w:r>
      <w:r w:rsidR="008F6668" w:rsidRPr="000A1B5F">
        <w:t xml:space="preserve"> reactions are relatively common for protein containing medicinal products which are administered parentally. Overall, 19.8% of subjects treated with </w:t>
      </w:r>
      <w:proofErr w:type="spellStart"/>
      <w:r w:rsidR="008F6668" w:rsidRPr="000A1B5F">
        <w:t>sebelipase</w:t>
      </w:r>
      <w:proofErr w:type="spellEnd"/>
      <w:r w:rsidR="008F6668" w:rsidRPr="000A1B5F">
        <w:t xml:space="preserve"> alfa were determined to have experienced signs and symptoms that could be consistent with or related to hypersensitivity reactions. These events were observed more frequently in infants (64.3%) than in children and adults (13.0%). The majority of the events occurred during or within 4 hours of the completion of the infusion and were mild in severity. Although a small number of subjects experienced severe reactions, no subject has permanently discontinued treatment with </w:t>
      </w:r>
      <w:proofErr w:type="spellStart"/>
      <w:r w:rsidR="008F6668" w:rsidRPr="000A1B5F">
        <w:t>sebelipase</w:t>
      </w:r>
      <w:proofErr w:type="spellEnd"/>
      <w:r w:rsidR="008F6668" w:rsidRPr="000A1B5F">
        <w:t xml:space="preserve"> alfa due to a possible hypersensitivity reaction. Hypersensitivity reactions, including anaphylaxis, have been observed with other ERTs, including those used to treat </w:t>
      </w:r>
      <w:proofErr w:type="spellStart"/>
      <w:proofErr w:type="gramStart"/>
      <w:r w:rsidR="008F6668" w:rsidRPr="000A1B5F">
        <w:t>Gaucher</w:t>
      </w:r>
      <w:proofErr w:type="spellEnd"/>
      <w:proofErr w:type="gramEnd"/>
      <w:r w:rsidR="008F6668" w:rsidRPr="000A1B5F">
        <w:t xml:space="preserve"> disease and </w:t>
      </w:r>
      <w:proofErr w:type="spellStart"/>
      <w:r w:rsidR="008F6668" w:rsidRPr="000A1B5F">
        <w:t>mucopolysaccharidoses</w:t>
      </w:r>
      <w:proofErr w:type="spellEnd"/>
      <w:r w:rsidR="008F6668" w:rsidRPr="000A1B5F">
        <w:t xml:space="preserve">. The proposed prescribing information for </w:t>
      </w:r>
      <w:proofErr w:type="spellStart"/>
      <w:r w:rsidR="008F6668" w:rsidRPr="000A1B5F">
        <w:t>sebelipase</w:t>
      </w:r>
      <w:proofErr w:type="spellEnd"/>
      <w:r w:rsidR="008F6668" w:rsidRPr="000A1B5F">
        <w:t xml:space="preserve"> alfa includes appropriate warnings and precautions for hypersensitivity reactions, including anaphylaxis, specifically to stop the infusion and initiate appropriate medical treatment if a severe reaction is observed.</w:t>
      </w:r>
    </w:p>
    <w:p w14:paraId="04C09BC0" w14:textId="77777777" w:rsidR="00B73619" w:rsidRDefault="008F6668" w:rsidP="008F6668">
      <w:r w:rsidRPr="000A1B5F">
        <w:t xml:space="preserve">Overall, higher proportion of infants (4/7, 57%) were positive for </w:t>
      </w:r>
      <w:proofErr w:type="spellStart"/>
      <w:r w:rsidRPr="000A1B5F">
        <w:t>sebelipase</w:t>
      </w:r>
      <w:proofErr w:type="spellEnd"/>
      <w:r w:rsidRPr="000A1B5F">
        <w:t xml:space="preserve"> alfa antibodies during at least one assessment compared children and adults (6/58, 10%). Median time to first ADA positive result was approximately 2 months. All of these subjects were able to continue treatment without interruption, although the long-term implications regarding effect of ADAs on the efficacy of </w:t>
      </w:r>
      <w:proofErr w:type="spellStart"/>
      <w:r w:rsidRPr="000A1B5F">
        <w:t>sebelipase</w:t>
      </w:r>
      <w:proofErr w:type="spellEnd"/>
      <w:r w:rsidRPr="000A1B5F">
        <w:t xml:space="preserve"> alfa is not known at this stage. No clear relationship between the presence of ADAs and IARs or the overall TEAE profile was apparent</w:t>
      </w:r>
      <w:r w:rsidR="00B73619">
        <w:t>.</w:t>
      </w:r>
    </w:p>
    <w:p w14:paraId="6C23BAA9" w14:textId="77777777" w:rsidR="00B73619" w:rsidRDefault="008F6668" w:rsidP="008F6668">
      <w:r w:rsidRPr="000A1B5F">
        <w:lastRenderedPageBreak/>
        <w:t xml:space="preserve">Clinical studies did not include elderly subjects and excluded subjects with known egg allergies, and the risks of treatment with </w:t>
      </w:r>
      <w:proofErr w:type="spellStart"/>
      <w:r w:rsidRPr="000A1B5F">
        <w:t>sebelipase</w:t>
      </w:r>
      <w:proofErr w:type="spellEnd"/>
      <w:r w:rsidRPr="000A1B5F">
        <w:t xml:space="preserve"> alfa versus the potential benefits should be carefully considered in these patients</w:t>
      </w:r>
      <w:r w:rsidR="00B73619">
        <w:t>.</w:t>
      </w:r>
    </w:p>
    <w:p w14:paraId="31BCE227" w14:textId="77777777" w:rsidR="008F6668" w:rsidRPr="000A1B5F" w:rsidRDefault="008F6668" w:rsidP="008F6668">
      <w:r w:rsidRPr="000A1B5F">
        <w:t xml:space="preserve">Treatment with </w:t>
      </w:r>
      <w:proofErr w:type="spellStart"/>
      <w:r w:rsidRPr="000A1B5F">
        <w:t>sebelipase</w:t>
      </w:r>
      <w:proofErr w:type="spellEnd"/>
      <w:r w:rsidRPr="000A1B5F">
        <w:t xml:space="preserve"> alfa in infants has been shown to prolong survival in this very ill and vulnerable patient population; the improvement in survival was accompanied by substantial and rapid improvements in hepatic disease, growth, and haematological abnormalities. In children and adults, treatment with </w:t>
      </w:r>
      <w:proofErr w:type="spellStart"/>
      <w:r w:rsidRPr="000A1B5F">
        <w:t>sebelipase</w:t>
      </w:r>
      <w:proofErr w:type="spellEnd"/>
      <w:r w:rsidRPr="000A1B5F">
        <w:t xml:space="preserve"> alfa led to statistically significant and clinically meaningful improvements in serum transaminase levels, correction of dyslipidaemia, and reduction in hepatic fat content. These results demonstrate that </w:t>
      </w:r>
      <w:proofErr w:type="spellStart"/>
      <w:r w:rsidRPr="000A1B5F">
        <w:t>sebelipase</w:t>
      </w:r>
      <w:proofErr w:type="spellEnd"/>
      <w:r w:rsidRPr="000A1B5F">
        <w:t xml:space="preserve"> alfa is effectively addressing the root cause of disease across the full spectrum of patients affected with LAL Deficiency. Importantly, the safety and tolerability profile of </w:t>
      </w:r>
      <w:proofErr w:type="spellStart"/>
      <w:r w:rsidRPr="000A1B5F">
        <w:t>sebelipase</w:t>
      </w:r>
      <w:proofErr w:type="spellEnd"/>
      <w:r w:rsidRPr="000A1B5F">
        <w:t xml:space="preserve"> alfa is consistent with expectations and was favourable when administered at proposed doses up to 3 mg/kg </w:t>
      </w:r>
      <w:proofErr w:type="spellStart"/>
      <w:r w:rsidRPr="000A1B5F">
        <w:t>qow</w:t>
      </w:r>
      <w:proofErr w:type="spellEnd"/>
      <w:r w:rsidRPr="000A1B5F">
        <w:t xml:space="preserve"> in children and adults and doses up to 5 mg/kg </w:t>
      </w:r>
      <w:proofErr w:type="spellStart"/>
      <w:r w:rsidRPr="000A1B5F">
        <w:t>qw</w:t>
      </w:r>
      <w:proofErr w:type="spellEnd"/>
      <w:r w:rsidRPr="000A1B5F">
        <w:t xml:space="preserve"> in infants.</w:t>
      </w:r>
    </w:p>
    <w:p w14:paraId="363CB647" w14:textId="77777777" w:rsidR="00B73619" w:rsidRDefault="008F6668" w:rsidP="008F6668">
      <w:pPr>
        <w:rPr>
          <w:rFonts w:cs="ArialMT"/>
        </w:rPr>
      </w:pPr>
      <w:r w:rsidRPr="000A1B5F">
        <w:t xml:space="preserve">Currently, there are no safe or effective therapies for this serious and </w:t>
      </w:r>
      <w:r w:rsidR="00FD1D3C">
        <w:t>life threatening</w:t>
      </w:r>
      <w:r w:rsidRPr="000A1B5F">
        <w:t xml:space="preserve"> disease. Statins and other </w:t>
      </w:r>
      <w:r w:rsidR="00803642">
        <w:t>lipid modifying</w:t>
      </w:r>
      <w:r w:rsidRPr="000A1B5F">
        <w:t xml:space="preserve"> agents have been used in attempts to affect abnormal blood lipid levels, but dyslipidaemia is persistent in many patients despite use of these drugs, and liver disease progresses despite their use. In the context of approvals of drugs developed for other rare genetic lipid disorders, regulatory authorities have stated that in the absence of cardiovascular outcomes data, decisions to approve novel LDL-lowering therapies are not only influenced by the direction and magnitude of drug-induced changes in LDL-c, but also by the effects of the drug on other lipid parameters and markers of </w:t>
      </w:r>
      <w:proofErr w:type="spellStart"/>
      <w:r w:rsidRPr="000A1B5F">
        <w:t>cardiometabolic</w:t>
      </w:r>
      <w:proofErr w:type="spellEnd"/>
      <w:r w:rsidRPr="000A1B5F">
        <w:t xml:space="preserve"> risk, as well as evidence for off-target toxicity. </w:t>
      </w:r>
      <w:proofErr w:type="spellStart"/>
      <w:r w:rsidRPr="000A1B5F">
        <w:t>Sebelipase</w:t>
      </w:r>
      <w:proofErr w:type="spellEnd"/>
      <w:r w:rsidRPr="000A1B5F">
        <w:t xml:space="preserve"> alfa meets these criteria and the potential for off-target toxicity is limited. HSCT and liver transplant have also been utilised in attempts to mitigate the effects of LAL Deficiency, but these both have significant limitations and are associated with independent toxicities.</w:t>
      </w:r>
      <w:r w:rsidRPr="000A1B5F">
        <w:rPr>
          <w:rFonts w:cs="ArialMT"/>
        </w:rPr>
        <w:t xml:space="preserve"> No therapy has been shown to be safe or effective for the treatment of infants with rapidly progressive LAL deficiency. HSCT has been used experimentally in infants but has a high morbidity and mortality</w:t>
      </w:r>
      <w:r w:rsidR="00B73619">
        <w:rPr>
          <w:rFonts w:cs="ArialMT"/>
        </w:rPr>
        <w:t>.</w:t>
      </w:r>
    </w:p>
    <w:p w14:paraId="52299FE7" w14:textId="77777777" w:rsidR="008F6668" w:rsidRPr="000A1B5F" w:rsidRDefault="008F6668" w:rsidP="008F6668">
      <w:pPr>
        <w:rPr>
          <w:rFonts w:cs="ArialMT"/>
        </w:rPr>
      </w:pPr>
      <w:proofErr w:type="spellStart"/>
      <w:r w:rsidRPr="000A1B5F">
        <w:t>Sebelipase</w:t>
      </w:r>
      <w:proofErr w:type="spellEnd"/>
      <w:r w:rsidRPr="000A1B5F">
        <w:t xml:space="preserve"> alfa provides a major advance in the treatment of this serious and </w:t>
      </w:r>
      <w:r w:rsidR="00FD1D3C">
        <w:t>life threatening</w:t>
      </w:r>
      <w:r w:rsidRPr="000A1B5F">
        <w:t xml:space="preserve"> disease through direct replacement of the missing or deficient enzyme. Overall, the benefit-risk assessment for </w:t>
      </w:r>
      <w:proofErr w:type="spellStart"/>
      <w:r w:rsidRPr="000A1B5F">
        <w:t>sebelipase</w:t>
      </w:r>
      <w:proofErr w:type="spellEnd"/>
      <w:r w:rsidRPr="000A1B5F">
        <w:t xml:space="preserve"> alfa is favourab</w:t>
      </w:r>
      <w:r w:rsidR="009D434A">
        <w:t>le for its proposed use as life</w:t>
      </w:r>
      <w:r w:rsidRPr="000A1B5F">
        <w:t>long ERT in infants, children and adults with LAL Deficiency.</w:t>
      </w:r>
    </w:p>
    <w:p w14:paraId="21E84027" w14:textId="77777777" w:rsidR="00C22678" w:rsidRDefault="00C22678" w:rsidP="00C22678">
      <w:pPr>
        <w:pStyle w:val="Heading2"/>
      </w:pPr>
      <w:bookmarkStart w:id="520" w:name="_Toc519670983"/>
      <w:r>
        <w:t>First round recommendation regarding authorisation</w:t>
      </w:r>
      <w:bookmarkEnd w:id="520"/>
    </w:p>
    <w:p w14:paraId="65F1ECD6" w14:textId="77777777" w:rsidR="00CC672B" w:rsidRDefault="008F6668" w:rsidP="008F6668">
      <w:pPr>
        <w:rPr>
          <w:lang w:eastAsia="ja-JP"/>
        </w:rPr>
      </w:pPr>
      <w:r w:rsidRPr="00AB7834">
        <w:rPr>
          <w:lang w:eastAsia="ja-JP"/>
        </w:rPr>
        <w:t xml:space="preserve">It is recommended that </w:t>
      </w:r>
      <w:proofErr w:type="spellStart"/>
      <w:r w:rsidRPr="00AB7834">
        <w:rPr>
          <w:lang w:eastAsia="ja-JP"/>
        </w:rPr>
        <w:t>K</w:t>
      </w:r>
      <w:r w:rsidR="009D434A" w:rsidRPr="00AB7834">
        <w:rPr>
          <w:lang w:eastAsia="ja-JP"/>
        </w:rPr>
        <w:t>anuma</w:t>
      </w:r>
      <w:proofErr w:type="spellEnd"/>
      <w:r w:rsidR="009D434A">
        <w:rPr>
          <w:lang w:eastAsia="ja-JP"/>
        </w:rPr>
        <w:t xml:space="preserve"> (</w:t>
      </w:r>
      <w:proofErr w:type="spellStart"/>
      <w:r w:rsidR="009D434A">
        <w:rPr>
          <w:lang w:eastAsia="ja-JP"/>
        </w:rPr>
        <w:t>s</w:t>
      </w:r>
      <w:r w:rsidRPr="00AB7834">
        <w:rPr>
          <w:lang w:eastAsia="ja-JP"/>
        </w:rPr>
        <w:t>ebelipase</w:t>
      </w:r>
      <w:proofErr w:type="spellEnd"/>
      <w:r w:rsidRPr="00AB7834">
        <w:rPr>
          <w:lang w:eastAsia="ja-JP"/>
        </w:rPr>
        <w:t xml:space="preserve"> alfa) be approved for the following proposed indication</w:t>
      </w:r>
      <w:r w:rsidR="00CC672B">
        <w:rPr>
          <w:lang w:eastAsia="ja-JP"/>
        </w:rPr>
        <w:t>:</w:t>
      </w:r>
    </w:p>
    <w:p w14:paraId="0D17B153" w14:textId="77777777" w:rsidR="008F6668" w:rsidRPr="009D434A" w:rsidRDefault="008F6668" w:rsidP="009D434A">
      <w:pPr>
        <w:ind w:left="720"/>
        <w:rPr>
          <w:i/>
        </w:rPr>
      </w:pPr>
      <w:proofErr w:type="spellStart"/>
      <w:r w:rsidRPr="009D434A">
        <w:rPr>
          <w:i/>
        </w:rPr>
        <w:t>K</w:t>
      </w:r>
      <w:r w:rsidR="009D434A" w:rsidRPr="009D434A">
        <w:rPr>
          <w:i/>
        </w:rPr>
        <w:t>anuma</w:t>
      </w:r>
      <w:proofErr w:type="spellEnd"/>
      <w:r w:rsidRPr="009D434A">
        <w:rPr>
          <w:i/>
        </w:rPr>
        <w:t xml:space="preserve"> (</w:t>
      </w:r>
      <w:proofErr w:type="spellStart"/>
      <w:r w:rsidRPr="009D434A">
        <w:rPr>
          <w:i/>
        </w:rPr>
        <w:t>sebelipase</w:t>
      </w:r>
      <w:proofErr w:type="spellEnd"/>
      <w:r w:rsidRPr="009D434A">
        <w:rPr>
          <w:i/>
        </w:rPr>
        <w:t xml:space="preserve"> alfa) is indicated for long-term enzyme replacement therapy (ERT) in patients of all ages with lysosomal </w:t>
      </w:r>
      <w:r w:rsidR="009D434A" w:rsidRPr="009D434A">
        <w:rPr>
          <w:i/>
        </w:rPr>
        <w:t>acid lipase deficiency (LAL-D).</w:t>
      </w:r>
    </w:p>
    <w:p w14:paraId="60FA7FFD" w14:textId="77777777" w:rsidR="00B73619" w:rsidRDefault="008F6668" w:rsidP="008F6668">
      <w:r w:rsidRPr="00AB7834">
        <w:t>The approval is subject to incorporation of suggested changes to the proposed PI</w:t>
      </w:r>
      <w:r>
        <w:t xml:space="preserve"> and satisfactory response to clinical questions in section 12</w:t>
      </w:r>
      <w:r w:rsidR="00B73619">
        <w:t>.</w:t>
      </w:r>
    </w:p>
    <w:p w14:paraId="050CE7A7" w14:textId="77777777" w:rsidR="00C22678" w:rsidRDefault="00C22678" w:rsidP="00C22678">
      <w:pPr>
        <w:pStyle w:val="Heading2"/>
      </w:pPr>
      <w:bookmarkStart w:id="521" w:name="_Toc519670984"/>
      <w:r>
        <w:t>Clinical questions</w:t>
      </w:r>
      <w:bookmarkEnd w:id="521"/>
    </w:p>
    <w:p w14:paraId="5B1FA3DE" w14:textId="77777777" w:rsidR="008F6668" w:rsidRPr="008F6668" w:rsidRDefault="008F6668" w:rsidP="008F6668">
      <w:pPr>
        <w:pStyle w:val="Heading3"/>
      </w:pPr>
      <w:bookmarkStart w:id="522" w:name="_Ref269908779"/>
      <w:bookmarkStart w:id="523" w:name="_Toc272414701"/>
      <w:bookmarkStart w:id="524" w:name="_Toc290888567"/>
      <w:bookmarkStart w:id="525" w:name="_Toc416353783"/>
      <w:bookmarkStart w:id="526" w:name="_Toc421005323"/>
      <w:bookmarkStart w:id="527" w:name="_Toc432079194"/>
      <w:bookmarkStart w:id="528" w:name="_Toc432080767"/>
      <w:bookmarkStart w:id="529" w:name="_Toc468957517"/>
      <w:bookmarkStart w:id="530" w:name="_Toc519670985"/>
      <w:r w:rsidRPr="008F6668">
        <w:t>Clinical questions</w:t>
      </w:r>
      <w:bookmarkEnd w:id="522"/>
      <w:bookmarkEnd w:id="523"/>
      <w:bookmarkEnd w:id="524"/>
      <w:bookmarkEnd w:id="525"/>
      <w:bookmarkEnd w:id="526"/>
      <w:bookmarkEnd w:id="527"/>
      <w:bookmarkEnd w:id="528"/>
      <w:bookmarkEnd w:id="529"/>
      <w:bookmarkEnd w:id="530"/>
    </w:p>
    <w:p w14:paraId="67DE704F" w14:textId="77777777" w:rsidR="008F6668" w:rsidRPr="008F6668" w:rsidRDefault="008F6668" w:rsidP="008F6668">
      <w:pPr>
        <w:pStyle w:val="Heading3"/>
      </w:pPr>
      <w:bookmarkStart w:id="531" w:name="_Toc272414702"/>
      <w:bookmarkStart w:id="532" w:name="_Toc290888568"/>
      <w:bookmarkStart w:id="533" w:name="_Toc416353784"/>
      <w:bookmarkStart w:id="534" w:name="_Toc421005324"/>
      <w:bookmarkStart w:id="535" w:name="_Toc432079195"/>
      <w:bookmarkStart w:id="536" w:name="_Toc432080768"/>
      <w:bookmarkStart w:id="537" w:name="_Toc468957518"/>
      <w:bookmarkStart w:id="538" w:name="_Toc519670986"/>
      <w:r w:rsidRPr="008F6668">
        <w:t>Pharmacokinetics</w:t>
      </w:r>
      <w:bookmarkEnd w:id="531"/>
      <w:bookmarkEnd w:id="532"/>
      <w:bookmarkEnd w:id="533"/>
      <w:bookmarkEnd w:id="534"/>
      <w:bookmarkEnd w:id="535"/>
      <w:bookmarkEnd w:id="536"/>
      <w:bookmarkEnd w:id="537"/>
      <w:bookmarkEnd w:id="538"/>
    </w:p>
    <w:p w14:paraId="5B877FC8" w14:textId="77777777" w:rsidR="00B73619" w:rsidRDefault="008F6668" w:rsidP="008F6668">
      <w:bookmarkStart w:id="539" w:name="_Toc272414703"/>
      <w:bookmarkStart w:id="540" w:name="_Toc290888569"/>
      <w:bookmarkStart w:id="541" w:name="_Toc416353785"/>
      <w:bookmarkStart w:id="542" w:name="_Toc421005325"/>
      <w:bookmarkStart w:id="543" w:name="_Toc432079196"/>
      <w:bookmarkStart w:id="544" w:name="_Toc432080769"/>
      <w:proofErr w:type="gramStart"/>
      <w:r w:rsidRPr="008F6668">
        <w:t>None</w:t>
      </w:r>
      <w:r w:rsidR="00B73619">
        <w:t>.</w:t>
      </w:r>
      <w:proofErr w:type="gramEnd"/>
    </w:p>
    <w:p w14:paraId="783E09DF" w14:textId="77777777" w:rsidR="008F6668" w:rsidRPr="008F6668" w:rsidRDefault="008F6668" w:rsidP="008F6668">
      <w:pPr>
        <w:pStyle w:val="Heading3"/>
      </w:pPr>
      <w:bookmarkStart w:id="545" w:name="_Toc468957519"/>
      <w:bookmarkStart w:id="546" w:name="_Toc519670987"/>
      <w:r w:rsidRPr="008F6668">
        <w:lastRenderedPageBreak/>
        <w:t>Pharmacodynamics</w:t>
      </w:r>
      <w:bookmarkEnd w:id="539"/>
      <w:bookmarkEnd w:id="540"/>
      <w:bookmarkEnd w:id="541"/>
      <w:bookmarkEnd w:id="542"/>
      <w:bookmarkEnd w:id="543"/>
      <w:bookmarkEnd w:id="544"/>
      <w:bookmarkEnd w:id="545"/>
      <w:bookmarkEnd w:id="546"/>
    </w:p>
    <w:p w14:paraId="7F0DB7A1" w14:textId="77777777" w:rsidR="00B73619" w:rsidRDefault="008F6668" w:rsidP="008F6668">
      <w:proofErr w:type="gramStart"/>
      <w:r w:rsidRPr="008F6668">
        <w:t>None</w:t>
      </w:r>
      <w:r w:rsidR="00B73619">
        <w:t>.</w:t>
      </w:r>
      <w:proofErr w:type="gramEnd"/>
    </w:p>
    <w:p w14:paraId="4C4A9300" w14:textId="77777777" w:rsidR="008F6668" w:rsidRPr="008F6668" w:rsidRDefault="008F6668" w:rsidP="008F6668">
      <w:pPr>
        <w:pStyle w:val="Heading3"/>
      </w:pPr>
      <w:bookmarkStart w:id="547" w:name="_Toc272414704"/>
      <w:bookmarkStart w:id="548" w:name="_Toc290888570"/>
      <w:bookmarkStart w:id="549" w:name="_Toc416353786"/>
      <w:bookmarkStart w:id="550" w:name="_Toc421005326"/>
      <w:bookmarkStart w:id="551" w:name="_Toc432079197"/>
      <w:bookmarkStart w:id="552" w:name="_Toc432080770"/>
      <w:bookmarkStart w:id="553" w:name="_Ref468954527"/>
      <w:bookmarkStart w:id="554" w:name="_Toc468957520"/>
      <w:bookmarkStart w:id="555" w:name="_Toc519670988"/>
      <w:r w:rsidRPr="008F6668">
        <w:t>Efficacy</w:t>
      </w:r>
      <w:bookmarkEnd w:id="547"/>
      <w:bookmarkEnd w:id="548"/>
      <w:bookmarkEnd w:id="549"/>
      <w:bookmarkEnd w:id="550"/>
      <w:bookmarkEnd w:id="551"/>
      <w:bookmarkEnd w:id="552"/>
      <w:bookmarkEnd w:id="553"/>
      <w:bookmarkEnd w:id="554"/>
      <w:bookmarkEnd w:id="555"/>
    </w:p>
    <w:p w14:paraId="63F6360C" w14:textId="0604D01C" w:rsidR="00CC672B" w:rsidRPr="009D434A" w:rsidRDefault="008F6668" w:rsidP="008F6668">
      <w:r w:rsidRPr="00FF5ED0">
        <w:t xml:space="preserve">The CSR for pivotal </w:t>
      </w:r>
      <w:r w:rsidR="00157E63">
        <w:t>Study</w:t>
      </w:r>
      <w:r w:rsidRPr="00FF5ED0">
        <w:t xml:space="preserve"> LAL-CL02 mentions the following on page </w:t>
      </w:r>
      <w:r w:rsidRPr="009D434A">
        <w:t>214</w:t>
      </w:r>
      <w:r w:rsidR="00CC672B" w:rsidRPr="009D434A">
        <w:t>:</w:t>
      </w:r>
    </w:p>
    <w:p w14:paraId="77845C66" w14:textId="3E3D9A6D" w:rsidR="008F6668" w:rsidRPr="008F6668" w:rsidRDefault="00F056E7" w:rsidP="008F6668">
      <w:pPr>
        <w:ind w:left="720"/>
        <w:rPr>
          <w:rFonts w:eastAsiaTheme="minorHAnsi" w:cs="TimesNewRomanPSMT"/>
        </w:rPr>
      </w:pPr>
      <w:r>
        <w:t>‘</w:t>
      </w:r>
      <w:r w:rsidR="008F6668" w:rsidRPr="008F6668">
        <w:rPr>
          <w:rFonts w:eastAsiaTheme="minorHAnsi" w:cs="TimesNewRomanPSMT"/>
          <w:color w:val="000000"/>
        </w:rPr>
        <w:t xml:space="preserve">An exploratory analysis was performed to determine the proportion of subjects achieving an LDL-c value </w:t>
      </w:r>
      <w:r w:rsidR="00A87AAC">
        <w:rPr>
          <w:rFonts w:eastAsiaTheme="minorHAnsi" w:cs="TimesNewRomanPSMT"/>
          <w:color w:val="000000"/>
        </w:rPr>
        <w:t xml:space="preserve">&lt; </w:t>
      </w:r>
      <w:r w:rsidR="008F6668" w:rsidRPr="008F6668">
        <w:rPr>
          <w:rFonts w:eastAsiaTheme="minorHAnsi" w:cs="TimesNewRomanPSMT"/>
          <w:color w:val="000000"/>
        </w:rPr>
        <w:t>130 mg/</w:t>
      </w:r>
      <w:proofErr w:type="spellStart"/>
      <w:r w:rsidR="008F6668" w:rsidRPr="008F6668">
        <w:rPr>
          <w:rFonts w:eastAsiaTheme="minorHAnsi" w:cs="TimesNewRomanPSMT"/>
          <w:color w:val="000000"/>
        </w:rPr>
        <w:t>dL</w:t>
      </w:r>
      <w:proofErr w:type="spellEnd"/>
      <w:r w:rsidR="008F6668" w:rsidRPr="008F6668">
        <w:rPr>
          <w:rFonts w:eastAsiaTheme="minorHAnsi" w:cs="TimesNewRomanPSMT"/>
          <w:color w:val="000000"/>
        </w:rPr>
        <w:t xml:space="preserve"> during the </w:t>
      </w:r>
      <w:r w:rsidR="003F3AB4">
        <w:rPr>
          <w:rFonts w:eastAsiaTheme="minorHAnsi" w:cs="TimesNewRomanPSMT"/>
          <w:color w:val="000000"/>
        </w:rPr>
        <w:t>double blind</w:t>
      </w:r>
      <w:r w:rsidR="008F6668" w:rsidRPr="008F6668">
        <w:rPr>
          <w:rFonts w:eastAsiaTheme="minorHAnsi" w:cs="TimesNewRomanPSMT"/>
          <w:color w:val="000000"/>
        </w:rPr>
        <w:t xml:space="preserve"> period among those subjects had baseline LDL-c values above 130 mg/</w:t>
      </w:r>
      <w:proofErr w:type="spellStart"/>
      <w:r w:rsidR="008F6668" w:rsidRPr="008F6668">
        <w:rPr>
          <w:rFonts w:eastAsiaTheme="minorHAnsi" w:cs="TimesNewRomanPSMT"/>
          <w:color w:val="000000"/>
        </w:rPr>
        <w:t>dL</w:t>
      </w:r>
      <w:proofErr w:type="spellEnd"/>
      <w:r w:rsidR="008F6668" w:rsidRPr="008F6668">
        <w:rPr>
          <w:rFonts w:eastAsiaTheme="minorHAnsi" w:cs="TimesNewRomanPSMT"/>
          <w:color w:val="000000"/>
        </w:rPr>
        <w:t xml:space="preserve">. No subject achieved an LDL-c </w:t>
      </w:r>
      <w:r w:rsidR="009D434A">
        <w:rPr>
          <w:rFonts w:eastAsiaTheme="minorHAnsi" w:cs="TimesNewRomanPSMT"/>
          <w:color w:val="000000"/>
        </w:rPr>
        <w:t>&lt; </w:t>
      </w:r>
      <w:r w:rsidR="008F6668" w:rsidRPr="008F6668">
        <w:rPr>
          <w:rFonts w:eastAsiaTheme="minorHAnsi" w:cs="TimesNewRomanPSMT"/>
          <w:color w:val="000000"/>
        </w:rPr>
        <w:t>130 mg/</w:t>
      </w:r>
      <w:proofErr w:type="spellStart"/>
      <w:r w:rsidR="008F6668" w:rsidRPr="008F6668">
        <w:rPr>
          <w:rFonts w:eastAsiaTheme="minorHAnsi" w:cs="TimesNewRomanPSMT"/>
          <w:color w:val="000000"/>
        </w:rPr>
        <w:t>dL</w:t>
      </w:r>
      <w:proofErr w:type="spellEnd"/>
      <w:r w:rsidR="008F6668" w:rsidRPr="008F6668">
        <w:rPr>
          <w:rFonts w:eastAsiaTheme="minorHAnsi" w:cs="TimesNewRomanPSMT"/>
          <w:color w:val="000000"/>
        </w:rPr>
        <w:t xml:space="preserve"> at Week 2, consistent with the increase in LDL-c seen after initiation of therapy. Over time points thereafter, 16% (5 of 31), 23% (7 of 31), 26% (8 of 31), 42% (13 of 31), 33% (10 of 30), 42% (13 of 31), and 41% (13 of 32) of subjects in the SA group achieved an LDL-c </w:t>
      </w:r>
      <w:r w:rsidR="00A87AAC">
        <w:rPr>
          <w:rFonts w:eastAsiaTheme="minorHAnsi" w:cs="TimesNewRomanPSMT"/>
          <w:color w:val="000000"/>
        </w:rPr>
        <w:t xml:space="preserve">&lt; </w:t>
      </w:r>
      <w:r w:rsidR="008F6668" w:rsidRPr="008F6668">
        <w:rPr>
          <w:rFonts w:eastAsiaTheme="minorHAnsi" w:cs="TimesNewRomanPSMT"/>
          <w:color w:val="000000"/>
        </w:rPr>
        <w:t>130 mg/</w:t>
      </w:r>
      <w:proofErr w:type="spellStart"/>
      <w:r w:rsidR="008F6668" w:rsidRPr="008F6668">
        <w:rPr>
          <w:rFonts w:eastAsiaTheme="minorHAnsi" w:cs="TimesNewRomanPSMT"/>
          <w:color w:val="000000"/>
        </w:rPr>
        <w:t>dL</w:t>
      </w:r>
      <w:proofErr w:type="spellEnd"/>
      <w:r w:rsidR="008F6668" w:rsidRPr="008F6668">
        <w:rPr>
          <w:rFonts w:eastAsiaTheme="minorHAnsi" w:cs="TimesNewRomanPSMT"/>
          <w:color w:val="000000"/>
        </w:rPr>
        <w:t xml:space="preserve"> at Weeks 4, 6, 10, 14, 18, and 20 and at the last time point in the </w:t>
      </w:r>
      <w:r w:rsidR="003F3AB4">
        <w:rPr>
          <w:rFonts w:eastAsiaTheme="minorHAnsi" w:cs="TimesNewRomanPSMT"/>
          <w:color w:val="000000"/>
        </w:rPr>
        <w:t>double blind</w:t>
      </w:r>
      <w:r w:rsidR="008F6668" w:rsidRPr="008F6668">
        <w:rPr>
          <w:rFonts w:eastAsiaTheme="minorHAnsi" w:cs="TimesNewRomanPSMT"/>
          <w:color w:val="000000"/>
        </w:rPr>
        <w:t xml:space="preserve"> period. In the </w:t>
      </w:r>
      <w:r w:rsidR="008F6668" w:rsidRPr="008F6668">
        <w:rPr>
          <w:rFonts w:eastAsiaTheme="minorHAnsi" w:cs="TimesNewRomanPSMT"/>
        </w:rPr>
        <w:t>placebo gro</w:t>
      </w:r>
      <w:r w:rsidR="009D434A">
        <w:rPr>
          <w:rFonts w:eastAsiaTheme="minorHAnsi" w:cs="TimesNewRomanPSMT"/>
        </w:rPr>
        <w:t>up, ≤ 7% of subjects had an LDL</w:t>
      </w:r>
      <w:r w:rsidR="009D434A">
        <w:rPr>
          <w:rFonts w:eastAsiaTheme="minorHAnsi" w:cs="TimesNewRomanPSMT"/>
        </w:rPr>
        <w:noBreakHyphen/>
      </w:r>
      <w:r w:rsidR="008F6668" w:rsidRPr="008F6668">
        <w:rPr>
          <w:rFonts w:eastAsiaTheme="minorHAnsi" w:cs="TimesNewRomanPSMT"/>
        </w:rPr>
        <w:t xml:space="preserve">c </w:t>
      </w:r>
      <w:r w:rsidR="00A87AAC">
        <w:rPr>
          <w:rFonts w:eastAsiaTheme="minorHAnsi" w:cs="TimesNewRomanPSMT"/>
        </w:rPr>
        <w:t xml:space="preserve">&lt; </w:t>
      </w:r>
      <w:r w:rsidR="008F6668" w:rsidRPr="008F6668">
        <w:rPr>
          <w:rFonts w:eastAsiaTheme="minorHAnsi" w:cs="TimesNewRomanPSMT"/>
        </w:rPr>
        <w:t>130 mg/</w:t>
      </w:r>
      <w:proofErr w:type="spellStart"/>
      <w:r w:rsidR="008F6668" w:rsidRPr="008F6668">
        <w:rPr>
          <w:rFonts w:eastAsiaTheme="minorHAnsi" w:cs="TimesNewRomanPSMT"/>
        </w:rPr>
        <w:t>dL</w:t>
      </w:r>
      <w:proofErr w:type="spellEnd"/>
      <w:r w:rsidR="008F6668" w:rsidRPr="008F6668">
        <w:rPr>
          <w:rFonts w:eastAsiaTheme="minorHAnsi" w:cs="TimesNewRomanPSMT"/>
        </w:rPr>
        <w:t xml:space="preserve"> at any time point in the </w:t>
      </w:r>
      <w:r w:rsidR="003F3AB4">
        <w:rPr>
          <w:rFonts w:eastAsiaTheme="minorHAnsi" w:cs="TimesNewRomanPSMT"/>
        </w:rPr>
        <w:t>double blind</w:t>
      </w:r>
      <w:r w:rsidR="008F6668" w:rsidRPr="008F6668">
        <w:rPr>
          <w:rFonts w:eastAsiaTheme="minorHAnsi" w:cs="TimesNewRomanPSMT"/>
        </w:rPr>
        <w:t xml:space="preserve"> period. The difference between groups was statistically significant in favour of </w:t>
      </w:r>
      <w:proofErr w:type="spellStart"/>
      <w:r w:rsidR="008F6668" w:rsidRPr="008F6668">
        <w:rPr>
          <w:rFonts w:eastAsiaTheme="minorHAnsi" w:cs="TimesNewRomanPSMT"/>
        </w:rPr>
        <w:t>sebelipase</w:t>
      </w:r>
      <w:proofErr w:type="spellEnd"/>
      <w:r w:rsidR="008F6668" w:rsidRPr="008F6668">
        <w:rPr>
          <w:rFonts w:eastAsiaTheme="minorHAnsi" w:cs="TimesNewRomanPSMT"/>
        </w:rPr>
        <w:t xml:space="preserve"> alfa by Week 14 and remained statistically significant at Weeks 18 and 20 and at the last time point in the </w:t>
      </w:r>
      <w:r w:rsidR="003F3AB4">
        <w:rPr>
          <w:rFonts w:eastAsiaTheme="minorHAnsi" w:cs="TimesNewRomanPSMT"/>
        </w:rPr>
        <w:t>double blind</w:t>
      </w:r>
      <w:r w:rsidR="008F6668" w:rsidRPr="008F6668">
        <w:rPr>
          <w:rFonts w:eastAsiaTheme="minorHAnsi" w:cs="TimesNewRomanPSMT"/>
        </w:rPr>
        <w:t xml:space="preserve"> period (</w:t>
      </w:r>
      <w:r w:rsidR="00545648">
        <w:rPr>
          <w:rFonts w:eastAsiaTheme="minorHAnsi" w:cs="TimesNewRomanPSMT"/>
        </w:rPr>
        <w:t>p ≤ 0</w:t>
      </w:r>
      <w:r w:rsidR="008F6668" w:rsidRPr="008F6668">
        <w:rPr>
          <w:rFonts w:eastAsiaTheme="minorHAnsi" w:cs="TimesNewRomanPSMT"/>
        </w:rPr>
        <w:t>.0211) (Table 14.2.3.5).</w:t>
      </w:r>
      <w:r>
        <w:rPr>
          <w:rFonts w:eastAsiaTheme="minorHAnsi" w:cs="TimesNewRomanPSMT"/>
        </w:rPr>
        <w:t>’</w:t>
      </w:r>
    </w:p>
    <w:p w14:paraId="2BD9A06E" w14:textId="77777777" w:rsidR="00B73619" w:rsidRDefault="008F6668" w:rsidP="008F6668">
      <w:pPr>
        <w:rPr>
          <w:rFonts w:asciiTheme="minorHAnsi" w:eastAsiaTheme="minorHAnsi" w:hAnsiTheme="minorHAnsi" w:cs="TimesNewRomanPSMT"/>
        </w:rPr>
      </w:pPr>
      <w:r>
        <w:rPr>
          <w:rFonts w:asciiTheme="minorHAnsi" w:eastAsiaTheme="minorHAnsi" w:hAnsiTheme="minorHAnsi" w:cs="TimesNewRomanPSMT"/>
        </w:rPr>
        <w:t xml:space="preserve">However, </w:t>
      </w:r>
      <w:r w:rsidRPr="000C117A">
        <w:rPr>
          <w:rFonts w:asciiTheme="minorHAnsi" w:eastAsiaTheme="minorHAnsi" w:hAnsiTheme="minorHAnsi" w:cs="TimesNewRomanPSMT"/>
        </w:rPr>
        <w:t xml:space="preserve">the Table 14.2.3.5 referenced </w:t>
      </w:r>
      <w:r>
        <w:rPr>
          <w:rFonts w:asciiTheme="minorHAnsi" w:eastAsiaTheme="minorHAnsi" w:hAnsiTheme="minorHAnsi" w:cs="TimesNewRomanPSMT"/>
        </w:rPr>
        <w:t xml:space="preserve">above </w:t>
      </w:r>
      <w:r w:rsidRPr="000C117A">
        <w:rPr>
          <w:rFonts w:asciiTheme="minorHAnsi" w:eastAsiaTheme="minorHAnsi" w:hAnsiTheme="minorHAnsi" w:cs="TimesNewRomanPSMT"/>
        </w:rPr>
        <w:t xml:space="preserve">not </w:t>
      </w:r>
      <w:proofErr w:type="gramStart"/>
      <w:r w:rsidRPr="000C117A">
        <w:rPr>
          <w:rFonts w:asciiTheme="minorHAnsi" w:eastAsiaTheme="minorHAnsi" w:hAnsiTheme="minorHAnsi" w:cs="TimesNewRomanPSMT"/>
        </w:rPr>
        <w:t>be</w:t>
      </w:r>
      <w:proofErr w:type="gramEnd"/>
      <w:r w:rsidRPr="000C117A">
        <w:rPr>
          <w:rFonts w:asciiTheme="minorHAnsi" w:eastAsiaTheme="minorHAnsi" w:hAnsiTheme="minorHAnsi" w:cs="TimesNewRomanPSMT"/>
        </w:rPr>
        <w:t xml:space="preserve"> located in the submitted dossier and the sponsors are requested to provide this</w:t>
      </w:r>
      <w:r w:rsidR="00B73619">
        <w:rPr>
          <w:rFonts w:asciiTheme="minorHAnsi" w:eastAsiaTheme="minorHAnsi" w:hAnsiTheme="minorHAnsi" w:cs="TimesNewRomanPSMT"/>
        </w:rPr>
        <w:t>.</w:t>
      </w:r>
    </w:p>
    <w:p w14:paraId="56EC5AAD" w14:textId="77777777" w:rsidR="008F6668" w:rsidRPr="008F6668" w:rsidRDefault="008F6668" w:rsidP="008F6668">
      <w:pPr>
        <w:pStyle w:val="Heading3"/>
      </w:pPr>
      <w:bookmarkStart w:id="556" w:name="_Toc272414705"/>
      <w:bookmarkStart w:id="557" w:name="_Toc290888571"/>
      <w:bookmarkStart w:id="558" w:name="_Toc416353787"/>
      <w:bookmarkStart w:id="559" w:name="_Toc421005327"/>
      <w:bookmarkStart w:id="560" w:name="_Toc432079198"/>
      <w:bookmarkStart w:id="561" w:name="_Toc432080771"/>
      <w:bookmarkStart w:id="562" w:name="_Toc468957521"/>
      <w:bookmarkStart w:id="563" w:name="_Toc519670989"/>
      <w:r w:rsidRPr="008F6668">
        <w:t>Safety</w:t>
      </w:r>
      <w:bookmarkEnd w:id="556"/>
      <w:bookmarkEnd w:id="557"/>
      <w:bookmarkEnd w:id="558"/>
      <w:bookmarkEnd w:id="559"/>
      <w:bookmarkEnd w:id="560"/>
      <w:bookmarkEnd w:id="561"/>
      <w:bookmarkEnd w:id="562"/>
      <w:bookmarkEnd w:id="563"/>
    </w:p>
    <w:p w14:paraId="445F79F6" w14:textId="77777777" w:rsidR="008F6668" w:rsidRPr="008F6668" w:rsidRDefault="008F6668" w:rsidP="008F6668">
      <w:proofErr w:type="gramStart"/>
      <w:r w:rsidRPr="008F6668">
        <w:t>None.</w:t>
      </w:r>
      <w:proofErr w:type="gramEnd"/>
    </w:p>
    <w:p w14:paraId="1DD6A76A" w14:textId="77777777" w:rsidR="00C618F7" w:rsidRDefault="00C618F7" w:rsidP="00C618F7">
      <w:pPr>
        <w:pStyle w:val="Heading2"/>
      </w:pPr>
      <w:bookmarkStart w:id="564" w:name="_Toc519670990"/>
      <w:r>
        <w:t>Second round evaluation of clinical data submitted in response to questions</w:t>
      </w:r>
      <w:bookmarkEnd w:id="564"/>
    </w:p>
    <w:p w14:paraId="4EE14734" w14:textId="77777777" w:rsidR="008F6668" w:rsidRPr="008F6668" w:rsidRDefault="008F6668" w:rsidP="008F6668">
      <w:r w:rsidRPr="008F6668">
        <w:t>There</w:t>
      </w:r>
      <w:r w:rsidR="009D434A">
        <w:t xml:space="preserve"> was only one efficacy question.</w:t>
      </w:r>
    </w:p>
    <w:p w14:paraId="33756A7C" w14:textId="77777777" w:rsidR="008F6668" w:rsidRPr="008F6668" w:rsidRDefault="008F6668" w:rsidP="008F6668">
      <w:pPr>
        <w:rPr>
          <w:i/>
        </w:rPr>
      </w:pPr>
      <w:r w:rsidRPr="008F6668">
        <w:rPr>
          <w:i/>
        </w:rPr>
        <w:t>Sponsor’s response:</w:t>
      </w:r>
    </w:p>
    <w:p w14:paraId="3A82F3A9" w14:textId="77777777" w:rsidR="008F6668" w:rsidRPr="008F6668" w:rsidRDefault="008F6668" w:rsidP="008F6668">
      <w:r w:rsidRPr="008F6668">
        <w:t xml:space="preserve">Alexion confirm that Table 14.2.3.5 was provided in the submitted dossier, in Module 5.3.5.1 LAL-CL02 Tables, Listings and Figures, on pages 11224-11226, it also appears to be hyperlinked from the above provided text from the CSR for pivotal </w:t>
      </w:r>
      <w:r w:rsidR="00157E63">
        <w:t>Study</w:t>
      </w:r>
      <w:r w:rsidRPr="008F6668">
        <w:t xml:space="preserve"> LAL-CL02 on page 214.</w:t>
      </w:r>
    </w:p>
    <w:p w14:paraId="4CCA615A" w14:textId="77777777" w:rsidR="008F6668" w:rsidRDefault="008F6668" w:rsidP="008F6668">
      <w:r>
        <w:t>Evaluator’s comment:</w:t>
      </w:r>
    </w:p>
    <w:p w14:paraId="0B059410" w14:textId="77777777" w:rsidR="00B73619" w:rsidRDefault="008F6668" w:rsidP="008F6668">
      <w:r w:rsidRPr="008F6668">
        <w:t>The hyperlinks from the CSR did not work. However, the tables were located in the Tables, listings on pages 11224-11226. Review of these tables do</w:t>
      </w:r>
      <w:r w:rsidR="009D434A">
        <w:t>es</w:t>
      </w:r>
      <w:r w:rsidRPr="008F6668">
        <w:t xml:space="preserve"> not change interpretation of results for this </w:t>
      </w:r>
      <w:r w:rsidR="00C4359A">
        <w:t>study</w:t>
      </w:r>
      <w:r w:rsidR="00B73619">
        <w:t>.</w:t>
      </w:r>
    </w:p>
    <w:p w14:paraId="700DDF89" w14:textId="77777777" w:rsidR="00C618F7" w:rsidRDefault="00C618F7" w:rsidP="00C618F7">
      <w:pPr>
        <w:pStyle w:val="Heading2"/>
      </w:pPr>
      <w:bookmarkStart w:id="565" w:name="_Toc519670991"/>
      <w:r>
        <w:t>Second round benefit-risk assessment</w:t>
      </w:r>
      <w:bookmarkEnd w:id="565"/>
    </w:p>
    <w:p w14:paraId="5F456DAC" w14:textId="77777777" w:rsidR="008F6668" w:rsidRPr="008F6668" w:rsidRDefault="008F6668" w:rsidP="00B73619">
      <w:pPr>
        <w:pStyle w:val="Heading3"/>
      </w:pPr>
      <w:bookmarkStart w:id="566" w:name="_Toc272414709"/>
      <w:bookmarkStart w:id="567" w:name="_Toc290888575"/>
      <w:bookmarkStart w:id="568" w:name="_Toc416353792"/>
      <w:bookmarkStart w:id="569" w:name="_Toc421005334"/>
      <w:bookmarkStart w:id="570" w:name="_Toc432079207"/>
      <w:bookmarkStart w:id="571" w:name="_Toc432080780"/>
      <w:bookmarkStart w:id="572" w:name="_Toc468957530"/>
      <w:bookmarkStart w:id="573" w:name="_Toc519670992"/>
      <w:r w:rsidRPr="008F6668">
        <w:t>Second round assessment of benefits</w:t>
      </w:r>
      <w:bookmarkEnd w:id="566"/>
      <w:bookmarkEnd w:id="567"/>
      <w:bookmarkEnd w:id="568"/>
      <w:bookmarkEnd w:id="569"/>
      <w:bookmarkEnd w:id="570"/>
      <w:bookmarkEnd w:id="571"/>
      <w:bookmarkEnd w:id="572"/>
      <w:bookmarkEnd w:id="573"/>
    </w:p>
    <w:p w14:paraId="058D56B3" w14:textId="77777777" w:rsidR="00B73619" w:rsidRDefault="008F6668" w:rsidP="008F6668">
      <w:bookmarkStart w:id="574" w:name="_Toc272414710"/>
      <w:bookmarkStart w:id="575" w:name="_Toc290888576"/>
      <w:bookmarkStart w:id="576" w:name="_Toc416353793"/>
      <w:bookmarkStart w:id="577" w:name="_Toc421005335"/>
      <w:bookmarkStart w:id="578" w:name="_Toc432079208"/>
      <w:bookmarkStart w:id="579" w:name="_Toc432080781"/>
      <w:r w:rsidRPr="008F6668">
        <w:t xml:space="preserve">No new clinical information was submitted in response to questions. Accordingly, the benefits of </w:t>
      </w:r>
      <w:proofErr w:type="spellStart"/>
      <w:r w:rsidRPr="008F6668">
        <w:t>Sebelipase</w:t>
      </w:r>
      <w:proofErr w:type="spellEnd"/>
      <w:r w:rsidRPr="008F6668">
        <w:t xml:space="preserve"> are unchanged from those identified in </w:t>
      </w:r>
      <w:r w:rsidR="009D434A">
        <w:t>the first round assessment of benefits</w:t>
      </w:r>
      <w:r w:rsidR="00B73619">
        <w:t>.</w:t>
      </w:r>
    </w:p>
    <w:p w14:paraId="1A43C422" w14:textId="77777777" w:rsidR="008F6668" w:rsidRPr="008F6668" w:rsidRDefault="008F6668" w:rsidP="00B73619">
      <w:pPr>
        <w:pStyle w:val="Heading3"/>
      </w:pPr>
      <w:bookmarkStart w:id="580" w:name="_Toc468957531"/>
      <w:bookmarkStart w:id="581" w:name="_Toc519670993"/>
      <w:r w:rsidRPr="008F6668">
        <w:lastRenderedPageBreak/>
        <w:t>Second round assessment of risks</w:t>
      </w:r>
      <w:bookmarkEnd w:id="574"/>
      <w:bookmarkEnd w:id="575"/>
      <w:bookmarkEnd w:id="576"/>
      <w:bookmarkEnd w:id="577"/>
      <w:bookmarkEnd w:id="578"/>
      <w:bookmarkEnd w:id="579"/>
      <w:bookmarkEnd w:id="580"/>
      <w:bookmarkEnd w:id="581"/>
    </w:p>
    <w:p w14:paraId="34C7FB2F" w14:textId="77777777" w:rsidR="00B73619" w:rsidRDefault="008F6668" w:rsidP="008F6668">
      <w:bookmarkStart w:id="582" w:name="_Toc272414711"/>
      <w:bookmarkStart w:id="583" w:name="_Toc290888577"/>
      <w:bookmarkStart w:id="584" w:name="_Toc416353794"/>
      <w:bookmarkStart w:id="585" w:name="_Toc421005336"/>
      <w:bookmarkStart w:id="586" w:name="_Toc432079209"/>
      <w:bookmarkStart w:id="587" w:name="_Toc432080782"/>
      <w:r w:rsidRPr="008F6668">
        <w:t xml:space="preserve">No new clinical information was submitted in response to questions. Accordingly, the risks of </w:t>
      </w:r>
      <w:proofErr w:type="spellStart"/>
      <w:r w:rsidRPr="008F6668">
        <w:t>Sebelipase</w:t>
      </w:r>
      <w:proofErr w:type="spellEnd"/>
      <w:r w:rsidRPr="008F6668">
        <w:t xml:space="preserve"> are unchanged from those identified </w:t>
      </w:r>
      <w:r w:rsidR="009D434A">
        <w:t>first round assessment of risks</w:t>
      </w:r>
      <w:r w:rsidR="00B73619">
        <w:t>.</w:t>
      </w:r>
    </w:p>
    <w:p w14:paraId="76FC01B4" w14:textId="77777777" w:rsidR="008F6668" w:rsidRPr="008F6668" w:rsidRDefault="008F6668" w:rsidP="00B73619">
      <w:pPr>
        <w:pStyle w:val="Heading3"/>
      </w:pPr>
      <w:bookmarkStart w:id="588" w:name="_Toc468957532"/>
      <w:bookmarkStart w:id="589" w:name="_Toc519670994"/>
      <w:r w:rsidRPr="008F6668">
        <w:t xml:space="preserve">Second round assessment of benefit-risk </w:t>
      </w:r>
      <w:bookmarkEnd w:id="582"/>
      <w:bookmarkEnd w:id="583"/>
      <w:bookmarkEnd w:id="584"/>
      <w:bookmarkEnd w:id="585"/>
      <w:r w:rsidRPr="008F6668">
        <w:t>balance</w:t>
      </w:r>
      <w:bookmarkEnd w:id="586"/>
      <w:bookmarkEnd w:id="587"/>
      <w:bookmarkEnd w:id="588"/>
      <w:bookmarkEnd w:id="589"/>
    </w:p>
    <w:p w14:paraId="3CDA491B" w14:textId="77777777" w:rsidR="008F6668" w:rsidRPr="008F6668" w:rsidRDefault="008F6668" w:rsidP="008F6668">
      <w:r w:rsidRPr="008F6668">
        <w:t xml:space="preserve">The benefit-risk assessment for </w:t>
      </w:r>
      <w:proofErr w:type="spellStart"/>
      <w:r w:rsidRPr="008F6668">
        <w:t>sebelipase</w:t>
      </w:r>
      <w:proofErr w:type="spellEnd"/>
      <w:r w:rsidRPr="008F6668">
        <w:t xml:space="preserve"> alfa is favourable for its proposed use as life-long ERT in infants, children and adults with LAL Deficiency.</w:t>
      </w:r>
    </w:p>
    <w:p w14:paraId="1D336E3F" w14:textId="77777777" w:rsidR="00C618F7" w:rsidRDefault="00C618F7" w:rsidP="00C618F7">
      <w:pPr>
        <w:pStyle w:val="Heading2"/>
      </w:pPr>
      <w:bookmarkStart w:id="590" w:name="_Toc519670995"/>
      <w:r>
        <w:t>Second round recommendation regarding authorisation</w:t>
      </w:r>
      <w:bookmarkEnd w:id="590"/>
    </w:p>
    <w:p w14:paraId="59192DC5" w14:textId="77777777" w:rsidR="00CC672B" w:rsidRDefault="00B73619" w:rsidP="00B73619">
      <w:r w:rsidRPr="00B73619">
        <w:t xml:space="preserve">It is recommended that </w:t>
      </w:r>
      <w:proofErr w:type="spellStart"/>
      <w:r w:rsidRPr="00B73619">
        <w:t>K</w:t>
      </w:r>
      <w:r w:rsidR="009D434A" w:rsidRPr="00B73619">
        <w:t>anuma</w:t>
      </w:r>
      <w:proofErr w:type="spellEnd"/>
      <w:r w:rsidR="009D434A">
        <w:t xml:space="preserve"> (</w:t>
      </w:r>
      <w:proofErr w:type="spellStart"/>
      <w:r w:rsidR="009D434A">
        <w:t>s</w:t>
      </w:r>
      <w:r w:rsidRPr="00B73619">
        <w:t>ebelipase</w:t>
      </w:r>
      <w:proofErr w:type="spellEnd"/>
      <w:r w:rsidRPr="00B73619">
        <w:t xml:space="preserve"> alfa) be approved for the following proposed indication</w:t>
      </w:r>
      <w:r w:rsidR="00CC672B">
        <w:t>:</w:t>
      </w:r>
    </w:p>
    <w:p w14:paraId="35FDB1F6" w14:textId="77777777" w:rsidR="00B73619" w:rsidRPr="009D434A" w:rsidRDefault="00B73619" w:rsidP="009D434A">
      <w:pPr>
        <w:ind w:left="720"/>
        <w:rPr>
          <w:i/>
        </w:rPr>
      </w:pPr>
      <w:proofErr w:type="spellStart"/>
      <w:r w:rsidRPr="009D434A">
        <w:rPr>
          <w:i/>
        </w:rPr>
        <w:t>K</w:t>
      </w:r>
      <w:r w:rsidR="009D434A" w:rsidRPr="009D434A">
        <w:rPr>
          <w:i/>
        </w:rPr>
        <w:t>anuma</w:t>
      </w:r>
      <w:proofErr w:type="spellEnd"/>
      <w:r w:rsidRPr="009D434A">
        <w:rPr>
          <w:i/>
        </w:rPr>
        <w:t xml:space="preserve"> (</w:t>
      </w:r>
      <w:proofErr w:type="spellStart"/>
      <w:r w:rsidRPr="009D434A">
        <w:rPr>
          <w:i/>
        </w:rPr>
        <w:t>sebelipase</w:t>
      </w:r>
      <w:proofErr w:type="spellEnd"/>
      <w:r w:rsidRPr="009D434A">
        <w:rPr>
          <w:i/>
        </w:rPr>
        <w:t xml:space="preserve"> alfa) is indicated for long-term enzyme replacement therapy (ERT) in patients of all ages with lysosomal </w:t>
      </w:r>
      <w:r w:rsidR="009D434A" w:rsidRPr="009D434A">
        <w:rPr>
          <w:i/>
        </w:rPr>
        <w:t>acid lipase deficiency (LAL-D).</w:t>
      </w:r>
    </w:p>
    <w:p w14:paraId="60A10A93" w14:textId="77777777" w:rsidR="00C618F7" w:rsidRPr="00B73619" w:rsidRDefault="00B73619" w:rsidP="00B73619">
      <w:r w:rsidRPr="00B73619">
        <w:t>The approval is subject to incorporation of suggested changes to the proposed PI</w:t>
      </w:r>
      <w:r>
        <w:t>.</w:t>
      </w:r>
    </w:p>
    <w:p w14:paraId="1D1F8BEF" w14:textId="77777777" w:rsidR="00C618F7" w:rsidRDefault="00C618F7" w:rsidP="00C618F7">
      <w:pPr>
        <w:pStyle w:val="Heading2"/>
      </w:pPr>
      <w:bookmarkStart w:id="591" w:name="_Toc519670996"/>
      <w:r>
        <w:t>References</w:t>
      </w:r>
      <w:bookmarkEnd w:id="591"/>
    </w:p>
    <w:p w14:paraId="5E482431" w14:textId="77777777" w:rsidR="00B73619" w:rsidRDefault="00B73619" w:rsidP="00B73619">
      <w:pPr>
        <w:autoSpaceDE w:val="0"/>
        <w:autoSpaceDN w:val="0"/>
        <w:adjustRightInd w:val="0"/>
        <w:spacing w:before="0" w:line="240" w:lineRule="auto"/>
        <w:rPr>
          <w:rFonts w:asciiTheme="minorHAnsi" w:eastAsiaTheme="minorHAnsi" w:hAnsiTheme="minorHAnsi" w:cs="Arial"/>
        </w:rPr>
      </w:pPr>
      <w:r w:rsidRPr="00794C8A">
        <w:rPr>
          <w:rFonts w:asciiTheme="minorHAnsi" w:eastAsiaTheme="minorHAnsi" w:hAnsiTheme="minorHAnsi" w:cs="Arial"/>
        </w:rPr>
        <w:t xml:space="preserve">Andrews L, O’Callaghan M. Enzyme Replacement Therapies. In: J.A. </w:t>
      </w:r>
      <w:proofErr w:type="spellStart"/>
      <w:r w:rsidRPr="00794C8A">
        <w:rPr>
          <w:rFonts w:asciiTheme="minorHAnsi" w:eastAsiaTheme="minorHAnsi" w:hAnsiTheme="minorHAnsi" w:cs="Arial"/>
        </w:rPr>
        <w:t>Cavagnaro</w:t>
      </w:r>
      <w:proofErr w:type="spellEnd"/>
      <w:r w:rsidRPr="00794C8A">
        <w:rPr>
          <w:rFonts w:asciiTheme="minorHAnsi" w:eastAsiaTheme="minorHAnsi" w:hAnsiTheme="minorHAnsi" w:cs="Arial"/>
        </w:rPr>
        <w:t>, ed. Preclinical</w:t>
      </w:r>
      <w:r>
        <w:rPr>
          <w:rFonts w:asciiTheme="minorHAnsi" w:eastAsiaTheme="minorHAnsi" w:hAnsiTheme="minorHAnsi" w:cs="Arial"/>
        </w:rPr>
        <w:t xml:space="preserve"> </w:t>
      </w:r>
      <w:r w:rsidRPr="00794C8A">
        <w:rPr>
          <w:rFonts w:asciiTheme="minorHAnsi" w:eastAsiaTheme="minorHAnsi" w:hAnsiTheme="minorHAnsi" w:cs="Arial"/>
        </w:rPr>
        <w:t xml:space="preserve">Safety Evaluation of Biopharmaceuticals. Hoboken, NJ: John Wiley </w:t>
      </w:r>
      <w:r w:rsidR="009D434A">
        <w:rPr>
          <w:rFonts w:asciiTheme="minorHAnsi" w:eastAsiaTheme="minorHAnsi" w:hAnsiTheme="minorHAnsi" w:cs="Arial"/>
        </w:rPr>
        <w:t>and</w:t>
      </w:r>
      <w:r w:rsidRPr="00794C8A">
        <w:rPr>
          <w:rFonts w:asciiTheme="minorHAnsi" w:eastAsiaTheme="minorHAnsi" w:hAnsiTheme="minorHAnsi" w:cs="Arial"/>
        </w:rPr>
        <w:t xml:space="preserve"> Sons, Inc., 2008:517-535.</w:t>
      </w:r>
    </w:p>
    <w:p w14:paraId="10A159E0" w14:textId="77777777" w:rsidR="005C7087" w:rsidRPr="005C7087" w:rsidRDefault="005C7087" w:rsidP="005C7087">
      <w:r>
        <w:rPr>
          <w:rFonts w:asciiTheme="minorHAnsi" w:hAnsiTheme="minorHAnsi" w:cs="Arial"/>
        </w:rPr>
        <w:t xml:space="preserve">Bowden K L et al. </w:t>
      </w:r>
      <w:r>
        <w:t xml:space="preserve">Lysosomal Acid Lipase Deficiency Impairs Regulation </w:t>
      </w:r>
      <w:r w:rsidRPr="005C7087">
        <w:t>of ABCA1</w:t>
      </w:r>
      <w:r>
        <w:rPr>
          <w:rFonts w:ascii="MyriadMM-SemiBoldItalic" w:hAnsi="MyriadMM-SemiBoldItalic" w:cs="MyriadMM-SemiBoldItalic"/>
          <w:i/>
          <w:iCs/>
        </w:rPr>
        <w:t xml:space="preserve"> </w:t>
      </w:r>
      <w:r>
        <w:t>Gene and Formation of High Density Lipoproteins in Cholesteryl Ester Storage Disease</w:t>
      </w:r>
      <w:r w:rsidRPr="005C7087">
        <w:rPr>
          <w:i/>
        </w:rPr>
        <w:t>. The Journal of Biological Chemistry</w:t>
      </w:r>
      <w:r w:rsidRPr="005C7087">
        <w:t xml:space="preserve"> </w:t>
      </w:r>
      <w:r>
        <w:t>2011: 286; 30624-</w:t>
      </w:r>
      <w:r w:rsidRPr="005C7087">
        <w:t>30635</w:t>
      </w:r>
    </w:p>
    <w:p w14:paraId="19019356" w14:textId="77777777" w:rsidR="00B73619" w:rsidRDefault="00B73619" w:rsidP="00B73619">
      <w:pPr>
        <w:autoSpaceDE w:val="0"/>
        <w:autoSpaceDN w:val="0"/>
        <w:adjustRightInd w:val="0"/>
        <w:spacing w:before="0" w:line="240" w:lineRule="auto"/>
        <w:rPr>
          <w:rFonts w:asciiTheme="minorHAnsi" w:eastAsiaTheme="minorHAnsi" w:hAnsiTheme="minorHAnsi" w:cs="TimesNewRomanPSMT"/>
        </w:rPr>
      </w:pPr>
      <w:proofErr w:type="spellStart"/>
      <w:r w:rsidRPr="00023112">
        <w:rPr>
          <w:rFonts w:asciiTheme="minorHAnsi" w:eastAsiaTheme="minorHAnsi" w:hAnsiTheme="minorHAnsi" w:cs="TimesNewRomanPSMT"/>
        </w:rPr>
        <w:t>Dohil</w:t>
      </w:r>
      <w:proofErr w:type="spellEnd"/>
      <w:r w:rsidRPr="00023112">
        <w:rPr>
          <w:rFonts w:asciiTheme="minorHAnsi" w:eastAsiaTheme="minorHAnsi" w:hAnsiTheme="minorHAnsi" w:cs="TimesNewRomanPSMT"/>
        </w:rPr>
        <w:t xml:space="preserve"> R, et al. Enteric-coated</w:t>
      </w:r>
      <w:r>
        <w:rPr>
          <w:rFonts w:asciiTheme="minorHAnsi" w:eastAsiaTheme="minorHAnsi" w:hAnsiTheme="minorHAnsi" w:cs="TimesNewRomanPSMT"/>
        </w:rPr>
        <w:t xml:space="preserve"> </w:t>
      </w:r>
      <w:proofErr w:type="spellStart"/>
      <w:r w:rsidRPr="00023112">
        <w:rPr>
          <w:rFonts w:asciiTheme="minorHAnsi" w:eastAsiaTheme="minorHAnsi" w:hAnsiTheme="minorHAnsi" w:cs="TimesNewRomanPSMT"/>
        </w:rPr>
        <w:t>cysteamine</w:t>
      </w:r>
      <w:proofErr w:type="spellEnd"/>
      <w:r w:rsidRPr="00023112">
        <w:rPr>
          <w:rFonts w:asciiTheme="minorHAnsi" w:eastAsiaTheme="minorHAnsi" w:hAnsiTheme="minorHAnsi" w:cs="TimesNewRomanPSMT"/>
        </w:rPr>
        <w:t xml:space="preserve"> for the treatment of paediatric non-alcoholic fatty liver disease. </w:t>
      </w:r>
      <w:r w:rsidRPr="009D434A">
        <w:rPr>
          <w:rFonts w:asciiTheme="minorHAnsi" w:eastAsiaTheme="minorHAnsi" w:hAnsiTheme="minorHAnsi" w:cs="TimesNewRomanPSMT"/>
          <w:i/>
        </w:rPr>
        <w:t xml:space="preserve">Aliment </w:t>
      </w:r>
      <w:proofErr w:type="spellStart"/>
      <w:r w:rsidRPr="009D434A">
        <w:rPr>
          <w:rFonts w:asciiTheme="minorHAnsi" w:eastAsiaTheme="minorHAnsi" w:hAnsiTheme="minorHAnsi" w:cs="TimesNewRomanPSMT"/>
          <w:i/>
        </w:rPr>
        <w:t>Pharmacol</w:t>
      </w:r>
      <w:proofErr w:type="spellEnd"/>
      <w:r w:rsidRPr="009D434A">
        <w:rPr>
          <w:rFonts w:asciiTheme="minorHAnsi" w:eastAsiaTheme="minorHAnsi" w:hAnsiTheme="minorHAnsi" w:cs="TimesNewRomanPSMT"/>
          <w:i/>
        </w:rPr>
        <w:t xml:space="preserve"> </w:t>
      </w:r>
      <w:proofErr w:type="spellStart"/>
      <w:r w:rsidRPr="009D434A">
        <w:rPr>
          <w:rFonts w:asciiTheme="minorHAnsi" w:eastAsiaTheme="minorHAnsi" w:hAnsiTheme="minorHAnsi" w:cs="TimesNewRomanPSMT"/>
          <w:i/>
        </w:rPr>
        <w:t>Ther</w:t>
      </w:r>
      <w:proofErr w:type="spellEnd"/>
      <w:r w:rsidR="009D434A">
        <w:rPr>
          <w:rFonts w:asciiTheme="minorHAnsi" w:eastAsiaTheme="minorHAnsi" w:hAnsiTheme="minorHAnsi" w:cs="TimesNewRomanPSMT"/>
        </w:rPr>
        <w:t xml:space="preserve">. </w:t>
      </w:r>
      <w:proofErr w:type="gramStart"/>
      <w:r w:rsidR="009D434A">
        <w:rPr>
          <w:rFonts w:asciiTheme="minorHAnsi" w:eastAsiaTheme="minorHAnsi" w:hAnsiTheme="minorHAnsi" w:cs="TimesNewRomanPSMT"/>
        </w:rPr>
        <w:t>2011; 33</w:t>
      </w:r>
      <w:r w:rsidRPr="00023112">
        <w:rPr>
          <w:rFonts w:asciiTheme="minorHAnsi" w:eastAsiaTheme="minorHAnsi" w:hAnsiTheme="minorHAnsi" w:cs="TimesNewRomanPSMT"/>
        </w:rPr>
        <w:t>:</w:t>
      </w:r>
      <w:r w:rsidR="009B76F2">
        <w:rPr>
          <w:rFonts w:asciiTheme="minorHAnsi" w:eastAsiaTheme="minorHAnsi" w:hAnsiTheme="minorHAnsi" w:cs="TimesNewRomanPSMT"/>
        </w:rPr>
        <w:t xml:space="preserve"> </w:t>
      </w:r>
      <w:r w:rsidRPr="00023112">
        <w:rPr>
          <w:rFonts w:asciiTheme="minorHAnsi" w:eastAsiaTheme="minorHAnsi" w:hAnsiTheme="minorHAnsi" w:cs="TimesNewRomanPSMT"/>
        </w:rPr>
        <w:t>1036-</w:t>
      </w:r>
      <w:r w:rsidR="009D434A">
        <w:rPr>
          <w:rFonts w:asciiTheme="minorHAnsi" w:eastAsiaTheme="minorHAnsi" w:hAnsiTheme="minorHAnsi" w:cs="TimesNewRomanPSMT"/>
        </w:rPr>
        <w:t>10</w:t>
      </w:r>
      <w:r w:rsidRPr="00023112">
        <w:rPr>
          <w:rFonts w:asciiTheme="minorHAnsi" w:eastAsiaTheme="minorHAnsi" w:hAnsiTheme="minorHAnsi" w:cs="TimesNewRomanPSMT"/>
        </w:rPr>
        <w:t>44.</w:t>
      </w:r>
      <w:proofErr w:type="gramEnd"/>
    </w:p>
    <w:p w14:paraId="536C9512" w14:textId="1F2BB167" w:rsidR="00E912BE" w:rsidRDefault="00812D7F" w:rsidP="00B73619">
      <w:pPr>
        <w:autoSpaceDE w:val="0"/>
        <w:autoSpaceDN w:val="0"/>
        <w:adjustRightInd w:val="0"/>
        <w:spacing w:before="0" w:line="240" w:lineRule="auto"/>
        <w:rPr>
          <w:rFonts w:asciiTheme="minorHAnsi" w:eastAsiaTheme="minorHAnsi" w:hAnsiTheme="minorHAnsi"/>
          <w:color w:val="0B0B0B"/>
        </w:rPr>
      </w:pPr>
      <w:r w:rsidRPr="003F5B14">
        <w:rPr>
          <w:rFonts w:asciiTheme="minorHAnsi" w:eastAsiaTheme="minorHAnsi" w:hAnsiTheme="minorHAnsi"/>
          <w:iCs/>
          <w:color w:val="0B0B0B"/>
        </w:rPr>
        <w:t xml:space="preserve">Ferry D, et al. Liver transplantation for cholesteryl ester storage disease. </w:t>
      </w:r>
      <w:r w:rsidRPr="009D434A">
        <w:rPr>
          <w:rFonts w:asciiTheme="minorHAnsi" w:eastAsiaTheme="minorHAnsi" w:hAnsiTheme="minorHAnsi"/>
          <w:i/>
          <w:iCs/>
          <w:color w:val="0B0B0B"/>
        </w:rPr>
        <w:t>Journal of Paediatric Ga</w:t>
      </w:r>
      <w:r w:rsidRPr="009D434A">
        <w:rPr>
          <w:rFonts w:asciiTheme="minorHAnsi" w:eastAsiaTheme="minorHAnsi" w:hAnsiTheme="minorHAnsi"/>
          <w:i/>
          <w:iCs/>
          <w:color w:val="2A2A2A"/>
        </w:rPr>
        <w:t>s</w:t>
      </w:r>
      <w:r w:rsidRPr="009D434A">
        <w:rPr>
          <w:rFonts w:asciiTheme="minorHAnsi" w:eastAsiaTheme="minorHAnsi" w:hAnsiTheme="minorHAnsi"/>
          <w:i/>
          <w:iCs/>
          <w:color w:val="0B0B0B"/>
        </w:rPr>
        <w:t>troent</w:t>
      </w:r>
      <w:r w:rsidRPr="009D434A">
        <w:rPr>
          <w:rFonts w:asciiTheme="minorHAnsi" w:eastAsiaTheme="minorHAnsi" w:hAnsiTheme="minorHAnsi"/>
          <w:i/>
          <w:iCs/>
          <w:color w:val="2A2A2A"/>
        </w:rPr>
        <w:t>e</w:t>
      </w:r>
      <w:r w:rsidRPr="009D434A">
        <w:rPr>
          <w:rFonts w:asciiTheme="minorHAnsi" w:eastAsiaTheme="minorHAnsi" w:hAnsiTheme="minorHAnsi"/>
          <w:i/>
          <w:iCs/>
          <w:color w:val="0B0B0B"/>
        </w:rPr>
        <w:t>rology and Nutriti</w:t>
      </w:r>
      <w:r w:rsidRPr="009D434A">
        <w:rPr>
          <w:rFonts w:asciiTheme="minorHAnsi" w:eastAsiaTheme="minorHAnsi" w:hAnsiTheme="minorHAnsi"/>
          <w:i/>
          <w:iCs/>
          <w:color w:val="2A2A2A"/>
        </w:rPr>
        <w:t>o</w:t>
      </w:r>
      <w:r w:rsidRPr="009D434A">
        <w:rPr>
          <w:rFonts w:asciiTheme="minorHAnsi" w:eastAsiaTheme="minorHAnsi" w:hAnsiTheme="minorHAnsi"/>
          <w:i/>
          <w:iCs/>
          <w:color w:val="0B0B0B"/>
        </w:rPr>
        <w:t>n</w:t>
      </w:r>
      <w:r w:rsidRPr="003F5B14">
        <w:rPr>
          <w:rFonts w:asciiTheme="minorHAnsi" w:eastAsiaTheme="minorHAnsi" w:hAnsiTheme="minorHAnsi"/>
          <w:iCs/>
          <w:color w:val="0B0B0B"/>
        </w:rPr>
        <w:t xml:space="preserve"> </w:t>
      </w:r>
      <w:r w:rsidRPr="003F5B14">
        <w:rPr>
          <w:rFonts w:asciiTheme="minorHAnsi" w:eastAsiaTheme="minorHAnsi" w:hAnsiTheme="minorHAnsi"/>
          <w:color w:val="0B0B0B"/>
        </w:rPr>
        <w:t>1991</w:t>
      </w:r>
      <w:r>
        <w:rPr>
          <w:rFonts w:asciiTheme="minorHAnsi" w:eastAsiaTheme="minorHAnsi" w:hAnsiTheme="minorHAnsi"/>
          <w:color w:val="0B0B0B"/>
        </w:rPr>
        <w:t xml:space="preserve">: </w:t>
      </w:r>
      <w:r w:rsidRPr="003F5B14">
        <w:rPr>
          <w:rFonts w:asciiTheme="minorHAnsi" w:eastAsiaTheme="minorHAnsi" w:hAnsiTheme="minorHAnsi"/>
          <w:color w:val="0B0B0B"/>
        </w:rPr>
        <w:t>12:</w:t>
      </w:r>
      <w:r>
        <w:rPr>
          <w:rFonts w:asciiTheme="minorHAnsi" w:eastAsiaTheme="minorHAnsi" w:hAnsiTheme="minorHAnsi"/>
          <w:color w:val="0B0B0B"/>
        </w:rPr>
        <w:t xml:space="preserve"> 376-378</w:t>
      </w:r>
    </w:p>
    <w:p w14:paraId="581FC7DE" w14:textId="77777777" w:rsidR="00812D7F" w:rsidRPr="002E3FF7" w:rsidRDefault="00812D7F" w:rsidP="00812D7F">
      <w:pPr>
        <w:autoSpaceDE w:val="0"/>
        <w:autoSpaceDN w:val="0"/>
        <w:adjustRightInd w:val="0"/>
        <w:spacing w:before="0" w:line="240" w:lineRule="auto"/>
        <w:rPr>
          <w:rFonts w:asciiTheme="minorHAnsi" w:eastAsiaTheme="minorHAnsi" w:hAnsiTheme="minorHAnsi" w:cs="Courier"/>
        </w:rPr>
      </w:pPr>
      <w:r w:rsidRPr="003F5B14">
        <w:rPr>
          <w:rFonts w:asciiTheme="minorHAnsi" w:eastAsiaTheme="minorHAnsi" w:hAnsiTheme="minorHAnsi" w:cs="Bookman-Light"/>
          <w:color w:val="231F20"/>
        </w:rPr>
        <w:t xml:space="preserve">Hansen K, et al. Metabolic liver disease in children. </w:t>
      </w:r>
      <w:r w:rsidRPr="002E3FF7">
        <w:rPr>
          <w:rFonts w:asciiTheme="minorHAnsi" w:eastAsiaTheme="minorHAnsi" w:hAnsiTheme="minorHAnsi" w:cs="Bookman-Light"/>
          <w:i/>
          <w:color w:val="231F20"/>
        </w:rPr>
        <w:t>Liver Transplantation</w:t>
      </w:r>
      <w:r w:rsidRPr="002E3FF7">
        <w:rPr>
          <w:rFonts w:asciiTheme="minorHAnsi" w:eastAsiaTheme="minorHAnsi" w:hAnsiTheme="minorHAnsi" w:cs="Bookman-Light"/>
          <w:color w:val="231F20"/>
        </w:rPr>
        <w:t xml:space="preserve"> 2008; 14: 713-733</w:t>
      </w:r>
    </w:p>
    <w:p w14:paraId="07300440" w14:textId="72E51592" w:rsidR="00812D7F" w:rsidRPr="00812D7F" w:rsidRDefault="00812D7F" w:rsidP="00B73619">
      <w:pPr>
        <w:autoSpaceDE w:val="0"/>
        <w:autoSpaceDN w:val="0"/>
        <w:adjustRightInd w:val="0"/>
        <w:spacing w:before="0" w:line="240" w:lineRule="auto"/>
        <w:rPr>
          <w:rFonts w:asciiTheme="minorHAnsi" w:eastAsiaTheme="minorHAnsi" w:hAnsiTheme="minorHAnsi" w:cs="Courier"/>
        </w:rPr>
      </w:pPr>
      <w:proofErr w:type="spellStart"/>
      <w:r w:rsidRPr="002E3FF7">
        <w:rPr>
          <w:rFonts w:asciiTheme="minorHAnsi" w:eastAsiaTheme="minorHAnsi" w:hAnsiTheme="minorHAnsi" w:cs="Courier"/>
        </w:rPr>
        <w:t>Hoeg</w:t>
      </w:r>
      <w:proofErr w:type="spellEnd"/>
      <w:r w:rsidRPr="002E3FF7">
        <w:rPr>
          <w:rFonts w:asciiTheme="minorHAnsi" w:eastAsiaTheme="minorHAnsi" w:hAnsiTheme="minorHAnsi" w:cs="Courier"/>
        </w:rPr>
        <w:t xml:space="preserve"> M, et al. </w:t>
      </w:r>
      <w:r w:rsidRPr="003F5B14">
        <w:rPr>
          <w:rFonts w:asciiTheme="minorHAnsi" w:eastAsiaTheme="minorHAnsi" w:hAnsiTheme="minorHAnsi" w:cs="Courier"/>
        </w:rPr>
        <w:t xml:space="preserve">Cholesteryl Ester Storage Disease and Wolman Disease: Phenotypic Variants of Lysosomal Acid Cholesteryl Ester Hydrolase Deficiency. </w:t>
      </w:r>
      <w:proofErr w:type="gramStart"/>
      <w:r w:rsidRPr="00B71B5F">
        <w:rPr>
          <w:rFonts w:asciiTheme="minorHAnsi" w:eastAsiaTheme="minorHAnsi" w:hAnsiTheme="minorHAnsi" w:cs="Courier"/>
          <w:i/>
        </w:rPr>
        <w:t>Am</w:t>
      </w:r>
      <w:proofErr w:type="gramEnd"/>
      <w:r w:rsidRPr="00B71B5F">
        <w:rPr>
          <w:rFonts w:asciiTheme="minorHAnsi" w:eastAsiaTheme="minorHAnsi" w:hAnsiTheme="minorHAnsi" w:cs="Courier"/>
          <w:i/>
        </w:rPr>
        <w:t xml:space="preserve"> J Hum Genet</w:t>
      </w:r>
      <w:r w:rsidRPr="003F5B14">
        <w:rPr>
          <w:rFonts w:asciiTheme="minorHAnsi" w:eastAsiaTheme="minorHAnsi" w:hAnsiTheme="minorHAnsi" w:cs="Courier"/>
        </w:rPr>
        <w:t xml:space="preserve"> 1984</w:t>
      </w:r>
      <w:r>
        <w:rPr>
          <w:rFonts w:asciiTheme="minorHAnsi" w:eastAsiaTheme="minorHAnsi" w:hAnsiTheme="minorHAnsi" w:cs="Courier"/>
        </w:rPr>
        <w:t>; 36:1190-1203</w:t>
      </w:r>
    </w:p>
    <w:p w14:paraId="6C7DFD1E" w14:textId="77777777" w:rsidR="009B76F2" w:rsidRDefault="009B76F2" w:rsidP="009B76F2">
      <w:proofErr w:type="spellStart"/>
      <w:proofErr w:type="gramStart"/>
      <w:r w:rsidRPr="009B76F2">
        <w:t>Hollak</w:t>
      </w:r>
      <w:proofErr w:type="spellEnd"/>
      <w:r w:rsidRPr="009B76F2">
        <w:t xml:space="preserve">, CE et al </w:t>
      </w:r>
      <w:r w:rsidRPr="009B76F2">
        <w:rPr>
          <w:lang w:val="en"/>
        </w:rPr>
        <w:t>Marked</w:t>
      </w:r>
      <w:r>
        <w:rPr>
          <w:lang w:val="en"/>
        </w:rPr>
        <w:t xml:space="preserve"> elevation of plasma </w:t>
      </w:r>
      <w:proofErr w:type="spellStart"/>
      <w:r>
        <w:rPr>
          <w:lang w:val="en"/>
        </w:rPr>
        <w:t>chitotriosidase</w:t>
      </w:r>
      <w:proofErr w:type="spellEnd"/>
      <w:r>
        <w:rPr>
          <w:lang w:val="en"/>
        </w:rPr>
        <w:t xml:space="preserve"> activity.</w:t>
      </w:r>
      <w:proofErr w:type="gramEnd"/>
      <w:r>
        <w:rPr>
          <w:lang w:val="en"/>
        </w:rPr>
        <w:t xml:space="preserve"> A novel hallmark of </w:t>
      </w:r>
      <w:proofErr w:type="spellStart"/>
      <w:proofErr w:type="gramStart"/>
      <w:r>
        <w:rPr>
          <w:lang w:val="en"/>
        </w:rPr>
        <w:t>Gaucher</w:t>
      </w:r>
      <w:proofErr w:type="spellEnd"/>
      <w:proofErr w:type="gramEnd"/>
      <w:r>
        <w:rPr>
          <w:lang w:val="en"/>
        </w:rPr>
        <w:t xml:space="preserve"> disease</w:t>
      </w:r>
      <w:r w:rsidRPr="009B76F2">
        <w:t xml:space="preserve">. </w:t>
      </w:r>
      <w:r w:rsidRPr="009B76F2">
        <w:rPr>
          <w:i/>
        </w:rPr>
        <w:t xml:space="preserve">J </w:t>
      </w:r>
      <w:proofErr w:type="spellStart"/>
      <w:r w:rsidRPr="009B76F2">
        <w:rPr>
          <w:i/>
        </w:rPr>
        <w:t>Clin</w:t>
      </w:r>
      <w:proofErr w:type="spellEnd"/>
      <w:r w:rsidRPr="009B76F2">
        <w:rPr>
          <w:i/>
        </w:rPr>
        <w:t xml:space="preserve"> Invest. </w:t>
      </w:r>
      <w:proofErr w:type="gramStart"/>
      <w:r w:rsidRPr="009B76F2">
        <w:t>1994;</w:t>
      </w:r>
      <w:r>
        <w:t xml:space="preserve"> 93</w:t>
      </w:r>
      <w:r w:rsidRPr="009B76F2">
        <w:t>:</w:t>
      </w:r>
      <w:r>
        <w:t xml:space="preserve"> </w:t>
      </w:r>
      <w:r w:rsidRPr="009B76F2">
        <w:t>1288</w:t>
      </w:r>
      <w:r>
        <w:t>-</w:t>
      </w:r>
      <w:r w:rsidRPr="009B76F2">
        <w:t>1292.</w:t>
      </w:r>
      <w:proofErr w:type="gramEnd"/>
    </w:p>
    <w:p w14:paraId="3C9B74C8" w14:textId="77777777" w:rsidR="00812D7F" w:rsidRDefault="00812D7F" w:rsidP="00812D7F">
      <w:pPr>
        <w:autoSpaceDE w:val="0"/>
        <w:autoSpaceDN w:val="0"/>
        <w:adjustRightInd w:val="0"/>
        <w:spacing w:before="0" w:line="240" w:lineRule="auto"/>
        <w:rPr>
          <w:rFonts w:asciiTheme="minorHAnsi" w:eastAsiaTheme="minorHAnsi" w:hAnsiTheme="minorHAnsi"/>
          <w:color w:val="0B0B0B"/>
        </w:rPr>
      </w:pPr>
      <w:r w:rsidRPr="003F5B14">
        <w:rPr>
          <w:rFonts w:asciiTheme="minorHAnsi" w:eastAsiaTheme="minorHAnsi" w:hAnsiTheme="minorHAnsi"/>
          <w:iCs/>
          <w:color w:val="0B0B0B"/>
        </w:rPr>
        <w:t xml:space="preserve">Kale S, et al. </w:t>
      </w:r>
      <w:r w:rsidRPr="003F5B14">
        <w:rPr>
          <w:rFonts w:asciiTheme="minorHAnsi" w:eastAsiaTheme="minorHAnsi" w:hAnsiTheme="minorHAnsi" w:cs="TimesNewRoman"/>
        </w:rPr>
        <w:t>Case Report: End-Stage Renal Disease in a Patient with Cholesteryl Ester Storage Disease following Successful Liver Transplantation and Cyclosporine</w:t>
      </w:r>
      <w:r>
        <w:rPr>
          <w:rFonts w:asciiTheme="minorHAnsi" w:eastAsiaTheme="minorHAnsi" w:hAnsiTheme="minorHAnsi" w:cs="TimesNewRoman"/>
        </w:rPr>
        <w:t xml:space="preserve"> </w:t>
      </w:r>
      <w:r w:rsidRPr="003F5B14">
        <w:rPr>
          <w:rFonts w:asciiTheme="minorHAnsi" w:eastAsiaTheme="minorHAnsi" w:hAnsiTheme="minorHAnsi" w:cs="TimesNewRoman"/>
        </w:rPr>
        <w:t xml:space="preserve">Immunosuppression. </w:t>
      </w:r>
      <w:r w:rsidRPr="009D434A">
        <w:rPr>
          <w:rFonts w:asciiTheme="minorHAnsi" w:eastAsiaTheme="minorHAnsi" w:hAnsiTheme="minorHAnsi"/>
          <w:i/>
          <w:iCs/>
          <w:color w:val="0B0B0B"/>
        </w:rPr>
        <w:t>Journal of Paediatric Ga</w:t>
      </w:r>
      <w:r w:rsidRPr="009D434A">
        <w:rPr>
          <w:rFonts w:asciiTheme="minorHAnsi" w:eastAsiaTheme="minorHAnsi" w:hAnsiTheme="minorHAnsi"/>
          <w:i/>
          <w:iCs/>
          <w:color w:val="2A2A2A"/>
        </w:rPr>
        <w:t>s</w:t>
      </w:r>
      <w:r w:rsidRPr="009D434A">
        <w:rPr>
          <w:rFonts w:asciiTheme="minorHAnsi" w:eastAsiaTheme="minorHAnsi" w:hAnsiTheme="minorHAnsi"/>
          <w:i/>
          <w:iCs/>
          <w:color w:val="0B0B0B"/>
        </w:rPr>
        <w:t>troent</w:t>
      </w:r>
      <w:r w:rsidRPr="009D434A">
        <w:rPr>
          <w:rFonts w:asciiTheme="minorHAnsi" w:eastAsiaTheme="minorHAnsi" w:hAnsiTheme="minorHAnsi"/>
          <w:i/>
          <w:iCs/>
          <w:color w:val="2A2A2A"/>
        </w:rPr>
        <w:t>e</w:t>
      </w:r>
      <w:r w:rsidRPr="009D434A">
        <w:rPr>
          <w:rFonts w:asciiTheme="minorHAnsi" w:eastAsiaTheme="minorHAnsi" w:hAnsiTheme="minorHAnsi"/>
          <w:i/>
          <w:iCs/>
          <w:color w:val="0B0B0B"/>
        </w:rPr>
        <w:t>rology and Nutriti</w:t>
      </w:r>
      <w:r w:rsidRPr="009D434A">
        <w:rPr>
          <w:rFonts w:asciiTheme="minorHAnsi" w:eastAsiaTheme="minorHAnsi" w:hAnsiTheme="minorHAnsi"/>
          <w:i/>
          <w:iCs/>
          <w:color w:val="2A2A2A"/>
        </w:rPr>
        <w:t>o</w:t>
      </w:r>
      <w:r w:rsidRPr="009D434A">
        <w:rPr>
          <w:rFonts w:asciiTheme="minorHAnsi" w:eastAsiaTheme="minorHAnsi" w:hAnsiTheme="minorHAnsi"/>
          <w:i/>
          <w:iCs/>
          <w:color w:val="0B0B0B"/>
        </w:rPr>
        <w:t>n</w:t>
      </w:r>
      <w:r w:rsidRPr="003F5B14">
        <w:rPr>
          <w:rFonts w:asciiTheme="minorHAnsi" w:eastAsiaTheme="minorHAnsi" w:hAnsiTheme="minorHAnsi"/>
          <w:iCs/>
          <w:color w:val="0B0B0B"/>
        </w:rPr>
        <w:t xml:space="preserve"> </w:t>
      </w:r>
      <w:r w:rsidRPr="003F5B14">
        <w:rPr>
          <w:rFonts w:asciiTheme="minorHAnsi" w:eastAsiaTheme="minorHAnsi" w:hAnsiTheme="minorHAnsi"/>
          <w:color w:val="0B0B0B"/>
        </w:rPr>
        <w:t>1995</w:t>
      </w:r>
      <w:r>
        <w:rPr>
          <w:rFonts w:asciiTheme="minorHAnsi" w:eastAsiaTheme="minorHAnsi" w:hAnsiTheme="minorHAnsi"/>
          <w:color w:val="0B0B0B"/>
        </w:rPr>
        <w:t xml:space="preserve">: </w:t>
      </w:r>
      <w:r w:rsidRPr="003F5B14">
        <w:rPr>
          <w:rFonts w:asciiTheme="minorHAnsi" w:eastAsiaTheme="minorHAnsi" w:hAnsiTheme="minorHAnsi"/>
          <w:iCs/>
          <w:color w:val="0B0B0B"/>
        </w:rPr>
        <w:t>20</w:t>
      </w:r>
      <w:r>
        <w:rPr>
          <w:rFonts w:asciiTheme="minorHAnsi" w:eastAsiaTheme="minorHAnsi" w:hAnsiTheme="minorHAnsi"/>
          <w:color w:val="0B0B0B"/>
        </w:rPr>
        <w:t>: 95-97</w:t>
      </w:r>
    </w:p>
    <w:p w14:paraId="63EEE953" w14:textId="77777777" w:rsidR="00812D7F" w:rsidRDefault="00812D7F" w:rsidP="00812D7F">
      <w:pPr>
        <w:autoSpaceDE w:val="0"/>
        <w:autoSpaceDN w:val="0"/>
        <w:adjustRightInd w:val="0"/>
        <w:spacing w:before="0" w:line="240" w:lineRule="auto"/>
        <w:rPr>
          <w:rFonts w:asciiTheme="minorHAnsi" w:eastAsiaTheme="minorHAnsi" w:hAnsiTheme="minorHAnsi" w:cs="Bookman-Light"/>
          <w:color w:val="231F20"/>
        </w:rPr>
      </w:pPr>
      <w:proofErr w:type="spellStart"/>
      <w:r w:rsidRPr="00D96127">
        <w:rPr>
          <w:rFonts w:asciiTheme="minorHAnsi" w:eastAsiaTheme="minorHAnsi" w:hAnsiTheme="minorHAnsi" w:cs="Bookman-Light"/>
          <w:color w:val="231F20"/>
        </w:rPr>
        <w:t>Krivit</w:t>
      </w:r>
      <w:proofErr w:type="spellEnd"/>
      <w:r w:rsidRPr="00D96127">
        <w:rPr>
          <w:rFonts w:asciiTheme="minorHAnsi" w:eastAsiaTheme="minorHAnsi" w:hAnsiTheme="minorHAnsi" w:cs="Bookman-Light"/>
          <w:color w:val="231F20"/>
        </w:rPr>
        <w:t xml:space="preserve">, W et al. </w:t>
      </w:r>
      <w:r w:rsidRPr="00D96127">
        <w:rPr>
          <w:rFonts w:asciiTheme="minorHAnsi" w:eastAsiaTheme="minorHAnsi" w:hAnsiTheme="minorHAnsi" w:cs="TimesNewRoman"/>
        </w:rPr>
        <w:t xml:space="preserve">Wolman's Disease: A Review of Treatment with Bone Marrow Transplantation </w:t>
      </w:r>
      <w:proofErr w:type="gramStart"/>
      <w:r w:rsidRPr="00D96127">
        <w:rPr>
          <w:rFonts w:asciiTheme="minorHAnsi" w:eastAsiaTheme="minorHAnsi" w:hAnsiTheme="minorHAnsi" w:cs="TimesNewRoman"/>
        </w:rPr>
        <w:t>And</w:t>
      </w:r>
      <w:proofErr w:type="gramEnd"/>
      <w:r w:rsidRPr="00D96127">
        <w:rPr>
          <w:rFonts w:asciiTheme="minorHAnsi" w:eastAsiaTheme="minorHAnsi" w:hAnsiTheme="minorHAnsi" w:cs="TimesNewRoman"/>
        </w:rPr>
        <w:t xml:space="preserve"> Considerations for the Future </w:t>
      </w:r>
      <w:r w:rsidRPr="00D96127">
        <w:rPr>
          <w:rFonts w:asciiTheme="minorHAnsi" w:eastAsiaTheme="minorHAnsi" w:hAnsiTheme="minorHAnsi" w:cs="Bookman-Light"/>
          <w:i/>
          <w:color w:val="231F20"/>
        </w:rPr>
        <w:t>Bone marrow transplantation</w:t>
      </w:r>
      <w:r w:rsidRPr="00D96127">
        <w:rPr>
          <w:rFonts w:asciiTheme="minorHAnsi" w:eastAsiaTheme="minorHAnsi" w:hAnsiTheme="minorHAnsi" w:cs="Bookman-Light"/>
          <w:color w:val="231F20"/>
        </w:rPr>
        <w:t xml:space="preserve"> 1992.</w:t>
      </w:r>
    </w:p>
    <w:p w14:paraId="01A546D8" w14:textId="12BE0753" w:rsidR="00812D7F" w:rsidRPr="009B76F2" w:rsidRDefault="00812D7F" w:rsidP="00812D7F">
      <w:pPr>
        <w:autoSpaceDE w:val="0"/>
        <w:autoSpaceDN w:val="0"/>
        <w:adjustRightInd w:val="0"/>
        <w:spacing w:before="0" w:line="240" w:lineRule="auto"/>
      </w:pPr>
      <w:proofErr w:type="spellStart"/>
      <w:proofErr w:type="gramStart"/>
      <w:r>
        <w:rPr>
          <w:rFonts w:asciiTheme="minorHAnsi" w:eastAsiaTheme="minorHAnsi" w:hAnsiTheme="minorHAnsi" w:cs="Bookman-Light"/>
          <w:color w:val="231F20"/>
        </w:rPr>
        <w:t>Krivit</w:t>
      </w:r>
      <w:proofErr w:type="spellEnd"/>
      <w:r>
        <w:rPr>
          <w:rFonts w:asciiTheme="minorHAnsi" w:eastAsiaTheme="minorHAnsi" w:hAnsiTheme="minorHAnsi" w:cs="Bookman-Light"/>
          <w:color w:val="231F20"/>
        </w:rPr>
        <w:t xml:space="preserve"> W et al</w:t>
      </w:r>
      <w:r w:rsidRPr="005C7087">
        <w:t>. Wolman disease successfully treated by bone marrow transplantation</w:t>
      </w:r>
      <w:r>
        <w:t>.</w:t>
      </w:r>
      <w:proofErr w:type="gramEnd"/>
      <w:r w:rsidRPr="005C7087">
        <w:t xml:space="preserve"> </w:t>
      </w:r>
      <w:r w:rsidRPr="005C7087">
        <w:rPr>
          <w:i/>
        </w:rPr>
        <w:t>Bone Marrow Transplantation</w:t>
      </w:r>
      <w:r>
        <w:t xml:space="preserve"> 2000;</w:t>
      </w:r>
      <w:r w:rsidRPr="005C7087">
        <w:t xml:space="preserve"> 26</w:t>
      </w:r>
      <w:r>
        <w:t>: 567–570</w:t>
      </w:r>
    </w:p>
    <w:p w14:paraId="38644E8D" w14:textId="77777777" w:rsidR="009B76F2" w:rsidRPr="009B76F2" w:rsidRDefault="009B76F2" w:rsidP="009B76F2">
      <w:proofErr w:type="spellStart"/>
      <w:r w:rsidRPr="009B76F2">
        <w:t>Kuczmarski</w:t>
      </w:r>
      <w:proofErr w:type="spellEnd"/>
      <w:r w:rsidRPr="009B76F2">
        <w:t xml:space="preserve">, </w:t>
      </w:r>
      <w:r>
        <w:t xml:space="preserve">RJ. CDC growth charts for the US: methods and development </w:t>
      </w:r>
      <w:r w:rsidRPr="009B76F2">
        <w:t>2002</w:t>
      </w:r>
      <w:r>
        <w:t xml:space="preserve"> </w:t>
      </w:r>
      <w:r w:rsidRPr="009B76F2">
        <w:t>Vital Health Stat</w:t>
      </w:r>
    </w:p>
    <w:p w14:paraId="7B264B5D" w14:textId="77777777" w:rsidR="00B73619" w:rsidRDefault="00B73619" w:rsidP="00B73619">
      <w:pPr>
        <w:autoSpaceDE w:val="0"/>
        <w:autoSpaceDN w:val="0"/>
        <w:adjustRightInd w:val="0"/>
        <w:spacing w:before="0" w:line="240" w:lineRule="auto"/>
        <w:rPr>
          <w:rFonts w:asciiTheme="minorHAnsi" w:eastAsiaTheme="minorHAnsi" w:hAnsiTheme="minorHAnsi" w:cs="TimesNewRomanPSMT"/>
        </w:rPr>
      </w:pPr>
      <w:proofErr w:type="spellStart"/>
      <w:r w:rsidRPr="00023112">
        <w:rPr>
          <w:rFonts w:asciiTheme="minorHAnsi" w:eastAsiaTheme="minorHAnsi" w:hAnsiTheme="minorHAnsi" w:cs="TimesNewRomanPSMT"/>
        </w:rPr>
        <w:lastRenderedPageBreak/>
        <w:t>Lavine</w:t>
      </w:r>
      <w:proofErr w:type="spellEnd"/>
      <w:r w:rsidRPr="00023112">
        <w:rPr>
          <w:rFonts w:asciiTheme="minorHAnsi" w:eastAsiaTheme="minorHAnsi" w:hAnsiTheme="minorHAnsi" w:cs="TimesNewRomanPSMT"/>
        </w:rPr>
        <w:t xml:space="preserve"> JE, et al.</w:t>
      </w:r>
      <w:r>
        <w:rPr>
          <w:rFonts w:asciiTheme="minorHAnsi" w:eastAsiaTheme="minorHAnsi" w:hAnsiTheme="minorHAnsi" w:cs="TimesNewRomanPSMT"/>
        </w:rPr>
        <w:t xml:space="preserve"> </w:t>
      </w:r>
      <w:r w:rsidRPr="00023112">
        <w:rPr>
          <w:rFonts w:asciiTheme="minorHAnsi" w:eastAsiaTheme="minorHAnsi" w:hAnsiTheme="minorHAnsi" w:cs="TimesNewRomanPSMT"/>
        </w:rPr>
        <w:t xml:space="preserve">Effect of vitamin E or metformin for treatment of </w:t>
      </w:r>
      <w:proofErr w:type="spellStart"/>
      <w:r w:rsidRPr="00023112">
        <w:rPr>
          <w:rFonts w:asciiTheme="minorHAnsi" w:eastAsiaTheme="minorHAnsi" w:hAnsiTheme="minorHAnsi" w:cs="TimesNewRomanPSMT"/>
        </w:rPr>
        <w:t>nonalcoholic</w:t>
      </w:r>
      <w:proofErr w:type="spellEnd"/>
      <w:r w:rsidRPr="00023112">
        <w:rPr>
          <w:rFonts w:asciiTheme="minorHAnsi" w:eastAsiaTheme="minorHAnsi" w:hAnsiTheme="minorHAnsi" w:cs="TimesNewRomanPSMT"/>
        </w:rPr>
        <w:t xml:space="preserve"> fatty liver disease in</w:t>
      </w:r>
      <w:r>
        <w:rPr>
          <w:rFonts w:asciiTheme="minorHAnsi" w:eastAsiaTheme="minorHAnsi" w:hAnsiTheme="minorHAnsi" w:cs="TimesNewRomanPSMT"/>
        </w:rPr>
        <w:t xml:space="preserve"> </w:t>
      </w:r>
      <w:r w:rsidRPr="00023112">
        <w:rPr>
          <w:rFonts w:asciiTheme="minorHAnsi" w:eastAsiaTheme="minorHAnsi" w:hAnsiTheme="minorHAnsi" w:cs="TimesNewRomanPSMT"/>
        </w:rPr>
        <w:t xml:space="preserve">children and adolescents: the TONIC randomized controlled trial. </w:t>
      </w:r>
      <w:proofErr w:type="gramStart"/>
      <w:r w:rsidRPr="009D434A">
        <w:rPr>
          <w:rFonts w:asciiTheme="minorHAnsi" w:eastAsiaTheme="minorHAnsi" w:hAnsiTheme="minorHAnsi" w:cs="TimesNewRomanPSMT"/>
          <w:i/>
        </w:rPr>
        <w:t>JAMA.</w:t>
      </w:r>
      <w:proofErr w:type="gramEnd"/>
      <w:r>
        <w:rPr>
          <w:rFonts w:asciiTheme="minorHAnsi" w:eastAsiaTheme="minorHAnsi" w:hAnsiTheme="minorHAnsi" w:cs="TimesNewRomanPSMT"/>
        </w:rPr>
        <w:t xml:space="preserve"> </w:t>
      </w:r>
      <w:proofErr w:type="gramStart"/>
      <w:r w:rsidR="009D434A">
        <w:rPr>
          <w:rFonts w:asciiTheme="minorHAnsi" w:eastAsiaTheme="minorHAnsi" w:hAnsiTheme="minorHAnsi" w:cs="TimesNewRomanPSMT"/>
        </w:rPr>
        <w:t>2011; 305</w:t>
      </w:r>
      <w:r w:rsidRPr="00023112">
        <w:rPr>
          <w:rFonts w:asciiTheme="minorHAnsi" w:eastAsiaTheme="minorHAnsi" w:hAnsiTheme="minorHAnsi" w:cs="TimesNewRomanPSMT"/>
        </w:rPr>
        <w:t>:</w:t>
      </w:r>
      <w:r w:rsidR="00D96127">
        <w:rPr>
          <w:rFonts w:asciiTheme="minorHAnsi" w:eastAsiaTheme="minorHAnsi" w:hAnsiTheme="minorHAnsi" w:cs="TimesNewRomanPSMT"/>
        </w:rPr>
        <w:t xml:space="preserve"> </w:t>
      </w:r>
      <w:r w:rsidRPr="00023112">
        <w:rPr>
          <w:rFonts w:asciiTheme="minorHAnsi" w:eastAsiaTheme="minorHAnsi" w:hAnsiTheme="minorHAnsi" w:cs="TimesNewRomanPSMT"/>
        </w:rPr>
        <w:t>1659-</w:t>
      </w:r>
      <w:r w:rsidR="009D434A">
        <w:rPr>
          <w:rFonts w:asciiTheme="minorHAnsi" w:eastAsiaTheme="minorHAnsi" w:hAnsiTheme="minorHAnsi" w:cs="TimesNewRomanPSMT"/>
        </w:rPr>
        <w:t>16</w:t>
      </w:r>
      <w:r w:rsidRPr="00023112">
        <w:rPr>
          <w:rFonts w:asciiTheme="minorHAnsi" w:eastAsiaTheme="minorHAnsi" w:hAnsiTheme="minorHAnsi" w:cs="TimesNewRomanPSMT"/>
        </w:rPr>
        <w:t>68.</w:t>
      </w:r>
      <w:proofErr w:type="gramEnd"/>
    </w:p>
    <w:p w14:paraId="07262E51" w14:textId="77777777" w:rsidR="00D96127" w:rsidRDefault="00D96127" w:rsidP="00D96127">
      <w:r>
        <w:rPr>
          <w:rFonts w:asciiTheme="minorHAnsi" w:hAnsiTheme="minorHAnsi" w:cs="TimesNewRomanPSMT"/>
        </w:rPr>
        <w:t xml:space="preserve">Leavitt M et al. </w:t>
      </w:r>
      <w:r>
        <w:t>R</w:t>
      </w:r>
      <w:r w:rsidRPr="00D96127">
        <w:t>ecombinant lysosomal acid lipase normalizes</w:t>
      </w:r>
      <w:r>
        <w:t xml:space="preserve"> l</w:t>
      </w:r>
      <w:r w:rsidRPr="00D96127">
        <w:t>iver weight, transaminases and histopathological</w:t>
      </w:r>
      <w:r>
        <w:t xml:space="preserve"> a</w:t>
      </w:r>
      <w:r w:rsidRPr="00D96127">
        <w:t>bnormalities in an in vivo model of cholesteryl ester</w:t>
      </w:r>
      <w:r>
        <w:t xml:space="preserve"> </w:t>
      </w:r>
      <w:r w:rsidRPr="00D96127">
        <w:t>Storage disease</w:t>
      </w:r>
      <w:r>
        <w:t xml:space="preserve">. </w:t>
      </w:r>
      <w:r w:rsidRPr="00D96127">
        <w:rPr>
          <w:i/>
        </w:rPr>
        <w:t>Journal of Hepatology</w:t>
      </w:r>
      <w:r w:rsidRPr="00D96127">
        <w:t xml:space="preserve"> </w:t>
      </w:r>
      <w:r>
        <w:t>2011; 54:</w:t>
      </w:r>
      <w:r w:rsidRPr="00D96127">
        <w:t xml:space="preserve"> S209–S361</w:t>
      </w:r>
    </w:p>
    <w:p w14:paraId="24E27D92" w14:textId="08695B42" w:rsidR="00812D7F" w:rsidRPr="00812D7F" w:rsidRDefault="00812D7F" w:rsidP="00812D7F">
      <w:pPr>
        <w:autoSpaceDE w:val="0"/>
        <w:autoSpaceDN w:val="0"/>
        <w:adjustRightInd w:val="0"/>
        <w:spacing w:before="0" w:line="240" w:lineRule="auto"/>
        <w:rPr>
          <w:rFonts w:asciiTheme="minorHAnsi" w:eastAsiaTheme="minorHAnsi" w:hAnsiTheme="minorHAnsi" w:cs="Courier"/>
        </w:rPr>
      </w:pPr>
      <w:r w:rsidRPr="003F5B14">
        <w:rPr>
          <w:rFonts w:asciiTheme="minorHAnsi" w:eastAsiaTheme="minorHAnsi" w:hAnsiTheme="minorHAnsi" w:cs="Courier"/>
        </w:rPr>
        <w:t xml:space="preserve">Meyers WF, et al. </w:t>
      </w:r>
      <w:proofErr w:type="gramStart"/>
      <w:r w:rsidRPr="003F5B14">
        <w:rPr>
          <w:rFonts w:asciiTheme="minorHAnsi" w:eastAsiaTheme="minorHAnsi" w:hAnsiTheme="minorHAnsi" w:cs="Courier"/>
        </w:rPr>
        <w:t xml:space="preserve">The use of parenteral </w:t>
      </w:r>
      <w:proofErr w:type="spellStart"/>
      <w:r w:rsidRPr="003F5B14">
        <w:rPr>
          <w:rFonts w:asciiTheme="minorHAnsi" w:eastAsiaTheme="minorHAnsi" w:hAnsiTheme="minorHAnsi" w:cs="Courier"/>
        </w:rPr>
        <w:t>hyperalimentation</w:t>
      </w:r>
      <w:proofErr w:type="spellEnd"/>
      <w:r w:rsidRPr="003F5B14">
        <w:rPr>
          <w:rFonts w:asciiTheme="minorHAnsi" w:eastAsiaTheme="minorHAnsi" w:hAnsiTheme="minorHAnsi" w:cs="Courier"/>
        </w:rPr>
        <w:t xml:space="preserve"> and elemental formula feeding in the treatment of Wolman disease.</w:t>
      </w:r>
      <w:proofErr w:type="gramEnd"/>
      <w:r w:rsidRPr="003F5B14">
        <w:rPr>
          <w:rFonts w:asciiTheme="minorHAnsi" w:eastAsiaTheme="minorHAnsi" w:hAnsiTheme="minorHAnsi" w:cs="Courier"/>
        </w:rPr>
        <w:t xml:space="preserve"> </w:t>
      </w:r>
      <w:r w:rsidRPr="00B71B5F">
        <w:rPr>
          <w:rFonts w:asciiTheme="minorHAnsi" w:eastAsiaTheme="minorHAnsi" w:hAnsiTheme="minorHAnsi" w:cs="Courier"/>
          <w:i/>
        </w:rPr>
        <w:t>Nutrition Research</w:t>
      </w:r>
      <w:r w:rsidRPr="003F5B14">
        <w:rPr>
          <w:rFonts w:asciiTheme="minorHAnsi" w:eastAsiaTheme="minorHAnsi" w:hAnsiTheme="minorHAnsi" w:cs="Courier"/>
        </w:rPr>
        <w:t xml:space="preserve"> 1985</w:t>
      </w:r>
      <w:r>
        <w:rPr>
          <w:rFonts w:asciiTheme="minorHAnsi" w:eastAsiaTheme="minorHAnsi" w:hAnsiTheme="minorHAnsi" w:cs="Courier"/>
        </w:rPr>
        <w:t>; 5: 423-429</w:t>
      </w:r>
    </w:p>
    <w:p w14:paraId="5ECB92E5" w14:textId="77777777" w:rsidR="00B73619" w:rsidRPr="00023112" w:rsidRDefault="00B73619" w:rsidP="00B73619">
      <w:pPr>
        <w:autoSpaceDE w:val="0"/>
        <w:autoSpaceDN w:val="0"/>
        <w:adjustRightInd w:val="0"/>
        <w:spacing w:before="0" w:line="240" w:lineRule="auto"/>
        <w:rPr>
          <w:rFonts w:asciiTheme="minorHAnsi" w:eastAsiaTheme="minorHAnsi" w:hAnsiTheme="minorHAnsi" w:cs="TimesNewRomanPSMT"/>
        </w:rPr>
      </w:pPr>
      <w:r w:rsidRPr="00572FD7">
        <w:rPr>
          <w:rFonts w:asciiTheme="minorHAnsi" w:eastAsiaTheme="minorHAnsi" w:hAnsiTheme="minorHAnsi" w:cs="TimesNewRomanPSMT"/>
        </w:rPr>
        <w:t xml:space="preserve">Moore C Jr, </w:t>
      </w:r>
      <w:r w:rsidR="009D434A" w:rsidRPr="00572FD7">
        <w:rPr>
          <w:rFonts w:asciiTheme="minorHAnsi" w:eastAsiaTheme="minorHAnsi" w:hAnsiTheme="minorHAnsi" w:cs="TimesNewRomanPSMT"/>
        </w:rPr>
        <w:t>et al.</w:t>
      </w:r>
      <w:r w:rsidRPr="00572FD7">
        <w:rPr>
          <w:rFonts w:asciiTheme="minorHAnsi" w:eastAsiaTheme="minorHAnsi" w:hAnsiTheme="minorHAnsi" w:cs="TimesNewRomanPSMT"/>
        </w:rPr>
        <w:t xml:space="preserve"> </w:t>
      </w:r>
      <w:proofErr w:type="gramStart"/>
      <w:r w:rsidRPr="00023112">
        <w:rPr>
          <w:rFonts w:asciiTheme="minorHAnsi" w:eastAsiaTheme="minorHAnsi" w:hAnsiTheme="minorHAnsi" w:cs="TimesNewRomanPSMT"/>
        </w:rPr>
        <w:t>Causes</w:t>
      </w:r>
      <w:proofErr w:type="gramEnd"/>
      <w:r w:rsidRPr="00023112">
        <w:rPr>
          <w:rFonts w:asciiTheme="minorHAnsi" w:eastAsiaTheme="minorHAnsi" w:hAnsiTheme="minorHAnsi" w:cs="TimesNewRomanPSMT"/>
        </w:rPr>
        <w:t xml:space="preserve"> and significance of markedly elevated serum</w:t>
      </w:r>
      <w:r>
        <w:rPr>
          <w:rFonts w:asciiTheme="minorHAnsi" w:eastAsiaTheme="minorHAnsi" w:hAnsiTheme="minorHAnsi" w:cs="TimesNewRomanPSMT"/>
        </w:rPr>
        <w:t xml:space="preserve"> </w:t>
      </w:r>
      <w:r w:rsidRPr="00023112">
        <w:rPr>
          <w:rFonts w:asciiTheme="minorHAnsi" w:eastAsiaTheme="minorHAnsi" w:hAnsiTheme="minorHAnsi" w:cs="TimesNewRomanPSMT"/>
        </w:rPr>
        <w:t xml:space="preserve">ferritin levels in an academic medical </w:t>
      </w:r>
      <w:proofErr w:type="spellStart"/>
      <w:r w:rsidRPr="00023112">
        <w:rPr>
          <w:rFonts w:asciiTheme="minorHAnsi" w:eastAsiaTheme="minorHAnsi" w:hAnsiTheme="minorHAnsi" w:cs="TimesNewRomanPSMT"/>
        </w:rPr>
        <w:t>center</w:t>
      </w:r>
      <w:proofErr w:type="spellEnd"/>
      <w:r w:rsidRPr="00023112">
        <w:rPr>
          <w:rFonts w:asciiTheme="minorHAnsi" w:eastAsiaTheme="minorHAnsi" w:hAnsiTheme="minorHAnsi" w:cs="TimesNewRomanPSMT"/>
        </w:rPr>
        <w:t xml:space="preserve">. </w:t>
      </w:r>
      <w:proofErr w:type="gramStart"/>
      <w:r w:rsidRPr="009D434A">
        <w:rPr>
          <w:rFonts w:asciiTheme="minorHAnsi" w:eastAsiaTheme="minorHAnsi" w:hAnsiTheme="minorHAnsi" w:cs="TimesNewRomanPSMT"/>
          <w:i/>
        </w:rPr>
        <w:t xml:space="preserve">J </w:t>
      </w:r>
      <w:proofErr w:type="spellStart"/>
      <w:r w:rsidRPr="009D434A">
        <w:rPr>
          <w:rFonts w:asciiTheme="minorHAnsi" w:eastAsiaTheme="minorHAnsi" w:hAnsiTheme="minorHAnsi" w:cs="TimesNewRomanPSMT"/>
          <w:i/>
        </w:rPr>
        <w:t>Clin</w:t>
      </w:r>
      <w:proofErr w:type="spellEnd"/>
      <w:r w:rsidRPr="009D434A">
        <w:rPr>
          <w:rFonts w:asciiTheme="minorHAnsi" w:eastAsiaTheme="minorHAnsi" w:hAnsiTheme="minorHAnsi" w:cs="TimesNewRomanPSMT"/>
          <w:i/>
        </w:rPr>
        <w:t xml:space="preserve"> </w:t>
      </w:r>
      <w:proofErr w:type="spellStart"/>
      <w:r w:rsidRPr="009D434A">
        <w:rPr>
          <w:rFonts w:asciiTheme="minorHAnsi" w:eastAsiaTheme="minorHAnsi" w:hAnsiTheme="minorHAnsi" w:cs="TimesNewRomanPSMT"/>
          <w:i/>
        </w:rPr>
        <w:t>Rheumatol</w:t>
      </w:r>
      <w:proofErr w:type="spellEnd"/>
      <w:r w:rsidR="009D434A">
        <w:rPr>
          <w:rFonts w:asciiTheme="minorHAnsi" w:eastAsiaTheme="minorHAnsi" w:hAnsiTheme="minorHAnsi" w:cs="TimesNewRomanPSMT"/>
        </w:rPr>
        <w:t>.</w:t>
      </w:r>
      <w:proofErr w:type="gramEnd"/>
      <w:r w:rsidR="009D434A">
        <w:rPr>
          <w:rFonts w:asciiTheme="minorHAnsi" w:eastAsiaTheme="minorHAnsi" w:hAnsiTheme="minorHAnsi" w:cs="TimesNewRomanPSMT"/>
        </w:rPr>
        <w:t xml:space="preserve"> </w:t>
      </w:r>
      <w:proofErr w:type="gramStart"/>
      <w:r w:rsidR="009D434A">
        <w:rPr>
          <w:rFonts w:asciiTheme="minorHAnsi" w:eastAsiaTheme="minorHAnsi" w:hAnsiTheme="minorHAnsi" w:cs="TimesNewRomanPSMT"/>
        </w:rPr>
        <w:t>2013; 19</w:t>
      </w:r>
      <w:r w:rsidRPr="00023112">
        <w:rPr>
          <w:rFonts w:asciiTheme="minorHAnsi" w:eastAsiaTheme="minorHAnsi" w:hAnsiTheme="minorHAnsi" w:cs="TimesNewRomanPSMT"/>
        </w:rPr>
        <w:t>:</w:t>
      </w:r>
      <w:r w:rsidR="009D434A">
        <w:rPr>
          <w:rFonts w:asciiTheme="minorHAnsi" w:eastAsiaTheme="minorHAnsi" w:hAnsiTheme="minorHAnsi" w:cs="TimesNewRomanPSMT"/>
        </w:rPr>
        <w:t xml:space="preserve"> </w:t>
      </w:r>
      <w:r w:rsidRPr="00023112">
        <w:rPr>
          <w:rFonts w:asciiTheme="minorHAnsi" w:eastAsiaTheme="minorHAnsi" w:hAnsiTheme="minorHAnsi" w:cs="TimesNewRomanPSMT"/>
        </w:rPr>
        <w:t>324-</w:t>
      </w:r>
      <w:r w:rsidR="009D434A">
        <w:rPr>
          <w:rFonts w:asciiTheme="minorHAnsi" w:eastAsiaTheme="minorHAnsi" w:hAnsiTheme="minorHAnsi" w:cs="TimesNewRomanPSMT"/>
        </w:rPr>
        <w:t>32</w:t>
      </w:r>
      <w:r w:rsidRPr="00023112">
        <w:rPr>
          <w:rFonts w:asciiTheme="minorHAnsi" w:eastAsiaTheme="minorHAnsi" w:hAnsiTheme="minorHAnsi" w:cs="TimesNewRomanPSMT"/>
        </w:rPr>
        <w:t>8.</w:t>
      </w:r>
      <w:proofErr w:type="gramEnd"/>
    </w:p>
    <w:p w14:paraId="42CF413E" w14:textId="77777777" w:rsidR="00B73619" w:rsidRPr="00794C8A" w:rsidRDefault="00B73619" w:rsidP="00B73619">
      <w:pPr>
        <w:autoSpaceDE w:val="0"/>
        <w:autoSpaceDN w:val="0"/>
        <w:adjustRightInd w:val="0"/>
        <w:spacing w:before="0" w:line="240" w:lineRule="auto"/>
        <w:rPr>
          <w:rFonts w:asciiTheme="minorHAnsi" w:eastAsiaTheme="minorHAnsi" w:hAnsiTheme="minorHAnsi" w:cs="TimesNewRomanPSMT"/>
        </w:rPr>
      </w:pPr>
      <w:proofErr w:type="spellStart"/>
      <w:r w:rsidRPr="00794C8A">
        <w:rPr>
          <w:rFonts w:asciiTheme="minorHAnsi" w:eastAsiaTheme="minorHAnsi" w:hAnsiTheme="minorHAnsi" w:cs="TimesNewRomanPSMT"/>
        </w:rPr>
        <w:t>Rosário</w:t>
      </w:r>
      <w:proofErr w:type="spellEnd"/>
      <w:r w:rsidRPr="00794C8A">
        <w:rPr>
          <w:rFonts w:asciiTheme="minorHAnsi" w:eastAsiaTheme="minorHAnsi" w:hAnsiTheme="minorHAnsi" w:cs="TimesNewRomanPSMT"/>
        </w:rPr>
        <w:t xml:space="preserve"> C, </w:t>
      </w:r>
      <w:r w:rsidR="009D434A">
        <w:rPr>
          <w:rFonts w:asciiTheme="minorHAnsi" w:eastAsiaTheme="minorHAnsi" w:hAnsiTheme="minorHAnsi" w:cs="TimesNewRomanPSMT"/>
        </w:rPr>
        <w:t>et al.</w:t>
      </w:r>
      <w:r w:rsidRPr="00794C8A">
        <w:rPr>
          <w:rFonts w:asciiTheme="minorHAnsi" w:eastAsiaTheme="minorHAnsi" w:hAnsiTheme="minorHAnsi" w:cs="TimesNewRomanPSMT"/>
        </w:rPr>
        <w:t xml:space="preserve"> The</w:t>
      </w:r>
      <w:r>
        <w:rPr>
          <w:rFonts w:asciiTheme="minorHAnsi" w:eastAsiaTheme="minorHAnsi" w:hAnsiTheme="minorHAnsi" w:cs="TimesNewRomanPSMT"/>
        </w:rPr>
        <w:t xml:space="preserve"> </w:t>
      </w:r>
      <w:proofErr w:type="spellStart"/>
      <w:r w:rsidRPr="00794C8A">
        <w:rPr>
          <w:rFonts w:asciiTheme="minorHAnsi" w:eastAsiaTheme="minorHAnsi" w:hAnsiTheme="minorHAnsi" w:cs="TimesNewRomanPSMT"/>
        </w:rPr>
        <w:t>hyperferritinemic</w:t>
      </w:r>
      <w:proofErr w:type="spellEnd"/>
      <w:r w:rsidRPr="00794C8A">
        <w:rPr>
          <w:rFonts w:asciiTheme="minorHAnsi" w:eastAsiaTheme="minorHAnsi" w:hAnsiTheme="minorHAnsi" w:cs="TimesNewRomanPSMT"/>
        </w:rPr>
        <w:t xml:space="preserve"> syndrome: macrophage activation syndrome, Still's disease, septic</w:t>
      </w:r>
      <w:r>
        <w:rPr>
          <w:rFonts w:asciiTheme="minorHAnsi" w:eastAsiaTheme="minorHAnsi" w:hAnsiTheme="minorHAnsi" w:cs="TimesNewRomanPSMT"/>
        </w:rPr>
        <w:t xml:space="preserve"> </w:t>
      </w:r>
      <w:r w:rsidRPr="00794C8A">
        <w:rPr>
          <w:rFonts w:asciiTheme="minorHAnsi" w:eastAsiaTheme="minorHAnsi" w:hAnsiTheme="minorHAnsi" w:cs="TimesNewRomanPSMT"/>
        </w:rPr>
        <w:t xml:space="preserve">shock and catastrophic antiphospholipid syndrome. </w:t>
      </w:r>
      <w:r w:rsidRPr="009D434A">
        <w:rPr>
          <w:rFonts w:asciiTheme="minorHAnsi" w:eastAsiaTheme="minorHAnsi" w:hAnsiTheme="minorHAnsi" w:cs="TimesNewRomanPSMT"/>
          <w:i/>
        </w:rPr>
        <w:t>BMC Med.</w:t>
      </w:r>
      <w:r w:rsidRPr="00794C8A">
        <w:rPr>
          <w:rFonts w:asciiTheme="minorHAnsi" w:eastAsiaTheme="minorHAnsi" w:hAnsiTheme="minorHAnsi" w:cs="TimesNewRomanPSMT"/>
        </w:rPr>
        <w:t xml:space="preserve"> 2013;</w:t>
      </w:r>
      <w:r w:rsidR="009D434A">
        <w:rPr>
          <w:rFonts w:asciiTheme="minorHAnsi" w:eastAsiaTheme="minorHAnsi" w:hAnsiTheme="minorHAnsi" w:cs="TimesNewRomanPSMT"/>
        </w:rPr>
        <w:t xml:space="preserve"> </w:t>
      </w:r>
      <w:r w:rsidRPr="00794C8A">
        <w:rPr>
          <w:rFonts w:asciiTheme="minorHAnsi" w:eastAsiaTheme="minorHAnsi" w:hAnsiTheme="minorHAnsi" w:cs="TimesNewRomanPSMT"/>
        </w:rPr>
        <w:t>11:</w:t>
      </w:r>
      <w:r w:rsidR="009D434A">
        <w:rPr>
          <w:rFonts w:asciiTheme="minorHAnsi" w:eastAsiaTheme="minorHAnsi" w:hAnsiTheme="minorHAnsi" w:cs="TimesNewRomanPSMT"/>
        </w:rPr>
        <w:t xml:space="preserve"> </w:t>
      </w:r>
      <w:r w:rsidRPr="00794C8A">
        <w:rPr>
          <w:rFonts w:asciiTheme="minorHAnsi" w:eastAsiaTheme="minorHAnsi" w:hAnsiTheme="minorHAnsi" w:cs="TimesNewRomanPSMT"/>
        </w:rPr>
        <w:t>185.</w:t>
      </w:r>
    </w:p>
    <w:p w14:paraId="2406D080" w14:textId="77777777" w:rsidR="00B73619" w:rsidRDefault="00B73619" w:rsidP="00B73619">
      <w:pPr>
        <w:autoSpaceDE w:val="0"/>
        <w:autoSpaceDN w:val="0"/>
        <w:adjustRightInd w:val="0"/>
        <w:spacing w:before="0" w:line="240" w:lineRule="auto"/>
        <w:rPr>
          <w:rFonts w:asciiTheme="minorHAnsi" w:eastAsiaTheme="minorHAnsi" w:hAnsiTheme="minorHAnsi" w:cs="TimesNewRomanPSMT"/>
        </w:rPr>
      </w:pPr>
      <w:r w:rsidRPr="00F76D99">
        <w:rPr>
          <w:rFonts w:asciiTheme="minorHAnsi" w:eastAsiaTheme="minorHAnsi" w:hAnsiTheme="minorHAnsi" w:cs="TimesNewRomanPSMT"/>
        </w:rPr>
        <w:t xml:space="preserve">Stahl PD, </w:t>
      </w:r>
      <w:r w:rsidR="009D434A">
        <w:rPr>
          <w:rFonts w:asciiTheme="minorHAnsi" w:eastAsiaTheme="minorHAnsi" w:hAnsiTheme="minorHAnsi" w:cs="TimesNewRomanPSMT"/>
        </w:rPr>
        <w:t>et al</w:t>
      </w:r>
      <w:r w:rsidRPr="00F76D99">
        <w:rPr>
          <w:rFonts w:asciiTheme="minorHAnsi" w:eastAsiaTheme="minorHAnsi" w:hAnsiTheme="minorHAnsi" w:cs="TimesNewRomanPSMT"/>
        </w:rPr>
        <w:t xml:space="preserve"> Evidence for receptor-mediated</w:t>
      </w:r>
      <w:r>
        <w:rPr>
          <w:rFonts w:asciiTheme="minorHAnsi" w:eastAsiaTheme="minorHAnsi" w:hAnsiTheme="minorHAnsi" w:cs="TimesNewRomanPSMT"/>
        </w:rPr>
        <w:t xml:space="preserve"> </w:t>
      </w:r>
      <w:r w:rsidRPr="00F76D99">
        <w:rPr>
          <w:rFonts w:asciiTheme="minorHAnsi" w:eastAsiaTheme="minorHAnsi" w:hAnsiTheme="minorHAnsi" w:cs="TimesNewRomanPSMT"/>
        </w:rPr>
        <w:t xml:space="preserve">binding of glycoproteins, </w:t>
      </w:r>
      <w:proofErr w:type="spellStart"/>
      <w:r w:rsidRPr="00F76D99">
        <w:rPr>
          <w:rFonts w:asciiTheme="minorHAnsi" w:eastAsiaTheme="minorHAnsi" w:hAnsiTheme="minorHAnsi" w:cs="TimesNewRomanPSMT"/>
        </w:rPr>
        <w:t>glycoconjugates</w:t>
      </w:r>
      <w:proofErr w:type="spellEnd"/>
      <w:r w:rsidRPr="00F76D99">
        <w:rPr>
          <w:rFonts w:asciiTheme="minorHAnsi" w:eastAsiaTheme="minorHAnsi" w:hAnsiTheme="minorHAnsi" w:cs="TimesNewRomanPSMT"/>
        </w:rPr>
        <w:t>, and lysosomal glycosides by alveolar</w:t>
      </w:r>
      <w:r>
        <w:rPr>
          <w:rFonts w:asciiTheme="minorHAnsi" w:eastAsiaTheme="minorHAnsi" w:hAnsiTheme="minorHAnsi" w:cs="TimesNewRomanPSMT"/>
        </w:rPr>
        <w:t xml:space="preserve"> </w:t>
      </w:r>
      <w:r w:rsidRPr="00F76D99">
        <w:rPr>
          <w:rFonts w:asciiTheme="minorHAnsi" w:eastAsiaTheme="minorHAnsi" w:hAnsiTheme="minorHAnsi" w:cs="TimesNewRomanPSMT"/>
        </w:rPr>
        <w:t xml:space="preserve">macrophages. </w:t>
      </w:r>
      <w:r w:rsidRPr="002E3FF7">
        <w:rPr>
          <w:rFonts w:asciiTheme="minorHAnsi" w:eastAsiaTheme="minorHAnsi" w:hAnsiTheme="minorHAnsi" w:cs="TimesNewRomanPSMT"/>
          <w:i/>
        </w:rPr>
        <w:t xml:space="preserve">Proc Natl </w:t>
      </w:r>
      <w:proofErr w:type="spellStart"/>
      <w:r w:rsidRPr="002E3FF7">
        <w:rPr>
          <w:rFonts w:asciiTheme="minorHAnsi" w:eastAsiaTheme="minorHAnsi" w:hAnsiTheme="minorHAnsi" w:cs="TimesNewRomanPSMT"/>
          <w:i/>
        </w:rPr>
        <w:t>Acad</w:t>
      </w:r>
      <w:proofErr w:type="spellEnd"/>
      <w:r w:rsidRPr="002E3FF7">
        <w:rPr>
          <w:rFonts w:asciiTheme="minorHAnsi" w:eastAsiaTheme="minorHAnsi" w:hAnsiTheme="minorHAnsi" w:cs="TimesNewRomanPSMT"/>
          <w:i/>
        </w:rPr>
        <w:t xml:space="preserve"> </w:t>
      </w:r>
      <w:proofErr w:type="spellStart"/>
      <w:r w:rsidRPr="002E3FF7">
        <w:rPr>
          <w:rFonts w:asciiTheme="minorHAnsi" w:eastAsiaTheme="minorHAnsi" w:hAnsiTheme="minorHAnsi" w:cs="TimesNewRomanPSMT"/>
          <w:i/>
        </w:rPr>
        <w:t>Sci</w:t>
      </w:r>
      <w:proofErr w:type="spellEnd"/>
      <w:r w:rsidRPr="002E3FF7">
        <w:rPr>
          <w:rFonts w:asciiTheme="minorHAnsi" w:eastAsiaTheme="minorHAnsi" w:hAnsiTheme="minorHAnsi" w:cs="TimesNewRomanPSMT"/>
          <w:i/>
        </w:rPr>
        <w:t xml:space="preserve"> U S A</w:t>
      </w:r>
      <w:r w:rsidR="009D434A" w:rsidRPr="002E3FF7">
        <w:rPr>
          <w:rFonts w:asciiTheme="minorHAnsi" w:eastAsiaTheme="minorHAnsi" w:hAnsiTheme="minorHAnsi" w:cs="TimesNewRomanPSMT"/>
        </w:rPr>
        <w:t>. 1978; 75</w:t>
      </w:r>
      <w:r w:rsidRPr="002E3FF7">
        <w:rPr>
          <w:rFonts w:asciiTheme="minorHAnsi" w:eastAsiaTheme="minorHAnsi" w:hAnsiTheme="minorHAnsi" w:cs="TimesNewRomanPSMT"/>
        </w:rPr>
        <w:t>:</w:t>
      </w:r>
      <w:r w:rsidR="009D434A" w:rsidRPr="002E3FF7">
        <w:rPr>
          <w:rFonts w:asciiTheme="minorHAnsi" w:eastAsiaTheme="minorHAnsi" w:hAnsiTheme="minorHAnsi" w:cs="TimesNewRomanPSMT"/>
        </w:rPr>
        <w:t xml:space="preserve"> </w:t>
      </w:r>
      <w:r w:rsidRPr="002E3FF7">
        <w:rPr>
          <w:rFonts w:asciiTheme="minorHAnsi" w:eastAsiaTheme="minorHAnsi" w:hAnsiTheme="minorHAnsi" w:cs="TimesNewRomanPSMT"/>
        </w:rPr>
        <w:t>1399-</w:t>
      </w:r>
      <w:r w:rsidR="009D434A" w:rsidRPr="002E3FF7">
        <w:rPr>
          <w:rFonts w:asciiTheme="minorHAnsi" w:eastAsiaTheme="minorHAnsi" w:hAnsiTheme="minorHAnsi" w:cs="TimesNewRomanPSMT"/>
        </w:rPr>
        <w:t>1</w:t>
      </w:r>
      <w:r w:rsidRPr="002E3FF7">
        <w:rPr>
          <w:rFonts w:asciiTheme="minorHAnsi" w:eastAsiaTheme="minorHAnsi" w:hAnsiTheme="minorHAnsi" w:cs="TimesNewRomanPSMT"/>
        </w:rPr>
        <w:t>403.</w:t>
      </w:r>
    </w:p>
    <w:p w14:paraId="13DE2ABD" w14:textId="069B7DE1" w:rsidR="00812D7F" w:rsidRPr="00812D7F" w:rsidRDefault="00812D7F" w:rsidP="00B73619">
      <w:pPr>
        <w:autoSpaceDE w:val="0"/>
        <w:autoSpaceDN w:val="0"/>
        <w:adjustRightInd w:val="0"/>
        <w:spacing w:before="0" w:line="240" w:lineRule="auto"/>
        <w:rPr>
          <w:rFonts w:asciiTheme="minorHAnsi" w:eastAsiaTheme="minorHAnsi" w:hAnsiTheme="minorHAnsi" w:cs="Courier"/>
        </w:rPr>
      </w:pPr>
      <w:r w:rsidRPr="003F5B14">
        <w:rPr>
          <w:rFonts w:asciiTheme="minorHAnsi" w:eastAsiaTheme="minorHAnsi" w:hAnsiTheme="minorHAnsi" w:cs="AdvTTb8864ccf.B"/>
          <w:color w:val="141314"/>
        </w:rPr>
        <w:t xml:space="preserve">Stein J, et al. Successful treatment of Wolman disease by unrelated umbilical cord blood transplantation. </w:t>
      </w:r>
      <w:proofErr w:type="spellStart"/>
      <w:r w:rsidRPr="00B71B5F">
        <w:rPr>
          <w:rFonts w:asciiTheme="minorHAnsi" w:eastAsiaTheme="minorHAnsi" w:hAnsiTheme="minorHAnsi" w:cs="AdvTT3713a231"/>
          <w:i/>
          <w:color w:val="141314"/>
        </w:rPr>
        <w:t>Eur</w:t>
      </w:r>
      <w:proofErr w:type="spellEnd"/>
      <w:r w:rsidRPr="00B71B5F">
        <w:rPr>
          <w:rFonts w:asciiTheme="minorHAnsi" w:eastAsiaTheme="minorHAnsi" w:hAnsiTheme="minorHAnsi" w:cs="AdvTT3713a231"/>
          <w:i/>
          <w:color w:val="141314"/>
        </w:rPr>
        <w:t xml:space="preserve"> J </w:t>
      </w:r>
      <w:proofErr w:type="spellStart"/>
      <w:r w:rsidRPr="00B71B5F">
        <w:rPr>
          <w:rFonts w:asciiTheme="minorHAnsi" w:eastAsiaTheme="minorHAnsi" w:hAnsiTheme="minorHAnsi" w:cs="AdvTT3713a231"/>
          <w:i/>
          <w:color w:val="141314"/>
        </w:rPr>
        <w:t>Pediatr</w:t>
      </w:r>
      <w:proofErr w:type="spellEnd"/>
      <w:r>
        <w:rPr>
          <w:rFonts w:asciiTheme="minorHAnsi" w:eastAsiaTheme="minorHAnsi" w:hAnsiTheme="minorHAnsi" w:cs="AdvTT3713a231"/>
          <w:color w:val="141314"/>
        </w:rPr>
        <w:t xml:space="preserve"> 2007;</w:t>
      </w:r>
      <w:r w:rsidRPr="003F5B14">
        <w:rPr>
          <w:rFonts w:asciiTheme="minorHAnsi" w:eastAsiaTheme="minorHAnsi" w:hAnsiTheme="minorHAnsi" w:cs="AdvTT3713a231"/>
          <w:color w:val="141314"/>
        </w:rPr>
        <w:t xml:space="preserve"> 166:663</w:t>
      </w:r>
      <w:r w:rsidRPr="003F5B14">
        <w:rPr>
          <w:rFonts w:asciiTheme="minorHAnsi" w:eastAsiaTheme="minorHAnsi" w:hAnsiTheme="minorHAnsi" w:cs="AdvTT3713a231+20"/>
          <w:color w:val="141314"/>
        </w:rPr>
        <w:t>–</w:t>
      </w:r>
      <w:r>
        <w:rPr>
          <w:rFonts w:asciiTheme="minorHAnsi" w:eastAsiaTheme="minorHAnsi" w:hAnsiTheme="minorHAnsi" w:cs="AdvTT3713a231"/>
          <w:color w:val="141314"/>
        </w:rPr>
        <w:t>666</w:t>
      </w:r>
    </w:p>
    <w:p w14:paraId="34798456" w14:textId="77777777" w:rsidR="00B73619" w:rsidRPr="00794C8A" w:rsidRDefault="00B73619" w:rsidP="00B73619">
      <w:pPr>
        <w:autoSpaceDE w:val="0"/>
        <w:autoSpaceDN w:val="0"/>
        <w:adjustRightInd w:val="0"/>
        <w:spacing w:before="0" w:line="240" w:lineRule="auto"/>
        <w:rPr>
          <w:rFonts w:asciiTheme="minorHAnsi" w:eastAsiaTheme="minorHAnsi" w:hAnsiTheme="minorHAnsi" w:cs="TimesNewRomanPSMT"/>
        </w:rPr>
      </w:pPr>
      <w:proofErr w:type="spellStart"/>
      <w:r w:rsidRPr="002E3FF7">
        <w:rPr>
          <w:rFonts w:asciiTheme="minorHAnsi" w:eastAsiaTheme="minorHAnsi" w:hAnsiTheme="minorHAnsi" w:cs="TimesNewRomanPSMT"/>
        </w:rPr>
        <w:t>Taurisano</w:t>
      </w:r>
      <w:proofErr w:type="spellEnd"/>
      <w:r w:rsidRPr="002E3FF7">
        <w:rPr>
          <w:rFonts w:asciiTheme="minorHAnsi" w:eastAsiaTheme="minorHAnsi" w:hAnsiTheme="minorHAnsi" w:cs="TimesNewRomanPSMT"/>
        </w:rPr>
        <w:t xml:space="preserve"> R, </w:t>
      </w:r>
      <w:r w:rsidR="009D434A" w:rsidRPr="002E3FF7">
        <w:rPr>
          <w:rFonts w:asciiTheme="minorHAnsi" w:eastAsiaTheme="minorHAnsi" w:hAnsiTheme="minorHAnsi" w:cs="TimesNewRomanPSMT"/>
        </w:rPr>
        <w:t>et al.</w:t>
      </w:r>
      <w:r w:rsidRPr="002E3FF7">
        <w:rPr>
          <w:rFonts w:asciiTheme="minorHAnsi" w:eastAsiaTheme="minorHAnsi" w:hAnsiTheme="minorHAnsi" w:cs="TimesNewRomanPSMT"/>
        </w:rPr>
        <w:t xml:space="preserve"> </w:t>
      </w:r>
      <w:r w:rsidRPr="00794C8A">
        <w:rPr>
          <w:rFonts w:asciiTheme="minorHAnsi" w:eastAsiaTheme="minorHAnsi" w:hAnsiTheme="minorHAnsi" w:cs="TimesNewRomanPSMT"/>
        </w:rPr>
        <w:t xml:space="preserve">Wolman disease associated with </w:t>
      </w:r>
      <w:proofErr w:type="spellStart"/>
      <w:r w:rsidRPr="00794C8A">
        <w:rPr>
          <w:rFonts w:asciiTheme="minorHAnsi" w:eastAsiaTheme="minorHAnsi" w:hAnsiTheme="minorHAnsi" w:cs="TimesNewRomanPSMT"/>
        </w:rPr>
        <w:t>hemophagocytic</w:t>
      </w:r>
      <w:proofErr w:type="spellEnd"/>
      <w:r w:rsidRPr="00794C8A">
        <w:rPr>
          <w:rFonts w:asciiTheme="minorHAnsi" w:eastAsiaTheme="minorHAnsi" w:hAnsiTheme="minorHAnsi" w:cs="TimesNewRomanPSMT"/>
        </w:rPr>
        <w:t xml:space="preserve"> </w:t>
      </w:r>
      <w:proofErr w:type="spellStart"/>
      <w:r w:rsidRPr="00794C8A">
        <w:rPr>
          <w:rFonts w:asciiTheme="minorHAnsi" w:eastAsiaTheme="minorHAnsi" w:hAnsiTheme="minorHAnsi" w:cs="TimesNewRomanPSMT"/>
        </w:rPr>
        <w:t>lymphohistiocytosis</w:t>
      </w:r>
      <w:proofErr w:type="spellEnd"/>
      <w:r w:rsidRPr="00794C8A">
        <w:rPr>
          <w:rFonts w:asciiTheme="minorHAnsi" w:eastAsiaTheme="minorHAnsi" w:hAnsiTheme="minorHAnsi" w:cs="TimesNewRomanPSMT"/>
        </w:rPr>
        <w:t>: attempts for an</w:t>
      </w:r>
      <w:r>
        <w:rPr>
          <w:rFonts w:asciiTheme="minorHAnsi" w:eastAsiaTheme="minorHAnsi" w:hAnsiTheme="minorHAnsi" w:cs="TimesNewRomanPSMT"/>
        </w:rPr>
        <w:t xml:space="preserve"> </w:t>
      </w:r>
      <w:r w:rsidRPr="00794C8A">
        <w:rPr>
          <w:rFonts w:asciiTheme="minorHAnsi" w:eastAsiaTheme="minorHAnsi" w:hAnsiTheme="minorHAnsi" w:cs="TimesNewRomanPSMT"/>
        </w:rPr>
        <w:t xml:space="preserve">explanation. </w:t>
      </w:r>
      <w:proofErr w:type="spellStart"/>
      <w:r w:rsidRPr="009D434A">
        <w:rPr>
          <w:rFonts w:asciiTheme="minorHAnsi" w:eastAsiaTheme="minorHAnsi" w:hAnsiTheme="minorHAnsi" w:cs="TimesNewRomanPSMT"/>
          <w:i/>
        </w:rPr>
        <w:t>Eur</w:t>
      </w:r>
      <w:proofErr w:type="spellEnd"/>
      <w:r w:rsidRPr="009D434A">
        <w:rPr>
          <w:rFonts w:asciiTheme="minorHAnsi" w:eastAsiaTheme="minorHAnsi" w:hAnsiTheme="minorHAnsi" w:cs="TimesNewRomanPSMT"/>
          <w:i/>
        </w:rPr>
        <w:t xml:space="preserve"> J </w:t>
      </w:r>
      <w:proofErr w:type="spellStart"/>
      <w:r w:rsidRPr="009D434A">
        <w:rPr>
          <w:rFonts w:asciiTheme="minorHAnsi" w:eastAsiaTheme="minorHAnsi" w:hAnsiTheme="minorHAnsi" w:cs="TimesNewRomanPSMT"/>
          <w:i/>
        </w:rPr>
        <w:t>Pediatr</w:t>
      </w:r>
      <w:proofErr w:type="spellEnd"/>
      <w:r w:rsidRPr="009D434A">
        <w:rPr>
          <w:rFonts w:asciiTheme="minorHAnsi" w:eastAsiaTheme="minorHAnsi" w:hAnsiTheme="minorHAnsi" w:cs="TimesNewRomanPSMT"/>
          <w:i/>
        </w:rPr>
        <w:t>.</w:t>
      </w:r>
      <w:r w:rsidRPr="00794C8A">
        <w:rPr>
          <w:rFonts w:asciiTheme="minorHAnsi" w:eastAsiaTheme="minorHAnsi" w:hAnsiTheme="minorHAnsi" w:cs="TimesNewRomanPSMT"/>
        </w:rPr>
        <w:t xml:space="preserve"> 2014; </w:t>
      </w:r>
      <w:proofErr w:type="spellStart"/>
      <w:r w:rsidRPr="00794C8A">
        <w:rPr>
          <w:rFonts w:asciiTheme="minorHAnsi" w:eastAsiaTheme="minorHAnsi" w:hAnsiTheme="minorHAnsi" w:cs="TimesNewRomanPSMT"/>
        </w:rPr>
        <w:t>doi</w:t>
      </w:r>
      <w:proofErr w:type="spellEnd"/>
      <w:r w:rsidRPr="00794C8A">
        <w:rPr>
          <w:rFonts w:asciiTheme="minorHAnsi" w:eastAsiaTheme="minorHAnsi" w:hAnsiTheme="minorHAnsi" w:cs="TimesNewRomanPSMT"/>
        </w:rPr>
        <w:t>: 10.1007/s00431-014-2338-y.</w:t>
      </w:r>
    </w:p>
    <w:p w14:paraId="45B01C39" w14:textId="77777777" w:rsidR="00B73619" w:rsidRDefault="00B73619" w:rsidP="00B73619">
      <w:pPr>
        <w:autoSpaceDE w:val="0"/>
        <w:autoSpaceDN w:val="0"/>
        <w:adjustRightInd w:val="0"/>
        <w:spacing w:before="0" w:line="240" w:lineRule="auto"/>
        <w:rPr>
          <w:rFonts w:asciiTheme="minorHAnsi" w:eastAsiaTheme="minorHAnsi" w:hAnsiTheme="minorHAnsi" w:cs="AdvNewsGothicR"/>
        </w:rPr>
      </w:pPr>
      <w:proofErr w:type="spellStart"/>
      <w:r w:rsidRPr="003F5B14">
        <w:rPr>
          <w:rFonts w:asciiTheme="minorHAnsi" w:eastAsiaTheme="minorHAnsi" w:hAnsiTheme="minorHAnsi" w:cs="Courier"/>
        </w:rPr>
        <w:t>Tolar</w:t>
      </w:r>
      <w:proofErr w:type="spellEnd"/>
      <w:r w:rsidRPr="003F5B14">
        <w:rPr>
          <w:rFonts w:asciiTheme="minorHAnsi" w:eastAsiaTheme="minorHAnsi" w:hAnsiTheme="minorHAnsi" w:cs="Courier"/>
        </w:rPr>
        <w:t xml:space="preserve"> J, et al. </w:t>
      </w:r>
      <w:r w:rsidRPr="003F5B14">
        <w:rPr>
          <w:rFonts w:asciiTheme="minorHAnsi" w:eastAsiaTheme="minorHAnsi" w:hAnsiTheme="minorHAnsi" w:cs="AdvTimes-b"/>
        </w:rPr>
        <w:t xml:space="preserve">Long-term metabolic, endocrine, and neuropsychological outcome of hematopoietic cell transplantation for Wolman disease. </w:t>
      </w:r>
      <w:r w:rsidRPr="00B71B5F">
        <w:rPr>
          <w:rFonts w:asciiTheme="minorHAnsi" w:eastAsiaTheme="minorHAnsi" w:hAnsiTheme="minorHAnsi" w:cs="AdvNewsGothicB"/>
          <w:i/>
        </w:rPr>
        <w:t>Bone Marrow Transplantation</w:t>
      </w:r>
      <w:r w:rsidR="00B71B5F">
        <w:rPr>
          <w:rFonts w:asciiTheme="minorHAnsi" w:eastAsiaTheme="minorHAnsi" w:hAnsiTheme="minorHAnsi" w:cs="AdvNewsGothicB"/>
        </w:rPr>
        <w:t xml:space="preserve"> 2009; </w:t>
      </w:r>
      <w:r w:rsidRPr="003F5B14">
        <w:rPr>
          <w:rFonts w:asciiTheme="minorHAnsi" w:eastAsiaTheme="minorHAnsi" w:hAnsiTheme="minorHAnsi" w:cs="AdvNewsGothicB"/>
        </w:rPr>
        <w:t>43</w:t>
      </w:r>
      <w:r w:rsidRPr="003F5B14">
        <w:rPr>
          <w:rFonts w:asciiTheme="minorHAnsi" w:eastAsiaTheme="minorHAnsi" w:hAnsiTheme="minorHAnsi" w:cs="AdvNewsGothicR"/>
        </w:rPr>
        <w:t>, 21–27</w:t>
      </w:r>
      <w:r>
        <w:rPr>
          <w:rFonts w:asciiTheme="minorHAnsi" w:eastAsiaTheme="minorHAnsi" w:hAnsiTheme="minorHAnsi" w:cs="AdvNewsGothicR"/>
        </w:rPr>
        <w:t>.</w:t>
      </w:r>
    </w:p>
    <w:p w14:paraId="103786E2" w14:textId="77777777" w:rsidR="00C618F7" w:rsidRDefault="00B73619" w:rsidP="00B73619">
      <w:pPr>
        <w:rPr>
          <w:lang w:eastAsia="ja-JP"/>
        </w:rPr>
      </w:pPr>
      <w:proofErr w:type="spellStart"/>
      <w:r w:rsidRPr="003F5B14">
        <w:rPr>
          <w:rFonts w:asciiTheme="minorHAnsi" w:eastAsiaTheme="minorHAnsi" w:hAnsiTheme="minorHAnsi" w:cs="AdvTT5235d5a9"/>
        </w:rPr>
        <w:t>Yanir</w:t>
      </w:r>
      <w:proofErr w:type="spellEnd"/>
      <w:r w:rsidRPr="003F5B14">
        <w:rPr>
          <w:rFonts w:asciiTheme="minorHAnsi" w:eastAsiaTheme="minorHAnsi" w:hAnsiTheme="minorHAnsi" w:cs="AdvTT5235d5a9"/>
        </w:rPr>
        <w:t xml:space="preserve"> A, et al. Unfavourable outcome of hematopoietic stem cell transplantation in two siblings with Wolman disease due to graft failure and hepatic complications. </w:t>
      </w:r>
      <w:r w:rsidRPr="00B71B5F">
        <w:rPr>
          <w:rFonts w:asciiTheme="minorHAnsi" w:eastAsiaTheme="minorHAnsi" w:hAnsiTheme="minorHAnsi" w:cs="AdvTT5235d5a9"/>
          <w:i/>
        </w:rPr>
        <w:t>Molecular Genetics and Metabolism</w:t>
      </w:r>
      <w:r w:rsidRPr="003F5B14">
        <w:rPr>
          <w:rFonts w:asciiTheme="minorHAnsi" w:eastAsiaTheme="minorHAnsi" w:hAnsiTheme="minorHAnsi" w:cs="AdvTT5235d5a9"/>
        </w:rPr>
        <w:t xml:space="preserve"> </w:t>
      </w:r>
      <w:r w:rsidR="00B71B5F" w:rsidRPr="003F5B14">
        <w:rPr>
          <w:rFonts w:asciiTheme="minorHAnsi" w:eastAsiaTheme="minorHAnsi" w:hAnsiTheme="minorHAnsi" w:cs="AdvTT5235d5a9"/>
        </w:rPr>
        <w:t>2013</w:t>
      </w:r>
      <w:r w:rsidR="00B71B5F">
        <w:rPr>
          <w:rFonts w:asciiTheme="minorHAnsi" w:eastAsiaTheme="minorHAnsi" w:hAnsiTheme="minorHAnsi" w:cs="AdvTT5235d5a9"/>
        </w:rPr>
        <w:t>; 109:</w:t>
      </w:r>
      <w:r w:rsidRPr="003F5B14">
        <w:rPr>
          <w:rFonts w:asciiTheme="minorHAnsi" w:eastAsiaTheme="minorHAnsi" w:hAnsiTheme="minorHAnsi" w:cs="AdvTT5235d5a9"/>
        </w:rPr>
        <w:t xml:space="preserve"> 224</w:t>
      </w:r>
      <w:r w:rsidRPr="003F5B14">
        <w:rPr>
          <w:rFonts w:asciiTheme="minorHAnsi" w:eastAsiaTheme="minorHAnsi" w:hAnsiTheme="minorHAnsi" w:cs="AdvTT5235d5a9+20"/>
        </w:rPr>
        <w:t>–</w:t>
      </w:r>
      <w:r w:rsidRPr="003F5B14">
        <w:rPr>
          <w:rFonts w:asciiTheme="minorHAnsi" w:eastAsiaTheme="minorHAnsi" w:hAnsiTheme="minorHAnsi" w:cs="AdvTT5235d5a9"/>
        </w:rPr>
        <w:t>226</w:t>
      </w:r>
    </w:p>
    <w:bookmarkEnd w:id="2"/>
    <w:bookmarkEnd w:id="1"/>
    <w:bookmarkEnd w:id="3"/>
    <w:p w14:paraId="3D3E4D37" w14:textId="77777777" w:rsidR="003D1E62" w:rsidRPr="001D043B" w:rsidRDefault="008E7846" w:rsidP="002666AC">
      <w:pPr>
        <w:sectPr w:rsidR="003D1E62" w:rsidRPr="001D043B" w:rsidSect="008D770F">
          <w:headerReference w:type="even" r:id="rId71"/>
          <w:headerReference w:type="default" r:id="rId72"/>
          <w:headerReference w:type="first" r:id="rId73"/>
          <w:footerReference w:type="first" r:id="rId7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1A20042E" w14:textId="77777777" w:rsidTr="00846D13">
        <w:trPr>
          <w:trHeight w:hRule="exact" w:val="564"/>
        </w:trPr>
        <w:tc>
          <w:tcPr>
            <w:tcW w:w="9175" w:type="dxa"/>
          </w:tcPr>
          <w:p w14:paraId="1A250AE7" w14:textId="77777777" w:rsidR="00B3567E" w:rsidRPr="00487162" w:rsidRDefault="00B3567E" w:rsidP="00846D13">
            <w:pPr>
              <w:pStyle w:val="TGASignoff"/>
            </w:pPr>
            <w:r w:rsidRPr="00487162">
              <w:lastRenderedPageBreak/>
              <w:t>Therapeutic Goods Administration</w:t>
            </w:r>
          </w:p>
        </w:tc>
      </w:tr>
      <w:tr w:rsidR="00B3567E" w:rsidRPr="00487162" w14:paraId="333419D0" w14:textId="77777777" w:rsidTr="00846D13">
        <w:trPr>
          <w:trHeight w:val="1221"/>
        </w:trPr>
        <w:tc>
          <w:tcPr>
            <w:tcW w:w="9175" w:type="dxa"/>
            <w:tcMar>
              <w:top w:w="28" w:type="dxa"/>
            </w:tcMar>
          </w:tcPr>
          <w:p w14:paraId="594D1E65" w14:textId="77777777" w:rsidR="00B3567E" w:rsidRPr="00487162" w:rsidRDefault="00B3567E" w:rsidP="00846D13">
            <w:pPr>
              <w:pStyle w:val="Address"/>
            </w:pPr>
            <w:r w:rsidRPr="00487162">
              <w:t>PO Box 100 Woden ACT 2606 Australia</w:t>
            </w:r>
          </w:p>
          <w:p w14:paraId="7E93DFAE" w14:textId="77777777" w:rsidR="00B3567E" w:rsidRPr="00487162" w:rsidRDefault="00B3567E" w:rsidP="00846D13">
            <w:pPr>
              <w:pStyle w:val="Address"/>
            </w:pPr>
            <w:r w:rsidRPr="00487162">
              <w:t xml:space="preserve">Email: </w:t>
            </w:r>
            <w:hyperlink r:id="rId75" w:history="1">
              <w:r w:rsidRPr="008D770F">
                <w:rPr>
                  <w:rStyle w:val="Hyperlink"/>
                </w:rPr>
                <w:t>info@tga.gov.au</w:t>
              </w:r>
            </w:hyperlink>
            <w:r w:rsidR="00CC672B">
              <w:t xml:space="preserve"> </w:t>
            </w:r>
            <w:r w:rsidRPr="00487162">
              <w:t>Phone: 1800 020 653</w:t>
            </w:r>
            <w:r w:rsidR="00CC672B">
              <w:t xml:space="preserve"> </w:t>
            </w:r>
            <w:r w:rsidRPr="00487162">
              <w:t>Fax: 02 6232 8605</w:t>
            </w:r>
          </w:p>
          <w:p w14:paraId="09F911FF" w14:textId="77777777" w:rsidR="00B3567E" w:rsidRPr="008D770F" w:rsidRDefault="008611C8" w:rsidP="00846D13">
            <w:pPr>
              <w:pStyle w:val="Address"/>
              <w:spacing w:line="260" w:lineRule="atLeast"/>
              <w:rPr>
                <w:b/>
                <w:color w:val="0000FF"/>
                <w:u w:val="single"/>
              </w:rPr>
            </w:pPr>
            <w:hyperlink r:id="rId76" w:history="1">
              <w:r w:rsidR="00E979F4" w:rsidRPr="00FE02B1">
                <w:rPr>
                  <w:rStyle w:val="Hyperlink"/>
                  <w:b/>
                </w:rPr>
                <w:t>https://www.tga.gov.au</w:t>
              </w:r>
            </w:hyperlink>
          </w:p>
        </w:tc>
      </w:tr>
    </w:tbl>
    <w:p w14:paraId="70CF008C" w14:textId="77777777" w:rsidR="00774E1D" w:rsidRPr="008A5E0B" w:rsidRDefault="00774E1D" w:rsidP="008A5E0B"/>
    <w:sectPr w:rsidR="00774E1D" w:rsidRPr="008A5E0B" w:rsidSect="00B3567E">
      <w:headerReference w:type="even" r:id="rId77"/>
      <w:headerReference w:type="default" r:id="rId78"/>
      <w:footerReference w:type="default" r:id="rId79"/>
      <w:headerReference w:type="first" r:id="rId80"/>
      <w:footerReference w:type="first" r:id="rId81"/>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88DE00" w15:done="0"/>
  <w15:commentEx w15:paraId="53B964DD" w15:done="0"/>
  <w15:commentEx w15:paraId="0A5F5B57" w15:done="0"/>
  <w15:commentEx w15:paraId="073FBF0C" w15:done="0"/>
  <w15:commentEx w15:paraId="3390E9CE" w15:done="0"/>
  <w15:commentEx w15:paraId="596651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72FF7" w14:textId="77777777" w:rsidR="00460033" w:rsidRDefault="00460033" w:rsidP="00C40A36">
      <w:pPr>
        <w:spacing w:after="0"/>
      </w:pPr>
      <w:r>
        <w:separator/>
      </w:r>
    </w:p>
  </w:endnote>
  <w:endnote w:type="continuationSeparator" w:id="0">
    <w:p w14:paraId="05C6B946" w14:textId="77777777" w:rsidR="00460033" w:rsidRDefault="0046003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charset w:val="00"/>
    <w:family w:val="roman"/>
    <w:pitch w:val="variable"/>
    <w:sig w:usb0="E0002AEF" w:usb1="C0007841" w:usb2="00000009" w:usb3="00000000" w:csb0="000001FF" w:csb1="00000000"/>
  </w:font>
  <w:font w:name="TimesNewRomanPS-BoldMT">
    <w:charset w:val="00"/>
    <w:family w:val="roman"/>
    <w:pitch w:val="variable"/>
    <w:sig w:usb0="E0002AEF" w:usb1="C0007841" w:usb2="00000009" w:usb3="00000000" w:csb0="000001FF" w:csb1="00000000"/>
  </w:font>
  <w:font w:name="TimesNewRomanPS-ItalicMT">
    <w:charset w:val="00"/>
    <w:family w:val="roman"/>
    <w:pitch w:val="variable"/>
    <w:sig w:usb0="E0000AFF" w:usb1="00007843" w:usb2="00000001" w:usb3="00000000" w:csb0="000001BF" w:csb1="00000000"/>
  </w:font>
  <w:font w:name="SymbolMT">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ArialMT">
    <w:charset w:val="00"/>
    <w:family w:val="swiss"/>
    <w:pitch w:val="variable"/>
    <w:sig w:usb0="E0002AFF" w:usb1="C0007843" w:usb2="00000009" w:usb3="00000000" w:csb0="000001FF" w:csb1="00000000"/>
  </w:font>
  <w:font w:name="MyriadMM-SemiBoldItalic">
    <w:altName w:val="Calibri"/>
    <w:panose1 w:val="00000000000000000000"/>
    <w:charset w:val="00"/>
    <w:family w:val="swiss"/>
    <w:notTrueType/>
    <w:pitch w:val="default"/>
    <w:sig w:usb0="00000003" w:usb1="00000000" w:usb2="00000000" w:usb3="00000000" w:csb0="00000001" w:csb1="00000000"/>
  </w:font>
  <w:font w:name="Bookman-Light">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dvTTb8864ccf.B">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AdvNewsGothicR">
    <w:panose1 w:val="00000000000000000000"/>
    <w:charset w:val="00"/>
    <w:family w:val="swiss"/>
    <w:notTrueType/>
    <w:pitch w:val="default"/>
    <w:sig w:usb0="00000003" w:usb1="00000000" w:usb2="00000000" w:usb3="00000000" w:csb0="00000001" w:csb1="00000000"/>
  </w:font>
  <w:font w:name="AdvTimes-b">
    <w:panose1 w:val="00000000000000000000"/>
    <w:charset w:val="00"/>
    <w:family w:val="auto"/>
    <w:notTrueType/>
    <w:pitch w:val="default"/>
    <w:sig w:usb0="00000003" w:usb1="00000000" w:usb2="00000000" w:usb3="00000000" w:csb0="00000001" w:csb1="00000000"/>
  </w:font>
  <w:font w:name="AdvNewsGothicB">
    <w:panose1 w:val="00000000000000000000"/>
    <w:charset w:val="00"/>
    <w:family w:val="swiss"/>
    <w:notTrueType/>
    <w:pitch w:val="default"/>
    <w:sig w:usb0="00000003" w:usb1="00000000" w:usb2="00000000" w:usb3="00000000" w:csb0="00000001" w:csb1="00000000"/>
  </w:font>
  <w:font w:name="AdvTT5235d5a9">
    <w:altName w:val="Calibri"/>
    <w:panose1 w:val="00000000000000000000"/>
    <w:charset w:val="00"/>
    <w:family w:val="roman"/>
    <w:notTrueType/>
    <w:pitch w:val="default"/>
    <w:sig w:usb0="00000003" w:usb1="00000000" w:usb2="00000000" w:usb3="00000000" w:csb0="00000001" w:csb1="00000000"/>
  </w:font>
  <w:font w:name="AdvTT5235d5a9+2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460033" w:rsidRPr="00487162" w14:paraId="0AF04DDD" w14:textId="77777777" w:rsidTr="0094262A">
      <w:trPr>
        <w:trHeight w:val="269"/>
      </w:trPr>
      <w:tc>
        <w:tcPr>
          <w:tcW w:w="7513" w:type="dxa"/>
          <w:tcMar>
            <w:top w:w="142" w:type="dxa"/>
            <w:bottom w:w="0" w:type="dxa"/>
          </w:tcMar>
        </w:tcPr>
        <w:p w14:paraId="05E48976" w14:textId="569FFE35" w:rsidR="00460033" w:rsidRPr="00487162" w:rsidRDefault="00460033" w:rsidP="006501D4">
          <w:pPr>
            <w:pStyle w:val="Footer"/>
          </w:pPr>
          <w:r w:rsidRPr="00DE635E">
            <w:t xml:space="preserve">Attachment 2 KANUMA - </w:t>
          </w:r>
          <w:proofErr w:type="spellStart"/>
          <w:r w:rsidRPr="00DE635E">
            <w:t>Sebelipase</w:t>
          </w:r>
          <w:proofErr w:type="spellEnd"/>
          <w:r w:rsidRPr="00DE635E">
            <w:t xml:space="preserve"> - Alexion Pharmaceuticals Australia Pty Ltd - PM-2016-01313-1-3 - Extract from the CER </w:t>
          </w:r>
          <w:r>
            <w:t>FINAL 14 June 2018</w:t>
          </w:r>
        </w:p>
      </w:tc>
      <w:tc>
        <w:tcPr>
          <w:tcW w:w="1348" w:type="dxa"/>
          <w:tcMar>
            <w:top w:w="142" w:type="dxa"/>
            <w:bottom w:w="0" w:type="dxa"/>
          </w:tcMar>
        </w:tcPr>
        <w:p w14:paraId="2B7A392D" w14:textId="77777777" w:rsidR="00460033" w:rsidRPr="00981D66" w:rsidRDefault="0046003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611C8">
            <w:rPr>
              <w:noProof/>
            </w:rPr>
            <w:t>120</w:t>
          </w:r>
          <w:r w:rsidRPr="00981D66">
            <w:fldChar w:fldCharType="end"/>
          </w:r>
          <w:r w:rsidRPr="00981D66">
            <w:t xml:space="preserve"> of </w:t>
          </w:r>
          <w:r w:rsidR="008611C8">
            <w:fldChar w:fldCharType="begin"/>
          </w:r>
          <w:r w:rsidR="008611C8">
            <w:instrText xml:space="preserve"> NUMPAGES  \* Arabic  \* MERGEFORMAT </w:instrText>
          </w:r>
          <w:r w:rsidR="008611C8">
            <w:fldChar w:fldCharType="separate"/>
          </w:r>
          <w:r w:rsidR="008611C8">
            <w:rPr>
              <w:noProof/>
            </w:rPr>
            <w:t>120</w:t>
          </w:r>
          <w:r w:rsidR="008611C8">
            <w:rPr>
              <w:noProof/>
            </w:rPr>
            <w:fldChar w:fldCharType="end"/>
          </w:r>
        </w:p>
      </w:tc>
    </w:tr>
  </w:tbl>
  <w:p w14:paraId="3FE7DAF2" w14:textId="77777777" w:rsidR="00460033" w:rsidRDefault="0046003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60033" w:rsidRPr="00487162" w14:paraId="159CDE1C" w14:textId="77777777" w:rsidTr="00E45619">
      <w:trPr>
        <w:trHeight w:val="269"/>
      </w:trPr>
      <w:tc>
        <w:tcPr>
          <w:tcW w:w="4519" w:type="dxa"/>
          <w:tcBorders>
            <w:top w:val="single" w:sz="4" w:space="0" w:color="auto"/>
          </w:tcBorders>
          <w:tcMar>
            <w:top w:w="142" w:type="dxa"/>
            <w:bottom w:w="0" w:type="dxa"/>
          </w:tcMar>
        </w:tcPr>
        <w:p w14:paraId="7BE40723" w14:textId="77777777" w:rsidR="00460033" w:rsidRPr="00487162" w:rsidRDefault="00460033" w:rsidP="00FE1DEE">
          <w:pPr>
            <w:pStyle w:val="Footer"/>
          </w:pPr>
          <w:r w:rsidRPr="00487162">
            <w:t>Document title, Part #, Section # - Section title</w:t>
          </w:r>
        </w:p>
        <w:p w14:paraId="75F2BBAE" w14:textId="77777777" w:rsidR="00460033" w:rsidRPr="00487162" w:rsidRDefault="00460033" w:rsidP="00FE1DEE">
          <w:pPr>
            <w:pStyle w:val="Footer"/>
          </w:pPr>
          <w:r w:rsidRPr="00487162">
            <w:t>V1.0 October 2010</w:t>
          </w:r>
        </w:p>
      </w:tc>
      <w:tc>
        <w:tcPr>
          <w:tcW w:w="4342" w:type="dxa"/>
          <w:tcBorders>
            <w:top w:val="single" w:sz="4" w:space="0" w:color="auto"/>
          </w:tcBorders>
          <w:tcMar>
            <w:top w:w="142" w:type="dxa"/>
            <w:bottom w:w="0" w:type="dxa"/>
          </w:tcMar>
        </w:tcPr>
        <w:p w14:paraId="7C16E6B0" w14:textId="77777777" w:rsidR="00460033" w:rsidRPr="00487162" w:rsidRDefault="0046003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611C8">
            <w:fldChar w:fldCharType="begin"/>
          </w:r>
          <w:r w:rsidR="008611C8">
            <w:instrText xml:space="preserve"> NUMPAGES  </w:instrText>
          </w:r>
          <w:r w:rsidR="008611C8">
            <w:fldChar w:fldCharType="separate"/>
          </w:r>
          <w:r>
            <w:rPr>
              <w:noProof/>
            </w:rPr>
            <w:t>3</w:t>
          </w:r>
          <w:r w:rsidR="008611C8">
            <w:rPr>
              <w:noProof/>
            </w:rPr>
            <w:fldChar w:fldCharType="end"/>
          </w:r>
        </w:p>
      </w:tc>
    </w:tr>
  </w:tbl>
  <w:p w14:paraId="3E018880" w14:textId="77777777" w:rsidR="00460033" w:rsidRDefault="0046003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0411F" w14:textId="77777777" w:rsidR="00460033" w:rsidRDefault="0046003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60033" w14:paraId="145F8E60" w14:textId="77777777" w:rsidTr="0010601F">
      <w:trPr>
        <w:trHeight w:val="108"/>
      </w:trPr>
      <w:tc>
        <w:tcPr>
          <w:tcW w:w="8875" w:type="dxa"/>
          <w:gridSpan w:val="2"/>
          <w:tcBorders>
            <w:bottom w:val="single" w:sz="4" w:space="0" w:color="auto"/>
          </w:tcBorders>
          <w:tcMar>
            <w:right w:w="284" w:type="dxa"/>
          </w:tcMar>
        </w:tcPr>
        <w:p w14:paraId="485A54BA" w14:textId="77777777" w:rsidR="00460033" w:rsidRDefault="00460033" w:rsidP="006E08B3">
          <w:pPr>
            <w:pStyle w:val="Heading3"/>
          </w:pPr>
          <w:r>
            <w:t>Copyright</w:t>
          </w:r>
        </w:p>
        <w:p w14:paraId="4C713F48" w14:textId="7139657B" w:rsidR="00460033" w:rsidRDefault="00460033" w:rsidP="006E08B3">
          <w:r>
            <w:rPr>
              <w:rFonts w:cs="Arial"/>
            </w:rPr>
            <w:t>©</w:t>
          </w:r>
          <w:r>
            <w:t xml:space="preserve"> Commonwealth of Australia (add year)</w:t>
          </w:r>
        </w:p>
        <w:p w14:paraId="2F959396" w14:textId="77777777" w:rsidR="00460033" w:rsidRDefault="00460033" w:rsidP="006E08B3"/>
        <w:p w14:paraId="184BA096" w14:textId="77777777" w:rsidR="00460033" w:rsidRDefault="0046003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85C4BB9" w14:textId="77777777" w:rsidR="00460033" w:rsidRDefault="00460033" w:rsidP="006E08B3"/>
        <w:p w14:paraId="77D1B8A4" w14:textId="77777777" w:rsidR="00460033" w:rsidRDefault="00460033" w:rsidP="006E08B3">
          <w:pPr>
            <w:pStyle w:val="Heading3"/>
          </w:pPr>
          <w:r>
            <w:t>Confidentiality</w:t>
          </w:r>
        </w:p>
        <w:p w14:paraId="43A573DF" w14:textId="3CAF65C1" w:rsidR="00460033" w:rsidRDefault="0046003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D5B1B70" w14:textId="77777777" w:rsidR="00460033" w:rsidRDefault="00460033" w:rsidP="006E08B3"/>
        <w:p w14:paraId="6B3860F7" w14:textId="77777777" w:rsidR="00460033" w:rsidRDefault="00460033" w:rsidP="006E08B3">
          <w:r>
            <w:t>For submission made by individuals, all personal details, other than your name, will be removed from your submission before it is published on the TGA’s Internet site.</w:t>
          </w:r>
        </w:p>
        <w:p w14:paraId="6CECD64B" w14:textId="77777777" w:rsidR="00460033" w:rsidRDefault="00460033" w:rsidP="006E08B3"/>
        <w:p w14:paraId="54E5F11B" w14:textId="77777777" w:rsidR="00460033" w:rsidRDefault="0046003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60033" w14:paraId="7598F8E6" w14:textId="77777777" w:rsidTr="0010601F">
      <w:trPr>
        <w:trHeight w:val="417"/>
      </w:trPr>
      <w:tc>
        <w:tcPr>
          <w:tcW w:w="4519" w:type="dxa"/>
          <w:tcBorders>
            <w:top w:val="single" w:sz="4" w:space="0" w:color="auto"/>
          </w:tcBorders>
          <w:tcMar>
            <w:top w:w="142" w:type="dxa"/>
            <w:bottom w:w="0" w:type="dxa"/>
          </w:tcMar>
        </w:tcPr>
        <w:p w14:paraId="30E5AC21" w14:textId="77777777" w:rsidR="00460033" w:rsidRDefault="00460033" w:rsidP="006E08B3">
          <w:r>
            <w:t>Document title, Part #, Section # - Section title</w:t>
          </w:r>
        </w:p>
        <w:p w14:paraId="76092AC1" w14:textId="77777777" w:rsidR="00460033" w:rsidRDefault="00460033" w:rsidP="006E08B3">
          <w:r>
            <w:t>V1.0 October 2010</w:t>
          </w:r>
        </w:p>
      </w:tc>
      <w:tc>
        <w:tcPr>
          <w:tcW w:w="4356" w:type="dxa"/>
          <w:tcBorders>
            <w:top w:val="single" w:sz="4" w:space="0" w:color="auto"/>
          </w:tcBorders>
          <w:tcMar>
            <w:top w:w="142" w:type="dxa"/>
            <w:bottom w:w="0" w:type="dxa"/>
          </w:tcMar>
        </w:tcPr>
        <w:p w14:paraId="58BA13DD" w14:textId="77777777" w:rsidR="00460033" w:rsidRDefault="0046003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611C8">
            <w:fldChar w:fldCharType="begin"/>
          </w:r>
          <w:r w:rsidR="008611C8">
            <w:instrText xml:space="preserve"> NUMPAGES  \* Arabic </w:instrText>
          </w:r>
          <w:r w:rsidR="008611C8">
            <w:fldChar w:fldCharType="separate"/>
          </w:r>
          <w:r>
            <w:rPr>
              <w:noProof/>
            </w:rPr>
            <w:t>3</w:t>
          </w:r>
          <w:r w:rsidR="008611C8">
            <w:rPr>
              <w:noProof/>
            </w:rPr>
            <w:fldChar w:fldCharType="end"/>
          </w:r>
          <w:r>
            <w:t xml:space="preserve"> </w:t>
          </w:r>
        </w:p>
      </w:tc>
    </w:tr>
  </w:tbl>
  <w:p w14:paraId="089173D0" w14:textId="77777777" w:rsidR="00460033" w:rsidRDefault="004600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42D0B" w14:textId="77777777" w:rsidR="00460033" w:rsidRDefault="00460033" w:rsidP="00C40A36">
      <w:pPr>
        <w:spacing w:after="0"/>
      </w:pPr>
      <w:r>
        <w:separator/>
      </w:r>
    </w:p>
  </w:footnote>
  <w:footnote w:type="continuationSeparator" w:id="0">
    <w:p w14:paraId="7FAE563D" w14:textId="77777777" w:rsidR="00460033" w:rsidRDefault="00460033" w:rsidP="00C40A36">
      <w:pPr>
        <w:spacing w:after="0"/>
      </w:pPr>
      <w:r>
        <w:continuationSeparator/>
      </w:r>
    </w:p>
  </w:footnote>
  <w:footnote w:id="1">
    <w:p w14:paraId="2125B55F" w14:textId="77777777" w:rsidR="00460033" w:rsidRPr="00D96127" w:rsidRDefault="00460033" w:rsidP="00F056E7">
      <w:pPr>
        <w:pStyle w:val="FootnoteText"/>
        <w:rPr>
          <w:sz w:val="18"/>
          <w:szCs w:val="18"/>
        </w:rPr>
      </w:pPr>
      <w:r w:rsidRPr="00D96127">
        <w:rPr>
          <w:sz w:val="18"/>
          <w:szCs w:val="18"/>
          <w:vertAlign w:val="superscript"/>
        </w:rPr>
        <w:footnoteRef/>
      </w:r>
      <w:r w:rsidRPr="00D96127">
        <w:rPr>
          <w:sz w:val="18"/>
          <w:szCs w:val="18"/>
          <w:vertAlign w:val="superscript"/>
        </w:rPr>
        <w:t xml:space="preserve"> </w:t>
      </w:r>
      <w:r w:rsidRPr="00D96127">
        <w:rPr>
          <w:sz w:val="18"/>
          <w:szCs w:val="18"/>
        </w:rPr>
        <w:t>Some additional controls and process optimisation were implemented for the proposed commercial process. These process changes were developed and implemented to ensure batch-to-batch consistency of the quality, safety and potency of the Drug Substance, as well as to augment viral reduction capacity of the purification process.</w:t>
      </w:r>
    </w:p>
  </w:footnote>
  <w:footnote w:id="2">
    <w:p w14:paraId="0745F3E0" w14:textId="1ADB1C8E" w:rsidR="00460033" w:rsidRDefault="00460033" w:rsidP="00F056E7">
      <w:pPr>
        <w:autoSpaceDE w:val="0"/>
        <w:autoSpaceDN w:val="0"/>
        <w:adjustRightInd w:val="0"/>
        <w:spacing w:before="0" w:after="0" w:line="240" w:lineRule="auto"/>
      </w:pPr>
      <w:r w:rsidRPr="001B519B">
        <w:rPr>
          <w:rStyle w:val="FootnoteReference"/>
          <w:sz w:val="16"/>
          <w:szCs w:val="16"/>
        </w:rPr>
        <w:footnoteRef/>
      </w:r>
      <w:r w:rsidRPr="001B519B">
        <w:rPr>
          <w:sz w:val="16"/>
          <w:szCs w:val="16"/>
        </w:rPr>
        <w:t xml:space="preserve"> </w:t>
      </w:r>
      <w:r w:rsidRPr="00B73619">
        <w:rPr>
          <w:rStyle w:val="FootnoteTextChar"/>
          <w:sz w:val="18"/>
          <w:szCs w:val="18"/>
        </w:rPr>
        <w:t xml:space="preserve">Such subjects may have been excluded from enrolment in other studies of LAL </w:t>
      </w:r>
      <w:r>
        <w:rPr>
          <w:rStyle w:val="FootnoteTextChar"/>
          <w:sz w:val="18"/>
          <w:szCs w:val="18"/>
        </w:rPr>
        <w:t>d</w:t>
      </w:r>
      <w:r w:rsidRPr="00B73619">
        <w:rPr>
          <w:rStyle w:val="FootnoteTextChar"/>
          <w:sz w:val="18"/>
          <w:szCs w:val="18"/>
        </w:rPr>
        <w:t xml:space="preserve">eficiency because of age, disease progression, </w:t>
      </w:r>
      <w:proofErr w:type="gramStart"/>
      <w:r w:rsidRPr="00B73619">
        <w:rPr>
          <w:rStyle w:val="FootnoteTextChar"/>
          <w:sz w:val="18"/>
          <w:szCs w:val="18"/>
        </w:rPr>
        <w:t>previous</w:t>
      </w:r>
      <w:proofErr w:type="gramEnd"/>
      <w:r w:rsidRPr="00B73619">
        <w:rPr>
          <w:rStyle w:val="FootnoteTextChar"/>
          <w:sz w:val="18"/>
          <w:szCs w:val="18"/>
        </w:rPr>
        <w:t xml:space="preserve"> treatment by h</w:t>
      </w:r>
      <w:r>
        <w:rPr>
          <w:rStyle w:val="FootnoteTextChar"/>
          <w:sz w:val="18"/>
          <w:szCs w:val="18"/>
        </w:rPr>
        <w:t>a</w:t>
      </w:r>
      <w:r w:rsidRPr="00B73619">
        <w:rPr>
          <w:rStyle w:val="FootnoteTextChar"/>
          <w:sz w:val="18"/>
          <w:szCs w:val="18"/>
        </w:rPr>
        <w:t xml:space="preserve">ematopoietic stem cell or liver transplantation, less common disease manifestations, or disease characteristics that would preclude participation in a placebo controlled </w:t>
      </w:r>
      <w:r>
        <w:rPr>
          <w:rStyle w:val="FootnoteTextChar"/>
          <w:sz w:val="18"/>
          <w:szCs w:val="18"/>
        </w:rPr>
        <w:t>study</w:t>
      </w:r>
      <w:r w:rsidRPr="00B73619">
        <w:rPr>
          <w:rStyle w:val="FootnoteTextChar"/>
          <w:sz w:val="18"/>
          <w:szCs w:val="18"/>
        </w:rPr>
        <w:t>.</w:t>
      </w:r>
    </w:p>
  </w:footnote>
  <w:footnote w:id="3">
    <w:p w14:paraId="20298782" w14:textId="77777777" w:rsidR="00460033" w:rsidRPr="00FE32BB" w:rsidRDefault="00460033" w:rsidP="00DA0B9C">
      <w:pPr>
        <w:pStyle w:val="FootnoteText"/>
        <w:rPr>
          <w:sz w:val="18"/>
          <w:szCs w:val="18"/>
        </w:rPr>
      </w:pPr>
      <w:r w:rsidRPr="00FE32BB">
        <w:rPr>
          <w:rStyle w:val="FootnoteReference"/>
          <w:sz w:val="18"/>
          <w:szCs w:val="18"/>
        </w:rPr>
        <w:footnoteRef/>
      </w:r>
      <w:r w:rsidRPr="00FE32BB">
        <w:rPr>
          <w:sz w:val="18"/>
          <w:szCs w:val="18"/>
        </w:rPr>
        <w:t xml:space="preserve"> In this model, a dose of 0.2 mg/kg every other week showed no evidence of effect on a number of disease related abnormalities including reduced weight gain and </w:t>
      </w:r>
      <w:proofErr w:type="spellStart"/>
      <w:r w:rsidRPr="00FE32BB">
        <w:rPr>
          <w:sz w:val="18"/>
          <w:szCs w:val="18"/>
        </w:rPr>
        <w:t>organomegaly</w:t>
      </w:r>
      <w:proofErr w:type="spellEnd"/>
      <w:r w:rsidRPr="00FE32BB">
        <w:rPr>
          <w:sz w:val="18"/>
          <w:szCs w:val="18"/>
        </w:rPr>
        <w:t xml:space="preserve">, whereas evidence of biological effect was observed at a dose of 0.35 mg/kg </w:t>
      </w:r>
      <w:proofErr w:type="spellStart"/>
      <w:r w:rsidRPr="00FE32BB">
        <w:rPr>
          <w:sz w:val="18"/>
          <w:szCs w:val="18"/>
        </w:rPr>
        <w:t>qw</w:t>
      </w:r>
      <w:proofErr w:type="spellEnd"/>
      <w:r w:rsidRPr="00FE32BB">
        <w:rPr>
          <w:sz w:val="18"/>
          <w:szCs w:val="18"/>
        </w:rPr>
        <w:t>.</w:t>
      </w:r>
    </w:p>
  </w:footnote>
  <w:footnote w:id="4">
    <w:p w14:paraId="79796E05" w14:textId="77777777" w:rsidR="00460033" w:rsidRPr="00905BF2" w:rsidRDefault="00460033" w:rsidP="00DE3198">
      <w:pPr>
        <w:pStyle w:val="FootnoteText"/>
        <w:rPr>
          <w:sz w:val="18"/>
          <w:szCs w:val="18"/>
        </w:rPr>
      </w:pPr>
      <w:r w:rsidRPr="00905BF2">
        <w:rPr>
          <w:rStyle w:val="FootnoteReference"/>
          <w:rFonts w:asciiTheme="minorHAnsi" w:hAnsiTheme="minorHAnsi"/>
          <w:sz w:val="18"/>
          <w:szCs w:val="18"/>
        </w:rPr>
        <w:footnoteRef/>
      </w:r>
      <w:r w:rsidRPr="00905BF2">
        <w:rPr>
          <w:sz w:val="18"/>
          <w:szCs w:val="18"/>
        </w:rPr>
        <w:t xml:space="preserve"> On each PK visit, samples were collected at the following time</w:t>
      </w:r>
      <w:r>
        <w:rPr>
          <w:sz w:val="18"/>
          <w:szCs w:val="18"/>
        </w:rPr>
        <w:t xml:space="preserve"> </w:t>
      </w:r>
      <w:r w:rsidRPr="00905BF2">
        <w:rPr>
          <w:sz w:val="18"/>
          <w:szCs w:val="18"/>
        </w:rPr>
        <w:t>points relative to infusion of IMP:</w:t>
      </w:r>
    </w:p>
    <w:p w14:paraId="427EB053" w14:textId="0D07E618" w:rsidR="00460033" w:rsidRPr="00905BF2" w:rsidRDefault="00460033" w:rsidP="00DE3198">
      <w:pPr>
        <w:pStyle w:val="ListBullet"/>
        <w:spacing w:before="0" w:after="0" w:line="240" w:lineRule="auto"/>
        <w:rPr>
          <w:sz w:val="18"/>
          <w:szCs w:val="18"/>
        </w:rPr>
      </w:pPr>
      <w:r w:rsidRPr="00905BF2">
        <w:rPr>
          <w:sz w:val="18"/>
          <w:szCs w:val="18"/>
        </w:rPr>
        <w:t>Immediately pre-dose (within 30 minutes of dosing)</w:t>
      </w:r>
      <w:r>
        <w:rPr>
          <w:sz w:val="18"/>
          <w:szCs w:val="18"/>
        </w:rPr>
        <w:t>.</w:t>
      </w:r>
    </w:p>
    <w:p w14:paraId="113F3965" w14:textId="43826291" w:rsidR="00460033" w:rsidRPr="00905BF2" w:rsidRDefault="00460033" w:rsidP="00DE3198">
      <w:pPr>
        <w:pStyle w:val="ListBullet"/>
        <w:spacing w:before="0" w:after="0" w:line="240" w:lineRule="auto"/>
        <w:rPr>
          <w:sz w:val="18"/>
          <w:szCs w:val="18"/>
        </w:rPr>
      </w:pPr>
      <w:r w:rsidRPr="00905BF2">
        <w:rPr>
          <w:sz w:val="18"/>
          <w:szCs w:val="18"/>
        </w:rPr>
        <w:t>At 10</w:t>
      </w:r>
      <w:r>
        <w:rPr>
          <w:sz w:val="18"/>
          <w:szCs w:val="18"/>
        </w:rPr>
        <w:t xml:space="preserve"> </w:t>
      </w:r>
      <w:r w:rsidRPr="00905BF2">
        <w:rPr>
          <w:sz w:val="18"/>
          <w:szCs w:val="18"/>
        </w:rPr>
        <w:t>(±</w:t>
      </w:r>
      <w:r>
        <w:rPr>
          <w:sz w:val="18"/>
          <w:szCs w:val="18"/>
        </w:rPr>
        <w:t xml:space="preserve"> </w:t>
      </w:r>
      <w:r w:rsidRPr="00905BF2">
        <w:rPr>
          <w:sz w:val="18"/>
          <w:szCs w:val="18"/>
        </w:rPr>
        <w:t>1), 15</w:t>
      </w:r>
      <w:r>
        <w:rPr>
          <w:sz w:val="18"/>
          <w:szCs w:val="18"/>
        </w:rPr>
        <w:t xml:space="preserve"> </w:t>
      </w:r>
      <w:r w:rsidRPr="00905BF2">
        <w:rPr>
          <w:sz w:val="18"/>
          <w:szCs w:val="18"/>
        </w:rPr>
        <w:t>(±</w:t>
      </w:r>
      <w:r>
        <w:rPr>
          <w:sz w:val="18"/>
          <w:szCs w:val="18"/>
        </w:rPr>
        <w:t xml:space="preserve"> </w:t>
      </w:r>
      <w:r w:rsidRPr="00905BF2">
        <w:rPr>
          <w:sz w:val="18"/>
          <w:szCs w:val="18"/>
        </w:rPr>
        <w:t>1), 20</w:t>
      </w:r>
      <w:r>
        <w:rPr>
          <w:sz w:val="18"/>
          <w:szCs w:val="18"/>
        </w:rPr>
        <w:t xml:space="preserve"> </w:t>
      </w:r>
      <w:r w:rsidRPr="00905BF2">
        <w:rPr>
          <w:sz w:val="18"/>
          <w:szCs w:val="18"/>
        </w:rPr>
        <w:t>(±</w:t>
      </w:r>
      <w:r>
        <w:rPr>
          <w:sz w:val="18"/>
          <w:szCs w:val="18"/>
        </w:rPr>
        <w:t xml:space="preserve"> </w:t>
      </w:r>
      <w:r w:rsidRPr="00905BF2">
        <w:rPr>
          <w:sz w:val="18"/>
          <w:szCs w:val="18"/>
        </w:rPr>
        <w:t>1), 40</w:t>
      </w:r>
      <w:r>
        <w:rPr>
          <w:sz w:val="18"/>
          <w:szCs w:val="18"/>
        </w:rPr>
        <w:t xml:space="preserve"> </w:t>
      </w:r>
      <w:r w:rsidRPr="00905BF2">
        <w:rPr>
          <w:sz w:val="18"/>
          <w:szCs w:val="18"/>
        </w:rPr>
        <w:t>(±</w:t>
      </w:r>
      <w:r>
        <w:rPr>
          <w:sz w:val="18"/>
          <w:szCs w:val="18"/>
        </w:rPr>
        <w:t xml:space="preserve"> </w:t>
      </w:r>
      <w:r w:rsidRPr="00905BF2">
        <w:rPr>
          <w:sz w:val="18"/>
          <w:szCs w:val="18"/>
        </w:rPr>
        <w:t>5), 60</w:t>
      </w:r>
      <w:r>
        <w:rPr>
          <w:sz w:val="18"/>
          <w:szCs w:val="18"/>
        </w:rPr>
        <w:t xml:space="preserve"> </w:t>
      </w:r>
      <w:r w:rsidRPr="00905BF2">
        <w:rPr>
          <w:sz w:val="18"/>
          <w:szCs w:val="18"/>
        </w:rPr>
        <w:t>(±</w:t>
      </w:r>
      <w:r>
        <w:rPr>
          <w:sz w:val="18"/>
          <w:szCs w:val="18"/>
        </w:rPr>
        <w:t xml:space="preserve"> </w:t>
      </w:r>
      <w:r w:rsidRPr="00905BF2">
        <w:rPr>
          <w:sz w:val="18"/>
          <w:szCs w:val="18"/>
        </w:rPr>
        <w:t>5) and 90</w:t>
      </w:r>
      <w:r>
        <w:rPr>
          <w:sz w:val="18"/>
          <w:szCs w:val="18"/>
        </w:rPr>
        <w:t xml:space="preserve"> </w:t>
      </w:r>
      <w:r w:rsidRPr="00905BF2">
        <w:rPr>
          <w:sz w:val="18"/>
          <w:szCs w:val="18"/>
        </w:rPr>
        <w:t>(±</w:t>
      </w:r>
      <w:r>
        <w:rPr>
          <w:sz w:val="18"/>
          <w:szCs w:val="18"/>
        </w:rPr>
        <w:t xml:space="preserve"> </w:t>
      </w:r>
      <w:r w:rsidRPr="00905BF2">
        <w:rPr>
          <w:sz w:val="18"/>
          <w:szCs w:val="18"/>
        </w:rPr>
        <w:t>5) minutes during the infusion and at the end of the infusion (approximately 120 minutes)</w:t>
      </w:r>
      <w:r>
        <w:rPr>
          <w:sz w:val="18"/>
          <w:szCs w:val="18"/>
        </w:rPr>
        <w:t>.</w:t>
      </w:r>
    </w:p>
    <w:p w14:paraId="418997FB" w14:textId="1D994C04" w:rsidR="00460033" w:rsidRPr="00905BF2" w:rsidRDefault="00460033" w:rsidP="00DE3198">
      <w:pPr>
        <w:pStyle w:val="ListBullet"/>
        <w:spacing w:before="0" w:after="0" w:line="240" w:lineRule="auto"/>
        <w:rPr>
          <w:sz w:val="18"/>
          <w:szCs w:val="18"/>
        </w:rPr>
      </w:pPr>
      <w:r w:rsidRPr="00905BF2">
        <w:rPr>
          <w:sz w:val="18"/>
          <w:szCs w:val="18"/>
        </w:rPr>
        <w:t>At 5</w:t>
      </w:r>
      <w:r>
        <w:rPr>
          <w:sz w:val="18"/>
          <w:szCs w:val="18"/>
        </w:rPr>
        <w:t xml:space="preserve"> </w:t>
      </w:r>
      <w:r w:rsidRPr="00905BF2">
        <w:rPr>
          <w:sz w:val="18"/>
          <w:szCs w:val="18"/>
        </w:rPr>
        <w:t>(±</w:t>
      </w:r>
      <w:r>
        <w:rPr>
          <w:sz w:val="18"/>
          <w:szCs w:val="18"/>
        </w:rPr>
        <w:t xml:space="preserve"> </w:t>
      </w:r>
      <w:r w:rsidRPr="00905BF2">
        <w:rPr>
          <w:sz w:val="18"/>
          <w:szCs w:val="18"/>
        </w:rPr>
        <w:t>1), 10</w:t>
      </w:r>
      <w:r>
        <w:rPr>
          <w:sz w:val="18"/>
          <w:szCs w:val="18"/>
        </w:rPr>
        <w:t xml:space="preserve"> </w:t>
      </w:r>
      <w:r w:rsidRPr="00905BF2">
        <w:rPr>
          <w:sz w:val="18"/>
          <w:szCs w:val="18"/>
        </w:rPr>
        <w:t>(±</w:t>
      </w:r>
      <w:r>
        <w:rPr>
          <w:sz w:val="18"/>
          <w:szCs w:val="18"/>
        </w:rPr>
        <w:t xml:space="preserve"> </w:t>
      </w:r>
      <w:r w:rsidRPr="00905BF2">
        <w:rPr>
          <w:sz w:val="18"/>
          <w:szCs w:val="18"/>
        </w:rPr>
        <w:t>1), 20</w:t>
      </w:r>
      <w:r>
        <w:rPr>
          <w:sz w:val="18"/>
          <w:szCs w:val="18"/>
        </w:rPr>
        <w:t xml:space="preserve"> </w:t>
      </w:r>
      <w:r w:rsidRPr="00905BF2">
        <w:rPr>
          <w:sz w:val="18"/>
          <w:szCs w:val="18"/>
        </w:rPr>
        <w:t>(±</w:t>
      </w:r>
      <w:r>
        <w:rPr>
          <w:sz w:val="18"/>
          <w:szCs w:val="18"/>
        </w:rPr>
        <w:t xml:space="preserve"> </w:t>
      </w:r>
      <w:r w:rsidRPr="00905BF2">
        <w:rPr>
          <w:sz w:val="18"/>
          <w:szCs w:val="18"/>
        </w:rPr>
        <w:t>1), 30</w:t>
      </w:r>
      <w:r>
        <w:rPr>
          <w:sz w:val="18"/>
          <w:szCs w:val="18"/>
        </w:rPr>
        <w:t xml:space="preserve"> </w:t>
      </w:r>
      <w:r w:rsidRPr="00905BF2">
        <w:rPr>
          <w:sz w:val="18"/>
          <w:szCs w:val="18"/>
        </w:rPr>
        <w:t>(±</w:t>
      </w:r>
      <w:r>
        <w:rPr>
          <w:sz w:val="18"/>
          <w:szCs w:val="18"/>
        </w:rPr>
        <w:t xml:space="preserve"> </w:t>
      </w:r>
      <w:r w:rsidRPr="00905BF2">
        <w:rPr>
          <w:sz w:val="18"/>
          <w:szCs w:val="18"/>
        </w:rPr>
        <w:t>5), 40</w:t>
      </w:r>
      <w:r>
        <w:rPr>
          <w:sz w:val="18"/>
          <w:szCs w:val="18"/>
        </w:rPr>
        <w:t xml:space="preserve"> </w:t>
      </w:r>
      <w:r w:rsidRPr="00905BF2">
        <w:rPr>
          <w:sz w:val="18"/>
          <w:szCs w:val="18"/>
        </w:rPr>
        <w:t>(±</w:t>
      </w:r>
      <w:r>
        <w:rPr>
          <w:sz w:val="18"/>
          <w:szCs w:val="18"/>
        </w:rPr>
        <w:t xml:space="preserve"> </w:t>
      </w:r>
      <w:r w:rsidRPr="00905BF2">
        <w:rPr>
          <w:sz w:val="18"/>
          <w:szCs w:val="18"/>
        </w:rPr>
        <w:t>5), 60</w:t>
      </w:r>
      <w:r>
        <w:rPr>
          <w:sz w:val="18"/>
          <w:szCs w:val="18"/>
        </w:rPr>
        <w:t xml:space="preserve"> </w:t>
      </w:r>
      <w:r w:rsidRPr="00905BF2">
        <w:rPr>
          <w:sz w:val="18"/>
          <w:szCs w:val="18"/>
        </w:rPr>
        <w:t>(±</w:t>
      </w:r>
      <w:r>
        <w:rPr>
          <w:sz w:val="18"/>
          <w:szCs w:val="18"/>
        </w:rPr>
        <w:t xml:space="preserve"> </w:t>
      </w:r>
      <w:r w:rsidRPr="00905BF2">
        <w:rPr>
          <w:sz w:val="18"/>
          <w:szCs w:val="18"/>
        </w:rPr>
        <w:t>5) and 120</w:t>
      </w:r>
      <w:r>
        <w:rPr>
          <w:sz w:val="18"/>
          <w:szCs w:val="18"/>
        </w:rPr>
        <w:t xml:space="preserve"> </w:t>
      </w:r>
      <w:r w:rsidRPr="00905BF2">
        <w:rPr>
          <w:sz w:val="18"/>
          <w:szCs w:val="18"/>
        </w:rPr>
        <w:t>(±</w:t>
      </w:r>
      <w:r>
        <w:rPr>
          <w:sz w:val="18"/>
          <w:szCs w:val="18"/>
        </w:rPr>
        <w:t xml:space="preserve"> </w:t>
      </w:r>
      <w:r w:rsidRPr="00905BF2">
        <w:rPr>
          <w:sz w:val="18"/>
          <w:szCs w:val="18"/>
        </w:rPr>
        <w:t>5) minutes after completion of the infusion</w:t>
      </w:r>
      <w:r>
        <w:rPr>
          <w:sz w:val="18"/>
          <w:szCs w:val="18"/>
        </w:rPr>
        <w:t>.</w:t>
      </w:r>
    </w:p>
  </w:footnote>
  <w:footnote w:id="5">
    <w:p w14:paraId="68E275E5" w14:textId="77777777" w:rsidR="00460033" w:rsidRPr="00D96127" w:rsidRDefault="00460033" w:rsidP="00A97DEA">
      <w:pPr>
        <w:pStyle w:val="FootnoteText"/>
        <w:rPr>
          <w:sz w:val="18"/>
          <w:szCs w:val="18"/>
        </w:rPr>
      </w:pPr>
      <w:r w:rsidRPr="00D96127">
        <w:rPr>
          <w:rStyle w:val="FootnoteReference"/>
          <w:sz w:val="18"/>
          <w:szCs w:val="18"/>
        </w:rPr>
        <w:footnoteRef/>
      </w:r>
      <w:r w:rsidRPr="00D96127">
        <w:rPr>
          <w:sz w:val="18"/>
          <w:szCs w:val="18"/>
        </w:rPr>
        <w:t xml:space="preserve"> This is premised on the observed concordance between reductions in serum transaminases and improvements in hepatic steatosis and hepatosplenomegaly in a homozygous rat model of LAL Deficiency (Leavitt, et al., 2011).</w:t>
      </w:r>
    </w:p>
  </w:footnote>
  <w:footnote w:id="6">
    <w:p w14:paraId="358F4DA1" w14:textId="77777777" w:rsidR="00460033" w:rsidRPr="003F3AB4" w:rsidRDefault="00460033" w:rsidP="00B55A5F">
      <w:pPr>
        <w:pStyle w:val="FootnoteText"/>
        <w:rPr>
          <w:sz w:val="18"/>
          <w:szCs w:val="18"/>
        </w:rPr>
      </w:pPr>
      <w:r w:rsidRPr="003F3AB4">
        <w:rPr>
          <w:rStyle w:val="FootnoteReference"/>
          <w:sz w:val="18"/>
          <w:szCs w:val="18"/>
        </w:rPr>
        <w:footnoteRef/>
      </w:r>
      <w:r w:rsidRPr="003F3AB4">
        <w:rPr>
          <w:sz w:val="18"/>
          <w:szCs w:val="18"/>
        </w:rPr>
        <w:t xml:space="preserve"> </w:t>
      </w:r>
      <w:r w:rsidRPr="003F3AB4">
        <w:rPr>
          <w:rFonts w:asciiTheme="minorHAnsi" w:hAnsiTheme="minorHAnsi"/>
          <w:sz w:val="18"/>
          <w:szCs w:val="18"/>
        </w:rPr>
        <w:t>Time to ADA positivity and time to maximum titre were censored at the date of the last visit in subjects with no ADA-positive result or detectable titre.</w:t>
      </w:r>
    </w:p>
  </w:footnote>
  <w:footnote w:id="7">
    <w:p w14:paraId="55A1E278" w14:textId="77777777" w:rsidR="00460033" w:rsidRPr="003F3AB4" w:rsidRDefault="00460033" w:rsidP="00B55A5F">
      <w:pPr>
        <w:pStyle w:val="FootnoteText"/>
        <w:rPr>
          <w:sz w:val="18"/>
          <w:szCs w:val="18"/>
        </w:rPr>
      </w:pPr>
      <w:r w:rsidRPr="003F3AB4">
        <w:rPr>
          <w:rStyle w:val="FootnoteReference"/>
          <w:sz w:val="18"/>
          <w:szCs w:val="18"/>
        </w:rPr>
        <w:footnoteRef/>
      </w:r>
      <w:r w:rsidRPr="003F3AB4">
        <w:rPr>
          <w:sz w:val="18"/>
          <w:szCs w:val="18"/>
        </w:rPr>
        <w:t xml:space="preserve"> </w:t>
      </w:r>
      <w:r w:rsidRPr="003F3AB4">
        <w:rPr>
          <w:rFonts w:asciiTheme="minorHAnsi" w:hAnsiTheme="minorHAnsi"/>
          <w:sz w:val="18"/>
          <w:szCs w:val="18"/>
        </w:rPr>
        <w:t>this subject developed neutralising antibodies to cellular uptake but not to enzyme activity and had a low level of inhibition (26.7%) at Week 12 and tested negative for neutralising antibodies at the next two time points analysed (Week 20 and Week 28, respectively).</w:t>
      </w:r>
    </w:p>
  </w:footnote>
  <w:footnote w:id="8">
    <w:p w14:paraId="30E7DE5B" w14:textId="77777777" w:rsidR="00460033" w:rsidRPr="003F3AB4" w:rsidRDefault="00460033" w:rsidP="00A97DEA">
      <w:pPr>
        <w:pStyle w:val="FootnoteText"/>
        <w:rPr>
          <w:sz w:val="18"/>
          <w:szCs w:val="18"/>
        </w:rPr>
      </w:pPr>
      <w:r w:rsidRPr="003F3AB4">
        <w:rPr>
          <w:rStyle w:val="FootnoteReference"/>
          <w:sz w:val="18"/>
          <w:szCs w:val="18"/>
        </w:rPr>
        <w:footnoteRef/>
      </w:r>
      <w:r w:rsidRPr="003F3AB4">
        <w:rPr>
          <w:sz w:val="18"/>
          <w:szCs w:val="18"/>
        </w:rPr>
        <w:t xml:space="preserve"> </w:t>
      </w:r>
      <w:r w:rsidRPr="003F3AB4">
        <w:rPr>
          <w:rFonts w:asciiTheme="minorHAnsi" w:hAnsiTheme="minorHAnsi"/>
          <w:sz w:val="18"/>
          <w:szCs w:val="18"/>
        </w:rPr>
        <w:t>The 2 subjects that were positive at multiple time points were positive by Week 4, the first post-Baseline time point assessed. Thereafter, the ADA titres decreased over time. By Week 20, only 1 subject was ADA-positive</w:t>
      </w:r>
    </w:p>
  </w:footnote>
  <w:footnote w:id="9">
    <w:p w14:paraId="666A8C6D" w14:textId="77777777" w:rsidR="00460033" w:rsidRPr="00FE3465" w:rsidRDefault="00460033" w:rsidP="00B7505B">
      <w:pPr>
        <w:pStyle w:val="FootnoteText"/>
        <w:rPr>
          <w:sz w:val="18"/>
          <w:szCs w:val="18"/>
        </w:rPr>
      </w:pPr>
      <w:r w:rsidRPr="00FE3465">
        <w:rPr>
          <w:rStyle w:val="FootnoteReference"/>
          <w:sz w:val="18"/>
          <w:szCs w:val="18"/>
        </w:rPr>
        <w:footnoteRef/>
      </w:r>
      <w:r w:rsidRPr="00FE3465">
        <w:rPr>
          <w:sz w:val="18"/>
          <w:szCs w:val="18"/>
        </w:rPr>
        <w:t xml:space="preserve"> </w:t>
      </w:r>
      <w:r w:rsidRPr="00FE3465">
        <w:rPr>
          <w:color w:val="000000"/>
          <w:sz w:val="18"/>
          <w:szCs w:val="18"/>
        </w:rPr>
        <w:t xml:space="preserve">This subject initiated treatment with </w:t>
      </w:r>
      <w:proofErr w:type="spellStart"/>
      <w:r w:rsidRPr="00FE3465">
        <w:rPr>
          <w:color w:val="000000"/>
          <w:sz w:val="18"/>
          <w:szCs w:val="18"/>
        </w:rPr>
        <w:t>sebelipase</w:t>
      </w:r>
      <w:proofErr w:type="spellEnd"/>
      <w:r w:rsidRPr="00FE3465">
        <w:rPr>
          <w:color w:val="000000"/>
          <w:sz w:val="18"/>
          <w:szCs w:val="18"/>
        </w:rPr>
        <w:t xml:space="preserve"> alfa at a dose of 0.2 mg/kg (Week 0), and thereafter had a gradual dose escalation over a period of 4 weeks: 0.3 mg/kg (Week 1), 0.5 mg/kg (Week 2), 0.75 mg/kg (Week 3), and 1 mg/kg (Week 4). As of the data cut-off date, this subject continued to receive </w:t>
      </w:r>
      <w:proofErr w:type="spellStart"/>
      <w:r w:rsidRPr="00FE3465">
        <w:rPr>
          <w:color w:val="000000"/>
          <w:sz w:val="18"/>
          <w:szCs w:val="18"/>
        </w:rPr>
        <w:t>sebelipase</w:t>
      </w:r>
      <w:proofErr w:type="spellEnd"/>
      <w:r w:rsidRPr="00FE3465">
        <w:rPr>
          <w:color w:val="000000"/>
          <w:sz w:val="18"/>
          <w:szCs w:val="18"/>
        </w:rPr>
        <w:t xml:space="preserve"> alfa at a dose of 1 mg/kg </w:t>
      </w:r>
      <w:proofErr w:type="spellStart"/>
      <w:r w:rsidRPr="00FE3465">
        <w:rPr>
          <w:color w:val="000000"/>
          <w:sz w:val="18"/>
          <w:szCs w:val="18"/>
        </w:rPr>
        <w:t>qw</w:t>
      </w:r>
      <w:proofErr w:type="spellEnd"/>
      <w:r w:rsidRPr="00FE3465">
        <w:rPr>
          <w:color w:val="000000"/>
          <w:sz w:val="18"/>
          <w:szCs w:val="18"/>
        </w:rPr>
        <w:t>.</w:t>
      </w:r>
    </w:p>
  </w:footnote>
  <w:footnote w:id="10">
    <w:p w14:paraId="209A1E9F" w14:textId="77777777" w:rsidR="00460033" w:rsidRPr="00FE3465" w:rsidRDefault="00460033" w:rsidP="00B7505B">
      <w:pPr>
        <w:pStyle w:val="FootnoteText"/>
        <w:rPr>
          <w:sz w:val="18"/>
          <w:szCs w:val="18"/>
        </w:rPr>
      </w:pPr>
      <w:r w:rsidRPr="00FE3465">
        <w:rPr>
          <w:rStyle w:val="FootnoteReference"/>
          <w:sz w:val="18"/>
          <w:szCs w:val="18"/>
        </w:rPr>
        <w:footnoteRef/>
      </w:r>
      <w:r w:rsidRPr="00FE3465">
        <w:rPr>
          <w:sz w:val="18"/>
          <w:szCs w:val="18"/>
        </w:rPr>
        <w:t xml:space="preserve"> </w:t>
      </w:r>
      <w:r w:rsidRPr="00FE3465">
        <w:rPr>
          <w:color w:val="000000"/>
          <w:sz w:val="18"/>
          <w:szCs w:val="18"/>
        </w:rPr>
        <w:t xml:space="preserve">One subject received a further dose escalation to 5 mg/kg </w:t>
      </w:r>
      <w:proofErr w:type="spellStart"/>
      <w:r w:rsidRPr="00FE3465">
        <w:rPr>
          <w:color w:val="000000"/>
          <w:sz w:val="18"/>
          <w:szCs w:val="18"/>
        </w:rPr>
        <w:t>qw</w:t>
      </w:r>
      <w:proofErr w:type="spellEnd"/>
      <w:r w:rsidRPr="00FE3465">
        <w:rPr>
          <w:color w:val="000000"/>
          <w:sz w:val="18"/>
          <w:szCs w:val="18"/>
        </w:rPr>
        <w:t xml:space="preserve"> at the age of 23.2 months due to concerns with respect to weight for age achieved at a dose of 3 mg/kg </w:t>
      </w:r>
      <w:proofErr w:type="spellStart"/>
      <w:r w:rsidRPr="00FE3465">
        <w:rPr>
          <w:color w:val="000000"/>
          <w:sz w:val="18"/>
          <w:szCs w:val="18"/>
        </w:rPr>
        <w:t>qw</w:t>
      </w:r>
      <w:proofErr w:type="spellEnd"/>
      <w:r w:rsidRPr="00FE3465">
        <w:rPr>
          <w:color w:val="000000"/>
          <w:sz w:val="18"/>
          <w:szCs w:val="18"/>
        </w:rPr>
        <w:t xml:space="preserve">, which was associated with the presence of </w:t>
      </w:r>
      <w:r w:rsidRPr="00FC2DDF">
        <w:rPr>
          <w:iCs/>
          <w:color w:val="000000"/>
          <w:sz w:val="18"/>
          <w:szCs w:val="18"/>
        </w:rPr>
        <w:t>in vitro</w:t>
      </w:r>
      <w:r w:rsidRPr="00FE3465">
        <w:rPr>
          <w:i/>
          <w:iCs/>
          <w:color w:val="000000"/>
          <w:sz w:val="18"/>
          <w:szCs w:val="18"/>
        </w:rPr>
        <w:t xml:space="preserve"> </w:t>
      </w:r>
      <w:r w:rsidRPr="00FE3465">
        <w:rPr>
          <w:color w:val="000000"/>
          <w:sz w:val="18"/>
          <w:szCs w:val="18"/>
        </w:rPr>
        <w:t xml:space="preserve">neutralising antibodies. However, additional confounding factors with the potential to impact growth were also present including the use of prednisolone for management of IARs. </w:t>
      </w:r>
      <w:r w:rsidRPr="00FE3465">
        <w:rPr>
          <w:sz w:val="18"/>
          <w:szCs w:val="18"/>
        </w:rPr>
        <w:t xml:space="preserve">Given the presence of neutralising antibody activity, and the relatively poor growth response despite the dose increase to 3 mg/kg </w:t>
      </w:r>
      <w:proofErr w:type="spellStart"/>
      <w:r w:rsidRPr="00FE3465">
        <w:rPr>
          <w:sz w:val="18"/>
          <w:szCs w:val="18"/>
        </w:rPr>
        <w:t>qw</w:t>
      </w:r>
      <w:proofErr w:type="spellEnd"/>
      <w:r w:rsidRPr="00FE3465">
        <w:rPr>
          <w:sz w:val="18"/>
          <w:szCs w:val="18"/>
        </w:rPr>
        <w:t xml:space="preserve">, dose escalation to 5 mg/kg </w:t>
      </w:r>
      <w:proofErr w:type="spellStart"/>
      <w:r w:rsidRPr="00FE3465">
        <w:rPr>
          <w:sz w:val="18"/>
          <w:szCs w:val="18"/>
        </w:rPr>
        <w:t>qw</w:t>
      </w:r>
      <w:proofErr w:type="spellEnd"/>
      <w:r w:rsidRPr="00FE3465">
        <w:rPr>
          <w:sz w:val="18"/>
          <w:szCs w:val="18"/>
        </w:rPr>
        <w:t xml:space="preserve"> was undertaken on Week 88. The impact of this dose escalation has not yet been determined as follow-up post dose escalation is still limited. The subject had a low WFA percentile at the next assessment at Week 92 (0.92%), coinciding with a hospitalisation for infection, and no further weight data are yet available.</w:t>
      </w:r>
    </w:p>
  </w:footnote>
  <w:footnote w:id="11">
    <w:p w14:paraId="53957840" w14:textId="77777777" w:rsidR="00460033" w:rsidRPr="00FE3465" w:rsidRDefault="00460033" w:rsidP="00B7505B">
      <w:pPr>
        <w:pStyle w:val="FootnoteText"/>
        <w:rPr>
          <w:sz w:val="18"/>
          <w:szCs w:val="18"/>
        </w:rPr>
      </w:pPr>
      <w:r w:rsidRPr="00FE3465">
        <w:rPr>
          <w:rStyle w:val="FootnoteReference"/>
          <w:sz w:val="18"/>
          <w:szCs w:val="18"/>
        </w:rPr>
        <w:footnoteRef/>
      </w:r>
      <w:r w:rsidRPr="00FE3465">
        <w:rPr>
          <w:sz w:val="18"/>
          <w:szCs w:val="18"/>
        </w:rPr>
        <w:t xml:space="preserve"> The specific criteria used in the evaluation of early and late suboptimal response were based on insights from the nonclinical disease model and emerging clinical experience that suggested a rapid improvement in liver biochemical and haematological parameters at doses ≤ 1 mg/kg and a more variable dose-response and time course for improvements in growth/weight.</w:t>
      </w:r>
    </w:p>
  </w:footnote>
  <w:footnote w:id="12">
    <w:p w14:paraId="28331BD3" w14:textId="259E1998" w:rsidR="00460033" w:rsidRPr="002D28A4" w:rsidRDefault="00460033" w:rsidP="00DE635E">
      <w:pPr>
        <w:pStyle w:val="FootnoteText"/>
        <w:rPr>
          <w:sz w:val="18"/>
          <w:szCs w:val="18"/>
        </w:rPr>
      </w:pPr>
      <w:r w:rsidRPr="002D28A4">
        <w:rPr>
          <w:rStyle w:val="FootnoteReference"/>
          <w:sz w:val="18"/>
          <w:szCs w:val="18"/>
        </w:rPr>
        <w:footnoteRef/>
      </w:r>
      <w:r w:rsidRPr="002D28A4">
        <w:rPr>
          <w:sz w:val="18"/>
          <w:szCs w:val="18"/>
        </w:rPr>
        <w:t xml:space="preserve"> information about a subject's dose and dosing regimen of LLM was collected for at least 6 weeks prior to randomisation and information about a subject's dose and dosing regimen of medications prescribed for the treatment of NAFLD (</w:t>
      </w:r>
      <w:r>
        <w:rPr>
          <w:sz w:val="18"/>
          <w:szCs w:val="18"/>
        </w:rPr>
        <w:t>for example</w:t>
      </w:r>
      <w:r w:rsidRPr="002D28A4">
        <w:rPr>
          <w:sz w:val="18"/>
          <w:szCs w:val="18"/>
        </w:rPr>
        <w:t xml:space="preserve">, </w:t>
      </w:r>
      <w:proofErr w:type="spellStart"/>
      <w:r w:rsidRPr="002D28A4">
        <w:rPr>
          <w:sz w:val="18"/>
          <w:szCs w:val="18"/>
        </w:rPr>
        <w:t>glitazones</w:t>
      </w:r>
      <w:proofErr w:type="spellEnd"/>
      <w:r w:rsidRPr="002D28A4">
        <w:rPr>
          <w:sz w:val="18"/>
          <w:szCs w:val="18"/>
        </w:rPr>
        <w:t xml:space="preserve">, high-dose vitamin E, metformin, and </w:t>
      </w:r>
      <w:proofErr w:type="spellStart"/>
      <w:r w:rsidRPr="002D28A4">
        <w:rPr>
          <w:sz w:val="18"/>
          <w:szCs w:val="18"/>
        </w:rPr>
        <w:t>ursodeoxycholic</w:t>
      </w:r>
      <w:proofErr w:type="spellEnd"/>
      <w:r w:rsidRPr="002D28A4">
        <w:rPr>
          <w:sz w:val="18"/>
          <w:szCs w:val="18"/>
        </w:rPr>
        <w:t xml:space="preserve"> acid </w:t>
      </w:r>
      <w:r>
        <w:rPr>
          <w:sz w:val="18"/>
          <w:szCs w:val="18"/>
        </w:rPr>
        <w:t>(</w:t>
      </w:r>
      <w:r w:rsidRPr="002D28A4">
        <w:rPr>
          <w:sz w:val="18"/>
          <w:szCs w:val="18"/>
        </w:rPr>
        <w:t>UDCA</w:t>
      </w:r>
      <w:r>
        <w:rPr>
          <w:sz w:val="18"/>
          <w:szCs w:val="18"/>
        </w:rPr>
        <w:t>)</w:t>
      </w:r>
      <w:r w:rsidRPr="002D28A4">
        <w:rPr>
          <w:sz w:val="18"/>
          <w:szCs w:val="18"/>
        </w:rPr>
        <w:t>) and corticosteroids were collected for at least 16 weeks prior to randomisation to confirm that the subject met entry criteria</w:t>
      </w:r>
    </w:p>
  </w:footnote>
  <w:footnote w:id="13">
    <w:p w14:paraId="4BBF28B2" w14:textId="45BC613F" w:rsidR="00460033" w:rsidRPr="002D28A4" w:rsidRDefault="00460033" w:rsidP="00DE635E">
      <w:pPr>
        <w:pStyle w:val="FootnoteText"/>
        <w:rPr>
          <w:sz w:val="18"/>
          <w:szCs w:val="18"/>
        </w:rPr>
      </w:pPr>
      <w:r w:rsidRPr="002D28A4">
        <w:rPr>
          <w:rStyle w:val="FootnoteReference"/>
          <w:sz w:val="18"/>
          <w:szCs w:val="18"/>
        </w:rPr>
        <w:footnoteRef/>
      </w:r>
      <w:r w:rsidRPr="002D28A4">
        <w:rPr>
          <w:sz w:val="18"/>
          <w:szCs w:val="18"/>
        </w:rPr>
        <w:t xml:space="preserve"> All biopsies collected in this </w:t>
      </w:r>
      <w:r>
        <w:rPr>
          <w:sz w:val="18"/>
          <w:szCs w:val="18"/>
        </w:rPr>
        <w:t>Study</w:t>
      </w:r>
      <w:r w:rsidRPr="002D28A4">
        <w:rPr>
          <w:sz w:val="18"/>
          <w:szCs w:val="18"/>
        </w:rPr>
        <w:t xml:space="preserve"> were evaluated centrally by a pathologist blinded to assessment time point and treatment assignment. This blinded histological evaluation included a comparison of overall disease activity </w:t>
      </w:r>
      <w:r>
        <w:rPr>
          <w:sz w:val="18"/>
          <w:szCs w:val="18"/>
        </w:rPr>
        <w:t>at Baseline</w:t>
      </w:r>
      <w:r w:rsidRPr="002D28A4">
        <w:rPr>
          <w:sz w:val="18"/>
          <w:szCs w:val="18"/>
        </w:rPr>
        <w:t xml:space="preserve"> and Week 20. Additional histological analysis of exploratory measures of disease activity may have been performed, if tissue volume permitted. As a result of feedback from the US FDA, a quantitative morphometry based assessment of liver histopathology was utilised instead of a visual based assessment for steatosis. Similar methodologies were also applied to the analysis of other histopathological outcomes. This method for steatosis used a computer algorithm to assign percentage of fat to a single biopsy image. All changes were to be measured on an absolute, rather than relative, scale (</w:t>
      </w:r>
      <w:r>
        <w:rPr>
          <w:sz w:val="18"/>
          <w:szCs w:val="18"/>
        </w:rPr>
        <w:t>that is</w:t>
      </w:r>
      <w:r w:rsidRPr="002D28A4">
        <w:rPr>
          <w:sz w:val="18"/>
          <w:szCs w:val="18"/>
        </w:rPr>
        <w:t xml:space="preserve">, a decrease from 20% fat </w:t>
      </w:r>
      <w:r>
        <w:rPr>
          <w:sz w:val="18"/>
          <w:szCs w:val="18"/>
        </w:rPr>
        <w:t>at Baseline</w:t>
      </w:r>
      <w:r w:rsidRPr="002D28A4">
        <w:rPr>
          <w:sz w:val="18"/>
          <w:szCs w:val="18"/>
        </w:rPr>
        <w:t xml:space="preserve"> to 15% fat at Week 20 was to be deemed a 5% change rather than a 25% change).</w:t>
      </w:r>
    </w:p>
  </w:footnote>
  <w:footnote w:id="14">
    <w:p w14:paraId="7F891398" w14:textId="64772C01" w:rsidR="00460033" w:rsidRPr="002D28A4" w:rsidRDefault="00460033" w:rsidP="00DE635E">
      <w:pPr>
        <w:pStyle w:val="FootnoteText"/>
        <w:rPr>
          <w:sz w:val="18"/>
          <w:szCs w:val="18"/>
        </w:rPr>
      </w:pPr>
      <w:r w:rsidRPr="002D28A4">
        <w:rPr>
          <w:rStyle w:val="FootnoteReference"/>
          <w:sz w:val="18"/>
          <w:szCs w:val="18"/>
        </w:rPr>
        <w:footnoteRef/>
      </w:r>
      <w:r w:rsidRPr="002D28A4">
        <w:rPr>
          <w:sz w:val="18"/>
          <w:szCs w:val="18"/>
        </w:rPr>
        <w:t xml:space="preserve"> For subjects aged ≤ 18 years, height and weight was measured during screening and at Weeks 0, 6, 14, and 20 during the double-blind period and at Weeks 28, 36, 42, and 52 during the open-label period. (After Week 52, height is to be measured every 24 weeks and weight every 12 weeks through study completion and at the End of Study visit.) Height</w:t>
      </w:r>
      <w:r>
        <w:rPr>
          <w:sz w:val="18"/>
          <w:szCs w:val="18"/>
        </w:rPr>
        <w:t xml:space="preserve"> was measured only at screening </w:t>
      </w:r>
      <w:r w:rsidRPr="002D28A4">
        <w:rPr>
          <w:sz w:val="18"/>
          <w:szCs w:val="18"/>
        </w:rPr>
        <w:t xml:space="preserve">for subjects aged &gt; 18 years. For subjects who were ≤ 18 years of age, height and weight data were used to derive WFA and SFA. Z-scores and percentiles for WFA and SFA were determined based on CDC growth charts </w:t>
      </w:r>
      <w:r w:rsidRPr="009B76F2">
        <w:rPr>
          <w:sz w:val="18"/>
          <w:szCs w:val="18"/>
        </w:rPr>
        <w:t>(</w:t>
      </w:r>
      <w:proofErr w:type="spellStart"/>
      <w:r w:rsidRPr="009B76F2">
        <w:rPr>
          <w:sz w:val="18"/>
          <w:szCs w:val="18"/>
        </w:rPr>
        <w:t>Kuczmarski</w:t>
      </w:r>
      <w:proofErr w:type="spellEnd"/>
      <w:r w:rsidRPr="009B76F2">
        <w:rPr>
          <w:sz w:val="18"/>
          <w:szCs w:val="18"/>
        </w:rPr>
        <w:t>, 2002, Vital</w:t>
      </w:r>
      <w:r>
        <w:rPr>
          <w:sz w:val="18"/>
          <w:szCs w:val="18"/>
        </w:rPr>
        <w:t xml:space="preserve"> Health Stat). </w:t>
      </w:r>
      <w:r w:rsidRPr="002D28A4">
        <w:rPr>
          <w:sz w:val="18"/>
          <w:szCs w:val="18"/>
        </w:rPr>
        <w:t xml:space="preserve">For subjects who were &gt; 18 years of age, </w:t>
      </w:r>
      <w:r>
        <w:rPr>
          <w:sz w:val="18"/>
          <w:szCs w:val="18"/>
        </w:rPr>
        <w:t>age normalised</w:t>
      </w:r>
      <w:r w:rsidRPr="002D28A4">
        <w:rPr>
          <w:sz w:val="18"/>
          <w:szCs w:val="18"/>
        </w:rPr>
        <w:t xml:space="preserve"> percentiles for height were derived </w:t>
      </w:r>
      <w:r>
        <w:rPr>
          <w:sz w:val="18"/>
          <w:szCs w:val="18"/>
        </w:rPr>
        <w:t>at Baseline</w:t>
      </w:r>
      <w:r w:rsidRPr="002D28A4">
        <w:rPr>
          <w:sz w:val="18"/>
          <w:szCs w:val="18"/>
        </w:rPr>
        <w:t xml:space="preserve"> only, to provide insights into the potential impact of LAL Deficiency on growth.</w:t>
      </w:r>
    </w:p>
  </w:footnote>
  <w:footnote w:id="15">
    <w:p w14:paraId="48C1B3BE" w14:textId="77777777" w:rsidR="00460033" w:rsidRPr="00DE635E" w:rsidRDefault="00460033" w:rsidP="00DE635E">
      <w:pPr>
        <w:pStyle w:val="FootnoteText"/>
        <w:rPr>
          <w:sz w:val="18"/>
          <w:szCs w:val="18"/>
        </w:rPr>
      </w:pPr>
      <w:r w:rsidRPr="002D28A4">
        <w:rPr>
          <w:rStyle w:val="FootnoteReference"/>
          <w:sz w:val="18"/>
          <w:szCs w:val="18"/>
        </w:rPr>
        <w:footnoteRef/>
      </w:r>
      <w:r w:rsidRPr="002D28A4">
        <w:rPr>
          <w:sz w:val="18"/>
          <w:szCs w:val="18"/>
        </w:rPr>
        <w:t xml:space="preserve"> </w:t>
      </w:r>
      <w:proofErr w:type="spellStart"/>
      <w:r w:rsidRPr="002D28A4">
        <w:rPr>
          <w:sz w:val="18"/>
          <w:szCs w:val="18"/>
        </w:rPr>
        <w:t>Chitotriosidase</w:t>
      </w:r>
      <w:proofErr w:type="spellEnd"/>
      <w:r w:rsidRPr="002D28A4">
        <w:rPr>
          <w:sz w:val="18"/>
          <w:szCs w:val="18"/>
        </w:rPr>
        <w:t xml:space="preserve"> is secreted by activated human macrophages and is elevated in patients with LSD, including </w:t>
      </w:r>
      <w:proofErr w:type="spellStart"/>
      <w:r w:rsidRPr="002D28A4">
        <w:rPr>
          <w:sz w:val="18"/>
          <w:szCs w:val="18"/>
        </w:rPr>
        <w:t>Gaucher’s</w:t>
      </w:r>
      <w:proofErr w:type="spellEnd"/>
      <w:r w:rsidRPr="002D28A4">
        <w:rPr>
          <w:sz w:val="18"/>
          <w:szCs w:val="18"/>
        </w:rPr>
        <w:t xml:space="preserve"> disease. Furthermore</w:t>
      </w:r>
      <w:r w:rsidRPr="009B76F2">
        <w:rPr>
          <w:sz w:val="18"/>
          <w:szCs w:val="18"/>
        </w:rPr>
        <w:t xml:space="preserve">, </w:t>
      </w:r>
      <w:proofErr w:type="spellStart"/>
      <w:r w:rsidRPr="009B76F2">
        <w:rPr>
          <w:sz w:val="18"/>
          <w:szCs w:val="18"/>
        </w:rPr>
        <w:t>chitotriosidase</w:t>
      </w:r>
      <w:proofErr w:type="spellEnd"/>
      <w:r w:rsidRPr="009B76F2">
        <w:rPr>
          <w:sz w:val="18"/>
          <w:szCs w:val="18"/>
        </w:rPr>
        <w:t xml:space="preserve"> levels have been shown to decrease with administration of ERT in patients with </w:t>
      </w:r>
      <w:proofErr w:type="spellStart"/>
      <w:r w:rsidRPr="009B76F2">
        <w:rPr>
          <w:sz w:val="18"/>
          <w:szCs w:val="18"/>
        </w:rPr>
        <w:t>Gaucher’s</w:t>
      </w:r>
      <w:proofErr w:type="spellEnd"/>
      <w:r w:rsidRPr="009B76F2">
        <w:rPr>
          <w:sz w:val="18"/>
          <w:szCs w:val="18"/>
        </w:rPr>
        <w:t xml:space="preserve"> disease (</w:t>
      </w:r>
      <w:proofErr w:type="spellStart"/>
      <w:r w:rsidRPr="009B76F2">
        <w:rPr>
          <w:sz w:val="18"/>
          <w:szCs w:val="18"/>
        </w:rPr>
        <w:t>Hollak</w:t>
      </w:r>
      <w:proofErr w:type="spellEnd"/>
      <w:r w:rsidRPr="009B76F2">
        <w:rPr>
          <w:sz w:val="18"/>
          <w:szCs w:val="18"/>
        </w:rPr>
        <w:t>, 1994).</w:t>
      </w:r>
    </w:p>
  </w:footnote>
  <w:footnote w:id="16">
    <w:p w14:paraId="4A194DE0" w14:textId="77777777" w:rsidR="00460033" w:rsidRPr="002D28A4" w:rsidRDefault="00460033" w:rsidP="00DE635E">
      <w:pPr>
        <w:pStyle w:val="FootnoteText"/>
        <w:rPr>
          <w:sz w:val="18"/>
          <w:szCs w:val="18"/>
        </w:rPr>
      </w:pPr>
      <w:r w:rsidRPr="002D28A4">
        <w:rPr>
          <w:rStyle w:val="FootnoteReference"/>
          <w:rFonts w:asciiTheme="minorHAnsi" w:hAnsiTheme="minorHAnsi"/>
          <w:sz w:val="18"/>
          <w:szCs w:val="18"/>
        </w:rPr>
        <w:footnoteRef/>
      </w:r>
      <w:r w:rsidRPr="002D28A4">
        <w:rPr>
          <w:sz w:val="18"/>
          <w:szCs w:val="18"/>
        </w:rPr>
        <w:t xml:space="preserve"> </w:t>
      </w:r>
      <w:r w:rsidRPr="00FC2DDF">
        <w:rPr>
          <w:sz w:val="19"/>
          <w:szCs w:val="19"/>
        </w:rPr>
        <w:t>HRQOL questionnaires were completed during screening; at Weeks 10 and 20 during the double blind period; and at Weeks 32, 42, and 52 during the open-label period for subjects who were ≥ 5 years of age at the time of randomisation; After Week 52, the HRQOL questionnaires are to be collected every 24 weeks through study completion and at the End of Study visit.</w:t>
      </w:r>
    </w:p>
  </w:footnote>
  <w:footnote w:id="17">
    <w:p w14:paraId="47CD59A6" w14:textId="77777777" w:rsidR="00460033" w:rsidRPr="00DE635E" w:rsidRDefault="00460033" w:rsidP="00DE635E">
      <w:pPr>
        <w:pStyle w:val="FootnoteText"/>
      </w:pPr>
      <w:r w:rsidRPr="00DE635E">
        <w:rPr>
          <w:rStyle w:val="FootnoteReference"/>
        </w:rPr>
        <w:footnoteRef/>
      </w:r>
      <w:r w:rsidRPr="00DE635E">
        <w:t xml:space="preserve"> </w:t>
      </w:r>
      <w:r w:rsidRPr="00DE635E">
        <w:rPr>
          <w:noProof/>
          <w:lang w:eastAsia="en-AU"/>
        </w:rPr>
        <w:drawing>
          <wp:inline distT="0" distB="0" distL="0" distR="0" wp14:anchorId="6AB3AF35" wp14:editId="0A556C7C">
            <wp:extent cx="4396740" cy="86342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1874" cy="862465"/>
                    </a:xfrm>
                    <a:prstGeom prst="rect">
                      <a:avLst/>
                    </a:prstGeom>
                    <a:noFill/>
                    <a:ln>
                      <a:noFill/>
                    </a:ln>
                  </pic:spPr>
                </pic:pic>
              </a:graphicData>
            </a:graphic>
          </wp:inline>
        </w:drawing>
      </w:r>
    </w:p>
  </w:footnote>
  <w:footnote w:id="18">
    <w:p w14:paraId="2BF515E4" w14:textId="77777777" w:rsidR="00460033" w:rsidRPr="00DE635E" w:rsidRDefault="00460033" w:rsidP="00DE635E">
      <w:pPr>
        <w:pStyle w:val="FootnoteText"/>
      </w:pPr>
      <w:r w:rsidRPr="00DE635E">
        <w:rPr>
          <w:rStyle w:val="FootnoteReference"/>
        </w:rPr>
        <w:footnoteRef/>
      </w:r>
      <w:r w:rsidRPr="00DE635E">
        <w:t xml:space="preserve"> </w:t>
      </w:r>
      <w:r w:rsidRPr="00FE2AA6">
        <w:rPr>
          <w:color w:val="000000"/>
          <w:sz w:val="19"/>
          <w:szCs w:val="19"/>
        </w:rPr>
        <w:t>Note that all subjects receiving LLM were required to be on a stable dosing regimen for at least 6 weeks prior to randomisation.</w:t>
      </w:r>
    </w:p>
  </w:footnote>
  <w:footnote w:id="19">
    <w:p w14:paraId="74558479" w14:textId="77777777" w:rsidR="00460033" w:rsidRPr="00FC2DDF" w:rsidRDefault="00460033" w:rsidP="00984CC7">
      <w:pPr>
        <w:pStyle w:val="FootnoteText"/>
        <w:rPr>
          <w:color w:val="000000"/>
          <w:sz w:val="19"/>
          <w:szCs w:val="19"/>
        </w:rPr>
      </w:pPr>
      <w:r w:rsidRPr="00FE2AA6">
        <w:rPr>
          <w:rStyle w:val="FootnoteReference"/>
          <w:sz w:val="18"/>
          <w:szCs w:val="18"/>
        </w:rPr>
        <w:footnoteRef/>
      </w:r>
      <w:r w:rsidRPr="009B76F2">
        <w:rPr>
          <w:sz w:val="18"/>
          <w:szCs w:val="18"/>
        </w:rPr>
        <w:t xml:space="preserve"> </w:t>
      </w:r>
      <w:r w:rsidRPr="00FC2DDF">
        <w:rPr>
          <w:color w:val="000000"/>
          <w:sz w:val="19"/>
          <w:szCs w:val="19"/>
        </w:rPr>
        <w:t xml:space="preserve">Treatment was not </w:t>
      </w:r>
      <w:proofErr w:type="spellStart"/>
      <w:r w:rsidRPr="00FC2DDF">
        <w:rPr>
          <w:color w:val="000000"/>
          <w:sz w:val="19"/>
          <w:szCs w:val="19"/>
        </w:rPr>
        <w:t>unblinded</w:t>
      </w:r>
      <w:proofErr w:type="spellEnd"/>
      <w:r w:rsidRPr="00FC2DDF">
        <w:rPr>
          <w:color w:val="000000"/>
          <w:sz w:val="19"/>
          <w:szCs w:val="19"/>
        </w:rPr>
        <w:t xml:space="preserve"> for an individual subject until all randomised subjects completed Week 20 assessments (or withdrew from the study) and all data for the double-blind period were monitored, database locked for this study period, and the primary analysis completed.</w:t>
      </w:r>
    </w:p>
    <w:p w14:paraId="0FC7FC16" w14:textId="77777777" w:rsidR="00460033" w:rsidRPr="00FC2DDF" w:rsidRDefault="00460033" w:rsidP="00FC2DDF">
      <w:pPr>
        <w:pStyle w:val="FootnoteText"/>
        <w:rPr>
          <w:color w:val="000000"/>
          <w:sz w:val="19"/>
          <w:szCs w:val="19"/>
        </w:rPr>
      </w:pPr>
      <w:r w:rsidRPr="00FC2DDF">
        <w:rPr>
          <w:color w:val="000000"/>
          <w:sz w:val="19"/>
          <w:szCs w:val="19"/>
        </w:rPr>
        <w:t xml:space="preserve">Laboratory results for serum transaminases (ALT and AST), GGT, serum lipids (total cholesterol, TG, LDL-c, HDL-c), and macrophage activation markers (serum ferritin and serum </w:t>
      </w:r>
      <w:proofErr w:type="spellStart"/>
      <w:r w:rsidRPr="00FC2DDF">
        <w:rPr>
          <w:color w:val="000000"/>
          <w:sz w:val="19"/>
          <w:szCs w:val="19"/>
        </w:rPr>
        <w:t>chitotriosidase</w:t>
      </w:r>
      <w:proofErr w:type="spellEnd"/>
      <w:r w:rsidRPr="00FC2DDF">
        <w:rPr>
          <w:color w:val="000000"/>
          <w:sz w:val="19"/>
          <w:szCs w:val="19"/>
        </w:rPr>
        <w:t xml:space="preserve">) were not routinely provided to the study sites until Week 34 (at the earliest). Additionally, laboratory results for serum transaminases (ALT and AST), GGT, serum lipids (total cholesterol, TG, LDL-c, HDL-c), and macrophage activation markers (serum ferritin and serum </w:t>
      </w:r>
      <w:proofErr w:type="spellStart"/>
      <w:r w:rsidRPr="00FC2DDF">
        <w:rPr>
          <w:color w:val="000000"/>
          <w:sz w:val="19"/>
          <w:szCs w:val="19"/>
        </w:rPr>
        <w:t>chitotriosidase</w:t>
      </w:r>
      <w:proofErr w:type="spellEnd"/>
      <w:r w:rsidRPr="00FC2DDF">
        <w:rPr>
          <w:color w:val="000000"/>
          <w:sz w:val="19"/>
          <w:szCs w:val="19"/>
        </w:rPr>
        <w:t>) were not routinely provided to Sponsor personnel involved in the conduct of the study until all data for the double-blind period were monitored, the database locked for this study period, and the primary analysis completed.</w:t>
      </w:r>
    </w:p>
    <w:p w14:paraId="13BE40FF" w14:textId="77D9A195" w:rsidR="00460033" w:rsidRPr="00FC2DDF" w:rsidRDefault="00460033" w:rsidP="00FC2DDF">
      <w:pPr>
        <w:pStyle w:val="FootnoteText"/>
        <w:rPr>
          <w:color w:val="000000"/>
          <w:sz w:val="19"/>
          <w:szCs w:val="19"/>
        </w:rPr>
      </w:pPr>
      <w:r w:rsidRPr="00FC2DDF">
        <w:rPr>
          <w:color w:val="000000"/>
          <w:sz w:val="19"/>
          <w:szCs w:val="19"/>
        </w:rPr>
        <w:t xml:space="preserve">Individual results for </w:t>
      </w:r>
      <w:proofErr w:type="spellStart"/>
      <w:r w:rsidRPr="00FC2DDF">
        <w:rPr>
          <w:color w:val="000000"/>
          <w:sz w:val="19"/>
          <w:szCs w:val="19"/>
        </w:rPr>
        <w:t>sebelipase</w:t>
      </w:r>
      <w:proofErr w:type="spellEnd"/>
      <w:r w:rsidRPr="00FC2DDF">
        <w:rPr>
          <w:color w:val="000000"/>
          <w:sz w:val="19"/>
          <w:szCs w:val="19"/>
        </w:rPr>
        <w:t xml:space="preserve"> alfa serum concentrations and ADAs were not provided to the study sites, or any Sponsor personnel involved in the conduct of the study, until after all data for the double-blind period were monitored and the database locked for this study period.</w:t>
      </w:r>
    </w:p>
    <w:p w14:paraId="602C25FC" w14:textId="77777777" w:rsidR="00460033" w:rsidRPr="00FC2DDF" w:rsidRDefault="00460033" w:rsidP="00FC2DDF">
      <w:pPr>
        <w:pStyle w:val="FootnoteText"/>
        <w:rPr>
          <w:color w:val="000000"/>
          <w:sz w:val="19"/>
          <w:szCs w:val="19"/>
        </w:rPr>
      </w:pPr>
      <w:r w:rsidRPr="00FC2DDF">
        <w:rPr>
          <w:color w:val="000000"/>
          <w:sz w:val="19"/>
          <w:szCs w:val="19"/>
        </w:rPr>
        <w:t>Local MRI readings and liver biopsy pathology were not performed during the double-blind period, unless required for safety purposes or to comply with institutional procedures.</w:t>
      </w:r>
    </w:p>
    <w:p w14:paraId="18BA15BB" w14:textId="77777777" w:rsidR="00460033" w:rsidRPr="00FC2DDF" w:rsidRDefault="00460033" w:rsidP="00FC2DDF">
      <w:pPr>
        <w:pStyle w:val="FootnoteText"/>
        <w:rPr>
          <w:color w:val="000000"/>
          <w:sz w:val="19"/>
          <w:szCs w:val="19"/>
        </w:rPr>
      </w:pPr>
      <w:proofErr w:type="spellStart"/>
      <w:r w:rsidRPr="00FC2DDF">
        <w:rPr>
          <w:color w:val="000000"/>
          <w:sz w:val="19"/>
          <w:szCs w:val="19"/>
        </w:rPr>
        <w:t>Unblinding</w:t>
      </w:r>
      <w:proofErr w:type="spellEnd"/>
      <w:r w:rsidRPr="00FC2DDF">
        <w:rPr>
          <w:color w:val="000000"/>
          <w:sz w:val="19"/>
          <w:szCs w:val="19"/>
        </w:rPr>
        <w:t xml:space="preserve"> for the purpose of safety reporting was managed by the sponsor’s pharmacovigilance personnel.</w:t>
      </w:r>
    </w:p>
  </w:footnote>
  <w:footnote w:id="20">
    <w:p w14:paraId="35E070F7" w14:textId="63155102" w:rsidR="00460033" w:rsidRPr="00FE2AA6" w:rsidRDefault="00460033" w:rsidP="009B76F2">
      <w:pPr>
        <w:pStyle w:val="FootnoteText"/>
        <w:rPr>
          <w:sz w:val="19"/>
          <w:szCs w:val="19"/>
        </w:rPr>
      </w:pPr>
      <w:r w:rsidRPr="00FE2AA6">
        <w:rPr>
          <w:rStyle w:val="FootnoteReference"/>
          <w:sz w:val="19"/>
          <w:szCs w:val="19"/>
        </w:rPr>
        <w:footnoteRef/>
      </w:r>
      <w:r w:rsidRPr="00FE2AA6">
        <w:rPr>
          <w:sz w:val="19"/>
          <w:szCs w:val="19"/>
        </w:rPr>
        <w:t xml:space="preserve"> SMI: normal/low </w:t>
      </w:r>
      <w:r>
        <w:rPr>
          <w:sz w:val="19"/>
          <w:szCs w:val="19"/>
        </w:rPr>
        <w:t>((</w:t>
      </w:r>
      <w:r w:rsidRPr="00FE2AA6">
        <w:rPr>
          <w:sz w:val="19"/>
          <w:szCs w:val="19"/>
        </w:rPr>
        <w:t>&lt; 25.0 kg/m</w:t>
      </w:r>
      <w:r w:rsidRPr="00FE2AA6">
        <w:rPr>
          <w:sz w:val="19"/>
          <w:szCs w:val="19"/>
          <w:vertAlign w:val="superscript"/>
        </w:rPr>
        <w:t>2</w:t>
      </w:r>
      <w:r>
        <w:rPr>
          <w:sz w:val="19"/>
          <w:szCs w:val="19"/>
        </w:rPr>
        <w:t>))</w:t>
      </w:r>
      <w:r w:rsidRPr="00FE2AA6">
        <w:rPr>
          <w:sz w:val="19"/>
          <w:szCs w:val="19"/>
        </w:rPr>
        <w:t xml:space="preserve">, overweight </w:t>
      </w:r>
      <w:r>
        <w:rPr>
          <w:sz w:val="19"/>
          <w:szCs w:val="19"/>
        </w:rPr>
        <w:t>(</w:t>
      </w:r>
      <w:r w:rsidRPr="00FE2AA6">
        <w:rPr>
          <w:sz w:val="19"/>
          <w:szCs w:val="19"/>
        </w:rPr>
        <w:t>25.0 to 29.9 kg/m</w:t>
      </w:r>
      <w:r w:rsidRPr="00FE2AA6">
        <w:rPr>
          <w:sz w:val="19"/>
          <w:szCs w:val="19"/>
          <w:vertAlign w:val="superscript"/>
        </w:rPr>
        <w:t>2</w:t>
      </w:r>
      <w:r>
        <w:rPr>
          <w:sz w:val="19"/>
          <w:szCs w:val="19"/>
        </w:rPr>
        <w:t>)</w:t>
      </w:r>
      <w:r w:rsidRPr="00FE2AA6">
        <w:rPr>
          <w:sz w:val="19"/>
          <w:szCs w:val="19"/>
        </w:rPr>
        <w:t xml:space="preserve">, obese </w:t>
      </w:r>
      <w:r>
        <w:rPr>
          <w:sz w:val="19"/>
          <w:szCs w:val="19"/>
        </w:rPr>
        <w:t>(</w:t>
      </w:r>
      <w:r w:rsidRPr="00FE2AA6">
        <w:rPr>
          <w:sz w:val="19"/>
          <w:szCs w:val="19"/>
        </w:rPr>
        <w:t xml:space="preserve">≥ </w:t>
      </w:r>
      <w:proofErr w:type="gramStart"/>
      <w:r w:rsidRPr="00FE2AA6">
        <w:rPr>
          <w:sz w:val="19"/>
          <w:szCs w:val="19"/>
        </w:rPr>
        <w:t>30.0 kg/m</w:t>
      </w:r>
      <w:r w:rsidRPr="00FE2AA6">
        <w:rPr>
          <w:sz w:val="19"/>
          <w:szCs w:val="19"/>
          <w:vertAlign w:val="superscript"/>
        </w:rPr>
        <w:t>2</w:t>
      </w:r>
      <w:proofErr w:type="gramEnd"/>
      <w:r>
        <w:rPr>
          <w:sz w:val="19"/>
          <w:szCs w:val="19"/>
        </w:rPr>
        <w:t>).</w:t>
      </w:r>
    </w:p>
  </w:footnote>
  <w:footnote w:id="21">
    <w:p w14:paraId="6FDC8F67" w14:textId="593C6CC0" w:rsidR="00460033" w:rsidRPr="00FC2DDF" w:rsidRDefault="00460033" w:rsidP="009B76F2">
      <w:pPr>
        <w:pStyle w:val="FootnoteText"/>
        <w:rPr>
          <w:sz w:val="19"/>
          <w:szCs w:val="19"/>
        </w:rPr>
      </w:pPr>
      <w:r w:rsidRPr="00FE2AA6">
        <w:rPr>
          <w:rStyle w:val="FootnoteReference"/>
          <w:rFonts w:asciiTheme="minorHAnsi" w:hAnsiTheme="minorHAnsi"/>
          <w:sz w:val="19"/>
          <w:szCs w:val="19"/>
        </w:rPr>
        <w:footnoteRef/>
      </w:r>
      <w:r w:rsidRPr="00FE2AA6">
        <w:rPr>
          <w:sz w:val="19"/>
          <w:szCs w:val="19"/>
        </w:rPr>
        <w:t xml:space="preserve"> Baseline LDL-c (normal/low </w:t>
      </w:r>
      <w:r>
        <w:rPr>
          <w:sz w:val="19"/>
          <w:szCs w:val="19"/>
        </w:rPr>
        <w:t>(</w:t>
      </w:r>
      <w:r w:rsidRPr="00FE2AA6">
        <w:rPr>
          <w:sz w:val="19"/>
          <w:szCs w:val="19"/>
        </w:rPr>
        <w:t>&lt; 130 mg/</w:t>
      </w:r>
      <w:proofErr w:type="spellStart"/>
      <w:r w:rsidRPr="00FE2AA6">
        <w:rPr>
          <w:sz w:val="19"/>
          <w:szCs w:val="19"/>
        </w:rPr>
        <w:t>dL</w:t>
      </w:r>
      <w:proofErr w:type="spellEnd"/>
      <w:r>
        <w:rPr>
          <w:sz w:val="19"/>
          <w:szCs w:val="19"/>
        </w:rPr>
        <w:t>)</w:t>
      </w:r>
      <w:r w:rsidRPr="00FE2AA6">
        <w:rPr>
          <w:sz w:val="19"/>
          <w:szCs w:val="19"/>
        </w:rPr>
        <w:t xml:space="preserve">, high </w:t>
      </w:r>
      <w:r>
        <w:rPr>
          <w:sz w:val="19"/>
          <w:szCs w:val="19"/>
        </w:rPr>
        <w:t>(</w:t>
      </w:r>
      <w:r w:rsidRPr="00FE2AA6">
        <w:rPr>
          <w:sz w:val="19"/>
          <w:szCs w:val="19"/>
        </w:rPr>
        <w:t>≥ 130 mg/</w:t>
      </w:r>
      <w:proofErr w:type="spellStart"/>
      <w:r w:rsidRPr="00FE2AA6">
        <w:rPr>
          <w:sz w:val="19"/>
          <w:szCs w:val="19"/>
        </w:rPr>
        <w:t>dL</w:t>
      </w:r>
      <w:proofErr w:type="spellEnd"/>
      <w:r w:rsidRPr="00FE2AA6">
        <w:rPr>
          <w:sz w:val="19"/>
          <w:szCs w:val="19"/>
        </w:rPr>
        <w:t xml:space="preserve"> to &lt; 190 mg/</w:t>
      </w:r>
      <w:proofErr w:type="spellStart"/>
      <w:r w:rsidRPr="00FE2AA6">
        <w:rPr>
          <w:sz w:val="19"/>
          <w:szCs w:val="19"/>
        </w:rPr>
        <w:t>dL</w:t>
      </w:r>
      <w:proofErr w:type="spellEnd"/>
      <w:r>
        <w:rPr>
          <w:sz w:val="19"/>
          <w:szCs w:val="19"/>
        </w:rPr>
        <w:t>)</w:t>
      </w:r>
      <w:proofErr w:type="gramStart"/>
      <w:r w:rsidRPr="00FE2AA6">
        <w:rPr>
          <w:sz w:val="19"/>
          <w:szCs w:val="19"/>
        </w:rPr>
        <w:t>,very</w:t>
      </w:r>
      <w:proofErr w:type="gramEnd"/>
      <w:r w:rsidRPr="00FE2AA6">
        <w:rPr>
          <w:sz w:val="19"/>
          <w:szCs w:val="19"/>
        </w:rPr>
        <w:t xml:space="preserve"> high </w:t>
      </w:r>
      <w:r>
        <w:rPr>
          <w:sz w:val="19"/>
          <w:szCs w:val="19"/>
        </w:rPr>
        <w:t>(</w:t>
      </w:r>
      <w:r w:rsidRPr="00FE2AA6">
        <w:rPr>
          <w:sz w:val="19"/>
          <w:szCs w:val="19"/>
        </w:rPr>
        <w:t>≥ 190mg/</w:t>
      </w:r>
      <w:proofErr w:type="spellStart"/>
      <w:r w:rsidRPr="00FE2AA6">
        <w:rPr>
          <w:sz w:val="19"/>
          <w:szCs w:val="19"/>
        </w:rPr>
        <w:t>dL</w:t>
      </w:r>
      <w:proofErr w:type="spellEnd"/>
      <w:r>
        <w:rPr>
          <w:sz w:val="19"/>
          <w:szCs w:val="19"/>
        </w:rPr>
        <w:t xml:space="preserve">) </w:t>
      </w:r>
      <w:r w:rsidRPr="00FE2AA6">
        <w:rPr>
          <w:sz w:val="19"/>
          <w:szCs w:val="19"/>
        </w:rPr>
        <w:t xml:space="preserve">Baseline TG (normal/low </w:t>
      </w:r>
      <w:r>
        <w:rPr>
          <w:sz w:val="19"/>
          <w:szCs w:val="19"/>
        </w:rPr>
        <w:t>(</w:t>
      </w:r>
      <w:r w:rsidRPr="00FE2AA6">
        <w:rPr>
          <w:sz w:val="19"/>
          <w:szCs w:val="19"/>
        </w:rPr>
        <w:t>&lt; 200 mg/</w:t>
      </w:r>
      <w:proofErr w:type="spellStart"/>
      <w:r w:rsidRPr="00FE2AA6">
        <w:rPr>
          <w:sz w:val="19"/>
          <w:szCs w:val="19"/>
        </w:rPr>
        <w:t>dL</w:t>
      </w:r>
      <w:proofErr w:type="spellEnd"/>
      <w:r>
        <w:rPr>
          <w:sz w:val="19"/>
          <w:szCs w:val="19"/>
        </w:rPr>
        <w:t>)</w:t>
      </w:r>
      <w:r w:rsidRPr="00FE2AA6">
        <w:rPr>
          <w:sz w:val="19"/>
          <w:szCs w:val="19"/>
        </w:rPr>
        <w:t xml:space="preserve">, high </w:t>
      </w:r>
      <w:r>
        <w:rPr>
          <w:sz w:val="19"/>
          <w:szCs w:val="19"/>
        </w:rPr>
        <w:t>(</w:t>
      </w:r>
      <w:r w:rsidRPr="00FE2AA6">
        <w:rPr>
          <w:sz w:val="19"/>
          <w:szCs w:val="19"/>
        </w:rPr>
        <w:t>≥ 200 mg/</w:t>
      </w:r>
      <w:proofErr w:type="spellStart"/>
      <w:r w:rsidRPr="00FE2AA6">
        <w:rPr>
          <w:sz w:val="19"/>
          <w:szCs w:val="19"/>
        </w:rPr>
        <w:t>dL</w:t>
      </w:r>
      <w:proofErr w:type="spellEnd"/>
      <w:r w:rsidRPr="00FE2AA6">
        <w:rPr>
          <w:sz w:val="19"/>
          <w:szCs w:val="19"/>
        </w:rPr>
        <w:t xml:space="preserve"> to &lt; 500 mg/</w:t>
      </w:r>
      <w:proofErr w:type="spellStart"/>
      <w:r w:rsidRPr="00FE2AA6">
        <w:rPr>
          <w:sz w:val="19"/>
          <w:szCs w:val="19"/>
        </w:rPr>
        <w:t>dL</w:t>
      </w:r>
      <w:proofErr w:type="spellEnd"/>
      <w:r>
        <w:rPr>
          <w:sz w:val="19"/>
          <w:szCs w:val="19"/>
        </w:rPr>
        <w:t>)</w:t>
      </w:r>
      <w:r w:rsidRPr="00FE2AA6">
        <w:rPr>
          <w:sz w:val="19"/>
          <w:szCs w:val="19"/>
        </w:rPr>
        <w:t xml:space="preserve">, very high </w:t>
      </w:r>
      <w:r>
        <w:rPr>
          <w:sz w:val="19"/>
          <w:szCs w:val="19"/>
        </w:rPr>
        <w:t>(</w:t>
      </w:r>
      <w:r w:rsidRPr="00FE2AA6">
        <w:rPr>
          <w:sz w:val="19"/>
          <w:szCs w:val="19"/>
        </w:rPr>
        <w:t>≥ 500 mg/</w:t>
      </w:r>
      <w:proofErr w:type="spellStart"/>
      <w:r w:rsidRPr="00FE2AA6">
        <w:rPr>
          <w:sz w:val="19"/>
          <w:szCs w:val="19"/>
        </w:rPr>
        <w:t>dL</w:t>
      </w:r>
      <w:proofErr w:type="spellEnd"/>
      <w:r>
        <w:rPr>
          <w:sz w:val="19"/>
          <w:szCs w:val="19"/>
        </w:rPr>
        <w:t>).</w:t>
      </w:r>
    </w:p>
  </w:footnote>
  <w:footnote w:id="22">
    <w:p w14:paraId="7B7654D5" w14:textId="77777777" w:rsidR="00460033" w:rsidRPr="004F183D" w:rsidRDefault="00460033" w:rsidP="00B866BC">
      <w:pPr>
        <w:pStyle w:val="FootnoteText"/>
        <w:rPr>
          <w:sz w:val="18"/>
          <w:szCs w:val="18"/>
        </w:rPr>
      </w:pPr>
      <w:r w:rsidRPr="004F183D">
        <w:rPr>
          <w:rStyle w:val="FootnoteReference"/>
          <w:sz w:val="18"/>
          <w:szCs w:val="18"/>
        </w:rPr>
        <w:footnoteRef/>
      </w:r>
      <w:r w:rsidRPr="004F183D">
        <w:rPr>
          <w:sz w:val="18"/>
          <w:szCs w:val="18"/>
        </w:rPr>
        <w:t xml:space="preserve"> </w:t>
      </w:r>
      <w:r w:rsidRPr="00FE2AA6">
        <w:rPr>
          <w:sz w:val="19"/>
          <w:szCs w:val="19"/>
        </w:rPr>
        <w:t xml:space="preserve">NAFLD medications included </w:t>
      </w:r>
      <w:proofErr w:type="spellStart"/>
      <w:r w:rsidRPr="00FE2AA6">
        <w:rPr>
          <w:sz w:val="19"/>
          <w:szCs w:val="19"/>
        </w:rPr>
        <w:t>glitazones</w:t>
      </w:r>
      <w:proofErr w:type="spellEnd"/>
      <w:r w:rsidRPr="00FE2AA6">
        <w:rPr>
          <w:sz w:val="19"/>
          <w:szCs w:val="19"/>
        </w:rPr>
        <w:t>, high-dose vitamin E, metformin, and UDCA.</w:t>
      </w:r>
    </w:p>
  </w:footnote>
  <w:footnote w:id="23">
    <w:p w14:paraId="05A1574F" w14:textId="77777777" w:rsidR="00460033" w:rsidRPr="00E57011" w:rsidRDefault="00460033" w:rsidP="00E57011">
      <w:pPr>
        <w:pStyle w:val="FootnoteText"/>
        <w:rPr>
          <w:sz w:val="18"/>
          <w:szCs w:val="18"/>
        </w:rPr>
      </w:pPr>
      <w:r w:rsidRPr="00E57011">
        <w:rPr>
          <w:rStyle w:val="FootnoteReference"/>
          <w:rFonts w:asciiTheme="minorHAnsi" w:hAnsiTheme="minorHAnsi"/>
          <w:sz w:val="18"/>
          <w:szCs w:val="18"/>
        </w:rPr>
        <w:footnoteRef/>
      </w:r>
      <w:r w:rsidRPr="00E57011">
        <w:rPr>
          <w:sz w:val="18"/>
          <w:szCs w:val="18"/>
        </w:rPr>
        <w:t xml:space="preserve"> Improvement in liver histopathology was defined as a decrease of ≥ 5% in hepatic steatosis score, as assessed by morphometry of H&amp;E sections, between the last time point in the double-blind period and baseline</w:t>
      </w:r>
    </w:p>
  </w:footnote>
  <w:footnote w:id="24">
    <w:p w14:paraId="199F22C8" w14:textId="77777777" w:rsidR="00460033" w:rsidRPr="00A87AAC" w:rsidRDefault="00460033" w:rsidP="00A87AAC">
      <w:pPr>
        <w:pStyle w:val="FootnoteText"/>
        <w:rPr>
          <w:sz w:val="18"/>
          <w:szCs w:val="18"/>
        </w:rPr>
      </w:pPr>
      <w:r w:rsidRPr="00A87AAC">
        <w:rPr>
          <w:rStyle w:val="FootnoteReference"/>
          <w:rFonts w:asciiTheme="minorHAnsi" w:hAnsiTheme="minorHAnsi"/>
          <w:sz w:val="18"/>
          <w:szCs w:val="18"/>
        </w:rPr>
        <w:footnoteRef/>
      </w:r>
      <w:r w:rsidRPr="00A87AAC">
        <w:rPr>
          <w:sz w:val="18"/>
          <w:szCs w:val="18"/>
        </w:rPr>
        <w:t xml:space="preserve"> NMR-based lipoprotein analysis was used to determine both the total number of particles and particle size for HDL and LDL</w:t>
      </w:r>
    </w:p>
  </w:footnote>
  <w:footnote w:id="25">
    <w:p w14:paraId="09060529" w14:textId="77777777" w:rsidR="00460033" w:rsidRPr="00131B1C" w:rsidRDefault="00460033" w:rsidP="00934213">
      <w:pPr>
        <w:pStyle w:val="FootnoteText"/>
        <w:rPr>
          <w:sz w:val="18"/>
          <w:szCs w:val="18"/>
        </w:rPr>
      </w:pPr>
      <w:r w:rsidRPr="00131B1C">
        <w:rPr>
          <w:rStyle w:val="FootnoteReference"/>
          <w:sz w:val="18"/>
          <w:szCs w:val="18"/>
        </w:rPr>
        <w:footnoteRef/>
      </w:r>
      <w:r w:rsidRPr="00131B1C">
        <w:rPr>
          <w:sz w:val="18"/>
          <w:szCs w:val="18"/>
        </w:rPr>
        <w:t xml:space="preserve"> </w:t>
      </w:r>
      <w:r w:rsidRPr="00131B1C">
        <w:rPr>
          <w:rFonts w:cs="Calibri"/>
          <w:sz w:val="18"/>
          <w:szCs w:val="18"/>
        </w:rPr>
        <w:t xml:space="preserve">In the preclinical rat LAL Deficiency disease model, increases in serum transaminases were observed with disease progression and this was associated with increases in liver cholesterol ester content, and the severity of the liver pathology. With </w:t>
      </w:r>
      <w:proofErr w:type="spellStart"/>
      <w:r w:rsidRPr="00131B1C">
        <w:rPr>
          <w:rFonts w:cs="Calibri"/>
          <w:sz w:val="18"/>
          <w:szCs w:val="18"/>
        </w:rPr>
        <w:t>sebelipase</w:t>
      </w:r>
      <w:proofErr w:type="spellEnd"/>
      <w:r w:rsidRPr="00131B1C">
        <w:rPr>
          <w:rFonts w:cs="Calibri"/>
          <w:sz w:val="18"/>
          <w:szCs w:val="18"/>
        </w:rPr>
        <w:t xml:space="preserve"> alfa treatment, decreases were observed in serum</w:t>
      </w:r>
      <w:r w:rsidRPr="00131B1C">
        <w:rPr>
          <w:rFonts w:cs="Calibri"/>
          <w:color w:val="000000"/>
          <w:sz w:val="18"/>
          <w:szCs w:val="18"/>
        </w:rPr>
        <w:t xml:space="preserve"> transaminases which were associated with concordant decreases in liver cholesterol ester content, and the severity of the liver pathology. These findings suggest that reductions in serum transaminases in LAL Deficiency can be used to assess disease response to treatment and reflect broad impact of drug effects.</w:t>
      </w:r>
    </w:p>
  </w:footnote>
  <w:footnote w:id="26">
    <w:p w14:paraId="4700B9B4" w14:textId="77777777" w:rsidR="00460033" w:rsidRPr="00131B1C" w:rsidRDefault="00460033" w:rsidP="00131B1C">
      <w:pPr>
        <w:pStyle w:val="FootnoteText"/>
        <w:rPr>
          <w:sz w:val="18"/>
          <w:szCs w:val="18"/>
        </w:rPr>
      </w:pPr>
      <w:r w:rsidRPr="00131B1C">
        <w:rPr>
          <w:rStyle w:val="FootnoteReference"/>
          <w:sz w:val="18"/>
          <w:szCs w:val="18"/>
        </w:rPr>
        <w:footnoteRef/>
      </w:r>
      <w:r w:rsidRPr="00131B1C">
        <w:rPr>
          <w:sz w:val="18"/>
          <w:szCs w:val="18"/>
        </w:rPr>
        <w:t xml:space="preserve"> One subject initiated treatment with </w:t>
      </w:r>
      <w:proofErr w:type="spellStart"/>
      <w:r w:rsidRPr="00131B1C">
        <w:rPr>
          <w:sz w:val="18"/>
          <w:szCs w:val="18"/>
        </w:rPr>
        <w:t>sebelipase</w:t>
      </w:r>
      <w:proofErr w:type="spellEnd"/>
      <w:r w:rsidRPr="00131B1C">
        <w:rPr>
          <w:sz w:val="18"/>
          <w:szCs w:val="18"/>
        </w:rPr>
        <w:t xml:space="preserve"> alfa under a Temporary Use Authorisation (</w:t>
      </w:r>
      <w:proofErr w:type="spellStart"/>
      <w:r w:rsidRPr="00131B1C">
        <w:rPr>
          <w:sz w:val="18"/>
          <w:szCs w:val="18"/>
        </w:rPr>
        <w:t>Autorisation</w:t>
      </w:r>
      <w:proofErr w:type="spellEnd"/>
      <w:r w:rsidRPr="00131B1C">
        <w:rPr>
          <w:sz w:val="18"/>
          <w:szCs w:val="18"/>
        </w:rPr>
        <w:t xml:space="preserve"> </w:t>
      </w:r>
      <w:proofErr w:type="spellStart"/>
      <w:r w:rsidRPr="00131B1C">
        <w:rPr>
          <w:sz w:val="18"/>
          <w:szCs w:val="18"/>
        </w:rPr>
        <w:t>Temporaire</w:t>
      </w:r>
      <w:proofErr w:type="spellEnd"/>
      <w:r w:rsidRPr="00131B1C">
        <w:rPr>
          <w:sz w:val="18"/>
          <w:szCs w:val="18"/>
        </w:rPr>
        <w:t xml:space="preserve"> </w:t>
      </w:r>
      <w:proofErr w:type="spellStart"/>
      <w:r w:rsidRPr="00131B1C">
        <w:rPr>
          <w:sz w:val="18"/>
          <w:szCs w:val="18"/>
        </w:rPr>
        <w:t>d'Utilisation</w:t>
      </w:r>
      <w:proofErr w:type="spellEnd"/>
      <w:r w:rsidRPr="00131B1C">
        <w:rPr>
          <w:sz w:val="18"/>
          <w:szCs w:val="18"/>
        </w:rPr>
        <w:t xml:space="preserve">; ATU) prior to enrolling in LAL-CL03; this subject received a gradual dose escalation from 0.2 mg/kg to 1 mg/kg over a period of 4 weeks under the ATU and thereafter continued on a dose of 1 mg/kg </w:t>
      </w:r>
      <w:proofErr w:type="spellStart"/>
      <w:r w:rsidRPr="00131B1C">
        <w:rPr>
          <w:sz w:val="18"/>
          <w:szCs w:val="18"/>
        </w:rPr>
        <w:t>qw</w:t>
      </w:r>
      <w:proofErr w:type="spellEnd"/>
      <w:r w:rsidRPr="00131B1C">
        <w:rPr>
          <w:sz w:val="18"/>
          <w:szCs w:val="18"/>
        </w:rPr>
        <w:t xml:space="preserve"> and w</w:t>
      </w:r>
      <w:r>
        <w:rPr>
          <w:sz w:val="18"/>
          <w:szCs w:val="18"/>
        </w:rPr>
        <w:t>as transitioned into extension S</w:t>
      </w:r>
      <w:r w:rsidRPr="00131B1C">
        <w:rPr>
          <w:sz w:val="18"/>
          <w:szCs w:val="18"/>
        </w:rPr>
        <w:t>tudy</w:t>
      </w:r>
      <w:r>
        <w:rPr>
          <w:sz w:val="18"/>
          <w:szCs w:val="18"/>
        </w:rPr>
        <w:t xml:space="preserve"> </w:t>
      </w:r>
      <w:r w:rsidRPr="00131B1C">
        <w:rPr>
          <w:sz w:val="18"/>
          <w:szCs w:val="18"/>
        </w:rPr>
        <w:t>LAL-CL05 (Week 40)</w:t>
      </w:r>
      <w:r>
        <w:rPr>
          <w:sz w:val="18"/>
          <w:szCs w:val="18"/>
        </w:rPr>
        <w:t xml:space="preserve"> and then into S</w:t>
      </w:r>
      <w:r w:rsidRPr="00131B1C">
        <w:rPr>
          <w:sz w:val="18"/>
          <w:szCs w:val="18"/>
        </w:rPr>
        <w:t>tudy LAL-CL03 (Week 85) at this dose.</w:t>
      </w:r>
    </w:p>
  </w:footnote>
  <w:footnote w:id="27">
    <w:p w14:paraId="01E116FF" w14:textId="77777777" w:rsidR="00460033" w:rsidRPr="00CA49B4" w:rsidRDefault="00460033" w:rsidP="00934213">
      <w:pPr>
        <w:autoSpaceDE w:val="0"/>
        <w:autoSpaceDN w:val="0"/>
        <w:adjustRightInd w:val="0"/>
        <w:spacing w:before="0" w:after="0" w:line="240" w:lineRule="auto"/>
        <w:rPr>
          <w:sz w:val="16"/>
          <w:szCs w:val="16"/>
        </w:rPr>
      </w:pPr>
      <w:r w:rsidRPr="00CA49B4">
        <w:rPr>
          <w:rStyle w:val="FootnoteReference"/>
          <w:sz w:val="16"/>
          <w:szCs w:val="16"/>
        </w:rPr>
        <w:footnoteRef/>
      </w:r>
      <w:r w:rsidRPr="00CA49B4">
        <w:rPr>
          <w:sz w:val="16"/>
          <w:szCs w:val="16"/>
        </w:rPr>
        <w:t xml:space="preserve"> </w:t>
      </w:r>
      <w:r w:rsidRPr="00CA49B4">
        <w:rPr>
          <w:rFonts w:asciiTheme="minorHAnsi" w:eastAsiaTheme="minorHAnsi" w:hAnsiTheme="minorHAnsi" w:cs="TimesNewRomanPSMT"/>
          <w:sz w:val="16"/>
          <w:szCs w:val="16"/>
        </w:rPr>
        <w:t>The</w:t>
      </w:r>
      <w:r>
        <w:rPr>
          <w:rFonts w:asciiTheme="minorHAnsi" w:eastAsiaTheme="minorHAnsi" w:hAnsiTheme="minorHAnsi" w:cs="TimesNewRomanPSMT"/>
          <w:sz w:val="16"/>
          <w:szCs w:val="16"/>
        </w:rPr>
        <w:t xml:space="preserve"> </w:t>
      </w:r>
      <w:r w:rsidRPr="00CA49B4">
        <w:rPr>
          <w:rFonts w:asciiTheme="minorHAnsi" w:eastAsiaTheme="minorHAnsi" w:hAnsiTheme="minorHAnsi" w:cs="TimesNewRomanPSMT"/>
          <w:sz w:val="16"/>
          <w:szCs w:val="16"/>
        </w:rPr>
        <w:t>one subject with a DBS result slightly outside the affected range had a PBMC result below</w:t>
      </w:r>
      <w:r>
        <w:rPr>
          <w:rFonts w:asciiTheme="minorHAnsi" w:eastAsiaTheme="minorHAnsi" w:hAnsiTheme="minorHAnsi" w:cs="TimesNewRomanPSMT"/>
          <w:sz w:val="16"/>
          <w:szCs w:val="16"/>
        </w:rPr>
        <w:t xml:space="preserve"> </w:t>
      </w:r>
      <w:r w:rsidRPr="00CA49B4">
        <w:rPr>
          <w:rFonts w:asciiTheme="minorHAnsi" w:eastAsiaTheme="minorHAnsi" w:hAnsiTheme="minorHAnsi" w:cs="TimesNewRomanPSMT"/>
          <w:sz w:val="16"/>
          <w:szCs w:val="16"/>
        </w:rPr>
        <w:t>LLN</w:t>
      </w:r>
    </w:p>
  </w:footnote>
  <w:footnote w:id="28">
    <w:p w14:paraId="333BD7A1" w14:textId="77777777" w:rsidR="00460033" w:rsidRPr="00FD1D3C" w:rsidRDefault="00460033" w:rsidP="00FD1D3C">
      <w:pPr>
        <w:pStyle w:val="FootnoteText"/>
        <w:rPr>
          <w:sz w:val="18"/>
          <w:szCs w:val="18"/>
        </w:rPr>
      </w:pPr>
      <w:r w:rsidRPr="00FD1D3C">
        <w:rPr>
          <w:rStyle w:val="FootnoteReference"/>
          <w:sz w:val="18"/>
          <w:szCs w:val="18"/>
        </w:rPr>
        <w:footnoteRef/>
      </w:r>
      <w:r w:rsidRPr="00FD1D3C">
        <w:rPr>
          <w:sz w:val="18"/>
          <w:szCs w:val="18"/>
        </w:rPr>
        <w:t xml:space="preserve"> these subjects had haemoglobin levels consistently above the age-adjusted LLN over a minimum period of 4 weeks, with no transfusions during this period or for 2 weeks prior the first haemoglobin measurement in the period</w:t>
      </w:r>
    </w:p>
  </w:footnote>
  <w:footnote w:id="29">
    <w:p w14:paraId="19CC0EAA" w14:textId="77777777" w:rsidR="00460033" w:rsidRPr="00803642" w:rsidRDefault="00460033" w:rsidP="00803642">
      <w:pPr>
        <w:pStyle w:val="FootnoteText"/>
        <w:rPr>
          <w:sz w:val="18"/>
          <w:szCs w:val="18"/>
        </w:rPr>
      </w:pPr>
      <w:r w:rsidRPr="00803642">
        <w:rPr>
          <w:rStyle w:val="FootnoteReference"/>
          <w:sz w:val="18"/>
          <w:szCs w:val="18"/>
        </w:rPr>
        <w:footnoteRef/>
      </w:r>
      <w:r w:rsidRPr="00803642">
        <w:rPr>
          <w:sz w:val="18"/>
          <w:szCs w:val="18"/>
        </w:rPr>
        <w:t xml:space="preserve"> The interval between dosing in LAL-CL01 and LAL-CL04 ranged from 9 to 28 weeks.</w:t>
      </w:r>
    </w:p>
  </w:footnote>
  <w:footnote w:id="30">
    <w:p w14:paraId="445B4BB3" w14:textId="77777777" w:rsidR="00460033" w:rsidRPr="00803642" w:rsidRDefault="00460033" w:rsidP="00803642">
      <w:pPr>
        <w:pStyle w:val="FootnoteText"/>
        <w:rPr>
          <w:sz w:val="18"/>
          <w:szCs w:val="18"/>
        </w:rPr>
      </w:pPr>
      <w:r w:rsidRPr="00803642">
        <w:rPr>
          <w:rStyle w:val="FootnoteReference"/>
          <w:rFonts w:asciiTheme="minorHAnsi" w:hAnsiTheme="minorHAnsi"/>
          <w:sz w:val="18"/>
          <w:szCs w:val="18"/>
        </w:rPr>
        <w:footnoteRef/>
      </w:r>
      <w:r w:rsidRPr="00803642">
        <w:rPr>
          <w:sz w:val="18"/>
          <w:szCs w:val="18"/>
        </w:rPr>
        <w:t xml:space="preserve"> Suboptimal clinical response is defined as clinically important manifestations of LAL Deficiency on clinical examination, laboratory assessment, liver biopsy or imaging which have either</w:t>
      </w:r>
      <w:r>
        <w:rPr>
          <w:rFonts w:cs="SymbolMT"/>
          <w:sz w:val="18"/>
          <w:szCs w:val="18"/>
        </w:rPr>
        <w:t xml:space="preserve">: </w:t>
      </w:r>
      <w:r w:rsidRPr="00803642">
        <w:rPr>
          <w:sz w:val="18"/>
          <w:szCs w:val="18"/>
        </w:rPr>
        <w:t xml:space="preserve">not improved from Baseline, </w:t>
      </w:r>
      <w:r>
        <w:rPr>
          <w:rFonts w:cs="SymbolMT"/>
          <w:sz w:val="18"/>
          <w:szCs w:val="18"/>
        </w:rPr>
        <w:t>or</w:t>
      </w:r>
      <w:r w:rsidRPr="00803642">
        <w:rPr>
          <w:rFonts w:cs="SymbolMT"/>
          <w:sz w:val="18"/>
          <w:szCs w:val="18"/>
        </w:rPr>
        <w:t xml:space="preserve"> </w:t>
      </w:r>
      <w:r w:rsidRPr="00803642">
        <w:rPr>
          <w:sz w:val="18"/>
          <w:szCs w:val="18"/>
        </w:rPr>
        <w:t>improved and plateaued but have not normalised, failed to normalise within 12 months of initiation of treatment. Manifestations include but are not restricted to the following: elevated hepatic transaminases, abnormal liver function or coagulation tests, dyslipidaemia, hepatomegaly, splenomegaly, significant histological abnormalities of the liver, or lymphadenopathy</w:t>
      </w:r>
    </w:p>
  </w:footnote>
  <w:footnote w:id="31">
    <w:p w14:paraId="7D73F7DA" w14:textId="77777777" w:rsidR="00460033" w:rsidRPr="00803642" w:rsidRDefault="00460033" w:rsidP="00803642">
      <w:pPr>
        <w:pStyle w:val="FootnoteText"/>
        <w:rPr>
          <w:sz w:val="18"/>
          <w:szCs w:val="18"/>
        </w:rPr>
      </w:pPr>
      <w:r w:rsidRPr="00803642">
        <w:rPr>
          <w:rStyle w:val="FootnoteReference"/>
          <w:sz w:val="18"/>
          <w:szCs w:val="18"/>
        </w:rPr>
        <w:footnoteRef/>
      </w:r>
      <w:r w:rsidRPr="00803642">
        <w:rPr>
          <w:sz w:val="18"/>
          <w:szCs w:val="18"/>
        </w:rPr>
        <w:t xml:space="preserve"> There were 72 deviations due to missed assessments or visits, 56 deviations due to an incorrect IMP dose (</w:t>
      </w:r>
      <w:r>
        <w:rPr>
          <w:sz w:val="18"/>
          <w:szCs w:val="18"/>
        </w:rPr>
        <w:t>that is</w:t>
      </w:r>
      <w:r w:rsidRPr="00803642">
        <w:rPr>
          <w:sz w:val="18"/>
          <w:szCs w:val="18"/>
        </w:rPr>
        <w:t>, rounding error</w:t>
      </w:r>
      <w:r>
        <w:rPr>
          <w:sz w:val="18"/>
          <w:szCs w:val="18"/>
        </w:rPr>
        <w:t xml:space="preserve"> </w:t>
      </w:r>
      <w:r w:rsidRPr="00803642">
        <w:rPr>
          <w:sz w:val="18"/>
          <w:szCs w:val="18"/>
        </w:rPr>
        <w:t>or weight from previous visit used to calculate), 30 deviations due to study procedures outside the visit window, 8 deviations due to labs not done, and 53 other deviations.</w:t>
      </w:r>
    </w:p>
  </w:footnote>
  <w:footnote w:id="32">
    <w:p w14:paraId="64F860A0" w14:textId="77777777" w:rsidR="00460033" w:rsidRPr="00803642" w:rsidRDefault="00460033" w:rsidP="00803642">
      <w:pPr>
        <w:pStyle w:val="FootnoteText"/>
        <w:rPr>
          <w:sz w:val="18"/>
          <w:szCs w:val="18"/>
        </w:rPr>
      </w:pPr>
      <w:r w:rsidRPr="00803642">
        <w:rPr>
          <w:rStyle w:val="FootnoteReference"/>
          <w:rFonts w:asciiTheme="minorHAnsi" w:hAnsiTheme="minorHAnsi"/>
          <w:sz w:val="18"/>
          <w:szCs w:val="18"/>
        </w:rPr>
        <w:footnoteRef/>
      </w:r>
      <w:r w:rsidRPr="00803642">
        <w:rPr>
          <w:sz w:val="18"/>
          <w:szCs w:val="18"/>
        </w:rPr>
        <w:t xml:space="preserve"> Magnetic resonance assessments of liver (and spleen) volume and fat content were performed for the first time at screening in LAL-CL04 after the subjects had received 4 weeks of treatment wi</w:t>
      </w:r>
      <w:r>
        <w:rPr>
          <w:sz w:val="18"/>
          <w:szCs w:val="18"/>
        </w:rPr>
        <w:t xml:space="preserve">th </w:t>
      </w:r>
      <w:proofErr w:type="spellStart"/>
      <w:r>
        <w:rPr>
          <w:sz w:val="18"/>
          <w:szCs w:val="18"/>
        </w:rPr>
        <w:t>sebelipase</w:t>
      </w:r>
      <w:proofErr w:type="spellEnd"/>
      <w:r>
        <w:rPr>
          <w:sz w:val="18"/>
          <w:szCs w:val="18"/>
        </w:rPr>
        <w:t xml:space="preserve"> alfa in LAL-CL01.</w:t>
      </w:r>
    </w:p>
  </w:footnote>
  <w:footnote w:id="33">
    <w:p w14:paraId="279FD2D6" w14:textId="77777777" w:rsidR="00460033" w:rsidRPr="00E71317" w:rsidRDefault="00460033" w:rsidP="00E71317">
      <w:pPr>
        <w:pStyle w:val="FootnoteText"/>
        <w:rPr>
          <w:sz w:val="18"/>
          <w:szCs w:val="18"/>
        </w:rPr>
      </w:pPr>
      <w:r w:rsidRPr="00E71317">
        <w:rPr>
          <w:rStyle w:val="FootnoteReference"/>
          <w:rFonts w:asciiTheme="minorHAnsi" w:hAnsiTheme="minorHAnsi"/>
          <w:sz w:val="18"/>
          <w:szCs w:val="18"/>
        </w:rPr>
        <w:footnoteRef/>
      </w:r>
      <w:r w:rsidRPr="00E71317">
        <w:rPr>
          <w:sz w:val="18"/>
          <w:szCs w:val="18"/>
        </w:rPr>
        <w:t xml:space="preserve"> For technical reasons, screening and Week 10/12 values of liver fat content as assessed by MEGE were not available in 3 of 8 subjects</w:t>
      </w:r>
    </w:p>
  </w:footnote>
  <w:footnote w:id="34">
    <w:p w14:paraId="3968271F" w14:textId="77777777" w:rsidR="00460033" w:rsidRPr="00847442" w:rsidRDefault="00460033" w:rsidP="00847442">
      <w:pPr>
        <w:pStyle w:val="FootnoteText"/>
        <w:rPr>
          <w:sz w:val="18"/>
          <w:szCs w:val="18"/>
        </w:rPr>
      </w:pPr>
      <w:r w:rsidRPr="00847442">
        <w:rPr>
          <w:rStyle w:val="FootnoteReference"/>
          <w:sz w:val="18"/>
          <w:szCs w:val="18"/>
        </w:rPr>
        <w:footnoteRef/>
      </w:r>
      <w:r w:rsidRPr="00847442">
        <w:rPr>
          <w:sz w:val="18"/>
          <w:szCs w:val="18"/>
        </w:rPr>
        <w:t xml:space="preserve"> data cut-off dates between 30 May 2014 and 27 Jun</w:t>
      </w:r>
      <w:r>
        <w:rPr>
          <w:sz w:val="18"/>
          <w:szCs w:val="18"/>
        </w:rPr>
        <w:t>e</w:t>
      </w:r>
      <w:r w:rsidRPr="00847442">
        <w:rPr>
          <w:sz w:val="18"/>
          <w:szCs w:val="18"/>
        </w:rPr>
        <w:t xml:space="preserve"> 2014 (depending on the study)</w:t>
      </w:r>
    </w:p>
  </w:footnote>
  <w:footnote w:id="35">
    <w:p w14:paraId="6BB19FC2" w14:textId="77777777" w:rsidR="00460033" w:rsidRPr="00847442" w:rsidRDefault="00460033" w:rsidP="00847442">
      <w:pPr>
        <w:pStyle w:val="FootnoteText"/>
        <w:rPr>
          <w:sz w:val="18"/>
          <w:szCs w:val="18"/>
        </w:rPr>
      </w:pPr>
      <w:r w:rsidRPr="00847442">
        <w:rPr>
          <w:rStyle w:val="FootnoteReference"/>
          <w:sz w:val="18"/>
          <w:szCs w:val="18"/>
        </w:rPr>
        <w:footnoteRef/>
      </w:r>
      <w:r w:rsidRPr="00847442">
        <w:rPr>
          <w:sz w:val="18"/>
          <w:szCs w:val="18"/>
        </w:rPr>
        <w:t xml:space="preserve"> analysis cut-off date of 26 Jan</w:t>
      </w:r>
      <w:r>
        <w:rPr>
          <w:sz w:val="18"/>
          <w:szCs w:val="18"/>
        </w:rPr>
        <w:t>uary</w:t>
      </w:r>
      <w:r w:rsidRPr="00847442">
        <w:rPr>
          <w:sz w:val="18"/>
          <w:szCs w:val="18"/>
        </w:rPr>
        <w:t xml:space="preserve"> 2015 for all 6 studies</w:t>
      </w:r>
    </w:p>
  </w:footnote>
  <w:footnote w:id="36">
    <w:p w14:paraId="184ACAF8" w14:textId="77777777" w:rsidR="00460033" w:rsidRPr="00EF53B7" w:rsidRDefault="00460033" w:rsidP="00847442">
      <w:pPr>
        <w:pStyle w:val="FootnoteText"/>
        <w:rPr>
          <w:sz w:val="18"/>
          <w:szCs w:val="18"/>
        </w:rPr>
      </w:pPr>
      <w:r w:rsidRPr="00EF53B7">
        <w:rPr>
          <w:rStyle w:val="FootnoteReference"/>
          <w:sz w:val="18"/>
          <w:szCs w:val="18"/>
        </w:rPr>
        <w:footnoteRef/>
      </w:r>
      <w:r w:rsidRPr="00EF53B7">
        <w:rPr>
          <w:sz w:val="18"/>
          <w:szCs w:val="18"/>
        </w:rPr>
        <w:t xml:space="preserve"> </w:t>
      </w:r>
      <w:r w:rsidRPr="00EF53B7">
        <w:rPr>
          <w:rFonts w:asciiTheme="minorHAnsi" w:eastAsiaTheme="minorHAnsi" w:hAnsiTheme="minorHAnsi" w:cs="TimesNewRomanPSMT"/>
          <w:sz w:val="18"/>
          <w:szCs w:val="18"/>
        </w:rPr>
        <w:t>Age-appropriate 12-lead ECGs were obtained during screening; during the double-blind period at Week 20; and during the open-label period at Weeks 42 and 52. (After Week 52, a 12-lead ECG is to be performed every 48 weeks through study completion and at the End of Study visit.) ECGs were reviewed by a qualified clinician, and any abnormalities were specified as clinically significant (CS) or not clinically significant (NCS).</w:t>
      </w:r>
    </w:p>
  </w:footnote>
  <w:footnote w:id="37">
    <w:p w14:paraId="08593861" w14:textId="77777777" w:rsidR="00460033" w:rsidRPr="00EF53B7" w:rsidRDefault="00460033" w:rsidP="00847442">
      <w:pPr>
        <w:pStyle w:val="FootnoteText"/>
        <w:rPr>
          <w:rFonts w:asciiTheme="minorHAnsi" w:eastAsiaTheme="minorHAnsi" w:hAnsiTheme="minorHAnsi" w:cs="TimesNewRomanPSMT"/>
          <w:sz w:val="18"/>
          <w:szCs w:val="18"/>
        </w:rPr>
      </w:pPr>
      <w:r w:rsidRPr="00EF53B7">
        <w:rPr>
          <w:rStyle w:val="FootnoteReference"/>
          <w:sz w:val="18"/>
          <w:szCs w:val="18"/>
        </w:rPr>
        <w:footnoteRef/>
      </w:r>
      <w:r w:rsidRPr="00EF53B7">
        <w:rPr>
          <w:sz w:val="18"/>
          <w:szCs w:val="18"/>
        </w:rPr>
        <w:t xml:space="preserve"> </w:t>
      </w:r>
      <w:r w:rsidRPr="00EF53B7">
        <w:rPr>
          <w:rFonts w:asciiTheme="minorHAnsi" w:eastAsiaTheme="minorHAnsi" w:hAnsiTheme="minorHAnsi" w:cs="TimesNewRomanPSMT"/>
          <w:sz w:val="18"/>
          <w:szCs w:val="18"/>
        </w:rPr>
        <w:t>Blood samples for clinical laboratory tests were collected during Screening and at Weeks 0, 2, 4, 6, 10, 14, 18, and 20 during the double-blind period and Weeks 22, 24, 26, 28, 32, 36, 40, 42, 46, and 50 during the open-label period. (After Week 52, blood samples for clinical laboratory tests are to be collected every 12 weeks through study completion and at the End of Study visit. Blood for ADA also is to be collected at Week 56.) Urine samples for clinical laboratory tests were collected during screening and at Weeks 10 and 20 during the double-blind period and at Weeks 32, 42, and 52 during the open-label period. Additionally, women of childbearing potential also had urine samples collected at Weeks 4, 8 12, 16, and 20 during the double-blind period and Weeks 24, 28, 36, 40, 44, and 48 during the open-label period. (After Week 52, urine samples for urinalysis are to be collected every 12 weeks through study completion and at the End of Study visit.)</w:t>
      </w:r>
    </w:p>
  </w:footnote>
  <w:footnote w:id="38">
    <w:p w14:paraId="61D4A220" w14:textId="77777777" w:rsidR="00460033" w:rsidRPr="00EF53B7" w:rsidRDefault="00460033" w:rsidP="00847442">
      <w:pPr>
        <w:pStyle w:val="FootnoteText"/>
        <w:rPr>
          <w:sz w:val="18"/>
          <w:szCs w:val="18"/>
        </w:rPr>
      </w:pPr>
      <w:r w:rsidRPr="00EF53B7">
        <w:rPr>
          <w:rStyle w:val="FootnoteReference"/>
          <w:sz w:val="18"/>
          <w:szCs w:val="18"/>
        </w:rPr>
        <w:footnoteRef/>
      </w:r>
      <w:r w:rsidRPr="00EF53B7">
        <w:rPr>
          <w:sz w:val="18"/>
          <w:szCs w:val="18"/>
        </w:rPr>
        <w:t xml:space="preserve"> Vital signs, including pulse rate, respiratory rate, systolic and diastolic blood pressure, and body temperature (obtained by a consistent method for all measurements at a given infusion visit) were obtained at each study visit</w:t>
      </w:r>
      <w:r w:rsidRPr="006960BE">
        <w:t xml:space="preserve"> </w:t>
      </w:r>
      <w:r w:rsidRPr="00EF53B7">
        <w:rPr>
          <w:sz w:val="18"/>
          <w:szCs w:val="18"/>
        </w:rPr>
        <w:t>during the double-blind and open-label periods through Week 52. On dosing days, vital signs were recorded pre-infusion, every 30 (</w:t>
      </w:r>
      <w:r>
        <w:rPr>
          <w:sz w:val="18"/>
          <w:szCs w:val="18"/>
        </w:rPr>
        <w:t xml:space="preserve">± </w:t>
      </w:r>
      <w:r w:rsidRPr="00EF53B7">
        <w:rPr>
          <w:sz w:val="18"/>
          <w:szCs w:val="18"/>
        </w:rPr>
        <w:t>10) minutes during the infusion, and every 30 (</w:t>
      </w:r>
      <w:r>
        <w:rPr>
          <w:sz w:val="18"/>
          <w:szCs w:val="18"/>
        </w:rPr>
        <w:t xml:space="preserve">± </w:t>
      </w:r>
      <w:r w:rsidRPr="00EF53B7">
        <w:rPr>
          <w:sz w:val="18"/>
          <w:szCs w:val="18"/>
        </w:rPr>
        <w:t>10) minutes from 0 to 2 hours after the end of the infusion. After Week 52, vital signs are to be measured every 2 weeks through study completion and at the End of Study visit. Beginning at Week 52, the post-infusion period for vital sign monitoring may be shortened to 1 hour for subjects who have completed at least 24 weeks of treatment with no occurrence of moderate or severe IARs, contingent upon approval from the Sponsor. In such cases, the post infusion monitoring period may be extended back to 2 hours if subjects began experiencing moderate or severe IARs during or shortly after the infusions.</w:t>
      </w:r>
    </w:p>
  </w:footnote>
  <w:footnote w:id="39">
    <w:p w14:paraId="355C8B01" w14:textId="77777777" w:rsidR="00460033" w:rsidRPr="00EF53B7" w:rsidRDefault="00460033" w:rsidP="00847442">
      <w:pPr>
        <w:pStyle w:val="FootnoteText"/>
        <w:rPr>
          <w:sz w:val="18"/>
          <w:szCs w:val="18"/>
        </w:rPr>
      </w:pPr>
      <w:r w:rsidRPr="00EF53B7">
        <w:rPr>
          <w:rStyle w:val="FootnoteReference"/>
          <w:sz w:val="18"/>
          <w:szCs w:val="18"/>
        </w:rPr>
        <w:footnoteRef/>
      </w:r>
      <w:r w:rsidRPr="00EF53B7">
        <w:rPr>
          <w:sz w:val="18"/>
          <w:szCs w:val="18"/>
        </w:rPr>
        <w:t xml:space="preserve"> Every physical examination also included the following:</w:t>
      </w:r>
    </w:p>
    <w:p w14:paraId="3A4D75FD" w14:textId="77777777" w:rsidR="00460033" w:rsidRPr="00EF53B7" w:rsidRDefault="00460033" w:rsidP="0094262A">
      <w:pPr>
        <w:pStyle w:val="ListBullet"/>
        <w:spacing w:before="0" w:after="0" w:line="240" w:lineRule="auto"/>
        <w:ind w:left="357" w:hanging="357"/>
        <w:rPr>
          <w:sz w:val="18"/>
          <w:szCs w:val="18"/>
        </w:rPr>
      </w:pPr>
      <w:r w:rsidRPr="00EF53B7">
        <w:rPr>
          <w:rFonts w:cs="TimesNewRomanPS-BoldMT"/>
          <w:bCs/>
          <w:sz w:val="18"/>
          <w:szCs w:val="18"/>
        </w:rPr>
        <w:t xml:space="preserve">Liver size: </w:t>
      </w:r>
      <w:r w:rsidRPr="00EF53B7">
        <w:rPr>
          <w:sz w:val="18"/>
          <w:szCs w:val="18"/>
        </w:rPr>
        <w:t>A clinical assessment of liver size (palpable/non palpable and centimetres below costal margin), regularity (smooth/nodular), and sensitivity (tender/non tender).</w:t>
      </w:r>
    </w:p>
    <w:p w14:paraId="48B42F78" w14:textId="77777777" w:rsidR="00460033" w:rsidRPr="00EF53B7" w:rsidRDefault="00460033" w:rsidP="0094262A">
      <w:pPr>
        <w:pStyle w:val="ListBullet"/>
        <w:spacing w:before="0" w:after="0" w:line="240" w:lineRule="auto"/>
        <w:ind w:left="357" w:hanging="357"/>
        <w:rPr>
          <w:sz w:val="18"/>
          <w:szCs w:val="18"/>
        </w:rPr>
      </w:pPr>
      <w:r w:rsidRPr="00EF53B7">
        <w:rPr>
          <w:rFonts w:cs="TimesNewRomanPS-BoldMT"/>
          <w:bCs/>
          <w:sz w:val="18"/>
          <w:szCs w:val="18"/>
        </w:rPr>
        <w:t xml:space="preserve">Spleen size: </w:t>
      </w:r>
      <w:r w:rsidRPr="00EF53B7">
        <w:rPr>
          <w:sz w:val="18"/>
          <w:szCs w:val="18"/>
        </w:rPr>
        <w:t>A clinical assessment of spleen size (palpable/non palpable and centimetres below costal margin), regularity (smooth/nodular), and sensitivity (tender/non-tender).</w:t>
      </w:r>
    </w:p>
    <w:p w14:paraId="438DF027" w14:textId="77777777" w:rsidR="00460033" w:rsidRPr="00EF53B7" w:rsidRDefault="00460033" w:rsidP="0094262A">
      <w:pPr>
        <w:pStyle w:val="ListBullet"/>
        <w:spacing w:before="0" w:after="0" w:line="240" w:lineRule="auto"/>
        <w:ind w:left="357" w:hanging="357"/>
        <w:rPr>
          <w:sz w:val="18"/>
          <w:szCs w:val="18"/>
        </w:rPr>
      </w:pPr>
      <w:r w:rsidRPr="00EF53B7">
        <w:rPr>
          <w:rFonts w:cs="SymbolMT"/>
          <w:sz w:val="18"/>
          <w:szCs w:val="18"/>
        </w:rPr>
        <w:t xml:space="preserve"> </w:t>
      </w:r>
      <w:r w:rsidRPr="00EF53B7">
        <w:rPr>
          <w:rFonts w:cs="TimesNewRomanPS-BoldMT"/>
          <w:bCs/>
          <w:sz w:val="18"/>
          <w:szCs w:val="18"/>
        </w:rPr>
        <w:t xml:space="preserve">Lymphadenopathy: </w:t>
      </w:r>
      <w:r w:rsidRPr="00EF53B7">
        <w:rPr>
          <w:sz w:val="18"/>
          <w:szCs w:val="18"/>
        </w:rPr>
        <w:t xml:space="preserve">An assessment of the size, location, and character of any palpable lymph nodes. Any enlarged nodes were characterised as tender or non-tender. </w:t>
      </w:r>
    </w:p>
    <w:p w14:paraId="3742CEAD" w14:textId="77777777" w:rsidR="00460033" w:rsidRPr="00EF53B7" w:rsidRDefault="00460033" w:rsidP="0094262A">
      <w:pPr>
        <w:pStyle w:val="ListBullet"/>
        <w:spacing w:before="0" w:after="0" w:line="240" w:lineRule="auto"/>
        <w:ind w:left="357" w:hanging="357"/>
        <w:rPr>
          <w:sz w:val="18"/>
          <w:szCs w:val="18"/>
        </w:rPr>
      </w:pPr>
      <w:r w:rsidRPr="00EF53B7">
        <w:rPr>
          <w:rFonts w:cs="TimesNewRomanPS-BoldMT"/>
          <w:bCs/>
          <w:sz w:val="18"/>
          <w:szCs w:val="18"/>
        </w:rPr>
        <w:t xml:space="preserve">Arterial disease: </w:t>
      </w:r>
      <w:r w:rsidRPr="00EF53B7">
        <w:rPr>
          <w:sz w:val="18"/>
          <w:szCs w:val="18"/>
        </w:rPr>
        <w:t xml:space="preserve">A clinical assessment of the right and left Posterior Tibialis and Dorsalis </w:t>
      </w:r>
      <w:proofErr w:type="spellStart"/>
      <w:r w:rsidRPr="00EF53B7">
        <w:rPr>
          <w:sz w:val="18"/>
          <w:szCs w:val="18"/>
        </w:rPr>
        <w:t>Pedis</w:t>
      </w:r>
      <w:proofErr w:type="spellEnd"/>
      <w:r w:rsidRPr="00EF53B7">
        <w:rPr>
          <w:sz w:val="18"/>
          <w:szCs w:val="18"/>
        </w:rPr>
        <w:t xml:space="preserve"> pulses.</w:t>
      </w:r>
    </w:p>
    <w:p w14:paraId="18FF99C4" w14:textId="77777777" w:rsidR="00460033" w:rsidRPr="00EF53B7" w:rsidRDefault="00460033" w:rsidP="0094262A">
      <w:pPr>
        <w:pStyle w:val="ListBullet"/>
        <w:spacing w:before="0" w:after="0" w:line="240" w:lineRule="auto"/>
        <w:ind w:left="357" w:hanging="357"/>
        <w:rPr>
          <w:sz w:val="18"/>
          <w:szCs w:val="18"/>
        </w:rPr>
      </w:pPr>
      <w:r w:rsidRPr="00EF53B7">
        <w:rPr>
          <w:rFonts w:cs="TimesNewRomanPS-BoldMT"/>
          <w:bCs/>
          <w:sz w:val="18"/>
          <w:szCs w:val="18"/>
        </w:rPr>
        <w:t xml:space="preserve">Skin manifestations: </w:t>
      </w:r>
      <w:r w:rsidRPr="00EF53B7">
        <w:rPr>
          <w:sz w:val="18"/>
          <w:szCs w:val="18"/>
        </w:rPr>
        <w:t xml:space="preserve">A clinical assessment of signs of (1) liver disease and/or portosystemic anastomoses such as periumbilical venous engorgement (Caput </w:t>
      </w:r>
      <w:proofErr w:type="spellStart"/>
      <w:r w:rsidRPr="00EF53B7">
        <w:rPr>
          <w:sz w:val="18"/>
          <w:szCs w:val="18"/>
        </w:rPr>
        <w:t>Medusae</w:t>
      </w:r>
      <w:proofErr w:type="spellEnd"/>
      <w:r w:rsidRPr="00EF53B7">
        <w:rPr>
          <w:sz w:val="18"/>
          <w:szCs w:val="18"/>
        </w:rPr>
        <w:t>), spider naevi (</w:t>
      </w:r>
      <w:proofErr w:type="spellStart"/>
      <w:r w:rsidRPr="00EF53B7">
        <w:rPr>
          <w:sz w:val="18"/>
          <w:szCs w:val="18"/>
        </w:rPr>
        <w:t>angioma</w:t>
      </w:r>
      <w:proofErr w:type="spellEnd"/>
      <w:r w:rsidRPr="00EF53B7">
        <w:rPr>
          <w:sz w:val="18"/>
          <w:szCs w:val="18"/>
        </w:rPr>
        <w:t xml:space="preserve">), or gynecomastia; and (2) hyperlipidaemia such as xanthomas (tendinous, tuberous) and </w:t>
      </w:r>
      <w:proofErr w:type="spellStart"/>
      <w:r w:rsidRPr="00EF53B7">
        <w:rPr>
          <w:sz w:val="18"/>
          <w:szCs w:val="18"/>
        </w:rPr>
        <w:t>xanthelasma</w:t>
      </w:r>
      <w:proofErr w:type="spellEnd"/>
    </w:p>
  </w:footnote>
  <w:footnote w:id="40">
    <w:p w14:paraId="20BAC2A8" w14:textId="77777777" w:rsidR="00460033" w:rsidRPr="00EF53B7" w:rsidRDefault="00460033" w:rsidP="003D146C">
      <w:pPr>
        <w:pStyle w:val="FootnoteText"/>
        <w:rPr>
          <w:sz w:val="18"/>
          <w:szCs w:val="18"/>
        </w:rPr>
      </w:pPr>
      <w:r w:rsidRPr="00EF53B7">
        <w:rPr>
          <w:rStyle w:val="FootnoteReference"/>
          <w:sz w:val="18"/>
          <w:szCs w:val="18"/>
        </w:rPr>
        <w:footnoteRef/>
      </w:r>
      <w:r w:rsidRPr="00EF53B7">
        <w:rPr>
          <w:sz w:val="18"/>
          <w:szCs w:val="18"/>
          <w:vertAlign w:val="superscript"/>
        </w:rPr>
        <w:t xml:space="preserve"> </w:t>
      </w:r>
      <w:r w:rsidRPr="00EF53B7">
        <w:rPr>
          <w:sz w:val="18"/>
          <w:szCs w:val="18"/>
        </w:rPr>
        <w:t>infants who remained on therapy beyond 2 years of age or children who became adults while on study remained in their original age category for the purposes of these analyses</w:t>
      </w:r>
    </w:p>
  </w:footnote>
  <w:footnote w:id="41">
    <w:p w14:paraId="37CA6154" w14:textId="77777777" w:rsidR="00460033" w:rsidRPr="00EF53B7" w:rsidRDefault="00460033" w:rsidP="003D146C">
      <w:pPr>
        <w:pStyle w:val="FootnoteText"/>
        <w:rPr>
          <w:sz w:val="18"/>
          <w:szCs w:val="18"/>
        </w:rPr>
      </w:pPr>
      <w:r w:rsidRPr="00EF53B7">
        <w:rPr>
          <w:rStyle w:val="FootnoteReference"/>
          <w:sz w:val="18"/>
          <w:szCs w:val="18"/>
        </w:rPr>
        <w:footnoteRef/>
      </w:r>
      <w:r w:rsidRPr="00EF53B7">
        <w:rPr>
          <w:sz w:val="18"/>
          <w:szCs w:val="18"/>
          <w:vertAlign w:val="superscript"/>
        </w:rPr>
        <w:t xml:space="preserve"> </w:t>
      </w:r>
      <w:r w:rsidRPr="00EF53B7">
        <w:rPr>
          <w:sz w:val="18"/>
          <w:szCs w:val="18"/>
        </w:rPr>
        <w:t xml:space="preserve">In 1 subject, 7.59 months of exposure was seen with a 3 mg/kg </w:t>
      </w:r>
      <w:proofErr w:type="spellStart"/>
      <w:r w:rsidRPr="00EF53B7">
        <w:rPr>
          <w:sz w:val="18"/>
          <w:szCs w:val="18"/>
        </w:rPr>
        <w:t>qow</w:t>
      </w:r>
      <w:proofErr w:type="spellEnd"/>
      <w:r w:rsidRPr="00EF53B7">
        <w:rPr>
          <w:sz w:val="18"/>
          <w:szCs w:val="18"/>
        </w:rPr>
        <w:t xml:space="preserve"> regimen, which was introduced after the subject had been medically stable with 3 mg/kg </w:t>
      </w:r>
      <w:proofErr w:type="spellStart"/>
      <w:r w:rsidRPr="00EF53B7">
        <w:rPr>
          <w:sz w:val="18"/>
          <w:szCs w:val="18"/>
        </w:rPr>
        <w:t>qw</w:t>
      </w:r>
      <w:proofErr w:type="spellEnd"/>
      <w:r w:rsidRPr="00EF53B7">
        <w:rPr>
          <w:sz w:val="18"/>
          <w:szCs w:val="18"/>
        </w:rPr>
        <w:t xml:space="preserve"> dosing for 6.6 months of exposure.</w:t>
      </w:r>
    </w:p>
  </w:footnote>
  <w:footnote w:id="42">
    <w:p w14:paraId="6A049321" w14:textId="77777777" w:rsidR="00460033" w:rsidRPr="004D59E7" w:rsidRDefault="00460033" w:rsidP="004D59E7">
      <w:pPr>
        <w:pStyle w:val="FootnoteText"/>
        <w:rPr>
          <w:sz w:val="18"/>
          <w:szCs w:val="18"/>
        </w:rPr>
      </w:pPr>
      <w:r w:rsidRPr="004D59E7">
        <w:rPr>
          <w:rStyle w:val="FootnoteReference"/>
          <w:sz w:val="18"/>
          <w:szCs w:val="18"/>
        </w:rPr>
        <w:footnoteRef/>
      </w:r>
      <w:r w:rsidRPr="004D59E7">
        <w:rPr>
          <w:sz w:val="18"/>
          <w:szCs w:val="18"/>
        </w:rPr>
        <w:t xml:space="preserve"> The increase in ALT was reported for Subject LAL-CL03/01-002 who had a peak AST of 7.2 </w:t>
      </w:r>
      <w:r>
        <w:rPr>
          <w:sz w:val="18"/>
          <w:szCs w:val="18"/>
        </w:rPr>
        <w:t>x</w:t>
      </w:r>
      <w:r w:rsidRPr="004D59E7">
        <w:rPr>
          <w:sz w:val="18"/>
          <w:szCs w:val="18"/>
        </w:rPr>
        <w:t xml:space="preserve"> ULN at </w:t>
      </w:r>
      <w:r>
        <w:rPr>
          <w:sz w:val="18"/>
          <w:szCs w:val="18"/>
        </w:rPr>
        <w:t>about Week </w:t>
      </w:r>
      <w:r w:rsidRPr="004D59E7">
        <w:rPr>
          <w:sz w:val="18"/>
          <w:szCs w:val="18"/>
        </w:rPr>
        <w:t>92 in the context of an inflammatory component related to a suspected viral infection</w:t>
      </w:r>
    </w:p>
  </w:footnote>
  <w:footnote w:id="43">
    <w:p w14:paraId="4C8D3AFE" w14:textId="77777777" w:rsidR="00460033" w:rsidRPr="004D59E7" w:rsidRDefault="00460033" w:rsidP="004D59E7">
      <w:pPr>
        <w:pStyle w:val="FootnoteText"/>
        <w:rPr>
          <w:sz w:val="18"/>
          <w:szCs w:val="18"/>
        </w:rPr>
      </w:pPr>
      <w:r w:rsidRPr="004D59E7">
        <w:rPr>
          <w:rStyle w:val="FootnoteReference"/>
          <w:sz w:val="18"/>
          <w:szCs w:val="18"/>
        </w:rPr>
        <w:footnoteRef/>
      </w:r>
      <w:r w:rsidRPr="004D59E7">
        <w:rPr>
          <w:sz w:val="18"/>
          <w:szCs w:val="18"/>
        </w:rPr>
        <w:t xml:space="preserve"> The increase in AST was reported for Subject LAL-CL01/LAL-CL04/02-001 (peak AST = 5.5 </w:t>
      </w:r>
      <w:r>
        <w:rPr>
          <w:sz w:val="18"/>
          <w:szCs w:val="18"/>
        </w:rPr>
        <w:t>x</w:t>
      </w:r>
      <w:r w:rsidRPr="004D59E7">
        <w:rPr>
          <w:sz w:val="18"/>
          <w:szCs w:val="18"/>
        </w:rPr>
        <w:t xml:space="preserve"> ULN), and occurred at Week 25. The reason for this isolated elevation in AST is unclear; AST returned to normal at the next assessment 2 weeks later</w:t>
      </w:r>
    </w:p>
  </w:footnote>
  <w:footnote w:id="44">
    <w:p w14:paraId="611D1297" w14:textId="77777777" w:rsidR="00460033" w:rsidRPr="004D59E7" w:rsidRDefault="00460033" w:rsidP="004D59E7">
      <w:pPr>
        <w:pStyle w:val="FootnoteText"/>
        <w:rPr>
          <w:sz w:val="18"/>
          <w:szCs w:val="18"/>
        </w:rPr>
      </w:pPr>
      <w:r w:rsidRPr="004D59E7">
        <w:rPr>
          <w:rStyle w:val="FootnoteReference"/>
          <w:sz w:val="18"/>
          <w:szCs w:val="18"/>
        </w:rPr>
        <w:footnoteRef/>
      </w:r>
      <w:r w:rsidRPr="004D59E7">
        <w:rPr>
          <w:sz w:val="18"/>
          <w:szCs w:val="18"/>
        </w:rPr>
        <w:t xml:space="preserve"> The increase in GGT was reported for Subject LAL-CL03/02-003, who had a GGT of 6 </w:t>
      </w:r>
      <w:r>
        <w:rPr>
          <w:sz w:val="18"/>
          <w:szCs w:val="18"/>
        </w:rPr>
        <w:t>x</w:t>
      </w:r>
      <w:r w:rsidRPr="004D59E7">
        <w:rPr>
          <w:sz w:val="18"/>
          <w:szCs w:val="18"/>
        </w:rPr>
        <w:t xml:space="preserve"> ULN at Baseline that increased to a peak level of 17.2 </w:t>
      </w:r>
      <w:r>
        <w:rPr>
          <w:sz w:val="18"/>
          <w:szCs w:val="18"/>
        </w:rPr>
        <w:t>x</w:t>
      </w:r>
      <w:r w:rsidRPr="004D59E7">
        <w:rPr>
          <w:sz w:val="18"/>
          <w:szCs w:val="18"/>
        </w:rPr>
        <w:t xml:space="preserve"> ULN at Week 1 and decreased thereafter and was normal by Week 4.</w:t>
      </w:r>
    </w:p>
  </w:footnote>
  <w:footnote w:id="45">
    <w:p w14:paraId="335F0F69" w14:textId="77777777" w:rsidR="00460033" w:rsidRPr="0079096A" w:rsidRDefault="00460033" w:rsidP="00787F40">
      <w:pPr>
        <w:pStyle w:val="FootnoteText"/>
        <w:rPr>
          <w:sz w:val="18"/>
          <w:szCs w:val="18"/>
        </w:rPr>
      </w:pPr>
      <w:r w:rsidRPr="0079096A">
        <w:rPr>
          <w:rStyle w:val="FootnoteReference"/>
          <w:sz w:val="18"/>
          <w:szCs w:val="18"/>
        </w:rPr>
        <w:footnoteRef/>
      </w:r>
      <w:r w:rsidRPr="0079096A">
        <w:rPr>
          <w:sz w:val="18"/>
          <w:szCs w:val="18"/>
        </w:rPr>
        <w:t xml:space="preserve"> </w:t>
      </w:r>
      <w:r w:rsidRPr="0079096A">
        <w:rPr>
          <w:rFonts w:asciiTheme="minorHAnsi" w:eastAsiaTheme="minorHAnsi" w:hAnsiTheme="minorHAnsi"/>
          <w:color w:val="000000"/>
          <w:sz w:val="18"/>
          <w:szCs w:val="18"/>
        </w:rPr>
        <w:t>the cause of this is unclear and may represent a lab error but other medical reasons cannot be excluded</w:t>
      </w:r>
    </w:p>
  </w:footnote>
  <w:footnote w:id="46">
    <w:p w14:paraId="60DEFFD7" w14:textId="77777777" w:rsidR="00460033" w:rsidRPr="00EF53B7" w:rsidRDefault="00460033" w:rsidP="00787F40">
      <w:pPr>
        <w:pStyle w:val="FootnoteText"/>
        <w:rPr>
          <w:sz w:val="18"/>
          <w:szCs w:val="18"/>
        </w:rPr>
      </w:pPr>
      <w:r w:rsidRPr="00EF53B7">
        <w:rPr>
          <w:rStyle w:val="FootnoteReference"/>
          <w:sz w:val="18"/>
          <w:szCs w:val="18"/>
        </w:rPr>
        <w:footnoteRef/>
      </w:r>
      <w:r w:rsidRPr="00EF53B7">
        <w:rPr>
          <w:sz w:val="18"/>
          <w:szCs w:val="18"/>
        </w:rPr>
        <w:t xml:space="preserve"> </w:t>
      </w:r>
      <w:r w:rsidRPr="00EF53B7">
        <w:rPr>
          <w:rFonts w:asciiTheme="minorHAnsi" w:hAnsiTheme="minorHAnsi"/>
          <w:sz w:val="18"/>
          <w:szCs w:val="18"/>
        </w:rPr>
        <w:t>2 subjects were between the age of 2 and 12 years and 1 subject was between the age of 12 and 17.99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DE8EF" w14:textId="77777777" w:rsidR="00460033" w:rsidRDefault="0046003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B0F5D" w14:textId="77777777" w:rsidR="00460033" w:rsidRDefault="00460033">
    <w:pPr>
      <w:rPr>
        <w:noProof/>
        <w:lang w:eastAsia="en-AU"/>
      </w:rPr>
    </w:pPr>
    <w:r w:rsidRPr="002D545C">
      <w:rPr>
        <w:noProof/>
        <w:lang w:eastAsia="en-AU"/>
      </w:rPr>
      <w:drawing>
        <wp:anchor distT="0" distB="0" distL="114300" distR="114300" simplePos="0" relativeHeight="251659264" behindDoc="1" locked="0" layoutInCell="1" allowOverlap="1" wp14:anchorId="0A4456F7" wp14:editId="7AC907A3">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7393535" w14:textId="77777777" w:rsidR="00460033" w:rsidRDefault="00460033" w:rsidP="00593AD1">
    <w:pPr>
      <w:pStyle w:val="HeaderNoLine"/>
    </w:pPr>
    <w:r>
      <w:rPr>
        <w:noProof/>
        <w:lang w:eastAsia="en-AU"/>
      </w:rPr>
      <w:drawing>
        <wp:inline distT="0" distB="0" distL="0" distR="0" wp14:anchorId="0D36E41D" wp14:editId="0DD9F598">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C5353" w14:textId="77777777" w:rsidR="00460033" w:rsidRDefault="004600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FE3CC" w14:textId="77777777" w:rsidR="00460033" w:rsidRDefault="0046003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5A494" w14:textId="77777777" w:rsidR="00460033" w:rsidRDefault="0046003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160CE" w14:textId="77777777" w:rsidR="00460033" w:rsidRDefault="004600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3C5BA" w14:textId="77777777" w:rsidR="00460033" w:rsidRDefault="0046003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20B71" w14:textId="77777777" w:rsidR="00460033" w:rsidRDefault="00460033" w:rsidP="006E08B3">
    <w:r>
      <w:t>Therapeutic Goods Administration</w:t>
    </w:r>
  </w:p>
  <w:p w14:paraId="29CDABE8" w14:textId="77777777" w:rsidR="00460033" w:rsidRDefault="0046003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45A2FC3"/>
    <w:multiLevelType w:val="hybridMultilevel"/>
    <w:tmpl w:val="F2B47AE0"/>
    <w:lvl w:ilvl="0" w:tplc="F61AE7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5A87069"/>
    <w:multiLevelType w:val="hybridMultilevel"/>
    <w:tmpl w:val="F2B47AE0"/>
    <w:lvl w:ilvl="0" w:tplc="F61AE7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BFC1235"/>
    <w:multiLevelType w:val="hybridMultilevel"/>
    <w:tmpl w:val="D7BE3488"/>
    <w:lvl w:ilvl="0" w:tplc="C192AEAE">
      <w:start w:val="7"/>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9923647"/>
    <w:multiLevelType w:val="hybridMultilevel"/>
    <w:tmpl w:val="C6E845EA"/>
    <w:lvl w:ilvl="0" w:tplc="635896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4E1260DB"/>
    <w:multiLevelType w:val="hybridMultilevel"/>
    <w:tmpl w:val="9D623818"/>
    <w:lvl w:ilvl="0" w:tplc="F0F6B91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2A81E4C"/>
    <w:multiLevelType w:val="multilevel"/>
    <w:tmpl w:val="0F1AA258"/>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9F81963"/>
    <w:multiLevelType w:val="hybridMultilevel"/>
    <w:tmpl w:val="1A58E6DA"/>
    <w:lvl w:ilvl="0" w:tplc="A41A132E">
      <w:start w:val="1"/>
      <w:numFmt w:val="decimal"/>
      <w:lvlText w:val="(%1)"/>
      <w:lvlJc w:val="left"/>
      <w:pPr>
        <w:ind w:left="720" w:hanging="360"/>
      </w:pPr>
      <w:rPr>
        <w:rFonts w:eastAsia="Cambria" w:cs="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589"/>
        </w:tabs>
        <w:ind w:left="1589" w:hanging="1022"/>
      </w:pPr>
      <w:rPr>
        <w:rFonts w:hint="default"/>
      </w:rPr>
    </w:lvl>
    <w:lvl w:ilvl="2">
      <w:start w:val="1"/>
      <w:numFmt w:val="decimal"/>
      <w:pStyle w:val="Heading4"/>
      <w:lvlText w:val="%1.%2.%3."/>
      <w:lvlJc w:val="left"/>
      <w:pPr>
        <w:tabs>
          <w:tab w:val="num" w:pos="1673"/>
        </w:tabs>
        <w:ind w:left="1673" w:hanging="964"/>
      </w:pPr>
      <w:rPr>
        <w:rFonts w:hint="default"/>
      </w:rPr>
    </w:lvl>
    <w:lvl w:ilvl="3">
      <w:start w:val="1"/>
      <w:numFmt w:val="decimal"/>
      <w:pStyle w:val="Heading5"/>
      <w:lvlText w:val="%1.%2.%3.%4."/>
      <w:lvlJc w:val="left"/>
      <w:pPr>
        <w:tabs>
          <w:tab w:val="num" w:pos="1475"/>
        </w:tabs>
        <w:ind w:left="1475"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6E615157"/>
    <w:multiLevelType w:val="hybridMultilevel"/>
    <w:tmpl w:val="E0A4A2FC"/>
    <w:lvl w:ilvl="0" w:tplc="BE0443EA">
      <w:start w:val="1"/>
      <w:numFmt w:val="decimal"/>
      <w:lvlText w:val="(%1)"/>
      <w:lvlJc w:val="left"/>
      <w:pPr>
        <w:ind w:left="720" w:hanging="360"/>
      </w:pPr>
      <w:rPr>
        <w:rFonts w:ascii="Cambria" w:eastAsia="Cambria" w:hAnsi="Cambria" w:cs="Times New Roman" w:hint="default"/>
        <w:b/>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32B7A35"/>
    <w:multiLevelType w:val="hybridMultilevel"/>
    <w:tmpl w:val="9A60E564"/>
    <w:lvl w:ilvl="0" w:tplc="14207F92">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9741BA7"/>
    <w:multiLevelType w:val="multilevel"/>
    <w:tmpl w:val="A52C38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2"/>
  </w:num>
  <w:num w:numId="27">
    <w:abstractNumId w:val="14"/>
  </w:num>
  <w:num w:numId="28">
    <w:abstractNumId w:val="16"/>
  </w:num>
  <w:num w:numId="29">
    <w:abstractNumId w:val="18"/>
  </w:num>
  <w:num w:numId="30">
    <w:abstractNumId w:val="18"/>
  </w:num>
  <w:num w:numId="31">
    <w:abstractNumId w:val="18"/>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3"/>
  </w:num>
  <w:num w:numId="34">
    <w:abstractNumId w:val="17"/>
  </w:num>
  <w:num w:numId="35">
    <w:abstractNumId w:val="20"/>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9"/>
  </w:num>
  <w:num w:numId="39">
    <w:abstractNumId w:val="19"/>
  </w:num>
  <w:num w:numId="40">
    <w:abstractNumId w:val="21"/>
  </w:num>
  <w:num w:numId="41">
    <w:abstractNumId w:val="4"/>
  </w:num>
  <w:num w:numId="42">
    <w:abstractNumId w:val="22"/>
  </w:num>
  <w:num w:numId="43">
    <w:abstractNumId w:val="6"/>
  </w:num>
  <w:num w:numId="44">
    <w:abstractNumId w:val="15"/>
  </w:num>
  <w:num w:numId="45">
    <w:abstractNumId w:val="8"/>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8">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80B"/>
    <w:rsid w:val="00002031"/>
    <w:rsid w:val="00004734"/>
    <w:rsid w:val="00006B22"/>
    <w:rsid w:val="0001276A"/>
    <w:rsid w:val="00022AC8"/>
    <w:rsid w:val="000246AE"/>
    <w:rsid w:val="00025C67"/>
    <w:rsid w:val="00040ACB"/>
    <w:rsid w:val="0005559E"/>
    <w:rsid w:val="00061673"/>
    <w:rsid w:val="0007654C"/>
    <w:rsid w:val="00077775"/>
    <w:rsid w:val="00090471"/>
    <w:rsid w:val="000911D4"/>
    <w:rsid w:val="00091687"/>
    <w:rsid w:val="00097B5E"/>
    <w:rsid w:val="000A3AED"/>
    <w:rsid w:val="000A63AF"/>
    <w:rsid w:val="000B19A6"/>
    <w:rsid w:val="000B3532"/>
    <w:rsid w:val="000B3A75"/>
    <w:rsid w:val="000C5440"/>
    <w:rsid w:val="000C690F"/>
    <w:rsid w:val="000D1295"/>
    <w:rsid w:val="000D391B"/>
    <w:rsid w:val="000D3D6D"/>
    <w:rsid w:val="000D4FC7"/>
    <w:rsid w:val="000F02F9"/>
    <w:rsid w:val="000F4869"/>
    <w:rsid w:val="000F5B42"/>
    <w:rsid w:val="000F6E6F"/>
    <w:rsid w:val="0010193C"/>
    <w:rsid w:val="00104613"/>
    <w:rsid w:val="00105B1A"/>
    <w:rsid w:val="00105BE7"/>
    <w:rsid w:val="0010601F"/>
    <w:rsid w:val="0010788A"/>
    <w:rsid w:val="00107A31"/>
    <w:rsid w:val="00110EA5"/>
    <w:rsid w:val="00112368"/>
    <w:rsid w:val="00112F56"/>
    <w:rsid w:val="00125318"/>
    <w:rsid w:val="001305A2"/>
    <w:rsid w:val="00131B1C"/>
    <w:rsid w:val="00133238"/>
    <w:rsid w:val="0014197B"/>
    <w:rsid w:val="001447CD"/>
    <w:rsid w:val="001516B1"/>
    <w:rsid w:val="00154EBB"/>
    <w:rsid w:val="00155837"/>
    <w:rsid w:val="00156316"/>
    <w:rsid w:val="00157E63"/>
    <w:rsid w:val="00165389"/>
    <w:rsid w:val="0017078F"/>
    <w:rsid w:val="00172016"/>
    <w:rsid w:val="0017693F"/>
    <w:rsid w:val="0018110E"/>
    <w:rsid w:val="00181684"/>
    <w:rsid w:val="001843C6"/>
    <w:rsid w:val="001850E0"/>
    <w:rsid w:val="00196207"/>
    <w:rsid w:val="001A2158"/>
    <w:rsid w:val="001A525F"/>
    <w:rsid w:val="001B09F9"/>
    <w:rsid w:val="001B5D98"/>
    <w:rsid w:val="001B6448"/>
    <w:rsid w:val="001B7A56"/>
    <w:rsid w:val="001C657B"/>
    <w:rsid w:val="001E07CF"/>
    <w:rsid w:val="001E59F1"/>
    <w:rsid w:val="001F497A"/>
    <w:rsid w:val="001F49EB"/>
    <w:rsid w:val="001F6CBA"/>
    <w:rsid w:val="00201D4E"/>
    <w:rsid w:val="002076C9"/>
    <w:rsid w:val="0021080B"/>
    <w:rsid w:val="00220B8A"/>
    <w:rsid w:val="002257F3"/>
    <w:rsid w:val="00233456"/>
    <w:rsid w:val="002339A5"/>
    <w:rsid w:val="00257679"/>
    <w:rsid w:val="00257848"/>
    <w:rsid w:val="002666AC"/>
    <w:rsid w:val="0027084A"/>
    <w:rsid w:val="00286434"/>
    <w:rsid w:val="00286C59"/>
    <w:rsid w:val="002912EE"/>
    <w:rsid w:val="00292113"/>
    <w:rsid w:val="002942D1"/>
    <w:rsid w:val="0029501A"/>
    <w:rsid w:val="002B1638"/>
    <w:rsid w:val="002B7F56"/>
    <w:rsid w:val="002C63ED"/>
    <w:rsid w:val="002D28A4"/>
    <w:rsid w:val="002D545C"/>
    <w:rsid w:val="002D6161"/>
    <w:rsid w:val="002E3FF7"/>
    <w:rsid w:val="002E4C9A"/>
    <w:rsid w:val="002F11F8"/>
    <w:rsid w:val="002F3F56"/>
    <w:rsid w:val="002F44B5"/>
    <w:rsid w:val="00311AC0"/>
    <w:rsid w:val="0032583B"/>
    <w:rsid w:val="00327883"/>
    <w:rsid w:val="00335504"/>
    <w:rsid w:val="003521E8"/>
    <w:rsid w:val="00357D7C"/>
    <w:rsid w:val="003728F3"/>
    <w:rsid w:val="0037496E"/>
    <w:rsid w:val="0037623D"/>
    <w:rsid w:val="00386150"/>
    <w:rsid w:val="003874CE"/>
    <w:rsid w:val="00390900"/>
    <w:rsid w:val="00394A3E"/>
    <w:rsid w:val="00396C92"/>
    <w:rsid w:val="003A7F6C"/>
    <w:rsid w:val="003B1113"/>
    <w:rsid w:val="003B4D60"/>
    <w:rsid w:val="003B634F"/>
    <w:rsid w:val="003B7E39"/>
    <w:rsid w:val="003C58DC"/>
    <w:rsid w:val="003D0A3B"/>
    <w:rsid w:val="003D146C"/>
    <w:rsid w:val="003D1E62"/>
    <w:rsid w:val="003E2486"/>
    <w:rsid w:val="003E3208"/>
    <w:rsid w:val="003F0B04"/>
    <w:rsid w:val="003F3AB4"/>
    <w:rsid w:val="0040134E"/>
    <w:rsid w:val="00412570"/>
    <w:rsid w:val="00415D59"/>
    <w:rsid w:val="0043797D"/>
    <w:rsid w:val="00440A2D"/>
    <w:rsid w:val="004564A7"/>
    <w:rsid w:val="00460033"/>
    <w:rsid w:val="004617BF"/>
    <w:rsid w:val="0046237A"/>
    <w:rsid w:val="00463658"/>
    <w:rsid w:val="004722CC"/>
    <w:rsid w:val="00486B4C"/>
    <w:rsid w:val="004936E4"/>
    <w:rsid w:val="00494E60"/>
    <w:rsid w:val="00497487"/>
    <w:rsid w:val="004A7E13"/>
    <w:rsid w:val="004B7B76"/>
    <w:rsid w:val="004C1854"/>
    <w:rsid w:val="004C2DCA"/>
    <w:rsid w:val="004D2143"/>
    <w:rsid w:val="004D59E7"/>
    <w:rsid w:val="004F0F38"/>
    <w:rsid w:val="004F183D"/>
    <w:rsid w:val="004F4AF5"/>
    <w:rsid w:val="00501921"/>
    <w:rsid w:val="00530354"/>
    <w:rsid w:val="0053625B"/>
    <w:rsid w:val="005434C6"/>
    <w:rsid w:val="00543B39"/>
    <w:rsid w:val="00545648"/>
    <w:rsid w:val="00546606"/>
    <w:rsid w:val="00550096"/>
    <w:rsid w:val="00557FF9"/>
    <w:rsid w:val="0056581A"/>
    <w:rsid w:val="00572FD7"/>
    <w:rsid w:val="00576378"/>
    <w:rsid w:val="00577945"/>
    <w:rsid w:val="00577E38"/>
    <w:rsid w:val="00585322"/>
    <w:rsid w:val="005857C6"/>
    <w:rsid w:val="00586F98"/>
    <w:rsid w:val="00592F6E"/>
    <w:rsid w:val="00593AD1"/>
    <w:rsid w:val="00597D5A"/>
    <w:rsid w:val="005A68B6"/>
    <w:rsid w:val="005B44AD"/>
    <w:rsid w:val="005C5570"/>
    <w:rsid w:val="005C6F59"/>
    <w:rsid w:val="005C7087"/>
    <w:rsid w:val="005C79A4"/>
    <w:rsid w:val="005D5442"/>
    <w:rsid w:val="00603F32"/>
    <w:rsid w:val="006170F0"/>
    <w:rsid w:val="00620406"/>
    <w:rsid w:val="00626E90"/>
    <w:rsid w:val="00630199"/>
    <w:rsid w:val="00632398"/>
    <w:rsid w:val="00640FC3"/>
    <w:rsid w:val="00642020"/>
    <w:rsid w:val="00646206"/>
    <w:rsid w:val="006501D4"/>
    <w:rsid w:val="0065337B"/>
    <w:rsid w:val="0065419D"/>
    <w:rsid w:val="006604D8"/>
    <w:rsid w:val="00664A5B"/>
    <w:rsid w:val="006763D2"/>
    <w:rsid w:val="00680C08"/>
    <w:rsid w:val="006931B1"/>
    <w:rsid w:val="00695CDF"/>
    <w:rsid w:val="006A15C0"/>
    <w:rsid w:val="006B4C50"/>
    <w:rsid w:val="006C130C"/>
    <w:rsid w:val="006C3E2A"/>
    <w:rsid w:val="006C642F"/>
    <w:rsid w:val="006D03E5"/>
    <w:rsid w:val="006D5D3E"/>
    <w:rsid w:val="006E08B3"/>
    <w:rsid w:val="006F17AC"/>
    <w:rsid w:val="006F1D37"/>
    <w:rsid w:val="006F26D0"/>
    <w:rsid w:val="006F2796"/>
    <w:rsid w:val="006F572E"/>
    <w:rsid w:val="00704624"/>
    <w:rsid w:val="007046D6"/>
    <w:rsid w:val="00705DB0"/>
    <w:rsid w:val="00722B57"/>
    <w:rsid w:val="0074253D"/>
    <w:rsid w:val="0074429B"/>
    <w:rsid w:val="00745258"/>
    <w:rsid w:val="007513B4"/>
    <w:rsid w:val="00755B61"/>
    <w:rsid w:val="007615BC"/>
    <w:rsid w:val="00762F05"/>
    <w:rsid w:val="007652FF"/>
    <w:rsid w:val="00770EF1"/>
    <w:rsid w:val="00773EF7"/>
    <w:rsid w:val="00774E1D"/>
    <w:rsid w:val="0077675A"/>
    <w:rsid w:val="00780355"/>
    <w:rsid w:val="00785721"/>
    <w:rsid w:val="00787F40"/>
    <w:rsid w:val="0079096A"/>
    <w:rsid w:val="00793A59"/>
    <w:rsid w:val="007B1B2D"/>
    <w:rsid w:val="007B6E9F"/>
    <w:rsid w:val="007C1216"/>
    <w:rsid w:val="007C1AF7"/>
    <w:rsid w:val="007C25DF"/>
    <w:rsid w:val="007E6E27"/>
    <w:rsid w:val="007F3E00"/>
    <w:rsid w:val="00803642"/>
    <w:rsid w:val="00805104"/>
    <w:rsid w:val="00805D27"/>
    <w:rsid w:val="00812D7F"/>
    <w:rsid w:val="00820446"/>
    <w:rsid w:val="00821776"/>
    <w:rsid w:val="008267BC"/>
    <w:rsid w:val="008321F5"/>
    <w:rsid w:val="00832369"/>
    <w:rsid w:val="00834660"/>
    <w:rsid w:val="00836BC2"/>
    <w:rsid w:val="008414A0"/>
    <w:rsid w:val="00846D13"/>
    <w:rsid w:val="00847442"/>
    <w:rsid w:val="0085641B"/>
    <w:rsid w:val="00857136"/>
    <w:rsid w:val="008611C8"/>
    <w:rsid w:val="00886D15"/>
    <w:rsid w:val="00887DD8"/>
    <w:rsid w:val="00893412"/>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668"/>
    <w:rsid w:val="008F6943"/>
    <w:rsid w:val="008F69AF"/>
    <w:rsid w:val="00902A21"/>
    <w:rsid w:val="00905BF2"/>
    <w:rsid w:val="00905BFD"/>
    <w:rsid w:val="00906445"/>
    <w:rsid w:val="00920330"/>
    <w:rsid w:val="009219D7"/>
    <w:rsid w:val="00922D53"/>
    <w:rsid w:val="00923B70"/>
    <w:rsid w:val="00924482"/>
    <w:rsid w:val="00930237"/>
    <w:rsid w:val="00934213"/>
    <w:rsid w:val="0094262A"/>
    <w:rsid w:val="009438E8"/>
    <w:rsid w:val="0094614A"/>
    <w:rsid w:val="00946EA5"/>
    <w:rsid w:val="0095160F"/>
    <w:rsid w:val="00951F3F"/>
    <w:rsid w:val="00955CC5"/>
    <w:rsid w:val="00963C08"/>
    <w:rsid w:val="00971D33"/>
    <w:rsid w:val="00981D66"/>
    <w:rsid w:val="00984096"/>
    <w:rsid w:val="00984CC7"/>
    <w:rsid w:val="0098585A"/>
    <w:rsid w:val="0098669D"/>
    <w:rsid w:val="00994C95"/>
    <w:rsid w:val="009A441A"/>
    <w:rsid w:val="009A4CED"/>
    <w:rsid w:val="009A690D"/>
    <w:rsid w:val="009B1D12"/>
    <w:rsid w:val="009B416B"/>
    <w:rsid w:val="009B76F2"/>
    <w:rsid w:val="009C2630"/>
    <w:rsid w:val="009C4BD5"/>
    <w:rsid w:val="009C5E31"/>
    <w:rsid w:val="009D434A"/>
    <w:rsid w:val="009D7B77"/>
    <w:rsid w:val="009E0BB0"/>
    <w:rsid w:val="009E3FBB"/>
    <w:rsid w:val="00A102E4"/>
    <w:rsid w:val="00A12C42"/>
    <w:rsid w:val="00A14DF7"/>
    <w:rsid w:val="00A2119E"/>
    <w:rsid w:val="00A235D9"/>
    <w:rsid w:val="00A31C7F"/>
    <w:rsid w:val="00A3246D"/>
    <w:rsid w:val="00A36FA7"/>
    <w:rsid w:val="00A43AC1"/>
    <w:rsid w:val="00A475B7"/>
    <w:rsid w:val="00A47AF7"/>
    <w:rsid w:val="00A47C3E"/>
    <w:rsid w:val="00A50226"/>
    <w:rsid w:val="00A60BAD"/>
    <w:rsid w:val="00A72B65"/>
    <w:rsid w:val="00A73DEE"/>
    <w:rsid w:val="00A87AAC"/>
    <w:rsid w:val="00A964D1"/>
    <w:rsid w:val="00A97DEA"/>
    <w:rsid w:val="00AA0ED0"/>
    <w:rsid w:val="00AA3499"/>
    <w:rsid w:val="00AA7602"/>
    <w:rsid w:val="00AB0DAC"/>
    <w:rsid w:val="00AB35F9"/>
    <w:rsid w:val="00AC2B40"/>
    <w:rsid w:val="00AC2BB2"/>
    <w:rsid w:val="00AC2C3C"/>
    <w:rsid w:val="00AC512D"/>
    <w:rsid w:val="00AE01C2"/>
    <w:rsid w:val="00AE292F"/>
    <w:rsid w:val="00AE65EB"/>
    <w:rsid w:val="00AE67A7"/>
    <w:rsid w:val="00AF1D94"/>
    <w:rsid w:val="00AF60C5"/>
    <w:rsid w:val="00B0095E"/>
    <w:rsid w:val="00B009C6"/>
    <w:rsid w:val="00B01548"/>
    <w:rsid w:val="00B02208"/>
    <w:rsid w:val="00B03C6A"/>
    <w:rsid w:val="00B1425E"/>
    <w:rsid w:val="00B21D29"/>
    <w:rsid w:val="00B25034"/>
    <w:rsid w:val="00B275F4"/>
    <w:rsid w:val="00B33588"/>
    <w:rsid w:val="00B33863"/>
    <w:rsid w:val="00B3567E"/>
    <w:rsid w:val="00B37D17"/>
    <w:rsid w:val="00B4175E"/>
    <w:rsid w:val="00B451DB"/>
    <w:rsid w:val="00B452CE"/>
    <w:rsid w:val="00B54C25"/>
    <w:rsid w:val="00B55A5F"/>
    <w:rsid w:val="00B71B5F"/>
    <w:rsid w:val="00B73619"/>
    <w:rsid w:val="00B744F4"/>
    <w:rsid w:val="00B7505B"/>
    <w:rsid w:val="00B76B91"/>
    <w:rsid w:val="00B77EB1"/>
    <w:rsid w:val="00B811C6"/>
    <w:rsid w:val="00B847B9"/>
    <w:rsid w:val="00B85A87"/>
    <w:rsid w:val="00B866BC"/>
    <w:rsid w:val="00B92E08"/>
    <w:rsid w:val="00B96EBE"/>
    <w:rsid w:val="00BC622A"/>
    <w:rsid w:val="00BD0B44"/>
    <w:rsid w:val="00BD45E3"/>
    <w:rsid w:val="00BE0A78"/>
    <w:rsid w:val="00BE32A6"/>
    <w:rsid w:val="00BE6252"/>
    <w:rsid w:val="00BE79F0"/>
    <w:rsid w:val="00BF046D"/>
    <w:rsid w:val="00BF1190"/>
    <w:rsid w:val="00BF5D04"/>
    <w:rsid w:val="00C02E47"/>
    <w:rsid w:val="00C1164D"/>
    <w:rsid w:val="00C137CE"/>
    <w:rsid w:val="00C16861"/>
    <w:rsid w:val="00C22678"/>
    <w:rsid w:val="00C35473"/>
    <w:rsid w:val="00C404A6"/>
    <w:rsid w:val="00C40A36"/>
    <w:rsid w:val="00C4359A"/>
    <w:rsid w:val="00C44419"/>
    <w:rsid w:val="00C45E7B"/>
    <w:rsid w:val="00C4625F"/>
    <w:rsid w:val="00C471B1"/>
    <w:rsid w:val="00C618F7"/>
    <w:rsid w:val="00C6316B"/>
    <w:rsid w:val="00C634A9"/>
    <w:rsid w:val="00C64586"/>
    <w:rsid w:val="00C662C3"/>
    <w:rsid w:val="00C70D53"/>
    <w:rsid w:val="00C73D0B"/>
    <w:rsid w:val="00C772FF"/>
    <w:rsid w:val="00C801AF"/>
    <w:rsid w:val="00C80256"/>
    <w:rsid w:val="00C811C0"/>
    <w:rsid w:val="00C82F04"/>
    <w:rsid w:val="00CB6BC0"/>
    <w:rsid w:val="00CC0A53"/>
    <w:rsid w:val="00CC1B7C"/>
    <w:rsid w:val="00CC672B"/>
    <w:rsid w:val="00CC727F"/>
    <w:rsid w:val="00CD1118"/>
    <w:rsid w:val="00CF15C3"/>
    <w:rsid w:val="00CF2B6F"/>
    <w:rsid w:val="00CF58B6"/>
    <w:rsid w:val="00D017ED"/>
    <w:rsid w:val="00D040D3"/>
    <w:rsid w:val="00D04C65"/>
    <w:rsid w:val="00D074A0"/>
    <w:rsid w:val="00D21067"/>
    <w:rsid w:val="00D224FE"/>
    <w:rsid w:val="00D44F74"/>
    <w:rsid w:val="00D511F4"/>
    <w:rsid w:val="00D53A31"/>
    <w:rsid w:val="00D6493E"/>
    <w:rsid w:val="00D66B98"/>
    <w:rsid w:val="00D7301E"/>
    <w:rsid w:val="00D83AE1"/>
    <w:rsid w:val="00D855D4"/>
    <w:rsid w:val="00D87450"/>
    <w:rsid w:val="00D87961"/>
    <w:rsid w:val="00D93466"/>
    <w:rsid w:val="00D96127"/>
    <w:rsid w:val="00DA0B9C"/>
    <w:rsid w:val="00DA1124"/>
    <w:rsid w:val="00DB482A"/>
    <w:rsid w:val="00DB75B7"/>
    <w:rsid w:val="00DC156B"/>
    <w:rsid w:val="00DC2CB9"/>
    <w:rsid w:val="00DC6E02"/>
    <w:rsid w:val="00DD3FEF"/>
    <w:rsid w:val="00DE02AE"/>
    <w:rsid w:val="00DE3198"/>
    <w:rsid w:val="00DE635E"/>
    <w:rsid w:val="00DE644C"/>
    <w:rsid w:val="00DF1D7F"/>
    <w:rsid w:val="00DF4BE4"/>
    <w:rsid w:val="00E02FB4"/>
    <w:rsid w:val="00E07F15"/>
    <w:rsid w:val="00E07FA6"/>
    <w:rsid w:val="00E11D80"/>
    <w:rsid w:val="00E12AE1"/>
    <w:rsid w:val="00E20571"/>
    <w:rsid w:val="00E235F7"/>
    <w:rsid w:val="00E23659"/>
    <w:rsid w:val="00E239D4"/>
    <w:rsid w:val="00E26130"/>
    <w:rsid w:val="00E2741C"/>
    <w:rsid w:val="00E40B22"/>
    <w:rsid w:val="00E45619"/>
    <w:rsid w:val="00E4588F"/>
    <w:rsid w:val="00E45A80"/>
    <w:rsid w:val="00E46DA3"/>
    <w:rsid w:val="00E51BB1"/>
    <w:rsid w:val="00E55194"/>
    <w:rsid w:val="00E57011"/>
    <w:rsid w:val="00E624A5"/>
    <w:rsid w:val="00E66350"/>
    <w:rsid w:val="00E71317"/>
    <w:rsid w:val="00E7344E"/>
    <w:rsid w:val="00E76169"/>
    <w:rsid w:val="00E77B22"/>
    <w:rsid w:val="00E80273"/>
    <w:rsid w:val="00E912BE"/>
    <w:rsid w:val="00E936E3"/>
    <w:rsid w:val="00E979F4"/>
    <w:rsid w:val="00EA418E"/>
    <w:rsid w:val="00EA7323"/>
    <w:rsid w:val="00EB0798"/>
    <w:rsid w:val="00EB40AD"/>
    <w:rsid w:val="00EB586E"/>
    <w:rsid w:val="00EB5FC8"/>
    <w:rsid w:val="00ED3CAD"/>
    <w:rsid w:val="00ED5A41"/>
    <w:rsid w:val="00EE1DE8"/>
    <w:rsid w:val="00EF53B7"/>
    <w:rsid w:val="00F033EC"/>
    <w:rsid w:val="00F04F68"/>
    <w:rsid w:val="00F056E7"/>
    <w:rsid w:val="00F12670"/>
    <w:rsid w:val="00F14B27"/>
    <w:rsid w:val="00F17F7D"/>
    <w:rsid w:val="00F3148D"/>
    <w:rsid w:val="00F325C5"/>
    <w:rsid w:val="00F32FE0"/>
    <w:rsid w:val="00F35298"/>
    <w:rsid w:val="00F47333"/>
    <w:rsid w:val="00F47E37"/>
    <w:rsid w:val="00F53C07"/>
    <w:rsid w:val="00F54B65"/>
    <w:rsid w:val="00F640B6"/>
    <w:rsid w:val="00F80E40"/>
    <w:rsid w:val="00F848D9"/>
    <w:rsid w:val="00FA48CC"/>
    <w:rsid w:val="00FA5B82"/>
    <w:rsid w:val="00FA639E"/>
    <w:rsid w:val="00FC25E4"/>
    <w:rsid w:val="00FC2DDF"/>
    <w:rsid w:val="00FC4EF7"/>
    <w:rsid w:val="00FD1D3C"/>
    <w:rsid w:val="00FD72A9"/>
    <w:rsid w:val="00FE1DEE"/>
    <w:rsid w:val="00FE2AA6"/>
    <w:rsid w:val="00FE32BB"/>
    <w:rsid w:val="00FE346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A2F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DD3FEF"/>
    <w:pPr>
      <w:keepNext/>
      <w:numPr>
        <w:ilvl w:val="2"/>
        <w:numId w:val="31"/>
      </w:numPr>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EA418E"/>
    <w:pPr>
      <w:keepNext/>
      <w:keepLines/>
      <w:spacing w:before="200" w:after="0"/>
      <w:ind w:left="1134" w:hanging="1134"/>
      <w:outlineLvl w:val="7"/>
    </w:pPr>
    <w:rPr>
      <w:rFonts w:ascii="Calibri" w:eastAsiaTheme="majorEastAsia" w:hAnsi="Calibri" w:cs="Calibri"/>
      <w:b/>
      <w:color w:val="404040" w:themeColor="text1" w:themeTint="BF"/>
      <w:sz w:val="20"/>
      <w:szCs w:val="20"/>
    </w:rPr>
  </w:style>
  <w:style w:type="paragraph" w:styleId="Heading9">
    <w:name w:val="heading 9"/>
    <w:basedOn w:val="Normal"/>
    <w:next w:val="Normal"/>
    <w:link w:val="Heading9Char"/>
    <w:uiPriority w:val="9"/>
    <w:semiHidden/>
    <w:unhideWhenUsed/>
    <w:qFormat/>
    <w:rsid w:val="00EA418E"/>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DD3FE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846D13"/>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98409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84096"/>
    <w:rPr>
      <w:rFonts w:ascii="Cambria" w:eastAsia="Cambria" w:hAnsi="Cambria" w:cs="Times New Roman"/>
      <w:sz w:val="20"/>
      <w:szCs w:val="20"/>
    </w:rPr>
  </w:style>
  <w:style w:type="character" w:styleId="FootnoteReference">
    <w:name w:val="footnote reference"/>
    <w:basedOn w:val="DefaultParagraphFont"/>
    <w:uiPriority w:val="99"/>
    <w:unhideWhenUsed/>
    <w:rsid w:val="00984096"/>
    <w:rPr>
      <w:vertAlign w:val="superscript"/>
    </w:rPr>
  </w:style>
  <w:style w:type="paragraph" w:styleId="ListParagraph">
    <w:name w:val="List Paragraph"/>
    <w:basedOn w:val="Normal"/>
    <w:uiPriority w:val="34"/>
    <w:qFormat/>
    <w:rsid w:val="00984096"/>
    <w:pPr>
      <w:ind w:left="720"/>
      <w:contextualSpacing/>
    </w:pPr>
  </w:style>
  <w:style w:type="character" w:customStyle="1" w:styleId="Heading8Char">
    <w:name w:val="Heading 8 Char"/>
    <w:basedOn w:val="DefaultParagraphFont"/>
    <w:link w:val="Heading8"/>
    <w:uiPriority w:val="9"/>
    <w:rsid w:val="00EA418E"/>
    <w:rPr>
      <w:rFonts w:ascii="Calibri" w:eastAsiaTheme="majorEastAsia" w:hAnsi="Calibri" w:cs="Calibri"/>
      <w:b/>
      <w:color w:val="404040" w:themeColor="text1" w:themeTint="BF"/>
      <w:sz w:val="20"/>
      <w:szCs w:val="20"/>
    </w:rPr>
  </w:style>
  <w:style w:type="character" w:customStyle="1" w:styleId="Heading9Char">
    <w:name w:val="Heading 9 Char"/>
    <w:basedOn w:val="DefaultParagraphFont"/>
    <w:link w:val="Heading9"/>
    <w:uiPriority w:val="9"/>
    <w:semiHidden/>
    <w:rsid w:val="00EA418E"/>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EA418E"/>
    <w:pPr>
      <w:numPr>
        <w:numId w:val="38"/>
      </w:numPr>
      <w:spacing w:after="0" w:line="240" w:lineRule="auto"/>
    </w:pPr>
    <w:rPr>
      <w:rFonts w:eastAsia="Times New Roman"/>
      <w:kern w:val="24"/>
      <w:szCs w:val="24"/>
      <w:lang w:eastAsia="en-AU"/>
    </w:rPr>
  </w:style>
  <w:style w:type="paragraph" w:customStyle="1" w:styleId="Instructions1">
    <w:name w:val="Instructions 1"/>
    <w:basedOn w:val="Normal"/>
    <w:qFormat/>
    <w:rsid w:val="00EA418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EA418E"/>
    <w:pPr>
      <w:numPr>
        <w:numId w:val="3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EA418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EA418E"/>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EA418E"/>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EA418E"/>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EA418E"/>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EA418E"/>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EA418E"/>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EA418E"/>
    <w:rPr>
      <w:i/>
      <w:color w:val="007099"/>
    </w:rPr>
  </w:style>
  <w:style w:type="paragraph" w:styleId="TableofFigures">
    <w:name w:val="table of figures"/>
    <w:basedOn w:val="Normal"/>
    <w:next w:val="Normal"/>
    <w:uiPriority w:val="99"/>
    <w:unhideWhenUsed/>
    <w:rsid w:val="00EA418E"/>
    <w:pPr>
      <w:spacing w:after="0"/>
    </w:pPr>
  </w:style>
  <w:style w:type="paragraph" w:customStyle="1" w:styleId="p7">
    <w:name w:val="p7"/>
    <w:basedOn w:val="Normal"/>
    <w:rsid w:val="00EA418E"/>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DocumentMap">
    <w:name w:val="Document Map"/>
    <w:basedOn w:val="Normal"/>
    <w:link w:val="DocumentMapChar"/>
    <w:uiPriority w:val="99"/>
    <w:semiHidden/>
    <w:unhideWhenUsed/>
    <w:rsid w:val="00F056E7"/>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F056E7"/>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DD3FEF"/>
    <w:pPr>
      <w:keepNext/>
      <w:numPr>
        <w:ilvl w:val="2"/>
        <w:numId w:val="31"/>
      </w:numPr>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EA418E"/>
    <w:pPr>
      <w:keepNext/>
      <w:keepLines/>
      <w:spacing w:before="200" w:after="0"/>
      <w:ind w:left="1134" w:hanging="1134"/>
      <w:outlineLvl w:val="7"/>
    </w:pPr>
    <w:rPr>
      <w:rFonts w:ascii="Calibri" w:eastAsiaTheme="majorEastAsia" w:hAnsi="Calibri" w:cs="Calibri"/>
      <w:b/>
      <w:color w:val="404040" w:themeColor="text1" w:themeTint="BF"/>
      <w:sz w:val="20"/>
      <w:szCs w:val="20"/>
    </w:rPr>
  </w:style>
  <w:style w:type="paragraph" w:styleId="Heading9">
    <w:name w:val="heading 9"/>
    <w:basedOn w:val="Normal"/>
    <w:next w:val="Normal"/>
    <w:link w:val="Heading9Char"/>
    <w:uiPriority w:val="9"/>
    <w:semiHidden/>
    <w:unhideWhenUsed/>
    <w:qFormat/>
    <w:rsid w:val="00EA418E"/>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DD3FE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846D13"/>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unhideWhenUsed/>
    <w:rsid w:val="00984096"/>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84096"/>
    <w:rPr>
      <w:rFonts w:ascii="Cambria" w:eastAsia="Cambria" w:hAnsi="Cambria" w:cs="Times New Roman"/>
      <w:sz w:val="20"/>
      <w:szCs w:val="20"/>
    </w:rPr>
  </w:style>
  <w:style w:type="character" w:styleId="FootnoteReference">
    <w:name w:val="footnote reference"/>
    <w:basedOn w:val="DefaultParagraphFont"/>
    <w:uiPriority w:val="99"/>
    <w:unhideWhenUsed/>
    <w:rsid w:val="00984096"/>
    <w:rPr>
      <w:vertAlign w:val="superscript"/>
    </w:rPr>
  </w:style>
  <w:style w:type="paragraph" w:styleId="ListParagraph">
    <w:name w:val="List Paragraph"/>
    <w:basedOn w:val="Normal"/>
    <w:uiPriority w:val="34"/>
    <w:qFormat/>
    <w:rsid w:val="00984096"/>
    <w:pPr>
      <w:ind w:left="720"/>
      <w:contextualSpacing/>
    </w:pPr>
  </w:style>
  <w:style w:type="character" w:customStyle="1" w:styleId="Heading8Char">
    <w:name w:val="Heading 8 Char"/>
    <w:basedOn w:val="DefaultParagraphFont"/>
    <w:link w:val="Heading8"/>
    <w:uiPriority w:val="9"/>
    <w:rsid w:val="00EA418E"/>
    <w:rPr>
      <w:rFonts w:ascii="Calibri" w:eastAsiaTheme="majorEastAsia" w:hAnsi="Calibri" w:cs="Calibri"/>
      <w:b/>
      <w:color w:val="404040" w:themeColor="text1" w:themeTint="BF"/>
      <w:sz w:val="20"/>
      <w:szCs w:val="20"/>
    </w:rPr>
  </w:style>
  <w:style w:type="character" w:customStyle="1" w:styleId="Heading9Char">
    <w:name w:val="Heading 9 Char"/>
    <w:basedOn w:val="DefaultParagraphFont"/>
    <w:link w:val="Heading9"/>
    <w:uiPriority w:val="9"/>
    <w:semiHidden/>
    <w:rsid w:val="00EA418E"/>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EA418E"/>
    <w:pPr>
      <w:numPr>
        <w:numId w:val="38"/>
      </w:numPr>
      <w:spacing w:after="0" w:line="240" w:lineRule="auto"/>
    </w:pPr>
    <w:rPr>
      <w:rFonts w:eastAsia="Times New Roman"/>
      <w:kern w:val="24"/>
      <w:szCs w:val="24"/>
      <w:lang w:eastAsia="en-AU"/>
    </w:rPr>
  </w:style>
  <w:style w:type="paragraph" w:customStyle="1" w:styleId="Instructions1">
    <w:name w:val="Instructions 1"/>
    <w:basedOn w:val="Normal"/>
    <w:qFormat/>
    <w:rsid w:val="00EA418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EA418E"/>
    <w:pPr>
      <w:numPr>
        <w:numId w:val="3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EA418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EA418E"/>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EA418E"/>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EA418E"/>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EA418E"/>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EA418E"/>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EA418E"/>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EA418E"/>
    <w:rPr>
      <w:i/>
      <w:color w:val="007099"/>
    </w:rPr>
  </w:style>
  <w:style w:type="paragraph" w:styleId="TableofFigures">
    <w:name w:val="table of figures"/>
    <w:basedOn w:val="Normal"/>
    <w:next w:val="Normal"/>
    <w:uiPriority w:val="99"/>
    <w:unhideWhenUsed/>
    <w:rsid w:val="00EA418E"/>
    <w:pPr>
      <w:spacing w:after="0"/>
    </w:pPr>
  </w:style>
  <w:style w:type="paragraph" w:customStyle="1" w:styleId="p7">
    <w:name w:val="p7"/>
    <w:basedOn w:val="Normal"/>
    <w:rsid w:val="00EA418E"/>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DocumentMap">
    <w:name w:val="Document Map"/>
    <w:basedOn w:val="Normal"/>
    <w:link w:val="DocumentMapChar"/>
    <w:uiPriority w:val="99"/>
    <w:semiHidden/>
    <w:unhideWhenUsed/>
    <w:rsid w:val="00F056E7"/>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F056E7"/>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5.png"/><Relationship Id="rId76" Type="http://schemas.openxmlformats.org/officeDocument/2006/relationships/hyperlink" Target="https://www.tga.gov.au" TargetMode="Externa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8.png"/><Relationship Id="rId11" Type="http://schemas.openxmlformats.org/officeDocument/2006/relationships/hyperlink" Target="mailto:tga.copyright@tga.gov.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2.xml"/><Relationship Id="rId79" Type="http://schemas.openxmlformats.org/officeDocument/2006/relationships/footer" Target="footer3.xml"/><Relationship Id="rId87"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fontTable" Target="fontTable.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eader" Target="header4.xml"/><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microsoft.com/office/2007/relationships/hdphoto" Target="media/hdphoto2.wdp"/><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hyperlink" Target="mailto:info@tga.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hyperlink" Target="https://www.tga.gov.au/product-information-pi" TargetMode="External"/><Relationship Id="rId31" Type="http://schemas.openxmlformats.org/officeDocument/2006/relationships/image" Target="media/image20.png"/><Relationship Id="rId44" Type="http://schemas.openxmlformats.org/officeDocument/2006/relationships/image" Target="media/image33.png"/><Relationship Id="rId52" Type="http://schemas.microsoft.com/office/2007/relationships/hdphoto" Target="media/hdphoto1.wdp"/><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5.xml"/><Relationship Id="rId78" Type="http://schemas.openxmlformats.org/officeDocument/2006/relationships/header" Target="header7.xml"/><Relationship Id="rId81" Type="http://schemas.openxmlformats.org/officeDocument/2006/relationships/footer" Target="footer4.xml"/><Relationship Id="rId86"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805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AC95A-5FEF-4C47-8967-E89FC6A88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196</TotalTime>
  <Pages>121</Pages>
  <Words>43714</Words>
  <Characters>234312</Characters>
  <Application>Microsoft Office Word</Application>
  <DocSecurity>0</DocSecurity>
  <Lines>3779</Lines>
  <Paragraphs>1281</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TGA</Company>
  <LinksUpToDate>false</LinksUpToDate>
  <CharactersWithSpaces>276745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Sebelipase alfa</dc:title>
  <dc:subject>prescription medicines</dc:subject>
  <dc:creator>Therapeutic Goods Administration</dc:creator>
  <cp:keywords>AusPARs</cp:keywords>
  <cp:lastModifiedBy>LACK, Janet</cp:lastModifiedBy>
  <cp:revision>4</cp:revision>
  <cp:lastPrinted>2015-09-22T23:53:00Z</cp:lastPrinted>
  <dcterms:created xsi:type="dcterms:W3CDTF">2018-07-17T04:23:00Z</dcterms:created>
  <dcterms:modified xsi:type="dcterms:W3CDTF">2018-07-18T02:24:00Z</dcterms:modified>
</cp:coreProperties>
</file>