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2B" w:rsidRPr="004C287A" w:rsidRDefault="004A07E2" w:rsidP="009B3F7C">
      <w:pPr>
        <w:pStyle w:val="Title"/>
      </w:pPr>
      <w:r>
        <w:t>COSENTYX</w:t>
      </w:r>
      <w:r w:rsidR="00F22127" w:rsidRPr="00416922">
        <w:rPr>
          <w:vertAlign w:val="superscript"/>
        </w:rPr>
        <w:sym w:font="Symbol" w:char="F0D2"/>
      </w:r>
      <w:r w:rsidR="001272B8">
        <w:t xml:space="preserve"> </w:t>
      </w:r>
    </w:p>
    <w:p w:rsidR="00FA4F37" w:rsidRPr="00416922" w:rsidRDefault="00DE697E" w:rsidP="009B3F7C">
      <w:pPr>
        <w:pStyle w:val="Subtitle"/>
      </w:pPr>
      <w:proofErr w:type="spellStart"/>
      <w:proofErr w:type="gramStart"/>
      <w:r w:rsidRPr="00416922">
        <w:t>s</w:t>
      </w:r>
      <w:r w:rsidR="008A16C5" w:rsidRPr="00416922">
        <w:t>ecukinumab</w:t>
      </w:r>
      <w:proofErr w:type="spellEnd"/>
      <w:proofErr w:type="gramEnd"/>
      <w:r w:rsidRPr="00416922">
        <w:t xml:space="preserve"> (</w:t>
      </w:r>
      <w:proofErr w:type="spellStart"/>
      <w:r w:rsidRPr="00E32C4B">
        <w:rPr>
          <w:i/>
        </w:rPr>
        <w:t>r</w:t>
      </w:r>
      <w:r w:rsidR="008F177E" w:rsidRPr="00E32C4B">
        <w:rPr>
          <w:i/>
        </w:rPr>
        <w:t>ch</w:t>
      </w:r>
      <w:proofErr w:type="spellEnd"/>
      <w:r w:rsidRPr="00416922">
        <w:t>)</w:t>
      </w:r>
    </w:p>
    <w:p w:rsidR="00B307BC" w:rsidRPr="00D766FE" w:rsidRDefault="00B307BC" w:rsidP="009B3F7C">
      <w:pPr>
        <w:pStyle w:val="Subtitle"/>
      </w:pPr>
      <w:bookmarkStart w:id="0" w:name="_GoBack"/>
      <w:bookmarkEnd w:id="0"/>
    </w:p>
    <w:p w:rsidR="00F55A14" w:rsidRPr="004C287A" w:rsidRDefault="00F22127" w:rsidP="009B3F7C">
      <w:pPr>
        <w:pStyle w:val="Heading1"/>
      </w:pPr>
      <w:r w:rsidRPr="004C287A">
        <w:t xml:space="preserve">NAME OF THE </w:t>
      </w:r>
      <w:r w:rsidR="007F46FD" w:rsidRPr="004C287A">
        <w:t>MEDICINE</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34"/>
      </w:tblGrid>
      <w:tr w:rsidR="00B307BC" w:rsidRPr="00B307BC" w:rsidTr="00B307BC">
        <w:tc>
          <w:tcPr>
            <w:tcW w:w="2245" w:type="dxa"/>
          </w:tcPr>
          <w:p w:rsidR="00B307BC" w:rsidRPr="00B307BC" w:rsidRDefault="00B307BC" w:rsidP="009B3F7C">
            <w:pPr>
              <w:rPr>
                <w:b/>
              </w:rPr>
            </w:pPr>
            <w:r w:rsidRPr="00B23FAF">
              <w:t>Active ingredient</w:t>
            </w:r>
            <w:r>
              <w:t>:</w:t>
            </w:r>
          </w:p>
        </w:tc>
        <w:tc>
          <w:tcPr>
            <w:tcW w:w="7234" w:type="dxa"/>
          </w:tcPr>
          <w:p w:rsidR="00B307BC" w:rsidRPr="00B307BC" w:rsidRDefault="00B307BC" w:rsidP="009B3F7C">
            <w:pPr>
              <w:rPr>
                <w:b/>
              </w:rPr>
            </w:pPr>
            <w:proofErr w:type="spellStart"/>
            <w:r w:rsidRPr="00B307BC">
              <w:t>Secukinumab</w:t>
            </w:r>
            <w:proofErr w:type="spellEnd"/>
            <w:r>
              <w:t xml:space="preserve"> </w:t>
            </w:r>
          </w:p>
        </w:tc>
      </w:tr>
      <w:tr w:rsidR="00B307BC" w:rsidRPr="00B307BC" w:rsidTr="00B23FAF">
        <w:tc>
          <w:tcPr>
            <w:tcW w:w="2245" w:type="dxa"/>
          </w:tcPr>
          <w:p w:rsidR="00B307BC" w:rsidRPr="00B23FAF" w:rsidRDefault="00B307BC" w:rsidP="009B3F7C">
            <w:pPr>
              <w:rPr>
                <w:b/>
              </w:rPr>
            </w:pPr>
            <w:r w:rsidRPr="00B23FAF">
              <w:t>Chemical name</w:t>
            </w:r>
            <w:r>
              <w:t>:</w:t>
            </w:r>
          </w:p>
        </w:tc>
        <w:tc>
          <w:tcPr>
            <w:tcW w:w="7234" w:type="dxa"/>
          </w:tcPr>
          <w:p w:rsidR="00B307BC" w:rsidRPr="00B23FAF" w:rsidRDefault="00B307BC" w:rsidP="009B3F7C">
            <w:pPr>
              <w:rPr>
                <w:rFonts w:ascii="Helv" w:hAnsi="Helv"/>
                <w:b/>
              </w:rPr>
            </w:pPr>
            <w:r>
              <w:t>R</w:t>
            </w:r>
            <w:r w:rsidRPr="00B307BC">
              <w:t xml:space="preserve">ecombinant human monoclonal anti-human Interleukin-17A (IL-17A, IL-17) antibody of the IgG1/kappa isotype </w:t>
            </w:r>
          </w:p>
        </w:tc>
      </w:tr>
      <w:tr w:rsidR="00B307BC" w:rsidRPr="00B307BC" w:rsidTr="00B23FAF">
        <w:tc>
          <w:tcPr>
            <w:tcW w:w="2245" w:type="dxa"/>
          </w:tcPr>
          <w:p w:rsidR="00B307BC" w:rsidRPr="00B307BC" w:rsidRDefault="00B307BC" w:rsidP="009B3F7C">
            <w:pPr>
              <w:rPr>
                <w:b/>
              </w:rPr>
            </w:pPr>
            <w:smartTag w:uri="urn:schemas-microsoft-com:office:smarttags" w:element="stockticker">
              <w:r w:rsidRPr="00B23FAF">
                <w:rPr>
                  <w:lang w:val="pt-BR"/>
                </w:rPr>
                <w:t>CAS</w:t>
              </w:r>
            </w:smartTag>
            <w:r w:rsidRPr="00B23FAF">
              <w:rPr>
                <w:lang w:val="pt-BR"/>
              </w:rPr>
              <w:t xml:space="preserve"> Numbers</w:t>
            </w:r>
            <w:r>
              <w:rPr>
                <w:lang w:val="pt-BR"/>
              </w:rPr>
              <w:t>:</w:t>
            </w:r>
          </w:p>
        </w:tc>
        <w:tc>
          <w:tcPr>
            <w:tcW w:w="7234" w:type="dxa"/>
          </w:tcPr>
          <w:p w:rsidR="00B307BC" w:rsidRPr="00B23FAF" w:rsidRDefault="00B307BC" w:rsidP="009B3F7C">
            <w:pPr>
              <w:rPr>
                <w:rFonts w:ascii="Helv" w:hAnsi="Helv"/>
                <w:b/>
              </w:rPr>
            </w:pPr>
            <w:r w:rsidRPr="00B307BC">
              <w:rPr>
                <w:lang w:val="pt-BR"/>
              </w:rPr>
              <w:t>875356-43-7 (heavy chain), 875356-44-8 (light chain)</w:t>
            </w:r>
          </w:p>
        </w:tc>
      </w:tr>
      <w:tr w:rsidR="00B307BC" w:rsidRPr="00B307BC" w:rsidTr="00B23FAF">
        <w:tc>
          <w:tcPr>
            <w:tcW w:w="2245" w:type="dxa"/>
          </w:tcPr>
          <w:p w:rsidR="00B307BC" w:rsidRPr="00B307BC" w:rsidRDefault="00B307BC" w:rsidP="009B3F7C">
            <w:pPr>
              <w:rPr>
                <w:b/>
              </w:rPr>
            </w:pPr>
            <w:r w:rsidRPr="00B23FAF">
              <w:rPr>
                <w:lang w:val="pt-BR"/>
              </w:rPr>
              <w:t>Molecular formula</w:t>
            </w:r>
            <w:r>
              <w:rPr>
                <w:lang w:val="pt-BR"/>
              </w:rPr>
              <w:t>:</w:t>
            </w:r>
          </w:p>
        </w:tc>
        <w:tc>
          <w:tcPr>
            <w:tcW w:w="7234" w:type="dxa"/>
          </w:tcPr>
          <w:p w:rsidR="00B307BC" w:rsidRPr="00B23FAF" w:rsidRDefault="00B307BC" w:rsidP="009B3F7C">
            <w:pPr>
              <w:rPr>
                <w:rFonts w:ascii="Helv" w:hAnsi="Helv"/>
                <w:b/>
              </w:rPr>
            </w:pPr>
            <w:r w:rsidRPr="00B307BC">
              <w:rPr>
                <w:lang w:val="pt-BR"/>
              </w:rPr>
              <w:t>C</w:t>
            </w:r>
            <w:r w:rsidRPr="00B307BC">
              <w:rPr>
                <w:vertAlign w:val="subscript"/>
                <w:lang w:val="pt-BR"/>
              </w:rPr>
              <w:t>6584</w:t>
            </w:r>
            <w:r w:rsidRPr="00B307BC">
              <w:rPr>
                <w:lang w:val="pt-BR"/>
              </w:rPr>
              <w:t>H</w:t>
            </w:r>
            <w:r w:rsidRPr="00B307BC">
              <w:rPr>
                <w:vertAlign w:val="subscript"/>
                <w:lang w:val="pt-BR"/>
              </w:rPr>
              <w:t>10134</w:t>
            </w:r>
            <w:r w:rsidRPr="00B307BC">
              <w:rPr>
                <w:lang w:val="pt-BR"/>
              </w:rPr>
              <w:t>N</w:t>
            </w:r>
            <w:r w:rsidRPr="00B307BC">
              <w:rPr>
                <w:vertAlign w:val="subscript"/>
                <w:lang w:val="pt-BR"/>
              </w:rPr>
              <w:t>1754</w:t>
            </w:r>
            <w:r w:rsidRPr="00B307BC">
              <w:rPr>
                <w:lang w:val="pt-BR"/>
              </w:rPr>
              <w:t>O</w:t>
            </w:r>
            <w:r w:rsidRPr="00B307BC">
              <w:rPr>
                <w:vertAlign w:val="subscript"/>
                <w:lang w:val="pt-BR"/>
              </w:rPr>
              <w:t>2042</w:t>
            </w:r>
            <w:r w:rsidRPr="00B307BC">
              <w:rPr>
                <w:lang w:val="pt-BR"/>
              </w:rPr>
              <w:t>S</w:t>
            </w:r>
            <w:r w:rsidRPr="00B307BC">
              <w:rPr>
                <w:vertAlign w:val="subscript"/>
                <w:lang w:val="pt-BR"/>
              </w:rPr>
              <w:t>44</w:t>
            </w:r>
          </w:p>
        </w:tc>
      </w:tr>
      <w:tr w:rsidR="00B307BC" w:rsidRPr="0067367C" w:rsidTr="0076585C">
        <w:tc>
          <w:tcPr>
            <w:tcW w:w="2245" w:type="dxa"/>
          </w:tcPr>
          <w:p w:rsidR="00B307BC" w:rsidRPr="0067367C" w:rsidRDefault="00B307BC" w:rsidP="009B3F7C">
            <w:pPr>
              <w:rPr>
                <w:b/>
              </w:rPr>
            </w:pPr>
            <w:r w:rsidRPr="0067367C">
              <w:rPr>
                <w:lang w:val="pt-BR"/>
              </w:rPr>
              <w:t>Molecular weight:</w:t>
            </w:r>
          </w:p>
        </w:tc>
        <w:tc>
          <w:tcPr>
            <w:tcW w:w="7234" w:type="dxa"/>
          </w:tcPr>
          <w:p w:rsidR="00B307BC" w:rsidRPr="0067367C" w:rsidRDefault="00B307BC" w:rsidP="009B3F7C">
            <w:pPr>
              <w:rPr>
                <w:rFonts w:ascii="Helv" w:hAnsi="Helv"/>
                <w:b/>
              </w:rPr>
            </w:pPr>
            <w:r w:rsidRPr="00B307BC">
              <w:t xml:space="preserve">Approximately </w:t>
            </w:r>
            <w:r>
              <w:t>1</w:t>
            </w:r>
            <w:r w:rsidRPr="00B307BC">
              <w:t>48</w:t>
            </w:r>
            <w:r>
              <w:t xml:space="preserve"> </w:t>
            </w:r>
            <w:proofErr w:type="spellStart"/>
            <w:r w:rsidRPr="00B307BC">
              <w:t>kDa</w:t>
            </w:r>
            <w:proofErr w:type="spellEnd"/>
          </w:p>
        </w:tc>
      </w:tr>
      <w:tr w:rsidR="00B307BC" w:rsidRPr="00B307BC" w:rsidTr="00B307BC">
        <w:tc>
          <w:tcPr>
            <w:tcW w:w="2245" w:type="dxa"/>
          </w:tcPr>
          <w:p w:rsidR="00B307BC" w:rsidRPr="00B307BC" w:rsidRDefault="00B307BC" w:rsidP="009B3F7C">
            <w:pPr>
              <w:rPr>
                <w:b/>
                <w:lang w:val="pt-BR"/>
              </w:rPr>
            </w:pPr>
            <w:r>
              <w:rPr>
                <w:lang w:val="pt-BR"/>
              </w:rPr>
              <w:t>Structure:</w:t>
            </w:r>
          </w:p>
        </w:tc>
        <w:tc>
          <w:tcPr>
            <w:tcW w:w="7234" w:type="dxa"/>
          </w:tcPr>
          <w:p w:rsidR="00416922" w:rsidRPr="00B307BC" w:rsidRDefault="00587A72" w:rsidP="009B3F7C">
            <w:r w:rsidRPr="00587A72">
              <w:t>The amino acid sequences of the light chain (215 amino acids) and the heavy chain (457</w:t>
            </w:r>
            <w:r>
              <w:t xml:space="preserve"> </w:t>
            </w:r>
            <w:r w:rsidRPr="00587A72">
              <w:t>amino acids) respectively</w:t>
            </w:r>
            <w:r w:rsidR="00B7638C">
              <w:t xml:space="preserve">. </w:t>
            </w:r>
          </w:p>
        </w:tc>
      </w:tr>
    </w:tbl>
    <w:p w:rsidR="00F7337A" w:rsidRDefault="00F7337A" w:rsidP="009B3F7C">
      <w:pPr>
        <w:pStyle w:val="Heading1"/>
      </w:pPr>
    </w:p>
    <w:p w:rsidR="00F55A14" w:rsidRDefault="00055669" w:rsidP="009B3F7C">
      <w:pPr>
        <w:pStyle w:val="Heading1"/>
      </w:pPr>
      <w:r>
        <w:t>DESCRIPTION</w:t>
      </w:r>
    </w:p>
    <w:p w:rsidR="00525D62" w:rsidRPr="00525D62" w:rsidRDefault="00525D62" w:rsidP="009B3F7C">
      <w:proofErr w:type="spellStart"/>
      <w:r w:rsidRPr="00525D62">
        <w:t>Secukinumab</w:t>
      </w:r>
      <w:proofErr w:type="spellEnd"/>
      <w:r w:rsidRPr="00525D62">
        <w:t xml:space="preserve"> is a recombinant fully human monoclonal antibody selective for interleukin-17A. </w:t>
      </w:r>
      <w:proofErr w:type="spellStart"/>
      <w:r w:rsidRPr="00525D62">
        <w:t>Secukinumab</w:t>
      </w:r>
      <w:proofErr w:type="spellEnd"/>
      <w:r w:rsidRPr="00525D62">
        <w:t xml:space="preserve"> is of the IgG1/κ-class produced in Chinese Hamster Ovary (CHO) cells.</w:t>
      </w:r>
    </w:p>
    <w:p w:rsidR="00454F75" w:rsidRDefault="00454F75" w:rsidP="009B3F7C">
      <w:pPr>
        <w:pStyle w:val="Heading2"/>
      </w:pPr>
      <w:r>
        <w:t xml:space="preserve">Powder for </w:t>
      </w:r>
      <w:r w:rsidR="00B16974">
        <w:t>injec</w:t>
      </w:r>
      <w:r>
        <w:t>tion</w:t>
      </w:r>
    </w:p>
    <w:p w:rsidR="009E3BEA" w:rsidRPr="00416A25" w:rsidRDefault="009E3BEA" w:rsidP="009B3F7C">
      <w:pPr>
        <w:rPr>
          <w:b/>
        </w:rPr>
      </w:pPr>
      <w:r w:rsidRPr="00B23FAF">
        <w:t xml:space="preserve">Each vial of powder for injection contains 150 mg of </w:t>
      </w:r>
      <w:proofErr w:type="spellStart"/>
      <w:r w:rsidRPr="00B23FAF">
        <w:t>secukinumab</w:t>
      </w:r>
      <w:proofErr w:type="spellEnd"/>
      <w:r w:rsidRPr="00BE151F">
        <w:t xml:space="preserve"> </w:t>
      </w:r>
      <w:r w:rsidRPr="0076585C">
        <w:t>as a lyophilized cake in glass vials</w:t>
      </w:r>
      <w:r w:rsidRPr="00B23FAF">
        <w:t>.</w:t>
      </w:r>
      <w:r w:rsidRPr="00205BB4">
        <w:t xml:space="preserve"> </w:t>
      </w:r>
      <w:r>
        <w:t xml:space="preserve">Excipients: </w:t>
      </w:r>
      <w:r w:rsidR="00394323" w:rsidRPr="00394323">
        <w:t>water for injections</w:t>
      </w:r>
      <w:r w:rsidR="00394323">
        <w:t xml:space="preserve">, </w:t>
      </w:r>
      <w:r>
        <w:t>s</w:t>
      </w:r>
      <w:r w:rsidRPr="00416A25">
        <w:t xml:space="preserve">ucrose, </w:t>
      </w:r>
      <w:r>
        <w:t>h</w:t>
      </w:r>
      <w:r w:rsidRPr="00416A25">
        <w:t xml:space="preserve">istidine, </w:t>
      </w:r>
      <w:r>
        <w:t>h</w:t>
      </w:r>
      <w:r w:rsidRPr="00416A25">
        <w:t xml:space="preserve">istidine </w:t>
      </w:r>
      <w:r>
        <w:t>hydrochloride</w:t>
      </w:r>
      <w:r w:rsidRPr="00416A25">
        <w:t xml:space="preserve"> monohydrate, </w:t>
      </w:r>
      <w:proofErr w:type="spellStart"/>
      <w:r>
        <w:t>p</w:t>
      </w:r>
      <w:r w:rsidRPr="00416A25">
        <w:t>olysorbate</w:t>
      </w:r>
      <w:proofErr w:type="spellEnd"/>
      <w:r w:rsidRPr="00416A25">
        <w:t xml:space="preserve"> 80.</w:t>
      </w:r>
    </w:p>
    <w:p w:rsidR="009E3BEA" w:rsidRDefault="009E3BEA" w:rsidP="009B3F7C">
      <w:pPr>
        <w:pStyle w:val="Heading2"/>
      </w:pPr>
      <w:r>
        <w:t>Solution for injection</w:t>
      </w:r>
    </w:p>
    <w:p w:rsidR="00394323" w:rsidRPr="001A2E11" w:rsidRDefault="00CF5802" w:rsidP="009B3F7C">
      <w:pPr>
        <w:pStyle w:val="Heading3"/>
      </w:pPr>
      <w:r w:rsidRPr="001A2E11">
        <w:t>S</w:t>
      </w:r>
      <w:r w:rsidR="00454F75" w:rsidRPr="001A2E11">
        <w:t xml:space="preserve">olution for injection </w:t>
      </w:r>
      <w:r w:rsidR="00DB0196" w:rsidRPr="001A2E11">
        <w:t>in</w:t>
      </w:r>
      <w:r w:rsidR="00C61B44" w:rsidRPr="001A2E11">
        <w:t xml:space="preserve"> a single-</w:t>
      </w:r>
      <w:r w:rsidR="003B1F46" w:rsidRPr="001A2E11">
        <w:t>use</w:t>
      </w:r>
      <w:r w:rsidR="00956614" w:rsidRPr="001A2E11">
        <w:t>, pre-filled</w:t>
      </w:r>
      <w:r w:rsidRPr="001A2E11">
        <w:t xml:space="preserve"> </w:t>
      </w:r>
      <w:r w:rsidR="00454F75" w:rsidRPr="001A2E11">
        <w:t>syringe</w:t>
      </w:r>
      <w:r w:rsidRPr="001A2E11">
        <w:t xml:space="preserve"> and</w:t>
      </w:r>
      <w:r w:rsidR="00394323" w:rsidRPr="001A2E11">
        <w:t>/or</w:t>
      </w:r>
      <w:r w:rsidRPr="001A2E11">
        <w:t xml:space="preserve"> </w:t>
      </w:r>
      <w:r w:rsidR="00454F75" w:rsidRPr="001A2E11">
        <w:t>pen</w:t>
      </w:r>
      <w:r w:rsidR="00956614" w:rsidRPr="001A2E11">
        <w:t xml:space="preserve"> (auto</w:t>
      </w:r>
      <w:r w:rsidR="00DB0196" w:rsidRPr="001A2E11">
        <w:t>-</w:t>
      </w:r>
      <w:r w:rsidR="00956614" w:rsidRPr="001A2E11">
        <w:t>injector)</w:t>
      </w:r>
      <w:r w:rsidRPr="001A2E11">
        <w:t xml:space="preserve">. </w:t>
      </w:r>
    </w:p>
    <w:p w:rsidR="00924179" w:rsidRPr="009B3F7C" w:rsidRDefault="00924179" w:rsidP="009B3F7C">
      <w:pPr>
        <w:pStyle w:val="Heading3"/>
      </w:pPr>
      <w:r w:rsidRPr="009B3F7C">
        <w:t>Prefilled syringe</w:t>
      </w:r>
    </w:p>
    <w:p w:rsidR="00DD19B4" w:rsidRPr="00416922" w:rsidRDefault="00BE151F" w:rsidP="009B3F7C">
      <w:r w:rsidRPr="00416922">
        <w:t xml:space="preserve">Each </w:t>
      </w:r>
      <w:r w:rsidR="00DD19B4" w:rsidRPr="00416922">
        <w:t xml:space="preserve">single-use </w:t>
      </w:r>
      <w:r w:rsidRPr="00416922">
        <w:t xml:space="preserve">pre-filled syringe </w:t>
      </w:r>
      <w:r w:rsidR="00DD19B4" w:rsidRPr="00416922">
        <w:t xml:space="preserve">contains 150 mg/mL of </w:t>
      </w:r>
      <w:proofErr w:type="spellStart"/>
      <w:r w:rsidR="00DD19B4" w:rsidRPr="00416922">
        <w:t>secukinumab</w:t>
      </w:r>
      <w:proofErr w:type="spellEnd"/>
      <w:r w:rsidR="00DD19B4" w:rsidRPr="00416922">
        <w:t xml:space="preserve">. Excipients: trehalose </w:t>
      </w:r>
      <w:proofErr w:type="spellStart"/>
      <w:r w:rsidR="00DD19B4" w:rsidRPr="00416922">
        <w:t>dihydrate</w:t>
      </w:r>
      <w:proofErr w:type="spellEnd"/>
      <w:r w:rsidR="00DD19B4" w:rsidRPr="00416922">
        <w:t xml:space="preserve">, histidine, histidine hydrochloride monohydrate, </w:t>
      </w:r>
      <w:proofErr w:type="spellStart"/>
      <w:r w:rsidR="00DD19B4" w:rsidRPr="00416922">
        <w:t>polysorbate</w:t>
      </w:r>
      <w:proofErr w:type="spellEnd"/>
      <w:r w:rsidR="00DD19B4" w:rsidRPr="00416922">
        <w:t xml:space="preserve"> 80, methionine, water for injection</w:t>
      </w:r>
      <w:r w:rsidR="00BF762C" w:rsidRPr="00416922">
        <w:t>s</w:t>
      </w:r>
      <w:r w:rsidR="00DD19B4" w:rsidRPr="00416922">
        <w:t>.</w:t>
      </w:r>
    </w:p>
    <w:p w:rsidR="006329AD" w:rsidRDefault="006329AD" w:rsidP="009B3F7C">
      <w:pPr>
        <w:pStyle w:val="Heading3"/>
      </w:pPr>
      <w:r>
        <w:t>Pen</w:t>
      </w:r>
    </w:p>
    <w:p w:rsidR="00BE151F" w:rsidRDefault="00DD19B4" w:rsidP="009B3F7C">
      <w:r w:rsidRPr="00416922">
        <w:t xml:space="preserve">Each single-use </w:t>
      </w:r>
      <w:r w:rsidR="00956614">
        <w:t xml:space="preserve">prefilled </w:t>
      </w:r>
      <w:r w:rsidR="00B676C3">
        <w:t>pen</w:t>
      </w:r>
      <w:r w:rsidR="00B676C3" w:rsidRPr="00416922">
        <w:t xml:space="preserve"> </w:t>
      </w:r>
      <w:r w:rsidR="00BE151F" w:rsidRPr="00416922">
        <w:t xml:space="preserve">contains 150 mg/mL of </w:t>
      </w:r>
      <w:proofErr w:type="spellStart"/>
      <w:r w:rsidRPr="00416922">
        <w:t>s</w:t>
      </w:r>
      <w:r w:rsidR="00BE151F" w:rsidRPr="00416922">
        <w:t>ecukinumab</w:t>
      </w:r>
      <w:proofErr w:type="spellEnd"/>
      <w:r w:rsidR="00BE151F" w:rsidRPr="00416922">
        <w:t xml:space="preserve">. Excipients: trehalose </w:t>
      </w:r>
      <w:proofErr w:type="spellStart"/>
      <w:r w:rsidR="00BE151F" w:rsidRPr="00416922">
        <w:t>dihydrate</w:t>
      </w:r>
      <w:proofErr w:type="spellEnd"/>
      <w:r w:rsidR="00BE151F" w:rsidRPr="00416922">
        <w:t xml:space="preserve">, histidine, histidine </w:t>
      </w:r>
      <w:r w:rsidR="000F55FF" w:rsidRPr="00416922">
        <w:t>hydrochloride</w:t>
      </w:r>
      <w:r w:rsidR="00BE151F" w:rsidRPr="00416922">
        <w:t xml:space="preserve"> monohydrate, </w:t>
      </w:r>
      <w:proofErr w:type="spellStart"/>
      <w:r w:rsidR="00BE151F" w:rsidRPr="00416922">
        <w:t>polysorbate</w:t>
      </w:r>
      <w:proofErr w:type="spellEnd"/>
      <w:r w:rsidR="00BE151F" w:rsidRPr="00416922">
        <w:t xml:space="preserve"> 80, methionine, water for injection</w:t>
      </w:r>
      <w:r w:rsidR="00BF762C" w:rsidRPr="00416922">
        <w:t>s</w:t>
      </w:r>
      <w:r w:rsidR="00BE151F" w:rsidRPr="00416922">
        <w:t>.</w:t>
      </w:r>
    </w:p>
    <w:p w:rsidR="009D793B" w:rsidRDefault="009D793B" w:rsidP="009B3F7C"/>
    <w:p w:rsidR="007F46FD" w:rsidRDefault="00F22127" w:rsidP="009B3F7C">
      <w:pPr>
        <w:pStyle w:val="Heading1"/>
      </w:pPr>
      <w:r w:rsidRPr="00D766FE">
        <w:t>PHARMACOLOGY</w:t>
      </w:r>
    </w:p>
    <w:p w:rsidR="00723C9B" w:rsidRDefault="00FD00E9" w:rsidP="009B3F7C">
      <w:proofErr w:type="spellStart"/>
      <w:r w:rsidRPr="00FD00E9">
        <w:t>Pharmacotherapeutic</w:t>
      </w:r>
      <w:proofErr w:type="spellEnd"/>
      <w:r w:rsidRPr="00FD00E9">
        <w:t xml:space="preserve"> group</w:t>
      </w:r>
      <w:r>
        <w:rPr>
          <w:b/>
        </w:rPr>
        <w:t>:</w:t>
      </w:r>
      <w:r w:rsidR="005541FC">
        <w:rPr>
          <w:b/>
        </w:rPr>
        <w:t xml:space="preserve"> </w:t>
      </w:r>
      <w:r w:rsidRPr="004B0E20">
        <w:t>i</w:t>
      </w:r>
      <w:r w:rsidR="00205BB4">
        <w:t>nterleukin inhibitors</w:t>
      </w:r>
      <w:r w:rsidR="00BC772D">
        <w:t xml:space="preserve">; </w:t>
      </w:r>
      <w:r w:rsidRPr="00FD00E9">
        <w:t>ATC Code</w:t>
      </w:r>
      <w:r>
        <w:rPr>
          <w:b/>
        </w:rPr>
        <w:t xml:space="preserve">: </w:t>
      </w:r>
      <w:r w:rsidR="00723C9B" w:rsidRPr="00B23FAF">
        <w:t>L04AC10</w:t>
      </w:r>
    </w:p>
    <w:p w:rsidR="006960C8" w:rsidRPr="00416922" w:rsidRDefault="006960C8" w:rsidP="009B3F7C">
      <w:pPr>
        <w:pStyle w:val="Heading2"/>
      </w:pPr>
      <w:r w:rsidRPr="00416922">
        <w:t>Mechanism of action</w:t>
      </w:r>
    </w:p>
    <w:p w:rsidR="001B67F3" w:rsidRDefault="005541FC" w:rsidP="009B3F7C">
      <w:proofErr w:type="spellStart"/>
      <w:r w:rsidRPr="005541FC">
        <w:t>Secukinumab</w:t>
      </w:r>
      <w:proofErr w:type="spellEnd"/>
      <w:r w:rsidRPr="005541FC">
        <w:t xml:space="preserve"> is a fully human IgG1 antibody that selectively binds to and neutralizes the </w:t>
      </w:r>
      <w:proofErr w:type="spellStart"/>
      <w:r w:rsidRPr="005541FC">
        <w:t>proinflammatory</w:t>
      </w:r>
      <w:proofErr w:type="spellEnd"/>
      <w:r w:rsidRPr="005541FC">
        <w:t xml:space="preserve"> cytokine interleukin-17A (IL-17A). </w:t>
      </w:r>
      <w:r w:rsidR="001B67F3">
        <w:t>IL-17A is a naturally occurring cytokine that is involved in normal inflammatory and immune responses. IL-17A plays a key role in the pathogenesis of plaque psoriasis</w:t>
      </w:r>
      <w:r w:rsidR="00E62B1A">
        <w:t xml:space="preserve"> </w:t>
      </w:r>
      <w:r w:rsidR="00E62B1A">
        <w:rPr>
          <w:rFonts w:ascii="Cambria" w:hAnsi="Cambria" w:cs="Cambria"/>
          <w:color w:val="231F20"/>
          <w:sz w:val="22"/>
          <w:szCs w:val="22"/>
          <w:lang w:val="en-US"/>
        </w:rPr>
        <w:t>and immunity against infections</w:t>
      </w:r>
      <w:r w:rsidR="001B67F3">
        <w:t xml:space="preserve">. Increased numbers of IL-17A producing lymphocytes and innate immune cells and increased levels of IL-17A have been found in the blood and affected skin of patients with plaque psoriasis. IL-17A is highly </w:t>
      </w:r>
      <w:r w:rsidR="001B67F3">
        <w:lastRenderedPageBreak/>
        <w:t xml:space="preserve">up-regulated in </w:t>
      </w:r>
      <w:proofErr w:type="spellStart"/>
      <w:r w:rsidR="001B67F3">
        <w:t>lesional</w:t>
      </w:r>
      <w:proofErr w:type="spellEnd"/>
      <w:r w:rsidR="001B67F3">
        <w:t xml:space="preserve"> skin in contrast to non-</w:t>
      </w:r>
      <w:proofErr w:type="spellStart"/>
      <w:r w:rsidR="001B67F3">
        <w:t>lesional</w:t>
      </w:r>
      <w:proofErr w:type="spellEnd"/>
      <w:r w:rsidR="001B67F3">
        <w:t xml:space="preserve"> skin of plaque psoriasis patients. IL-17A also promotes tissue inflammation, neutrophil infiltration, bone and tissue destruction, and tissue </w:t>
      </w:r>
      <w:r w:rsidR="003708B6">
        <w:t>remodelling</w:t>
      </w:r>
      <w:r w:rsidR="001B67F3">
        <w:t xml:space="preserve"> including angiogenesis and fibrosis. </w:t>
      </w:r>
    </w:p>
    <w:p w:rsidR="005541FC" w:rsidRPr="005541FC" w:rsidRDefault="005541FC" w:rsidP="009B3F7C">
      <w:proofErr w:type="spellStart"/>
      <w:r w:rsidRPr="005541FC">
        <w:t>Secukinumab</w:t>
      </w:r>
      <w:proofErr w:type="spellEnd"/>
      <w:r w:rsidRPr="005541FC">
        <w:t xml:space="preserve"> works by targeting IL-17A and inhibiting its interaction with the IL-17 receptor, which is expressed on various cell types including keratinocytes. As a result, </w:t>
      </w:r>
      <w:proofErr w:type="spellStart"/>
      <w:r w:rsidRPr="005541FC">
        <w:t>secukinumab</w:t>
      </w:r>
      <w:proofErr w:type="spellEnd"/>
      <w:r w:rsidRPr="005541FC">
        <w:t xml:space="preserve"> inhibits the release of </w:t>
      </w:r>
      <w:proofErr w:type="spellStart"/>
      <w:r w:rsidRPr="005541FC">
        <w:t>proinflammatory</w:t>
      </w:r>
      <w:proofErr w:type="spellEnd"/>
      <w:r w:rsidRPr="005541FC">
        <w:t xml:space="preserve"> cytokines, chemokines and mediators of tissue damage and reduces IL-17A-mediated contributions to autoimmune and inflammatory diseases. Clinically relevant levels of </w:t>
      </w:r>
      <w:proofErr w:type="spellStart"/>
      <w:r w:rsidRPr="005541FC">
        <w:t>secukinumab</w:t>
      </w:r>
      <w:proofErr w:type="spellEnd"/>
      <w:r w:rsidRPr="005541FC">
        <w:t xml:space="preserve"> reach the skin and reduce local inflammatory markers.  As a direct consequence</w:t>
      </w:r>
      <w:r w:rsidR="00AA3365">
        <w:t>,</w:t>
      </w:r>
      <w:r w:rsidRPr="005541FC">
        <w:t xml:space="preserve"> treatment with </w:t>
      </w:r>
      <w:proofErr w:type="spellStart"/>
      <w:r w:rsidRPr="005541FC">
        <w:t>secukinumab</w:t>
      </w:r>
      <w:proofErr w:type="spellEnd"/>
      <w:r w:rsidRPr="005541FC">
        <w:t xml:space="preserve"> reduces erythema, induration, and desquamation present in plaque psoriasis lesions.</w:t>
      </w:r>
    </w:p>
    <w:p w:rsidR="005541FC" w:rsidRPr="005541FC" w:rsidRDefault="005541FC" w:rsidP="009B3F7C">
      <w:r w:rsidRPr="005541FC">
        <w:t xml:space="preserve">Serum levels of total IL-17A (free and </w:t>
      </w:r>
      <w:proofErr w:type="spellStart"/>
      <w:r w:rsidRPr="005541FC">
        <w:t>secukinumab</w:t>
      </w:r>
      <w:proofErr w:type="spellEnd"/>
      <w:r w:rsidRPr="005541FC">
        <w:t xml:space="preserve">-bound IL-17A) are increased due to reduced clearance of </w:t>
      </w:r>
      <w:proofErr w:type="spellStart"/>
      <w:r w:rsidRPr="005541FC">
        <w:t>secukinumab</w:t>
      </w:r>
      <w:proofErr w:type="spellEnd"/>
      <w:r w:rsidRPr="005541FC">
        <w:t xml:space="preserve">-bound IL-17A within 2 to 7 days in patients receiving </w:t>
      </w:r>
      <w:proofErr w:type="spellStart"/>
      <w:r w:rsidRPr="005541FC">
        <w:t>secukinumab</w:t>
      </w:r>
      <w:proofErr w:type="spellEnd"/>
      <w:r w:rsidRPr="005541FC">
        <w:t xml:space="preserve">, indicating that </w:t>
      </w:r>
      <w:proofErr w:type="spellStart"/>
      <w:r w:rsidRPr="005541FC">
        <w:t>secukinumab</w:t>
      </w:r>
      <w:proofErr w:type="spellEnd"/>
      <w:r w:rsidRPr="005541FC">
        <w:t xml:space="preserve"> selectively captures free IL-17A which plays a key role in the pathogenesis of plaque psoriasis.</w:t>
      </w:r>
    </w:p>
    <w:p w:rsidR="00180CCD" w:rsidRDefault="005541FC" w:rsidP="009B3F7C">
      <w:r w:rsidRPr="005541FC">
        <w:t xml:space="preserve">In a study with </w:t>
      </w:r>
      <w:proofErr w:type="spellStart"/>
      <w:r w:rsidRPr="005541FC">
        <w:t>secukinumab</w:t>
      </w:r>
      <w:proofErr w:type="spellEnd"/>
      <w:r w:rsidRPr="005541FC">
        <w:t xml:space="preserve">, infiltrating epidermal neutrophils and various neutrophil associated markers that are increased in </w:t>
      </w:r>
      <w:proofErr w:type="spellStart"/>
      <w:r w:rsidRPr="005541FC">
        <w:t>lesional</w:t>
      </w:r>
      <w:proofErr w:type="spellEnd"/>
      <w:r w:rsidRPr="005541FC">
        <w:t xml:space="preserve"> skin of plaque psoriasis patients were significantly reduced after one </w:t>
      </w:r>
      <w:r w:rsidR="00AA3365">
        <w:t xml:space="preserve">to two </w:t>
      </w:r>
      <w:r w:rsidRPr="005541FC">
        <w:t>week</w:t>
      </w:r>
      <w:r w:rsidR="00AA3365">
        <w:t>s</w:t>
      </w:r>
      <w:r w:rsidRPr="005541FC">
        <w:t xml:space="preserve"> of treatment.</w:t>
      </w:r>
      <w:r w:rsidR="00180CCD">
        <w:t xml:space="preserve"> </w:t>
      </w:r>
    </w:p>
    <w:p w:rsidR="00782711" w:rsidRDefault="00782711" w:rsidP="009B3F7C">
      <w:pPr>
        <w:pStyle w:val="Heading2"/>
      </w:pPr>
      <w:r w:rsidRPr="00055669">
        <w:t>Pharmacokinetic</w:t>
      </w:r>
      <w:r>
        <w:t xml:space="preserve"> propertie</w:t>
      </w:r>
      <w:r w:rsidRPr="00055669">
        <w:t>s</w:t>
      </w:r>
    </w:p>
    <w:p w:rsidR="00C517CD" w:rsidRDefault="00C517CD" w:rsidP="009B3F7C">
      <w:r w:rsidRPr="00E13D87">
        <w:t xml:space="preserve">The mean pharmacokinetic parameters of </w:t>
      </w:r>
      <w:proofErr w:type="spellStart"/>
      <w:r w:rsidRPr="00E13D87">
        <w:t>secukinumab</w:t>
      </w:r>
      <w:proofErr w:type="spellEnd"/>
      <w:r w:rsidRPr="00E13D87">
        <w:t xml:space="preserve"> following single and multiple subcutaneous administration in adult patients with psoriasis, resulting from population pharmacokinetic analysis, are shown in Table </w:t>
      </w:r>
      <w:r>
        <w:t>1</w:t>
      </w:r>
      <w:r w:rsidRPr="00E13D87">
        <w:t xml:space="preserve">. </w:t>
      </w:r>
      <w:proofErr w:type="spellStart"/>
      <w:r w:rsidRPr="00E13D87">
        <w:t>C</w:t>
      </w:r>
      <w:r w:rsidRPr="0005193A">
        <w:rPr>
          <w:vertAlign w:val="subscript"/>
        </w:rPr>
        <w:t>max</w:t>
      </w:r>
      <w:proofErr w:type="spellEnd"/>
      <w:r w:rsidRPr="00E13D87">
        <w:t xml:space="preserve"> and AUC were dose-proportional </w:t>
      </w:r>
      <w:r>
        <w:t>at</w:t>
      </w:r>
      <w:r w:rsidRPr="00E13D87">
        <w:t xml:space="preserve"> 150 mg and 300 mg subcutaneous doses.</w:t>
      </w:r>
    </w:p>
    <w:p w:rsidR="00C517CD" w:rsidRDefault="00C517CD" w:rsidP="009B3F7C"/>
    <w:p w:rsidR="00FD335C" w:rsidRDefault="00C517CD" w:rsidP="009B3F7C">
      <w:pPr>
        <w:pStyle w:val="tabletitle0"/>
      </w:pPr>
      <w:r w:rsidRPr="00BA2A01">
        <w:rPr>
          <w:lang w:val="en-CA"/>
        </w:rPr>
        <w:t>T</w:t>
      </w:r>
      <w:r w:rsidRPr="00BA2A01">
        <w:t xml:space="preserve">able </w:t>
      </w:r>
      <w:r>
        <w:t>1</w:t>
      </w:r>
      <w:r w:rsidRPr="00BA2A01">
        <w:t xml:space="preserve"> Summary </w:t>
      </w:r>
      <w:r>
        <w:t>o</w:t>
      </w:r>
      <w:r w:rsidRPr="00BA2A01">
        <w:t xml:space="preserve">f </w:t>
      </w:r>
      <w:r>
        <w:t>p</w:t>
      </w:r>
      <w:r w:rsidRPr="00BA2A01">
        <w:t xml:space="preserve">harmacokinetic </w:t>
      </w:r>
      <w:r>
        <w:t>p</w:t>
      </w:r>
      <w:r w:rsidRPr="00BA2A01">
        <w:t xml:space="preserve">arameters </w:t>
      </w:r>
      <w:r>
        <w:t>o</w:t>
      </w:r>
      <w:r w:rsidRPr="00BA2A01">
        <w:t xml:space="preserve">f </w:t>
      </w:r>
      <w:proofErr w:type="spellStart"/>
      <w:r>
        <w:t>Cosentyx</w:t>
      </w:r>
      <w:proofErr w:type="spellEnd"/>
      <w:r w:rsidRPr="00BA2A01">
        <w:t xml:space="preserve"> </w:t>
      </w:r>
      <w:r>
        <w:t>a</w:t>
      </w:r>
      <w:r w:rsidRPr="00BA2A01">
        <w:t xml:space="preserve">t </w:t>
      </w:r>
      <w:r>
        <w:t>s</w:t>
      </w:r>
      <w:r w:rsidRPr="00BA2A01">
        <w:t>teady</w:t>
      </w:r>
      <w:r>
        <w:t xml:space="preserve"> </w:t>
      </w:r>
      <w:r w:rsidR="00FD335C">
        <w:t>–</w:t>
      </w:r>
      <w:r>
        <w:t xml:space="preserve"> s</w:t>
      </w:r>
      <w:r w:rsidRPr="00BA2A01">
        <w:t>tate</w:t>
      </w:r>
    </w:p>
    <w:p w:rsidR="00C517CD" w:rsidRPr="00BA2A01" w:rsidRDefault="00FD335C" w:rsidP="009B3F7C">
      <w:pPr>
        <w:pStyle w:val="tabletitle0"/>
      </w:pPr>
      <w:r>
        <w:t xml:space="preserve">              </w:t>
      </w:r>
      <w:r w:rsidR="00C517CD">
        <w:t>f</w:t>
      </w:r>
      <w:r w:rsidR="00C517CD" w:rsidRPr="00BA2A01">
        <w:t xml:space="preserve">ollowing 150 </w:t>
      </w:r>
      <w:r w:rsidR="00C517CD">
        <w:t>o</w:t>
      </w:r>
      <w:r w:rsidR="00C517CD" w:rsidRPr="00BA2A01">
        <w:t xml:space="preserve">r 300 </w:t>
      </w:r>
      <w:r w:rsidR="00C517CD">
        <w:t>m</w:t>
      </w:r>
      <w:r w:rsidR="00C517CD" w:rsidRPr="00BA2A01">
        <w:t xml:space="preserve">g </w:t>
      </w:r>
      <w:proofErr w:type="spellStart"/>
      <w:r w:rsidR="00C517CD">
        <w:t>s.c.</w:t>
      </w:r>
      <w:proofErr w:type="spellEnd"/>
      <w:r w:rsidR="00C517CD">
        <w:t xml:space="preserve"> a</w:t>
      </w:r>
      <w:r w:rsidR="00C517CD" w:rsidRPr="00BA2A01">
        <w:t xml:space="preserve">dministration </w:t>
      </w:r>
      <w:r w:rsidR="00C517CD">
        <w:t>i</w:t>
      </w:r>
      <w:r w:rsidR="00C517CD" w:rsidRPr="00BA2A01">
        <w:t>n</w:t>
      </w:r>
      <w:r w:rsidR="00C517CD">
        <w:t xml:space="preserve"> a</w:t>
      </w:r>
      <w:r w:rsidR="00C517CD" w:rsidRPr="00BA2A01">
        <w:t xml:space="preserve">dult </w:t>
      </w:r>
      <w:r w:rsidR="00C517CD">
        <w:t>p</w:t>
      </w:r>
      <w:r w:rsidR="00C517CD" w:rsidRPr="00BA2A01">
        <w:t>atient</w:t>
      </w:r>
      <w:r w:rsidR="00C517CD">
        <w:t>s w</w:t>
      </w:r>
      <w:r w:rsidR="00C517CD" w:rsidRPr="00BA2A01">
        <w:t xml:space="preserve">ith </w:t>
      </w:r>
      <w:r w:rsidR="00C517CD">
        <w:t>p</w:t>
      </w:r>
      <w:r w:rsidR="00C517CD" w:rsidRPr="00BA2A01">
        <w:t>soriasis</w:t>
      </w:r>
    </w:p>
    <w:tbl>
      <w:tblPr>
        <w:tblW w:w="0" w:type="auto"/>
        <w:jc w:val="center"/>
        <w:tblLook w:val="04A0" w:firstRow="1" w:lastRow="0" w:firstColumn="1" w:lastColumn="0" w:noHBand="0" w:noVBand="1"/>
      </w:tblPr>
      <w:tblGrid>
        <w:gridCol w:w="1679"/>
        <w:gridCol w:w="1101"/>
        <w:gridCol w:w="733"/>
        <w:gridCol w:w="414"/>
        <w:gridCol w:w="1147"/>
        <w:gridCol w:w="1147"/>
        <w:gridCol w:w="9"/>
      </w:tblGrid>
      <w:tr w:rsidR="00C517CD" w:rsidRPr="00331771" w:rsidTr="00A4736B">
        <w:trPr>
          <w:jc w:val="center"/>
        </w:trPr>
        <w:tc>
          <w:tcPr>
            <w:tcW w:w="1679" w:type="dxa"/>
            <w:tcBorders>
              <w:top w:val="single" w:sz="4" w:space="0" w:color="auto"/>
              <w:left w:val="nil"/>
              <w:right w:val="nil"/>
            </w:tcBorders>
          </w:tcPr>
          <w:p w:rsidR="00C517CD" w:rsidRPr="001D4F31" w:rsidRDefault="00C517CD" w:rsidP="009B3F7C">
            <w:pPr>
              <w:pStyle w:val="tabledata"/>
            </w:pPr>
          </w:p>
        </w:tc>
        <w:tc>
          <w:tcPr>
            <w:tcW w:w="4551" w:type="dxa"/>
            <w:gridSpan w:val="6"/>
            <w:tcBorders>
              <w:top w:val="single" w:sz="4" w:space="0" w:color="auto"/>
              <w:left w:val="nil"/>
            </w:tcBorders>
          </w:tcPr>
          <w:p w:rsidR="00C517CD" w:rsidRPr="00815EF6" w:rsidRDefault="00C517CD" w:rsidP="009B3F7C">
            <w:pPr>
              <w:pStyle w:val="tabledata"/>
            </w:pPr>
            <w:proofErr w:type="spellStart"/>
            <w:r w:rsidRPr="00815EF6">
              <w:t>Cosentyx</w:t>
            </w:r>
            <w:proofErr w:type="spellEnd"/>
            <w:r w:rsidRPr="00815EF6">
              <w:t xml:space="preserve"> 4-weekly dose</w:t>
            </w:r>
          </w:p>
        </w:tc>
      </w:tr>
      <w:tr w:rsidR="00C517CD" w:rsidRPr="00331771" w:rsidTr="00A4736B">
        <w:trPr>
          <w:jc w:val="center"/>
        </w:trPr>
        <w:tc>
          <w:tcPr>
            <w:tcW w:w="1679" w:type="dxa"/>
            <w:tcBorders>
              <w:left w:val="nil"/>
              <w:bottom w:val="single" w:sz="4" w:space="0" w:color="auto"/>
              <w:right w:val="nil"/>
            </w:tcBorders>
            <w:hideMark/>
          </w:tcPr>
          <w:p w:rsidR="00C517CD" w:rsidRPr="00331771" w:rsidRDefault="00C517CD" w:rsidP="009B3F7C">
            <w:pPr>
              <w:pStyle w:val="tabledata"/>
            </w:pPr>
          </w:p>
        </w:tc>
        <w:tc>
          <w:tcPr>
            <w:tcW w:w="1834" w:type="dxa"/>
            <w:gridSpan w:val="2"/>
            <w:tcBorders>
              <w:left w:val="nil"/>
              <w:bottom w:val="single" w:sz="4" w:space="0" w:color="auto"/>
            </w:tcBorders>
            <w:hideMark/>
          </w:tcPr>
          <w:p w:rsidR="00C517CD" w:rsidRPr="00331771" w:rsidRDefault="00C517CD" w:rsidP="009B3F7C">
            <w:pPr>
              <w:pStyle w:val="tabledata"/>
            </w:pPr>
            <w:r w:rsidRPr="00331771">
              <w:t>150 mg</w:t>
            </w:r>
          </w:p>
        </w:tc>
        <w:tc>
          <w:tcPr>
            <w:tcW w:w="2717" w:type="dxa"/>
            <w:gridSpan w:val="4"/>
            <w:hideMark/>
          </w:tcPr>
          <w:p w:rsidR="00C517CD" w:rsidRPr="00331771" w:rsidRDefault="00C517CD" w:rsidP="009B3F7C">
            <w:pPr>
              <w:pStyle w:val="tabledata"/>
            </w:pPr>
            <w:r w:rsidRPr="00331771">
              <w:t>300 mg</w:t>
            </w:r>
          </w:p>
        </w:tc>
      </w:tr>
      <w:tr w:rsidR="00C517CD" w:rsidRPr="00331771" w:rsidTr="00A4736B">
        <w:trPr>
          <w:gridAfter w:val="1"/>
          <w:wAfter w:w="9" w:type="dxa"/>
          <w:jc w:val="center"/>
        </w:trPr>
        <w:tc>
          <w:tcPr>
            <w:tcW w:w="1679" w:type="dxa"/>
            <w:tcBorders>
              <w:top w:val="single" w:sz="4" w:space="0" w:color="auto"/>
              <w:left w:val="nil"/>
              <w:bottom w:val="single" w:sz="4" w:space="0" w:color="auto"/>
              <w:right w:val="nil"/>
            </w:tcBorders>
            <w:hideMark/>
          </w:tcPr>
          <w:p w:rsidR="00C517CD" w:rsidRPr="00331771" w:rsidRDefault="00C517CD" w:rsidP="009B3F7C">
            <w:pPr>
              <w:pStyle w:val="tabledata"/>
            </w:pPr>
            <w:r w:rsidRPr="00331771">
              <w:t>Parameter</w:t>
            </w:r>
          </w:p>
        </w:tc>
        <w:tc>
          <w:tcPr>
            <w:tcW w:w="1101" w:type="dxa"/>
            <w:tcBorders>
              <w:top w:val="single" w:sz="4" w:space="0" w:color="auto"/>
              <w:left w:val="nil"/>
              <w:bottom w:val="single" w:sz="4" w:space="0" w:color="auto"/>
              <w:right w:val="nil"/>
            </w:tcBorders>
            <w:hideMark/>
          </w:tcPr>
          <w:p w:rsidR="00C517CD" w:rsidRPr="00331771" w:rsidRDefault="00C517CD" w:rsidP="009B3F7C">
            <w:pPr>
              <w:pStyle w:val="tabledata"/>
            </w:pPr>
            <w:r w:rsidRPr="00331771">
              <w:t>Mean (SD)</w:t>
            </w:r>
          </w:p>
        </w:tc>
        <w:tc>
          <w:tcPr>
            <w:tcW w:w="1147" w:type="dxa"/>
            <w:gridSpan w:val="2"/>
            <w:tcBorders>
              <w:top w:val="single" w:sz="4" w:space="0" w:color="auto"/>
              <w:left w:val="nil"/>
              <w:bottom w:val="single" w:sz="4" w:space="0" w:color="auto"/>
              <w:right w:val="nil"/>
            </w:tcBorders>
            <w:hideMark/>
          </w:tcPr>
          <w:p w:rsidR="00C517CD" w:rsidRPr="00331771" w:rsidRDefault="00C517CD" w:rsidP="009B3F7C">
            <w:pPr>
              <w:pStyle w:val="tabledata"/>
            </w:pPr>
            <w:r w:rsidRPr="00331771">
              <w:t>Range</w:t>
            </w:r>
          </w:p>
        </w:tc>
        <w:tc>
          <w:tcPr>
            <w:tcW w:w="1147" w:type="dxa"/>
            <w:tcBorders>
              <w:top w:val="single" w:sz="4" w:space="0" w:color="auto"/>
              <w:left w:val="nil"/>
              <w:bottom w:val="single" w:sz="4" w:space="0" w:color="auto"/>
              <w:right w:val="nil"/>
            </w:tcBorders>
            <w:hideMark/>
          </w:tcPr>
          <w:p w:rsidR="00C517CD" w:rsidRPr="00331771" w:rsidRDefault="00C517CD" w:rsidP="009B3F7C">
            <w:pPr>
              <w:pStyle w:val="tabledata"/>
            </w:pPr>
            <w:r w:rsidRPr="00331771">
              <w:t>Mean (SD)</w:t>
            </w:r>
          </w:p>
        </w:tc>
        <w:tc>
          <w:tcPr>
            <w:tcW w:w="1147" w:type="dxa"/>
            <w:tcBorders>
              <w:top w:val="single" w:sz="4" w:space="0" w:color="auto"/>
              <w:left w:val="nil"/>
              <w:bottom w:val="single" w:sz="4" w:space="0" w:color="auto"/>
              <w:right w:val="nil"/>
            </w:tcBorders>
            <w:hideMark/>
          </w:tcPr>
          <w:p w:rsidR="00C517CD" w:rsidRPr="00331771" w:rsidRDefault="00C517CD" w:rsidP="009B3F7C">
            <w:pPr>
              <w:pStyle w:val="tabledata"/>
            </w:pPr>
            <w:r w:rsidRPr="00331771">
              <w:t>Range</w:t>
            </w:r>
          </w:p>
        </w:tc>
      </w:tr>
      <w:tr w:rsidR="00C517CD" w:rsidRPr="00331771" w:rsidTr="00A4736B">
        <w:trPr>
          <w:gridAfter w:val="1"/>
          <w:wAfter w:w="9" w:type="dxa"/>
          <w:jc w:val="center"/>
        </w:trPr>
        <w:tc>
          <w:tcPr>
            <w:tcW w:w="1679" w:type="dxa"/>
            <w:tcBorders>
              <w:top w:val="single" w:sz="4" w:space="0" w:color="auto"/>
              <w:left w:val="nil"/>
              <w:bottom w:val="nil"/>
              <w:right w:val="nil"/>
            </w:tcBorders>
            <w:hideMark/>
          </w:tcPr>
          <w:p w:rsidR="00C517CD" w:rsidRPr="00331771" w:rsidRDefault="00C517CD" w:rsidP="009B3F7C">
            <w:pPr>
              <w:pStyle w:val="tabledata"/>
            </w:pPr>
            <w:proofErr w:type="spellStart"/>
            <w:r w:rsidRPr="00331771">
              <w:t>Cmax,ss</w:t>
            </w:r>
            <w:proofErr w:type="spellEnd"/>
            <w:r w:rsidRPr="00331771">
              <w:t xml:space="preserve"> (µg/mL)</w:t>
            </w:r>
          </w:p>
        </w:tc>
        <w:tc>
          <w:tcPr>
            <w:tcW w:w="1101" w:type="dxa"/>
            <w:tcBorders>
              <w:top w:val="single" w:sz="4" w:space="0" w:color="auto"/>
              <w:left w:val="nil"/>
              <w:bottom w:val="nil"/>
              <w:right w:val="nil"/>
            </w:tcBorders>
            <w:hideMark/>
          </w:tcPr>
          <w:p w:rsidR="00C517CD" w:rsidRPr="00331771" w:rsidRDefault="00C517CD" w:rsidP="009B3F7C">
            <w:pPr>
              <w:pStyle w:val="tabledata"/>
            </w:pPr>
            <w:r w:rsidRPr="00331771">
              <w:t>27.6 (10.7)</w:t>
            </w:r>
          </w:p>
        </w:tc>
        <w:tc>
          <w:tcPr>
            <w:tcW w:w="1147" w:type="dxa"/>
            <w:gridSpan w:val="2"/>
            <w:tcBorders>
              <w:top w:val="single" w:sz="4" w:space="0" w:color="auto"/>
              <w:left w:val="nil"/>
              <w:bottom w:val="nil"/>
              <w:right w:val="nil"/>
            </w:tcBorders>
            <w:hideMark/>
          </w:tcPr>
          <w:p w:rsidR="00C517CD" w:rsidRPr="00331771" w:rsidRDefault="00C517CD" w:rsidP="009B3F7C">
            <w:pPr>
              <w:pStyle w:val="tabledata"/>
            </w:pPr>
            <w:r w:rsidRPr="00331771">
              <w:t>(13.7, 47.4)</w:t>
            </w:r>
          </w:p>
        </w:tc>
        <w:tc>
          <w:tcPr>
            <w:tcW w:w="1147" w:type="dxa"/>
            <w:tcBorders>
              <w:top w:val="single" w:sz="4" w:space="0" w:color="auto"/>
              <w:left w:val="nil"/>
              <w:bottom w:val="nil"/>
              <w:right w:val="nil"/>
            </w:tcBorders>
            <w:hideMark/>
          </w:tcPr>
          <w:p w:rsidR="00C517CD" w:rsidRPr="00331771" w:rsidRDefault="00C517CD" w:rsidP="009B3F7C">
            <w:pPr>
              <w:pStyle w:val="tabledata"/>
            </w:pPr>
            <w:r w:rsidRPr="00331771">
              <w:t>55.2 (21.5)</w:t>
            </w:r>
          </w:p>
        </w:tc>
        <w:tc>
          <w:tcPr>
            <w:tcW w:w="1147" w:type="dxa"/>
            <w:tcBorders>
              <w:top w:val="single" w:sz="4" w:space="0" w:color="auto"/>
              <w:left w:val="nil"/>
              <w:bottom w:val="nil"/>
              <w:right w:val="nil"/>
            </w:tcBorders>
            <w:hideMark/>
          </w:tcPr>
          <w:p w:rsidR="00C517CD" w:rsidRPr="00331771" w:rsidRDefault="00C517CD" w:rsidP="009B3F7C">
            <w:pPr>
              <w:pStyle w:val="tabledata"/>
            </w:pPr>
            <w:r w:rsidRPr="00331771">
              <w:t>(27.5, 94.8)</w:t>
            </w:r>
          </w:p>
        </w:tc>
      </w:tr>
      <w:tr w:rsidR="00C517CD" w:rsidRPr="00331771" w:rsidTr="00A4736B">
        <w:trPr>
          <w:gridAfter w:val="1"/>
          <w:wAfter w:w="9" w:type="dxa"/>
          <w:jc w:val="center"/>
        </w:trPr>
        <w:tc>
          <w:tcPr>
            <w:tcW w:w="1679" w:type="dxa"/>
            <w:hideMark/>
          </w:tcPr>
          <w:p w:rsidR="00C517CD" w:rsidRPr="00331771" w:rsidRDefault="00C517CD" w:rsidP="009B3F7C">
            <w:pPr>
              <w:pStyle w:val="tabledata"/>
            </w:pPr>
            <w:proofErr w:type="spellStart"/>
            <w:r w:rsidRPr="00331771">
              <w:t>Cav,ss</w:t>
            </w:r>
            <w:proofErr w:type="spellEnd"/>
            <w:r w:rsidRPr="00331771">
              <w:t xml:space="preserve"> (µg/mL)</w:t>
            </w:r>
          </w:p>
        </w:tc>
        <w:tc>
          <w:tcPr>
            <w:tcW w:w="1101" w:type="dxa"/>
            <w:hideMark/>
          </w:tcPr>
          <w:p w:rsidR="00C517CD" w:rsidRPr="00331771" w:rsidRDefault="00C517CD" w:rsidP="009B3F7C">
            <w:pPr>
              <w:pStyle w:val="tabledata"/>
            </w:pPr>
            <w:r w:rsidRPr="00331771">
              <w:t>22.2 (9.2)</w:t>
            </w:r>
          </w:p>
        </w:tc>
        <w:tc>
          <w:tcPr>
            <w:tcW w:w="1147" w:type="dxa"/>
            <w:gridSpan w:val="2"/>
            <w:hideMark/>
          </w:tcPr>
          <w:p w:rsidR="00C517CD" w:rsidRPr="00331771" w:rsidRDefault="00C517CD" w:rsidP="009B3F7C">
            <w:pPr>
              <w:pStyle w:val="tabledata"/>
            </w:pPr>
            <w:r w:rsidRPr="00331771">
              <w:t>(10.5, 39.0</w:t>
            </w:r>
          </w:p>
        </w:tc>
        <w:tc>
          <w:tcPr>
            <w:tcW w:w="1147" w:type="dxa"/>
            <w:hideMark/>
          </w:tcPr>
          <w:p w:rsidR="00C517CD" w:rsidRPr="00331771" w:rsidRDefault="00C517CD" w:rsidP="009B3F7C">
            <w:pPr>
              <w:pStyle w:val="tabledata"/>
            </w:pPr>
            <w:r w:rsidRPr="00331771">
              <w:t xml:space="preserve">44.5 (18.4) </w:t>
            </w:r>
          </w:p>
        </w:tc>
        <w:tc>
          <w:tcPr>
            <w:tcW w:w="1147" w:type="dxa"/>
            <w:hideMark/>
          </w:tcPr>
          <w:p w:rsidR="00C517CD" w:rsidRPr="00331771" w:rsidRDefault="00C517CD" w:rsidP="009B3F7C">
            <w:pPr>
              <w:pStyle w:val="tabledata"/>
            </w:pPr>
            <w:r w:rsidRPr="00331771">
              <w:t>(21.1, 77.9)</w:t>
            </w:r>
          </w:p>
        </w:tc>
      </w:tr>
      <w:tr w:rsidR="00C517CD" w:rsidRPr="007E23DE" w:rsidTr="00A4736B">
        <w:trPr>
          <w:gridAfter w:val="1"/>
          <w:wAfter w:w="9" w:type="dxa"/>
          <w:jc w:val="center"/>
        </w:trPr>
        <w:tc>
          <w:tcPr>
            <w:tcW w:w="1679" w:type="dxa"/>
            <w:hideMark/>
          </w:tcPr>
          <w:p w:rsidR="00C517CD" w:rsidRPr="00331771" w:rsidRDefault="00C517CD" w:rsidP="009B3F7C">
            <w:pPr>
              <w:pStyle w:val="tabledata"/>
            </w:pPr>
            <w:proofErr w:type="spellStart"/>
            <w:r w:rsidRPr="00331771">
              <w:t>Tmax,ss</w:t>
            </w:r>
            <w:proofErr w:type="spellEnd"/>
            <w:r w:rsidRPr="00331771">
              <w:t xml:space="preserve"> (day)</w:t>
            </w:r>
          </w:p>
        </w:tc>
        <w:tc>
          <w:tcPr>
            <w:tcW w:w="1101" w:type="dxa"/>
            <w:hideMark/>
          </w:tcPr>
          <w:p w:rsidR="00C517CD" w:rsidRPr="00331771" w:rsidRDefault="00C517CD" w:rsidP="009B3F7C">
            <w:pPr>
              <w:pStyle w:val="tabledata"/>
            </w:pPr>
            <w:r w:rsidRPr="00331771">
              <w:t>6.0</w:t>
            </w:r>
          </w:p>
        </w:tc>
        <w:tc>
          <w:tcPr>
            <w:tcW w:w="1147" w:type="dxa"/>
            <w:gridSpan w:val="2"/>
            <w:hideMark/>
          </w:tcPr>
          <w:p w:rsidR="00C517CD" w:rsidRPr="00331771" w:rsidRDefault="00C517CD" w:rsidP="009B3F7C">
            <w:pPr>
              <w:pStyle w:val="tabledata"/>
            </w:pPr>
            <w:r w:rsidRPr="00331771">
              <w:t>(4.0, 8.0)</w:t>
            </w:r>
          </w:p>
        </w:tc>
        <w:tc>
          <w:tcPr>
            <w:tcW w:w="1147" w:type="dxa"/>
            <w:hideMark/>
          </w:tcPr>
          <w:p w:rsidR="00C517CD" w:rsidRPr="007E23DE" w:rsidRDefault="00C517CD" w:rsidP="009B3F7C">
            <w:pPr>
              <w:pStyle w:val="tabledata"/>
            </w:pPr>
            <w:r w:rsidRPr="00331771">
              <w:t>6</w:t>
            </w:r>
            <w:r>
              <w:t>.0</w:t>
            </w:r>
          </w:p>
        </w:tc>
        <w:tc>
          <w:tcPr>
            <w:tcW w:w="1147" w:type="dxa"/>
            <w:hideMark/>
          </w:tcPr>
          <w:p w:rsidR="00C517CD" w:rsidRPr="007E23DE" w:rsidRDefault="00C517CD" w:rsidP="009B3F7C">
            <w:pPr>
              <w:pStyle w:val="tabledata"/>
            </w:pPr>
            <w:r w:rsidRPr="007E23DE">
              <w:t>(4.0, 8.0)</w:t>
            </w:r>
          </w:p>
        </w:tc>
      </w:tr>
      <w:tr w:rsidR="00C517CD" w:rsidRPr="007E23DE" w:rsidTr="00A4736B">
        <w:trPr>
          <w:gridAfter w:val="1"/>
          <w:wAfter w:w="9" w:type="dxa"/>
          <w:jc w:val="center"/>
        </w:trPr>
        <w:tc>
          <w:tcPr>
            <w:tcW w:w="1679" w:type="dxa"/>
            <w:tcBorders>
              <w:top w:val="nil"/>
              <w:left w:val="nil"/>
              <w:bottom w:val="single" w:sz="4" w:space="0" w:color="auto"/>
              <w:right w:val="nil"/>
            </w:tcBorders>
            <w:hideMark/>
          </w:tcPr>
          <w:p w:rsidR="00C517CD" w:rsidRPr="007E23DE" w:rsidRDefault="00C517CD" w:rsidP="009B3F7C">
            <w:pPr>
              <w:pStyle w:val="tabledata"/>
            </w:pPr>
            <w:proofErr w:type="spellStart"/>
            <w:r w:rsidRPr="007E23DE">
              <w:t>AUCss</w:t>
            </w:r>
            <w:proofErr w:type="spellEnd"/>
            <w:r w:rsidRPr="007E23DE">
              <w:t xml:space="preserve"> (</w:t>
            </w:r>
            <w:proofErr w:type="spellStart"/>
            <w:r w:rsidRPr="007E23DE">
              <w:t>day.µg</w:t>
            </w:r>
            <w:proofErr w:type="spellEnd"/>
            <w:r w:rsidRPr="007E23DE">
              <w:t>/mL)</w:t>
            </w:r>
          </w:p>
        </w:tc>
        <w:tc>
          <w:tcPr>
            <w:tcW w:w="1101" w:type="dxa"/>
            <w:tcBorders>
              <w:top w:val="nil"/>
              <w:left w:val="nil"/>
              <w:bottom w:val="single" w:sz="4" w:space="0" w:color="auto"/>
              <w:right w:val="nil"/>
            </w:tcBorders>
            <w:hideMark/>
          </w:tcPr>
          <w:p w:rsidR="00C517CD" w:rsidRPr="007E23DE" w:rsidRDefault="00C517CD" w:rsidP="009B3F7C">
            <w:pPr>
              <w:pStyle w:val="tabledata"/>
            </w:pPr>
            <w:r w:rsidRPr="007E23DE">
              <w:t>622 (257)</w:t>
            </w:r>
          </w:p>
        </w:tc>
        <w:tc>
          <w:tcPr>
            <w:tcW w:w="1147" w:type="dxa"/>
            <w:gridSpan w:val="2"/>
            <w:tcBorders>
              <w:top w:val="nil"/>
              <w:left w:val="nil"/>
              <w:bottom w:val="single" w:sz="4" w:space="0" w:color="auto"/>
              <w:right w:val="nil"/>
            </w:tcBorders>
            <w:hideMark/>
          </w:tcPr>
          <w:p w:rsidR="00C517CD" w:rsidRPr="007E23DE" w:rsidRDefault="00C517CD" w:rsidP="009B3F7C">
            <w:pPr>
              <w:pStyle w:val="tabledata"/>
            </w:pPr>
            <w:r w:rsidRPr="007E23DE">
              <w:t>(295, 1090)</w:t>
            </w:r>
          </w:p>
        </w:tc>
        <w:tc>
          <w:tcPr>
            <w:tcW w:w="1147" w:type="dxa"/>
            <w:tcBorders>
              <w:top w:val="nil"/>
              <w:left w:val="nil"/>
              <w:bottom w:val="single" w:sz="4" w:space="0" w:color="auto"/>
              <w:right w:val="nil"/>
            </w:tcBorders>
            <w:hideMark/>
          </w:tcPr>
          <w:p w:rsidR="00C517CD" w:rsidRPr="007E23DE" w:rsidRDefault="00C517CD" w:rsidP="009B3F7C">
            <w:pPr>
              <w:pStyle w:val="tabledata"/>
            </w:pPr>
            <w:r w:rsidRPr="007E23DE">
              <w:t>1245 (515)</w:t>
            </w:r>
          </w:p>
        </w:tc>
        <w:tc>
          <w:tcPr>
            <w:tcW w:w="1147" w:type="dxa"/>
            <w:tcBorders>
              <w:top w:val="nil"/>
              <w:left w:val="nil"/>
              <w:bottom w:val="single" w:sz="4" w:space="0" w:color="auto"/>
              <w:right w:val="nil"/>
            </w:tcBorders>
            <w:hideMark/>
          </w:tcPr>
          <w:p w:rsidR="00C517CD" w:rsidRPr="007E23DE" w:rsidRDefault="00C517CD" w:rsidP="009B3F7C">
            <w:pPr>
              <w:pStyle w:val="tabledata"/>
            </w:pPr>
            <w:r w:rsidRPr="007E23DE">
              <w:t>(590, 2180)</w:t>
            </w:r>
          </w:p>
        </w:tc>
      </w:tr>
    </w:tbl>
    <w:p w:rsidR="001272B8" w:rsidRDefault="001272B8" w:rsidP="009B3F7C">
      <w:pPr>
        <w:pStyle w:val="Heading3"/>
      </w:pPr>
    </w:p>
    <w:p w:rsidR="00782711" w:rsidRPr="005541FC" w:rsidRDefault="00782711" w:rsidP="009B3F7C">
      <w:pPr>
        <w:pStyle w:val="Heading3"/>
      </w:pPr>
      <w:r w:rsidRPr="005541FC">
        <w:t>Absorption</w:t>
      </w:r>
    </w:p>
    <w:p w:rsidR="005541FC" w:rsidRPr="005541FC" w:rsidRDefault="005541FC" w:rsidP="009B3F7C">
      <w:r w:rsidRPr="005541FC">
        <w:t xml:space="preserve">Following a single subcutaneous dose of either 150 mg or 300 mg in plaque psoriasis patients, </w:t>
      </w:r>
      <w:proofErr w:type="spellStart"/>
      <w:r w:rsidRPr="005541FC">
        <w:t>secukinumab</w:t>
      </w:r>
      <w:proofErr w:type="spellEnd"/>
      <w:r w:rsidRPr="005541FC">
        <w:t xml:space="preserve"> reached peak serum concentrations of 13.7 ± 4.8 </w:t>
      </w:r>
      <w:proofErr w:type="spellStart"/>
      <w:r w:rsidRPr="005541FC">
        <w:t>ug</w:t>
      </w:r>
      <w:proofErr w:type="spellEnd"/>
      <w:r w:rsidRPr="005541FC">
        <w:t xml:space="preserve">/mL or 27.3 ± 9.5 </w:t>
      </w:r>
      <w:proofErr w:type="spellStart"/>
      <w:r w:rsidRPr="005541FC">
        <w:t>ug</w:t>
      </w:r>
      <w:proofErr w:type="spellEnd"/>
      <w:r w:rsidRPr="005541FC">
        <w:t xml:space="preserve">/mL, respectively, between </w:t>
      </w:r>
      <w:r w:rsidR="006E7F34">
        <w:t>5</w:t>
      </w:r>
      <w:r w:rsidRPr="005541FC">
        <w:t xml:space="preserve"> to </w:t>
      </w:r>
      <w:r w:rsidR="006E7F34">
        <w:t>6</w:t>
      </w:r>
      <w:r w:rsidRPr="005541FC">
        <w:t xml:space="preserve"> days post dose.</w:t>
      </w:r>
    </w:p>
    <w:p w:rsidR="005541FC" w:rsidRPr="005541FC" w:rsidRDefault="005541FC" w:rsidP="009B3F7C">
      <w:r w:rsidRPr="005541FC">
        <w:t>After the initial weekly dosing during the first month, the time to reach the maximum concentration was between 31 and 34 days.</w:t>
      </w:r>
    </w:p>
    <w:p w:rsidR="005541FC" w:rsidRPr="005541FC" w:rsidRDefault="005541FC" w:rsidP="009B3F7C">
      <w:r w:rsidRPr="005541FC">
        <w:t>Peak concentrations at steady-state (</w:t>
      </w:r>
      <w:proofErr w:type="spellStart"/>
      <w:r w:rsidRPr="005541FC">
        <w:t>Cmax,ss</w:t>
      </w:r>
      <w:proofErr w:type="spellEnd"/>
      <w:r w:rsidRPr="005541FC">
        <w:t xml:space="preserve">) following subcutaneous administration of 150 mg or 300 mg were 27.6 </w:t>
      </w:r>
      <w:proofErr w:type="spellStart"/>
      <w:r w:rsidRPr="005541FC">
        <w:t>ug</w:t>
      </w:r>
      <w:proofErr w:type="spellEnd"/>
      <w:r w:rsidRPr="005541FC">
        <w:t xml:space="preserve">/mL and 55.2 </w:t>
      </w:r>
      <w:proofErr w:type="spellStart"/>
      <w:r w:rsidRPr="005541FC">
        <w:t>ug</w:t>
      </w:r>
      <w:proofErr w:type="spellEnd"/>
      <w:r w:rsidRPr="005541FC">
        <w:t>/mL, respectively. Steady-state is reached after 20 weeks with monthly dosing regimens.</w:t>
      </w:r>
    </w:p>
    <w:p w:rsidR="005541FC" w:rsidRPr="005541FC" w:rsidRDefault="005541FC" w:rsidP="009B3F7C">
      <w:r w:rsidRPr="005541FC">
        <w:t>Compared with exposure after a single dose, patients exhibited a 2-fold increase in peak serum concentrations and AUC following repeated monthly dosing during maintenance.</w:t>
      </w:r>
    </w:p>
    <w:p w:rsidR="005541FC" w:rsidRDefault="005541FC" w:rsidP="009B3F7C">
      <w:proofErr w:type="spellStart"/>
      <w:r w:rsidRPr="005541FC">
        <w:t>Secukinumab</w:t>
      </w:r>
      <w:proofErr w:type="spellEnd"/>
      <w:r w:rsidRPr="005541FC">
        <w:t xml:space="preserve"> is absorbed with an average absolute bioavailability of 73%.</w:t>
      </w:r>
    </w:p>
    <w:p w:rsidR="00782711" w:rsidRPr="004B0E20" w:rsidRDefault="00782711" w:rsidP="009B3F7C">
      <w:pPr>
        <w:pStyle w:val="Heading3"/>
      </w:pPr>
      <w:r w:rsidRPr="004B0E20">
        <w:t>Distribution</w:t>
      </w:r>
    </w:p>
    <w:p w:rsidR="005541FC" w:rsidRDefault="005541FC" w:rsidP="009B3F7C">
      <w:r w:rsidRPr="005541FC">
        <w:t>The mean volume of distribution during the terminal phase (</w:t>
      </w:r>
      <w:proofErr w:type="spellStart"/>
      <w:r w:rsidRPr="005541FC">
        <w:t>V</w:t>
      </w:r>
      <w:r w:rsidRPr="0005193A">
        <w:rPr>
          <w:vertAlign w:val="subscript"/>
        </w:rPr>
        <w:t>z</w:t>
      </w:r>
      <w:proofErr w:type="spellEnd"/>
      <w:r w:rsidRPr="005541FC">
        <w:t xml:space="preserve">) following a single </w:t>
      </w:r>
      <w:r w:rsidRPr="005541FC">
        <w:lastRenderedPageBreak/>
        <w:t xml:space="preserve">intravenous administration ranged from 7.10 to 8.60 L in plaque psoriasis patients suggesting that </w:t>
      </w:r>
      <w:proofErr w:type="spellStart"/>
      <w:r w:rsidRPr="005541FC">
        <w:t>secukinumab</w:t>
      </w:r>
      <w:proofErr w:type="spellEnd"/>
      <w:r w:rsidRPr="005541FC">
        <w:t xml:space="preserve"> undergoes limited distribution to peripheral compartments.</w:t>
      </w:r>
    </w:p>
    <w:p w:rsidR="001C0174" w:rsidRPr="005541FC" w:rsidRDefault="001C0174" w:rsidP="009B3F7C">
      <w:proofErr w:type="spellStart"/>
      <w:r w:rsidRPr="001C0174">
        <w:t>Secukinumab</w:t>
      </w:r>
      <w:proofErr w:type="spellEnd"/>
      <w:r w:rsidRPr="001C0174">
        <w:t xml:space="preserve"> concentrations in interstitial fluid in the skin of plaque psoriasis patients ranged from 28 % to 39 % of those in serum at 1 and 2 weeks after a single subcutaneous dose of 300 mg </w:t>
      </w:r>
      <w:proofErr w:type="spellStart"/>
      <w:r w:rsidRPr="001C0174">
        <w:t>secukinumab</w:t>
      </w:r>
      <w:proofErr w:type="spellEnd"/>
      <w:r w:rsidRPr="001C0174">
        <w:t>.</w:t>
      </w:r>
    </w:p>
    <w:p w:rsidR="00793B7E" w:rsidRDefault="00793B7E" w:rsidP="009B3F7C">
      <w:pPr>
        <w:pStyle w:val="Heading3"/>
      </w:pPr>
      <w:r w:rsidRPr="007C556B">
        <w:t>Metabolism</w:t>
      </w:r>
    </w:p>
    <w:p w:rsidR="00793B7E" w:rsidRPr="00453503" w:rsidRDefault="00793B7E" w:rsidP="009B3F7C">
      <w:pPr>
        <w:pStyle w:val="Heading3"/>
        <w:rPr>
          <w:u w:val="none"/>
        </w:rPr>
      </w:pPr>
      <w:r w:rsidRPr="00453503">
        <w:rPr>
          <w:u w:val="none"/>
        </w:rPr>
        <w:t xml:space="preserve">The metabolic pathway of </w:t>
      </w:r>
      <w:proofErr w:type="spellStart"/>
      <w:r w:rsidRPr="00453503">
        <w:rPr>
          <w:u w:val="none"/>
        </w:rPr>
        <w:t>secukinumab</w:t>
      </w:r>
      <w:proofErr w:type="spellEnd"/>
      <w:r w:rsidRPr="00453503">
        <w:rPr>
          <w:u w:val="none"/>
        </w:rPr>
        <w:t xml:space="preserve"> has not been characterized. As a human IgG1κ monoclonal antibody </w:t>
      </w:r>
      <w:proofErr w:type="spellStart"/>
      <w:r w:rsidRPr="00453503">
        <w:rPr>
          <w:u w:val="none"/>
        </w:rPr>
        <w:t>secukinumab</w:t>
      </w:r>
      <w:proofErr w:type="spellEnd"/>
      <w:r w:rsidRPr="00453503">
        <w:rPr>
          <w:u w:val="none"/>
        </w:rPr>
        <w:t xml:space="preserve"> is expected to be degraded into small peptides and amino acids via catabolic pathways in the same manner as endogenous IgG.</w:t>
      </w:r>
    </w:p>
    <w:p w:rsidR="007F46FD" w:rsidRDefault="00357959" w:rsidP="009B3F7C">
      <w:pPr>
        <w:pStyle w:val="Heading3"/>
      </w:pPr>
      <w:r w:rsidRPr="00D766FE">
        <w:t>Elimination</w:t>
      </w:r>
    </w:p>
    <w:p w:rsidR="00F9436D" w:rsidRPr="00F9436D" w:rsidRDefault="00F9436D" w:rsidP="009B3F7C">
      <w:r w:rsidRPr="00F9436D">
        <w:t xml:space="preserve">Mean systemic clearance (CL) was 0.19 L/d in plaque psoriasis patients. Clearance was dose- and time-independent, as expected for a therapeutic IgG1 monoclonal antibody interacting with a soluble cytokine target, such as IL-17A. </w:t>
      </w:r>
    </w:p>
    <w:p w:rsidR="00F9436D" w:rsidRDefault="00F9436D" w:rsidP="009B3F7C">
      <w:r w:rsidRPr="00F9436D">
        <w:t>The mean elimination half-life was estimated to be 27 days in plaque psoriasis patients. Estimated half-lives in individual plaque psoriasis patients range from 17 to 41 days.</w:t>
      </w:r>
    </w:p>
    <w:p w:rsidR="00E10639" w:rsidRDefault="00E10639" w:rsidP="009B3F7C">
      <w:pPr>
        <w:pStyle w:val="Heading3"/>
      </w:pPr>
      <w:r>
        <w:t>Dose linearity</w:t>
      </w:r>
    </w:p>
    <w:p w:rsidR="004C1DFA" w:rsidRPr="00B23FAF" w:rsidRDefault="00E10639" w:rsidP="009B3F7C">
      <w:r>
        <w:t xml:space="preserve">The single and multiple dose pharmacokinetics of </w:t>
      </w:r>
      <w:proofErr w:type="spellStart"/>
      <w:r>
        <w:t>secukinumab</w:t>
      </w:r>
      <w:proofErr w:type="spellEnd"/>
      <w:r>
        <w:t xml:space="preserve"> in plaque psoriasis patients were determined in several studies with intravenous doses ranging from 1 x 0.3 mg/kg to 3 x 10 mg/kg and with subcutaneous doses ranging from 1 x 25 mg to multiple doses of 300 mg. Exposure was dose proportional across all dosing regimens.</w:t>
      </w:r>
    </w:p>
    <w:p w:rsidR="007F46FD" w:rsidRDefault="00357959" w:rsidP="009B3F7C">
      <w:pPr>
        <w:pStyle w:val="Heading2"/>
      </w:pPr>
      <w:r w:rsidRPr="00D766FE">
        <w:t>Pharmacokinetics in special patient groups</w:t>
      </w:r>
    </w:p>
    <w:p w:rsidR="004F51C0" w:rsidRDefault="004F51C0" w:rsidP="009B3F7C">
      <w:pPr>
        <w:pStyle w:val="Heading3"/>
      </w:pPr>
      <w:r w:rsidRPr="007252E3">
        <w:t>P</w:t>
      </w:r>
      <w:r>
        <w:t>a</w:t>
      </w:r>
      <w:r w:rsidRPr="007252E3">
        <w:t>ediatrics (&lt; 18 years of age)</w:t>
      </w:r>
    </w:p>
    <w:p w:rsidR="004F51C0" w:rsidRPr="0005193A" w:rsidRDefault="004F51C0" w:rsidP="009B3F7C">
      <w:r w:rsidRPr="0005193A">
        <w:t xml:space="preserve">Specific studies of </w:t>
      </w:r>
      <w:proofErr w:type="spellStart"/>
      <w:r w:rsidR="00074B03" w:rsidRPr="00074B03">
        <w:t>Cosentyx</w:t>
      </w:r>
      <w:proofErr w:type="spellEnd"/>
      <w:r w:rsidRPr="0005193A">
        <w:t xml:space="preserve"> in p</w:t>
      </w:r>
      <w:r>
        <w:t>a</w:t>
      </w:r>
      <w:r w:rsidRPr="0005193A">
        <w:t>ediatric patients have not been conducted.</w:t>
      </w:r>
    </w:p>
    <w:p w:rsidR="00452998" w:rsidRPr="00452998" w:rsidRDefault="00452998" w:rsidP="009B3F7C">
      <w:pPr>
        <w:pStyle w:val="Heading3"/>
      </w:pPr>
      <w:r w:rsidRPr="00452998">
        <w:t>Elderly patients</w:t>
      </w:r>
    </w:p>
    <w:p w:rsidR="00452998" w:rsidRPr="00452998" w:rsidRDefault="00452998" w:rsidP="009B3F7C">
      <w:r w:rsidRPr="00452998">
        <w:t xml:space="preserve">Of the </w:t>
      </w:r>
      <w:r w:rsidR="006E7F34">
        <w:t>3</w:t>
      </w:r>
      <w:r w:rsidRPr="00452998">
        <w:t>,</w:t>
      </w:r>
      <w:r w:rsidR="006E7F34">
        <w:t>430</w:t>
      </w:r>
      <w:r w:rsidRPr="00452998">
        <w:t xml:space="preserve"> plaque psoriasis patients exposed to </w:t>
      </w:r>
      <w:proofErr w:type="spellStart"/>
      <w:r w:rsidRPr="00452998">
        <w:t>Cosentyx</w:t>
      </w:r>
      <w:proofErr w:type="spellEnd"/>
      <w:r w:rsidRPr="00452998">
        <w:t xml:space="preserve"> in clinical studies, a total of </w:t>
      </w:r>
      <w:r w:rsidR="006E7F34">
        <w:t>230</w:t>
      </w:r>
      <w:r w:rsidRPr="00452998">
        <w:t xml:space="preserve"> were 65 years of age or older and </w:t>
      </w:r>
      <w:r w:rsidR="006E7F34">
        <w:t>3</w:t>
      </w:r>
      <w:r w:rsidRPr="00452998">
        <w:t>2 patients were 75 years of age or older.</w:t>
      </w:r>
    </w:p>
    <w:p w:rsidR="00A3169C" w:rsidRPr="00452998" w:rsidRDefault="00452998" w:rsidP="009B3F7C">
      <w:r w:rsidRPr="00452998">
        <w:t>Based on population PK analysis, clearance in elderly patients and patients less than 65 years of age was similar.</w:t>
      </w:r>
    </w:p>
    <w:p w:rsidR="00452998" w:rsidRPr="00452998" w:rsidRDefault="00452998" w:rsidP="009B3F7C">
      <w:pPr>
        <w:pStyle w:val="Heading3"/>
      </w:pPr>
      <w:r w:rsidRPr="00452998">
        <w:t>Patients with renal and hepatic impairment</w:t>
      </w:r>
    </w:p>
    <w:p w:rsidR="00452998" w:rsidRDefault="00452998" w:rsidP="009B3F7C">
      <w:r w:rsidRPr="00452998">
        <w:t>No pharmacokinetic data are available in patients w</w:t>
      </w:r>
      <w:r>
        <w:t>ith hepatic or renal impairment</w:t>
      </w:r>
      <w:r w:rsidRPr="00452998">
        <w:t>.</w:t>
      </w:r>
    </w:p>
    <w:p w:rsidR="00BC772D" w:rsidRDefault="00BC772D" w:rsidP="009B3F7C"/>
    <w:p w:rsidR="00F55A14" w:rsidRDefault="00F22127" w:rsidP="009B3F7C">
      <w:pPr>
        <w:pStyle w:val="Heading1"/>
      </w:pPr>
      <w:r w:rsidRPr="00D766FE">
        <w:t>CLINICAL TRIALS</w:t>
      </w:r>
    </w:p>
    <w:p w:rsidR="00DB744D" w:rsidRPr="009B3F7C" w:rsidRDefault="009B3F7C" w:rsidP="009B3F7C">
      <w:r w:rsidRPr="009B3F7C">
        <w:t xml:space="preserve">The safety and efficacy of </w:t>
      </w:r>
      <w:proofErr w:type="spellStart"/>
      <w:r w:rsidRPr="009B3F7C">
        <w:t>Cosentyx</w:t>
      </w:r>
      <w:proofErr w:type="spellEnd"/>
      <w:r w:rsidRPr="009B3F7C">
        <w:t xml:space="preserve"> were evaluated versus placebo or </w:t>
      </w:r>
      <w:proofErr w:type="spellStart"/>
      <w:r w:rsidRPr="009B3F7C">
        <w:t>etanercept</w:t>
      </w:r>
      <w:proofErr w:type="spellEnd"/>
      <w:r w:rsidRPr="009B3F7C">
        <w:t xml:space="preserve"> in four randomized, double-blind, placebo-controlled phase 3 studies in adult patients with moderate to severe chronic plaque-type psoriasis poorly controlled by topical treatments and / or phototherapy and / or previous systemic therapy (ERASURE, FIXTURE, FEATURE, and JUNCTURE).</w:t>
      </w:r>
      <w:r>
        <w:t xml:space="preserve"> </w:t>
      </w:r>
      <w:r w:rsidR="0073795B" w:rsidRPr="0073795B">
        <w:t xml:space="preserve">The safety and efficacy of </w:t>
      </w:r>
      <w:proofErr w:type="spellStart"/>
      <w:r w:rsidR="0073795B" w:rsidRPr="0073795B">
        <w:t>Cosentyx</w:t>
      </w:r>
      <w:proofErr w:type="spellEnd"/>
      <w:r w:rsidR="0073795B" w:rsidRPr="0073795B">
        <w:t xml:space="preserve"> were</w:t>
      </w:r>
      <w:r w:rsidR="000E0B9D" w:rsidRPr="0073795B">
        <w:t xml:space="preserve"> evaluated versus </w:t>
      </w:r>
      <w:r w:rsidR="003708B6" w:rsidRPr="0073795B">
        <w:t>placebo</w:t>
      </w:r>
      <w:r w:rsidR="000E0B9D" w:rsidRPr="0073795B">
        <w:t xml:space="preserve"> or </w:t>
      </w:r>
      <w:proofErr w:type="spellStart"/>
      <w:r w:rsidR="000E0B9D" w:rsidRPr="0073795B">
        <w:t>etanercept</w:t>
      </w:r>
      <w:proofErr w:type="spellEnd"/>
      <w:r w:rsidR="000E0B9D" w:rsidRPr="0073795B">
        <w:t xml:space="preserve"> </w:t>
      </w:r>
      <w:r w:rsidR="0073795B" w:rsidRPr="0073795B">
        <w:t xml:space="preserve">in four randomized, double-blind, placebo-controlled phase 3 studies in patients with moderate to severe plaque psoriasis who were candidates for phototherapy or systemic therapy </w:t>
      </w:r>
      <w:r w:rsidR="000E0B9D">
        <w:t>(</w:t>
      </w:r>
      <w:r w:rsidR="0073795B" w:rsidRPr="0073795B">
        <w:t xml:space="preserve">ERASURE, FIXTURE, FEATURE, </w:t>
      </w:r>
      <w:r w:rsidR="003708B6" w:rsidRPr="0073795B">
        <w:t>and JUNCTURE</w:t>
      </w:r>
      <w:r w:rsidR="003708B6">
        <w:t>)</w:t>
      </w:r>
      <w:r w:rsidR="0073795B" w:rsidRPr="0073795B">
        <w:t xml:space="preserve">. In addition, one study assessed a chronic treatment regimen versus a ‘retreatment as needed’ regimen </w:t>
      </w:r>
      <w:r w:rsidR="000E0B9D">
        <w:t>(</w:t>
      </w:r>
      <w:r w:rsidR="0073795B" w:rsidRPr="0073795B">
        <w:t>SCULPTURE</w:t>
      </w:r>
      <w:r w:rsidR="000E0B9D">
        <w:t>)</w:t>
      </w:r>
      <w:r w:rsidR="0073795B" w:rsidRPr="0073795B">
        <w:t>.</w:t>
      </w:r>
      <w:r w:rsidR="007975E4" w:rsidRPr="007975E4">
        <w:t xml:space="preserve"> </w:t>
      </w:r>
      <w:r w:rsidR="007975E4" w:rsidRPr="000E0B9D">
        <w:t>The co-</w:t>
      </w:r>
      <w:r w:rsidR="007975E4" w:rsidRPr="009B3F7C">
        <w:t>primary endpoints in the placebo and active controlled studies were the proportion of patients who achieved a PASI 75 response and IGA mod 2011 ’clear’ or ‘almost clear’ response versus placebo at Week 12.</w:t>
      </w:r>
      <w:r w:rsidR="00D438A1">
        <w:t xml:space="preserve"> </w:t>
      </w:r>
    </w:p>
    <w:p w:rsidR="009B3F7C" w:rsidRPr="009B3F7C" w:rsidRDefault="009B3F7C" w:rsidP="009B3F7C">
      <w:r w:rsidRPr="009B3F7C">
        <w:t>Key exclusion criteria across pivotal trials were: forms of psoriasis other than chronic plaque-</w:t>
      </w:r>
      <w:r w:rsidRPr="009B3F7C">
        <w:lastRenderedPageBreak/>
        <w:t>type; drug-induced psoriasis; ongoing use of certain psoriasis treatments, e.g. topical or systemic corticosteroids or UV therapy; patients with active, ongoing inflammatory disease; patients with active, ongoing, chronic or recurrent infectious disease; evidence of tuberculosis infection (enrolment was allowed for patients with latent tuberculosis if appropriate treatment was initiated and maintained</w:t>
      </w:r>
      <w:r w:rsidR="00760161">
        <w:t xml:space="preserve"> according to the local treatment guideline</w:t>
      </w:r>
      <w:r w:rsidRPr="009B3F7C">
        <w:t xml:space="preserve">); history of HIV, hepatitis B or hepatitis C; underlying </w:t>
      </w:r>
      <w:proofErr w:type="spellStart"/>
      <w:r w:rsidRPr="009B3F7C">
        <w:t>immunocompromis</w:t>
      </w:r>
      <w:r w:rsidR="00573295">
        <w:t>ing</w:t>
      </w:r>
      <w:proofErr w:type="spellEnd"/>
      <w:r w:rsidR="00573295">
        <w:t xml:space="preserve"> conditions</w:t>
      </w:r>
      <w:r w:rsidRPr="009B3F7C">
        <w:t xml:space="preserve">; presence of lymphoproliferative disease, malignancy or history of malignancy within the past 5 years; significant medical problems including uncontrolled hypertension and congestive heart failure (NYHA Class III and IV); patients with serum creatinine &gt;176.8 </w:t>
      </w:r>
      <w:proofErr w:type="spellStart"/>
      <w:r w:rsidRPr="009B3F7C">
        <w:t>micromol</w:t>
      </w:r>
      <w:proofErr w:type="spellEnd"/>
      <w:r w:rsidRPr="009B3F7C">
        <w:t>/L or with white blood cell count &lt;2,500 /</w:t>
      </w:r>
      <w:proofErr w:type="spellStart"/>
      <w:r w:rsidRPr="009B3F7C">
        <w:t>microL</w:t>
      </w:r>
      <w:proofErr w:type="spellEnd"/>
      <w:r w:rsidRPr="009B3F7C">
        <w:t>, platelets &lt;100,000/</w:t>
      </w:r>
      <w:proofErr w:type="spellStart"/>
      <w:r w:rsidRPr="009B3F7C">
        <w:t>microL</w:t>
      </w:r>
      <w:proofErr w:type="spellEnd"/>
      <w:r w:rsidRPr="009B3F7C">
        <w:t>, neutrophils &lt;1,500/</w:t>
      </w:r>
      <w:proofErr w:type="spellStart"/>
      <w:r w:rsidRPr="009B3F7C">
        <w:t>microL</w:t>
      </w:r>
      <w:proofErr w:type="spellEnd"/>
      <w:r w:rsidRPr="009B3F7C">
        <w:t xml:space="preserve"> or haemoglobin &lt;8.5 g/</w:t>
      </w:r>
      <w:proofErr w:type="spellStart"/>
      <w:r w:rsidRPr="009B3F7C">
        <w:t>dL</w:t>
      </w:r>
      <w:proofErr w:type="spellEnd"/>
      <w:r w:rsidRPr="009B3F7C">
        <w:t>; pregnant or nursing women; and women of child-bearing potential not using effective contraception during the study.</w:t>
      </w:r>
    </w:p>
    <w:p w:rsidR="00275335" w:rsidRDefault="0073795B" w:rsidP="009B3F7C">
      <w:r w:rsidRPr="009B3F7C">
        <w:t>Of the 2,403 patients</w:t>
      </w:r>
      <w:r w:rsidRPr="0073795B">
        <w:t xml:space="preserve"> who were included in the placebo-controlled studies, 79</w:t>
      </w:r>
      <w:r w:rsidR="00BC772D">
        <w:t xml:space="preserve"> </w:t>
      </w:r>
      <w:r w:rsidRPr="0073795B">
        <w:t>% were biologic-naïve, 45</w:t>
      </w:r>
      <w:r w:rsidR="00BC772D">
        <w:t xml:space="preserve"> </w:t>
      </w:r>
      <w:r w:rsidRPr="0073795B">
        <w:t>% were non-biologic failures, 8</w:t>
      </w:r>
      <w:r w:rsidR="00BC772D">
        <w:t xml:space="preserve"> </w:t>
      </w:r>
      <w:r w:rsidRPr="0073795B">
        <w:t>% were biologic failures, 6</w:t>
      </w:r>
      <w:r w:rsidR="00BC772D">
        <w:t xml:space="preserve"> </w:t>
      </w:r>
      <w:r w:rsidRPr="0073795B">
        <w:t>% were anti-TNF failures, and 2</w:t>
      </w:r>
      <w:r w:rsidR="00BC772D">
        <w:t xml:space="preserve"> </w:t>
      </w:r>
      <w:r w:rsidRPr="0073795B">
        <w:t>% were anti-p40 failures. Baseline disease characteristics were generally consistent across all treatment groups with a median baseline Psoriasis Area Severity Index (PASI) score from 19 to 20, IGA mod 2011 baseline score ranged from “moderate” (62</w:t>
      </w:r>
      <w:r w:rsidR="00BC772D">
        <w:t xml:space="preserve"> </w:t>
      </w:r>
      <w:r w:rsidRPr="0073795B">
        <w:t>%) to “severe” (38</w:t>
      </w:r>
      <w:r w:rsidR="00BC772D">
        <w:t xml:space="preserve"> </w:t>
      </w:r>
      <w:r w:rsidRPr="0073795B">
        <w:t>%), median baseline Body Surface Area (BSA) ≥</w:t>
      </w:r>
      <w:r w:rsidR="00BC772D">
        <w:t xml:space="preserve"> </w:t>
      </w:r>
      <w:r w:rsidRPr="0073795B">
        <w:t>27 and median Dermatology</w:t>
      </w:r>
      <w:r w:rsidR="00F33707">
        <w:t xml:space="preserve"> </w:t>
      </w:r>
      <w:r w:rsidR="00275335">
        <w:t>Life Quality Index (DLQI) score from 10 to 12. Approximately 15 to 25</w:t>
      </w:r>
      <w:r w:rsidR="00BC772D">
        <w:t xml:space="preserve"> </w:t>
      </w:r>
      <w:r w:rsidR="00275335">
        <w:t>% of patients in phase III studies had psoriatic arthritis (</w:t>
      </w:r>
      <w:proofErr w:type="spellStart"/>
      <w:r w:rsidR="00275335">
        <w:t>PsA</w:t>
      </w:r>
      <w:proofErr w:type="spellEnd"/>
      <w:r w:rsidR="00275335">
        <w:t xml:space="preserve">) at baseline. </w:t>
      </w:r>
    </w:p>
    <w:p w:rsidR="004F51C0" w:rsidRDefault="004F51C0" w:rsidP="009B3F7C">
      <w:pPr>
        <w:pStyle w:val="Heading3"/>
      </w:pPr>
      <w:r>
        <w:t>ERASURE Study (A2302)</w:t>
      </w:r>
    </w:p>
    <w:p w:rsidR="00275335" w:rsidRDefault="004F51C0" w:rsidP="009B3F7C">
      <w:r>
        <w:t xml:space="preserve">This </w:t>
      </w:r>
      <w:r w:rsidRPr="004F51C0">
        <w:t xml:space="preserve"> trial </w:t>
      </w:r>
      <w:r w:rsidR="00275335">
        <w:t xml:space="preserve">evaluated 738 patients. Patients </w:t>
      </w:r>
      <w:r>
        <w:t xml:space="preserve">were </w:t>
      </w:r>
      <w:r w:rsidR="00275335">
        <w:t xml:space="preserve">randomized to </w:t>
      </w:r>
      <w:proofErr w:type="spellStart"/>
      <w:r w:rsidR="00275335">
        <w:t>Cosentyx</w:t>
      </w:r>
      <w:proofErr w:type="spellEnd"/>
      <w:r w:rsidR="00275335">
        <w:t xml:space="preserve"> received 150 mg or 300 mg doses at weeks 0, 1, 2, and 3, followed by the same dose every month starting at week 4. Patients </w:t>
      </w:r>
      <w:r w:rsidRPr="004F51C0">
        <w:t xml:space="preserve">were </w:t>
      </w:r>
      <w:r w:rsidR="00275335">
        <w:t xml:space="preserve">randomized to receive placebo who were non-responders at week 12 were then crossed over to receive </w:t>
      </w:r>
      <w:proofErr w:type="spellStart"/>
      <w:r w:rsidR="00275335">
        <w:t>Cosentyx</w:t>
      </w:r>
      <w:proofErr w:type="spellEnd"/>
      <w:r w:rsidR="00275335">
        <w:t xml:space="preserve"> (either 150 mg or 300 mg) at weeks 12, 13, 14, and 15, followed by the same dose every month starting at week 16. All patients were followed for up to 52 weeks following first administration of study treatment.</w:t>
      </w:r>
    </w:p>
    <w:p w:rsidR="004F51C0" w:rsidRDefault="004F51C0" w:rsidP="009B3F7C">
      <w:pPr>
        <w:pStyle w:val="Heading3"/>
      </w:pPr>
      <w:r>
        <w:t>FIXTURE Study (A2303)</w:t>
      </w:r>
    </w:p>
    <w:p w:rsidR="00275335" w:rsidRDefault="004F51C0" w:rsidP="009B3F7C">
      <w:r>
        <w:t xml:space="preserve">This </w:t>
      </w:r>
      <w:r w:rsidRPr="004F51C0">
        <w:t xml:space="preserve"> trial </w:t>
      </w:r>
      <w:r w:rsidR="00275335">
        <w:t xml:space="preserve">evaluated 1,306 patients. Patients </w:t>
      </w:r>
      <w:r w:rsidRPr="004F51C0">
        <w:t xml:space="preserve">were </w:t>
      </w:r>
      <w:r w:rsidR="00275335">
        <w:t xml:space="preserve">randomized to </w:t>
      </w:r>
      <w:proofErr w:type="spellStart"/>
      <w:r w:rsidR="00275335">
        <w:t>Cosentyx</w:t>
      </w:r>
      <w:proofErr w:type="spellEnd"/>
      <w:r w:rsidR="00275335">
        <w:t xml:space="preserve"> received 150 mg or 300 mg doses at weeks 0, 1, 2, and 3, followed by the same dose every month starting at week 4. Patients </w:t>
      </w:r>
      <w:r w:rsidRPr="004F51C0">
        <w:t xml:space="preserve">were </w:t>
      </w:r>
      <w:r w:rsidR="00275335">
        <w:t xml:space="preserve">randomized to </w:t>
      </w:r>
      <w:proofErr w:type="spellStart"/>
      <w:r w:rsidR="00275335">
        <w:t>etanercept</w:t>
      </w:r>
      <w:proofErr w:type="spellEnd"/>
      <w:r w:rsidR="00275335">
        <w:t xml:space="preserve"> received 50 mg doses twice per week for 12 weeks followed by 50 mg every week. Patients </w:t>
      </w:r>
      <w:r w:rsidRPr="004F51C0">
        <w:t xml:space="preserve">were </w:t>
      </w:r>
      <w:r w:rsidR="00275335">
        <w:t xml:space="preserve">randomized to receive placebo who were non-responders at week 12 then crossed over to receive </w:t>
      </w:r>
      <w:proofErr w:type="spellStart"/>
      <w:r w:rsidR="00275335">
        <w:t>Cosentyx</w:t>
      </w:r>
      <w:proofErr w:type="spellEnd"/>
      <w:r w:rsidR="00275335">
        <w:t xml:space="preserve"> (either 150 mg or 300 mg) at weeks 12, 13, 14, and 15, followed by the same dose every month starting at week 16. All patients were followed for up to 52 weeks following first administration of study treatment.</w:t>
      </w:r>
    </w:p>
    <w:p w:rsidR="004F51C0" w:rsidRPr="0059511C" w:rsidRDefault="004F51C0" w:rsidP="009B3F7C">
      <w:pPr>
        <w:pStyle w:val="Heading3"/>
      </w:pPr>
      <w:r w:rsidRPr="00074B03">
        <w:rPr>
          <w:rStyle w:val="Heading2Char"/>
          <w:b w:val="0"/>
          <w:bCs w:val="0"/>
          <w:szCs w:val="24"/>
        </w:rPr>
        <w:t xml:space="preserve">FEATURE </w:t>
      </w:r>
      <w:r w:rsidR="00275335" w:rsidRPr="0059511C">
        <w:rPr>
          <w:rStyle w:val="Heading2Char"/>
          <w:b w:val="0"/>
          <w:bCs w:val="0"/>
          <w:szCs w:val="24"/>
        </w:rPr>
        <w:t>Study</w:t>
      </w:r>
      <w:r w:rsidRPr="0059511C">
        <w:rPr>
          <w:rStyle w:val="Heading2Char"/>
          <w:b w:val="0"/>
          <w:bCs w:val="0"/>
          <w:szCs w:val="24"/>
        </w:rPr>
        <w:t xml:space="preserve"> (A2308)</w:t>
      </w:r>
      <w:r w:rsidR="00275335" w:rsidRPr="0059511C">
        <w:t xml:space="preserve">  </w:t>
      </w:r>
    </w:p>
    <w:p w:rsidR="00275335" w:rsidRDefault="004F51C0" w:rsidP="009B3F7C">
      <w:r>
        <w:t xml:space="preserve">This </w:t>
      </w:r>
      <w:r w:rsidRPr="004F51C0">
        <w:t xml:space="preserve">trial </w:t>
      </w:r>
      <w:r w:rsidR="00275335">
        <w:t xml:space="preserve">evaluated 177 patients using a pre-filled syringe compared with placebo after 12 weeks of treatment to assess the safety, tolerability, and usability of </w:t>
      </w:r>
      <w:proofErr w:type="spellStart"/>
      <w:r w:rsidR="00275335">
        <w:t>Cosentyx</w:t>
      </w:r>
      <w:proofErr w:type="spellEnd"/>
      <w:r w:rsidR="00275335">
        <w:t xml:space="preserve"> self-administration via the pre-filled syringe. Patients randomized to </w:t>
      </w:r>
      <w:proofErr w:type="spellStart"/>
      <w:r w:rsidR="00275335">
        <w:t>Cosentyx</w:t>
      </w:r>
      <w:proofErr w:type="spellEnd"/>
      <w:r w:rsidR="00275335">
        <w:t xml:space="preserve"> received 150 mg or 300 mg doses at weeks 0, 1, 2, and 3, followed by the same dose every month starting at week 4.  Patients were also randomized to receive placebo at weeks 0, 1, 2, and 3, followed by the same dose every month starting at week 4.</w:t>
      </w:r>
    </w:p>
    <w:p w:rsidR="004F51C0" w:rsidRPr="0059511C" w:rsidRDefault="004F51C0" w:rsidP="009B3F7C">
      <w:pPr>
        <w:pStyle w:val="Heading3"/>
        <w:rPr>
          <w:rStyle w:val="Heading2Char"/>
          <w:b w:val="0"/>
          <w:bCs w:val="0"/>
          <w:szCs w:val="24"/>
        </w:rPr>
      </w:pPr>
      <w:r w:rsidRPr="00074B03">
        <w:rPr>
          <w:rStyle w:val="Heading2Char"/>
          <w:b w:val="0"/>
          <w:bCs w:val="0"/>
          <w:szCs w:val="24"/>
        </w:rPr>
        <w:t xml:space="preserve">JUNCTURE </w:t>
      </w:r>
      <w:r w:rsidR="00275335" w:rsidRPr="0059511C">
        <w:rPr>
          <w:rStyle w:val="Heading2Char"/>
          <w:b w:val="0"/>
          <w:bCs w:val="0"/>
          <w:szCs w:val="24"/>
        </w:rPr>
        <w:t>Study</w:t>
      </w:r>
      <w:r w:rsidRPr="0059511C">
        <w:rPr>
          <w:rStyle w:val="Heading2Char"/>
          <w:b w:val="0"/>
          <w:bCs w:val="0"/>
          <w:szCs w:val="24"/>
        </w:rPr>
        <w:t xml:space="preserve"> (A2309)</w:t>
      </w:r>
      <w:r w:rsidR="00275335" w:rsidRPr="0059511C">
        <w:rPr>
          <w:rStyle w:val="Heading2Char"/>
          <w:b w:val="0"/>
          <w:bCs w:val="0"/>
          <w:szCs w:val="24"/>
        </w:rPr>
        <w:t xml:space="preserve"> </w:t>
      </w:r>
    </w:p>
    <w:p w:rsidR="00275335" w:rsidRDefault="004F51C0" w:rsidP="009B3F7C">
      <w:r>
        <w:t xml:space="preserve">This </w:t>
      </w:r>
      <w:r w:rsidRPr="004F51C0">
        <w:t xml:space="preserve">trial </w:t>
      </w:r>
      <w:r w:rsidR="00275335">
        <w:t xml:space="preserve">evaluated 182 patients using a pre-filled pen compared with placebo after 12 weeks of treatment to assess the safety, tolerability, and usability of </w:t>
      </w:r>
      <w:proofErr w:type="spellStart"/>
      <w:r w:rsidR="00275335">
        <w:t>Cosentyx</w:t>
      </w:r>
      <w:proofErr w:type="spellEnd"/>
      <w:r w:rsidR="00275335">
        <w:t xml:space="preserve"> self-administration via the pre-filled pen. Patients </w:t>
      </w:r>
      <w:r>
        <w:t xml:space="preserve">were </w:t>
      </w:r>
      <w:r w:rsidR="00275335">
        <w:t xml:space="preserve">randomized to </w:t>
      </w:r>
      <w:proofErr w:type="spellStart"/>
      <w:r w:rsidR="00275335">
        <w:t>Cosentyx</w:t>
      </w:r>
      <w:proofErr w:type="spellEnd"/>
      <w:r w:rsidR="00275335">
        <w:t xml:space="preserve"> received 150 mg or 300 mg doses at weeks 0, 1, 2, and 3, followed by the same dose every month starting at week 4. Patients were also randomized to receive placebo at weeks 0, 1, 2, and 3, followed by the same dose every </w:t>
      </w:r>
      <w:r w:rsidR="00275335">
        <w:lastRenderedPageBreak/>
        <w:t>month starting at week 4.</w:t>
      </w:r>
    </w:p>
    <w:p w:rsidR="004F51C0" w:rsidRPr="0059511C" w:rsidRDefault="004F51C0" w:rsidP="009B3F7C">
      <w:pPr>
        <w:pStyle w:val="Heading3"/>
        <w:rPr>
          <w:rStyle w:val="Heading2Char"/>
          <w:b w:val="0"/>
          <w:bCs w:val="0"/>
          <w:szCs w:val="24"/>
        </w:rPr>
      </w:pPr>
      <w:r w:rsidRPr="00074B03">
        <w:rPr>
          <w:rStyle w:val="Heading2Char"/>
          <w:b w:val="0"/>
          <w:bCs w:val="0"/>
          <w:szCs w:val="24"/>
        </w:rPr>
        <w:t xml:space="preserve">SCULPTURE </w:t>
      </w:r>
      <w:r w:rsidR="00275335" w:rsidRPr="0059511C">
        <w:rPr>
          <w:rStyle w:val="Heading2Char"/>
          <w:b w:val="0"/>
          <w:bCs w:val="0"/>
          <w:szCs w:val="24"/>
        </w:rPr>
        <w:t xml:space="preserve">Study </w:t>
      </w:r>
      <w:r w:rsidRPr="0059511C">
        <w:rPr>
          <w:rStyle w:val="Heading2Char"/>
          <w:b w:val="0"/>
          <w:bCs w:val="0"/>
          <w:szCs w:val="24"/>
        </w:rPr>
        <w:t>(A2304)</w:t>
      </w:r>
    </w:p>
    <w:p w:rsidR="00275335" w:rsidRDefault="004F51C0" w:rsidP="009B3F7C">
      <w:r>
        <w:t xml:space="preserve">This trial </w:t>
      </w:r>
      <w:r w:rsidR="00275335">
        <w:t xml:space="preserve">evaluated 966 patients. All patients received </w:t>
      </w:r>
      <w:proofErr w:type="spellStart"/>
      <w:r w:rsidR="00275335">
        <w:t>Cosentyx</w:t>
      </w:r>
      <w:proofErr w:type="spellEnd"/>
      <w:r w:rsidR="00275335">
        <w:t xml:space="preserve"> 150 mg or 300 mg doses at weeks 0, 1, 2, 3, 4, 8 and 12 and then were randomized to receive either a maintenance regimen of the same dose every month starting at Week 12 or a “retreatment as needed” regimen of the same dose. </w:t>
      </w:r>
    </w:p>
    <w:p w:rsidR="007D2A6D" w:rsidRDefault="007D2A6D" w:rsidP="009B3F7C"/>
    <w:p w:rsidR="007D2A6D" w:rsidRDefault="007D2A6D" w:rsidP="009B3F7C">
      <w:pPr>
        <w:pStyle w:val="Heading4"/>
      </w:pPr>
      <w:r>
        <w:t>Results</w:t>
      </w:r>
    </w:p>
    <w:p w:rsidR="0073795B" w:rsidRDefault="00275335" w:rsidP="009B3F7C">
      <w:r>
        <w:t>The 300 mg dose provided improved skin clearance across efficacy endpoints of PASI 75/90/100, and IGA mod 2011 ‘clear’ or ‘almost clear’ responses across all studies with peak effects seen at week 16</w:t>
      </w:r>
      <w:r w:rsidR="007D2A6D">
        <w:t xml:space="preserve"> (see to Table 2 and Table 3). T</w:t>
      </w:r>
      <w:r>
        <w:t>herefore th</w:t>
      </w:r>
      <w:r w:rsidR="007D2A6D">
        <w:t xml:space="preserve">e 300 mg </w:t>
      </w:r>
      <w:r>
        <w:t>dose is recommended.</w:t>
      </w:r>
    </w:p>
    <w:p w:rsidR="002E4330" w:rsidRDefault="002E4330" w:rsidP="009B3F7C">
      <w:proofErr w:type="spellStart"/>
      <w:r>
        <w:t>Cosentyx</w:t>
      </w:r>
      <w:proofErr w:type="spellEnd"/>
      <w:r>
        <w:t xml:space="preserve"> was efficacious in biologic-naive, biologic/anti-TNF-exposed and biologic/anti-TNF-failure patients.</w:t>
      </w:r>
    </w:p>
    <w:p w:rsidR="002E4330" w:rsidRDefault="002E4330" w:rsidP="009B3F7C">
      <w:proofErr w:type="spellStart"/>
      <w:r>
        <w:t>Cosentyx</w:t>
      </w:r>
      <w:proofErr w:type="spellEnd"/>
      <w:r>
        <w:t xml:space="preserve"> was associated with a fast onset of efficacy as shown in </w:t>
      </w:r>
      <w:r w:rsidR="007D2A6D">
        <w:t>F</w:t>
      </w:r>
      <w:r>
        <w:t xml:space="preserve">igure </w:t>
      </w:r>
      <w:r w:rsidR="007D2A6D">
        <w:t xml:space="preserve">1 </w:t>
      </w:r>
      <w:r>
        <w:t xml:space="preserve"> with a 50 % reduction in mean PASI by week 3 for 300 mg.</w:t>
      </w:r>
    </w:p>
    <w:p w:rsidR="007D2A6D" w:rsidDel="00BF599D" w:rsidRDefault="007D2A6D" w:rsidP="009B3F7C">
      <w:pPr>
        <w:pStyle w:val="tabletitle0"/>
      </w:pPr>
      <w:r w:rsidRPr="00FE0F9E" w:rsidDel="00BF599D">
        <w:t xml:space="preserve">Figure </w:t>
      </w:r>
      <w:fldSimple w:instr="  SEQ Figure \s 1 \* ARABIC  \* MERGEFORMAT ">
        <w:r w:rsidDel="00BF599D">
          <w:rPr>
            <w:noProof/>
          </w:rPr>
          <w:t>1</w:t>
        </w:r>
      </w:fldSimple>
      <w:r w:rsidRPr="00FE0F9E" w:rsidDel="00BF599D">
        <w:tab/>
        <w:t xml:space="preserve">Time course of percentage change from baseline of mean PASI </w:t>
      </w:r>
    </w:p>
    <w:p w:rsidR="007D2A6D" w:rsidRPr="00FE0F9E" w:rsidDel="00BF599D" w:rsidRDefault="007D2A6D" w:rsidP="009B3F7C">
      <w:pPr>
        <w:pStyle w:val="tabletitle0"/>
      </w:pPr>
      <w:r w:rsidDel="00BF599D">
        <w:tab/>
      </w:r>
      <w:r w:rsidDel="00BF599D">
        <w:tab/>
      </w:r>
      <w:r w:rsidRPr="00FE0F9E" w:rsidDel="00BF599D">
        <w:t>score in ERASURE</w:t>
      </w:r>
      <w:r>
        <w:t xml:space="preserve"> trial</w:t>
      </w:r>
      <w:r w:rsidDel="00BF599D">
        <w:t xml:space="preserve"> </w:t>
      </w:r>
      <w:r w:rsidRPr="00352DCD" w:rsidDel="00BF599D">
        <w:t>(m = number of patients evaluable)</w:t>
      </w:r>
    </w:p>
    <w:p w:rsidR="007D2A6D" w:rsidRPr="00817190" w:rsidDel="00BF599D" w:rsidRDefault="007D2A6D" w:rsidP="009B3F7C">
      <w:pPr>
        <w:rPr>
          <w:rFonts w:eastAsia="MS Mincho"/>
          <w:szCs w:val="20"/>
          <w:lang w:val="en-US"/>
        </w:rPr>
      </w:pPr>
      <w:r w:rsidDel="00BF599D">
        <w:rPr>
          <w:noProof/>
          <w:lang w:eastAsia="en-AU"/>
        </w:rPr>
        <w:drawing>
          <wp:inline distT="0" distB="0" distL="0" distR="0" wp14:anchorId="03484C33" wp14:editId="079FEB51">
            <wp:extent cx="4007458" cy="262497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26970" cy="2637751"/>
                    </a:xfrm>
                    <a:prstGeom prst="rect">
                      <a:avLst/>
                    </a:prstGeom>
                  </pic:spPr>
                </pic:pic>
              </a:graphicData>
            </a:graphic>
          </wp:inline>
        </w:drawing>
      </w:r>
    </w:p>
    <w:p w:rsidR="005A67BD" w:rsidRDefault="00275335" w:rsidP="001272B8">
      <w:pPr>
        <w:pStyle w:val="tabletitle0"/>
        <w:pageBreakBefore/>
      </w:pPr>
      <w:bookmarkStart w:id="1" w:name="_Toc368649367"/>
      <w:r w:rsidRPr="00352DCD">
        <w:lastRenderedPageBreak/>
        <w:t xml:space="preserve">Table </w:t>
      </w:r>
      <w:r w:rsidR="007D2A6D">
        <w:t>2</w:t>
      </w:r>
      <w:r w:rsidRPr="00352DCD">
        <w:tab/>
        <w:t xml:space="preserve">Summary of </w:t>
      </w:r>
      <w:r w:rsidRPr="00E32C4B">
        <w:t>clinical response in ERASURE, FEATURE and JUNCTURE</w:t>
      </w:r>
      <w:r w:rsidR="005A67BD">
        <w:t xml:space="preserve"> </w:t>
      </w:r>
    </w:p>
    <w:p w:rsidR="00275335" w:rsidRPr="00E32C4B" w:rsidRDefault="005A67BD" w:rsidP="009B3F7C">
      <w:pPr>
        <w:pStyle w:val="tabletitle0"/>
      </w:pPr>
      <w:r>
        <w:tab/>
      </w:r>
      <w:r>
        <w:tab/>
      </w:r>
      <w:bookmarkEnd w:id="1"/>
      <w:r>
        <w:t>trials</w:t>
      </w:r>
    </w:p>
    <w:tbl>
      <w:tblPr>
        <w:tblStyle w:val="TableGrid"/>
        <w:tblW w:w="8929" w:type="dxa"/>
        <w:tblLook w:val="04A0" w:firstRow="1" w:lastRow="0" w:firstColumn="1" w:lastColumn="0" w:noHBand="0" w:noVBand="1"/>
      </w:tblPr>
      <w:tblGrid>
        <w:gridCol w:w="1843"/>
        <w:gridCol w:w="858"/>
        <w:gridCol w:w="1106"/>
        <w:gridCol w:w="1106"/>
        <w:gridCol w:w="1004"/>
        <w:gridCol w:w="1004"/>
        <w:gridCol w:w="1004"/>
        <w:gridCol w:w="1004"/>
      </w:tblGrid>
      <w:tr w:rsidR="00423B7F" w:rsidRPr="005A67BD" w:rsidTr="00E32C4B">
        <w:trPr>
          <w:tblHeader/>
        </w:trPr>
        <w:tc>
          <w:tcPr>
            <w:tcW w:w="1843" w:type="dxa"/>
            <w:tcBorders>
              <w:top w:val="single" w:sz="4" w:space="0" w:color="auto"/>
              <w:left w:val="nil"/>
              <w:bottom w:val="nil"/>
              <w:right w:val="nil"/>
            </w:tcBorders>
          </w:tcPr>
          <w:p w:rsidR="00423B7F" w:rsidRPr="0059511C" w:rsidRDefault="00423B7F" w:rsidP="009B3F7C">
            <w:pPr>
              <w:pStyle w:val="tabledata"/>
            </w:pPr>
          </w:p>
        </w:tc>
        <w:tc>
          <w:tcPr>
            <w:tcW w:w="3070" w:type="dxa"/>
            <w:gridSpan w:val="3"/>
            <w:tcBorders>
              <w:top w:val="single" w:sz="4" w:space="0" w:color="auto"/>
              <w:left w:val="nil"/>
              <w:bottom w:val="nil"/>
              <w:right w:val="nil"/>
            </w:tcBorders>
          </w:tcPr>
          <w:p w:rsidR="00423B7F" w:rsidRPr="0059511C" w:rsidRDefault="00423B7F" w:rsidP="009B3F7C">
            <w:pPr>
              <w:pStyle w:val="tabledata"/>
            </w:pPr>
            <w:r w:rsidRPr="0059511C">
              <w:t>Week 12</w:t>
            </w:r>
          </w:p>
        </w:tc>
        <w:tc>
          <w:tcPr>
            <w:tcW w:w="2008" w:type="dxa"/>
            <w:gridSpan w:val="2"/>
            <w:tcBorders>
              <w:top w:val="single" w:sz="4" w:space="0" w:color="auto"/>
              <w:left w:val="nil"/>
              <w:bottom w:val="nil"/>
              <w:right w:val="nil"/>
            </w:tcBorders>
          </w:tcPr>
          <w:p w:rsidR="00423B7F" w:rsidRPr="0059511C" w:rsidRDefault="00423B7F" w:rsidP="009B3F7C">
            <w:pPr>
              <w:pStyle w:val="tabledata"/>
            </w:pPr>
            <w:r w:rsidRPr="0059511C">
              <w:t>Week 16</w:t>
            </w:r>
          </w:p>
        </w:tc>
        <w:tc>
          <w:tcPr>
            <w:tcW w:w="2008" w:type="dxa"/>
            <w:gridSpan w:val="2"/>
            <w:tcBorders>
              <w:top w:val="single" w:sz="4" w:space="0" w:color="auto"/>
              <w:left w:val="nil"/>
              <w:bottom w:val="nil"/>
              <w:right w:val="nil"/>
            </w:tcBorders>
          </w:tcPr>
          <w:p w:rsidR="00423B7F" w:rsidRPr="0059511C" w:rsidRDefault="00423B7F" w:rsidP="009B3F7C">
            <w:pPr>
              <w:pStyle w:val="tabledata"/>
            </w:pPr>
            <w:r w:rsidRPr="0059511C">
              <w:t>Week 52</w:t>
            </w:r>
          </w:p>
        </w:tc>
      </w:tr>
      <w:tr w:rsidR="00337070" w:rsidRPr="005A67BD" w:rsidTr="00E32C4B">
        <w:trPr>
          <w:tblHeader/>
        </w:trPr>
        <w:tc>
          <w:tcPr>
            <w:tcW w:w="1843" w:type="dxa"/>
            <w:tcBorders>
              <w:top w:val="nil"/>
              <w:left w:val="nil"/>
              <w:bottom w:val="single" w:sz="4" w:space="0" w:color="auto"/>
              <w:right w:val="nil"/>
            </w:tcBorders>
          </w:tcPr>
          <w:p w:rsidR="00337070" w:rsidRPr="0059511C" w:rsidRDefault="00337070" w:rsidP="009B3F7C">
            <w:pPr>
              <w:pStyle w:val="tabledata"/>
            </w:pPr>
          </w:p>
        </w:tc>
        <w:tc>
          <w:tcPr>
            <w:tcW w:w="858" w:type="dxa"/>
            <w:tcBorders>
              <w:top w:val="nil"/>
              <w:left w:val="nil"/>
              <w:bottom w:val="single" w:sz="4" w:space="0" w:color="auto"/>
              <w:right w:val="nil"/>
            </w:tcBorders>
          </w:tcPr>
          <w:p w:rsidR="00337070" w:rsidRPr="0059511C" w:rsidRDefault="00337070" w:rsidP="009B3F7C">
            <w:pPr>
              <w:pStyle w:val="tabledata"/>
            </w:pPr>
            <w:r w:rsidRPr="0059511C">
              <w:t>Placebo</w:t>
            </w:r>
          </w:p>
        </w:tc>
        <w:tc>
          <w:tcPr>
            <w:tcW w:w="1106" w:type="dxa"/>
            <w:tcBorders>
              <w:top w:val="nil"/>
              <w:left w:val="nil"/>
              <w:bottom w:val="single" w:sz="4" w:space="0" w:color="auto"/>
              <w:right w:val="nil"/>
            </w:tcBorders>
          </w:tcPr>
          <w:p w:rsidR="00337070" w:rsidRPr="0059511C" w:rsidRDefault="00337070" w:rsidP="009B3F7C">
            <w:pPr>
              <w:pStyle w:val="tabledata"/>
            </w:pPr>
            <w:r w:rsidRPr="0059511C">
              <w:t>150 mg</w:t>
            </w:r>
          </w:p>
        </w:tc>
        <w:tc>
          <w:tcPr>
            <w:tcW w:w="1106" w:type="dxa"/>
            <w:tcBorders>
              <w:top w:val="nil"/>
              <w:left w:val="nil"/>
              <w:bottom w:val="single" w:sz="4" w:space="0" w:color="auto"/>
              <w:right w:val="nil"/>
            </w:tcBorders>
          </w:tcPr>
          <w:p w:rsidR="00337070" w:rsidRPr="0059511C" w:rsidRDefault="00337070" w:rsidP="009B3F7C">
            <w:pPr>
              <w:pStyle w:val="tabledata"/>
            </w:pPr>
            <w:r w:rsidRPr="0059511C">
              <w:t>300 mg</w:t>
            </w:r>
          </w:p>
        </w:tc>
        <w:tc>
          <w:tcPr>
            <w:tcW w:w="1004" w:type="dxa"/>
            <w:tcBorders>
              <w:top w:val="nil"/>
              <w:left w:val="nil"/>
              <w:bottom w:val="single" w:sz="4" w:space="0" w:color="auto"/>
              <w:right w:val="nil"/>
            </w:tcBorders>
          </w:tcPr>
          <w:p w:rsidR="00337070" w:rsidRPr="0059511C" w:rsidRDefault="00337070" w:rsidP="009B3F7C">
            <w:pPr>
              <w:pStyle w:val="tabledata"/>
            </w:pPr>
            <w:r w:rsidRPr="0059511C">
              <w:t>150 mg</w:t>
            </w:r>
          </w:p>
        </w:tc>
        <w:tc>
          <w:tcPr>
            <w:tcW w:w="1004" w:type="dxa"/>
            <w:tcBorders>
              <w:top w:val="nil"/>
              <w:left w:val="nil"/>
              <w:bottom w:val="single" w:sz="4" w:space="0" w:color="auto"/>
              <w:right w:val="nil"/>
            </w:tcBorders>
          </w:tcPr>
          <w:p w:rsidR="00337070" w:rsidRPr="0059511C" w:rsidRDefault="00337070" w:rsidP="009B3F7C">
            <w:pPr>
              <w:pStyle w:val="tabledata"/>
            </w:pPr>
            <w:r w:rsidRPr="0059511C">
              <w:t>300 mg</w:t>
            </w:r>
          </w:p>
        </w:tc>
        <w:tc>
          <w:tcPr>
            <w:tcW w:w="1004" w:type="dxa"/>
            <w:tcBorders>
              <w:top w:val="nil"/>
              <w:left w:val="nil"/>
              <w:bottom w:val="single" w:sz="4" w:space="0" w:color="auto"/>
              <w:right w:val="nil"/>
            </w:tcBorders>
          </w:tcPr>
          <w:p w:rsidR="00337070" w:rsidRPr="0059511C" w:rsidRDefault="00337070" w:rsidP="009B3F7C">
            <w:pPr>
              <w:pStyle w:val="tabledata"/>
            </w:pPr>
            <w:r w:rsidRPr="0059511C">
              <w:t>150 mg</w:t>
            </w:r>
          </w:p>
        </w:tc>
        <w:tc>
          <w:tcPr>
            <w:tcW w:w="1004" w:type="dxa"/>
            <w:tcBorders>
              <w:top w:val="nil"/>
              <w:left w:val="nil"/>
              <w:bottom w:val="single" w:sz="4" w:space="0" w:color="auto"/>
              <w:right w:val="nil"/>
            </w:tcBorders>
          </w:tcPr>
          <w:p w:rsidR="00337070" w:rsidRPr="0059511C" w:rsidRDefault="00337070" w:rsidP="009B3F7C">
            <w:pPr>
              <w:pStyle w:val="tabledata"/>
            </w:pPr>
            <w:r w:rsidRPr="0059511C">
              <w:t>300 mg</w:t>
            </w:r>
          </w:p>
        </w:tc>
      </w:tr>
      <w:tr w:rsidR="000F4751" w:rsidRPr="005A67BD" w:rsidTr="00E32C4B">
        <w:tc>
          <w:tcPr>
            <w:tcW w:w="8929" w:type="dxa"/>
            <w:gridSpan w:val="8"/>
            <w:tcBorders>
              <w:top w:val="single" w:sz="4" w:space="0" w:color="auto"/>
              <w:left w:val="nil"/>
              <w:bottom w:val="nil"/>
              <w:right w:val="nil"/>
            </w:tcBorders>
          </w:tcPr>
          <w:p w:rsidR="000F4751" w:rsidRPr="0059511C" w:rsidRDefault="005A67BD" w:rsidP="009B3F7C">
            <w:pPr>
              <w:pStyle w:val="tabledata"/>
            </w:pPr>
            <w:r>
              <w:t>ERASURE</w:t>
            </w:r>
          </w:p>
        </w:tc>
      </w:tr>
      <w:tr w:rsidR="00337070" w:rsidRPr="005A67BD" w:rsidTr="00E32C4B">
        <w:tc>
          <w:tcPr>
            <w:tcW w:w="1843" w:type="dxa"/>
            <w:tcBorders>
              <w:top w:val="nil"/>
              <w:left w:val="nil"/>
              <w:bottom w:val="nil"/>
              <w:right w:val="nil"/>
            </w:tcBorders>
          </w:tcPr>
          <w:p w:rsidR="00337070" w:rsidRPr="0059511C" w:rsidRDefault="00337070" w:rsidP="009B3F7C">
            <w:pPr>
              <w:pStyle w:val="tabledata"/>
            </w:pPr>
            <w:r w:rsidRPr="0059511C">
              <w:t>Number of patients</w:t>
            </w:r>
          </w:p>
        </w:tc>
        <w:tc>
          <w:tcPr>
            <w:tcW w:w="858" w:type="dxa"/>
            <w:tcBorders>
              <w:top w:val="nil"/>
              <w:left w:val="nil"/>
              <w:bottom w:val="nil"/>
              <w:right w:val="nil"/>
            </w:tcBorders>
          </w:tcPr>
          <w:p w:rsidR="00337070" w:rsidRPr="0059511C" w:rsidRDefault="00337070" w:rsidP="009B3F7C">
            <w:pPr>
              <w:pStyle w:val="tabledata"/>
            </w:pPr>
            <w:r w:rsidRPr="0059511C">
              <w:t>246</w:t>
            </w:r>
          </w:p>
        </w:tc>
        <w:tc>
          <w:tcPr>
            <w:tcW w:w="1106" w:type="dxa"/>
            <w:tcBorders>
              <w:top w:val="nil"/>
              <w:left w:val="nil"/>
              <w:bottom w:val="nil"/>
              <w:right w:val="nil"/>
            </w:tcBorders>
          </w:tcPr>
          <w:p w:rsidR="00337070" w:rsidRPr="0059511C" w:rsidRDefault="00337070" w:rsidP="009B3F7C">
            <w:pPr>
              <w:pStyle w:val="tabledata"/>
            </w:pPr>
            <w:r w:rsidRPr="0059511C">
              <w:t>244</w:t>
            </w:r>
          </w:p>
        </w:tc>
        <w:tc>
          <w:tcPr>
            <w:tcW w:w="1106" w:type="dxa"/>
            <w:tcBorders>
              <w:top w:val="nil"/>
              <w:left w:val="nil"/>
              <w:bottom w:val="nil"/>
              <w:right w:val="nil"/>
            </w:tcBorders>
          </w:tcPr>
          <w:p w:rsidR="00337070" w:rsidRPr="0059511C" w:rsidRDefault="00337070" w:rsidP="009B3F7C">
            <w:pPr>
              <w:pStyle w:val="tabledata"/>
            </w:pPr>
            <w:r w:rsidRPr="0059511C">
              <w:t>245</w:t>
            </w:r>
          </w:p>
        </w:tc>
        <w:tc>
          <w:tcPr>
            <w:tcW w:w="1004" w:type="dxa"/>
            <w:tcBorders>
              <w:top w:val="nil"/>
              <w:left w:val="nil"/>
              <w:bottom w:val="nil"/>
              <w:right w:val="nil"/>
            </w:tcBorders>
          </w:tcPr>
          <w:p w:rsidR="00337070" w:rsidRPr="0059511C" w:rsidRDefault="00337070" w:rsidP="009B3F7C">
            <w:pPr>
              <w:pStyle w:val="tabledata"/>
            </w:pPr>
            <w:r w:rsidRPr="0059511C">
              <w:t>244</w:t>
            </w:r>
          </w:p>
        </w:tc>
        <w:tc>
          <w:tcPr>
            <w:tcW w:w="1004" w:type="dxa"/>
            <w:tcBorders>
              <w:top w:val="nil"/>
              <w:left w:val="nil"/>
              <w:bottom w:val="nil"/>
              <w:right w:val="nil"/>
            </w:tcBorders>
          </w:tcPr>
          <w:p w:rsidR="00337070" w:rsidRPr="0059511C" w:rsidRDefault="00337070" w:rsidP="009B3F7C">
            <w:pPr>
              <w:pStyle w:val="tabledata"/>
            </w:pPr>
            <w:r w:rsidRPr="0059511C">
              <w:t xml:space="preserve">245 </w:t>
            </w:r>
          </w:p>
        </w:tc>
        <w:tc>
          <w:tcPr>
            <w:tcW w:w="1004" w:type="dxa"/>
            <w:tcBorders>
              <w:top w:val="nil"/>
              <w:left w:val="nil"/>
              <w:bottom w:val="nil"/>
              <w:right w:val="nil"/>
            </w:tcBorders>
          </w:tcPr>
          <w:p w:rsidR="00337070" w:rsidRPr="0059511C" w:rsidRDefault="00337070" w:rsidP="009B3F7C">
            <w:pPr>
              <w:pStyle w:val="tabledata"/>
            </w:pPr>
            <w:r w:rsidRPr="0059511C">
              <w:t>244</w:t>
            </w:r>
          </w:p>
        </w:tc>
        <w:tc>
          <w:tcPr>
            <w:tcW w:w="1004" w:type="dxa"/>
            <w:tcBorders>
              <w:top w:val="nil"/>
              <w:left w:val="nil"/>
              <w:bottom w:val="nil"/>
              <w:right w:val="nil"/>
            </w:tcBorders>
          </w:tcPr>
          <w:p w:rsidR="00337070" w:rsidRPr="0059511C" w:rsidRDefault="00337070" w:rsidP="009B3F7C">
            <w:pPr>
              <w:pStyle w:val="tabledata"/>
            </w:pPr>
            <w:r w:rsidRPr="0059511C">
              <w:t>245</w:t>
            </w:r>
          </w:p>
        </w:tc>
      </w:tr>
      <w:tr w:rsidR="00337070" w:rsidRPr="005A67BD" w:rsidTr="00E32C4B">
        <w:tc>
          <w:tcPr>
            <w:tcW w:w="1843" w:type="dxa"/>
            <w:tcBorders>
              <w:top w:val="nil"/>
              <w:left w:val="nil"/>
              <w:bottom w:val="nil"/>
              <w:right w:val="nil"/>
            </w:tcBorders>
          </w:tcPr>
          <w:p w:rsidR="00337070" w:rsidRPr="0059511C" w:rsidRDefault="00337070" w:rsidP="009B3F7C">
            <w:pPr>
              <w:pStyle w:val="tabledata"/>
            </w:pPr>
            <w:r w:rsidRPr="0059511C">
              <w:t>PASI 50 response n (%)</w:t>
            </w:r>
          </w:p>
        </w:tc>
        <w:tc>
          <w:tcPr>
            <w:tcW w:w="858" w:type="dxa"/>
            <w:tcBorders>
              <w:top w:val="nil"/>
              <w:left w:val="nil"/>
              <w:bottom w:val="nil"/>
              <w:right w:val="nil"/>
            </w:tcBorders>
          </w:tcPr>
          <w:p w:rsidR="00337070" w:rsidRPr="0059511C" w:rsidRDefault="00337070" w:rsidP="009B3F7C">
            <w:pPr>
              <w:pStyle w:val="tabledata"/>
            </w:pPr>
            <w:r w:rsidRPr="0059511C">
              <w:t>22 (8.9%)</w:t>
            </w:r>
          </w:p>
        </w:tc>
        <w:tc>
          <w:tcPr>
            <w:tcW w:w="1106" w:type="dxa"/>
            <w:tcBorders>
              <w:top w:val="nil"/>
              <w:left w:val="nil"/>
              <w:bottom w:val="nil"/>
              <w:right w:val="nil"/>
            </w:tcBorders>
          </w:tcPr>
          <w:p w:rsidR="00337070" w:rsidRPr="0059511C" w:rsidRDefault="00337070" w:rsidP="009B3F7C">
            <w:pPr>
              <w:pStyle w:val="tabledata"/>
            </w:pPr>
            <w:r w:rsidRPr="0059511C">
              <w:t>203 (83.5%)</w:t>
            </w:r>
          </w:p>
        </w:tc>
        <w:tc>
          <w:tcPr>
            <w:tcW w:w="1106" w:type="dxa"/>
            <w:tcBorders>
              <w:top w:val="nil"/>
              <w:left w:val="nil"/>
              <w:bottom w:val="nil"/>
              <w:right w:val="nil"/>
            </w:tcBorders>
          </w:tcPr>
          <w:p w:rsidR="00337070" w:rsidRPr="0059511C" w:rsidRDefault="00337070" w:rsidP="009B3F7C">
            <w:pPr>
              <w:pStyle w:val="tabledata"/>
            </w:pPr>
            <w:r w:rsidRPr="0059511C">
              <w:t>222 (90.6%)</w:t>
            </w:r>
          </w:p>
        </w:tc>
        <w:tc>
          <w:tcPr>
            <w:tcW w:w="1004" w:type="dxa"/>
            <w:tcBorders>
              <w:top w:val="nil"/>
              <w:left w:val="nil"/>
              <w:bottom w:val="nil"/>
              <w:right w:val="nil"/>
            </w:tcBorders>
          </w:tcPr>
          <w:p w:rsidR="00337070" w:rsidRPr="0059511C" w:rsidRDefault="00337070" w:rsidP="009B3F7C">
            <w:pPr>
              <w:pStyle w:val="tabledata"/>
            </w:pPr>
            <w:r w:rsidRPr="0059511C">
              <w:t>212 (87.2%)</w:t>
            </w:r>
          </w:p>
        </w:tc>
        <w:tc>
          <w:tcPr>
            <w:tcW w:w="1004" w:type="dxa"/>
            <w:tcBorders>
              <w:top w:val="nil"/>
              <w:left w:val="nil"/>
              <w:bottom w:val="nil"/>
              <w:right w:val="nil"/>
            </w:tcBorders>
          </w:tcPr>
          <w:p w:rsidR="00337070" w:rsidRPr="0059511C" w:rsidRDefault="00337070" w:rsidP="009B3F7C">
            <w:pPr>
              <w:pStyle w:val="tabledata"/>
            </w:pPr>
            <w:r w:rsidRPr="0059511C">
              <w:t>224 (91.4%)</w:t>
            </w:r>
          </w:p>
        </w:tc>
        <w:tc>
          <w:tcPr>
            <w:tcW w:w="1004" w:type="dxa"/>
            <w:tcBorders>
              <w:top w:val="nil"/>
              <w:left w:val="nil"/>
              <w:bottom w:val="nil"/>
              <w:right w:val="nil"/>
            </w:tcBorders>
          </w:tcPr>
          <w:p w:rsidR="00337070" w:rsidRPr="0059511C" w:rsidRDefault="00337070" w:rsidP="009B3F7C">
            <w:pPr>
              <w:pStyle w:val="tabledata"/>
            </w:pPr>
            <w:r w:rsidRPr="0059511C">
              <w:t>187 (77%)</w:t>
            </w:r>
          </w:p>
        </w:tc>
        <w:tc>
          <w:tcPr>
            <w:tcW w:w="1004" w:type="dxa"/>
            <w:tcBorders>
              <w:top w:val="nil"/>
              <w:left w:val="nil"/>
              <w:bottom w:val="nil"/>
              <w:right w:val="nil"/>
            </w:tcBorders>
          </w:tcPr>
          <w:p w:rsidR="00337070" w:rsidRPr="0059511C" w:rsidRDefault="00337070" w:rsidP="009B3F7C">
            <w:pPr>
              <w:pStyle w:val="tabledata"/>
            </w:pPr>
            <w:r w:rsidRPr="0059511C">
              <w:t>207 (84.5%)</w:t>
            </w:r>
          </w:p>
        </w:tc>
      </w:tr>
      <w:tr w:rsidR="00337070" w:rsidRPr="005A67BD" w:rsidTr="00E32C4B">
        <w:tc>
          <w:tcPr>
            <w:tcW w:w="1843" w:type="dxa"/>
            <w:tcBorders>
              <w:top w:val="nil"/>
              <w:left w:val="nil"/>
              <w:bottom w:val="nil"/>
              <w:right w:val="nil"/>
            </w:tcBorders>
          </w:tcPr>
          <w:p w:rsidR="00337070" w:rsidRPr="0059511C" w:rsidRDefault="00337070" w:rsidP="009B3F7C">
            <w:pPr>
              <w:pStyle w:val="tabledata"/>
            </w:pPr>
            <w:r w:rsidRPr="0059511C">
              <w:t>PASI 75 response n</w:t>
            </w:r>
            <w:r w:rsidR="00717EE7" w:rsidRPr="0059511C">
              <w:t xml:space="preserve"> </w:t>
            </w:r>
            <w:r w:rsidRPr="0059511C">
              <w:t>(%)</w:t>
            </w:r>
          </w:p>
        </w:tc>
        <w:tc>
          <w:tcPr>
            <w:tcW w:w="858" w:type="dxa"/>
            <w:tcBorders>
              <w:top w:val="nil"/>
              <w:left w:val="nil"/>
              <w:bottom w:val="nil"/>
              <w:right w:val="nil"/>
            </w:tcBorders>
          </w:tcPr>
          <w:p w:rsidR="00337070" w:rsidRPr="0059511C" w:rsidRDefault="00337070" w:rsidP="009B3F7C">
            <w:pPr>
              <w:pStyle w:val="tabledata"/>
            </w:pPr>
            <w:r w:rsidRPr="0059511C">
              <w:t>11 (4.5%)</w:t>
            </w:r>
          </w:p>
        </w:tc>
        <w:tc>
          <w:tcPr>
            <w:tcW w:w="1106" w:type="dxa"/>
            <w:tcBorders>
              <w:top w:val="nil"/>
              <w:left w:val="nil"/>
              <w:bottom w:val="nil"/>
              <w:right w:val="nil"/>
            </w:tcBorders>
          </w:tcPr>
          <w:p w:rsidR="00337070" w:rsidRPr="0059511C" w:rsidRDefault="00337070" w:rsidP="009B3F7C">
            <w:pPr>
              <w:pStyle w:val="tabledata"/>
            </w:pPr>
            <w:r w:rsidRPr="0059511C">
              <w:t>174 (71.6%)</w:t>
            </w:r>
            <w:r w:rsidRPr="0059511C">
              <w:rPr>
                <w:i/>
              </w:rPr>
              <w:t>**</w:t>
            </w:r>
          </w:p>
        </w:tc>
        <w:tc>
          <w:tcPr>
            <w:tcW w:w="1106" w:type="dxa"/>
            <w:tcBorders>
              <w:top w:val="nil"/>
              <w:left w:val="nil"/>
              <w:bottom w:val="nil"/>
              <w:right w:val="nil"/>
            </w:tcBorders>
          </w:tcPr>
          <w:p w:rsidR="00337070" w:rsidRPr="0059511C" w:rsidRDefault="00337070" w:rsidP="009B3F7C">
            <w:pPr>
              <w:pStyle w:val="tabledata"/>
            </w:pPr>
            <w:r w:rsidRPr="0059511C">
              <w:t>200</w:t>
            </w:r>
            <w:r w:rsidR="00717EE7" w:rsidRPr="0059511C">
              <w:t xml:space="preserve"> </w:t>
            </w:r>
            <w:r w:rsidRPr="0059511C">
              <w:t>(81.6%)</w:t>
            </w:r>
            <w:r w:rsidRPr="0059511C">
              <w:rPr>
                <w:i/>
              </w:rPr>
              <w:t>**</w:t>
            </w:r>
          </w:p>
        </w:tc>
        <w:tc>
          <w:tcPr>
            <w:tcW w:w="1004" w:type="dxa"/>
            <w:tcBorders>
              <w:top w:val="nil"/>
              <w:left w:val="nil"/>
              <w:bottom w:val="nil"/>
              <w:right w:val="nil"/>
            </w:tcBorders>
          </w:tcPr>
          <w:p w:rsidR="00337070" w:rsidRPr="0059511C" w:rsidRDefault="00337070" w:rsidP="009B3F7C">
            <w:pPr>
              <w:pStyle w:val="tabledata"/>
            </w:pPr>
            <w:r w:rsidRPr="0059511C">
              <w:t>188 (77.4%)</w:t>
            </w:r>
          </w:p>
        </w:tc>
        <w:tc>
          <w:tcPr>
            <w:tcW w:w="1004" w:type="dxa"/>
            <w:tcBorders>
              <w:top w:val="nil"/>
              <w:left w:val="nil"/>
              <w:bottom w:val="nil"/>
              <w:right w:val="nil"/>
            </w:tcBorders>
          </w:tcPr>
          <w:p w:rsidR="00337070" w:rsidRPr="0059511C" w:rsidRDefault="00337070" w:rsidP="009B3F7C">
            <w:pPr>
              <w:pStyle w:val="tabledata"/>
            </w:pPr>
            <w:r w:rsidRPr="0059511C">
              <w:t>211 (86.1%)</w:t>
            </w:r>
          </w:p>
        </w:tc>
        <w:tc>
          <w:tcPr>
            <w:tcW w:w="1004" w:type="dxa"/>
            <w:tcBorders>
              <w:top w:val="nil"/>
              <w:left w:val="nil"/>
              <w:bottom w:val="nil"/>
              <w:right w:val="nil"/>
            </w:tcBorders>
          </w:tcPr>
          <w:p w:rsidR="00337070" w:rsidRPr="0059511C" w:rsidRDefault="00337070" w:rsidP="009B3F7C">
            <w:pPr>
              <w:pStyle w:val="tabledata"/>
            </w:pPr>
            <w:r w:rsidRPr="0059511C">
              <w:t>146 (60.1%)</w:t>
            </w:r>
          </w:p>
        </w:tc>
        <w:tc>
          <w:tcPr>
            <w:tcW w:w="1004" w:type="dxa"/>
            <w:tcBorders>
              <w:top w:val="nil"/>
              <w:left w:val="nil"/>
              <w:bottom w:val="nil"/>
              <w:right w:val="nil"/>
            </w:tcBorders>
          </w:tcPr>
          <w:p w:rsidR="00337070" w:rsidRPr="0059511C" w:rsidRDefault="00337070" w:rsidP="009B3F7C">
            <w:pPr>
              <w:pStyle w:val="tabledata"/>
            </w:pPr>
            <w:r w:rsidRPr="0059511C">
              <w:t>182 (74.3%)</w:t>
            </w:r>
          </w:p>
        </w:tc>
      </w:tr>
      <w:tr w:rsidR="00717EE7" w:rsidRPr="005A67BD" w:rsidTr="00E32C4B">
        <w:tc>
          <w:tcPr>
            <w:tcW w:w="1843" w:type="dxa"/>
            <w:tcBorders>
              <w:top w:val="nil"/>
              <w:left w:val="nil"/>
              <w:bottom w:val="nil"/>
              <w:right w:val="nil"/>
            </w:tcBorders>
          </w:tcPr>
          <w:p w:rsidR="00717EE7" w:rsidRPr="0059511C" w:rsidRDefault="00717EE7" w:rsidP="009B3F7C">
            <w:pPr>
              <w:pStyle w:val="tabledata"/>
            </w:pPr>
            <w:r w:rsidRPr="0059511C">
              <w:t>PASI 90 response n (%)</w:t>
            </w:r>
          </w:p>
        </w:tc>
        <w:tc>
          <w:tcPr>
            <w:tcW w:w="858" w:type="dxa"/>
            <w:tcBorders>
              <w:top w:val="nil"/>
              <w:left w:val="nil"/>
              <w:bottom w:val="nil"/>
              <w:right w:val="nil"/>
            </w:tcBorders>
          </w:tcPr>
          <w:p w:rsidR="00717EE7" w:rsidRPr="0059511C" w:rsidRDefault="00717EE7" w:rsidP="009B3F7C">
            <w:pPr>
              <w:pStyle w:val="tabledata"/>
            </w:pPr>
            <w:r w:rsidRPr="0059511C">
              <w:t>3 (1.2%)</w:t>
            </w:r>
          </w:p>
        </w:tc>
        <w:tc>
          <w:tcPr>
            <w:tcW w:w="1106" w:type="dxa"/>
            <w:tcBorders>
              <w:top w:val="nil"/>
              <w:left w:val="nil"/>
              <w:bottom w:val="nil"/>
              <w:right w:val="nil"/>
            </w:tcBorders>
          </w:tcPr>
          <w:p w:rsidR="00717EE7" w:rsidRPr="0059511C" w:rsidRDefault="00717EE7" w:rsidP="009B3F7C">
            <w:pPr>
              <w:pStyle w:val="tabledata"/>
            </w:pPr>
            <w:r w:rsidRPr="0059511C">
              <w:t>95 (39.1%)</w:t>
            </w:r>
            <w:r w:rsidRPr="0059511C">
              <w:rPr>
                <w:i/>
              </w:rPr>
              <w:t>**</w:t>
            </w:r>
          </w:p>
        </w:tc>
        <w:tc>
          <w:tcPr>
            <w:tcW w:w="1106" w:type="dxa"/>
            <w:tcBorders>
              <w:top w:val="nil"/>
              <w:left w:val="nil"/>
              <w:bottom w:val="nil"/>
              <w:right w:val="nil"/>
            </w:tcBorders>
          </w:tcPr>
          <w:p w:rsidR="00717EE7" w:rsidRPr="0059511C" w:rsidRDefault="00717EE7" w:rsidP="009B3F7C">
            <w:pPr>
              <w:pStyle w:val="tabledata"/>
            </w:pPr>
            <w:r w:rsidRPr="0059511C">
              <w:t>145 (59.2%)</w:t>
            </w:r>
            <w:r w:rsidRPr="0059511C">
              <w:rPr>
                <w:i/>
              </w:rPr>
              <w:t>**</w:t>
            </w:r>
          </w:p>
        </w:tc>
        <w:tc>
          <w:tcPr>
            <w:tcW w:w="1004" w:type="dxa"/>
            <w:tcBorders>
              <w:top w:val="nil"/>
              <w:left w:val="nil"/>
              <w:bottom w:val="nil"/>
              <w:right w:val="nil"/>
            </w:tcBorders>
          </w:tcPr>
          <w:p w:rsidR="00717EE7" w:rsidRPr="0059511C" w:rsidRDefault="00717EE7" w:rsidP="009B3F7C">
            <w:pPr>
              <w:pStyle w:val="tabledata"/>
            </w:pPr>
            <w:r w:rsidRPr="0059511C">
              <w:t>130 (53.5%)</w:t>
            </w:r>
          </w:p>
        </w:tc>
        <w:tc>
          <w:tcPr>
            <w:tcW w:w="1004" w:type="dxa"/>
            <w:tcBorders>
              <w:top w:val="nil"/>
              <w:left w:val="nil"/>
              <w:bottom w:val="nil"/>
              <w:right w:val="nil"/>
            </w:tcBorders>
          </w:tcPr>
          <w:p w:rsidR="00717EE7" w:rsidRPr="0059511C" w:rsidRDefault="00717EE7" w:rsidP="009B3F7C">
            <w:pPr>
              <w:pStyle w:val="tabledata"/>
            </w:pPr>
            <w:r w:rsidRPr="0059511C">
              <w:t>171 (69.8%)</w:t>
            </w:r>
          </w:p>
        </w:tc>
        <w:tc>
          <w:tcPr>
            <w:tcW w:w="1004" w:type="dxa"/>
            <w:tcBorders>
              <w:top w:val="nil"/>
              <w:left w:val="nil"/>
              <w:bottom w:val="nil"/>
              <w:right w:val="nil"/>
            </w:tcBorders>
          </w:tcPr>
          <w:p w:rsidR="00717EE7" w:rsidRPr="0059511C" w:rsidRDefault="00717EE7" w:rsidP="009B3F7C">
            <w:pPr>
              <w:pStyle w:val="tabledata"/>
            </w:pPr>
            <w:r w:rsidRPr="0059511C">
              <w:t>88 (36.2%)</w:t>
            </w:r>
          </w:p>
        </w:tc>
        <w:tc>
          <w:tcPr>
            <w:tcW w:w="1004" w:type="dxa"/>
            <w:tcBorders>
              <w:top w:val="nil"/>
              <w:left w:val="nil"/>
              <w:bottom w:val="nil"/>
              <w:right w:val="nil"/>
            </w:tcBorders>
          </w:tcPr>
          <w:p w:rsidR="00717EE7" w:rsidRPr="0059511C" w:rsidRDefault="00717EE7" w:rsidP="009B3F7C">
            <w:pPr>
              <w:pStyle w:val="tabledata"/>
            </w:pPr>
            <w:r w:rsidRPr="0059511C">
              <w:t>147 (60.0%)</w:t>
            </w:r>
          </w:p>
        </w:tc>
      </w:tr>
      <w:tr w:rsidR="00717EE7" w:rsidRPr="005A67BD" w:rsidTr="00E32C4B">
        <w:tc>
          <w:tcPr>
            <w:tcW w:w="1843" w:type="dxa"/>
            <w:tcBorders>
              <w:top w:val="nil"/>
              <w:left w:val="nil"/>
              <w:bottom w:val="nil"/>
              <w:right w:val="nil"/>
            </w:tcBorders>
          </w:tcPr>
          <w:p w:rsidR="00717EE7" w:rsidRPr="0059511C" w:rsidRDefault="00717EE7" w:rsidP="009B3F7C">
            <w:pPr>
              <w:pStyle w:val="tabledata"/>
            </w:pPr>
            <w:r w:rsidRPr="0059511C">
              <w:t>PASI 100 response n (%)</w:t>
            </w:r>
          </w:p>
        </w:tc>
        <w:tc>
          <w:tcPr>
            <w:tcW w:w="858" w:type="dxa"/>
            <w:tcBorders>
              <w:top w:val="nil"/>
              <w:left w:val="nil"/>
              <w:bottom w:val="nil"/>
              <w:right w:val="nil"/>
            </w:tcBorders>
          </w:tcPr>
          <w:p w:rsidR="00717EE7" w:rsidRPr="0059511C" w:rsidRDefault="00717EE7" w:rsidP="009B3F7C">
            <w:pPr>
              <w:pStyle w:val="tabledata"/>
            </w:pPr>
            <w:r w:rsidRPr="0059511C">
              <w:t>2 (0.8%)</w:t>
            </w:r>
          </w:p>
        </w:tc>
        <w:tc>
          <w:tcPr>
            <w:tcW w:w="1106" w:type="dxa"/>
            <w:tcBorders>
              <w:top w:val="nil"/>
              <w:left w:val="nil"/>
              <w:bottom w:val="nil"/>
              <w:right w:val="nil"/>
            </w:tcBorders>
          </w:tcPr>
          <w:p w:rsidR="00717EE7" w:rsidRPr="0059511C" w:rsidRDefault="00717EE7" w:rsidP="009B3F7C">
            <w:pPr>
              <w:pStyle w:val="tabledata"/>
            </w:pPr>
            <w:r w:rsidRPr="0059511C">
              <w:t>31 (12.8%)</w:t>
            </w:r>
          </w:p>
        </w:tc>
        <w:tc>
          <w:tcPr>
            <w:tcW w:w="1106" w:type="dxa"/>
            <w:tcBorders>
              <w:top w:val="nil"/>
              <w:left w:val="nil"/>
              <w:bottom w:val="nil"/>
              <w:right w:val="nil"/>
            </w:tcBorders>
          </w:tcPr>
          <w:p w:rsidR="00717EE7" w:rsidRPr="0059511C" w:rsidRDefault="00717EE7" w:rsidP="009B3F7C">
            <w:pPr>
              <w:pStyle w:val="tabledata"/>
            </w:pPr>
            <w:r w:rsidRPr="0059511C">
              <w:t>70 (28.6%)</w:t>
            </w:r>
          </w:p>
        </w:tc>
        <w:tc>
          <w:tcPr>
            <w:tcW w:w="1004" w:type="dxa"/>
            <w:tcBorders>
              <w:top w:val="nil"/>
              <w:left w:val="nil"/>
              <w:bottom w:val="nil"/>
              <w:right w:val="nil"/>
            </w:tcBorders>
          </w:tcPr>
          <w:p w:rsidR="00717EE7" w:rsidRPr="0059511C" w:rsidRDefault="00717EE7" w:rsidP="009B3F7C">
            <w:pPr>
              <w:pStyle w:val="tabledata"/>
            </w:pPr>
            <w:r w:rsidRPr="0059511C">
              <w:t>51 (21.0%)</w:t>
            </w:r>
          </w:p>
        </w:tc>
        <w:tc>
          <w:tcPr>
            <w:tcW w:w="1004" w:type="dxa"/>
            <w:tcBorders>
              <w:top w:val="nil"/>
              <w:left w:val="nil"/>
              <w:bottom w:val="nil"/>
              <w:right w:val="nil"/>
            </w:tcBorders>
          </w:tcPr>
          <w:p w:rsidR="00717EE7" w:rsidRPr="0059511C" w:rsidRDefault="00717EE7" w:rsidP="009B3F7C">
            <w:pPr>
              <w:pStyle w:val="tabledata"/>
            </w:pPr>
            <w:r w:rsidRPr="0059511C">
              <w:t>102 (41.6%)</w:t>
            </w:r>
          </w:p>
        </w:tc>
        <w:tc>
          <w:tcPr>
            <w:tcW w:w="1004" w:type="dxa"/>
            <w:tcBorders>
              <w:top w:val="nil"/>
              <w:left w:val="nil"/>
              <w:bottom w:val="nil"/>
              <w:right w:val="nil"/>
            </w:tcBorders>
          </w:tcPr>
          <w:p w:rsidR="00717EE7" w:rsidRPr="0059511C" w:rsidRDefault="00717EE7" w:rsidP="009B3F7C">
            <w:pPr>
              <w:pStyle w:val="tabledata"/>
            </w:pPr>
            <w:r w:rsidRPr="0059511C">
              <w:t>49 (20.2%)</w:t>
            </w:r>
          </w:p>
        </w:tc>
        <w:tc>
          <w:tcPr>
            <w:tcW w:w="1004" w:type="dxa"/>
            <w:tcBorders>
              <w:top w:val="nil"/>
              <w:left w:val="nil"/>
              <w:bottom w:val="nil"/>
              <w:right w:val="nil"/>
            </w:tcBorders>
          </w:tcPr>
          <w:p w:rsidR="00717EE7" w:rsidRPr="0059511C" w:rsidRDefault="00717EE7" w:rsidP="009B3F7C">
            <w:pPr>
              <w:pStyle w:val="tabledata"/>
            </w:pPr>
            <w:r w:rsidRPr="0059511C">
              <w:t>96 (39.2%)</w:t>
            </w:r>
          </w:p>
        </w:tc>
      </w:tr>
      <w:tr w:rsidR="00717EE7" w:rsidRPr="005A67BD" w:rsidTr="00E32C4B">
        <w:tc>
          <w:tcPr>
            <w:tcW w:w="1843" w:type="dxa"/>
            <w:tcBorders>
              <w:top w:val="nil"/>
              <w:left w:val="nil"/>
              <w:bottom w:val="single" w:sz="4" w:space="0" w:color="auto"/>
              <w:right w:val="nil"/>
            </w:tcBorders>
          </w:tcPr>
          <w:p w:rsidR="00717EE7" w:rsidRPr="0059511C" w:rsidRDefault="00717EE7" w:rsidP="009B3F7C">
            <w:pPr>
              <w:pStyle w:val="tabledata"/>
            </w:pPr>
            <w:r w:rsidRPr="0059511C">
              <w:t>IGA mod 2011 “clear” or “almost clear” response n (%)</w:t>
            </w:r>
          </w:p>
        </w:tc>
        <w:tc>
          <w:tcPr>
            <w:tcW w:w="858" w:type="dxa"/>
            <w:tcBorders>
              <w:top w:val="nil"/>
              <w:left w:val="nil"/>
              <w:bottom w:val="single" w:sz="4" w:space="0" w:color="auto"/>
              <w:right w:val="nil"/>
            </w:tcBorders>
          </w:tcPr>
          <w:p w:rsidR="00717EE7" w:rsidRPr="0059511C" w:rsidRDefault="00717EE7" w:rsidP="009B3F7C">
            <w:pPr>
              <w:pStyle w:val="tabledata"/>
            </w:pPr>
            <w:r w:rsidRPr="0059511C">
              <w:t>6 (2.40%)</w:t>
            </w:r>
          </w:p>
        </w:tc>
        <w:tc>
          <w:tcPr>
            <w:tcW w:w="1106" w:type="dxa"/>
            <w:tcBorders>
              <w:top w:val="nil"/>
              <w:left w:val="nil"/>
              <w:bottom w:val="single" w:sz="4" w:space="0" w:color="auto"/>
              <w:right w:val="nil"/>
            </w:tcBorders>
          </w:tcPr>
          <w:p w:rsidR="00717EE7" w:rsidRPr="0059511C" w:rsidRDefault="00717EE7" w:rsidP="009B3F7C">
            <w:pPr>
              <w:pStyle w:val="tabledata"/>
            </w:pPr>
            <w:r w:rsidRPr="0059511C">
              <w:t>125 (51.2%)</w:t>
            </w:r>
            <w:r w:rsidRPr="0059511C">
              <w:rPr>
                <w:i/>
              </w:rPr>
              <w:t>**</w:t>
            </w:r>
          </w:p>
        </w:tc>
        <w:tc>
          <w:tcPr>
            <w:tcW w:w="1106" w:type="dxa"/>
            <w:tcBorders>
              <w:top w:val="nil"/>
              <w:left w:val="nil"/>
              <w:bottom w:val="single" w:sz="4" w:space="0" w:color="auto"/>
              <w:right w:val="nil"/>
            </w:tcBorders>
          </w:tcPr>
          <w:p w:rsidR="00717EE7" w:rsidRPr="0059511C" w:rsidRDefault="00717EE7" w:rsidP="009B3F7C">
            <w:pPr>
              <w:pStyle w:val="tabledata"/>
            </w:pPr>
            <w:r w:rsidRPr="0059511C">
              <w:t>160 (65.3%)</w:t>
            </w:r>
            <w:r w:rsidRPr="0059511C">
              <w:rPr>
                <w:i/>
              </w:rPr>
              <w:t>**</w:t>
            </w:r>
          </w:p>
        </w:tc>
        <w:tc>
          <w:tcPr>
            <w:tcW w:w="1004" w:type="dxa"/>
            <w:tcBorders>
              <w:top w:val="nil"/>
              <w:left w:val="nil"/>
              <w:bottom w:val="single" w:sz="4" w:space="0" w:color="auto"/>
              <w:right w:val="nil"/>
            </w:tcBorders>
          </w:tcPr>
          <w:p w:rsidR="00717EE7" w:rsidRPr="0059511C" w:rsidRDefault="00717EE7" w:rsidP="009B3F7C">
            <w:pPr>
              <w:pStyle w:val="tabledata"/>
            </w:pPr>
            <w:r w:rsidRPr="0059511C">
              <w:t>142 (58.2%)</w:t>
            </w:r>
          </w:p>
        </w:tc>
        <w:tc>
          <w:tcPr>
            <w:tcW w:w="1004" w:type="dxa"/>
            <w:tcBorders>
              <w:top w:val="nil"/>
              <w:left w:val="nil"/>
              <w:bottom w:val="single" w:sz="4" w:space="0" w:color="auto"/>
              <w:right w:val="nil"/>
            </w:tcBorders>
          </w:tcPr>
          <w:p w:rsidR="00717EE7" w:rsidRPr="0059511C" w:rsidRDefault="00717EE7" w:rsidP="009B3F7C">
            <w:pPr>
              <w:pStyle w:val="tabledata"/>
            </w:pPr>
            <w:r w:rsidRPr="0059511C">
              <w:t>180 (73.5%)</w:t>
            </w:r>
          </w:p>
        </w:tc>
        <w:tc>
          <w:tcPr>
            <w:tcW w:w="1004" w:type="dxa"/>
            <w:tcBorders>
              <w:top w:val="nil"/>
              <w:left w:val="nil"/>
              <w:bottom w:val="single" w:sz="4" w:space="0" w:color="auto"/>
              <w:right w:val="nil"/>
            </w:tcBorders>
          </w:tcPr>
          <w:p w:rsidR="00717EE7" w:rsidRPr="0059511C" w:rsidRDefault="00717EE7" w:rsidP="009B3F7C">
            <w:pPr>
              <w:pStyle w:val="tabledata"/>
            </w:pPr>
            <w:r w:rsidRPr="0059511C">
              <w:t>101 (41.4%)</w:t>
            </w:r>
          </w:p>
        </w:tc>
        <w:tc>
          <w:tcPr>
            <w:tcW w:w="1004" w:type="dxa"/>
            <w:tcBorders>
              <w:top w:val="nil"/>
              <w:left w:val="nil"/>
              <w:bottom w:val="single" w:sz="4" w:space="0" w:color="auto"/>
              <w:right w:val="nil"/>
            </w:tcBorders>
          </w:tcPr>
          <w:p w:rsidR="00717EE7" w:rsidRPr="0059511C" w:rsidRDefault="00717EE7" w:rsidP="009B3F7C">
            <w:pPr>
              <w:pStyle w:val="tabledata"/>
            </w:pPr>
            <w:r w:rsidRPr="0059511C">
              <w:t>148 (60.4%)</w:t>
            </w:r>
          </w:p>
        </w:tc>
      </w:tr>
      <w:tr w:rsidR="000F4751" w:rsidRPr="005A67BD" w:rsidTr="00E32C4B">
        <w:tc>
          <w:tcPr>
            <w:tcW w:w="4913" w:type="dxa"/>
            <w:gridSpan w:val="4"/>
            <w:tcBorders>
              <w:top w:val="single" w:sz="4" w:space="0" w:color="auto"/>
              <w:left w:val="nil"/>
              <w:bottom w:val="nil"/>
              <w:right w:val="nil"/>
            </w:tcBorders>
          </w:tcPr>
          <w:p w:rsidR="000F4751" w:rsidRPr="0059511C" w:rsidRDefault="005A67BD" w:rsidP="009B3F7C">
            <w:pPr>
              <w:pStyle w:val="tabledata"/>
            </w:pPr>
            <w:r>
              <w:t>FEATURE</w:t>
            </w:r>
          </w:p>
        </w:tc>
        <w:tc>
          <w:tcPr>
            <w:tcW w:w="1004" w:type="dxa"/>
            <w:tcBorders>
              <w:top w:val="single" w:sz="4" w:space="0" w:color="auto"/>
              <w:left w:val="nil"/>
              <w:bottom w:val="nil"/>
              <w:right w:val="nil"/>
            </w:tcBorders>
          </w:tcPr>
          <w:p w:rsidR="000F4751" w:rsidRPr="003708B6" w:rsidRDefault="000F4751" w:rsidP="009B3F7C">
            <w:pPr>
              <w:pStyle w:val="tabledata"/>
            </w:pPr>
          </w:p>
        </w:tc>
        <w:tc>
          <w:tcPr>
            <w:tcW w:w="1004" w:type="dxa"/>
            <w:tcBorders>
              <w:top w:val="single" w:sz="4" w:space="0" w:color="auto"/>
              <w:left w:val="nil"/>
              <w:bottom w:val="nil"/>
              <w:right w:val="nil"/>
            </w:tcBorders>
          </w:tcPr>
          <w:p w:rsidR="000F4751" w:rsidRPr="0059511C" w:rsidRDefault="000F4751" w:rsidP="009B3F7C">
            <w:pPr>
              <w:pStyle w:val="tabledata"/>
            </w:pPr>
          </w:p>
        </w:tc>
        <w:tc>
          <w:tcPr>
            <w:tcW w:w="1004" w:type="dxa"/>
            <w:tcBorders>
              <w:top w:val="single" w:sz="4" w:space="0" w:color="auto"/>
              <w:left w:val="nil"/>
              <w:bottom w:val="nil"/>
              <w:right w:val="nil"/>
            </w:tcBorders>
          </w:tcPr>
          <w:p w:rsidR="000F4751" w:rsidRPr="0059511C" w:rsidRDefault="000F4751" w:rsidP="009B3F7C">
            <w:pPr>
              <w:pStyle w:val="tabledata"/>
            </w:pPr>
          </w:p>
        </w:tc>
        <w:tc>
          <w:tcPr>
            <w:tcW w:w="1004" w:type="dxa"/>
            <w:tcBorders>
              <w:top w:val="single" w:sz="4" w:space="0" w:color="auto"/>
              <w:left w:val="nil"/>
              <w:bottom w:val="nil"/>
              <w:right w:val="nil"/>
            </w:tcBorders>
          </w:tcPr>
          <w:p w:rsidR="000F4751" w:rsidRPr="0059511C" w:rsidRDefault="000F4751" w:rsidP="009B3F7C">
            <w:pPr>
              <w:pStyle w:val="tabledata"/>
            </w:pPr>
          </w:p>
        </w:tc>
      </w:tr>
      <w:tr w:rsidR="007761AF" w:rsidRPr="005A67BD" w:rsidTr="00E32C4B">
        <w:tc>
          <w:tcPr>
            <w:tcW w:w="1843" w:type="dxa"/>
            <w:tcBorders>
              <w:top w:val="nil"/>
              <w:left w:val="nil"/>
              <w:bottom w:val="nil"/>
              <w:right w:val="nil"/>
            </w:tcBorders>
          </w:tcPr>
          <w:p w:rsidR="007761AF" w:rsidRPr="0059511C" w:rsidRDefault="007761AF" w:rsidP="009B3F7C">
            <w:pPr>
              <w:pStyle w:val="tabledata"/>
            </w:pPr>
            <w:r w:rsidRPr="0059511C">
              <w:t>Number of patients</w:t>
            </w:r>
          </w:p>
        </w:tc>
        <w:tc>
          <w:tcPr>
            <w:tcW w:w="858" w:type="dxa"/>
            <w:tcBorders>
              <w:top w:val="nil"/>
              <w:left w:val="nil"/>
              <w:bottom w:val="nil"/>
              <w:right w:val="nil"/>
            </w:tcBorders>
          </w:tcPr>
          <w:p w:rsidR="007761AF" w:rsidRPr="0059511C" w:rsidRDefault="007761AF" w:rsidP="009B3F7C">
            <w:pPr>
              <w:pStyle w:val="tabledata"/>
            </w:pPr>
            <w:r w:rsidRPr="0059511C">
              <w:t>59</w:t>
            </w:r>
          </w:p>
        </w:tc>
        <w:tc>
          <w:tcPr>
            <w:tcW w:w="1106" w:type="dxa"/>
            <w:tcBorders>
              <w:top w:val="nil"/>
              <w:left w:val="nil"/>
              <w:bottom w:val="nil"/>
              <w:right w:val="nil"/>
            </w:tcBorders>
          </w:tcPr>
          <w:p w:rsidR="007761AF" w:rsidRPr="0059511C" w:rsidRDefault="007761AF" w:rsidP="009B3F7C">
            <w:pPr>
              <w:pStyle w:val="tabledata"/>
            </w:pPr>
            <w:r w:rsidRPr="0059511C">
              <w:t>59</w:t>
            </w:r>
          </w:p>
        </w:tc>
        <w:tc>
          <w:tcPr>
            <w:tcW w:w="1106" w:type="dxa"/>
            <w:tcBorders>
              <w:top w:val="nil"/>
              <w:left w:val="nil"/>
              <w:bottom w:val="nil"/>
              <w:right w:val="nil"/>
            </w:tcBorders>
          </w:tcPr>
          <w:p w:rsidR="007761AF" w:rsidRPr="0059511C" w:rsidRDefault="007761AF" w:rsidP="009B3F7C">
            <w:pPr>
              <w:pStyle w:val="tabledata"/>
            </w:pPr>
            <w:r w:rsidRPr="0059511C">
              <w:t>58</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spacing w:before="57" w:after="57"/>
            </w:pPr>
            <w:r w:rsidRPr="0059511C">
              <w:t>-</w:t>
            </w:r>
          </w:p>
        </w:tc>
        <w:tc>
          <w:tcPr>
            <w:tcW w:w="1004" w:type="dxa"/>
            <w:tcBorders>
              <w:top w:val="nil"/>
              <w:left w:val="nil"/>
              <w:bottom w:val="nil"/>
              <w:right w:val="nil"/>
            </w:tcBorders>
          </w:tcPr>
          <w:p w:rsidR="007761AF" w:rsidRPr="0059511C" w:rsidRDefault="007761AF" w:rsidP="009B3F7C">
            <w:pPr>
              <w:pStyle w:val="tabledata"/>
              <w:spacing w:before="57" w:after="57"/>
            </w:pPr>
            <w:r w:rsidRPr="0059511C">
              <w:t>-</w:t>
            </w:r>
          </w:p>
        </w:tc>
        <w:tc>
          <w:tcPr>
            <w:tcW w:w="1004" w:type="dxa"/>
            <w:tcBorders>
              <w:top w:val="nil"/>
              <w:left w:val="nil"/>
              <w:bottom w:val="nil"/>
              <w:right w:val="nil"/>
            </w:tcBorders>
          </w:tcPr>
          <w:p w:rsidR="007761AF" w:rsidRPr="0059511C" w:rsidRDefault="007761AF" w:rsidP="009B3F7C">
            <w:pPr>
              <w:pStyle w:val="tabledata"/>
              <w:spacing w:before="57" w:after="57"/>
            </w:pPr>
            <w:r w:rsidRPr="0059511C">
              <w:t>-</w:t>
            </w:r>
          </w:p>
        </w:tc>
      </w:tr>
      <w:tr w:rsidR="007761AF" w:rsidRPr="005A67BD" w:rsidTr="00E32C4B">
        <w:tc>
          <w:tcPr>
            <w:tcW w:w="1843" w:type="dxa"/>
            <w:tcBorders>
              <w:top w:val="nil"/>
              <w:left w:val="nil"/>
              <w:bottom w:val="nil"/>
              <w:right w:val="nil"/>
            </w:tcBorders>
          </w:tcPr>
          <w:p w:rsidR="007761AF" w:rsidRPr="0059511C" w:rsidRDefault="007761AF" w:rsidP="009B3F7C">
            <w:pPr>
              <w:pStyle w:val="tabledata"/>
            </w:pPr>
            <w:r w:rsidRPr="0059511C">
              <w:t>PASI 50 response n (%)</w:t>
            </w:r>
          </w:p>
        </w:tc>
        <w:tc>
          <w:tcPr>
            <w:tcW w:w="858" w:type="dxa"/>
            <w:tcBorders>
              <w:top w:val="nil"/>
              <w:left w:val="nil"/>
              <w:bottom w:val="nil"/>
              <w:right w:val="nil"/>
            </w:tcBorders>
          </w:tcPr>
          <w:p w:rsidR="007761AF" w:rsidRPr="0059511C" w:rsidRDefault="007761AF" w:rsidP="009B3F7C">
            <w:pPr>
              <w:pStyle w:val="tabledata"/>
            </w:pPr>
            <w:r w:rsidRPr="0059511C">
              <w:t>3 (5.1%)</w:t>
            </w:r>
          </w:p>
        </w:tc>
        <w:tc>
          <w:tcPr>
            <w:tcW w:w="1106" w:type="dxa"/>
            <w:tcBorders>
              <w:top w:val="nil"/>
              <w:left w:val="nil"/>
              <w:bottom w:val="nil"/>
              <w:right w:val="nil"/>
            </w:tcBorders>
          </w:tcPr>
          <w:p w:rsidR="007761AF" w:rsidRPr="0059511C" w:rsidRDefault="007761AF" w:rsidP="009B3F7C">
            <w:pPr>
              <w:pStyle w:val="tabledata"/>
            </w:pPr>
            <w:r w:rsidRPr="0059511C">
              <w:t>51 (86.4%)</w:t>
            </w:r>
          </w:p>
        </w:tc>
        <w:tc>
          <w:tcPr>
            <w:tcW w:w="1106" w:type="dxa"/>
            <w:tcBorders>
              <w:top w:val="nil"/>
              <w:left w:val="nil"/>
              <w:bottom w:val="nil"/>
              <w:right w:val="nil"/>
            </w:tcBorders>
          </w:tcPr>
          <w:p w:rsidR="007761AF" w:rsidRPr="0059511C" w:rsidRDefault="007761AF" w:rsidP="009B3F7C">
            <w:pPr>
              <w:pStyle w:val="tabledata"/>
            </w:pPr>
            <w:r w:rsidRPr="0059511C">
              <w:t>51 (87.9%)</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r>
      <w:tr w:rsidR="007761AF" w:rsidRPr="005A67BD" w:rsidTr="00E32C4B">
        <w:tc>
          <w:tcPr>
            <w:tcW w:w="1843" w:type="dxa"/>
            <w:tcBorders>
              <w:top w:val="nil"/>
              <w:left w:val="nil"/>
              <w:bottom w:val="nil"/>
              <w:right w:val="nil"/>
            </w:tcBorders>
          </w:tcPr>
          <w:p w:rsidR="007761AF" w:rsidRPr="0059511C" w:rsidRDefault="007761AF" w:rsidP="009B3F7C">
            <w:pPr>
              <w:pStyle w:val="tabledata"/>
            </w:pPr>
            <w:r w:rsidRPr="0059511C">
              <w:t>PASI 75 response n (%)</w:t>
            </w:r>
          </w:p>
        </w:tc>
        <w:tc>
          <w:tcPr>
            <w:tcW w:w="858" w:type="dxa"/>
            <w:tcBorders>
              <w:top w:val="nil"/>
              <w:left w:val="nil"/>
              <w:bottom w:val="nil"/>
              <w:right w:val="nil"/>
            </w:tcBorders>
          </w:tcPr>
          <w:p w:rsidR="007761AF" w:rsidRPr="0059511C" w:rsidRDefault="007761AF" w:rsidP="009B3F7C">
            <w:pPr>
              <w:pStyle w:val="tabledata"/>
            </w:pPr>
            <w:r w:rsidRPr="0059511C">
              <w:t>0 (0.0%)</w:t>
            </w:r>
          </w:p>
        </w:tc>
        <w:tc>
          <w:tcPr>
            <w:tcW w:w="1106" w:type="dxa"/>
            <w:tcBorders>
              <w:top w:val="nil"/>
              <w:left w:val="nil"/>
              <w:bottom w:val="nil"/>
              <w:right w:val="nil"/>
            </w:tcBorders>
          </w:tcPr>
          <w:p w:rsidR="007761AF" w:rsidRPr="0059511C" w:rsidRDefault="007761AF" w:rsidP="009B3F7C">
            <w:pPr>
              <w:pStyle w:val="tabledata"/>
            </w:pPr>
            <w:r w:rsidRPr="0059511C">
              <w:t>41 (69.5%)</w:t>
            </w:r>
            <w:r w:rsidRPr="0059511C">
              <w:rPr>
                <w:i/>
              </w:rPr>
              <w:t>**</w:t>
            </w:r>
          </w:p>
        </w:tc>
        <w:tc>
          <w:tcPr>
            <w:tcW w:w="1106" w:type="dxa"/>
            <w:tcBorders>
              <w:top w:val="nil"/>
              <w:left w:val="nil"/>
              <w:bottom w:val="nil"/>
              <w:right w:val="nil"/>
            </w:tcBorders>
          </w:tcPr>
          <w:p w:rsidR="007761AF" w:rsidRPr="0059511C" w:rsidRDefault="007761AF" w:rsidP="009B3F7C">
            <w:pPr>
              <w:pStyle w:val="tabledata"/>
            </w:pPr>
            <w:r w:rsidRPr="0059511C">
              <w:t>44 (75.9%)</w:t>
            </w:r>
            <w:r w:rsidRPr="0059511C">
              <w:rPr>
                <w:i/>
              </w:rPr>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r>
      <w:tr w:rsidR="007761AF" w:rsidRPr="005A67BD" w:rsidTr="00E32C4B">
        <w:tc>
          <w:tcPr>
            <w:tcW w:w="1843" w:type="dxa"/>
            <w:tcBorders>
              <w:top w:val="nil"/>
              <w:left w:val="nil"/>
              <w:bottom w:val="nil"/>
              <w:right w:val="nil"/>
            </w:tcBorders>
          </w:tcPr>
          <w:p w:rsidR="007761AF" w:rsidRPr="0059511C" w:rsidRDefault="007761AF" w:rsidP="009B3F7C">
            <w:pPr>
              <w:pStyle w:val="tabledata"/>
            </w:pPr>
            <w:r w:rsidRPr="0059511C">
              <w:t>PASI 90 response n (%)</w:t>
            </w:r>
          </w:p>
        </w:tc>
        <w:tc>
          <w:tcPr>
            <w:tcW w:w="858" w:type="dxa"/>
            <w:tcBorders>
              <w:top w:val="nil"/>
              <w:left w:val="nil"/>
              <w:bottom w:val="nil"/>
              <w:right w:val="nil"/>
            </w:tcBorders>
          </w:tcPr>
          <w:p w:rsidR="007761AF" w:rsidRPr="0059511C" w:rsidRDefault="007761AF" w:rsidP="009B3F7C">
            <w:pPr>
              <w:pStyle w:val="tabledata"/>
            </w:pPr>
            <w:r w:rsidRPr="0059511C">
              <w:t>0 (0.0%)</w:t>
            </w:r>
          </w:p>
        </w:tc>
        <w:tc>
          <w:tcPr>
            <w:tcW w:w="1106" w:type="dxa"/>
            <w:tcBorders>
              <w:top w:val="nil"/>
              <w:left w:val="nil"/>
              <w:bottom w:val="nil"/>
              <w:right w:val="nil"/>
            </w:tcBorders>
          </w:tcPr>
          <w:p w:rsidR="007761AF" w:rsidRPr="0059511C" w:rsidRDefault="007761AF" w:rsidP="009B3F7C">
            <w:pPr>
              <w:pStyle w:val="tabledata"/>
            </w:pPr>
            <w:r w:rsidRPr="0059511C">
              <w:t>27 (45.8%)</w:t>
            </w:r>
          </w:p>
        </w:tc>
        <w:tc>
          <w:tcPr>
            <w:tcW w:w="1106" w:type="dxa"/>
            <w:tcBorders>
              <w:top w:val="nil"/>
              <w:left w:val="nil"/>
              <w:bottom w:val="nil"/>
              <w:right w:val="nil"/>
            </w:tcBorders>
          </w:tcPr>
          <w:p w:rsidR="007761AF" w:rsidRPr="0059511C" w:rsidRDefault="007761AF" w:rsidP="009B3F7C">
            <w:pPr>
              <w:pStyle w:val="tabledata"/>
            </w:pPr>
            <w:r w:rsidRPr="0059511C">
              <w:t>35 (60.3%)</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r>
      <w:tr w:rsidR="007761AF" w:rsidRPr="005A67BD" w:rsidTr="00E32C4B">
        <w:tc>
          <w:tcPr>
            <w:tcW w:w="1843" w:type="dxa"/>
            <w:tcBorders>
              <w:top w:val="nil"/>
              <w:left w:val="nil"/>
              <w:bottom w:val="nil"/>
              <w:right w:val="nil"/>
            </w:tcBorders>
          </w:tcPr>
          <w:p w:rsidR="007761AF" w:rsidRPr="0059511C" w:rsidRDefault="007761AF" w:rsidP="009B3F7C">
            <w:pPr>
              <w:pStyle w:val="tabledata"/>
            </w:pPr>
            <w:r w:rsidRPr="0059511C">
              <w:t>PASI 100 response n (%)</w:t>
            </w:r>
          </w:p>
        </w:tc>
        <w:tc>
          <w:tcPr>
            <w:tcW w:w="858" w:type="dxa"/>
            <w:tcBorders>
              <w:top w:val="nil"/>
              <w:left w:val="nil"/>
              <w:bottom w:val="nil"/>
              <w:right w:val="nil"/>
            </w:tcBorders>
          </w:tcPr>
          <w:p w:rsidR="007761AF" w:rsidRPr="0059511C" w:rsidRDefault="007761AF" w:rsidP="009B3F7C">
            <w:pPr>
              <w:pStyle w:val="tabledata"/>
            </w:pPr>
            <w:r w:rsidRPr="0059511C">
              <w:t>0 (0.0%)</w:t>
            </w:r>
          </w:p>
        </w:tc>
        <w:tc>
          <w:tcPr>
            <w:tcW w:w="1106" w:type="dxa"/>
            <w:tcBorders>
              <w:top w:val="nil"/>
              <w:left w:val="nil"/>
              <w:bottom w:val="nil"/>
              <w:right w:val="nil"/>
            </w:tcBorders>
          </w:tcPr>
          <w:p w:rsidR="007761AF" w:rsidRPr="0059511C" w:rsidRDefault="007761AF" w:rsidP="009B3F7C">
            <w:pPr>
              <w:pStyle w:val="tabledata"/>
            </w:pPr>
            <w:r w:rsidRPr="0059511C">
              <w:t>5 (8.5%)</w:t>
            </w:r>
          </w:p>
        </w:tc>
        <w:tc>
          <w:tcPr>
            <w:tcW w:w="1106" w:type="dxa"/>
            <w:tcBorders>
              <w:top w:val="nil"/>
              <w:left w:val="nil"/>
              <w:bottom w:val="nil"/>
              <w:right w:val="nil"/>
            </w:tcBorders>
          </w:tcPr>
          <w:p w:rsidR="007761AF" w:rsidRPr="0059511C" w:rsidRDefault="007761AF" w:rsidP="009B3F7C">
            <w:pPr>
              <w:pStyle w:val="tabledata"/>
            </w:pPr>
            <w:r w:rsidRPr="0059511C">
              <w:t>25 (43.1%)</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c>
          <w:tcPr>
            <w:tcW w:w="1004" w:type="dxa"/>
            <w:tcBorders>
              <w:top w:val="nil"/>
              <w:left w:val="nil"/>
              <w:bottom w:val="nil"/>
              <w:right w:val="nil"/>
            </w:tcBorders>
          </w:tcPr>
          <w:p w:rsidR="007761AF" w:rsidRPr="0059511C" w:rsidRDefault="007761AF" w:rsidP="009B3F7C">
            <w:pPr>
              <w:pStyle w:val="tabledata"/>
            </w:pPr>
            <w:r w:rsidRPr="0059511C">
              <w:t>-</w:t>
            </w:r>
          </w:p>
        </w:tc>
      </w:tr>
      <w:tr w:rsidR="007761AF" w:rsidRPr="005A67BD" w:rsidTr="00E32C4B">
        <w:tc>
          <w:tcPr>
            <w:tcW w:w="1843" w:type="dxa"/>
            <w:tcBorders>
              <w:top w:val="nil"/>
              <w:left w:val="nil"/>
              <w:bottom w:val="single" w:sz="4" w:space="0" w:color="auto"/>
              <w:right w:val="nil"/>
            </w:tcBorders>
          </w:tcPr>
          <w:p w:rsidR="007761AF" w:rsidRPr="0059511C" w:rsidRDefault="007761AF" w:rsidP="009B3F7C">
            <w:pPr>
              <w:pStyle w:val="tabledata"/>
            </w:pPr>
            <w:r w:rsidRPr="0059511C">
              <w:t>IGA mod 2011 “clear” or “almost clear” response n (%)</w:t>
            </w:r>
          </w:p>
        </w:tc>
        <w:tc>
          <w:tcPr>
            <w:tcW w:w="858" w:type="dxa"/>
            <w:tcBorders>
              <w:top w:val="nil"/>
              <w:left w:val="nil"/>
              <w:bottom w:val="single" w:sz="4" w:space="0" w:color="auto"/>
              <w:right w:val="nil"/>
            </w:tcBorders>
          </w:tcPr>
          <w:p w:rsidR="007761AF" w:rsidRPr="0059511C" w:rsidRDefault="007761AF" w:rsidP="009B3F7C">
            <w:pPr>
              <w:pStyle w:val="tabledata"/>
            </w:pPr>
            <w:r w:rsidRPr="0059511C">
              <w:t>0 (0.0%)</w:t>
            </w:r>
          </w:p>
        </w:tc>
        <w:tc>
          <w:tcPr>
            <w:tcW w:w="1106" w:type="dxa"/>
            <w:tcBorders>
              <w:top w:val="nil"/>
              <w:left w:val="nil"/>
              <w:bottom w:val="single" w:sz="4" w:space="0" w:color="auto"/>
              <w:right w:val="nil"/>
            </w:tcBorders>
          </w:tcPr>
          <w:p w:rsidR="007761AF" w:rsidRPr="0059511C" w:rsidRDefault="007761AF" w:rsidP="009B3F7C">
            <w:pPr>
              <w:pStyle w:val="tabledata"/>
            </w:pPr>
            <w:r w:rsidRPr="0059511C">
              <w:t>31 (52.5%)</w:t>
            </w:r>
            <w:r w:rsidRPr="0059511C">
              <w:rPr>
                <w:i/>
              </w:rPr>
              <w:t>**</w:t>
            </w:r>
          </w:p>
        </w:tc>
        <w:tc>
          <w:tcPr>
            <w:tcW w:w="1106" w:type="dxa"/>
            <w:tcBorders>
              <w:top w:val="nil"/>
              <w:left w:val="nil"/>
              <w:bottom w:val="single" w:sz="4" w:space="0" w:color="auto"/>
              <w:right w:val="nil"/>
            </w:tcBorders>
          </w:tcPr>
          <w:p w:rsidR="007761AF" w:rsidRPr="0059511C" w:rsidRDefault="007761AF" w:rsidP="009B3F7C">
            <w:pPr>
              <w:pStyle w:val="tabledata"/>
            </w:pPr>
            <w:r w:rsidRPr="0059511C">
              <w:t>40 (69.0%)</w:t>
            </w:r>
            <w:r w:rsidRPr="0059511C">
              <w:rPr>
                <w:i/>
              </w:rPr>
              <w:t>**</w:t>
            </w:r>
          </w:p>
        </w:tc>
        <w:tc>
          <w:tcPr>
            <w:tcW w:w="1004" w:type="dxa"/>
            <w:tcBorders>
              <w:top w:val="nil"/>
              <w:left w:val="nil"/>
              <w:bottom w:val="single" w:sz="4" w:space="0" w:color="auto"/>
              <w:right w:val="nil"/>
            </w:tcBorders>
          </w:tcPr>
          <w:p w:rsidR="007761AF" w:rsidRPr="0059511C" w:rsidRDefault="007761AF" w:rsidP="009B3F7C">
            <w:pPr>
              <w:pStyle w:val="tabledata"/>
            </w:pPr>
            <w:r w:rsidRPr="0059511C">
              <w:t>-</w:t>
            </w:r>
          </w:p>
        </w:tc>
        <w:tc>
          <w:tcPr>
            <w:tcW w:w="1004" w:type="dxa"/>
            <w:tcBorders>
              <w:top w:val="nil"/>
              <w:left w:val="nil"/>
              <w:bottom w:val="single" w:sz="4" w:space="0" w:color="auto"/>
              <w:right w:val="nil"/>
            </w:tcBorders>
          </w:tcPr>
          <w:p w:rsidR="007761AF" w:rsidRPr="0059511C" w:rsidRDefault="007761AF" w:rsidP="009B3F7C">
            <w:pPr>
              <w:pStyle w:val="tabledata"/>
            </w:pPr>
            <w:r w:rsidRPr="0059511C">
              <w:t>-</w:t>
            </w:r>
          </w:p>
        </w:tc>
        <w:tc>
          <w:tcPr>
            <w:tcW w:w="1004" w:type="dxa"/>
            <w:tcBorders>
              <w:top w:val="nil"/>
              <w:left w:val="nil"/>
              <w:bottom w:val="single" w:sz="4" w:space="0" w:color="auto"/>
              <w:right w:val="nil"/>
            </w:tcBorders>
          </w:tcPr>
          <w:p w:rsidR="007761AF" w:rsidRPr="0059511C" w:rsidRDefault="007761AF" w:rsidP="009B3F7C">
            <w:pPr>
              <w:pStyle w:val="tabledata"/>
            </w:pPr>
            <w:r w:rsidRPr="0059511C">
              <w:t>-</w:t>
            </w:r>
          </w:p>
        </w:tc>
        <w:tc>
          <w:tcPr>
            <w:tcW w:w="1004" w:type="dxa"/>
            <w:tcBorders>
              <w:top w:val="nil"/>
              <w:left w:val="nil"/>
              <w:bottom w:val="single" w:sz="4" w:space="0" w:color="auto"/>
              <w:right w:val="nil"/>
            </w:tcBorders>
          </w:tcPr>
          <w:p w:rsidR="007761AF" w:rsidRPr="0059511C" w:rsidRDefault="007761AF" w:rsidP="009B3F7C">
            <w:pPr>
              <w:pStyle w:val="tabledata"/>
            </w:pPr>
            <w:r w:rsidRPr="0059511C">
              <w:t>-</w:t>
            </w:r>
          </w:p>
        </w:tc>
      </w:tr>
      <w:tr w:rsidR="000F4751" w:rsidRPr="005A67BD" w:rsidTr="00E32C4B">
        <w:tc>
          <w:tcPr>
            <w:tcW w:w="4913" w:type="dxa"/>
            <w:gridSpan w:val="4"/>
            <w:tcBorders>
              <w:top w:val="single" w:sz="4" w:space="0" w:color="auto"/>
              <w:left w:val="nil"/>
              <w:bottom w:val="nil"/>
              <w:right w:val="nil"/>
            </w:tcBorders>
          </w:tcPr>
          <w:p w:rsidR="000F4751" w:rsidRPr="0059511C" w:rsidRDefault="005A67BD" w:rsidP="009B3F7C">
            <w:pPr>
              <w:pStyle w:val="tabledata"/>
            </w:pPr>
            <w:r>
              <w:t>JUNCTURE</w:t>
            </w:r>
          </w:p>
        </w:tc>
        <w:tc>
          <w:tcPr>
            <w:tcW w:w="1004" w:type="dxa"/>
            <w:tcBorders>
              <w:top w:val="single" w:sz="4" w:space="0" w:color="auto"/>
              <w:left w:val="nil"/>
              <w:bottom w:val="nil"/>
              <w:right w:val="nil"/>
            </w:tcBorders>
          </w:tcPr>
          <w:p w:rsidR="000F4751" w:rsidRPr="003708B6" w:rsidRDefault="000F4751" w:rsidP="009B3F7C">
            <w:pPr>
              <w:pStyle w:val="tabledata"/>
            </w:pPr>
          </w:p>
        </w:tc>
        <w:tc>
          <w:tcPr>
            <w:tcW w:w="1004" w:type="dxa"/>
            <w:tcBorders>
              <w:top w:val="single" w:sz="4" w:space="0" w:color="auto"/>
              <w:left w:val="nil"/>
              <w:bottom w:val="nil"/>
              <w:right w:val="nil"/>
            </w:tcBorders>
          </w:tcPr>
          <w:p w:rsidR="000F4751" w:rsidRPr="0059511C" w:rsidRDefault="000F4751" w:rsidP="009B3F7C">
            <w:pPr>
              <w:pStyle w:val="tabledata"/>
            </w:pPr>
          </w:p>
        </w:tc>
        <w:tc>
          <w:tcPr>
            <w:tcW w:w="1004" w:type="dxa"/>
            <w:tcBorders>
              <w:top w:val="single" w:sz="4" w:space="0" w:color="auto"/>
              <w:left w:val="nil"/>
              <w:bottom w:val="nil"/>
              <w:right w:val="nil"/>
            </w:tcBorders>
          </w:tcPr>
          <w:p w:rsidR="000F4751" w:rsidRPr="0059511C" w:rsidRDefault="000F4751" w:rsidP="009B3F7C">
            <w:pPr>
              <w:pStyle w:val="tabledata"/>
            </w:pPr>
          </w:p>
        </w:tc>
        <w:tc>
          <w:tcPr>
            <w:tcW w:w="1004" w:type="dxa"/>
            <w:tcBorders>
              <w:top w:val="single" w:sz="4" w:space="0" w:color="auto"/>
              <w:left w:val="nil"/>
              <w:bottom w:val="nil"/>
              <w:right w:val="nil"/>
            </w:tcBorders>
          </w:tcPr>
          <w:p w:rsidR="000F4751" w:rsidRPr="0059511C" w:rsidRDefault="000F4751" w:rsidP="009B3F7C">
            <w:pPr>
              <w:pStyle w:val="tabledata"/>
            </w:pPr>
          </w:p>
        </w:tc>
      </w:tr>
      <w:tr w:rsidR="000F4751" w:rsidRPr="005A67BD" w:rsidTr="00E32C4B">
        <w:tc>
          <w:tcPr>
            <w:tcW w:w="1843" w:type="dxa"/>
            <w:tcBorders>
              <w:top w:val="nil"/>
              <w:left w:val="nil"/>
              <w:bottom w:val="nil"/>
              <w:right w:val="nil"/>
            </w:tcBorders>
          </w:tcPr>
          <w:p w:rsidR="000F4751" w:rsidRPr="0059511C" w:rsidRDefault="000F4751" w:rsidP="009B3F7C">
            <w:pPr>
              <w:pStyle w:val="tabledata"/>
            </w:pPr>
            <w:r w:rsidRPr="0059511C">
              <w:t>Number of patients</w:t>
            </w:r>
          </w:p>
        </w:tc>
        <w:tc>
          <w:tcPr>
            <w:tcW w:w="858" w:type="dxa"/>
            <w:tcBorders>
              <w:top w:val="nil"/>
              <w:left w:val="nil"/>
              <w:bottom w:val="nil"/>
              <w:right w:val="nil"/>
            </w:tcBorders>
          </w:tcPr>
          <w:p w:rsidR="000F4751" w:rsidRPr="0059511C" w:rsidRDefault="000F4751" w:rsidP="009B3F7C">
            <w:pPr>
              <w:pStyle w:val="tabledata"/>
            </w:pPr>
            <w:r w:rsidRPr="0059511C">
              <w:t>61</w:t>
            </w:r>
          </w:p>
        </w:tc>
        <w:tc>
          <w:tcPr>
            <w:tcW w:w="1106" w:type="dxa"/>
            <w:tcBorders>
              <w:top w:val="nil"/>
              <w:left w:val="nil"/>
              <w:bottom w:val="nil"/>
              <w:right w:val="nil"/>
            </w:tcBorders>
          </w:tcPr>
          <w:p w:rsidR="000F4751" w:rsidRPr="0059511C" w:rsidRDefault="000F4751" w:rsidP="009B3F7C">
            <w:pPr>
              <w:pStyle w:val="tabledata"/>
            </w:pPr>
            <w:r w:rsidRPr="0059511C">
              <w:t>60</w:t>
            </w:r>
          </w:p>
        </w:tc>
        <w:tc>
          <w:tcPr>
            <w:tcW w:w="1106" w:type="dxa"/>
            <w:tcBorders>
              <w:top w:val="nil"/>
              <w:left w:val="nil"/>
              <w:bottom w:val="nil"/>
              <w:right w:val="nil"/>
            </w:tcBorders>
          </w:tcPr>
          <w:p w:rsidR="000F4751" w:rsidRPr="0059511C" w:rsidRDefault="000F4751" w:rsidP="009B3F7C">
            <w:pPr>
              <w:pStyle w:val="tabledata"/>
            </w:pPr>
            <w:r w:rsidRPr="0059511C">
              <w:t>60</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r>
      <w:tr w:rsidR="000F4751" w:rsidRPr="005A67BD" w:rsidTr="00E32C4B">
        <w:tc>
          <w:tcPr>
            <w:tcW w:w="1843" w:type="dxa"/>
            <w:tcBorders>
              <w:top w:val="nil"/>
              <w:left w:val="nil"/>
              <w:bottom w:val="nil"/>
              <w:right w:val="nil"/>
            </w:tcBorders>
          </w:tcPr>
          <w:p w:rsidR="000F4751" w:rsidRPr="0059511C" w:rsidRDefault="000F4751" w:rsidP="009B3F7C">
            <w:pPr>
              <w:pStyle w:val="tabledata"/>
            </w:pPr>
            <w:r w:rsidRPr="0059511C">
              <w:t>PASI 50 response n (%)</w:t>
            </w:r>
          </w:p>
        </w:tc>
        <w:tc>
          <w:tcPr>
            <w:tcW w:w="858" w:type="dxa"/>
            <w:tcBorders>
              <w:top w:val="nil"/>
              <w:left w:val="nil"/>
              <w:bottom w:val="nil"/>
              <w:right w:val="nil"/>
            </w:tcBorders>
          </w:tcPr>
          <w:p w:rsidR="000F4751" w:rsidRPr="0059511C" w:rsidRDefault="000F4751" w:rsidP="009B3F7C">
            <w:pPr>
              <w:pStyle w:val="tabledata"/>
            </w:pPr>
            <w:r w:rsidRPr="0059511C">
              <w:t>5 (8.2%)</w:t>
            </w:r>
          </w:p>
        </w:tc>
        <w:tc>
          <w:tcPr>
            <w:tcW w:w="1106" w:type="dxa"/>
            <w:tcBorders>
              <w:top w:val="nil"/>
              <w:left w:val="nil"/>
              <w:bottom w:val="nil"/>
              <w:right w:val="nil"/>
            </w:tcBorders>
          </w:tcPr>
          <w:p w:rsidR="000F4751" w:rsidRPr="0059511C" w:rsidRDefault="000F4751" w:rsidP="009B3F7C">
            <w:pPr>
              <w:pStyle w:val="tabledata"/>
            </w:pPr>
            <w:r w:rsidRPr="0059511C">
              <w:t>48 (80.0%)</w:t>
            </w:r>
          </w:p>
        </w:tc>
        <w:tc>
          <w:tcPr>
            <w:tcW w:w="1106" w:type="dxa"/>
            <w:tcBorders>
              <w:top w:val="nil"/>
              <w:left w:val="nil"/>
              <w:bottom w:val="nil"/>
              <w:right w:val="nil"/>
            </w:tcBorders>
          </w:tcPr>
          <w:p w:rsidR="000F4751" w:rsidRPr="0059511C" w:rsidRDefault="000F4751" w:rsidP="009B3F7C">
            <w:pPr>
              <w:pStyle w:val="tabledata"/>
            </w:pPr>
            <w:r w:rsidRPr="0059511C">
              <w:t>58 (96.7%)</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r>
      <w:tr w:rsidR="000F4751" w:rsidRPr="005A67BD" w:rsidTr="00E32C4B">
        <w:tc>
          <w:tcPr>
            <w:tcW w:w="1843" w:type="dxa"/>
            <w:tcBorders>
              <w:top w:val="nil"/>
              <w:left w:val="nil"/>
              <w:bottom w:val="nil"/>
              <w:right w:val="nil"/>
            </w:tcBorders>
          </w:tcPr>
          <w:p w:rsidR="000F4751" w:rsidRPr="0059511C" w:rsidRDefault="000F4751" w:rsidP="009B3F7C">
            <w:pPr>
              <w:pStyle w:val="tabledata"/>
            </w:pPr>
            <w:r w:rsidRPr="0059511C">
              <w:t>PASI 75 response n (%)</w:t>
            </w:r>
          </w:p>
        </w:tc>
        <w:tc>
          <w:tcPr>
            <w:tcW w:w="858" w:type="dxa"/>
            <w:tcBorders>
              <w:top w:val="nil"/>
              <w:left w:val="nil"/>
              <w:bottom w:val="nil"/>
              <w:right w:val="nil"/>
            </w:tcBorders>
          </w:tcPr>
          <w:p w:rsidR="000F4751" w:rsidRPr="0059511C" w:rsidRDefault="000F4751" w:rsidP="009B3F7C">
            <w:pPr>
              <w:pStyle w:val="tabledata"/>
            </w:pPr>
            <w:r w:rsidRPr="0059511C">
              <w:t>2 (3.3%)</w:t>
            </w:r>
          </w:p>
        </w:tc>
        <w:tc>
          <w:tcPr>
            <w:tcW w:w="1106" w:type="dxa"/>
            <w:tcBorders>
              <w:top w:val="nil"/>
              <w:left w:val="nil"/>
              <w:bottom w:val="nil"/>
              <w:right w:val="nil"/>
            </w:tcBorders>
          </w:tcPr>
          <w:p w:rsidR="000F4751" w:rsidRPr="0059511C" w:rsidRDefault="000F4751" w:rsidP="009B3F7C">
            <w:pPr>
              <w:pStyle w:val="tabledata"/>
            </w:pPr>
            <w:r w:rsidRPr="0059511C">
              <w:t>43 (71.7%)**</w:t>
            </w:r>
          </w:p>
        </w:tc>
        <w:tc>
          <w:tcPr>
            <w:tcW w:w="1106" w:type="dxa"/>
            <w:tcBorders>
              <w:top w:val="nil"/>
              <w:left w:val="nil"/>
              <w:bottom w:val="nil"/>
              <w:right w:val="nil"/>
            </w:tcBorders>
          </w:tcPr>
          <w:p w:rsidR="000F4751" w:rsidRPr="0059511C" w:rsidRDefault="000F4751" w:rsidP="009B3F7C">
            <w:pPr>
              <w:pStyle w:val="tabledata"/>
            </w:pPr>
            <w:r w:rsidRPr="0059511C">
              <w:t>52 (86.7%)**</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r>
      <w:tr w:rsidR="000F4751" w:rsidRPr="005A67BD" w:rsidTr="00E32C4B">
        <w:tc>
          <w:tcPr>
            <w:tcW w:w="1843" w:type="dxa"/>
            <w:tcBorders>
              <w:top w:val="nil"/>
              <w:left w:val="nil"/>
              <w:bottom w:val="nil"/>
              <w:right w:val="nil"/>
            </w:tcBorders>
          </w:tcPr>
          <w:p w:rsidR="000F4751" w:rsidRPr="0059511C" w:rsidRDefault="000F4751" w:rsidP="009B3F7C">
            <w:pPr>
              <w:pStyle w:val="tabledata"/>
            </w:pPr>
            <w:r w:rsidRPr="0059511C">
              <w:t>PASI 90 response n (%)</w:t>
            </w:r>
          </w:p>
        </w:tc>
        <w:tc>
          <w:tcPr>
            <w:tcW w:w="858" w:type="dxa"/>
            <w:tcBorders>
              <w:top w:val="nil"/>
              <w:left w:val="nil"/>
              <w:bottom w:val="nil"/>
              <w:right w:val="nil"/>
            </w:tcBorders>
          </w:tcPr>
          <w:p w:rsidR="000F4751" w:rsidRPr="0059511C" w:rsidRDefault="000F4751" w:rsidP="009B3F7C">
            <w:pPr>
              <w:pStyle w:val="tabledata"/>
            </w:pPr>
            <w:r w:rsidRPr="0059511C">
              <w:t>0 (0.0%)</w:t>
            </w:r>
          </w:p>
        </w:tc>
        <w:tc>
          <w:tcPr>
            <w:tcW w:w="1106" w:type="dxa"/>
            <w:tcBorders>
              <w:top w:val="nil"/>
              <w:left w:val="nil"/>
              <w:bottom w:val="nil"/>
              <w:right w:val="nil"/>
            </w:tcBorders>
          </w:tcPr>
          <w:p w:rsidR="000F4751" w:rsidRPr="0059511C" w:rsidRDefault="000F4751" w:rsidP="009B3F7C">
            <w:pPr>
              <w:pStyle w:val="tabledata"/>
            </w:pPr>
            <w:r w:rsidRPr="0059511C">
              <w:t>24 (40.0%)</w:t>
            </w:r>
          </w:p>
        </w:tc>
        <w:tc>
          <w:tcPr>
            <w:tcW w:w="1106" w:type="dxa"/>
            <w:tcBorders>
              <w:top w:val="nil"/>
              <w:left w:val="nil"/>
              <w:bottom w:val="nil"/>
              <w:right w:val="nil"/>
            </w:tcBorders>
          </w:tcPr>
          <w:p w:rsidR="000F4751" w:rsidRPr="0059511C" w:rsidRDefault="000F4751" w:rsidP="009B3F7C">
            <w:pPr>
              <w:pStyle w:val="tabledata"/>
            </w:pPr>
            <w:r w:rsidRPr="0059511C">
              <w:t>33 (55.0%)</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c>
          <w:tcPr>
            <w:tcW w:w="1004" w:type="dxa"/>
            <w:tcBorders>
              <w:top w:val="nil"/>
              <w:left w:val="nil"/>
              <w:bottom w:val="nil"/>
              <w:right w:val="nil"/>
            </w:tcBorders>
          </w:tcPr>
          <w:p w:rsidR="000F4751" w:rsidRPr="0059511C" w:rsidRDefault="000F4751" w:rsidP="009B3F7C">
            <w:pPr>
              <w:pStyle w:val="tabledata"/>
            </w:pPr>
            <w:r w:rsidRPr="0059511C">
              <w:t>-</w:t>
            </w:r>
          </w:p>
        </w:tc>
      </w:tr>
      <w:tr w:rsidR="00605E38" w:rsidRPr="005A67BD" w:rsidTr="00E32C4B">
        <w:tc>
          <w:tcPr>
            <w:tcW w:w="1843" w:type="dxa"/>
            <w:tcBorders>
              <w:top w:val="nil"/>
              <w:left w:val="nil"/>
              <w:bottom w:val="nil"/>
              <w:right w:val="nil"/>
            </w:tcBorders>
          </w:tcPr>
          <w:p w:rsidR="00605E38" w:rsidRPr="0059511C" w:rsidRDefault="00605E38" w:rsidP="009B3F7C">
            <w:pPr>
              <w:pStyle w:val="tabledata"/>
            </w:pPr>
            <w:r w:rsidRPr="0059511C">
              <w:t>PASI 100 response n (%)</w:t>
            </w:r>
          </w:p>
        </w:tc>
        <w:tc>
          <w:tcPr>
            <w:tcW w:w="858" w:type="dxa"/>
            <w:tcBorders>
              <w:top w:val="nil"/>
              <w:left w:val="nil"/>
              <w:bottom w:val="nil"/>
              <w:right w:val="nil"/>
            </w:tcBorders>
          </w:tcPr>
          <w:p w:rsidR="00605E38" w:rsidRPr="0059511C" w:rsidRDefault="00605E38" w:rsidP="009B3F7C">
            <w:pPr>
              <w:pStyle w:val="tabledata"/>
            </w:pPr>
            <w:r w:rsidRPr="0059511C">
              <w:t>0 (0.0%)</w:t>
            </w:r>
          </w:p>
        </w:tc>
        <w:tc>
          <w:tcPr>
            <w:tcW w:w="1106" w:type="dxa"/>
            <w:tcBorders>
              <w:top w:val="nil"/>
              <w:left w:val="nil"/>
              <w:bottom w:val="nil"/>
              <w:right w:val="nil"/>
            </w:tcBorders>
          </w:tcPr>
          <w:p w:rsidR="00605E38" w:rsidRPr="0059511C" w:rsidRDefault="00605E38" w:rsidP="009B3F7C">
            <w:pPr>
              <w:pStyle w:val="tabledata"/>
            </w:pPr>
            <w:r w:rsidRPr="0059511C">
              <w:t>10 (16.7%)</w:t>
            </w:r>
          </w:p>
        </w:tc>
        <w:tc>
          <w:tcPr>
            <w:tcW w:w="1106" w:type="dxa"/>
            <w:tcBorders>
              <w:top w:val="nil"/>
              <w:left w:val="nil"/>
              <w:bottom w:val="nil"/>
              <w:right w:val="nil"/>
            </w:tcBorders>
          </w:tcPr>
          <w:p w:rsidR="00605E38" w:rsidRPr="0059511C" w:rsidRDefault="00605E38" w:rsidP="009B3F7C">
            <w:pPr>
              <w:pStyle w:val="tabledata"/>
            </w:pPr>
            <w:r w:rsidRPr="0059511C">
              <w:t>16 (26.7%)</w:t>
            </w:r>
          </w:p>
        </w:tc>
        <w:tc>
          <w:tcPr>
            <w:tcW w:w="1004" w:type="dxa"/>
            <w:tcBorders>
              <w:top w:val="nil"/>
              <w:left w:val="nil"/>
              <w:bottom w:val="nil"/>
              <w:right w:val="nil"/>
            </w:tcBorders>
          </w:tcPr>
          <w:p w:rsidR="00605E38" w:rsidRPr="0059511C" w:rsidRDefault="00605E38" w:rsidP="009B3F7C">
            <w:pPr>
              <w:pStyle w:val="tabledata"/>
            </w:pPr>
            <w:r w:rsidRPr="0059511C">
              <w:t>-</w:t>
            </w:r>
          </w:p>
        </w:tc>
        <w:tc>
          <w:tcPr>
            <w:tcW w:w="1004" w:type="dxa"/>
            <w:tcBorders>
              <w:top w:val="nil"/>
              <w:left w:val="nil"/>
              <w:bottom w:val="nil"/>
              <w:right w:val="nil"/>
            </w:tcBorders>
          </w:tcPr>
          <w:p w:rsidR="00605E38" w:rsidRPr="0059511C" w:rsidRDefault="00605E38" w:rsidP="009B3F7C">
            <w:pPr>
              <w:pStyle w:val="tabledata"/>
            </w:pPr>
            <w:r w:rsidRPr="0059511C">
              <w:t>-</w:t>
            </w:r>
          </w:p>
        </w:tc>
        <w:tc>
          <w:tcPr>
            <w:tcW w:w="1004" w:type="dxa"/>
            <w:tcBorders>
              <w:top w:val="nil"/>
              <w:left w:val="nil"/>
              <w:bottom w:val="nil"/>
              <w:right w:val="nil"/>
            </w:tcBorders>
          </w:tcPr>
          <w:p w:rsidR="00605E38" w:rsidRPr="0059511C" w:rsidRDefault="00605E38" w:rsidP="009B3F7C">
            <w:pPr>
              <w:pStyle w:val="tabledata"/>
            </w:pPr>
            <w:r w:rsidRPr="0059511C">
              <w:t>-</w:t>
            </w:r>
          </w:p>
        </w:tc>
        <w:tc>
          <w:tcPr>
            <w:tcW w:w="1004" w:type="dxa"/>
            <w:tcBorders>
              <w:top w:val="nil"/>
              <w:left w:val="nil"/>
              <w:bottom w:val="nil"/>
              <w:right w:val="nil"/>
            </w:tcBorders>
          </w:tcPr>
          <w:p w:rsidR="00605E38" w:rsidRPr="0059511C" w:rsidRDefault="00605E38" w:rsidP="009B3F7C">
            <w:pPr>
              <w:pStyle w:val="tabledata"/>
            </w:pPr>
            <w:r w:rsidRPr="0059511C">
              <w:t>-</w:t>
            </w:r>
          </w:p>
        </w:tc>
      </w:tr>
      <w:tr w:rsidR="00605E38" w:rsidRPr="005A67BD" w:rsidTr="00E32C4B">
        <w:tc>
          <w:tcPr>
            <w:tcW w:w="1843" w:type="dxa"/>
            <w:tcBorders>
              <w:top w:val="nil"/>
              <w:left w:val="nil"/>
              <w:bottom w:val="nil"/>
              <w:right w:val="nil"/>
            </w:tcBorders>
          </w:tcPr>
          <w:p w:rsidR="00605E38" w:rsidRPr="0059511C" w:rsidRDefault="00605E38" w:rsidP="009B3F7C">
            <w:pPr>
              <w:pStyle w:val="tabledata"/>
            </w:pPr>
            <w:r w:rsidRPr="0059511C">
              <w:t>IGA mod 2011 “clear” or “almost clear” response n (%)</w:t>
            </w:r>
          </w:p>
        </w:tc>
        <w:tc>
          <w:tcPr>
            <w:tcW w:w="858" w:type="dxa"/>
            <w:tcBorders>
              <w:top w:val="nil"/>
              <w:left w:val="nil"/>
              <w:bottom w:val="nil"/>
              <w:right w:val="nil"/>
            </w:tcBorders>
          </w:tcPr>
          <w:p w:rsidR="00605E38" w:rsidRPr="0059511C" w:rsidRDefault="00605E38" w:rsidP="009B3F7C">
            <w:pPr>
              <w:pStyle w:val="tabledata"/>
            </w:pPr>
            <w:r w:rsidRPr="0059511C">
              <w:t>0 (0.0%)</w:t>
            </w:r>
          </w:p>
        </w:tc>
        <w:tc>
          <w:tcPr>
            <w:tcW w:w="1106" w:type="dxa"/>
            <w:tcBorders>
              <w:top w:val="nil"/>
              <w:left w:val="nil"/>
              <w:bottom w:val="nil"/>
              <w:right w:val="nil"/>
            </w:tcBorders>
          </w:tcPr>
          <w:p w:rsidR="00605E38" w:rsidRPr="0059511C" w:rsidRDefault="00605E38" w:rsidP="009B3F7C">
            <w:pPr>
              <w:pStyle w:val="tabledata"/>
            </w:pPr>
            <w:r w:rsidRPr="0059511C">
              <w:t>32 (53.3%)</w:t>
            </w:r>
            <w:r w:rsidRPr="0059511C">
              <w:rPr>
                <w:i/>
              </w:rPr>
              <w:t>**</w:t>
            </w:r>
          </w:p>
        </w:tc>
        <w:tc>
          <w:tcPr>
            <w:tcW w:w="1106" w:type="dxa"/>
            <w:tcBorders>
              <w:top w:val="nil"/>
              <w:left w:val="nil"/>
              <w:bottom w:val="nil"/>
              <w:right w:val="nil"/>
            </w:tcBorders>
          </w:tcPr>
          <w:p w:rsidR="00605E38" w:rsidRPr="0059511C" w:rsidRDefault="00605E38" w:rsidP="009B3F7C">
            <w:pPr>
              <w:pStyle w:val="tabledata"/>
            </w:pPr>
            <w:r w:rsidRPr="0059511C">
              <w:t>44 (73.3%)</w:t>
            </w:r>
            <w:r w:rsidRPr="0059511C">
              <w:rPr>
                <w:i/>
              </w:rPr>
              <w:t>**</w:t>
            </w:r>
          </w:p>
        </w:tc>
        <w:tc>
          <w:tcPr>
            <w:tcW w:w="1004" w:type="dxa"/>
            <w:tcBorders>
              <w:top w:val="nil"/>
              <w:left w:val="nil"/>
              <w:bottom w:val="nil"/>
              <w:right w:val="nil"/>
            </w:tcBorders>
          </w:tcPr>
          <w:p w:rsidR="00605E38" w:rsidRPr="0059511C" w:rsidRDefault="00605E38" w:rsidP="009B3F7C">
            <w:pPr>
              <w:pStyle w:val="tabledata"/>
            </w:pPr>
            <w:r w:rsidRPr="0059511C">
              <w:t>-</w:t>
            </w:r>
          </w:p>
        </w:tc>
        <w:tc>
          <w:tcPr>
            <w:tcW w:w="1004" w:type="dxa"/>
            <w:tcBorders>
              <w:top w:val="nil"/>
              <w:left w:val="nil"/>
              <w:bottom w:val="nil"/>
              <w:right w:val="nil"/>
            </w:tcBorders>
          </w:tcPr>
          <w:p w:rsidR="00605E38" w:rsidRPr="0059511C" w:rsidRDefault="00605E38" w:rsidP="009B3F7C">
            <w:pPr>
              <w:pStyle w:val="tabledata"/>
            </w:pPr>
            <w:r w:rsidRPr="0059511C">
              <w:t>-</w:t>
            </w:r>
          </w:p>
        </w:tc>
        <w:tc>
          <w:tcPr>
            <w:tcW w:w="1004" w:type="dxa"/>
            <w:tcBorders>
              <w:top w:val="nil"/>
              <w:left w:val="nil"/>
              <w:bottom w:val="nil"/>
              <w:right w:val="nil"/>
            </w:tcBorders>
          </w:tcPr>
          <w:p w:rsidR="00605E38" w:rsidRPr="0059511C" w:rsidRDefault="00605E38" w:rsidP="009B3F7C">
            <w:pPr>
              <w:pStyle w:val="tabledata"/>
            </w:pPr>
            <w:r w:rsidRPr="0059511C">
              <w:t>-</w:t>
            </w:r>
          </w:p>
        </w:tc>
        <w:tc>
          <w:tcPr>
            <w:tcW w:w="1004" w:type="dxa"/>
            <w:tcBorders>
              <w:top w:val="nil"/>
              <w:left w:val="nil"/>
              <w:bottom w:val="nil"/>
              <w:right w:val="nil"/>
            </w:tcBorders>
          </w:tcPr>
          <w:p w:rsidR="00605E38" w:rsidRPr="0059511C" w:rsidRDefault="00605E38" w:rsidP="009B3F7C">
            <w:pPr>
              <w:pStyle w:val="tabledata"/>
            </w:pPr>
            <w:r w:rsidRPr="0059511C">
              <w:t>-</w:t>
            </w:r>
          </w:p>
        </w:tc>
      </w:tr>
    </w:tbl>
    <w:tbl>
      <w:tblPr>
        <w:tblW w:w="0" w:type="auto"/>
        <w:tblBorders>
          <w:top w:val="single" w:sz="4" w:space="0" w:color="auto"/>
          <w:bottom w:val="single" w:sz="4" w:space="0" w:color="auto"/>
        </w:tblBorders>
        <w:tblLook w:val="0000" w:firstRow="0" w:lastRow="0" w:firstColumn="0" w:lastColumn="0" w:noHBand="0" w:noVBand="0"/>
      </w:tblPr>
      <w:tblGrid>
        <w:gridCol w:w="9198"/>
      </w:tblGrid>
      <w:tr w:rsidR="00275335" w:rsidRPr="005A67BD" w:rsidTr="00557080">
        <w:tc>
          <w:tcPr>
            <w:tcW w:w="9198" w:type="dxa"/>
            <w:tcBorders>
              <w:top w:val="single" w:sz="4" w:space="0" w:color="auto"/>
            </w:tcBorders>
            <w:shd w:val="clear" w:color="auto" w:fill="auto"/>
          </w:tcPr>
          <w:p w:rsidR="00275335" w:rsidRPr="0059511C" w:rsidRDefault="00275335" w:rsidP="009B3F7C">
            <w:pPr>
              <w:pStyle w:val="tabledata"/>
            </w:pPr>
            <w:r w:rsidRPr="0059511C">
              <w:t>*The IGA mod 2011 is a 5-category scale including “0 = clear”, “1 = almost clear”, “2 = mild”, “3 = moderate” or “4 = severe”, indicating the physician’s overall assessment of the psoriasis severity focusing on induration, erythema and scaling. Treatment success of “clear” or “almost clear” consisted of no signs of psoriasis or normal to pink coloration of lesions, no thickening of the plaque and none to minimal focal scaling.</w:t>
            </w:r>
          </w:p>
          <w:p w:rsidR="00275335" w:rsidRPr="0059511C" w:rsidRDefault="00275335" w:rsidP="009B3F7C">
            <w:pPr>
              <w:pStyle w:val="tabledata"/>
            </w:pPr>
            <w:r w:rsidRPr="0059511C">
              <w:t>** p values versus placebo and adjusted for multiplicity: p&lt;0.0001</w:t>
            </w:r>
          </w:p>
        </w:tc>
      </w:tr>
    </w:tbl>
    <w:p w:rsidR="00196E16" w:rsidRDefault="00196E16" w:rsidP="009B3F7C"/>
    <w:p w:rsidR="00196E16" w:rsidRPr="00457654" w:rsidRDefault="00196E16" w:rsidP="009B3F7C">
      <w:pPr>
        <w:pStyle w:val="tabletitle0"/>
      </w:pPr>
      <w:bookmarkStart w:id="2" w:name="IDX"/>
      <w:bookmarkEnd w:id="2"/>
      <w:r w:rsidRPr="00457654">
        <w:t xml:space="preserve">Table </w:t>
      </w:r>
      <w:r w:rsidR="007D2A6D">
        <w:t>3</w:t>
      </w:r>
      <w:r w:rsidRPr="00457654">
        <w:tab/>
        <w:t xml:space="preserve">Summary of clinical response </w:t>
      </w:r>
      <w:r w:rsidR="005A67BD">
        <w:t xml:space="preserve">in </w:t>
      </w:r>
      <w:r w:rsidRPr="00457654">
        <w:t>FIXTURE</w:t>
      </w:r>
      <w:r w:rsidR="005A67BD">
        <w:t xml:space="preserve"> trial</w:t>
      </w:r>
    </w:p>
    <w:tbl>
      <w:tblPr>
        <w:tblW w:w="9198" w:type="dxa"/>
        <w:tblBorders>
          <w:top w:val="single" w:sz="4" w:space="0" w:color="auto"/>
          <w:bottom w:val="single" w:sz="4" w:space="0" w:color="auto"/>
        </w:tblBorders>
        <w:tblLayout w:type="fixed"/>
        <w:tblLook w:val="0000" w:firstRow="0" w:lastRow="0" w:firstColumn="0" w:lastColumn="0" w:noHBand="0" w:noVBand="0"/>
      </w:tblPr>
      <w:tblGrid>
        <w:gridCol w:w="1098"/>
        <w:gridCol w:w="810"/>
        <w:gridCol w:w="810"/>
        <w:gridCol w:w="810"/>
        <w:gridCol w:w="810"/>
        <w:gridCol w:w="810"/>
        <w:gridCol w:w="810"/>
        <w:gridCol w:w="810"/>
        <w:gridCol w:w="810"/>
        <w:gridCol w:w="810"/>
        <w:gridCol w:w="810"/>
      </w:tblGrid>
      <w:tr w:rsidR="00196E16" w:rsidRPr="008D132A" w:rsidTr="005E69E2">
        <w:trPr>
          <w:tblHeader/>
        </w:trPr>
        <w:tc>
          <w:tcPr>
            <w:tcW w:w="1098" w:type="dxa"/>
            <w:tcBorders>
              <w:top w:val="single" w:sz="4" w:space="0" w:color="auto"/>
              <w:bottom w:val="single" w:sz="4" w:space="0" w:color="auto"/>
            </w:tcBorders>
            <w:shd w:val="clear" w:color="auto" w:fill="auto"/>
          </w:tcPr>
          <w:p w:rsidR="00196E16" w:rsidRPr="00352DCD" w:rsidRDefault="00196E16" w:rsidP="009B3F7C">
            <w:pPr>
              <w:pStyle w:val="tabledata"/>
            </w:pPr>
          </w:p>
        </w:tc>
        <w:tc>
          <w:tcPr>
            <w:tcW w:w="3240" w:type="dxa"/>
            <w:gridSpan w:val="4"/>
            <w:tcBorders>
              <w:top w:val="single" w:sz="4" w:space="0" w:color="auto"/>
              <w:bottom w:val="single" w:sz="4" w:space="0" w:color="auto"/>
            </w:tcBorders>
            <w:shd w:val="clear" w:color="auto" w:fill="auto"/>
          </w:tcPr>
          <w:p w:rsidR="00196E16" w:rsidRPr="00352DCD" w:rsidRDefault="00196E16" w:rsidP="009B3F7C">
            <w:pPr>
              <w:pStyle w:val="tabledata"/>
            </w:pPr>
            <w:r w:rsidRPr="00352DCD">
              <w:t>Week 12</w:t>
            </w:r>
          </w:p>
        </w:tc>
        <w:tc>
          <w:tcPr>
            <w:tcW w:w="2430" w:type="dxa"/>
            <w:gridSpan w:val="3"/>
            <w:tcBorders>
              <w:top w:val="single" w:sz="4" w:space="0" w:color="auto"/>
              <w:bottom w:val="single" w:sz="4" w:space="0" w:color="auto"/>
            </w:tcBorders>
            <w:shd w:val="clear" w:color="auto" w:fill="auto"/>
          </w:tcPr>
          <w:p w:rsidR="00196E16" w:rsidRPr="00F7337A" w:rsidRDefault="00196E16" w:rsidP="009B3F7C">
            <w:pPr>
              <w:pStyle w:val="tabledata"/>
            </w:pPr>
            <w:r w:rsidRPr="00F7337A">
              <w:t>Week 16</w:t>
            </w:r>
          </w:p>
        </w:tc>
        <w:tc>
          <w:tcPr>
            <w:tcW w:w="2430" w:type="dxa"/>
            <w:gridSpan w:val="3"/>
            <w:tcBorders>
              <w:top w:val="single" w:sz="4" w:space="0" w:color="auto"/>
              <w:bottom w:val="single" w:sz="4" w:space="0" w:color="auto"/>
            </w:tcBorders>
          </w:tcPr>
          <w:p w:rsidR="00196E16" w:rsidRPr="001D0690" w:rsidRDefault="00196E16" w:rsidP="009B3F7C">
            <w:pPr>
              <w:pStyle w:val="tabledata"/>
            </w:pPr>
            <w:r w:rsidRPr="001D0690">
              <w:t>Week 52</w:t>
            </w:r>
          </w:p>
        </w:tc>
      </w:tr>
      <w:tr w:rsidR="00196E16" w:rsidRPr="008D132A" w:rsidTr="005E69E2">
        <w:trPr>
          <w:tblHeader/>
        </w:trPr>
        <w:tc>
          <w:tcPr>
            <w:tcW w:w="1098" w:type="dxa"/>
            <w:tcBorders>
              <w:top w:val="single" w:sz="4" w:space="0" w:color="auto"/>
            </w:tcBorders>
            <w:shd w:val="clear" w:color="auto" w:fill="auto"/>
          </w:tcPr>
          <w:p w:rsidR="00196E16" w:rsidRPr="00F7337A" w:rsidRDefault="00196E16" w:rsidP="009B3F7C">
            <w:pPr>
              <w:pStyle w:val="tabledata"/>
            </w:pPr>
          </w:p>
        </w:tc>
        <w:tc>
          <w:tcPr>
            <w:tcW w:w="810" w:type="dxa"/>
            <w:tcBorders>
              <w:top w:val="single" w:sz="4" w:space="0" w:color="auto"/>
            </w:tcBorders>
            <w:shd w:val="clear" w:color="auto" w:fill="auto"/>
          </w:tcPr>
          <w:p w:rsidR="00196E16" w:rsidRPr="00352DCD" w:rsidRDefault="00196E16" w:rsidP="009B3F7C">
            <w:pPr>
              <w:pStyle w:val="tabledata"/>
              <w:rPr>
                <w:rFonts w:ascii="Helv" w:hAnsi="Helv"/>
              </w:rPr>
            </w:pPr>
            <w:r w:rsidRPr="00F7337A">
              <w:t>Placebo</w:t>
            </w:r>
          </w:p>
        </w:tc>
        <w:tc>
          <w:tcPr>
            <w:tcW w:w="810" w:type="dxa"/>
            <w:tcBorders>
              <w:top w:val="single" w:sz="4" w:space="0" w:color="auto"/>
            </w:tcBorders>
            <w:shd w:val="clear" w:color="auto" w:fill="auto"/>
          </w:tcPr>
          <w:p w:rsidR="00196E16" w:rsidRPr="001D0690" w:rsidRDefault="00196E16" w:rsidP="009B3F7C">
            <w:pPr>
              <w:pStyle w:val="tabledata"/>
            </w:pPr>
            <w:r w:rsidRPr="00352DCD">
              <w:t>150 mg</w:t>
            </w:r>
          </w:p>
        </w:tc>
        <w:tc>
          <w:tcPr>
            <w:tcW w:w="810" w:type="dxa"/>
            <w:tcBorders>
              <w:top w:val="single" w:sz="4" w:space="0" w:color="auto"/>
            </w:tcBorders>
            <w:shd w:val="clear" w:color="auto" w:fill="auto"/>
          </w:tcPr>
          <w:p w:rsidR="00196E16" w:rsidRPr="001D0690" w:rsidRDefault="00196E16" w:rsidP="009B3F7C">
            <w:pPr>
              <w:pStyle w:val="tabledata"/>
            </w:pPr>
            <w:r w:rsidRPr="00352DCD">
              <w:t xml:space="preserve">300 mg </w:t>
            </w:r>
          </w:p>
        </w:tc>
        <w:tc>
          <w:tcPr>
            <w:tcW w:w="810" w:type="dxa"/>
            <w:tcBorders>
              <w:top w:val="single" w:sz="4" w:space="0" w:color="auto"/>
            </w:tcBorders>
          </w:tcPr>
          <w:p w:rsidR="00196E16" w:rsidRPr="001A2E11" w:rsidRDefault="00196E16" w:rsidP="009B3F7C">
            <w:pPr>
              <w:pStyle w:val="tabledata"/>
            </w:pPr>
            <w:proofErr w:type="spellStart"/>
            <w:r w:rsidRPr="001A2E11">
              <w:t>Etanercept</w:t>
            </w:r>
            <w:proofErr w:type="spellEnd"/>
          </w:p>
        </w:tc>
        <w:tc>
          <w:tcPr>
            <w:tcW w:w="810" w:type="dxa"/>
            <w:tcBorders>
              <w:top w:val="single" w:sz="4" w:space="0" w:color="auto"/>
            </w:tcBorders>
            <w:shd w:val="clear" w:color="auto" w:fill="auto"/>
          </w:tcPr>
          <w:p w:rsidR="00196E16" w:rsidRPr="00352DCD" w:rsidRDefault="00196E16" w:rsidP="009B3F7C">
            <w:pPr>
              <w:pStyle w:val="tabledata"/>
            </w:pPr>
            <w:r w:rsidRPr="00352DCD">
              <w:t>150 mg</w:t>
            </w:r>
          </w:p>
        </w:tc>
        <w:tc>
          <w:tcPr>
            <w:tcW w:w="810" w:type="dxa"/>
            <w:tcBorders>
              <w:top w:val="single" w:sz="4" w:space="0" w:color="auto"/>
            </w:tcBorders>
            <w:shd w:val="clear" w:color="auto" w:fill="auto"/>
          </w:tcPr>
          <w:p w:rsidR="00196E16" w:rsidRPr="00352DCD" w:rsidRDefault="00196E16" w:rsidP="009B3F7C">
            <w:pPr>
              <w:pStyle w:val="tabledata"/>
            </w:pPr>
            <w:r w:rsidRPr="00352DCD">
              <w:t xml:space="preserve">300 mg </w:t>
            </w:r>
          </w:p>
        </w:tc>
        <w:tc>
          <w:tcPr>
            <w:tcW w:w="810" w:type="dxa"/>
            <w:tcBorders>
              <w:top w:val="single" w:sz="4" w:space="0" w:color="auto"/>
            </w:tcBorders>
          </w:tcPr>
          <w:p w:rsidR="00196E16" w:rsidRPr="001D0690" w:rsidRDefault="00196E16" w:rsidP="009B3F7C">
            <w:pPr>
              <w:pStyle w:val="tabledata"/>
            </w:pPr>
            <w:proofErr w:type="spellStart"/>
            <w:r w:rsidRPr="00F7337A">
              <w:t>Etanercept</w:t>
            </w:r>
            <w:proofErr w:type="spellEnd"/>
          </w:p>
        </w:tc>
        <w:tc>
          <w:tcPr>
            <w:tcW w:w="810" w:type="dxa"/>
            <w:tcBorders>
              <w:top w:val="single" w:sz="4" w:space="0" w:color="auto"/>
            </w:tcBorders>
          </w:tcPr>
          <w:p w:rsidR="00196E16" w:rsidRPr="001D0690" w:rsidRDefault="00196E16" w:rsidP="009B3F7C">
            <w:pPr>
              <w:pStyle w:val="tabledata"/>
            </w:pPr>
            <w:r w:rsidRPr="001D0690">
              <w:t>150 mg</w:t>
            </w:r>
          </w:p>
        </w:tc>
        <w:tc>
          <w:tcPr>
            <w:tcW w:w="810" w:type="dxa"/>
            <w:tcBorders>
              <w:top w:val="single" w:sz="4" w:space="0" w:color="auto"/>
            </w:tcBorders>
            <w:shd w:val="clear" w:color="auto" w:fill="auto"/>
          </w:tcPr>
          <w:p w:rsidR="00196E16" w:rsidRPr="001D0690" w:rsidRDefault="00196E16" w:rsidP="009B3F7C">
            <w:pPr>
              <w:pStyle w:val="tabledata"/>
            </w:pPr>
            <w:r w:rsidRPr="001D0690">
              <w:t xml:space="preserve">300 mg </w:t>
            </w:r>
          </w:p>
        </w:tc>
        <w:tc>
          <w:tcPr>
            <w:tcW w:w="810" w:type="dxa"/>
            <w:tcBorders>
              <w:top w:val="single" w:sz="4" w:space="0" w:color="auto"/>
            </w:tcBorders>
            <w:shd w:val="clear" w:color="auto" w:fill="auto"/>
          </w:tcPr>
          <w:p w:rsidR="00196E16" w:rsidRPr="001D0690" w:rsidRDefault="00196E16" w:rsidP="009B3F7C">
            <w:pPr>
              <w:pStyle w:val="tabledata"/>
            </w:pPr>
            <w:proofErr w:type="spellStart"/>
            <w:r w:rsidRPr="001D0690">
              <w:t>Etanercept</w:t>
            </w:r>
            <w:proofErr w:type="spellEnd"/>
          </w:p>
        </w:tc>
      </w:tr>
      <w:tr w:rsidR="00196E16" w:rsidRPr="008D132A" w:rsidTr="005E69E2">
        <w:tc>
          <w:tcPr>
            <w:tcW w:w="1098" w:type="dxa"/>
            <w:tcBorders>
              <w:top w:val="single" w:sz="4" w:space="0" w:color="auto"/>
            </w:tcBorders>
            <w:shd w:val="clear" w:color="auto" w:fill="auto"/>
          </w:tcPr>
          <w:p w:rsidR="00196E16" w:rsidRPr="001D0690" w:rsidRDefault="00196E16" w:rsidP="009B3F7C">
            <w:pPr>
              <w:pStyle w:val="tabledata"/>
            </w:pPr>
            <w:r w:rsidRPr="00F7337A">
              <w:t>Number of patients</w:t>
            </w:r>
          </w:p>
        </w:tc>
        <w:tc>
          <w:tcPr>
            <w:tcW w:w="810" w:type="dxa"/>
            <w:tcBorders>
              <w:top w:val="single" w:sz="4" w:space="0" w:color="auto"/>
            </w:tcBorders>
            <w:shd w:val="clear" w:color="auto" w:fill="auto"/>
          </w:tcPr>
          <w:p w:rsidR="00196E16" w:rsidRPr="001D0690" w:rsidRDefault="00196E16" w:rsidP="009B3F7C">
            <w:pPr>
              <w:pStyle w:val="tabledata"/>
            </w:pPr>
            <w:r w:rsidRPr="001D0690">
              <w:t>324</w:t>
            </w:r>
          </w:p>
        </w:tc>
        <w:tc>
          <w:tcPr>
            <w:tcW w:w="810" w:type="dxa"/>
            <w:tcBorders>
              <w:top w:val="single" w:sz="4" w:space="0" w:color="auto"/>
            </w:tcBorders>
            <w:shd w:val="clear" w:color="auto" w:fill="auto"/>
          </w:tcPr>
          <w:p w:rsidR="00196E16" w:rsidRPr="001D0690" w:rsidRDefault="00196E16" w:rsidP="009B3F7C">
            <w:pPr>
              <w:pStyle w:val="tabledata"/>
            </w:pPr>
            <w:r w:rsidRPr="00352DCD">
              <w:t>327</w:t>
            </w:r>
          </w:p>
        </w:tc>
        <w:tc>
          <w:tcPr>
            <w:tcW w:w="810" w:type="dxa"/>
            <w:tcBorders>
              <w:top w:val="single" w:sz="4" w:space="0" w:color="auto"/>
            </w:tcBorders>
            <w:shd w:val="clear" w:color="auto" w:fill="auto"/>
          </w:tcPr>
          <w:p w:rsidR="00196E16" w:rsidRPr="001D0690" w:rsidRDefault="00196E16" w:rsidP="009B3F7C">
            <w:pPr>
              <w:pStyle w:val="tabledata"/>
            </w:pPr>
            <w:r w:rsidRPr="00352DCD">
              <w:t>323</w:t>
            </w:r>
          </w:p>
        </w:tc>
        <w:tc>
          <w:tcPr>
            <w:tcW w:w="810" w:type="dxa"/>
            <w:tcBorders>
              <w:top w:val="single" w:sz="4" w:space="0" w:color="auto"/>
            </w:tcBorders>
          </w:tcPr>
          <w:p w:rsidR="00196E16" w:rsidRPr="001D0690" w:rsidRDefault="00196E16" w:rsidP="009B3F7C">
            <w:pPr>
              <w:pStyle w:val="tabledata"/>
            </w:pPr>
            <w:r w:rsidRPr="00352DCD">
              <w:t>323</w:t>
            </w:r>
          </w:p>
        </w:tc>
        <w:tc>
          <w:tcPr>
            <w:tcW w:w="810" w:type="dxa"/>
            <w:tcBorders>
              <w:top w:val="single" w:sz="4" w:space="0" w:color="auto"/>
            </w:tcBorders>
            <w:shd w:val="clear" w:color="auto" w:fill="auto"/>
          </w:tcPr>
          <w:p w:rsidR="00196E16" w:rsidRPr="001D0690" w:rsidRDefault="00196E16" w:rsidP="009B3F7C">
            <w:pPr>
              <w:pStyle w:val="tabledata"/>
            </w:pPr>
            <w:r w:rsidRPr="00352DCD">
              <w:t>327</w:t>
            </w:r>
          </w:p>
        </w:tc>
        <w:tc>
          <w:tcPr>
            <w:tcW w:w="810" w:type="dxa"/>
            <w:tcBorders>
              <w:top w:val="single" w:sz="4" w:space="0" w:color="auto"/>
            </w:tcBorders>
            <w:shd w:val="clear" w:color="auto" w:fill="auto"/>
          </w:tcPr>
          <w:p w:rsidR="00196E16" w:rsidRPr="001D0690" w:rsidRDefault="00196E16" w:rsidP="009B3F7C">
            <w:pPr>
              <w:pStyle w:val="tabledata"/>
            </w:pPr>
            <w:r w:rsidRPr="00352DCD">
              <w:t>323</w:t>
            </w:r>
          </w:p>
        </w:tc>
        <w:tc>
          <w:tcPr>
            <w:tcW w:w="810" w:type="dxa"/>
            <w:tcBorders>
              <w:top w:val="single" w:sz="4" w:space="0" w:color="auto"/>
            </w:tcBorders>
          </w:tcPr>
          <w:p w:rsidR="00196E16" w:rsidRPr="001D0690" w:rsidRDefault="00196E16" w:rsidP="009B3F7C">
            <w:pPr>
              <w:pStyle w:val="tabledata"/>
            </w:pPr>
            <w:r w:rsidRPr="00352DCD">
              <w:t>323</w:t>
            </w:r>
          </w:p>
        </w:tc>
        <w:tc>
          <w:tcPr>
            <w:tcW w:w="810" w:type="dxa"/>
            <w:tcBorders>
              <w:top w:val="single" w:sz="4" w:space="0" w:color="auto"/>
            </w:tcBorders>
          </w:tcPr>
          <w:p w:rsidR="00196E16" w:rsidRPr="001D0690" w:rsidRDefault="00196E16" w:rsidP="009B3F7C">
            <w:pPr>
              <w:pStyle w:val="tabledata"/>
            </w:pPr>
            <w:r w:rsidRPr="00352DCD">
              <w:t>327</w:t>
            </w:r>
          </w:p>
        </w:tc>
        <w:tc>
          <w:tcPr>
            <w:tcW w:w="810" w:type="dxa"/>
            <w:tcBorders>
              <w:top w:val="single" w:sz="4" w:space="0" w:color="auto"/>
            </w:tcBorders>
            <w:shd w:val="clear" w:color="auto" w:fill="auto"/>
          </w:tcPr>
          <w:p w:rsidR="00196E16" w:rsidRPr="001D0690" w:rsidRDefault="00196E16" w:rsidP="009B3F7C">
            <w:pPr>
              <w:pStyle w:val="tabledata"/>
            </w:pPr>
            <w:r w:rsidRPr="00352DCD">
              <w:t>323</w:t>
            </w:r>
          </w:p>
        </w:tc>
        <w:tc>
          <w:tcPr>
            <w:tcW w:w="810" w:type="dxa"/>
            <w:tcBorders>
              <w:top w:val="single" w:sz="4" w:space="0" w:color="auto"/>
            </w:tcBorders>
            <w:shd w:val="clear" w:color="auto" w:fill="auto"/>
          </w:tcPr>
          <w:p w:rsidR="00196E16" w:rsidRPr="001D0690" w:rsidRDefault="00196E16" w:rsidP="009B3F7C">
            <w:pPr>
              <w:pStyle w:val="tabledata"/>
            </w:pPr>
            <w:r w:rsidRPr="00352DCD">
              <w:t>323</w:t>
            </w:r>
          </w:p>
        </w:tc>
      </w:tr>
      <w:tr w:rsidR="00196E16" w:rsidRPr="008D132A" w:rsidTr="005E69E2">
        <w:tc>
          <w:tcPr>
            <w:tcW w:w="1098" w:type="dxa"/>
            <w:shd w:val="clear" w:color="auto" w:fill="auto"/>
          </w:tcPr>
          <w:p w:rsidR="00196E16" w:rsidRPr="00352DCD" w:rsidRDefault="00196E16" w:rsidP="009B3F7C">
            <w:pPr>
              <w:pStyle w:val="tabledata"/>
            </w:pPr>
            <w:r w:rsidRPr="008D132A">
              <w:t>PASI 50 response n (%)</w:t>
            </w:r>
          </w:p>
        </w:tc>
        <w:tc>
          <w:tcPr>
            <w:tcW w:w="810" w:type="dxa"/>
            <w:shd w:val="clear" w:color="auto" w:fill="auto"/>
          </w:tcPr>
          <w:p w:rsidR="00196E16" w:rsidRPr="001D0690" w:rsidRDefault="00196E16" w:rsidP="009B3F7C">
            <w:pPr>
              <w:pStyle w:val="tabledata"/>
            </w:pPr>
            <w:r w:rsidRPr="00352DCD">
              <w:t>49 (15.1%)</w:t>
            </w:r>
          </w:p>
        </w:tc>
        <w:tc>
          <w:tcPr>
            <w:tcW w:w="810" w:type="dxa"/>
            <w:shd w:val="clear" w:color="auto" w:fill="auto"/>
          </w:tcPr>
          <w:p w:rsidR="00196E16" w:rsidRPr="001D0690" w:rsidRDefault="00196E16" w:rsidP="009B3F7C">
            <w:pPr>
              <w:pStyle w:val="tabledata"/>
            </w:pPr>
            <w:r w:rsidRPr="00352DCD">
              <w:t>266 (81.3%)</w:t>
            </w:r>
          </w:p>
        </w:tc>
        <w:tc>
          <w:tcPr>
            <w:tcW w:w="810" w:type="dxa"/>
            <w:shd w:val="clear" w:color="auto" w:fill="auto"/>
          </w:tcPr>
          <w:p w:rsidR="00196E16" w:rsidRPr="001D0690" w:rsidRDefault="00196E16" w:rsidP="009B3F7C">
            <w:pPr>
              <w:pStyle w:val="tabledata"/>
            </w:pPr>
            <w:r w:rsidRPr="00352DCD">
              <w:t>296 (91.6%)</w:t>
            </w:r>
          </w:p>
        </w:tc>
        <w:tc>
          <w:tcPr>
            <w:tcW w:w="810" w:type="dxa"/>
          </w:tcPr>
          <w:p w:rsidR="00196E16" w:rsidRPr="001D0690" w:rsidRDefault="00196E16" w:rsidP="009B3F7C">
            <w:pPr>
              <w:pStyle w:val="tabledata"/>
            </w:pPr>
            <w:r w:rsidRPr="00352DCD">
              <w:t>226 (70.0%)</w:t>
            </w:r>
          </w:p>
        </w:tc>
        <w:tc>
          <w:tcPr>
            <w:tcW w:w="810" w:type="dxa"/>
            <w:shd w:val="clear" w:color="auto" w:fill="auto"/>
          </w:tcPr>
          <w:p w:rsidR="00196E16" w:rsidRPr="001D0690" w:rsidRDefault="00196E16" w:rsidP="009B3F7C">
            <w:pPr>
              <w:pStyle w:val="tabledata"/>
            </w:pPr>
            <w:r w:rsidRPr="00352DCD">
              <w:t>290 (88.7%)</w:t>
            </w:r>
          </w:p>
        </w:tc>
        <w:tc>
          <w:tcPr>
            <w:tcW w:w="810" w:type="dxa"/>
            <w:shd w:val="clear" w:color="auto" w:fill="auto"/>
          </w:tcPr>
          <w:p w:rsidR="00196E16" w:rsidRPr="00352DCD" w:rsidRDefault="00196E16" w:rsidP="009B3F7C">
            <w:pPr>
              <w:pStyle w:val="tabledata"/>
            </w:pPr>
            <w:r w:rsidRPr="00352DCD">
              <w:t>302 (93.5%)</w:t>
            </w:r>
          </w:p>
        </w:tc>
        <w:tc>
          <w:tcPr>
            <w:tcW w:w="810" w:type="dxa"/>
          </w:tcPr>
          <w:p w:rsidR="00196E16" w:rsidRPr="001D0690" w:rsidRDefault="00196E16" w:rsidP="009B3F7C">
            <w:pPr>
              <w:pStyle w:val="tabledata"/>
            </w:pPr>
            <w:r w:rsidRPr="00352DCD">
              <w:t>257 (79.6%)</w:t>
            </w:r>
          </w:p>
        </w:tc>
        <w:tc>
          <w:tcPr>
            <w:tcW w:w="810" w:type="dxa"/>
          </w:tcPr>
          <w:p w:rsidR="00196E16" w:rsidRPr="00352DCD" w:rsidRDefault="00196E16" w:rsidP="009B3F7C">
            <w:pPr>
              <w:pStyle w:val="tabledata"/>
            </w:pPr>
            <w:r w:rsidRPr="00352DCD">
              <w:t>249 (76.1%)</w:t>
            </w:r>
          </w:p>
        </w:tc>
        <w:tc>
          <w:tcPr>
            <w:tcW w:w="810" w:type="dxa"/>
            <w:shd w:val="clear" w:color="auto" w:fill="auto"/>
          </w:tcPr>
          <w:p w:rsidR="00196E16" w:rsidRPr="00352DCD" w:rsidRDefault="00196E16" w:rsidP="009B3F7C">
            <w:pPr>
              <w:pStyle w:val="tabledata"/>
            </w:pPr>
            <w:r w:rsidRPr="00352DCD">
              <w:t>274 (84.8%)</w:t>
            </w:r>
          </w:p>
        </w:tc>
        <w:tc>
          <w:tcPr>
            <w:tcW w:w="810" w:type="dxa"/>
            <w:shd w:val="clear" w:color="auto" w:fill="auto"/>
          </w:tcPr>
          <w:p w:rsidR="00196E16" w:rsidRPr="001D0690" w:rsidRDefault="00196E16" w:rsidP="009B3F7C">
            <w:pPr>
              <w:pStyle w:val="tabledata"/>
            </w:pPr>
            <w:r w:rsidRPr="00352DCD">
              <w:t>234 (72.4%)</w:t>
            </w:r>
          </w:p>
        </w:tc>
      </w:tr>
      <w:tr w:rsidR="00196E16" w:rsidRPr="008D132A" w:rsidTr="005E69E2">
        <w:tc>
          <w:tcPr>
            <w:tcW w:w="1098" w:type="dxa"/>
            <w:shd w:val="clear" w:color="auto" w:fill="auto"/>
          </w:tcPr>
          <w:p w:rsidR="00196E16" w:rsidRPr="001D0690" w:rsidRDefault="00196E16" w:rsidP="009B3F7C">
            <w:pPr>
              <w:pStyle w:val="tabledata"/>
            </w:pPr>
            <w:r w:rsidRPr="008D132A">
              <w:t>PASI 75 response n (%)</w:t>
            </w:r>
          </w:p>
        </w:tc>
        <w:tc>
          <w:tcPr>
            <w:tcW w:w="810" w:type="dxa"/>
            <w:shd w:val="clear" w:color="auto" w:fill="auto"/>
          </w:tcPr>
          <w:p w:rsidR="00196E16" w:rsidRPr="001D0690" w:rsidRDefault="00196E16" w:rsidP="009B3F7C">
            <w:pPr>
              <w:pStyle w:val="tabledata"/>
            </w:pPr>
            <w:r w:rsidRPr="00352DCD">
              <w:t>16 (4.9%)</w:t>
            </w:r>
          </w:p>
        </w:tc>
        <w:tc>
          <w:tcPr>
            <w:tcW w:w="810" w:type="dxa"/>
            <w:shd w:val="clear" w:color="auto" w:fill="auto"/>
          </w:tcPr>
          <w:p w:rsidR="00196E16" w:rsidRPr="001D0690" w:rsidRDefault="00196E16" w:rsidP="009B3F7C">
            <w:pPr>
              <w:pStyle w:val="tabledata"/>
            </w:pPr>
            <w:r w:rsidRPr="00352DCD">
              <w:t>219 (67.0%)</w:t>
            </w:r>
            <w:r w:rsidRPr="001D0690">
              <w:t>**</w:t>
            </w:r>
          </w:p>
        </w:tc>
        <w:tc>
          <w:tcPr>
            <w:tcW w:w="810" w:type="dxa"/>
            <w:shd w:val="clear" w:color="auto" w:fill="auto"/>
          </w:tcPr>
          <w:p w:rsidR="00196E16" w:rsidRPr="001D0690" w:rsidRDefault="00196E16" w:rsidP="009B3F7C">
            <w:pPr>
              <w:pStyle w:val="tabledata"/>
            </w:pPr>
            <w:r w:rsidRPr="00352DCD">
              <w:t>249 (77.1%)</w:t>
            </w:r>
            <w:r w:rsidRPr="001D0690">
              <w:t>**</w:t>
            </w:r>
          </w:p>
        </w:tc>
        <w:tc>
          <w:tcPr>
            <w:tcW w:w="810" w:type="dxa"/>
          </w:tcPr>
          <w:p w:rsidR="00196E16" w:rsidRPr="001D0690" w:rsidRDefault="00196E16" w:rsidP="009B3F7C">
            <w:pPr>
              <w:pStyle w:val="tabledata"/>
            </w:pPr>
            <w:r w:rsidRPr="00352DCD">
              <w:t>142 (44.0%)</w:t>
            </w:r>
          </w:p>
        </w:tc>
        <w:tc>
          <w:tcPr>
            <w:tcW w:w="810" w:type="dxa"/>
            <w:shd w:val="clear" w:color="auto" w:fill="auto"/>
          </w:tcPr>
          <w:p w:rsidR="00196E16" w:rsidRPr="001D0690" w:rsidRDefault="00196E16" w:rsidP="009B3F7C">
            <w:pPr>
              <w:pStyle w:val="tabledata"/>
            </w:pPr>
            <w:r w:rsidRPr="00352DCD">
              <w:t>247 (75.5%)</w:t>
            </w:r>
          </w:p>
        </w:tc>
        <w:tc>
          <w:tcPr>
            <w:tcW w:w="810" w:type="dxa"/>
            <w:shd w:val="clear" w:color="auto" w:fill="auto"/>
          </w:tcPr>
          <w:p w:rsidR="00196E16" w:rsidRPr="001D0690" w:rsidRDefault="00196E16" w:rsidP="009B3F7C">
            <w:pPr>
              <w:pStyle w:val="tabledata"/>
            </w:pPr>
            <w:r w:rsidRPr="00352DCD">
              <w:t>280 (86.7%)</w:t>
            </w:r>
          </w:p>
        </w:tc>
        <w:tc>
          <w:tcPr>
            <w:tcW w:w="810" w:type="dxa"/>
          </w:tcPr>
          <w:p w:rsidR="00196E16" w:rsidRPr="001D0690" w:rsidRDefault="00196E16" w:rsidP="009B3F7C">
            <w:pPr>
              <w:pStyle w:val="tabledata"/>
            </w:pPr>
            <w:r w:rsidRPr="00352DCD">
              <w:t>189 (58.5%)</w:t>
            </w:r>
          </w:p>
        </w:tc>
        <w:tc>
          <w:tcPr>
            <w:tcW w:w="810" w:type="dxa"/>
          </w:tcPr>
          <w:p w:rsidR="00196E16" w:rsidRPr="001D0690" w:rsidRDefault="00196E16" w:rsidP="009B3F7C">
            <w:pPr>
              <w:pStyle w:val="tabledata"/>
            </w:pPr>
            <w:r w:rsidRPr="00352DCD">
              <w:t>215 (65.7%)</w:t>
            </w:r>
          </w:p>
        </w:tc>
        <w:tc>
          <w:tcPr>
            <w:tcW w:w="810" w:type="dxa"/>
            <w:shd w:val="clear" w:color="auto" w:fill="auto"/>
          </w:tcPr>
          <w:p w:rsidR="00196E16" w:rsidRPr="001D0690" w:rsidRDefault="00196E16" w:rsidP="009B3F7C">
            <w:pPr>
              <w:pStyle w:val="tabledata"/>
            </w:pPr>
            <w:r w:rsidRPr="00352DCD">
              <w:t>254 (78.6%)</w:t>
            </w:r>
          </w:p>
        </w:tc>
        <w:tc>
          <w:tcPr>
            <w:tcW w:w="810" w:type="dxa"/>
            <w:shd w:val="clear" w:color="auto" w:fill="auto"/>
          </w:tcPr>
          <w:p w:rsidR="00196E16" w:rsidRPr="001D0690" w:rsidRDefault="00196E16" w:rsidP="009B3F7C">
            <w:pPr>
              <w:pStyle w:val="tabledata"/>
            </w:pPr>
            <w:r w:rsidRPr="00352DCD">
              <w:t>179 (55.4%)</w:t>
            </w:r>
          </w:p>
        </w:tc>
      </w:tr>
      <w:tr w:rsidR="00196E16" w:rsidRPr="008D132A" w:rsidTr="005E69E2">
        <w:tc>
          <w:tcPr>
            <w:tcW w:w="1098" w:type="dxa"/>
            <w:shd w:val="clear" w:color="auto" w:fill="auto"/>
          </w:tcPr>
          <w:p w:rsidR="00196E16" w:rsidRPr="001D0690" w:rsidRDefault="00196E16" w:rsidP="009B3F7C">
            <w:pPr>
              <w:pStyle w:val="tabledata"/>
            </w:pPr>
            <w:r w:rsidRPr="00F7337A">
              <w:t>PASI 90 response n (%)</w:t>
            </w:r>
          </w:p>
        </w:tc>
        <w:tc>
          <w:tcPr>
            <w:tcW w:w="810" w:type="dxa"/>
            <w:shd w:val="clear" w:color="auto" w:fill="auto"/>
          </w:tcPr>
          <w:p w:rsidR="00196E16" w:rsidRPr="001D0690" w:rsidRDefault="00196E16" w:rsidP="009B3F7C">
            <w:pPr>
              <w:pStyle w:val="tabledata"/>
            </w:pPr>
            <w:r w:rsidRPr="00352DCD">
              <w:t>5 (1.5%)</w:t>
            </w:r>
          </w:p>
        </w:tc>
        <w:tc>
          <w:tcPr>
            <w:tcW w:w="810" w:type="dxa"/>
            <w:shd w:val="clear" w:color="auto" w:fill="auto"/>
          </w:tcPr>
          <w:p w:rsidR="00196E16" w:rsidRPr="001D0690" w:rsidRDefault="00196E16" w:rsidP="009B3F7C">
            <w:pPr>
              <w:pStyle w:val="tabledata"/>
            </w:pPr>
            <w:r w:rsidRPr="00352DCD">
              <w:t>137 (41.9%)</w:t>
            </w:r>
          </w:p>
        </w:tc>
        <w:tc>
          <w:tcPr>
            <w:tcW w:w="810" w:type="dxa"/>
            <w:shd w:val="clear" w:color="auto" w:fill="auto"/>
          </w:tcPr>
          <w:p w:rsidR="00196E16" w:rsidRPr="001D0690" w:rsidRDefault="00196E16" w:rsidP="009B3F7C">
            <w:pPr>
              <w:pStyle w:val="tabledata"/>
            </w:pPr>
            <w:r w:rsidRPr="00352DCD">
              <w:t>175 (54.2%)</w:t>
            </w:r>
          </w:p>
        </w:tc>
        <w:tc>
          <w:tcPr>
            <w:tcW w:w="810" w:type="dxa"/>
          </w:tcPr>
          <w:p w:rsidR="00196E16" w:rsidRPr="001D0690" w:rsidRDefault="00196E16" w:rsidP="009B3F7C">
            <w:pPr>
              <w:pStyle w:val="tabledata"/>
            </w:pPr>
            <w:r w:rsidRPr="00352DCD">
              <w:t>67 (20.7%)</w:t>
            </w:r>
          </w:p>
        </w:tc>
        <w:tc>
          <w:tcPr>
            <w:tcW w:w="810" w:type="dxa"/>
            <w:shd w:val="clear" w:color="auto" w:fill="auto"/>
          </w:tcPr>
          <w:p w:rsidR="00196E16" w:rsidRPr="001D0690" w:rsidRDefault="00196E16" w:rsidP="009B3F7C">
            <w:pPr>
              <w:pStyle w:val="tabledata"/>
            </w:pPr>
            <w:r w:rsidRPr="00352DCD">
              <w:t>176 (53.8%)</w:t>
            </w:r>
          </w:p>
        </w:tc>
        <w:tc>
          <w:tcPr>
            <w:tcW w:w="810" w:type="dxa"/>
            <w:shd w:val="clear" w:color="auto" w:fill="auto"/>
          </w:tcPr>
          <w:p w:rsidR="00196E16" w:rsidRPr="001D0690" w:rsidRDefault="00196E16" w:rsidP="009B3F7C">
            <w:pPr>
              <w:pStyle w:val="tabledata"/>
            </w:pPr>
            <w:r w:rsidRPr="00352DCD">
              <w:t>234 (72.4%)</w:t>
            </w:r>
          </w:p>
        </w:tc>
        <w:tc>
          <w:tcPr>
            <w:tcW w:w="810" w:type="dxa"/>
          </w:tcPr>
          <w:p w:rsidR="00196E16" w:rsidRPr="00352DCD" w:rsidRDefault="00196E16" w:rsidP="009B3F7C">
            <w:pPr>
              <w:pStyle w:val="tabledata"/>
              <w:rPr>
                <w:rFonts w:ascii="Helv" w:hAnsi="Helv"/>
              </w:rPr>
            </w:pPr>
            <w:r w:rsidRPr="00352DCD">
              <w:t>101 (31.3%)</w:t>
            </w:r>
          </w:p>
        </w:tc>
        <w:tc>
          <w:tcPr>
            <w:tcW w:w="810" w:type="dxa"/>
          </w:tcPr>
          <w:p w:rsidR="00196E16" w:rsidRPr="00352DCD" w:rsidRDefault="00196E16" w:rsidP="009B3F7C">
            <w:pPr>
              <w:pStyle w:val="tabledata"/>
              <w:rPr>
                <w:rFonts w:ascii="Helv" w:hAnsi="Helv"/>
              </w:rPr>
            </w:pPr>
            <w:r w:rsidRPr="00352DCD">
              <w:t>147 (45.0%)</w:t>
            </w:r>
          </w:p>
        </w:tc>
        <w:tc>
          <w:tcPr>
            <w:tcW w:w="810" w:type="dxa"/>
            <w:shd w:val="clear" w:color="auto" w:fill="auto"/>
          </w:tcPr>
          <w:p w:rsidR="00196E16" w:rsidRPr="00352DCD" w:rsidRDefault="00196E16" w:rsidP="009B3F7C">
            <w:pPr>
              <w:pStyle w:val="tabledata"/>
              <w:rPr>
                <w:rFonts w:ascii="Helv" w:hAnsi="Helv"/>
              </w:rPr>
            </w:pPr>
            <w:r w:rsidRPr="00352DCD">
              <w:t>210 (65.0%)</w:t>
            </w:r>
          </w:p>
        </w:tc>
        <w:tc>
          <w:tcPr>
            <w:tcW w:w="810" w:type="dxa"/>
            <w:shd w:val="clear" w:color="auto" w:fill="auto"/>
          </w:tcPr>
          <w:p w:rsidR="00196E16" w:rsidRPr="00352DCD" w:rsidRDefault="00196E16" w:rsidP="009B3F7C">
            <w:pPr>
              <w:pStyle w:val="tabledata"/>
              <w:rPr>
                <w:rFonts w:ascii="Helv" w:hAnsi="Helv"/>
              </w:rPr>
            </w:pPr>
            <w:r w:rsidRPr="00352DCD">
              <w:t>108 (33.4%)</w:t>
            </w:r>
          </w:p>
        </w:tc>
      </w:tr>
      <w:tr w:rsidR="00196E16" w:rsidRPr="008D132A" w:rsidTr="005E69E2">
        <w:tc>
          <w:tcPr>
            <w:tcW w:w="1098" w:type="dxa"/>
            <w:shd w:val="clear" w:color="auto" w:fill="auto"/>
          </w:tcPr>
          <w:p w:rsidR="00196E16" w:rsidRPr="001D0690" w:rsidRDefault="00196E16" w:rsidP="009B3F7C">
            <w:pPr>
              <w:pStyle w:val="tabledata"/>
            </w:pPr>
            <w:r w:rsidRPr="008D132A">
              <w:t>PASI 100 response n (%)</w:t>
            </w:r>
          </w:p>
        </w:tc>
        <w:tc>
          <w:tcPr>
            <w:tcW w:w="810" w:type="dxa"/>
            <w:shd w:val="clear" w:color="auto" w:fill="auto"/>
          </w:tcPr>
          <w:p w:rsidR="00196E16" w:rsidRPr="00352DCD" w:rsidRDefault="00196E16" w:rsidP="009B3F7C">
            <w:pPr>
              <w:pStyle w:val="tabledata"/>
            </w:pPr>
            <w:r w:rsidRPr="00352DCD">
              <w:t>0 (0%)</w:t>
            </w:r>
          </w:p>
        </w:tc>
        <w:tc>
          <w:tcPr>
            <w:tcW w:w="810" w:type="dxa"/>
            <w:shd w:val="clear" w:color="auto" w:fill="auto"/>
          </w:tcPr>
          <w:p w:rsidR="00196E16" w:rsidRPr="00352DCD" w:rsidRDefault="00196E16" w:rsidP="009B3F7C">
            <w:pPr>
              <w:pStyle w:val="tabledata"/>
            </w:pPr>
            <w:r w:rsidRPr="00352DCD">
              <w:t>47 (14.4%)</w:t>
            </w:r>
          </w:p>
        </w:tc>
        <w:tc>
          <w:tcPr>
            <w:tcW w:w="810" w:type="dxa"/>
            <w:shd w:val="clear" w:color="auto" w:fill="auto"/>
          </w:tcPr>
          <w:p w:rsidR="00196E16" w:rsidRPr="00352DCD" w:rsidRDefault="00196E16" w:rsidP="009B3F7C">
            <w:pPr>
              <w:pStyle w:val="tabledata"/>
            </w:pPr>
            <w:r w:rsidRPr="00352DCD">
              <w:t>78 (24.1%)</w:t>
            </w:r>
          </w:p>
        </w:tc>
        <w:tc>
          <w:tcPr>
            <w:tcW w:w="810" w:type="dxa"/>
          </w:tcPr>
          <w:p w:rsidR="00196E16" w:rsidRPr="00352DCD" w:rsidRDefault="00196E16" w:rsidP="009B3F7C">
            <w:pPr>
              <w:pStyle w:val="tabledata"/>
            </w:pPr>
            <w:r w:rsidRPr="00352DCD">
              <w:t>14 (4.3%)</w:t>
            </w:r>
          </w:p>
        </w:tc>
        <w:tc>
          <w:tcPr>
            <w:tcW w:w="810" w:type="dxa"/>
            <w:shd w:val="clear" w:color="auto" w:fill="auto"/>
          </w:tcPr>
          <w:p w:rsidR="00196E16" w:rsidRPr="00352DCD" w:rsidRDefault="00196E16" w:rsidP="009B3F7C">
            <w:pPr>
              <w:pStyle w:val="tabledata"/>
            </w:pPr>
            <w:r w:rsidRPr="00352DCD">
              <w:t>84 (25.7%)</w:t>
            </w:r>
          </w:p>
        </w:tc>
        <w:tc>
          <w:tcPr>
            <w:tcW w:w="810" w:type="dxa"/>
            <w:shd w:val="clear" w:color="auto" w:fill="auto"/>
          </w:tcPr>
          <w:p w:rsidR="00196E16" w:rsidRPr="00352DCD" w:rsidRDefault="00196E16" w:rsidP="009B3F7C">
            <w:pPr>
              <w:pStyle w:val="tabledata"/>
            </w:pPr>
            <w:r w:rsidRPr="00352DCD">
              <w:t>119 (36.8%)</w:t>
            </w:r>
          </w:p>
        </w:tc>
        <w:tc>
          <w:tcPr>
            <w:tcW w:w="810" w:type="dxa"/>
          </w:tcPr>
          <w:p w:rsidR="00196E16" w:rsidRPr="00352DCD" w:rsidRDefault="00196E16" w:rsidP="009B3F7C">
            <w:pPr>
              <w:pStyle w:val="tabledata"/>
            </w:pPr>
            <w:r w:rsidRPr="00352DCD">
              <w:t>24 (7.4%)</w:t>
            </w:r>
          </w:p>
        </w:tc>
        <w:tc>
          <w:tcPr>
            <w:tcW w:w="810" w:type="dxa"/>
          </w:tcPr>
          <w:p w:rsidR="00196E16" w:rsidRPr="001D0690" w:rsidRDefault="00196E16" w:rsidP="009B3F7C">
            <w:pPr>
              <w:pStyle w:val="tabledata"/>
            </w:pPr>
            <w:r w:rsidRPr="00352DCD">
              <w:t>65 (19.9%)</w:t>
            </w:r>
          </w:p>
        </w:tc>
        <w:tc>
          <w:tcPr>
            <w:tcW w:w="810" w:type="dxa"/>
            <w:shd w:val="clear" w:color="auto" w:fill="auto"/>
          </w:tcPr>
          <w:p w:rsidR="00196E16" w:rsidRPr="001D0690" w:rsidRDefault="00196E16" w:rsidP="009B3F7C">
            <w:pPr>
              <w:pStyle w:val="tabledata"/>
            </w:pPr>
            <w:r w:rsidRPr="00352DCD">
              <w:t>117 (36.2%)</w:t>
            </w:r>
          </w:p>
        </w:tc>
        <w:tc>
          <w:tcPr>
            <w:tcW w:w="810" w:type="dxa"/>
            <w:shd w:val="clear" w:color="auto" w:fill="auto"/>
          </w:tcPr>
          <w:p w:rsidR="00196E16" w:rsidRPr="00352DCD" w:rsidRDefault="00196E16" w:rsidP="009B3F7C">
            <w:pPr>
              <w:pStyle w:val="tabledata"/>
            </w:pPr>
            <w:r w:rsidRPr="00352DCD">
              <w:t>32 (9.9%)</w:t>
            </w:r>
          </w:p>
        </w:tc>
      </w:tr>
      <w:tr w:rsidR="00196E16" w:rsidRPr="008D132A" w:rsidTr="005E69E2">
        <w:tc>
          <w:tcPr>
            <w:tcW w:w="1098" w:type="dxa"/>
            <w:shd w:val="clear" w:color="auto" w:fill="auto"/>
          </w:tcPr>
          <w:p w:rsidR="00196E16" w:rsidRPr="001D0690" w:rsidRDefault="00196E16" w:rsidP="009B3F7C">
            <w:pPr>
              <w:pStyle w:val="tabledata"/>
            </w:pPr>
            <w:r w:rsidRPr="00F7337A">
              <w:t>IGA mod 2011 “clear” or “almost clear” response n (%)</w:t>
            </w:r>
          </w:p>
        </w:tc>
        <w:tc>
          <w:tcPr>
            <w:tcW w:w="810" w:type="dxa"/>
            <w:shd w:val="clear" w:color="auto" w:fill="auto"/>
          </w:tcPr>
          <w:p w:rsidR="00196E16" w:rsidRPr="001D0690" w:rsidRDefault="00196E16" w:rsidP="009B3F7C">
            <w:pPr>
              <w:pStyle w:val="tabledata"/>
            </w:pPr>
            <w:r w:rsidRPr="00352DCD">
              <w:t>9 (2.8%)</w:t>
            </w:r>
          </w:p>
        </w:tc>
        <w:tc>
          <w:tcPr>
            <w:tcW w:w="810" w:type="dxa"/>
            <w:shd w:val="clear" w:color="auto" w:fill="auto"/>
          </w:tcPr>
          <w:p w:rsidR="00196E16" w:rsidRPr="001D0690" w:rsidRDefault="00196E16" w:rsidP="009B3F7C">
            <w:pPr>
              <w:pStyle w:val="tabledata"/>
            </w:pPr>
            <w:r w:rsidRPr="00352DCD">
              <w:t>167 (51.1%)</w:t>
            </w:r>
            <w:r w:rsidRPr="001D0690">
              <w:t>**</w:t>
            </w:r>
          </w:p>
        </w:tc>
        <w:tc>
          <w:tcPr>
            <w:tcW w:w="810" w:type="dxa"/>
            <w:shd w:val="clear" w:color="auto" w:fill="auto"/>
          </w:tcPr>
          <w:p w:rsidR="00196E16" w:rsidRPr="00352DCD" w:rsidRDefault="00196E16" w:rsidP="009B3F7C">
            <w:pPr>
              <w:pStyle w:val="tabledata"/>
              <w:rPr>
                <w:rFonts w:ascii="Helv" w:hAnsi="Helv"/>
              </w:rPr>
            </w:pPr>
            <w:r w:rsidRPr="00352DCD">
              <w:t>202 (62.5%)</w:t>
            </w:r>
            <w:r w:rsidRPr="001D0690">
              <w:t>**</w:t>
            </w:r>
          </w:p>
        </w:tc>
        <w:tc>
          <w:tcPr>
            <w:tcW w:w="810" w:type="dxa"/>
          </w:tcPr>
          <w:p w:rsidR="00196E16" w:rsidRPr="001D0690" w:rsidRDefault="00196E16" w:rsidP="009B3F7C">
            <w:pPr>
              <w:pStyle w:val="tabledata"/>
            </w:pPr>
            <w:r w:rsidRPr="00352DCD">
              <w:t>88 (27.2%)</w:t>
            </w:r>
          </w:p>
        </w:tc>
        <w:tc>
          <w:tcPr>
            <w:tcW w:w="810" w:type="dxa"/>
            <w:shd w:val="clear" w:color="auto" w:fill="auto"/>
          </w:tcPr>
          <w:p w:rsidR="00196E16" w:rsidRPr="00E32C4B" w:rsidRDefault="00196E16" w:rsidP="009B3F7C">
            <w:pPr>
              <w:pStyle w:val="tabledata"/>
              <w:rPr>
                <w:rFonts w:ascii="Helv" w:hAnsi="Helv"/>
              </w:rPr>
            </w:pPr>
            <w:r w:rsidRPr="00352DCD">
              <w:t>200 (61.2%)</w:t>
            </w:r>
          </w:p>
        </w:tc>
        <w:tc>
          <w:tcPr>
            <w:tcW w:w="810" w:type="dxa"/>
            <w:shd w:val="clear" w:color="auto" w:fill="auto"/>
          </w:tcPr>
          <w:p w:rsidR="00196E16" w:rsidRPr="001D0690" w:rsidRDefault="00196E16" w:rsidP="009B3F7C">
            <w:pPr>
              <w:pStyle w:val="tabledata"/>
            </w:pPr>
            <w:r w:rsidRPr="00352DCD">
              <w:t>244 (75.5%)</w:t>
            </w:r>
          </w:p>
        </w:tc>
        <w:tc>
          <w:tcPr>
            <w:tcW w:w="810" w:type="dxa"/>
          </w:tcPr>
          <w:p w:rsidR="00196E16" w:rsidRPr="001D0690" w:rsidRDefault="00196E16" w:rsidP="009B3F7C">
            <w:pPr>
              <w:pStyle w:val="tabledata"/>
            </w:pPr>
            <w:r w:rsidRPr="00352DCD">
              <w:t>127 (39.3%)</w:t>
            </w:r>
          </w:p>
        </w:tc>
        <w:tc>
          <w:tcPr>
            <w:tcW w:w="810" w:type="dxa"/>
          </w:tcPr>
          <w:p w:rsidR="00196E16" w:rsidRPr="001D0690" w:rsidRDefault="00196E16" w:rsidP="009B3F7C">
            <w:pPr>
              <w:pStyle w:val="tabledata"/>
            </w:pPr>
            <w:r w:rsidRPr="00352DCD">
              <w:t>168 (51.4%)</w:t>
            </w:r>
          </w:p>
        </w:tc>
        <w:tc>
          <w:tcPr>
            <w:tcW w:w="810" w:type="dxa"/>
            <w:shd w:val="clear" w:color="auto" w:fill="auto"/>
          </w:tcPr>
          <w:p w:rsidR="00196E16" w:rsidRPr="001D0690" w:rsidRDefault="00196E16" w:rsidP="009B3F7C">
            <w:pPr>
              <w:pStyle w:val="tabledata"/>
            </w:pPr>
            <w:r w:rsidRPr="00352DCD">
              <w:t>219 (67.8%)</w:t>
            </w:r>
          </w:p>
        </w:tc>
        <w:tc>
          <w:tcPr>
            <w:tcW w:w="810" w:type="dxa"/>
            <w:shd w:val="clear" w:color="auto" w:fill="auto"/>
          </w:tcPr>
          <w:p w:rsidR="00196E16" w:rsidRPr="001D0690" w:rsidRDefault="00196E16" w:rsidP="009B3F7C">
            <w:pPr>
              <w:pStyle w:val="tabledata"/>
            </w:pPr>
            <w:r w:rsidRPr="00352DCD">
              <w:t>120 (37.2%)</w:t>
            </w:r>
          </w:p>
        </w:tc>
      </w:tr>
    </w:tbl>
    <w:p w:rsidR="00196E16" w:rsidRPr="003708B6" w:rsidRDefault="00196E16" w:rsidP="009B3F7C">
      <w:pPr>
        <w:pStyle w:val="tabledata"/>
        <w:rPr>
          <w:lang w:val="fr-FR"/>
        </w:rPr>
      </w:pPr>
      <w:r w:rsidRPr="003708B6">
        <w:rPr>
          <w:lang w:val="fr-FR"/>
        </w:rPr>
        <w:t xml:space="preserve">** p values versus </w:t>
      </w:r>
      <w:proofErr w:type="spellStart"/>
      <w:r w:rsidRPr="003708B6">
        <w:rPr>
          <w:lang w:val="fr-FR"/>
        </w:rPr>
        <w:t>etanercept</w:t>
      </w:r>
      <w:proofErr w:type="spellEnd"/>
      <w:r w:rsidRPr="003708B6">
        <w:rPr>
          <w:lang w:val="fr-FR"/>
        </w:rPr>
        <w:t>: p=0.0250</w:t>
      </w:r>
    </w:p>
    <w:p w:rsidR="00F45CAF" w:rsidDel="004C3437" w:rsidRDefault="00F45CAF" w:rsidP="009B3F7C">
      <w:r w:rsidRPr="00E9500E" w:rsidDel="004C3437">
        <w:t>All plaque psoriasis phase III studies included approximately 15 to 25% of patients with concurrent psoriatic arthritis at baseline.</w:t>
      </w:r>
      <w:r w:rsidDel="004C3437">
        <w:t xml:space="preserve"> Improvements in PASI 75 in this patient population were similar to those in the overall plaque psoriasis population.</w:t>
      </w:r>
    </w:p>
    <w:p w:rsidR="00482551" w:rsidRDefault="00F45CAF" w:rsidP="009B3F7C">
      <w:r w:rsidDel="004C3437">
        <w:t xml:space="preserve">In </w:t>
      </w:r>
      <w:r w:rsidR="007D7174" w:rsidDel="004C3437">
        <w:t xml:space="preserve">the subset of psoriatic arthritis patients </w:t>
      </w:r>
      <w:r w:rsidR="007D7174">
        <w:t xml:space="preserve">in </w:t>
      </w:r>
      <w:r w:rsidDel="004C3437">
        <w:t xml:space="preserve">the </w:t>
      </w:r>
      <w:r w:rsidR="007D7174">
        <w:t xml:space="preserve">ERASURE and FIXTURE </w:t>
      </w:r>
      <w:r w:rsidDel="004C3437">
        <w:t xml:space="preserve">studies, physical function was assessed using the HAQ Disability Index (HAQ-DI). In these studies, patients treated with 150 mg or 300 mg </w:t>
      </w:r>
      <w:proofErr w:type="spellStart"/>
      <w:r w:rsidDel="004C3437">
        <w:t>Cosentyx</w:t>
      </w:r>
      <w:proofErr w:type="spellEnd"/>
      <w:r w:rsidDel="004C3437">
        <w:t xml:space="preserve"> showed greater improvement from baseline in the HAQ-DI score (mean decreases of -27.5%  and -50.2% at week 12) compared to placebo (-8.9%). This improvement was maintained up to week 52. </w:t>
      </w:r>
    </w:p>
    <w:p w:rsidR="00482551" w:rsidDel="004C3437" w:rsidRDefault="00482551" w:rsidP="009B3F7C">
      <w:r>
        <w:lastRenderedPageBreak/>
        <w:t xml:space="preserve">Patients in the </w:t>
      </w:r>
      <w:r w:rsidR="00326279">
        <w:t>SCULPTURE</w:t>
      </w:r>
      <w:r>
        <w:t xml:space="preserve"> study that </w:t>
      </w:r>
      <w:r w:rsidRPr="004F51C0">
        <w:t xml:space="preserve">were </w:t>
      </w:r>
      <w:r>
        <w:t xml:space="preserve">randomized </w:t>
      </w:r>
      <w:r w:rsidR="00326279">
        <w:t xml:space="preserve">after week 12 </w:t>
      </w:r>
      <w:r>
        <w:t>to a “retreatment as needed” maintenance regimen did not achieve adequate maintenance of response</w:t>
      </w:r>
      <w:r w:rsidR="00372222">
        <w:t xml:space="preserve"> </w:t>
      </w:r>
      <w:r w:rsidR="00F76367">
        <w:t xml:space="preserve">to </w:t>
      </w:r>
      <w:r w:rsidR="00372222">
        <w:t>either dose used. A</w:t>
      </w:r>
      <w:r w:rsidR="007962DE">
        <w:t>fter 52 weeks of treatment patients with 300</w:t>
      </w:r>
      <w:r w:rsidR="00372222">
        <w:t xml:space="preserve"> mg</w:t>
      </w:r>
      <w:r w:rsidR="007962DE">
        <w:t xml:space="preserve"> “retreatment as needed” regimen achieved a PASI 75 of 41.0% and a PASI 90 of 13.8%, whereas patients with a monthly maintenance regimen of 300 mg achieved a PASI 75 of 78.2% and a PASI 90 of 59.7%</w:t>
      </w:r>
      <w:r w:rsidR="0097167E">
        <w:t>. Similarly, patients with 150 mg “retreatment as needed” regimen achieved a PASI 75 of 35.0% and a PASI 90 of 11.2%, whereas patients with a monthly maintenance regimen of 150 mg achieved a PASI 75 of 62.1% and a PASI 90 of 45.8% after 52 weeks of treatment.</w:t>
      </w:r>
      <w:r w:rsidR="00C219D7">
        <w:t xml:space="preserve"> T</w:t>
      </w:r>
      <w:r>
        <w:t>herefore a fixed monthly maintenance regimen is recommended.</w:t>
      </w:r>
    </w:p>
    <w:p w:rsidR="00F45CAF" w:rsidDel="004C3437" w:rsidRDefault="00F45CAF" w:rsidP="009B3F7C">
      <w:pPr>
        <w:pStyle w:val="Heading3"/>
      </w:pPr>
      <w:r w:rsidDel="004C3437">
        <w:t>Quality of Life / Patient reported outcomes</w:t>
      </w:r>
    </w:p>
    <w:p w:rsidR="00F45CAF" w:rsidDel="004C3437" w:rsidRDefault="00F45CAF" w:rsidP="009B3F7C">
      <w:r w:rsidDel="004C3437">
        <w:t>Statistically significant improvements at week 12 (Studies 1-4) from baseline compared to placebo were demonstrated in the DLQI (Dermatology Life Quality Index), these improvements were maintained for 52 weeks (Studies 1 and 2).</w:t>
      </w:r>
    </w:p>
    <w:p w:rsidR="006C2CB8" w:rsidDel="004C3437" w:rsidRDefault="00F45CAF" w:rsidP="009B3F7C">
      <w:r w:rsidDel="004C3437">
        <w:t>Statistically significant improvements at week 12 from baseline compared to placebo (</w:t>
      </w:r>
      <w:r w:rsidR="007D7174" w:rsidRPr="007D7174">
        <w:t xml:space="preserve">ERASURE and FIXTURE </w:t>
      </w:r>
      <w:r w:rsidDel="004C3437">
        <w:t>Studies) in patient reported signs and symptoms of itching, pain and scaling were demonstrated in the validated Psoriasis Symptom Diary.</w:t>
      </w:r>
    </w:p>
    <w:p w:rsidR="006C2CB8" w:rsidRDefault="006C2CB8" w:rsidP="009B3F7C">
      <w:pPr>
        <w:pStyle w:val="Heading1"/>
      </w:pPr>
    </w:p>
    <w:p w:rsidR="00F55A14" w:rsidRDefault="00F22127" w:rsidP="009B3F7C">
      <w:pPr>
        <w:pStyle w:val="Heading1"/>
      </w:pPr>
      <w:r w:rsidRPr="00D766FE">
        <w:t>INDICATION</w:t>
      </w:r>
    </w:p>
    <w:p w:rsidR="00197302" w:rsidRPr="008F0128" w:rsidRDefault="004A07E2" w:rsidP="009B3F7C">
      <w:proofErr w:type="spellStart"/>
      <w:r>
        <w:t>Cosentyx</w:t>
      </w:r>
      <w:proofErr w:type="spellEnd"/>
      <w:r w:rsidR="00893413" w:rsidRPr="008F0128">
        <w:t xml:space="preserve"> </w:t>
      </w:r>
      <w:r w:rsidR="00197302" w:rsidRPr="008F0128">
        <w:t>is indicated for the treatment of moderate to severe plaque</w:t>
      </w:r>
      <w:r w:rsidR="009219B6">
        <w:t xml:space="preserve"> </w:t>
      </w:r>
      <w:r w:rsidR="00197302" w:rsidRPr="008F0128">
        <w:t>psoriasis in adult patients who are candidates for systemic therapy</w:t>
      </w:r>
      <w:r w:rsidR="009219B6" w:rsidRPr="009219B6">
        <w:t xml:space="preserve"> </w:t>
      </w:r>
      <w:r w:rsidR="009219B6" w:rsidRPr="008F0128">
        <w:t>or phototherapy</w:t>
      </w:r>
      <w:r w:rsidR="00197302" w:rsidRPr="008F0128">
        <w:t>.</w:t>
      </w:r>
    </w:p>
    <w:p w:rsidR="00D3098B" w:rsidRPr="00B23FAF" w:rsidRDefault="00D3098B" w:rsidP="009B3F7C"/>
    <w:p w:rsidR="00F55A14" w:rsidRDefault="00F22127" w:rsidP="009B3F7C">
      <w:pPr>
        <w:pStyle w:val="Heading1"/>
      </w:pPr>
      <w:r w:rsidRPr="00D766FE">
        <w:t>CONTRAINDICATIONS</w:t>
      </w:r>
    </w:p>
    <w:p w:rsidR="00F14DB7" w:rsidRDefault="00DB0196" w:rsidP="009B3F7C">
      <w:r>
        <w:t>Severe h</w:t>
      </w:r>
      <w:r w:rsidR="00F14DB7" w:rsidRPr="008F0128">
        <w:t xml:space="preserve">ypersensitivity </w:t>
      </w:r>
      <w:r>
        <w:t xml:space="preserve">reactions </w:t>
      </w:r>
      <w:r w:rsidR="00F14DB7" w:rsidRPr="008F0128">
        <w:t>to the active substance or to any of the excipients</w:t>
      </w:r>
      <w:r>
        <w:t xml:space="preserve"> (see ingredients in DESCRIPTION, and ADVERSE EFFECTS)</w:t>
      </w:r>
      <w:r w:rsidR="00F14DB7" w:rsidRPr="008F0128">
        <w:t>.</w:t>
      </w:r>
    </w:p>
    <w:p w:rsidR="00271F24" w:rsidRPr="00271F24" w:rsidRDefault="00271F24" w:rsidP="009B3F7C">
      <w:pPr>
        <w:pStyle w:val="paragraph"/>
      </w:pPr>
    </w:p>
    <w:p w:rsidR="00B82375" w:rsidRPr="00D766FE" w:rsidRDefault="00F22127" w:rsidP="009B3F7C">
      <w:pPr>
        <w:pStyle w:val="Heading1"/>
      </w:pPr>
      <w:r w:rsidRPr="00D766FE">
        <w:t xml:space="preserve">PRECAUTIONS </w:t>
      </w:r>
    </w:p>
    <w:p w:rsidR="00C40BF7" w:rsidRPr="00C40BF7" w:rsidRDefault="00C40BF7" w:rsidP="009B3F7C">
      <w:pPr>
        <w:pStyle w:val="Heading2"/>
        <w:rPr>
          <w:lang w:val="en-US"/>
        </w:rPr>
      </w:pPr>
      <w:r w:rsidRPr="00C40BF7">
        <w:rPr>
          <w:lang w:val="en-US"/>
        </w:rPr>
        <w:t>Infections</w:t>
      </w:r>
    </w:p>
    <w:p w:rsidR="00C40BF7" w:rsidRPr="00AA3365" w:rsidRDefault="00C40BF7" w:rsidP="009B3F7C">
      <w:pPr>
        <w:rPr>
          <w:rFonts w:eastAsia="MS Mincho"/>
        </w:rPr>
      </w:pPr>
      <w:proofErr w:type="spellStart"/>
      <w:r w:rsidRPr="00AA3365">
        <w:rPr>
          <w:rFonts w:eastAsia="MS Mincho"/>
        </w:rPr>
        <w:t>Cosentyx</w:t>
      </w:r>
      <w:proofErr w:type="spellEnd"/>
      <w:r w:rsidRPr="00AA3365">
        <w:rPr>
          <w:rFonts w:eastAsia="MS Mincho"/>
        </w:rPr>
        <w:t xml:space="preserve"> has the potential to increase the risk of infections. In clinical studies, infections have been observed in patients receiving </w:t>
      </w:r>
      <w:proofErr w:type="spellStart"/>
      <w:r w:rsidRPr="00AA3365">
        <w:rPr>
          <w:rFonts w:eastAsia="MS Mincho"/>
        </w:rPr>
        <w:t>Cosentyx</w:t>
      </w:r>
      <w:proofErr w:type="spellEnd"/>
      <w:r w:rsidRPr="00AA3365">
        <w:rPr>
          <w:rFonts w:eastAsia="MS Mincho"/>
        </w:rPr>
        <w:t xml:space="preserve"> (see </w:t>
      </w:r>
      <w:r w:rsidRPr="0031739D">
        <w:rPr>
          <w:rFonts w:eastAsia="MS Mincho"/>
        </w:rPr>
        <w:t xml:space="preserve">ADVERSE </w:t>
      </w:r>
      <w:r>
        <w:rPr>
          <w:rFonts w:eastAsia="MS Mincho"/>
        </w:rPr>
        <w:t>EFFECTS</w:t>
      </w:r>
      <w:r w:rsidRPr="00AA3365">
        <w:rPr>
          <w:rFonts w:eastAsia="MS Mincho"/>
        </w:rPr>
        <w:t>). Most of these were mild or moderate.</w:t>
      </w:r>
    </w:p>
    <w:p w:rsidR="00C40BF7" w:rsidRPr="00AA3365" w:rsidRDefault="00C40BF7" w:rsidP="009B3F7C">
      <w:pPr>
        <w:rPr>
          <w:rFonts w:eastAsia="MS Mincho"/>
        </w:rPr>
      </w:pPr>
      <w:r w:rsidRPr="00AA3365">
        <w:rPr>
          <w:rFonts w:eastAsia="MS Mincho"/>
        </w:rPr>
        <w:t xml:space="preserve">Caution should be exercised when considering the use of </w:t>
      </w:r>
      <w:proofErr w:type="spellStart"/>
      <w:r w:rsidRPr="00AA3365">
        <w:rPr>
          <w:rFonts w:eastAsia="MS Mincho"/>
        </w:rPr>
        <w:t>Cosentyx</w:t>
      </w:r>
      <w:proofErr w:type="spellEnd"/>
      <w:r w:rsidRPr="00AA3365">
        <w:rPr>
          <w:rFonts w:eastAsia="MS Mincho"/>
        </w:rPr>
        <w:t xml:space="preserve"> in patients with a chronic infection or a history of recurrent infection.</w:t>
      </w:r>
    </w:p>
    <w:p w:rsidR="00C40BF7" w:rsidRPr="00AA3365" w:rsidRDefault="00C40BF7" w:rsidP="009B3F7C">
      <w:pPr>
        <w:rPr>
          <w:rFonts w:eastAsia="MS Mincho"/>
        </w:rPr>
      </w:pPr>
      <w:r w:rsidRPr="00AA3365">
        <w:rPr>
          <w:rFonts w:eastAsia="MS Mincho"/>
        </w:rPr>
        <w:t xml:space="preserve">Patients should be instructed to seek medical advice if signs or symptoms suggestive of an infection occur. If a patient develops a serious infection, the patient should be closely monitored and </w:t>
      </w:r>
      <w:proofErr w:type="spellStart"/>
      <w:r w:rsidRPr="00AA3365">
        <w:rPr>
          <w:rFonts w:eastAsia="MS Mincho"/>
        </w:rPr>
        <w:t>Cosentyx</w:t>
      </w:r>
      <w:proofErr w:type="spellEnd"/>
      <w:r w:rsidRPr="00AA3365">
        <w:rPr>
          <w:rFonts w:eastAsia="MS Mincho"/>
        </w:rPr>
        <w:t xml:space="preserve"> should not be administered until the infection resolves.</w:t>
      </w:r>
    </w:p>
    <w:p w:rsidR="00C40BF7" w:rsidRPr="00AA3365" w:rsidRDefault="00C40BF7" w:rsidP="009B3F7C">
      <w:pPr>
        <w:rPr>
          <w:rFonts w:eastAsia="MS Mincho"/>
        </w:rPr>
      </w:pPr>
      <w:r w:rsidRPr="00AA3365">
        <w:rPr>
          <w:rFonts w:eastAsia="MS Mincho"/>
        </w:rPr>
        <w:t xml:space="preserve">No increased susceptibility to tuberculosis was reported from clinical studies. However, </w:t>
      </w:r>
      <w:proofErr w:type="spellStart"/>
      <w:r w:rsidRPr="00AA3365">
        <w:rPr>
          <w:rFonts w:eastAsia="MS Mincho"/>
        </w:rPr>
        <w:t>Cosentyx</w:t>
      </w:r>
      <w:proofErr w:type="spellEnd"/>
      <w:r w:rsidRPr="00AA3365">
        <w:rPr>
          <w:rFonts w:eastAsia="MS Mincho"/>
        </w:rPr>
        <w:t xml:space="preserve"> should not be given to patients with active tuberculosis. Anti-tuberculosis therapy should be considered prior to initiation of </w:t>
      </w:r>
      <w:proofErr w:type="spellStart"/>
      <w:r w:rsidRPr="00AA3365">
        <w:rPr>
          <w:rFonts w:eastAsia="MS Mincho"/>
        </w:rPr>
        <w:t>Cosentyx</w:t>
      </w:r>
      <w:proofErr w:type="spellEnd"/>
      <w:r w:rsidRPr="00AA3365">
        <w:rPr>
          <w:rFonts w:eastAsia="MS Mincho"/>
        </w:rPr>
        <w:t xml:space="preserve"> in patients with latent tuberculosis.</w:t>
      </w:r>
    </w:p>
    <w:p w:rsidR="006A72C5" w:rsidRPr="006A72C5" w:rsidRDefault="006A72C5" w:rsidP="009B3F7C">
      <w:pPr>
        <w:pStyle w:val="Heading3"/>
        <w:rPr>
          <w:lang w:val="en-US"/>
        </w:rPr>
      </w:pPr>
      <w:r w:rsidRPr="006A72C5">
        <w:rPr>
          <w:lang w:val="en-US"/>
        </w:rPr>
        <w:t>Crohn’s disease</w:t>
      </w:r>
    </w:p>
    <w:p w:rsidR="006A72C5" w:rsidRPr="00AA3365" w:rsidRDefault="006A72C5" w:rsidP="009B3F7C">
      <w:pPr>
        <w:rPr>
          <w:rFonts w:eastAsia="MS Mincho"/>
        </w:rPr>
      </w:pPr>
      <w:r w:rsidRPr="00AA3365">
        <w:rPr>
          <w:rFonts w:eastAsia="MS Mincho"/>
        </w:rPr>
        <w:t xml:space="preserve">Caution should be exercised, when prescribing </w:t>
      </w:r>
      <w:proofErr w:type="spellStart"/>
      <w:r w:rsidRPr="00AA3365">
        <w:rPr>
          <w:rFonts w:eastAsia="MS Mincho"/>
        </w:rPr>
        <w:t>Cosentyx</w:t>
      </w:r>
      <w:proofErr w:type="spellEnd"/>
      <w:r w:rsidRPr="00AA3365">
        <w:rPr>
          <w:rFonts w:eastAsia="MS Mincho"/>
        </w:rPr>
        <w:t xml:space="preserve"> to patients with active Crohn’s disease as exacerbations of Crohn’s disease, in some cases serious, were observed in clinical studies in both </w:t>
      </w:r>
      <w:proofErr w:type="spellStart"/>
      <w:r w:rsidRPr="00AA3365">
        <w:rPr>
          <w:rFonts w:eastAsia="MS Mincho"/>
        </w:rPr>
        <w:t>Cosentyx</w:t>
      </w:r>
      <w:proofErr w:type="spellEnd"/>
      <w:r w:rsidRPr="00AA3365">
        <w:rPr>
          <w:rFonts w:eastAsia="MS Mincho"/>
        </w:rPr>
        <w:t xml:space="preserve"> and placebo groups. Patients who are treated with </w:t>
      </w:r>
      <w:proofErr w:type="spellStart"/>
      <w:r w:rsidRPr="00AA3365">
        <w:rPr>
          <w:rFonts w:eastAsia="MS Mincho"/>
        </w:rPr>
        <w:t>Cosentyx</w:t>
      </w:r>
      <w:proofErr w:type="spellEnd"/>
      <w:r w:rsidRPr="00AA3365">
        <w:rPr>
          <w:rFonts w:eastAsia="MS Mincho"/>
        </w:rPr>
        <w:t xml:space="preserve"> and have active Crohn’s disease should be followed closely.</w:t>
      </w:r>
    </w:p>
    <w:p w:rsidR="002B36EF" w:rsidRPr="002B36EF" w:rsidRDefault="002B36EF" w:rsidP="009B3F7C">
      <w:pPr>
        <w:pStyle w:val="Heading3"/>
        <w:rPr>
          <w:lang w:val="en-US"/>
        </w:rPr>
      </w:pPr>
      <w:r w:rsidRPr="002B36EF">
        <w:rPr>
          <w:lang w:val="en-US"/>
        </w:rPr>
        <w:lastRenderedPageBreak/>
        <w:t>Hypersensitivity reactions</w:t>
      </w:r>
    </w:p>
    <w:p w:rsidR="002B36EF" w:rsidRPr="00AA3365" w:rsidRDefault="002B36EF" w:rsidP="009B3F7C">
      <w:pPr>
        <w:rPr>
          <w:rFonts w:eastAsia="MS Mincho"/>
        </w:rPr>
      </w:pPr>
      <w:r w:rsidRPr="00AA3365">
        <w:rPr>
          <w:rFonts w:eastAsia="MS Mincho"/>
        </w:rPr>
        <w:t xml:space="preserve">If an anaphylactic or other serious allergic reaction occurs, administration of </w:t>
      </w:r>
      <w:proofErr w:type="spellStart"/>
      <w:r w:rsidRPr="00AA3365">
        <w:rPr>
          <w:rFonts w:eastAsia="MS Mincho"/>
        </w:rPr>
        <w:t>Cosentyx</w:t>
      </w:r>
      <w:proofErr w:type="spellEnd"/>
      <w:r w:rsidRPr="00AA3365">
        <w:rPr>
          <w:rFonts w:eastAsia="MS Mincho"/>
        </w:rPr>
        <w:t xml:space="preserve"> should be discontinued immediately an</w:t>
      </w:r>
      <w:r w:rsidRPr="0031739D">
        <w:rPr>
          <w:rFonts w:eastAsia="MS Mincho"/>
        </w:rPr>
        <w:t>d appropriate therapy initiated</w:t>
      </w:r>
      <w:r w:rsidRPr="00AA3365">
        <w:rPr>
          <w:rFonts w:eastAsia="MS Mincho"/>
        </w:rPr>
        <w:t>.</w:t>
      </w:r>
    </w:p>
    <w:p w:rsidR="00344F1D" w:rsidRPr="00110D51" w:rsidRDefault="00344F1D" w:rsidP="009B3F7C">
      <w:pPr>
        <w:pStyle w:val="Heading3"/>
        <w:rPr>
          <w:lang w:val="en-US"/>
        </w:rPr>
      </w:pPr>
      <w:r w:rsidRPr="00110D51">
        <w:rPr>
          <w:lang w:val="en-US"/>
        </w:rPr>
        <w:t xml:space="preserve">Latex-sensitive individuals – prefilled-syringe/pen only </w:t>
      </w:r>
    </w:p>
    <w:p w:rsidR="00344F1D" w:rsidRPr="008D02A2" w:rsidRDefault="00344F1D" w:rsidP="009B3F7C">
      <w:pPr>
        <w:rPr>
          <w:rFonts w:eastAsia="MS Mincho"/>
        </w:rPr>
      </w:pPr>
      <w:r w:rsidRPr="00344F1D">
        <w:rPr>
          <w:rFonts w:eastAsia="MS Mincho"/>
        </w:rPr>
        <w:t xml:space="preserve">The removable cap of the </w:t>
      </w:r>
      <w:proofErr w:type="spellStart"/>
      <w:r w:rsidRPr="00344F1D">
        <w:rPr>
          <w:rFonts w:eastAsia="MS Mincho"/>
        </w:rPr>
        <w:t>Cosentyx</w:t>
      </w:r>
      <w:proofErr w:type="spellEnd"/>
      <w:r w:rsidRPr="00344F1D">
        <w:rPr>
          <w:rFonts w:eastAsia="MS Mincho"/>
        </w:rPr>
        <w:t xml:space="preserve"> pre-filled syringe/pen contains a derivative of natural rubber latex. Although no natural rubber latex is detected in the cap, the safe use of </w:t>
      </w:r>
      <w:proofErr w:type="spellStart"/>
      <w:r w:rsidRPr="00344F1D">
        <w:rPr>
          <w:rFonts w:eastAsia="MS Mincho"/>
        </w:rPr>
        <w:t>Cosentyx</w:t>
      </w:r>
      <w:proofErr w:type="spellEnd"/>
      <w:r w:rsidRPr="00344F1D">
        <w:rPr>
          <w:rFonts w:eastAsia="MS Mincho"/>
        </w:rPr>
        <w:t xml:space="preserve"> pre-filled syringe/pen in latex-sensitive individuals has not been studied.</w:t>
      </w:r>
    </w:p>
    <w:p w:rsidR="000D2540" w:rsidRPr="00B23FAF" w:rsidRDefault="000D2540" w:rsidP="009B3F7C">
      <w:pPr>
        <w:pStyle w:val="Heading3"/>
        <w:rPr>
          <w:lang w:val="en-US"/>
        </w:rPr>
      </w:pPr>
      <w:r w:rsidRPr="00B23FAF">
        <w:rPr>
          <w:lang w:val="en-US"/>
        </w:rPr>
        <w:t>Vaccinations</w:t>
      </w:r>
    </w:p>
    <w:p w:rsidR="000D2540" w:rsidRDefault="004C2B15" w:rsidP="009B3F7C">
      <w:pPr>
        <w:rPr>
          <w:color w:val="000000"/>
        </w:rPr>
      </w:pPr>
      <w:r>
        <w:rPr>
          <w:rFonts w:eastAsia="MS Mincho"/>
        </w:rPr>
        <w:t>L</w:t>
      </w:r>
      <w:r w:rsidR="000D2540" w:rsidRPr="00C550F0">
        <w:rPr>
          <w:rFonts w:eastAsia="MS Mincho"/>
        </w:rPr>
        <w:t xml:space="preserve">ive vaccines should not be given concurrently with </w:t>
      </w:r>
      <w:proofErr w:type="spellStart"/>
      <w:r w:rsidR="000D2540">
        <w:t>Cosentyx</w:t>
      </w:r>
      <w:proofErr w:type="spellEnd"/>
      <w:r w:rsidR="000D2540">
        <w:t xml:space="preserve"> (see INTERACTIONS WITH OTHER MEDICINES)</w:t>
      </w:r>
      <w:r w:rsidR="000D2540" w:rsidRPr="00C550F0">
        <w:rPr>
          <w:rFonts w:eastAsia="MS Mincho"/>
        </w:rPr>
        <w:t>.</w:t>
      </w:r>
      <w:r w:rsidR="000D2540">
        <w:rPr>
          <w:rFonts w:eastAsia="MS Mincho"/>
        </w:rPr>
        <w:t xml:space="preserve"> </w:t>
      </w:r>
    </w:p>
    <w:p w:rsidR="000D2540" w:rsidRPr="008F0128" w:rsidRDefault="000D2540" w:rsidP="009B3F7C">
      <w:pPr>
        <w:rPr>
          <w:rFonts w:eastAsia="MS Mincho"/>
        </w:rPr>
      </w:pPr>
      <w:r w:rsidRPr="008F0128">
        <w:rPr>
          <w:rFonts w:eastAsia="MS Mincho"/>
        </w:rPr>
        <w:t xml:space="preserve">Patients treated with </w:t>
      </w:r>
      <w:proofErr w:type="spellStart"/>
      <w:r>
        <w:rPr>
          <w:rFonts w:eastAsia="MS Mincho"/>
        </w:rPr>
        <w:t>Cosentyx</w:t>
      </w:r>
      <w:proofErr w:type="spellEnd"/>
      <w:r w:rsidRPr="008F0128">
        <w:rPr>
          <w:rFonts w:eastAsia="MS Mincho"/>
        </w:rPr>
        <w:t xml:space="preserve"> may receive vaccinations, except for live vaccines. In a study, after </w:t>
      </w:r>
      <w:r w:rsidRPr="001D0690">
        <w:rPr>
          <w:rStyle w:val="Emphasis"/>
          <w:rFonts w:eastAsia="MS Mincho"/>
        </w:rPr>
        <w:t>meningococcal</w:t>
      </w:r>
      <w:r w:rsidRPr="008F0128">
        <w:rPr>
          <w:rFonts w:eastAsia="MS Mincho"/>
        </w:rPr>
        <w:t xml:space="preserve"> and</w:t>
      </w:r>
      <w:r>
        <w:rPr>
          <w:rFonts w:eastAsia="MS Mincho"/>
        </w:rPr>
        <w:t xml:space="preserve"> inactivated</w:t>
      </w:r>
      <w:r w:rsidRPr="008F0128">
        <w:rPr>
          <w:rFonts w:eastAsia="MS Mincho"/>
        </w:rPr>
        <w:t xml:space="preserve"> </w:t>
      </w:r>
      <w:r w:rsidRPr="001D0690">
        <w:rPr>
          <w:rStyle w:val="Emphasis"/>
          <w:rFonts w:eastAsia="MS Mincho"/>
        </w:rPr>
        <w:t>influenza</w:t>
      </w:r>
      <w:r w:rsidRPr="008F0128">
        <w:rPr>
          <w:rFonts w:eastAsia="MS Mincho"/>
        </w:rPr>
        <w:t xml:space="preserve"> vaccinations, a similar proportion of </w:t>
      </w:r>
      <w:proofErr w:type="spellStart"/>
      <w:r>
        <w:rPr>
          <w:rFonts w:eastAsia="MS Mincho"/>
        </w:rPr>
        <w:t>Cosentyx</w:t>
      </w:r>
      <w:proofErr w:type="spellEnd"/>
      <w:r w:rsidRPr="008F0128">
        <w:rPr>
          <w:rFonts w:eastAsia="MS Mincho"/>
        </w:rPr>
        <w:t xml:space="preserve">-treated and placebo-treated patients were able to mount an adequate immune response of at least a </w:t>
      </w:r>
      <w:r w:rsidR="004C2B15">
        <w:rPr>
          <w:rFonts w:eastAsia="MS Mincho"/>
        </w:rPr>
        <w:t>4</w:t>
      </w:r>
      <w:r w:rsidRPr="008F0128">
        <w:rPr>
          <w:rFonts w:eastAsia="MS Mincho"/>
        </w:rPr>
        <w:t>-fold increase in antibody tit</w:t>
      </w:r>
      <w:r>
        <w:rPr>
          <w:rFonts w:eastAsia="MS Mincho"/>
        </w:rPr>
        <w:t>re</w:t>
      </w:r>
      <w:r w:rsidRPr="008F0128">
        <w:rPr>
          <w:rFonts w:eastAsia="MS Mincho"/>
        </w:rPr>
        <w:t xml:space="preserve">s to </w:t>
      </w:r>
      <w:r w:rsidRPr="001D0690">
        <w:rPr>
          <w:rStyle w:val="Emphasis"/>
          <w:rFonts w:eastAsia="MS Mincho"/>
        </w:rPr>
        <w:t>meningococcal</w:t>
      </w:r>
      <w:r w:rsidRPr="008F0128">
        <w:rPr>
          <w:rFonts w:eastAsia="MS Mincho"/>
        </w:rPr>
        <w:t xml:space="preserve"> or </w:t>
      </w:r>
      <w:r w:rsidRPr="001D0690">
        <w:rPr>
          <w:rStyle w:val="Emphasis"/>
          <w:rFonts w:eastAsia="MS Mincho"/>
        </w:rPr>
        <w:t>influenza</w:t>
      </w:r>
      <w:r w:rsidRPr="008F0128">
        <w:rPr>
          <w:rFonts w:eastAsia="MS Mincho"/>
        </w:rPr>
        <w:t xml:space="preserve"> </w:t>
      </w:r>
      <w:r w:rsidRPr="004B0E20">
        <w:rPr>
          <w:rStyle w:val="Heading5Char"/>
          <w:b w:val="0"/>
          <w:i w:val="0"/>
        </w:rPr>
        <w:t>vaccines</w:t>
      </w:r>
      <w:r w:rsidRPr="008F0128">
        <w:rPr>
          <w:rFonts w:eastAsia="MS Mincho"/>
        </w:rPr>
        <w:t xml:space="preserve">. The data suggest that </w:t>
      </w:r>
      <w:proofErr w:type="spellStart"/>
      <w:r>
        <w:rPr>
          <w:rFonts w:eastAsia="MS Mincho"/>
        </w:rPr>
        <w:t>Cosentyx</w:t>
      </w:r>
      <w:proofErr w:type="spellEnd"/>
      <w:r w:rsidRPr="008F0128">
        <w:rPr>
          <w:rFonts w:eastAsia="MS Mincho"/>
        </w:rPr>
        <w:t xml:space="preserve"> does not suppress the humoral immune response to the meningococcal and influenza vaccines. </w:t>
      </w:r>
    </w:p>
    <w:p w:rsidR="00446A43" w:rsidRDefault="000D2540" w:rsidP="009B3F7C">
      <w:pPr>
        <w:rPr>
          <w:rFonts w:eastAsia="MS Mincho"/>
        </w:rPr>
      </w:pPr>
      <w:r w:rsidRPr="008D02A2">
        <w:rPr>
          <w:rFonts w:eastAsia="MS Mincho"/>
        </w:rPr>
        <w:t xml:space="preserve">Patients receiving </w:t>
      </w:r>
      <w:proofErr w:type="spellStart"/>
      <w:r>
        <w:t>Cosentyx</w:t>
      </w:r>
      <w:proofErr w:type="spellEnd"/>
      <w:r w:rsidRPr="008D02A2">
        <w:rPr>
          <w:rFonts w:eastAsia="MS Mincho"/>
        </w:rPr>
        <w:t xml:space="preserve"> may receive concurrent inactivated or non-live vaccinations.</w:t>
      </w:r>
    </w:p>
    <w:p w:rsidR="00B82375" w:rsidRDefault="00F22127" w:rsidP="009B3F7C">
      <w:pPr>
        <w:pStyle w:val="Heading2"/>
      </w:pPr>
      <w:r w:rsidRPr="00D766FE">
        <w:t xml:space="preserve">Use in Patients with </w:t>
      </w:r>
      <w:r w:rsidR="00452998" w:rsidRPr="00D766FE">
        <w:t xml:space="preserve">Hepatic </w:t>
      </w:r>
      <w:r w:rsidR="00452998">
        <w:t xml:space="preserve">or </w:t>
      </w:r>
      <w:r w:rsidRPr="00D766FE">
        <w:t>Renal Impairment</w:t>
      </w:r>
    </w:p>
    <w:p w:rsidR="008F0128" w:rsidRPr="008F0128" w:rsidRDefault="00452998" w:rsidP="009B3F7C">
      <w:pPr>
        <w:pStyle w:val="paragraph"/>
      </w:pPr>
      <w:r w:rsidRPr="00452998">
        <w:t>No data are available in patients with hepatic or renal impairment.</w:t>
      </w:r>
    </w:p>
    <w:p w:rsidR="00B82375" w:rsidRDefault="00F22127" w:rsidP="009B3F7C">
      <w:pPr>
        <w:pStyle w:val="Heading2"/>
      </w:pPr>
      <w:r w:rsidRPr="00D766FE">
        <w:t>Fertility</w:t>
      </w:r>
    </w:p>
    <w:p w:rsidR="00546608" w:rsidRDefault="00921DBD" w:rsidP="009B3F7C">
      <w:pPr>
        <w:rPr>
          <w:rFonts w:eastAsia="MS Mincho"/>
        </w:rPr>
      </w:pPr>
      <w:r w:rsidRPr="00921DBD">
        <w:rPr>
          <w:rFonts w:eastAsia="MS Mincho"/>
        </w:rPr>
        <w:t xml:space="preserve">The effect of </w:t>
      </w:r>
      <w:proofErr w:type="spellStart"/>
      <w:r w:rsidRPr="00921DBD">
        <w:rPr>
          <w:rFonts w:eastAsia="MS Mincho"/>
        </w:rPr>
        <w:t>Cosentyx</w:t>
      </w:r>
      <w:proofErr w:type="spellEnd"/>
      <w:r w:rsidRPr="00921DBD">
        <w:rPr>
          <w:rFonts w:eastAsia="MS Mincho"/>
        </w:rPr>
        <w:t xml:space="preserve"> on human fertility has not been evaluated. </w:t>
      </w:r>
    </w:p>
    <w:p w:rsidR="00921DBD" w:rsidRDefault="00921DBD" w:rsidP="009B3F7C">
      <w:pPr>
        <w:rPr>
          <w:rFonts w:eastAsia="MS Mincho"/>
        </w:rPr>
      </w:pPr>
      <w:r w:rsidRPr="00921DBD">
        <w:rPr>
          <w:rFonts w:eastAsia="MS Mincho"/>
        </w:rPr>
        <w:t>Animal studies do not indicate direct or indirect harmful effects with respect to fertility.</w:t>
      </w:r>
    </w:p>
    <w:p w:rsidR="00E62B1A" w:rsidRDefault="00E62B1A" w:rsidP="009B3F7C">
      <w:pPr>
        <w:rPr>
          <w:rFonts w:eastAsia="MS Mincho"/>
        </w:rPr>
      </w:pPr>
      <w:r>
        <w:rPr>
          <w:lang w:val="en-US"/>
        </w:rPr>
        <w:t>Fertility was unaffected in mice treated with an anti-murine IL17-A antibody.</w:t>
      </w:r>
    </w:p>
    <w:p w:rsidR="00344F1D" w:rsidRPr="00110D51" w:rsidRDefault="00344F1D" w:rsidP="009B3F7C">
      <w:pPr>
        <w:pStyle w:val="Heading2"/>
      </w:pPr>
      <w:r w:rsidRPr="00110D51">
        <w:t>Women of child-bearing potential</w:t>
      </w:r>
    </w:p>
    <w:p w:rsidR="00344F1D" w:rsidRPr="00110D51" w:rsidRDefault="00344F1D" w:rsidP="009B3F7C">
      <w:pPr>
        <w:pStyle w:val="paragraph"/>
        <w:rPr>
          <w:rFonts w:eastAsia="MS Mincho"/>
        </w:rPr>
      </w:pPr>
      <w:r w:rsidRPr="00110D51">
        <w:rPr>
          <w:rFonts w:eastAsia="MS Mincho"/>
        </w:rPr>
        <w:t>There are no special recommendations for women of child-bearing potential.</w:t>
      </w:r>
    </w:p>
    <w:p w:rsidR="00B82375" w:rsidRPr="00AA3365" w:rsidRDefault="00F22127" w:rsidP="009B3F7C">
      <w:pPr>
        <w:pStyle w:val="Heading2"/>
      </w:pPr>
      <w:r w:rsidRPr="00AA3365">
        <w:t xml:space="preserve">Use in Pregnancy (Category </w:t>
      </w:r>
      <w:r w:rsidR="00DE7166">
        <w:t>C</w:t>
      </w:r>
      <w:r w:rsidRPr="00AA3365">
        <w:t>)</w:t>
      </w:r>
    </w:p>
    <w:p w:rsidR="00E62B1A" w:rsidRPr="00F84DBE" w:rsidRDefault="00854745" w:rsidP="009B3F7C">
      <w:pPr>
        <w:rPr>
          <w:rFonts w:ascii="Cambria" w:hAnsi="Cambria" w:cs="Cambria"/>
          <w:color w:val="231F20"/>
          <w:sz w:val="22"/>
          <w:szCs w:val="22"/>
          <w:lang w:val="en-US"/>
        </w:rPr>
      </w:pPr>
      <w:r w:rsidRPr="00B23FAF">
        <w:rPr>
          <w:rFonts w:eastAsia="MS Mincho"/>
        </w:rPr>
        <w:t xml:space="preserve">There </w:t>
      </w:r>
      <w:r w:rsidR="00050E04">
        <w:rPr>
          <w:rFonts w:eastAsia="MS Mincho"/>
        </w:rPr>
        <w:t xml:space="preserve">are </w:t>
      </w:r>
      <w:r w:rsidR="000D0993">
        <w:rPr>
          <w:rFonts w:eastAsia="MS Mincho"/>
        </w:rPr>
        <w:t xml:space="preserve">no adequate </w:t>
      </w:r>
      <w:r w:rsidRPr="00B23FAF">
        <w:rPr>
          <w:rFonts w:eastAsia="MS Mincho"/>
        </w:rPr>
        <w:t xml:space="preserve">data from the use of </w:t>
      </w:r>
      <w:proofErr w:type="spellStart"/>
      <w:r w:rsidR="00344F1D">
        <w:rPr>
          <w:rFonts w:eastAsia="MS Mincho"/>
        </w:rPr>
        <w:t>Cosentyx</w:t>
      </w:r>
      <w:proofErr w:type="spellEnd"/>
      <w:r w:rsidRPr="00B23FAF">
        <w:rPr>
          <w:rFonts w:eastAsia="MS Mincho"/>
        </w:rPr>
        <w:t xml:space="preserve"> in pregnant women. </w:t>
      </w:r>
      <w:proofErr w:type="spellStart"/>
      <w:r w:rsidR="00DE7166">
        <w:rPr>
          <w:rFonts w:eastAsia="MS Mincho"/>
        </w:rPr>
        <w:t>Secukinumab</w:t>
      </w:r>
      <w:proofErr w:type="spellEnd"/>
      <w:r w:rsidR="00DE7166">
        <w:rPr>
          <w:rFonts w:eastAsia="MS Mincho"/>
        </w:rPr>
        <w:t xml:space="preserve"> was shown to cross the placenta in monkeys. Use of </w:t>
      </w:r>
      <w:proofErr w:type="spellStart"/>
      <w:r w:rsidR="00DE7166">
        <w:rPr>
          <w:rFonts w:eastAsia="MS Mincho"/>
        </w:rPr>
        <w:t>secukinumab</w:t>
      </w:r>
      <w:proofErr w:type="spellEnd"/>
      <w:r w:rsidR="00DE7166">
        <w:rPr>
          <w:rFonts w:eastAsia="MS Mincho"/>
        </w:rPr>
        <w:t xml:space="preserve"> during pregnancy may compromise the immunity of the </w:t>
      </w:r>
      <w:proofErr w:type="spellStart"/>
      <w:r w:rsidR="00DE7166">
        <w:rPr>
          <w:rFonts w:eastAsia="MS Mincho"/>
        </w:rPr>
        <w:t>fetus</w:t>
      </w:r>
      <w:proofErr w:type="spellEnd"/>
      <w:r w:rsidR="00DE7166">
        <w:rPr>
          <w:rFonts w:eastAsia="MS Mincho"/>
        </w:rPr>
        <w:t xml:space="preserve"> and neonate.</w:t>
      </w:r>
    </w:p>
    <w:p w:rsidR="00DF46D5" w:rsidRDefault="00296E07" w:rsidP="009B3F7C">
      <w:pPr>
        <w:rPr>
          <w:rFonts w:eastAsia="MS Mincho"/>
        </w:rPr>
      </w:pPr>
      <w:r w:rsidRPr="00296E07">
        <w:rPr>
          <w:rFonts w:eastAsia="MS Mincho"/>
        </w:rPr>
        <w:t xml:space="preserve">In an </w:t>
      </w:r>
      <w:proofErr w:type="spellStart"/>
      <w:r w:rsidRPr="00296E07">
        <w:rPr>
          <w:rFonts w:eastAsia="MS Mincho"/>
        </w:rPr>
        <w:t>embryofetal</w:t>
      </w:r>
      <w:proofErr w:type="spellEnd"/>
      <w:r w:rsidRPr="00296E07">
        <w:rPr>
          <w:rFonts w:eastAsia="MS Mincho"/>
        </w:rPr>
        <w:t xml:space="preserve"> development study in </w:t>
      </w:r>
      <w:proofErr w:type="spellStart"/>
      <w:r w:rsidRPr="00296E07">
        <w:rPr>
          <w:rFonts w:eastAsia="MS Mincho"/>
        </w:rPr>
        <w:t>cynomolgus</w:t>
      </w:r>
      <w:proofErr w:type="spellEnd"/>
      <w:r w:rsidRPr="00296E07">
        <w:rPr>
          <w:rFonts w:eastAsia="MS Mincho"/>
        </w:rPr>
        <w:t xml:space="preserve"> monkeys, </w:t>
      </w:r>
      <w:proofErr w:type="spellStart"/>
      <w:r w:rsidR="0096666C">
        <w:rPr>
          <w:rFonts w:eastAsia="MS Mincho"/>
        </w:rPr>
        <w:t>s</w:t>
      </w:r>
      <w:r w:rsidRPr="00296E07">
        <w:rPr>
          <w:rFonts w:eastAsia="MS Mincho"/>
        </w:rPr>
        <w:t>ecukinumab</w:t>
      </w:r>
      <w:proofErr w:type="spellEnd"/>
      <w:r w:rsidRPr="00296E07">
        <w:rPr>
          <w:rFonts w:eastAsia="MS Mincho"/>
        </w:rPr>
        <w:t xml:space="preserve"> showed no maternal toxicity, </w:t>
      </w:r>
      <w:proofErr w:type="spellStart"/>
      <w:r w:rsidRPr="00296E07">
        <w:rPr>
          <w:rFonts w:eastAsia="MS Mincho"/>
        </w:rPr>
        <w:t>embryo</w:t>
      </w:r>
      <w:r w:rsidR="00DE7166">
        <w:rPr>
          <w:rFonts w:eastAsia="MS Mincho"/>
        </w:rPr>
        <w:t>fetal</w:t>
      </w:r>
      <w:proofErr w:type="spellEnd"/>
      <w:r w:rsidR="00DE7166">
        <w:rPr>
          <w:rFonts w:eastAsia="MS Mincho"/>
        </w:rPr>
        <w:t xml:space="preserve"> </w:t>
      </w:r>
      <w:r w:rsidRPr="00296E07">
        <w:rPr>
          <w:rFonts w:eastAsia="MS Mincho"/>
        </w:rPr>
        <w:t>toxicity or teratogenicity when administered throughout organogenesis and late gestation</w:t>
      </w:r>
      <w:r w:rsidR="00DE7166">
        <w:rPr>
          <w:rFonts w:eastAsia="MS Mincho"/>
        </w:rPr>
        <w:t xml:space="preserve"> at up to 150mg/kg/week</w:t>
      </w:r>
      <w:r w:rsidRPr="00296E07">
        <w:rPr>
          <w:rFonts w:eastAsia="MS Mincho"/>
        </w:rPr>
        <w:t>.</w:t>
      </w:r>
    </w:p>
    <w:p w:rsidR="00FC5355" w:rsidRPr="001642AF" w:rsidRDefault="00FC5355" w:rsidP="009B3F7C">
      <w:pPr>
        <w:rPr>
          <w:rFonts w:eastAsia="MS Mincho"/>
          <w:b/>
        </w:rPr>
      </w:pPr>
      <w:proofErr w:type="spellStart"/>
      <w:r w:rsidRPr="00921DBD">
        <w:rPr>
          <w:rFonts w:eastAsia="MS Mincho"/>
        </w:rPr>
        <w:t>Cosentyx</w:t>
      </w:r>
      <w:proofErr w:type="spellEnd"/>
      <w:r w:rsidRPr="00921DBD">
        <w:rPr>
          <w:rFonts w:eastAsia="MS Mincho"/>
        </w:rPr>
        <w:t xml:space="preserve"> </w:t>
      </w:r>
      <w:r w:rsidRPr="00B23FAF">
        <w:rPr>
          <w:rFonts w:eastAsia="MS Mincho"/>
        </w:rPr>
        <w:t xml:space="preserve">should be </w:t>
      </w:r>
      <w:r>
        <w:rPr>
          <w:rFonts w:eastAsia="MS Mincho"/>
        </w:rPr>
        <w:t>used in</w:t>
      </w:r>
      <w:r w:rsidRPr="00B23FAF">
        <w:rPr>
          <w:rFonts w:eastAsia="MS Mincho"/>
        </w:rPr>
        <w:t xml:space="preserve"> pregnan</w:t>
      </w:r>
      <w:r>
        <w:rPr>
          <w:rFonts w:eastAsia="MS Mincho"/>
        </w:rPr>
        <w:t>cy</w:t>
      </w:r>
      <w:r w:rsidRPr="00B23FAF">
        <w:rPr>
          <w:rFonts w:eastAsia="MS Mincho"/>
        </w:rPr>
        <w:t xml:space="preserve"> only if </w:t>
      </w:r>
      <w:r>
        <w:rPr>
          <w:rFonts w:eastAsia="MS Mincho"/>
        </w:rPr>
        <w:t>the benefits clearly outweigh the potential risks</w:t>
      </w:r>
      <w:r w:rsidRPr="00B23FAF">
        <w:rPr>
          <w:rFonts w:eastAsia="MS Mincho"/>
        </w:rPr>
        <w:t>.</w:t>
      </w:r>
    </w:p>
    <w:p w:rsidR="00DE7166" w:rsidRPr="00B23FAF" w:rsidRDefault="00DE7166" w:rsidP="009B3F7C">
      <w:pPr>
        <w:rPr>
          <w:rFonts w:eastAsia="MS Mincho"/>
          <w:b/>
        </w:rPr>
      </w:pPr>
      <w:r>
        <w:rPr>
          <w:rFonts w:eastAsia="MS Mincho"/>
        </w:rPr>
        <w:t xml:space="preserve">If </w:t>
      </w:r>
      <w:proofErr w:type="spellStart"/>
      <w:r>
        <w:rPr>
          <w:rFonts w:eastAsia="MS Mincho"/>
        </w:rPr>
        <w:t>secukinumab</w:t>
      </w:r>
      <w:proofErr w:type="spellEnd"/>
      <w:r>
        <w:rPr>
          <w:rFonts w:eastAsia="MS Mincho"/>
        </w:rPr>
        <w:t xml:space="preserve"> has been used during pregnancy, administration of live v</w:t>
      </w:r>
      <w:r w:rsidR="00E2150B">
        <w:rPr>
          <w:rFonts w:eastAsia="MS Mincho"/>
        </w:rPr>
        <w:t>a</w:t>
      </w:r>
      <w:r>
        <w:rPr>
          <w:rFonts w:eastAsia="MS Mincho"/>
        </w:rPr>
        <w:t xml:space="preserve">ccines to newborns/ infants for 16 weeks after the mother’s last dose of </w:t>
      </w:r>
      <w:proofErr w:type="spellStart"/>
      <w:r>
        <w:rPr>
          <w:rFonts w:eastAsia="MS Mincho"/>
        </w:rPr>
        <w:t>secukinumab</w:t>
      </w:r>
      <w:proofErr w:type="spellEnd"/>
      <w:r>
        <w:rPr>
          <w:rFonts w:eastAsia="MS Mincho"/>
        </w:rPr>
        <w:t xml:space="preserve"> is generally not recommended.</w:t>
      </w:r>
    </w:p>
    <w:p w:rsidR="00F55A14" w:rsidRDefault="00F22127" w:rsidP="009B3F7C">
      <w:pPr>
        <w:pStyle w:val="Heading2"/>
      </w:pPr>
      <w:r w:rsidRPr="00D766FE">
        <w:t>Use in Lactation</w:t>
      </w:r>
    </w:p>
    <w:p w:rsidR="00445085" w:rsidRPr="00B23FAF" w:rsidRDefault="00714023" w:rsidP="009B3F7C">
      <w:pPr>
        <w:rPr>
          <w:rFonts w:eastAsia="MS Mincho"/>
          <w:b/>
        </w:rPr>
      </w:pPr>
      <w:r w:rsidRPr="00714023">
        <w:rPr>
          <w:rFonts w:eastAsia="MS Mincho"/>
        </w:rPr>
        <w:t xml:space="preserve">It is not known whether </w:t>
      </w:r>
      <w:proofErr w:type="spellStart"/>
      <w:r w:rsidRPr="00714023">
        <w:rPr>
          <w:rFonts w:eastAsia="MS Mincho"/>
        </w:rPr>
        <w:t>secukinumab</w:t>
      </w:r>
      <w:proofErr w:type="spellEnd"/>
      <w:r w:rsidRPr="00714023">
        <w:rPr>
          <w:rFonts w:eastAsia="MS Mincho"/>
        </w:rPr>
        <w:t xml:space="preserve"> is excreted in human milk. Because immunoglobulins are excreted in human milk, caution should be exercised when </w:t>
      </w:r>
      <w:proofErr w:type="spellStart"/>
      <w:r w:rsidRPr="00714023">
        <w:rPr>
          <w:rFonts w:eastAsia="MS Mincho"/>
        </w:rPr>
        <w:t>Cosentyx</w:t>
      </w:r>
      <w:proofErr w:type="spellEnd"/>
      <w:r w:rsidRPr="00714023">
        <w:rPr>
          <w:rFonts w:eastAsia="MS Mincho"/>
        </w:rPr>
        <w:t xml:space="preserve"> is</w:t>
      </w:r>
      <w:r w:rsidRPr="00F32036">
        <w:rPr>
          <w:rFonts w:eastAsia="MS Mincho"/>
        </w:rPr>
        <w:t xml:space="preserve"> administered to a </w:t>
      </w:r>
      <w:r w:rsidRPr="00714023">
        <w:rPr>
          <w:rFonts w:eastAsia="MS Mincho"/>
        </w:rPr>
        <w:t>woman who is breast-feeding</w:t>
      </w:r>
      <w:r w:rsidR="00993A5D">
        <w:rPr>
          <w:rFonts w:eastAsia="MS Mincho"/>
        </w:rPr>
        <w:t xml:space="preserve"> and a decision on whether to discontinue breast-feeding during treatment should be made</w:t>
      </w:r>
      <w:r w:rsidR="00445085" w:rsidRPr="00B23FAF">
        <w:rPr>
          <w:rFonts w:eastAsia="MS Mincho"/>
        </w:rPr>
        <w:t>.</w:t>
      </w:r>
    </w:p>
    <w:p w:rsidR="00B82375" w:rsidRDefault="003708B6" w:rsidP="009B3F7C">
      <w:pPr>
        <w:pStyle w:val="Heading2"/>
      </w:pPr>
      <w:r w:rsidRPr="00D766FE">
        <w:t>Paediatric</w:t>
      </w:r>
      <w:r w:rsidR="00F22127" w:rsidRPr="00D766FE">
        <w:t xml:space="preserve"> Use</w:t>
      </w:r>
    </w:p>
    <w:p w:rsidR="008F0128" w:rsidRPr="008F0128" w:rsidRDefault="00412E0C" w:rsidP="009B3F7C">
      <w:pPr>
        <w:pStyle w:val="paragraph"/>
        <w:rPr>
          <w:rFonts w:eastAsia="MS Mincho"/>
        </w:rPr>
      </w:pPr>
      <w:r w:rsidRPr="00412E0C">
        <w:rPr>
          <w:rFonts w:eastAsia="MS Mincho"/>
        </w:rPr>
        <w:t>Safety and effectiveness in patients below the age of 18 years have not yet been established.</w:t>
      </w:r>
    </w:p>
    <w:p w:rsidR="00B82375" w:rsidRPr="0052263A" w:rsidRDefault="00F22127" w:rsidP="009B3F7C">
      <w:pPr>
        <w:pStyle w:val="Heading2"/>
      </w:pPr>
      <w:r w:rsidRPr="0052263A">
        <w:lastRenderedPageBreak/>
        <w:t>Use in the Elderly</w:t>
      </w:r>
    </w:p>
    <w:p w:rsidR="00A93703" w:rsidRPr="008F0128" w:rsidRDefault="009A08B0" w:rsidP="009B3F7C">
      <w:pPr>
        <w:pStyle w:val="paragraph"/>
        <w:rPr>
          <w:rFonts w:eastAsia="MS Mincho"/>
        </w:rPr>
      </w:pPr>
      <w:r w:rsidRPr="009A08B0">
        <w:rPr>
          <w:rFonts w:eastAsia="MS Mincho"/>
        </w:rPr>
        <w:t xml:space="preserve">Based on population PK analysis, clearance in </w:t>
      </w:r>
      <w:r w:rsidR="00A93703" w:rsidRPr="00A93703">
        <w:rPr>
          <w:rFonts w:eastAsia="MS Mincho"/>
        </w:rPr>
        <w:t xml:space="preserve">patients aged 65 and older </w:t>
      </w:r>
      <w:r w:rsidR="009830AA">
        <w:rPr>
          <w:rFonts w:eastAsia="MS Mincho"/>
        </w:rPr>
        <w:t>(</w:t>
      </w:r>
      <w:r w:rsidR="00A93703" w:rsidRPr="00A93703">
        <w:rPr>
          <w:rFonts w:eastAsia="MS Mincho"/>
        </w:rPr>
        <w:t>n=</w:t>
      </w:r>
      <w:r w:rsidR="00A93703">
        <w:rPr>
          <w:rFonts w:eastAsia="MS Mincho"/>
        </w:rPr>
        <w:t>2</w:t>
      </w:r>
      <w:r w:rsidR="009830AA">
        <w:rPr>
          <w:rFonts w:eastAsia="MS Mincho"/>
        </w:rPr>
        <w:t>30)</w:t>
      </w:r>
      <w:r w:rsidR="00A93703" w:rsidRPr="00A93703">
        <w:rPr>
          <w:rFonts w:eastAsia="MS Mincho"/>
        </w:rPr>
        <w:t xml:space="preserve"> </w:t>
      </w:r>
      <w:r w:rsidRPr="009A08B0">
        <w:rPr>
          <w:rFonts w:eastAsia="MS Mincho"/>
        </w:rPr>
        <w:t>and patients less than 65 years of age was similar</w:t>
      </w:r>
      <w:r w:rsidRPr="00F32036">
        <w:rPr>
          <w:rFonts w:eastAsia="MS Mincho"/>
        </w:rPr>
        <w:t>.</w:t>
      </w:r>
      <w:r>
        <w:rPr>
          <w:rFonts w:eastAsia="MS Mincho"/>
        </w:rPr>
        <w:t xml:space="preserve"> </w:t>
      </w:r>
    </w:p>
    <w:p w:rsidR="00B82375" w:rsidRDefault="00F22127" w:rsidP="009B3F7C">
      <w:pPr>
        <w:pStyle w:val="Heading2"/>
      </w:pPr>
      <w:r w:rsidRPr="00D766FE">
        <w:t xml:space="preserve">Carcinogenicity </w:t>
      </w:r>
    </w:p>
    <w:p w:rsidR="00E63BBA" w:rsidRPr="00B23FAF" w:rsidRDefault="00E62B1A" w:rsidP="009B3F7C">
      <w:pPr>
        <w:pStyle w:val="paragraph"/>
        <w:rPr>
          <w:rFonts w:eastAsia="MS Mincho"/>
        </w:rPr>
      </w:pPr>
      <w:proofErr w:type="spellStart"/>
      <w:r>
        <w:rPr>
          <w:lang w:val="en-US"/>
        </w:rPr>
        <w:t>Secukinumab</w:t>
      </w:r>
      <w:proofErr w:type="spellEnd"/>
      <w:r>
        <w:rPr>
          <w:lang w:val="en-US"/>
        </w:rPr>
        <w:t xml:space="preserve"> has not been evaluated for carcinogenic potential.</w:t>
      </w:r>
    </w:p>
    <w:p w:rsidR="00B82375" w:rsidRPr="0052263A" w:rsidRDefault="00F22127" w:rsidP="009B3F7C">
      <w:pPr>
        <w:pStyle w:val="Heading2"/>
      </w:pPr>
      <w:proofErr w:type="spellStart"/>
      <w:r w:rsidRPr="0052263A">
        <w:t>Genotoxicity</w:t>
      </w:r>
      <w:proofErr w:type="spellEnd"/>
    </w:p>
    <w:p w:rsidR="00B820D4" w:rsidRPr="008F0128" w:rsidRDefault="002F60FB" w:rsidP="009B3F7C">
      <w:pPr>
        <w:pStyle w:val="paragraph"/>
        <w:rPr>
          <w:rFonts w:eastAsia="MS Mincho"/>
        </w:rPr>
      </w:pPr>
      <w:proofErr w:type="spellStart"/>
      <w:r>
        <w:rPr>
          <w:rFonts w:eastAsia="MS Mincho"/>
        </w:rPr>
        <w:t>Cosentyx</w:t>
      </w:r>
      <w:proofErr w:type="spellEnd"/>
      <w:r>
        <w:rPr>
          <w:rFonts w:eastAsia="MS Mincho"/>
        </w:rPr>
        <w:t xml:space="preserve"> </w:t>
      </w:r>
      <w:r w:rsidRPr="002F60FB">
        <w:rPr>
          <w:rFonts w:eastAsia="MS Mincho"/>
        </w:rPr>
        <w:t xml:space="preserve">has not been evaluated for </w:t>
      </w:r>
      <w:proofErr w:type="spellStart"/>
      <w:r w:rsidRPr="002F60FB">
        <w:rPr>
          <w:rFonts w:eastAsia="MS Mincho"/>
        </w:rPr>
        <w:t>genotoxic</w:t>
      </w:r>
      <w:proofErr w:type="spellEnd"/>
      <w:r w:rsidRPr="002F60FB">
        <w:rPr>
          <w:rFonts w:eastAsia="MS Mincho"/>
        </w:rPr>
        <w:t xml:space="preserve"> potential</w:t>
      </w:r>
      <w:r>
        <w:rPr>
          <w:rFonts w:eastAsia="MS Mincho"/>
        </w:rPr>
        <w:t xml:space="preserve">. </w:t>
      </w:r>
    </w:p>
    <w:p w:rsidR="00A51EA1" w:rsidRPr="0052263A" w:rsidRDefault="00A51EA1" w:rsidP="009B3F7C">
      <w:pPr>
        <w:pStyle w:val="Heading2"/>
      </w:pPr>
      <w:r w:rsidRPr="0052263A">
        <w:t xml:space="preserve">Effect on laboratory tests </w:t>
      </w:r>
    </w:p>
    <w:p w:rsidR="00A51EA1" w:rsidRDefault="00A93703" w:rsidP="009B3F7C">
      <w:pPr>
        <w:pStyle w:val="paragraph"/>
        <w:rPr>
          <w:rFonts w:eastAsia="MS Mincho"/>
        </w:rPr>
      </w:pPr>
      <w:r w:rsidRPr="00A93703">
        <w:rPr>
          <w:rFonts w:eastAsia="MS Mincho"/>
        </w:rPr>
        <w:t xml:space="preserve">There is no known interference between </w:t>
      </w:r>
      <w:proofErr w:type="spellStart"/>
      <w:r w:rsidRPr="00A93703">
        <w:rPr>
          <w:rFonts w:eastAsia="MS Mincho"/>
        </w:rPr>
        <w:t>Cosentyx</w:t>
      </w:r>
      <w:proofErr w:type="spellEnd"/>
      <w:r w:rsidRPr="00A93703">
        <w:rPr>
          <w:rFonts w:eastAsia="MS Mincho"/>
        </w:rPr>
        <w:t xml:space="preserve"> and </w:t>
      </w:r>
      <w:r w:rsidR="009830AA">
        <w:rPr>
          <w:rFonts w:eastAsia="MS Mincho"/>
        </w:rPr>
        <w:t xml:space="preserve">routine </w:t>
      </w:r>
      <w:r w:rsidRPr="00A93703">
        <w:rPr>
          <w:rFonts w:eastAsia="MS Mincho"/>
        </w:rPr>
        <w:t>laboratory tests.</w:t>
      </w:r>
    </w:p>
    <w:p w:rsidR="008F0128" w:rsidRPr="004E3638" w:rsidRDefault="00442C7D" w:rsidP="009B3F7C">
      <w:pPr>
        <w:pStyle w:val="Heading2"/>
      </w:pPr>
      <w:r w:rsidRPr="004E3638">
        <w:t>Effects on ability to drive and use machines</w:t>
      </w:r>
    </w:p>
    <w:p w:rsidR="00442C7D" w:rsidRDefault="00442C7D" w:rsidP="009B3F7C">
      <w:pPr>
        <w:pStyle w:val="paragraph"/>
        <w:rPr>
          <w:rFonts w:eastAsia="MS Mincho"/>
        </w:rPr>
      </w:pPr>
      <w:r w:rsidRPr="00442C7D">
        <w:rPr>
          <w:rFonts w:eastAsia="MS Mincho"/>
        </w:rPr>
        <w:t>No studies on the effects on the ability to drive and use of machines have been performed.</w:t>
      </w:r>
    </w:p>
    <w:p w:rsidR="00442C7D" w:rsidRPr="008F0128" w:rsidRDefault="00442C7D" w:rsidP="009B3F7C">
      <w:pPr>
        <w:rPr>
          <w:rFonts w:eastAsia="MS Mincho"/>
        </w:rPr>
      </w:pPr>
    </w:p>
    <w:p w:rsidR="00B82375" w:rsidRDefault="00B53986" w:rsidP="009B3F7C">
      <w:pPr>
        <w:pStyle w:val="Heading1"/>
      </w:pPr>
      <w:r w:rsidRPr="00D766FE">
        <w:t>INTERACTIONS WITH OTHER MEDICINES</w:t>
      </w:r>
    </w:p>
    <w:p w:rsidR="00242636" w:rsidRPr="007040B6" w:rsidRDefault="00242636" w:rsidP="009B3F7C">
      <w:r w:rsidRPr="007040B6">
        <w:t xml:space="preserve">Live vaccines should not be given concurrently with </w:t>
      </w:r>
      <w:proofErr w:type="spellStart"/>
      <w:r w:rsidRPr="007040B6">
        <w:t>Cosentyx</w:t>
      </w:r>
      <w:proofErr w:type="spellEnd"/>
      <w:r w:rsidRPr="007040B6">
        <w:t xml:space="preserve"> (see also PRECAUTIONS).</w:t>
      </w:r>
    </w:p>
    <w:p w:rsidR="00242636" w:rsidRPr="0017443D" w:rsidRDefault="00242636" w:rsidP="009B3F7C">
      <w:r w:rsidRPr="0017443D">
        <w:t xml:space="preserve">No interaction studies have been performed in humans. </w:t>
      </w:r>
      <w:proofErr w:type="spellStart"/>
      <w:r w:rsidRPr="0017443D">
        <w:t>Cosentyx</w:t>
      </w:r>
      <w:proofErr w:type="spellEnd"/>
      <w:r w:rsidRPr="0017443D">
        <w:t xml:space="preserve"> has been concomitantly administered with methotrexate in arthritis studies where no interaction was seen.</w:t>
      </w:r>
    </w:p>
    <w:p w:rsidR="00A36DCB" w:rsidRPr="00B23FAF" w:rsidRDefault="00A36DCB" w:rsidP="009B3F7C">
      <w:pPr>
        <w:rPr>
          <w:rFonts w:eastAsia="MS Mincho"/>
        </w:rPr>
      </w:pPr>
    </w:p>
    <w:p w:rsidR="00F55A14" w:rsidRDefault="00F22127" w:rsidP="009B3F7C">
      <w:pPr>
        <w:pStyle w:val="Heading1"/>
      </w:pPr>
      <w:r w:rsidRPr="00D766FE">
        <w:t xml:space="preserve">ADVERSE </w:t>
      </w:r>
      <w:r w:rsidR="00B53986">
        <w:t>EFFECTS</w:t>
      </w:r>
    </w:p>
    <w:p w:rsidR="005A67BD" w:rsidRDefault="005A67BD" w:rsidP="009B3F7C">
      <w:pPr>
        <w:pStyle w:val="Heading2"/>
      </w:pPr>
      <w:r w:rsidRPr="005A67BD">
        <w:t xml:space="preserve">Summary of the safety profile </w:t>
      </w:r>
    </w:p>
    <w:p w:rsidR="005B3868" w:rsidRDefault="005B3868" w:rsidP="009B3F7C">
      <w:pPr>
        <w:pStyle w:val="Text"/>
      </w:pPr>
      <w:r>
        <w:t xml:space="preserve">A total of 4,498 patients have been treated with </w:t>
      </w:r>
      <w:proofErr w:type="spellStart"/>
      <w:r>
        <w:t>Cosentyx</w:t>
      </w:r>
      <w:proofErr w:type="spellEnd"/>
      <w:r>
        <w:t xml:space="preserve"> in blinded and open-label clinical studies in various indications (plaque psoriasis and other autoimmune conditions). Of these, 1,900 patients were exposed to </w:t>
      </w:r>
      <w:proofErr w:type="spellStart"/>
      <w:r>
        <w:t>Cosentyx</w:t>
      </w:r>
      <w:proofErr w:type="spellEnd"/>
      <w:r>
        <w:t xml:space="preserve"> for at least one year, representing 3,588 patient years of exposure.</w:t>
      </w:r>
    </w:p>
    <w:p w:rsidR="005B3868" w:rsidRDefault="005B3868" w:rsidP="009B3F7C">
      <w:pPr>
        <w:pStyle w:val="Text"/>
      </w:pPr>
      <w:r>
        <w:t xml:space="preserve">Four placebo-controlled phase III studies in plaque psoriasis were pooled to evaluate the safety of </w:t>
      </w:r>
      <w:proofErr w:type="spellStart"/>
      <w:r>
        <w:t>Cosentyx</w:t>
      </w:r>
      <w:proofErr w:type="spellEnd"/>
      <w:r>
        <w:t xml:space="preserve"> in comparison to placebo up to 12 weeks after treatment initiation. In total, 2,076 patients were evaluated (692 patients on 150 mg, 690 patients on 300 mg and 694 patients on placebo).</w:t>
      </w:r>
    </w:p>
    <w:p w:rsidR="005B3868" w:rsidDel="00E1109E" w:rsidRDefault="005B3868" w:rsidP="009B3F7C">
      <w:pPr>
        <w:pStyle w:val="Text"/>
      </w:pPr>
      <w:r w:rsidDel="00E1109E">
        <w:t xml:space="preserve">The most frequently reported adverse drug reactions (ADRs) were upper respiratory tract infections (most frequently </w:t>
      </w:r>
      <w:proofErr w:type="spellStart"/>
      <w:r w:rsidDel="00E1109E">
        <w:t>nasopharyngitis</w:t>
      </w:r>
      <w:proofErr w:type="spellEnd"/>
      <w:r w:rsidDel="00E1109E">
        <w:t>, rhinitis). Most of the events were mild or moderate in severity.</w:t>
      </w:r>
    </w:p>
    <w:p w:rsidR="005B3868" w:rsidDel="00E1109E" w:rsidRDefault="005B3868" w:rsidP="009B3F7C">
      <w:pPr>
        <w:pStyle w:val="Text"/>
      </w:pPr>
      <w:r w:rsidDel="00E1109E">
        <w:t xml:space="preserve">In the placebo-controlled period of plaque psoriasis phase III studies the proportion of patients who discontinued treatment due to adverse events was approximately 1.2 % in the </w:t>
      </w:r>
      <w:proofErr w:type="spellStart"/>
      <w:r w:rsidDel="00E1109E">
        <w:t>Cosentyx</w:t>
      </w:r>
      <w:proofErr w:type="spellEnd"/>
      <w:r w:rsidDel="00E1109E">
        <w:t xml:space="preserve"> arm and 1.2 % in the placebo arm.</w:t>
      </w:r>
    </w:p>
    <w:p w:rsidR="00DC5777" w:rsidRPr="00AA3365" w:rsidRDefault="00DC5777" w:rsidP="009B3F7C">
      <w:pPr>
        <w:pStyle w:val="Text"/>
      </w:pPr>
      <w:r w:rsidRPr="0031739D">
        <w:t xml:space="preserve">The adverse reactions </w:t>
      </w:r>
      <w:r w:rsidR="004C2B15" w:rsidRPr="0031739D">
        <w:t xml:space="preserve">from clinical studies </w:t>
      </w:r>
      <w:r w:rsidRPr="0031739D">
        <w:t>(</w:t>
      </w:r>
      <w:r w:rsidR="004C2B15" w:rsidRPr="0031739D">
        <w:t xml:space="preserve">Table </w:t>
      </w:r>
      <w:r w:rsidR="00350D8A">
        <w:t>6 and Table 7</w:t>
      </w:r>
      <w:r w:rsidRPr="0031739D">
        <w:t xml:space="preserve">) </w:t>
      </w:r>
      <w:r w:rsidR="004C2B15" w:rsidRPr="0031739D">
        <w:t xml:space="preserve">are listed by </w:t>
      </w:r>
      <w:proofErr w:type="spellStart"/>
      <w:r w:rsidR="004C2B15" w:rsidRPr="0031739D">
        <w:t>MedDRA</w:t>
      </w:r>
      <w:proofErr w:type="spellEnd"/>
      <w:r w:rsidR="004C2B15" w:rsidRPr="0031739D">
        <w:t xml:space="preserve"> system organ class. </w:t>
      </w:r>
      <w:r w:rsidR="004C2B15">
        <w:t xml:space="preserve">Within each system organ class, the ADRs </w:t>
      </w:r>
      <w:r w:rsidRPr="00C61625">
        <w:t xml:space="preserve">are ranked </w:t>
      </w:r>
      <w:r w:rsidR="00672A9A">
        <w:t>by</w:t>
      </w:r>
      <w:r w:rsidRPr="00C61625">
        <w:t xml:space="preserve"> frequency</w:t>
      </w:r>
      <w:r w:rsidR="00672A9A">
        <w:t xml:space="preserve">. </w:t>
      </w:r>
      <w:r w:rsidR="00672A9A" w:rsidRPr="00672A9A">
        <w:t xml:space="preserve"> Within each frequency grouping, adverse drug reactions are presented in order of decreasing seriousness. In addition, the corresponding frequency category for each adverse drug reaction is based</w:t>
      </w:r>
      <w:r w:rsidR="00672A9A">
        <w:t xml:space="preserve"> </w:t>
      </w:r>
      <w:r w:rsidR="003708B6">
        <w:t>on</w:t>
      </w:r>
      <w:r w:rsidR="003708B6" w:rsidRPr="00C61625">
        <w:t xml:space="preserve"> the</w:t>
      </w:r>
      <w:r w:rsidRPr="00C61625">
        <w:t xml:space="preserve"> following convention: very common (&gt; 1/10); common (&gt; 1/100, ≤ 1/10); uncommon (&gt; 1/1,000, ≤ 1/100); rare (≥ 1/10,000, ≤ 1/1,000) very rare (&lt; 1/10,000)</w:t>
      </w:r>
      <w:r w:rsidR="00672A9A">
        <w:t>.</w:t>
      </w:r>
    </w:p>
    <w:p w:rsidR="004E14A0" w:rsidRDefault="004E14A0" w:rsidP="009B3F7C">
      <w:pPr>
        <w:pStyle w:val="tabletitle0"/>
      </w:pPr>
    </w:p>
    <w:p w:rsidR="00E052D4" w:rsidRPr="005A67BD" w:rsidRDefault="00E052D4" w:rsidP="009B3F7C">
      <w:pPr>
        <w:pStyle w:val="Heading4"/>
      </w:pPr>
    </w:p>
    <w:p w:rsidR="001272B8" w:rsidRDefault="001272B8" w:rsidP="009B3F7C">
      <w:pPr>
        <w:pStyle w:val="tabletitle0"/>
      </w:pPr>
    </w:p>
    <w:p w:rsidR="001272B8" w:rsidRDefault="001272B8" w:rsidP="009B3F7C">
      <w:pPr>
        <w:pStyle w:val="tabletitle0"/>
      </w:pPr>
    </w:p>
    <w:p w:rsidR="00876386" w:rsidRDefault="00376F1E" w:rsidP="009B3F7C">
      <w:pPr>
        <w:pStyle w:val="tabletitle0"/>
      </w:pPr>
      <w:r w:rsidRPr="007040B6">
        <w:lastRenderedPageBreak/>
        <w:t xml:space="preserve">Table </w:t>
      </w:r>
      <w:r>
        <w:t>6</w:t>
      </w:r>
      <w:r w:rsidRPr="007040B6">
        <w:t xml:space="preserve"> </w:t>
      </w:r>
      <w:r w:rsidRPr="007040B6">
        <w:tab/>
        <w:t xml:space="preserve">Adverse Drug Reactions </w:t>
      </w:r>
      <w:r w:rsidR="00876386">
        <w:t>r</w:t>
      </w:r>
      <w:r w:rsidRPr="007040B6">
        <w:t xml:space="preserve">eported by ≥ 1 % of </w:t>
      </w:r>
      <w:r w:rsidR="00876386" w:rsidRPr="00876386">
        <w:t xml:space="preserve">psoriasis </w:t>
      </w:r>
      <w:r w:rsidRPr="007040B6">
        <w:t xml:space="preserve">patients through </w:t>
      </w:r>
    </w:p>
    <w:p w:rsidR="00876386" w:rsidRDefault="00876386" w:rsidP="009B3F7C">
      <w:pPr>
        <w:pStyle w:val="tabletitle0"/>
      </w:pPr>
      <w:r>
        <w:tab/>
      </w:r>
      <w:r>
        <w:tab/>
      </w:r>
      <w:r w:rsidR="00376F1E" w:rsidRPr="007040B6">
        <w:t xml:space="preserve">Week 12 </w:t>
      </w:r>
      <w:r w:rsidR="00376F1E" w:rsidRPr="0073224B">
        <w:t xml:space="preserve">in Phase III </w:t>
      </w:r>
      <w:r w:rsidR="00376F1E" w:rsidRPr="00887D62">
        <w:t>ERASURE, FIXTURE, FEATURE and JUNCTURE</w:t>
      </w:r>
      <w:r w:rsidR="00376F1E" w:rsidRPr="00E4510B">
        <w:t xml:space="preserve"> </w:t>
      </w:r>
    </w:p>
    <w:p w:rsidR="00376F1E" w:rsidRPr="0073224B" w:rsidRDefault="00876386" w:rsidP="009B3F7C">
      <w:pPr>
        <w:pStyle w:val="tabletitle0"/>
      </w:pPr>
      <w:r>
        <w:tab/>
      </w:r>
      <w:r>
        <w:tab/>
        <w:t>s</w:t>
      </w:r>
      <w:r w:rsidR="00376F1E">
        <w:t>tudies</w:t>
      </w:r>
    </w:p>
    <w:tbl>
      <w:tblPr>
        <w:tblW w:w="846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117"/>
        <w:gridCol w:w="1117"/>
        <w:gridCol w:w="1117"/>
        <w:gridCol w:w="1117"/>
        <w:gridCol w:w="629"/>
        <w:gridCol w:w="40"/>
      </w:tblGrid>
      <w:tr w:rsidR="00376F1E" w:rsidRPr="00350D8A" w:rsidTr="00A4736B">
        <w:trPr>
          <w:tblHeader/>
          <w:jc w:val="center"/>
        </w:trPr>
        <w:tc>
          <w:tcPr>
            <w:tcW w:w="3330" w:type="dxa"/>
            <w:vMerge w:val="restart"/>
            <w:tcBorders>
              <w:top w:val="single" w:sz="4" w:space="0" w:color="auto"/>
              <w:left w:val="nil"/>
              <w:bottom w:val="single" w:sz="4" w:space="0" w:color="auto"/>
              <w:right w:val="nil"/>
            </w:tcBorders>
            <w:vAlign w:val="center"/>
            <w:hideMark/>
          </w:tcPr>
          <w:p w:rsidR="00376F1E" w:rsidRPr="005A67BD" w:rsidRDefault="00376F1E" w:rsidP="009B3F7C">
            <w:pPr>
              <w:pStyle w:val="tabledata"/>
            </w:pPr>
            <w:r w:rsidRPr="005A67BD">
              <w:t>Adverse Reactions</w:t>
            </w:r>
          </w:p>
        </w:tc>
        <w:tc>
          <w:tcPr>
            <w:tcW w:w="2234" w:type="dxa"/>
            <w:gridSpan w:val="2"/>
            <w:tcBorders>
              <w:top w:val="single" w:sz="4" w:space="0" w:color="auto"/>
              <w:left w:val="nil"/>
              <w:bottom w:val="nil"/>
              <w:right w:val="nil"/>
            </w:tcBorders>
            <w:vAlign w:val="center"/>
            <w:hideMark/>
          </w:tcPr>
          <w:p w:rsidR="00376F1E" w:rsidRPr="005A67BD" w:rsidRDefault="00376F1E" w:rsidP="009B3F7C">
            <w:pPr>
              <w:pStyle w:val="tabledata"/>
            </w:pPr>
            <w:proofErr w:type="spellStart"/>
            <w:r w:rsidRPr="005A67BD">
              <w:t>Cosentyx</w:t>
            </w:r>
            <w:proofErr w:type="spellEnd"/>
          </w:p>
        </w:tc>
        <w:tc>
          <w:tcPr>
            <w:tcW w:w="1117" w:type="dxa"/>
            <w:vMerge w:val="restart"/>
            <w:tcBorders>
              <w:top w:val="single" w:sz="4" w:space="0" w:color="auto"/>
              <w:left w:val="nil"/>
              <w:bottom w:val="single" w:sz="4" w:space="0" w:color="auto"/>
              <w:right w:val="nil"/>
            </w:tcBorders>
            <w:vAlign w:val="bottom"/>
            <w:hideMark/>
          </w:tcPr>
          <w:p w:rsidR="00376F1E" w:rsidRPr="005A67BD" w:rsidRDefault="00376F1E" w:rsidP="009B3F7C">
            <w:pPr>
              <w:pStyle w:val="tabledata"/>
            </w:pPr>
            <w:r w:rsidRPr="005A67BD">
              <w:t>Placebo</w:t>
            </w:r>
          </w:p>
          <w:p w:rsidR="00376F1E" w:rsidRPr="005A67BD" w:rsidRDefault="00376F1E" w:rsidP="009B3F7C">
            <w:pPr>
              <w:pStyle w:val="tabledata"/>
            </w:pPr>
          </w:p>
          <w:p w:rsidR="00376F1E" w:rsidRPr="005A67BD" w:rsidRDefault="00376F1E" w:rsidP="009B3F7C">
            <w:pPr>
              <w:pStyle w:val="tabledata"/>
            </w:pPr>
            <w:r w:rsidRPr="005A67BD">
              <w:t>(N=694) n (%)</w:t>
            </w:r>
          </w:p>
        </w:tc>
        <w:tc>
          <w:tcPr>
            <w:tcW w:w="1786" w:type="dxa"/>
            <w:gridSpan w:val="3"/>
            <w:tcBorders>
              <w:top w:val="single" w:sz="4" w:space="0" w:color="auto"/>
              <w:left w:val="nil"/>
              <w:bottom w:val="nil"/>
              <w:right w:val="nil"/>
            </w:tcBorders>
          </w:tcPr>
          <w:p w:rsidR="00376F1E" w:rsidRPr="005A67BD" w:rsidRDefault="00376F1E" w:rsidP="009B3F7C">
            <w:pPr>
              <w:pStyle w:val="tabledata"/>
            </w:pPr>
            <w:r w:rsidRPr="005A67BD">
              <w:tab/>
            </w:r>
          </w:p>
        </w:tc>
      </w:tr>
      <w:tr w:rsidR="00376F1E" w:rsidRPr="00350D8A" w:rsidTr="00A4736B">
        <w:trPr>
          <w:gridAfter w:val="1"/>
          <w:wAfter w:w="40" w:type="dxa"/>
          <w:tblHeader/>
          <w:jc w:val="center"/>
        </w:trPr>
        <w:tc>
          <w:tcPr>
            <w:tcW w:w="3330" w:type="dxa"/>
            <w:vMerge/>
            <w:tcBorders>
              <w:top w:val="single" w:sz="4" w:space="0" w:color="auto"/>
              <w:left w:val="nil"/>
              <w:bottom w:val="single" w:sz="4" w:space="0" w:color="auto"/>
              <w:right w:val="nil"/>
            </w:tcBorders>
            <w:vAlign w:val="center"/>
            <w:hideMark/>
          </w:tcPr>
          <w:p w:rsidR="00376F1E" w:rsidRPr="00783A0C" w:rsidRDefault="00376F1E" w:rsidP="009B3F7C">
            <w:pPr>
              <w:pStyle w:val="tabledata"/>
            </w:pPr>
          </w:p>
        </w:tc>
        <w:tc>
          <w:tcPr>
            <w:tcW w:w="1117" w:type="dxa"/>
            <w:tcBorders>
              <w:top w:val="nil"/>
              <w:left w:val="nil"/>
              <w:bottom w:val="single" w:sz="4" w:space="0" w:color="auto"/>
              <w:right w:val="nil"/>
            </w:tcBorders>
            <w:vAlign w:val="center"/>
            <w:hideMark/>
          </w:tcPr>
          <w:p w:rsidR="00376F1E" w:rsidRPr="003708B6" w:rsidRDefault="00376F1E" w:rsidP="009B3F7C">
            <w:pPr>
              <w:pStyle w:val="tabledata"/>
            </w:pPr>
            <w:r w:rsidRPr="003708B6">
              <w:t>300 mg</w:t>
            </w:r>
          </w:p>
          <w:p w:rsidR="00376F1E" w:rsidRPr="003708B6" w:rsidRDefault="00376F1E" w:rsidP="009B3F7C">
            <w:pPr>
              <w:pStyle w:val="tabledata"/>
            </w:pPr>
            <w:r w:rsidRPr="003708B6">
              <w:t>(N=690) n (%)</w:t>
            </w:r>
          </w:p>
        </w:tc>
        <w:tc>
          <w:tcPr>
            <w:tcW w:w="1117" w:type="dxa"/>
            <w:tcBorders>
              <w:top w:val="nil"/>
              <w:left w:val="nil"/>
              <w:bottom w:val="single" w:sz="4" w:space="0" w:color="auto"/>
              <w:right w:val="nil"/>
            </w:tcBorders>
            <w:vAlign w:val="center"/>
            <w:hideMark/>
          </w:tcPr>
          <w:p w:rsidR="00376F1E" w:rsidRPr="003708B6" w:rsidRDefault="00376F1E" w:rsidP="009B3F7C">
            <w:pPr>
              <w:pStyle w:val="tabledata"/>
            </w:pPr>
            <w:r w:rsidRPr="003708B6">
              <w:t>150 mg</w:t>
            </w:r>
          </w:p>
          <w:p w:rsidR="00376F1E" w:rsidRPr="003708B6" w:rsidRDefault="00376F1E" w:rsidP="009B3F7C">
            <w:pPr>
              <w:pStyle w:val="tabledata"/>
            </w:pPr>
            <w:r w:rsidRPr="003708B6">
              <w:t>(N=692) n (%)</w:t>
            </w:r>
          </w:p>
        </w:tc>
        <w:tc>
          <w:tcPr>
            <w:tcW w:w="1117" w:type="dxa"/>
            <w:vMerge/>
            <w:tcBorders>
              <w:top w:val="nil"/>
              <w:left w:val="nil"/>
              <w:bottom w:val="single" w:sz="4" w:space="0" w:color="auto"/>
              <w:right w:val="nil"/>
            </w:tcBorders>
            <w:vAlign w:val="center"/>
            <w:hideMark/>
          </w:tcPr>
          <w:p w:rsidR="00376F1E" w:rsidRPr="003708B6" w:rsidRDefault="00376F1E" w:rsidP="009B3F7C">
            <w:pPr>
              <w:pStyle w:val="tabledata"/>
            </w:pPr>
          </w:p>
        </w:tc>
        <w:tc>
          <w:tcPr>
            <w:tcW w:w="1746" w:type="dxa"/>
            <w:gridSpan w:val="2"/>
            <w:tcBorders>
              <w:top w:val="nil"/>
              <w:left w:val="nil"/>
              <w:bottom w:val="single" w:sz="4" w:space="0" w:color="auto"/>
              <w:right w:val="nil"/>
            </w:tcBorders>
          </w:tcPr>
          <w:p w:rsidR="00376F1E" w:rsidRPr="003708B6" w:rsidRDefault="00376F1E" w:rsidP="009B3F7C">
            <w:pPr>
              <w:pStyle w:val="tabledata"/>
            </w:pPr>
            <w:r w:rsidRPr="003708B6">
              <w:t>Frequency category</w:t>
            </w:r>
            <w:r w:rsidRPr="003708B6">
              <w:rPr>
                <w:vertAlign w:val="superscript"/>
              </w:rPr>
              <w:t>1</w:t>
            </w:r>
          </w:p>
        </w:tc>
      </w:tr>
      <w:tr w:rsidR="00376F1E" w:rsidRPr="00350D8A" w:rsidTr="00A4736B">
        <w:trPr>
          <w:gridAfter w:val="2"/>
          <w:wAfter w:w="669" w:type="dxa"/>
          <w:jc w:val="center"/>
        </w:trPr>
        <w:tc>
          <w:tcPr>
            <w:tcW w:w="6681" w:type="dxa"/>
            <w:gridSpan w:val="4"/>
            <w:tcBorders>
              <w:top w:val="nil"/>
              <w:left w:val="nil"/>
              <w:bottom w:val="nil"/>
              <w:right w:val="nil"/>
            </w:tcBorders>
            <w:vAlign w:val="center"/>
          </w:tcPr>
          <w:p w:rsidR="00376F1E" w:rsidRPr="003708B6" w:rsidRDefault="00376F1E" w:rsidP="009B3F7C">
            <w:pPr>
              <w:pStyle w:val="tabledata"/>
            </w:pPr>
            <w:r w:rsidRPr="003708B6">
              <w:t>Infections and infestations</w:t>
            </w:r>
          </w:p>
        </w:tc>
        <w:tc>
          <w:tcPr>
            <w:tcW w:w="1117" w:type="dxa"/>
            <w:tcBorders>
              <w:top w:val="nil"/>
              <w:left w:val="nil"/>
              <w:bottom w:val="nil"/>
              <w:right w:val="nil"/>
            </w:tcBorders>
          </w:tcPr>
          <w:p w:rsidR="00376F1E" w:rsidRPr="003708B6" w:rsidRDefault="00376F1E" w:rsidP="009B3F7C">
            <w:pPr>
              <w:pStyle w:val="tabledata"/>
            </w:pPr>
          </w:p>
        </w:tc>
      </w:tr>
      <w:tr w:rsidR="00376F1E" w:rsidRPr="00350D8A" w:rsidTr="00A4736B">
        <w:trPr>
          <w:gridAfter w:val="1"/>
          <w:wAfter w:w="40" w:type="dxa"/>
          <w:jc w:val="center"/>
        </w:trPr>
        <w:tc>
          <w:tcPr>
            <w:tcW w:w="3330" w:type="dxa"/>
            <w:tcBorders>
              <w:top w:val="nil"/>
              <w:left w:val="nil"/>
              <w:bottom w:val="nil"/>
              <w:right w:val="nil"/>
            </w:tcBorders>
            <w:vAlign w:val="center"/>
          </w:tcPr>
          <w:p w:rsidR="00376F1E" w:rsidRPr="003708B6" w:rsidRDefault="00376F1E" w:rsidP="009B3F7C">
            <w:pPr>
              <w:pStyle w:val="tabledata"/>
            </w:pPr>
            <w:r w:rsidRPr="003708B6">
              <w:t xml:space="preserve">          </w:t>
            </w:r>
            <w:proofErr w:type="spellStart"/>
            <w:r w:rsidRPr="003708B6">
              <w:t>Nasopharyngitis</w:t>
            </w:r>
            <w:proofErr w:type="spellEnd"/>
          </w:p>
        </w:tc>
        <w:tc>
          <w:tcPr>
            <w:tcW w:w="1117" w:type="dxa"/>
            <w:tcBorders>
              <w:top w:val="nil"/>
              <w:left w:val="nil"/>
              <w:bottom w:val="nil"/>
              <w:right w:val="nil"/>
            </w:tcBorders>
            <w:vAlign w:val="center"/>
          </w:tcPr>
          <w:p w:rsidR="00376F1E" w:rsidRPr="003708B6" w:rsidRDefault="00376F1E" w:rsidP="009B3F7C">
            <w:pPr>
              <w:pStyle w:val="tabledata"/>
            </w:pPr>
            <w:r w:rsidRPr="003708B6">
              <w:t>79 (11.4)</w:t>
            </w:r>
          </w:p>
        </w:tc>
        <w:tc>
          <w:tcPr>
            <w:tcW w:w="1117" w:type="dxa"/>
            <w:tcBorders>
              <w:top w:val="nil"/>
              <w:left w:val="nil"/>
              <w:bottom w:val="nil"/>
              <w:right w:val="nil"/>
            </w:tcBorders>
            <w:vAlign w:val="center"/>
          </w:tcPr>
          <w:p w:rsidR="00376F1E" w:rsidRPr="003708B6" w:rsidRDefault="00376F1E" w:rsidP="009B3F7C">
            <w:pPr>
              <w:pStyle w:val="tabledata"/>
            </w:pPr>
            <w:r w:rsidRPr="003708B6">
              <w:t>85 (12.3)</w:t>
            </w:r>
          </w:p>
        </w:tc>
        <w:tc>
          <w:tcPr>
            <w:tcW w:w="1117" w:type="dxa"/>
            <w:tcBorders>
              <w:top w:val="nil"/>
              <w:left w:val="nil"/>
              <w:bottom w:val="nil"/>
              <w:right w:val="nil"/>
            </w:tcBorders>
            <w:vAlign w:val="center"/>
          </w:tcPr>
          <w:p w:rsidR="00376F1E" w:rsidRPr="003708B6" w:rsidRDefault="00376F1E" w:rsidP="009B3F7C">
            <w:pPr>
              <w:pStyle w:val="tabledata"/>
            </w:pPr>
            <w:r w:rsidRPr="003708B6">
              <w:t>60 (8.6)</w:t>
            </w:r>
          </w:p>
        </w:tc>
        <w:tc>
          <w:tcPr>
            <w:tcW w:w="1746" w:type="dxa"/>
            <w:gridSpan w:val="2"/>
            <w:tcBorders>
              <w:top w:val="nil"/>
              <w:left w:val="nil"/>
              <w:bottom w:val="nil"/>
              <w:right w:val="nil"/>
            </w:tcBorders>
          </w:tcPr>
          <w:p w:rsidR="00376F1E" w:rsidRPr="003708B6" w:rsidRDefault="00376F1E" w:rsidP="009B3F7C">
            <w:pPr>
              <w:pStyle w:val="tabledata"/>
            </w:pPr>
            <w:r w:rsidRPr="003708B6">
              <w:t>Very common</w:t>
            </w:r>
          </w:p>
        </w:tc>
      </w:tr>
      <w:tr w:rsidR="00376F1E" w:rsidRPr="00350D8A" w:rsidTr="00A4736B">
        <w:trPr>
          <w:gridAfter w:val="1"/>
          <w:wAfter w:w="40" w:type="dxa"/>
          <w:jc w:val="center"/>
        </w:trPr>
        <w:tc>
          <w:tcPr>
            <w:tcW w:w="3330" w:type="dxa"/>
            <w:tcBorders>
              <w:top w:val="nil"/>
              <w:left w:val="nil"/>
              <w:bottom w:val="nil"/>
              <w:right w:val="nil"/>
            </w:tcBorders>
            <w:shd w:val="clear" w:color="auto" w:fill="auto"/>
            <w:vAlign w:val="center"/>
          </w:tcPr>
          <w:p w:rsidR="00376F1E" w:rsidRPr="003708B6" w:rsidRDefault="00376F1E" w:rsidP="009B3F7C">
            <w:pPr>
              <w:pStyle w:val="tabledata"/>
            </w:pPr>
            <w:r w:rsidRPr="003708B6">
              <w:t xml:space="preserve">          Upper respiratory tract infection</w:t>
            </w:r>
          </w:p>
        </w:tc>
        <w:tc>
          <w:tcPr>
            <w:tcW w:w="1117" w:type="dxa"/>
            <w:tcBorders>
              <w:top w:val="nil"/>
              <w:left w:val="nil"/>
              <w:bottom w:val="nil"/>
              <w:right w:val="nil"/>
            </w:tcBorders>
            <w:shd w:val="clear" w:color="auto" w:fill="auto"/>
            <w:vAlign w:val="center"/>
          </w:tcPr>
          <w:p w:rsidR="00376F1E" w:rsidRPr="003708B6" w:rsidRDefault="00376F1E" w:rsidP="009B3F7C">
            <w:pPr>
              <w:pStyle w:val="tabledata"/>
            </w:pPr>
            <w:r w:rsidRPr="003708B6">
              <w:t>17 (2.5)</w:t>
            </w:r>
          </w:p>
        </w:tc>
        <w:tc>
          <w:tcPr>
            <w:tcW w:w="1117" w:type="dxa"/>
            <w:tcBorders>
              <w:top w:val="nil"/>
              <w:left w:val="nil"/>
              <w:bottom w:val="nil"/>
              <w:right w:val="nil"/>
            </w:tcBorders>
            <w:shd w:val="clear" w:color="auto" w:fill="auto"/>
            <w:vAlign w:val="center"/>
          </w:tcPr>
          <w:p w:rsidR="00376F1E" w:rsidRPr="003708B6" w:rsidRDefault="00376F1E" w:rsidP="009B3F7C">
            <w:pPr>
              <w:pStyle w:val="tabledata"/>
            </w:pPr>
            <w:r w:rsidRPr="003708B6">
              <w:t>22 (3.2)</w:t>
            </w:r>
          </w:p>
        </w:tc>
        <w:tc>
          <w:tcPr>
            <w:tcW w:w="1117" w:type="dxa"/>
            <w:tcBorders>
              <w:top w:val="nil"/>
              <w:left w:val="nil"/>
              <w:bottom w:val="nil"/>
              <w:right w:val="nil"/>
            </w:tcBorders>
            <w:shd w:val="clear" w:color="auto" w:fill="auto"/>
            <w:vAlign w:val="center"/>
          </w:tcPr>
          <w:p w:rsidR="00376F1E" w:rsidRPr="003708B6" w:rsidRDefault="00376F1E" w:rsidP="009B3F7C">
            <w:pPr>
              <w:pStyle w:val="tabledata"/>
            </w:pPr>
            <w:r w:rsidRPr="003708B6">
              <w:t>5 (0.7)</w:t>
            </w:r>
          </w:p>
        </w:tc>
        <w:tc>
          <w:tcPr>
            <w:tcW w:w="1746" w:type="dxa"/>
            <w:gridSpan w:val="2"/>
            <w:tcBorders>
              <w:top w:val="nil"/>
              <w:left w:val="nil"/>
              <w:bottom w:val="nil"/>
              <w:right w:val="nil"/>
            </w:tcBorders>
          </w:tcPr>
          <w:p w:rsidR="00376F1E" w:rsidRPr="003708B6" w:rsidRDefault="00376F1E" w:rsidP="009B3F7C">
            <w:pPr>
              <w:pStyle w:val="tabledata"/>
            </w:pPr>
            <w:r w:rsidRPr="003708B6">
              <w:t>Common</w:t>
            </w:r>
          </w:p>
        </w:tc>
      </w:tr>
      <w:tr w:rsidR="00376F1E" w:rsidRPr="00350D8A" w:rsidTr="00A4736B">
        <w:trPr>
          <w:gridAfter w:val="1"/>
          <w:wAfter w:w="40" w:type="dxa"/>
          <w:jc w:val="center"/>
        </w:trPr>
        <w:tc>
          <w:tcPr>
            <w:tcW w:w="3330" w:type="dxa"/>
            <w:tcBorders>
              <w:top w:val="nil"/>
              <w:left w:val="nil"/>
              <w:bottom w:val="nil"/>
              <w:right w:val="nil"/>
            </w:tcBorders>
            <w:vAlign w:val="center"/>
          </w:tcPr>
          <w:p w:rsidR="00376F1E" w:rsidRPr="003708B6" w:rsidRDefault="00376F1E" w:rsidP="009B3F7C">
            <w:pPr>
              <w:pStyle w:val="tabledata"/>
            </w:pPr>
            <w:r w:rsidRPr="003708B6">
              <w:t xml:space="preserve">          Rhinitis</w:t>
            </w:r>
          </w:p>
        </w:tc>
        <w:tc>
          <w:tcPr>
            <w:tcW w:w="1117" w:type="dxa"/>
            <w:tcBorders>
              <w:top w:val="nil"/>
              <w:left w:val="nil"/>
              <w:bottom w:val="nil"/>
              <w:right w:val="nil"/>
            </w:tcBorders>
            <w:vAlign w:val="center"/>
          </w:tcPr>
          <w:p w:rsidR="00376F1E" w:rsidRPr="003708B6" w:rsidRDefault="00376F1E" w:rsidP="009B3F7C">
            <w:pPr>
              <w:pStyle w:val="tabledata"/>
            </w:pPr>
            <w:r w:rsidRPr="003708B6">
              <w:t>10 (1.4)</w:t>
            </w:r>
          </w:p>
        </w:tc>
        <w:tc>
          <w:tcPr>
            <w:tcW w:w="1117" w:type="dxa"/>
            <w:tcBorders>
              <w:top w:val="nil"/>
              <w:left w:val="nil"/>
              <w:bottom w:val="nil"/>
              <w:right w:val="nil"/>
            </w:tcBorders>
            <w:vAlign w:val="center"/>
          </w:tcPr>
          <w:p w:rsidR="00376F1E" w:rsidRPr="003708B6" w:rsidRDefault="00376F1E" w:rsidP="009B3F7C">
            <w:pPr>
              <w:pStyle w:val="tabledata"/>
            </w:pPr>
            <w:r w:rsidRPr="003708B6">
              <w:t>10 (1.4)</w:t>
            </w:r>
          </w:p>
        </w:tc>
        <w:tc>
          <w:tcPr>
            <w:tcW w:w="1117" w:type="dxa"/>
            <w:tcBorders>
              <w:top w:val="nil"/>
              <w:left w:val="nil"/>
              <w:bottom w:val="nil"/>
              <w:right w:val="nil"/>
            </w:tcBorders>
            <w:vAlign w:val="center"/>
          </w:tcPr>
          <w:p w:rsidR="00376F1E" w:rsidRPr="003708B6" w:rsidRDefault="00376F1E" w:rsidP="009B3F7C">
            <w:pPr>
              <w:pStyle w:val="tabledata"/>
            </w:pPr>
            <w:r w:rsidRPr="003708B6">
              <w:t>5 (0.7)</w:t>
            </w:r>
          </w:p>
        </w:tc>
        <w:tc>
          <w:tcPr>
            <w:tcW w:w="1746" w:type="dxa"/>
            <w:gridSpan w:val="2"/>
            <w:tcBorders>
              <w:top w:val="nil"/>
              <w:left w:val="nil"/>
              <w:bottom w:val="nil"/>
              <w:right w:val="nil"/>
            </w:tcBorders>
          </w:tcPr>
          <w:p w:rsidR="00376F1E" w:rsidRPr="003708B6" w:rsidRDefault="00376F1E" w:rsidP="009B3F7C">
            <w:pPr>
              <w:pStyle w:val="tabledata"/>
            </w:pPr>
            <w:r w:rsidRPr="003708B6">
              <w:t>Common</w:t>
            </w:r>
          </w:p>
        </w:tc>
      </w:tr>
      <w:tr w:rsidR="00376F1E" w:rsidRPr="00350D8A" w:rsidTr="00A4736B">
        <w:trPr>
          <w:gridAfter w:val="1"/>
          <w:wAfter w:w="40" w:type="dxa"/>
          <w:jc w:val="center"/>
        </w:trPr>
        <w:tc>
          <w:tcPr>
            <w:tcW w:w="3330" w:type="dxa"/>
            <w:tcBorders>
              <w:top w:val="nil"/>
              <w:left w:val="nil"/>
              <w:bottom w:val="nil"/>
              <w:right w:val="nil"/>
            </w:tcBorders>
            <w:vAlign w:val="center"/>
            <w:hideMark/>
          </w:tcPr>
          <w:p w:rsidR="00376F1E" w:rsidRPr="003708B6" w:rsidRDefault="00376F1E" w:rsidP="009B3F7C">
            <w:pPr>
              <w:pStyle w:val="tabledata"/>
            </w:pPr>
            <w:r w:rsidRPr="003708B6">
              <w:t xml:space="preserve">          Oral herpes  </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9 (1.3)</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1 (0.1)</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2 (0.3)</w:t>
            </w:r>
          </w:p>
        </w:tc>
        <w:tc>
          <w:tcPr>
            <w:tcW w:w="1746" w:type="dxa"/>
            <w:gridSpan w:val="2"/>
            <w:tcBorders>
              <w:top w:val="nil"/>
              <w:left w:val="nil"/>
              <w:bottom w:val="nil"/>
              <w:right w:val="nil"/>
            </w:tcBorders>
          </w:tcPr>
          <w:p w:rsidR="00376F1E" w:rsidRPr="003708B6" w:rsidRDefault="00376F1E" w:rsidP="009B3F7C">
            <w:pPr>
              <w:pStyle w:val="tabledata"/>
            </w:pPr>
            <w:r w:rsidRPr="003708B6">
              <w:t>Common</w:t>
            </w:r>
          </w:p>
        </w:tc>
      </w:tr>
      <w:tr w:rsidR="00376F1E" w:rsidRPr="00350D8A" w:rsidTr="00A4736B">
        <w:trPr>
          <w:gridAfter w:val="1"/>
          <w:wAfter w:w="40" w:type="dxa"/>
          <w:jc w:val="center"/>
        </w:trPr>
        <w:tc>
          <w:tcPr>
            <w:tcW w:w="3330" w:type="dxa"/>
            <w:tcBorders>
              <w:top w:val="nil"/>
              <w:left w:val="nil"/>
              <w:bottom w:val="nil"/>
              <w:right w:val="nil"/>
            </w:tcBorders>
            <w:vAlign w:val="center"/>
          </w:tcPr>
          <w:p w:rsidR="00376F1E" w:rsidRPr="003708B6" w:rsidRDefault="00376F1E" w:rsidP="009B3F7C">
            <w:pPr>
              <w:pStyle w:val="tabledata"/>
            </w:pPr>
            <w:r w:rsidRPr="003708B6">
              <w:t xml:space="preserve">          Pharyngitis</w:t>
            </w:r>
          </w:p>
        </w:tc>
        <w:tc>
          <w:tcPr>
            <w:tcW w:w="1117" w:type="dxa"/>
            <w:tcBorders>
              <w:top w:val="nil"/>
              <w:left w:val="nil"/>
              <w:bottom w:val="nil"/>
              <w:right w:val="nil"/>
            </w:tcBorders>
            <w:vAlign w:val="center"/>
          </w:tcPr>
          <w:p w:rsidR="00376F1E" w:rsidRPr="003708B6" w:rsidRDefault="00376F1E" w:rsidP="009B3F7C">
            <w:pPr>
              <w:pStyle w:val="tabledata"/>
            </w:pPr>
            <w:r w:rsidRPr="003708B6">
              <w:t>8 (1.2)</w:t>
            </w:r>
          </w:p>
        </w:tc>
        <w:tc>
          <w:tcPr>
            <w:tcW w:w="1117" w:type="dxa"/>
            <w:tcBorders>
              <w:top w:val="nil"/>
              <w:left w:val="nil"/>
              <w:bottom w:val="nil"/>
              <w:right w:val="nil"/>
            </w:tcBorders>
            <w:vAlign w:val="center"/>
          </w:tcPr>
          <w:p w:rsidR="00376F1E" w:rsidRPr="003708B6" w:rsidRDefault="00376F1E" w:rsidP="009B3F7C">
            <w:pPr>
              <w:pStyle w:val="tabledata"/>
            </w:pPr>
            <w:r w:rsidRPr="003708B6">
              <w:t>7 (1.0)</w:t>
            </w:r>
          </w:p>
        </w:tc>
        <w:tc>
          <w:tcPr>
            <w:tcW w:w="1117" w:type="dxa"/>
            <w:tcBorders>
              <w:top w:val="nil"/>
              <w:left w:val="nil"/>
              <w:bottom w:val="nil"/>
              <w:right w:val="nil"/>
            </w:tcBorders>
            <w:vAlign w:val="center"/>
          </w:tcPr>
          <w:p w:rsidR="00376F1E" w:rsidRPr="003708B6" w:rsidRDefault="00376F1E" w:rsidP="009B3F7C">
            <w:pPr>
              <w:pStyle w:val="tabledata"/>
            </w:pPr>
            <w:r w:rsidRPr="003708B6">
              <w:t>0 (0)</w:t>
            </w:r>
          </w:p>
        </w:tc>
        <w:tc>
          <w:tcPr>
            <w:tcW w:w="1746" w:type="dxa"/>
            <w:gridSpan w:val="2"/>
            <w:tcBorders>
              <w:top w:val="nil"/>
              <w:left w:val="nil"/>
              <w:bottom w:val="nil"/>
              <w:right w:val="nil"/>
            </w:tcBorders>
          </w:tcPr>
          <w:p w:rsidR="00376F1E" w:rsidRPr="003708B6" w:rsidRDefault="00376F1E" w:rsidP="009B3F7C">
            <w:pPr>
              <w:pStyle w:val="tabledata"/>
            </w:pPr>
            <w:r w:rsidRPr="003708B6">
              <w:t>Common</w:t>
            </w:r>
          </w:p>
        </w:tc>
      </w:tr>
      <w:tr w:rsidR="00376F1E" w:rsidRPr="00350D8A" w:rsidTr="00A4736B">
        <w:trPr>
          <w:gridAfter w:val="2"/>
          <w:wAfter w:w="669" w:type="dxa"/>
          <w:jc w:val="center"/>
        </w:trPr>
        <w:tc>
          <w:tcPr>
            <w:tcW w:w="6681" w:type="dxa"/>
            <w:gridSpan w:val="4"/>
            <w:tcBorders>
              <w:top w:val="nil"/>
              <w:left w:val="nil"/>
              <w:bottom w:val="nil"/>
              <w:right w:val="nil"/>
            </w:tcBorders>
            <w:vAlign w:val="center"/>
          </w:tcPr>
          <w:p w:rsidR="00376F1E" w:rsidRPr="003708B6" w:rsidRDefault="00376F1E" w:rsidP="009B3F7C">
            <w:pPr>
              <w:pStyle w:val="tabledata"/>
            </w:pPr>
            <w:r w:rsidRPr="003708B6">
              <w:t>Gastrointestinal disorders</w:t>
            </w:r>
          </w:p>
        </w:tc>
        <w:tc>
          <w:tcPr>
            <w:tcW w:w="1117" w:type="dxa"/>
            <w:tcBorders>
              <w:top w:val="nil"/>
              <w:left w:val="nil"/>
              <w:bottom w:val="nil"/>
              <w:right w:val="nil"/>
            </w:tcBorders>
          </w:tcPr>
          <w:p w:rsidR="00376F1E" w:rsidRPr="003708B6" w:rsidRDefault="00376F1E" w:rsidP="009B3F7C">
            <w:pPr>
              <w:pStyle w:val="tabledata"/>
            </w:pPr>
          </w:p>
        </w:tc>
      </w:tr>
      <w:tr w:rsidR="00376F1E" w:rsidRPr="00350D8A" w:rsidTr="00A4736B">
        <w:trPr>
          <w:gridAfter w:val="1"/>
          <w:wAfter w:w="40" w:type="dxa"/>
          <w:jc w:val="center"/>
        </w:trPr>
        <w:tc>
          <w:tcPr>
            <w:tcW w:w="3330" w:type="dxa"/>
            <w:tcBorders>
              <w:top w:val="nil"/>
              <w:left w:val="nil"/>
              <w:bottom w:val="nil"/>
              <w:right w:val="nil"/>
            </w:tcBorders>
            <w:vAlign w:val="center"/>
            <w:hideMark/>
          </w:tcPr>
          <w:p w:rsidR="00376F1E" w:rsidRPr="003708B6" w:rsidRDefault="00376F1E" w:rsidP="009B3F7C">
            <w:pPr>
              <w:pStyle w:val="tabledata"/>
            </w:pPr>
            <w:r w:rsidRPr="003708B6">
              <w:t xml:space="preserve">          Diarrhoea</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28 (4.1)</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18 (2.6)</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10 (1.4)</w:t>
            </w:r>
          </w:p>
        </w:tc>
        <w:tc>
          <w:tcPr>
            <w:tcW w:w="1746" w:type="dxa"/>
            <w:gridSpan w:val="2"/>
            <w:tcBorders>
              <w:top w:val="nil"/>
              <w:left w:val="nil"/>
              <w:bottom w:val="nil"/>
              <w:right w:val="nil"/>
            </w:tcBorders>
          </w:tcPr>
          <w:p w:rsidR="00376F1E" w:rsidRPr="003708B6" w:rsidRDefault="00376F1E" w:rsidP="009B3F7C">
            <w:pPr>
              <w:pStyle w:val="tabledata"/>
            </w:pPr>
            <w:r w:rsidRPr="003708B6">
              <w:t>Common</w:t>
            </w:r>
          </w:p>
        </w:tc>
      </w:tr>
      <w:tr w:rsidR="00376F1E" w:rsidRPr="00350D8A" w:rsidTr="00A4736B">
        <w:trPr>
          <w:gridAfter w:val="2"/>
          <w:wAfter w:w="669" w:type="dxa"/>
          <w:jc w:val="center"/>
        </w:trPr>
        <w:tc>
          <w:tcPr>
            <w:tcW w:w="6681" w:type="dxa"/>
            <w:gridSpan w:val="4"/>
            <w:tcBorders>
              <w:top w:val="nil"/>
              <w:left w:val="nil"/>
              <w:bottom w:val="nil"/>
              <w:right w:val="nil"/>
            </w:tcBorders>
            <w:vAlign w:val="center"/>
          </w:tcPr>
          <w:p w:rsidR="00376F1E" w:rsidRPr="003708B6" w:rsidRDefault="00376F1E" w:rsidP="009B3F7C">
            <w:pPr>
              <w:pStyle w:val="tabledata"/>
            </w:pPr>
            <w:r w:rsidRPr="003708B6">
              <w:t>Skin and subcutaneous tissue disorders</w:t>
            </w:r>
          </w:p>
        </w:tc>
        <w:tc>
          <w:tcPr>
            <w:tcW w:w="1117" w:type="dxa"/>
            <w:tcBorders>
              <w:top w:val="nil"/>
              <w:left w:val="nil"/>
              <w:bottom w:val="nil"/>
              <w:right w:val="nil"/>
            </w:tcBorders>
          </w:tcPr>
          <w:p w:rsidR="00376F1E" w:rsidRPr="003708B6" w:rsidRDefault="00376F1E" w:rsidP="009B3F7C">
            <w:pPr>
              <w:pStyle w:val="tabledata"/>
            </w:pPr>
          </w:p>
        </w:tc>
      </w:tr>
      <w:tr w:rsidR="00376F1E" w:rsidRPr="00350D8A" w:rsidTr="00A4736B">
        <w:trPr>
          <w:gridAfter w:val="1"/>
          <w:wAfter w:w="40" w:type="dxa"/>
          <w:jc w:val="center"/>
        </w:trPr>
        <w:tc>
          <w:tcPr>
            <w:tcW w:w="3330" w:type="dxa"/>
            <w:tcBorders>
              <w:top w:val="nil"/>
              <w:left w:val="nil"/>
              <w:bottom w:val="nil"/>
              <w:right w:val="nil"/>
            </w:tcBorders>
            <w:vAlign w:val="center"/>
            <w:hideMark/>
          </w:tcPr>
          <w:p w:rsidR="00376F1E" w:rsidRPr="003708B6" w:rsidRDefault="00376F1E" w:rsidP="009B3F7C">
            <w:pPr>
              <w:pStyle w:val="tabledata"/>
            </w:pPr>
            <w:r w:rsidRPr="003708B6">
              <w:t xml:space="preserve">          </w:t>
            </w:r>
            <w:proofErr w:type="spellStart"/>
            <w:r w:rsidRPr="003708B6">
              <w:t>Urticaria</w:t>
            </w:r>
            <w:proofErr w:type="spellEnd"/>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4 (0.6)</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8 (1.2)</w:t>
            </w:r>
          </w:p>
        </w:tc>
        <w:tc>
          <w:tcPr>
            <w:tcW w:w="1117" w:type="dxa"/>
            <w:tcBorders>
              <w:top w:val="nil"/>
              <w:left w:val="nil"/>
              <w:bottom w:val="nil"/>
              <w:right w:val="nil"/>
            </w:tcBorders>
            <w:vAlign w:val="center"/>
            <w:hideMark/>
          </w:tcPr>
          <w:p w:rsidR="00376F1E" w:rsidRPr="003708B6" w:rsidRDefault="00376F1E" w:rsidP="009B3F7C">
            <w:pPr>
              <w:pStyle w:val="tabledata"/>
            </w:pPr>
            <w:r w:rsidRPr="003708B6">
              <w:t>1 (0.1)</w:t>
            </w:r>
          </w:p>
        </w:tc>
        <w:tc>
          <w:tcPr>
            <w:tcW w:w="1746" w:type="dxa"/>
            <w:gridSpan w:val="2"/>
            <w:tcBorders>
              <w:top w:val="nil"/>
              <w:left w:val="nil"/>
              <w:bottom w:val="nil"/>
              <w:right w:val="nil"/>
            </w:tcBorders>
          </w:tcPr>
          <w:p w:rsidR="00376F1E" w:rsidRPr="003708B6" w:rsidRDefault="00376F1E" w:rsidP="009B3F7C">
            <w:pPr>
              <w:pStyle w:val="tabledata"/>
            </w:pPr>
            <w:r w:rsidRPr="003708B6">
              <w:t>Common</w:t>
            </w:r>
          </w:p>
        </w:tc>
      </w:tr>
      <w:tr w:rsidR="00376F1E" w:rsidRPr="00350D8A" w:rsidTr="00A4736B">
        <w:trPr>
          <w:gridAfter w:val="2"/>
          <w:wAfter w:w="669" w:type="dxa"/>
          <w:jc w:val="center"/>
        </w:trPr>
        <w:tc>
          <w:tcPr>
            <w:tcW w:w="6681" w:type="dxa"/>
            <w:gridSpan w:val="4"/>
            <w:tcBorders>
              <w:top w:val="nil"/>
              <w:left w:val="nil"/>
              <w:bottom w:val="nil"/>
              <w:right w:val="nil"/>
            </w:tcBorders>
            <w:vAlign w:val="center"/>
          </w:tcPr>
          <w:p w:rsidR="00376F1E" w:rsidRPr="003708B6" w:rsidRDefault="00376F1E" w:rsidP="009B3F7C">
            <w:pPr>
              <w:pStyle w:val="tabledata"/>
            </w:pPr>
            <w:r w:rsidRPr="003708B6">
              <w:t>Respiratory, thoracic and mediastinal disorders</w:t>
            </w:r>
          </w:p>
        </w:tc>
        <w:tc>
          <w:tcPr>
            <w:tcW w:w="1117" w:type="dxa"/>
            <w:tcBorders>
              <w:top w:val="nil"/>
              <w:left w:val="nil"/>
              <w:bottom w:val="nil"/>
              <w:right w:val="nil"/>
            </w:tcBorders>
          </w:tcPr>
          <w:p w:rsidR="00376F1E" w:rsidRPr="003708B6" w:rsidRDefault="00376F1E" w:rsidP="009B3F7C">
            <w:pPr>
              <w:pStyle w:val="tabledata"/>
            </w:pPr>
          </w:p>
        </w:tc>
      </w:tr>
      <w:tr w:rsidR="00376F1E" w:rsidRPr="00350D8A" w:rsidTr="00A4736B">
        <w:trPr>
          <w:gridAfter w:val="1"/>
          <w:wAfter w:w="40" w:type="dxa"/>
          <w:jc w:val="center"/>
        </w:trPr>
        <w:tc>
          <w:tcPr>
            <w:tcW w:w="3330" w:type="dxa"/>
            <w:tcBorders>
              <w:top w:val="nil"/>
              <w:left w:val="nil"/>
              <w:bottom w:val="single" w:sz="4" w:space="0" w:color="auto"/>
              <w:right w:val="nil"/>
            </w:tcBorders>
            <w:vAlign w:val="center"/>
            <w:hideMark/>
          </w:tcPr>
          <w:p w:rsidR="00376F1E" w:rsidRPr="003708B6" w:rsidRDefault="00376F1E" w:rsidP="009B3F7C">
            <w:pPr>
              <w:pStyle w:val="tabledata"/>
            </w:pPr>
            <w:r w:rsidRPr="003708B6">
              <w:t xml:space="preserve">          Rhinorrhoea</w:t>
            </w:r>
          </w:p>
        </w:tc>
        <w:tc>
          <w:tcPr>
            <w:tcW w:w="1117" w:type="dxa"/>
            <w:tcBorders>
              <w:top w:val="nil"/>
              <w:left w:val="nil"/>
              <w:bottom w:val="single" w:sz="4" w:space="0" w:color="auto"/>
              <w:right w:val="nil"/>
            </w:tcBorders>
            <w:vAlign w:val="center"/>
            <w:hideMark/>
          </w:tcPr>
          <w:p w:rsidR="00376F1E" w:rsidRPr="003708B6" w:rsidRDefault="00376F1E" w:rsidP="009B3F7C">
            <w:pPr>
              <w:pStyle w:val="tabledata"/>
            </w:pPr>
            <w:r w:rsidRPr="003708B6">
              <w:t>8 (1.2)</w:t>
            </w:r>
          </w:p>
        </w:tc>
        <w:tc>
          <w:tcPr>
            <w:tcW w:w="1117" w:type="dxa"/>
            <w:tcBorders>
              <w:top w:val="nil"/>
              <w:left w:val="nil"/>
              <w:bottom w:val="single" w:sz="4" w:space="0" w:color="auto"/>
              <w:right w:val="nil"/>
            </w:tcBorders>
            <w:vAlign w:val="center"/>
            <w:hideMark/>
          </w:tcPr>
          <w:p w:rsidR="00376F1E" w:rsidRPr="003708B6" w:rsidRDefault="00376F1E" w:rsidP="009B3F7C">
            <w:pPr>
              <w:pStyle w:val="tabledata"/>
            </w:pPr>
            <w:r w:rsidRPr="003708B6">
              <w:t>2 (0.3)</w:t>
            </w:r>
          </w:p>
        </w:tc>
        <w:tc>
          <w:tcPr>
            <w:tcW w:w="1117" w:type="dxa"/>
            <w:tcBorders>
              <w:top w:val="nil"/>
              <w:left w:val="nil"/>
              <w:bottom w:val="single" w:sz="4" w:space="0" w:color="auto"/>
              <w:right w:val="nil"/>
            </w:tcBorders>
            <w:vAlign w:val="center"/>
            <w:hideMark/>
          </w:tcPr>
          <w:p w:rsidR="00376F1E" w:rsidRPr="003708B6" w:rsidRDefault="00376F1E" w:rsidP="009B3F7C">
            <w:pPr>
              <w:pStyle w:val="tabledata"/>
            </w:pPr>
            <w:r w:rsidRPr="003708B6">
              <w:t>1 (0.1)</w:t>
            </w:r>
          </w:p>
        </w:tc>
        <w:tc>
          <w:tcPr>
            <w:tcW w:w="1746" w:type="dxa"/>
            <w:gridSpan w:val="2"/>
            <w:tcBorders>
              <w:top w:val="nil"/>
              <w:left w:val="nil"/>
              <w:bottom w:val="single" w:sz="4" w:space="0" w:color="auto"/>
              <w:right w:val="nil"/>
            </w:tcBorders>
          </w:tcPr>
          <w:p w:rsidR="00376F1E" w:rsidRPr="003708B6" w:rsidRDefault="00376F1E" w:rsidP="009B3F7C">
            <w:pPr>
              <w:pStyle w:val="tabledata"/>
            </w:pPr>
            <w:r w:rsidRPr="003708B6">
              <w:t>Common</w:t>
            </w:r>
          </w:p>
        </w:tc>
      </w:tr>
    </w:tbl>
    <w:p w:rsidR="00376F1E" w:rsidRPr="003708B6" w:rsidRDefault="00376F1E" w:rsidP="009B3F7C">
      <w:pPr>
        <w:pStyle w:val="tabledata"/>
      </w:pPr>
      <w:r w:rsidRPr="003708B6">
        <w:rPr>
          <w:vertAlign w:val="superscript"/>
        </w:rPr>
        <w:t>1</w:t>
      </w:r>
      <w:r w:rsidRPr="003708B6">
        <w:t xml:space="preserve"> ADR frequencies are based upon the highest percentage rate seen in any of the </w:t>
      </w:r>
      <w:proofErr w:type="spellStart"/>
      <w:r w:rsidRPr="003708B6">
        <w:t>secukinumab</w:t>
      </w:r>
      <w:proofErr w:type="spellEnd"/>
      <w:r w:rsidRPr="003708B6">
        <w:t xml:space="preserve"> groups</w:t>
      </w:r>
    </w:p>
    <w:p w:rsidR="00376F1E" w:rsidRPr="007040B6" w:rsidRDefault="00376F1E" w:rsidP="009B3F7C">
      <w:pPr>
        <w:pStyle w:val="tabledata"/>
      </w:pPr>
    </w:p>
    <w:p w:rsidR="00876386" w:rsidRDefault="00376F1E" w:rsidP="009B3F7C">
      <w:pPr>
        <w:pStyle w:val="tabletitle0"/>
      </w:pPr>
      <w:r w:rsidRPr="00E4510B">
        <w:t xml:space="preserve">Table </w:t>
      </w:r>
      <w:r>
        <w:t>7</w:t>
      </w:r>
      <w:r>
        <w:tab/>
      </w:r>
      <w:r w:rsidRPr="00E4510B">
        <w:t>Adverse</w:t>
      </w:r>
      <w:r>
        <w:t xml:space="preserve"> Drug</w:t>
      </w:r>
      <w:r w:rsidRPr="00E4510B">
        <w:t xml:space="preserve"> Reactions </w:t>
      </w:r>
      <w:r w:rsidR="00876386">
        <w:t>r</w:t>
      </w:r>
      <w:r w:rsidRPr="00E4510B">
        <w:t>eported by ≥</w:t>
      </w:r>
      <w:r>
        <w:t xml:space="preserve"> </w:t>
      </w:r>
      <w:r w:rsidRPr="00E4510B">
        <w:t>1</w:t>
      </w:r>
      <w:r>
        <w:t xml:space="preserve"> </w:t>
      </w:r>
      <w:r w:rsidRPr="00E4510B">
        <w:t xml:space="preserve">% </w:t>
      </w:r>
      <w:r>
        <w:t xml:space="preserve">of </w:t>
      </w:r>
      <w:r w:rsidR="00876386">
        <w:t xml:space="preserve">psoriasis </w:t>
      </w:r>
      <w:r>
        <w:t>patients t</w:t>
      </w:r>
      <w:r w:rsidRPr="00E4510B">
        <w:t>hrough</w:t>
      </w:r>
    </w:p>
    <w:p w:rsidR="00376F1E" w:rsidRPr="00E4510B" w:rsidRDefault="00876386" w:rsidP="009B3F7C">
      <w:pPr>
        <w:pStyle w:val="tabletitle0"/>
      </w:pPr>
      <w:r>
        <w:tab/>
      </w:r>
      <w:r>
        <w:tab/>
        <w:t>w</w:t>
      </w:r>
      <w:r w:rsidR="00376F1E" w:rsidRPr="00E4510B">
        <w:t xml:space="preserve">eek 12 in Phase III FIXTURE Study </w:t>
      </w:r>
      <w:r w:rsidR="00376F1E">
        <w:t>(A2303)</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815"/>
        <w:gridCol w:w="815"/>
        <w:gridCol w:w="837"/>
        <w:gridCol w:w="997"/>
        <w:gridCol w:w="1495"/>
      </w:tblGrid>
      <w:tr w:rsidR="00376F1E" w:rsidRPr="005A67BD" w:rsidTr="00A4736B">
        <w:trPr>
          <w:trHeight w:val="332"/>
          <w:tblHeader/>
          <w:jc w:val="center"/>
        </w:trPr>
        <w:tc>
          <w:tcPr>
            <w:tcW w:w="2641" w:type="dxa"/>
            <w:vMerge w:val="restart"/>
            <w:tcBorders>
              <w:top w:val="single" w:sz="4" w:space="0" w:color="auto"/>
              <w:left w:val="nil"/>
              <w:bottom w:val="single" w:sz="4" w:space="0" w:color="auto"/>
              <w:right w:val="nil"/>
            </w:tcBorders>
            <w:shd w:val="clear" w:color="auto" w:fill="auto"/>
            <w:noWrap/>
            <w:vAlign w:val="center"/>
            <w:hideMark/>
          </w:tcPr>
          <w:p w:rsidR="00376F1E" w:rsidRPr="005A67BD" w:rsidRDefault="00376F1E" w:rsidP="009B3F7C">
            <w:pPr>
              <w:pStyle w:val="tabledata"/>
            </w:pPr>
            <w:r w:rsidRPr="005A67BD">
              <w:t>Adverse Reactions</w:t>
            </w:r>
          </w:p>
        </w:tc>
        <w:tc>
          <w:tcPr>
            <w:tcW w:w="1630" w:type="dxa"/>
            <w:gridSpan w:val="2"/>
            <w:tcBorders>
              <w:top w:val="single" w:sz="4" w:space="0" w:color="auto"/>
              <w:left w:val="nil"/>
              <w:bottom w:val="nil"/>
              <w:right w:val="nil"/>
            </w:tcBorders>
            <w:shd w:val="clear" w:color="auto" w:fill="auto"/>
            <w:vAlign w:val="bottom"/>
            <w:hideMark/>
          </w:tcPr>
          <w:p w:rsidR="00376F1E" w:rsidRPr="005A67BD" w:rsidRDefault="00876386" w:rsidP="009B3F7C">
            <w:pPr>
              <w:pStyle w:val="tabledata"/>
            </w:pPr>
            <w:r>
              <w:t xml:space="preserve">         </w:t>
            </w:r>
            <w:proofErr w:type="spellStart"/>
            <w:r w:rsidR="00376F1E" w:rsidRPr="005A67BD">
              <w:t>Cosentyx</w:t>
            </w:r>
            <w:proofErr w:type="spellEnd"/>
          </w:p>
        </w:tc>
        <w:tc>
          <w:tcPr>
            <w:tcW w:w="837" w:type="dxa"/>
            <w:vMerge w:val="restart"/>
            <w:tcBorders>
              <w:top w:val="single" w:sz="4" w:space="0" w:color="auto"/>
              <w:left w:val="nil"/>
              <w:bottom w:val="single" w:sz="4" w:space="0" w:color="auto"/>
              <w:right w:val="nil"/>
            </w:tcBorders>
            <w:shd w:val="clear" w:color="auto" w:fill="auto"/>
            <w:vAlign w:val="bottom"/>
            <w:hideMark/>
          </w:tcPr>
          <w:p w:rsidR="00376F1E" w:rsidRPr="005A67BD" w:rsidRDefault="00376F1E" w:rsidP="009B3F7C">
            <w:pPr>
              <w:pStyle w:val="tabledata"/>
            </w:pPr>
            <w:r w:rsidRPr="005A67BD">
              <w:t>Placebo</w:t>
            </w:r>
            <w:r w:rsidRPr="005A67BD">
              <w:br/>
              <w:t>N=327</w:t>
            </w:r>
            <w:r w:rsidRPr="005A67BD">
              <w:br/>
              <w:t>n (%)</w:t>
            </w:r>
          </w:p>
        </w:tc>
        <w:tc>
          <w:tcPr>
            <w:tcW w:w="997" w:type="dxa"/>
            <w:vMerge w:val="restart"/>
            <w:tcBorders>
              <w:top w:val="single" w:sz="4" w:space="0" w:color="auto"/>
              <w:left w:val="nil"/>
              <w:bottom w:val="single" w:sz="4" w:space="0" w:color="auto"/>
              <w:right w:val="nil"/>
            </w:tcBorders>
            <w:shd w:val="clear" w:color="auto" w:fill="auto"/>
            <w:vAlign w:val="bottom"/>
            <w:hideMark/>
          </w:tcPr>
          <w:p w:rsidR="00376F1E" w:rsidRPr="005A67BD" w:rsidRDefault="00376F1E" w:rsidP="009B3F7C">
            <w:pPr>
              <w:pStyle w:val="tabledata"/>
            </w:pPr>
            <w:proofErr w:type="spellStart"/>
            <w:r w:rsidRPr="005A67BD">
              <w:t>Etanercept</w:t>
            </w:r>
            <w:proofErr w:type="spellEnd"/>
            <w:r w:rsidRPr="005A67BD">
              <w:br/>
              <w:t>N=323</w:t>
            </w:r>
            <w:r w:rsidRPr="005A67BD">
              <w:br/>
              <w:t>n (%)</w:t>
            </w:r>
          </w:p>
        </w:tc>
        <w:tc>
          <w:tcPr>
            <w:tcW w:w="1495" w:type="dxa"/>
            <w:vMerge w:val="restart"/>
            <w:tcBorders>
              <w:top w:val="single" w:sz="4" w:space="0" w:color="auto"/>
              <w:left w:val="nil"/>
              <w:bottom w:val="single" w:sz="4" w:space="0" w:color="auto"/>
              <w:right w:val="nil"/>
            </w:tcBorders>
            <w:vAlign w:val="bottom"/>
          </w:tcPr>
          <w:p w:rsidR="00376F1E" w:rsidRPr="005A67BD" w:rsidRDefault="00376F1E" w:rsidP="009B3F7C">
            <w:pPr>
              <w:pStyle w:val="tabledata"/>
            </w:pPr>
            <w:r w:rsidRPr="005A67BD">
              <w:t>Frequency category</w:t>
            </w:r>
            <w:r w:rsidRPr="005A67BD">
              <w:rPr>
                <w:vertAlign w:val="superscript"/>
              </w:rPr>
              <w:t>1</w:t>
            </w:r>
          </w:p>
        </w:tc>
      </w:tr>
      <w:tr w:rsidR="00376F1E" w:rsidRPr="005A67BD" w:rsidTr="00A4736B">
        <w:trPr>
          <w:trHeight w:val="641"/>
          <w:jc w:val="center"/>
        </w:trPr>
        <w:tc>
          <w:tcPr>
            <w:tcW w:w="2641" w:type="dxa"/>
            <w:vMerge/>
            <w:tcBorders>
              <w:top w:val="nil"/>
              <w:left w:val="nil"/>
              <w:bottom w:val="single" w:sz="4" w:space="0" w:color="auto"/>
              <w:right w:val="nil"/>
            </w:tcBorders>
            <w:shd w:val="clear" w:color="auto" w:fill="auto"/>
            <w:noWrap/>
            <w:vAlign w:val="bottom"/>
          </w:tcPr>
          <w:p w:rsidR="00376F1E" w:rsidRPr="005A67BD" w:rsidRDefault="00376F1E" w:rsidP="009B3F7C">
            <w:pPr>
              <w:pStyle w:val="tabledata"/>
            </w:pPr>
          </w:p>
        </w:tc>
        <w:tc>
          <w:tcPr>
            <w:tcW w:w="815" w:type="dxa"/>
            <w:tcBorders>
              <w:top w:val="nil"/>
              <w:left w:val="nil"/>
              <w:bottom w:val="single" w:sz="4" w:space="0" w:color="auto"/>
              <w:right w:val="nil"/>
            </w:tcBorders>
            <w:shd w:val="clear" w:color="auto" w:fill="auto"/>
            <w:vAlign w:val="bottom"/>
          </w:tcPr>
          <w:p w:rsidR="00376F1E" w:rsidRPr="005A67BD" w:rsidRDefault="00376F1E" w:rsidP="009B3F7C">
            <w:pPr>
              <w:pStyle w:val="tabledata"/>
            </w:pPr>
            <w:r w:rsidRPr="005A67BD">
              <w:t>300 mg</w:t>
            </w:r>
            <w:r w:rsidRPr="005A67BD">
              <w:br/>
              <w:t>N=326</w:t>
            </w:r>
            <w:r w:rsidRPr="005A67BD">
              <w:br/>
              <w:t>n (%)</w:t>
            </w:r>
          </w:p>
        </w:tc>
        <w:tc>
          <w:tcPr>
            <w:tcW w:w="815" w:type="dxa"/>
            <w:tcBorders>
              <w:top w:val="nil"/>
              <w:left w:val="nil"/>
              <w:bottom w:val="single" w:sz="4" w:space="0" w:color="auto"/>
              <w:right w:val="nil"/>
            </w:tcBorders>
            <w:shd w:val="clear" w:color="auto" w:fill="auto"/>
            <w:vAlign w:val="bottom"/>
          </w:tcPr>
          <w:p w:rsidR="00376F1E" w:rsidRPr="005A67BD" w:rsidRDefault="00376F1E" w:rsidP="009B3F7C">
            <w:pPr>
              <w:pStyle w:val="tabledata"/>
            </w:pPr>
            <w:r w:rsidRPr="005A67BD">
              <w:t>150 mg</w:t>
            </w:r>
            <w:r w:rsidRPr="005A67BD">
              <w:br/>
              <w:t>N=327</w:t>
            </w:r>
            <w:r w:rsidRPr="005A67BD">
              <w:br/>
              <w:t>n (%)</w:t>
            </w:r>
          </w:p>
        </w:tc>
        <w:tc>
          <w:tcPr>
            <w:tcW w:w="837" w:type="dxa"/>
            <w:vMerge/>
            <w:tcBorders>
              <w:top w:val="nil"/>
              <w:left w:val="nil"/>
              <w:bottom w:val="single" w:sz="4" w:space="0" w:color="auto"/>
              <w:right w:val="nil"/>
            </w:tcBorders>
            <w:shd w:val="clear" w:color="auto" w:fill="auto"/>
            <w:vAlign w:val="bottom"/>
          </w:tcPr>
          <w:p w:rsidR="00376F1E" w:rsidRPr="005A67BD" w:rsidRDefault="00376F1E" w:rsidP="009B3F7C">
            <w:pPr>
              <w:pStyle w:val="tabledata"/>
            </w:pPr>
          </w:p>
        </w:tc>
        <w:tc>
          <w:tcPr>
            <w:tcW w:w="997" w:type="dxa"/>
            <w:vMerge/>
            <w:tcBorders>
              <w:top w:val="nil"/>
              <w:left w:val="nil"/>
              <w:bottom w:val="single" w:sz="4" w:space="0" w:color="auto"/>
              <w:right w:val="nil"/>
            </w:tcBorders>
            <w:shd w:val="clear" w:color="auto" w:fill="auto"/>
            <w:vAlign w:val="bottom"/>
          </w:tcPr>
          <w:p w:rsidR="00376F1E" w:rsidRPr="005A67BD" w:rsidRDefault="00376F1E" w:rsidP="009B3F7C">
            <w:pPr>
              <w:pStyle w:val="tabledata"/>
            </w:pPr>
          </w:p>
        </w:tc>
        <w:tc>
          <w:tcPr>
            <w:tcW w:w="1495" w:type="dxa"/>
            <w:vMerge/>
            <w:tcBorders>
              <w:top w:val="nil"/>
              <w:left w:val="nil"/>
              <w:bottom w:val="single" w:sz="4" w:space="0" w:color="auto"/>
              <w:right w:val="nil"/>
            </w:tcBorders>
          </w:tcPr>
          <w:p w:rsidR="00376F1E" w:rsidRPr="005A67BD" w:rsidRDefault="00376F1E" w:rsidP="009B3F7C">
            <w:pPr>
              <w:pStyle w:val="tabledata"/>
            </w:pPr>
          </w:p>
        </w:tc>
      </w:tr>
      <w:tr w:rsidR="00376F1E" w:rsidRPr="005A67BD" w:rsidTr="00A4736B">
        <w:trPr>
          <w:trHeight w:val="300"/>
          <w:jc w:val="center"/>
        </w:trPr>
        <w:tc>
          <w:tcPr>
            <w:tcW w:w="2641" w:type="dxa"/>
            <w:tcBorders>
              <w:top w:val="single" w:sz="4" w:space="0" w:color="auto"/>
              <w:left w:val="nil"/>
              <w:bottom w:val="nil"/>
              <w:right w:val="nil"/>
            </w:tcBorders>
            <w:shd w:val="clear" w:color="auto" w:fill="auto"/>
            <w:noWrap/>
            <w:vAlign w:val="center"/>
          </w:tcPr>
          <w:p w:rsidR="00376F1E" w:rsidRPr="005A67BD" w:rsidRDefault="00376F1E" w:rsidP="009B3F7C">
            <w:pPr>
              <w:pStyle w:val="tabledata"/>
            </w:pPr>
            <w:r w:rsidRPr="005A67BD">
              <w:t>Infections and infestations</w:t>
            </w:r>
          </w:p>
        </w:tc>
        <w:tc>
          <w:tcPr>
            <w:tcW w:w="815" w:type="dxa"/>
            <w:tcBorders>
              <w:top w:val="single" w:sz="4" w:space="0" w:color="auto"/>
              <w:left w:val="nil"/>
              <w:bottom w:val="nil"/>
              <w:right w:val="nil"/>
            </w:tcBorders>
            <w:shd w:val="clear" w:color="auto" w:fill="auto"/>
            <w:noWrap/>
            <w:vAlign w:val="bottom"/>
          </w:tcPr>
          <w:p w:rsidR="00376F1E" w:rsidRPr="005A67BD" w:rsidRDefault="00376F1E" w:rsidP="009B3F7C">
            <w:pPr>
              <w:pStyle w:val="tabledata"/>
            </w:pPr>
          </w:p>
        </w:tc>
        <w:tc>
          <w:tcPr>
            <w:tcW w:w="815" w:type="dxa"/>
            <w:tcBorders>
              <w:top w:val="single" w:sz="4" w:space="0" w:color="auto"/>
              <w:left w:val="nil"/>
              <w:bottom w:val="nil"/>
              <w:right w:val="nil"/>
            </w:tcBorders>
            <w:vAlign w:val="bottom"/>
          </w:tcPr>
          <w:p w:rsidR="00376F1E" w:rsidRPr="005A67BD" w:rsidRDefault="00376F1E" w:rsidP="009B3F7C">
            <w:pPr>
              <w:pStyle w:val="tabledata"/>
            </w:pPr>
          </w:p>
        </w:tc>
        <w:tc>
          <w:tcPr>
            <w:tcW w:w="837" w:type="dxa"/>
            <w:tcBorders>
              <w:top w:val="single" w:sz="4" w:space="0" w:color="auto"/>
              <w:left w:val="nil"/>
              <w:bottom w:val="nil"/>
              <w:right w:val="nil"/>
            </w:tcBorders>
            <w:shd w:val="clear" w:color="auto" w:fill="auto"/>
            <w:noWrap/>
            <w:vAlign w:val="bottom"/>
          </w:tcPr>
          <w:p w:rsidR="00376F1E" w:rsidRPr="005A67BD" w:rsidRDefault="00376F1E" w:rsidP="009B3F7C">
            <w:pPr>
              <w:pStyle w:val="tabledata"/>
            </w:pPr>
          </w:p>
        </w:tc>
        <w:tc>
          <w:tcPr>
            <w:tcW w:w="997" w:type="dxa"/>
            <w:tcBorders>
              <w:top w:val="single" w:sz="4" w:space="0" w:color="auto"/>
              <w:left w:val="nil"/>
              <w:bottom w:val="nil"/>
              <w:right w:val="nil"/>
            </w:tcBorders>
            <w:shd w:val="clear" w:color="auto" w:fill="auto"/>
            <w:noWrap/>
            <w:vAlign w:val="bottom"/>
          </w:tcPr>
          <w:p w:rsidR="00376F1E" w:rsidRPr="005A67BD" w:rsidRDefault="00376F1E" w:rsidP="009B3F7C">
            <w:pPr>
              <w:pStyle w:val="tabledata"/>
            </w:pPr>
          </w:p>
        </w:tc>
        <w:tc>
          <w:tcPr>
            <w:tcW w:w="1495" w:type="dxa"/>
            <w:tcBorders>
              <w:top w:val="single" w:sz="4" w:space="0" w:color="auto"/>
              <w:left w:val="nil"/>
              <w:bottom w:val="nil"/>
              <w:right w:val="nil"/>
            </w:tcBorders>
          </w:tcPr>
          <w:p w:rsidR="00376F1E" w:rsidRPr="005A67BD" w:rsidRDefault="00376F1E" w:rsidP="009B3F7C">
            <w:pPr>
              <w:pStyle w:val="tabledata"/>
            </w:pPr>
          </w:p>
        </w:tc>
      </w:tr>
      <w:tr w:rsidR="00376F1E" w:rsidRPr="005A67BD"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 xml:space="preserve">          </w:t>
            </w:r>
            <w:proofErr w:type="spellStart"/>
            <w:r w:rsidRPr="005A67BD">
              <w:t>Nasopharyngitis</w:t>
            </w:r>
            <w:proofErr w:type="spellEnd"/>
          </w:p>
        </w:tc>
        <w:tc>
          <w:tcPr>
            <w:tcW w:w="815"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35 (10.7)</w:t>
            </w:r>
          </w:p>
        </w:tc>
        <w:tc>
          <w:tcPr>
            <w:tcW w:w="815" w:type="dxa"/>
            <w:tcBorders>
              <w:top w:val="nil"/>
              <w:left w:val="nil"/>
              <w:bottom w:val="nil"/>
              <w:right w:val="nil"/>
            </w:tcBorders>
            <w:vAlign w:val="bottom"/>
          </w:tcPr>
          <w:p w:rsidR="00376F1E" w:rsidRPr="005A67BD" w:rsidRDefault="00376F1E" w:rsidP="009B3F7C">
            <w:pPr>
              <w:pStyle w:val="tabledata"/>
            </w:pPr>
            <w:r w:rsidRPr="005A67BD">
              <w:t>45 (13.8)</w:t>
            </w:r>
          </w:p>
        </w:tc>
        <w:tc>
          <w:tcPr>
            <w:tcW w:w="83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26 (8.0)</w:t>
            </w:r>
          </w:p>
        </w:tc>
        <w:tc>
          <w:tcPr>
            <w:tcW w:w="99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36 (11.1)</w:t>
            </w:r>
          </w:p>
        </w:tc>
        <w:tc>
          <w:tcPr>
            <w:tcW w:w="1495" w:type="dxa"/>
            <w:tcBorders>
              <w:top w:val="nil"/>
              <w:left w:val="nil"/>
              <w:bottom w:val="nil"/>
              <w:right w:val="nil"/>
            </w:tcBorders>
          </w:tcPr>
          <w:p w:rsidR="00376F1E" w:rsidRPr="005A67BD" w:rsidRDefault="00376F1E" w:rsidP="009B3F7C">
            <w:pPr>
              <w:pStyle w:val="tabledata"/>
            </w:pPr>
            <w:r w:rsidRPr="005A67BD">
              <w:t>Very common</w:t>
            </w:r>
          </w:p>
        </w:tc>
      </w:tr>
      <w:tr w:rsidR="00376F1E" w:rsidRPr="005A67BD"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 xml:space="preserve">          Upper Respiratory Tract Infection</w:t>
            </w:r>
          </w:p>
        </w:tc>
        <w:tc>
          <w:tcPr>
            <w:tcW w:w="815"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7 (2.1)</w:t>
            </w:r>
          </w:p>
        </w:tc>
        <w:tc>
          <w:tcPr>
            <w:tcW w:w="815" w:type="dxa"/>
            <w:tcBorders>
              <w:top w:val="nil"/>
              <w:left w:val="nil"/>
              <w:bottom w:val="nil"/>
              <w:right w:val="nil"/>
            </w:tcBorders>
            <w:vAlign w:val="bottom"/>
          </w:tcPr>
          <w:p w:rsidR="00376F1E" w:rsidRPr="005A67BD" w:rsidRDefault="00376F1E" w:rsidP="009B3F7C">
            <w:pPr>
              <w:pStyle w:val="tabledata"/>
            </w:pPr>
            <w:r w:rsidRPr="005A67BD">
              <w:t>10 (3.1)</w:t>
            </w:r>
          </w:p>
        </w:tc>
        <w:tc>
          <w:tcPr>
            <w:tcW w:w="83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3 (0.9)</w:t>
            </w:r>
          </w:p>
        </w:tc>
        <w:tc>
          <w:tcPr>
            <w:tcW w:w="99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7 (2.2)</w:t>
            </w:r>
          </w:p>
        </w:tc>
        <w:tc>
          <w:tcPr>
            <w:tcW w:w="1495" w:type="dxa"/>
            <w:tcBorders>
              <w:top w:val="nil"/>
              <w:left w:val="nil"/>
              <w:bottom w:val="nil"/>
              <w:right w:val="nil"/>
            </w:tcBorders>
          </w:tcPr>
          <w:p w:rsidR="00376F1E" w:rsidRPr="005A67BD" w:rsidRDefault="00376F1E" w:rsidP="009B3F7C">
            <w:pPr>
              <w:pStyle w:val="tabledata"/>
            </w:pPr>
            <w:r w:rsidRPr="005A67BD">
              <w:t>Common</w:t>
            </w:r>
          </w:p>
        </w:tc>
      </w:tr>
      <w:tr w:rsidR="00376F1E" w:rsidRPr="005A67BD"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 xml:space="preserve">          Rhinitis</w:t>
            </w:r>
          </w:p>
        </w:tc>
        <w:tc>
          <w:tcPr>
            <w:tcW w:w="815"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7 (2.1)</w:t>
            </w:r>
          </w:p>
        </w:tc>
        <w:tc>
          <w:tcPr>
            <w:tcW w:w="815" w:type="dxa"/>
            <w:tcBorders>
              <w:top w:val="nil"/>
              <w:left w:val="nil"/>
              <w:bottom w:val="nil"/>
              <w:right w:val="nil"/>
            </w:tcBorders>
            <w:vAlign w:val="bottom"/>
          </w:tcPr>
          <w:p w:rsidR="00376F1E" w:rsidRPr="005A67BD" w:rsidRDefault="00376F1E" w:rsidP="009B3F7C">
            <w:pPr>
              <w:pStyle w:val="tabledata"/>
            </w:pPr>
            <w:r w:rsidRPr="005A67BD">
              <w:t>4 (1.2)</w:t>
            </w:r>
          </w:p>
        </w:tc>
        <w:tc>
          <w:tcPr>
            <w:tcW w:w="83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4 (1.2)</w:t>
            </w:r>
          </w:p>
        </w:tc>
        <w:tc>
          <w:tcPr>
            <w:tcW w:w="99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3 (0.9)</w:t>
            </w:r>
          </w:p>
        </w:tc>
        <w:tc>
          <w:tcPr>
            <w:tcW w:w="1495" w:type="dxa"/>
            <w:tcBorders>
              <w:top w:val="nil"/>
              <w:left w:val="nil"/>
              <w:bottom w:val="nil"/>
              <w:right w:val="nil"/>
            </w:tcBorders>
          </w:tcPr>
          <w:p w:rsidR="00376F1E" w:rsidRPr="005A67BD" w:rsidRDefault="00376F1E" w:rsidP="009B3F7C">
            <w:pPr>
              <w:pStyle w:val="tabledata"/>
            </w:pPr>
            <w:r w:rsidRPr="005A67BD">
              <w:t>Common</w:t>
            </w:r>
          </w:p>
        </w:tc>
      </w:tr>
      <w:tr w:rsidR="00376F1E" w:rsidRPr="005A67BD" w:rsidTr="00A4736B">
        <w:trPr>
          <w:trHeight w:val="300"/>
          <w:jc w:val="center"/>
        </w:trPr>
        <w:tc>
          <w:tcPr>
            <w:tcW w:w="2641" w:type="dxa"/>
            <w:tcBorders>
              <w:top w:val="nil"/>
              <w:left w:val="nil"/>
              <w:bottom w:val="nil"/>
              <w:right w:val="nil"/>
            </w:tcBorders>
            <w:shd w:val="clear" w:color="auto" w:fill="auto"/>
            <w:noWrap/>
            <w:vAlign w:val="center"/>
          </w:tcPr>
          <w:p w:rsidR="00376F1E" w:rsidRPr="005A67BD" w:rsidRDefault="00376F1E" w:rsidP="009B3F7C">
            <w:pPr>
              <w:pStyle w:val="tabledata"/>
            </w:pPr>
            <w:r w:rsidRPr="005A67BD">
              <w:t xml:space="preserve">          Oral Herpes</w:t>
            </w:r>
          </w:p>
        </w:tc>
        <w:tc>
          <w:tcPr>
            <w:tcW w:w="815" w:type="dxa"/>
            <w:tcBorders>
              <w:top w:val="nil"/>
              <w:left w:val="nil"/>
              <w:bottom w:val="nil"/>
              <w:right w:val="nil"/>
            </w:tcBorders>
            <w:shd w:val="clear" w:color="auto" w:fill="auto"/>
            <w:noWrap/>
            <w:vAlign w:val="center"/>
          </w:tcPr>
          <w:p w:rsidR="00376F1E" w:rsidRPr="005A67BD" w:rsidRDefault="00376F1E" w:rsidP="009B3F7C">
            <w:pPr>
              <w:pStyle w:val="tabledata"/>
            </w:pPr>
            <w:r w:rsidRPr="005A67BD">
              <w:t>5 ( 1.5)</w:t>
            </w:r>
          </w:p>
        </w:tc>
        <w:tc>
          <w:tcPr>
            <w:tcW w:w="815" w:type="dxa"/>
            <w:tcBorders>
              <w:top w:val="nil"/>
              <w:left w:val="nil"/>
              <w:bottom w:val="nil"/>
              <w:right w:val="nil"/>
            </w:tcBorders>
            <w:vAlign w:val="center"/>
          </w:tcPr>
          <w:p w:rsidR="00376F1E" w:rsidRPr="005A67BD" w:rsidRDefault="00376F1E" w:rsidP="009B3F7C">
            <w:pPr>
              <w:pStyle w:val="tabledata"/>
            </w:pPr>
            <w:r w:rsidRPr="005A67BD">
              <w:t>1 ( 0.3)</w:t>
            </w:r>
          </w:p>
        </w:tc>
        <w:tc>
          <w:tcPr>
            <w:tcW w:w="837" w:type="dxa"/>
            <w:tcBorders>
              <w:top w:val="nil"/>
              <w:left w:val="nil"/>
              <w:bottom w:val="nil"/>
              <w:right w:val="nil"/>
            </w:tcBorders>
            <w:shd w:val="clear" w:color="auto" w:fill="auto"/>
            <w:noWrap/>
            <w:vAlign w:val="center"/>
          </w:tcPr>
          <w:p w:rsidR="00376F1E" w:rsidRPr="005A67BD" w:rsidRDefault="00376F1E" w:rsidP="009B3F7C">
            <w:pPr>
              <w:pStyle w:val="tabledata"/>
            </w:pPr>
            <w:r w:rsidRPr="005A67BD">
              <w:t>0 ( 0.0)</w:t>
            </w:r>
          </w:p>
        </w:tc>
        <w:tc>
          <w:tcPr>
            <w:tcW w:w="997" w:type="dxa"/>
            <w:tcBorders>
              <w:top w:val="nil"/>
              <w:left w:val="nil"/>
              <w:bottom w:val="nil"/>
              <w:right w:val="nil"/>
            </w:tcBorders>
            <w:shd w:val="clear" w:color="auto" w:fill="auto"/>
            <w:noWrap/>
            <w:vAlign w:val="center"/>
          </w:tcPr>
          <w:p w:rsidR="00376F1E" w:rsidRPr="005A67BD" w:rsidRDefault="00376F1E" w:rsidP="009B3F7C">
            <w:pPr>
              <w:pStyle w:val="tabledata"/>
            </w:pPr>
            <w:r w:rsidRPr="005A67BD">
              <w:t>0 ( 0.0)</w:t>
            </w:r>
          </w:p>
        </w:tc>
        <w:tc>
          <w:tcPr>
            <w:tcW w:w="1495" w:type="dxa"/>
            <w:tcBorders>
              <w:top w:val="nil"/>
              <w:left w:val="nil"/>
              <w:bottom w:val="nil"/>
              <w:right w:val="nil"/>
            </w:tcBorders>
          </w:tcPr>
          <w:p w:rsidR="00376F1E" w:rsidRPr="005A67BD" w:rsidRDefault="00376F1E" w:rsidP="009B3F7C">
            <w:pPr>
              <w:pStyle w:val="tabledata"/>
            </w:pPr>
            <w:r w:rsidRPr="005A67BD">
              <w:t>Common</w:t>
            </w:r>
          </w:p>
        </w:tc>
      </w:tr>
      <w:tr w:rsidR="00376F1E" w:rsidRPr="005A67BD" w:rsidTr="00A4736B">
        <w:trPr>
          <w:trHeight w:val="300"/>
          <w:jc w:val="center"/>
        </w:trPr>
        <w:tc>
          <w:tcPr>
            <w:tcW w:w="2641"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 xml:space="preserve">          Pharyngitis</w:t>
            </w:r>
          </w:p>
        </w:tc>
        <w:tc>
          <w:tcPr>
            <w:tcW w:w="815"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4 ( 1.2)</w:t>
            </w:r>
          </w:p>
        </w:tc>
        <w:tc>
          <w:tcPr>
            <w:tcW w:w="815" w:type="dxa"/>
            <w:tcBorders>
              <w:top w:val="nil"/>
              <w:left w:val="nil"/>
              <w:bottom w:val="nil"/>
              <w:right w:val="nil"/>
            </w:tcBorders>
            <w:vAlign w:val="center"/>
          </w:tcPr>
          <w:p w:rsidR="00376F1E" w:rsidRPr="005A67BD" w:rsidRDefault="00376F1E" w:rsidP="009B3F7C">
            <w:pPr>
              <w:pStyle w:val="tabledata"/>
            </w:pPr>
            <w:r w:rsidRPr="005A67BD">
              <w:t>5 ( 1.5)</w:t>
            </w:r>
          </w:p>
        </w:tc>
        <w:tc>
          <w:tcPr>
            <w:tcW w:w="837"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0 ( 0.0)</w:t>
            </w:r>
          </w:p>
        </w:tc>
        <w:tc>
          <w:tcPr>
            <w:tcW w:w="997"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0 ( 0.0)</w:t>
            </w:r>
          </w:p>
        </w:tc>
        <w:tc>
          <w:tcPr>
            <w:tcW w:w="1495" w:type="dxa"/>
            <w:tcBorders>
              <w:top w:val="nil"/>
              <w:left w:val="nil"/>
              <w:bottom w:val="nil"/>
              <w:right w:val="nil"/>
            </w:tcBorders>
          </w:tcPr>
          <w:p w:rsidR="00376F1E" w:rsidRPr="005A67BD" w:rsidRDefault="00376F1E" w:rsidP="009B3F7C">
            <w:pPr>
              <w:pStyle w:val="tabledata"/>
            </w:pPr>
            <w:r w:rsidRPr="005A67BD">
              <w:t>Common</w:t>
            </w:r>
          </w:p>
        </w:tc>
      </w:tr>
      <w:tr w:rsidR="00376F1E" w:rsidRPr="005A67BD" w:rsidTr="00A4736B">
        <w:trPr>
          <w:trHeight w:val="300"/>
          <w:jc w:val="center"/>
        </w:trPr>
        <w:tc>
          <w:tcPr>
            <w:tcW w:w="7600" w:type="dxa"/>
            <w:gridSpan w:val="6"/>
            <w:tcBorders>
              <w:top w:val="nil"/>
              <w:left w:val="nil"/>
              <w:bottom w:val="nil"/>
              <w:right w:val="nil"/>
            </w:tcBorders>
            <w:shd w:val="clear" w:color="auto" w:fill="auto"/>
            <w:noWrap/>
            <w:vAlign w:val="bottom"/>
          </w:tcPr>
          <w:p w:rsidR="00376F1E" w:rsidRPr="005A67BD" w:rsidRDefault="00376F1E" w:rsidP="009B3F7C">
            <w:pPr>
              <w:pStyle w:val="tabledata"/>
            </w:pPr>
            <w:r w:rsidRPr="005A67BD">
              <w:t>Gastrointestinal disorders</w:t>
            </w:r>
          </w:p>
        </w:tc>
      </w:tr>
      <w:tr w:rsidR="00376F1E" w:rsidRPr="005A67BD"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 xml:space="preserve">          Diarrhoea</w:t>
            </w:r>
          </w:p>
        </w:tc>
        <w:tc>
          <w:tcPr>
            <w:tcW w:w="815"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17 (5.2)</w:t>
            </w:r>
          </w:p>
        </w:tc>
        <w:tc>
          <w:tcPr>
            <w:tcW w:w="815" w:type="dxa"/>
            <w:tcBorders>
              <w:top w:val="nil"/>
              <w:left w:val="nil"/>
              <w:bottom w:val="nil"/>
              <w:right w:val="nil"/>
            </w:tcBorders>
            <w:vAlign w:val="bottom"/>
          </w:tcPr>
          <w:p w:rsidR="00376F1E" w:rsidRPr="005A67BD" w:rsidRDefault="00376F1E" w:rsidP="009B3F7C">
            <w:pPr>
              <w:pStyle w:val="tabledata"/>
            </w:pPr>
            <w:r w:rsidRPr="005A67BD">
              <w:t>12 (3.7)</w:t>
            </w:r>
          </w:p>
        </w:tc>
        <w:tc>
          <w:tcPr>
            <w:tcW w:w="83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6 (1.8)</w:t>
            </w:r>
          </w:p>
        </w:tc>
        <w:tc>
          <w:tcPr>
            <w:tcW w:w="997" w:type="dxa"/>
            <w:tcBorders>
              <w:top w:val="nil"/>
              <w:left w:val="nil"/>
              <w:bottom w:val="nil"/>
              <w:right w:val="nil"/>
            </w:tcBorders>
            <w:shd w:val="clear" w:color="auto" w:fill="auto"/>
            <w:noWrap/>
            <w:vAlign w:val="bottom"/>
            <w:hideMark/>
          </w:tcPr>
          <w:p w:rsidR="00376F1E" w:rsidRPr="005A67BD" w:rsidRDefault="00376F1E" w:rsidP="009B3F7C">
            <w:pPr>
              <w:pStyle w:val="tabledata"/>
            </w:pPr>
            <w:r w:rsidRPr="005A67BD">
              <w:t>11 (3.4)</w:t>
            </w:r>
          </w:p>
        </w:tc>
        <w:tc>
          <w:tcPr>
            <w:tcW w:w="1495" w:type="dxa"/>
            <w:tcBorders>
              <w:top w:val="nil"/>
              <w:left w:val="nil"/>
              <w:bottom w:val="nil"/>
              <w:right w:val="nil"/>
            </w:tcBorders>
          </w:tcPr>
          <w:p w:rsidR="00376F1E" w:rsidRPr="005A67BD" w:rsidRDefault="00376F1E" w:rsidP="009B3F7C">
            <w:pPr>
              <w:pStyle w:val="tabledata"/>
            </w:pPr>
            <w:r w:rsidRPr="005A67BD">
              <w:t>Common</w:t>
            </w:r>
          </w:p>
        </w:tc>
      </w:tr>
      <w:tr w:rsidR="00376F1E" w:rsidRPr="005A67BD" w:rsidTr="00A4736B">
        <w:trPr>
          <w:trHeight w:val="300"/>
          <w:jc w:val="center"/>
        </w:trPr>
        <w:tc>
          <w:tcPr>
            <w:tcW w:w="7600" w:type="dxa"/>
            <w:gridSpan w:val="6"/>
            <w:tcBorders>
              <w:top w:val="nil"/>
              <w:left w:val="nil"/>
              <w:bottom w:val="nil"/>
              <w:right w:val="nil"/>
            </w:tcBorders>
            <w:shd w:val="clear" w:color="auto" w:fill="auto"/>
            <w:noWrap/>
            <w:vAlign w:val="center"/>
          </w:tcPr>
          <w:p w:rsidR="00376F1E" w:rsidRPr="005A67BD" w:rsidRDefault="00376F1E" w:rsidP="009B3F7C">
            <w:pPr>
              <w:pStyle w:val="tabledata"/>
            </w:pPr>
            <w:r w:rsidRPr="005A67BD">
              <w:t>Skin and subcutaneous tissue disorders</w:t>
            </w:r>
          </w:p>
        </w:tc>
      </w:tr>
      <w:tr w:rsidR="00376F1E" w:rsidRPr="005A67BD" w:rsidTr="00A4736B">
        <w:trPr>
          <w:trHeight w:val="300"/>
          <w:jc w:val="center"/>
        </w:trPr>
        <w:tc>
          <w:tcPr>
            <w:tcW w:w="2641"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 xml:space="preserve">          </w:t>
            </w:r>
            <w:proofErr w:type="spellStart"/>
            <w:r w:rsidRPr="005A67BD">
              <w:t>Urticaria</w:t>
            </w:r>
            <w:proofErr w:type="spellEnd"/>
          </w:p>
        </w:tc>
        <w:tc>
          <w:tcPr>
            <w:tcW w:w="815"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1 ( 0.3)</w:t>
            </w:r>
          </w:p>
        </w:tc>
        <w:tc>
          <w:tcPr>
            <w:tcW w:w="815" w:type="dxa"/>
            <w:tcBorders>
              <w:top w:val="nil"/>
              <w:left w:val="nil"/>
              <w:bottom w:val="nil"/>
              <w:right w:val="nil"/>
            </w:tcBorders>
            <w:vAlign w:val="center"/>
          </w:tcPr>
          <w:p w:rsidR="00376F1E" w:rsidRPr="005A67BD" w:rsidRDefault="00376F1E" w:rsidP="009B3F7C">
            <w:pPr>
              <w:pStyle w:val="tabledata"/>
            </w:pPr>
            <w:r w:rsidRPr="005A67BD">
              <w:t>5 ( 1.5)</w:t>
            </w:r>
          </w:p>
        </w:tc>
        <w:tc>
          <w:tcPr>
            <w:tcW w:w="837"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0 ( 0.0)</w:t>
            </w:r>
          </w:p>
        </w:tc>
        <w:tc>
          <w:tcPr>
            <w:tcW w:w="997" w:type="dxa"/>
            <w:tcBorders>
              <w:top w:val="nil"/>
              <w:left w:val="nil"/>
              <w:bottom w:val="nil"/>
              <w:right w:val="nil"/>
            </w:tcBorders>
            <w:shd w:val="clear" w:color="auto" w:fill="auto"/>
            <w:noWrap/>
            <w:vAlign w:val="center"/>
            <w:hideMark/>
          </w:tcPr>
          <w:p w:rsidR="00376F1E" w:rsidRPr="005A67BD" w:rsidRDefault="00376F1E" w:rsidP="009B3F7C">
            <w:pPr>
              <w:pStyle w:val="tabledata"/>
            </w:pPr>
            <w:r w:rsidRPr="005A67BD">
              <w:t>2 ( 0.6)</w:t>
            </w:r>
          </w:p>
        </w:tc>
        <w:tc>
          <w:tcPr>
            <w:tcW w:w="1495" w:type="dxa"/>
            <w:tcBorders>
              <w:top w:val="nil"/>
              <w:left w:val="nil"/>
              <w:bottom w:val="nil"/>
              <w:right w:val="nil"/>
            </w:tcBorders>
          </w:tcPr>
          <w:p w:rsidR="00376F1E" w:rsidRPr="005A67BD" w:rsidRDefault="00376F1E" w:rsidP="009B3F7C">
            <w:pPr>
              <w:pStyle w:val="tabledata"/>
            </w:pPr>
            <w:r w:rsidRPr="005A67BD">
              <w:t>Common</w:t>
            </w:r>
          </w:p>
        </w:tc>
      </w:tr>
      <w:tr w:rsidR="00376F1E" w:rsidRPr="005A67BD" w:rsidTr="00A4736B">
        <w:trPr>
          <w:trHeight w:val="300"/>
          <w:jc w:val="center"/>
        </w:trPr>
        <w:tc>
          <w:tcPr>
            <w:tcW w:w="7600" w:type="dxa"/>
            <w:gridSpan w:val="6"/>
            <w:tcBorders>
              <w:top w:val="nil"/>
              <w:left w:val="nil"/>
              <w:bottom w:val="nil"/>
              <w:right w:val="nil"/>
            </w:tcBorders>
            <w:shd w:val="clear" w:color="auto" w:fill="auto"/>
            <w:noWrap/>
            <w:vAlign w:val="bottom"/>
          </w:tcPr>
          <w:p w:rsidR="00376F1E" w:rsidRPr="005A67BD" w:rsidRDefault="00376F1E" w:rsidP="009B3F7C">
            <w:pPr>
              <w:pStyle w:val="tabledata"/>
            </w:pPr>
            <w:r w:rsidRPr="005A67BD">
              <w:t>Respiratory, thoracic and mediastinal disorders</w:t>
            </w:r>
          </w:p>
        </w:tc>
      </w:tr>
      <w:tr w:rsidR="00376F1E" w:rsidRPr="005A67BD" w:rsidTr="00A4736B">
        <w:trPr>
          <w:trHeight w:val="300"/>
          <w:jc w:val="center"/>
        </w:trPr>
        <w:tc>
          <w:tcPr>
            <w:tcW w:w="2641" w:type="dxa"/>
            <w:tcBorders>
              <w:top w:val="nil"/>
              <w:left w:val="nil"/>
              <w:bottom w:val="single" w:sz="4" w:space="0" w:color="auto"/>
              <w:right w:val="nil"/>
            </w:tcBorders>
            <w:shd w:val="clear" w:color="auto" w:fill="auto"/>
            <w:noWrap/>
            <w:vAlign w:val="bottom"/>
            <w:hideMark/>
          </w:tcPr>
          <w:p w:rsidR="00376F1E" w:rsidRPr="005A67BD" w:rsidRDefault="00376F1E" w:rsidP="009B3F7C">
            <w:pPr>
              <w:pStyle w:val="tabledata"/>
            </w:pPr>
            <w:r w:rsidRPr="005A67BD">
              <w:t xml:space="preserve">          Rhinorrhoea</w:t>
            </w:r>
          </w:p>
        </w:tc>
        <w:tc>
          <w:tcPr>
            <w:tcW w:w="815" w:type="dxa"/>
            <w:tcBorders>
              <w:top w:val="nil"/>
              <w:left w:val="nil"/>
              <w:bottom w:val="single" w:sz="4" w:space="0" w:color="auto"/>
              <w:right w:val="nil"/>
            </w:tcBorders>
            <w:shd w:val="clear" w:color="auto" w:fill="auto"/>
            <w:noWrap/>
            <w:vAlign w:val="bottom"/>
            <w:hideMark/>
          </w:tcPr>
          <w:p w:rsidR="00376F1E" w:rsidRPr="005A67BD" w:rsidRDefault="00376F1E" w:rsidP="009B3F7C">
            <w:pPr>
              <w:pStyle w:val="tabledata"/>
            </w:pPr>
            <w:r w:rsidRPr="005A67BD">
              <w:t>7 (2.1)</w:t>
            </w:r>
          </w:p>
        </w:tc>
        <w:tc>
          <w:tcPr>
            <w:tcW w:w="815" w:type="dxa"/>
            <w:tcBorders>
              <w:top w:val="nil"/>
              <w:left w:val="nil"/>
              <w:bottom w:val="single" w:sz="4" w:space="0" w:color="auto"/>
              <w:right w:val="nil"/>
            </w:tcBorders>
            <w:vAlign w:val="bottom"/>
          </w:tcPr>
          <w:p w:rsidR="00376F1E" w:rsidRPr="005A67BD" w:rsidRDefault="00376F1E" w:rsidP="009B3F7C">
            <w:pPr>
              <w:pStyle w:val="tabledata"/>
            </w:pPr>
            <w:r w:rsidRPr="005A67BD">
              <w:t>1 (0.3)</w:t>
            </w:r>
          </w:p>
        </w:tc>
        <w:tc>
          <w:tcPr>
            <w:tcW w:w="837" w:type="dxa"/>
            <w:tcBorders>
              <w:top w:val="nil"/>
              <w:left w:val="nil"/>
              <w:bottom w:val="single" w:sz="4" w:space="0" w:color="auto"/>
              <w:right w:val="nil"/>
            </w:tcBorders>
            <w:shd w:val="clear" w:color="auto" w:fill="auto"/>
            <w:noWrap/>
            <w:vAlign w:val="bottom"/>
            <w:hideMark/>
          </w:tcPr>
          <w:p w:rsidR="00376F1E" w:rsidRPr="005A67BD" w:rsidRDefault="00376F1E" w:rsidP="009B3F7C">
            <w:pPr>
              <w:pStyle w:val="tabledata"/>
            </w:pPr>
            <w:r w:rsidRPr="005A67BD">
              <w:t>1 (0.3)</w:t>
            </w:r>
          </w:p>
        </w:tc>
        <w:tc>
          <w:tcPr>
            <w:tcW w:w="997" w:type="dxa"/>
            <w:tcBorders>
              <w:top w:val="nil"/>
              <w:left w:val="nil"/>
              <w:bottom w:val="single" w:sz="4" w:space="0" w:color="auto"/>
              <w:right w:val="nil"/>
            </w:tcBorders>
            <w:shd w:val="clear" w:color="auto" w:fill="auto"/>
            <w:noWrap/>
            <w:vAlign w:val="bottom"/>
            <w:hideMark/>
          </w:tcPr>
          <w:p w:rsidR="00376F1E" w:rsidRPr="005A67BD" w:rsidRDefault="00376F1E" w:rsidP="009B3F7C">
            <w:pPr>
              <w:pStyle w:val="tabledata"/>
            </w:pPr>
            <w:r w:rsidRPr="005A67BD">
              <w:t>2 (0.6)</w:t>
            </w:r>
          </w:p>
        </w:tc>
        <w:tc>
          <w:tcPr>
            <w:tcW w:w="1495" w:type="dxa"/>
            <w:tcBorders>
              <w:top w:val="nil"/>
              <w:left w:val="nil"/>
              <w:bottom w:val="single" w:sz="4" w:space="0" w:color="auto"/>
              <w:right w:val="nil"/>
            </w:tcBorders>
          </w:tcPr>
          <w:p w:rsidR="00376F1E" w:rsidRPr="005A67BD" w:rsidRDefault="00376F1E" w:rsidP="009B3F7C">
            <w:pPr>
              <w:pStyle w:val="tabledata"/>
            </w:pPr>
            <w:r w:rsidRPr="005A67BD">
              <w:t>Common</w:t>
            </w:r>
          </w:p>
        </w:tc>
      </w:tr>
    </w:tbl>
    <w:p w:rsidR="00376F1E" w:rsidRPr="005A67BD" w:rsidRDefault="00376F1E" w:rsidP="009B3F7C">
      <w:pPr>
        <w:pStyle w:val="tabledata"/>
      </w:pPr>
      <w:r w:rsidRPr="005A67BD">
        <w:rPr>
          <w:vertAlign w:val="superscript"/>
        </w:rPr>
        <w:t xml:space="preserve">         1</w:t>
      </w:r>
      <w:r w:rsidRPr="005A67BD">
        <w:t xml:space="preserve"> ADR frequencies are based upon the highest percentage rate seen in any of the </w:t>
      </w:r>
      <w:proofErr w:type="spellStart"/>
      <w:r w:rsidRPr="005A67BD">
        <w:t>secukinumab</w:t>
      </w:r>
      <w:proofErr w:type="spellEnd"/>
      <w:r w:rsidRPr="005A67BD">
        <w:t xml:space="preserve"> groups</w:t>
      </w:r>
    </w:p>
    <w:p w:rsidR="0072612C" w:rsidRDefault="0072612C" w:rsidP="009B3F7C"/>
    <w:p w:rsidR="0072612C" w:rsidRDefault="0072612C" w:rsidP="009B3F7C">
      <w:pPr>
        <w:pStyle w:val="Text"/>
      </w:pPr>
      <w:r w:rsidRPr="005654EA">
        <w:t>Adverse reactions that occurred at less than 1</w:t>
      </w:r>
      <w:r>
        <w:t xml:space="preserve"> </w:t>
      </w:r>
      <w:r w:rsidRPr="005654EA">
        <w:t xml:space="preserve">% </w:t>
      </w:r>
      <w:r w:rsidR="00350D8A">
        <w:t xml:space="preserve">frequency </w:t>
      </w:r>
      <w:r w:rsidRPr="005654EA">
        <w:t xml:space="preserve">in the placebo-controlled period of </w:t>
      </w:r>
      <w:r>
        <w:t xml:space="preserve">the </w:t>
      </w:r>
      <w:r w:rsidRPr="005654EA">
        <w:t xml:space="preserve">ERASURE, FIXTURE, FEATURE and JUNCTURE studies through week 12 </w:t>
      </w:r>
      <w:r>
        <w:t>are given in Table 8.</w:t>
      </w:r>
    </w:p>
    <w:p w:rsidR="00B93F86" w:rsidRDefault="00B93F86" w:rsidP="009B3F7C">
      <w:pPr>
        <w:pStyle w:val="Text"/>
      </w:pPr>
    </w:p>
    <w:p w:rsidR="001272B8" w:rsidRDefault="001272B8" w:rsidP="009B3F7C">
      <w:pPr>
        <w:pStyle w:val="tabletitle0"/>
      </w:pPr>
    </w:p>
    <w:p w:rsidR="001272B8" w:rsidRDefault="001272B8" w:rsidP="009B3F7C">
      <w:pPr>
        <w:pStyle w:val="tabletitle0"/>
      </w:pPr>
    </w:p>
    <w:p w:rsidR="001272B8" w:rsidRDefault="001272B8" w:rsidP="009B3F7C">
      <w:pPr>
        <w:pStyle w:val="tabletitle0"/>
      </w:pPr>
    </w:p>
    <w:p w:rsidR="001272B8" w:rsidRDefault="001272B8" w:rsidP="009B3F7C">
      <w:pPr>
        <w:pStyle w:val="tabletitle0"/>
      </w:pPr>
    </w:p>
    <w:p w:rsidR="001272B8" w:rsidRDefault="001272B8" w:rsidP="009B3F7C">
      <w:pPr>
        <w:pStyle w:val="tabletitle0"/>
      </w:pPr>
    </w:p>
    <w:p w:rsidR="001272B8" w:rsidRDefault="001272B8" w:rsidP="009B3F7C">
      <w:pPr>
        <w:pStyle w:val="tabletitle0"/>
      </w:pPr>
    </w:p>
    <w:p w:rsidR="00350D8A" w:rsidRDefault="00350D8A" w:rsidP="009B3F7C">
      <w:pPr>
        <w:pStyle w:val="tabletitle0"/>
      </w:pPr>
      <w:r>
        <w:lastRenderedPageBreak/>
        <w:t>Table 8</w:t>
      </w:r>
      <w:r>
        <w:tab/>
        <w:t xml:space="preserve">Adverse effects </w:t>
      </w:r>
      <w:r w:rsidR="00B93F86">
        <w:t xml:space="preserve">reported at &lt; 1 % frequency </w:t>
      </w:r>
      <w:r w:rsidR="00876386" w:rsidRPr="00876386">
        <w:t xml:space="preserve">through Week 12 </w:t>
      </w:r>
      <w:r w:rsidR="00B93F86">
        <w:t xml:space="preserve">in </w:t>
      </w:r>
      <w:r w:rsidR="00876386">
        <w:t xml:space="preserve">psoriasis </w:t>
      </w:r>
      <w:r w:rsidR="00B93F86">
        <w:t>clinical trial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394"/>
      </w:tblGrid>
      <w:tr w:rsidR="00B93F86" w:rsidRPr="00350D8A" w:rsidTr="00D90D94">
        <w:tc>
          <w:tcPr>
            <w:tcW w:w="3652" w:type="dxa"/>
          </w:tcPr>
          <w:p w:rsidR="0072612C" w:rsidRPr="00D90D94" w:rsidRDefault="0072612C" w:rsidP="009B3F7C">
            <w:pPr>
              <w:pStyle w:val="tabledata"/>
            </w:pPr>
            <w:r w:rsidRPr="00D90D94">
              <w:t>Infections and infestations</w:t>
            </w:r>
          </w:p>
          <w:p w:rsidR="0072612C" w:rsidRPr="00D90D94" w:rsidRDefault="0072612C" w:rsidP="009B3F7C">
            <w:pPr>
              <w:pStyle w:val="tabledata"/>
            </w:pPr>
            <w:r w:rsidRPr="00D90D94">
              <w:t xml:space="preserve">          Uncommon:</w:t>
            </w:r>
          </w:p>
        </w:tc>
        <w:tc>
          <w:tcPr>
            <w:tcW w:w="4394" w:type="dxa"/>
          </w:tcPr>
          <w:p w:rsidR="00151084" w:rsidRPr="00D90D94" w:rsidRDefault="00151084" w:rsidP="009B3F7C">
            <w:pPr>
              <w:pStyle w:val="tabledata"/>
            </w:pPr>
          </w:p>
          <w:p w:rsidR="0072612C" w:rsidRPr="00D90D94" w:rsidRDefault="0072612C" w:rsidP="009B3F7C">
            <w:pPr>
              <w:pStyle w:val="tabledata"/>
            </w:pPr>
            <w:r w:rsidRPr="00D90D94">
              <w:t xml:space="preserve">Sinusitis, </w:t>
            </w:r>
            <w:proofErr w:type="spellStart"/>
            <w:r w:rsidRPr="00D90D94">
              <w:t>tinea</w:t>
            </w:r>
            <w:proofErr w:type="spellEnd"/>
            <w:r w:rsidRPr="00D90D94">
              <w:t xml:space="preserve"> </w:t>
            </w:r>
            <w:proofErr w:type="spellStart"/>
            <w:r w:rsidRPr="00D90D94">
              <w:t>pedis</w:t>
            </w:r>
            <w:proofErr w:type="spellEnd"/>
            <w:r w:rsidRPr="00D90D94">
              <w:t xml:space="preserve">, </w:t>
            </w:r>
            <w:r w:rsidR="006E6B0A" w:rsidRPr="00D90D94">
              <w:t>tonsillitis, oral candidiasis</w:t>
            </w:r>
          </w:p>
        </w:tc>
      </w:tr>
      <w:tr w:rsidR="00B93F86" w:rsidRPr="00350D8A" w:rsidTr="00D90D94">
        <w:tc>
          <w:tcPr>
            <w:tcW w:w="3652" w:type="dxa"/>
            <w:vAlign w:val="center"/>
          </w:tcPr>
          <w:p w:rsidR="0072612C" w:rsidRPr="00D90D94" w:rsidRDefault="0072612C" w:rsidP="009B3F7C">
            <w:pPr>
              <w:pStyle w:val="tabledata"/>
            </w:pPr>
            <w:r w:rsidRPr="00D90D94">
              <w:t>Eye disorders</w:t>
            </w:r>
          </w:p>
          <w:p w:rsidR="0072612C" w:rsidRPr="00D90D94" w:rsidRDefault="0072612C" w:rsidP="009B3F7C">
            <w:pPr>
              <w:pStyle w:val="tabledata"/>
            </w:pPr>
            <w:r w:rsidRPr="00D90D94">
              <w:t xml:space="preserve">          </w:t>
            </w:r>
            <w:r w:rsidR="00B93F86">
              <w:t xml:space="preserve">   </w:t>
            </w:r>
            <w:r w:rsidRPr="00D90D94">
              <w:t>Uncommon:</w:t>
            </w:r>
          </w:p>
        </w:tc>
        <w:tc>
          <w:tcPr>
            <w:tcW w:w="4394" w:type="dxa"/>
          </w:tcPr>
          <w:p w:rsidR="0072612C" w:rsidRPr="00D90D94" w:rsidRDefault="0072612C" w:rsidP="009B3F7C">
            <w:pPr>
              <w:pStyle w:val="tabledata"/>
            </w:pPr>
          </w:p>
          <w:p w:rsidR="0072612C" w:rsidRPr="00D90D94" w:rsidRDefault="0072612C" w:rsidP="009B3F7C">
            <w:pPr>
              <w:pStyle w:val="tabledata"/>
            </w:pPr>
            <w:r w:rsidRPr="00D90D94">
              <w:t>Conjunctivitis</w:t>
            </w:r>
          </w:p>
        </w:tc>
      </w:tr>
      <w:tr w:rsidR="00B93F86" w:rsidRPr="00350D8A" w:rsidTr="00D90D94">
        <w:tc>
          <w:tcPr>
            <w:tcW w:w="3652" w:type="dxa"/>
          </w:tcPr>
          <w:p w:rsidR="0072612C" w:rsidRPr="00D90D94" w:rsidRDefault="00151084" w:rsidP="009B3F7C">
            <w:pPr>
              <w:pStyle w:val="tabledata"/>
            </w:pPr>
            <w:r w:rsidRPr="00D90D94">
              <w:t>Blood and lymphatic system disorders</w:t>
            </w:r>
          </w:p>
          <w:p w:rsidR="00151084" w:rsidRPr="00D90D94" w:rsidRDefault="00151084" w:rsidP="009B3F7C">
            <w:pPr>
              <w:pStyle w:val="tabledata"/>
            </w:pPr>
            <w:r w:rsidRPr="00D90D94">
              <w:t xml:space="preserve">          </w:t>
            </w:r>
            <w:r w:rsidR="00B93F86">
              <w:t xml:space="preserve">   </w:t>
            </w:r>
            <w:r w:rsidRPr="00D90D94">
              <w:t>Uncommon:</w:t>
            </w:r>
          </w:p>
        </w:tc>
        <w:tc>
          <w:tcPr>
            <w:tcW w:w="4394" w:type="dxa"/>
          </w:tcPr>
          <w:p w:rsidR="00151084" w:rsidRPr="00D90D94" w:rsidRDefault="00151084" w:rsidP="009B3F7C">
            <w:pPr>
              <w:pStyle w:val="tabledata"/>
            </w:pPr>
          </w:p>
          <w:p w:rsidR="0072612C" w:rsidRPr="00D90D94" w:rsidRDefault="00151084" w:rsidP="009B3F7C">
            <w:pPr>
              <w:pStyle w:val="tabledata"/>
            </w:pPr>
            <w:r w:rsidRPr="00D90D94">
              <w:t>Neutropenia</w:t>
            </w:r>
          </w:p>
        </w:tc>
      </w:tr>
    </w:tbl>
    <w:p w:rsidR="004A0498" w:rsidRPr="009B6285" w:rsidRDefault="004A0498" w:rsidP="009B3F7C">
      <w:pPr>
        <w:pStyle w:val="Heading4"/>
      </w:pPr>
      <w:r w:rsidRPr="009B6285">
        <w:t>Infections</w:t>
      </w:r>
    </w:p>
    <w:p w:rsidR="004A0498" w:rsidRDefault="004A0498" w:rsidP="009B3F7C">
      <w:pPr>
        <w:pStyle w:val="paragraph"/>
      </w:pPr>
      <w:r>
        <w:t xml:space="preserve">In the placebo-controlled period of clinical studies in plaque psoriasis (a total of 1,382 patients treated with </w:t>
      </w:r>
      <w:proofErr w:type="spellStart"/>
      <w:r>
        <w:t>Cosentyx</w:t>
      </w:r>
      <w:proofErr w:type="spellEnd"/>
      <w:r>
        <w:t xml:space="preserve"> and 694 patients treated with placebo for up to 12 weeks), infections were reported in 28.7 % of patients treated with </w:t>
      </w:r>
      <w:proofErr w:type="spellStart"/>
      <w:r>
        <w:t>Cosentyx</w:t>
      </w:r>
      <w:proofErr w:type="spellEnd"/>
      <w:r>
        <w:t xml:space="preserve"> compared with 18.9 % of patients treated with placebo. Most of these were mild or moderate. Serious infections occurred in 0.14 % of patients treated with </w:t>
      </w:r>
      <w:proofErr w:type="spellStart"/>
      <w:r>
        <w:t>Cosentyx</w:t>
      </w:r>
      <w:proofErr w:type="spellEnd"/>
      <w:r>
        <w:t xml:space="preserve"> and in 0.3 % of patients treated with placebo (see PRECAUTIONS).</w:t>
      </w:r>
    </w:p>
    <w:p w:rsidR="004A0498" w:rsidRPr="00FD387C" w:rsidRDefault="004A0498" w:rsidP="009B3F7C">
      <w:pPr>
        <w:pStyle w:val="paragraph"/>
      </w:pPr>
      <w:r>
        <w:t xml:space="preserve">Over the entire treatment period (a total of 3,430 patients treated with </w:t>
      </w:r>
      <w:proofErr w:type="spellStart"/>
      <w:r>
        <w:t>Cosentyx</w:t>
      </w:r>
      <w:proofErr w:type="spellEnd"/>
      <w:r>
        <w:t xml:space="preserve"> for up to 52 weeks for the majority of patients), infections were reported in 47.5 % of patients treated with </w:t>
      </w:r>
      <w:proofErr w:type="spellStart"/>
      <w:r>
        <w:t>Cosentyx</w:t>
      </w:r>
      <w:proofErr w:type="spellEnd"/>
      <w:r>
        <w:t xml:space="preserve"> (0.9 per patient-year of follow-up). Serious infections were reported in 1.2 % of </w:t>
      </w:r>
      <w:r w:rsidRPr="00FD387C">
        <w:t xml:space="preserve">patients treated with </w:t>
      </w:r>
      <w:proofErr w:type="spellStart"/>
      <w:r w:rsidRPr="00FD387C">
        <w:t>Cosentyx</w:t>
      </w:r>
      <w:proofErr w:type="spellEnd"/>
      <w:r w:rsidRPr="00FD387C">
        <w:t xml:space="preserve"> (0.015 per patient-year of follow-up).</w:t>
      </w:r>
    </w:p>
    <w:p w:rsidR="00FD387C" w:rsidRPr="00FD387C" w:rsidRDefault="00FD387C" w:rsidP="009B3F7C">
      <w:pPr>
        <w:pStyle w:val="paragraph"/>
      </w:pPr>
      <w:r w:rsidRPr="00FD387C">
        <w:rPr>
          <w:color w:val="000000"/>
          <w:lang w:eastAsia="en-AU"/>
        </w:rPr>
        <w:t xml:space="preserve">There was an increase in mucosal or cutaneous candidiasis, </w:t>
      </w:r>
      <w:r w:rsidR="001E1D12">
        <w:rPr>
          <w:color w:val="000000"/>
          <w:lang w:eastAsia="en-AU"/>
        </w:rPr>
        <w:t xml:space="preserve">related to </w:t>
      </w:r>
      <w:r w:rsidRPr="00FD387C">
        <w:rPr>
          <w:color w:val="000000"/>
          <w:lang w:eastAsia="en-AU"/>
        </w:rPr>
        <w:t>the mechanism of action.  The cases were mild or moderate in severity, non-serious, responsive to standard treatment and did not necessitate treatment discontinuation.  Frequency of candida infection was 1.2% (</w:t>
      </w:r>
      <w:proofErr w:type="spellStart"/>
      <w:r w:rsidRPr="00FD387C">
        <w:rPr>
          <w:color w:val="000000"/>
          <w:lang w:eastAsia="en-AU"/>
        </w:rPr>
        <w:t>secukinumab</w:t>
      </w:r>
      <w:proofErr w:type="spellEnd"/>
      <w:r w:rsidRPr="00FD387C">
        <w:rPr>
          <w:color w:val="000000"/>
          <w:lang w:eastAsia="en-AU"/>
        </w:rPr>
        <w:t xml:space="preserve"> 300 mg) vs 0.3% (placebo and </w:t>
      </w:r>
      <w:proofErr w:type="spellStart"/>
      <w:r w:rsidRPr="00FD387C">
        <w:rPr>
          <w:color w:val="000000"/>
          <w:lang w:eastAsia="en-AU"/>
        </w:rPr>
        <w:t>etanercept</w:t>
      </w:r>
      <w:proofErr w:type="spellEnd"/>
      <w:r w:rsidRPr="00FD387C">
        <w:rPr>
          <w:color w:val="000000"/>
          <w:lang w:eastAsia="en-AU"/>
        </w:rPr>
        <w:t xml:space="preserve"> arms) in the induction period</w:t>
      </w:r>
      <w:r>
        <w:rPr>
          <w:color w:val="000000"/>
          <w:lang w:eastAsia="en-AU"/>
        </w:rPr>
        <w:t>.</w:t>
      </w:r>
    </w:p>
    <w:p w:rsidR="004A0498" w:rsidRDefault="004A0498" w:rsidP="009B3F7C">
      <w:pPr>
        <w:pStyle w:val="Heading4"/>
      </w:pPr>
      <w:r>
        <w:t>Hypersensitivity reactions</w:t>
      </w:r>
    </w:p>
    <w:p w:rsidR="004A0498" w:rsidRDefault="004A0498" w:rsidP="009B3F7C">
      <w:pPr>
        <w:pStyle w:val="paragraph"/>
      </w:pPr>
      <w:r>
        <w:t xml:space="preserve">In clinical studies, </w:t>
      </w:r>
      <w:proofErr w:type="spellStart"/>
      <w:r>
        <w:t>urticaria</w:t>
      </w:r>
      <w:proofErr w:type="spellEnd"/>
      <w:r>
        <w:t xml:space="preserve"> and one case of anaphylactic reaction to </w:t>
      </w:r>
      <w:proofErr w:type="spellStart"/>
      <w:r>
        <w:t>Cosentyx</w:t>
      </w:r>
      <w:proofErr w:type="spellEnd"/>
      <w:r>
        <w:t xml:space="preserve"> were observed</w:t>
      </w:r>
      <w:r w:rsidR="007D602E">
        <w:t xml:space="preserve"> </w:t>
      </w:r>
      <w:r>
        <w:t>.</w:t>
      </w:r>
    </w:p>
    <w:p w:rsidR="004A0498" w:rsidRDefault="004A0498" w:rsidP="009B3F7C">
      <w:pPr>
        <w:pStyle w:val="Heading4"/>
      </w:pPr>
      <w:r>
        <w:t>Immunogenicity</w:t>
      </w:r>
    </w:p>
    <w:p w:rsidR="0095733E" w:rsidRDefault="004A0498" w:rsidP="009B3F7C">
      <w:pPr>
        <w:pStyle w:val="paragraph"/>
      </w:pPr>
      <w:r>
        <w:t xml:space="preserve">Less than 1% of patients treated with </w:t>
      </w:r>
      <w:proofErr w:type="spellStart"/>
      <w:r>
        <w:t>Cosentyx</w:t>
      </w:r>
      <w:proofErr w:type="spellEnd"/>
      <w:r>
        <w:t xml:space="preserve"> developed antibodies to </w:t>
      </w:r>
      <w:proofErr w:type="spellStart"/>
      <w:r>
        <w:t>secukinumab</w:t>
      </w:r>
      <w:proofErr w:type="spellEnd"/>
      <w:r>
        <w:t xml:space="preserve"> up to 52 weeks of treatment. About half of the treatment emergent anti-drug antibodies were neutralizing, but this was not associated with loss of efficacy or PK abnormalities.</w:t>
      </w:r>
    </w:p>
    <w:p w:rsidR="00CF71AD" w:rsidRPr="00413A17" w:rsidRDefault="00CF71AD" w:rsidP="009B3F7C">
      <w:pPr>
        <w:pStyle w:val="paragraph"/>
        <w:rPr>
          <w:i/>
        </w:rPr>
      </w:pPr>
      <w:r w:rsidRPr="00413A17">
        <w:rPr>
          <w:i/>
        </w:rPr>
        <w:t>Reproductive system related adverse events</w:t>
      </w:r>
    </w:p>
    <w:p w:rsidR="009B3F7C" w:rsidRPr="009B3F7C" w:rsidRDefault="009B3F7C" w:rsidP="009B3F7C">
      <w:pPr>
        <w:pStyle w:val="paragraph"/>
        <w:rPr>
          <w:lang w:val="en-GB"/>
        </w:rPr>
      </w:pPr>
      <w:r w:rsidRPr="009B3F7C">
        <w:rPr>
          <w:lang w:val="en-GB"/>
        </w:rPr>
        <w:t>In the induction period of clinical studies, mild and moderate reproductive system adverse events were reported in females, including: dysmenorrhoea (</w:t>
      </w:r>
      <w:proofErr w:type="spellStart"/>
      <w:r w:rsidRPr="009B3F7C">
        <w:rPr>
          <w:lang w:val="en-GB"/>
        </w:rPr>
        <w:t>secukinumab</w:t>
      </w:r>
      <w:proofErr w:type="spellEnd"/>
      <w:r w:rsidRPr="009B3F7C">
        <w:rPr>
          <w:lang w:val="en-GB"/>
        </w:rPr>
        <w:t xml:space="preserve"> 300 mg, 1.9%; placebo, 0.5%; </w:t>
      </w:r>
      <w:proofErr w:type="spellStart"/>
      <w:r w:rsidRPr="009B3F7C">
        <w:rPr>
          <w:lang w:val="en-GB"/>
        </w:rPr>
        <w:t>etanercept</w:t>
      </w:r>
      <w:proofErr w:type="spellEnd"/>
      <w:r w:rsidRPr="009B3F7C">
        <w:rPr>
          <w:lang w:val="en-GB"/>
        </w:rPr>
        <w:t>, 1.1%), menorrhagia (</w:t>
      </w:r>
      <w:proofErr w:type="spellStart"/>
      <w:r w:rsidRPr="009B3F7C">
        <w:rPr>
          <w:lang w:val="en-GB"/>
        </w:rPr>
        <w:t>secukinumab</w:t>
      </w:r>
      <w:proofErr w:type="spellEnd"/>
      <w:r w:rsidRPr="009B3F7C">
        <w:rPr>
          <w:lang w:val="en-GB"/>
        </w:rPr>
        <w:t xml:space="preserve"> 300 mg, 0.9%; placebo, 0%; </w:t>
      </w:r>
      <w:proofErr w:type="spellStart"/>
      <w:r w:rsidRPr="009B3F7C">
        <w:rPr>
          <w:lang w:val="en-GB"/>
        </w:rPr>
        <w:t>etanercept</w:t>
      </w:r>
      <w:proofErr w:type="spellEnd"/>
      <w:r w:rsidRPr="009B3F7C">
        <w:rPr>
          <w:lang w:val="en-GB"/>
        </w:rPr>
        <w:t xml:space="preserve">, 0%) and </w:t>
      </w:r>
      <w:proofErr w:type="spellStart"/>
      <w:r w:rsidRPr="009B3F7C">
        <w:rPr>
          <w:lang w:val="en-GB"/>
        </w:rPr>
        <w:t>metrorrhagia</w:t>
      </w:r>
      <w:proofErr w:type="spellEnd"/>
      <w:r w:rsidRPr="009B3F7C">
        <w:rPr>
          <w:lang w:val="en-GB"/>
        </w:rPr>
        <w:t xml:space="preserve"> (including </w:t>
      </w:r>
      <w:proofErr w:type="spellStart"/>
      <w:r w:rsidRPr="009B3F7C">
        <w:rPr>
          <w:lang w:val="en-GB"/>
        </w:rPr>
        <w:t>menometrorrhagia</w:t>
      </w:r>
      <w:proofErr w:type="spellEnd"/>
      <w:r w:rsidRPr="009B3F7C">
        <w:rPr>
          <w:lang w:val="en-GB"/>
        </w:rPr>
        <w:t>) (</w:t>
      </w:r>
      <w:proofErr w:type="spellStart"/>
      <w:r w:rsidRPr="009B3F7C">
        <w:rPr>
          <w:lang w:val="en-GB"/>
        </w:rPr>
        <w:t>secukinumab</w:t>
      </w:r>
      <w:proofErr w:type="spellEnd"/>
      <w:r w:rsidRPr="009B3F7C">
        <w:rPr>
          <w:lang w:val="en-GB"/>
        </w:rPr>
        <w:t xml:space="preserve"> 300 mg, 1.4%; placebo, 0%; </w:t>
      </w:r>
      <w:proofErr w:type="spellStart"/>
      <w:r w:rsidRPr="009B3F7C">
        <w:rPr>
          <w:lang w:val="en-GB"/>
        </w:rPr>
        <w:t>etanercept</w:t>
      </w:r>
      <w:proofErr w:type="spellEnd"/>
      <w:r w:rsidRPr="009B3F7C">
        <w:rPr>
          <w:lang w:val="en-GB"/>
        </w:rPr>
        <w:t>, 0%). Women of child-bearing potential were included in studies only if using adequate contraception.</w:t>
      </w:r>
    </w:p>
    <w:p w:rsidR="005B4354" w:rsidRPr="000372C8" w:rsidRDefault="005B4354" w:rsidP="009B3F7C">
      <w:pPr>
        <w:pStyle w:val="paragraph"/>
      </w:pPr>
    </w:p>
    <w:p w:rsidR="00F55A14" w:rsidRDefault="00F22127" w:rsidP="009B3F7C">
      <w:pPr>
        <w:pStyle w:val="Heading1"/>
      </w:pPr>
      <w:r w:rsidRPr="00D766FE">
        <w:t>DOSAGE AND ADMINISTRATION</w:t>
      </w:r>
    </w:p>
    <w:p w:rsidR="00D3098B" w:rsidRDefault="00D3098B" w:rsidP="009B3F7C">
      <w:pPr>
        <w:pStyle w:val="Heading2"/>
      </w:pPr>
      <w:r>
        <w:t>Dosage</w:t>
      </w:r>
    </w:p>
    <w:p w:rsidR="00D3098B" w:rsidRDefault="00D3098B" w:rsidP="009B3F7C">
      <w:r w:rsidRPr="00B23FAF">
        <w:t>The recommended dos</w:t>
      </w:r>
      <w:r w:rsidR="008764C7">
        <w:t xml:space="preserve">e </w:t>
      </w:r>
      <w:r w:rsidRPr="00B23FAF">
        <w:t xml:space="preserve">is </w:t>
      </w:r>
      <w:r w:rsidR="008764C7">
        <w:t>30</w:t>
      </w:r>
      <w:r w:rsidRPr="00B23FAF">
        <w:t xml:space="preserve">0 mg </w:t>
      </w:r>
      <w:r w:rsidR="008764C7">
        <w:t xml:space="preserve">by </w:t>
      </w:r>
      <w:r w:rsidRPr="00B23FAF">
        <w:t>subcutaneous</w:t>
      </w:r>
      <w:r w:rsidR="008764C7">
        <w:t xml:space="preserve"> injection with initial dosing</w:t>
      </w:r>
      <w:r w:rsidRPr="00B23FAF">
        <w:t xml:space="preserve"> at week</w:t>
      </w:r>
      <w:r w:rsidR="008764C7">
        <w:t>s</w:t>
      </w:r>
      <w:r w:rsidRPr="00B23FAF">
        <w:t xml:space="preserve"> 0, 1, 2, </w:t>
      </w:r>
      <w:r w:rsidR="008764C7">
        <w:t xml:space="preserve">and </w:t>
      </w:r>
      <w:r w:rsidRPr="00B23FAF">
        <w:t xml:space="preserve">3, followed by </w:t>
      </w:r>
      <w:r w:rsidR="008764C7">
        <w:t xml:space="preserve">monthly maintenance dosing of 300 mg starting </w:t>
      </w:r>
      <w:r w:rsidRPr="00B23FAF">
        <w:t>a</w:t>
      </w:r>
      <w:r w:rsidR="008764C7">
        <w:t xml:space="preserve">t </w:t>
      </w:r>
      <w:r w:rsidRPr="00B23FAF">
        <w:t>week</w:t>
      </w:r>
      <w:r w:rsidR="008764C7">
        <w:t xml:space="preserve"> 4. Each 300 mg dose is given as two subcutaneous injections of 150 mg. </w:t>
      </w:r>
      <w:r w:rsidRPr="00B23FAF">
        <w:t xml:space="preserve"> </w:t>
      </w:r>
    </w:p>
    <w:p w:rsidR="009170F4" w:rsidRDefault="009170F4" w:rsidP="009B3F7C"/>
    <w:p w:rsidR="001272B8" w:rsidRDefault="001272B8" w:rsidP="009B3F7C"/>
    <w:p w:rsidR="001272B8" w:rsidRDefault="001272B8" w:rsidP="009B3F7C"/>
    <w:p w:rsidR="00031248" w:rsidRPr="00031248" w:rsidRDefault="00031248" w:rsidP="009B3F7C">
      <w:pPr>
        <w:pStyle w:val="Heading5"/>
      </w:pPr>
      <w:r w:rsidRPr="00031248">
        <w:lastRenderedPageBreak/>
        <w:t>Special populations</w:t>
      </w:r>
    </w:p>
    <w:p w:rsidR="00B82375" w:rsidRPr="004B0E20" w:rsidRDefault="00F22127" w:rsidP="009B3F7C">
      <w:pPr>
        <w:pStyle w:val="Heading3"/>
      </w:pPr>
      <w:r w:rsidRPr="004B0E20">
        <w:t xml:space="preserve">Patients with </w:t>
      </w:r>
      <w:r w:rsidR="00031248">
        <w:t>r</w:t>
      </w:r>
      <w:r w:rsidRPr="004B0E20">
        <w:t xml:space="preserve">enal </w:t>
      </w:r>
      <w:r w:rsidR="00031248">
        <w:t>or hepatic i</w:t>
      </w:r>
      <w:r w:rsidRPr="004B0E20">
        <w:t>mpairment</w:t>
      </w:r>
    </w:p>
    <w:p w:rsidR="00CB1925" w:rsidRDefault="004A07E2" w:rsidP="009B3F7C">
      <w:proofErr w:type="spellStart"/>
      <w:r>
        <w:t>Cosentyx</w:t>
      </w:r>
      <w:proofErr w:type="spellEnd"/>
      <w:r w:rsidR="00CB1925" w:rsidRPr="00B23FAF">
        <w:t xml:space="preserve"> has not been </w:t>
      </w:r>
      <w:r w:rsidR="008764C7">
        <w:t xml:space="preserve">specifically </w:t>
      </w:r>
      <w:r w:rsidR="00CB1925" w:rsidRPr="00B23FAF">
        <w:t>studied in th</w:t>
      </w:r>
      <w:r w:rsidR="00031248">
        <w:t>e</w:t>
      </w:r>
      <w:r w:rsidR="00CB1925" w:rsidRPr="00B23FAF">
        <w:t>s</w:t>
      </w:r>
      <w:r w:rsidR="00031248">
        <w:t>e</w:t>
      </w:r>
      <w:r w:rsidR="00CB1925" w:rsidRPr="00B23FAF">
        <w:t xml:space="preserve"> patient population</w:t>
      </w:r>
      <w:r w:rsidR="00031248">
        <w:t>s</w:t>
      </w:r>
      <w:r w:rsidR="00CB1925" w:rsidRPr="00B23FAF">
        <w:t>. No dose recommendations can be made.</w:t>
      </w:r>
    </w:p>
    <w:p w:rsidR="003F5BF5" w:rsidRPr="00110D51" w:rsidRDefault="003F5BF5" w:rsidP="009B3F7C">
      <w:pPr>
        <w:pStyle w:val="Heading3"/>
      </w:pPr>
      <w:r w:rsidRPr="004B0E20">
        <w:t>Paediatric and adolescent patients</w:t>
      </w:r>
    </w:p>
    <w:p w:rsidR="004B0E20" w:rsidRDefault="008764C7" w:rsidP="009B3F7C">
      <w:r>
        <w:t xml:space="preserve">Safety and effectiveness in patients </w:t>
      </w:r>
      <w:r w:rsidR="003F5BF5" w:rsidRPr="00B23FAF">
        <w:t xml:space="preserve">below </w:t>
      </w:r>
      <w:r>
        <w:t xml:space="preserve">the </w:t>
      </w:r>
      <w:r w:rsidR="003F5BF5" w:rsidRPr="00B23FAF">
        <w:t xml:space="preserve">age </w:t>
      </w:r>
      <w:r>
        <w:t xml:space="preserve">of </w:t>
      </w:r>
      <w:r w:rsidR="003F5BF5" w:rsidRPr="00B23FAF">
        <w:t xml:space="preserve">18 </w:t>
      </w:r>
      <w:r>
        <w:t xml:space="preserve">years have not yet been established. </w:t>
      </w:r>
    </w:p>
    <w:p w:rsidR="00F55A14" w:rsidRPr="00110D51" w:rsidRDefault="00F22127" w:rsidP="009B3F7C">
      <w:pPr>
        <w:pStyle w:val="Heading3"/>
      </w:pPr>
      <w:r w:rsidRPr="004B0E20">
        <w:t xml:space="preserve">Elderly </w:t>
      </w:r>
      <w:r w:rsidR="005D4DFB" w:rsidRPr="004B0E20">
        <w:t>p</w:t>
      </w:r>
      <w:r w:rsidRPr="00110D51">
        <w:t>atients</w:t>
      </w:r>
      <w:r w:rsidR="003F5BF5" w:rsidRPr="00110D51">
        <w:t xml:space="preserve"> (≥ 65 years of age)</w:t>
      </w:r>
    </w:p>
    <w:p w:rsidR="005D4DFB" w:rsidRDefault="005D4DFB" w:rsidP="009B3F7C">
      <w:r w:rsidRPr="00B23FAF">
        <w:t>No dose adjustment is needed for elderly patients.</w:t>
      </w:r>
    </w:p>
    <w:p w:rsidR="009170F4" w:rsidRPr="00B23FAF" w:rsidRDefault="009170F4" w:rsidP="009B3F7C"/>
    <w:p w:rsidR="00525D62" w:rsidRPr="00F32036" w:rsidRDefault="002429C4" w:rsidP="009B3F7C">
      <w:pPr>
        <w:pStyle w:val="Heading2"/>
      </w:pPr>
      <w:r w:rsidRPr="00B23FAF">
        <w:t>Administration</w:t>
      </w:r>
    </w:p>
    <w:p w:rsidR="001A3609" w:rsidRDefault="001A3609" w:rsidP="009B3F7C">
      <w:pPr>
        <w:pStyle w:val="Heading3"/>
      </w:pPr>
      <w:r w:rsidRPr="001A3609">
        <w:t>The product is for single use in one patient only. Discard any residue.</w:t>
      </w:r>
    </w:p>
    <w:p w:rsidR="00DF55D0" w:rsidRPr="004B0E20" w:rsidRDefault="006F45C2" w:rsidP="009B3F7C">
      <w:pPr>
        <w:pStyle w:val="Heading3"/>
      </w:pPr>
      <w:r w:rsidRPr="004B0E20">
        <w:t xml:space="preserve">Powder for </w:t>
      </w:r>
      <w:r w:rsidR="00031248">
        <w:t>injection</w:t>
      </w:r>
    </w:p>
    <w:p w:rsidR="006F45C2" w:rsidRDefault="004A07E2" w:rsidP="009B3F7C">
      <w:proofErr w:type="spellStart"/>
      <w:r>
        <w:t>Cosentyx</w:t>
      </w:r>
      <w:proofErr w:type="spellEnd"/>
      <w:r w:rsidR="00DF55D0" w:rsidRPr="00DF55D0">
        <w:t xml:space="preserve"> </w:t>
      </w:r>
      <w:r w:rsidR="008764C7">
        <w:t xml:space="preserve">is administered by subcutaneous injection. </w:t>
      </w:r>
      <w:r w:rsidR="00DF55D0" w:rsidRPr="00DF55D0">
        <w:t xml:space="preserve">Each vial of </w:t>
      </w:r>
      <w:proofErr w:type="spellStart"/>
      <w:r>
        <w:t>Cosentyx</w:t>
      </w:r>
      <w:proofErr w:type="spellEnd"/>
      <w:r w:rsidR="00DF55D0" w:rsidRPr="00DF55D0">
        <w:t xml:space="preserve"> must be reconstituted with 1 m</w:t>
      </w:r>
      <w:r w:rsidR="006F45C2">
        <w:t>L</w:t>
      </w:r>
      <w:r w:rsidR="00DF55D0" w:rsidRPr="00DF55D0">
        <w:t xml:space="preserve"> of </w:t>
      </w:r>
      <w:r w:rsidR="006F45C2">
        <w:t>sterile water for injections</w:t>
      </w:r>
      <w:r w:rsidR="00DF55D0" w:rsidRPr="00DF55D0">
        <w:t xml:space="preserve"> to obtain a 150 mg/m</w:t>
      </w:r>
      <w:r w:rsidR="008764C7">
        <w:t>L</w:t>
      </w:r>
      <w:r w:rsidR="00DF55D0" w:rsidRPr="00DF55D0">
        <w:t xml:space="preserve"> solution</w:t>
      </w:r>
      <w:r w:rsidR="008764C7">
        <w:t>.</w:t>
      </w:r>
      <w:r w:rsidR="00DF55D0" w:rsidRPr="00DF55D0">
        <w:t xml:space="preserve"> </w:t>
      </w:r>
      <w:r w:rsidR="00525D62">
        <w:t>The powder for injection should be administered</w:t>
      </w:r>
      <w:r w:rsidR="00EF326C">
        <w:t xml:space="preserve"> </w:t>
      </w:r>
      <w:r w:rsidR="0096302A">
        <w:t xml:space="preserve">by </w:t>
      </w:r>
      <w:r w:rsidR="00EF326C">
        <w:t xml:space="preserve">healthcare professionals </w:t>
      </w:r>
      <w:r w:rsidR="00525D62">
        <w:t>only.</w:t>
      </w:r>
    </w:p>
    <w:p w:rsidR="00DF55D0" w:rsidRPr="00110D51" w:rsidRDefault="00DF55D0" w:rsidP="009B3F7C">
      <w:pPr>
        <w:pStyle w:val="Heading3"/>
      </w:pPr>
      <w:r w:rsidRPr="004B0E20">
        <w:t xml:space="preserve">Prefilled syringe </w:t>
      </w:r>
      <w:r w:rsidR="00E17C9B">
        <w:t>and pre-filled pen</w:t>
      </w:r>
    </w:p>
    <w:p w:rsidR="00335EDF" w:rsidRDefault="008764C7" w:rsidP="009B3F7C">
      <w:proofErr w:type="spellStart"/>
      <w:r w:rsidRPr="008764C7">
        <w:t>Cosentyx</w:t>
      </w:r>
      <w:proofErr w:type="spellEnd"/>
      <w:r w:rsidRPr="008764C7">
        <w:t xml:space="preserve"> is administered by subcutaneous injection. </w:t>
      </w:r>
      <w:r w:rsidR="00E17C9B">
        <w:t xml:space="preserve">If possible, areas of the skin that show psoriasis should be avoided as injection sites. </w:t>
      </w:r>
    </w:p>
    <w:p w:rsidR="00941E4C" w:rsidRDefault="00DF55D0" w:rsidP="009B3F7C">
      <w:pPr>
        <w:rPr>
          <w:b/>
        </w:rPr>
      </w:pPr>
      <w:r w:rsidRPr="00DF55D0">
        <w:t xml:space="preserve">Before injection, </w:t>
      </w:r>
      <w:proofErr w:type="spellStart"/>
      <w:r w:rsidRPr="00DF55D0">
        <w:t>secukinumab</w:t>
      </w:r>
      <w:proofErr w:type="spellEnd"/>
      <w:r w:rsidRPr="00DF55D0">
        <w:t xml:space="preserve"> may be allowed to reach room temperature (20 minutes) without removing the needle cap during this time.</w:t>
      </w:r>
    </w:p>
    <w:p w:rsidR="00DF55D0" w:rsidRDefault="00DF55D0" w:rsidP="009B3F7C">
      <w:pPr>
        <w:rPr>
          <w:b/>
        </w:rPr>
      </w:pPr>
      <w:r w:rsidRPr="00DF55D0">
        <w:t>Prior to administration, the liquid must be checked whether it is clear and colo</w:t>
      </w:r>
      <w:r>
        <w:t>u</w:t>
      </w:r>
      <w:r w:rsidRPr="00DF55D0">
        <w:t>rless.</w:t>
      </w:r>
      <w:r w:rsidR="00F41963" w:rsidRPr="00F41963">
        <w:t xml:space="preserve"> The solution should not be used if discoloured, or cloudy, or if foreign particles are present.</w:t>
      </w:r>
    </w:p>
    <w:p w:rsidR="003E70A6" w:rsidRDefault="00DF55D0" w:rsidP="009B3F7C">
      <w:r w:rsidRPr="00DF55D0">
        <w:t xml:space="preserve">After proper training in subcutaneous injection technique, patients or appropriate care giver may self-inject </w:t>
      </w:r>
      <w:proofErr w:type="spellStart"/>
      <w:r w:rsidR="004A07E2">
        <w:t>Cosentyx</w:t>
      </w:r>
      <w:proofErr w:type="spellEnd"/>
      <w:r w:rsidRPr="00DF55D0">
        <w:t xml:space="preserve"> if a physician determines that it is appropriate. However, the physician should ensure appropriate follow-up of patients.</w:t>
      </w:r>
      <w:r w:rsidR="00E17C9B">
        <w:t xml:space="preserve"> </w:t>
      </w:r>
      <w:r w:rsidR="00E17C9B" w:rsidRPr="00E17C9B">
        <w:t xml:space="preserve">Patients should be instructed to inject the full amount of </w:t>
      </w:r>
      <w:proofErr w:type="spellStart"/>
      <w:r w:rsidR="00E17C9B" w:rsidRPr="00E17C9B">
        <w:t>Cosentyx</w:t>
      </w:r>
      <w:proofErr w:type="spellEnd"/>
      <w:r w:rsidR="00E17C9B" w:rsidRPr="00E17C9B">
        <w:t xml:space="preserve"> according to the instructions provided in the package leaflet. Comprehensive instructions for administration are given in the package leaflet.</w:t>
      </w:r>
    </w:p>
    <w:p w:rsidR="006F45C2" w:rsidRPr="00DF55D0" w:rsidRDefault="006F45C2" w:rsidP="009B3F7C"/>
    <w:p w:rsidR="00F55A14" w:rsidRDefault="00F22127" w:rsidP="009B3F7C">
      <w:pPr>
        <w:pStyle w:val="Heading1"/>
      </w:pPr>
      <w:r w:rsidRPr="00D766FE">
        <w:t>OVERDOSAGE</w:t>
      </w:r>
    </w:p>
    <w:p w:rsidR="00B73629" w:rsidRDefault="00B73629" w:rsidP="009B3F7C">
      <w:r w:rsidRPr="00B23FAF">
        <w:t>No case of overdose has been reported</w:t>
      </w:r>
      <w:r w:rsidR="000476DA">
        <w:t xml:space="preserve"> in clinical studies</w:t>
      </w:r>
      <w:r w:rsidRPr="00B23FAF">
        <w:t>.</w:t>
      </w:r>
    </w:p>
    <w:p w:rsidR="00D14DC7" w:rsidRDefault="000476DA" w:rsidP="009B3F7C">
      <w:r w:rsidRPr="000476DA">
        <w:t xml:space="preserve">Doses up to 30 mg/kg (i.e. approximately 2,000 </w:t>
      </w:r>
      <w:r w:rsidR="00511FCB">
        <w:t xml:space="preserve">mg </w:t>
      </w:r>
      <w:r w:rsidRPr="000476DA">
        <w:t xml:space="preserve">to 3,000 mg) have been administered intravenously in clinical studies without dose-limiting toxicity. </w:t>
      </w:r>
    </w:p>
    <w:p w:rsidR="002A0236" w:rsidRDefault="000476DA" w:rsidP="009B3F7C">
      <w:r w:rsidRPr="000476DA">
        <w:t>In the event of overdose, it is recommended that the patient be monitored for any signs or symptoms of adverse reactions and appropriate symptomatic treatment be instituted immediately.</w:t>
      </w:r>
    </w:p>
    <w:p w:rsidR="00D14DC7" w:rsidRDefault="00D14DC7" w:rsidP="009B3F7C">
      <w:r w:rsidRPr="00D14DC7">
        <w:t xml:space="preserve">Contact the Poisons Information Centre on 13 11 26 for advice on management of </w:t>
      </w:r>
      <w:r>
        <w:t xml:space="preserve">an </w:t>
      </w:r>
      <w:r w:rsidRPr="00D14DC7">
        <w:t>overdose.</w:t>
      </w:r>
    </w:p>
    <w:p w:rsidR="000476DA" w:rsidRPr="00B23FAF" w:rsidRDefault="000476DA" w:rsidP="009B3F7C"/>
    <w:p w:rsidR="00F55A14" w:rsidRDefault="00F22127" w:rsidP="00453503">
      <w:pPr>
        <w:pStyle w:val="Heading1"/>
      </w:pPr>
      <w:r w:rsidRPr="00D766FE">
        <w:t>PRESENTATION</w:t>
      </w:r>
      <w:r w:rsidR="00B53986">
        <w:t xml:space="preserve"> AND STORAGE CONDITIONS</w:t>
      </w:r>
    </w:p>
    <w:p w:rsidR="001818F9" w:rsidRDefault="00F22127" w:rsidP="00453503">
      <w:pPr>
        <w:pStyle w:val="Heading2"/>
      </w:pPr>
      <w:r w:rsidRPr="00D766FE">
        <w:t>P</w:t>
      </w:r>
      <w:r w:rsidR="001818F9">
        <w:t>resentations</w:t>
      </w:r>
      <w:r w:rsidRPr="00D766F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8"/>
      </w:tblGrid>
      <w:tr w:rsidR="0001135F" w:rsidTr="001D0690">
        <w:tc>
          <w:tcPr>
            <w:tcW w:w="2660" w:type="dxa"/>
          </w:tcPr>
          <w:p w:rsidR="0001135F" w:rsidRDefault="0001135F" w:rsidP="00453503">
            <w:pPr>
              <w:pStyle w:val="paragraph"/>
            </w:pPr>
            <w:r w:rsidRPr="00B47561">
              <w:t>Powder for Solution:</w:t>
            </w:r>
          </w:p>
        </w:tc>
        <w:tc>
          <w:tcPr>
            <w:tcW w:w="6628" w:type="dxa"/>
          </w:tcPr>
          <w:p w:rsidR="0001135F" w:rsidRDefault="0001135F">
            <w:proofErr w:type="spellStart"/>
            <w:r>
              <w:t>secukinumab</w:t>
            </w:r>
            <w:proofErr w:type="spellEnd"/>
            <w:r>
              <w:t xml:space="preserve"> 150 mg as a </w:t>
            </w:r>
            <w:r w:rsidR="00241B06" w:rsidRPr="00241B06">
              <w:t xml:space="preserve">sterile </w:t>
            </w:r>
            <w:r>
              <w:t xml:space="preserve">white solid </w:t>
            </w:r>
            <w:proofErr w:type="spellStart"/>
            <w:r>
              <w:t>lyophilisate</w:t>
            </w:r>
            <w:proofErr w:type="spellEnd"/>
            <w:r>
              <w:t xml:space="preserve"> for subcutaneous </w:t>
            </w:r>
            <w:r w:rsidR="00F5492B" w:rsidRPr="00F5492B">
              <w:t>injection</w:t>
            </w:r>
            <w:r w:rsidR="008C0D5F">
              <w:t>.</w:t>
            </w:r>
            <w:r w:rsidR="00AB0C57">
              <w:t xml:space="preserve"> </w:t>
            </w:r>
            <w:r w:rsidR="00D5251D" w:rsidRPr="00D5251D">
              <w:t>Packs containing 1* or 2*</w:t>
            </w:r>
            <w:r w:rsidR="00D5251D">
              <w:t xml:space="preserve"> </w:t>
            </w:r>
            <w:r w:rsidR="00D5251D" w:rsidRPr="00D5251D">
              <w:t>single</w:t>
            </w:r>
            <w:r w:rsidR="00D5251D">
              <w:t>-</w:t>
            </w:r>
            <w:r w:rsidR="00D5251D" w:rsidRPr="00D5251D">
              <w:t xml:space="preserve">use </w:t>
            </w:r>
            <w:r w:rsidR="00D5251D" w:rsidRPr="00D5251D">
              <w:lastRenderedPageBreak/>
              <w:t>vial</w:t>
            </w:r>
            <w:r w:rsidR="00D5251D">
              <w:t>s.</w:t>
            </w:r>
          </w:p>
        </w:tc>
      </w:tr>
      <w:tr w:rsidR="0001135F" w:rsidTr="001D0690">
        <w:tc>
          <w:tcPr>
            <w:tcW w:w="2660" w:type="dxa"/>
          </w:tcPr>
          <w:p w:rsidR="0001135F" w:rsidRDefault="0001135F" w:rsidP="009B3F7C">
            <w:pPr>
              <w:pStyle w:val="paragraph"/>
            </w:pPr>
            <w:r w:rsidRPr="00B47561">
              <w:lastRenderedPageBreak/>
              <w:t>Prefilled syringe:</w:t>
            </w:r>
          </w:p>
        </w:tc>
        <w:tc>
          <w:tcPr>
            <w:tcW w:w="6628" w:type="dxa"/>
          </w:tcPr>
          <w:p w:rsidR="0001135F" w:rsidRDefault="0001135F" w:rsidP="009B3F7C">
            <w:pPr>
              <w:rPr>
                <w:rFonts w:ascii="Helv" w:hAnsi="Helv"/>
              </w:rPr>
            </w:pPr>
            <w:proofErr w:type="spellStart"/>
            <w:r w:rsidRPr="0006330E">
              <w:t>secukinumab</w:t>
            </w:r>
            <w:proofErr w:type="spellEnd"/>
            <w:r w:rsidRPr="0006330E">
              <w:t xml:space="preserve"> </w:t>
            </w:r>
            <w:r>
              <w:t xml:space="preserve">150 mg/1 mL solution for subcutaneous injection in a single </w:t>
            </w:r>
            <w:r w:rsidR="00D5251D">
              <w:t xml:space="preserve">use </w:t>
            </w:r>
            <w:r>
              <w:t>pre-filled syringe</w:t>
            </w:r>
            <w:r w:rsidR="00112682">
              <w:t xml:space="preserve"> (PFS)</w:t>
            </w:r>
            <w:r>
              <w:t xml:space="preserve">. The </w:t>
            </w:r>
            <w:r w:rsidR="00241B06" w:rsidRPr="00241B06">
              <w:t xml:space="preserve">sterile </w:t>
            </w:r>
            <w:r>
              <w:t xml:space="preserve">solution is colourless to slightly yellow. </w:t>
            </w:r>
            <w:r w:rsidR="006357B1">
              <w:t>Packs</w:t>
            </w:r>
            <w:r w:rsidR="00975ED5" w:rsidRPr="00975ED5">
              <w:t xml:space="preserve"> containing </w:t>
            </w:r>
            <w:r w:rsidR="00975ED5">
              <w:t xml:space="preserve">1* or </w:t>
            </w:r>
            <w:r w:rsidR="00975ED5" w:rsidRPr="00975ED5">
              <w:t>2</w:t>
            </w:r>
            <w:r w:rsidR="00975ED5">
              <w:t>*</w:t>
            </w:r>
            <w:r w:rsidR="00975ED5" w:rsidRPr="00975ED5">
              <w:t xml:space="preserve"> pre-filled syringe</w:t>
            </w:r>
            <w:r w:rsidR="00975ED5">
              <w:t xml:space="preserve">s. </w:t>
            </w:r>
          </w:p>
        </w:tc>
      </w:tr>
      <w:tr w:rsidR="0001135F" w:rsidTr="001D0690">
        <w:tc>
          <w:tcPr>
            <w:tcW w:w="2660" w:type="dxa"/>
          </w:tcPr>
          <w:p w:rsidR="0001135F" w:rsidRDefault="0001135F" w:rsidP="009B3F7C">
            <w:pPr>
              <w:pStyle w:val="paragraph"/>
              <w:rPr>
                <w:rFonts w:ascii="Helv" w:hAnsi="Helv"/>
              </w:rPr>
            </w:pPr>
            <w:r>
              <w:t>Prefilled pen</w:t>
            </w:r>
            <w:r w:rsidRPr="00B47561">
              <w:t>:</w:t>
            </w:r>
            <w:r w:rsidRPr="00B47561">
              <w:tab/>
            </w:r>
          </w:p>
        </w:tc>
        <w:tc>
          <w:tcPr>
            <w:tcW w:w="6628" w:type="dxa"/>
          </w:tcPr>
          <w:p w:rsidR="0001135F" w:rsidRDefault="0001135F" w:rsidP="009B3F7C">
            <w:pPr>
              <w:rPr>
                <w:rFonts w:ascii="Helv" w:hAnsi="Helv"/>
              </w:rPr>
            </w:pPr>
            <w:proofErr w:type="spellStart"/>
            <w:r w:rsidRPr="0006330E">
              <w:t>secukinumab</w:t>
            </w:r>
            <w:proofErr w:type="spellEnd"/>
            <w:r w:rsidRPr="0006330E">
              <w:t xml:space="preserve"> </w:t>
            </w:r>
            <w:r>
              <w:t>150 mg/</w:t>
            </w:r>
            <w:r w:rsidR="00080090">
              <w:t xml:space="preserve">1 </w:t>
            </w:r>
            <w:r>
              <w:t xml:space="preserve">mL </w:t>
            </w:r>
            <w:r w:rsidRPr="007D52DB">
              <w:t xml:space="preserve">solution for subcutaneous injection </w:t>
            </w:r>
            <w:r>
              <w:t xml:space="preserve">in a single </w:t>
            </w:r>
            <w:r w:rsidR="00D5251D">
              <w:t xml:space="preserve">use </w:t>
            </w:r>
            <w:r>
              <w:t xml:space="preserve">pre-filled </w:t>
            </w:r>
            <w:r w:rsidR="00A75E77">
              <w:t>pen</w:t>
            </w:r>
            <w:r>
              <w:t xml:space="preserve">. </w:t>
            </w:r>
            <w:r w:rsidRPr="0006330E">
              <w:t xml:space="preserve">The </w:t>
            </w:r>
            <w:r w:rsidR="00241B06">
              <w:t xml:space="preserve">sterile </w:t>
            </w:r>
            <w:r w:rsidRPr="0006330E">
              <w:t>solution is colourless to slightly</w:t>
            </w:r>
            <w:r w:rsidR="00D90276">
              <w:t xml:space="preserve"> </w:t>
            </w:r>
            <w:r w:rsidRPr="0006330E">
              <w:t>yellow.</w:t>
            </w:r>
            <w:r w:rsidR="00353BA4">
              <w:t xml:space="preserve"> </w:t>
            </w:r>
            <w:r w:rsidR="00353BA4" w:rsidRPr="00353BA4">
              <w:t xml:space="preserve">The pen consists of a PFS assembled  into a pen with a removable rubber cap. </w:t>
            </w:r>
            <w:r w:rsidR="006357B1" w:rsidRPr="006357B1">
              <w:t xml:space="preserve">Packs containing 1* or 2* pre-filled </w:t>
            </w:r>
            <w:r w:rsidR="006357B1">
              <w:t>pens.</w:t>
            </w:r>
          </w:p>
        </w:tc>
      </w:tr>
    </w:tbl>
    <w:p w:rsidR="00B82375" w:rsidRPr="001D0690" w:rsidRDefault="00F41963" w:rsidP="009B3F7C">
      <w:pPr>
        <w:rPr>
          <w:rStyle w:val="Emphasis"/>
        </w:rPr>
      </w:pPr>
      <w:r w:rsidRPr="001D0690">
        <w:rPr>
          <w:rStyle w:val="Emphasis"/>
        </w:rPr>
        <w:t>*</w:t>
      </w:r>
      <w:r w:rsidR="00F22127" w:rsidRPr="001D0690">
        <w:rPr>
          <w:rStyle w:val="Emphasis"/>
        </w:rPr>
        <w:t xml:space="preserve">Not all pack sizes </w:t>
      </w:r>
      <w:r w:rsidR="007D52DB" w:rsidRPr="001D0690">
        <w:rPr>
          <w:rStyle w:val="Emphasis"/>
        </w:rPr>
        <w:t xml:space="preserve">or </w:t>
      </w:r>
      <w:r w:rsidR="00CA0231">
        <w:rPr>
          <w:rStyle w:val="Emphasis"/>
        </w:rPr>
        <w:t xml:space="preserve">presentations </w:t>
      </w:r>
      <w:r w:rsidR="00F22127" w:rsidRPr="001D0690">
        <w:rPr>
          <w:rStyle w:val="Emphasis"/>
        </w:rPr>
        <w:t>may be marketed.</w:t>
      </w:r>
    </w:p>
    <w:p w:rsidR="00B82375" w:rsidRDefault="00F22127" w:rsidP="009B3F7C">
      <w:pPr>
        <w:pStyle w:val="Heading2"/>
      </w:pPr>
      <w:r w:rsidRPr="00D766FE">
        <w:t xml:space="preserve">Storage </w:t>
      </w:r>
    </w:p>
    <w:p w:rsidR="0097093D" w:rsidRPr="0097093D" w:rsidRDefault="0097093D" w:rsidP="009B3F7C">
      <w:pPr>
        <w:rPr>
          <w:b/>
        </w:rPr>
      </w:pPr>
      <w:r w:rsidRPr="001F6A2E">
        <w:t>Powder for Solution</w:t>
      </w:r>
      <w:r w:rsidR="001F6A2E">
        <w:t>:</w:t>
      </w:r>
      <w:r w:rsidR="001F6A2E">
        <w:tab/>
      </w:r>
      <w:r w:rsidRPr="0097093D">
        <w:t>Store at 2-8°C</w:t>
      </w:r>
      <w:r w:rsidR="001F6A2E">
        <w:t xml:space="preserve">. </w:t>
      </w:r>
      <w:r w:rsidR="004B28D4">
        <w:t xml:space="preserve">Store in the original package. </w:t>
      </w:r>
      <w:r w:rsidR="004B28D4" w:rsidRPr="001F6A2E">
        <w:t xml:space="preserve">  </w:t>
      </w:r>
    </w:p>
    <w:p w:rsidR="00F41963" w:rsidRDefault="0097093D" w:rsidP="009B3F7C">
      <w:r w:rsidRPr="001F6A2E">
        <w:t>Prefilled syringe</w:t>
      </w:r>
      <w:r w:rsidR="001F6A2E">
        <w:t>:</w:t>
      </w:r>
      <w:r w:rsidR="001F6A2E">
        <w:tab/>
      </w:r>
      <w:r w:rsidR="001F6A2E" w:rsidRPr="001F6A2E">
        <w:t xml:space="preserve">Store at 2-8°C. </w:t>
      </w:r>
      <w:r w:rsidR="00F41963" w:rsidRPr="001F6A2E">
        <w:t>Do not freeze</w:t>
      </w:r>
      <w:r w:rsidR="00F41963">
        <w:t>.</w:t>
      </w:r>
      <w:r w:rsidR="00F41963" w:rsidRPr="001F6A2E">
        <w:t xml:space="preserve"> </w:t>
      </w:r>
      <w:r w:rsidR="001F6A2E" w:rsidRPr="001F6A2E">
        <w:t>Protect from light.</w:t>
      </w:r>
      <w:r w:rsidR="004B28D4">
        <w:t xml:space="preserve"> </w:t>
      </w:r>
    </w:p>
    <w:p w:rsidR="001F6A2E" w:rsidRDefault="00F41963" w:rsidP="009B3F7C">
      <w:pPr>
        <w:rPr>
          <w:b/>
        </w:rPr>
      </w:pPr>
      <w:r>
        <w:tab/>
      </w:r>
      <w:r>
        <w:tab/>
      </w:r>
      <w:r>
        <w:tab/>
        <w:t xml:space="preserve">Store in the original package. </w:t>
      </w:r>
      <w:r w:rsidR="001F6A2E" w:rsidRPr="001F6A2E">
        <w:t xml:space="preserve">  </w:t>
      </w:r>
    </w:p>
    <w:p w:rsidR="00F41963" w:rsidRDefault="00956614" w:rsidP="009B3F7C">
      <w:r>
        <w:t>Prefilled pen</w:t>
      </w:r>
      <w:r w:rsidR="001F6A2E">
        <w:t>:</w:t>
      </w:r>
      <w:r w:rsidR="001F6A2E">
        <w:tab/>
      </w:r>
      <w:r w:rsidR="001F6A2E">
        <w:tab/>
      </w:r>
      <w:r w:rsidR="0097093D" w:rsidRPr="0097093D">
        <w:t xml:space="preserve">Store at 2-8°C. </w:t>
      </w:r>
      <w:r w:rsidR="00F41963" w:rsidRPr="0097093D">
        <w:t>Do not freeze</w:t>
      </w:r>
      <w:r w:rsidR="00F41963">
        <w:t>.</w:t>
      </w:r>
      <w:r w:rsidR="00F41963" w:rsidRPr="0097093D">
        <w:t xml:space="preserve"> </w:t>
      </w:r>
      <w:r w:rsidR="0097093D" w:rsidRPr="0097093D">
        <w:t xml:space="preserve">Protect from light. </w:t>
      </w:r>
    </w:p>
    <w:p w:rsidR="00E54BBE" w:rsidRPr="0097093D" w:rsidRDefault="00F41963" w:rsidP="009B3F7C">
      <w:pPr>
        <w:rPr>
          <w:b/>
        </w:rPr>
      </w:pPr>
      <w:r>
        <w:tab/>
      </w:r>
      <w:r>
        <w:tab/>
      </w:r>
      <w:r>
        <w:tab/>
      </w:r>
      <w:r w:rsidRPr="00F41963">
        <w:t xml:space="preserve">Store in the original package.   </w:t>
      </w:r>
      <w:r w:rsidR="0097093D" w:rsidRPr="0097093D">
        <w:t xml:space="preserve"> </w:t>
      </w:r>
    </w:p>
    <w:p w:rsidR="0097093D" w:rsidRPr="00D766FE" w:rsidRDefault="0097093D" w:rsidP="009B3F7C"/>
    <w:p w:rsidR="00F55A14" w:rsidRDefault="00B53986" w:rsidP="009B3F7C">
      <w:pPr>
        <w:pStyle w:val="Heading1"/>
      </w:pPr>
      <w:r>
        <w:t>NAME AND ADDRESS OF THE SPONSOR</w:t>
      </w:r>
    </w:p>
    <w:p w:rsidR="00B82375" w:rsidRPr="00B23FAF" w:rsidRDefault="00F22127" w:rsidP="009B3F7C">
      <w:r w:rsidRPr="00B23FAF">
        <w:t>Novartis Pharmaceuticals Australia Pty Limited</w:t>
      </w:r>
    </w:p>
    <w:p w:rsidR="00B82375" w:rsidRPr="00B23FAF" w:rsidRDefault="00F22127" w:rsidP="009B3F7C">
      <w:pPr>
        <w:rPr>
          <w:b/>
        </w:rPr>
      </w:pPr>
      <w:r w:rsidRPr="00B23FAF">
        <w:t>ABN 18 004 244 160</w:t>
      </w:r>
    </w:p>
    <w:p w:rsidR="00B82375" w:rsidRPr="00B23FAF" w:rsidRDefault="00F22127" w:rsidP="009B3F7C">
      <w:pPr>
        <w:rPr>
          <w:b/>
        </w:rPr>
      </w:pPr>
      <w:r w:rsidRPr="00B23FAF">
        <w:t>54 Waterloo Road</w:t>
      </w:r>
    </w:p>
    <w:p w:rsidR="00B82375" w:rsidRPr="00B23FAF" w:rsidRDefault="00F22127" w:rsidP="009B3F7C">
      <w:pPr>
        <w:rPr>
          <w:b/>
        </w:rPr>
      </w:pPr>
      <w:r w:rsidRPr="00B23FAF">
        <w:t>North Ryde NSW 2113</w:t>
      </w:r>
    </w:p>
    <w:p w:rsidR="00B82375" w:rsidRPr="00B23FAF" w:rsidRDefault="00F22127" w:rsidP="009B3F7C">
      <w:pPr>
        <w:rPr>
          <w:b/>
        </w:rPr>
      </w:pPr>
      <w:r w:rsidRPr="00B23FAF">
        <w:rPr>
          <w:vertAlign w:val="superscript"/>
        </w:rPr>
        <w:sym w:font="Symbol" w:char="F0D2"/>
      </w:r>
      <w:r w:rsidRPr="00B23FAF">
        <w:t xml:space="preserve"> = Registered Trademark</w:t>
      </w:r>
    </w:p>
    <w:p w:rsidR="00890D32" w:rsidRPr="00D766FE" w:rsidRDefault="00890D32" w:rsidP="009B3F7C"/>
    <w:p w:rsidR="00B53986" w:rsidRDefault="00B53986" w:rsidP="009B3F7C">
      <w:pPr>
        <w:pStyle w:val="Heading1"/>
      </w:pPr>
      <w:r w:rsidRPr="00B53986">
        <w:t>POISON SCHEDULE OF THE MEDICINE</w:t>
      </w:r>
    </w:p>
    <w:p w:rsidR="00890D32" w:rsidRDefault="00B53986" w:rsidP="009B3F7C">
      <w:r w:rsidRPr="00B31BF9">
        <w:t>Schedule</w:t>
      </w:r>
      <w:r w:rsidR="00B31BF9">
        <w:t xml:space="preserve"> 4</w:t>
      </w:r>
      <w:r w:rsidRPr="00B31BF9">
        <w:t xml:space="preserve"> </w:t>
      </w:r>
      <w:r w:rsidR="00803BB0">
        <w:t xml:space="preserve">- </w:t>
      </w:r>
      <w:r w:rsidR="00E75518">
        <w:t>Prescription m</w:t>
      </w:r>
      <w:r w:rsidR="00803BB0" w:rsidRPr="00803BB0">
        <w:t>edicine</w:t>
      </w:r>
    </w:p>
    <w:p w:rsidR="00803BB0" w:rsidRPr="00D766FE" w:rsidRDefault="00803BB0" w:rsidP="009B3F7C"/>
    <w:p w:rsidR="00B53986" w:rsidRDefault="00B53986" w:rsidP="009B3F7C">
      <w:pPr>
        <w:pStyle w:val="Heading1"/>
      </w:pPr>
      <w:r w:rsidRPr="00B53986">
        <w:t>DATE OF FIRST INCLUSION IN THE AUSTRALIAN REGISTER</w:t>
      </w:r>
      <w:r>
        <w:t xml:space="preserve"> OF THERAPEUTIC GOODS </w:t>
      </w:r>
    </w:p>
    <w:p w:rsidR="0082393A" w:rsidRDefault="00213DA2" w:rsidP="009B3F7C">
      <w:r>
        <w:t xml:space="preserve">12 </w:t>
      </w:r>
      <w:r w:rsidR="00E60497">
        <w:t>January 2015:</w:t>
      </w:r>
      <w:r w:rsidR="005E69E2">
        <w:tab/>
        <w:t xml:space="preserve"> </w:t>
      </w:r>
      <w:proofErr w:type="spellStart"/>
      <w:r w:rsidR="0098366E">
        <w:t>Cosentyx</w:t>
      </w:r>
      <w:proofErr w:type="spellEnd"/>
      <w:r w:rsidR="0098366E">
        <w:t xml:space="preserve"> p</w:t>
      </w:r>
      <w:r w:rsidR="0082393A">
        <w:t xml:space="preserve">owder for </w:t>
      </w:r>
      <w:r w:rsidR="0098366E">
        <w:t>s</w:t>
      </w:r>
      <w:r w:rsidR="0082393A">
        <w:t>olution</w:t>
      </w:r>
      <w:r w:rsidR="00DE7925">
        <w:t>*</w:t>
      </w:r>
      <w:r w:rsidR="0098366E">
        <w:t xml:space="preserve">, AUST R </w:t>
      </w:r>
      <w:r w:rsidR="00783A0C">
        <w:t>218798</w:t>
      </w:r>
    </w:p>
    <w:p w:rsidR="0082393A" w:rsidRDefault="00213DA2" w:rsidP="009B3F7C">
      <w:r>
        <w:t xml:space="preserve">12 </w:t>
      </w:r>
      <w:r w:rsidR="00F1562E">
        <w:t>January 2015:</w:t>
      </w:r>
      <w:r w:rsidR="005E69E2" w:rsidRPr="005E69E2">
        <w:tab/>
      </w:r>
      <w:r w:rsidR="005E69E2">
        <w:t xml:space="preserve"> </w:t>
      </w:r>
      <w:proofErr w:type="spellStart"/>
      <w:r w:rsidR="0098366E" w:rsidRPr="0098366E">
        <w:t>Cosentyx</w:t>
      </w:r>
      <w:proofErr w:type="spellEnd"/>
      <w:r w:rsidR="0098366E" w:rsidRPr="0098366E">
        <w:t xml:space="preserve"> </w:t>
      </w:r>
      <w:r w:rsidR="00E75518">
        <w:t>p</w:t>
      </w:r>
      <w:r w:rsidR="0082393A">
        <w:t>refilled syringe</w:t>
      </w:r>
      <w:r w:rsidR="0098366E">
        <w:t xml:space="preserve">, </w:t>
      </w:r>
      <w:r w:rsidR="0098366E" w:rsidRPr="0098366E">
        <w:t xml:space="preserve">AUST R </w:t>
      </w:r>
      <w:r w:rsidR="00783A0C">
        <w:t>218799</w:t>
      </w:r>
    </w:p>
    <w:p w:rsidR="00E54BBE" w:rsidRDefault="00213DA2" w:rsidP="009B3F7C">
      <w:r>
        <w:t xml:space="preserve">12 </w:t>
      </w:r>
      <w:r w:rsidR="00F1562E">
        <w:t>January 2015:</w:t>
      </w:r>
      <w:r w:rsidR="005E69E2" w:rsidRPr="005E69E2">
        <w:tab/>
      </w:r>
      <w:r w:rsidR="005E69E2">
        <w:t xml:space="preserve"> </w:t>
      </w:r>
      <w:proofErr w:type="spellStart"/>
      <w:r w:rsidR="0098366E">
        <w:t>Cosentyx</w:t>
      </w:r>
      <w:proofErr w:type="spellEnd"/>
      <w:r w:rsidR="0098366E">
        <w:t xml:space="preserve"> p</w:t>
      </w:r>
      <w:r w:rsidR="0082393A">
        <w:t>refilled pen</w:t>
      </w:r>
      <w:r w:rsidR="0098366E">
        <w:t xml:space="preserve">, </w:t>
      </w:r>
      <w:r w:rsidR="0098366E" w:rsidRPr="0098366E">
        <w:t xml:space="preserve">AUST R </w:t>
      </w:r>
      <w:r w:rsidR="00783A0C">
        <w:t>218800</w:t>
      </w:r>
    </w:p>
    <w:p w:rsidR="00E54BBE" w:rsidRDefault="00E54BBE" w:rsidP="009B3F7C"/>
    <w:p w:rsidR="00B53986" w:rsidRDefault="00B53986" w:rsidP="009B3F7C"/>
    <w:p w:rsidR="00B82375" w:rsidRPr="00D766FE" w:rsidRDefault="00B82375" w:rsidP="009B3F7C"/>
    <w:p w:rsidR="00B82375" w:rsidRDefault="00F22127" w:rsidP="009B3F7C">
      <w:r w:rsidRPr="00D766FE">
        <w:t>__________________________________________________________________________</w:t>
      </w:r>
    </w:p>
    <w:p w:rsidR="002A0236" w:rsidRPr="001D0690" w:rsidRDefault="002A0236" w:rsidP="009B3F7C">
      <w:pPr>
        <w:rPr>
          <w:b/>
        </w:rPr>
      </w:pPr>
      <w:r w:rsidRPr="001D0690">
        <w:t>For Internal Use Only</w:t>
      </w:r>
    </w:p>
    <w:p w:rsidR="002A0236" w:rsidRPr="001D0690" w:rsidRDefault="00E60497" w:rsidP="009B3F7C">
      <w:pPr>
        <w:rPr>
          <w:b/>
        </w:rPr>
      </w:pPr>
      <w:r>
        <w:t>C</w:t>
      </w:r>
      <w:r w:rsidR="004B28D4" w:rsidRPr="001D0690">
        <w:t>os</w:t>
      </w:r>
      <w:r>
        <w:t>0</w:t>
      </w:r>
      <w:r w:rsidR="00061C23">
        <w:t>8</w:t>
      </w:r>
      <w:r>
        <w:t>0114</w:t>
      </w:r>
      <w:r w:rsidR="004B28D4">
        <w:t>all</w:t>
      </w:r>
      <w:r w:rsidR="004B28D4" w:rsidRPr="001D0690">
        <w:t>i</w:t>
      </w:r>
      <w:r w:rsidR="007C5E2B">
        <w:t xml:space="preserve"> based on CDS dated 22 Oct 2013</w:t>
      </w:r>
      <w:r>
        <w:t xml:space="preserve">, </w:t>
      </w:r>
      <w:r w:rsidR="00E14824">
        <w:t>ACPM recommendations</w:t>
      </w:r>
      <w:r>
        <w:t xml:space="preserve"> </w:t>
      </w:r>
      <w:r w:rsidR="004051DE">
        <w:t>and TGA Delegate’s post-ACPM recommendations 05-06 Jan 2015</w:t>
      </w:r>
      <w:r>
        <w:t>.</w:t>
      </w:r>
    </w:p>
    <w:sectPr w:rsidR="002A0236" w:rsidRPr="001D0690" w:rsidSect="0011629A">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737" w:left="1701"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B8" w:rsidRDefault="001272B8" w:rsidP="009B3F7C">
      <w:r>
        <w:separator/>
      </w:r>
    </w:p>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endnote>
  <w:endnote w:type="continuationSeparator" w:id="0">
    <w:p w:rsidR="001272B8" w:rsidRDefault="001272B8" w:rsidP="009B3F7C">
      <w:r>
        <w:continuationSeparator/>
      </w:r>
    </w:p>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B8" w:rsidRDefault="001272B8" w:rsidP="009B3F7C">
    <w:pPr>
      <w:pStyle w:val="Footer"/>
    </w:pPr>
  </w:p>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B8" w:rsidRDefault="001272B8" w:rsidP="009B3F7C">
    <w:r>
      <w:tab/>
    </w:r>
    <w:r>
      <w:tab/>
    </w:r>
    <w:r>
      <w:tab/>
    </w:r>
    <w:r>
      <w:tab/>
    </w:r>
    <w:r>
      <w:tab/>
    </w:r>
    <w:r>
      <w:tab/>
    </w:r>
    <w:r>
      <w:tab/>
    </w:r>
    <w:r>
      <w:tab/>
    </w:r>
    <w:r>
      <w:tab/>
    </w:r>
    <w:r>
      <w:tab/>
    </w:r>
    <w:r>
      <w:tab/>
    </w:r>
    <w:r>
      <w:tab/>
    </w:r>
    <w:r w:rsidRPr="00F843BC">
      <w:t xml:space="preserve">Page </w:t>
    </w:r>
    <w:r w:rsidRPr="00F843BC">
      <w:fldChar w:fldCharType="begin"/>
    </w:r>
    <w:r w:rsidRPr="00F843BC">
      <w:instrText xml:space="preserve"> PAGE </w:instrText>
    </w:r>
    <w:r w:rsidRPr="00F843BC">
      <w:fldChar w:fldCharType="separate"/>
    </w:r>
    <w:r w:rsidR="003A69BC">
      <w:rPr>
        <w:noProof/>
      </w:rPr>
      <w:t>2</w:t>
    </w:r>
    <w:r w:rsidRPr="00F843BC">
      <w:rPr>
        <w:noProof/>
      </w:rPr>
      <w:fldChar w:fldCharType="end"/>
    </w:r>
    <w:r w:rsidRPr="00F843BC">
      <w:t xml:space="preserve"> of </w:t>
    </w:r>
    <w:r>
      <w:fldChar w:fldCharType="begin"/>
    </w:r>
    <w:r>
      <w:instrText xml:space="preserve"> NUMPAGES  </w:instrText>
    </w:r>
    <w:r>
      <w:fldChar w:fldCharType="separate"/>
    </w:r>
    <w:r w:rsidR="003A69BC">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B8" w:rsidRDefault="001272B8" w:rsidP="009B3F7C">
    <w:r>
      <w:tab/>
    </w:r>
    <w:r>
      <w:tab/>
    </w:r>
    <w:r>
      <w:tab/>
    </w:r>
    <w:r>
      <w:tab/>
    </w:r>
    <w:r>
      <w:tab/>
    </w:r>
    <w:r>
      <w:tab/>
    </w:r>
    <w:r>
      <w:tab/>
    </w:r>
    <w:r>
      <w:tab/>
    </w:r>
    <w:r>
      <w:tab/>
    </w:r>
    <w:r>
      <w:tab/>
    </w:r>
    <w:r>
      <w:tab/>
    </w:r>
    <w:r>
      <w:tab/>
    </w:r>
    <w:r w:rsidRPr="00F843BC">
      <w:t xml:space="preserve">Page </w:t>
    </w:r>
    <w:r w:rsidRPr="00F843BC">
      <w:fldChar w:fldCharType="begin"/>
    </w:r>
    <w:r w:rsidRPr="00F843BC">
      <w:instrText xml:space="preserve"> PAGE </w:instrText>
    </w:r>
    <w:r w:rsidRPr="00F843BC">
      <w:fldChar w:fldCharType="separate"/>
    </w:r>
    <w:r w:rsidR="003A69BC">
      <w:rPr>
        <w:noProof/>
      </w:rPr>
      <w:t>1</w:t>
    </w:r>
    <w:r w:rsidRPr="00F843BC">
      <w:rPr>
        <w:noProof/>
      </w:rPr>
      <w:fldChar w:fldCharType="end"/>
    </w:r>
    <w:r w:rsidRPr="00F843BC">
      <w:t xml:space="preserve"> of </w:t>
    </w:r>
    <w:r>
      <w:fldChar w:fldCharType="begin"/>
    </w:r>
    <w:r>
      <w:instrText xml:space="preserve"> NUMPAGES  </w:instrText>
    </w:r>
    <w:r>
      <w:fldChar w:fldCharType="separate"/>
    </w:r>
    <w:r w:rsidR="003A69BC">
      <w:rPr>
        <w:noProof/>
      </w:rPr>
      <w:t>13</w:t>
    </w:r>
    <w:r>
      <w:rPr>
        <w:noProof/>
      </w:rPr>
      <w:fldChar w:fldCharType="end"/>
    </w:r>
  </w:p>
  <w:p w:rsidR="001272B8" w:rsidRDefault="001272B8" w:rsidP="009B3F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B8" w:rsidRDefault="001272B8" w:rsidP="009B3F7C">
      <w:r>
        <w:separator/>
      </w:r>
    </w:p>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footnote>
  <w:footnote w:type="continuationSeparator" w:id="0">
    <w:p w:rsidR="001272B8" w:rsidRDefault="001272B8" w:rsidP="009B3F7C">
      <w:r>
        <w:continuationSeparator/>
      </w:r>
    </w:p>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B8" w:rsidRDefault="001272B8" w:rsidP="009B3F7C">
    <w:pPr>
      <w:pStyle w:val="Header"/>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p w:rsidR="001272B8" w:rsidRDefault="001272B8" w:rsidP="009B3F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272B8" w:rsidRPr="001272B8" w:rsidTr="001272B8">
      <w:tc>
        <w:tcPr>
          <w:tcW w:w="8720" w:type="dxa"/>
          <w:shd w:val="clear" w:color="auto" w:fill="E4F2E0"/>
        </w:tcPr>
        <w:p w:rsidR="001272B8" w:rsidRPr="001272B8" w:rsidRDefault="001272B8" w:rsidP="001272B8">
          <w:pPr>
            <w:spacing w:before="40" w:after="40"/>
            <w:rPr>
              <w:rFonts w:asciiTheme="majorHAnsi" w:hAnsiTheme="majorHAnsi"/>
              <w:b/>
              <w:sz w:val="20"/>
              <w:szCs w:val="20"/>
            </w:rPr>
          </w:pPr>
          <w:r w:rsidRPr="001272B8">
            <w:rPr>
              <w:rFonts w:asciiTheme="majorHAnsi" w:hAnsiTheme="majorHAnsi"/>
              <w:b/>
              <w:sz w:val="20"/>
            </w:rPr>
            <w:t xml:space="preserve">Attachment 1: Product information for </w:t>
          </w:r>
          <w:proofErr w:type="spellStart"/>
          <w:r w:rsidRPr="001272B8">
            <w:rPr>
              <w:rFonts w:asciiTheme="majorHAnsi" w:hAnsiTheme="majorHAnsi"/>
              <w:b/>
              <w:sz w:val="20"/>
            </w:rPr>
            <w:t>AusPAR</w:t>
          </w:r>
          <w:proofErr w:type="spellEnd"/>
          <w:r w:rsidRPr="001272B8">
            <w:rPr>
              <w:rFonts w:asciiTheme="majorHAnsi" w:hAnsiTheme="majorHAnsi"/>
              <w:b/>
              <w:sz w:val="20"/>
            </w:rPr>
            <w:t xml:space="preserve"> </w:t>
          </w:r>
          <w:proofErr w:type="spellStart"/>
          <w:r w:rsidRPr="001272B8">
            <w:rPr>
              <w:rFonts w:asciiTheme="majorHAnsi" w:hAnsiTheme="majorHAnsi"/>
              <w:b/>
              <w:sz w:val="20"/>
            </w:rPr>
            <w:t>Cosentyx</w:t>
          </w:r>
          <w:proofErr w:type="spellEnd"/>
          <w:r w:rsidRPr="001272B8">
            <w:rPr>
              <w:rFonts w:asciiTheme="majorHAnsi" w:hAnsiTheme="majorHAnsi"/>
              <w:b/>
              <w:sz w:val="20"/>
            </w:rPr>
            <w:t xml:space="preserve"> / </w:t>
          </w:r>
          <w:proofErr w:type="spellStart"/>
          <w:r w:rsidRPr="001272B8">
            <w:rPr>
              <w:rFonts w:asciiTheme="majorHAnsi" w:hAnsiTheme="majorHAnsi"/>
              <w:b/>
              <w:sz w:val="20"/>
            </w:rPr>
            <w:t>Zafrez</w:t>
          </w:r>
          <w:proofErr w:type="spellEnd"/>
          <w:r w:rsidRPr="001272B8">
            <w:rPr>
              <w:rFonts w:asciiTheme="majorHAnsi" w:hAnsiTheme="majorHAnsi"/>
              <w:b/>
              <w:sz w:val="20"/>
            </w:rPr>
            <w:t xml:space="preserve"> </w:t>
          </w:r>
          <w:proofErr w:type="spellStart"/>
          <w:r w:rsidRPr="001272B8">
            <w:rPr>
              <w:rFonts w:asciiTheme="majorHAnsi" w:hAnsiTheme="majorHAnsi"/>
              <w:b/>
              <w:sz w:val="20"/>
            </w:rPr>
            <w:t>secukinumab</w:t>
          </w:r>
          <w:proofErr w:type="spellEnd"/>
          <w:r w:rsidRPr="001272B8">
            <w:rPr>
              <w:rFonts w:asciiTheme="majorHAnsi" w:hAnsiTheme="majorHAnsi"/>
              <w:b/>
              <w:sz w:val="20"/>
            </w:rPr>
            <w:t xml:space="preserve"> (</w:t>
          </w:r>
          <w:proofErr w:type="spellStart"/>
          <w:r w:rsidRPr="001272B8">
            <w:rPr>
              <w:rFonts w:asciiTheme="majorHAnsi" w:hAnsiTheme="majorHAnsi"/>
              <w:b/>
              <w:sz w:val="20"/>
            </w:rPr>
            <w:t>rch</w:t>
          </w:r>
          <w:proofErr w:type="spellEnd"/>
          <w:r w:rsidRPr="001272B8">
            <w:rPr>
              <w:rFonts w:asciiTheme="majorHAnsi" w:hAnsiTheme="majorHAnsi"/>
              <w:b/>
              <w:sz w:val="20"/>
            </w:rPr>
            <w:t xml:space="preserve">) Novartis Pharmaceuticals Australia Pty Ltd PM-2013-04153-1-4 - 16 September 2015. This Product Information was approved at the time this </w:t>
          </w:r>
          <w:proofErr w:type="spellStart"/>
          <w:r w:rsidRPr="001272B8">
            <w:rPr>
              <w:rFonts w:asciiTheme="majorHAnsi" w:hAnsiTheme="majorHAnsi"/>
              <w:b/>
              <w:sz w:val="20"/>
            </w:rPr>
            <w:t>AusPAR</w:t>
          </w:r>
          <w:proofErr w:type="spellEnd"/>
          <w:r w:rsidRPr="001272B8">
            <w:rPr>
              <w:rFonts w:asciiTheme="majorHAnsi" w:hAnsiTheme="majorHAnsi"/>
              <w:b/>
              <w:sz w:val="20"/>
            </w:rPr>
            <w:t xml:space="preserve"> was published.</w:t>
          </w:r>
        </w:p>
      </w:tc>
    </w:tr>
  </w:tbl>
  <w:p w:rsidR="001272B8" w:rsidRDefault="001272B8" w:rsidP="009B3F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272B8" w:rsidRPr="001272B8" w:rsidTr="001272B8">
      <w:tc>
        <w:tcPr>
          <w:tcW w:w="8720" w:type="dxa"/>
          <w:shd w:val="clear" w:color="auto" w:fill="E4F2E0"/>
        </w:tcPr>
        <w:p w:rsidR="001272B8" w:rsidRPr="001272B8" w:rsidRDefault="001272B8" w:rsidP="001272B8">
          <w:pPr>
            <w:spacing w:before="40" w:after="40"/>
            <w:rPr>
              <w:rFonts w:asciiTheme="majorHAnsi" w:hAnsiTheme="majorHAnsi"/>
              <w:b/>
              <w:sz w:val="20"/>
              <w:szCs w:val="20"/>
            </w:rPr>
          </w:pPr>
          <w:r w:rsidRPr="001272B8">
            <w:rPr>
              <w:rFonts w:asciiTheme="majorHAnsi" w:hAnsiTheme="majorHAnsi"/>
              <w:b/>
              <w:sz w:val="20"/>
            </w:rPr>
            <w:t xml:space="preserve">Attachment 1: Product information for </w:t>
          </w:r>
          <w:proofErr w:type="spellStart"/>
          <w:r w:rsidRPr="001272B8">
            <w:rPr>
              <w:rFonts w:asciiTheme="majorHAnsi" w:hAnsiTheme="majorHAnsi"/>
              <w:b/>
              <w:sz w:val="20"/>
            </w:rPr>
            <w:t>AusPAR</w:t>
          </w:r>
          <w:proofErr w:type="spellEnd"/>
          <w:r w:rsidRPr="001272B8">
            <w:rPr>
              <w:rFonts w:asciiTheme="majorHAnsi" w:hAnsiTheme="majorHAnsi"/>
              <w:b/>
              <w:sz w:val="20"/>
            </w:rPr>
            <w:t xml:space="preserve"> </w:t>
          </w:r>
          <w:proofErr w:type="spellStart"/>
          <w:r w:rsidRPr="001272B8">
            <w:rPr>
              <w:rFonts w:asciiTheme="majorHAnsi" w:hAnsiTheme="majorHAnsi"/>
              <w:b/>
              <w:sz w:val="20"/>
            </w:rPr>
            <w:t>Cosentyx</w:t>
          </w:r>
          <w:proofErr w:type="spellEnd"/>
          <w:r w:rsidRPr="001272B8">
            <w:rPr>
              <w:rFonts w:asciiTheme="majorHAnsi" w:hAnsiTheme="majorHAnsi"/>
              <w:b/>
              <w:sz w:val="20"/>
            </w:rPr>
            <w:t xml:space="preserve"> / </w:t>
          </w:r>
          <w:proofErr w:type="spellStart"/>
          <w:r w:rsidRPr="001272B8">
            <w:rPr>
              <w:rFonts w:asciiTheme="majorHAnsi" w:hAnsiTheme="majorHAnsi"/>
              <w:b/>
              <w:sz w:val="20"/>
            </w:rPr>
            <w:t>Zafrez</w:t>
          </w:r>
          <w:proofErr w:type="spellEnd"/>
          <w:r w:rsidRPr="001272B8">
            <w:rPr>
              <w:rFonts w:asciiTheme="majorHAnsi" w:hAnsiTheme="majorHAnsi"/>
              <w:b/>
              <w:sz w:val="20"/>
            </w:rPr>
            <w:t xml:space="preserve"> </w:t>
          </w:r>
          <w:proofErr w:type="spellStart"/>
          <w:r w:rsidRPr="001272B8">
            <w:rPr>
              <w:rFonts w:asciiTheme="majorHAnsi" w:hAnsiTheme="majorHAnsi"/>
              <w:b/>
              <w:sz w:val="20"/>
            </w:rPr>
            <w:t>secukinumab</w:t>
          </w:r>
          <w:proofErr w:type="spellEnd"/>
          <w:r w:rsidRPr="001272B8">
            <w:rPr>
              <w:rFonts w:asciiTheme="majorHAnsi" w:hAnsiTheme="majorHAnsi"/>
              <w:b/>
              <w:sz w:val="20"/>
            </w:rPr>
            <w:t xml:space="preserve"> (</w:t>
          </w:r>
          <w:proofErr w:type="spellStart"/>
          <w:r w:rsidRPr="001272B8">
            <w:rPr>
              <w:rFonts w:asciiTheme="majorHAnsi" w:hAnsiTheme="majorHAnsi"/>
              <w:b/>
              <w:sz w:val="20"/>
            </w:rPr>
            <w:t>rch</w:t>
          </w:r>
          <w:proofErr w:type="spellEnd"/>
          <w:r w:rsidRPr="001272B8">
            <w:rPr>
              <w:rFonts w:asciiTheme="majorHAnsi" w:hAnsiTheme="majorHAnsi"/>
              <w:b/>
              <w:sz w:val="20"/>
            </w:rPr>
            <w:t xml:space="preserve">) Novartis Pharmaceuticals Australia Pty Ltd PM-2013-04153-1-4 - 16 September 2015. This Product Information was approved at the time this </w:t>
          </w:r>
          <w:proofErr w:type="spellStart"/>
          <w:r w:rsidRPr="001272B8">
            <w:rPr>
              <w:rFonts w:asciiTheme="majorHAnsi" w:hAnsiTheme="majorHAnsi"/>
              <w:b/>
              <w:sz w:val="20"/>
            </w:rPr>
            <w:t>AusPAR</w:t>
          </w:r>
          <w:proofErr w:type="spellEnd"/>
          <w:r w:rsidRPr="001272B8">
            <w:rPr>
              <w:rFonts w:asciiTheme="majorHAnsi" w:hAnsiTheme="majorHAnsi"/>
              <w:b/>
              <w:sz w:val="20"/>
            </w:rPr>
            <w:t xml:space="preserve"> was published.</w:t>
          </w:r>
        </w:p>
      </w:tc>
    </w:tr>
  </w:tbl>
  <w:p w:rsidR="001272B8" w:rsidRPr="001272B8" w:rsidRDefault="001272B8" w:rsidP="009B3F7C">
    <w:pP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6pt;height:6pt;visibility:visible;mso-wrap-style:square" o:bullet="t">
        <v:imagedata r:id="rId1" o:title=""/>
      </v:shape>
    </w:pict>
  </w:numPicBullet>
  <w:numPicBullet w:numPicBulletId="1">
    <w:pict>
      <v:shape id="_x0000_i1206" type="#_x0000_t75" style="width:6.65pt;height:6.65pt;visibility:visible" o:bullet="t">
        <v:imagedata r:id="rId2" o:title=""/>
      </v:shape>
    </w:pict>
  </w:numPicBullet>
  <w:abstractNum w:abstractNumId="0">
    <w:nsid w:val="FFFFFF7C"/>
    <w:multiLevelType w:val="singleLevel"/>
    <w:tmpl w:val="C622AE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5B009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B4709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0AD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52B0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A20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2C7D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8270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F4A0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08803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10A3E18"/>
    <w:lvl w:ilvl="0">
      <w:numFmt w:val="bullet"/>
      <w:lvlText w:val="*"/>
      <w:lvlJc w:val="left"/>
    </w:lvl>
  </w:abstractNum>
  <w:abstractNum w:abstractNumId="11">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1166AA6"/>
    <w:multiLevelType w:val="hybridMultilevel"/>
    <w:tmpl w:val="6E0A075A"/>
    <w:lvl w:ilvl="0" w:tplc="656A0132">
      <w:start w:val="1"/>
      <w:numFmt w:val="bullet"/>
      <w:lvlText w:val=""/>
      <w:lvlPicBulletId w:val="0"/>
      <w:lvlJc w:val="left"/>
      <w:pPr>
        <w:tabs>
          <w:tab w:val="num" w:pos="720"/>
        </w:tabs>
        <w:ind w:left="720" w:hanging="360"/>
      </w:pPr>
      <w:rPr>
        <w:rFonts w:ascii="Symbol" w:hAnsi="Symbol" w:hint="default"/>
      </w:rPr>
    </w:lvl>
    <w:lvl w:ilvl="1" w:tplc="21C6F4E0" w:tentative="1">
      <w:start w:val="1"/>
      <w:numFmt w:val="bullet"/>
      <w:lvlText w:val=""/>
      <w:lvlJc w:val="left"/>
      <w:pPr>
        <w:tabs>
          <w:tab w:val="num" w:pos="1440"/>
        </w:tabs>
        <w:ind w:left="1440" w:hanging="360"/>
      </w:pPr>
      <w:rPr>
        <w:rFonts w:ascii="Symbol" w:hAnsi="Symbol" w:hint="default"/>
      </w:rPr>
    </w:lvl>
    <w:lvl w:ilvl="2" w:tplc="C8F01C0E" w:tentative="1">
      <w:start w:val="1"/>
      <w:numFmt w:val="bullet"/>
      <w:lvlText w:val=""/>
      <w:lvlJc w:val="left"/>
      <w:pPr>
        <w:tabs>
          <w:tab w:val="num" w:pos="2160"/>
        </w:tabs>
        <w:ind w:left="2160" w:hanging="360"/>
      </w:pPr>
      <w:rPr>
        <w:rFonts w:ascii="Symbol" w:hAnsi="Symbol" w:hint="default"/>
      </w:rPr>
    </w:lvl>
    <w:lvl w:ilvl="3" w:tplc="84E6E13C" w:tentative="1">
      <w:start w:val="1"/>
      <w:numFmt w:val="bullet"/>
      <w:lvlText w:val=""/>
      <w:lvlJc w:val="left"/>
      <w:pPr>
        <w:tabs>
          <w:tab w:val="num" w:pos="2880"/>
        </w:tabs>
        <w:ind w:left="2880" w:hanging="360"/>
      </w:pPr>
      <w:rPr>
        <w:rFonts w:ascii="Symbol" w:hAnsi="Symbol" w:hint="default"/>
      </w:rPr>
    </w:lvl>
    <w:lvl w:ilvl="4" w:tplc="35964B2E" w:tentative="1">
      <w:start w:val="1"/>
      <w:numFmt w:val="bullet"/>
      <w:lvlText w:val=""/>
      <w:lvlJc w:val="left"/>
      <w:pPr>
        <w:tabs>
          <w:tab w:val="num" w:pos="3600"/>
        </w:tabs>
        <w:ind w:left="3600" w:hanging="360"/>
      </w:pPr>
      <w:rPr>
        <w:rFonts w:ascii="Symbol" w:hAnsi="Symbol" w:hint="default"/>
      </w:rPr>
    </w:lvl>
    <w:lvl w:ilvl="5" w:tplc="81D65C66" w:tentative="1">
      <w:start w:val="1"/>
      <w:numFmt w:val="bullet"/>
      <w:lvlText w:val=""/>
      <w:lvlJc w:val="left"/>
      <w:pPr>
        <w:tabs>
          <w:tab w:val="num" w:pos="4320"/>
        </w:tabs>
        <w:ind w:left="4320" w:hanging="360"/>
      </w:pPr>
      <w:rPr>
        <w:rFonts w:ascii="Symbol" w:hAnsi="Symbol" w:hint="default"/>
      </w:rPr>
    </w:lvl>
    <w:lvl w:ilvl="6" w:tplc="21F0569C" w:tentative="1">
      <w:start w:val="1"/>
      <w:numFmt w:val="bullet"/>
      <w:lvlText w:val=""/>
      <w:lvlJc w:val="left"/>
      <w:pPr>
        <w:tabs>
          <w:tab w:val="num" w:pos="5040"/>
        </w:tabs>
        <w:ind w:left="5040" w:hanging="360"/>
      </w:pPr>
      <w:rPr>
        <w:rFonts w:ascii="Symbol" w:hAnsi="Symbol" w:hint="default"/>
      </w:rPr>
    </w:lvl>
    <w:lvl w:ilvl="7" w:tplc="39664978" w:tentative="1">
      <w:start w:val="1"/>
      <w:numFmt w:val="bullet"/>
      <w:lvlText w:val=""/>
      <w:lvlJc w:val="left"/>
      <w:pPr>
        <w:tabs>
          <w:tab w:val="num" w:pos="5760"/>
        </w:tabs>
        <w:ind w:left="5760" w:hanging="360"/>
      </w:pPr>
      <w:rPr>
        <w:rFonts w:ascii="Symbol" w:hAnsi="Symbol" w:hint="default"/>
      </w:rPr>
    </w:lvl>
    <w:lvl w:ilvl="8" w:tplc="D8585818" w:tentative="1">
      <w:start w:val="1"/>
      <w:numFmt w:val="bullet"/>
      <w:lvlText w:val=""/>
      <w:lvlJc w:val="left"/>
      <w:pPr>
        <w:tabs>
          <w:tab w:val="num" w:pos="6480"/>
        </w:tabs>
        <w:ind w:left="6480" w:hanging="360"/>
      </w:pPr>
      <w:rPr>
        <w:rFonts w:ascii="Symbol" w:hAnsi="Symbol" w:hint="default"/>
      </w:rPr>
    </w:lvl>
  </w:abstractNum>
  <w:abstractNum w:abstractNumId="13">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02576E8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nsid w:val="02BD2EE9"/>
    <w:multiLevelType w:val="multilevel"/>
    <w:tmpl w:val="D84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2CD31FC"/>
    <w:multiLevelType w:val="multilevel"/>
    <w:tmpl w:val="A5F8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8859E4"/>
    <w:multiLevelType w:val="singleLevel"/>
    <w:tmpl w:val="4DE4A550"/>
    <w:lvl w:ilvl="0">
      <w:numFmt w:val="bullet"/>
      <w:lvlText w:val="-"/>
      <w:lvlJc w:val="left"/>
      <w:pPr>
        <w:tabs>
          <w:tab w:val="num" w:pos="384"/>
        </w:tabs>
        <w:ind w:left="384" w:hanging="384"/>
      </w:pPr>
      <w:rPr>
        <w:rFonts w:hint="default"/>
      </w:rPr>
    </w:lvl>
  </w:abstractNum>
  <w:abstractNum w:abstractNumId="18">
    <w:nsid w:val="102E766B"/>
    <w:multiLevelType w:val="multilevel"/>
    <w:tmpl w:val="5BCA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476E37"/>
    <w:multiLevelType w:val="hybridMultilevel"/>
    <w:tmpl w:val="1CB6C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F4B4202"/>
    <w:multiLevelType w:val="multilevel"/>
    <w:tmpl w:val="004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740A05"/>
    <w:multiLevelType w:val="multilevel"/>
    <w:tmpl w:val="2D84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24633B"/>
    <w:multiLevelType w:val="multilevel"/>
    <w:tmpl w:val="4224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54EE2"/>
    <w:multiLevelType w:val="multilevel"/>
    <w:tmpl w:val="DB6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8554B4"/>
    <w:multiLevelType w:val="singleLevel"/>
    <w:tmpl w:val="08090011"/>
    <w:lvl w:ilvl="0">
      <w:start w:val="2"/>
      <w:numFmt w:val="decimal"/>
      <w:lvlText w:val="%1)"/>
      <w:lvlJc w:val="left"/>
      <w:pPr>
        <w:tabs>
          <w:tab w:val="num" w:pos="360"/>
        </w:tabs>
        <w:ind w:left="360" w:hanging="360"/>
      </w:pPr>
      <w:rPr>
        <w:rFonts w:cs="Times New Roman" w:hint="default"/>
      </w:rPr>
    </w:lvl>
  </w:abstractNum>
  <w:abstractNum w:abstractNumId="25">
    <w:nsid w:val="2F5C17F0"/>
    <w:multiLevelType w:val="multilevel"/>
    <w:tmpl w:val="00D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055CC1"/>
    <w:multiLevelType w:val="multilevel"/>
    <w:tmpl w:val="698EC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A34F7D"/>
    <w:multiLevelType w:val="singleLevel"/>
    <w:tmpl w:val="4DE4A550"/>
    <w:lvl w:ilvl="0">
      <w:numFmt w:val="bullet"/>
      <w:lvlText w:val="-"/>
      <w:lvlJc w:val="left"/>
      <w:pPr>
        <w:tabs>
          <w:tab w:val="num" w:pos="384"/>
        </w:tabs>
        <w:ind w:left="384" w:hanging="384"/>
      </w:pPr>
      <w:rPr>
        <w:rFonts w:hint="default"/>
      </w:rPr>
    </w:lvl>
  </w:abstractNum>
  <w:abstractNum w:abstractNumId="28">
    <w:nsid w:val="3949754F"/>
    <w:multiLevelType w:val="multilevel"/>
    <w:tmpl w:val="379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0D3216"/>
    <w:multiLevelType w:val="multilevel"/>
    <w:tmpl w:val="664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0E23D6"/>
    <w:multiLevelType w:val="multilevel"/>
    <w:tmpl w:val="E50A5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D9003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nsid w:val="3EDD61B9"/>
    <w:multiLevelType w:val="multilevel"/>
    <w:tmpl w:val="A4B6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464F61"/>
    <w:multiLevelType w:val="singleLevel"/>
    <w:tmpl w:val="EDC05F18"/>
    <w:lvl w:ilvl="0">
      <w:start w:val="1"/>
      <w:numFmt w:val="decimal"/>
      <w:lvlText w:val="(%1)"/>
      <w:lvlJc w:val="left"/>
      <w:pPr>
        <w:tabs>
          <w:tab w:val="num" w:pos="360"/>
        </w:tabs>
        <w:ind w:left="360" w:hanging="360"/>
      </w:pPr>
      <w:rPr>
        <w:rFonts w:cs="Times New Roman" w:hint="default"/>
      </w:rPr>
    </w:lvl>
  </w:abstractNum>
  <w:abstractNum w:abstractNumId="34">
    <w:nsid w:val="42685196"/>
    <w:multiLevelType w:val="multilevel"/>
    <w:tmpl w:val="396C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43EF6A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7">
    <w:nsid w:val="46086326"/>
    <w:multiLevelType w:val="singleLevel"/>
    <w:tmpl w:val="4DE4A550"/>
    <w:lvl w:ilvl="0">
      <w:numFmt w:val="bullet"/>
      <w:lvlText w:val="-"/>
      <w:lvlJc w:val="left"/>
      <w:pPr>
        <w:tabs>
          <w:tab w:val="num" w:pos="384"/>
        </w:tabs>
        <w:ind w:left="384" w:hanging="384"/>
      </w:pPr>
      <w:rPr>
        <w:rFonts w:hint="default"/>
      </w:rPr>
    </w:lvl>
  </w:abstractNum>
  <w:abstractNum w:abstractNumId="38">
    <w:nsid w:val="4AEC719D"/>
    <w:multiLevelType w:val="multilevel"/>
    <w:tmpl w:val="BF74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547856C3"/>
    <w:multiLevelType w:val="hybridMultilevel"/>
    <w:tmpl w:val="A614D43A"/>
    <w:lvl w:ilvl="0" w:tplc="4A7A8A06">
      <w:start w:val="1"/>
      <w:numFmt w:val="decimal"/>
      <w:lvlText w:val="%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A36263"/>
    <w:multiLevelType w:val="hybridMultilevel"/>
    <w:tmpl w:val="8B50EE52"/>
    <w:lvl w:ilvl="0" w:tplc="686A238E">
      <w:start w:val="1"/>
      <w:numFmt w:val="bullet"/>
      <w:lvlText w:val=""/>
      <w:lvlPicBulletId w:val="1"/>
      <w:lvlJc w:val="left"/>
      <w:pPr>
        <w:tabs>
          <w:tab w:val="num" w:pos="720"/>
        </w:tabs>
        <w:ind w:left="720" w:hanging="360"/>
      </w:pPr>
      <w:rPr>
        <w:rFonts w:ascii="Symbol" w:hAnsi="Symbol" w:hint="default"/>
      </w:rPr>
    </w:lvl>
    <w:lvl w:ilvl="1" w:tplc="50CE58D4" w:tentative="1">
      <w:start w:val="1"/>
      <w:numFmt w:val="bullet"/>
      <w:lvlText w:val=""/>
      <w:lvlJc w:val="left"/>
      <w:pPr>
        <w:tabs>
          <w:tab w:val="num" w:pos="1440"/>
        </w:tabs>
        <w:ind w:left="1440" w:hanging="360"/>
      </w:pPr>
      <w:rPr>
        <w:rFonts w:ascii="Symbol" w:hAnsi="Symbol" w:hint="default"/>
      </w:rPr>
    </w:lvl>
    <w:lvl w:ilvl="2" w:tplc="3D066326" w:tentative="1">
      <w:start w:val="1"/>
      <w:numFmt w:val="bullet"/>
      <w:lvlText w:val=""/>
      <w:lvlJc w:val="left"/>
      <w:pPr>
        <w:tabs>
          <w:tab w:val="num" w:pos="2160"/>
        </w:tabs>
        <w:ind w:left="2160" w:hanging="360"/>
      </w:pPr>
      <w:rPr>
        <w:rFonts w:ascii="Symbol" w:hAnsi="Symbol" w:hint="default"/>
      </w:rPr>
    </w:lvl>
    <w:lvl w:ilvl="3" w:tplc="3726016A" w:tentative="1">
      <w:start w:val="1"/>
      <w:numFmt w:val="bullet"/>
      <w:lvlText w:val=""/>
      <w:lvlJc w:val="left"/>
      <w:pPr>
        <w:tabs>
          <w:tab w:val="num" w:pos="2880"/>
        </w:tabs>
        <w:ind w:left="2880" w:hanging="360"/>
      </w:pPr>
      <w:rPr>
        <w:rFonts w:ascii="Symbol" w:hAnsi="Symbol" w:hint="default"/>
      </w:rPr>
    </w:lvl>
    <w:lvl w:ilvl="4" w:tplc="AA1C9736" w:tentative="1">
      <w:start w:val="1"/>
      <w:numFmt w:val="bullet"/>
      <w:lvlText w:val=""/>
      <w:lvlJc w:val="left"/>
      <w:pPr>
        <w:tabs>
          <w:tab w:val="num" w:pos="3600"/>
        </w:tabs>
        <w:ind w:left="3600" w:hanging="360"/>
      </w:pPr>
      <w:rPr>
        <w:rFonts w:ascii="Symbol" w:hAnsi="Symbol" w:hint="default"/>
      </w:rPr>
    </w:lvl>
    <w:lvl w:ilvl="5" w:tplc="7D00FDAE" w:tentative="1">
      <w:start w:val="1"/>
      <w:numFmt w:val="bullet"/>
      <w:lvlText w:val=""/>
      <w:lvlJc w:val="left"/>
      <w:pPr>
        <w:tabs>
          <w:tab w:val="num" w:pos="4320"/>
        </w:tabs>
        <w:ind w:left="4320" w:hanging="360"/>
      </w:pPr>
      <w:rPr>
        <w:rFonts w:ascii="Symbol" w:hAnsi="Symbol" w:hint="default"/>
      </w:rPr>
    </w:lvl>
    <w:lvl w:ilvl="6" w:tplc="B48C1438" w:tentative="1">
      <w:start w:val="1"/>
      <w:numFmt w:val="bullet"/>
      <w:lvlText w:val=""/>
      <w:lvlJc w:val="left"/>
      <w:pPr>
        <w:tabs>
          <w:tab w:val="num" w:pos="5040"/>
        </w:tabs>
        <w:ind w:left="5040" w:hanging="360"/>
      </w:pPr>
      <w:rPr>
        <w:rFonts w:ascii="Symbol" w:hAnsi="Symbol" w:hint="default"/>
      </w:rPr>
    </w:lvl>
    <w:lvl w:ilvl="7" w:tplc="FDC64B2C" w:tentative="1">
      <w:start w:val="1"/>
      <w:numFmt w:val="bullet"/>
      <w:lvlText w:val=""/>
      <w:lvlJc w:val="left"/>
      <w:pPr>
        <w:tabs>
          <w:tab w:val="num" w:pos="5760"/>
        </w:tabs>
        <w:ind w:left="5760" w:hanging="360"/>
      </w:pPr>
      <w:rPr>
        <w:rFonts w:ascii="Symbol" w:hAnsi="Symbol" w:hint="default"/>
      </w:rPr>
    </w:lvl>
    <w:lvl w:ilvl="8" w:tplc="3C30826E" w:tentative="1">
      <w:start w:val="1"/>
      <w:numFmt w:val="bullet"/>
      <w:lvlText w:val=""/>
      <w:lvlJc w:val="left"/>
      <w:pPr>
        <w:tabs>
          <w:tab w:val="num" w:pos="6480"/>
        </w:tabs>
        <w:ind w:left="6480" w:hanging="360"/>
      </w:pPr>
      <w:rPr>
        <w:rFonts w:ascii="Symbol" w:hAnsi="Symbol" w:hint="default"/>
      </w:rPr>
    </w:lvl>
  </w:abstractNum>
  <w:abstractNum w:abstractNumId="42">
    <w:nsid w:val="58F90D3A"/>
    <w:multiLevelType w:val="hybridMultilevel"/>
    <w:tmpl w:val="2E40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323794"/>
    <w:multiLevelType w:val="multilevel"/>
    <w:tmpl w:val="D37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4927D1"/>
    <w:multiLevelType w:val="multilevel"/>
    <w:tmpl w:val="73A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FE441D"/>
    <w:multiLevelType w:val="singleLevel"/>
    <w:tmpl w:val="4DE4A550"/>
    <w:lvl w:ilvl="0">
      <w:numFmt w:val="bullet"/>
      <w:lvlText w:val="-"/>
      <w:lvlJc w:val="left"/>
      <w:pPr>
        <w:tabs>
          <w:tab w:val="num" w:pos="384"/>
        </w:tabs>
        <w:ind w:left="384" w:hanging="384"/>
      </w:pPr>
      <w:rPr>
        <w:rFonts w:hint="default"/>
      </w:rPr>
    </w:lvl>
  </w:abstractNum>
  <w:abstractNum w:abstractNumId="46">
    <w:nsid w:val="64F67EE2"/>
    <w:multiLevelType w:val="multilevel"/>
    <w:tmpl w:val="ECF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6474B0"/>
    <w:multiLevelType w:val="multilevel"/>
    <w:tmpl w:val="C630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8723C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9">
    <w:nsid w:val="692D3C9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nsid w:val="7C6874A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2">
    <w:nsid w:val="7E2A6636"/>
    <w:multiLevelType w:val="hybridMultilevel"/>
    <w:tmpl w:val="01045E9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3">
    <w:nsid w:val="7E3D2CCD"/>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3"/>
  </w:num>
  <w:num w:numId="2">
    <w:abstractNumId w:val="24"/>
  </w:num>
  <w:num w:numId="3">
    <w:abstractNumId w:val="35"/>
  </w:num>
  <w:num w:numId="4">
    <w:abstractNumId w:val="48"/>
  </w:num>
  <w:num w:numId="5">
    <w:abstractNumId w:val="36"/>
  </w:num>
  <w:num w:numId="6">
    <w:abstractNumId w:val="11"/>
  </w:num>
  <w:num w:numId="7">
    <w:abstractNumId w:val="51"/>
  </w:num>
  <w:num w:numId="8">
    <w:abstractNumId w:val="31"/>
  </w:num>
  <w:num w:numId="9">
    <w:abstractNumId w:val="27"/>
  </w:num>
  <w:num w:numId="10">
    <w:abstractNumId w:val="37"/>
  </w:num>
  <w:num w:numId="11">
    <w:abstractNumId w:val="45"/>
  </w:num>
  <w:num w:numId="12">
    <w:abstractNumId w:val="39"/>
  </w:num>
  <w:num w:numId="13">
    <w:abstractNumId w:val="50"/>
  </w:num>
  <w:num w:numId="14">
    <w:abstractNumId w:val="14"/>
  </w:num>
  <w:num w:numId="15">
    <w:abstractNumId w:val="17"/>
  </w:num>
  <w:num w:numId="16">
    <w:abstractNumId w:val="53"/>
  </w:num>
  <w:num w:numId="17">
    <w:abstractNumId w:val="49"/>
  </w:num>
  <w:num w:numId="18">
    <w:abstractNumId w:val="3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0"/>
    <w:lvlOverride w:ilvl="0">
      <w:lvl w:ilvl="0">
        <w:numFmt w:val="bullet"/>
        <w:lvlText w:val="•"/>
        <w:legacy w:legacy="1" w:legacySpace="0" w:legacyIndent="0"/>
        <w:lvlJc w:val="left"/>
        <w:rPr>
          <w:rFonts w:ascii="Helv" w:hAnsi="Helv" w:hint="default"/>
        </w:rPr>
      </w:lvl>
    </w:lvlOverride>
  </w:num>
  <w:num w:numId="30">
    <w:abstractNumId w:val="42"/>
  </w:num>
  <w:num w:numId="31">
    <w:abstractNumId w:val="25"/>
  </w:num>
  <w:num w:numId="32">
    <w:abstractNumId w:val="46"/>
  </w:num>
  <w:num w:numId="33">
    <w:abstractNumId w:val="34"/>
  </w:num>
  <w:num w:numId="34">
    <w:abstractNumId w:val="38"/>
  </w:num>
  <w:num w:numId="35">
    <w:abstractNumId w:val="47"/>
  </w:num>
  <w:num w:numId="36">
    <w:abstractNumId w:val="23"/>
  </w:num>
  <w:num w:numId="37">
    <w:abstractNumId w:val="18"/>
  </w:num>
  <w:num w:numId="38">
    <w:abstractNumId w:val="15"/>
  </w:num>
  <w:num w:numId="39">
    <w:abstractNumId w:val="32"/>
  </w:num>
  <w:num w:numId="40">
    <w:abstractNumId w:val="43"/>
  </w:num>
  <w:num w:numId="41">
    <w:abstractNumId w:val="30"/>
  </w:num>
  <w:num w:numId="42">
    <w:abstractNumId w:val="28"/>
  </w:num>
  <w:num w:numId="43">
    <w:abstractNumId w:val="29"/>
  </w:num>
  <w:num w:numId="44">
    <w:abstractNumId w:val="21"/>
  </w:num>
  <w:num w:numId="45">
    <w:abstractNumId w:val="16"/>
  </w:num>
  <w:num w:numId="46">
    <w:abstractNumId w:val="44"/>
  </w:num>
  <w:num w:numId="47">
    <w:abstractNumId w:val="26"/>
  </w:num>
  <w:num w:numId="48">
    <w:abstractNumId w:val="20"/>
  </w:num>
  <w:num w:numId="49">
    <w:abstractNumId w:val="22"/>
  </w:num>
  <w:num w:numId="50">
    <w:abstractNumId w:val="19"/>
  </w:num>
  <w:num w:numId="51">
    <w:abstractNumId w:val="40"/>
  </w:num>
  <w:num w:numId="52">
    <w:abstractNumId w:val="52"/>
  </w:num>
  <w:num w:numId="53">
    <w:abstractNumId w:val="12"/>
  </w:num>
  <w:num w:numId="54">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2B"/>
    <w:rsid w:val="00002694"/>
    <w:rsid w:val="00002F64"/>
    <w:rsid w:val="00006ED5"/>
    <w:rsid w:val="0001135F"/>
    <w:rsid w:val="00012732"/>
    <w:rsid w:val="00014BD5"/>
    <w:rsid w:val="000207D8"/>
    <w:rsid w:val="00022735"/>
    <w:rsid w:val="00022DD2"/>
    <w:rsid w:val="00022E6F"/>
    <w:rsid w:val="00022F29"/>
    <w:rsid w:val="00023A34"/>
    <w:rsid w:val="00024089"/>
    <w:rsid w:val="0002607B"/>
    <w:rsid w:val="0002701C"/>
    <w:rsid w:val="00031248"/>
    <w:rsid w:val="000372C8"/>
    <w:rsid w:val="000429D7"/>
    <w:rsid w:val="000430DD"/>
    <w:rsid w:val="0004349F"/>
    <w:rsid w:val="00044F32"/>
    <w:rsid w:val="000476DA"/>
    <w:rsid w:val="0005097B"/>
    <w:rsid w:val="00050E04"/>
    <w:rsid w:val="0005193A"/>
    <w:rsid w:val="00051FB0"/>
    <w:rsid w:val="00055669"/>
    <w:rsid w:val="00061C23"/>
    <w:rsid w:val="000632DF"/>
    <w:rsid w:val="0006330E"/>
    <w:rsid w:val="00063698"/>
    <w:rsid w:val="00064615"/>
    <w:rsid w:val="000646F9"/>
    <w:rsid w:val="000654CC"/>
    <w:rsid w:val="00070824"/>
    <w:rsid w:val="00071C83"/>
    <w:rsid w:val="0007480D"/>
    <w:rsid w:val="00074B03"/>
    <w:rsid w:val="00080090"/>
    <w:rsid w:val="00080B11"/>
    <w:rsid w:val="00080BFB"/>
    <w:rsid w:val="000844B1"/>
    <w:rsid w:val="0008751C"/>
    <w:rsid w:val="00090472"/>
    <w:rsid w:val="00094D57"/>
    <w:rsid w:val="000A4B93"/>
    <w:rsid w:val="000B1B36"/>
    <w:rsid w:val="000B2B9A"/>
    <w:rsid w:val="000C42F0"/>
    <w:rsid w:val="000C6691"/>
    <w:rsid w:val="000D05A5"/>
    <w:rsid w:val="000D0993"/>
    <w:rsid w:val="000D2540"/>
    <w:rsid w:val="000D7913"/>
    <w:rsid w:val="000E0B9D"/>
    <w:rsid w:val="000E4790"/>
    <w:rsid w:val="000F4751"/>
    <w:rsid w:val="000F55FF"/>
    <w:rsid w:val="00100051"/>
    <w:rsid w:val="001000F1"/>
    <w:rsid w:val="00103B4A"/>
    <w:rsid w:val="001105EF"/>
    <w:rsid w:val="00110C89"/>
    <w:rsid w:val="00110D51"/>
    <w:rsid w:val="00112682"/>
    <w:rsid w:val="00113D9E"/>
    <w:rsid w:val="0011629A"/>
    <w:rsid w:val="001166C6"/>
    <w:rsid w:val="00116832"/>
    <w:rsid w:val="001226E9"/>
    <w:rsid w:val="001266CA"/>
    <w:rsid w:val="001272B8"/>
    <w:rsid w:val="00132EF3"/>
    <w:rsid w:val="001342DA"/>
    <w:rsid w:val="00141290"/>
    <w:rsid w:val="00143990"/>
    <w:rsid w:val="00147080"/>
    <w:rsid w:val="00147A23"/>
    <w:rsid w:val="00151084"/>
    <w:rsid w:val="0015114E"/>
    <w:rsid w:val="001527FA"/>
    <w:rsid w:val="00153A9D"/>
    <w:rsid w:val="001549DA"/>
    <w:rsid w:val="00154F9D"/>
    <w:rsid w:val="0016080C"/>
    <w:rsid w:val="001614E4"/>
    <w:rsid w:val="001642AF"/>
    <w:rsid w:val="00164F87"/>
    <w:rsid w:val="0017443D"/>
    <w:rsid w:val="00180CCD"/>
    <w:rsid w:val="001818F9"/>
    <w:rsid w:val="00184C69"/>
    <w:rsid w:val="00185471"/>
    <w:rsid w:val="001863A4"/>
    <w:rsid w:val="00190F45"/>
    <w:rsid w:val="001961BA"/>
    <w:rsid w:val="00196E16"/>
    <w:rsid w:val="001971A0"/>
    <w:rsid w:val="00197302"/>
    <w:rsid w:val="001A2E11"/>
    <w:rsid w:val="001A3609"/>
    <w:rsid w:val="001A648F"/>
    <w:rsid w:val="001B5403"/>
    <w:rsid w:val="001B67F3"/>
    <w:rsid w:val="001C0174"/>
    <w:rsid w:val="001C486B"/>
    <w:rsid w:val="001C6218"/>
    <w:rsid w:val="001D0690"/>
    <w:rsid w:val="001D1404"/>
    <w:rsid w:val="001D2CDF"/>
    <w:rsid w:val="001E1D12"/>
    <w:rsid w:val="001E1EE3"/>
    <w:rsid w:val="001E52D0"/>
    <w:rsid w:val="001F6A2E"/>
    <w:rsid w:val="00201333"/>
    <w:rsid w:val="00203113"/>
    <w:rsid w:val="002050F8"/>
    <w:rsid w:val="00205BB4"/>
    <w:rsid w:val="00207D71"/>
    <w:rsid w:val="00213DA2"/>
    <w:rsid w:val="002141AB"/>
    <w:rsid w:val="00217390"/>
    <w:rsid w:val="00221254"/>
    <w:rsid w:val="0022165F"/>
    <w:rsid w:val="00231B21"/>
    <w:rsid w:val="00232832"/>
    <w:rsid w:val="00232B62"/>
    <w:rsid w:val="00241B06"/>
    <w:rsid w:val="00242636"/>
    <w:rsid w:val="002429C4"/>
    <w:rsid w:val="0024692A"/>
    <w:rsid w:val="002477D2"/>
    <w:rsid w:val="00255315"/>
    <w:rsid w:val="0025612B"/>
    <w:rsid w:val="00270A7F"/>
    <w:rsid w:val="002712F1"/>
    <w:rsid w:val="00271F24"/>
    <w:rsid w:val="00271FD3"/>
    <w:rsid w:val="00272C41"/>
    <w:rsid w:val="00272F17"/>
    <w:rsid w:val="00275335"/>
    <w:rsid w:val="00276EB9"/>
    <w:rsid w:val="00280CC3"/>
    <w:rsid w:val="00282F22"/>
    <w:rsid w:val="00283564"/>
    <w:rsid w:val="00286EC6"/>
    <w:rsid w:val="0029175C"/>
    <w:rsid w:val="00296E07"/>
    <w:rsid w:val="002972F1"/>
    <w:rsid w:val="002A0236"/>
    <w:rsid w:val="002A08B1"/>
    <w:rsid w:val="002A3E79"/>
    <w:rsid w:val="002A6C27"/>
    <w:rsid w:val="002A784D"/>
    <w:rsid w:val="002B3447"/>
    <w:rsid w:val="002B36EF"/>
    <w:rsid w:val="002B417B"/>
    <w:rsid w:val="002B7842"/>
    <w:rsid w:val="002C3565"/>
    <w:rsid w:val="002C744C"/>
    <w:rsid w:val="002D6A99"/>
    <w:rsid w:val="002E0B11"/>
    <w:rsid w:val="002E29B1"/>
    <w:rsid w:val="002E3748"/>
    <w:rsid w:val="002E4330"/>
    <w:rsid w:val="002E5FEB"/>
    <w:rsid w:val="002F60FB"/>
    <w:rsid w:val="003030AF"/>
    <w:rsid w:val="003046AE"/>
    <w:rsid w:val="00312722"/>
    <w:rsid w:val="00312915"/>
    <w:rsid w:val="0031739D"/>
    <w:rsid w:val="00317824"/>
    <w:rsid w:val="00326279"/>
    <w:rsid w:val="003262A0"/>
    <w:rsid w:val="00335EDF"/>
    <w:rsid w:val="00337070"/>
    <w:rsid w:val="00344F1D"/>
    <w:rsid w:val="00345CD6"/>
    <w:rsid w:val="00350D8A"/>
    <w:rsid w:val="00352DCD"/>
    <w:rsid w:val="00353BA4"/>
    <w:rsid w:val="00356106"/>
    <w:rsid w:val="00357959"/>
    <w:rsid w:val="00361944"/>
    <w:rsid w:val="003708B6"/>
    <w:rsid w:val="00372222"/>
    <w:rsid w:val="00376F1E"/>
    <w:rsid w:val="00382451"/>
    <w:rsid w:val="003827D7"/>
    <w:rsid w:val="0038312F"/>
    <w:rsid w:val="0038416E"/>
    <w:rsid w:val="00386932"/>
    <w:rsid w:val="00386F52"/>
    <w:rsid w:val="003876AD"/>
    <w:rsid w:val="00394323"/>
    <w:rsid w:val="003944B2"/>
    <w:rsid w:val="003A0978"/>
    <w:rsid w:val="003A13B2"/>
    <w:rsid w:val="003A21AE"/>
    <w:rsid w:val="003A4815"/>
    <w:rsid w:val="003A69BC"/>
    <w:rsid w:val="003B1F46"/>
    <w:rsid w:val="003B26CF"/>
    <w:rsid w:val="003B7C0D"/>
    <w:rsid w:val="003C45AE"/>
    <w:rsid w:val="003C75D9"/>
    <w:rsid w:val="003C772B"/>
    <w:rsid w:val="003E00BF"/>
    <w:rsid w:val="003E5C11"/>
    <w:rsid w:val="003E70A6"/>
    <w:rsid w:val="003F4067"/>
    <w:rsid w:val="003F5BF5"/>
    <w:rsid w:val="00401BD8"/>
    <w:rsid w:val="00402903"/>
    <w:rsid w:val="004033DA"/>
    <w:rsid w:val="004051DE"/>
    <w:rsid w:val="00407249"/>
    <w:rsid w:val="00410DB3"/>
    <w:rsid w:val="00412E0C"/>
    <w:rsid w:val="00413A17"/>
    <w:rsid w:val="00415D14"/>
    <w:rsid w:val="00416922"/>
    <w:rsid w:val="00423B7F"/>
    <w:rsid w:val="0042710A"/>
    <w:rsid w:val="004274CE"/>
    <w:rsid w:val="00427A45"/>
    <w:rsid w:val="00427FAE"/>
    <w:rsid w:val="0043199C"/>
    <w:rsid w:val="0043624F"/>
    <w:rsid w:val="004364E5"/>
    <w:rsid w:val="00436636"/>
    <w:rsid w:val="00436914"/>
    <w:rsid w:val="004411BC"/>
    <w:rsid w:val="00441E69"/>
    <w:rsid w:val="00442C7D"/>
    <w:rsid w:val="00445085"/>
    <w:rsid w:val="00446A43"/>
    <w:rsid w:val="00450B5B"/>
    <w:rsid w:val="00452998"/>
    <w:rsid w:val="00452B08"/>
    <w:rsid w:val="00453503"/>
    <w:rsid w:val="00454F75"/>
    <w:rsid w:val="00457654"/>
    <w:rsid w:val="004603CA"/>
    <w:rsid w:val="00461C7D"/>
    <w:rsid w:val="004634C6"/>
    <w:rsid w:val="00477C43"/>
    <w:rsid w:val="00482551"/>
    <w:rsid w:val="00484DD4"/>
    <w:rsid w:val="00484F13"/>
    <w:rsid w:val="004867B1"/>
    <w:rsid w:val="00487CF4"/>
    <w:rsid w:val="00492ED6"/>
    <w:rsid w:val="004A0498"/>
    <w:rsid w:val="004A07E2"/>
    <w:rsid w:val="004A1215"/>
    <w:rsid w:val="004A296B"/>
    <w:rsid w:val="004A4075"/>
    <w:rsid w:val="004A4ED0"/>
    <w:rsid w:val="004B0E20"/>
    <w:rsid w:val="004B1138"/>
    <w:rsid w:val="004B28D4"/>
    <w:rsid w:val="004B3294"/>
    <w:rsid w:val="004B4742"/>
    <w:rsid w:val="004B4F6C"/>
    <w:rsid w:val="004C169C"/>
    <w:rsid w:val="004C1DFA"/>
    <w:rsid w:val="004C287A"/>
    <w:rsid w:val="004C2B15"/>
    <w:rsid w:val="004C3437"/>
    <w:rsid w:val="004D1116"/>
    <w:rsid w:val="004D41A8"/>
    <w:rsid w:val="004D7F20"/>
    <w:rsid w:val="004E0634"/>
    <w:rsid w:val="004E14A0"/>
    <w:rsid w:val="004E357C"/>
    <w:rsid w:val="004E3638"/>
    <w:rsid w:val="004E6E24"/>
    <w:rsid w:val="004F2FEB"/>
    <w:rsid w:val="004F4E9F"/>
    <w:rsid w:val="004F51C0"/>
    <w:rsid w:val="004F54C4"/>
    <w:rsid w:val="00504729"/>
    <w:rsid w:val="00511FCB"/>
    <w:rsid w:val="00511FD7"/>
    <w:rsid w:val="00516560"/>
    <w:rsid w:val="0052263A"/>
    <w:rsid w:val="00525402"/>
    <w:rsid w:val="00525D62"/>
    <w:rsid w:val="00533575"/>
    <w:rsid w:val="0053446E"/>
    <w:rsid w:val="00540381"/>
    <w:rsid w:val="005420BA"/>
    <w:rsid w:val="00546608"/>
    <w:rsid w:val="00551D2C"/>
    <w:rsid w:val="005526F8"/>
    <w:rsid w:val="005541FC"/>
    <w:rsid w:val="00557080"/>
    <w:rsid w:val="005654EA"/>
    <w:rsid w:val="00573295"/>
    <w:rsid w:val="005830E1"/>
    <w:rsid w:val="00587A72"/>
    <w:rsid w:val="005921CA"/>
    <w:rsid w:val="0059396A"/>
    <w:rsid w:val="0059481B"/>
    <w:rsid w:val="0059511C"/>
    <w:rsid w:val="00595A72"/>
    <w:rsid w:val="00596739"/>
    <w:rsid w:val="005A0633"/>
    <w:rsid w:val="005A454D"/>
    <w:rsid w:val="005A512C"/>
    <w:rsid w:val="005A67BD"/>
    <w:rsid w:val="005B05AF"/>
    <w:rsid w:val="005B1DE1"/>
    <w:rsid w:val="005B21C4"/>
    <w:rsid w:val="005B3868"/>
    <w:rsid w:val="005B4354"/>
    <w:rsid w:val="005B5A75"/>
    <w:rsid w:val="005C0BD4"/>
    <w:rsid w:val="005C0DA3"/>
    <w:rsid w:val="005C1182"/>
    <w:rsid w:val="005C1292"/>
    <w:rsid w:val="005C47A5"/>
    <w:rsid w:val="005C72BB"/>
    <w:rsid w:val="005D022B"/>
    <w:rsid w:val="005D1071"/>
    <w:rsid w:val="005D3ACE"/>
    <w:rsid w:val="005D4DFB"/>
    <w:rsid w:val="005D58EB"/>
    <w:rsid w:val="005E0063"/>
    <w:rsid w:val="005E1070"/>
    <w:rsid w:val="005E3A56"/>
    <w:rsid w:val="005E4D0A"/>
    <w:rsid w:val="005E69E2"/>
    <w:rsid w:val="005E73BC"/>
    <w:rsid w:val="00603F0C"/>
    <w:rsid w:val="00605E38"/>
    <w:rsid w:val="00614ABE"/>
    <w:rsid w:val="00620A10"/>
    <w:rsid w:val="006238E9"/>
    <w:rsid w:val="00626B20"/>
    <w:rsid w:val="006329AD"/>
    <w:rsid w:val="006357B1"/>
    <w:rsid w:val="00636ADD"/>
    <w:rsid w:val="00641CB5"/>
    <w:rsid w:val="006424FC"/>
    <w:rsid w:val="00652FB3"/>
    <w:rsid w:val="00653361"/>
    <w:rsid w:val="0065368F"/>
    <w:rsid w:val="0066206E"/>
    <w:rsid w:val="006624AA"/>
    <w:rsid w:val="00663095"/>
    <w:rsid w:val="00665A45"/>
    <w:rsid w:val="0067062C"/>
    <w:rsid w:val="00672A9A"/>
    <w:rsid w:val="0067762D"/>
    <w:rsid w:val="00692583"/>
    <w:rsid w:val="006960C8"/>
    <w:rsid w:val="00697593"/>
    <w:rsid w:val="006A2EA7"/>
    <w:rsid w:val="006A3E4A"/>
    <w:rsid w:val="006A4434"/>
    <w:rsid w:val="006A44A7"/>
    <w:rsid w:val="006A6892"/>
    <w:rsid w:val="006A72C5"/>
    <w:rsid w:val="006B0569"/>
    <w:rsid w:val="006B4440"/>
    <w:rsid w:val="006C2CB8"/>
    <w:rsid w:val="006C7E2C"/>
    <w:rsid w:val="006E43F2"/>
    <w:rsid w:val="006E61F6"/>
    <w:rsid w:val="006E6B0A"/>
    <w:rsid w:val="006E7F34"/>
    <w:rsid w:val="006F43D0"/>
    <w:rsid w:val="006F45C2"/>
    <w:rsid w:val="006F53DD"/>
    <w:rsid w:val="006F79E9"/>
    <w:rsid w:val="007018FA"/>
    <w:rsid w:val="00703628"/>
    <w:rsid w:val="007040B6"/>
    <w:rsid w:val="00714023"/>
    <w:rsid w:val="00716BEE"/>
    <w:rsid w:val="00717EE7"/>
    <w:rsid w:val="007200EA"/>
    <w:rsid w:val="0072141C"/>
    <w:rsid w:val="00721E3D"/>
    <w:rsid w:val="0072367E"/>
    <w:rsid w:val="00723C9B"/>
    <w:rsid w:val="007252E3"/>
    <w:rsid w:val="0072612C"/>
    <w:rsid w:val="00726141"/>
    <w:rsid w:val="0073224B"/>
    <w:rsid w:val="0073795B"/>
    <w:rsid w:val="00740168"/>
    <w:rsid w:val="00743BA1"/>
    <w:rsid w:val="0075132C"/>
    <w:rsid w:val="00751B35"/>
    <w:rsid w:val="00753B91"/>
    <w:rsid w:val="007543AA"/>
    <w:rsid w:val="007575C0"/>
    <w:rsid w:val="00757A17"/>
    <w:rsid w:val="00760161"/>
    <w:rsid w:val="00760ECC"/>
    <w:rsid w:val="00764FDE"/>
    <w:rsid w:val="0076585C"/>
    <w:rsid w:val="00774F66"/>
    <w:rsid w:val="007761AF"/>
    <w:rsid w:val="00782711"/>
    <w:rsid w:val="00783A0C"/>
    <w:rsid w:val="00786079"/>
    <w:rsid w:val="00791FA8"/>
    <w:rsid w:val="00793B7E"/>
    <w:rsid w:val="0079445F"/>
    <w:rsid w:val="0079561B"/>
    <w:rsid w:val="007962DE"/>
    <w:rsid w:val="007975E4"/>
    <w:rsid w:val="007A690C"/>
    <w:rsid w:val="007A7760"/>
    <w:rsid w:val="007B1C31"/>
    <w:rsid w:val="007B39F1"/>
    <w:rsid w:val="007B47F9"/>
    <w:rsid w:val="007B4FD1"/>
    <w:rsid w:val="007C01C0"/>
    <w:rsid w:val="007C3FA5"/>
    <w:rsid w:val="007C556B"/>
    <w:rsid w:val="007C5E2B"/>
    <w:rsid w:val="007C5F07"/>
    <w:rsid w:val="007C6B35"/>
    <w:rsid w:val="007D2A6D"/>
    <w:rsid w:val="007D2CE7"/>
    <w:rsid w:val="007D34C7"/>
    <w:rsid w:val="007D40B8"/>
    <w:rsid w:val="007D52DB"/>
    <w:rsid w:val="007D602E"/>
    <w:rsid w:val="007D7174"/>
    <w:rsid w:val="007E1AA7"/>
    <w:rsid w:val="007E758C"/>
    <w:rsid w:val="007F46FD"/>
    <w:rsid w:val="007F5667"/>
    <w:rsid w:val="007F5767"/>
    <w:rsid w:val="007F6792"/>
    <w:rsid w:val="00803BB0"/>
    <w:rsid w:val="00811E77"/>
    <w:rsid w:val="00816153"/>
    <w:rsid w:val="008165D9"/>
    <w:rsid w:val="00817190"/>
    <w:rsid w:val="0082393A"/>
    <w:rsid w:val="008245AA"/>
    <w:rsid w:val="0082758F"/>
    <w:rsid w:val="00827B03"/>
    <w:rsid w:val="008358F4"/>
    <w:rsid w:val="00837C52"/>
    <w:rsid w:val="00854745"/>
    <w:rsid w:val="00857093"/>
    <w:rsid w:val="00861501"/>
    <w:rsid w:val="0086374C"/>
    <w:rsid w:val="008642CD"/>
    <w:rsid w:val="008710FA"/>
    <w:rsid w:val="00876386"/>
    <w:rsid w:val="008764C7"/>
    <w:rsid w:val="00882386"/>
    <w:rsid w:val="0088457D"/>
    <w:rsid w:val="00890D32"/>
    <w:rsid w:val="00893413"/>
    <w:rsid w:val="00894FA7"/>
    <w:rsid w:val="00895678"/>
    <w:rsid w:val="008A16C5"/>
    <w:rsid w:val="008A4C17"/>
    <w:rsid w:val="008A6ED3"/>
    <w:rsid w:val="008A6FD0"/>
    <w:rsid w:val="008B310A"/>
    <w:rsid w:val="008B7A8F"/>
    <w:rsid w:val="008C0D5F"/>
    <w:rsid w:val="008C57BC"/>
    <w:rsid w:val="008C6ECB"/>
    <w:rsid w:val="008D0A8C"/>
    <w:rsid w:val="008D109B"/>
    <w:rsid w:val="008D132A"/>
    <w:rsid w:val="008D30D9"/>
    <w:rsid w:val="008F0128"/>
    <w:rsid w:val="008F177E"/>
    <w:rsid w:val="008F753E"/>
    <w:rsid w:val="00901D9B"/>
    <w:rsid w:val="00906DFF"/>
    <w:rsid w:val="00912FA7"/>
    <w:rsid w:val="009170F4"/>
    <w:rsid w:val="00920F45"/>
    <w:rsid w:val="009219B6"/>
    <w:rsid w:val="00921DBD"/>
    <w:rsid w:val="00921DC2"/>
    <w:rsid w:val="00924179"/>
    <w:rsid w:val="00924513"/>
    <w:rsid w:val="00925EB9"/>
    <w:rsid w:val="00930808"/>
    <w:rsid w:val="00933301"/>
    <w:rsid w:val="00937187"/>
    <w:rsid w:val="00940270"/>
    <w:rsid w:val="00941E4C"/>
    <w:rsid w:val="00943631"/>
    <w:rsid w:val="00946577"/>
    <w:rsid w:val="00954ACE"/>
    <w:rsid w:val="00956614"/>
    <w:rsid w:val="00956B50"/>
    <w:rsid w:val="0095733E"/>
    <w:rsid w:val="00957E21"/>
    <w:rsid w:val="0096302A"/>
    <w:rsid w:val="00965230"/>
    <w:rsid w:val="0096666C"/>
    <w:rsid w:val="0096778E"/>
    <w:rsid w:val="0097093D"/>
    <w:rsid w:val="0097167E"/>
    <w:rsid w:val="00975ED5"/>
    <w:rsid w:val="009772FC"/>
    <w:rsid w:val="009825FB"/>
    <w:rsid w:val="009830AA"/>
    <w:rsid w:val="0098366E"/>
    <w:rsid w:val="00986CA7"/>
    <w:rsid w:val="00993A5D"/>
    <w:rsid w:val="00996DF2"/>
    <w:rsid w:val="009A08B0"/>
    <w:rsid w:val="009A1B1E"/>
    <w:rsid w:val="009A318F"/>
    <w:rsid w:val="009B3C9C"/>
    <w:rsid w:val="009B3F7C"/>
    <w:rsid w:val="009B6285"/>
    <w:rsid w:val="009B7C7A"/>
    <w:rsid w:val="009C1BFE"/>
    <w:rsid w:val="009C2260"/>
    <w:rsid w:val="009D31C9"/>
    <w:rsid w:val="009D559F"/>
    <w:rsid w:val="009D793B"/>
    <w:rsid w:val="009E3BEA"/>
    <w:rsid w:val="009E4E4F"/>
    <w:rsid w:val="009E7783"/>
    <w:rsid w:val="009F0057"/>
    <w:rsid w:val="009F4DB0"/>
    <w:rsid w:val="009F5F64"/>
    <w:rsid w:val="009F610A"/>
    <w:rsid w:val="009F6756"/>
    <w:rsid w:val="00A06A09"/>
    <w:rsid w:val="00A073D9"/>
    <w:rsid w:val="00A074F0"/>
    <w:rsid w:val="00A075A2"/>
    <w:rsid w:val="00A07E32"/>
    <w:rsid w:val="00A1287D"/>
    <w:rsid w:val="00A155A6"/>
    <w:rsid w:val="00A20AAD"/>
    <w:rsid w:val="00A20E22"/>
    <w:rsid w:val="00A21DE5"/>
    <w:rsid w:val="00A22E90"/>
    <w:rsid w:val="00A3169C"/>
    <w:rsid w:val="00A31869"/>
    <w:rsid w:val="00A36008"/>
    <w:rsid w:val="00A36DCB"/>
    <w:rsid w:val="00A43324"/>
    <w:rsid w:val="00A46189"/>
    <w:rsid w:val="00A4736B"/>
    <w:rsid w:val="00A476D7"/>
    <w:rsid w:val="00A478EB"/>
    <w:rsid w:val="00A47A91"/>
    <w:rsid w:val="00A5086C"/>
    <w:rsid w:val="00A51EA1"/>
    <w:rsid w:val="00A66192"/>
    <w:rsid w:val="00A700C7"/>
    <w:rsid w:val="00A73300"/>
    <w:rsid w:val="00A74132"/>
    <w:rsid w:val="00A75E77"/>
    <w:rsid w:val="00A763C6"/>
    <w:rsid w:val="00A8791A"/>
    <w:rsid w:val="00A93694"/>
    <w:rsid w:val="00A93703"/>
    <w:rsid w:val="00A962D8"/>
    <w:rsid w:val="00AA1163"/>
    <w:rsid w:val="00AA3365"/>
    <w:rsid w:val="00AA4D29"/>
    <w:rsid w:val="00AA6139"/>
    <w:rsid w:val="00AB0C57"/>
    <w:rsid w:val="00AB15BE"/>
    <w:rsid w:val="00AB35EB"/>
    <w:rsid w:val="00AB3874"/>
    <w:rsid w:val="00AB5639"/>
    <w:rsid w:val="00AC0BC9"/>
    <w:rsid w:val="00AC2DB3"/>
    <w:rsid w:val="00AC4B58"/>
    <w:rsid w:val="00AE5CC1"/>
    <w:rsid w:val="00AF1620"/>
    <w:rsid w:val="00B02184"/>
    <w:rsid w:val="00B04457"/>
    <w:rsid w:val="00B123CD"/>
    <w:rsid w:val="00B13D44"/>
    <w:rsid w:val="00B16974"/>
    <w:rsid w:val="00B20B08"/>
    <w:rsid w:val="00B22002"/>
    <w:rsid w:val="00B23FAF"/>
    <w:rsid w:val="00B307BC"/>
    <w:rsid w:val="00B31BF9"/>
    <w:rsid w:val="00B338AF"/>
    <w:rsid w:val="00B45219"/>
    <w:rsid w:val="00B47561"/>
    <w:rsid w:val="00B53986"/>
    <w:rsid w:val="00B61C32"/>
    <w:rsid w:val="00B62B43"/>
    <w:rsid w:val="00B64143"/>
    <w:rsid w:val="00B676C3"/>
    <w:rsid w:val="00B70588"/>
    <w:rsid w:val="00B7120A"/>
    <w:rsid w:val="00B71A56"/>
    <w:rsid w:val="00B73629"/>
    <w:rsid w:val="00B75AF0"/>
    <w:rsid w:val="00B7638C"/>
    <w:rsid w:val="00B76430"/>
    <w:rsid w:val="00B77546"/>
    <w:rsid w:val="00B80220"/>
    <w:rsid w:val="00B80AB7"/>
    <w:rsid w:val="00B81BC9"/>
    <w:rsid w:val="00B820D4"/>
    <w:rsid w:val="00B82375"/>
    <w:rsid w:val="00B83165"/>
    <w:rsid w:val="00B846D6"/>
    <w:rsid w:val="00B91319"/>
    <w:rsid w:val="00B921BF"/>
    <w:rsid w:val="00B93F86"/>
    <w:rsid w:val="00B95BC4"/>
    <w:rsid w:val="00BA203A"/>
    <w:rsid w:val="00BA5392"/>
    <w:rsid w:val="00BA71C7"/>
    <w:rsid w:val="00BB427F"/>
    <w:rsid w:val="00BB7735"/>
    <w:rsid w:val="00BC772D"/>
    <w:rsid w:val="00BD38B1"/>
    <w:rsid w:val="00BD51FB"/>
    <w:rsid w:val="00BD5C1C"/>
    <w:rsid w:val="00BE0F29"/>
    <w:rsid w:val="00BE151F"/>
    <w:rsid w:val="00BE55AD"/>
    <w:rsid w:val="00BF20D6"/>
    <w:rsid w:val="00BF599D"/>
    <w:rsid w:val="00BF762C"/>
    <w:rsid w:val="00C03285"/>
    <w:rsid w:val="00C0760C"/>
    <w:rsid w:val="00C178BE"/>
    <w:rsid w:val="00C219D7"/>
    <w:rsid w:val="00C23CCD"/>
    <w:rsid w:val="00C26D3C"/>
    <w:rsid w:val="00C324C4"/>
    <w:rsid w:val="00C34EB3"/>
    <w:rsid w:val="00C40BF7"/>
    <w:rsid w:val="00C40C95"/>
    <w:rsid w:val="00C416EA"/>
    <w:rsid w:val="00C41E9B"/>
    <w:rsid w:val="00C41FD5"/>
    <w:rsid w:val="00C47A9B"/>
    <w:rsid w:val="00C517CD"/>
    <w:rsid w:val="00C51A53"/>
    <w:rsid w:val="00C5362D"/>
    <w:rsid w:val="00C56B20"/>
    <w:rsid w:val="00C5753E"/>
    <w:rsid w:val="00C61B44"/>
    <w:rsid w:val="00C736C5"/>
    <w:rsid w:val="00C84466"/>
    <w:rsid w:val="00C86BFC"/>
    <w:rsid w:val="00CA0231"/>
    <w:rsid w:val="00CA08BA"/>
    <w:rsid w:val="00CA0986"/>
    <w:rsid w:val="00CA2699"/>
    <w:rsid w:val="00CA3386"/>
    <w:rsid w:val="00CA6B5C"/>
    <w:rsid w:val="00CB1925"/>
    <w:rsid w:val="00CC0414"/>
    <w:rsid w:val="00CC4441"/>
    <w:rsid w:val="00CD1109"/>
    <w:rsid w:val="00CD671C"/>
    <w:rsid w:val="00CE042B"/>
    <w:rsid w:val="00CE0CC0"/>
    <w:rsid w:val="00CE3015"/>
    <w:rsid w:val="00CE6979"/>
    <w:rsid w:val="00CF5802"/>
    <w:rsid w:val="00CF71AD"/>
    <w:rsid w:val="00D06BFA"/>
    <w:rsid w:val="00D1392C"/>
    <w:rsid w:val="00D14DC7"/>
    <w:rsid w:val="00D2497B"/>
    <w:rsid w:val="00D25264"/>
    <w:rsid w:val="00D25AF1"/>
    <w:rsid w:val="00D25E9A"/>
    <w:rsid w:val="00D3098B"/>
    <w:rsid w:val="00D37FBA"/>
    <w:rsid w:val="00D438A1"/>
    <w:rsid w:val="00D44362"/>
    <w:rsid w:val="00D5251D"/>
    <w:rsid w:val="00D56111"/>
    <w:rsid w:val="00D615B3"/>
    <w:rsid w:val="00D61BAE"/>
    <w:rsid w:val="00D61CA3"/>
    <w:rsid w:val="00D63A5B"/>
    <w:rsid w:val="00D72F7F"/>
    <w:rsid w:val="00D766FE"/>
    <w:rsid w:val="00D809C5"/>
    <w:rsid w:val="00D8535B"/>
    <w:rsid w:val="00D87B03"/>
    <w:rsid w:val="00D90276"/>
    <w:rsid w:val="00D90D94"/>
    <w:rsid w:val="00D92664"/>
    <w:rsid w:val="00D94419"/>
    <w:rsid w:val="00DA2C52"/>
    <w:rsid w:val="00DA3F79"/>
    <w:rsid w:val="00DA61A1"/>
    <w:rsid w:val="00DA73C2"/>
    <w:rsid w:val="00DB0196"/>
    <w:rsid w:val="00DB5456"/>
    <w:rsid w:val="00DB6E1D"/>
    <w:rsid w:val="00DB744D"/>
    <w:rsid w:val="00DC5777"/>
    <w:rsid w:val="00DC7494"/>
    <w:rsid w:val="00DD07A9"/>
    <w:rsid w:val="00DD19B4"/>
    <w:rsid w:val="00DE697E"/>
    <w:rsid w:val="00DE7166"/>
    <w:rsid w:val="00DE7925"/>
    <w:rsid w:val="00DE7E57"/>
    <w:rsid w:val="00DF175D"/>
    <w:rsid w:val="00DF2300"/>
    <w:rsid w:val="00DF46D5"/>
    <w:rsid w:val="00DF55D0"/>
    <w:rsid w:val="00DF6972"/>
    <w:rsid w:val="00E0416B"/>
    <w:rsid w:val="00E052D4"/>
    <w:rsid w:val="00E10639"/>
    <w:rsid w:val="00E1109E"/>
    <w:rsid w:val="00E12E29"/>
    <w:rsid w:val="00E13D87"/>
    <w:rsid w:val="00E14824"/>
    <w:rsid w:val="00E168D9"/>
    <w:rsid w:val="00E17C9B"/>
    <w:rsid w:val="00E2150B"/>
    <w:rsid w:val="00E21B8E"/>
    <w:rsid w:val="00E235BA"/>
    <w:rsid w:val="00E26A6E"/>
    <w:rsid w:val="00E2708C"/>
    <w:rsid w:val="00E31A5C"/>
    <w:rsid w:val="00E32C4B"/>
    <w:rsid w:val="00E35728"/>
    <w:rsid w:val="00E45287"/>
    <w:rsid w:val="00E47577"/>
    <w:rsid w:val="00E54BBE"/>
    <w:rsid w:val="00E56A6A"/>
    <w:rsid w:val="00E57385"/>
    <w:rsid w:val="00E60497"/>
    <w:rsid w:val="00E62B1A"/>
    <w:rsid w:val="00E63BBA"/>
    <w:rsid w:val="00E70AAC"/>
    <w:rsid w:val="00E70BA4"/>
    <w:rsid w:val="00E72377"/>
    <w:rsid w:val="00E73C46"/>
    <w:rsid w:val="00E740C5"/>
    <w:rsid w:val="00E75518"/>
    <w:rsid w:val="00E7762A"/>
    <w:rsid w:val="00E77942"/>
    <w:rsid w:val="00E822D9"/>
    <w:rsid w:val="00E905AD"/>
    <w:rsid w:val="00E91408"/>
    <w:rsid w:val="00E9500E"/>
    <w:rsid w:val="00E954C7"/>
    <w:rsid w:val="00E965F6"/>
    <w:rsid w:val="00E9772E"/>
    <w:rsid w:val="00EA47EB"/>
    <w:rsid w:val="00EA50BC"/>
    <w:rsid w:val="00EA70C6"/>
    <w:rsid w:val="00EB2308"/>
    <w:rsid w:val="00EC39C0"/>
    <w:rsid w:val="00ED2544"/>
    <w:rsid w:val="00EE6B46"/>
    <w:rsid w:val="00EF1FFF"/>
    <w:rsid w:val="00EF326C"/>
    <w:rsid w:val="00EF63E5"/>
    <w:rsid w:val="00F06F9E"/>
    <w:rsid w:val="00F10E5B"/>
    <w:rsid w:val="00F11B9D"/>
    <w:rsid w:val="00F1401F"/>
    <w:rsid w:val="00F14DB7"/>
    <w:rsid w:val="00F1562E"/>
    <w:rsid w:val="00F16EE7"/>
    <w:rsid w:val="00F22127"/>
    <w:rsid w:val="00F22709"/>
    <w:rsid w:val="00F2599F"/>
    <w:rsid w:val="00F32036"/>
    <w:rsid w:val="00F33707"/>
    <w:rsid w:val="00F338FF"/>
    <w:rsid w:val="00F35A25"/>
    <w:rsid w:val="00F41963"/>
    <w:rsid w:val="00F42B8E"/>
    <w:rsid w:val="00F45663"/>
    <w:rsid w:val="00F45CAF"/>
    <w:rsid w:val="00F45F54"/>
    <w:rsid w:val="00F50E8B"/>
    <w:rsid w:val="00F516A5"/>
    <w:rsid w:val="00F53E6F"/>
    <w:rsid w:val="00F5492B"/>
    <w:rsid w:val="00F55A14"/>
    <w:rsid w:val="00F612F3"/>
    <w:rsid w:val="00F622B5"/>
    <w:rsid w:val="00F646AB"/>
    <w:rsid w:val="00F6485C"/>
    <w:rsid w:val="00F65987"/>
    <w:rsid w:val="00F7337A"/>
    <w:rsid w:val="00F76367"/>
    <w:rsid w:val="00F843BC"/>
    <w:rsid w:val="00F84DBE"/>
    <w:rsid w:val="00F86677"/>
    <w:rsid w:val="00F9436D"/>
    <w:rsid w:val="00F95AAF"/>
    <w:rsid w:val="00F96C26"/>
    <w:rsid w:val="00FA0144"/>
    <w:rsid w:val="00FA4F37"/>
    <w:rsid w:val="00FA6C63"/>
    <w:rsid w:val="00FB6B70"/>
    <w:rsid w:val="00FC4D5A"/>
    <w:rsid w:val="00FC5355"/>
    <w:rsid w:val="00FD00E9"/>
    <w:rsid w:val="00FD335C"/>
    <w:rsid w:val="00FD387C"/>
    <w:rsid w:val="00FE0F9E"/>
    <w:rsid w:val="00FE3316"/>
    <w:rsid w:val="00FE696D"/>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1359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pPr>
        <w:spacing w:after="80"/>
      </w:pPr>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9B3F7C"/>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styleId="Heading1">
    <w:name w:val="heading 1"/>
    <w:basedOn w:val="Normal"/>
    <w:next w:val="Normal"/>
    <w:link w:val="Heading1Char"/>
    <w:autoRedefine/>
    <w:uiPriority w:val="99"/>
    <w:qFormat/>
    <w:rsid w:val="006A3E4A"/>
    <w:pPr>
      <w:tabs>
        <w:tab w:val="right" w:pos="9073"/>
      </w:tabs>
      <w:spacing w:after="120"/>
      <w:jc w:val="left"/>
      <w:outlineLvl w:val="0"/>
    </w:pPr>
    <w:rPr>
      <w:b/>
      <w:sz w:val="30"/>
      <w:u w:val="single"/>
    </w:rPr>
  </w:style>
  <w:style w:type="paragraph" w:styleId="Heading2">
    <w:name w:val="heading 2"/>
    <w:basedOn w:val="Normal"/>
    <w:next w:val="Normal"/>
    <w:link w:val="Heading2Char"/>
    <w:autoRedefine/>
    <w:uiPriority w:val="99"/>
    <w:qFormat/>
    <w:rsid w:val="00CA6B5C"/>
    <w:pPr>
      <w:keepNext/>
      <w:keepLines/>
      <w:outlineLvl w:val="1"/>
    </w:pPr>
    <w:rPr>
      <w:b/>
      <w:bCs/>
      <w:szCs w:val="26"/>
      <w:u w:val="single"/>
    </w:rPr>
  </w:style>
  <w:style w:type="paragraph" w:styleId="Heading3">
    <w:name w:val="heading 3"/>
    <w:basedOn w:val="Normal"/>
    <w:next w:val="Normal"/>
    <w:link w:val="Heading3Char"/>
    <w:autoRedefine/>
    <w:uiPriority w:val="99"/>
    <w:qFormat/>
    <w:rsid w:val="009B3F7C"/>
    <w:pPr>
      <w:keepNext/>
      <w:keepLines/>
      <w:outlineLvl w:val="2"/>
    </w:pPr>
    <w:rPr>
      <w:rFonts w:eastAsia="MS Mincho"/>
      <w:u w:val="single"/>
    </w:rPr>
  </w:style>
  <w:style w:type="paragraph" w:styleId="Heading4">
    <w:name w:val="heading 4"/>
    <w:basedOn w:val="Heading3"/>
    <w:next w:val="Normal"/>
    <w:link w:val="Heading4Char"/>
    <w:uiPriority w:val="99"/>
    <w:qFormat/>
    <w:rsid w:val="009B6285"/>
    <w:pPr>
      <w:outlineLvl w:val="3"/>
    </w:pPr>
    <w:rPr>
      <w:i/>
      <w:u w:val="none"/>
    </w:rPr>
  </w:style>
  <w:style w:type="paragraph" w:styleId="Heading5">
    <w:name w:val="heading 5"/>
    <w:basedOn w:val="Normal"/>
    <w:next w:val="Normal"/>
    <w:link w:val="Heading5Char"/>
    <w:uiPriority w:val="99"/>
    <w:qFormat/>
    <w:rsid w:val="006A3E4A"/>
    <w:pPr>
      <w:outlineLvl w:val="4"/>
    </w:pPr>
    <w:rPr>
      <w:rFonts w:eastAsia="MS Mincho"/>
      <w:b/>
      <w:i/>
    </w:rPr>
  </w:style>
  <w:style w:type="paragraph" w:styleId="Heading6">
    <w:name w:val="heading 6"/>
    <w:basedOn w:val="Normal"/>
    <w:next w:val="Normal"/>
    <w:link w:val="Heading6Char"/>
    <w:uiPriority w:val="9"/>
    <w:qFormat/>
    <w:rsid w:val="006A3E4A"/>
    <w:pPr>
      <w:keepNext/>
      <w:keepLines/>
      <w:spacing w:before="240" w:after="120"/>
      <w:ind w:left="1701" w:hanging="1701"/>
      <w:outlineLvl w:val="5"/>
    </w:pPr>
    <w:rPr>
      <w:rFonts w:ascii="Calibri" w:hAnsi="Calibri"/>
      <w:b/>
      <w:bCs/>
      <w:sz w:val="20"/>
      <w:szCs w:val="20"/>
    </w:rPr>
  </w:style>
  <w:style w:type="paragraph" w:styleId="Heading7">
    <w:name w:val="heading 7"/>
    <w:basedOn w:val="Normal"/>
    <w:next w:val="Normal"/>
    <w:link w:val="Heading7Char"/>
    <w:uiPriority w:val="9"/>
    <w:qFormat/>
    <w:rsid w:val="006A3E4A"/>
    <w:pPr>
      <w:keepNext/>
      <w:keepLines/>
      <w:spacing w:before="240" w:after="120"/>
      <w:ind w:left="1701" w:hanging="1701"/>
      <w:outlineLvl w:val="6"/>
    </w:pPr>
    <w:rPr>
      <w:rFonts w:ascii="Calibri" w:hAnsi="Calibri"/>
    </w:rPr>
  </w:style>
  <w:style w:type="paragraph" w:styleId="Heading8">
    <w:name w:val="heading 8"/>
    <w:basedOn w:val="Normal"/>
    <w:link w:val="Heading8Char"/>
    <w:uiPriority w:val="9"/>
    <w:qFormat/>
    <w:rsid w:val="006A3E4A"/>
    <w:pPr>
      <w:ind w:left="720"/>
      <w:outlineLvl w:val="7"/>
    </w:pPr>
    <w:rPr>
      <w:rFonts w:ascii="Calibri" w:hAnsi="Calibri"/>
      <w:i/>
      <w:iCs/>
    </w:rPr>
  </w:style>
  <w:style w:type="paragraph" w:styleId="Heading9">
    <w:name w:val="heading 9"/>
    <w:basedOn w:val="Normal"/>
    <w:next w:val="Normal"/>
    <w:link w:val="Heading9Char"/>
    <w:uiPriority w:val="9"/>
    <w:qFormat/>
    <w:rsid w:val="006A3E4A"/>
    <w:pPr>
      <w:ind w:left="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E4A"/>
    <w:rPr>
      <w:b/>
      <w:sz w:val="30"/>
      <w:szCs w:val="24"/>
      <w:u w:val="single"/>
    </w:rPr>
  </w:style>
  <w:style w:type="character" w:customStyle="1" w:styleId="Heading2Char">
    <w:name w:val="Heading 2 Char"/>
    <w:basedOn w:val="DefaultParagraphFont"/>
    <w:link w:val="Heading2"/>
    <w:uiPriority w:val="99"/>
    <w:rsid w:val="00CA6B5C"/>
    <w:rPr>
      <w:b/>
      <w:bCs/>
      <w:sz w:val="24"/>
      <w:szCs w:val="26"/>
      <w:u w:val="single"/>
      <w:lang w:val="en-GB"/>
    </w:rPr>
  </w:style>
  <w:style w:type="character" w:customStyle="1" w:styleId="Heading3Char">
    <w:name w:val="Heading 3 Char"/>
    <w:basedOn w:val="DefaultParagraphFont"/>
    <w:link w:val="Heading3"/>
    <w:uiPriority w:val="99"/>
    <w:rsid w:val="009B3F7C"/>
    <w:rPr>
      <w:rFonts w:eastAsia="MS Mincho"/>
      <w:sz w:val="24"/>
      <w:szCs w:val="24"/>
      <w:u w:val="single"/>
    </w:rPr>
  </w:style>
  <w:style w:type="character" w:customStyle="1" w:styleId="Heading4Char">
    <w:name w:val="Heading 4 Char"/>
    <w:basedOn w:val="DefaultParagraphFont"/>
    <w:link w:val="Heading4"/>
    <w:uiPriority w:val="99"/>
    <w:rsid w:val="009B6285"/>
    <w:rPr>
      <w:rFonts w:eastAsia="MS Mincho"/>
      <w:i/>
      <w:sz w:val="23"/>
      <w:szCs w:val="23"/>
      <w:lang w:val="en-GB"/>
    </w:rPr>
  </w:style>
  <w:style w:type="character" w:customStyle="1" w:styleId="Heading5Char">
    <w:name w:val="Heading 5 Char"/>
    <w:basedOn w:val="DefaultParagraphFont"/>
    <w:link w:val="Heading5"/>
    <w:uiPriority w:val="99"/>
    <w:rsid w:val="006A3E4A"/>
    <w:rPr>
      <w:rFonts w:eastAsia="MS Mincho"/>
      <w:b/>
      <w:i/>
      <w:sz w:val="24"/>
      <w:szCs w:val="24"/>
      <w:lang w:val="en-GB"/>
    </w:rPr>
  </w:style>
  <w:style w:type="character" w:customStyle="1" w:styleId="Heading6Char">
    <w:name w:val="Heading 6 Char"/>
    <w:basedOn w:val="DefaultParagraphFont"/>
    <w:link w:val="Heading6"/>
    <w:uiPriority w:val="9"/>
    <w:rsid w:val="006A3E4A"/>
    <w:rPr>
      <w:rFonts w:ascii="Calibri" w:hAnsi="Calibri"/>
      <w:b/>
      <w:bCs/>
      <w:lang w:val="en-GB"/>
    </w:rPr>
  </w:style>
  <w:style w:type="character" w:customStyle="1" w:styleId="Heading7Char">
    <w:name w:val="Heading 7 Char"/>
    <w:basedOn w:val="DefaultParagraphFont"/>
    <w:link w:val="Heading7"/>
    <w:uiPriority w:val="9"/>
    <w:rsid w:val="006A3E4A"/>
    <w:rPr>
      <w:rFonts w:ascii="Calibri" w:hAnsi="Calibri"/>
      <w:sz w:val="24"/>
      <w:szCs w:val="24"/>
      <w:lang w:val="en-GB"/>
    </w:rPr>
  </w:style>
  <w:style w:type="character" w:customStyle="1" w:styleId="Heading8Char">
    <w:name w:val="Heading 8 Char"/>
    <w:basedOn w:val="DefaultParagraphFont"/>
    <w:link w:val="Heading8"/>
    <w:uiPriority w:val="9"/>
    <w:rsid w:val="006A3E4A"/>
    <w:rPr>
      <w:rFonts w:ascii="Calibri" w:hAnsi="Calibri"/>
      <w:i/>
      <w:iCs/>
      <w:sz w:val="24"/>
      <w:szCs w:val="24"/>
      <w:lang w:val="en-GB"/>
    </w:rPr>
  </w:style>
  <w:style w:type="character" w:customStyle="1" w:styleId="Heading9Char">
    <w:name w:val="Heading 9 Char"/>
    <w:basedOn w:val="DefaultParagraphFont"/>
    <w:link w:val="Heading9"/>
    <w:uiPriority w:val="9"/>
    <w:rsid w:val="006A3E4A"/>
    <w:rPr>
      <w:rFonts w:ascii="Cambria" w:hAnsi="Cambria"/>
      <w:lang w:val="en-GB"/>
    </w:rPr>
  </w:style>
  <w:style w:type="character" w:styleId="CommentReference">
    <w:name w:val="annotation reference"/>
    <w:basedOn w:val="DefaultParagraphFont"/>
    <w:uiPriority w:val="99"/>
    <w:rsid w:val="003944B2"/>
    <w:rPr>
      <w:rFonts w:cs="Times New Roman"/>
      <w:sz w:val="16"/>
    </w:rPr>
  </w:style>
  <w:style w:type="paragraph" w:styleId="CommentText">
    <w:name w:val="annotation text"/>
    <w:basedOn w:val="Normal"/>
    <w:link w:val="CommentTextChar"/>
    <w:uiPriority w:val="99"/>
    <w:rsid w:val="003944B2"/>
    <w:rPr>
      <w:sz w:val="20"/>
    </w:rPr>
  </w:style>
  <w:style w:type="character" w:customStyle="1" w:styleId="CommentTextChar">
    <w:name w:val="Comment Text Char"/>
    <w:basedOn w:val="DefaultParagraphFont"/>
    <w:link w:val="CommentText"/>
    <w:uiPriority w:val="99"/>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uiPriority w:val="99"/>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
    <w:basedOn w:val="Nottoc-headings0"/>
    <w:link w:val="TableChar"/>
    <w:autoRedefine/>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uiPriority w:val="99"/>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
    <w:basedOn w:val="DefaultParagraphFont"/>
    <w:link w:val="Table0"/>
    <w:locked/>
    <w:rsid w:val="0038416E"/>
    <w:rPr>
      <w:rFonts w:eastAsia="SimSun" w:cs="Arial"/>
      <w:b/>
      <w:bCs/>
      <w:sz w:val="24"/>
      <w:szCs w:val="24"/>
      <w:lang w:eastAsia="zh-CN"/>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6A3E4A"/>
    <w:pPr>
      <w:jc w:val="left"/>
      <w:outlineLvl w:val="1"/>
    </w:pPr>
    <w:rPr>
      <w:rFonts w:cs="Arial"/>
      <w:b/>
      <w:sz w:val="28"/>
    </w:rPr>
  </w:style>
  <w:style w:type="character" w:customStyle="1" w:styleId="SubtitleChar">
    <w:name w:val="Subtitle Char"/>
    <w:basedOn w:val="DefaultParagraphFont"/>
    <w:link w:val="Subtitle"/>
    <w:uiPriority w:val="99"/>
    <w:rsid w:val="006A3E4A"/>
    <w:rPr>
      <w:rFonts w:cs="Arial"/>
      <w:b/>
      <w:sz w:val="28"/>
      <w:szCs w:val="24"/>
    </w:rPr>
  </w:style>
  <w:style w:type="paragraph" w:styleId="Title">
    <w:name w:val="Title"/>
    <w:basedOn w:val="Normal"/>
    <w:link w:val="TitleChar"/>
    <w:autoRedefine/>
    <w:uiPriority w:val="99"/>
    <w:qFormat/>
    <w:rsid w:val="006A3E4A"/>
    <w:pPr>
      <w:jc w:val="left"/>
      <w:outlineLvl w:val="0"/>
    </w:pPr>
    <w:rPr>
      <w:rFonts w:cs="Arial"/>
      <w:b/>
      <w:bCs/>
      <w:kern w:val="28"/>
      <w:sz w:val="34"/>
      <w:szCs w:val="32"/>
    </w:rPr>
  </w:style>
  <w:style w:type="character" w:customStyle="1" w:styleId="TitleChar">
    <w:name w:val="Title Char"/>
    <w:basedOn w:val="DefaultParagraphFont"/>
    <w:link w:val="Title"/>
    <w:uiPriority w:val="99"/>
    <w:rsid w:val="006A3E4A"/>
    <w:rPr>
      <w:rFonts w:cs="Arial"/>
      <w:b/>
      <w:bCs/>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ind w:right="-29"/>
    </w:p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firstLine="0"/>
    </w:pPr>
    <w:rPr>
      <w:rFonts w:ascii="Arial" w:eastAsia="MS Mincho" w:hAnsi="Arial"/>
      <w:b/>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6A3E4A"/>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rPr>
      <w:b/>
    </w:rPr>
  </w:style>
  <w:style w:type="paragraph" w:customStyle="1" w:styleId="CM7">
    <w:name w:val="CM7"/>
    <w:basedOn w:val="Normal"/>
    <w:next w:val="Normal"/>
    <w:rsid w:val="00A36DCB"/>
    <w:pPr>
      <w:tabs>
        <w:tab w:val="clear" w:pos="-720"/>
        <w:tab w:val="clear" w:pos="0"/>
        <w:tab w:val="clear" w:pos="720"/>
        <w:tab w:val="clear" w:pos="1440"/>
        <w:tab w:val="clear" w:pos="2160"/>
        <w:tab w:val="clear" w:pos="2880"/>
        <w:tab w:val="clear" w:pos="3600"/>
        <w:tab w:val="clear" w:pos="4320"/>
      </w:tabs>
      <w:spacing w:line="278" w:lineRule="atLeast"/>
      <w:jc w:val="left"/>
    </w:pPr>
    <w:rPr>
      <w:rFonts w:cs="Angsana New"/>
      <w:b/>
      <w:lang w:bidi="th-TH"/>
    </w:rPr>
  </w:style>
  <w:style w:type="paragraph" w:customStyle="1" w:styleId="Figure0">
    <w:name w:val="Figure"/>
    <w:basedOn w:val="Normal"/>
    <w:link w:val="FigureChar"/>
    <w:autoRedefine/>
    <w:qFormat/>
    <w:rsid w:val="006A3E4A"/>
    <w:rPr>
      <w:b/>
      <w:lang w:val="pt-BR"/>
    </w:rPr>
  </w:style>
  <w:style w:type="paragraph" w:styleId="NoSpacing">
    <w:name w:val="No Spacing"/>
    <w:uiPriority w:val="1"/>
    <w:qFormat/>
    <w:rsid w:val="006A3E4A"/>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character" w:customStyle="1" w:styleId="FigureChar">
    <w:name w:val="Figure Char"/>
    <w:basedOn w:val="DefaultParagraphFont"/>
    <w:link w:val="Figure0"/>
    <w:rsid w:val="006A3E4A"/>
    <w:rPr>
      <w:b/>
      <w:sz w:val="24"/>
      <w:szCs w:val="24"/>
      <w:lang w:val="pt-BR"/>
    </w:rPr>
  </w:style>
  <w:style w:type="paragraph" w:customStyle="1" w:styleId="tabletitle0">
    <w:name w:val="table title"/>
    <w:basedOn w:val="Normal"/>
    <w:link w:val="tabletitleChar"/>
    <w:autoRedefine/>
    <w:qFormat/>
    <w:rsid w:val="00895678"/>
    <w:rPr>
      <w:rFonts w:ascii="Arial" w:eastAsia="MS Gothic" w:hAnsi="Arial" w:cs="Arial"/>
      <w:b/>
      <w:sz w:val="22"/>
      <w:szCs w:val="22"/>
      <w:lang w:val="en-US"/>
    </w:rPr>
  </w:style>
  <w:style w:type="paragraph" w:customStyle="1" w:styleId="tabledata">
    <w:name w:val="table data"/>
    <w:basedOn w:val="Normal"/>
    <w:link w:val="tabledataChar"/>
    <w:autoRedefine/>
    <w:qFormat/>
    <w:rsid w:val="000E4790"/>
    <w:pPr>
      <w:jc w:val="left"/>
    </w:pPr>
    <w:rPr>
      <w:rFonts w:ascii="Arial Narrow" w:hAnsi="Arial Narrow"/>
      <w:sz w:val="14"/>
      <w:szCs w:val="14"/>
    </w:rPr>
  </w:style>
  <w:style w:type="character" w:customStyle="1" w:styleId="tabletitleChar">
    <w:name w:val="table title Char"/>
    <w:basedOn w:val="DefaultParagraphFont"/>
    <w:link w:val="tabletitle0"/>
    <w:rsid w:val="00895678"/>
    <w:rPr>
      <w:rFonts w:ascii="Arial" w:eastAsia="MS Gothic" w:hAnsi="Arial" w:cs="Arial"/>
      <w:b/>
      <w:sz w:val="22"/>
      <w:szCs w:val="22"/>
      <w:lang w:val="en-US"/>
    </w:rPr>
  </w:style>
  <w:style w:type="character" w:styleId="Emphasis">
    <w:name w:val="Emphasis"/>
    <w:basedOn w:val="DefaultParagraphFont"/>
    <w:qFormat/>
    <w:locked/>
    <w:rsid w:val="00412E0C"/>
    <w:rPr>
      <w:i/>
      <w:iCs/>
    </w:rPr>
  </w:style>
  <w:style w:type="character" w:customStyle="1" w:styleId="tabledataChar">
    <w:name w:val="table data Char"/>
    <w:basedOn w:val="DefaultParagraphFont"/>
    <w:link w:val="tabledata"/>
    <w:rsid w:val="000E4790"/>
    <w:rPr>
      <w:rFonts w:ascii="Arial Narrow" w:hAnsi="Arial Narrow"/>
      <w:sz w:val="14"/>
      <w:szCs w:val="1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pPr>
        <w:spacing w:after="80"/>
      </w:pPr>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9B3F7C"/>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styleId="Heading1">
    <w:name w:val="heading 1"/>
    <w:basedOn w:val="Normal"/>
    <w:next w:val="Normal"/>
    <w:link w:val="Heading1Char"/>
    <w:autoRedefine/>
    <w:uiPriority w:val="99"/>
    <w:qFormat/>
    <w:rsid w:val="006A3E4A"/>
    <w:pPr>
      <w:tabs>
        <w:tab w:val="right" w:pos="9073"/>
      </w:tabs>
      <w:spacing w:after="120"/>
      <w:jc w:val="left"/>
      <w:outlineLvl w:val="0"/>
    </w:pPr>
    <w:rPr>
      <w:b/>
      <w:sz w:val="30"/>
      <w:u w:val="single"/>
    </w:rPr>
  </w:style>
  <w:style w:type="paragraph" w:styleId="Heading2">
    <w:name w:val="heading 2"/>
    <w:basedOn w:val="Normal"/>
    <w:next w:val="Normal"/>
    <w:link w:val="Heading2Char"/>
    <w:autoRedefine/>
    <w:uiPriority w:val="99"/>
    <w:qFormat/>
    <w:rsid w:val="00CA6B5C"/>
    <w:pPr>
      <w:keepNext/>
      <w:keepLines/>
      <w:outlineLvl w:val="1"/>
    </w:pPr>
    <w:rPr>
      <w:b/>
      <w:bCs/>
      <w:szCs w:val="26"/>
      <w:u w:val="single"/>
    </w:rPr>
  </w:style>
  <w:style w:type="paragraph" w:styleId="Heading3">
    <w:name w:val="heading 3"/>
    <w:basedOn w:val="Normal"/>
    <w:next w:val="Normal"/>
    <w:link w:val="Heading3Char"/>
    <w:autoRedefine/>
    <w:uiPriority w:val="99"/>
    <w:qFormat/>
    <w:rsid w:val="009B3F7C"/>
    <w:pPr>
      <w:keepNext/>
      <w:keepLines/>
      <w:outlineLvl w:val="2"/>
    </w:pPr>
    <w:rPr>
      <w:rFonts w:eastAsia="MS Mincho"/>
      <w:u w:val="single"/>
    </w:rPr>
  </w:style>
  <w:style w:type="paragraph" w:styleId="Heading4">
    <w:name w:val="heading 4"/>
    <w:basedOn w:val="Heading3"/>
    <w:next w:val="Normal"/>
    <w:link w:val="Heading4Char"/>
    <w:uiPriority w:val="99"/>
    <w:qFormat/>
    <w:rsid w:val="009B6285"/>
    <w:pPr>
      <w:outlineLvl w:val="3"/>
    </w:pPr>
    <w:rPr>
      <w:i/>
      <w:u w:val="none"/>
    </w:rPr>
  </w:style>
  <w:style w:type="paragraph" w:styleId="Heading5">
    <w:name w:val="heading 5"/>
    <w:basedOn w:val="Normal"/>
    <w:next w:val="Normal"/>
    <w:link w:val="Heading5Char"/>
    <w:uiPriority w:val="99"/>
    <w:qFormat/>
    <w:rsid w:val="006A3E4A"/>
    <w:pPr>
      <w:outlineLvl w:val="4"/>
    </w:pPr>
    <w:rPr>
      <w:rFonts w:eastAsia="MS Mincho"/>
      <w:b/>
      <w:i/>
    </w:rPr>
  </w:style>
  <w:style w:type="paragraph" w:styleId="Heading6">
    <w:name w:val="heading 6"/>
    <w:basedOn w:val="Normal"/>
    <w:next w:val="Normal"/>
    <w:link w:val="Heading6Char"/>
    <w:uiPriority w:val="9"/>
    <w:qFormat/>
    <w:rsid w:val="006A3E4A"/>
    <w:pPr>
      <w:keepNext/>
      <w:keepLines/>
      <w:spacing w:before="240" w:after="120"/>
      <w:ind w:left="1701" w:hanging="1701"/>
      <w:outlineLvl w:val="5"/>
    </w:pPr>
    <w:rPr>
      <w:rFonts w:ascii="Calibri" w:hAnsi="Calibri"/>
      <w:b/>
      <w:bCs/>
      <w:sz w:val="20"/>
      <w:szCs w:val="20"/>
    </w:rPr>
  </w:style>
  <w:style w:type="paragraph" w:styleId="Heading7">
    <w:name w:val="heading 7"/>
    <w:basedOn w:val="Normal"/>
    <w:next w:val="Normal"/>
    <w:link w:val="Heading7Char"/>
    <w:uiPriority w:val="9"/>
    <w:qFormat/>
    <w:rsid w:val="006A3E4A"/>
    <w:pPr>
      <w:keepNext/>
      <w:keepLines/>
      <w:spacing w:before="240" w:after="120"/>
      <w:ind w:left="1701" w:hanging="1701"/>
      <w:outlineLvl w:val="6"/>
    </w:pPr>
    <w:rPr>
      <w:rFonts w:ascii="Calibri" w:hAnsi="Calibri"/>
    </w:rPr>
  </w:style>
  <w:style w:type="paragraph" w:styleId="Heading8">
    <w:name w:val="heading 8"/>
    <w:basedOn w:val="Normal"/>
    <w:link w:val="Heading8Char"/>
    <w:uiPriority w:val="9"/>
    <w:qFormat/>
    <w:rsid w:val="006A3E4A"/>
    <w:pPr>
      <w:ind w:left="720"/>
      <w:outlineLvl w:val="7"/>
    </w:pPr>
    <w:rPr>
      <w:rFonts w:ascii="Calibri" w:hAnsi="Calibri"/>
      <w:i/>
      <w:iCs/>
    </w:rPr>
  </w:style>
  <w:style w:type="paragraph" w:styleId="Heading9">
    <w:name w:val="heading 9"/>
    <w:basedOn w:val="Normal"/>
    <w:next w:val="Normal"/>
    <w:link w:val="Heading9Char"/>
    <w:uiPriority w:val="9"/>
    <w:qFormat/>
    <w:rsid w:val="006A3E4A"/>
    <w:pPr>
      <w:ind w:left="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E4A"/>
    <w:rPr>
      <w:b/>
      <w:sz w:val="30"/>
      <w:szCs w:val="24"/>
      <w:u w:val="single"/>
    </w:rPr>
  </w:style>
  <w:style w:type="character" w:customStyle="1" w:styleId="Heading2Char">
    <w:name w:val="Heading 2 Char"/>
    <w:basedOn w:val="DefaultParagraphFont"/>
    <w:link w:val="Heading2"/>
    <w:uiPriority w:val="99"/>
    <w:rsid w:val="00CA6B5C"/>
    <w:rPr>
      <w:b/>
      <w:bCs/>
      <w:sz w:val="24"/>
      <w:szCs w:val="26"/>
      <w:u w:val="single"/>
      <w:lang w:val="en-GB"/>
    </w:rPr>
  </w:style>
  <w:style w:type="character" w:customStyle="1" w:styleId="Heading3Char">
    <w:name w:val="Heading 3 Char"/>
    <w:basedOn w:val="DefaultParagraphFont"/>
    <w:link w:val="Heading3"/>
    <w:uiPriority w:val="99"/>
    <w:rsid w:val="009B3F7C"/>
    <w:rPr>
      <w:rFonts w:eastAsia="MS Mincho"/>
      <w:sz w:val="24"/>
      <w:szCs w:val="24"/>
      <w:u w:val="single"/>
    </w:rPr>
  </w:style>
  <w:style w:type="character" w:customStyle="1" w:styleId="Heading4Char">
    <w:name w:val="Heading 4 Char"/>
    <w:basedOn w:val="DefaultParagraphFont"/>
    <w:link w:val="Heading4"/>
    <w:uiPriority w:val="99"/>
    <w:rsid w:val="009B6285"/>
    <w:rPr>
      <w:rFonts w:eastAsia="MS Mincho"/>
      <w:i/>
      <w:sz w:val="23"/>
      <w:szCs w:val="23"/>
      <w:lang w:val="en-GB"/>
    </w:rPr>
  </w:style>
  <w:style w:type="character" w:customStyle="1" w:styleId="Heading5Char">
    <w:name w:val="Heading 5 Char"/>
    <w:basedOn w:val="DefaultParagraphFont"/>
    <w:link w:val="Heading5"/>
    <w:uiPriority w:val="99"/>
    <w:rsid w:val="006A3E4A"/>
    <w:rPr>
      <w:rFonts w:eastAsia="MS Mincho"/>
      <w:b/>
      <w:i/>
      <w:sz w:val="24"/>
      <w:szCs w:val="24"/>
      <w:lang w:val="en-GB"/>
    </w:rPr>
  </w:style>
  <w:style w:type="character" w:customStyle="1" w:styleId="Heading6Char">
    <w:name w:val="Heading 6 Char"/>
    <w:basedOn w:val="DefaultParagraphFont"/>
    <w:link w:val="Heading6"/>
    <w:uiPriority w:val="9"/>
    <w:rsid w:val="006A3E4A"/>
    <w:rPr>
      <w:rFonts w:ascii="Calibri" w:hAnsi="Calibri"/>
      <w:b/>
      <w:bCs/>
      <w:lang w:val="en-GB"/>
    </w:rPr>
  </w:style>
  <w:style w:type="character" w:customStyle="1" w:styleId="Heading7Char">
    <w:name w:val="Heading 7 Char"/>
    <w:basedOn w:val="DefaultParagraphFont"/>
    <w:link w:val="Heading7"/>
    <w:uiPriority w:val="9"/>
    <w:rsid w:val="006A3E4A"/>
    <w:rPr>
      <w:rFonts w:ascii="Calibri" w:hAnsi="Calibri"/>
      <w:sz w:val="24"/>
      <w:szCs w:val="24"/>
      <w:lang w:val="en-GB"/>
    </w:rPr>
  </w:style>
  <w:style w:type="character" w:customStyle="1" w:styleId="Heading8Char">
    <w:name w:val="Heading 8 Char"/>
    <w:basedOn w:val="DefaultParagraphFont"/>
    <w:link w:val="Heading8"/>
    <w:uiPriority w:val="9"/>
    <w:rsid w:val="006A3E4A"/>
    <w:rPr>
      <w:rFonts w:ascii="Calibri" w:hAnsi="Calibri"/>
      <w:i/>
      <w:iCs/>
      <w:sz w:val="24"/>
      <w:szCs w:val="24"/>
      <w:lang w:val="en-GB"/>
    </w:rPr>
  </w:style>
  <w:style w:type="character" w:customStyle="1" w:styleId="Heading9Char">
    <w:name w:val="Heading 9 Char"/>
    <w:basedOn w:val="DefaultParagraphFont"/>
    <w:link w:val="Heading9"/>
    <w:uiPriority w:val="9"/>
    <w:rsid w:val="006A3E4A"/>
    <w:rPr>
      <w:rFonts w:ascii="Cambria" w:hAnsi="Cambria"/>
      <w:lang w:val="en-GB"/>
    </w:rPr>
  </w:style>
  <w:style w:type="character" w:styleId="CommentReference">
    <w:name w:val="annotation reference"/>
    <w:basedOn w:val="DefaultParagraphFont"/>
    <w:uiPriority w:val="99"/>
    <w:rsid w:val="003944B2"/>
    <w:rPr>
      <w:rFonts w:cs="Times New Roman"/>
      <w:sz w:val="16"/>
    </w:rPr>
  </w:style>
  <w:style w:type="paragraph" w:styleId="CommentText">
    <w:name w:val="annotation text"/>
    <w:basedOn w:val="Normal"/>
    <w:link w:val="CommentTextChar"/>
    <w:uiPriority w:val="99"/>
    <w:rsid w:val="003944B2"/>
    <w:rPr>
      <w:sz w:val="20"/>
    </w:rPr>
  </w:style>
  <w:style w:type="character" w:customStyle="1" w:styleId="CommentTextChar">
    <w:name w:val="Comment Text Char"/>
    <w:basedOn w:val="DefaultParagraphFont"/>
    <w:link w:val="CommentText"/>
    <w:uiPriority w:val="99"/>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uiPriority w:val="99"/>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
    <w:basedOn w:val="Nottoc-headings0"/>
    <w:link w:val="TableChar"/>
    <w:autoRedefine/>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uiPriority w:val="99"/>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
    <w:basedOn w:val="DefaultParagraphFont"/>
    <w:link w:val="Table0"/>
    <w:locked/>
    <w:rsid w:val="0038416E"/>
    <w:rPr>
      <w:rFonts w:eastAsia="SimSun" w:cs="Arial"/>
      <w:b/>
      <w:bCs/>
      <w:sz w:val="24"/>
      <w:szCs w:val="24"/>
      <w:lang w:eastAsia="zh-CN"/>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6A3E4A"/>
    <w:pPr>
      <w:jc w:val="left"/>
      <w:outlineLvl w:val="1"/>
    </w:pPr>
    <w:rPr>
      <w:rFonts w:cs="Arial"/>
      <w:b/>
      <w:sz w:val="28"/>
    </w:rPr>
  </w:style>
  <w:style w:type="character" w:customStyle="1" w:styleId="SubtitleChar">
    <w:name w:val="Subtitle Char"/>
    <w:basedOn w:val="DefaultParagraphFont"/>
    <w:link w:val="Subtitle"/>
    <w:uiPriority w:val="99"/>
    <w:rsid w:val="006A3E4A"/>
    <w:rPr>
      <w:rFonts w:cs="Arial"/>
      <w:b/>
      <w:sz w:val="28"/>
      <w:szCs w:val="24"/>
    </w:rPr>
  </w:style>
  <w:style w:type="paragraph" w:styleId="Title">
    <w:name w:val="Title"/>
    <w:basedOn w:val="Normal"/>
    <w:link w:val="TitleChar"/>
    <w:autoRedefine/>
    <w:uiPriority w:val="99"/>
    <w:qFormat/>
    <w:rsid w:val="006A3E4A"/>
    <w:pPr>
      <w:jc w:val="left"/>
      <w:outlineLvl w:val="0"/>
    </w:pPr>
    <w:rPr>
      <w:rFonts w:cs="Arial"/>
      <w:b/>
      <w:bCs/>
      <w:kern w:val="28"/>
      <w:sz w:val="34"/>
      <w:szCs w:val="32"/>
    </w:rPr>
  </w:style>
  <w:style w:type="character" w:customStyle="1" w:styleId="TitleChar">
    <w:name w:val="Title Char"/>
    <w:basedOn w:val="DefaultParagraphFont"/>
    <w:link w:val="Title"/>
    <w:uiPriority w:val="99"/>
    <w:rsid w:val="006A3E4A"/>
    <w:rPr>
      <w:rFonts w:cs="Arial"/>
      <w:b/>
      <w:bCs/>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ind w:right="-29"/>
    </w:p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firstLine="0"/>
    </w:pPr>
    <w:rPr>
      <w:rFonts w:ascii="Arial" w:eastAsia="MS Mincho" w:hAnsi="Arial"/>
      <w:b/>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6A3E4A"/>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rPr>
      <w:b/>
    </w:rPr>
  </w:style>
  <w:style w:type="paragraph" w:customStyle="1" w:styleId="CM7">
    <w:name w:val="CM7"/>
    <w:basedOn w:val="Normal"/>
    <w:next w:val="Normal"/>
    <w:rsid w:val="00A36DCB"/>
    <w:pPr>
      <w:tabs>
        <w:tab w:val="clear" w:pos="-720"/>
        <w:tab w:val="clear" w:pos="0"/>
        <w:tab w:val="clear" w:pos="720"/>
        <w:tab w:val="clear" w:pos="1440"/>
        <w:tab w:val="clear" w:pos="2160"/>
        <w:tab w:val="clear" w:pos="2880"/>
        <w:tab w:val="clear" w:pos="3600"/>
        <w:tab w:val="clear" w:pos="4320"/>
      </w:tabs>
      <w:spacing w:line="278" w:lineRule="atLeast"/>
      <w:jc w:val="left"/>
    </w:pPr>
    <w:rPr>
      <w:rFonts w:cs="Angsana New"/>
      <w:b/>
      <w:lang w:bidi="th-TH"/>
    </w:rPr>
  </w:style>
  <w:style w:type="paragraph" w:customStyle="1" w:styleId="Figure0">
    <w:name w:val="Figure"/>
    <w:basedOn w:val="Normal"/>
    <w:link w:val="FigureChar"/>
    <w:autoRedefine/>
    <w:qFormat/>
    <w:rsid w:val="006A3E4A"/>
    <w:rPr>
      <w:b/>
      <w:lang w:val="pt-BR"/>
    </w:rPr>
  </w:style>
  <w:style w:type="paragraph" w:styleId="NoSpacing">
    <w:name w:val="No Spacing"/>
    <w:uiPriority w:val="1"/>
    <w:qFormat/>
    <w:rsid w:val="006A3E4A"/>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character" w:customStyle="1" w:styleId="FigureChar">
    <w:name w:val="Figure Char"/>
    <w:basedOn w:val="DefaultParagraphFont"/>
    <w:link w:val="Figure0"/>
    <w:rsid w:val="006A3E4A"/>
    <w:rPr>
      <w:b/>
      <w:sz w:val="24"/>
      <w:szCs w:val="24"/>
      <w:lang w:val="pt-BR"/>
    </w:rPr>
  </w:style>
  <w:style w:type="paragraph" w:customStyle="1" w:styleId="tabletitle0">
    <w:name w:val="table title"/>
    <w:basedOn w:val="Normal"/>
    <w:link w:val="tabletitleChar"/>
    <w:autoRedefine/>
    <w:qFormat/>
    <w:rsid w:val="00895678"/>
    <w:rPr>
      <w:rFonts w:ascii="Arial" w:eastAsia="MS Gothic" w:hAnsi="Arial" w:cs="Arial"/>
      <w:b/>
      <w:sz w:val="22"/>
      <w:szCs w:val="22"/>
      <w:lang w:val="en-US"/>
    </w:rPr>
  </w:style>
  <w:style w:type="paragraph" w:customStyle="1" w:styleId="tabledata">
    <w:name w:val="table data"/>
    <w:basedOn w:val="Normal"/>
    <w:link w:val="tabledataChar"/>
    <w:autoRedefine/>
    <w:qFormat/>
    <w:rsid w:val="000E4790"/>
    <w:pPr>
      <w:jc w:val="left"/>
    </w:pPr>
    <w:rPr>
      <w:rFonts w:ascii="Arial Narrow" w:hAnsi="Arial Narrow"/>
      <w:sz w:val="14"/>
      <w:szCs w:val="14"/>
    </w:rPr>
  </w:style>
  <w:style w:type="character" w:customStyle="1" w:styleId="tabletitleChar">
    <w:name w:val="table title Char"/>
    <w:basedOn w:val="DefaultParagraphFont"/>
    <w:link w:val="tabletitle0"/>
    <w:rsid w:val="00895678"/>
    <w:rPr>
      <w:rFonts w:ascii="Arial" w:eastAsia="MS Gothic" w:hAnsi="Arial" w:cs="Arial"/>
      <w:b/>
      <w:sz w:val="22"/>
      <w:szCs w:val="22"/>
      <w:lang w:val="en-US"/>
    </w:rPr>
  </w:style>
  <w:style w:type="character" w:styleId="Emphasis">
    <w:name w:val="Emphasis"/>
    <w:basedOn w:val="DefaultParagraphFont"/>
    <w:qFormat/>
    <w:locked/>
    <w:rsid w:val="00412E0C"/>
    <w:rPr>
      <w:i/>
      <w:iCs/>
    </w:rPr>
  </w:style>
  <w:style w:type="character" w:customStyle="1" w:styleId="tabledataChar">
    <w:name w:val="table data Char"/>
    <w:basedOn w:val="DefaultParagraphFont"/>
    <w:link w:val="tabledata"/>
    <w:rsid w:val="000E4790"/>
    <w:rPr>
      <w:rFonts w:ascii="Arial Narrow" w:hAnsi="Arial Narrow"/>
      <w:sz w:val="14"/>
      <w:szCs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3952">
      <w:bodyDiv w:val="1"/>
      <w:marLeft w:val="0"/>
      <w:marRight w:val="0"/>
      <w:marTop w:val="0"/>
      <w:marBottom w:val="0"/>
      <w:divBdr>
        <w:top w:val="none" w:sz="0" w:space="0" w:color="auto"/>
        <w:left w:val="none" w:sz="0" w:space="0" w:color="auto"/>
        <w:bottom w:val="none" w:sz="0" w:space="0" w:color="auto"/>
        <w:right w:val="none" w:sz="0" w:space="0" w:color="auto"/>
      </w:divBdr>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3506">
      <w:bodyDiv w:val="1"/>
      <w:marLeft w:val="0"/>
      <w:marRight w:val="0"/>
      <w:marTop w:val="0"/>
      <w:marBottom w:val="0"/>
      <w:divBdr>
        <w:top w:val="none" w:sz="0" w:space="0" w:color="auto"/>
        <w:left w:val="none" w:sz="0" w:space="0" w:color="auto"/>
        <w:bottom w:val="none" w:sz="0" w:space="0" w:color="auto"/>
        <w:right w:val="none" w:sz="0" w:space="0" w:color="auto"/>
      </w:divBdr>
    </w:div>
    <w:div w:id="1499081277">
      <w:bodyDiv w:val="1"/>
      <w:marLeft w:val="0"/>
      <w:marRight w:val="0"/>
      <w:marTop w:val="0"/>
      <w:marBottom w:val="0"/>
      <w:divBdr>
        <w:top w:val="none" w:sz="0" w:space="0" w:color="auto"/>
        <w:left w:val="none" w:sz="0" w:space="0" w:color="auto"/>
        <w:bottom w:val="none" w:sz="0" w:space="0" w:color="auto"/>
        <w:right w:val="none" w:sz="0" w:space="0" w:color="auto"/>
      </w:divBdr>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956">
      <w:bodyDiv w:val="1"/>
      <w:marLeft w:val="0"/>
      <w:marRight w:val="0"/>
      <w:marTop w:val="0"/>
      <w:marBottom w:val="0"/>
      <w:divBdr>
        <w:top w:val="none" w:sz="0" w:space="0" w:color="auto"/>
        <w:left w:val="none" w:sz="0" w:space="0" w:color="auto"/>
        <w:bottom w:val="none" w:sz="0" w:space="0" w:color="auto"/>
        <w:right w:val="none" w:sz="0" w:space="0" w:color="auto"/>
      </w:divBdr>
      <w:divsChild>
        <w:div w:id="1800538072">
          <w:marLeft w:val="0"/>
          <w:marRight w:val="0"/>
          <w:marTop w:val="0"/>
          <w:marBottom w:val="0"/>
          <w:divBdr>
            <w:top w:val="none" w:sz="0" w:space="0" w:color="auto"/>
            <w:left w:val="none" w:sz="0" w:space="0" w:color="auto"/>
            <w:bottom w:val="none" w:sz="0" w:space="0" w:color="auto"/>
            <w:right w:val="none" w:sz="0" w:space="0" w:color="auto"/>
          </w:divBdr>
          <w:divsChild>
            <w:div w:id="2102600933">
              <w:marLeft w:val="0"/>
              <w:marRight w:val="0"/>
              <w:marTop w:val="0"/>
              <w:marBottom w:val="0"/>
              <w:divBdr>
                <w:top w:val="none" w:sz="0" w:space="0" w:color="auto"/>
                <w:left w:val="none" w:sz="0" w:space="0" w:color="auto"/>
                <w:bottom w:val="none" w:sz="0" w:space="0" w:color="auto"/>
                <w:right w:val="none" w:sz="0" w:space="0" w:color="auto"/>
              </w:divBdr>
              <w:divsChild>
                <w:div w:id="943076509">
                  <w:marLeft w:val="0"/>
                  <w:marRight w:val="0"/>
                  <w:marTop w:val="0"/>
                  <w:marBottom w:val="0"/>
                  <w:divBdr>
                    <w:top w:val="none" w:sz="0" w:space="0" w:color="auto"/>
                    <w:left w:val="none" w:sz="0" w:space="0" w:color="auto"/>
                    <w:bottom w:val="none" w:sz="0" w:space="0" w:color="auto"/>
                    <w:right w:val="none" w:sz="0" w:space="0" w:color="auto"/>
                  </w:divBdr>
                  <w:divsChild>
                    <w:div w:id="1749575959">
                      <w:marLeft w:val="0"/>
                      <w:marRight w:val="0"/>
                      <w:marTop w:val="0"/>
                      <w:marBottom w:val="0"/>
                      <w:divBdr>
                        <w:top w:val="none" w:sz="0" w:space="0" w:color="auto"/>
                        <w:left w:val="none" w:sz="0" w:space="0" w:color="auto"/>
                        <w:bottom w:val="none" w:sz="0" w:space="0" w:color="auto"/>
                        <w:right w:val="none" w:sz="0" w:space="0" w:color="auto"/>
                      </w:divBdr>
                      <w:divsChild>
                        <w:div w:id="2024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1275">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218">
      <w:bodyDiv w:val="1"/>
      <w:marLeft w:val="0"/>
      <w:marRight w:val="0"/>
      <w:marTop w:val="0"/>
      <w:marBottom w:val="0"/>
      <w:divBdr>
        <w:top w:val="none" w:sz="0" w:space="0" w:color="auto"/>
        <w:left w:val="none" w:sz="0" w:space="0" w:color="auto"/>
        <w:bottom w:val="none" w:sz="0" w:space="0" w:color="auto"/>
        <w:right w:val="none" w:sz="0" w:space="0" w:color="auto"/>
      </w:divBdr>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791">
      <w:bodyDiv w:val="1"/>
      <w:marLeft w:val="0"/>
      <w:marRight w:val="0"/>
      <w:marTop w:val="0"/>
      <w:marBottom w:val="0"/>
      <w:divBdr>
        <w:top w:val="none" w:sz="0" w:space="0" w:color="auto"/>
        <w:left w:val="none" w:sz="0" w:space="0" w:color="auto"/>
        <w:bottom w:val="none" w:sz="0" w:space="0" w:color="auto"/>
        <w:right w:val="none" w:sz="0" w:space="0" w:color="auto"/>
      </w:divBdr>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47567F0551F4D89536B0F0DC67798" ma:contentTypeVersion="1" ma:contentTypeDescription="Create a new document." ma:contentTypeScope="" ma:versionID="890cbc47ffc4defe920d2fdc1f6864f4">
  <xsd:schema xmlns:xsd="http://www.w3.org/2001/XMLSchema" xmlns:p="http://schemas.microsoft.com/office/2006/metadata/properties" targetNamespace="http://schemas.microsoft.com/office/2006/metadata/properties" ma:root="true" ma:fieldsID="11589d61fa8cf58cae57f152df7fde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B3C9-BACD-4D1A-94FE-3A64A94F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C437FC-57E0-40AD-8243-DF420A79E889}">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3A3A724-B21E-4E7A-9BD7-31EAE3D490CC}">
  <ds:schemaRefs>
    <ds:schemaRef ds:uri="http://schemas.microsoft.com/sharepoint/v3/contenttype/forms"/>
  </ds:schemaRefs>
</ds:datastoreItem>
</file>

<file path=customXml/itemProps4.xml><?xml version="1.0" encoding="utf-8"?>
<ds:datastoreItem xmlns:ds="http://schemas.openxmlformats.org/officeDocument/2006/customXml" ds:itemID="{4FA06841-59E7-4AD7-8B72-CDE58F54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5207</Words>
  <Characters>28899</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AusPAR Attachment 1: Product Information for Cosentyx (secukinumab (rch))</vt:lpstr>
    </vt:vector>
  </TitlesOfParts>
  <Company>Novartis</Company>
  <LinksUpToDate>false</LinksUpToDate>
  <CharactersWithSpaces>34038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Cosentyx (secukinumab (rch))</dc:title>
  <dc:subject>prescription medicines</dc:subject>
  <dc:creator>Novartis Pharmaceuticals Australia Pty Ltd</dc:creator>
  <cp:keywords>AusPARs</cp:keywords>
  <cp:lastModifiedBy>Sheppard, Fran</cp:lastModifiedBy>
  <cp:revision>5</cp:revision>
  <cp:lastPrinted>2013-10-30T00:06:00Z</cp:lastPrinted>
  <dcterms:created xsi:type="dcterms:W3CDTF">2015-09-16T04:37:00Z</dcterms:created>
  <dcterms:modified xsi:type="dcterms:W3CDTF">2015-10-21T05:14:00Z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0x01010062F47567F0551F4D89536B0F0DC67798</vt:lpwstr>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_ReviewingToolsShownOnce">
    <vt:lpwstr/>
  </property>
</Properties>
</file>