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9015" w14:textId="625AD875" w:rsidR="000329BE" w:rsidRDefault="004032BD" w:rsidP="00AF46A0">
      <w:pPr>
        <w:pStyle w:val="Heading1"/>
        <w:numPr>
          <w:ilvl w:val="0"/>
          <w:numId w:val="0"/>
        </w:numPr>
        <w:spacing w:before="0" w:line="240" w:lineRule="auto"/>
        <w:rPr>
          <w:rFonts w:eastAsia="SimSun" w:cstheme="minorHAnsi"/>
        </w:rPr>
      </w:pPr>
      <w:r w:rsidRPr="00733D88">
        <w:rPr>
          <w:rFonts w:eastAsia="SimSun" w:cstheme="minorHAnsi"/>
        </w:rPr>
        <w:t>Australian P</w:t>
      </w:r>
      <w:r w:rsidR="000329BE">
        <w:rPr>
          <w:rFonts w:eastAsia="SimSun" w:cstheme="minorHAnsi"/>
        </w:rPr>
        <w:t xml:space="preserve">RODUCT </w:t>
      </w:r>
      <w:r w:rsidRPr="00733D88">
        <w:rPr>
          <w:rFonts w:eastAsia="SimSun" w:cstheme="minorHAnsi"/>
        </w:rPr>
        <w:t>I</w:t>
      </w:r>
      <w:r w:rsidR="000329BE">
        <w:rPr>
          <w:rFonts w:eastAsia="SimSun" w:cstheme="minorHAnsi"/>
        </w:rPr>
        <w:t>NFORMATION</w:t>
      </w:r>
      <w:r w:rsidRPr="00733D88">
        <w:rPr>
          <w:rFonts w:eastAsia="SimSun" w:cstheme="minorHAnsi"/>
        </w:rPr>
        <w:t xml:space="preserve"> </w:t>
      </w:r>
    </w:p>
    <w:p w14:paraId="16C120AC" w14:textId="034066F6" w:rsidR="004032BD" w:rsidRPr="00733D88" w:rsidRDefault="00E83219" w:rsidP="00AF46A0">
      <w:pPr>
        <w:pStyle w:val="Heading1"/>
        <w:numPr>
          <w:ilvl w:val="0"/>
          <w:numId w:val="0"/>
        </w:numPr>
        <w:spacing w:before="0" w:line="240" w:lineRule="auto"/>
        <w:rPr>
          <w:rFonts w:eastAsia="SimSun" w:cstheme="minorHAnsi"/>
        </w:rPr>
      </w:pPr>
      <w:r w:rsidRPr="00733D88">
        <w:rPr>
          <w:rFonts w:eastAsia="SimSun" w:cstheme="minorHAnsi"/>
        </w:rPr>
        <w:t>COSENTYX</w:t>
      </w:r>
      <w:r w:rsidR="00AF5503" w:rsidRPr="002D07A3">
        <w:rPr>
          <w:rFonts w:eastAsia="SimSun" w:cstheme="minorHAnsi"/>
          <w:vertAlign w:val="superscript"/>
        </w:rPr>
        <w:t>®</w:t>
      </w:r>
      <w:r w:rsidR="007E693C" w:rsidRPr="00733D88">
        <w:rPr>
          <w:rFonts w:eastAsia="SimSun" w:cstheme="minorHAnsi"/>
        </w:rPr>
        <w:t xml:space="preserve"> </w:t>
      </w:r>
      <w:r w:rsidR="004032BD" w:rsidRPr="00733D88">
        <w:rPr>
          <w:rFonts w:eastAsia="SimSun" w:cstheme="minorHAnsi"/>
        </w:rPr>
        <w:t>(</w:t>
      </w:r>
      <w:proofErr w:type="spellStart"/>
      <w:r w:rsidRPr="00733D88">
        <w:rPr>
          <w:rFonts w:eastAsia="SimSun" w:cstheme="minorHAnsi"/>
          <w:caps w:val="0"/>
        </w:rPr>
        <w:t>secukinumab</w:t>
      </w:r>
      <w:proofErr w:type="spellEnd"/>
      <w:r w:rsidR="00AB3537" w:rsidRPr="00733D88">
        <w:rPr>
          <w:rFonts w:eastAsia="SimSun" w:cstheme="minorHAnsi"/>
        </w:rPr>
        <w:t xml:space="preserve"> </w:t>
      </w:r>
      <w:r w:rsidR="00AB3537" w:rsidRPr="00733D88">
        <w:rPr>
          <w:rFonts w:eastAsia="SimSun" w:cstheme="minorHAnsi"/>
          <w:caps w:val="0"/>
        </w:rPr>
        <w:t>[rch]</w:t>
      </w:r>
      <w:r w:rsidR="004032BD" w:rsidRPr="00733D88">
        <w:rPr>
          <w:rFonts w:eastAsia="SimSun" w:cstheme="minorHAnsi"/>
        </w:rPr>
        <w:t>)</w:t>
      </w:r>
      <w:r w:rsidR="00497C85" w:rsidRPr="00733D88">
        <w:rPr>
          <w:rFonts w:eastAsia="SimSun" w:cstheme="minorHAnsi"/>
        </w:rPr>
        <w:t xml:space="preserve"> </w:t>
      </w:r>
    </w:p>
    <w:p w14:paraId="0A0F30F7" w14:textId="77777777" w:rsidR="00AB3537" w:rsidRPr="00733D88" w:rsidRDefault="00AB3537" w:rsidP="00AF46A0">
      <w:pPr>
        <w:pStyle w:val="Heading1"/>
        <w:numPr>
          <w:ilvl w:val="0"/>
          <w:numId w:val="0"/>
        </w:numPr>
        <w:spacing w:before="0" w:line="240" w:lineRule="auto"/>
        <w:rPr>
          <w:rFonts w:eastAsia="SimSun" w:cstheme="minorHAnsi"/>
        </w:rPr>
      </w:pPr>
      <w:r w:rsidRPr="00733D88">
        <w:rPr>
          <w:rFonts w:eastAsia="SimSun" w:cstheme="minorHAnsi"/>
        </w:rPr>
        <w:t xml:space="preserve">150 </w:t>
      </w:r>
      <w:r w:rsidRPr="00733D88">
        <w:rPr>
          <w:rFonts w:eastAsia="SimSun" w:cstheme="minorHAnsi"/>
          <w:caps w:val="0"/>
        </w:rPr>
        <w:t>mg</w:t>
      </w:r>
      <w:r w:rsidRPr="00733D88">
        <w:rPr>
          <w:rFonts w:eastAsia="SimSun" w:cstheme="minorHAnsi"/>
        </w:rPr>
        <w:t xml:space="preserve">/1 </w:t>
      </w:r>
      <w:r w:rsidRPr="00733D88">
        <w:rPr>
          <w:rFonts w:eastAsia="SimSun" w:cstheme="minorHAnsi"/>
          <w:caps w:val="0"/>
        </w:rPr>
        <w:t>m</w:t>
      </w:r>
      <w:r w:rsidRPr="00733D88">
        <w:rPr>
          <w:rFonts w:eastAsia="SimSun" w:cstheme="minorHAnsi"/>
        </w:rPr>
        <w:t>L solution for injection in prefilled syringe</w:t>
      </w:r>
    </w:p>
    <w:p w14:paraId="03D63C57" w14:textId="77777777" w:rsidR="00AB3537" w:rsidRPr="00733D88" w:rsidRDefault="00AB3537" w:rsidP="00AF46A0">
      <w:pPr>
        <w:pStyle w:val="Heading1"/>
        <w:numPr>
          <w:ilvl w:val="0"/>
          <w:numId w:val="0"/>
        </w:numPr>
        <w:spacing w:before="0" w:line="240" w:lineRule="auto"/>
        <w:rPr>
          <w:rFonts w:eastAsia="SimSun" w:cstheme="minorHAnsi"/>
        </w:rPr>
      </w:pPr>
      <w:r w:rsidRPr="00733D88">
        <w:rPr>
          <w:rFonts w:eastAsia="SimSun" w:cstheme="minorHAnsi"/>
        </w:rPr>
        <w:t xml:space="preserve">150 </w:t>
      </w:r>
      <w:r w:rsidRPr="00733D88">
        <w:rPr>
          <w:rFonts w:eastAsia="SimSun" w:cstheme="minorHAnsi"/>
          <w:caps w:val="0"/>
        </w:rPr>
        <w:t>mg</w:t>
      </w:r>
      <w:r w:rsidRPr="00733D88">
        <w:rPr>
          <w:rFonts w:eastAsia="SimSun" w:cstheme="minorHAnsi"/>
        </w:rPr>
        <w:t xml:space="preserve">/1 </w:t>
      </w:r>
      <w:r w:rsidRPr="00733D88">
        <w:rPr>
          <w:rFonts w:eastAsia="SimSun" w:cstheme="minorHAnsi"/>
          <w:caps w:val="0"/>
        </w:rPr>
        <w:t>m</w:t>
      </w:r>
      <w:r w:rsidRPr="00733D88">
        <w:rPr>
          <w:rFonts w:eastAsia="SimSun" w:cstheme="minorHAnsi"/>
        </w:rPr>
        <w:t>L solution for injection in prefilled pen</w:t>
      </w:r>
    </w:p>
    <w:p w14:paraId="4CD58975" w14:textId="77777777" w:rsidR="00AB3537" w:rsidRPr="00733D88" w:rsidRDefault="00AB3537" w:rsidP="00AF46A0">
      <w:pPr>
        <w:pStyle w:val="Heading1"/>
        <w:numPr>
          <w:ilvl w:val="0"/>
          <w:numId w:val="0"/>
        </w:numPr>
        <w:spacing w:before="0" w:line="240" w:lineRule="auto"/>
        <w:rPr>
          <w:rFonts w:eastAsia="SimSun" w:cstheme="minorHAnsi"/>
        </w:rPr>
      </w:pPr>
      <w:r w:rsidRPr="00733D88">
        <w:rPr>
          <w:rFonts w:eastAsia="SimSun" w:cstheme="minorHAnsi"/>
        </w:rPr>
        <w:t xml:space="preserve">150 </w:t>
      </w:r>
      <w:r w:rsidRPr="00733D88">
        <w:rPr>
          <w:rFonts w:eastAsia="SimSun" w:cstheme="minorHAnsi"/>
          <w:caps w:val="0"/>
        </w:rPr>
        <w:t>mg</w:t>
      </w:r>
      <w:r w:rsidRPr="00733D88">
        <w:rPr>
          <w:rFonts w:eastAsia="SimSun" w:cstheme="minorHAnsi"/>
        </w:rPr>
        <w:t xml:space="preserve"> powder for injection in vial</w:t>
      </w:r>
    </w:p>
    <w:p w14:paraId="37071BA8" w14:textId="77777777" w:rsidR="00AB3537" w:rsidRPr="00733D88" w:rsidRDefault="00AB3537" w:rsidP="00AF46A0"/>
    <w:p w14:paraId="26BCC0D1" w14:textId="77777777" w:rsidR="001A3992" w:rsidRPr="00733D88" w:rsidRDefault="001A3992" w:rsidP="00AF46A0">
      <w:pPr>
        <w:pStyle w:val="Heading1"/>
        <w:spacing w:before="0" w:after="120"/>
        <w:ind w:left="431" w:hanging="431"/>
        <w:rPr>
          <w:rFonts w:cstheme="minorHAnsi"/>
        </w:rPr>
      </w:pPr>
      <w:r w:rsidRPr="00733D88">
        <w:rPr>
          <w:rFonts w:cstheme="minorHAnsi"/>
        </w:rPr>
        <w:t>Name of the medicine</w:t>
      </w:r>
    </w:p>
    <w:p w14:paraId="323DE206" w14:textId="77777777" w:rsidR="009608E9" w:rsidRPr="002D07A3" w:rsidRDefault="009608E9" w:rsidP="00AF46A0">
      <w:pPr>
        <w:rPr>
          <w:rFonts w:cstheme="minorHAnsi"/>
          <w:szCs w:val="20"/>
        </w:rPr>
      </w:pPr>
      <w:proofErr w:type="spellStart"/>
      <w:r w:rsidRPr="002D07A3">
        <w:rPr>
          <w:rFonts w:cstheme="minorHAnsi"/>
          <w:szCs w:val="20"/>
        </w:rPr>
        <w:t>Secukinumab</w:t>
      </w:r>
      <w:proofErr w:type="spellEnd"/>
      <w:r w:rsidRPr="002D07A3">
        <w:rPr>
          <w:rFonts w:cstheme="minorHAnsi"/>
          <w:szCs w:val="20"/>
        </w:rPr>
        <w:t xml:space="preserve"> (rch)</w:t>
      </w:r>
    </w:p>
    <w:p w14:paraId="0B14E0B1" w14:textId="77777777" w:rsidR="009608E9" w:rsidRPr="002D07A3" w:rsidRDefault="009608E9" w:rsidP="00AF46A0">
      <w:pPr>
        <w:rPr>
          <w:rFonts w:cstheme="minorHAnsi"/>
          <w:szCs w:val="20"/>
        </w:rPr>
      </w:pPr>
      <w:r w:rsidRPr="002D07A3">
        <w:rPr>
          <w:rFonts w:cstheme="minorHAnsi"/>
          <w:szCs w:val="20"/>
        </w:rPr>
        <w:t>Chemical name:</w:t>
      </w:r>
      <w:r w:rsidR="00AB3537" w:rsidRPr="002D07A3">
        <w:rPr>
          <w:rFonts w:cstheme="minorHAnsi"/>
          <w:szCs w:val="20"/>
        </w:rPr>
        <w:t xml:space="preserve"> </w:t>
      </w:r>
      <w:r w:rsidRPr="002D07A3">
        <w:rPr>
          <w:rFonts w:cstheme="minorHAnsi"/>
          <w:szCs w:val="20"/>
        </w:rPr>
        <w:t xml:space="preserve">Recombinant human monoclonal anti-human Interleukin-17A (IL-17A, IL-17) antibody of the IgG1/kappa isotype </w:t>
      </w:r>
    </w:p>
    <w:p w14:paraId="3AFC97FB" w14:textId="77777777" w:rsidR="001A3992" w:rsidRPr="000910BC" w:rsidRDefault="001A3992" w:rsidP="00AF46A0">
      <w:pPr>
        <w:pStyle w:val="Heading1"/>
        <w:spacing w:before="0" w:after="120"/>
        <w:ind w:left="431" w:hanging="431"/>
        <w:rPr>
          <w:rFonts w:cstheme="minorHAnsi"/>
        </w:rPr>
      </w:pPr>
      <w:r w:rsidRPr="000910BC">
        <w:rPr>
          <w:rFonts w:cstheme="minorHAnsi"/>
        </w:rPr>
        <w:t>Qualitative and quantitative composition</w:t>
      </w:r>
    </w:p>
    <w:p w14:paraId="075F3C13" w14:textId="77777777" w:rsidR="009608E9" w:rsidRPr="002D07A3" w:rsidRDefault="009608E9" w:rsidP="00AF46A0">
      <w:pPr>
        <w:rPr>
          <w:rFonts w:cstheme="minorHAnsi"/>
          <w:szCs w:val="20"/>
        </w:rPr>
      </w:pPr>
      <w:proofErr w:type="spellStart"/>
      <w:r w:rsidRPr="002D07A3">
        <w:rPr>
          <w:rFonts w:cstheme="minorHAnsi"/>
          <w:szCs w:val="20"/>
        </w:rPr>
        <w:t>Secukinumab</w:t>
      </w:r>
      <w:proofErr w:type="spellEnd"/>
      <w:r w:rsidRPr="002D07A3">
        <w:rPr>
          <w:rFonts w:cstheme="minorHAnsi"/>
          <w:szCs w:val="20"/>
        </w:rPr>
        <w:t xml:space="preserve"> is a recombinant fully human monoclonal antibody selective for interleukin-17A. </w:t>
      </w:r>
      <w:proofErr w:type="spellStart"/>
      <w:r w:rsidRPr="002D07A3">
        <w:rPr>
          <w:rFonts w:cstheme="minorHAnsi"/>
          <w:szCs w:val="20"/>
        </w:rPr>
        <w:t>Secukinumab</w:t>
      </w:r>
      <w:proofErr w:type="spellEnd"/>
      <w:r w:rsidRPr="002D07A3">
        <w:rPr>
          <w:rFonts w:cstheme="minorHAnsi"/>
          <w:szCs w:val="20"/>
        </w:rPr>
        <w:t xml:space="preserve"> is of the IgG1/κ-class produced in Chinese Hamster Ovary (CHO) cells.</w:t>
      </w:r>
    </w:p>
    <w:p w14:paraId="6B9047BE" w14:textId="77777777" w:rsidR="001A3992" w:rsidRPr="000910BC" w:rsidRDefault="001A3992" w:rsidP="00AF46A0">
      <w:pPr>
        <w:pStyle w:val="Heading1"/>
        <w:spacing w:before="0" w:after="120"/>
        <w:rPr>
          <w:rFonts w:cstheme="minorHAnsi"/>
        </w:rPr>
      </w:pPr>
      <w:r w:rsidRPr="000910BC">
        <w:rPr>
          <w:rFonts w:cstheme="minorHAnsi"/>
        </w:rPr>
        <w:t>Pharmaceutical form</w:t>
      </w:r>
    </w:p>
    <w:p w14:paraId="191D2FA0" w14:textId="77777777" w:rsidR="009608E9" w:rsidRPr="002D07A3" w:rsidRDefault="009608E9" w:rsidP="00AF46A0">
      <w:pPr>
        <w:spacing w:after="0"/>
        <w:rPr>
          <w:rFonts w:asciiTheme="majorHAnsi" w:hAnsiTheme="majorHAnsi" w:cstheme="minorHAnsi"/>
          <w:b/>
          <w:u w:val="single"/>
        </w:rPr>
      </w:pPr>
      <w:r w:rsidRPr="002D07A3">
        <w:rPr>
          <w:rFonts w:asciiTheme="majorHAnsi" w:hAnsiTheme="majorHAnsi" w:cstheme="minorHAnsi"/>
          <w:b/>
          <w:u w:val="single"/>
        </w:rPr>
        <w:t>Powder for injection</w:t>
      </w:r>
    </w:p>
    <w:p w14:paraId="0FB8BA4F" w14:textId="77777777" w:rsidR="009608E9" w:rsidRPr="000910BC" w:rsidRDefault="009608E9" w:rsidP="00AF46A0">
      <w:pPr>
        <w:rPr>
          <w:rFonts w:cs="Arial"/>
          <w:szCs w:val="20"/>
        </w:rPr>
      </w:pPr>
      <w:r w:rsidRPr="002D07A3">
        <w:rPr>
          <w:rFonts w:cstheme="minorHAnsi"/>
          <w:szCs w:val="20"/>
        </w:rPr>
        <w:t xml:space="preserve">Each vial of powder for injection contains 150 mg of </w:t>
      </w:r>
      <w:proofErr w:type="spellStart"/>
      <w:r w:rsidRPr="002D07A3">
        <w:rPr>
          <w:rFonts w:cstheme="minorHAnsi"/>
          <w:szCs w:val="20"/>
        </w:rPr>
        <w:t>secukinumab</w:t>
      </w:r>
      <w:proofErr w:type="spellEnd"/>
      <w:r w:rsidRPr="002D07A3">
        <w:rPr>
          <w:rFonts w:cstheme="minorHAnsi"/>
          <w:szCs w:val="20"/>
        </w:rPr>
        <w:t xml:space="preserve"> as a lyophilised cake in glass vials. </w:t>
      </w:r>
    </w:p>
    <w:p w14:paraId="3CD0307B" w14:textId="77777777" w:rsidR="009608E9" w:rsidRPr="000910BC" w:rsidRDefault="009608E9" w:rsidP="00AF46A0">
      <w:pPr>
        <w:spacing w:after="0"/>
        <w:rPr>
          <w:rFonts w:ascii="Arial" w:hAnsi="Arial" w:cs="Arial"/>
          <w:b/>
          <w:u w:val="single"/>
        </w:rPr>
      </w:pPr>
      <w:r w:rsidRPr="002D07A3">
        <w:rPr>
          <w:rFonts w:asciiTheme="majorHAnsi" w:hAnsiTheme="majorHAnsi" w:cstheme="minorHAnsi"/>
          <w:b/>
          <w:u w:val="single"/>
        </w:rPr>
        <w:t>Solution for injection</w:t>
      </w:r>
    </w:p>
    <w:p w14:paraId="19E0B8FA" w14:textId="77777777" w:rsidR="009608E9" w:rsidRPr="000910BC" w:rsidRDefault="009608E9" w:rsidP="00AF46A0">
      <w:pPr>
        <w:rPr>
          <w:rFonts w:cs="Arial"/>
          <w:szCs w:val="20"/>
        </w:rPr>
      </w:pPr>
      <w:r w:rsidRPr="002D07A3">
        <w:rPr>
          <w:rFonts w:cstheme="minorHAnsi"/>
          <w:szCs w:val="20"/>
        </w:rPr>
        <w:t>Solution for injection in a single-use, pre-filled syringe and/or pen (auto-injector)</w:t>
      </w:r>
      <w:r w:rsidR="00462FD0" w:rsidRPr="002D07A3">
        <w:rPr>
          <w:rFonts w:cstheme="minorHAnsi"/>
          <w:szCs w:val="20"/>
        </w:rPr>
        <w:t xml:space="preserve"> containing 150 mg/mL of </w:t>
      </w:r>
      <w:proofErr w:type="spellStart"/>
      <w:r w:rsidR="00462FD0" w:rsidRPr="002D07A3">
        <w:rPr>
          <w:rFonts w:cstheme="minorHAnsi"/>
          <w:szCs w:val="20"/>
        </w:rPr>
        <w:t>secukinumab</w:t>
      </w:r>
      <w:proofErr w:type="spellEnd"/>
      <w:r w:rsidRPr="002D07A3">
        <w:rPr>
          <w:rFonts w:cstheme="minorHAnsi"/>
          <w:szCs w:val="20"/>
        </w:rPr>
        <w:t>.</w:t>
      </w:r>
    </w:p>
    <w:p w14:paraId="5D24FD93" w14:textId="77777777" w:rsidR="001A3992" w:rsidRPr="000910BC" w:rsidRDefault="001A3992" w:rsidP="00AF46A0">
      <w:pPr>
        <w:pStyle w:val="Heading1"/>
        <w:spacing w:before="0" w:after="120"/>
        <w:rPr>
          <w:rFonts w:cstheme="minorHAnsi"/>
        </w:rPr>
      </w:pPr>
      <w:r w:rsidRPr="000910BC">
        <w:rPr>
          <w:rFonts w:cstheme="minorHAnsi"/>
        </w:rPr>
        <w:t>Clinical particulars</w:t>
      </w:r>
    </w:p>
    <w:p w14:paraId="6F20D76D" w14:textId="77777777" w:rsidR="001A3992" w:rsidRPr="000910BC" w:rsidRDefault="001A3992" w:rsidP="00AF46A0">
      <w:pPr>
        <w:pStyle w:val="Heading2"/>
        <w:spacing w:before="0" w:after="120"/>
        <w:ind w:left="567"/>
        <w:rPr>
          <w:rFonts w:cstheme="minorHAnsi"/>
        </w:rPr>
      </w:pPr>
      <w:r w:rsidRPr="000910BC">
        <w:rPr>
          <w:rFonts w:cstheme="minorHAnsi"/>
        </w:rPr>
        <w:t xml:space="preserve">Therapeutic indications </w:t>
      </w:r>
    </w:p>
    <w:p w14:paraId="59F5676F" w14:textId="77777777"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Plaque psoriasis</w:t>
      </w:r>
    </w:p>
    <w:p w14:paraId="368DEA76" w14:textId="77777777" w:rsidR="008A42F5" w:rsidRPr="000910BC" w:rsidRDefault="008A42F5" w:rsidP="00AF46A0">
      <w:pPr>
        <w:rPr>
          <w:rFonts w:cs="Arial"/>
        </w:rPr>
      </w:pPr>
      <w:r w:rsidRPr="000910BC">
        <w:rPr>
          <w:rFonts w:cs="Arial"/>
        </w:rPr>
        <w:t>COSENTYX is indicated for the treatment of moderate to severe plaque psoriasis in adult patients who are candidates for systemic therapy or phototherapy.</w:t>
      </w:r>
    </w:p>
    <w:p w14:paraId="7D68823C" w14:textId="77777777"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Psoriatic arthritis</w:t>
      </w:r>
    </w:p>
    <w:p w14:paraId="2D59420B" w14:textId="77777777" w:rsidR="008A42F5" w:rsidRPr="000910BC" w:rsidRDefault="008A42F5" w:rsidP="00AF46A0">
      <w:pPr>
        <w:rPr>
          <w:rFonts w:cs="Arial"/>
        </w:rPr>
      </w:pPr>
      <w:r w:rsidRPr="000910BC">
        <w:rPr>
          <w:rFonts w:cs="Arial"/>
        </w:rPr>
        <w:t>COSENTYX is indicated for the treatment of adult patients with active psoriatic arthritis when the response to previous disease-modifying anti-rheumatic drug (DMARD) therapy has been inadequate.</w:t>
      </w:r>
    </w:p>
    <w:p w14:paraId="0652ADCC" w14:textId="6CD4CCB5" w:rsidR="006A29F4" w:rsidRPr="002D07A3" w:rsidRDefault="006A29F4" w:rsidP="00AF46A0">
      <w:pPr>
        <w:spacing w:after="0"/>
        <w:rPr>
          <w:rFonts w:asciiTheme="majorHAnsi" w:hAnsiTheme="majorHAnsi" w:cstheme="minorHAnsi"/>
          <w:b/>
          <w:u w:val="single"/>
        </w:rPr>
      </w:pPr>
      <w:r w:rsidRPr="002D07A3">
        <w:rPr>
          <w:rFonts w:asciiTheme="majorHAnsi" w:hAnsiTheme="majorHAnsi" w:cstheme="minorHAnsi"/>
          <w:b/>
          <w:u w:val="single"/>
        </w:rPr>
        <w:t xml:space="preserve">Axial </w:t>
      </w:r>
      <w:proofErr w:type="spellStart"/>
      <w:r w:rsidRPr="002D07A3">
        <w:rPr>
          <w:rFonts w:asciiTheme="majorHAnsi" w:hAnsiTheme="majorHAnsi" w:cstheme="minorHAnsi"/>
          <w:b/>
          <w:u w:val="single"/>
        </w:rPr>
        <w:t>spondyloarthritis</w:t>
      </w:r>
      <w:proofErr w:type="spellEnd"/>
      <w:r w:rsidRPr="002D07A3">
        <w:rPr>
          <w:rFonts w:asciiTheme="majorHAnsi" w:hAnsiTheme="majorHAnsi" w:cstheme="minorHAnsi"/>
          <w:b/>
          <w:u w:val="single"/>
        </w:rPr>
        <w:t xml:space="preserve"> (</w:t>
      </w:r>
      <w:proofErr w:type="spellStart"/>
      <w:r w:rsidRPr="002D07A3">
        <w:rPr>
          <w:rFonts w:asciiTheme="majorHAnsi" w:hAnsiTheme="majorHAnsi" w:cstheme="minorHAnsi"/>
          <w:b/>
          <w:u w:val="single"/>
        </w:rPr>
        <w:t>axSpA</w:t>
      </w:r>
      <w:proofErr w:type="spellEnd"/>
      <w:r w:rsidRPr="002D07A3">
        <w:rPr>
          <w:rFonts w:asciiTheme="majorHAnsi" w:hAnsiTheme="majorHAnsi" w:cstheme="minorHAnsi"/>
          <w:b/>
          <w:u w:val="single"/>
        </w:rPr>
        <w:t>) with or without radiographic damage</w:t>
      </w:r>
    </w:p>
    <w:p w14:paraId="5447586B" w14:textId="1AEFE022"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Ankylosing spondylitis</w:t>
      </w:r>
      <w:r w:rsidR="00D926FD" w:rsidRPr="002D07A3">
        <w:rPr>
          <w:rFonts w:asciiTheme="majorHAnsi" w:hAnsiTheme="majorHAnsi" w:cstheme="minorHAnsi"/>
          <w:b/>
          <w:u w:val="single"/>
        </w:rPr>
        <w:t xml:space="preserve"> (</w:t>
      </w:r>
      <w:proofErr w:type="spellStart"/>
      <w:r w:rsidR="00D926FD" w:rsidRPr="002D07A3">
        <w:rPr>
          <w:rFonts w:asciiTheme="majorHAnsi" w:hAnsiTheme="majorHAnsi" w:cstheme="minorHAnsi"/>
          <w:b/>
          <w:u w:val="single"/>
        </w:rPr>
        <w:t>axSpA</w:t>
      </w:r>
      <w:proofErr w:type="spellEnd"/>
      <w:r w:rsidR="00D926FD" w:rsidRPr="002D07A3">
        <w:rPr>
          <w:rFonts w:asciiTheme="majorHAnsi" w:hAnsiTheme="majorHAnsi" w:cstheme="minorHAnsi"/>
          <w:b/>
          <w:u w:val="single"/>
        </w:rPr>
        <w:t xml:space="preserve"> with radiographic damage)</w:t>
      </w:r>
    </w:p>
    <w:p w14:paraId="5017D218" w14:textId="38ADDB53" w:rsidR="003164E0" w:rsidRPr="002D07A3" w:rsidRDefault="008A42F5" w:rsidP="00AF46A0">
      <w:pPr>
        <w:rPr>
          <w:rFonts w:cs="Arial"/>
        </w:rPr>
      </w:pPr>
      <w:r w:rsidRPr="002D07A3">
        <w:rPr>
          <w:rFonts w:cs="Arial"/>
        </w:rPr>
        <w:t>COSENTYX is indicated for the treatment of adult patients with active ankylosing spondylitis.</w:t>
      </w:r>
    </w:p>
    <w:p w14:paraId="16C865DE" w14:textId="4A77619C" w:rsidR="006A29F4" w:rsidRPr="002D07A3" w:rsidRDefault="006A29F4" w:rsidP="00AF46A0">
      <w:pPr>
        <w:spacing w:after="0"/>
        <w:rPr>
          <w:rFonts w:asciiTheme="majorHAnsi" w:hAnsiTheme="majorHAnsi" w:cstheme="minorHAnsi"/>
          <w:b/>
          <w:u w:val="single"/>
        </w:rPr>
      </w:pPr>
      <w:r w:rsidRPr="002D07A3">
        <w:rPr>
          <w:rFonts w:asciiTheme="majorHAnsi" w:hAnsiTheme="majorHAnsi" w:cstheme="minorHAnsi"/>
          <w:b/>
          <w:u w:val="single"/>
        </w:rPr>
        <w:t xml:space="preserve">Non-radiographic axial </w:t>
      </w:r>
      <w:proofErr w:type="spellStart"/>
      <w:r w:rsidRPr="002D07A3">
        <w:rPr>
          <w:rFonts w:asciiTheme="majorHAnsi" w:hAnsiTheme="majorHAnsi" w:cstheme="minorHAnsi"/>
          <w:b/>
          <w:u w:val="single"/>
        </w:rPr>
        <w:t>spondyloarthritis</w:t>
      </w:r>
      <w:proofErr w:type="spellEnd"/>
      <w:r w:rsidRPr="002D07A3">
        <w:rPr>
          <w:rFonts w:asciiTheme="majorHAnsi" w:hAnsiTheme="majorHAnsi" w:cstheme="minorHAnsi"/>
          <w:b/>
          <w:u w:val="single"/>
        </w:rPr>
        <w:t xml:space="preserve"> (</w:t>
      </w:r>
      <w:proofErr w:type="spellStart"/>
      <w:r w:rsidRPr="002D07A3">
        <w:rPr>
          <w:rFonts w:asciiTheme="majorHAnsi" w:hAnsiTheme="majorHAnsi" w:cstheme="minorHAnsi"/>
          <w:b/>
          <w:u w:val="single"/>
        </w:rPr>
        <w:t>axSpA</w:t>
      </w:r>
      <w:proofErr w:type="spellEnd"/>
      <w:r w:rsidRPr="002D07A3">
        <w:rPr>
          <w:rFonts w:asciiTheme="majorHAnsi" w:hAnsiTheme="majorHAnsi" w:cstheme="minorHAnsi"/>
          <w:b/>
          <w:u w:val="single"/>
        </w:rPr>
        <w:t xml:space="preserve"> without radiographic damage</w:t>
      </w:r>
      <w:r w:rsidR="00D926FD" w:rsidRPr="002D07A3">
        <w:rPr>
          <w:rFonts w:asciiTheme="majorHAnsi" w:hAnsiTheme="majorHAnsi" w:cstheme="minorHAnsi"/>
          <w:b/>
          <w:u w:val="single"/>
        </w:rPr>
        <w:t>)</w:t>
      </w:r>
    </w:p>
    <w:p w14:paraId="00C3D925" w14:textId="2727BA55" w:rsidR="006A29F4" w:rsidRPr="002D07A3" w:rsidRDefault="00AF5503" w:rsidP="00AF46A0">
      <w:pPr>
        <w:rPr>
          <w:rFonts w:cs="Arial"/>
        </w:rPr>
      </w:pPr>
      <w:r w:rsidRPr="00733D88">
        <w:rPr>
          <w:rFonts w:cs="Arial"/>
        </w:rPr>
        <w:t>COSENTYX</w:t>
      </w:r>
      <w:r w:rsidR="006A29F4" w:rsidRPr="002D07A3">
        <w:rPr>
          <w:rFonts w:cs="Arial"/>
        </w:rPr>
        <w:t xml:space="preserve"> is indicated for the treatment of adult</w:t>
      </w:r>
      <w:r w:rsidR="00FD6A5E">
        <w:rPr>
          <w:rFonts w:cs="Arial"/>
        </w:rPr>
        <w:t xml:space="preserve"> patients</w:t>
      </w:r>
      <w:r w:rsidR="006A29F4" w:rsidRPr="002D07A3">
        <w:rPr>
          <w:rFonts w:cs="Arial"/>
        </w:rPr>
        <w:t xml:space="preserve"> with active non-radiographic axial </w:t>
      </w:r>
      <w:proofErr w:type="spellStart"/>
      <w:r w:rsidR="006A29F4" w:rsidRPr="002D07A3">
        <w:rPr>
          <w:rFonts w:cs="Arial"/>
        </w:rPr>
        <w:t>spondyloarthritis</w:t>
      </w:r>
      <w:proofErr w:type="spellEnd"/>
      <w:r w:rsidR="002630ED">
        <w:rPr>
          <w:rFonts w:cs="Arial"/>
        </w:rPr>
        <w:t xml:space="preserve"> (</w:t>
      </w:r>
      <w:proofErr w:type="spellStart"/>
      <w:r w:rsidR="002630ED">
        <w:rPr>
          <w:rFonts w:cs="Arial"/>
        </w:rPr>
        <w:t>nr-axSpA</w:t>
      </w:r>
      <w:proofErr w:type="spellEnd"/>
      <w:r w:rsidR="002630ED">
        <w:rPr>
          <w:rFonts w:cs="Arial"/>
        </w:rPr>
        <w:t>)</w:t>
      </w:r>
      <w:r w:rsidR="006A29F4" w:rsidRPr="002D07A3">
        <w:rPr>
          <w:rFonts w:cs="Arial"/>
        </w:rPr>
        <w:t xml:space="preserve"> with objective signs of inflammation</w:t>
      </w:r>
      <w:r w:rsidR="002630ED">
        <w:rPr>
          <w:rFonts w:cs="Arial"/>
        </w:rPr>
        <w:t xml:space="preserve"> as indicated by elevated C-reactive protein (CRP) and/or MRI change, who have had an inadequate response to, or are intolerant to, NSAIDs</w:t>
      </w:r>
      <w:r w:rsidR="006A29F4" w:rsidRPr="002D07A3">
        <w:rPr>
          <w:rFonts w:cs="Arial"/>
        </w:rPr>
        <w:t>.</w:t>
      </w:r>
    </w:p>
    <w:p w14:paraId="3CE3B8A9" w14:textId="615B996F" w:rsidR="001A3992" w:rsidRPr="00733D88" w:rsidRDefault="001A3992" w:rsidP="00AF46A0">
      <w:pPr>
        <w:pStyle w:val="Heading2"/>
        <w:spacing w:before="0" w:after="120"/>
        <w:ind w:left="578" w:hanging="578"/>
        <w:rPr>
          <w:rFonts w:cstheme="minorHAnsi"/>
        </w:rPr>
      </w:pPr>
      <w:r w:rsidRPr="00733D88">
        <w:rPr>
          <w:rFonts w:cstheme="minorHAnsi"/>
        </w:rPr>
        <w:t xml:space="preserve">Dose and method of administration </w:t>
      </w:r>
    </w:p>
    <w:p w14:paraId="0730125A" w14:textId="77777777"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Dosage</w:t>
      </w:r>
    </w:p>
    <w:p w14:paraId="5A3CA9D6" w14:textId="77777777"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t>Plaque psoriasis</w:t>
      </w:r>
    </w:p>
    <w:p w14:paraId="644C57D9" w14:textId="77777777" w:rsidR="008A42F5" w:rsidRPr="00733D88" w:rsidRDefault="008A42F5" w:rsidP="00AF46A0">
      <w:pPr>
        <w:rPr>
          <w:rFonts w:cs="Arial"/>
        </w:rPr>
      </w:pPr>
      <w:r w:rsidRPr="00733D88">
        <w:rPr>
          <w:rFonts w:cs="Arial"/>
        </w:rPr>
        <w:t xml:space="preserve">The recommended dose is 300 mg by subcutaneous injection with initial dosing at weeks 0, 1, 2, 3, and 4 followed by the same dose every month. Each 300 mg dose is given as two subcutaneous injections of 150 mg.  </w:t>
      </w:r>
    </w:p>
    <w:p w14:paraId="5FD30941" w14:textId="77777777"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t xml:space="preserve">Psoriatic arthritis </w:t>
      </w:r>
    </w:p>
    <w:p w14:paraId="3E16F242" w14:textId="77777777" w:rsidR="008A42F5" w:rsidRPr="00733D88" w:rsidRDefault="008A42F5" w:rsidP="00AF46A0">
      <w:pPr>
        <w:rPr>
          <w:rFonts w:cs="Arial"/>
        </w:rPr>
      </w:pPr>
      <w:r w:rsidRPr="00733D88">
        <w:rPr>
          <w:rFonts w:cs="Arial"/>
        </w:rPr>
        <w:t xml:space="preserve">The recommended dose is 150 mg by subcutaneous injection with initial dosing at Weeks 0, 1, 2, 3, and 4 followed by the same dose every month. </w:t>
      </w:r>
      <w:r w:rsidR="00253D7C" w:rsidRPr="00733D88">
        <w:rPr>
          <w:rFonts w:cs="Arial"/>
        </w:rPr>
        <w:t>Based on clinical response, the dose can be increased to 300 mg.</w:t>
      </w:r>
    </w:p>
    <w:p w14:paraId="0F1FA623" w14:textId="46066616" w:rsidR="008A42F5" w:rsidRPr="00733D88" w:rsidRDefault="008A42F5" w:rsidP="00AF46A0">
      <w:pPr>
        <w:ind w:right="-472"/>
        <w:rPr>
          <w:rFonts w:cs="Arial"/>
        </w:rPr>
      </w:pPr>
      <w:r w:rsidRPr="00733D88">
        <w:rPr>
          <w:rFonts w:cs="Arial"/>
        </w:rPr>
        <w:t>For patients who are anti-TNF-alpha inadequate responders (IR) or patients with concomitant moderate to severe plaque psoriasis, the recommended dose is 300 mg by subcutaneous injection with initial dosing at Weeks 0, 1, 2, 3, and 4 followed by the same dose every month. Each 300 mg dose is given as two subcutaneous injections of 150 mg.</w:t>
      </w:r>
      <w:r w:rsidR="00AF46A0">
        <w:rPr>
          <w:rFonts w:cs="Arial"/>
        </w:rPr>
        <w:t xml:space="preserve"> </w:t>
      </w:r>
      <w:r w:rsidRPr="00733D88">
        <w:rPr>
          <w:rFonts w:cs="Arial"/>
        </w:rPr>
        <w:t>COSENTYX may be administered with or without methotrexate.</w:t>
      </w:r>
    </w:p>
    <w:p w14:paraId="51B73980" w14:textId="676443A5" w:rsidR="00D926FD" w:rsidRPr="002D07A3" w:rsidRDefault="00D926FD" w:rsidP="00AF46A0">
      <w:pPr>
        <w:pStyle w:val="Nottoc-headings"/>
        <w:spacing w:after="120" w:line="276" w:lineRule="auto"/>
        <w:rPr>
          <w:rFonts w:asciiTheme="majorHAnsi" w:hAnsiTheme="majorHAnsi" w:cstheme="minorHAnsi"/>
          <w:b/>
        </w:rPr>
      </w:pPr>
      <w:r w:rsidRPr="002D07A3">
        <w:rPr>
          <w:rFonts w:asciiTheme="majorHAnsi" w:eastAsiaTheme="minorHAnsi" w:hAnsiTheme="majorHAnsi" w:cstheme="minorHAnsi"/>
          <w:b/>
          <w:sz w:val="22"/>
          <w:szCs w:val="22"/>
          <w:lang w:bidi="ar-SA"/>
        </w:rPr>
        <w:t xml:space="preserve">Axial </w:t>
      </w:r>
      <w:proofErr w:type="spellStart"/>
      <w:r w:rsidRPr="002D07A3">
        <w:rPr>
          <w:rFonts w:asciiTheme="majorHAnsi" w:eastAsiaTheme="minorHAnsi" w:hAnsiTheme="majorHAnsi" w:cstheme="minorHAnsi"/>
          <w:b/>
          <w:sz w:val="22"/>
          <w:szCs w:val="22"/>
          <w:lang w:bidi="ar-SA"/>
        </w:rPr>
        <w:t>spondyloarthritis</w:t>
      </w:r>
      <w:proofErr w:type="spellEnd"/>
    </w:p>
    <w:p w14:paraId="4C3554DF" w14:textId="659CF6DC" w:rsidR="008A42F5" w:rsidRPr="002D07A3" w:rsidRDefault="008A42F5" w:rsidP="00AF46A0">
      <w:pPr>
        <w:spacing w:after="120"/>
        <w:rPr>
          <w:rFonts w:asciiTheme="majorHAnsi" w:hAnsiTheme="majorHAnsi" w:cstheme="minorHAnsi"/>
          <w:b/>
        </w:rPr>
      </w:pPr>
      <w:r w:rsidRPr="002D07A3">
        <w:rPr>
          <w:rFonts w:asciiTheme="majorHAnsi" w:hAnsiTheme="majorHAnsi" w:cstheme="minorHAnsi"/>
          <w:b/>
        </w:rPr>
        <w:t>Ankylosing spondylitis</w:t>
      </w:r>
    </w:p>
    <w:p w14:paraId="3505C5C8" w14:textId="0FBA5680" w:rsidR="008A42F5" w:rsidRPr="001472AF" w:rsidRDefault="008A42F5" w:rsidP="00AF46A0">
      <w:pPr>
        <w:spacing w:after="120"/>
        <w:ind w:right="-188"/>
        <w:rPr>
          <w:rFonts w:cs="Arial"/>
        </w:rPr>
      </w:pPr>
      <w:r w:rsidRPr="001472AF">
        <w:rPr>
          <w:rFonts w:cs="Arial"/>
        </w:rPr>
        <w:t xml:space="preserve">The recommended dose is 150 mg by subcutaneous injection with initial dosing at Weeks 0, 1, 2, 3, and 4 followed by </w:t>
      </w:r>
      <w:r w:rsidR="00253D7C" w:rsidRPr="001472AF">
        <w:rPr>
          <w:rFonts w:cs="Arial"/>
        </w:rPr>
        <w:t>the same dose every month</w:t>
      </w:r>
      <w:r w:rsidRPr="001472AF">
        <w:rPr>
          <w:rFonts w:cs="Arial"/>
        </w:rPr>
        <w:t>.</w:t>
      </w:r>
      <w:r w:rsidR="000329BE" w:rsidRPr="001472AF">
        <w:rPr>
          <w:rFonts w:cs="Arial"/>
        </w:rPr>
        <w:t xml:space="preserve"> </w:t>
      </w:r>
      <w:r w:rsidRPr="001472AF">
        <w:rPr>
          <w:rFonts w:cs="Arial"/>
        </w:rPr>
        <w:t xml:space="preserve"> </w:t>
      </w:r>
      <w:r w:rsidR="000329BE" w:rsidRPr="001472AF">
        <w:rPr>
          <w:rFonts w:cs="Arial"/>
        </w:rPr>
        <w:t>Based on clinical response, the dose can be increased to 300 mg.  Each 300 mg dose is given as two subcutaneous injections of 150 mg.</w:t>
      </w:r>
    </w:p>
    <w:p w14:paraId="67890B66" w14:textId="7E885EAB" w:rsidR="00D926FD" w:rsidRPr="002D07A3" w:rsidRDefault="00D926FD" w:rsidP="00AF46A0">
      <w:pPr>
        <w:pStyle w:val="Nottoc-headings"/>
        <w:spacing w:after="120" w:line="276" w:lineRule="auto"/>
        <w:rPr>
          <w:rFonts w:asciiTheme="majorHAnsi" w:eastAsiaTheme="minorHAnsi" w:hAnsiTheme="majorHAnsi" w:cstheme="minorHAnsi"/>
          <w:b/>
          <w:sz w:val="22"/>
          <w:szCs w:val="22"/>
          <w:lang w:bidi="ar-SA"/>
        </w:rPr>
      </w:pPr>
      <w:r w:rsidRPr="002D07A3">
        <w:rPr>
          <w:rFonts w:asciiTheme="majorHAnsi" w:eastAsiaTheme="minorHAnsi" w:hAnsiTheme="majorHAnsi" w:cstheme="minorHAnsi"/>
          <w:b/>
          <w:sz w:val="22"/>
          <w:szCs w:val="22"/>
          <w:lang w:bidi="ar-SA"/>
        </w:rPr>
        <w:t xml:space="preserve">Non-radiographic axial </w:t>
      </w:r>
      <w:proofErr w:type="spellStart"/>
      <w:r w:rsidRPr="002D07A3">
        <w:rPr>
          <w:rFonts w:asciiTheme="majorHAnsi" w:eastAsiaTheme="minorHAnsi" w:hAnsiTheme="majorHAnsi" w:cstheme="minorHAnsi"/>
          <w:b/>
          <w:sz w:val="22"/>
          <w:szCs w:val="22"/>
          <w:lang w:bidi="ar-SA"/>
        </w:rPr>
        <w:t>spondyloarthritis</w:t>
      </w:r>
      <w:proofErr w:type="spellEnd"/>
    </w:p>
    <w:p w14:paraId="523B4A41" w14:textId="77777777" w:rsidR="00B95A3F" w:rsidRDefault="00D0095D" w:rsidP="00AF46A0">
      <w:pPr>
        <w:spacing w:after="120"/>
        <w:rPr>
          <w:rFonts w:cs="Arial"/>
        </w:rPr>
      </w:pPr>
      <w:r w:rsidRPr="002D07A3">
        <w:rPr>
          <w:rFonts w:cs="Arial"/>
          <w:u w:val="single"/>
        </w:rPr>
        <w:t>With a loading dose:</w:t>
      </w:r>
      <w:r>
        <w:rPr>
          <w:rFonts w:cs="Arial"/>
        </w:rPr>
        <w:t xml:space="preserve"> </w:t>
      </w:r>
      <w:r w:rsidR="00D926FD" w:rsidRPr="00521C4B">
        <w:rPr>
          <w:rFonts w:cs="Arial"/>
        </w:rPr>
        <w:t xml:space="preserve">The recommended dose is 150 mg by subcutaneous injection with initial dosing at Weeks 0, 1, 2, 3, and 4 followed by </w:t>
      </w:r>
      <w:r w:rsidR="0056614B" w:rsidRPr="002D07A3">
        <w:rPr>
          <w:rFonts w:cs="Arial"/>
        </w:rPr>
        <w:t xml:space="preserve">the same dose every </w:t>
      </w:r>
      <w:r w:rsidR="00D926FD" w:rsidRPr="00521C4B">
        <w:rPr>
          <w:rFonts w:cs="Arial"/>
        </w:rPr>
        <w:t>month.</w:t>
      </w:r>
    </w:p>
    <w:p w14:paraId="0765D57F" w14:textId="335154DA" w:rsidR="00D926FD" w:rsidRPr="001472AF" w:rsidRDefault="00B95A3F" w:rsidP="00AF46A0">
      <w:pPr>
        <w:spacing w:after="120"/>
        <w:rPr>
          <w:rFonts w:cs="Arial"/>
        </w:rPr>
      </w:pPr>
      <w:r w:rsidRPr="002D07A3">
        <w:rPr>
          <w:rFonts w:cs="Arial"/>
          <w:u w:val="single"/>
        </w:rPr>
        <w:t>Without a loading dose:</w:t>
      </w:r>
      <w:r>
        <w:rPr>
          <w:rFonts w:cs="Arial"/>
        </w:rPr>
        <w:t xml:space="preserve"> </w:t>
      </w:r>
      <w:r w:rsidRPr="00B95A3F">
        <w:rPr>
          <w:rFonts w:cs="Arial"/>
        </w:rPr>
        <w:t>The recommended dose is 150 mg by subcutaneous injection every month.</w:t>
      </w:r>
    </w:p>
    <w:p w14:paraId="39814A2C" w14:textId="77777777"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Assessment Prior to Initiation of COSENTYX</w:t>
      </w:r>
    </w:p>
    <w:p w14:paraId="30073C86" w14:textId="77777777" w:rsidR="008A42F5" w:rsidRPr="00733D88" w:rsidRDefault="008A42F5" w:rsidP="00AF46A0">
      <w:pPr>
        <w:rPr>
          <w:rFonts w:cs="Arial"/>
        </w:rPr>
      </w:pPr>
      <w:r w:rsidRPr="002D07A3">
        <w:rPr>
          <w:rFonts w:cs="Arial"/>
        </w:rPr>
        <w:t xml:space="preserve">Evaluate patients for tuberculosis (TB) infection prior to initiating treatment with COSENTYX </w:t>
      </w:r>
      <w:r w:rsidRPr="002D07A3">
        <w:rPr>
          <w:rFonts w:cs="Arial"/>
          <w:iCs/>
        </w:rPr>
        <w:t xml:space="preserve">(see </w:t>
      </w:r>
      <w:r w:rsidR="008302EB" w:rsidRPr="002D07A3">
        <w:rPr>
          <w:rFonts w:cs="Arial"/>
          <w:iCs/>
        </w:rPr>
        <w:t xml:space="preserve">section 4.4. SPECIAL WARNINGS AND </w:t>
      </w:r>
      <w:r w:rsidRPr="002D07A3">
        <w:rPr>
          <w:rFonts w:cs="Arial"/>
          <w:iCs/>
        </w:rPr>
        <w:t>PRECAUTIONS</w:t>
      </w:r>
      <w:r w:rsidR="008302EB" w:rsidRPr="002D07A3">
        <w:rPr>
          <w:rFonts w:cs="Arial"/>
          <w:iCs/>
        </w:rPr>
        <w:t xml:space="preserve"> FOR USE</w:t>
      </w:r>
      <w:r w:rsidRPr="002D07A3">
        <w:rPr>
          <w:rFonts w:cs="Arial"/>
          <w:iCs/>
        </w:rPr>
        <w:t>)</w:t>
      </w:r>
    </w:p>
    <w:p w14:paraId="20A99F8C" w14:textId="77777777"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Special populations</w:t>
      </w:r>
    </w:p>
    <w:p w14:paraId="265A808C" w14:textId="77777777"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t>Patients with renal or hepatic impairment</w:t>
      </w:r>
    </w:p>
    <w:p w14:paraId="790247A8" w14:textId="77777777" w:rsidR="008A42F5" w:rsidRPr="00733D88" w:rsidRDefault="008A42F5" w:rsidP="00AF46A0">
      <w:pPr>
        <w:rPr>
          <w:rFonts w:cs="Arial"/>
        </w:rPr>
      </w:pPr>
      <w:r w:rsidRPr="00733D88">
        <w:rPr>
          <w:rFonts w:cs="Arial"/>
        </w:rPr>
        <w:t>COSENTYX has not been specifically studied in these patient populations. No dose recommendations can be made.</w:t>
      </w:r>
    </w:p>
    <w:p w14:paraId="6783FF33" w14:textId="77777777"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t>Paediatric and adolescent patients</w:t>
      </w:r>
    </w:p>
    <w:p w14:paraId="4DE23B71" w14:textId="77777777" w:rsidR="008A42F5" w:rsidRPr="00733D88" w:rsidRDefault="008A42F5" w:rsidP="00AF46A0">
      <w:pPr>
        <w:rPr>
          <w:rFonts w:cs="Arial"/>
        </w:rPr>
      </w:pPr>
      <w:r w:rsidRPr="00733D88">
        <w:rPr>
          <w:rFonts w:cs="Arial"/>
        </w:rPr>
        <w:t xml:space="preserve">Safety and effectiveness in patients below the age of 18 years have not yet been established. </w:t>
      </w:r>
    </w:p>
    <w:p w14:paraId="7B0F37D0" w14:textId="77777777"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t>Elderly patients (≥ 65 years of age)</w:t>
      </w:r>
    </w:p>
    <w:p w14:paraId="11DD17A2" w14:textId="77777777" w:rsidR="008A42F5" w:rsidRPr="00733D88" w:rsidRDefault="008A42F5" w:rsidP="00AF46A0">
      <w:pPr>
        <w:rPr>
          <w:rFonts w:cs="Arial"/>
        </w:rPr>
      </w:pPr>
      <w:r w:rsidRPr="00733D88">
        <w:rPr>
          <w:rFonts w:cs="Arial"/>
        </w:rPr>
        <w:t>No dose adjustment is needed for elderly patients.</w:t>
      </w:r>
    </w:p>
    <w:p w14:paraId="69E05912" w14:textId="77777777" w:rsidR="008A42F5" w:rsidRPr="002D07A3" w:rsidRDefault="008A42F5" w:rsidP="00AF46A0">
      <w:pPr>
        <w:spacing w:after="0"/>
        <w:rPr>
          <w:rFonts w:asciiTheme="majorHAnsi" w:hAnsiTheme="majorHAnsi" w:cstheme="minorHAnsi"/>
          <w:b/>
          <w:u w:val="single"/>
        </w:rPr>
      </w:pPr>
      <w:r w:rsidRPr="002D07A3">
        <w:rPr>
          <w:rFonts w:asciiTheme="majorHAnsi" w:hAnsiTheme="majorHAnsi" w:cstheme="minorHAnsi"/>
          <w:b/>
          <w:u w:val="single"/>
        </w:rPr>
        <w:t>Administration</w:t>
      </w:r>
    </w:p>
    <w:p w14:paraId="74CC0766" w14:textId="12682C3C" w:rsidR="00353978" w:rsidRDefault="008A42F5" w:rsidP="00AF46A0">
      <w:pPr>
        <w:rPr>
          <w:rFonts w:asciiTheme="majorHAnsi" w:hAnsiTheme="majorHAnsi" w:cstheme="minorHAnsi"/>
          <w:b/>
        </w:rPr>
      </w:pPr>
      <w:r w:rsidRPr="00733D88">
        <w:rPr>
          <w:rFonts w:cs="Arial"/>
        </w:rPr>
        <w:t>The product is for single use in one patient only. Discard any residue.</w:t>
      </w:r>
      <w:r w:rsidR="00AB2973">
        <w:rPr>
          <w:rFonts w:cs="Arial"/>
        </w:rPr>
        <w:t xml:space="preserve"> </w:t>
      </w:r>
    </w:p>
    <w:p w14:paraId="6D633E5C" w14:textId="4D3491D9"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lastRenderedPageBreak/>
        <w:t>Powder for injection</w:t>
      </w:r>
    </w:p>
    <w:p w14:paraId="135C3062" w14:textId="77777777" w:rsidR="008A42F5" w:rsidRPr="00733D88" w:rsidRDefault="008A42F5" w:rsidP="00AF46A0">
      <w:pPr>
        <w:rPr>
          <w:rFonts w:cs="Arial"/>
        </w:rPr>
      </w:pPr>
      <w:r w:rsidRPr="00733D88">
        <w:rPr>
          <w:rFonts w:cs="Arial"/>
        </w:rPr>
        <w:t>COSENTYX is administered by subcutaneous injection. Each vial of COSENTYX must be reconstituted with 1 mL of sterile water for injections to obtain a 150 mg/mL solution. The powder for injection should be administered by healthcare professionals only.</w:t>
      </w:r>
    </w:p>
    <w:p w14:paraId="52B8D4E0" w14:textId="77777777" w:rsidR="008A42F5" w:rsidRPr="002D07A3" w:rsidRDefault="008A42F5" w:rsidP="00AF46A0">
      <w:pPr>
        <w:spacing w:after="0"/>
        <w:rPr>
          <w:rFonts w:asciiTheme="majorHAnsi" w:hAnsiTheme="majorHAnsi" w:cstheme="minorHAnsi"/>
          <w:b/>
        </w:rPr>
      </w:pPr>
      <w:r w:rsidRPr="002D07A3">
        <w:rPr>
          <w:rFonts w:asciiTheme="majorHAnsi" w:hAnsiTheme="majorHAnsi" w:cstheme="minorHAnsi"/>
          <w:b/>
        </w:rPr>
        <w:t>Prefilled syringe and pre-filled pen</w:t>
      </w:r>
    </w:p>
    <w:p w14:paraId="17CB74D6" w14:textId="77777777" w:rsidR="008A42F5" w:rsidRPr="00733D88" w:rsidRDefault="008A42F5" w:rsidP="00AF46A0">
      <w:pPr>
        <w:rPr>
          <w:rFonts w:cs="Arial"/>
        </w:rPr>
      </w:pPr>
      <w:r w:rsidRPr="00733D88">
        <w:rPr>
          <w:rFonts w:cs="Arial"/>
        </w:rPr>
        <w:t xml:space="preserve">COSENTYX is administered by subcutaneous injection. If possible, areas of the skin that show psoriasis should be avoided as injection sites. </w:t>
      </w:r>
    </w:p>
    <w:p w14:paraId="734DF8F3" w14:textId="77777777" w:rsidR="008A42F5" w:rsidRPr="00733D88" w:rsidRDefault="008A42F5" w:rsidP="00AF46A0">
      <w:pPr>
        <w:rPr>
          <w:rFonts w:cs="Arial"/>
        </w:rPr>
      </w:pPr>
      <w:r w:rsidRPr="00733D88">
        <w:rPr>
          <w:rFonts w:cs="Arial"/>
        </w:rPr>
        <w:t xml:space="preserve">Before injection, </w:t>
      </w:r>
      <w:proofErr w:type="spellStart"/>
      <w:r w:rsidRPr="00733D88">
        <w:rPr>
          <w:rFonts w:cs="Arial"/>
        </w:rPr>
        <w:t>secukinumab</w:t>
      </w:r>
      <w:proofErr w:type="spellEnd"/>
      <w:r w:rsidRPr="00733D88">
        <w:rPr>
          <w:rFonts w:cs="Arial"/>
        </w:rPr>
        <w:t xml:space="preserve"> may be allowed to reach room temperature (20 minutes) without removing the needle cap during this time.</w:t>
      </w:r>
    </w:p>
    <w:p w14:paraId="11547FDC" w14:textId="77777777" w:rsidR="008A42F5" w:rsidRPr="00733D88" w:rsidRDefault="008A42F5" w:rsidP="00AF46A0">
      <w:pPr>
        <w:rPr>
          <w:rFonts w:cs="Arial"/>
        </w:rPr>
      </w:pPr>
      <w:r w:rsidRPr="00733D88">
        <w:rPr>
          <w:rFonts w:cs="Arial"/>
        </w:rPr>
        <w:t>Prior to administration, the liquid must be checked whether it is clear and colourless. The solution should not be used if discoloured, or cloudy, or if foreign particles are present.</w:t>
      </w:r>
    </w:p>
    <w:p w14:paraId="71B9DEE1" w14:textId="77777777" w:rsidR="008A42F5" w:rsidRPr="00733D88" w:rsidRDefault="008A42F5" w:rsidP="00AF46A0">
      <w:pPr>
        <w:rPr>
          <w:sz w:val="24"/>
        </w:rPr>
      </w:pPr>
      <w:r w:rsidRPr="00733D88">
        <w:rPr>
          <w:rFonts w:cs="Arial"/>
        </w:rPr>
        <w:t>After proper training in subcutaneous injection technique, patients or appropriate care giver may self-inject COSENTYX if a physician determines that it is appropriate. However, the physician should ensure appropriate follow-up of patients. Patients should be instructed to inject the full amount of COSENTYX according to the instructions provided in the package leaflet. Comprehensive instructions for administration are given in the package leaflet.</w:t>
      </w:r>
    </w:p>
    <w:p w14:paraId="02A85447" w14:textId="77777777" w:rsidR="001A3992" w:rsidRPr="00733D88" w:rsidRDefault="001A3992" w:rsidP="00AF46A0">
      <w:pPr>
        <w:pStyle w:val="Heading2"/>
        <w:spacing w:before="0" w:after="120"/>
        <w:ind w:left="578" w:hanging="578"/>
        <w:rPr>
          <w:rFonts w:cstheme="minorHAnsi"/>
        </w:rPr>
      </w:pPr>
      <w:r w:rsidRPr="00733D88">
        <w:rPr>
          <w:rFonts w:cstheme="minorHAnsi"/>
        </w:rPr>
        <w:t>Contraindications</w:t>
      </w:r>
    </w:p>
    <w:p w14:paraId="0EB5E90F" w14:textId="77777777" w:rsidR="008A42F5" w:rsidRPr="00733D88" w:rsidRDefault="008A42F5" w:rsidP="00AF46A0">
      <w:pPr>
        <w:rPr>
          <w:rFonts w:cs="Arial"/>
        </w:rPr>
      </w:pPr>
      <w:r w:rsidRPr="00733D88">
        <w:rPr>
          <w:rFonts w:cs="Arial"/>
        </w:rPr>
        <w:t xml:space="preserve">Severe hypersensitivity reactions to the active substance or to any of the excipients (see ingredients in </w:t>
      </w:r>
      <w:r w:rsidR="008302EB" w:rsidRPr="00733D88">
        <w:rPr>
          <w:rFonts w:cs="Arial"/>
        </w:rPr>
        <w:t>section 6.1 LIST OF EXCIPIENTS</w:t>
      </w:r>
      <w:r w:rsidRPr="00733D88">
        <w:rPr>
          <w:rFonts w:cs="Arial"/>
        </w:rPr>
        <w:t xml:space="preserve">, and </w:t>
      </w:r>
      <w:r w:rsidR="008302EB" w:rsidRPr="00733D88">
        <w:rPr>
          <w:rFonts w:cs="Arial"/>
        </w:rPr>
        <w:t xml:space="preserve">section 4.8 </w:t>
      </w:r>
      <w:r w:rsidRPr="00733D88">
        <w:rPr>
          <w:rFonts w:cs="Arial"/>
        </w:rPr>
        <w:t>ADVERSE EFFECTS).</w:t>
      </w:r>
    </w:p>
    <w:p w14:paraId="73BA9FF1" w14:textId="77777777" w:rsidR="008A42F5" w:rsidRPr="00733D88" w:rsidRDefault="008A42F5" w:rsidP="00AF46A0">
      <w:pPr>
        <w:rPr>
          <w:sz w:val="24"/>
        </w:rPr>
      </w:pPr>
      <w:r w:rsidRPr="00733D88">
        <w:rPr>
          <w:rFonts w:cs="Arial"/>
        </w:rPr>
        <w:t xml:space="preserve">Clinically important, active infections (see </w:t>
      </w:r>
      <w:r w:rsidR="008302EB" w:rsidRPr="00733D88">
        <w:rPr>
          <w:rFonts w:cs="Arial"/>
        </w:rPr>
        <w:t xml:space="preserve">section 4.4 </w:t>
      </w:r>
      <w:r w:rsidR="008302EB" w:rsidRPr="002D07A3">
        <w:rPr>
          <w:rFonts w:cs="Arial"/>
          <w:iCs/>
        </w:rPr>
        <w:t>SPECIAL WARNINGS AND PRECAUTIONS FOR USE</w:t>
      </w:r>
      <w:r w:rsidRPr="00733D88">
        <w:rPr>
          <w:rFonts w:cs="Arial"/>
        </w:rPr>
        <w:t>).</w:t>
      </w:r>
    </w:p>
    <w:p w14:paraId="5996D9EF" w14:textId="77777777" w:rsidR="001A3992" w:rsidRPr="00733D88" w:rsidRDefault="00E74A56" w:rsidP="00AF46A0">
      <w:pPr>
        <w:pStyle w:val="Heading2"/>
        <w:spacing w:before="0" w:after="120"/>
        <w:ind w:left="578" w:hanging="578"/>
        <w:rPr>
          <w:rFonts w:cstheme="minorHAnsi"/>
        </w:rPr>
      </w:pPr>
      <w:r w:rsidRPr="00733D88">
        <w:rPr>
          <w:rFonts w:cstheme="minorHAnsi"/>
        </w:rPr>
        <w:t>Special warnings and p</w:t>
      </w:r>
      <w:r w:rsidR="001A3992" w:rsidRPr="00733D88">
        <w:rPr>
          <w:rFonts w:cstheme="minorHAnsi"/>
        </w:rPr>
        <w:t xml:space="preserve">recautions </w:t>
      </w:r>
      <w:r w:rsidRPr="00733D88">
        <w:rPr>
          <w:rFonts w:cstheme="minorHAnsi"/>
        </w:rPr>
        <w:t>for use</w:t>
      </w:r>
    </w:p>
    <w:p w14:paraId="0B33898F" w14:textId="77777777" w:rsidR="008A42F5" w:rsidRPr="00733D88" w:rsidRDefault="008A42F5" w:rsidP="00AF46A0">
      <w:pPr>
        <w:pStyle w:val="Heading3"/>
        <w:spacing w:before="0" w:after="120"/>
        <w:ind w:left="0"/>
        <w:rPr>
          <w:rFonts w:cstheme="minorHAnsi"/>
        </w:rPr>
      </w:pPr>
      <w:r w:rsidRPr="00733D88">
        <w:rPr>
          <w:rFonts w:cstheme="minorHAnsi"/>
        </w:rPr>
        <w:t>Infections</w:t>
      </w:r>
    </w:p>
    <w:p w14:paraId="5330DD5C" w14:textId="77777777" w:rsidR="008A42F5" w:rsidRPr="00733D88" w:rsidRDefault="008A42F5" w:rsidP="00AF46A0">
      <w:pPr>
        <w:rPr>
          <w:rFonts w:eastAsia="MS Mincho" w:cs="Arial"/>
        </w:rPr>
      </w:pPr>
      <w:r w:rsidRPr="00733D88">
        <w:rPr>
          <w:rFonts w:eastAsia="MS Mincho" w:cs="Arial"/>
        </w:rPr>
        <w:t xml:space="preserve">COSENTYX has the potential to increase the risk of infections. In clinical studies, infections have been observed in patients receiving COSENTYX (see </w:t>
      </w:r>
      <w:r w:rsidR="008302EB" w:rsidRPr="00733D88">
        <w:rPr>
          <w:rFonts w:eastAsia="MS Mincho" w:cs="Arial"/>
        </w:rPr>
        <w:t xml:space="preserve">section 4.8 </w:t>
      </w:r>
      <w:r w:rsidRPr="00733D88">
        <w:rPr>
          <w:rFonts w:eastAsia="MS Mincho" w:cs="Arial"/>
        </w:rPr>
        <w:t>ADVERSE EFFECTS). Most of these were mild or moderate.</w:t>
      </w:r>
    </w:p>
    <w:p w14:paraId="14A8E4EC" w14:textId="77777777" w:rsidR="008A42F5" w:rsidRPr="00733D88" w:rsidRDefault="008A42F5" w:rsidP="00AF46A0">
      <w:pPr>
        <w:rPr>
          <w:rFonts w:eastAsia="MS Mincho" w:cs="Arial"/>
        </w:rPr>
      </w:pPr>
      <w:r w:rsidRPr="00733D88">
        <w:rPr>
          <w:rFonts w:eastAsia="MS Mincho" w:cs="Arial"/>
        </w:rPr>
        <w:t xml:space="preserve">Related to the mechanism of action of COSENTYX, non-serious </w:t>
      </w:r>
      <w:proofErr w:type="spellStart"/>
      <w:r w:rsidRPr="00733D88">
        <w:rPr>
          <w:rFonts w:eastAsia="MS Mincho" w:cs="Arial"/>
        </w:rPr>
        <w:t>mucocutaneous</w:t>
      </w:r>
      <w:proofErr w:type="spellEnd"/>
      <w:r w:rsidRPr="00733D88">
        <w:rPr>
          <w:rFonts w:eastAsia="MS Mincho" w:cs="Arial"/>
        </w:rPr>
        <w:t xml:space="preserve"> candida infections were more frequently reported for </w:t>
      </w:r>
      <w:proofErr w:type="spellStart"/>
      <w:r w:rsidRPr="00733D88">
        <w:rPr>
          <w:rFonts w:eastAsia="MS Mincho" w:cs="Arial"/>
        </w:rPr>
        <w:t>secukinumab</w:t>
      </w:r>
      <w:proofErr w:type="spellEnd"/>
      <w:r w:rsidRPr="00733D88">
        <w:rPr>
          <w:rFonts w:eastAsia="MS Mincho" w:cs="Arial"/>
        </w:rPr>
        <w:t xml:space="preserve"> than placebo in the psoriasis clinical studies (3.55 per 100 patient years for </w:t>
      </w:r>
      <w:proofErr w:type="spellStart"/>
      <w:r w:rsidRPr="00733D88">
        <w:rPr>
          <w:rFonts w:eastAsia="MS Mincho" w:cs="Arial"/>
        </w:rPr>
        <w:t>secukinumab</w:t>
      </w:r>
      <w:proofErr w:type="spellEnd"/>
      <w:r w:rsidRPr="00733D88">
        <w:rPr>
          <w:rFonts w:eastAsia="MS Mincho" w:cs="Arial"/>
        </w:rPr>
        <w:t xml:space="preserve"> 300 mg versus 1.00 per 100 patient years for placebo) (see </w:t>
      </w:r>
      <w:r w:rsidR="008302EB" w:rsidRPr="00733D88">
        <w:rPr>
          <w:rFonts w:eastAsia="MS Mincho" w:cs="Arial"/>
        </w:rPr>
        <w:t>section 4.8 ADVERSE EFFECTS</w:t>
      </w:r>
      <w:r w:rsidRPr="00733D88">
        <w:rPr>
          <w:rFonts w:eastAsia="MS Mincho" w:cs="Arial"/>
        </w:rPr>
        <w:t xml:space="preserve">). </w:t>
      </w:r>
    </w:p>
    <w:p w14:paraId="2E62E4B0" w14:textId="2145A4D8" w:rsidR="008A42F5" w:rsidRPr="00733D88" w:rsidRDefault="008A42F5" w:rsidP="00AF46A0">
      <w:pPr>
        <w:rPr>
          <w:rFonts w:eastAsia="MS Mincho" w:cs="Arial"/>
        </w:rPr>
      </w:pPr>
      <w:r w:rsidRPr="00733D88">
        <w:rPr>
          <w:rFonts w:cs="Arial"/>
        </w:rPr>
        <w:t xml:space="preserve">A similar increase in risk of infection was seen in placebo-controlled trials in patients with psoriatic </w:t>
      </w:r>
      <w:r w:rsidRPr="003418E5">
        <w:rPr>
          <w:rFonts w:cs="Arial"/>
        </w:rPr>
        <w:t xml:space="preserve">arthritis and </w:t>
      </w:r>
      <w:r w:rsidR="002E4CC9" w:rsidRPr="003418E5">
        <w:rPr>
          <w:rFonts w:cs="Arial"/>
        </w:rPr>
        <w:t xml:space="preserve">axial </w:t>
      </w:r>
      <w:proofErr w:type="spellStart"/>
      <w:r w:rsidR="002E4CC9" w:rsidRPr="003418E5">
        <w:rPr>
          <w:rFonts w:cs="Arial"/>
        </w:rPr>
        <w:t>spondyloarthritis</w:t>
      </w:r>
      <w:proofErr w:type="spellEnd"/>
      <w:r w:rsidRPr="003418E5">
        <w:rPr>
          <w:rFonts w:cs="Arial"/>
        </w:rPr>
        <w:t>. The incidence of some types of infections appeared to be dose-</w:t>
      </w:r>
      <w:r w:rsidRPr="00733D88">
        <w:rPr>
          <w:rFonts w:cs="Arial"/>
        </w:rPr>
        <w:t>depende</w:t>
      </w:r>
      <w:r w:rsidR="00CC78C5" w:rsidRPr="00733D88">
        <w:rPr>
          <w:rFonts w:cs="Arial"/>
        </w:rPr>
        <w:t xml:space="preserve">nt in clinical studies (see </w:t>
      </w:r>
      <w:r w:rsidR="008302EB" w:rsidRPr="00733D88">
        <w:rPr>
          <w:rFonts w:cs="Arial"/>
        </w:rPr>
        <w:t>section 4.8 ADVERSE EFFECTS</w:t>
      </w:r>
      <w:r w:rsidR="00CC78C5" w:rsidRPr="00733D88">
        <w:rPr>
          <w:rFonts w:cs="Arial"/>
        </w:rPr>
        <w:t>).</w:t>
      </w:r>
    </w:p>
    <w:p w14:paraId="22EBFB32" w14:textId="77777777" w:rsidR="008A42F5" w:rsidRPr="00733D88" w:rsidRDefault="008A42F5" w:rsidP="00AF46A0">
      <w:pPr>
        <w:rPr>
          <w:rFonts w:eastAsia="MS Mincho" w:cs="Arial"/>
        </w:rPr>
      </w:pPr>
      <w:r w:rsidRPr="00733D88">
        <w:rPr>
          <w:rFonts w:eastAsia="MS Mincho" w:cs="Arial"/>
        </w:rPr>
        <w:t>Caution should be exercised when considering the use of COSENTYX in patients with a chronic infection or a history of recurrent infection.</w:t>
      </w:r>
    </w:p>
    <w:p w14:paraId="52107D09" w14:textId="77777777" w:rsidR="008A42F5" w:rsidRPr="00733D88" w:rsidRDefault="008A42F5" w:rsidP="00AF46A0">
      <w:pPr>
        <w:rPr>
          <w:rFonts w:eastAsia="MS Mincho" w:cs="Arial"/>
        </w:rPr>
      </w:pPr>
      <w:r w:rsidRPr="00733D88">
        <w:rPr>
          <w:rFonts w:eastAsia="MS Mincho" w:cs="Arial"/>
        </w:rPr>
        <w:t>Patients should be instructed to seek medical advice if signs or symptoms suggestive of an infection occur. If a patient develops a serious infection, the patient should be closely monitored and COSENTYX should not be administered until the infection resolves.</w:t>
      </w:r>
    </w:p>
    <w:p w14:paraId="5D99B43C" w14:textId="77777777" w:rsidR="008A42F5" w:rsidRPr="00733D88" w:rsidRDefault="008A42F5" w:rsidP="00AF46A0">
      <w:pPr>
        <w:rPr>
          <w:rFonts w:eastAsia="MS Mincho" w:cs="Arial"/>
        </w:rPr>
      </w:pPr>
      <w:r w:rsidRPr="00733D88">
        <w:rPr>
          <w:rFonts w:eastAsia="MS Mincho" w:cs="Arial"/>
        </w:rPr>
        <w:t>No increased susceptibility to tuberculosis was reported from clinical studies. However, COSENTYX should not be given to patients with active tuberculosis. Anti-tuberculosis therapy should be considered prior to initiation of COSENTYX in patients with latent tuberculosis.</w:t>
      </w:r>
    </w:p>
    <w:p w14:paraId="6CA44633" w14:textId="77777777" w:rsidR="008A42F5" w:rsidRPr="00733D88" w:rsidRDefault="008A42F5" w:rsidP="00AF46A0">
      <w:pPr>
        <w:pStyle w:val="Heading3"/>
        <w:spacing w:before="0" w:after="120"/>
        <w:ind w:left="0"/>
        <w:rPr>
          <w:rFonts w:cstheme="minorHAnsi"/>
        </w:rPr>
      </w:pPr>
      <w:r w:rsidRPr="00733D88">
        <w:rPr>
          <w:rFonts w:cstheme="minorHAnsi"/>
        </w:rPr>
        <w:t>Crohn’s disease</w:t>
      </w:r>
    </w:p>
    <w:p w14:paraId="7525FBA6" w14:textId="18EFCCE1" w:rsidR="008A42F5" w:rsidRPr="00733D88" w:rsidRDefault="008A42F5" w:rsidP="00AF46A0">
      <w:pPr>
        <w:rPr>
          <w:rFonts w:eastAsia="MS Mincho" w:cs="Arial"/>
        </w:rPr>
      </w:pPr>
      <w:r w:rsidRPr="00733D88">
        <w:rPr>
          <w:rFonts w:eastAsia="MS Mincho" w:cs="Arial"/>
        </w:rPr>
        <w:t xml:space="preserve">Caution should be exercised, when prescribing COSENTYX to patients with inflammatory bowel disease.  Exacerbations, in some cases serious, occurred in COSENTYX treated patients during clinical trials in plaque psoriasis, psoriatic arthritis, and ankylosing spondylitis.  In addition, new onset inflammatory bowel disease cases occurred in clinical trials with COSENTYX.  </w:t>
      </w:r>
    </w:p>
    <w:p w14:paraId="4D340983" w14:textId="77777777" w:rsidR="008A42F5" w:rsidRPr="00733D88" w:rsidRDefault="008A42F5" w:rsidP="00AF46A0">
      <w:pPr>
        <w:rPr>
          <w:rFonts w:eastAsia="MS Mincho" w:cs="Arial"/>
        </w:rPr>
      </w:pPr>
      <w:r w:rsidRPr="00733D88">
        <w:rPr>
          <w:rFonts w:eastAsia="MS Mincho" w:cs="Arial"/>
        </w:rPr>
        <w:t>Patients who are treated with COSENTYX should be monitored for signs and symptoms of inflammatory bowel disease.</w:t>
      </w:r>
    </w:p>
    <w:p w14:paraId="605DCA51" w14:textId="77777777" w:rsidR="008A42F5" w:rsidRPr="00733D88" w:rsidRDefault="008A42F5" w:rsidP="00AF46A0">
      <w:pPr>
        <w:pStyle w:val="Heading3"/>
        <w:spacing w:before="0" w:after="120"/>
        <w:ind w:left="0"/>
        <w:rPr>
          <w:rFonts w:cstheme="minorHAnsi"/>
        </w:rPr>
      </w:pPr>
      <w:r w:rsidRPr="00733D88">
        <w:rPr>
          <w:rFonts w:cstheme="minorHAnsi"/>
        </w:rPr>
        <w:t>Hypersensitivity reactions</w:t>
      </w:r>
    </w:p>
    <w:p w14:paraId="09277C91" w14:textId="77777777" w:rsidR="008A42F5" w:rsidRPr="00733D88" w:rsidRDefault="008A42F5" w:rsidP="00AF46A0">
      <w:pPr>
        <w:rPr>
          <w:rFonts w:eastAsia="MS Mincho" w:cs="Arial"/>
        </w:rPr>
      </w:pPr>
      <w:r w:rsidRPr="00733D88">
        <w:rPr>
          <w:rFonts w:eastAsia="MS Mincho" w:cs="Arial"/>
        </w:rPr>
        <w:t>In clinical studies, rare cases of anaphylactic reactions have been observed in patients receiving COSENTYX. If an anaphylactic or other serious allergic reaction occurs, administration of COSENTYX should be discontinued immediately and appropriate therapy initiated.</w:t>
      </w:r>
    </w:p>
    <w:p w14:paraId="4AE272CF" w14:textId="77777777" w:rsidR="008A42F5" w:rsidRPr="00733D88" w:rsidRDefault="008A42F5" w:rsidP="00AF46A0">
      <w:pPr>
        <w:pStyle w:val="Heading3"/>
        <w:spacing w:before="0" w:after="120"/>
        <w:ind w:left="0"/>
        <w:rPr>
          <w:rFonts w:cstheme="minorHAnsi"/>
        </w:rPr>
      </w:pPr>
      <w:r w:rsidRPr="00733D88">
        <w:rPr>
          <w:rFonts w:cstheme="minorHAnsi"/>
        </w:rPr>
        <w:t xml:space="preserve">Latex-sensitive individuals – prefilled-syringe/pen only </w:t>
      </w:r>
    </w:p>
    <w:p w14:paraId="6C5B4883" w14:textId="77777777" w:rsidR="008A42F5" w:rsidRPr="00733D88" w:rsidRDefault="008A42F5" w:rsidP="00AF46A0">
      <w:pPr>
        <w:rPr>
          <w:rFonts w:eastAsia="MS Mincho" w:cs="Arial"/>
        </w:rPr>
      </w:pPr>
      <w:r w:rsidRPr="00733D88">
        <w:rPr>
          <w:rFonts w:eastAsia="MS Mincho" w:cs="Arial"/>
        </w:rPr>
        <w:t>The removable cap of the COSENTYX pre-filled syringe/pen contains a derivative of natural rubber latex. Although no natural rubber latex is detected in the cap, the safe use of COSENTYX pre-filled syringe/pen in latex-sensitive individuals has not been studied.</w:t>
      </w:r>
    </w:p>
    <w:p w14:paraId="04F9B737" w14:textId="77777777" w:rsidR="008A42F5" w:rsidRPr="00733D88" w:rsidRDefault="008A42F5" w:rsidP="00AF46A0">
      <w:pPr>
        <w:pStyle w:val="Heading3"/>
        <w:spacing w:before="0" w:after="120"/>
        <w:ind w:left="0"/>
        <w:rPr>
          <w:rFonts w:cstheme="minorHAnsi"/>
        </w:rPr>
      </w:pPr>
      <w:r w:rsidRPr="00733D88">
        <w:rPr>
          <w:rFonts w:cstheme="minorHAnsi"/>
        </w:rPr>
        <w:t>Vaccinations</w:t>
      </w:r>
    </w:p>
    <w:p w14:paraId="7AF66290" w14:textId="77777777" w:rsidR="008A42F5" w:rsidRPr="00733D88" w:rsidRDefault="008A42F5" w:rsidP="00AF46A0">
      <w:pPr>
        <w:rPr>
          <w:rFonts w:eastAsia="MS Mincho" w:cs="Arial"/>
        </w:rPr>
      </w:pPr>
      <w:r w:rsidRPr="00733D88">
        <w:rPr>
          <w:rFonts w:eastAsia="MS Mincho" w:cs="Arial"/>
        </w:rPr>
        <w:t xml:space="preserve">Live vaccines should not be given concurrently with COSENTYX (see </w:t>
      </w:r>
      <w:r w:rsidR="008302EB" w:rsidRPr="00733D88">
        <w:rPr>
          <w:rFonts w:eastAsia="MS Mincho" w:cs="Arial"/>
        </w:rPr>
        <w:t xml:space="preserve">section 4.5 </w:t>
      </w:r>
      <w:r w:rsidRPr="00733D88">
        <w:rPr>
          <w:rFonts w:eastAsia="MS Mincho" w:cs="Arial"/>
        </w:rPr>
        <w:t xml:space="preserve">INTERACTIONS WITH OTHER MEDICINES). </w:t>
      </w:r>
    </w:p>
    <w:p w14:paraId="5930273F" w14:textId="77777777" w:rsidR="008A42F5" w:rsidRPr="00733D88" w:rsidRDefault="008A42F5" w:rsidP="00AF46A0">
      <w:pPr>
        <w:rPr>
          <w:rFonts w:eastAsia="MS Mincho" w:cs="Arial"/>
        </w:rPr>
      </w:pPr>
      <w:r w:rsidRPr="00733D88">
        <w:rPr>
          <w:rFonts w:eastAsia="MS Mincho" w:cs="Arial"/>
        </w:rPr>
        <w:t xml:space="preserve">Patients treated with COSENTYX may receive vaccinations, except for live vaccines. In a study, after </w:t>
      </w:r>
      <w:r w:rsidRPr="00733D88">
        <w:rPr>
          <w:i/>
          <w:iCs/>
        </w:rPr>
        <w:t>meningococcal</w:t>
      </w:r>
      <w:r w:rsidRPr="00733D88">
        <w:rPr>
          <w:rFonts w:eastAsia="MS Mincho" w:cs="Arial"/>
        </w:rPr>
        <w:t xml:space="preserve"> and inactivated </w:t>
      </w:r>
      <w:r w:rsidRPr="00733D88">
        <w:rPr>
          <w:i/>
          <w:iCs/>
        </w:rPr>
        <w:t>influenza</w:t>
      </w:r>
      <w:r w:rsidRPr="00733D88">
        <w:rPr>
          <w:rFonts w:eastAsia="MS Mincho" w:cs="Arial"/>
        </w:rPr>
        <w:t xml:space="preserve"> vaccinations, a similar proportion of COSENTYX-treated and placebo-treated patients were able to mount an adequate immune response of at least a 4-fold increase in antibody titres to </w:t>
      </w:r>
      <w:r w:rsidRPr="00733D88">
        <w:rPr>
          <w:i/>
          <w:iCs/>
        </w:rPr>
        <w:t>meningococcal</w:t>
      </w:r>
      <w:r w:rsidRPr="00733D88">
        <w:rPr>
          <w:rFonts w:eastAsia="MS Mincho" w:cs="Arial"/>
        </w:rPr>
        <w:t xml:space="preserve"> or </w:t>
      </w:r>
      <w:r w:rsidRPr="00733D88">
        <w:rPr>
          <w:i/>
          <w:iCs/>
        </w:rPr>
        <w:t>influenza</w:t>
      </w:r>
      <w:r w:rsidRPr="00733D88">
        <w:rPr>
          <w:rFonts w:eastAsia="MS Mincho" w:cs="Arial"/>
        </w:rPr>
        <w:t xml:space="preserve"> </w:t>
      </w:r>
      <w:r w:rsidRPr="00733D88">
        <w:rPr>
          <w:rFonts w:eastAsia="MS Mincho"/>
        </w:rPr>
        <w:t>vaccines</w:t>
      </w:r>
      <w:r w:rsidRPr="00733D88">
        <w:rPr>
          <w:rFonts w:eastAsia="MS Mincho" w:cs="Arial"/>
        </w:rPr>
        <w:t xml:space="preserve">. The data suggest that COSENTYX does not suppress the humoral immune response to the meningococcal and influenza vaccines. </w:t>
      </w:r>
    </w:p>
    <w:p w14:paraId="275E7C52" w14:textId="77777777" w:rsidR="008A42F5" w:rsidRPr="00733D88" w:rsidRDefault="008A42F5" w:rsidP="00AF46A0">
      <w:pPr>
        <w:rPr>
          <w:rFonts w:eastAsia="MS Mincho" w:cs="Arial"/>
        </w:rPr>
      </w:pPr>
      <w:r w:rsidRPr="00733D88">
        <w:rPr>
          <w:rFonts w:eastAsia="MS Mincho" w:cs="Arial"/>
        </w:rPr>
        <w:t>Patients receiving COSENTYX may receive concurrent inactivated or non-live vaccinations.</w:t>
      </w:r>
    </w:p>
    <w:p w14:paraId="6ED426DC" w14:textId="77777777" w:rsidR="001A3992" w:rsidRPr="00733D88" w:rsidRDefault="001A3992" w:rsidP="00AF46A0">
      <w:pPr>
        <w:pStyle w:val="Heading3"/>
        <w:spacing w:before="0" w:after="120"/>
        <w:ind w:left="0"/>
        <w:rPr>
          <w:rFonts w:cstheme="minorHAnsi"/>
        </w:rPr>
      </w:pPr>
      <w:r w:rsidRPr="00733D88">
        <w:rPr>
          <w:rFonts w:cstheme="minorHAnsi"/>
        </w:rPr>
        <w:t>Use in hepatic impairment</w:t>
      </w:r>
    </w:p>
    <w:p w14:paraId="5BE3B44A" w14:textId="77777777" w:rsidR="008A42F5" w:rsidRPr="00733D88" w:rsidRDefault="008A42F5" w:rsidP="00AF46A0">
      <w:pPr>
        <w:rPr>
          <w:rFonts w:eastAsia="MS Mincho" w:cs="Arial"/>
        </w:rPr>
      </w:pPr>
      <w:r w:rsidRPr="00733D88">
        <w:rPr>
          <w:rFonts w:eastAsia="MS Mincho" w:cs="Arial"/>
        </w:rPr>
        <w:t>No data are available in patients with hepatic impairment.</w:t>
      </w:r>
    </w:p>
    <w:p w14:paraId="49886A27" w14:textId="77777777" w:rsidR="001A3992" w:rsidRPr="00733D88" w:rsidRDefault="001A3992" w:rsidP="00AF46A0">
      <w:pPr>
        <w:pStyle w:val="Heading3"/>
        <w:spacing w:before="0" w:after="120"/>
        <w:ind w:left="0"/>
        <w:rPr>
          <w:rFonts w:cstheme="minorHAnsi"/>
        </w:rPr>
      </w:pPr>
      <w:r w:rsidRPr="00733D88">
        <w:rPr>
          <w:rFonts w:cstheme="minorHAnsi"/>
        </w:rPr>
        <w:t xml:space="preserve">Use in renal </w:t>
      </w:r>
      <w:r w:rsidR="00EB2484" w:rsidRPr="00733D88">
        <w:rPr>
          <w:rFonts w:cstheme="minorHAnsi"/>
        </w:rPr>
        <w:t>impairment</w:t>
      </w:r>
    </w:p>
    <w:p w14:paraId="115D29E5" w14:textId="77777777" w:rsidR="008A42F5" w:rsidRPr="00733D88" w:rsidRDefault="008A42F5" w:rsidP="00AF46A0">
      <w:pPr>
        <w:rPr>
          <w:rFonts w:eastAsia="MS Mincho" w:cs="Arial"/>
        </w:rPr>
      </w:pPr>
      <w:r w:rsidRPr="00733D88">
        <w:rPr>
          <w:rFonts w:eastAsia="MS Mincho" w:cs="Arial"/>
        </w:rPr>
        <w:t>No data are available in patients with renal impairment.</w:t>
      </w:r>
    </w:p>
    <w:p w14:paraId="3E1CF3DC" w14:textId="77777777" w:rsidR="001A3992" w:rsidRPr="00733D88" w:rsidRDefault="001A3992" w:rsidP="00AF46A0">
      <w:pPr>
        <w:pStyle w:val="Heading3"/>
        <w:spacing w:before="0" w:after="120"/>
        <w:ind w:left="0"/>
        <w:rPr>
          <w:rFonts w:cstheme="minorHAnsi"/>
        </w:rPr>
      </w:pPr>
      <w:r w:rsidRPr="00733D88">
        <w:rPr>
          <w:rFonts w:cstheme="minorHAnsi"/>
        </w:rPr>
        <w:t>Use in the elderly</w:t>
      </w:r>
    </w:p>
    <w:p w14:paraId="77C40534" w14:textId="77777777" w:rsidR="008A42F5" w:rsidRPr="00733D88" w:rsidRDefault="008A42F5" w:rsidP="00AF46A0">
      <w:pPr>
        <w:rPr>
          <w:rFonts w:eastAsia="MS Mincho" w:cs="Arial"/>
        </w:rPr>
      </w:pPr>
      <w:r w:rsidRPr="00733D88">
        <w:rPr>
          <w:rFonts w:eastAsia="MS Mincho" w:cs="Arial"/>
        </w:rPr>
        <w:t>Based on population PK analysis, clearance in patients aged 65 and older (n=230) and patients less than 65 years of age was similar.</w:t>
      </w:r>
    </w:p>
    <w:p w14:paraId="36088444" w14:textId="77777777" w:rsidR="001A3992" w:rsidRPr="00733D88" w:rsidRDefault="001A3992" w:rsidP="00AF46A0">
      <w:pPr>
        <w:pStyle w:val="Heading3"/>
        <w:spacing w:before="0" w:after="120"/>
        <w:ind w:left="0"/>
        <w:rPr>
          <w:rFonts w:cstheme="minorHAnsi"/>
        </w:rPr>
      </w:pPr>
      <w:r w:rsidRPr="00733D88">
        <w:rPr>
          <w:rFonts w:cstheme="minorHAnsi"/>
        </w:rPr>
        <w:t>Paediatric use</w:t>
      </w:r>
    </w:p>
    <w:p w14:paraId="7FC6FF96" w14:textId="77777777" w:rsidR="008A42F5" w:rsidRPr="00733D88" w:rsidRDefault="008A42F5" w:rsidP="00AF46A0">
      <w:pPr>
        <w:rPr>
          <w:rFonts w:eastAsia="MS Mincho" w:cs="Arial"/>
        </w:rPr>
      </w:pPr>
      <w:r w:rsidRPr="00733D88">
        <w:rPr>
          <w:rFonts w:eastAsia="MS Mincho" w:cs="Arial"/>
        </w:rPr>
        <w:t>Safety and effectiveness in patients below the age of 18 years have not yet been established.</w:t>
      </w:r>
    </w:p>
    <w:p w14:paraId="10482A5C" w14:textId="77777777" w:rsidR="001A3992" w:rsidRPr="00733D88" w:rsidRDefault="001A3992" w:rsidP="00AF46A0">
      <w:pPr>
        <w:pStyle w:val="Heading3"/>
        <w:spacing w:before="0" w:after="120"/>
        <w:ind w:left="0"/>
        <w:rPr>
          <w:rFonts w:cstheme="minorHAnsi"/>
        </w:rPr>
      </w:pPr>
      <w:r w:rsidRPr="00733D88">
        <w:rPr>
          <w:rFonts w:cstheme="minorHAnsi"/>
        </w:rPr>
        <w:t>Effects on laboratory tests</w:t>
      </w:r>
    </w:p>
    <w:p w14:paraId="3B8DD17B" w14:textId="77777777" w:rsidR="008A42F5" w:rsidRPr="00733D88" w:rsidRDefault="008A42F5" w:rsidP="00AF46A0">
      <w:pPr>
        <w:rPr>
          <w:rFonts w:eastAsia="MS Mincho" w:cs="Arial"/>
        </w:rPr>
      </w:pPr>
      <w:r w:rsidRPr="00733D88">
        <w:rPr>
          <w:rFonts w:eastAsia="MS Mincho" w:cs="Arial"/>
        </w:rPr>
        <w:t>There is no known interference between COSENTYX and routine laboratory tests.</w:t>
      </w:r>
    </w:p>
    <w:p w14:paraId="4AAA2F27" w14:textId="77777777" w:rsidR="001A3992" w:rsidRPr="00733D88" w:rsidRDefault="001A3992" w:rsidP="00AF46A0">
      <w:pPr>
        <w:pStyle w:val="Heading2"/>
        <w:spacing w:before="0" w:after="120"/>
        <w:ind w:left="578" w:hanging="578"/>
        <w:rPr>
          <w:rFonts w:cstheme="minorHAnsi"/>
        </w:rPr>
      </w:pPr>
      <w:r w:rsidRPr="00733D88">
        <w:rPr>
          <w:rFonts w:cstheme="minorHAnsi"/>
        </w:rPr>
        <w:t>Interactions with other medicines and other forms of interactions</w:t>
      </w:r>
    </w:p>
    <w:p w14:paraId="7DDFD257" w14:textId="77777777" w:rsidR="008A42F5" w:rsidRPr="00733D88" w:rsidRDefault="008A42F5" w:rsidP="00AF46A0">
      <w:pPr>
        <w:rPr>
          <w:rFonts w:eastAsia="MS Mincho" w:cs="Arial"/>
        </w:rPr>
      </w:pPr>
      <w:r w:rsidRPr="00733D88">
        <w:rPr>
          <w:rFonts w:eastAsia="MS Mincho" w:cs="Arial"/>
        </w:rPr>
        <w:t xml:space="preserve">Live vaccines should not be given concurrently with COSENTYX (see also </w:t>
      </w:r>
      <w:r w:rsidR="008302EB" w:rsidRPr="00733D88">
        <w:rPr>
          <w:rFonts w:eastAsia="MS Mincho" w:cs="Arial"/>
        </w:rPr>
        <w:t xml:space="preserve">section 4.4 </w:t>
      </w:r>
      <w:r w:rsidR="008302EB" w:rsidRPr="002D07A3">
        <w:rPr>
          <w:rFonts w:cs="Arial"/>
          <w:iCs/>
        </w:rPr>
        <w:t>SPECIAL WARNINGS AND PRECAUTIONS FOR USE</w:t>
      </w:r>
      <w:r w:rsidRPr="00733D88">
        <w:rPr>
          <w:rFonts w:eastAsia="MS Mincho" w:cs="Arial"/>
        </w:rPr>
        <w:t>).</w:t>
      </w:r>
    </w:p>
    <w:p w14:paraId="0E955862" w14:textId="77777777" w:rsidR="008A42F5" w:rsidRPr="00733D88" w:rsidRDefault="008A42F5" w:rsidP="00AF46A0">
      <w:pPr>
        <w:rPr>
          <w:rFonts w:eastAsia="MS Mincho" w:cs="Arial"/>
        </w:rPr>
      </w:pPr>
      <w:r w:rsidRPr="00733D88">
        <w:rPr>
          <w:rFonts w:eastAsia="MS Mincho" w:cs="Arial"/>
        </w:rPr>
        <w:t xml:space="preserve">In a study in subjects with plaque psoriasis, no </w:t>
      </w:r>
      <w:r w:rsidR="00724AC7" w:rsidRPr="00733D88">
        <w:rPr>
          <w:rFonts w:eastAsia="MS Mincho" w:cs="Arial"/>
        </w:rPr>
        <w:t xml:space="preserve">clinically relevant </w:t>
      </w:r>
      <w:r w:rsidRPr="00733D88">
        <w:rPr>
          <w:rFonts w:eastAsia="MS Mincho" w:cs="Arial"/>
        </w:rPr>
        <w:t xml:space="preserve">pharmacokinetic interaction was observed between </w:t>
      </w:r>
      <w:proofErr w:type="spellStart"/>
      <w:r w:rsidRPr="00733D88">
        <w:rPr>
          <w:rFonts w:eastAsia="MS Mincho" w:cs="Arial"/>
        </w:rPr>
        <w:t>secukinumab</w:t>
      </w:r>
      <w:proofErr w:type="spellEnd"/>
      <w:r w:rsidRPr="00733D88">
        <w:rPr>
          <w:rFonts w:eastAsia="MS Mincho" w:cs="Arial"/>
        </w:rPr>
        <w:t xml:space="preserve"> and midazolam (CYP 3A4 substrate)</w:t>
      </w:r>
      <w:r w:rsidR="00724AC7" w:rsidRPr="00733D88">
        <w:rPr>
          <w:rFonts w:eastAsia="MS Mincho" w:cs="Arial"/>
        </w:rPr>
        <w:t>.</w:t>
      </w:r>
      <w:r w:rsidRPr="00733D88">
        <w:rPr>
          <w:rFonts w:eastAsia="MS Mincho" w:cs="Arial"/>
        </w:rPr>
        <w:t xml:space="preserve"> Following initiation</w:t>
      </w:r>
      <w:r w:rsidR="00724AC7" w:rsidRPr="00733D88">
        <w:rPr>
          <w:rFonts w:eastAsia="MS Mincho" w:cs="Arial"/>
        </w:rPr>
        <w:t xml:space="preserve"> or discontinuation</w:t>
      </w:r>
      <w:r w:rsidR="0044524F" w:rsidRPr="00733D88">
        <w:rPr>
          <w:rFonts w:eastAsia="MS Mincho" w:cs="Arial"/>
        </w:rPr>
        <w:t xml:space="preserve"> and during ongoing use</w:t>
      </w:r>
      <w:r w:rsidRPr="00733D88">
        <w:rPr>
          <w:rFonts w:eastAsia="MS Mincho" w:cs="Arial"/>
        </w:rPr>
        <w:t xml:space="preserve"> of </w:t>
      </w:r>
      <w:proofErr w:type="spellStart"/>
      <w:r w:rsidRPr="00733D88">
        <w:rPr>
          <w:rFonts w:eastAsia="MS Mincho" w:cs="Arial"/>
        </w:rPr>
        <w:t>secukinumab</w:t>
      </w:r>
      <w:proofErr w:type="spellEnd"/>
      <w:r w:rsidRPr="00733D88">
        <w:rPr>
          <w:rFonts w:eastAsia="MS Mincho" w:cs="Arial"/>
        </w:rPr>
        <w:t xml:space="preserve"> in patients being treated with </w:t>
      </w:r>
      <w:r w:rsidR="00724AC7" w:rsidRPr="00733D88">
        <w:rPr>
          <w:rFonts w:eastAsia="MS Mincho" w:cs="Arial"/>
        </w:rPr>
        <w:t>CYP450 substrates</w:t>
      </w:r>
      <w:r w:rsidR="0044524F" w:rsidRPr="00733D88">
        <w:rPr>
          <w:rFonts w:eastAsia="MS Mincho" w:cs="Arial"/>
        </w:rPr>
        <w:t>,</w:t>
      </w:r>
      <w:r w:rsidR="00724AC7" w:rsidRPr="00733D88">
        <w:rPr>
          <w:rFonts w:eastAsia="MS Mincho" w:cs="Arial"/>
        </w:rPr>
        <w:t xml:space="preserve"> particularly those with a narrow therapeutic index,</w:t>
      </w:r>
      <w:r w:rsidRPr="00733D88">
        <w:rPr>
          <w:rFonts w:eastAsia="MS Mincho" w:cs="Arial"/>
        </w:rPr>
        <w:t xml:space="preserve"> consider</w:t>
      </w:r>
      <w:r w:rsidR="00724AC7" w:rsidRPr="00733D88">
        <w:rPr>
          <w:rFonts w:eastAsia="MS Mincho" w:cs="Arial"/>
        </w:rPr>
        <w:t xml:space="preserve"> monitoring for therapeutic effect or drug concentration and consider dosage adjustment as needed</w:t>
      </w:r>
      <w:r w:rsidRPr="00733D88">
        <w:rPr>
          <w:rFonts w:eastAsia="MS Mincho" w:cs="Arial"/>
        </w:rPr>
        <w:t xml:space="preserve">. </w:t>
      </w:r>
    </w:p>
    <w:p w14:paraId="126C55FC" w14:textId="07D1BDB3" w:rsidR="008A42F5" w:rsidRPr="00733D88" w:rsidRDefault="008A42F5" w:rsidP="00AF46A0">
      <w:pPr>
        <w:rPr>
          <w:rFonts w:eastAsia="MS Mincho" w:cs="Arial"/>
        </w:rPr>
      </w:pPr>
      <w:r w:rsidRPr="00733D88">
        <w:rPr>
          <w:rFonts w:eastAsia="MS Mincho" w:cs="Arial"/>
        </w:rPr>
        <w:t xml:space="preserve">No interaction was seen when COSENTYX was administered concomitantly with methotrexate (MTX) and/or corticosteroids in arthritis studies (including in patients with psoriatic arthritis </w:t>
      </w:r>
      <w:r w:rsidRPr="00C34100">
        <w:rPr>
          <w:rFonts w:eastAsia="MS Mincho" w:cs="Arial"/>
        </w:rPr>
        <w:t>and</w:t>
      </w:r>
      <w:r w:rsidR="00DD49CA" w:rsidRPr="00C34100">
        <w:rPr>
          <w:rFonts w:eastAsia="MS Mincho" w:cs="Arial"/>
        </w:rPr>
        <w:t xml:space="preserve"> </w:t>
      </w:r>
      <w:r w:rsidR="009E1CC2" w:rsidRPr="002D07A3">
        <w:rPr>
          <w:rFonts w:eastAsia="MS Mincho" w:cs="Arial"/>
        </w:rPr>
        <w:t xml:space="preserve">axial </w:t>
      </w:r>
      <w:proofErr w:type="spellStart"/>
      <w:r w:rsidR="009E1CC2" w:rsidRPr="002D07A3">
        <w:rPr>
          <w:rFonts w:eastAsia="MS Mincho" w:cs="Arial"/>
        </w:rPr>
        <w:t>spondyloarthritis</w:t>
      </w:r>
      <w:proofErr w:type="spellEnd"/>
      <w:r w:rsidRPr="00C34100">
        <w:rPr>
          <w:rFonts w:eastAsia="MS Mincho" w:cs="Arial"/>
        </w:rPr>
        <w:t>).</w:t>
      </w:r>
    </w:p>
    <w:p w14:paraId="612B68BB" w14:textId="77777777" w:rsidR="001A3992" w:rsidRPr="00733D88" w:rsidRDefault="001A3992" w:rsidP="00AF46A0">
      <w:pPr>
        <w:pStyle w:val="Heading2"/>
        <w:spacing w:before="0" w:after="120"/>
        <w:ind w:left="578" w:hanging="578"/>
        <w:rPr>
          <w:rFonts w:cstheme="minorHAnsi"/>
        </w:rPr>
      </w:pPr>
      <w:r w:rsidRPr="00733D88">
        <w:rPr>
          <w:rFonts w:cstheme="minorHAnsi"/>
        </w:rPr>
        <w:t xml:space="preserve">Fertility, pregnancy and lactation </w:t>
      </w:r>
    </w:p>
    <w:p w14:paraId="595DB303" w14:textId="77777777" w:rsidR="001A3992" w:rsidRPr="00733D88" w:rsidRDefault="001A3992" w:rsidP="00AF46A0">
      <w:pPr>
        <w:pStyle w:val="Heading3"/>
        <w:spacing w:before="0" w:after="120"/>
        <w:ind w:left="0"/>
        <w:rPr>
          <w:rFonts w:cstheme="minorHAnsi"/>
        </w:rPr>
      </w:pPr>
      <w:r w:rsidRPr="00733D88">
        <w:rPr>
          <w:rFonts w:cstheme="minorHAnsi"/>
        </w:rPr>
        <w:t>Effects on fertility</w:t>
      </w:r>
    </w:p>
    <w:p w14:paraId="7AA95533" w14:textId="77777777" w:rsidR="008A42F5" w:rsidRPr="00733D88" w:rsidRDefault="008A42F5" w:rsidP="00AF46A0">
      <w:pPr>
        <w:rPr>
          <w:rFonts w:eastAsia="MS Mincho" w:cs="Arial"/>
        </w:rPr>
      </w:pPr>
      <w:r w:rsidRPr="00733D88">
        <w:rPr>
          <w:rFonts w:eastAsia="MS Mincho" w:cs="Arial"/>
        </w:rPr>
        <w:t>There are no special recommendations for females of reproductive potential.</w:t>
      </w:r>
    </w:p>
    <w:p w14:paraId="4D3680EF" w14:textId="77777777" w:rsidR="008A42F5" w:rsidRPr="00733D88" w:rsidRDefault="008A42F5" w:rsidP="00AF46A0">
      <w:pPr>
        <w:rPr>
          <w:rFonts w:eastAsia="MS Mincho" w:cs="Arial"/>
        </w:rPr>
      </w:pPr>
      <w:r w:rsidRPr="00733D88">
        <w:rPr>
          <w:rFonts w:eastAsia="MS Mincho" w:cs="Arial"/>
        </w:rPr>
        <w:t>The effect of COSENTYX on human fertility has not been evaluated. Animal studies do not indicate direct or indirect harmful effects with respect to fertility.</w:t>
      </w:r>
    </w:p>
    <w:p w14:paraId="3EFD30F5" w14:textId="77777777" w:rsidR="008A42F5" w:rsidRPr="00733D88" w:rsidRDefault="008A42F5" w:rsidP="00AF46A0">
      <w:pPr>
        <w:rPr>
          <w:rFonts w:eastAsia="MS Mincho" w:cs="Arial"/>
          <w:sz w:val="20"/>
        </w:rPr>
      </w:pPr>
      <w:r w:rsidRPr="00733D88">
        <w:rPr>
          <w:rFonts w:eastAsia="MS Mincho" w:cs="Arial"/>
          <w:sz w:val="20"/>
        </w:rPr>
        <w:t>Fertility was unaffected in mice treated with an anti-murine IL17-A antibody.</w:t>
      </w:r>
    </w:p>
    <w:p w14:paraId="124C0292" w14:textId="77777777" w:rsidR="001A3992" w:rsidRPr="00733D88" w:rsidRDefault="001A3992" w:rsidP="00AF46A0">
      <w:pPr>
        <w:pStyle w:val="Heading3"/>
        <w:spacing w:before="0" w:after="120"/>
        <w:ind w:left="0"/>
        <w:rPr>
          <w:rFonts w:cstheme="minorHAnsi"/>
        </w:rPr>
      </w:pPr>
      <w:r w:rsidRPr="00733D88">
        <w:rPr>
          <w:rFonts w:cstheme="minorHAnsi"/>
        </w:rPr>
        <w:t xml:space="preserve">Use in pregnancy </w:t>
      </w:r>
      <w:r w:rsidR="00497C85" w:rsidRPr="00733D88">
        <w:rPr>
          <w:rFonts w:cstheme="minorHAnsi"/>
        </w:rPr>
        <w:t>– Pregnancy Category C</w:t>
      </w:r>
    </w:p>
    <w:p w14:paraId="090B4D2B" w14:textId="77777777" w:rsidR="008A42F5" w:rsidRPr="00733D88" w:rsidRDefault="008A42F5" w:rsidP="00AF46A0">
      <w:pPr>
        <w:rPr>
          <w:rFonts w:eastAsia="MS Mincho" w:cs="Arial"/>
        </w:rPr>
      </w:pPr>
      <w:r w:rsidRPr="00733D88">
        <w:rPr>
          <w:rFonts w:eastAsia="MS Mincho" w:cs="Arial"/>
        </w:rPr>
        <w:t xml:space="preserve">There are no adequate data from the use of COSENTYX in pregnant women. </w:t>
      </w:r>
      <w:proofErr w:type="spellStart"/>
      <w:r w:rsidRPr="00733D88">
        <w:rPr>
          <w:rFonts w:eastAsia="MS Mincho" w:cs="Arial"/>
        </w:rPr>
        <w:t>Secukinumab</w:t>
      </w:r>
      <w:proofErr w:type="spellEnd"/>
      <w:r w:rsidRPr="00733D88">
        <w:rPr>
          <w:rFonts w:eastAsia="MS Mincho" w:cs="Arial"/>
        </w:rPr>
        <w:t xml:space="preserve"> was shown to cross the placenta in monkeys. Use of </w:t>
      </w:r>
      <w:proofErr w:type="spellStart"/>
      <w:r w:rsidRPr="00733D88">
        <w:rPr>
          <w:rFonts w:eastAsia="MS Mincho" w:cs="Arial"/>
        </w:rPr>
        <w:t>secukinumab</w:t>
      </w:r>
      <w:proofErr w:type="spellEnd"/>
      <w:r w:rsidRPr="00733D88">
        <w:rPr>
          <w:rFonts w:eastAsia="MS Mincho" w:cs="Arial"/>
        </w:rPr>
        <w:t xml:space="preserve"> during pregnancy may compromise the immunity of the </w:t>
      </w:r>
      <w:proofErr w:type="spellStart"/>
      <w:r w:rsidRPr="00733D88">
        <w:rPr>
          <w:rFonts w:eastAsia="MS Mincho" w:cs="Arial"/>
        </w:rPr>
        <w:t>fetus</w:t>
      </w:r>
      <w:proofErr w:type="spellEnd"/>
      <w:r w:rsidRPr="00733D88">
        <w:rPr>
          <w:rFonts w:eastAsia="MS Mincho" w:cs="Arial"/>
        </w:rPr>
        <w:t xml:space="preserve"> and neonate.</w:t>
      </w:r>
    </w:p>
    <w:p w14:paraId="119C31F5" w14:textId="77777777" w:rsidR="008A42F5" w:rsidRPr="00733D88" w:rsidRDefault="008A42F5" w:rsidP="00AF46A0">
      <w:pPr>
        <w:rPr>
          <w:rFonts w:eastAsia="MS Mincho" w:cs="Arial"/>
        </w:rPr>
      </w:pPr>
      <w:r w:rsidRPr="00733D88">
        <w:rPr>
          <w:rFonts w:eastAsia="MS Mincho" w:cs="Arial"/>
        </w:rPr>
        <w:t xml:space="preserve">In an </w:t>
      </w:r>
      <w:proofErr w:type="spellStart"/>
      <w:r w:rsidRPr="00733D88">
        <w:rPr>
          <w:rFonts w:eastAsia="MS Mincho" w:cs="Arial"/>
        </w:rPr>
        <w:t>embryofetal</w:t>
      </w:r>
      <w:proofErr w:type="spellEnd"/>
      <w:r w:rsidRPr="00733D88">
        <w:rPr>
          <w:rFonts w:eastAsia="MS Mincho" w:cs="Arial"/>
        </w:rPr>
        <w:t xml:space="preserve"> development study in </w:t>
      </w:r>
      <w:proofErr w:type="spellStart"/>
      <w:r w:rsidRPr="00733D88">
        <w:rPr>
          <w:rFonts w:eastAsia="MS Mincho" w:cs="Arial"/>
        </w:rPr>
        <w:t>cynomolgus</w:t>
      </w:r>
      <w:proofErr w:type="spellEnd"/>
      <w:r w:rsidRPr="00733D88">
        <w:rPr>
          <w:rFonts w:eastAsia="MS Mincho" w:cs="Arial"/>
        </w:rPr>
        <w:t xml:space="preserve"> monkeys, </w:t>
      </w:r>
      <w:proofErr w:type="spellStart"/>
      <w:r w:rsidRPr="00733D88">
        <w:rPr>
          <w:rFonts w:eastAsia="MS Mincho" w:cs="Arial"/>
        </w:rPr>
        <w:t>secukinumab</w:t>
      </w:r>
      <w:proofErr w:type="spellEnd"/>
      <w:r w:rsidRPr="00733D88">
        <w:rPr>
          <w:rFonts w:eastAsia="MS Mincho" w:cs="Arial"/>
        </w:rPr>
        <w:t xml:space="preserve"> showed no maternal toxicity, </w:t>
      </w:r>
      <w:proofErr w:type="spellStart"/>
      <w:r w:rsidRPr="00733D88">
        <w:rPr>
          <w:rFonts w:eastAsia="MS Mincho" w:cs="Arial"/>
        </w:rPr>
        <w:t>embryofetal</w:t>
      </w:r>
      <w:proofErr w:type="spellEnd"/>
      <w:r w:rsidRPr="00733D88">
        <w:rPr>
          <w:rFonts w:eastAsia="MS Mincho" w:cs="Arial"/>
        </w:rPr>
        <w:t xml:space="preserve"> toxicity or teratogenicity when administered throughout organogenesis and late gestation at up to 150mg/kg/week.</w:t>
      </w:r>
    </w:p>
    <w:p w14:paraId="3035347C" w14:textId="77777777" w:rsidR="008A42F5" w:rsidRPr="00733D88" w:rsidRDefault="008A42F5" w:rsidP="00AF46A0">
      <w:pPr>
        <w:rPr>
          <w:rFonts w:eastAsia="MS Mincho" w:cs="Arial"/>
        </w:rPr>
      </w:pPr>
      <w:r w:rsidRPr="00733D88">
        <w:rPr>
          <w:rFonts w:eastAsia="MS Mincho" w:cs="Arial"/>
        </w:rPr>
        <w:t>COSENTYX should be used in pregnancy only if the benefits clearly outweigh the potential risks.</w:t>
      </w:r>
    </w:p>
    <w:p w14:paraId="042B4088" w14:textId="77777777" w:rsidR="008A42F5" w:rsidRPr="00733D88" w:rsidRDefault="008A42F5" w:rsidP="00AF46A0">
      <w:pPr>
        <w:rPr>
          <w:rFonts w:eastAsia="MS Mincho" w:cs="Arial"/>
        </w:rPr>
      </w:pPr>
      <w:r w:rsidRPr="00733D88">
        <w:rPr>
          <w:rFonts w:eastAsia="MS Mincho" w:cs="Arial"/>
        </w:rPr>
        <w:t xml:space="preserve">If </w:t>
      </w:r>
      <w:proofErr w:type="spellStart"/>
      <w:r w:rsidRPr="00733D88">
        <w:rPr>
          <w:rFonts w:eastAsia="MS Mincho" w:cs="Arial"/>
        </w:rPr>
        <w:t>secukinumab</w:t>
      </w:r>
      <w:proofErr w:type="spellEnd"/>
      <w:r w:rsidRPr="00733D88">
        <w:rPr>
          <w:rFonts w:eastAsia="MS Mincho" w:cs="Arial"/>
        </w:rPr>
        <w:t xml:space="preserve"> has been used during pregnancy, administration of live vaccines to newborns/ infants for 16 weeks after the mother’s last dose of </w:t>
      </w:r>
      <w:proofErr w:type="spellStart"/>
      <w:r w:rsidRPr="00733D88">
        <w:rPr>
          <w:rFonts w:eastAsia="MS Mincho" w:cs="Arial"/>
        </w:rPr>
        <w:t>secukinumab</w:t>
      </w:r>
      <w:proofErr w:type="spellEnd"/>
      <w:r w:rsidRPr="00733D88">
        <w:rPr>
          <w:rFonts w:eastAsia="MS Mincho" w:cs="Arial"/>
        </w:rPr>
        <w:t xml:space="preserve"> is generally not recommended.</w:t>
      </w:r>
    </w:p>
    <w:p w14:paraId="0A575FD3" w14:textId="77777777" w:rsidR="001A3992" w:rsidRPr="00733D88" w:rsidRDefault="00984CEE" w:rsidP="00AF46A0">
      <w:pPr>
        <w:pStyle w:val="Heading3"/>
        <w:spacing w:before="0" w:after="120"/>
        <w:ind w:left="0"/>
        <w:rPr>
          <w:rFonts w:cstheme="minorHAnsi"/>
        </w:rPr>
      </w:pPr>
      <w:r w:rsidRPr="00733D88">
        <w:rPr>
          <w:rFonts w:cstheme="minorHAnsi"/>
        </w:rPr>
        <w:t>Use in lactation</w:t>
      </w:r>
    </w:p>
    <w:p w14:paraId="5503E0E4" w14:textId="77777777" w:rsidR="008A42F5" w:rsidRPr="00733D88" w:rsidRDefault="008A42F5" w:rsidP="00AF46A0">
      <w:pPr>
        <w:rPr>
          <w:rFonts w:eastAsia="MS Mincho" w:cs="Arial"/>
        </w:rPr>
      </w:pPr>
      <w:r w:rsidRPr="00733D88">
        <w:rPr>
          <w:rFonts w:eastAsia="MS Mincho" w:cs="Arial"/>
        </w:rPr>
        <w:t xml:space="preserve">It is not known whether </w:t>
      </w:r>
      <w:proofErr w:type="spellStart"/>
      <w:r w:rsidRPr="00733D88">
        <w:rPr>
          <w:rFonts w:eastAsia="MS Mincho" w:cs="Arial"/>
        </w:rPr>
        <w:t>secukinumab</w:t>
      </w:r>
      <w:proofErr w:type="spellEnd"/>
      <w:r w:rsidRPr="00733D88">
        <w:rPr>
          <w:rFonts w:eastAsia="MS Mincho" w:cs="Arial"/>
        </w:rPr>
        <w:t xml:space="preserve"> is excreted in human milk. Because immunoglobulins are excreted in human milk, caution should be exercised when COSENTYX is administered to a woman who is breast-feeding and a decision on whether to discontinue breast-feeding during treatment should be made.</w:t>
      </w:r>
    </w:p>
    <w:p w14:paraId="10D7705C" w14:textId="77777777" w:rsidR="001A3992" w:rsidRPr="00733D88" w:rsidRDefault="001A3992" w:rsidP="00AF46A0">
      <w:pPr>
        <w:pStyle w:val="Heading2"/>
        <w:spacing w:before="0" w:after="120"/>
        <w:ind w:left="578" w:hanging="578"/>
        <w:rPr>
          <w:rFonts w:cstheme="minorHAnsi"/>
        </w:rPr>
      </w:pPr>
      <w:r w:rsidRPr="00733D88">
        <w:rPr>
          <w:rFonts w:cstheme="minorHAnsi"/>
        </w:rPr>
        <w:t xml:space="preserve">Effects on ability to drive and use machines </w:t>
      </w:r>
    </w:p>
    <w:p w14:paraId="33FE319F" w14:textId="77777777" w:rsidR="00497C85" w:rsidRPr="00733D88" w:rsidRDefault="008A42F5" w:rsidP="00AF46A0">
      <w:pPr>
        <w:rPr>
          <w:rFonts w:eastAsia="MS Mincho" w:cs="Arial"/>
        </w:rPr>
      </w:pPr>
      <w:r w:rsidRPr="00733D88">
        <w:rPr>
          <w:rFonts w:eastAsia="MS Mincho" w:cs="Arial"/>
        </w:rPr>
        <w:t>No studies on the effects on the ability to drive and use of machines have been performed.</w:t>
      </w:r>
    </w:p>
    <w:p w14:paraId="39C25D14" w14:textId="5374EC44" w:rsidR="001A3992" w:rsidRPr="00733D88" w:rsidRDefault="001A3992" w:rsidP="00AF46A0">
      <w:pPr>
        <w:pStyle w:val="Heading2"/>
        <w:spacing w:before="0" w:after="120"/>
        <w:ind w:left="578" w:hanging="578"/>
        <w:rPr>
          <w:rFonts w:cstheme="minorHAnsi"/>
        </w:rPr>
      </w:pPr>
      <w:r w:rsidRPr="00733D88">
        <w:rPr>
          <w:rFonts w:cstheme="minorHAnsi"/>
        </w:rPr>
        <w:t>Adverse effects (Undesirable effects)</w:t>
      </w:r>
    </w:p>
    <w:p w14:paraId="7079AA92" w14:textId="77777777" w:rsidR="00E35C14" w:rsidRPr="00733D88" w:rsidRDefault="00E35C14" w:rsidP="00AF46A0">
      <w:pPr>
        <w:pStyle w:val="Heading3"/>
        <w:spacing w:before="0" w:after="120"/>
        <w:ind w:left="0"/>
        <w:rPr>
          <w:rFonts w:cstheme="minorHAnsi"/>
          <w:u w:val="single"/>
        </w:rPr>
      </w:pPr>
      <w:r w:rsidRPr="00733D88">
        <w:rPr>
          <w:rFonts w:cstheme="minorHAnsi"/>
          <w:u w:val="single"/>
        </w:rPr>
        <w:t>Reporting suspected adverse effects</w:t>
      </w:r>
    </w:p>
    <w:p w14:paraId="069188DF" w14:textId="77777777" w:rsidR="00497C85" w:rsidRPr="002D07A3" w:rsidRDefault="00497C85" w:rsidP="00AF46A0">
      <w:pPr>
        <w:spacing w:line="240" w:lineRule="auto"/>
        <w:rPr>
          <w:rFonts w:cstheme="minorHAnsi"/>
        </w:rPr>
      </w:pPr>
      <w:r w:rsidRPr="002D07A3">
        <w:rPr>
          <w:rFonts w:cstheme="minorHAnsi"/>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Pr="002D07A3">
          <w:rPr>
            <w:rStyle w:val="Hyperlink"/>
            <w:rFonts w:cstheme="minorHAnsi"/>
          </w:rPr>
          <w:t>www.tga.gov.au/reporting-problems</w:t>
        </w:r>
      </w:hyperlink>
      <w:r w:rsidRPr="002D07A3">
        <w:rPr>
          <w:rFonts w:cstheme="minorHAnsi"/>
        </w:rPr>
        <w:t>.</w:t>
      </w:r>
    </w:p>
    <w:p w14:paraId="183C80CC" w14:textId="77777777" w:rsidR="00AF4E63" w:rsidRPr="00733D88" w:rsidRDefault="00AF4E63" w:rsidP="00AF46A0">
      <w:pPr>
        <w:pStyle w:val="Heading3"/>
        <w:spacing w:before="0" w:after="120"/>
        <w:ind w:left="0"/>
        <w:rPr>
          <w:rFonts w:cstheme="minorHAnsi"/>
          <w:u w:val="single"/>
        </w:rPr>
      </w:pPr>
      <w:r w:rsidRPr="00733D88">
        <w:rPr>
          <w:rFonts w:cstheme="minorHAnsi"/>
          <w:u w:val="single"/>
        </w:rPr>
        <w:t xml:space="preserve">Summary of the safety profile </w:t>
      </w:r>
    </w:p>
    <w:p w14:paraId="6425C4E9" w14:textId="736D2762" w:rsidR="00AF4E63" w:rsidRPr="002D07A3" w:rsidRDefault="00253D7C" w:rsidP="00AF46A0">
      <w:pPr>
        <w:spacing w:line="240" w:lineRule="auto"/>
        <w:rPr>
          <w:rFonts w:cstheme="minorHAnsi"/>
        </w:rPr>
      </w:pPr>
      <w:r w:rsidRPr="002D07A3">
        <w:rPr>
          <w:rFonts w:cstheme="minorHAnsi"/>
        </w:rPr>
        <w:t xml:space="preserve">Over </w:t>
      </w:r>
      <w:r w:rsidR="00D926FD" w:rsidRPr="002D07A3">
        <w:rPr>
          <w:rFonts w:cstheme="minorHAnsi"/>
        </w:rPr>
        <w:t>18,000</w:t>
      </w:r>
      <w:r w:rsidR="00AF4E63" w:rsidRPr="002D07A3">
        <w:rPr>
          <w:rFonts w:cstheme="minorHAnsi"/>
        </w:rPr>
        <w:t xml:space="preserve"> patients have been treated with COSENTYX in blinded and open-label clinical studies in various indications (plaque psoriasis and other autoimmune conditions), representing </w:t>
      </w:r>
      <w:r w:rsidR="00D926FD" w:rsidRPr="002D07A3">
        <w:rPr>
          <w:rFonts w:cstheme="minorHAnsi"/>
        </w:rPr>
        <w:t>30,565</w:t>
      </w:r>
      <w:r w:rsidR="00AF4E63" w:rsidRPr="002D07A3">
        <w:rPr>
          <w:rFonts w:cstheme="minorHAnsi"/>
        </w:rPr>
        <w:t xml:space="preserve"> patient</w:t>
      </w:r>
      <w:r w:rsidR="00D125DE" w:rsidRPr="002D07A3">
        <w:rPr>
          <w:rFonts w:cstheme="minorHAnsi"/>
        </w:rPr>
        <w:t xml:space="preserve"> </w:t>
      </w:r>
      <w:r w:rsidR="00AF4E63" w:rsidRPr="002D07A3">
        <w:rPr>
          <w:rFonts w:cstheme="minorHAnsi"/>
        </w:rPr>
        <w:t xml:space="preserve">years of exposure. Of these, </w:t>
      </w:r>
      <w:r w:rsidRPr="002D07A3">
        <w:rPr>
          <w:rFonts w:cstheme="minorHAnsi"/>
        </w:rPr>
        <w:t xml:space="preserve">over </w:t>
      </w:r>
      <w:r w:rsidR="001D703B">
        <w:rPr>
          <w:rFonts w:cstheme="minorHAnsi"/>
        </w:rPr>
        <w:t>12,046</w:t>
      </w:r>
      <w:r w:rsidR="00AF4E63" w:rsidRPr="0050597C">
        <w:rPr>
          <w:rFonts w:cstheme="minorHAnsi"/>
        </w:rPr>
        <w:t xml:space="preserve"> </w:t>
      </w:r>
      <w:r w:rsidR="00AF4E63" w:rsidRPr="002D07A3">
        <w:rPr>
          <w:rFonts w:cstheme="minorHAnsi"/>
        </w:rPr>
        <w:t>patients were exposed to COSENTYX for at least one year.</w:t>
      </w:r>
    </w:p>
    <w:p w14:paraId="17FFFE55" w14:textId="77777777" w:rsidR="00AF4E63" w:rsidRPr="00733D88" w:rsidRDefault="00AF4E63" w:rsidP="00AF46A0">
      <w:pPr>
        <w:pStyle w:val="Heading3"/>
        <w:spacing w:before="0" w:after="120"/>
        <w:ind w:left="0"/>
        <w:rPr>
          <w:rFonts w:cstheme="minorHAnsi"/>
          <w:u w:val="single"/>
        </w:rPr>
      </w:pPr>
      <w:r w:rsidRPr="00733D88">
        <w:rPr>
          <w:rFonts w:cstheme="minorHAnsi"/>
          <w:u w:val="single"/>
        </w:rPr>
        <w:t>Adverse reactions in plaque psoriasis</w:t>
      </w:r>
    </w:p>
    <w:p w14:paraId="52CCB4A1" w14:textId="77777777" w:rsidR="00AF4E63" w:rsidRPr="002D07A3" w:rsidRDefault="00AF4E63" w:rsidP="00AF46A0">
      <w:pPr>
        <w:spacing w:line="240" w:lineRule="auto"/>
        <w:rPr>
          <w:rFonts w:cstheme="minorHAnsi"/>
        </w:rPr>
      </w:pPr>
      <w:r w:rsidRPr="002D07A3">
        <w:rPr>
          <w:rFonts w:cstheme="minorHAnsi"/>
        </w:rPr>
        <w:t>Four placebo-controlled phase III studies in plaque psoriasis were pooled to evaluate the safety of COSENTYX in comparison to placebo up to 12 weeks after treatment initiation. In total, 2,076 patients were evaluated (692 patients on 150 mg, 690 patients on 300 mg and 694 patients on placebo).</w:t>
      </w:r>
    </w:p>
    <w:p w14:paraId="123A75B5" w14:textId="77777777" w:rsidR="00AF4E63" w:rsidRPr="002D07A3" w:rsidRDefault="00AF4E63" w:rsidP="00AF46A0">
      <w:pPr>
        <w:spacing w:line="240" w:lineRule="auto"/>
        <w:rPr>
          <w:rFonts w:cstheme="minorHAnsi"/>
        </w:rPr>
      </w:pPr>
      <w:r w:rsidRPr="002D07A3" w:rsidDel="00E1109E">
        <w:rPr>
          <w:rFonts w:cstheme="minorHAnsi"/>
        </w:rPr>
        <w:t xml:space="preserve">The most frequently reported adverse drug reactions (ADRs) were upper respiratory tract infections (most frequently </w:t>
      </w:r>
      <w:proofErr w:type="spellStart"/>
      <w:r w:rsidRPr="002D07A3" w:rsidDel="00E1109E">
        <w:rPr>
          <w:rFonts w:cstheme="minorHAnsi"/>
        </w:rPr>
        <w:t>nasopharyngitis</w:t>
      </w:r>
      <w:proofErr w:type="spellEnd"/>
      <w:r w:rsidRPr="002D07A3" w:rsidDel="00E1109E">
        <w:rPr>
          <w:rFonts w:cstheme="minorHAnsi"/>
        </w:rPr>
        <w:t>, rhinitis). Most of the events were mild or moderate in severity.</w:t>
      </w:r>
    </w:p>
    <w:p w14:paraId="67C265D6" w14:textId="77777777" w:rsidR="00AF4E63" w:rsidRPr="002D07A3" w:rsidRDefault="00AF4E63" w:rsidP="00AF46A0">
      <w:pPr>
        <w:spacing w:line="240" w:lineRule="auto"/>
        <w:rPr>
          <w:rFonts w:cstheme="minorHAnsi"/>
        </w:rPr>
      </w:pPr>
      <w:r w:rsidRPr="002D07A3" w:rsidDel="00E1109E">
        <w:rPr>
          <w:rFonts w:cstheme="minorHAnsi"/>
        </w:rPr>
        <w:t xml:space="preserve">In the placebo-controlled period of plaque psoriasis phase III studies the proportion of patients who discontinued treatment due to adverse events was approximately 1.2 % in the </w:t>
      </w:r>
      <w:r w:rsidRPr="002D07A3">
        <w:rPr>
          <w:rFonts w:cstheme="minorHAnsi"/>
        </w:rPr>
        <w:t>COSENTYX</w:t>
      </w:r>
      <w:r w:rsidRPr="002D07A3" w:rsidDel="00E1109E">
        <w:rPr>
          <w:rFonts w:cstheme="minorHAnsi"/>
        </w:rPr>
        <w:t xml:space="preserve"> arm and 1.2 % in the placebo arm.</w:t>
      </w:r>
      <w:r w:rsidR="00010B1A" w:rsidRPr="002D07A3">
        <w:rPr>
          <w:rFonts w:cstheme="minorHAnsi"/>
        </w:rPr>
        <w:t xml:space="preserve"> </w:t>
      </w:r>
      <w:r w:rsidRPr="002D07A3">
        <w:rPr>
          <w:rFonts w:cstheme="minorHAnsi"/>
        </w:rPr>
        <w:t xml:space="preserve">The adverse reactions from clinical studies (Table </w:t>
      </w:r>
      <w:r w:rsidR="0016038E" w:rsidRPr="002D07A3">
        <w:rPr>
          <w:rFonts w:cstheme="minorHAnsi"/>
        </w:rPr>
        <w:t>1</w:t>
      </w:r>
      <w:r w:rsidRPr="002D07A3">
        <w:rPr>
          <w:rFonts w:cstheme="minorHAnsi"/>
        </w:rPr>
        <w:t xml:space="preserve"> and Table </w:t>
      </w:r>
      <w:r w:rsidR="0016038E" w:rsidRPr="002D07A3">
        <w:rPr>
          <w:rFonts w:cstheme="minorHAnsi"/>
        </w:rPr>
        <w:t>2</w:t>
      </w:r>
      <w:r w:rsidRPr="002D07A3">
        <w:rPr>
          <w:rFonts w:cstheme="minorHAnsi"/>
        </w:rPr>
        <w:t>) are listed by MedDRA system organ class. Within each system organ class, the ADRs are ranked by frequency.  Within each frequency grouping, adverse drug reactions are presented in order of decreasing seriousness. In addition, the corresponding frequency category for each adverse drug reaction is based on the following convention: very common (&gt; 1/10); common (&gt; 1/100, ≤ 1/10); uncommon (&gt; 1/1,000, ≤ 1/100); rare (≥ 1/10,000, ≤ 1/1,000) very rare (&lt; 1/10,000).</w:t>
      </w:r>
    </w:p>
    <w:p w14:paraId="750D7A17" w14:textId="77777777" w:rsidR="00353978" w:rsidRDefault="00353978" w:rsidP="00AF46A0">
      <w:pPr>
        <w:spacing w:after="120"/>
        <w:ind w:left="1166" w:hanging="1166"/>
        <w:rPr>
          <w:rFonts w:ascii="Arial" w:hAnsi="Arial" w:cs="Arial"/>
          <w:b/>
          <w:sz w:val="20"/>
        </w:rPr>
      </w:pPr>
      <w:r>
        <w:rPr>
          <w:rFonts w:ascii="Arial" w:hAnsi="Arial" w:cs="Arial"/>
          <w:b/>
          <w:sz w:val="20"/>
        </w:rPr>
        <w:br w:type="page"/>
      </w:r>
    </w:p>
    <w:p w14:paraId="27C9AEB7" w14:textId="05464D3B" w:rsidR="00AF4E63" w:rsidRPr="00733D88" w:rsidRDefault="00AF4E63" w:rsidP="00AF46A0">
      <w:pPr>
        <w:spacing w:after="120"/>
        <w:ind w:left="1166" w:hanging="1166"/>
        <w:rPr>
          <w:rFonts w:ascii="Arial" w:hAnsi="Arial" w:cs="Arial"/>
          <w:b/>
          <w:sz w:val="20"/>
        </w:rPr>
      </w:pPr>
      <w:r w:rsidRPr="00733D88">
        <w:rPr>
          <w:rFonts w:ascii="Arial" w:hAnsi="Arial" w:cs="Arial"/>
          <w:b/>
          <w:sz w:val="20"/>
        </w:rPr>
        <w:t xml:space="preserve">Table </w:t>
      </w:r>
      <w:r w:rsidR="0016038E" w:rsidRPr="00733D88">
        <w:rPr>
          <w:rFonts w:ascii="Arial" w:hAnsi="Arial" w:cs="Arial"/>
          <w:b/>
          <w:sz w:val="20"/>
        </w:rPr>
        <w:t>1</w:t>
      </w:r>
      <w:r w:rsidRPr="00733D88">
        <w:rPr>
          <w:rFonts w:ascii="Arial" w:hAnsi="Arial" w:cs="Arial"/>
          <w:b/>
          <w:sz w:val="20"/>
        </w:rPr>
        <w:t xml:space="preserve">  </w:t>
      </w:r>
      <w:r w:rsidRPr="00733D88">
        <w:rPr>
          <w:rFonts w:ascii="Arial" w:hAnsi="Arial" w:cs="Arial"/>
          <w:b/>
          <w:sz w:val="20"/>
        </w:rPr>
        <w:tab/>
        <w:t>Adverse Drug Reactions reported by ≥ 1 % of psoriasis patients through Week 12 in Phase III ERASURE, FIXTURE, FEATURE and JUNCTURE studies</w:t>
      </w:r>
    </w:p>
    <w:tbl>
      <w:tblPr>
        <w:tblStyle w:val="TableGrid"/>
        <w:tblW w:w="0" w:type="auto"/>
        <w:tblLook w:val="04A0" w:firstRow="1" w:lastRow="0" w:firstColumn="1" w:lastColumn="0" w:noHBand="0" w:noVBand="1"/>
      </w:tblPr>
      <w:tblGrid>
        <w:gridCol w:w="3681"/>
        <w:gridCol w:w="1559"/>
        <w:gridCol w:w="1418"/>
        <w:gridCol w:w="992"/>
        <w:gridCol w:w="1366"/>
      </w:tblGrid>
      <w:tr w:rsidR="00AF4E63" w:rsidRPr="00733D88" w14:paraId="500F5861" w14:textId="77777777" w:rsidTr="002D07A3">
        <w:tc>
          <w:tcPr>
            <w:tcW w:w="3681" w:type="dxa"/>
            <w:vMerge w:val="restart"/>
            <w:vAlign w:val="center"/>
          </w:tcPr>
          <w:p w14:paraId="7F407280" w14:textId="77777777" w:rsidR="00AF4E63" w:rsidRPr="00733D88" w:rsidRDefault="00AF4E63" w:rsidP="00AF46A0">
            <w:pPr>
              <w:spacing w:before="20" w:after="20"/>
              <w:rPr>
                <w:rFonts w:ascii="Arial" w:hAnsi="Arial" w:cs="Arial"/>
                <w:b/>
                <w:sz w:val="18"/>
                <w:szCs w:val="18"/>
              </w:rPr>
            </w:pPr>
            <w:r w:rsidRPr="00733D88">
              <w:rPr>
                <w:rFonts w:ascii="Arial" w:hAnsi="Arial" w:cs="Arial"/>
                <w:b/>
                <w:sz w:val="18"/>
                <w:szCs w:val="18"/>
              </w:rPr>
              <w:t>Adverse Reactions</w:t>
            </w:r>
          </w:p>
        </w:tc>
        <w:tc>
          <w:tcPr>
            <w:tcW w:w="2977" w:type="dxa"/>
            <w:gridSpan w:val="2"/>
            <w:vAlign w:val="center"/>
          </w:tcPr>
          <w:p w14:paraId="66759867" w14:textId="77777777" w:rsidR="00AF4E63" w:rsidRPr="009F0E42" w:rsidRDefault="00AF4E63" w:rsidP="00AF46A0">
            <w:pPr>
              <w:spacing w:before="20" w:after="20"/>
              <w:rPr>
                <w:rFonts w:ascii="Arial" w:hAnsi="Arial" w:cs="Arial"/>
                <w:b/>
                <w:sz w:val="18"/>
                <w:szCs w:val="18"/>
              </w:rPr>
            </w:pPr>
            <w:r w:rsidRPr="009F0E42">
              <w:rPr>
                <w:rFonts w:ascii="Arial" w:hAnsi="Arial" w:cs="Arial"/>
                <w:b/>
                <w:sz w:val="18"/>
                <w:szCs w:val="18"/>
              </w:rPr>
              <w:t>COSENTYX</w:t>
            </w:r>
          </w:p>
        </w:tc>
        <w:tc>
          <w:tcPr>
            <w:tcW w:w="992" w:type="dxa"/>
            <w:vMerge w:val="restart"/>
            <w:vAlign w:val="center"/>
          </w:tcPr>
          <w:p w14:paraId="486483A8" w14:textId="77777777"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Placebo</w:t>
            </w:r>
          </w:p>
          <w:p w14:paraId="0046F90C" w14:textId="72A95765" w:rsidR="0012484D" w:rsidRPr="002D07A3" w:rsidRDefault="00AF4E63" w:rsidP="00AF46A0">
            <w:pPr>
              <w:spacing w:before="20" w:after="20"/>
              <w:rPr>
                <w:rFonts w:ascii="Arial" w:hAnsi="Arial" w:cs="Arial"/>
                <w:b/>
                <w:sz w:val="18"/>
                <w:szCs w:val="18"/>
              </w:rPr>
            </w:pPr>
            <w:r w:rsidRPr="002D07A3">
              <w:rPr>
                <w:rFonts w:ascii="Arial" w:hAnsi="Arial" w:cs="Arial"/>
                <w:b/>
                <w:sz w:val="18"/>
                <w:szCs w:val="18"/>
              </w:rPr>
              <w:t>(N=694)</w:t>
            </w:r>
          </w:p>
          <w:p w14:paraId="531B8E82" w14:textId="5A3D648A"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n (%)</w:t>
            </w:r>
          </w:p>
        </w:tc>
        <w:tc>
          <w:tcPr>
            <w:tcW w:w="1366" w:type="dxa"/>
            <w:vMerge w:val="restart"/>
            <w:vAlign w:val="center"/>
          </w:tcPr>
          <w:p w14:paraId="63370032" w14:textId="77777777"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Frequency category</w:t>
            </w:r>
            <w:r w:rsidRPr="002D07A3">
              <w:rPr>
                <w:rFonts w:ascii="Arial" w:hAnsi="Arial" w:cs="Arial"/>
                <w:b/>
                <w:sz w:val="18"/>
                <w:szCs w:val="18"/>
                <w:vertAlign w:val="superscript"/>
              </w:rPr>
              <w:t>1</w:t>
            </w:r>
          </w:p>
        </w:tc>
      </w:tr>
      <w:tr w:rsidR="00AF4E63" w:rsidRPr="00733D88" w14:paraId="7BE7F7DA" w14:textId="77777777" w:rsidTr="002D07A3">
        <w:tc>
          <w:tcPr>
            <w:tcW w:w="3681" w:type="dxa"/>
            <w:vMerge/>
            <w:tcBorders>
              <w:bottom w:val="single" w:sz="4" w:space="0" w:color="auto"/>
            </w:tcBorders>
            <w:vAlign w:val="center"/>
          </w:tcPr>
          <w:p w14:paraId="77BE4F63" w14:textId="77777777" w:rsidR="00AF4E63" w:rsidRPr="00733D88" w:rsidRDefault="00AF4E63" w:rsidP="00AF46A0">
            <w:pPr>
              <w:spacing w:before="20" w:after="20"/>
              <w:rPr>
                <w:rFonts w:ascii="Arial" w:hAnsi="Arial" w:cs="Arial"/>
                <w:sz w:val="18"/>
                <w:szCs w:val="18"/>
              </w:rPr>
            </w:pPr>
          </w:p>
        </w:tc>
        <w:tc>
          <w:tcPr>
            <w:tcW w:w="1559" w:type="dxa"/>
            <w:tcBorders>
              <w:bottom w:val="single" w:sz="4" w:space="0" w:color="auto"/>
            </w:tcBorders>
            <w:vAlign w:val="center"/>
          </w:tcPr>
          <w:p w14:paraId="5AF8741C" w14:textId="77777777"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300 mg</w:t>
            </w:r>
          </w:p>
          <w:p w14:paraId="088B4CC9" w14:textId="77777777"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(N=690) n (%)</w:t>
            </w:r>
          </w:p>
        </w:tc>
        <w:tc>
          <w:tcPr>
            <w:tcW w:w="1418" w:type="dxa"/>
            <w:tcBorders>
              <w:bottom w:val="single" w:sz="4" w:space="0" w:color="auto"/>
            </w:tcBorders>
            <w:vAlign w:val="center"/>
          </w:tcPr>
          <w:p w14:paraId="630D8319" w14:textId="77777777"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150 mg</w:t>
            </w:r>
          </w:p>
          <w:p w14:paraId="186B4C3F" w14:textId="77777777" w:rsidR="00AF4E63" w:rsidRPr="002D07A3" w:rsidRDefault="00AF4E63" w:rsidP="00AF46A0">
            <w:pPr>
              <w:spacing w:before="20" w:after="20"/>
              <w:rPr>
                <w:rFonts w:ascii="Arial" w:hAnsi="Arial" w:cs="Arial"/>
                <w:b/>
                <w:sz w:val="18"/>
                <w:szCs w:val="18"/>
              </w:rPr>
            </w:pPr>
            <w:r w:rsidRPr="002D07A3">
              <w:rPr>
                <w:rFonts w:ascii="Arial" w:hAnsi="Arial" w:cs="Arial"/>
                <w:b/>
                <w:sz w:val="18"/>
                <w:szCs w:val="18"/>
              </w:rPr>
              <w:t>(N=692) n (%)</w:t>
            </w:r>
          </w:p>
        </w:tc>
        <w:tc>
          <w:tcPr>
            <w:tcW w:w="992" w:type="dxa"/>
            <w:vMerge/>
            <w:tcBorders>
              <w:bottom w:val="single" w:sz="4" w:space="0" w:color="auto"/>
            </w:tcBorders>
            <w:vAlign w:val="center"/>
          </w:tcPr>
          <w:p w14:paraId="6758D185" w14:textId="77777777" w:rsidR="00AF4E63" w:rsidRPr="002D07A3" w:rsidRDefault="00AF4E63" w:rsidP="00AF46A0">
            <w:pPr>
              <w:spacing w:before="20" w:after="20"/>
              <w:rPr>
                <w:rFonts w:ascii="Arial" w:hAnsi="Arial" w:cs="Arial"/>
                <w:b/>
                <w:sz w:val="18"/>
                <w:szCs w:val="18"/>
              </w:rPr>
            </w:pPr>
          </w:p>
        </w:tc>
        <w:tc>
          <w:tcPr>
            <w:tcW w:w="1366" w:type="dxa"/>
            <w:vMerge/>
            <w:tcBorders>
              <w:bottom w:val="single" w:sz="4" w:space="0" w:color="auto"/>
            </w:tcBorders>
            <w:vAlign w:val="center"/>
          </w:tcPr>
          <w:p w14:paraId="556AC3D7" w14:textId="77777777" w:rsidR="00AF4E63" w:rsidRPr="002D07A3" w:rsidRDefault="00AF4E63" w:rsidP="00AF46A0">
            <w:pPr>
              <w:spacing w:before="20" w:after="20"/>
              <w:rPr>
                <w:rFonts w:ascii="Arial" w:hAnsi="Arial" w:cs="Arial"/>
                <w:b/>
                <w:sz w:val="18"/>
                <w:szCs w:val="18"/>
              </w:rPr>
            </w:pPr>
          </w:p>
        </w:tc>
      </w:tr>
      <w:tr w:rsidR="00C73D6B" w:rsidRPr="0012484D" w14:paraId="152F6D34" w14:textId="77777777" w:rsidTr="002D07A3">
        <w:tc>
          <w:tcPr>
            <w:tcW w:w="3681" w:type="dxa"/>
            <w:tcBorders>
              <w:bottom w:val="nil"/>
            </w:tcBorders>
            <w:vAlign w:val="center"/>
          </w:tcPr>
          <w:p w14:paraId="1AEB8887" w14:textId="77777777" w:rsidR="00C73D6B" w:rsidRPr="0012484D" w:rsidRDefault="00C73D6B" w:rsidP="00AF46A0">
            <w:pPr>
              <w:spacing w:before="20" w:after="20"/>
              <w:rPr>
                <w:rFonts w:ascii="Arial" w:hAnsi="Arial" w:cs="Arial"/>
                <w:b/>
                <w:sz w:val="18"/>
                <w:szCs w:val="18"/>
              </w:rPr>
            </w:pPr>
            <w:r w:rsidRPr="002D07A3">
              <w:rPr>
                <w:rFonts w:ascii="Arial" w:hAnsi="Arial" w:cs="Arial"/>
                <w:b/>
                <w:sz w:val="18"/>
                <w:szCs w:val="18"/>
              </w:rPr>
              <w:t>Infections and infestations</w:t>
            </w:r>
          </w:p>
        </w:tc>
        <w:tc>
          <w:tcPr>
            <w:tcW w:w="1559" w:type="dxa"/>
            <w:tcBorders>
              <w:bottom w:val="nil"/>
            </w:tcBorders>
            <w:vAlign w:val="center"/>
          </w:tcPr>
          <w:p w14:paraId="58E16C79" w14:textId="77777777" w:rsidR="00C73D6B" w:rsidRPr="0012484D" w:rsidRDefault="00C73D6B" w:rsidP="00AF46A0">
            <w:pPr>
              <w:spacing w:before="20" w:after="20"/>
              <w:rPr>
                <w:rFonts w:ascii="Arial" w:hAnsi="Arial" w:cs="Arial"/>
                <w:b/>
                <w:sz w:val="18"/>
                <w:szCs w:val="18"/>
              </w:rPr>
            </w:pPr>
          </w:p>
        </w:tc>
        <w:tc>
          <w:tcPr>
            <w:tcW w:w="1418" w:type="dxa"/>
            <w:tcBorders>
              <w:bottom w:val="nil"/>
            </w:tcBorders>
            <w:vAlign w:val="center"/>
          </w:tcPr>
          <w:p w14:paraId="5B0B3818" w14:textId="77777777" w:rsidR="00C73D6B" w:rsidRPr="0012484D" w:rsidRDefault="00C73D6B" w:rsidP="00AF46A0">
            <w:pPr>
              <w:spacing w:before="20" w:after="20"/>
              <w:rPr>
                <w:rFonts w:ascii="Arial" w:hAnsi="Arial" w:cs="Arial"/>
                <w:b/>
                <w:sz w:val="18"/>
                <w:szCs w:val="18"/>
              </w:rPr>
            </w:pPr>
          </w:p>
        </w:tc>
        <w:tc>
          <w:tcPr>
            <w:tcW w:w="992" w:type="dxa"/>
            <w:tcBorders>
              <w:bottom w:val="nil"/>
            </w:tcBorders>
            <w:vAlign w:val="center"/>
          </w:tcPr>
          <w:p w14:paraId="5873DE43" w14:textId="77777777" w:rsidR="00C73D6B" w:rsidRPr="0012484D" w:rsidRDefault="00C73D6B" w:rsidP="00AF46A0">
            <w:pPr>
              <w:spacing w:before="20" w:after="20"/>
              <w:rPr>
                <w:rFonts w:ascii="Arial" w:hAnsi="Arial" w:cs="Arial"/>
                <w:b/>
                <w:sz w:val="18"/>
                <w:szCs w:val="18"/>
              </w:rPr>
            </w:pPr>
          </w:p>
        </w:tc>
        <w:tc>
          <w:tcPr>
            <w:tcW w:w="1366" w:type="dxa"/>
            <w:tcBorders>
              <w:bottom w:val="nil"/>
            </w:tcBorders>
            <w:vAlign w:val="center"/>
          </w:tcPr>
          <w:p w14:paraId="0D1C63DA" w14:textId="199597C1" w:rsidR="00C73D6B" w:rsidRPr="002D07A3" w:rsidRDefault="00C73D6B" w:rsidP="00AF46A0">
            <w:pPr>
              <w:spacing w:before="20" w:after="20"/>
              <w:rPr>
                <w:rFonts w:ascii="Arial" w:hAnsi="Arial" w:cs="Arial"/>
                <w:b/>
                <w:sz w:val="18"/>
                <w:szCs w:val="18"/>
              </w:rPr>
            </w:pPr>
          </w:p>
        </w:tc>
      </w:tr>
      <w:tr w:rsidR="00AF4E63" w:rsidRPr="00733D88" w14:paraId="196D8A32" w14:textId="77777777" w:rsidTr="002D07A3">
        <w:tc>
          <w:tcPr>
            <w:tcW w:w="3681" w:type="dxa"/>
            <w:tcBorders>
              <w:top w:val="nil"/>
              <w:bottom w:val="nil"/>
            </w:tcBorders>
            <w:vAlign w:val="center"/>
          </w:tcPr>
          <w:p w14:paraId="577D108C" w14:textId="77777777" w:rsidR="00AF4E63" w:rsidRPr="00733D88" w:rsidRDefault="00AF4E63" w:rsidP="00AF46A0">
            <w:pPr>
              <w:spacing w:before="20" w:after="20"/>
              <w:rPr>
                <w:rFonts w:ascii="Arial" w:hAnsi="Arial" w:cs="Arial"/>
                <w:sz w:val="18"/>
                <w:szCs w:val="18"/>
              </w:rPr>
            </w:pPr>
            <w:proofErr w:type="spellStart"/>
            <w:r w:rsidRPr="00733D88">
              <w:rPr>
                <w:rFonts w:ascii="Arial" w:hAnsi="Arial" w:cs="Arial"/>
                <w:sz w:val="18"/>
                <w:szCs w:val="18"/>
              </w:rPr>
              <w:t>Nasopharyngitis</w:t>
            </w:r>
            <w:proofErr w:type="spellEnd"/>
          </w:p>
        </w:tc>
        <w:tc>
          <w:tcPr>
            <w:tcW w:w="1559" w:type="dxa"/>
            <w:tcBorders>
              <w:top w:val="nil"/>
              <w:bottom w:val="nil"/>
            </w:tcBorders>
            <w:vAlign w:val="center"/>
          </w:tcPr>
          <w:p w14:paraId="73F0AE96"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79 (11.4)</w:t>
            </w:r>
          </w:p>
        </w:tc>
        <w:tc>
          <w:tcPr>
            <w:tcW w:w="1418" w:type="dxa"/>
            <w:tcBorders>
              <w:top w:val="nil"/>
              <w:bottom w:val="nil"/>
            </w:tcBorders>
            <w:vAlign w:val="center"/>
          </w:tcPr>
          <w:p w14:paraId="7366A7A0"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85 (12.3)</w:t>
            </w:r>
          </w:p>
        </w:tc>
        <w:tc>
          <w:tcPr>
            <w:tcW w:w="992" w:type="dxa"/>
            <w:tcBorders>
              <w:top w:val="nil"/>
              <w:bottom w:val="nil"/>
            </w:tcBorders>
            <w:vAlign w:val="center"/>
          </w:tcPr>
          <w:p w14:paraId="44399E22"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60 (8.6)</w:t>
            </w:r>
          </w:p>
        </w:tc>
        <w:tc>
          <w:tcPr>
            <w:tcW w:w="1366" w:type="dxa"/>
            <w:tcBorders>
              <w:top w:val="nil"/>
              <w:bottom w:val="nil"/>
            </w:tcBorders>
            <w:vAlign w:val="center"/>
          </w:tcPr>
          <w:p w14:paraId="717465AD"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Very common</w:t>
            </w:r>
          </w:p>
        </w:tc>
      </w:tr>
      <w:tr w:rsidR="00AF4E63" w:rsidRPr="00733D88" w14:paraId="5904A465" w14:textId="77777777" w:rsidTr="002D07A3">
        <w:tc>
          <w:tcPr>
            <w:tcW w:w="3681" w:type="dxa"/>
            <w:tcBorders>
              <w:top w:val="nil"/>
              <w:bottom w:val="nil"/>
            </w:tcBorders>
            <w:vAlign w:val="center"/>
          </w:tcPr>
          <w:p w14:paraId="1A5B6CD1"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Upper respiratory tract infection</w:t>
            </w:r>
          </w:p>
        </w:tc>
        <w:tc>
          <w:tcPr>
            <w:tcW w:w="1559" w:type="dxa"/>
            <w:tcBorders>
              <w:top w:val="nil"/>
              <w:bottom w:val="nil"/>
            </w:tcBorders>
            <w:vAlign w:val="center"/>
          </w:tcPr>
          <w:p w14:paraId="406A60CC"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17 (2.5)</w:t>
            </w:r>
          </w:p>
        </w:tc>
        <w:tc>
          <w:tcPr>
            <w:tcW w:w="1418" w:type="dxa"/>
            <w:tcBorders>
              <w:top w:val="nil"/>
              <w:bottom w:val="nil"/>
            </w:tcBorders>
            <w:vAlign w:val="center"/>
          </w:tcPr>
          <w:p w14:paraId="4C1047E7"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22 (3.2)</w:t>
            </w:r>
          </w:p>
        </w:tc>
        <w:tc>
          <w:tcPr>
            <w:tcW w:w="992" w:type="dxa"/>
            <w:tcBorders>
              <w:top w:val="nil"/>
              <w:bottom w:val="nil"/>
            </w:tcBorders>
            <w:vAlign w:val="center"/>
          </w:tcPr>
          <w:p w14:paraId="27A341EF"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5 (0.7)</w:t>
            </w:r>
          </w:p>
        </w:tc>
        <w:tc>
          <w:tcPr>
            <w:tcW w:w="1366" w:type="dxa"/>
            <w:tcBorders>
              <w:top w:val="nil"/>
              <w:bottom w:val="nil"/>
            </w:tcBorders>
            <w:vAlign w:val="center"/>
          </w:tcPr>
          <w:p w14:paraId="3D253F92"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AF4E63" w:rsidRPr="00733D88" w14:paraId="43855066" w14:textId="77777777" w:rsidTr="002D07A3">
        <w:tc>
          <w:tcPr>
            <w:tcW w:w="3681" w:type="dxa"/>
            <w:tcBorders>
              <w:top w:val="nil"/>
              <w:bottom w:val="nil"/>
            </w:tcBorders>
            <w:vAlign w:val="center"/>
          </w:tcPr>
          <w:p w14:paraId="2223A729"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Rhinitis</w:t>
            </w:r>
          </w:p>
        </w:tc>
        <w:tc>
          <w:tcPr>
            <w:tcW w:w="1559" w:type="dxa"/>
            <w:tcBorders>
              <w:top w:val="nil"/>
              <w:bottom w:val="nil"/>
            </w:tcBorders>
            <w:vAlign w:val="center"/>
          </w:tcPr>
          <w:p w14:paraId="4CD09C05"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10 (1.4)</w:t>
            </w:r>
          </w:p>
        </w:tc>
        <w:tc>
          <w:tcPr>
            <w:tcW w:w="1418" w:type="dxa"/>
            <w:tcBorders>
              <w:top w:val="nil"/>
              <w:bottom w:val="nil"/>
            </w:tcBorders>
            <w:vAlign w:val="center"/>
          </w:tcPr>
          <w:p w14:paraId="79FE5AA2"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10 (1.4)</w:t>
            </w:r>
          </w:p>
        </w:tc>
        <w:tc>
          <w:tcPr>
            <w:tcW w:w="992" w:type="dxa"/>
            <w:tcBorders>
              <w:top w:val="nil"/>
              <w:bottom w:val="nil"/>
            </w:tcBorders>
            <w:vAlign w:val="center"/>
          </w:tcPr>
          <w:p w14:paraId="2DE7EB7E"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5 (0.7)</w:t>
            </w:r>
          </w:p>
        </w:tc>
        <w:tc>
          <w:tcPr>
            <w:tcW w:w="1366" w:type="dxa"/>
            <w:tcBorders>
              <w:top w:val="nil"/>
              <w:bottom w:val="nil"/>
            </w:tcBorders>
            <w:vAlign w:val="center"/>
          </w:tcPr>
          <w:p w14:paraId="35421751"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AF4E63" w:rsidRPr="00733D88" w14:paraId="2B6116AB" w14:textId="77777777" w:rsidTr="002D07A3">
        <w:tc>
          <w:tcPr>
            <w:tcW w:w="3681" w:type="dxa"/>
            <w:tcBorders>
              <w:top w:val="nil"/>
              <w:bottom w:val="nil"/>
            </w:tcBorders>
            <w:vAlign w:val="center"/>
          </w:tcPr>
          <w:p w14:paraId="6C6A27F4"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 xml:space="preserve">Oral herpes  </w:t>
            </w:r>
          </w:p>
        </w:tc>
        <w:tc>
          <w:tcPr>
            <w:tcW w:w="1559" w:type="dxa"/>
            <w:tcBorders>
              <w:top w:val="nil"/>
              <w:bottom w:val="nil"/>
            </w:tcBorders>
            <w:vAlign w:val="center"/>
          </w:tcPr>
          <w:p w14:paraId="3F8B9FBF"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9 (1.3)</w:t>
            </w:r>
          </w:p>
        </w:tc>
        <w:tc>
          <w:tcPr>
            <w:tcW w:w="1418" w:type="dxa"/>
            <w:tcBorders>
              <w:top w:val="nil"/>
              <w:bottom w:val="nil"/>
            </w:tcBorders>
            <w:vAlign w:val="center"/>
          </w:tcPr>
          <w:p w14:paraId="6A7C2FA3"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 (0.1)</w:t>
            </w:r>
          </w:p>
        </w:tc>
        <w:tc>
          <w:tcPr>
            <w:tcW w:w="992" w:type="dxa"/>
            <w:tcBorders>
              <w:top w:val="nil"/>
              <w:bottom w:val="nil"/>
            </w:tcBorders>
            <w:vAlign w:val="center"/>
          </w:tcPr>
          <w:p w14:paraId="393C6478"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2 (0.3)</w:t>
            </w:r>
          </w:p>
        </w:tc>
        <w:tc>
          <w:tcPr>
            <w:tcW w:w="1366" w:type="dxa"/>
            <w:tcBorders>
              <w:top w:val="nil"/>
              <w:bottom w:val="nil"/>
            </w:tcBorders>
            <w:vAlign w:val="center"/>
          </w:tcPr>
          <w:p w14:paraId="5CE72AC8"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AF4E63" w:rsidRPr="00733D88" w14:paraId="1449FD21" w14:textId="77777777" w:rsidTr="002D07A3">
        <w:tc>
          <w:tcPr>
            <w:tcW w:w="3681" w:type="dxa"/>
            <w:tcBorders>
              <w:top w:val="nil"/>
              <w:bottom w:val="single" w:sz="4" w:space="0" w:color="auto"/>
            </w:tcBorders>
            <w:vAlign w:val="center"/>
          </w:tcPr>
          <w:p w14:paraId="46AF7A0F"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Pharyngitis</w:t>
            </w:r>
          </w:p>
        </w:tc>
        <w:tc>
          <w:tcPr>
            <w:tcW w:w="1559" w:type="dxa"/>
            <w:tcBorders>
              <w:top w:val="nil"/>
              <w:bottom w:val="single" w:sz="4" w:space="0" w:color="auto"/>
            </w:tcBorders>
            <w:vAlign w:val="center"/>
          </w:tcPr>
          <w:p w14:paraId="54EA666B"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8 (1.2)</w:t>
            </w:r>
          </w:p>
        </w:tc>
        <w:tc>
          <w:tcPr>
            <w:tcW w:w="1418" w:type="dxa"/>
            <w:tcBorders>
              <w:top w:val="nil"/>
              <w:bottom w:val="single" w:sz="4" w:space="0" w:color="auto"/>
            </w:tcBorders>
            <w:vAlign w:val="center"/>
          </w:tcPr>
          <w:p w14:paraId="3F67EFF6"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7 (1.0)</w:t>
            </w:r>
          </w:p>
        </w:tc>
        <w:tc>
          <w:tcPr>
            <w:tcW w:w="992" w:type="dxa"/>
            <w:tcBorders>
              <w:top w:val="nil"/>
              <w:bottom w:val="single" w:sz="4" w:space="0" w:color="auto"/>
            </w:tcBorders>
            <w:vAlign w:val="center"/>
          </w:tcPr>
          <w:p w14:paraId="116D8916"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0 (0)</w:t>
            </w:r>
          </w:p>
        </w:tc>
        <w:tc>
          <w:tcPr>
            <w:tcW w:w="1366" w:type="dxa"/>
            <w:tcBorders>
              <w:top w:val="nil"/>
              <w:bottom w:val="single" w:sz="4" w:space="0" w:color="auto"/>
            </w:tcBorders>
            <w:vAlign w:val="center"/>
          </w:tcPr>
          <w:p w14:paraId="3230C6DE"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C73D6B" w:rsidRPr="00C73D6B" w14:paraId="6310D86E" w14:textId="77777777" w:rsidTr="002D07A3">
        <w:tc>
          <w:tcPr>
            <w:tcW w:w="3681" w:type="dxa"/>
            <w:tcBorders>
              <w:bottom w:val="nil"/>
            </w:tcBorders>
            <w:vAlign w:val="center"/>
          </w:tcPr>
          <w:p w14:paraId="379FF512" w14:textId="77777777" w:rsidR="00C73D6B" w:rsidRPr="0012484D" w:rsidRDefault="00C73D6B" w:rsidP="00AF46A0">
            <w:pPr>
              <w:spacing w:before="20" w:after="20"/>
              <w:rPr>
                <w:rFonts w:ascii="Arial" w:hAnsi="Arial" w:cs="Arial"/>
                <w:b/>
                <w:sz w:val="18"/>
                <w:szCs w:val="18"/>
              </w:rPr>
            </w:pPr>
            <w:r w:rsidRPr="002D07A3">
              <w:rPr>
                <w:rFonts w:ascii="Arial" w:hAnsi="Arial" w:cs="Arial"/>
                <w:b/>
                <w:sz w:val="18"/>
                <w:szCs w:val="18"/>
              </w:rPr>
              <w:t>Gastrointestinal disorders</w:t>
            </w:r>
          </w:p>
        </w:tc>
        <w:tc>
          <w:tcPr>
            <w:tcW w:w="1559" w:type="dxa"/>
            <w:tcBorders>
              <w:bottom w:val="nil"/>
            </w:tcBorders>
            <w:vAlign w:val="center"/>
          </w:tcPr>
          <w:p w14:paraId="0E89764E" w14:textId="77777777" w:rsidR="00C73D6B" w:rsidRPr="0012484D" w:rsidRDefault="00C73D6B" w:rsidP="00AF46A0">
            <w:pPr>
              <w:spacing w:before="20" w:after="20"/>
              <w:rPr>
                <w:rFonts w:ascii="Arial" w:hAnsi="Arial" w:cs="Arial"/>
                <w:b/>
                <w:sz w:val="18"/>
                <w:szCs w:val="18"/>
              </w:rPr>
            </w:pPr>
          </w:p>
        </w:tc>
        <w:tc>
          <w:tcPr>
            <w:tcW w:w="1418" w:type="dxa"/>
            <w:tcBorders>
              <w:bottom w:val="nil"/>
            </w:tcBorders>
            <w:vAlign w:val="center"/>
          </w:tcPr>
          <w:p w14:paraId="4A8C3BBE" w14:textId="77777777" w:rsidR="00C73D6B" w:rsidRPr="0012484D" w:rsidRDefault="00C73D6B" w:rsidP="00AF46A0">
            <w:pPr>
              <w:spacing w:before="20" w:after="20"/>
              <w:rPr>
                <w:rFonts w:ascii="Arial" w:hAnsi="Arial" w:cs="Arial"/>
                <w:b/>
                <w:sz w:val="18"/>
                <w:szCs w:val="18"/>
              </w:rPr>
            </w:pPr>
          </w:p>
        </w:tc>
        <w:tc>
          <w:tcPr>
            <w:tcW w:w="992" w:type="dxa"/>
            <w:tcBorders>
              <w:bottom w:val="nil"/>
            </w:tcBorders>
            <w:vAlign w:val="center"/>
          </w:tcPr>
          <w:p w14:paraId="00DCC4B7" w14:textId="77777777" w:rsidR="00C73D6B" w:rsidRPr="0012484D" w:rsidRDefault="00C73D6B" w:rsidP="00AF46A0">
            <w:pPr>
              <w:spacing w:before="20" w:after="20"/>
              <w:rPr>
                <w:rFonts w:ascii="Arial" w:hAnsi="Arial" w:cs="Arial"/>
                <w:b/>
                <w:sz w:val="18"/>
                <w:szCs w:val="18"/>
              </w:rPr>
            </w:pPr>
          </w:p>
        </w:tc>
        <w:tc>
          <w:tcPr>
            <w:tcW w:w="1366" w:type="dxa"/>
            <w:tcBorders>
              <w:bottom w:val="nil"/>
            </w:tcBorders>
            <w:vAlign w:val="center"/>
          </w:tcPr>
          <w:p w14:paraId="7580A397" w14:textId="118BB4B3" w:rsidR="00C73D6B" w:rsidRPr="002D07A3" w:rsidRDefault="00C73D6B" w:rsidP="00AF46A0">
            <w:pPr>
              <w:spacing w:before="20" w:after="20"/>
              <w:rPr>
                <w:rFonts w:ascii="Arial" w:hAnsi="Arial" w:cs="Arial"/>
                <w:b/>
                <w:sz w:val="18"/>
                <w:szCs w:val="18"/>
              </w:rPr>
            </w:pPr>
          </w:p>
        </w:tc>
      </w:tr>
      <w:tr w:rsidR="00AF4E63" w:rsidRPr="00733D88" w14:paraId="2337127C" w14:textId="77777777" w:rsidTr="002D07A3">
        <w:tc>
          <w:tcPr>
            <w:tcW w:w="3681" w:type="dxa"/>
            <w:tcBorders>
              <w:top w:val="nil"/>
              <w:bottom w:val="single" w:sz="4" w:space="0" w:color="auto"/>
            </w:tcBorders>
            <w:vAlign w:val="center"/>
          </w:tcPr>
          <w:p w14:paraId="184BE87A"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Diarrhoea</w:t>
            </w:r>
          </w:p>
        </w:tc>
        <w:tc>
          <w:tcPr>
            <w:tcW w:w="1559" w:type="dxa"/>
            <w:tcBorders>
              <w:top w:val="nil"/>
              <w:bottom w:val="single" w:sz="4" w:space="0" w:color="auto"/>
            </w:tcBorders>
            <w:vAlign w:val="center"/>
          </w:tcPr>
          <w:p w14:paraId="3322551B"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28 (4.1)</w:t>
            </w:r>
          </w:p>
        </w:tc>
        <w:tc>
          <w:tcPr>
            <w:tcW w:w="1418" w:type="dxa"/>
            <w:tcBorders>
              <w:top w:val="nil"/>
              <w:bottom w:val="single" w:sz="4" w:space="0" w:color="auto"/>
            </w:tcBorders>
            <w:vAlign w:val="center"/>
          </w:tcPr>
          <w:p w14:paraId="4727BCE8"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18 (2.6)</w:t>
            </w:r>
          </w:p>
        </w:tc>
        <w:tc>
          <w:tcPr>
            <w:tcW w:w="992" w:type="dxa"/>
            <w:tcBorders>
              <w:top w:val="nil"/>
              <w:bottom w:val="single" w:sz="4" w:space="0" w:color="auto"/>
            </w:tcBorders>
            <w:vAlign w:val="center"/>
          </w:tcPr>
          <w:p w14:paraId="5A86F0CA"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10 (1.4)</w:t>
            </w:r>
          </w:p>
        </w:tc>
        <w:tc>
          <w:tcPr>
            <w:tcW w:w="1366" w:type="dxa"/>
            <w:tcBorders>
              <w:top w:val="nil"/>
              <w:bottom w:val="single" w:sz="4" w:space="0" w:color="auto"/>
            </w:tcBorders>
            <w:vAlign w:val="center"/>
          </w:tcPr>
          <w:p w14:paraId="05D04D6D"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C73D6B" w:rsidRPr="00C73D6B" w14:paraId="5086CDAB" w14:textId="77777777" w:rsidTr="002D07A3">
        <w:tc>
          <w:tcPr>
            <w:tcW w:w="3681" w:type="dxa"/>
            <w:tcBorders>
              <w:bottom w:val="nil"/>
            </w:tcBorders>
            <w:vAlign w:val="center"/>
          </w:tcPr>
          <w:p w14:paraId="15E13BA4" w14:textId="77777777" w:rsidR="00C73D6B" w:rsidRPr="0012484D" w:rsidRDefault="00C73D6B" w:rsidP="00AF46A0">
            <w:pPr>
              <w:spacing w:before="20" w:after="20"/>
              <w:rPr>
                <w:rFonts w:ascii="Arial" w:hAnsi="Arial" w:cs="Arial"/>
                <w:b/>
                <w:sz w:val="18"/>
                <w:szCs w:val="18"/>
              </w:rPr>
            </w:pPr>
            <w:r w:rsidRPr="002D07A3">
              <w:rPr>
                <w:rFonts w:ascii="Arial" w:hAnsi="Arial" w:cs="Arial"/>
                <w:b/>
                <w:sz w:val="18"/>
                <w:szCs w:val="18"/>
              </w:rPr>
              <w:t>Skin and subcutaneous tissue disorders</w:t>
            </w:r>
          </w:p>
        </w:tc>
        <w:tc>
          <w:tcPr>
            <w:tcW w:w="1559" w:type="dxa"/>
            <w:tcBorders>
              <w:bottom w:val="nil"/>
            </w:tcBorders>
            <w:vAlign w:val="center"/>
          </w:tcPr>
          <w:p w14:paraId="7CB9B0A8" w14:textId="77777777" w:rsidR="00C73D6B" w:rsidRPr="0012484D" w:rsidRDefault="00C73D6B" w:rsidP="00AF46A0">
            <w:pPr>
              <w:spacing w:before="20" w:after="20"/>
              <w:rPr>
                <w:rFonts w:ascii="Arial" w:hAnsi="Arial" w:cs="Arial"/>
                <w:b/>
                <w:sz w:val="18"/>
                <w:szCs w:val="18"/>
              </w:rPr>
            </w:pPr>
          </w:p>
        </w:tc>
        <w:tc>
          <w:tcPr>
            <w:tcW w:w="1418" w:type="dxa"/>
            <w:tcBorders>
              <w:bottom w:val="nil"/>
            </w:tcBorders>
            <w:vAlign w:val="center"/>
          </w:tcPr>
          <w:p w14:paraId="7ABB1211" w14:textId="77777777" w:rsidR="00C73D6B" w:rsidRPr="0012484D" w:rsidRDefault="00C73D6B" w:rsidP="00AF46A0">
            <w:pPr>
              <w:spacing w:before="20" w:after="20"/>
              <w:rPr>
                <w:rFonts w:ascii="Arial" w:hAnsi="Arial" w:cs="Arial"/>
                <w:b/>
                <w:sz w:val="18"/>
                <w:szCs w:val="18"/>
              </w:rPr>
            </w:pPr>
          </w:p>
        </w:tc>
        <w:tc>
          <w:tcPr>
            <w:tcW w:w="992" w:type="dxa"/>
            <w:tcBorders>
              <w:bottom w:val="nil"/>
            </w:tcBorders>
            <w:vAlign w:val="center"/>
          </w:tcPr>
          <w:p w14:paraId="75B10BE3" w14:textId="77777777" w:rsidR="00C73D6B" w:rsidRPr="0012484D" w:rsidRDefault="00C73D6B" w:rsidP="00AF46A0">
            <w:pPr>
              <w:spacing w:before="20" w:after="20"/>
              <w:rPr>
                <w:rFonts w:ascii="Arial" w:hAnsi="Arial" w:cs="Arial"/>
                <w:b/>
                <w:sz w:val="18"/>
                <w:szCs w:val="18"/>
              </w:rPr>
            </w:pPr>
          </w:p>
        </w:tc>
        <w:tc>
          <w:tcPr>
            <w:tcW w:w="1366" w:type="dxa"/>
            <w:tcBorders>
              <w:bottom w:val="nil"/>
            </w:tcBorders>
            <w:vAlign w:val="center"/>
          </w:tcPr>
          <w:p w14:paraId="08341142" w14:textId="6FE095D7" w:rsidR="00C73D6B" w:rsidRPr="002D07A3" w:rsidRDefault="00C73D6B" w:rsidP="00AF46A0">
            <w:pPr>
              <w:spacing w:before="20" w:after="20"/>
              <w:rPr>
                <w:rFonts w:ascii="Arial" w:hAnsi="Arial" w:cs="Arial"/>
                <w:b/>
                <w:sz w:val="18"/>
                <w:szCs w:val="18"/>
              </w:rPr>
            </w:pPr>
          </w:p>
        </w:tc>
      </w:tr>
      <w:tr w:rsidR="00AF4E63" w:rsidRPr="00733D88" w14:paraId="2BD6CAA6" w14:textId="77777777" w:rsidTr="002D07A3">
        <w:tc>
          <w:tcPr>
            <w:tcW w:w="3681" w:type="dxa"/>
            <w:tcBorders>
              <w:top w:val="nil"/>
              <w:bottom w:val="single" w:sz="4" w:space="0" w:color="auto"/>
            </w:tcBorders>
            <w:vAlign w:val="center"/>
          </w:tcPr>
          <w:p w14:paraId="5E8CF7E7" w14:textId="77777777" w:rsidR="00AF4E63" w:rsidRPr="00733D88" w:rsidRDefault="00AF4E63" w:rsidP="00AF46A0">
            <w:pPr>
              <w:spacing w:before="20" w:after="20"/>
              <w:rPr>
                <w:rFonts w:ascii="Arial" w:hAnsi="Arial" w:cs="Arial"/>
                <w:sz w:val="18"/>
                <w:szCs w:val="18"/>
              </w:rPr>
            </w:pPr>
            <w:proofErr w:type="spellStart"/>
            <w:r w:rsidRPr="00733D88">
              <w:rPr>
                <w:rFonts w:ascii="Arial" w:hAnsi="Arial" w:cs="Arial"/>
                <w:sz w:val="18"/>
                <w:szCs w:val="18"/>
              </w:rPr>
              <w:t>Urticaria</w:t>
            </w:r>
            <w:proofErr w:type="spellEnd"/>
          </w:p>
        </w:tc>
        <w:tc>
          <w:tcPr>
            <w:tcW w:w="1559" w:type="dxa"/>
            <w:tcBorders>
              <w:top w:val="nil"/>
              <w:bottom w:val="single" w:sz="4" w:space="0" w:color="auto"/>
            </w:tcBorders>
            <w:vAlign w:val="center"/>
          </w:tcPr>
          <w:p w14:paraId="610F5080"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4 (0.6)</w:t>
            </w:r>
          </w:p>
        </w:tc>
        <w:tc>
          <w:tcPr>
            <w:tcW w:w="1418" w:type="dxa"/>
            <w:tcBorders>
              <w:top w:val="nil"/>
              <w:bottom w:val="single" w:sz="4" w:space="0" w:color="auto"/>
            </w:tcBorders>
            <w:vAlign w:val="center"/>
          </w:tcPr>
          <w:p w14:paraId="23903ACF"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8 (1.2)</w:t>
            </w:r>
          </w:p>
        </w:tc>
        <w:tc>
          <w:tcPr>
            <w:tcW w:w="992" w:type="dxa"/>
            <w:tcBorders>
              <w:top w:val="nil"/>
              <w:bottom w:val="single" w:sz="4" w:space="0" w:color="auto"/>
            </w:tcBorders>
            <w:vAlign w:val="center"/>
          </w:tcPr>
          <w:p w14:paraId="6F2CD7C9"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 (0.1)</w:t>
            </w:r>
          </w:p>
        </w:tc>
        <w:tc>
          <w:tcPr>
            <w:tcW w:w="1366" w:type="dxa"/>
            <w:tcBorders>
              <w:top w:val="nil"/>
              <w:bottom w:val="single" w:sz="4" w:space="0" w:color="auto"/>
            </w:tcBorders>
            <w:vAlign w:val="center"/>
          </w:tcPr>
          <w:p w14:paraId="265F29E4"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C73D6B" w:rsidRPr="0012484D" w14:paraId="43CB0467" w14:textId="77777777" w:rsidTr="002D07A3">
        <w:tc>
          <w:tcPr>
            <w:tcW w:w="3681" w:type="dxa"/>
            <w:tcBorders>
              <w:bottom w:val="nil"/>
            </w:tcBorders>
            <w:vAlign w:val="center"/>
          </w:tcPr>
          <w:p w14:paraId="632706AF" w14:textId="77777777" w:rsidR="00C73D6B" w:rsidRPr="0012484D" w:rsidRDefault="00C73D6B" w:rsidP="00AF46A0">
            <w:pPr>
              <w:spacing w:before="20" w:after="20"/>
              <w:rPr>
                <w:rFonts w:ascii="Arial" w:hAnsi="Arial" w:cs="Arial"/>
                <w:b/>
                <w:sz w:val="18"/>
                <w:szCs w:val="18"/>
              </w:rPr>
            </w:pPr>
            <w:r w:rsidRPr="002D07A3">
              <w:rPr>
                <w:rFonts w:ascii="Arial" w:hAnsi="Arial" w:cs="Arial"/>
                <w:b/>
                <w:sz w:val="18"/>
                <w:szCs w:val="18"/>
              </w:rPr>
              <w:t>Respiratory, thoracic and mediastinal disorders</w:t>
            </w:r>
          </w:p>
        </w:tc>
        <w:tc>
          <w:tcPr>
            <w:tcW w:w="1559" w:type="dxa"/>
            <w:tcBorders>
              <w:bottom w:val="nil"/>
            </w:tcBorders>
            <w:vAlign w:val="center"/>
          </w:tcPr>
          <w:p w14:paraId="6B3855DE" w14:textId="77777777" w:rsidR="00C73D6B" w:rsidRPr="0012484D" w:rsidRDefault="00C73D6B" w:rsidP="00AF46A0">
            <w:pPr>
              <w:spacing w:before="20" w:after="20"/>
              <w:rPr>
                <w:rFonts w:ascii="Arial" w:hAnsi="Arial" w:cs="Arial"/>
                <w:b/>
                <w:sz w:val="18"/>
                <w:szCs w:val="18"/>
              </w:rPr>
            </w:pPr>
          </w:p>
        </w:tc>
        <w:tc>
          <w:tcPr>
            <w:tcW w:w="1418" w:type="dxa"/>
            <w:tcBorders>
              <w:bottom w:val="nil"/>
            </w:tcBorders>
            <w:vAlign w:val="center"/>
          </w:tcPr>
          <w:p w14:paraId="6B430DDF" w14:textId="77777777" w:rsidR="00C73D6B" w:rsidRPr="0012484D" w:rsidRDefault="00C73D6B" w:rsidP="00AF46A0">
            <w:pPr>
              <w:spacing w:before="20" w:after="20"/>
              <w:rPr>
                <w:rFonts w:ascii="Arial" w:hAnsi="Arial" w:cs="Arial"/>
                <w:b/>
                <w:sz w:val="18"/>
                <w:szCs w:val="18"/>
              </w:rPr>
            </w:pPr>
          </w:p>
        </w:tc>
        <w:tc>
          <w:tcPr>
            <w:tcW w:w="992" w:type="dxa"/>
            <w:tcBorders>
              <w:bottom w:val="nil"/>
            </w:tcBorders>
            <w:vAlign w:val="center"/>
          </w:tcPr>
          <w:p w14:paraId="06781755" w14:textId="77777777" w:rsidR="00C73D6B" w:rsidRPr="0012484D" w:rsidRDefault="00C73D6B" w:rsidP="00AF46A0">
            <w:pPr>
              <w:spacing w:before="20" w:after="20"/>
              <w:rPr>
                <w:rFonts w:ascii="Arial" w:hAnsi="Arial" w:cs="Arial"/>
                <w:b/>
                <w:sz w:val="18"/>
                <w:szCs w:val="18"/>
              </w:rPr>
            </w:pPr>
          </w:p>
        </w:tc>
        <w:tc>
          <w:tcPr>
            <w:tcW w:w="1366" w:type="dxa"/>
            <w:tcBorders>
              <w:bottom w:val="nil"/>
            </w:tcBorders>
            <w:vAlign w:val="center"/>
          </w:tcPr>
          <w:p w14:paraId="6A290C55" w14:textId="0430E753" w:rsidR="00C73D6B" w:rsidRPr="002D07A3" w:rsidRDefault="00C73D6B" w:rsidP="00AF46A0">
            <w:pPr>
              <w:spacing w:before="20" w:after="20"/>
              <w:rPr>
                <w:rFonts w:ascii="Arial" w:hAnsi="Arial" w:cs="Arial"/>
                <w:b/>
                <w:sz w:val="18"/>
                <w:szCs w:val="18"/>
              </w:rPr>
            </w:pPr>
          </w:p>
        </w:tc>
      </w:tr>
      <w:tr w:rsidR="0012484D" w:rsidRPr="00733D88" w14:paraId="60964089" w14:textId="77777777" w:rsidTr="002D07A3">
        <w:tc>
          <w:tcPr>
            <w:tcW w:w="3681" w:type="dxa"/>
            <w:tcBorders>
              <w:top w:val="nil"/>
              <w:bottom w:val="single" w:sz="4" w:space="0" w:color="auto"/>
            </w:tcBorders>
            <w:vAlign w:val="center"/>
          </w:tcPr>
          <w:p w14:paraId="5E74AFFE"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Rhinorrhoea</w:t>
            </w:r>
          </w:p>
        </w:tc>
        <w:tc>
          <w:tcPr>
            <w:tcW w:w="1559" w:type="dxa"/>
            <w:tcBorders>
              <w:top w:val="nil"/>
              <w:bottom w:val="single" w:sz="4" w:space="0" w:color="auto"/>
            </w:tcBorders>
            <w:vAlign w:val="center"/>
          </w:tcPr>
          <w:p w14:paraId="3D90958A"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8 (1.2)</w:t>
            </w:r>
          </w:p>
        </w:tc>
        <w:tc>
          <w:tcPr>
            <w:tcW w:w="1418" w:type="dxa"/>
            <w:tcBorders>
              <w:top w:val="nil"/>
              <w:bottom w:val="single" w:sz="4" w:space="0" w:color="auto"/>
            </w:tcBorders>
            <w:vAlign w:val="center"/>
          </w:tcPr>
          <w:p w14:paraId="6EC5A90B"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2 (0.3)</w:t>
            </w:r>
          </w:p>
        </w:tc>
        <w:tc>
          <w:tcPr>
            <w:tcW w:w="992" w:type="dxa"/>
            <w:tcBorders>
              <w:top w:val="nil"/>
              <w:bottom w:val="single" w:sz="4" w:space="0" w:color="auto"/>
            </w:tcBorders>
            <w:vAlign w:val="center"/>
          </w:tcPr>
          <w:p w14:paraId="2FF30A00"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1 (0.1)</w:t>
            </w:r>
          </w:p>
        </w:tc>
        <w:tc>
          <w:tcPr>
            <w:tcW w:w="1366" w:type="dxa"/>
            <w:tcBorders>
              <w:top w:val="nil"/>
              <w:bottom w:val="single" w:sz="4" w:space="0" w:color="auto"/>
            </w:tcBorders>
            <w:vAlign w:val="center"/>
          </w:tcPr>
          <w:p w14:paraId="19D37759" w14:textId="77777777" w:rsidR="00AF4E63" w:rsidRPr="00733D88" w:rsidRDefault="00AF4E63" w:rsidP="00AF46A0">
            <w:pPr>
              <w:spacing w:before="20" w:after="20"/>
              <w:rPr>
                <w:rFonts w:ascii="Arial" w:hAnsi="Arial" w:cs="Arial"/>
                <w:sz w:val="18"/>
                <w:szCs w:val="18"/>
              </w:rPr>
            </w:pPr>
            <w:r w:rsidRPr="00733D88">
              <w:rPr>
                <w:rFonts w:ascii="Arial" w:hAnsi="Arial" w:cs="Arial"/>
                <w:sz w:val="18"/>
                <w:szCs w:val="18"/>
              </w:rPr>
              <w:t>Common</w:t>
            </w:r>
          </w:p>
        </w:tc>
      </w:tr>
      <w:tr w:rsidR="00AF4E63" w:rsidRPr="00733D88" w14:paraId="7060D2A1" w14:textId="77777777" w:rsidTr="002D07A3">
        <w:tc>
          <w:tcPr>
            <w:tcW w:w="9016" w:type="dxa"/>
            <w:gridSpan w:val="5"/>
            <w:tcBorders>
              <w:top w:val="single" w:sz="4" w:space="0" w:color="auto"/>
              <w:left w:val="nil"/>
              <w:bottom w:val="nil"/>
              <w:right w:val="nil"/>
            </w:tcBorders>
            <w:vAlign w:val="center"/>
          </w:tcPr>
          <w:p w14:paraId="7F36B23D" w14:textId="77777777" w:rsidR="00AF4E63" w:rsidRPr="00733D88" w:rsidRDefault="00AF4E63" w:rsidP="00AF46A0">
            <w:pPr>
              <w:spacing w:before="20" w:after="20"/>
              <w:rPr>
                <w:rFonts w:ascii="Arial" w:hAnsi="Arial" w:cs="Arial"/>
                <w:sz w:val="16"/>
                <w:szCs w:val="18"/>
              </w:rPr>
            </w:pPr>
            <w:r w:rsidRPr="00733D88">
              <w:rPr>
                <w:rFonts w:ascii="Arial" w:hAnsi="Arial" w:cs="Arial"/>
                <w:sz w:val="16"/>
                <w:szCs w:val="18"/>
                <w:vertAlign w:val="superscript"/>
              </w:rPr>
              <w:t>1</w:t>
            </w:r>
            <w:r w:rsidRPr="00733D88">
              <w:rPr>
                <w:rFonts w:ascii="Arial" w:hAnsi="Arial" w:cs="Arial"/>
                <w:sz w:val="16"/>
                <w:szCs w:val="18"/>
              </w:rPr>
              <w:t xml:space="preserve"> ADR frequencies are based upon the highest percentage rate seen in any of the </w:t>
            </w:r>
            <w:proofErr w:type="spellStart"/>
            <w:r w:rsidRPr="00733D88">
              <w:rPr>
                <w:rFonts w:ascii="Arial" w:hAnsi="Arial" w:cs="Arial"/>
                <w:sz w:val="16"/>
                <w:szCs w:val="18"/>
              </w:rPr>
              <w:t>secukinumab</w:t>
            </w:r>
            <w:proofErr w:type="spellEnd"/>
            <w:r w:rsidRPr="00733D88">
              <w:rPr>
                <w:rFonts w:ascii="Arial" w:hAnsi="Arial" w:cs="Arial"/>
                <w:sz w:val="16"/>
                <w:szCs w:val="18"/>
              </w:rPr>
              <w:t xml:space="preserve"> groups</w:t>
            </w:r>
          </w:p>
        </w:tc>
      </w:tr>
    </w:tbl>
    <w:p w14:paraId="36809361" w14:textId="151454F1" w:rsidR="0037208D" w:rsidRPr="00353978" w:rsidRDefault="0037208D" w:rsidP="00AF46A0">
      <w:pPr>
        <w:spacing w:after="120"/>
        <w:ind w:left="1166" w:hanging="1166"/>
        <w:rPr>
          <w:rFonts w:ascii="Arial" w:hAnsi="Arial" w:cs="Arial"/>
          <w:b/>
          <w:sz w:val="20"/>
        </w:rPr>
      </w:pPr>
    </w:p>
    <w:p w14:paraId="6041D0BC" w14:textId="49414EC6" w:rsidR="00AF4E63" w:rsidRPr="00733D88" w:rsidRDefault="00AF4E63" w:rsidP="00AF46A0">
      <w:pPr>
        <w:spacing w:after="120"/>
        <w:ind w:left="1166" w:hanging="1166"/>
        <w:rPr>
          <w:rFonts w:ascii="Arial" w:hAnsi="Arial" w:cs="Arial"/>
          <w:b/>
          <w:sz w:val="20"/>
        </w:rPr>
      </w:pPr>
      <w:r w:rsidRPr="00353978">
        <w:rPr>
          <w:rFonts w:ascii="Arial" w:hAnsi="Arial" w:cs="Arial"/>
          <w:b/>
          <w:sz w:val="20"/>
        </w:rPr>
        <w:t>Table</w:t>
      </w:r>
      <w:r w:rsidR="00010B1A" w:rsidRPr="00733D88">
        <w:rPr>
          <w:rFonts w:ascii="Arial" w:hAnsi="Arial" w:cs="Arial"/>
          <w:b/>
          <w:sz w:val="20"/>
        </w:rPr>
        <w:t xml:space="preserve"> </w:t>
      </w:r>
      <w:r w:rsidR="0016038E" w:rsidRPr="00733D88">
        <w:rPr>
          <w:rFonts w:ascii="Arial" w:hAnsi="Arial" w:cs="Arial"/>
          <w:b/>
          <w:sz w:val="20"/>
        </w:rPr>
        <w:t>2</w:t>
      </w:r>
      <w:r w:rsidRPr="00733D88">
        <w:rPr>
          <w:rFonts w:ascii="Arial" w:hAnsi="Arial" w:cs="Arial"/>
          <w:b/>
          <w:sz w:val="20"/>
        </w:rPr>
        <w:t xml:space="preserve"> </w:t>
      </w:r>
      <w:r w:rsidRPr="00733D88">
        <w:rPr>
          <w:rFonts w:ascii="Arial" w:hAnsi="Arial" w:cs="Arial"/>
          <w:b/>
          <w:sz w:val="20"/>
        </w:rPr>
        <w:tab/>
        <w:t>Adverse Drug Reactions reported by ≥ 1 % of psoriasis patients through Week 12 in Phase III FIXTURE Study (A2303)</w:t>
      </w:r>
    </w:p>
    <w:tbl>
      <w:tblPr>
        <w:tblStyle w:val="TableGrid"/>
        <w:tblW w:w="0" w:type="auto"/>
        <w:tblLook w:val="04A0" w:firstRow="1" w:lastRow="0" w:firstColumn="1" w:lastColumn="0" w:noHBand="0" w:noVBand="1"/>
      </w:tblPr>
      <w:tblGrid>
        <w:gridCol w:w="3539"/>
        <w:gridCol w:w="992"/>
        <w:gridCol w:w="993"/>
        <w:gridCol w:w="960"/>
        <w:gridCol w:w="1166"/>
        <w:gridCol w:w="1366"/>
      </w:tblGrid>
      <w:tr w:rsidR="00AF4E63" w:rsidRPr="00733D88" w14:paraId="1EE2ACE3" w14:textId="77777777" w:rsidTr="002D07A3">
        <w:tc>
          <w:tcPr>
            <w:tcW w:w="3539" w:type="dxa"/>
            <w:vMerge w:val="restart"/>
            <w:vAlign w:val="center"/>
          </w:tcPr>
          <w:p w14:paraId="57F1A6D8" w14:textId="77777777" w:rsidR="00AF4E63" w:rsidRPr="002D07A3" w:rsidRDefault="00AF4E63" w:rsidP="00AF46A0">
            <w:pPr>
              <w:rPr>
                <w:rFonts w:ascii="Arial" w:hAnsi="Arial" w:cs="Arial"/>
                <w:b/>
                <w:sz w:val="18"/>
                <w:szCs w:val="18"/>
              </w:rPr>
            </w:pPr>
            <w:r w:rsidRPr="002D07A3">
              <w:rPr>
                <w:rFonts w:ascii="Arial" w:hAnsi="Arial" w:cs="Arial"/>
                <w:b/>
                <w:sz w:val="18"/>
                <w:szCs w:val="18"/>
              </w:rPr>
              <w:t>Adverse Reactions</w:t>
            </w:r>
          </w:p>
        </w:tc>
        <w:tc>
          <w:tcPr>
            <w:tcW w:w="1985" w:type="dxa"/>
            <w:gridSpan w:val="2"/>
            <w:vAlign w:val="center"/>
          </w:tcPr>
          <w:p w14:paraId="6C9A918B" w14:textId="77777777" w:rsidR="00AF4E63" w:rsidRPr="002D07A3" w:rsidRDefault="00AF4E63" w:rsidP="00AF46A0">
            <w:pPr>
              <w:rPr>
                <w:rFonts w:ascii="Arial" w:hAnsi="Arial" w:cs="Arial"/>
                <w:b/>
                <w:sz w:val="18"/>
                <w:szCs w:val="18"/>
              </w:rPr>
            </w:pPr>
            <w:r w:rsidRPr="002D07A3">
              <w:rPr>
                <w:rFonts w:ascii="Arial" w:hAnsi="Arial" w:cs="Arial"/>
                <w:b/>
                <w:sz w:val="18"/>
                <w:szCs w:val="18"/>
              </w:rPr>
              <w:t>COSENTYX</w:t>
            </w:r>
          </w:p>
        </w:tc>
        <w:tc>
          <w:tcPr>
            <w:tcW w:w="960" w:type="dxa"/>
            <w:vMerge w:val="restart"/>
            <w:vAlign w:val="center"/>
          </w:tcPr>
          <w:p w14:paraId="00CE82FA"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Placebo</w:t>
            </w:r>
          </w:p>
          <w:p w14:paraId="0D835F81"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N=327</w:t>
            </w:r>
          </w:p>
          <w:p w14:paraId="03F39190" w14:textId="77777777" w:rsidR="00AF4E63" w:rsidRPr="002D07A3" w:rsidRDefault="00AF4E63" w:rsidP="00AF46A0">
            <w:pPr>
              <w:spacing w:after="0"/>
              <w:rPr>
                <w:rFonts w:ascii="Arial" w:hAnsi="Arial" w:cs="Arial"/>
                <w:b/>
                <w:sz w:val="18"/>
                <w:szCs w:val="18"/>
              </w:rPr>
            </w:pPr>
            <w:r w:rsidRPr="002D07A3">
              <w:rPr>
                <w:rFonts w:ascii="Arial" w:hAnsi="Arial" w:cs="Arial"/>
                <w:b/>
                <w:sz w:val="18"/>
                <w:szCs w:val="18"/>
              </w:rPr>
              <w:t>n (%)</w:t>
            </w:r>
          </w:p>
        </w:tc>
        <w:tc>
          <w:tcPr>
            <w:tcW w:w="1166" w:type="dxa"/>
            <w:vMerge w:val="restart"/>
            <w:vAlign w:val="center"/>
          </w:tcPr>
          <w:p w14:paraId="3223FB0C" w14:textId="77777777" w:rsidR="00E84E6E" w:rsidRPr="002D07A3" w:rsidRDefault="00AF4E63" w:rsidP="00AF46A0">
            <w:pPr>
              <w:spacing w:after="0"/>
              <w:rPr>
                <w:rFonts w:ascii="Arial" w:hAnsi="Arial" w:cs="Arial"/>
                <w:b/>
                <w:sz w:val="18"/>
                <w:szCs w:val="18"/>
              </w:rPr>
            </w:pPr>
            <w:proofErr w:type="spellStart"/>
            <w:r w:rsidRPr="002D07A3">
              <w:rPr>
                <w:rFonts w:ascii="Arial" w:hAnsi="Arial" w:cs="Arial"/>
                <w:b/>
                <w:sz w:val="18"/>
                <w:szCs w:val="18"/>
              </w:rPr>
              <w:t>Etanercept</w:t>
            </w:r>
            <w:proofErr w:type="spellEnd"/>
          </w:p>
          <w:p w14:paraId="2962C042"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N=323</w:t>
            </w:r>
          </w:p>
          <w:p w14:paraId="4C766B58" w14:textId="77777777" w:rsidR="00AF4E63" w:rsidRPr="002D07A3" w:rsidRDefault="00AF4E63" w:rsidP="00AF46A0">
            <w:pPr>
              <w:spacing w:after="0"/>
              <w:rPr>
                <w:rFonts w:ascii="Arial" w:hAnsi="Arial" w:cs="Arial"/>
                <w:b/>
                <w:sz w:val="18"/>
                <w:szCs w:val="18"/>
              </w:rPr>
            </w:pPr>
            <w:r w:rsidRPr="002D07A3">
              <w:rPr>
                <w:rFonts w:ascii="Arial" w:hAnsi="Arial" w:cs="Arial"/>
                <w:b/>
                <w:sz w:val="18"/>
                <w:szCs w:val="18"/>
              </w:rPr>
              <w:t>n (%)</w:t>
            </w:r>
          </w:p>
        </w:tc>
        <w:tc>
          <w:tcPr>
            <w:tcW w:w="1366" w:type="dxa"/>
            <w:vMerge w:val="restart"/>
            <w:vAlign w:val="center"/>
          </w:tcPr>
          <w:p w14:paraId="7600FC79" w14:textId="77777777" w:rsidR="00AF4E63" w:rsidRPr="002D07A3" w:rsidRDefault="00AF4E63" w:rsidP="00AF46A0">
            <w:pPr>
              <w:rPr>
                <w:rFonts w:ascii="Arial" w:hAnsi="Arial" w:cs="Arial"/>
                <w:b/>
                <w:sz w:val="18"/>
                <w:szCs w:val="18"/>
              </w:rPr>
            </w:pPr>
            <w:r w:rsidRPr="002D07A3">
              <w:rPr>
                <w:rFonts w:ascii="Arial" w:hAnsi="Arial" w:cs="Arial"/>
                <w:b/>
                <w:sz w:val="18"/>
                <w:szCs w:val="18"/>
              </w:rPr>
              <w:t>Frequency category</w:t>
            </w:r>
            <w:r w:rsidRPr="002D07A3">
              <w:rPr>
                <w:rFonts w:ascii="Arial" w:hAnsi="Arial" w:cs="Arial"/>
                <w:b/>
                <w:sz w:val="18"/>
                <w:szCs w:val="18"/>
                <w:vertAlign w:val="superscript"/>
              </w:rPr>
              <w:t>1</w:t>
            </w:r>
          </w:p>
        </w:tc>
      </w:tr>
      <w:tr w:rsidR="00AF4E63" w:rsidRPr="00733D88" w14:paraId="67F319FD" w14:textId="77777777" w:rsidTr="002D07A3">
        <w:tc>
          <w:tcPr>
            <w:tcW w:w="3539" w:type="dxa"/>
            <w:vMerge/>
            <w:tcBorders>
              <w:bottom w:val="single" w:sz="4" w:space="0" w:color="auto"/>
            </w:tcBorders>
            <w:vAlign w:val="center"/>
          </w:tcPr>
          <w:p w14:paraId="790F4EE9" w14:textId="77777777" w:rsidR="00AF4E63" w:rsidRPr="00733D88" w:rsidRDefault="00AF4E63" w:rsidP="00AF46A0">
            <w:pPr>
              <w:rPr>
                <w:rFonts w:ascii="Arial" w:hAnsi="Arial" w:cs="Arial"/>
                <w:sz w:val="18"/>
                <w:szCs w:val="18"/>
              </w:rPr>
            </w:pPr>
          </w:p>
        </w:tc>
        <w:tc>
          <w:tcPr>
            <w:tcW w:w="992" w:type="dxa"/>
            <w:tcBorders>
              <w:bottom w:val="single" w:sz="4" w:space="0" w:color="auto"/>
            </w:tcBorders>
            <w:vAlign w:val="center"/>
          </w:tcPr>
          <w:p w14:paraId="5B5347AA"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300 mg</w:t>
            </w:r>
            <w:r w:rsidR="00E84E6E" w:rsidRPr="002D07A3">
              <w:rPr>
                <w:rFonts w:ascii="Arial" w:hAnsi="Arial" w:cs="Arial"/>
                <w:b/>
                <w:sz w:val="18"/>
                <w:szCs w:val="18"/>
              </w:rPr>
              <w:t xml:space="preserve"> </w:t>
            </w:r>
          </w:p>
          <w:p w14:paraId="24F12AE3"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N=326</w:t>
            </w:r>
          </w:p>
          <w:p w14:paraId="5307100B" w14:textId="77777777" w:rsidR="00AF4E63" w:rsidRPr="002D07A3" w:rsidRDefault="00AF4E63" w:rsidP="00AF46A0">
            <w:pPr>
              <w:spacing w:after="0"/>
              <w:rPr>
                <w:rFonts w:ascii="Arial" w:hAnsi="Arial" w:cs="Arial"/>
                <w:b/>
                <w:sz w:val="18"/>
                <w:szCs w:val="18"/>
              </w:rPr>
            </w:pPr>
            <w:r w:rsidRPr="002D07A3">
              <w:rPr>
                <w:rFonts w:ascii="Arial" w:hAnsi="Arial" w:cs="Arial"/>
                <w:b/>
                <w:sz w:val="18"/>
                <w:szCs w:val="18"/>
              </w:rPr>
              <w:t>n (%)</w:t>
            </w:r>
          </w:p>
        </w:tc>
        <w:tc>
          <w:tcPr>
            <w:tcW w:w="993" w:type="dxa"/>
            <w:tcBorders>
              <w:bottom w:val="single" w:sz="4" w:space="0" w:color="auto"/>
            </w:tcBorders>
            <w:vAlign w:val="center"/>
          </w:tcPr>
          <w:p w14:paraId="50FF5E12"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150 mg</w:t>
            </w:r>
          </w:p>
          <w:p w14:paraId="6FC8BDD7" w14:textId="77777777" w:rsidR="00E84E6E" w:rsidRPr="002D07A3" w:rsidRDefault="00AF4E63" w:rsidP="00AF46A0">
            <w:pPr>
              <w:spacing w:after="0"/>
              <w:rPr>
                <w:rFonts w:ascii="Arial" w:hAnsi="Arial" w:cs="Arial"/>
                <w:b/>
                <w:sz w:val="18"/>
                <w:szCs w:val="18"/>
              </w:rPr>
            </w:pPr>
            <w:r w:rsidRPr="002D07A3">
              <w:rPr>
                <w:rFonts w:ascii="Arial" w:hAnsi="Arial" w:cs="Arial"/>
                <w:b/>
                <w:sz w:val="18"/>
                <w:szCs w:val="18"/>
              </w:rPr>
              <w:t>N=327</w:t>
            </w:r>
          </w:p>
          <w:p w14:paraId="0327D121" w14:textId="77777777" w:rsidR="00AF4E63" w:rsidRPr="002D07A3" w:rsidRDefault="00AF4E63" w:rsidP="00AF46A0">
            <w:pPr>
              <w:spacing w:after="0"/>
              <w:rPr>
                <w:rFonts w:ascii="Arial" w:hAnsi="Arial" w:cs="Arial"/>
                <w:b/>
                <w:sz w:val="18"/>
                <w:szCs w:val="18"/>
              </w:rPr>
            </w:pPr>
            <w:r w:rsidRPr="002D07A3">
              <w:rPr>
                <w:rFonts w:ascii="Arial" w:hAnsi="Arial" w:cs="Arial"/>
                <w:b/>
                <w:sz w:val="18"/>
                <w:szCs w:val="18"/>
              </w:rPr>
              <w:t>n (%)</w:t>
            </w:r>
          </w:p>
        </w:tc>
        <w:tc>
          <w:tcPr>
            <w:tcW w:w="960" w:type="dxa"/>
            <w:vMerge/>
            <w:tcBorders>
              <w:bottom w:val="single" w:sz="4" w:space="0" w:color="auto"/>
            </w:tcBorders>
            <w:vAlign w:val="center"/>
          </w:tcPr>
          <w:p w14:paraId="298E8162" w14:textId="77777777" w:rsidR="00AF4E63" w:rsidRPr="00733D88" w:rsidRDefault="00AF4E63" w:rsidP="00AF46A0">
            <w:pPr>
              <w:rPr>
                <w:rFonts w:ascii="Arial" w:hAnsi="Arial" w:cs="Arial"/>
                <w:sz w:val="18"/>
                <w:szCs w:val="18"/>
              </w:rPr>
            </w:pPr>
          </w:p>
        </w:tc>
        <w:tc>
          <w:tcPr>
            <w:tcW w:w="1166" w:type="dxa"/>
            <w:vMerge/>
            <w:tcBorders>
              <w:bottom w:val="single" w:sz="4" w:space="0" w:color="auto"/>
            </w:tcBorders>
            <w:vAlign w:val="center"/>
          </w:tcPr>
          <w:p w14:paraId="5B064E64" w14:textId="77777777" w:rsidR="00AF4E63" w:rsidRPr="00733D88" w:rsidRDefault="00AF4E63" w:rsidP="00AF46A0">
            <w:pPr>
              <w:rPr>
                <w:rFonts w:ascii="Arial" w:hAnsi="Arial" w:cs="Arial"/>
                <w:sz w:val="18"/>
                <w:szCs w:val="18"/>
              </w:rPr>
            </w:pPr>
          </w:p>
        </w:tc>
        <w:tc>
          <w:tcPr>
            <w:tcW w:w="1366" w:type="dxa"/>
            <w:vMerge/>
            <w:tcBorders>
              <w:bottom w:val="single" w:sz="4" w:space="0" w:color="auto"/>
            </w:tcBorders>
            <w:vAlign w:val="center"/>
          </w:tcPr>
          <w:p w14:paraId="1BFA2F3E" w14:textId="77777777" w:rsidR="00AF4E63" w:rsidRPr="00733D88" w:rsidRDefault="00AF4E63" w:rsidP="00AF46A0">
            <w:pPr>
              <w:rPr>
                <w:rFonts w:ascii="Arial" w:hAnsi="Arial" w:cs="Arial"/>
                <w:sz w:val="18"/>
                <w:szCs w:val="18"/>
              </w:rPr>
            </w:pPr>
          </w:p>
        </w:tc>
      </w:tr>
      <w:tr w:rsidR="00AF4E63" w:rsidRPr="00733D88" w14:paraId="1919788D" w14:textId="77777777" w:rsidTr="002D07A3">
        <w:tc>
          <w:tcPr>
            <w:tcW w:w="3539" w:type="dxa"/>
            <w:tcBorders>
              <w:bottom w:val="nil"/>
            </w:tcBorders>
            <w:vAlign w:val="center"/>
          </w:tcPr>
          <w:p w14:paraId="7438EF26" w14:textId="77777777" w:rsidR="00AF4E63" w:rsidRPr="002D07A3" w:rsidRDefault="00AF4E63" w:rsidP="00AF46A0">
            <w:pPr>
              <w:rPr>
                <w:rFonts w:ascii="Arial" w:hAnsi="Arial" w:cs="Arial"/>
                <w:b/>
                <w:sz w:val="18"/>
                <w:szCs w:val="18"/>
              </w:rPr>
            </w:pPr>
            <w:r w:rsidRPr="002D07A3">
              <w:rPr>
                <w:rFonts w:ascii="Arial" w:hAnsi="Arial" w:cs="Arial"/>
                <w:b/>
                <w:sz w:val="18"/>
                <w:szCs w:val="18"/>
              </w:rPr>
              <w:t>Infections and infestations</w:t>
            </w:r>
          </w:p>
        </w:tc>
        <w:tc>
          <w:tcPr>
            <w:tcW w:w="992" w:type="dxa"/>
            <w:tcBorders>
              <w:bottom w:val="nil"/>
            </w:tcBorders>
            <w:vAlign w:val="center"/>
          </w:tcPr>
          <w:p w14:paraId="473B88C1" w14:textId="77777777" w:rsidR="00AF4E63" w:rsidRPr="00733D88" w:rsidRDefault="00AF4E63" w:rsidP="00AF46A0">
            <w:pPr>
              <w:rPr>
                <w:rFonts w:ascii="Arial" w:hAnsi="Arial" w:cs="Arial"/>
                <w:sz w:val="18"/>
                <w:szCs w:val="18"/>
              </w:rPr>
            </w:pPr>
          </w:p>
        </w:tc>
        <w:tc>
          <w:tcPr>
            <w:tcW w:w="993" w:type="dxa"/>
            <w:tcBorders>
              <w:bottom w:val="nil"/>
            </w:tcBorders>
            <w:vAlign w:val="center"/>
          </w:tcPr>
          <w:p w14:paraId="51FA2902" w14:textId="77777777" w:rsidR="00AF4E63" w:rsidRPr="00733D88" w:rsidRDefault="00AF4E63" w:rsidP="00AF46A0">
            <w:pPr>
              <w:rPr>
                <w:rFonts w:ascii="Arial" w:hAnsi="Arial" w:cs="Arial"/>
                <w:sz w:val="18"/>
                <w:szCs w:val="18"/>
              </w:rPr>
            </w:pPr>
          </w:p>
        </w:tc>
        <w:tc>
          <w:tcPr>
            <w:tcW w:w="960" w:type="dxa"/>
            <w:tcBorders>
              <w:bottom w:val="nil"/>
            </w:tcBorders>
            <w:vAlign w:val="center"/>
          </w:tcPr>
          <w:p w14:paraId="050403DA" w14:textId="77777777" w:rsidR="00AF4E63" w:rsidRPr="00733D88" w:rsidRDefault="00AF4E63" w:rsidP="00AF46A0">
            <w:pPr>
              <w:rPr>
                <w:rFonts w:ascii="Arial" w:hAnsi="Arial" w:cs="Arial"/>
                <w:sz w:val="18"/>
                <w:szCs w:val="18"/>
              </w:rPr>
            </w:pPr>
          </w:p>
        </w:tc>
        <w:tc>
          <w:tcPr>
            <w:tcW w:w="1166" w:type="dxa"/>
            <w:tcBorders>
              <w:bottom w:val="nil"/>
            </w:tcBorders>
            <w:vAlign w:val="center"/>
          </w:tcPr>
          <w:p w14:paraId="061478AC" w14:textId="77777777" w:rsidR="00AF4E63" w:rsidRPr="00733D88" w:rsidRDefault="00AF4E63" w:rsidP="00AF46A0">
            <w:pPr>
              <w:rPr>
                <w:rFonts w:ascii="Arial" w:hAnsi="Arial" w:cs="Arial"/>
                <w:sz w:val="18"/>
                <w:szCs w:val="18"/>
              </w:rPr>
            </w:pPr>
          </w:p>
        </w:tc>
        <w:tc>
          <w:tcPr>
            <w:tcW w:w="1366" w:type="dxa"/>
            <w:tcBorders>
              <w:bottom w:val="nil"/>
            </w:tcBorders>
            <w:vAlign w:val="center"/>
          </w:tcPr>
          <w:p w14:paraId="5A6613FB" w14:textId="77777777" w:rsidR="00AF4E63" w:rsidRPr="00733D88" w:rsidRDefault="00AF4E63" w:rsidP="00AF46A0">
            <w:pPr>
              <w:rPr>
                <w:rFonts w:ascii="Arial" w:hAnsi="Arial" w:cs="Arial"/>
                <w:sz w:val="18"/>
                <w:szCs w:val="18"/>
              </w:rPr>
            </w:pPr>
          </w:p>
        </w:tc>
      </w:tr>
      <w:tr w:rsidR="00AF4E63" w:rsidRPr="00733D88" w14:paraId="616192A3" w14:textId="77777777" w:rsidTr="002D07A3">
        <w:tc>
          <w:tcPr>
            <w:tcW w:w="3539" w:type="dxa"/>
            <w:tcBorders>
              <w:top w:val="nil"/>
              <w:bottom w:val="nil"/>
            </w:tcBorders>
            <w:vAlign w:val="center"/>
          </w:tcPr>
          <w:p w14:paraId="01327013" w14:textId="77777777" w:rsidR="00AF4E63" w:rsidRPr="00733D88" w:rsidRDefault="00AF4E63" w:rsidP="00AF46A0">
            <w:pPr>
              <w:rPr>
                <w:rFonts w:ascii="Arial" w:hAnsi="Arial" w:cs="Arial"/>
                <w:sz w:val="18"/>
                <w:szCs w:val="18"/>
              </w:rPr>
            </w:pPr>
            <w:proofErr w:type="spellStart"/>
            <w:r w:rsidRPr="00733D88">
              <w:rPr>
                <w:rFonts w:ascii="Arial" w:hAnsi="Arial" w:cs="Arial"/>
                <w:sz w:val="18"/>
                <w:szCs w:val="18"/>
              </w:rPr>
              <w:t>Nasopharyngitis</w:t>
            </w:r>
            <w:proofErr w:type="spellEnd"/>
          </w:p>
        </w:tc>
        <w:tc>
          <w:tcPr>
            <w:tcW w:w="992" w:type="dxa"/>
            <w:tcBorders>
              <w:top w:val="nil"/>
              <w:bottom w:val="nil"/>
            </w:tcBorders>
            <w:vAlign w:val="center"/>
          </w:tcPr>
          <w:p w14:paraId="07023AE2" w14:textId="77777777" w:rsidR="00AF4E63" w:rsidRPr="00733D88" w:rsidRDefault="00AF4E63" w:rsidP="00AF46A0">
            <w:pPr>
              <w:rPr>
                <w:rFonts w:ascii="Arial" w:hAnsi="Arial" w:cs="Arial"/>
                <w:sz w:val="18"/>
                <w:szCs w:val="18"/>
              </w:rPr>
            </w:pPr>
            <w:r w:rsidRPr="00733D88">
              <w:rPr>
                <w:rFonts w:ascii="Arial" w:hAnsi="Arial" w:cs="Arial"/>
                <w:sz w:val="18"/>
                <w:szCs w:val="18"/>
              </w:rPr>
              <w:t>35 (10.7)</w:t>
            </w:r>
          </w:p>
        </w:tc>
        <w:tc>
          <w:tcPr>
            <w:tcW w:w="993" w:type="dxa"/>
            <w:tcBorders>
              <w:top w:val="nil"/>
              <w:bottom w:val="nil"/>
            </w:tcBorders>
            <w:vAlign w:val="center"/>
          </w:tcPr>
          <w:p w14:paraId="7B99A97F" w14:textId="77777777" w:rsidR="00AF4E63" w:rsidRPr="00733D88" w:rsidRDefault="00AF4E63" w:rsidP="00AF46A0">
            <w:pPr>
              <w:rPr>
                <w:rFonts w:ascii="Arial" w:hAnsi="Arial" w:cs="Arial"/>
                <w:sz w:val="18"/>
                <w:szCs w:val="18"/>
              </w:rPr>
            </w:pPr>
            <w:r w:rsidRPr="00733D88">
              <w:rPr>
                <w:rFonts w:ascii="Arial" w:hAnsi="Arial" w:cs="Arial"/>
                <w:sz w:val="18"/>
                <w:szCs w:val="18"/>
              </w:rPr>
              <w:t>45 (13.8)</w:t>
            </w:r>
          </w:p>
        </w:tc>
        <w:tc>
          <w:tcPr>
            <w:tcW w:w="960" w:type="dxa"/>
            <w:tcBorders>
              <w:top w:val="nil"/>
              <w:bottom w:val="nil"/>
            </w:tcBorders>
            <w:vAlign w:val="center"/>
          </w:tcPr>
          <w:p w14:paraId="510857B9" w14:textId="77777777" w:rsidR="00AF4E63" w:rsidRPr="00733D88" w:rsidRDefault="00AF4E63" w:rsidP="00AF46A0">
            <w:pPr>
              <w:rPr>
                <w:rFonts w:ascii="Arial" w:hAnsi="Arial" w:cs="Arial"/>
                <w:sz w:val="18"/>
                <w:szCs w:val="18"/>
              </w:rPr>
            </w:pPr>
            <w:r w:rsidRPr="00733D88">
              <w:rPr>
                <w:rFonts w:ascii="Arial" w:hAnsi="Arial" w:cs="Arial"/>
                <w:sz w:val="18"/>
                <w:szCs w:val="18"/>
              </w:rPr>
              <w:t>26 (8.0)</w:t>
            </w:r>
          </w:p>
        </w:tc>
        <w:tc>
          <w:tcPr>
            <w:tcW w:w="1166" w:type="dxa"/>
            <w:tcBorders>
              <w:top w:val="nil"/>
              <w:bottom w:val="nil"/>
            </w:tcBorders>
            <w:vAlign w:val="center"/>
          </w:tcPr>
          <w:p w14:paraId="481A29B3" w14:textId="77777777" w:rsidR="00AF4E63" w:rsidRPr="00733D88" w:rsidRDefault="00AF4E63" w:rsidP="00AF46A0">
            <w:pPr>
              <w:rPr>
                <w:rFonts w:ascii="Arial" w:hAnsi="Arial" w:cs="Arial"/>
                <w:sz w:val="18"/>
                <w:szCs w:val="18"/>
              </w:rPr>
            </w:pPr>
            <w:r w:rsidRPr="00733D88">
              <w:rPr>
                <w:rFonts w:ascii="Arial" w:hAnsi="Arial" w:cs="Arial"/>
                <w:sz w:val="18"/>
                <w:szCs w:val="18"/>
              </w:rPr>
              <w:t>36 (11.1)</w:t>
            </w:r>
          </w:p>
        </w:tc>
        <w:tc>
          <w:tcPr>
            <w:tcW w:w="1366" w:type="dxa"/>
            <w:tcBorders>
              <w:top w:val="nil"/>
              <w:bottom w:val="nil"/>
            </w:tcBorders>
            <w:vAlign w:val="center"/>
          </w:tcPr>
          <w:p w14:paraId="2EBE9B89" w14:textId="77777777" w:rsidR="00AF4E63" w:rsidRPr="00733D88" w:rsidRDefault="00AF4E63" w:rsidP="00AF46A0">
            <w:pPr>
              <w:rPr>
                <w:rFonts w:ascii="Arial" w:hAnsi="Arial" w:cs="Arial"/>
                <w:sz w:val="18"/>
                <w:szCs w:val="18"/>
              </w:rPr>
            </w:pPr>
            <w:r w:rsidRPr="00733D88">
              <w:rPr>
                <w:rFonts w:ascii="Arial" w:hAnsi="Arial" w:cs="Arial"/>
                <w:sz w:val="18"/>
                <w:szCs w:val="18"/>
              </w:rPr>
              <w:t>Very common</w:t>
            </w:r>
          </w:p>
        </w:tc>
      </w:tr>
      <w:tr w:rsidR="00AF4E63" w:rsidRPr="00733D88" w14:paraId="07E2C489" w14:textId="77777777" w:rsidTr="002D07A3">
        <w:tc>
          <w:tcPr>
            <w:tcW w:w="3539" w:type="dxa"/>
            <w:tcBorders>
              <w:top w:val="nil"/>
              <w:bottom w:val="nil"/>
            </w:tcBorders>
            <w:vAlign w:val="center"/>
          </w:tcPr>
          <w:p w14:paraId="77435612" w14:textId="77777777" w:rsidR="00AF4E63" w:rsidRPr="00733D88" w:rsidRDefault="00AF4E63" w:rsidP="00AF46A0">
            <w:pPr>
              <w:rPr>
                <w:rFonts w:ascii="Arial" w:hAnsi="Arial" w:cs="Arial"/>
                <w:sz w:val="18"/>
                <w:szCs w:val="18"/>
              </w:rPr>
            </w:pPr>
            <w:r w:rsidRPr="00733D88">
              <w:rPr>
                <w:rFonts w:ascii="Arial" w:hAnsi="Arial" w:cs="Arial"/>
                <w:sz w:val="18"/>
                <w:szCs w:val="18"/>
              </w:rPr>
              <w:t>Upper Respiratory Tract Infection</w:t>
            </w:r>
          </w:p>
        </w:tc>
        <w:tc>
          <w:tcPr>
            <w:tcW w:w="992" w:type="dxa"/>
            <w:tcBorders>
              <w:top w:val="nil"/>
              <w:bottom w:val="nil"/>
            </w:tcBorders>
            <w:vAlign w:val="center"/>
          </w:tcPr>
          <w:p w14:paraId="6D49EF17" w14:textId="77777777" w:rsidR="00AF4E63" w:rsidRPr="00733D88" w:rsidRDefault="00AF4E63" w:rsidP="00AF46A0">
            <w:pPr>
              <w:rPr>
                <w:rFonts w:ascii="Arial" w:hAnsi="Arial" w:cs="Arial"/>
                <w:sz w:val="18"/>
                <w:szCs w:val="18"/>
              </w:rPr>
            </w:pPr>
            <w:r w:rsidRPr="00733D88">
              <w:rPr>
                <w:rFonts w:ascii="Arial" w:hAnsi="Arial" w:cs="Arial"/>
                <w:sz w:val="18"/>
                <w:szCs w:val="18"/>
              </w:rPr>
              <w:t>7 (2.1)</w:t>
            </w:r>
          </w:p>
        </w:tc>
        <w:tc>
          <w:tcPr>
            <w:tcW w:w="993" w:type="dxa"/>
            <w:tcBorders>
              <w:top w:val="nil"/>
              <w:bottom w:val="nil"/>
            </w:tcBorders>
            <w:vAlign w:val="center"/>
          </w:tcPr>
          <w:p w14:paraId="48663D9D" w14:textId="77777777" w:rsidR="00AF4E63" w:rsidRPr="00733D88" w:rsidRDefault="00AF4E63" w:rsidP="00AF46A0">
            <w:pPr>
              <w:rPr>
                <w:rFonts w:ascii="Arial" w:hAnsi="Arial" w:cs="Arial"/>
                <w:sz w:val="18"/>
                <w:szCs w:val="18"/>
              </w:rPr>
            </w:pPr>
            <w:r w:rsidRPr="00733D88">
              <w:rPr>
                <w:rFonts w:ascii="Arial" w:hAnsi="Arial" w:cs="Arial"/>
                <w:sz w:val="18"/>
                <w:szCs w:val="18"/>
              </w:rPr>
              <w:t>10 (3.1)</w:t>
            </w:r>
          </w:p>
        </w:tc>
        <w:tc>
          <w:tcPr>
            <w:tcW w:w="960" w:type="dxa"/>
            <w:tcBorders>
              <w:top w:val="nil"/>
              <w:bottom w:val="nil"/>
            </w:tcBorders>
            <w:vAlign w:val="center"/>
          </w:tcPr>
          <w:p w14:paraId="15569E68" w14:textId="77777777" w:rsidR="00AF4E63" w:rsidRPr="00733D88" w:rsidRDefault="00AF4E63" w:rsidP="00AF46A0">
            <w:pPr>
              <w:rPr>
                <w:rFonts w:ascii="Arial" w:hAnsi="Arial" w:cs="Arial"/>
                <w:sz w:val="18"/>
                <w:szCs w:val="18"/>
              </w:rPr>
            </w:pPr>
            <w:r w:rsidRPr="00733D88">
              <w:rPr>
                <w:rFonts w:ascii="Arial" w:hAnsi="Arial" w:cs="Arial"/>
                <w:sz w:val="18"/>
                <w:szCs w:val="18"/>
              </w:rPr>
              <w:t>3 (0.9)</w:t>
            </w:r>
          </w:p>
        </w:tc>
        <w:tc>
          <w:tcPr>
            <w:tcW w:w="1166" w:type="dxa"/>
            <w:tcBorders>
              <w:top w:val="nil"/>
              <w:bottom w:val="nil"/>
            </w:tcBorders>
            <w:vAlign w:val="center"/>
          </w:tcPr>
          <w:p w14:paraId="3707C49D" w14:textId="77777777" w:rsidR="00AF4E63" w:rsidRPr="00733D88" w:rsidRDefault="00AF4E63" w:rsidP="00AF46A0">
            <w:pPr>
              <w:rPr>
                <w:rFonts w:ascii="Arial" w:hAnsi="Arial" w:cs="Arial"/>
                <w:sz w:val="18"/>
                <w:szCs w:val="18"/>
              </w:rPr>
            </w:pPr>
            <w:r w:rsidRPr="00733D88">
              <w:rPr>
                <w:rFonts w:ascii="Arial" w:hAnsi="Arial" w:cs="Arial"/>
                <w:sz w:val="18"/>
                <w:szCs w:val="18"/>
              </w:rPr>
              <w:t>7 (2.2)</w:t>
            </w:r>
          </w:p>
        </w:tc>
        <w:tc>
          <w:tcPr>
            <w:tcW w:w="1366" w:type="dxa"/>
            <w:tcBorders>
              <w:top w:val="nil"/>
              <w:bottom w:val="nil"/>
            </w:tcBorders>
            <w:vAlign w:val="center"/>
          </w:tcPr>
          <w:p w14:paraId="400E83CA"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10866F0D" w14:textId="77777777" w:rsidTr="002D07A3">
        <w:tc>
          <w:tcPr>
            <w:tcW w:w="3539" w:type="dxa"/>
            <w:tcBorders>
              <w:top w:val="nil"/>
              <w:bottom w:val="nil"/>
            </w:tcBorders>
            <w:vAlign w:val="center"/>
          </w:tcPr>
          <w:p w14:paraId="219A81AE" w14:textId="77777777" w:rsidR="00AF4E63" w:rsidRPr="00733D88" w:rsidRDefault="00AF4E63" w:rsidP="00AF46A0">
            <w:pPr>
              <w:rPr>
                <w:rFonts w:ascii="Arial" w:hAnsi="Arial" w:cs="Arial"/>
                <w:sz w:val="18"/>
                <w:szCs w:val="18"/>
              </w:rPr>
            </w:pPr>
            <w:r w:rsidRPr="00733D88">
              <w:rPr>
                <w:rFonts w:ascii="Arial" w:hAnsi="Arial" w:cs="Arial"/>
                <w:sz w:val="18"/>
                <w:szCs w:val="18"/>
              </w:rPr>
              <w:t>Rhinitis</w:t>
            </w:r>
          </w:p>
        </w:tc>
        <w:tc>
          <w:tcPr>
            <w:tcW w:w="992" w:type="dxa"/>
            <w:tcBorders>
              <w:top w:val="nil"/>
              <w:bottom w:val="nil"/>
            </w:tcBorders>
            <w:vAlign w:val="center"/>
          </w:tcPr>
          <w:p w14:paraId="3F6DB5BF" w14:textId="77777777" w:rsidR="00AF4E63" w:rsidRPr="00733D88" w:rsidRDefault="00AF4E63" w:rsidP="00AF46A0">
            <w:pPr>
              <w:rPr>
                <w:rFonts w:ascii="Arial" w:hAnsi="Arial" w:cs="Arial"/>
                <w:sz w:val="18"/>
                <w:szCs w:val="18"/>
              </w:rPr>
            </w:pPr>
            <w:r w:rsidRPr="00733D88">
              <w:rPr>
                <w:rFonts w:ascii="Arial" w:hAnsi="Arial" w:cs="Arial"/>
                <w:sz w:val="18"/>
                <w:szCs w:val="18"/>
              </w:rPr>
              <w:t>7 (2.1)</w:t>
            </w:r>
          </w:p>
        </w:tc>
        <w:tc>
          <w:tcPr>
            <w:tcW w:w="993" w:type="dxa"/>
            <w:tcBorders>
              <w:top w:val="nil"/>
              <w:bottom w:val="nil"/>
            </w:tcBorders>
            <w:vAlign w:val="center"/>
          </w:tcPr>
          <w:p w14:paraId="6EE22970" w14:textId="77777777" w:rsidR="00AF4E63" w:rsidRPr="00733D88" w:rsidRDefault="00AF4E63" w:rsidP="00AF46A0">
            <w:pPr>
              <w:rPr>
                <w:rFonts w:ascii="Arial" w:hAnsi="Arial" w:cs="Arial"/>
                <w:sz w:val="18"/>
                <w:szCs w:val="18"/>
              </w:rPr>
            </w:pPr>
            <w:r w:rsidRPr="00733D88">
              <w:rPr>
                <w:rFonts w:ascii="Arial" w:hAnsi="Arial" w:cs="Arial"/>
                <w:sz w:val="18"/>
                <w:szCs w:val="18"/>
              </w:rPr>
              <w:t>4 (1.2)</w:t>
            </w:r>
          </w:p>
        </w:tc>
        <w:tc>
          <w:tcPr>
            <w:tcW w:w="960" w:type="dxa"/>
            <w:tcBorders>
              <w:top w:val="nil"/>
              <w:bottom w:val="nil"/>
            </w:tcBorders>
            <w:vAlign w:val="center"/>
          </w:tcPr>
          <w:p w14:paraId="755CB1B5" w14:textId="77777777" w:rsidR="00AF4E63" w:rsidRPr="00733D88" w:rsidRDefault="00AF4E63" w:rsidP="00AF46A0">
            <w:pPr>
              <w:rPr>
                <w:rFonts w:ascii="Arial" w:hAnsi="Arial" w:cs="Arial"/>
                <w:sz w:val="18"/>
                <w:szCs w:val="18"/>
              </w:rPr>
            </w:pPr>
            <w:r w:rsidRPr="00733D88">
              <w:rPr>
                <w:rFonts w:ascii="Arial" w:hAnsi="Arial" w:cs="Arial"/>
                <w:sz w:val="18"/>
                <w:szCs w:val="18"/>
              </w:rPr>
              <w:t>4 (1.2)</w:t>
            </w:r>
          </w:p>
        </w:tc>
        <w:tc>
          <w:tcPr>
            <w:tcW w:w="1166" w:type="dxa"/>
            <w:tcBorders>
              <w:top w:val="nil"/>
              <w:bottom w:val="nil"/>
            </w:tcBorders>
            <w:vAlign w:val="center"/>
          </w:tcPr>
          <w:p w14:paraId="001A6F0F" w14:textId="77777777" w:rsidR="00AF4E63" w:rsidRPr="00733D88" w:rsidRDefault="00AF4E63" w:rsidP="00AF46A0">
            <w:pPr>
              <w:rPr>
                <w:rFonts w:ascii="Arial" w:hAnsi="Arial" w:cs="Arial"/>
                <w:sz w:val="18"/>
                <w:szCs w:val="18"/>
              </w:rPr>
            </w:pPr>
            <w:r w:rsidRPr="00733D88">
              <w:rPr>
                <w:rFonts w:ascii="Arial" w:hAnsi="Arial" w:cs="Arial"/>
                <w:sz w:val="18"/>
                <w:szCs w:val="18"/>
              </w:rPr>
              <w:t>3 (0.9)</w:t>
            </w:r>
          </w:p>
        </w:tc>
        <w:tc>
          <w:tcPr>
            <w:tcW w:w="1366" w:type="dxa"/>
            <w:tcBorders>
              <w:top w:val="nil"/>
              <w:bottom w:val="nil"/>
            </w:tcBorders>
            <w:vAlign w:val="center"/>
          </w:tcPr>
          <w:p w14:paraId="11234122"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35034515" w14:textId="77777777" w:rsidTr="002D07A3">
        <w:tc>
          <w:tcPr>
            <w:tcW w:w="3539" w:type="dxa"/>
            <w:tcBorders>
              <w:top w:val="nil"/>
              <w:bottom w:val="nil"/>
            </w:tcBorders>
            <w:vAlign w:val="center"/>
          </w:tcPr>
          <w:p w14:paraId="105F0253" w14:textId="77777777" w:rsidR="00AF4E63" w:rsidRPr="00733D88" w:rsidRDefault="00AF4E63" w:rsidP="00AF46A0">
            <w:pPr>
              <w:rPr>
                <w:rFonts w:ascii="Arial" w:hAnsi="Arial" w:cs="Arial"/>
                <w:sz w:val="18"/>
                <w:szCs w:val="18"/>
              </w:rPr>
            </w:pPr>
            <w:r w:rsidRPr="00733D88">
              <w:rPr>
                <w:rFonts w:ascii="Arial" w:hAnsi="Arial" w:cs="Arial"/>
                <w:sz w:val="18"/>
                <w:szCs w:val="18"/>
              </w:rPr>
              <w:t>Oral Herpes</w:t>
            </w:r>
          </w:p>
        </w:tc>
        <w:tc>
          <w:tcPr>
            <w:tcW w:w="992" w:type="dxa"/>
            <w:tcBorders>
              <w:top w:val="nil"/>
              <w:bottom w:val="nil"/>
            </w:tcBorders>
            <w:vAlign w:val="center"/>
          </w:tcPr>
          <w:p w14:paraId="27E8E375" w14:textId="77777777" w:rsidR="00AF4E63" w:rsidRPr="00733D88" w:rsidRDefault="00AF4E63" w:rsidP="00AF46A0">
            <w:pPr>
              <w:rPr>
                <w:rFonts w:ascii="Arial" w:hAnsi="Arial" w:cs="Arial"/>
                <w:sz w:val="18"/>
                <w:szCs w:val="18"/>
              </w:rPr>
            </w:pPr>
            <w:r w:rsidRPr="00733D88">
              <w:rPr>
                <w:rFonts w:ascii="Arial" w:hAnsi="Arial" w:cs="Arial"/>
                <w:sz w:val="18"/>
                <w:szCs w:val="18"/>
              </w:rPr>
              <w:t>5 ( 1.5)</w:t>
            </w:r>
          </w:p>
        </w:tc>
        <w:tc>
          <w:tcPr>
            <w:tcW w:w="993" w:type="dxa"/>
            <w:tcBorders>
              <w:top w:val="nil"/>
              <w:bottom w:val="nil"/>
            </w:tcBorders>
            <w:vAlign w:val="center"/>
          </w:tcPr>
          <w:p w14:paraId="2C6AB91B" w14:textId="77777777" w:rsidR="00AF4E63" w:rsidRPr="00733D88" w:rsidRDefault="00AF4E63" w:rsidP="00AF46A0">
            <w:pPr>
              <w:rPr>
                <w:rFonts w:ascii="Arial" w:hAnsi="Arial" w:cs="Arial"/>
                <w:sz w:val="18"/>
                <w:szCs w:val="18"/>
              </w:rPr>
            </w:pPr>
            <w:r w:rsidRPr="00733D88">
              <w:rPr>
                <w:rFonts w:ascii="Arial" w:hAnsi="Arial" w:cs="Arial"/>
                <w:sz w:val="18"/>
                <w:szCs w:val="18"/>
              </w:rPr>
              <w:t>1 ( 0.3)</w:t>
            </w:r>
          </w:p>
        </w:tc>
        <w:tc>
          <w:tcPr>
            <w:tcW w:w="960" w:type="dxa"/>
            <w:tcBorders>
              <w:top w:val="nil"/>
              <w:bottom w:val="nil"/>
            </w:tcBorders>
            <w:vAlign w:val="center"/>
          </w:tcPr>
          <w:p w14:paraId="154C164E" w14:textId="77777777" w:rsidR="00AF4E63" w:rsidRPr="00733D88" w:rsidRDefault="00AF4E63" w:rsidP="00AF46A0">
            <w:pPr>
              <w:rPr>
                <w:rFonts w:ascii="Arial" w:hAnsi="Arial" w:cs="Arial"/>
                <w:sz w:val="18"/>
                <w:szCs w:val="18"/>
              </w:rPr>
            </w:pPr>
            <w:r w:rsidRPr="00733D88">
              <w:rPr>
                <w:rFonts w:ascii="Arial" w:hAnsi="Arial" w:cs="Arial"/>
                <w:sz w:val="18"/>
                <w:szCs w:val="18"/>
              </w:rPr>
              <w:t>0 ( 0.0)</w:t>
            </w:r>
          </w:p>
        </w:tc>
        <w:tc>
          <w:tcPr>
            <w:tcW w:w="1166" w:type="dxa"/>
            <w:tcBorders>
              <w:top w:val="nil"/>
              <w:bottom w:val="nil"/>
            </w:tcBorders>
            <w:vAlign w:val="center"/>
          </w:tcPr>
          <w:p w14:paraId="23006B7B" w14:textId="77777777" w:rsidR="00AF4E63" w:rsidRPr="00733D88" w:rsidRDefault="00AF4E63" w:rsidP="00AF46A0">
            <w:pPr>
              <w:rPr>
                <w:rFonts w:ascii="Arial" w:hAnsi="Arial" w:cs="Arial"/>
                <w:sz w:val="18"/>
                <w:szCs w:val="18"/>
              </w:rPr>
            </w:pPr>
            <w:r w:rsidRPr="00733D88">
              <w:rPr>
                <w:rFonts w:ascii="Arial" w:hAnsi="Arial" w:cs="Arial"/>
                <w:sz w:val="18"/>
                <w:szCs w:val="18"/>
              </w:rPr>
              <w:t>0 ( 0.0)</w:t>
            </w:r>
          </w:p>
        </w:tc>
        <w:tc>
          <w:tcPr>
            <w:tcW w:w="1366" w:type="dxa"/>
            <w:tcBorders>
              <w:top w:val="nil"/>
              <w:bottom w:val="nil"/>
            </w:tcBorders>
            <w:vAlign w:val="center"/>
          </w:tcPr>
          <w:p w14:paraId="6228098D"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7116806F" w14:textId="77777777" w:rsidTr="002D07A3">
        <w:tc>
          <w:tcPr>
            <w:tcW w:w="3539" w:type="dxa"/>
            <w:tcBorders>
              <w:top w:val="nil"/>
              <w:bottom w:val="single" w:sz="4" w:space="0" w:color="auto"/>
            </w:tcBorders>
            <w:vAlign w:val="center"/>
          </w:tcPr>
          <w:p w14:paraId="597E0ED1" w14:textId="77777777" w:rsidR="00AF4E63" w:rsidRPr="00733D88" w:rsidRDefault="00AF4E63" w:rsidP="00AF46A0">
            <w:pPr>
              <w:rPr>
                <w:rFonts w:ascii="Arial" w:hAnsi="Arial" w:cs="Arial"/>
                <w:sz w:val="18"/>
                <w:szCs w:val="18"/>
              </w:rPr>
            </w:pPr>
            <w:r w:rsidRPr="00733D88">
              <w:rPr>
                <w:rFonts w:ascii="Arial" w:hAnsi="Arial" w:cs="Arial"/>
                <w:sz w:val="18"/>
                <w:szCs w:val="18"/>
              </w:rPr>
              <w:t>Pharyngitis</w:t>
            </w:r>
          </w:p>
        </w:tc>
        <w:tc>
          <w:tcPr>
            <w:tcW w:w="992" w:type="dxa"/>
            <w:tcBorders>
              <w:top w:val="nil"/>
              <w:bottom w:val="single" w:sz="4" w:space="0" w:color="auto"/>
            </w:tcBorders>
            <w:vAlign w:val="center"/>
          </w:tcPr>
          <w:p w14:paraId="540B601C" w14:textId="77777777" w:rsidR="00AF4E63" w:rsidRPr="00733D88" w:rsidRDefault="00AF4E63" w:rsidP="00AF46A0">
            <w:pPr>
              <w:rPr>
                <w:rFonts w:ascii="Arial" w:hAnsi="Arial" w:cs="Arial"/>
                <w:sz w:val="18"/>
                <w:szCs w:val="18"/>
              </w:rPr>
            </w:pPr>
            <w:r w:rsidRPr="00733D88">
              <w:rPr>
                <w:rFonts w:ascii="Arial" w:hAnsi="Arial" w:cs="Arial"/>
                <w:sz w:val="18"/>
                <w:szCs w:val="18"/>
              </w:rPr>
              <w:t>4 ( 1.2)</w:t>
            </w:r>
          </w:p>
        </w:tc>
        <w:tc>
          <w:tcPr>
            <w:tcW w:w="993" w:type="dxa"/>
            <w:tcBorders>
              <w:top w:val="nil"/>
              <w:bottom w:val="single" w:sz="4" w:space="0" w:color="auto"/>
            </w:tcBorders>
            <w:vAlign w:val="center"/>
          </w:tcPr>
          <w:p w14:paraId="5372F97F" w14:textId="77777777" w:rsidR="00AF4E63" w:rsidRPr="00733D88" w:rsidRDefault="00AF4E63" w:rsidP="00AF46A0">
            <w:pPr>
              <w:rPr>
                <w:rFonts w:ascii="Arial" w:hAnsi="Arial" w:cs="Arial"/>
                <w:sz w:val="18"/>
                <w:szCs w:val="18"/>
              </w:rPr>
            </w:pPr>
            <w:r w:rsidRPr="00733D88">
              <w:rPr>
                <w:rFonts w:ascii="Arial" w:hAnsi="Arial" w:cs="Arial"/>
                <w:sz w:val="18"/>
                <w:szCs w:val="18"/>
              </w:rPr>
              <w:t>5 ( 1.5)</w:t>
            </w:r>
          </w:p>
        </w:tc>
        <w:tc>
          <w:tcPr>
            <w:tcW w:w="960" w:type="dxa"/>
            <w:tcBorders>
              <w:top w:val="nil"/>
              <w:bottom w:val="single" w:sz="4" w:space="0" w:color="auto"/>
            </w:tcBorders>
            <w:vAlign w:val="center"/>
          </w:tcPr>
          <w:p w14:paraId="7CDA697B" w14:textId="77777777" w:rsidR="00AF4E63" w:rsidRPr="00733D88" w:rsidRDefault="00AF4E63" w:rsidP="00AF46A0">
            <w:pPr>
              <w:rPr>
                <w:rFonts w:ascii="Arial" w:hAnsi="Arial" w:cs="Arial"/>
                <w:sz w:val="18"/>
                <w:szCs w:val="18"/>
              </w:rPr>
            </w:pPr>
            <w:r w:rsidRPr="00733D88">
              <w:rPr>
                <w:rFonts w:ascii="Arial" w:hAnsi="Arial" w:cs="Arial"/>
                <w:sz w:val="18"/>
                <w:szCs w:val="18"/>
              </w:rPr>
              <w:t>0 ( 0.0)</w:t>
            </w:r>
          </w:p>
        </w:tc>
        <w:tc>
          <w:tcPr>
            <w:tcW w:w="1166" w:type="dxa"/>
            <w:tcBorders>
              <w:top w:val="nil"/>
              <w:bottom w:val="single" w:sz="4" w:space="0" w:color="auto"/>
            </w:tcBorders>
            <w:vAlign w:val="center"/>
          </w:tcPr>
          <w:p w14:paraId="620D868C" w14:textId="77777777" w:rsidR="00AF4E63" w:rsidRPr="00733D88" w:rsidRDefault="00AF4E63" w:rsidP="00AF46A0">
            <w:pPr>
              <w:rPr>
                <w:rFonts w:ascii="Arial" w:hAnsi="Arial" w:cs="Arial"/>
                <w:sz w:val="18"/>
                <w:szCs w:val="18"/>
              </w:rPr>
            </w:pPr>
            <w:r w:rsidRPr="00733D88">
              <w:rPr>
                <w:rFonts w:ascii="Arial" w:hAnsi="Arial" w:cs="Arial"/>
                <w:sz w:val="18"/>
                <w:szCs w:val="18"/>
              </w:rPr>
              <w:t>0 ( 0.0)</w:t>
            </w:r>
          </w:p>
        </w:tc>
        <w:tc>
          <w:tcPr>
            <w:tcW w:w="1366" w:type="dxa"/>
            <w:tcBorders>
              <w:top w:val="nil"/>
              <w:bottom w:val="single" w:sz="4" w:space="0" w:color="auto"/>
            </w:tcBorders>
            <w:vAlign w:val="center"/>
          </w:tcPr>
          <w:p w14:paraId="3BEF943B"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4EC4B87D" w14:textId="77777777" w:rsidTr="002D07A3">
        <w:tc>
          <w:tcPr>
            <w:tcW w:w="3539" w:type="dxa"/>
            <w:tcBorders>
              <w:bottom w:val="nil"/>
            </w:tcBorders>
            <w:vAlign w:val="center"/>
          </w:tcPr>
          <w:p w14:paraId="074A1CD6" w14:textId="77777777" w:rsidR="00AF4E63" w:rsidRPr="002D07A3" w:rsidRDefault="00AF4E63" w:rsidP="00AF46A0">
            <w:pPr>
              <w:rPr>
                <w:rFonts w:ascii="Arial" w:hAnsi="Arial" w:cs="Arial"/>
                <w:b/>
                <w:sz w:val="18"/>
                <w:szCs w:val="18"/>
              </w:rPr>
            </w:pPr>
            <w:r w:rsidRPr="002D07A3">
              <w:rPr>
                <w:rFonts w:ascii="Arial" w:hAnsi="Arial" w:cs="Arial"/>
                <w:b/>
                <w:sz w:val="18"/>
                <w:szCs w:val="18"/>
              </w:rPr>
              <w:t>Gastrointestinal disorders</w:t>
            </w:r>
          </w:p>
        </w:tc>
        <w:tc>
          <w:tcPr>
            <w:tcW w:w="992" w:type="dxa"/>
            <w:tcBorders>
              <w:bottom w:val="nil"/>
            </w:tcBorders>
            <w:vAlign w:val="center"/>
          </w:tcPr>
          <w:p w14:paraId="4140F09E" w14:textId="77777777" w:rsidR="00AF4E63" w:rsidRPr="00733D88" w:rsidRDefault="00AF4E63" w:rsidP="00AF46A0">
            <w:pPr>
              <w:rPr>
                <w:rFonts w:ascii="Arial" w:hAnsi="Arial" w:cs="Arial"/>
                <w:sz w:val="18"/>
                <w:szCs w:val="18"/>
              </w:rPr>
            </w:pPr>
          </w:p>
        </w:tc>
        <w:tc>
          <w:tcPr>
            <w:tcW w:w="993" w:type="dxa"/>
            <w:tcBorders>
              <w:bottom w:val="nil"/>
            </w:tcBorders>
            <w:vAlign w:val="center"/>
          </w:tcPr>
          <w:p w14:paraId="735BC40C" w14:textId="77777777" w:rsidR="00AF4E63" w:rsidRPr="00733D88" w:rsidRDefault="00AF4E63" w:rsidP="00AF46A0">
            <w:pPr>
              <w:rPr>
                <w:rFonts w:ascii="Arial" w:hAnsi="Arial" w:cs="Arial"/>
                <w:sz w:val="18"/>
                <w:szCs w:val="18"/>
              </w:rPr>
            </w:pPr>
          </w:p>
        </w:tc>
        <w:tc>
          <w:tcPr>
            <w:tcW w:w="960" w:type="dxa"/>
            <w:tcBorders>
              <w:bottom w:val="nil"/>
            </w:tcBorders>
            <w:vAlign w:val="center"/>
          </w:tcPr>
          <w:p w14:paraId="227CFAB8" w14:textId="77777777" w:rsidR="00AF4E63" w:rsidRPr="00733D88" w:rsidRDefault="00AF4E63" w:rsidP="00AF46A0">
            <w:pPr>
              <w:rPr>
                <w:rFonts w:ascii="Arial" w:hAnsi="Arial" w:cs="Arial"/>
                <w:sz w:val="18"/>
                <w:szCs w:val="18"/>
              </w:rPr>
            </w:pPr>
          </w:p>
        </w:tc>
        <w:tc>
          <w:tcPr>
            <w:tcW w:w="1166" w:type="dxa"/>
            <w:tcBorders>
              <w:bottom w:val="nil"/>
            </w:tcBorders>
            <w:vAlign w:val="center"/>
          </w:tcPr>
          <w:p w14:paraId="2FAB3026" w14:textId="77777777" w:rsidR="00AF4E63" w:rsidRPr="00733D88" w:rsidRDefault="00AF4E63" w:rsidP="00AF46A0">
            <w:pPr>
              <w:rPr>
                <w:rFonts w:ascii="Arial" w:hAnsi="Arial" w:cs="Arial"/>
                <w:sz w:val="18"/>
                <w:szCs w:val="18"/>
              </w:rPr>
            </w:pPr>
          </w:p>
        </w:tc>
        <w:tc>
          <w:tcPr>
            <w:tcW w:w="1366" w:type="dxa"/>
            <w:tcBorders>
              <w:bottom w:val="nil"/>
            </w:tcBorders>
            <w:vAlign w:val="center"/>
          </w:tcPr>
          <w:p w14:paraId="5562EA56" w14:textId="77777777" w:rsidR="00AF4E63" w:rsidRPr="00733D88" w:rsidRDefault="00AF4E63" w:rsidP="00AF46A0">
            <w:pPr>
              <w:rPr>
                <w:rFonts w:ascii="Arial" w:hAnsi="Arial" w:cs="Arial"/>
                <w:sz w:val="18"/>
                <w:szCs w:val="18"/>
              </w:rPr>
            </w:pPr>
          </w:p>
        </w:tc>
      </w:tr>
      <w:tr w:rsidR="00AF4E63" w:rsidRPr="00733D88" w14:paraId="7E246E6C" w14:textId="77777777" w:rsidTr="002D07A3">
        <w:tc>
          <w:tcPr>
            <w:tcW w:w="3539" w:type="dxa"/>
            <w:tcBorders>
              <w:top w:val="nil"/>
              <w:bottom w:val="single" w:sz="4" w:space="0" w:color="auto"/>
            </w:tcBorders>
            <w:vAlign w:val="center"/>
          </w:tcPr>
          <w:p w14:paraId="6BE665AE" w14:textId="77777777" w:rsidR="00AF4E63" w:rsidRPr="00733D88" w:rsidRDefault="00AF4E63" w:rsidP="00AF46A0">
            <w:pPr>
              <w:rPr>
                <w:rFonts w:ascii="Arial" w:hAnsi="Arial" w:cs="Arial"/>
                <w:sz w:val="18"/>
                <w:szCs w:val="18"/>
              </w:rPr>
            </w:pPr>
            <w:r w:rsidRPr="00733D88">
              <w:rPr>
                <w:rFonts w:ascii="Arial" w:hAnsi="Arial" w:cs="Arial"/>
                <w:sz w:val="18"/>
                <w:szCs w:val="18"/>
              </w:rPr>
              <w:t>Diarrhoea</w:t>
            </w:r>
          </w:p>
        </w:tc>
        <w:tc>
          <w:tcPr>
            <w:tcW w:w="992" w:type="dxa"/>
            <w:tcBorders>
              <w:top w:val="nil"/>
              <w:bottom w:val="single" w:sz="4" w:space="0" w:color="auto"/>
            </w:tcBorders>
            <w:vAlign w:val="center"/>
          </w:tcPr>
          <w:p w14:paraId="00D7AEFD" w14:textId="77777777" w:rsidR="00AF4E63" w:rsidRPr="00733D88" w:rsidRDefault="00AF4E63" w:rsidP="00AF46A0">
            <w:pPr>
              <w:rPr>
                <w:rFonts w:ascii="Arial" w:hAnsi="Arial" w:cs="Arial"/>
                <w:sz w:val="18"/>
                <w:szCs w:val="18"/>
              </w:rPr>
            </w:pPr>
            <w:r w:rsidRPr="00733D88">
              <w:rPr>
                <w:rFonts w:ascii="Arial" w:hAnsi="Arial" w:cs="Arial"/>
                <w:sz w:val="18"/>
                <w:szCs w:val="18"/>
              </w:rPr>
              <w:t>17 (5.2)</w:t>
            </w:r>
          </w:p>
        </w:tc>
        <w:tc>
          <w:tcPr>
            <w:tcW w:w="993" w:type="dxa"/>
            <w:tcBorders>
              <w:top w:val="nil"/>
              <w:bottom w:val="single" w:sz="4" w:space="0" w:color="auto"/>
            </w:tcBorders>
            <w:vAlign w:val="center"/>
          </w:tcPr>
          <w:p w14:paraId="6D60CD3D" w14:textId="77777777" w:rsidR="00AF4E63" w:rsidRPr="00733D88" w:rsidRDefault="00AF4E63" w:rsidP="00AF46A0">
            <w:pPr>
              <w:rPr>
                <w:rFonts w:ascii="Arial" w:hAnsi="Arial" w:cs="Arial"/>
                <w:sz w:val="18"/>
                <w:szCs w:val="18"/>
              </w:rPr>
            </w:pPr>
            <w:r w:rsidRPr="00733D88">
              <w:rPr>
                <w:rFonts w:ascii="Arial" w:hAnsi="Arial" w:cs="Arial"/>
                <w:sz w:val="18"/>
                <w:szCs w:val="18"/>
              </w:rPr>
              <w:t>12 (3.7)</w:t>
            </w:r>
          </w:p>
        </w:tc>
        <w:tc>
          <w:tcPr>
            <w:tcW w:w="960" w:type="dxa"/>
            <w:tcBorders>
              <w:top w:val="nil"/>
              <w:bottom w:val="single" w:sz="4" w:space="0" w:color="auto"/>
            </w:tcBorders>
            <w:vAlign w:val="center"/>
          </w:tcPr>
          <w:p w14:paraId="35AE993E" w14:textId="77777777" w:rsidR="00AF4E63" w:rsidRPr="00733D88" w:rsidRDefault="00AF4E63" w:rsidP="00AF46A0">
            <w:pPr>
              <w:rPr>
                <w:rFonts w:ascii="Arial" w:hAnsi="Arial" w:cs="Arial"/>
                <w:sz w:val="18"/>
                <w:szCs w:val="18"/>
              </w:rPr>
            </w:pPr>
            <w:r w:rsidRPr="00733D88">
              <w:rPr>
                <w:rFonts w:ascii="Arial" w:hAnsi="Arial" w:cs="Arial"/>
                <w:sz w:val="18"/>
                <w:szCs w:val="18"/>
              </w:rPr>
              <w:t>6 (1.8)</w:t>
            </w:r>
          </w:p>
        </w:tc>
        <w:tc>
          <w:tcPr>
            <w:tcW w:w="1166" w:type="dxa"/>
            <w:tcBorders>
              <w:top w:val="nil"/>
              <w:bottom w:val="single" w:sz="4" w:space="0" w:color="auto"/>
            </w:tcBorders>
            <w:vAlign w:val="center"/>
          </w:tcPr>
          <w:p w14:paraId="0639BD1D" w14:textId="77777777" w:rsidR="00AF4E63" w:rsidRPr="00733D88" w:rsidRDefault="00AF4E63" w:rsidP="00AF46A0">
            <w:pPr>
              <w:rPr>
                <w:rFonts w:ascii="Arial" w:hAnsi="Arial" w:cs="Arial"/>
                <w:sz w:val="18"/>
                <w:szCs w:val="18"/>
              </w:rPr>
            </w:pPr>
            <w:r w:rsidRPr="00733D88">
              <w:rPr>
                <w:rFonts w:ascii="Arial" w:hAnsi="Arial" w:cs="Arial"/>
                <w:sz w:val="18"/>
                <w:szCs w:val="18"/>
              </w:rPr>
              <w:t>11 (3.4)</w:t>
            </w:r>
          </w:p>
        </w:tc>
        <w:tc>
          <w:tcPr>
            <w:tcW w:w="1366" w:type="dxa"/>
            <w:tcBorders>
              <w:top w:val="nil"/>
              <w:bottom w:val="single" w:sz="4" w:space="0" w:color="auto"/>
            </w:tcBorders>
            <w:vAlign w:val="center"/>
          </w:tcPr>
          <w:p w14:paraId="7018AFFD"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748501FD" w14:textId="77777777" w:rsidTr="002D07A3">
        <w:tc>
          <w:tcPr>
            <w:tcW w:w="3539" w:type="dxa"/>
            <w:tcBorders>
              <w:bottom w:val="nil"/>
            </w:tcBorders>
            <w:vAlign w:val="center"/>
          </w:tcPr>
          <w:p w14:paraId="56AD2CA1" w14:textId="77777777" w:rsidR="00AF4E63" w:rsidRPr="002D07A3" w:rsidRDefault="00AF4E63" w:rsidP="00AF46A0">
            <w:pPr>
              <w:rPr>
                <w:rFonts w:ascii="Arial" w:hAnsi="Arial" w:cs="Arial"/>
                <w:b/>
                <w:sz w:val="18"/>
                <w:szCs w:val="18"/>
              </w:rPr>
            </w:pPr>
            <w:r w:rsidRPr="002D07A3">
              <w:rPr>
                <w:rFonts w:ascii="Arial" w:hAnsi="Arial" w:cs="Arial"/>
                <w:b/>
                <w:sz w:val="18"/>
                <w:szCs w:val="18"/>
              </w:rPr>
              <w:t>Skin and subcutaneous tissue disorders</w:t>
            </w:r>
          </w:p>
        </w:tc>
        <w:tc>
          <w:tcPr>
            <w:tcW w:w="992" w:type="dxa"/>
            <w:tcBorders>
              <w:bottom w:val="nil"/>
            </w:tcBorders>
            <w:vAlign w:val="center"/>
          </w:tcPr>
          <w:p w14:paraId="4C95FF05" w14:textId="77777777" w:rsidR="00AF4E63" w:rsidRPr="00733D88" w:rsidRDefault="00AF4E63" w:rsidP="00AF46A0">
            <w:pPr>
              <w:rPr>
                <w:rFonts w:ascii="Arial" w:hAnsi="Arial" w:cs="Arial"/>
                <w:sz w:val="18"/>
                <w:szCs w:val="18"/>
              </w:rPr>
            </w:pPr>
          </w:p>
        </w:tc>
        <w:tc>
          <w:tcPr>
            <w:tcW w:w="993" w:type="dxa"/>
            <w:tcBorders>
              <w:bottom w:val="nil"/>
            </w:tcBorders>
            <w:vAlign w:val="center"/>
          </w:tcPr>
          <w:p w14:paraId="31653730" w14:textId="77777777" w:rsidR="00AF4E63" w:rsidRPr="00733D88" w:rsidRDefault="00AF4E63" w:rsidP="00AF46A0">
            <w:pPr>
              <w:rPr>
                <w:rFonts w:ascii="Arial" w:hAnsi="Arial" w:cs="Arial"/>
                <w:sz w:val="18"/>
                <w:szCs w:val="18"/>
              </w:rPr>
            </w:pPr>
          </w:p>
        </w:tc>
        <w:tc>
          <w:tcPr>
            <w:tcW w:w="960" w:type="dxa"/>
            <w:tcBorders>
              <w:bottom w:val="nil"/>
            </w:tcBorders>
            <w:vAlign w:val="center"/>
          </w:tcPr>
          <w:p w14:paraId="1302F426" w14:textId="77777777" w:rsidR="00AF4E63" w:rsidRPr="00733D88" w:rsidRDefault="00AF4E63" w:rsidP="00AF46A0">
            <w:pPr>
              <w:rPr>
                <w:rFonts w:ascii="Arial" w:hAnsi="Arial" w:cs="Arial"/>
                <w:sz w:val="18"/>
                <w:szCs w:val="18"/>
              </w:rPr>
            </w:pPr>
          </w:p>
        </w:tc>
        <w:tc>
          <w:tcPr>
            <w:tcW w:w="1166" w:type="dxa"/>
            <w:tcBorders>
              <w:bottom w:val="nil"/>
            </w:tcBorders>
            <w:vAlign w:val="center"/>
          </w:tcPr>
          <w:p w14:paraId="735D02C2" w14:textId="77777777" w:rsidR="00AF4E63" w:rsidRPr="00733D88" w:rsidRDefault="00AF4E63" w:rsidP="00AF46A0">
            <w:pPr>
              <w:rPr>
                <w:rFonts w:ascii="Arial" w:hAnsi="Arial" w:cs="Arial"/>
                <w:sz w:val="18"/>
                <w:szCs w:val="18"/>
              </w:rPr>
            </w:pPr>
          </w:p>
        </w:tc>
        <w:tc>
          <w:tcPr>
            <w:tcW w:w="1366" w:type="dxa"/>
            <w:tcBorders>
              <w:bottom w:val="nil"/>
            </w:tcBorders>
            <w:vAlign w:val="center"/>
          </w:tcPr>
          <w:p w14:paraId="523FCC14" w14:textId="77777777" w:rsidR="00AF4E63" w:rsidRPr="00733D88" w:rsidRDefault="00AF4E63" w:rsidP="00AF46A0">
            <w:pPr>
              <w:rPr>
                <w:rFonts w:ascii="Arial" w:hAnsi="Arial" w:cs="Arial"/>
                <w:sz w:val="18"/>
                <w:szCs w:val="18"/>
              </w:rPr>
            </w:pPr>
          </w:p>
        </w:tc>
      </w:tr>
      <w:tr w:rsidR="00AF4E63" w:rsidRPr="00733D88" w14:paraId="452F5CA7" w14:textId="77777777" w:rsidTr="002D07A3">
        <w:tc>
          <w:tcPr>
            <w:tcW w:w="3539" w:type="dxa"/>
            <w:tcBorders>
              <w:top w:val="nil"/>
              <w:bottom w:val="single" w:sz="4" w:space="0" w:color="auto"/>
            </w:tcBorders>
            <w:vAlign w:val="center"/>
          </w:tcPr>
          <w:p w14:paraId="2DAA483D" w14:textId="77777777" w:rsidR="00AF4E63" w:rsidRPr="00733D88" w:rsidRDefault="00AF4E63" w:rsidP="00AF46A0">
            <w:pPr>
              <w:rPr>
                <w:rFonts w:ascii="Arial" w:hAnsi="Arial" w:cs="Arial"/>
                <w:sz w:val="18"/>
                <w:szCs w:val="18"/>
              </w:rPr>
            </w:pPr>
            <w:proofErr w:type="spellStart"/>
            <w:r w:rsidRPr="00733D88">
              <w:rPr>
                <w:rFonts w:ascii="Arial" w:hAnsi="Arial" w:cs="Arial"/>
                <w:sz w:val="18"/>
                <w:szCs w:val="18"/>
              </w:rPr>
              <w:t>Urticaria</w:t>
            </w:r>
            <w:proofErr w:type="spellEnd"/>
          </w:p>
        </w:tc>
        <w:tc>
          <w:tcPr>
            <w:tcW w:w="992" w:type="dxa"/>
            <w:tcBorders>
              <w:top w:val="nil"/>
              <w:bottom w:val="single" w:sz="4" w:space="0" w:color="auto"/>
            </w:tcBorders>
            <w:vAlign w:val="center"/>
          </w:tcPr>
          <w:p w14:paraId="78A2136A" w14:textId="77777777" w:rsidR="00AF4E63" w:rsidRPr="00733D88" w:rsidRDefault="00AF4E63" w:rsidP="00AF46A0">
            <w:pPr>
              <w:rPr>
                <w:rFonts w:ascii="Arial" w:hAnsi="Arial" w:cs="Arial"/>
                <w:sz w:val="18"/>
                <w:szCs w:val="18"/>
              </w:rPr>
            </w:pPr>
            <w:r w:rsidRPr="00733D88">
              <w:rPr>
                <w:rFonts w:ascii="Arial" w:hAnsi="Arial" w:cs="Arial"/>
                <w:sz w:val="18"/>
                <w:szCs w:val="18"/>
              </w:rPr>
              <w:t>1 ( 0.3)</w:t>
            </w:r>
          </w:p>
        </w:tc>
        <w:tc>
          <w:tcPr>
            <w:tcW w:w="993" w:type="dxa"/>
            <w:tcBorders>
              <w:top w:val="nil"/>
              <w:bottom w:val="single" w:sz="4" w:space="0" w:color="auto"/>
            </w:tcBorders>
            <w:vAlign w:val="center"/>
          </w:tcPr>
          <w:p w14:paraId="7CCFBFBE" w14:textId="77777777" w:rsidR="00AF4E63" w:rsidRPr="00733D88" w:rsidRDefault="00AF4E63" w:rsidP="00AF46A0">
            <w:pPr>
              <w:rPr>
                <w:rFonts w:ascii="Arial" w:hAnsi="Arial" w:cs="Arial"/>
                <w:sz w:val="18"/>
                <w:szCs w:val="18"/>
              </w:rPr>
            </w:pPr>
            <w:r w:rsidRPr="00733D88">
              <w:rPr>
                <w:rFonts w:ascii="Arial" w:hAnsi="Arial" w:cs="Arial"/>
                <w:sz w:val="18"/>
                <w:szCs w:val="18"/>
              </w:rPr>
              <w:t>5 ( 1.5)</w:t>
            </w:r>
          </w:p>
        </w:tc>
        <w:tc>
          <w:tcPr>
            <w:tcW w:w="960" w:type="dxa"/>
            <w:tcBorders>
              <w:top w:val="nil"/>
              <w:bottom w:val="single" w:sz="4" w:space="0" w:color="auto"/>
            </w:tcBorders>
            <w:vAlign w:val="center"/>
          </w:tcPr>
          <w:p w14:paraId="48FBCE24" w14:textId="77777777" w:rsidR="00AF4E63" w:rsidRPr="00733D88" w:rsidRDefault="00AF4E63" w:rsidP="00AF46A0">
            <w:pPr>
              <w:rPr>
                <w:rFonts w:ascii="Arial" w:hAnsi="Arial" w:cs="Arial"/>
                <w:sz w:val="18"/>
                <w:szCs w:val="18"/>
              </w:rPr>
            </w:pPr>
            <w:r w:rsidRPr="00733D88">
              <w:rPr>
                <w:rFonts w:ascii="Arial" w:hAnsi="Arial" w:cs="Arial"/>
                <w:sz w:val="18"/>
                <w:szCs w:val="18"/>
              </w:rPr>
              <w:t>0 ( 0.0)</w:t>
            </w:r>
          </w:p>
        </w:tc>
        <w:tc>
          <w:tcPr>
            <w:tcW w:w="1166" w:type="dxa"/>
            <w:tcBorders>
              <w:top w:val="nil"/>
              <w:bottom w:val="single" w:sz="4" w:space="0" w:color="auto"/>
            </w:tcBorders>
            <w:vAlign w:val="center"/>
          </w:tcPr>
          <w:p w14:paraId="7F200720" w14:textId="77777777" w:rsidR="00AF4E63" w:rsidRPr="00733D88" w:rsidRDefault="00AF4E63" w:rsidP="00AF46A0">
            <w:pPr>
              <w:rPr>
                <w:rFonts w:ascii="Arial" w:hAnsi="Arial" w:cs="Arial"/>
                <w:sz w:val="18"/>
                <w:szCs w:val="18"/>
              </w:rPr>
            </w:pPr>
            <w:r w:rsidRPr="00733D88">
              <w:rPr>
                <w:rFonts w:ascii="Arial" w:hAnsi="Arial" w:cs="Arial"/>
                <w:sz w:val="18"/>
                <w:szCs w:val="18"/>
              </w:rPr>
              <w:t>2 ( 0.6)</w:t>
            </w:r>
          </w:p>
        </w:tc>
        <w:tc>
          <w:tcPr>
            <w:tcW w:w="1366" w:type="dxa"/>
            <w:tcBorders>
              <w:top w:val="nil"/>
              <w:bottom w:val="single" w:sz="4" w:space="0" w:color="auto"/>
            </w:tcBorders>
            <w:vAlign w:val="center"/>
          </w:tcPr>
          <w:p w14:paraId="0ABE64D8"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74F7DFAE" w14:textId="77777777" w:rsidTr="002D07A3">
        <w:tc>
          <w:tcPr>
            <w:tcW w:w="3539" w:type="dxa"/>
            <w:tcBorders>
              <w:bottom w:val="nil"/>
            </w:tcBorders>
            <w:vAlign w:val="center"/>
          </w:tcPr>
          <w:p w14:paraId="4502569F" w14:textId="77777777" w:rsidR="00AF4E63" w:rsidRPr="002D07A3" w:rsidRDefault="00AF4E63" w:rsidP="00AF46A0">
            <w:pPr>
              <w:rPr>
                <w:rFonts w:ascii="Arial" w:hAnsi="Arial" w:cs="Arial"/>
                <w:b/>
                <w:sz w:val="18"/>
                <w:szCs w:val="18"/>
              </w:rPr>
            </w:pPr>
            <w:r w:rsidRPr="002D07A3">
              <w:rPr>
                <w:rFonts w:ascii="Arial" w:hAnsi="Arial" w:cs="Arial"/>
                <w:b/>
                <w:sz w:val="18"/>
                <w:szCs w:val="18"/>
              </w:rPr>
              <w:t>Respiratory, thoracic and mediastinal disorders</w:t>
            </w:r>
          </w:p>
        </w:tc>
        <w:tc>
          <w:tcPr>
            <w:tcW w:w="992" w:type="dxa"/>
            <w:tcBorders>
              <w:bottom w:val="nil"/>
            </w:tcBorders>
            <w:vAlign w:val="center"/>
          </w:tcPr>
          <w:p w14:paraId="05C1F771" w14:textId="77777777" w:rsidR="00AF4E63" w:rsidRPr="00733D88" w:rsidRDefault="00AF4E63" w:rsidP="00AF46A0">
            <w:pPr>
              <w:rPr>
                <w:rFonts w:ascii="Arial" w:hAnsi="Arial" w:cs="Arial"/>
                <w:sz w:val="18"/>
                <w:szCs w:val="18"/>
              </w:rPr>
            </w:pPr>
          </w:p>
        </w:tc>
        <w:tc>
          <w:tcPr>
            <w:tcW w:w="993" w:type="dxa"/>
            <w:tcBorders>
              <w:bottom w:val="nil"/>
            </w:tcBorders>
            <w:vAlign w:val="center"/>
          </w:tcPr>
          <w:p w14:paraId="7D3E702E" w14:textId="77777777" w:rsidR="00AF4E63" w:rsidRPr="00733D88" w:rsidRDefault="00AF4E63" w:rsidP="00AF46A0">
            <w:pPr>
              <w:rPr>
                <w:rFonts w:ascii="Arial" w:hAnsi="Arial" w:cs="Arial"/>
                <w:sz w:val="18"/>
                <w:szCs w:val="18"/>
              </w:rPr>
            </w:pPr>
          </w:p>
        </w:tc>
        <w:tc>
          <w:tcPr>
            <w:tcW w:w="960" w:type="dxa"/>
            <w:tcBorders>
              <w:bottom w:val="nil"/>
            </w:tcBorders>
            <w:vAlign w:val="center"/>
          </w:tcPr>
          <w:p w14:paraId="5F629583" w14:textId="77777777" w:rsidR="00AF4E63" w:rsidRPr="00733D88" w:rsidRDefault="00AF4E63" w:rsidP="00AF46A0">
            <w:pPr>
              <w:rPr>
                <w:rFonts w:ascii="Arial" w:hAnsi="Arial" w:cs="Arial"/>
                <w:sz w:val="18"/>
                <w:szCs w:val="18"/>
              </w:rPr>
            </w:pPr>
          </w:p>
        </w:tc>
        <w:tc>
          <w:tcPr>
            <w:tcW w:w="1166" w:type="dxa"/>
            <w:tcBorders>
              <w:bottom w:val="nil"/>
            </w:tcBorders>
            <w:vAlign w:val="center"/>
          </w:tcPr>
          <w:p w14:paraId="640EA5B8" w14:textId="77777777" w:rsidR="00AF4E63" w:rsidRPr="00733D88" w:rsidRDefault="00AF4E63" w:rsidP="00AF46A0">
            <w:pPr>
              <w:rPr>
                <w:rFonts w:ascii="Arial" w:hAnsi="Arial" w:cs="Arial"/>
                <w:sz w:val="18"/>
                <w:szCs w:val="18"/>
              </w:rPr>
            </w:pPr>
          </w:p>
        </w:tc>
        <w:tc>
          <w:tcPr>
            <w:tcW w:w="1366" w:type="dxa"/>
            <w:tcBorders>
              <w:bottom w:val="nil"/>
            </w:tcBorders>
            <w:vAlign w:val="center"/>
          </w:tcPr>
          <w:p w14:paraId="20F86999" w14:textId="77777777" w:rsidR="00AF4E63" w:rsidRPr="00733D88" w:rsidRDefault="00AF4E63" w:rsidP="00AF46A0">
            <w:pPr>
              <w:rPr>
                <w:rFonts w:ascii="Arial" w:hAnsi="Arial" w:cs="Arial"/>
                <w:sz w:val="18"/>
                <w:szCs w:val="18"/>
              </w:rPr>
            </w:pPr>
          </w:p>
        </w:tc>
      </w:tr>
      <w:tr w:rsidR="00AF4E63" w:rsidRPr="00733D88" w14:paraId="246BB1BF" w14:textId="77777777" w:rsidTr="002D07A3">
        <w:tc>
          <w:tcPr>
            <w:tcW w:w="3539" w:type="dxa"/>
            <w:tcBorders>
              <w:top w:val="nil"/>
              <w:bottom w:val="single" w:sz="4" w:space="0" w:color="auto"/>
            </w:tcBorders>
            <w:vAlign w:val="center"/>
          </w:tcPr>
          <w:p w14:paraId="644D12E4" w14:textId="77777777" w:rsidR="00AF4E63" w:rsidRPr="00733D88" w:rsidRDefault="00AF4E63" w:rsidP="00AF46A0">
            <w:pPr>
              <w:rPr>
                <w:rFonts w:ascii="Arial" w:hAnsi="Arial" w:cs="Arial"/>
                <w:sz w:val="18"/>
                <w:szCs w:val="18"/>
              </w:rPr>
            </w:pPr>
            <w:r w:rsidRPr="00733D88">
              <w:rPr>
                <w:rFonts w:ascii="Arial" w:hAnsi="Arial" w:cs="Arial"/>
                <w:sz w:val="18"/>
                <w:szCs w:val="18"/>
              </w:rPr>
              <w:t>Rhinorrhoea</w:t>
            </w:r>
          </w:p>
        </w:tc>
        <w:tc>
          <w:tcPr>
            <w:tcW w:w="992" w:type="dxa"/>
            <w:tcBorders>
              <w:top w:val="nil"/>
              <w:bottom w:val="single" w:sz="4" w:space="0" w:color="auto"/>
            </w:tcBorders>
            <w:vAlign w:val="center"/>
          </w:tcPr>
          <w:p w14:paraId="7BDA9841" w14:textId="77777777" w:rsidR="00AF4E63" w:rsidRPr="00733D88" w:rsidRDefault="00AF4E63" w:rsidP="00AF46A0">
            <w:pPr>
              <w:rPr>
                <w:rFonts w:ascii="Arial" w:hAnsi="Arial" w:cs="Arial"/>
                <w:sz w:val="18"/>
                <w:szCs w:val="18"/>
              </w:rPr>
            </w:pPr>
            <w:r w:rsidRPr="00733D88">
              <w:rPr>
                <w:rFonts w:ascii="Arial" w:hAnsi="Arial" w:cs="Arial"/>
                <w:sz w:val="18"/>
                <w:szCs w:val="18"/>
              </w:rPr>
              <w:t>7 (2.1)</w:t>
            </w:r>
          </w:p>
        </w:tc>
        <w:tc>
          <w:tcPr>
            <w:tcW w:w="993" w:type="dxa"/>
            <w:tcBorders>
              <w:top w:val="nil"/>
              <w:bottom w:val="single" w:sz="4" w:space="0" w:color="auto"/>
            </w:tcBorders>
            <w:vAlign w:val="center"/>
          </w:tcPr>
          <w:p w14:paraId="0C0FF73E" w14:textId="77777777" w:rsidR="00AF4E63" w:rsidRPr="00733D88" w:rsidRDefault="00AF4E63" w:rsidP="00AF46A0">
            <w:pPr>
              <w:rPr>
                <w:rFonts w:ascii="Arial" w:hAnsi="Arial" w:cs="Arial"/>
                <w:sz w:val="18"/>
                <w:szCs w:val="18"/>
              </w:rPr>
            </w:pPr>
            <w:r w:rsidRPr="00733D88">
              <w:rPr>
                <w:rFonts w:ascii="Arial" w:hAnsi="Arial" w:cs="Arial"/>
                <w:sz w:val="18"/>
                <w:szCs w:val="18"/>
              </w:rPr>
              <w:t>1 (0.3)</w:t>
            </w:r>
          </w:p>
        </w:tc>
        <w:tc>
          <w:tcPr>
            <w:tcW w:w="960" w:type="dxa"/>
            <w:tcBorders>
              <w:top w:val="nil"/>
              <w:bottom w:val="single" w:sz="4" w:space="0" w:color="auto"/>
            </w:tcBorders>
            <w:vAlign w:val="center"/>
          </w:tcPr>
          <w:p w14:paraId="5B8CC24A" w14:textId="77777777" w:rsidR="00AF4E63" w:rsidRPr="00733D88" w:rsidRDefault="00AF4E63" w:rsidP="00AF46A0">
            <w:pPr>
              <w:rPr>
                <w:rFonts w:ascii="Arial" w:hAnsi="Arial" w:cs="Arial"/>
                <w:sz w:val="18"/>
                <w:szCs w:val="18"/>
              </w:rPr>
            </w:pPr>
            <w:r w:rsidRPr="00733D88">
              <w:rPr>
                <w:rFonts w:ascii="Arial" w:hAnsi="Arial" w:cs="Arial"/>
                <w:sz w:val="18"/>
                <w:szCs w:val="18"/>
              </w:rPr>
              <w:t>1 (0.3)</w:t>
            </w:r>
          </w:p>
        </w:tc>
        <w:tc>
          <w:tcPr>
            <w:tcW w:w="1166" w:type="dxa"/>
            <w:tcBorders>
              <w:top w:val="nil"/>
              <w:bottom w:val="single" w:sz="4" w:space="0" w:color="auto"/>
            </w:tcBorders>
            <w:vAlign w:val="center"/>
          </w:tcPr>
          <w:p w14:paraId="420676A3" w14:textId="77777777" w:rsidR="00AF4E63" w:rsidRPr="00733D88" w:rsidRDefault="00AF4E63" w:rsidP="00AF46A0">
            <w:pPr>
              <w:rPr>
                <w:rFonts w:ascii="Arial" w:hAnsi="Arial" w:cs="Arial"/>
                <w:sz w:val="18"/>
                <w:szCs w:val="18"/>
              </w:rPr>
            </w:pPr>
            <w:r w:rsidRPr="00733D88">
              <w:rPr>
                <w:rFonts w:ascii="Arial" w:hAnsi="Arial" w:cs="Arial"/>
                <w:sz w:val="18"/>
                <w:szCs w:val="18"/>
              </w:rPr>
              <w:t>2 (0.6)</w:t>
            </w:r>
          </w:p>
        </w:tc>
        <w:tc>
          <w:tcPr>
            <w:tcW w:w="1366" w:type="dxa"/>
            <w:tcBorders>
              <w:top w:val="nil"/>
              <w:bottom w:val="single" w:sz="4" w:space="0" w:color="auto"/>
            </w:tcBorders>
            <w:vAlign w:val="center"/>
          </w:tcPr>
          <w:p w14:paraId="0D021852" w14:textId="77777777" w:rsidR="00AF4E63" w:rsidRPr="00733D88" w:rsidRDefault="00AF4E63" w:rsidP="00AF46A0">
            <w:pPr>
              <w:rPr>
                <w:rFonts w:ascii="Arial" w:hAnsi="Arial" w:cs="Arial"/>
                <w:sz w:val="18"/>
                <w:szCs w:val="18"/>
              </w:rPr>
            </w:pPr>
            <w:r w:rsidRPr="00733D88">
              <w:rPr>
                <w:rFonts w:ascii="Arial" w:hAnsi="Arial" w:cs="Arial"/>
                <w:sz w:val="18"/>
                <w:szCs w:val="18"/>
              </w:rPr>
              <w:t>Common</w:t>
            </w:r>
          </w:p>
        </w:tc>
      </w:tr>
      <w:tr w:rsidR="00AF4E63" w:rsidRPr="00733D88" w14:paraId="4607A267" w14:textId="77777777" w:rsidTr="002D07A3">
        <w:tc>
          <w:tcPr>
            <w:tcW w:w="9016" w:type="dxa"/>
            <w:gridSpan w:val="6"/>
            <w:tcBorders>
              <w:left w:val="nil"/>
              <w:bottom w:val="nil"/>
              <w:right w:val="nil"/>
            </w:tcBorders>
            <w:vAlign w:val="center"/>
          </w:tcPr>
          <w:p w14:paraId="528EA974" w14:textId="77777777" w:rsidR="00AF4E63" w:rsidRPr="00733D88" w:rsidRDefault="00AF4E63" w:rsidP="00AF46A0">
            <w:pPr>
              <w:rPr>
                <w:rFonts w:ascii="Arial" w:hAnsi="Arial" w:cs="Arial"/>
                <w:sz w:val="16"/>
                <w:szCs w:val="18"/>
              </w:rPr>
            </w:pPr>
            <w:r w:rsidRPr="00733D88">
              <w:rPr>
                <w:rFonts w:ascii="Arial" w:hAnsi="Arial" w:cs="Arial"/>
                <w:sz w:val="16"/>
                <w:szCs w:val="18"/>
                <w:vertAlign w:val="superscript"/>
              </w:rPr>
              <w:t>1</w:t>
            </w:r>
            <w:r w:rsidRPr="00733D88">
              <w:rPr>
                <w:rFonts w:ascii="Arial" w:hAnsi="Arial" w:cs="Arial"/>
                <w:sz w:val="16"/>
                <w:szCs w:val="18"/>
              </w:rPr>
              <w:t xml:space="preserve"> ADR frequencies are based upon the highest percentage rate seen in any of the </w:t>
            </w:r>
            <w:proofErr w:type="spellStart"/>
            <w:r w:rsidRPr="00733D88">
              <w:rPr>
                <w:rFonts w:ascii="Arial" w:hAnsi="Arial" w:cs="Arial"/>
                <w:sz w:val="16"/>
                <w:szCs w:val="18"/>
              </w:rPr>
              <w:t>secukinumab</w:t>
            </w:r>
            <w:proofErr w:type="spellEnd"/>
            <w:r w:rsidRPr="00733D88">
              <w:rPr>
                <w:rFonts w:ascii="Arial" w:hAnsi="Arial" w:cs="Arial"/>
                <w:sz w:val="16"/>
                <w:szCs w:val="18"/>
              </w:rPr>
              <w:t xml:space="preserve"> groups</w:t>
            </w:r>
          </w:p>
        </w:tc>
      </w:tr>
    </w:tbl>
    <w:p w14:paraId="2DEE2C66" w14:textId="77777777" w:rsidR="00010B1A" w:rsidRPr="00733D88" w:rsidRDefault="00010B1A" w:rsidP="00AF46A0">
      <w:pPr>
        <w:rPr>
          <w:rFonts w:ascii="Arial" w:hAnsi="Arial" w:cs="Arial"/>
          <w:sz w:val="20"/>
        </w:rPr>
      </w:pPr>
    </w:p>
    <w:p w14:paraId="252A1CDF" w14:textId="77777777" w:rsidR="00AF4E63" w:rsidRPr="002D07A3" w:rsidRDefault="00AF4E63" w:rsidP="00AF46A0">
      <w:pPr>
        <w:rPr>
          <w:rFonts w:cstheme="minorHAnsi"/>
        </w:rPr>
      </w:pPr>
      <w:r w:rsidRPr="002D07A3">
        <w:rPr>
          <w:rFonts w:cstheme="minorHAnsi"/>
        </w:rPr>
        <w:t xml:space="preserve">Adverse reactions that occurred at less than 1 % frequency in the placebo-controlled period of the ERASURE, FIXTURE, FEATURE and JUNCTURE studies through week 12 are given in Table </w:t>
      </w:r>
      <w:r w:rsidR="0016038E" w:rsidRPr="002D07A3">
        <w:rPr>
          <w:rFonts w:cstheme="minorHAnsi"/>
        </w:rPr>
        <w:t>3</w:t>
      </w:r>
      <w:r w:rsidRPr="002D07A3">
        <w:rPr>
          <w:rFonts w:cstheme="minorHAnsi"/>
        </w:rPr>
        <w:t>.</w:t>
      </w:r>
    </w:p>
    <w:p w14:paraId="3456A046" w14:textId="77777777" w:rsidR="00353978" w:rsidRDefault="00353978" w:rsidP="00AF46A0">
      <w:pPr>
        <w:spacing w:after="120"/>
        <w:ind w:left="1166" w:hanging="1166"/>
        <w:rPr>
          <w:rFonts w:ascii="Arial" w:hAnsi="Arial" w:cs="Arial"/>
          <w:b/>
          <w:sz w:val="20"/>
        </w:rPr>
      </w:pPr>
      <w:r>
        <w:rPr>
          <w:rFonts w:ascii="Arial" w:hAnsi="Arial" w:cs="Arial"/>
          <w:b/>
          <w:sz w:val="20"/>
        </w:rPr>
        <w:br w:type="page"/>
      </w:r>
    </w:p>
    <w:p w14:paraId="5BA26C5B" w14:textId="00F78FDC" w:rsidR="00AF4E63" w:rsidRPr="00733D88" w:rsidRDefault="00AF4E63" w:rsidP="00AF46A0">
      <w:pPr>
        <w:spacing w:after="120"/>
        <w:ind w:left="1166" w:hanging="1166"/>
        <w:rPr>
          <w:rFonts w:ascii="Arial" w:hAnsi="Arial" w:cs="Arial"/>
          <w:b/>
          <w:sz w:val="20"/>
        </w:rPr>
      </w:pPr>
      <w:r w:rsidRPr="00733D88">
        <w:rPr>
          <w:rFonts w:ascii="Arial" w:hAnsi="Arial" w:cs="Arial"/>
          <w:b/>
          <w:sz w:val="20"/>
        </w:rPr>
        <w:t xml:space="preserve">Table </w:t>
      </w:r>
      <w:r w:rsidR="0016038E" w:rsidRPr="00733D88">
        <w:rPr>
          <w:rFonts w:ascii="Arial" w:hAnsi="Arial" w:cs="Arial"/>
          <w:b/>
          <w:sz w:val="20"/>
        </w:rPr>
        <w:t>3</w:t>
      </w:r>
      <w:r w:rsidRPr="00733D88">
        <w:rPr>
          <w:rFonts w:ascii="Arial" w:hAnsi="Arial" w:cs="Arial"/>
          <w:b/>
          <w:sz w:val="20"/>
        </w:rPr>
        <w:tab/>
        <w:t>Adverse effects reported at &lt; 1 % frequency through Week 12 in psoriasis clinical trial patients</w:t>
      </w:r>
    </w:p>
    <w:tbl>
      <w:tblPr>
        <w:tblStyle w:val="TableGrid"/>
        <w:tblW w:w="0" w:type="auto"/>
        <w:tblLook w:val="04A0" w:firstRow="1" w:lastRow="0" w:firstColumn="1" w:lastColumn="0" w:noHBand="0" w:noVBand="1"/>
      </w:tblPr>
      <w:tblGrid>
        <w:gridCol w:w="1555"/>
        <w:gridCol w:w="7461"/>
      </w:tblGrid>
      <w:tr w:rsidR="00AF4E63" w:rsidRPr="00733D88" w14:paraId="51D54899" w14:textId="77777777" w:rsidTr="002D07A3">
        <w:tc>
          <w:tcPr>
            <w:tcW w:w="9016" w:type="dxa"/>
            <w:gridSpan w:val="2"/>
            <w:tcBorders>
              <w:bottom w:val="nil"/>
            </w:tcBorders>
          </w:tcPr>
          <w:p w14:paraId="0123B4A2" w14:textId="77777777" w:rsidR="00AF4E63" w:rsidRPr="00733D88" w:rsidRDefault="00AF4E63" w:rsidP="00AF46A0">
            <w:pPr>
              <w:rPr>
                <w:rFonts w:ascii="Arial" w:hAnsi="Arial" w:cs="Arial"/>
                <w:sz w:val="18"/>
              </w:rPr>
            </w:pPr>
            <w:r w:rsidRPr="00733D88">
              <w:rPr>
                <w:rFonts w:ascii="Arial" w:hAnsi="Arial" w:cs="Arial"/>
                <w:sz w:val="18"/>
              </w:rPr>
              <w:t>Infections and infestations</w:t>
            </w:r>
          </w:p>
        </w:tc>
      </w:tr>
      <w:tr w:rsidR="00AF4E63" w:rsidRPr="00733D88" w14:paraId="158AA4A8" w14:textId="77777777" w:rsidTr="002D07A3">
        <w:tc>
          <w:tcPr>
            <w:tcW w:w="1555" w:type="dxa"/>
            <w:tcBorders>
              <w:top w:val="nil"/>
              <w:bottom w:val="single" w:sz="4" w:space="0" w:color="auto"/>
              <w:right w:val="nil"/>
            </w:tcBorders>
          </w:tcPr>
          <w:p w14:paraId="7E4EF3B1" w14:textId="77777777" w:rsidR="00AF4E63" w:rsidRPr="00733D88" w:rsidRDefault="00AF4E63" w:rsidP="00AF46A0">
            <w:pPr>
              <w:rPr>
                <w:rFonts w:ascii="Arial" w:hAnsi="Arial" w:cs="Arial"/>
                <w:sz w:val="18"/>
              </w:rPr>
            </w:pPr>
            <w:r w:rsidRPr="00733D88">
              <w:rPr>
                <w:rFonts w:ascii="Arial" w:hAnsi="Arial" w:cs="Arial"/>
                <w:sz w:val="18"/>
              </w:rPr>
              <w:t>Uncommon:</w:t>
            </w:r>
          </w:p>
        </w:tc>
        <w:tc>
          <w:tcPr>
            <w:tcW w:w="7461" w:type="dxa"/>
            <w:tcBorders>
              <w:top w:val="nil"/>
              <w:left w:val="nil"/>
              <w:bottom w:val="single" w:sz="4" w:space="0" w:color="auto"/>
            </w:tcBorders>
          </w:tcPr>
          <w:p w14:paraId="35E7B800" w14:textId="77777777" w:rsidR="00AF4E63" w:rsidRPr="00733D88" w:rsidRDefault="00AF4E63" w:rsidP="00AF46A0">
            <w:pPr>
              <w:rPr>
                <w:rFonts w:ascii="Arial" w:hAnsi="Arial" w:cs="Arial"/>
                <w:sz w:val="18"/>
              </w:rPr>
            </w:pPr>
            <w:r w:rsidRPr="00733D88">
              <w:rPr>
                <w:rFonts w:ascii="Arial" w:hAnsi="Arial" w:cs="Arial"/>
                <w:sz w:val="18"/>
              </w:rPr>
              <w:t xml:space="preserve">Sinusitis, tinea </w:t>
            </w:r>
            <w:proofErr w:type="spellStart"/>
            <w:r w:rsidRPr="00733D88">
              <w:rPr>
                <w:rFonts w:ascii="Arial" w:hAnsi="Arial" w:cs="Arial"/>
                <w:sz w:val="18"/>
              </w:rPr>
              <w:t>pedis</w:t>
            </w:r>
            <w:proofErr w:type="spellEnd"/>
            <w:r w:rsidRPr="00733D88">
              <w:rPr>
                <w:rFonts w:ascii="Arial" w:hAnsi="Arial" w:cs="Arial"/>
                <w:sz w:val="18"/>
              </w:rPr>
              <w:t>, tonsillitis, oral candidiasis, otitis externa</w:t>
            </w:r>
          </w:p>
        </w:tc>
      </w:tr>
      <w:tr w:rsidR="00AF4E63" w:rsidRPr="00733D88" w14:paraId="37061CED" w14:textId="77777777" w:rsidTr="002D07A3">
        <w:tc>
          <w:tcPr>
            <w:tcW w:w="9016" w:type="dxa"/>
            <w:gridSpan w:val="2"/>
            <w:tcBorders>
              <w:bottom w:val="nil"/>
            </w:tcBorders>
          </w:tcPr>
          <w:p w14:paraId="02DB6D8B" w14:textId="77777777" w:rsidR="00AF4E63" w:rsidRPr="00733D88" w:rsidRDefault="00AF4E63" w:rsidP="00AF46A0">
            <w:pPr>
              <w:rPr>
                <w:rFonts w:ascii="Arial" w:hAnsi="Arial" w:cs="Arial"/>
                <w:sz w:val="18"/>
              </w:rPr>
            </w:pPr>
            <w:r w:rsidRPr="00733D88">
              <w:rPr>
                <w:rFonts w:ascii="Arial" w:hAnsi="Arial" w:cs="Arial"/>
                <w:sz w:val="18"/>
              </w:rPr>
              <w:t>Eye disorders</w:t>
            </w:r>
          </w:p>
        </w:tc>
      </w:tr>
      <w:tr w:rsidR="00AF4E63" w:rsidRPr="00733D88" w14:paraId="5DA2F5D0" w14:textId="77777777" w:rsidTr="002D07A3">
        <w:tc>
          <w:tcPr>
            <w:tcW w:w="1555" w:type="dxa"/>
            <w:tcBorders>
              <w:top w:val="nil"/>
              <w:bottom w:val="single" w:sz="4" w:space="0" w:color="auto"/>
              <w:right w:val="nil"/>
            </w:tcBorders>
            <w:vAlign w:val="center"/>
          </w:tcPr>
          <w:p w14:paraId="0090891E" w14:textId="77777777" w:rsidR="00AF4E63" w:rsidRPr="00733D88" w:rsidRDefault="00AF4E63" w:rsidP="00AF46A0">
            <w:pPr>
              <w:rPr>
                <w:rFonts w:ascii="Arial" w:hAnsi="Arial" w:cs="Arial"/>
                <w:sz w:val="18"/>
              </w:rPr>
            </w:pPr>
            <w:r w:rsidRPr="00733D88">
              <w:rPr>
                <w:rFonts w:ascii="Arial" w:hAnsi="Arial" w:cs="Arial"/>
                <w:sz w:val="18"/>
              </w:rPr>
              <w:t>Uncommon:</w:t>
            </w:r>
          </w:p>
        </w:tc>
        <w:tc>
          <w:tcPr>
            <w:tcW w:w="7461" w:type="dxa"/>
            <w:tcBorders>
              <w:top w:val="nil"/>
              <w:left w:val="nil"/>
              <w:bottom w:val="single" w:sz="4" w:space="0" w:color="auto"/>
            </w:tcBorders>
          </w:tcPr>
          <w:p w14:paraId="43E90649" w14:textId="77777777" w:rsidR="00AF4E63" w:rsidRPr="00733D88" w:rsidRDefault="00AF4E63" w:rsidP="00AF46A0">
            <w:pPr>
              <w:rPr>
                <w:rFonts w:ascii="Arial" w:hAnsi="Arial" w:cs="Arial"/>
                <w:sz w:val="18"/>
              </w:rPr>
            </w:pPr>
            <w:r w:rsidRPr="00733D88">
              <w:rPr>
                <w:rFonts w:ascii="Arial" w:hAnsi="Arial" w:cs="Arial"/>
                <w:sz w:val="18"/>
              </w:rPr>
              <w:t>Conjunctivitis</w:t>
            </w:r>
          </w:p>
        </w:tc>
      </w:tr>
      <w:tr w:rsidR="00AF4E63" w:rsidRPr="00733D88" w14:paraId="2127350A" w14:textId="77777777" w:rsidTr="002D07A3">
        <w:tc>
          <w:tcPr>
            <w:tcW w:w="9016" w:type="dxa"/>
            <w:gridSpan w:val="2"/>
            <w:tcBorders>
              <w:bottom w:val="nil"/>
            </w:tcBorders>
          </w:tcPr>
          <w:p w14:paraId="4FBD02F4" w14:textId="77777777" w:rsidR="00AF4E63" w:rsidRPr="00733D88" w:rsidRDefault="00AF4E63" w:rsidP="00AF46A0">
            <w:pPr>
              <w:rPr>
                <w:rFonts w:ascii="Arial" w:hAnsi="Arial" w:cs="Arial"/>
                <w:sz w:val="18"/>
              </w:rPr>
            </w:pPr>
            <w:r w:rsidRPr="00733D88">
              <w:rPr>
                <w:rFonts w:ascii="Arial" w:hAnsi="Arial" w:cs="Arial"/>
                <w:sz w:val="18"/>
              </w:rPr>
              <w:t>Blood and lymphatic system disorders</w:t>
            </w:r>
          </w:p>
        </w:tc>
      </w:tr>
      <w:tr w:rsidR="00AF4E63" w:rsidRPr="00733D88" w14:paraId="3EB346F7" w14:textId="77777777" w:rsidTr="002D07A3">
        <w:tc>
          <w:tcPr>
            <w:tcW w:w="1555" w:type="dxa"/>
            <w:tcBorders>
              <w:top w:val="nil"/>
              <w:right w:val="nil"/>
            </w:tcBorders>
          </w:tcPr>
          <w:p w14:paraId="782A97C5" w14:textId="77777777" w:rsidR="00AF4E63" w:rsidRPr="00733D88" w:rsidRDefault="00AF4E63" w:rsidP="00AF46A0">
            <w:pPr>
              <w:rPr>
                <w:rFonts w:ascii="Arial" w:hAnsi="Arial" w:cs="Arial"/>
                <w:sz w:val="18"/>
              </w:rPr>
            </w:pPr>
            <w:r w:rsidRPr="00733D88">
              <w:rPr>
                <w:rFonts w:ascii="Arial" w:hAnsi="Arial" w:cs="Arial"/>
                <w:sz w:val="18"/>
              </w:rPr>
              <w:t>Uncommon:</w:t>
            </w:r>
          </w:p>
        </w:tc>
        <w:tc>
          <w:tcPr>
            <w:tcW w:w="7461" w:type="dxa"/>
            <w:tcBorders>
              <w:top w:val="nil"/>
              <w:left w:val="nil"/>
            </w:tcBorders>
          </w:tcPr>
          <w:p w14:paraId="150D6A4A" w14:textId="77777777" w:rsidR="00AF4E63" w:rsidRPr="00733D88" w:rsidRDefault="00AF4E63" w:rsidP="00AF46A0">
            <w:pPr>
              <w:rPr>
                <w:rFonts w:ascii="Arial" w:hAnsi="Arial" w:cs="Arial"/>
                <w:sz w:val="18"/>
              </w:rPr>
            </w:pPr>
            <w:r w:rsidRPr="00733D88">
              <w:rPr>
                <w:rFonts w:ascii="Arial" w:hAnsi="Arial" w:cs="Arial"/>
                <w:sz w:val="18"/>
              </w:rPr>
              <w:t>Neutropenia</w:t>
            </w:r>
          </w:p>
        </w:tc>
      </w:tr>
    </w:tbl>
    <w:p w14:paraId="7EB64067" w14:textId="77777777" w:rsidR="00AF4E63" w:rsidRPr="00733D88" w:rsidRDefault="00AF4E63" w:rsidP="00AF46A0">
      <w:pPr>
        <w:rPr>
          <w:rFonts w:ascii="Arial" w:hAnsi="Arial" w:cs="Arial"/>
          <w:b/>
        </w:rPr>
      </w:pPr>
    </w:p>
    <w:p w14:paraId="30D1A4FB" w14:textId="77777777"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Adverse drug reactions from spontaneous reports and literature cases (frequency not known)</w:t>
      </w:r>
    </w:p>
    <w:p w14:paraId="04633820" w14:textId="77777777" w:rsidR="00353978" w:rsidRDefault="00AF4E63" w:rsidP="00AF46A0">
      <w:pPr>
        <w:spacing w:line="240" w:lineRule="auto"/>
        <w:rPr>
          <w:rFonts w:cstheme="minorHAnsi"/>
        </w:rPr>
      </w:pPr>
      <w:r w:rsidRPr="002D07A3">
        <w:rPr>
          <w:rFonts w:cstheme="minorHAnsi"/>
        </w:rPr>
        <w:t xml:space="preserve">The following adverse drug reactions have been derived from post-marketing experience with </w:t>
      </w:r>
      <w:proofErr w:type="spellStart"/>
      <w:r w:rsidRPr="002D07A3">
        <w:rPr>
          <w:rFonts w:cstheme="minorHAnsi"/>
        </w:rPr>
        <w:t>Cosentyx</w:t>
      </w:r>
      <w:proofErr w:type="spellEnd"/>
      <w:r w:rsidRPr="002D07A3">
        <w:rPr>
          <w:rFonts w:cstheme="minorHAnsi"/>
        </w:rPr>
        <w:t xml:space="preserve"> via spontaneous case reports and literature cases. Because these reactions are reported voluntarily from a population of uncertain size, it is not possible to reliably estimate their frequency which is therefore categorised as not known. Adverse drug reactions are listed according to system organ classes in MedDRA. Within each system organ class, ADRs are presented in order of decreasing seriousness.</w:t>
      </w:r>
      <w:bookmarkStart w:id="0" w:name="_Toc476323338"/>
    </w:p>
    <w:p w14:paraId="70B4F71C" w14:textId="7455DA4C" w:rsidR="00AF4E63" w:rsidRPr="00733D88" w:rsidRDefault="00AF4E63" w:rsidP="00AF46A0">
      <w:pPr>
        <w:spacing w:after="120"/>
        <w:ind w:left="1166" w:hanging="1166"/>
        <w:rPr>
          <w:rFonts w:ascii="Arial" w:hAnsi="Arial" w:cs="Arial"/>
          <w:b/>
          <w:sz w:val="20"/>
        </w:rPr>
      </w:pPr>
      <w:r w:rsidRPr="00353978">
        <w:rPr>
          <w:rFonts w:ascii="Arial" w:hAnsi="Arial" w:cs="Arial"/>
          <w:b/>
          <w:sz w:val="20"/>
        </w:rPr>
        <w:t xml:space="preserve">Table </w:t>
      </w:r>
      <w:r w:rsidR="0016038E" w:rsidRPr="00733D88">
        <w:rPr>
          <w:rFonts w:ascii="Arial" w:hAnsi="Arial" w:cs="Arial"/>
          <w:b/>
          <w:sz w:val="20"/>
        </w:rPr>
        <w:t>4</w:t>
      </w:r>
      <w:r w:rsidRPr="00733D88">
        <w:rPr>
          <w:rFonts w:ascii="Arial" w:hAnsi="Arial" w:cs="Arial"/>
          <w:b/>
          <w:sz w:val="20"/>
        </w:rPr>
        <w:tab/>
        <w:t>Adverse drug reactions from spontaneous reports and literature (frequency not known)</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F4E63" w:rsidRPr="00E1362D" w14:paraId="2770E9BB" w14:textId="77777777" w:rsidTr="002D07A3">
        <w:trPr>
          <w:trHeight w:val="567"/>
        </w:trPr>
        <w:tc>
          <w:tcPr>
            <w:tcW w:w="9039" w:type="dxa"/>
            <w:vAlign w:val="center"/>
            <w:hideMark/>
          </w:tcPr>
          <w:p w14:paraId="6978CECD" w14:textId="77777777" w:rsidR="00AF4E63" w:rsidRPr="00904D71" w:rsidRDefault="00AF4E63" w:rsidP="00AF46A0">
            <w:pPr>
              <w:spacing w:after="60" w:line="240" w:lineRule="auto"/>
            </w:pPr>
            <w:r w:rsidRPr="002D07A3">
              <w:rPr>
                <w:rFonts w:ascii="Arial" w:hAnsi="Arial" w:cs="Arial"/>
                <w:b/>
                <w:sz w:val="18"/>
              </w:rPr>
              <w:t>Infections and infestations</w:t>
            </w:r>
          </w:p>
          <w:p w14:paraId="5AA28263" w14:textId="77777777" w:rsidR="00AF4E63" w:rsidRPr="00904D71" w:rsidRDefault="00AF4E63" w:rsidP="00AF46A0">
            <w:pPr>
              <w:spacing w:after="60" w:line="240" w:lineRule="auto"/>
            </w:pPr>
            <w:r w:rsidRPr="002D07A3">
              <w:rPr>
                <w:rFonts w:ascii="Arial" w:hAnsi="Arial" w:cs="Arial"/>
                <w:sz w:val="18"/>
              </w:rPr>
              <w:t xml:space="preserve">Mucosal and cutaneous candidiasis </w:t>
            </w:r>
          </w:p>
        </w:tc>
      </w:tr>
    </w:tbl>
    <w:p w14:paraId="31C375A3" w14:textId="77777777" w:rsidR="00AF4E63" w:rsidRPr="00733D88" w:rsidRDefault="00AF4E63" w:rsidP="00AF46A0">
      <w:pPr>
        <w:spacing w:after="80"/>
        <w:rPr>
          <w:rFonts w:ascii="Arial" w:hAnsi="Arial" w:cs="Arial"/>
          <w:b/>
        </w:rPr>
      </w:pPr>
    </w:p>
    <w:p w14:paraId="3284CBBA" w14:textId="77777777"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Infections</w:t>
      </w:r>
    </w:p>
    <w:p w14:paraId="2B886C6C" w14:textId="0BD6EEB5" w:rsidR="00AF4E63" w:rsidRPr="002D07A3" w:rsidRDefault="00AF4E63" w:rsidP="00AF46A0">
      <w:pPr>
        <w:spacing w:line="240" w:lineRule="auto"/>
        <w:rPr>
          <w:rFonts w:cstheme="minorHAnsi"/>
          <w:color w:val="000000" w:themeColor="text1"/>
        </w:rPr>
      </w:pPr>
      <w:r w:rsidRPr="002D07A3">
        <w:rPr>
          <w:rFonts w:cstheme="minorHAnsi"/>
          <w:color w:val="000000" w:themeColor="text1"/>
        </w:rPr>
        <w:t xml:space="preserve">In the placebo-controlled period of clinical studies in plaque psoriasis (a total of 1,382 patients treated with COSENTYX and 694 patients treated with placebo for up to 12 weeks), infections were reported in 28.7 % of patients treated with COSENTYX compared with 18.9 % of patients treated with placebo. Most of these were mild or moderate. Serious infections occurred in 0.14 % of patients treated with COSENTYX and in 0.3 % of patients treated with placebo (see </w:t>
      </w:r>
      <w:r w:rsidR="009F0E42">
        <w:rPr>
          <w:rFonts w:cstheme="minorHAnsi"/>
          <w:color w:val="000000" w:themeColor="text1"/>
        </w:rPr>
        <w:t xml:space="preserve">section </w:t>
      </w:r>
      <w:r w:rsidR="009F0E42" w:rsidRPr="0048253F">
        <w:rPr>
          <w:rFonts w:eastAsia="MS Mincho" w:cs="Arial"/>
        </w:rPr>
        <w:t xml:space="preserve">4.4 </w:t>
      </w:r>
      <w:r w:rsidR="009F0E42" w:rsidRPr="0048253F">
        <w:rPr>
          <w:rFonts w:cs="Arial"/>
          <w:iCs/>
        </w:rPr>
        <w:t>SPECIAL WARNINGS AND PRECAUTIONS FOR USE</w:t>
      </w:r>
      <w:r w:rsidRPr="002D07A3">
        <w:rPr>
          <w:rFonts w:cstheme="minorHAnsi"/>
          <w:color w:val="000000" w:themeColor="text1"/>
        </w:rPr>
        <w:t>).</w:t>
      </w:r>
    </w:p>
    <w:p w14:paraId="2BB43A83" w14:textId="77777777" w:rsidR="00AF4E63" w:rsidRPr="002D07A3" w:rsidRDefault="00AF4E63" w:rsidP="00AF46A0">
      <w:pPr>
        <w:spacing w:line="240" w:lineRule="auto"/>
        <w:rPr>
          <w:rFonts w:cstheme="minorHAnsi"/>
          <w:color w:val="000000" w:themeColor="text1"/>
        </w:rPr>
      </w:pPr>
      <w:r w:rsidRPr="002D07A3">
        <w:rPr>
          <w:rFonts w:cstheme="minorHAnsi"/>
          <w:color w:val="000000" w:themeColor="text1"/>
        </w:rPr>
        <w:t>Over the entire treatment period (a total of 3,430 patients treated with COSENTYX for up to 52 weeks for the majority of patients), infections were reported in 47.5 % of patients treated with COSENTYX (0.9 per patient-year of follow-up). Serious infections were reported in 1.2 % of patients treated with COSENTYX (0.015 per patient-year of follow-up).</w:t>
      </w:r>
    </w:p>
    <w:p w14:paraId="3C356DCF" w14:textId="77777777" w:rsidR="00AF4E63" w:rsidRPr="002D07A3" w:rsidRDefault="00AF4E63" w:rsidP="00AF46A0">
      <w:pPr>
        <w:spacing w:line="240" w:lineRule="auto"/>
        <w:rPr>
          <w:rFonts w:cstheme="minorHAnsi"/>
          <w:color w:val="000000" w:themeColor="text1"/>
        </w:rPr>
      </w:pPr>
      <w:r w:rsidRPr="002D07A3">
        <w:rPr>
          <w:rFonts w:cstheme="minorHAnsi"/>
          <w:color w:val="000000" w:themeColor="text1"/>
        </w:rPr>
        <w:t>There was an increase in mucosal or cutaneous candidiasis, related to the mechanism of action.  The cases were mild or moderate in severity, non-serious, responsive to standard treatment and did not necessitate treatment discontinuation.  Frequency of candida infection was 1.2% (</w:t>
      </w:r>
      <w:proofErr w:type="spellStart"/>
      <w:r w:rsidRPr="002D07A3">
        <w:rPr>
          <w:rFonts w:cstheme="minorHAnsi"/>
          <w:color w:val="000000" w:themeColor="text1"/>
        </w:rPr>
        <w:t>secukinumab</w:t>
      </w:r>
      <w:proofErr w:type="spellEnd"/>
      <w:r w:rsidRPr="002D07A3">
        <w:rPr>
          <w:rFonts w:cstheme="minorHAnsi"/>
          <w:color w:val="000000" w:themeColor="text1"/>
        </w:rPr>
        <w:t xml:space="preserve"> 300 mg) vs 0.3% (placebo and </w:t>
      </w:r>
      <w:proofErr w:type="spellStart"/>
      <w:r w:rsidRPr="002D07A3">
        <w:rPr>
          <w:rFonts w:cstheme="minorHAnsi"/>
          <w:color w:val="000000" w:themeColor="text1"/>
        </w:rPr>
        <w:t>etanercept</w:t>
      </w:r>
      <w:proofErr w:type="spellEnd"/>
      <w:r w:rsidRPr="002D07A3">
        <w:rPr>
          <w:rFonts w:cstheme="minorHAnsi"/>
          <w:color w:val="000000" w:themeColor="text1"/>
        </w:rPr>
        <w:t xml:space="preserve"> arms) in the induction period.</w:t>
      </w:r>
    </w:p>
    <w:p w14:paraId="68C27D35" w14:textId="189A145A" w:rsidR="00AF4E63" w:rsidRPr="002D07A3" w:rsidRDefault="00AF4E63" w:rsidP="00AF46A0">
      <w:pPr>
        <w:spacing w:line="240" w:lineRule="auto"/>
        <w:rPr>
          <w:rFonts w:cstheme="minorHAnsi"/>
          <w:color w:val="000000" w:themeColor="text1"/>
        </w:rPr>
      </w:pPr>
      <w:r w:rsidRPr="002D07A3">
        <w:rPr>
          <w:rFonts w:cstheme="minorHAnsi"/>
          <w:color w:val="000000" w:themeColor="text1"/>
        </w:rPr>
        <w:t xml:space="preserve">Infection rates as observed in psoriatic arthritis and </w:t>
      </w:r>
      <w:r w:rsidR="007A2F8A" w:rsidRPr="002D07A3">
        <w:rPr>
          <w:rFonts w:cstheme="minorHAnsi"/>
          <w:color w:val="000000" w:themeColor="text1"/>
        </w:rPr>
        <w:t xml:space="preserve">axial </w:t>
      </w:r>
      <w:proofErr w:type="spellStart"/>
      <w:r w:rsidR="007A2F8A" w:rsidRPr="002D07A3">
        <w:rPr>
          <w:rFonts w:cstheme="minorHAnsi"/>
          <w:color w:val="000000" w:themeColor="text1"/>
        </w:rPr>
        <w:t>spondyloarthritis</w:t>
      </w:r>
      <w:proofErr w:type="spellEnd"/>
      <w:r w:rsidR="007A2F8A" w:rsidRPr="002D07A3">
        <w:rPr>
          <w:rFonts w:cstheme="minorHAnsi"/>
          <w:color w:val="000000" w:themeColor="text1"/>
        </w:rPr>
        <w:t xml:space="preserve"> (</w:t>
      </w:r>
      <w:r w:rsidRPr="002D07A3">
        <w:rPr>
          <w:rFonts w:cstheme="minorHAnsi"/>
          <w:color w:val="000000" w:themeColor="text1"/>
        </w:rPr>
        <w:t>ankylosing spondylitis</w:t>
      </w:r>
      <w:r w:rsidR="007A2F8A" w:rsidRPr="002D07A3">
        <w:rPr>
          <w:rFonts w:cstheme="minorHAnsi"/>
          <w:color w:val="000000" w:themeColor="text1"/>
        </w:rPr>
        <w:t xml:space="preserve"> and non-radiographic axial </w:t>
      </w:r>
      <w:proofErr w:type="spellStart"/>
      <w:r w:rsidR="007A2F8A" w:rsidRPr="002D07A3">
        <w:rPr>
          <w:rFonts w:cstheme="minorHAnsi"/>
          <w:color w:val="000000" w:themeColor="text1"/>
        </w:rPr>
        <w:t>spondyloarthritis</w:t>
      </w:r>
      <w:proofErr w:type="spellEnd"/>
      <w:r w:rsidR="007A2F8A" w:rsidRPr="002D07A3">
        <w:rPr>
          <w:rFonts w:cstheme="minorHAnsi"/>
          <w:color w:val="000000" w:themeColor="text1"/>
        </w:rPr>
        <w:t>)</w:t>
      </w:r>
      <w:r w:rsidRPr="002D07A3">
        <w:rPr>
          <w:rFonts w:cstheme="minorHAnsi"/>
          <w:color w:val="000000" w:themeColor="text1"/>
        </w:rPr>
        <w:t xml:space="preserve"> clinical studies were similar to what was observed in the psoriasis studies.</w:t>
      </w:r>
    </w:p>
    <w:p w14:paraId="21947273" w14:textId="77777777" w:rsidR="00AF46A0" w:rsidRDefault="00AF46A0" w:rsidP="00AF46A0">
      <w:pPr>
        <w:rPr>
          <w:rFonts w:asciiTheme="majorHAnsi" w:eastAsiaTheme="majorEastAsia" w:hAnsiTheme="majorHAnsi" w:cstheme="minorHAnsi"/>
          <w:b/>
          <w:bCs/>
        </w:rPr>
      </w:pPr>
    </w:p>
    <w:p w14:paraId="084A4063" w14:textId="0558251D"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Neutropenia</w:t>
      </w:r>
    </w:p>
    <w:p w14:paraId="2394B92F" w14:textId="6C8177AC" w:rsidR="00AF4E63" w:rsidRPr="002D07A3" w:rsidRDefault="00AF4E63" w:rsidP="00AF46A0">
      <w:pPr>
        <w:spacing w:line="240" w:lineRule="auto"/>
        <w:rPr>
          <w:rFonts w:cstheme="minorHAnsi"/>
        </w:rPr>
      </w:pPr>
      <w:r w:rsidRPr="002D07A3">
        <w:rPr>
          <w:rFonts w:cstheme="minorHAnsi"/>
        </w:rPr>
        <w:t xml:space="preserve">In psoriasis phase 3 clinical studies, neutropenia was more frequently observed with </w:t>
      </w:r>
      <w:proofErr w:type="spellStart"/>
      <w:r w:rsidRPr="002D07A3">
        <w:rPr>
          <w:rFonts w:cstheme="minorHAnsi"/>
        </w:rPr>
        <w:t>secukinumab</w:t>
      </w:r>
      <w:proofErr w:type="spellEnd"/>
      <w:r w:rsidRPr="002D07A3">
        <w:rPr>
          <w:rFonts w:cstheme="minorHAnsi"/>
        </w:rPr>
        <w:t xml:space="preserve"> than with placebo, but most cases were mild, transient and reversible. Neutropenia &lt;</w:t>
      </w:r>
      <w:r w:rsidR="00B80E56">
        <w:rPr>
          <w:rFonts w:cstheme="minorHAnsi"/>
        </w:rPr>
        <w:t>1</w:t>
      </w:r>
      <w:r w:rsidRPr="002D07A3">
        <w:rPr>
          <w:rFonts w:cstheme="minorHAnsi"/>
        </w:rPr>
        <w:t xml:space="preserve">.0-0.5 x </w:t>
      </w:r>
      <w:r w:rsidR="00B80E56">
        <w:rPr>
          <w:rFonts w:cstheme="minorHAnsi"/>
        </w:rPr>
        <w:t>1</w:t>
      </w:r>
      <w:r w:rsidR="00B80E56" w:rsidRPr="002D07A3">
        <w:rPr>
          <w:rFonts w:cstheme="minorHAnsi"/>
        </w:rPr>
        <w:t>0</w:t>
      </w:r>
      <w:r w:rsidR="00B80E56" w:rsidRPr="002D07A3">
        <w:rPr>
          <w:rFonts w:cstheme="minorHAnsi"/>
          <w:vertAlign w:val="superscript"/>
        </w:rPr>
        <w:t>9</w:t>
      </w:r>
      <w:r w:rsidRPr="002D07A3">
        <w:rPr>
          <w:rFonts w:cstheme="minorHAnsi"/>
        </w:rPr>
        <w:t xml:space="preserve">/L (CTCAE Grade 3) was reported in 18 out of 3,430 (0.5%) patients on </w:t>
      </w:r>
      <w:proofErr w:type="spellStart"/>
      <w:r w:rsidRPr="002D07A3">
        <w:rPr>
          <w:rFonts w:cstheme="minorHAnsi"/>
        </w:rPr>
        <w:t>secukinumab</w:t>
      </w:r>
      <w:proofErr w:type="spellEnd"/>
      <w:r w:rsidRPr="002D07A3">
        <w:rPr>
          <w:rFonts w:cstheme="minorHAnsi"/>
        </w:rPr>
        <w:t>, with no dose dependence and no temporal relationship to infections in 15 out of 18 cases. There were no reported cases of more severe neutropenia. Non-serious infections with usual response to standard care and not requiring discontinuation of COSENTYX were reported in the remaining 3 cases.</w:t>
      </w:r>
    </w:p>
    <w:p w14:paraId="1B9101CA" w14:textId="3DD8FF4A" w:rsidR="00AF4E63" w:rsidRPr="002D07A3" w:rsidRDefault="00AF4E63" w:rsidP="00AF46A0">
      <w:pPr>
        <w:spacing w:line="240" w:lineRule="auto"/>
        <w:rPr>
          <w:rFonts w:cstheme="minorHAnsi"/>
        </w:rPr>
      </w:pPr>
      <w:r w:rsidRPr="002D07A3">
        <w:rPr>
          <w:rFonts w:cstheme="minorHAnsi"/>
        </w:rPr>
        <w:t xml:space="preserve">The frequency of neutropenia in psoriatic arthritis and </w:t>
      </w:r>
      <w:r w:rsidR="002E4CC9">
        <w:rPr>
          <w:rFonts w:cs="Arial"/>
        </w:rPr>
        <w:t xml:space="preserve">axial </w:t>
      </w:r>
      <w:proofErr w:type="spellStart"/>
      <w:r w:rsidR="002E4CC9">
        <w:rPr>
          <w:rFonts w:cs="Arial"/>
        </w:rPr>
        <w:t>spondyloarthritis</w:t>
      </w:r>
      <w:proofErr w:type="spellEnd"/>
      <w:r w:rsidRPr="002D07A3">
        <w:rPr>
          <w:rFonts w:cstheme="minorHAnsi"/>
        </w:rPr>
        <w:t xml:space="preserve"> </w:t>
      </w:r>
      <w:r w:rsidR="00B80E56">
        <w:rPr>
          <w:rFonts w:cstheme="minorHAnsi"/>
        </w:rPr>
        <w:t xml:space="preserve">(ankylosing spondylitis and non-radiographic axial </w:t>
      </w:r>
      <w:proofErr w:type="spellStart"/>
      <w:r w:rsidR="00B80E56">
        <w:rPr>
          <w:rFonts w:cstheme="minorHAnsi"/>
        </w:rPr>
        <w:t>spondyloarthritis</w:t>
      </w:r>
      <w:proofErr w:type="spellEnd"/>
      <w:r w:rsidR="00B80E56">
        <w:rPr>
          <w:rFonts w:cstheme="minorHAnsi"/>
        </w:rPr>
        <w:t xml:space="preserve">) </w:t>
      </w:r>
      <w:r w:rsidRPr="002D07A3">
        <w:rPr>
          <w:rFonts w:cstheme="minorHAnsi"/>
        </w:rPr>
        <w:t>is similar to psoriasis.</w:t>
      </w:r>
    </w:p>
    <w:p w14:paraId="24FE6153" w14:textId="77777777" w:rsidR="00AF4E63" w:rsidRPr="002D07A3" w:rsidRDefault="00AF4E63" w:rsidP="00AF46A0">
      <w:pPr>
        <w:spacing w:line="240" w:lineRule="auto"/>
        <w:rPr>
          <w:rFonts w:cstheme="minorHAnsi"/>
        </w:rPr>
      </w:pPr>
      <w:r w:rsidRPr="002D07A3">
        <w:rPr>
          <w:rFonts w:cstheme="minorHAnsi"/>
        </w:rPr>
        <w:t>Rare cases of neutropenia &lt;0.5x 10</w:t>
      </w:r>
      <w:r w:rsidRPr="002D07A3">
        <w:rPr>
          <w:rFonts w:cstheme="minorHAnsi"/>
          <w:vertAlign w:val="superscript"/>
        </w:rPr>
        <w:t>9</w:t>
      </w:r>
      <w:r w:rsidRPr="002D07A3">
        <w:rPr>
          <w:rFonts w:cstheme="minorHAnsi"/>
        </w:rPr>
        <w:t>/L (CTCAE Grade 4) were reported.</w:t>
      </w:r>
    </w:p>
    <w:p w14:paraId="4DE876CE" w14:textId="77777777"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Hypersensitivity reactions</w:t>
      </w:r>
    </w:p>
    <w:p w14:paraId="6A22ABE1" w14:textId="77777777" w:rsidR="00AF4E63" w:rsidRPr="00733D88" w:rsidRDefault="00AF4E63" w:rsidP="00AF46A0">
      <w:pPr>
        <w:rPr>
          <w:rFonts w:cs="Arial"/>
        </w:rPr>
      </w:pPr>
      <w:r w:rsidRPr="00733D88">
        <w:rPr>
          <w:rFonts w:cs="Arial"/>
        </w:rPr>
        <w:t xml:space="preserve">In clinical studies, </w:t>
      </w:r>
      <w:proofErr w:type="spellStart"/>
      <w:r w:rsidRPr="00733D88">
        <w:rPr>
          <w:rFonts w:cs="Arial"/>
        </w:rPr>
        <w:t>urticaria</w:t>
      </w:r>
      <w:proofErr w:type="spellEnd"/>
      <w:r w:rsidRPr="00733D88">
        <w:rPr>
          <w:rFonts w:cs="Arial"/>
        </w:rPr>
        <w:t xml:space="preserve"> and rare case of anaphylactic reaction to COSENTYX were observed.</w:t>
      </w:r>
    </w:p>
    <w:p w14:paraId="4F28B7EB" w14:textId="77777777"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Immunogenicity</w:t>
      </w:r>
    </w:p>
    <w:p w14:paraId="5859D750" w14:textId="77777777" w:rsidR="00353978" w:rsidRDefault="00AF4E63" w:rsidP="00AF46A0">
      <w:pPr>
        <w:rPr>
          <w:rFonts w:cs="Arial"/>
        </w:rPr>
      </w:pPr>
      <w:r w:rsidRPr="00733D88">
        <w:rPr>
          <w:rFonts w:cs="Arial"/>
        </w:rPr>
        <w:t xml:space="preserve">In psoriasis, psoriatic arthritis and </w:t>
      </w:r>
      <w:r w:rsidR="007A2F8A" w:rsidRPr="002D07A3">
        <w:rPr>
          <w:rFonts w:cstheme="minorHAnsi"/>
          <w:color w:val="000000" w:themeColor="text1"/>
        </w:rPr>
        <w:t xml:space="preserve">axial </w:t>
      </w:r>
      <w:proofErr w:type="spellStart"/>
      <w:r w:rsidR="007A2F8A" w:rsidRPr="002D07A3">
        <w:rPr>
          <w:rFonts w:cstheme="minorHAnsi"/>
          <w:color w:val="000000" w:themeColor="text1"/>
        </w:rPr>
        <w:t>spondyloarthritis</w:t>
      </w:r>
      <w:proofErr w:type="spellEnd"/>
      <w:r w:rsidR="007A2F8A" w:rsidRPr="002D07A3">
        <w:rPr>
          <w:rFonts w:cstheme="minorHAnsi"/>
          <w:color w:val="000000" w:themeColor="text1"/>
        </w:rPr>
        <w:t xml:space="preserve"> (</w:t>
      </w:r>
      <w:r w:rsidRPr="00733D88">
        <w:rPr>
          <w:rFonts w:cs="Arial"/>
        </w:rPr>
        <w:t>ankylosing spondylitis</w:t>
      </w:r>
      <w:r w:rsidR="007A2F8A" w:rsidRPr="002D07A3">
        <w:rPr>
          <w:rFonts w:cstheme="minorHAnsi"/>
          <w:color w:val="000000" w:themeColor="text1"/>
        </w:rPr>
        <w:t xml:space="preserve"> and non-radiographic axial </w:t>
      </w:r>
      <w:proofErr w:type="spellStart"/>
      <w:r w:rsidR="007A2F8A" w:rsidRPr="002D07A3">
        <w:rPr>
          <w:rFonts w:cstheme="minorHAnsi"/>
          <w:color w:val="000000" w:themeColor="text1"/>
        </w:rPr>
        <w:t>spondyloarthritis</w:t>
      </w:r>
      <w:proofErr w:type="spellEnd"/>
      <w:r w:rsidR="007A2F8A" w:rsidRPr="002D07A3">
        <w:rPr>
          <w:rFonts w:cstheme="minorHAnsi"/>
          <w:color w:val="000000" w:themeColor="text1"/>
        </w:rPr>
        <w:t>)</w:t>
      </w:r>
      <w:r w:rsidRPr="00733D88">
        <w:rPr>
          <w:rFonts w:cs="Arial"/>
        </w:rPr>
        <w:t xml:space="preserve"> clinical studies less than 1% of patients treated with COSENTYX developed antibodies to </w:t>
      </w:r>
      <w:proofErr w:type="spellStart"/>
      <w:r w:rsidRPr="00733D88">
        <w:rPr>
          <w:rFonts w:cs="Arial"/>
        </w:rPr>
        <w:t>secukinumab</w:t>
      </w:r>
      <w:proofErr w:type="spellEnd"/>
      <w:r w:rsidRPr="00733D88">
        <w:rPr>
          <w:rFonts w:cs="Arial"/>
        </w:rPr>
        <w:t xml:space="preserve"> up to 52 weeks of treatment. About half of the treatment emergent anti-drug antibodies were neutralising, but this was not associated with loss of efficacy or PK abnormalities.</w:t>
      </w:r>
    </w:p>
    <w:p w14:paraId="6084FE5C" w14:textId="01ACAC47" w:rsidR="00AF4E63" w:rsidRPr="00353978" w:rsidRDefault="00AF4E63" w:rsidP="00AF46A0">
      <w:pPr>
        <w:rPr>
          <w:rFonts w:asciiTheme="majorHAnsi" w:eastAsiaTheme="majorEastAsia" w:hAnsiTheme="majorHAnsi" w:cstheme="minorHAnsi"/>
          <w:b/>
          <w:bCs/>
        </w:rPr>
      </w:pPr>
      <w:r w:rsidRPr="00353978">
        <w:rPr>
          <w:rFonts w:asciiTheme="majorHAnsi" w:eastAsiaTheme="majorEastAsia" w:hAnsiTheme="majorHAnsi" w:cstheme="minorHAnsi"/>
          <w:b/>
          <w:bCs/>
        </w:rPr>
        <w:t>Reproductive system related adverse events</w:t>
      </w:r>
    </w:p>
    <w:p w14:paraId="691F025C" w14:textId="796613D2" w:rsidR="00AF4E63" w:rsidRPr="002D07A3" w:rsidRDefault="00AF4E63" w:rsidP="00AF46A0">
      <w:pPr>
        <w:rPr>
          <w:rFonts w:cs="Arial"/>
        </w:rPr>
      </w:pPr>
      <w:r w:rsidRPr="002D07A3">
        <w:rPr>
          <w:rFonts w:cs="Arial"/>
        </w:rPr>
        <w:t xml:space="preserve">In the induction period of </w:t>
      </w:r>
      <w:r w:rsidR="00BE7FD1">
        <w:rPr>
          <w:rFonts w:cs="Arial"/>
        </w:rPr>
        <w:t xml:space="preserve">psoriasis </w:t>
      </w:r>
      <w:r w:rsidRPr="002D07A3">
        <w:rPr>
          <w:rFonts w:cs="Arial"/>
        </w:rPr>
        <w:t>clinical studies, mild and moderate reproductive system adverse events were reported in females, including: dysmenorrhoea (</w:t>
      </w:r>
      <w:proofErr w:type="spellStart"/>
      <w:r w:rsidRPr="002D07A3">
        <w:rPr>
          <w:rFonts w:cs="Arial"/>
        </w:rPr>
        <w:t>secukinumab</w:t>
      </w:r>
      <w:proofErr w:type="spellEnd"/>
      <w:r w:rsidRPr="002D07A3">
        <w:rPr>
          <w:rFonts w:cs="Arial"/>
        </w:rPr>
        <w:t xml:space="preserve"> 300 mg, 1.9%; placebo, 0.5%; </w:t>
      </w:r>
      <w:proofErr w:type="spellStart"/>
      <w:r w:rsidRPr="002D07A3">
        <w:rPr>
          <w:rFonts w:cs="Arial"/>
        </w:rPr>
        <w:t>etanercept</w:t>
      </w:r>
      <w:proofErr w:type="spellEnd"/>
      <w:r w:rsidRPr="002D07A3">
        <w:rPr>
          <w:rFonts w:cs="Arial"/>
        </w:rPr>
        <w:t>, 1.1%), menorrhagia (</w:t>
      </w:r>
      <w:proofErr w:type="spellStart"/>
      <w:r w:rsidRPr="002D07A3">
        <w:rPr>
          <w:rFonts w:cs="Arial"/>
        </w:rPr>
        <w:t>secukinumab</w:t>
      </w:r>
      <w:proofErr w:type="spellEnd"/>
      <w:r w:rsidRPr="002D07A3">
        <w:rPr>
          <w:rFonts w:cs="Arial"/>
        </w:rPr>
        <w:t xml:space="preserve"> 300 mg, 0.9%; placebo, 0%; </w:t>
      </w:r>
      <w:proofErr w:type="spellStart"/>
      <w:r w:rsidRPr="002D07A3">
        <w:rPr>
          <w:rFonts w:cs="Arial"/>
        </w:rPr>
        <w:t>etanercept</w:t>
      </w:r>
      <w:proofErr w:type="spellEnd"/>
      <w:r w:rsidRPr="002D07A3">
        <w:rPr>
          <w:rFonts w:cs="Arial"/>
        </w:rPr>
        <w:t xml:space="preserve">, 0%) and </w:t>
      </w:r>
      <w:proofErr w:type="spellStart"/>
      <w:r w:rsidRPr="002D07A3">
        <w:rPr>
          <w:rFonts w:cs="Arial"/>
        </w:rPr>
        <w:t>metrorrhagia</w:t>
      </w:r>
      <w:proofErr w:type="spellEnd"/>
      <w:r w:rsidRPr="002D07A3">
        <w:rPr>
          <w:rFonts w:cs="Arial"/>
        </w:rPr>
        <w:t xml:space="preserve"> (including </w:t>
      </w:r>
      <w:proofErr w:type="spellStart"/>
      <w:r w:rsidRPr="002D07A3">
        <w:rPr>
          <w:rFonts w:cs="Arial"/>
        </w:rPr>
        <w:t>menometrorrhagia</w:t>
      </w:r>
      <w:proofErr w:type="spellEnd"/>
      <w:r w:rsidRPr="002D07A3">
        <w:rPr>
          <w:rFonts w:cs="Arial"/>
        </w:rPr>
        <w:t>) (</w:t>
      </w:r>
      <w:proofErr w:type="spellStart"/>
      <w:r w:rsidRPr="002D07A3">
        <w:rPr>
          <w:rFonts w:cs="Arial"/>
        </w:rPr>
        <w:t>secukinumab</w:t>
      </w:r>
      <w:proofErr w:type="spellEnd"/>
      <w:r w:rsidRPr="002D07A3">
        <w:rPr>
          <w:rFonts w:cs="Arial"/>
        </w:rPr>
        <w:t xml:space="preserve"> 300 mg, 1.4%; placebo, 0%; </w:t>
      </w:r>
      <w:proofErr w:type="spellStart"/>
      <w:r w:rsidRPr="002D07A3">
        <w:rPr>
          <w:rFonts w:cs="Arial"/>
        </w:rPr>
        <w:t>etanercept</w:t>
      </w:r>
      <w:proofErr w:type="spellEnd"/>
      <w:r w:rsidRPr="002D07A3">
        <w:rPr>
          <w:rFonts w:cs="Arial"/>
        </w:rPr>
        <w:t>, 0%). Women of child-bearing potential were included in studies only if using adequate contraception.</w:t>
      </w:r>
    </w:p>
    <w:p w14:paraId="65AA75AF" w14:textId="77777777" w:rsidR="00AF4E63" w:rsidRPr="000B0B0A" w:rsidRDefault="00AF4E63" w:rsidP="00AF46A0">
      <w:pPr>
        <w:rPr>
          <w:rFonts w:asciiTheme="majorHAnsi" w:eastAsiaTheme="majorEastAsia" w:hAnsiTheme="majorHAnsi" w:cstheme="minorHAnsi"/>
          <w:b/>
          <w:bCs/>
        </w:rPr>
      </w:pPr>
      <w:r w:rsidRPr="000B0B0A">
        <w:rPr>
          <w:rFonts w:asciiTheme="majorHAnsi" w:eastAsiaTheme="majorEastAsia" w:hAnsiTheme="majorHAnsi" w:cstheme="minorHAnsi"/>
          <w:b/>
          <w:bCs/>
        </w:rPr>
        <w:t>Major adverse cardiovascular events (MACE)</w:t>
      </w:r>
    </w:p>
    <w:p w14:paraId="5771BADA" w14:textId="0561C376" w:rsidR="00AF4E63" w:rsidRPr="002D07A3" w:rsidRDefault="00AF4E63" w:rsidP="00AF46A0">
      <w:pPr>
        <w:rPr>
          <w:rFonts w:cs="Arial"/>
        </w:rPr>
      </w:pPr>
      <w:r w:rsidRPr="002D07A3">
        <w:rPr>
          <w:rFonts w:cs="Arial"/>
        </w:rPr>
        <w:t xml:space="preserve">In the </w:t>
      </w:r>
      <w:proofErr w:type="spellStart"/>
      <w:r w:rsidRPr="002D07A3">
        <w:rPr>
          <w:rFonts w:cs="Arial"/>
        </w:rPr>
        <w:t>secukinumab</w:t>
      </w:r>
      <w:proofErr w:type="spellEnd"/>
      <w:r w:rsidRPr="002D07A3">
        <w:rPr>
          <w:rFonts w:cs="Arial"/>
        </w:rPr>
        <w:t xml:space="preserve"> clinical trials, MACE events were observed in patients receiving </w:t>
      </w:r>
      <w:proofErr w:type="spellStart"/>
      <w:r w:rsidRPr="002D07A3">
        <w:rPr>
          <w:rFonts w:cs="Arial"/>
        </w:rPr>
        <w:t>secukinumab</w:t>
      </w:r>
      <w:proofErr w:type="spellEnd"/>
      <w:r w:rsidRPr="002D07A3">
        <w:rPr>
          <w:rFonts w:cs="Arial"/>
        </w:rPr>
        <w:t xml:space="preserve">. In the Phase 3 studies in psoriasis, </w:t>
      </w:r>
      <w:proofErr w:type="spellStart"/>
      <w:r w:rsidRPr="002D07A3">
        <w:rPr>
          <w:rFonts w:cs="Arial"/>
        </w:rPr>
        <w:t>PsA</w:t>
      </w:r>
      <w:proofErr w:type="spellEnd"/>
      <w:r w:rsidRPr="002D07A3">
        <w:rPr>
          <w:rFonts w:cs="Arial"/>
        </w:rPr>
        <w:t xml:space="preserve"> and AS, the exposure adjusted incidence rates of adjudication-confirmed MACE cases per 100 patient-years was 0.49 (19/3911.6 patient-years, 95% CI 0.29, 0.76) for </w:t>
      </w:r>
      <w:proofErr w:type="spellStart"/>
      <w:r w:rsidRPr="002D07A3">
        <w:rPr>
          <w:rFonts w:cs="Arial"/>
        </w:rPr>
        <w:t>secukinumab</w:t>
      </w:r>
      <w:proofErr w:type="spellEnd"/>
      <w:r w:rsidRPr="002D07A3">
        <w:rPr>
          <w:rFonts w:cs="Arial"/>
        </w:rPr>
        <w:t xml:space="preserve"> versus 0.00 (0/351.3 patient-years, 95% CI 0.00, 1.05) for placebo. </w:t>
      </w:r>
      <w:r w:rsidR="004C36A3" w:rsidRPr="002D07A3">
        <w:t xml:space="preserve">In the Phase 3 study in </w:t>
      </w:r>
      <w:proofErr w:type="spellStart"/>
      <w:r w:rsidR="004C36A3" w:rsidRPr="002D07A3">
        <w:t>nr-axSpA</w:t>
      </w:r>
      <w:proofErr w:type="spellEnd"/>
      <w:r w:rsidR="004C36A3" w:rsidRPr="002D07A3">
        <w:t>, the exposure adjusted incidence rates of adjudicated confirmed MACE cases per 100 patient-years was 0 (0/</w:t>
      </w:r>
      <w:r w:rsidR="00CD2BEB">
        <w:t>759.9</w:t>
      </w:r>
      <w:r w:rsidR="004C36A3" w:rsidRPr="002D07A3">
        <w:t xml:space="preserve"> patient-years, 95% CI 0.0, 0.</w:t>
      </w:r>
      <w:r w:rsidR="00CD2BEB">
        <w:t>5</w:t>
      </w:r>
      <w:r w:rsidR="004C36A3" w:rsidRPr="002D07A3">
        <w:t xml:space="preserve">) for </w:t>
      </w:r>
      <w:proofErr w:type="spellStart"/>
      <w:r w:rsidR="004C36A3" w:rsidRPr="002D07A3">
        <w:t>secukinumab</w:t>
      </w:r>
      <w:proofErr w:type="spellEnd"/>
      <w:r w:rsidR="004C36A3" w:rsidRPr="002D07A3">
        <w:t xml:space="preserve"> versus 1.0 (1/</w:t>
      </w:r>
      <w:r w:rsidR="00CD2BEB">
        <w:t>108.6</w:t>
      </w:r>
      <w:r w:rsidR="004C36A3" w:rsidRPr="002D07A3">
        <w:t xml:space="preserve"> patient-years, 95% CI 0.0, 5.</w:t>
      </w:r>
      <w:r w:rsidR="00CD2BEB">
        <w:t>1</w:t>
      </w:r>
      <w:r w:rsidR="004C36A3" w:rsidRPr="002D07A3">
        <w:t>)</w:t>
      </w:r>
      <w:r w:rsidR="004C36A3" w:rsidRPr="004C36A3">
        <w:t>.</w:t>
      </w:r>
      <w:r w:rsidR="004C36A3">
        <w:t xml:space="preserve"> </w:t>
      </w:r>
      <w:r w:rsidRPr="002D07A3">
        <w:rPr>
          <w:rFonts w:cs="Arial"/>
        </w:rPr>
        <w:t xml:space="preserve">In the overall </w:t>
      </w:r>
      <w:proofErr w:type="spellStart"/>
      <w:r w:rsidRPr="002D07A3">
        <w:rPr>
          <w:rFonts w:cs="Arial"/>
        </w:rPr>
        <w:t>secukinumab</w:t>
      </w:r>
      <w:proofErr w:type="spellEnd"/>
      <w:r w:rsidRPr="002D07A3">
        <w:rPr>
          <w:rFonts w:cs="Arial"/>
        </w:rPr>
        <w:t xml:space="preserve"> program, the exposure adjusted incidence rates of adjudication-confirmed cases per 100 patient-years for </w:t>
      </w:r>
      <w:proofErr w:type="spellStart"/>
      <w:r w:rsidRPr="002D07A3">
        <w:rPr>
          <w:rFonts w:cs="Arial"/>
        </w:rPr>
        <w:t>secukinumab</w:t>
      </w:r>
      <w:proofErr w:type="spellEnd"/>
      <w:r w:rsidRPr="002D07A3">
        <w:rPr>
          <w:rFonts w:cs="Arial"/>
        </w:rPr>
        <w:t xml:space="preserve"> was 0.40 (25/6259.8 patient-years, 95% CI 0.26, 0.59) versus 0.39 (2/515.1 patient-years, 95% CI 0.05, 1.40) for placebo. </w:t>
      </w:r>
    </w:p>
    <w:p w14:paraId="411A15D6" w14:textId="77777777" w:rsidR="00AF4E63" w:rsidRPr="00733D88" w:rsidRDefault="00AF4E63" w:rsidP="00AF46A0">
      <w:pPr>
        <w:pStyle w:val="Heading3"/>
        <w:spacing w:before="0" w:after="120"/>
        <w:ind w:left="0"/>
        <w:rPr>
          <w:rFonts w:cstheme="minorHAnsi"/>
          <w:u w:val="single"/>
        </w:rPr>
      </w:pPr>
      <w:r w:rsidRPr="00733D88">
        <w:rPr>
          <w:rFonts w:cstheme="minorHAnsi"/>
          <w:u w:val="single"/>
        </w:rPr>
        <w:t xml:space="preserve">Adverse reactions in psoriatic arthritis </w:t>
      </w:r>
    </w:p>
    <w:p w14:paraId="20C48803" w14:textId="38FB934B" w:rsidR="00AF4E63" w:rsidRPr="00733D88" w:rsidRDefault="00AF4E63" w:rsidP="00AF46A0">
      <w:pPr>
        <w:rPr>
          <w:rFonts w:cs="Arial"/>
        </w:rPr>
      </w:pPr>
      <w:r w:rsidRPr="00733D88">
        <w:rPr>
          <w:rFonts w:cs="Arial"/>
        </w:rPr>
        <w:t xml:space="preserve">COSENTYX was studied in </w:t>
      </w:r>
      <w:r w:rsidR="00253D7C" w:rsidRPr="00733D88">
        <w:rPr>
          <w:rFonts w:cs="Arial"/>
        </w:rPr>
        <w:t xml:space="preserve">five </w:t>
      </w:r>
      <w:r w:rsidRPr="00733D88">
        <w:rPr>
          <w:rFonts w:cs="Arial"/>
        </w:rPr>
        <w:t xml:space="preserve">placebo-controlled psoriatic arthritis trials with </w:t>
      </w:r>
      <w:r w:rsidR="00253D7C" w:rsidRPr="00733D88">
        <w:rPr>
          <w:rFonts w:cs="Arial"/>
        </w:rPr>
        <w:t>2,754</w:t>
      </w:r>
      <w:r w:rsidRPr="00733D88">
        <w:rPr>
          <w:rFonts w:cs="Arial"/>
        </w:rPr>
        <w:t xml:space="preserve"> patients (</w:t>
      </w:r>
      <w:r w:rsidR="00253D7C" w:rsidRPr="00733D88">
        <w:rPr>
          <w:rFonts w:cs="Arial"/>
        </w:rPr>
        <w:t xml:space="preserve">1,871 </w:t>
      </w:r>
      <w:r w:rsidRPr="00733D88">
        <w:rPr>
          <w:rFonts w:cs="Arial"/>
        </w:rPr>
        <w:t xml:space="preserve">patients on COSENTYX and </w:t>
      </w:r>
      <w:r w:rsidR="00253D7C" w:rsidRPr="00733D88">
        <w:rPr>
          <w:rFonts w:cs="Arial"/>
        </w:rPr>
        <w:t xml:space="preserve">883 </w:t>
      </w:r>
      <w:r w:rsidRPr="00733D88">
        <w:rPr>
          <w:rFonts w:cs="Arial"/>
        </w:rPr>
        <w:t xml:space="preserve">patients on placebo) </w:t>
      </w:r>
      <w:r w:rsidR="00253D7C" w:rsidRPr="00733D88">
        <w:rPr>
          <w:rFonts w:cs="Arial"/>
        </w:rPr>
        <w:t>with</w:t>
      </w:r>
      <w:r w:rsidRPr="00733D88">
        <w:rPr>
          <w:rFonts w:cs="Arial"/>
        </w:rPr>
        <w:t xml:space="preserve"> a total exposure of </w:t>
      </w:r>
      <w:r w:rsidR="00253D7C" w:rsidRPr="00733D88">
        <w:rPr>
          <w:rFonts w:cs="Arial"/>
        </w:rPr>
        <w:t>4,478</w:t>
      </w:r>
      <w:r w:rsidRPr="00733D88">
        <w:rPr>
          <w:rFonts w:cs="Arial"/>
        </w:rPr>
        <w:t xml:space="preserve"> patient-years of study exposure</w:t>
      </w:r>
      <w:r w:rsidR="00253D7C" w:rsidRPr="00733D88">
        <w:rPr>
          <w:rFonts w:cs="Arial"/>
        </w:rPr>
        <w:t xml:space="preserve"> on COSENTYX</w:t>
      </w:r>
      <w:r w:rsidRPr="00733D88">
        <w:rPr>
          <w:rFonts w:cs="Arial"/>
        </w:rPr>
        <w:t xml:space="preserve">. </w:t>
      </w:r>
      <w:r w:rsidRPr="002D07A3">
        <w:rPr>
          <w:rFonts w:cs="Arial"/>
        </w:rPr>
        <w:t xml:space="preserve">The adverse events that occurred at a proportion of at least 2% and at a higher proportion in the COSENTYX groups than the placebo groups during the 16-week placebo-controlled period were </w:t>
      </w:r>
      <w:proofErr w:type="spellStart"/>
      <w:r w:rsidRPr="00733D88">
        <w:rPr>
          <w:rFonts w:cs="Arial"/>
        </w:rPr>
        <w:t>nasopharyngitis</w:t>
      </w:r>
      <w:proofErr w:type="spellEnd"/>
      <w:r w:rsidRPr="00733D88">
        <w:rPr>
          <w:rFonts w:cs="Arial"/>
        </w:rPr>
        <w:t xml:space="preserve">, upper respiratory tract infection, headache, </w:t>
      </w:r>
      <w:r w:rsidR="00CA1F18" w:rsidRPr="00733D88">
        <w:rPr>
          <w:rFonts w:cs="Arial"/>
        </w:rPr>
        <w:t>urinary tract infection</w:t>
      </w:r>
      <w:r w:rsidRPr="00733D88">
        <w:rPr>
          <w:rFonts w:cs="Arial"/>
        </w:rPr>
        <w:t xml:space="preserve">, and hypercholesterolemia. The safety profile observed in patients with psoriatic arthritis treated with COSENTYX is consistent with the safety profile in psoriasis. </w:t>
      </w:r>
    </w:p>
    <w:p w14:paraId="2EA2A9B1" w14:textId="405B04B5" w:rsidR="00AF4E63" w:rsidRPr="00733D88" w:rsidRDefault="00D52CE3" w:rsidP="00AF46A0">
      <w:pPr>
        <w:rPr>
          <w:rFonts w:cs="Arial"/>
        </w:rPr>
      </w:pPr>
      <w:r w:rsidRPr="00733D88">
        <w:rPr>
          <w:rFonts w:cs="Arial"/>
        </w:rPr>
        <w:t>The</w:t>
      </w:r>
      <w:r w:rsidR="00AF4E63" w:rsidRPr="00733D88">
        <w:rPr>
          <w:rFonts w:cs="Arial"/>
        </w:rPr>
        <w:t xml:space="preserve"> proportion of patients with infections in the COSENTYX groups (</w:t>
      </w:r>
      <w:r w:rsidR="00394C2A" w:rsidRPr="00733D88">
        <w:rPr>
          <w:rFonts w:cs="Arial"/>
        </w:rPr>
        <w:t>28.5</w:t>
      </w:r>
      <w:r w:rsidR="00AF4E63" w:rsidRPr="00733D88">
        <w:rPr>
          <w:rFonts w:cs="Arial"/>
        </w:rPr>
        <w:t xml:space="preserve">%) </w:t>
      </w:r>
      <w:r w:rsidRPr="00733D88">
        <w:rPr>
          <w:rFonts w:cs="Arial"/>
        </w:rPr>
        <w:t>is similar to the</w:t>
      </w:r>
      <w:r w:rsidR="00AF4E63" w:rsidRPr="00733D88">
        <w:rPr>
          <w:rFonts w:cs="Arial"/>
        </w:rPr>
        <w:t xml:space="preserve"> placebo group (</w:t>
      </w:r>
      <w:r w:rsidRPr="00733D88">
        <w:rPr>
          <w:rFonts w:cs="Arial"/>
        </w:rPr>
        <w:t>28.1</w:t>
      </w:r>
      <w:r w:rsidR="00AF4E63" w:rsidRPr="00733D88">
        <w:rPr>
          <w:rFonts w:cs="Arial"/>
        </w:rPr>
        <w:t xml:space="preserve">%) (see </w:t>
      </w:r>
      <w:r w:rsidR="009F0E42">
        <w:rPr>
          <w:rFonts w:cs="Arial"/>
        </w:rPr>
        <w:t xml:space="preserve">section 4.4 </w:t>
      </w:r>
      <w:r w:rsidR="003B15C9" w:rsidRPr="002D07A3">
        <w:rPr>
          <w:rFonts w:cs="Arial"/>
          <w:iCs/>
        </w:rPr>
        <w:t>SPECIAL WARNINGS AND PRECAUTIONS FOR USE</w:t>
      </w:r>
      <w:r w:rsidR="00AF4E63" w:rsidRPr="00733D88">
        <w:rPr>
          <w:rFonts w:cs="Arial"/>
        </w:rPr>
        <w:t>).</w:t>
      </w:r>
    </w:p>
    <w:p w14:paraId="3154B388" w14:textId="12944782" w:rsidR="00AF4E63" w:rsidRPr="00733D88" w:rsidRDefault="00AF4E63" w:rsidP="00AF46A0">
      <w:pPr>
        <w:ind w:right="-188"/>
        <w:rPr>
          <w:rFonts w:cs="Arial"/>
        </w:rPr>
      </w:pPr>
      <w:r w:rsidRPr="00733D88">
        <w:rPr>
          <w:rFonts w:cs="Arial"/>
        </w:rPr>
        <w:t xml:space="preserve">There were cases of Crohn’s disease and ulcerative colitis that include patients who experienced either exacerbations or the development of new disease. </w:t>
      </w:r>
      <w:r w:rsidR="0047444C" w:rsidRPr="00733D88">
        <w:rPr>
          <w:rFonts w:cs="Arial"/>
        </w:rPr>
        <w:t xml:space="preserve">In </w:t>
      </w:r>
      <w:r w:rsidR="004C7365" w:rsidRPr="00733D88">
        <w:rPr>
          <w:rFonts w:cs="Arial"/>
        </w:rPr>
        <w:t xml:space="preserve">the psoriatic arthritis program with </w:t>
      </w:r>
      <w:r w:rsidR="0047444C" w:rsidRPr="00733D88">
        <w:rPr>
          <w:rFonts w:cs="Arial"/>
        </w:rPr>
        <w:t xml:space="preserve">2,536 patients exposed to COSENTYX there were 17 cases </w:t>
      </w:r>
      <w:r w:rsidR="004C7365" w:rsidRPr="00733D88">
        <w:rPr>
          <w:rFonts w:cs="Arial"/>
        </w:rPr>
        <w:t xml:space="preserve">of inflammatory bowel disease during the entire treatment period </w:t>
      </w:r>
      <w:r w:rsidR="0047444C" w:rsidRPr="00733D88">
        <w:rPr>
          <w:rFonts w:cs="Arial"/>
        </w:rPr>
        <w:t xml:space="preserve">(0.4 per 100 patient-years). During the placebo-controlled period </w:t>
      </w:r>
      <w:r w:rsidR="004C7365" w:rsidRPr="00733D88">
        <w:rPr>
          <w:rFonts w:cs="Arial"/>
        </w:rPr>
        <w:t xml:space="preserve">16 week period, </w:t>
      </w:r>
      <w:r w:rsidR="0047444C" w:rsidRPr="00733D88">
        <w:rPr>
          <w:rFonts w:cs="Arial"/>
        </w:rPr>
        <w:t>t</w:t>
      </w:r>
      <w:r w:rsidRPr="00733D88">
        <w:rPr>
          <w:rFonts w:cs="Arial"/>
        </w:rPr>
        <w:t xml:space="preserve">here were </w:t>
      </w:r>
      <w:r w:rsidR="0047444C" w:rsidRPr="00733D88">
        <w:rPr>
          <w:rFonts w:cs="Arial"/>
        </w:rPr>
        <w:t xml:space="preserve">seven </w:t>
      </w:r>
      <w:r w:rsidRPr="00733D88">
        <w:rPr>
          <w:rFonts w:cs="Arial"/>
        </w:rPr>
        <w:t xml:space="preserve">cases of inflammatory bowel disease, of which </w:t>
      </w:r>
      <w:r w:rsidR="0047444C" w:rsidRPr="00733D88">
        <w:rPr>
          <w:rFonts w:cs="Arial"/>
        </w:rPr>
        <w:t xml:space="preserve">five </w:t>
      </w:r>
      <w:r w:rsidRPr="00733D88">
        <w:rPr>
          <w:rFonts w:cs="Arial"/>
        </w:rPr>
        <w:t xml:space="preserve">patients received </w:t>
      </w:r>
      <w:proofErr w:type="spellStart"/>
      <w:r w:rsidRPr="00733D88">
        <w:rPr>
          <w:rFonts w:cs="Arial"/>
        </w:rPr>
        <w:t>secukinumab</w:t>
      </w:r>
      <w:proofErr w:type="spellEnd"/>
      <w:r w:rsidRPr="00733D88">
        <w:rPr>
          <w:rFonts w:cs="Arial"/>
        </w:rPr>
        <w:t xml:space="preserve"> and </w:t>
      </w:r>
      <w:r w:rsidR="0047444C" w:rsidRPr="00733D88">
        <w:rPr>
          <w:rFonts w:cs="Arial"/>
        </w:rPr>
        <w:t xml:space="preserve">two </w:t>
      </w:r>
      <w:r w:rsidRPr="00733D88">
        <w:rPr>
          <w:rFonts w:cs="Arial"/>
        </w:rPr>
        <w:t xml:space="preserve">received placebo (see </w:t>
      </w:r>
      <w:r w:rsidR="009F0E42">
        <w:rPr>
          <w:rFonts w:cs="Arial"/>
        </w:rPr>
        <w:t xml:space="preserve">section </w:t>
      </w:r>
      <w:r w:rsidR="009F0E42" w:rsidRPr="0048253F">
        <w:rPr>
          <w:rFonts w:eastAsia="MS Mincho" w:cs="Arial"/>
        </w:rPr>
        <w:t xml:space="preserve">4.4 </w:t>
      </w:r>
      <w:r w:rsidR="009F0E42" w:rsidRPr="0048253F">
        <w:rPr>
          <w:rFonts w:cs="Arial"/>
          <w:iCs/>
        </w:rPr>
        <w:t>SPECIAL WARNINGS AND PRECAUTIONS FOR USE</w:t>
      </w:r>
      <w:r w:rsidRPr="00733D88">
        <w:rPr>
          <w:rFonts w:cs="Arial"/>
        </w:rPr>
        <w:t>).</w:t>
      </w:r>
      <w:r w:rsidR="0047444C" w:rsidRPr="00733D88">
        <w:rPr>
          <w:rFonts w:cs="Arial"/>
        </w:rPr>
        <w:t xml:space="preserve"> </w:t>
      </w:r>
    </w:p>
    <w:p w14:paraId="19784625" w14:textId="77777777"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Cholesterol and triglycerides</w:t>
      </w:r>
    </w:p>
    <w:p w14:paraId="3627B5D6" w14:textId="4B13CA0F" w:rsidR="00AF4E63" w:rsidRPr="00733D88" w:rsidRDefault="00AF4E63" w:rsidP="00AF46A0">
      <w:pPr>
        <w:rPr>
          <w:rFonts w:cs="Arial"/>
        </w:rPr>
      </w:pPr>
      <w:r w:rsidRPr="00733D88">
        <w:rPr>
          <w:rFonts w:cs="Arial"/>
        </w:rPr>
        <w:t xml:space="preserve">CTCAE Grade 1 and Grade 2 elevations of blood cholesterol and triglyceride levels were reported in patients receiving </w:t>
      </w:r>
      <w:proofErr w:type="spellStart"/>
      <w:r w:rsidRPr="00733D88">
        <w:rPr>
          <w:rFonts w:cs="Arial"/>
        </w:rPr>
        <w:t>secukinumab</w:t>
      </w:r>
      <w:proofErr w:type="spellEnd"/>
      <w:r w:rsidRPr="00733D88">
        <w:rPr>
          <w:rFonts w:cs="Arial"/>
        </w:rPr>
        <w:t xml:space="preserve"> compared to placebo in psoriatic arthritis clinical trials. </w:t>
      </w:r>
    </w:p>
    <w:p w14:paraId="2C7795A8" w14:textId="67B3E7CC" w:rsidR="00AF4E63" w:rsidRPr="00733D88" w:rsidRDefault="00AF4E63" w:rsidP="00AF46A0">
      <w:pPr>
        <w:rPr>
          <w:rFonts w:cs="Arial"/>
        </w:rPr>
      </w:pPr>
      <w:r w:rsidRPr="00733D88">
        <w:rPr>
          <w:rFonts w:cs="Arial"/>
        </w:rPr>
        <w:t>The elevations of cholesterol levels were limited primarily to CTCAE Grade 1 (</w:t>
      </w:r>
      <w:r w:rsidR="00B77E37" w:rsidRPr="00733D88">
        <w:rPr>
          <w:rFonts w:cs="Arial"/>
        </w:rPr>
        <w:t>28.7</w:t>
      </w:r>
      <w:r w:rsidRPr="00733D88">
        <w:rPr>
          <w:rFonts w:cs="Arial"/>
        </w:rPr>
        <w:t xml:space="preserve">% vs. </w:t>
      </w:r>
      <w:r w:rsidR="00B77E37" w:rsidRPr="00733D88">
        <w:rPr>
          <w:rFonts w:cs="Arial"/>
        </w:rPr>
        <w:t>19.1</w:t>
      </w:r>
      <w:r w:rsidRPr="00733D88">
        <w:rPr>
          <w:rFonts w:cs="Arial"/>
        </w:rPr>
        <w:t>%, respectively) and Grade 2 (1.6% vs. 0.</w:t>
      </w:r>
      <w:r w:rsidR="00B77E37" w:rsidRPr="00733D88">
        <w:rPr>
          <w:rFonts w:cs="Arial"/>
        </w:rPr>
        <w:t>5</w:t>
      </w:r>
      <w:r w:rsidRPr="00733D88">
        <w:rPr>
          <w:rFonts w:cs="Arial"/>
        </w:rPr>
        <w:t xml:space="preserve">%, respectively). No cases of CTCAE Grade 3 and Grade 4 cholesterol levels were observed in either </w:t>
      </w:r>
      <w:proofErr w:type="spellStart"/>
      <w:r w:rsidRPr="00733D88">
        <w:rPr>
          <w:rFonts w:cs="Arial"/>
        </w:rPr>
        <w:t>secukinumab</w:t>
      </w:r>
      <w:proofErr w:type="spellEnd"/>
      <w:r w:rsidRPr="00733D88">
        <w:rPr>
          <w:rFonts w:cs="Arial"/>
        </w:rPr>
        <w:t xml:space="preserve"> or placebo groups during the placebo controlled period. </w:t>
      </w:r>
    </w:p>
    <w:p w14:paraId="02B50961" w14:textId="0771D391" w:rsidR="00AF4E63" w:rsidRPr="00733D88" w:rsidRDefault="00AF4E63" w:rsidP="00AF46A0">
      <w:pPr>
        <w:rPr>
          <w:rFonts w:cs="Arial"/>
        </w:rPr>
      </w:pPr>
      <w:r w:rsidRPr="00733D88">
        <w:rPr>
          <w:rFonts w:cs="Arial"/>
        </w:rPr>
        <w:t xml:space="preserve">An increase in blood triglycerides levels was also observed in psoriatic arthritic patients receiving </w:t>
      </w:r>
      <w:proofErr w:type="spellStart"/>
      <w:r w:rsidRPr="00733D88">
        <w:rPr>
          <w:rFonts w:cs="Arial"/>
        </w:rPr>
        <w:t>secukinumab</w:t>
      </w:r>
      <w:proofErr w:type="spellEnd"/>
      <w:r w:rsidRPr="00733D88">
        <w:rPr>
          <w:rFonts w:cs="Arial"/>
        </w:rPr>
        <w:t xml:space="preserve"> compared to placebo (CTCAE Grade 1: </w:t>
      </w:r>
      <w:r w:rsidR="00B77E37" w:rsidRPr="00733D88">
        <w:rPr>
          <w:rFonts w:cs="Arial"/>
        </w:rPr>
        <w:t>26.7</w:t>
      </w:r>
      <w:r w:rsidRPr="00733D88">
        <w:rPr>
          <w:rFonts w:cs="Arial"/>
        </w:rPr>
        <w:t xml:space="preserve">% vs. </w:t>
      </w:r>
      <w:r w:rsidR="00B77E37" w:rsidRPr="00733D88">
        <w:rPr>
          <w:rFonts w:cs="Arial"/>
        </w:rPr>
        <w:t>19.1</w:t>
      </w:r>
      <w:r w:rsidRPr="00733D88">
        <w:rPr>
          <w:rFonts w:cs="Arial"/>
        </w:rPr>
        <w:t>%, Grade 2: 4.</w:t>
      </w:r>
      <w:r w:rsidR="00B77E37" w:rsidRPr="00733D88">
        <w:rPr>
          <w:rFonts w:cs="Arial"/>
        </w:rPr>
        <w:t>6</w:t>
      </w:r>
      <w:r w:rsidRPr="00733D88">
        <w:rPr>
          <w:rFonts w:cs="Arial"/>
        </w:rPr>
        <w:t>% vs. 3.</w:t>
      </w:r>
      <w:r w:rsidR="00B77E37" w:rsidRPr="00733D88">
        <w:rPr>
          <w:rFonts w:cs="Arial"/>
        </w:rPr>
        <w:t>5</w:t>
      </w:r>
      <w:r w:rsidRPr="00733D88">
        <w:rPr>
          <w:rFonts w:cs="Arial"/>
        </w:rPr>
        <w:t xml:space="preserve">%, Grade 3: </w:t>
      </w:r>
      <w:r w:rsidR="00B77E37" w:rsidRPr="00733D88">
        <w:rPr>
          <w:rFonts w:cs="Arial"/>
        </w:rPr>
        <w:t>1.0</w:t>
      </w:r>
      <w:r w:rsidRPr="00733D88">
        <w:rPr>
          <w:rFonts w:cs="Arial"/>
        </w:rPr>
        <w:t>% vs. 0.7% and Grade 4: 0.</w:t>
      </w:r>
      <w:r w:rsidR="00B77E37" w:rsidRPr="00733D88">
        <w:rPr>
          <w:rFonts w:cs="Arial"/>
        </w:rPr>
        <w:t>2</w:t>
      </w:r>
      <w:r w:rsidRPr="00733D88">
        <w:rPr>
          <w:rFonts w:cs="Arial"/>
        </w:rPr>
        <w:t>% vs. 0.</w:t>
      </w:r>
      <w:r w:rsidR="00B77E37" w:rsidRPr="00733D88">
        <w:rPr>
          <w:rFonts w:cs="Arial"/>
        </w:rPr>
        <w:t>1</w:t>
      </w:r>
      <w:r w:rsidRPr="00733D88">
        <w:rPr>
          <w:rFonts w:cs="Arial"/>
        </w:rPr>
        <w:t xml:space="preserve">%, respectively) up to Week 16.  </w:t>
      </w:r>
    </w:p>
    <w:p w14:paraId="76357C51" w14:textId="77777777" w:rsidR="00AF4E63" w:rsidRPr="00733D88" w:rsidRDefault="00AF4E63" w:rsidP="00AF46A0">
      <w:pPr>
        <w:rPr>
          <w:rFonts w:cs="Arial"/>
        </w:rPr>
      </w:pPr>
      <w:r w:rsidRPr="00733D88">
        <w:rPr>
          <w:rFonts w:cs="Arial"/>
        </w:rPr>
        <w:t xml:space="preserve">Elevations (mainly CTCAE Grade 1 and Grade 2) in cholesterol and triglycerides were also observed during long-term treatment with </w:t>
      </w:r>
      <w:proofErr w:type="spellStart"/>
      <w:r w:rsidRPr="00733D88">
        <w:rPr>
          <w:rFonts w:cs="Arial"/>
        </w:rPr>
        <w:t>secukinumab</w:t>
      </w:r>
      <w:proofErr w:type="spellEnd"/>
      <w:r w:rsidRPr="00733D88">
        <w:rPr>
          <w:rFonts w:cs="Arial"/>
        </w:rPr>
        <w:t>.</w:t>
      </w:r>
    </w:p>
    <w:p w14:paraId="7CEF2476" w14:textId="77777777" w:rsidR="00AF4E63" w:rsidRPr="00733D88" w:rsidRDefault="00AF4E63" w:rsidP="00AF46A0">
      <w:pPr>
        <w:rPr>
          <w:rFonts w:asciiTheme="majorHAnsi" w:eastAsiaTheme="majorEastAsia" w:hAnsiTheme="majorHAnsi" w:cstheme="minorHAnsi"/>
          <w:b/>
          <w:bCs/>
        </w:rPr>
      </w:pPr>
      <w:r w:rsidRPr="00733D88">
        <w:rPr>
          <w:rFonts w:asciiTheme="majorHAnsi" w:eastAsiaTheme="majorEastAsia" w:hAnsiTheme="majorHAnsi" w:cstheme="minorHAnsi"/>
          <w:b/>
          <w:bCs/>
        </w:rPr>
        <w:t>Hepatic transaminases</w:t>
      </w:r>
    </w:p>
    <w:p w14:paraId="7D56CF81" w14:textId="77571820" w:rsidR="00AF4E63" w:rsidRPr="002D07A3" w:rsidRDefault="00AF4E63" w:rsidP="00AF46A0">
      <w:pPr>
        <w:rPr>
          <w:rFonts w:cs="Arial"/>
        </w:rPr>
      </w:pPr>
      <w:r w:rsidRPr="002D07A3">
        <w:rPr>
          <w:rFonts w:cs="Arial"/>
        </w:rPr>
        <w:t xml:space="preserve">During the placebo-controlled period, increased incidence of elevated hepatic transaminases was observed in psoriatic arthritis patients treated with </w:t>
      </w:r>
      <w:proofErr w:type="spellStart"/>
      <w:r w:rsidRPr="002D07A3">
        <w:rPr>
          <w:rFonts w:cs="Arial"/>
        </w:rPr>
        <w:t>secukinumab</w:t>
      </w:r>
      <w:proofErr w:type="spellEnd"/>
      <w:r w:rsidRPr="002D07A3">
        <w:rPr>
          <w:rFonts w:cs="Arial"/>
        </w:rPr>
        <w:t xml:space="preserve"> compared to placebo. The elevations in hepatic transaminases were seen primarily in CTCAE Grade 1 (ALT: </w:t>
      </w:r>
      <w:r w:rsidR="00B77E37" w:rsidRPr="002D07A3">
        <w:rPr>
          <w:rFonts w:cs="Arial"/>
        </w:rPr>
        <w:t>17.1</w:t>
      </w:r>
      <w:r w:rsidRPr="002D07A3">
        <w:rPr>
          <w:rFonts w:cs="Arial"/>
        </w:rPr>
        <w:t xml:space="preserve">% vs </w:t>
      </w:r>
      <w:r w:rsidR="00B77E37" w:rsidRPr="002D07A3">
        <w:rPr>
          <w:rFonts w:cs="Arial"/>
        </w:rPr>
        <w:t>14.8</w:t>
      </w:r>
      <w:r w:rsidRPr="002D07A3">
        <w:rPr>
          <w:rFonts w:cs="Arial"/>
        </w:rPr>
        <w:t xml:space="preserve">%; AST: </w:t>
      </w:r>
      <w:r w:rsidR="00B77E37" w:rsidRPr="002D07A3">
        <w:rPr>
          <w:rFonts w:cs="Arial"/>
        </w:rPr>
        <w:t>12.5</w:t>
      </w:r>
      <w:r w:rsidRPr="002D07A3">
        <w:rPr>
          <w:rFonts w:cs="Arial"/>
        </w:rPr>
        <w:t xml:space="preserve">% vs. </w:t>
      </w:r>
      <w:r w:rsidR="00B77E37" w:rsidRPr="002D07A3">
        <w:rPr>
          <w:rFonts w:cs="Arial"/>
        </w:rPr>
        <w:t>10.1</w:t>
      </w:r>
      <w:r w:rsidRPr="002D07A3">
        <w:rPr>
          <w:rFonts w:cs="Arial"/>
        </w:rPr>
        <w:t xml:space="preserve">%, </w:t>
      </w:r>
      <w:r w:rsidRPr="00733D88">
        <w:rPr>
          <w:rFonts w:cs="Arial"/>
        </w:rPr>
        <w:t>respectively</w:t>
      </w:r>
      <w:r w:rsidRPr="002D07A3">
        <w:rPr>
          <w:rFonts w:cs="Arial"/>
        </w:rPr>
        <w:t xml:space="preserve">). No difference in the incidence of elevated ALT and AST was seen between </w:t>
      </w:r>
      <w:proofErr w:type="spellStart"/>
      <w:r w:rsidRPr="002D07A3">
        <w:rPr>
          <w:rFonts w:cs="Arial"/>
        </w:rPr>
        <w:t>secukinumab</w:t>
      </w:r>
      <w:proofErr w:type="spellEnd"/>
      <w:r w:rsidRPr="002D07A3">
        <w:rPr>
          <w:rFonts w:cs="Arial"/>
        </w:rPr>
        <w:t xml:space="preserve"> and placebo in CTCAE Grade 2</w:t>
      </w:r>
      <w:r w:rsidR="00B77E37" w:rsidRPr="002D07A3">
        <w:rPr>
          <w:rFonts w:cs="Arial"/>
        </w:rPr>
        <w:t>,</w:t>
      </w:r>
      <w:r w:rsidR="00690FDD" w:rsidRPr="002D07A3">
        <w:rPr>
          <w:rFonts w:cs="Arial"/>
        </w:rPr>
        <w:t xml:space="preserve"> </w:t>
      </w:r>
      <w:r w:rsidRPr="002D07A3">
        <w:rPr>
          <w:rFonts w:cs="Arial"/>
        </w:rPr>
        <w:t>Grade 3</w:t>
      </w:r>
      <w:r w:rsidR="00B77E37" w:rsidRPr="002D07A3">
        <w:rPr>
          <w:rFonts w:cs="Arial"/>
        </w:rPr>
        <w:t xml:space="preserve"> and Grade 4</w:t>
      </w:r>
      <w:r w:rsidRPr="002D07A3">
        <w:rPr>
          <w:rFonts w:cs="Arial"/>
        </w:rPr>
        <w:t>. No cases of CTCAE Grade 4 were observed</w:t>
      </w:r>
      <w:r w:rsidR="00B77E37" w:rsidRPr="002D07A3">
        <w:rPr>
          <w:rFonts w:cs="Arial"/>
        </w:rPr>
        <w:t xml:space="preserve"> for AST</w:t>
      </w:r>
      <w:r w:rsidRPr="002D07A3">
        <w:rPr>
          <w:rFonts w:cs="Arial"/>
        </w:rPr>
        <w:t xml:space="preserve">.  </w:t>
      </w:r>
    </w:p>
    <w:p w14:paraId="066385D2" w14:textId="77777777" w:rsidR="00AF4E63" w:rsidRPr="002D07A3" w:rsidRDefault="00AF4E63" w:rsidP="00AF46A0">
      <w:pPr>
        <w:rPr>
          <w:rFonts w:cs="Arial"/>
        </w:rPr>
      </w:pPr>
      <w:r w:rsidRPr="002D07A3">
        <w:rPr>
          <w:rFonts w:cs="Arial"/>
        </w:rPr>
        <w:t xml:space="preserve">Elevations (mainly CTCAE Grade 1 and Grade 2) in ALT and AST was also observed during the long-term treatment with </w:t>
      </w:r>
      <w:proofErr w:type="spellStart"/>
      <w:r w:rsidRPr="002D07A3">
        <w:rPr>
          <w:rFonts w:cs="Arial"/>
        </w:rPr>
        <w:t>secukinumab</w:t>
      </w:r>
      <w:proofErr w:type="spellEnd"/>
      <w:r w:rsidRPr="002D07A3">
        <w:rPr>
          <w:rFonts w:cs="Arial"/>
        </w:rPr>
        <w:t xml:space="preserve">. </w:t>
      </w:r>
    </w:p>
    <w:p w14:paraId="331189CE" w14:textId="763C1DAC" w:rsidR="00AF4E63" w:rsidRPr="00733D88" w:rsidRDefault="00AF4E63" w:rsidP="00AF46A0">
      <w:pPr>
        <w:pStyle w:val="Heading3"/>
        <w:spacing w:before="0" w:after="120"/>
        <w:ind w:left="0"/>
        <w:rPr>
          <w:rFonts w:cstheme="minorHAnsi"/>
          <w:b w:val="0"/>
          <w:u w:val="single"/>
        </w:rPr>
      </w:pPr>
      <w:r w:rsidRPr="00733D88">
        <w:rPr>
          <w:rFonts w:cstheme="minorHAnsi"/>
          <w:u w:val="single"/>
        </w:rPr>
        <w:t xml:space="preserve">Adverse reactions in </w:t>
      </w:r>
      <w:r w:rsidR="007A2F8A" w:rsidRPr="002D07A3">
        <w:rPr>
          <w:rFonts w:cstheme="minorHAnsi"/>
          <w:u w:val="single"/>
        </w:rPr>
        <w:t xml:space="preserve">axial </w:t>
      </w:r>
      <w:proofErr w:type="spellStart"/>
      <w:r w:rsidR="007A2F8A" w:rsidRPr="002D07A3">
        <w:rPr>
          <w:rFonts w:cstheme="minorHAnsi"/>
          <w:u w:val="single"/>
        </w:rPr>
        <w:t>spondyloarthritis</w:t>
      </w:r>
      <w:proofErr w:type="spellEnd"/>
      <w:r w:rsidR="007A2F8A" w:rsidRPr="00733D88">
        <w:rPr>
          <w:rFonts w:cstheme="minorHAnsi"/>
          <w:u w:val="single"/>
        </w:rPr>
        <w:t xml:space="preserve"> (</w:t>
      </w:r>
      <w:r w:rsidRPr="00733D88">
        <w:rPr>
          <w:rFonts w:cstheme="minorHAnsi"/>
          <w:u w:val="single"/>
        </w:rPr>
        <w:t>ankylosing spondylitis</w:t>
      </w:r>
      <w:r w:rsidR="007A2F8A" w:rsidRPr="00733D88">
        <w:rPr>
          <w:rFonts w:cstheme="minorHAnsi"/>
          <w:u w:val="single"/>
        </w:rPr>
        <w:t xml:space="preserve"> </w:t>
      </w:r>
      <w:r w:rsidR="007A2F8A" w:rsidRPr="002D07A3">
        <w:rPr>
          <w:rFonts w:cstheme="minorHAnsi"/>
          <w:u w:val="single"/>
        </w:rPr>
        <w:t xml:space="preserve">and non-radiographic axial </w:t>
      </w:r>
      <w:proofErr w:type="spellStart"/>
      <w:r w:rsidR="007A2F8A" w:rsidRPr="002D07A3">
        <w:rPr>
          <w:rFonts w:cstheme="minorHAnsi"/>
          <w:u w:val="single"/>
        </w:rPr>
        <w:t>spondyloarthritis</w:t>
      </w:r>
      <w:proofErr w:type="spellEnd"/>
      <w:r w:rsidR="007A2F8A" w:rsidRPr="002D07A3">
        <w:rPr>
          <w:rFonts w:cstheme="minorHAnsi"/>
          <w:u w:val="single"/>
        </w:rPr>
        <w:t>)</w:t>
      </w:r>
    </w:p>
    <w:p w14:paraId="6E16A67F" w14:textId="37251567" w:rsidR="00A40CEA" w:rsidRDefault="00AF4E63" w:rsidP="00AF46A0">
      <w:pPr>
        <w:rPr>
          <w:rFonts w:cs="Arial"/>
        </w:rPr>
      </w:pPr>
      <w:r w:rsidRPr="00733D88">
        <w:rPr>
          <w:rFonts w:cs="Arial"/>
        </w:rPr>
        <w:t xml:space="preserve">COSENTYX was studied in </w:t>
      </w:r>
      <w:r w:rsidR="0050597C">
        <w:rPr>
          <w:rFonts w:cs="Arial"/>
        </w:rPr>
        <w:t>three</w:t>
      </w:r>
      <w:r w:rsidRPr="00733D88">
        <w:rPr>
          <w:rFonts w:cs="Arial"/>
        </w:rPr>
        <w:t xml:space="preserve"> placebo-controlled ankylosing spondylitis trials with </w:t>
      </w:r>
      <w:r w:rsidR="0050597C">
        <w:rPr>
          <w:rFonts w:cs="Arial"/>
        </w:rPr>
        <w:t>816</w:t>
      </w:r>
      <w:r w:rsidRPr="00733D88">
        <w:rPr>
          <w:rFonts w:cs="Arial"/>
        </w:rPr>
        <w:t xml:space="preserve"> patients (</w:t>
      </w:r>
      <w:r w:rsidR="0050597C">
        <w:rPr>
          <w:rFonts w:cs="Arial"/>
        </w:rPr>
        <w:t>544</w:t>
      </w:r>
      <w:r w:rsidRPr="00733D88">
        <w:rPr>
          <w:rFonts w:cs="Arial"/>
        </w:rPr>
        <w:t xml:space="preserve"> patients on COSENTYX and </w:t>
      </w:r>
      <w:r w:rsidR="0050597C">
        <w:rPr>
          <w:rFonts w:cs="Arial"/>
        </w:rPr>
        <w:t>272</w:t>
      </w:r>
      <w:r w:rsidRPr="00733D88">
        <w:rPr>
          <w:rFonts w:cs="Arial"/>
        </w:rPr>
        <w:t xml:space="preserve"> patients on placebo)</w:t>
      </w:r>
      <w:r w:rsidR="0050597C">
        <w:rPr>
          <w:rFonts w:cs="Arial"/>
        </w:rPr>
        <w:t>.</w:t>
      </w:r>
      <w:r w:rsidRPr="00733D88">
        <w:rPr>
          <w:rFonts w:cs="Arial"/>
        </w:rPr>
        <w:t xml:space="preserve"> </w:t>
      </w:r>
      <w:r w:rsidR="0050597C">
        <w:rPr>
          <w:rFonts w:cs="Arial"/>
        </w:rPr>
        <w:t xml:space="preserve">The </w:t>
      </w:r>
      <w:r w:rsidRPr="00733D88">
        <w:rPr>
          <w:rFonts w:cs="Arial"/>
        </w:rPr>
        <w:t xml:space="preserve">median duration of exposure for </w:t>
      </w:r>
      <w:proofErr w:type="spellStart"/>
      <w:r w:rsidRPr="00733D88">
        <w:rPr>
          <w:rFonts w:cs="Arial"/>
        </w:rPr>
        <w:t>secukinumab</w:t>
      </w:r>
      <w:proofErr w:type="spellEnd"/>
      <w:r w:rsidRPr="00733D88">
        <w:rPr>
          <w:rFonts w:cs="Arial"/>
        </w:rPr>
        <w:t xml:space="preserve">-treated patients </w:t>
      </w:r>
      <w:r w:rsidR="0050597C">
        <w:rPr>
          <w:rFonts w:cs="Arial"/>
        </w:rPr>
        <w:t xml:space="preserve">was </w:t>
      </w:r>
      <w:r w:rsidRPr="00733D88">
        <w:rPr>
          <w:rFonts w:cs="Arial"/>
        </w:rPr>
        <w:t>469 days in AS1 Study</w:t>
      </w:r>
      <w:r w:rsidR="0050597C">
        <w:rPr>
          <w:rFonts w:cs="Arial"/>
        </w:rPr>
        <w:t>,</w:t>
      </w:r>
      <w:r w:rsidRPr="00733D88">
        <w:rPr>
          <w:rFonts w:cs="Arial"/>
        </w:rPr>
        <w:t xml:space="preserve"> 460 days in AS2 Study</w:t>
      </w:r>
      <w:r w:rsidR="00A40CEA">
        <w:rPr>
          <w:rFonts w:cs="Arial"/>
        </w:rPr>
        <w:t>, and 1,</w:t>
      </w:r>
      <w:r w:rsidR="0050597C">
        <w:rPr>
          <w:rFonts w:cs="Arial"/>
        </w:rPr>
        <w:t>142 days in AS3 Study</w:t>
      </w:r>
      <w:r w:rsidRPr="00733D88">
        <w:rPr>
          <w:rFonts w:cs="Arial"/>
        </w:rPr>
        <w:t xml:space="preserve">. </w:t>
      </w:r>
      <w:r w:rsidRPr="002D07A3">
        <w:rPr>
          <w:rFonts w:cs="Arial"/>
        </w:rPr>
        <w:t xml:space="preserve">During the 16-week placebo-controlled period of the trials in patients with ankylosing spondylitis, the overall proportion of patients with adverse events was higher in the </w:t>
      </w:r>
      <w:proofErr w:type="spellStart"/>
      <w:r w:rsidRPr="002D07A3">
        <w:rPr>
          <w:rFonts w:cs="Arial"/>
        </w:rPr>
        <w:t>secukinumab</w:t>
      </w:r>
      <w:proofErr w:type="spellEnd"/>
      <w:r w:rsidRPr="002D07A3">
        <w:rPr>
          <w:rFonts w:cs="Arial"/>
        </w:rPr>
        <w:t xml:space="preserve"> groups than the placebo-treatment groups (</w:t>
      </w:r>
      <w:r w:rsidR="0050597C">
        <w:rPr>
          <w:rFonts w:cs="Arial"/>
        </w:rPr>
        <w:t>60</w:t>
      </w:r>
      <w:r w:rsidRPr="002D07A3">
        <w:rPr>
          <w:rFonts w:cs="Arial"/>
        </w:rPr>
        <w:t xml:space="preserve">% and </w:t>
      </w:r>
      <w:r w:rsidR="0050597C">
        <w:rPr>
          <w:rFonts w:cs="Arial"/>
        </w:rPr>
        <w:t>55</w:t>
      </w:r>
      <w:r w:rsidRPr="002D07A3">
        <w:rPr>
          <w:rFonts w:cs="Arial"/>
        </w:rPr>
        <w:t xml:space="preserve">%, respectively). </w:t>
      </w:r>
    </w:p>
    <w:p w14:paraId="5E7709D2" w14:textId="7854F3B7" w:rsidR="0050597C" w:rsidRDefault="0050597C" w:rsidP="00AF46A0">
      <w:pPr>
        <w:rPr>
          <w:rFonts w:cs="Arial"/>
        </w:rPr>
      </w:pPr>
      <w:r>
        <w:rPr>
          <w:rFonts w:cs="Arial"/>
        </w:rPr>
        <w:t xml:space="preserve">The overall safety profile of COSENTYX in AS3 Study remained in line with the safety profile established in the pivotal AS1 and AS2 studies, which are summarised in the next paragraphs. </w:t>
      </w:r>
    </w:p>
    <w:p w14:paraId="41EAE6F6" w14:textId="70894DB5" w:rsidR="001703F5" w:rsidRDefault="00AF4E63" w:rsidP="00AF46A0">
      <w:pPr>
        <w:rPr>
          <w:rFonts w:cs="Arial"/>
        </w:rPr>
      </w:pPr>
      <w:r w:rsidRPr="002D07A3">
        <w:rPr>
          <w:rFonts w:cs="Arial"/>
        </w:rPr>
        <w:t xml:space="preserve">The adverse events that occurred at a proportion of at least 2% and at a higher proportion in the COSENTYX groups than the placebo groups during the 16-week placebo-controlled period were </w:t>
      </w:r>
      <w:proofErr w:type="spellStart"/>
      <w:r w:rsidRPr="002D07A3">
        <w:rPr>
          <w:rFonts w:cs="Arial"/>
        </w:rPr>
        <w:t>nasopharyngitis</w:t>
      </w:r>
      <w:proofErr w:type="spellEnd"/>
      <w:r w:rsidRPr="002D07A3">
        <w:rPr>
          <w:rFonts w:cs="Arial"/>
        </w:rPr>
        <w:t xml:space="preserve">, nausea, and upper respiratory tract infection. </w:t>
      </w:r>
    </w:p>
    <w:p w14:paraId="064E78CD" w14:textId="60EFB767" w:rsidR="001703F5" w:rsidRDefault="001703F5" w:rsidP="00AF46A0">
      <w:pPr>
        <w:rPr>
          <w:rFonts w:cs="Arial"/>
        </w:rPr>
      </w:pPr>
      <w:r w:rsidRPr="0048253F">
        <w:rPr>
          <w:rFonts w:cs="Arial"/>
        </w:rPr>
        <w:t xml:space="preserve">COSENTYX was also studied in one placebo-controlled non-radiographic axial </w:t>
      </w:r>
      <w:proofErr w:type="spellStart"/>
      <w:r w:rsidRPr="0048253F">
        <w:rPr>
          <w:rFonts w:cs="Arial"/>
        </w:rPr>
        <w:t>spondyloarthritis</w:t>
      </w:r>
      <w:proofErr w:type="spellEnd"/>
      <w:r w:rsidRPr="0048253F">
        <w:rPr>
          <w:rFonts w:cs="Arial"/>
        </w:rPr>
        <w:t xml:space="preserve"> trial with 555 patients (369 patients on COSENTYX and 186 patients on placebo) for a total of </w:t>
      </w:r>
      <w:r w:rsidR="00CD2BEB">
        <w:rPr>
          <w:rFonts w:cs="Arial"/>
        </w:rPr>
        <w:t>757.9</w:t>
      </w:r>
      <w:r w:rsidRPr="0048253F">
        <w:rPr>
          <w:rFonts w:cs="Arial"/>
        </w:rPr>
        <w:t xml:space="preserve"> patient-years of study exposure (median duration of exposure for </w:t>
      </w:r>
      <w:proofErr w:type="spellStart"/>
      <w:r w:rsidRPr="0048253F">
        <w:rPr>
          <w:rFonts w:cs="Arial"/>
        </w:rPr>
        <w:t>secukinumab</w:t>
      </w:r>
      <w:proofErr w:type="spellEnd"/>
      <w:r w:rsidRPr="0048253F">
        <w:rPr>
          <w:rFonts w:cs="Arial"/>
        </w:rPr>
        <w:t xml:space="preserve">-treated patients: </w:t>
      </w:r>
      <w:r w:rsidR="00CD2BEB">
        <w:rPr>
          <w:rFonts w:cs="Arial"/>
        </w:rPr>
        <w:t>540</w:t>
      </w:r>
      <w:r w:rsidRPr="0048253F">
        <w:rPr>
          <w:rFonts w:cs="Arial"/>
        </w:rPr>
        <w:t xml:space="preserve"> days).</w:t>
      </w:r>
      <w:r w:rsidR="00BE7FD1">
        <w:rPr>
          <w:rFonts w:cs="Arial"/>
        </w:rPr>
        <w:t xml:space="preserve"> </w:t>
      </w:r>
      <w:r w:rsidR="00BE7FD1" w:rsidRPr="00C25249">
        <w:rPr>
          <w:rFonts w:cs="Arial"/>
        </w:rPr>
        <w:t xml:space="preserve">During the </w:t>
      </w:r>
      <w:r w:rsidR="00BE7FD1">
        <w:rPr>
          <w:rFonts w:cs="Arial"/>
        </w:rPr>
        <w:t>20</w:t>
      </w:r>
      <w:r w:rsidR="00BE7FD1" w:rsidRPr="00C25249">
        <w:rPr>
          <w:rFonts w:cs="Arial"/>
        </w:rPr>
        <w:t>-week placebo</w:t>
      </w:r>
      <w:r w:rsidR="00BE7FD1">
        <w:rPr>
          <w:rFonts w:cs="Arial"/>
        </w:rPr>
        <w:t>-controlled period of the trial</w:t>
      </w:r>
      <w:r w:rsidR="00BE7FD1" w:rsidRPr="00C25249">
        <w:rPr>
          <w:rFonts w:cs="Arial"/>
        </w:rPr>
        <w:t xml:space="preserve"> in patients with </w:t>
      </w:r>
      <w:r w:rsidR="00BE7FD1">
        <w:rPr>
          <w:rFonts w:cs="Arial"/>
        </w:rPr>
        <w:t xml:space="preserve">non-radiographic axial </w:t>
      </w:r>
      <w:proofErr w:type="spellStart"/>
      <w:r w:rsidR="00BE7FD1">
        <w:rPr>
          <w:rFonts w:cs="Arial"/>
        </w:rPr>
        <w:t>spondyloarthritis</w:t>
      </w:r>
      <w:proofErr w:type="spellEnd"/>
      <w:r w:rsidR="00BE7FD1" w:rsidRPr="00C25249">
        <w:rPr>
          <w:rFonts w:cs="Arial"/>
        </w:rPr>
        <w:t xml:space="preserve">, the overall proportion of patients with adverse events was higher in the </w:t>
      </w:r>
      <w:proofErr w:type="spellStart"/>
      <w:r w:rsidR="00BE7FD1" w:rsidRPr="00C25249">
        <w:rPr>
          <w:rFonts w:cs="Arial"/>
        </w:rPr>
        <w:t>secukinumab</w:t>
      </w:r>
      <w:proofErr w:type="spellEnd"/>
      <w:r w:rsidR="00BE7FD1" w:rsidRPr="00C25249">
        <w:rPr>
          <w:rFonts w:cs="Arial"/>
        </w:rPr>
        <w:t xml:space="preserve"> groups than the placebo-treatment groups (</w:t>
      </w:r>
      <w:r w:rsidR="00CD2BEB">
        <w:rPr>
          <w:rFonts w:cs="Arial"/>
        </w:rPr>
        <w:t>61.2</w:t>
      </w:r>
      <w:r w:rsidR="00BE7FD1" w:rsidRPr="00673C3F">
        <w:rPr>
          <w:rFonts w:cs="Arial"/>
        </w:rPr>
        <w:t xml:space="preserve">% and </w:t>
      </w:r>
      <w:r w:rsidR="00CD2BEB">
        <w:rPr>
          <w:rFonts w:cs="Arial"/>
        </w:rPr>
        <w:t>54.3</w:t>
      </w:r>
      <w:r w:rsidR="00BE7FD1" w:rsidRPr="00673C3F">
        <w:rPr>
          <w:rFonts w:cs="Arial"/>
        </w:rPr>
        <w:t>%,</w:t>
      </w:r>
      <w:r w:rsidR="00BE7FD1" w:rsidRPr="00C25249">
        <w:rPr>
          <w:rFonts w:cs="Arial"/>
        </w:rPr>
        <w:t xml:space="preserve"> respectively). The adverse events that occurred at a proportion of at least 2% and at a higher proportion in the COSENTYX groups than the placebo group during the </w:t>
      </w:r>
      <w:r w:rsidR="00BE7FD1">
        <w:rPr>
          <w:rFonts w:cs="Arial"/>
        </w:rPr>
        <w:t>20</w:t>
      </w:r>
      <w:r w:rsidR="00BE7FD1" w:rsidRPr="00C25249">
        <w:rPr>
          <w:rFonts w:cs="Arial"/>
        </w:rPr>
        <w:t xml:space="preserve">-week placebo-controlled period were </w:t>
      </w:r>
      <w:proofErr w:type="spellStart"/>
      <w:r w:rsidR="00BE7FD1" w:rsidRPr="002F1E47">
        <w:rPr>
          <w:rFonts w:cs="Arial"/>
        </w:rPr>
        <w:t>nasopharyngitis</w:t>
      </w:r>
      <w:proofErr w:type="spellEnd"/>
      <w:r w:rsidR="00BE7FD1" w:rsidRPr="002F1E47">
        <w:rPr>
          <w:rFonts w:cs="Arial"/>
        </w:rPr>
        <w:t xml:space="preserve">, </w:t>
      </w:r>
      <w:r w:rsidR="002F1E47" w:rsidRPr="002D07A3">
        <w:rPr>
          <w:rFonts w:cs="Arial"/>
        </w:rPr>
        <w:t xml:space="preserve">diarrhoea, headache, </w:t>
      </w:r>
      <w:r w:rsidR="00BE7FD1" w:rsidRPr="002F1E47">
        <w:rPr>
          <w:rFonts w:cs="Arial"/>
        </w:rPr>
        <w:t>upper respiratory tract infection</w:t>
      </w:r>
      <w:r w:rsidR="002F1E47" w:rsidRPr="002F1E47">
        <w:rPr>
          <w:rFonts w:cs="Arial"/>
        </w:rPr>
        <w:t>, oropharyngeal pain, back pain, nausea, urinary tract infection, abdominal pain upper and tonsillitis</w:t>
      </w:r>
      <w:r w:rsidR="00BE7FD1" w:rsidRPr="00C25249">
        <w:rPr>
          <w:rFonts w:cs="Arial"/>
        </w:rPr>
        <w:t xml:space="preserve">. </w:t>
      </w:r>
      <w:r w:rsidRPr="0048253F">
        <w:rPr>
          <w:rFonts w:cs="Arial"/>
        </w:rPr>
        <w:t xml:space="preserve"> </w:t>
      </w:r>
    </w:p>
    <w:p w14:paraId="42E0665F" w14:textId="515A0A6B" w:rsidR="00AF4E63" w:rsidRPr="00733D88" w:rsidRDefault="00AF4E63" w:rsidP="00AF46A0">
      <w:pPr>
        <w:rPr>
          <w:rFonts w:cs="Arial"/>
        </w:rPr>
      </w:pPr>
      <w:r w:rsidRPr="00733D88">
        <w:rPr>
          <w:rFonts w:cs="Arial"/>
        </w:rPr>
        <w:t xml:space="preserve">The safety profile observed in patients with </w:t>
      </w:r>
      <w:r w:rsidR="009E1CC2" w:rsidRPr="002D07A3">
        <w:t xml:space="preserve">axial </w:t>
      </w:r>
      <w:proofErr w:type="spellStart"/>
      <w:r w:rsidR="009E1CC2" w:rsidRPr="002D07A3">
        <w:t>spondyloarthritis</w:t>
      </w:r>
      <w:proofErr w:type="spellEnd"/>
      <w:r w:rsidR="009E1CC2" w:rsidRPr="002D07A3">
        <w:t xml:space="preserve"> (</w:t>
      </w:r>
      <w:r w:rsidRPr="00733D88">
        <w:rPr>
          <w:rFonts w:cs="Arial"/>
        </w:rPr>
        <w:t>ankylosing spondylitis</w:t>
      </w:r>
      <w:r w:rsidR="009E1CC2" w:rsidRPr="002D07A3">
        <w:t xml:space="preserve"> and non-radiographic axial </w:t>
      </w:r>
      <w:proofErr w:type="spellStart"/>
      <w:r w:rsidR="009E1CC2" w:rsidRPr="002D07A3">
        <w:t>spondyloarthritis</w:t>
      </w:r>
      <w:proofErr w:type="spellEnd"/>
      <w:r w:rsidR="009E1CC2" w:rsidRPr="002D07A3">
        <w:t>)</w:t>
      </w:r>
      <w:r w:rsidRPr="00733D88">
        <w:rPr>
          <w:rFonts w:cs="Arial"/>
        </w:rPr>
        <w:t xml:space="preserve"> treated with COSENTYX is consistent with the safety profile in psoriasis.</w:t>
      </w:r>
    </w:p>
    <w:p w14:paraId="35C42FBE" w14:textId="735EF9EA" w:rsidR="00AF4E63" w:rsidRPr="002D07A3" w:rsidRDefault="00AF4E63" w:rsidP="00AF46A0">
      <w:pPr>
        <w:rPr>
          <w:rFonts w:cs="Arial"/>
        </w:rPr>
      </w:pPr>
      <w:r w:rsidRPr="002D07A3">
        <w:rPr>
          <w:rFonts w:cs="Arial"/>
        </w:rPr>
        <w:t xml:space="preserve">Similar to clinical trials in patients with psoriasis, there was an increased proportion of </w:t>
      </w:r>
      <w:r w:rsidR="00866388">
        <w:rPr>
          <w:rFonts w:cs="Arial"/>
        </w:rPr>
        <w:t xml:space="preserve">ankylosing spondylitis </w:t>
      </w:r>
      <w:r w:rsidRPr="002D07A3">
        <w:rPr>
          <w:rFonts w:cs="Arial"/>
        </w:rPr>
        <w:t>patients with infections in the COSENTYX groups (31%) compared to the placebo group (18%)</w:t>
      </w:r>
      <w:r w:rsidR="00866388">
        <w:rPr>
          <w:rFonts w:cs="Arial"/>
        </w:rPr>
        <w:t xml:space="preserve">. The proportion of non-radiographic axial </w:t>
      </w:r>
      <w:proofErr w:type="spellStart"/>
      <w:r w:rsidR="00866388">
        <w:rPr>
          <w:rFonts w:cs="Arial"/>
        </w:rPr>
        <w:t>spondyloarthritis</w:t>
      </w:r>
      <w:proofErr w:type="spellEnd"/>
      <w:r w:rsidR="00866388">
        <w:rPr>
          <w:rFonts w:cs="Arial"/>
        </w:rPr>
        <w:t xml:space="preserve"> patients with infections is similar in the COSENTYX groups (</w:t>
      </w:r>
      <w:r w:rsidR="008C0E09">
        <w:rPr>
          <w:rFonts w:cs="Arial"/>
        </w:rPr>
        <w:t>35.5</w:t>
      </w:r>
      <w:r w:rsidR="00866388">
        <w:rPr>
          <w:rFonts w:cs="Arial"/>
        </w:rPr>
        <w:t>%) compared to the placebo group (</w:t>
      </w:r>
      <w:r w:rsidR="008C0E09">
        <w:rPr>
          <w:rFonts w:cs="Arial"/>
        </w:rPr>
        <w:t>32.8</w:t>
      </w:r>
      <w:r w:rsidR="00866388">
        <w:rPr>
          <w:rFonts w:cs="Arial"/>
        </w:rPr>
        <w:t>%)</w:t>
      </w:r>
      <w:r w:rsidRPr="002D07A3">
        <w:rPr>
          <w:rFonts w:cs="Arial"/>
        </w:rPr>
        <w:t xml:space="preserve"> </w:t>
      </w:r>
      <w:r w:rsidRPr="002D07A3">
        <w:rPr>
          <w:rFonts w:cs="Arial"/>
          <w:iCs/>
        </w:rPr>
        <w:t xml:space="preserve">(see </w:t>
      </w:r>
      <w:r w:rsidR="003B15C9" w:rsidRPr="002D07A3">
        <w:rPr>
          <w:rFonts w:cs="Arial"/>
          <w:iCs/>
        </w:rPr>
        <w:t>section 4.4 SPECIAL WARNINGS AND PRECAUTIONS FOR USE</w:t>
      </w:r>
      <w:r w:rsidRPr="002D07A3">
        <w:rPr>
          <w:rFonts w:cs="Arial"/>
          <w:iCs/>
        </w:rPr>
        <w:t>)</w:t>
      </w:r>
      <w:r w:rsidRPr="002D07A3">
        <w:rPr>
          <w:rFonts w:cs="Arial"/>
        </w:rPr>
        <w:t>.</w:t>
      </w:r>
    </w:p>
    <w:p w14:paraId="42684EB6" w14:textId="62DB0ADC" w:rsidR="00AF4E63" w:rsidRPr="002D07A3" w:rsidRDefault="00AF4E63" w:rsidP="00AF46A0">
      <w:pPr>
        <w:rPr>
          <w:rFonts w:cs="Arial"/>
        </w:rPr>
      </w:pPr>
      <w:r w:rsidRPr="002D07A3">
        <w:rPr>
          <w:rFonts w:cs="Arial"/>
        </w:rPr>
        <w:t>In the ankylosing spondylitis program, with 571 patients exposed to COSENTYX there were 8 cases of inflammatory bowel disease during the entire treatment period (5 Crohn’s (0.7 per 100 patient-years) and 3 ulcerative colitis (0.4 per 100 patient-years)). During the placebo-controlled 16-week period, there were 2 Crohn’s disease exacerbations and 1 new onset ulcerative colitis case that was a serious adverse event in patients treated with COSENTYX compared to none of the patients treated with</w:t>
      </w:r>
      <w:r w:rsidRPr="002D07A3">
        <w:rPr>
          <w:rFonts w:ascii="Arial" w:hAnsi="Arial" w:cs="Arial"/>
          <w:sz w:val="20"/>
        </w:rPr>
        <w:t xml:space="preserve"> </w:t>
      </w:r>
      <w:r w:rsidRPr="002D07A3">
        <w:rPr>
          <w:rFonts w:cs="Arial"/>
        </w:rPr>
        <w:t>placebo. During the remainder of the study when all patients received COSENTYX, 1 patient developed Crohn’s disease, 2 patients had Crohn’s exacerbations, 1 patient developed ulcerative colitis, and 1 patient had an ulcerative colitis exacerbation</w:t>
      </w:r>
      <w:r w:rsidR="001E6011" w:rsidRPr="001520C6">
        <w:rPr>
          <w:rFonts w:cs="Arial"/>
        </w:rPr>
        <w:t xml:space="preserve">. In the non-radiographic axial </w:t>
      </w:r>
      <w:proofErr w:type="spellStart"/>
      <w:r w:rsidR="001E6011" w:rsidRPr="001520C6">
        <w:rPr>
          <w:rFonts w:cs="Arial"/>
        </w:rPr>
        <w:t>spondyloarthritis</w:t>
      </w:r>
      <w:proofErr w:type="spellEnd"/>
      <w:r w:rsidR="001E6011" w:rsidRPr="001520C6">
        <w:rPr>
          <w:rFonts w:cs="Arial"/>
        </w:rPr>
        <w:t xml:space="preserve"> program, with </w:t>
      </w:r>
      <w:r w:rsidR="001E6011">
        <w:rPr>
          <w:rFonts w:cs="Arial"/>
        </w:rPr>
        <w:t xml:space="preserve">524 patients exposed </w:t>
      </w:r>
      <w:r w:rsidR="001E6011" w:rsidRPr="001520C6">
        <w:rPr>
          <w:rFonts w:cs="Arial"/>
        </w:rPr>
        <w:t>to COSENTYX there were</w:t>
      </w:r>
      <w:r w:rsidR="004C0272" w:rsidRPr="001520C6">
        <w:rPr>
          <w:rFonts w:cs="Arial"/>
        </w:rPr>
        <w:t xml:space="preserve"> </w:t>
      </w:r>
      <w:r w:rsidR="00F05843">
        <w:rPr>
          <w:rFonts w:cs="Arial"/>
        </w:rPr>
        <w:t>7</w:t>
      </w:r>
      <w:r w:rsidR="004C0272" w:rsidRPr="001520C6">
        <w:rPr>
          <w:rFonts w:cs="Arial"/>
        </w:rPr>
        <w:t xml:space="preserve"> cases of inflammatory bowel disease during the entire treatment period (</w:t>
      </w:r>
      <w:r w:rsidR="00F05843">
        <w:rPr>
          <w:rFonts w:cs="Arial"/>
        </w:rPr>
        <w:t>5</w:t>
      </w:r>
      <w:r w:rsidR="004C0272" w:rsidRPr="001520C6">
        <w:rPr>
          <w:rFonts w:cs="Arial"/>
        </w:rPr>
        <w:t xml:space="preserve"> Crohn’s (</w:t>
      </w:r>
      <w:r w:rsidR="00A423C6" w:rsidRPr="001520C6">
        <w:rPr>
          <w:rFonts w:cs="Arial"/>
        </w:rPr>
        <w:t>0.</w:t>
      </w:r>
      <w:r w:rsidR="00F05843">
        <w:rPr>
          <w:rFonts w:cs="Arial"/>
        </w:rPr>
        <w:t>7</w:t>
      </w:r>
      <w:r w:rsidR="004C0272" w:rsidRPr="001520C6">
        <w:rPr>
          <w:rFonts w:cs="Arial"/>
        </w:rPr>
        <w:t xml:space="preserve"> per 100 patient-years) and </w:t>
      </w:r>
      <w:r w:rsidR="00F05843">
        <w:rPr>
          <w:rFonts w:cs="Arial"/>
        </w:rPr>
        <w:t>2</w:t>
      </w:r>
      <w:r w:rsidR="004C0272" w:rsidRPr="001520C6">
        <w:rPr>
          <w:rFonts w:cs="Arial"/>
        </w:rPr>
        <w:t xml:space="preserve"> ulcerative colitis (</w:t>
      </w:r>
      <w:r w:rsidR="00A423C6" w:rsidRPr="001520C6">
        <w:rPr>
          <w:rFonts w:cs="Arial"/>
        </w:rPr>
        <w:t>0.</w:t>
      </w:r>
      <w:r w:rsidR="00F05843">
        <w:rPr>
          <w:rFonts w:cs="Arial"/>
        </w:rPr>
        <w:t>3</w:t>
      </w:r>
      <w:r w:rsidR="004C0272" w:rsidRPr="00C25249">
        <w:rPr>
          <w:rFonts w:cs="Arial"/>
        </w:rPr>
        <w:t xml:space="preserve"> per 100 patient-years)). During the placebo-controlled </w:t>
      </w:r>
      <w:r w:rsidR="004C0272">
        <w:rPr>
          <w:rFonts w:cs="Arial"/>
        </w:rPr>
        <w:t>20</w:t>
      </w:r>
      <w:r w:rsidR="004C0272" w:rsidRPr="00C25249">
        <w:rPr>
          <w:rFonts w:cs="Arial"/>
        </w:rPr>
        <w:t>-week period, there w</w:t>
      </w:r>
      <w:r w:rsidR="009908D8">
        <w:rPr>
          <w:rFonts w:cs="Arial"/>
        </w:rPr>
        <w:t>as</w:t>
      </w:r>
      <w:r w:rsidR="004C0272" w:rsidRPr="00C25249">
        <w:rPr>
          <w:rFonts w:cs="Arial"/>
        </w:rPr>
        <w:t xml:space="preserve"> </w:t>
      </w:r>
      <w:r w:rsidR="00A66DFA">
        <w:rPr>
          <w:rFonts w:cs="Arial"/>
        </w:rPr>
        <w:t>1 new onset of</w:t>
      </w:r>
      <w:r w:rsidR="004C0272" w:rsidRPr="00C25249">
        <w:rPr>
          <w:rFonts w:cs="Arial"/>
        </w:rPr>
        <w:t xml:space="preserve"> Crohn’s disease in</w:t>
      </w:r>
      <w:r w:rsidR="009908D8">
        <w:rPr>
          <w:rFonts w:cs="Arial"/>
        </w:rPr>
        <w:t xml:space="preserve"> a </w:t>
      </w:r>
      <w:r w:rsidR="004C0272" w:rsidRPr="00C25249">
        <w:rPr>
          <w:rFonts w:cs="Arial"/>
        </w:rPr>
        <w:t>patient treated with COSENTYX compared to none of the patients treated with</w:t>
      </w:r>
      <w:r w:rsidR="004C0272" w:rsidRPr="00C25249">
        <w:rPr>
          <w:rFonts w:ascii="Arial" w:hAnsi="Arial" w:cs="Arial"/>
          <w:sz w:val="20"/>
        </w:rPr>
        <w:t xml:space="preserve"> </w:t>
      </w:r>
      <w:r w:rsidR="004C0272" w:rsidRPr="00C25249">
        <w:rPr>
          <w:rFonts w:cs="Arial"/>
        </w:rPr>
        <w:t>placebo. During the remainder of the study when all patients received COSENTYX,</w:t>
      </w:r>
      <w:r w:rsidR="001520C6">
        <w:rPr>
          <w:rFonts w:cs="Arial"/>
        </w:rPr>
        <w:t xml:space="preserve"> </w:t>
      </w:r>
      <w:r w:rsidR="000C675B">
        <w:rPr>
          <w:rFonts w:cs="Arial"/>
        </w:rPr>
        <w:t xml:space="preserve">3 patients developed Crohn’s disease, 1 patient had Crohn’s disease exacerbations, </w:t>
      </w:r>
      <w:r w:rsidR="00A423C6">
        <w:rPr>
          <w:rFonts w:cs="Arial"/>
        </w:rPr>
        <w:t>1</w:t>
      </w:r>
      <w:r w:rsidR="004C0272" w:rsidRPr="00C25249">
        <w:rPr>
          <w:rFonts w:cs="Arial"/>
        </w:rPr>
        <w:t xml:space="preserve"> patient developed ulcerative colitis</w:t>
      </w:r>
      <w:r w:rsidR="000C675B">
        <w:rPr>
          <w:rFonts w:cs="Arial"/>
        </w:rPr>
        <w:t>, and 1 patient had an ulcerative colitis exacerbation</w:t>
      </w:r>
      <w:r w:rsidRPr="001520C6">
        <w:rPr>
          <w:rFonts w:cs="Arial"/>
        </w:rPr>
        <w:t xml:space="preserve"> </w:t>
      </w:r>
      <w:r w:rsidRPr="002D07A3">
        <w:rPr>
          <w:rFonts w:cs="Arial"/>
          <w:iCs/>
        </w:rPr>
        <w:t xml:space="preserve">(see </w:t>
      </w:r>
      <w:r w:rsidR="003B15C9" w:rsidRPr="002D07A3">
        <w:rPr>
          <w:rFonts w:cs="Arial"/>
          <w:iCs/>
        </w:rPr>
        <w:t>section 4.4 SPECIAL WARNINGS AND PRECAUTIONS FOR USE</w:t>
      </w:r>
      <w:r w:rsidRPr="002D07A3">
        <w:rPr>
          <w:rFonts w:cs="Arial"/>
          <w:iCs/>
        </w:rPr>
        <w:t>)</w:t>
      </w:r>
      <w:r w:rsidRPr="002D07A3">
        <w:rPr>
          <w:rFonts w:cs="Arial"/>
        </w:rPr>
        <w:t>.</w:t>
      </w:r>
    </w:p>
    <w:p w14:paraId="36A068EB" w14:textId="77777777" w:rsidR="00AF4E63" w:rsidRPr="00FE59EB" w:rsidRDefault="00AF4E63" w:rsidP="00AF46A0">
      <w:pPr>
        <w:rPr>
          <w:rFonts w:asciiTheme="majorHAnsi" w:eastAsiaTheme="majorEastAsia" w:hAnsiTheme="majorHAnsi" w:cstheme="minorHAnsi"/>
          <w:b/>
          <w:bCs/>
        </w:rPr>
      </w:pPr>
      <w:r w:rsidRPr="00FE59EB">
        <w:rPr>
          <w:rFonts w:asciiTheme="majorHAnsi" w:eastAsiaTheme="majorEastAsia" w:hAnsiTheme="majorHAnsi" w:cstheme="minorHAnsi"/>
          <w:b/>
          <w:bCs/>
        </w:rPr>
        <w:t>Cholesterol and triglycerides</w:t>
      </w:r>
    </w:p>
    <w:p w14:paraId="42E5E02E" w14:textId="77777777" w:rsidR="00AF4E63" w:rsidRPr="00FE59EB" w:rsidRDefault="00AF4E63" w:rsidP="00AF46A0">
      <w:pPr>
        <w:rPr>
          <w:rFonts w:cs="Arial"/>
        </w:rPr>
      </w:pPr>
      <w:r w:rsidRPr="00FE59EB">
        <w:rPr>
          <w:rFonts w:cs="Arial"/>
        </w:rPr>
        <w:t xml:space="preserve">CTCAE Grade 1 and Grade 2 elevations of blood cholesterol and triglyceride levels were reported in patients receiving </w:t>
      </w:r>
      <w:proofErr w:type="spellStart"/>
      <w:r w:rsidRPr="00FE59EB">
        <w:rPr>
          <w:rFonts w:cs="Arial"/>
        </w:rPr>
        <w:t>secukinumab</w:t>
      </w:r>
      <w:proofErr w:type="spellEnd"/>
      <w:r w:rsidRPr="00FE59EB">
        <w:rPr>
          <w:rFonts w:cs="Arial"/>
        </w:rPr>
        <w:t xml:space="preserve"> compared to placebo in ankylosing spondylitis clinical trials. </w:t>
      </w:r>
    </w:p>
    <w:p w14:paraId="07D61244" w14:textId="77777777" w:rsidR="00AF4E63" w:rsidRPr="00FE59EB" w:rsidRDefault="00AF4E63" w:rsidP="00AF46A0">
      <w:pPr>
        <w:rPr>
          <w:rFonts w:cs="Arial"/>
        </w:rPr>
      </w:pPr>
      <w:r w:rsidRPr="00FE59EB">
        <w:rPr>
          <w:rFonts w:cs="Arial"/>
        </w:rPr>
        <w:t xml:space="preserve">The elevations of cholesterol levels were limited primarily to CTCAE Grade 1 (20.0% vs. 19.8%, respectively). Increase in CTCAE Grade 2 cholesterol levels was uncommon (0.8% vs. 0.0%, respectively) and no cases of CTCAE Grade 3 and Grade 4 cholesterol levels were observed in both </w:t>
      </w:r>
      <w:proofErr w:type="spellStart"/>
      <w:r w:rsidRPr="00FE59EB">
        <w:rPr>
          <w:rFonts w:cs="Arial"/>
        </w:rPr>
        <w:t>secukinumab</w:t>
      </w:r>
      <w:proofErr w:type="spellEnd"/>
      <w:r w:rsidRPr="00FE59EB">
        <w:rPr>
          <w:rFonts w:cs="Arial"/>
        </w:rPr>
        <w:t xml:space="preserve"> and placebo groups during the placebo controlled period. </w:t>
      </w:r>
    </w:p>
    <w:p w14:paraId="3A876E1B" w14:textId="72F1AE9B" w:rsidR="00AF4E63" w:rsidRPr="00FE59EB" w:rsidRDefault="00AF4E63" w:rsidP="00AF46A0">
      <w:pPr>
        <w:rPr>
          <w:rFonts w:cs="Arial"/>
        </w:rPr>
      </w:pPr>
      <w:r w:rsidRPr="00FE59EB">
        <w:rPr>
          <w:rFonts w:cs="Arial"/>
        </w:rPr>
        <w:t xml:space="preserve">An increase in blood triglycerides levels was also observed in ankylosing </w:t>
      </w:r>
      <w:r w:rsidR="0086583F" w:rsidRPr="00FE59EB">
        <w:rPr>
          <w:rFonts w:cs="Arial"/>
        </w:rPr>
        <w:t>s</w:t>
      </w:r>
      <w:r w:rsidRPr="00FE59EB">
        <w:rPr>
          <w:rFonts w:cs="Arial"/>
        </w:rPr>
        <w:t xml:space="preserve">pondylitis patients receiving </w:t>
      </w:r>
      <w:proofErr w:type="spellStart"/>
      <w:r w:rsidRPr="00FE59EB">
        <w:rPr>
          <w:rFonts w:cs="Arial"/>
        </w:rPr>
        <w:t>secukinumab</w:t>
      </w:r>
      <w:proofErr w:type="spellEnd"/>
      <w:r w:rsidRPr="00FE59EB">
        <w:rPr>
          <w:rFonts w:cs="Arial"/>
        </w:rPr>
        <w:t xml:space="preserve"> or placebo (CTCAE Grade 1: 17.8% vs. 17.1%, Grade 2: 2.7% vs. 2.7%, and Grade 3: 0.8% vs. 0.5%, respectively). No cases of CTCAE Grade 4 triglyceride levels were reported during the placebo-controlled period.  </w:t>
      </w:r>
    </w:p>
    <w:p w14:paraId="7897CC82" w14:textId="74649E10" w:rsidR="00AF4E63" w:rsidRPr="002D07A3" w:rsidRDefault="00AF4E63" w:rsidP="00AF46A0">
      <w:pPr>
        <w:rPr>
          <w:rFonts w:cs="Arial"/>
        </w:rPr>
      </w:pPr>
      <w:r w:rsidRPr="00FE59EB">
        <w:rPr>
          <w:rFonts w:cs="Arial"/>
        </w:rPr>
        <w:t xml:space="preserve">Elevations (mainly CTCAE Grade 1 and Grade 2) in cholesterol and triglycerides were also observed during long-term treatment with </w:t>
      </w:r>
      <w:proofErr w:type="spellStart"/>
      <w:r w:rsidRPr="00FE59EB">
        <w:rPr>
          <w:rFonts w:cs="Arial"/>
        </w:rPr>
        <w:t>secukinumab</w:t>
      </w:r>
      <w:proofErr w:type="spellEnd"/>
      <w:r w:rsidRPr="00FE59EB">
        <w:rPr>
          <w:rFonts w:cs="Arial"/>
        </w:rPr>
        <w:t>.</w:t>
      </w:r>
    </w:p>
    <w:p w14:paraId="7A4EDE44" w14:textId="0AA5510D" w:rsidR="00FE59EB" w:rsidRDefault="00FE59EB" w:rsidP="00AF46A0">
      <w:pPr>
        <w:rPr>
          <w:rFonts w:cs="Arial"/>
        </w:rPr>
      </w:pPr>
      <w:r w:rsidRPr="00C25249">
        <w:rPr>
          <w:rFonts w:cs="Arial"/>
        </w:rPr>
        <w:t xml:space="preserve">CTCAE Grade 1 and Grade 2 elevations of blood cholesterol and triglyceride levels were </w:t>
      </w:r>
      <w:r>
        <w:rPr>
          <w:rFonts w:cs="Arial"/>
        </w:rPr>
        <w:t xml:space="preserve">also </w:t>
      </w:r>
      <w:r w:rsidRPr="00C25249">
        <w:rPr>
          <w:rFonts w:cs="Arial"/>
        </w:rPr>
        <w:t xml:space="preserve">reported in patients receiving </w:t>
      </w:r>
      <w:proofErr w:type="spellStart"/>
      <w:r w:rsidRPr="00C25249">
        <w:rPr>
          <w:rFonts w:cs="Arial"/>
        </w:rPr>
        <w:t>secukinumab</w:t>
      </w:r>
      <w:proofErr w:type="spellEnd"/>
      <w:r w:rsidRPr="00C25249">
        <w:rPr>
          <w:rFonts w:cs="Arial"/>
        </w:rPr>
        <w:t xml:space="preserve"> compared to placebo in </w:t>
      </w:r>
      <w:r>
        <w:rPr>
          <w:rFonts w:cs="Arial"/>
        </w:rPr>
        <w:t xml:space="preserve">the non-radiographic axial </w:t>
      </w:r>
      <w:proofErr w:type="spellStart"/>
      <w:r>
        <w:rPr>
          <w:rFonts w:cs="Arial"/>
        </w:rPr>
        <w:t>spondyloarthritis</w:t>
      </w:r>
      <w:proofErr w:type="spellEnd"/>
      <w:r w:rsidRPr="00C25249">
        <w:rPr>
          <w:rFonts w:cs="Arial"/>
        </w:rPr>
        <w:t xml:space="preserve"> clinical trial. </w:t>
      </w:r>
    </w:p>
    <w:p w14:paraId="797E91E3" w14:textId="72873716" w:rsidR="00FE59EB" w:rsidRPr="00C25249" w:rsidRDefault="00FE59EB" w:rsidP="00AF46A0">
      <w:pPr>
        <w:rPr>
          <w:rFonts w:cs="Arial"/>
        </w:rPr>
      </w:pPr>
      <w:r w:rsidRPr="00C25249">
        <w:rPr>
          <w:rFonts w:cs="Arial"/>
        </w:rPr>
        <w:t xml:space="preserve">An increase in </w:t>
      </w:r>
      <w:r>
        <w:rPr>
          <w:rFonts w:cs="Arial"/>
        </w:rPr>
        <w:t>cholesterol</w:t>
      </w:r>
      <w:r w:rsidRPr="00C25249">
        <w:rPr>
          <w:rFonts w:cs="Arial"/>
        </w:rPr>
        <w:t xml:space="preserve"> levels was observed in </w:t>
      </w:r>
      <w:r>
        <w:rPr>
          <w:rFonts w:cs="Arial"/>
        </w:rPr>
        <w:t xml:space="preserve">non-radiographic axial </w:t>
      </w:r>
      <w:proofErr w:type="spellStart"/>
      <w:r>
        <w:rPr>
          <w:rFonts w:cs="Arial"/>
        </w:rPr>
        <w:t>spondyloarthritis</w:t>
      </w:r>
      <w:proofErr w:type="spellEnd"/>
      <w:r w:rsidRPr="00C25249">
        <w:rPr>
          <w:rFonts w:cs="Arial"/>
        </w:rPr>
        <w:t xml:space="preserve"> patients receiving </w:t>
      </w:r>
      <w:proofErr w:type="spellStart"/>
      <w:r w:rsidRPr="00C25249">
        <w:rPr>
          <w:rFonts w:cs="Arial"/>
        </w:rPr>
        <w:t>secukinumab</w:t>
      </w:r>
      <w:proofErr w:type="spellEnd"/>
      <w:r w:rsidRPr="00C25249">
        <w:rPr>
          <w:rFonts w:cs="Arial"/>
        </w:rPr>
        <w:t xml:space="preserve"> or placebo (CTCAE Grade 1: </w:t>
      </w:r>
      <w:r>
        <w:rPr>
          <w:rFonts w:cs="Arial"/>
        </w:rPr>
        <w:t>16.2</w:t>
      </w:r>
      <w:r w:rsidRPr="00C25249">
        <w:rPr>
          <w:rFonts w:cs="Arial"/>
        </w:rPr>
        <w:t xml:space="preserve">% vs. </w:t>
      </w:r>
      <w:r>
        <w:rPr>
          <w:rFonts w:cs="Arial"/>
        </w:rPr>
        <w:t>15.8</w:t>
      </w:r>
      <w:r w:rsidRPr="00C25249">
        <w:rPr>
          <w:rFonts w:cs="Arial"/>
        </w:rPr>
        <w:t xml:space="preserve">%, Grade 2: </w:t>
      </w:r>
      <w:r w:rsidR="00980ECC">
        <w:rPr>
          <w:rFonts w:cs="Arial"/>
        </w:rPr>
        <w:t>0.8</w:t>
      </w:r>
      <w:r w:rsidRPr="00C25249">
        <w:rPr>
          <w:rFonts w:cs="Arial"/>
        </w:rPr>
        <w:t xml:space="preserve">% vs. </w:t>
      </w:r>
      <w:r w:rsidR="00980ECC">
        <w:rPr>
          <w:rFonts w:cs="Arial"/>
        </w:rPr>
        <w:t>0.6</w:t>
      </w:r>
      <w:r w:rsidRPr="00C25249">
        <w:rPr>
          <w:rFonts w:cs="Arial"/>
        </w:rPr>
        <w:t xml:space="preserve">%, and Grade 3: </w:t>
      </w:r>
      <w:r>
        <w:rPr>
          <w:rFonts w:cs="Arial"/>
        </w:rPr>
        <w:t>0.</w:t>
      </w:r>
      <w:r w:rsidR="00980ECC">
        <w:rPr>
          <w:rFonts w:cs="Arial"/>
        </w:rPr>
        <w:t>3</w:t>
      </w:r>
      <w:r w:rsidRPr="00C25249">
        <w:rPr>
          <w:rFonts w:cs="Arial"/>
        </w:rPr>
        <w:t>% vs. 0.</w:t>
      </w:r>
      <w:r w:rsidR="00980ECC">
        <w:rPr>
          <w:rFonts w:cs="Arial"/>
        </w:rPr>
        <w:t>0</w:t>
      </w:r>
      <w:r w:rsidRPr="00C25249">
        <w:rPr>
          <w:rFonts w:cs="Arial"/>
        </w:rPr>
        <w:t xml:space="preserve">%, respectively). No cases of CTCAE Grade 4 </w:t>
      </w:r>
      <w:r w:rsidR="00980ECC">
        <w:rPr>
          <w:rFonts w:cs="Arial"/>
        </w:rPr>
        <w:t>cholesterol</w:t>
      </w:r>
      <w:r w:rsidRPr="00C25249">
        <w:rPr>
          <w:rFonts w:cs="Arial"/>
        </w:rPr>
        <w:t xml:space="preserve"> levels were reported during the placebo-controlled period.  </w:t>
      </w:r>
    </w:p>
    <w:p w14:paraId="4543EE69" w14:textId="459DBFD8" w:rsidR="00FE59EB" w:rsidRPr="00C25249" w:rsidRDefault="00FE59EB" w:rsidP="00AF46A0">
      <w:pPr>
        <w:rPr>
          <w:rFonts w:cs="Arial"/>
        </w:rPr>
      </w:pPr>
      <w:r w:rsidRPr="00C25249">
        <w:rPr>
          <w:rFonts w:cs="Arial"/>
        </w:rPr>
        <w:t xml:space="preserve">An increase in blood triglycerides levels was also observed in </w:t>
      </w:r>
      <w:r>
        <w:rPr>
          <w:rFonts w:cs="Arial"/>
        </w:rPr>
        <w:t xml:space="preserve">non-radiographic axial </w:t>
      </w:r>
      <w:proofErr w:type="spellStart"/>
      <w:r>
        <w:rPr>
          <w:rFonts w:cs="Arial"/>
        </w:rPr>
        <w:t>spondyloarthritis</w:t>
      </w:r>
      <w:proofErr w:type="spellEnd"/>
      <w:r w:rsidRPr="00C25249">
        <w:rPr>
          <w:rFonts w:cs="Arial"/>
        </w:rPr>
        <w:t xml:space="preserve"> patients receiving </w:t>
      </w:r>
      <w:proofErr w:type="spellStart"/>
      <w:r w:rsidRPr="00C25249">
        <w:rPr>
          <w:rFonts w:cs="Arial"/>
        </w:rPr>
        <w:t>secukinumab</w:t>
      </w:r>
      <w:proofErr w:type="spellEnd"/>
      <w:r w:rsidRPr="00C25249">
        <w:rPr>
          <w:rFonts w:cs="Arial"/>
        </w:rPr>
        <w:t xml:space="preserve"> or placebo (CTCAE Grade 1: </w:t>
      </w:r>
      <w:r>
        <w:rPr>
          <w:rFonts w:cs="Arial"/>
        </w:rPr>
        <w:t>18.0</w:t>
      </w:r>
      <w:r w:rsidRPr="00C25249">
        <w:rPr>
          <w:rFonts w:cs="Arial"/>
        </w:rPr>
        <w:t xml:space="preserve">% vs. </w:t>
      </w:r>
      <w:r>
        <w:rPr>
          <w:rFonts w:cs="Arial"/>
        </w:rPr>
        <w:t>21.0</w:t>
      </w:r>
      <w:r w:rsidRPr="00C25249">
        <w:rPr>
          <w:rFonts w:cs="Arial"/>
        </w:rPr>
        <w:t xml:space="preserve">%, Grade 2: </w:t>
      </w:r>
      <w:r>
        <w:rPr>
          <w:rFonts w:cs="Arial"/>
        </w:rPr>
        <w:t>3.2</w:t>
      </w:r>
      <w:r w:rsidRPr="00C25249">
        <w:rPr>
          <w:rFonts w:cs="Arial"/>
        </w:rPr>
        <w:t xml:space="preserve">% vs. </w:t>
      </w:r>
      <w:r>
        <w:rPr>
          <w:rFonts w:cs="Arial"/>
        </w:rPr>
        <w:t>3.4</w:t>
      </w:r>
      <w:r w:rsidRPr="00C25249">
        <w:rPr>
          <w:rFonts w:cs="Arial"/>
        </w:rPr>
        <w:t xml:space="preserve">%, and Grade 3: </w:t>
      </w:r>
      <w:r>
        <w:rPr>
          <w:rFonts w:cs="Arial"/>
        </w:rPr>
        <w:t>0.6</w:t>
      </w:r>
      <w:r w:rsidRPr="00C25249">
        <w:rPr>
          <w:rFonts w:cs="Arial"/>
        </w:rPr>
        <w:t xml:space="preserve">% vs. 0.5%, respectively). No cases of CTCAE Grade 4 triglyceride levels were reported during the placebo-controlled period.  </w:t>
      </w:r>
    </w:p>
    <w:p w14:paraId="5310B10A" w14:textId="2D7335C4" w:rsidR="00FE59EB" w:rsidRPr="00FE59EB" w:rsidRDefault="00FE59EB" w:rsidP="00AF46A0">
      <w:pPr>
        <w:rPr>
          <w:rFonts w:cs="Arial"/>
        </w:rPr>
      </w:pPr>
      <w:r w:rsidRPr="00C25249">
        <w:rPr>
          <w:rFonts w:cs="Arial"/>
        </w:rPr>
        <w:t xml:space="preserve">Elevations (mainly CTCAE Grade 1 and Grade 2) in cholesterol and triglycerides were also observed during long-term treatment with </w:t>
      </w:r>
      <w:proofErr w:type="spellStart"/>
      <w:r w:rsidRPr="00C25249">
        <w:rPr>
          <w:rFonts w:cs="Arial"/>
        </w:rPr>
        <w:t>secukinumab</w:t>
      </w:r>
      <w:proofErr w:type="spellEnd"/>
      <w:r w:rsidRPr="00C25249">
        <w:rPr>
          <w:rFonts w:cs="Arial"/>
        </w:rPr>
        <w:t>.</w:t>
      </w:r>
    </w:p>
    <w:p w14:paraId="728D9B19" w14:textId="77777777" w:rsidR="00AF4E63" w:rsidRPr="00247D3E" w:rsidRDefault="00AF4E63" w:rsidP="00AF46A0">
      <w:pPr>
        <w:rPr>
          <w:rFonts w:asciiTheme="majorHAnsi" w:eastAsiaTheme="majorEastAsia" w:hAnsiTheme="majorHAnsi" w:cstheme="minorHAnsi"/>
          <w:b/>
          <w:bCs/>
        </w:rPr>
      </w:pPr>
      <w:r w:rsidRPr="00247D3E">
        <w:rPr>
          <w:rFonts w:asciiTheme="majorHAnsi" w:eastAsiaTheme="majorEastAsia" w:hAnsiTheme="majorHAnsi" w:cstheme="minorHAnsi"/>
          <w:b/>
          <w:bCs/>
        </w:rPr>
        <w:t>Hepatic transaminases</w:t>
      </w:r>
    </w:p>
    <w:p w14:paraId="3D84024C" w14:textId="748DAFC0" w:rsidR="00AF4E63" w:rsidRPr="002D07A3" w:rsidRDefault="00AF4E63" w:rsidP="00AF46A0">
      <w:pPr>
        <w:rPr>
          <w:rFonts w:cs="Arial"/>
        </w:rPr>
      </w:pPr>
      <w:r w:rsidRPr="002D07A3">
        <w:rPr>
          <w:rFonts w:cs="Arial"/>
        </w:rPr>
        <w:t xml:space="preserve">During the placebo-controlled period, increased incidence of elevated hepatic transaminases was observed in ankylosing spondylitis patients treated with </w:t>
      </w:r>
      <w:proofErr w:type="spellStart"/>
      <w:r w:rsidRPr="002D07A3">
        <w:rPr>
          <w:rFonts w:cs="Arial"/>
        </w:rPr>
        <w:t>secukinumab</w:t>
      </w:r>
      <w:proofErr w:type="spellEnd"/>
      <w:r w:rsidRPr="002D07A3">
        <w:rPr>
          <w:rFonts w:cs="Arial"/>
        </w:rPr>
        <w:t xml:space="preserve"> compared to placebo. The elevations in hepatic transaminases were seen primarily in CTCAE Grade 1 (ALT: 16.6% vs 7.1%; AST: 11.3% vs. 7.0%, </w:t>
      </w:r>
      <w:r w:rsidRPr="00247D3E">
        <w:rPr>
          <w:rFonts w:cs="Arial"/>
        </w:rPr>
        <w:t>respectively</w:t>
      </w:r>
      <w:r w:rsidRPr="002D07A3">
        <w:rPr>
          <w:rFonts w:cs="Arial"/>
        </w:rPr>
        <w:t xml:space="preserve">). Increase in CTCAE Grade 2 and Grade 3 hepatic transaminase levels was uncommon in both </w:t>
      </w:r>
      <w:proofErr w:type="spellStart"/>
      <w:r w:rsidRPr="002D07A3">
        <w:rPr>
          <w:rFonts w:cs="Arial"/>
        </w:rPr>
        <w:t>secukinumab</w:t>
      </w:r>
      <w:proofErr w:type="spellEnd"/>
      <w:r w:rsidRPr="002D07A3">
        <w:rPr>
          <w:rFonts w:cs="Arial"/>
        </w:rPr>
        <w:t xml:space="preserve"> and placebo groups (Grade 2 ALT: 1.0% vs. 0.5%, AST: 0.5% vs. 0.0%; Grade 3 ALT: 0.8% vs. 0.0%, AST: 0.8% vs.1.6%, </w:t>
      </w:r>
      <w:r w:rsidRPr="00247D3E">
        <w:rPr>
          <w:rFonts w:cs="Arial"/>
        </w:rPr>
        <w:t xml:space="preserve">respectively). One case of CTCAE Grade 4 ALT levels </w:t>
      </w:r>
      <w:r w:rsidRPr="002D07A3">
        <w:rPr>
          <w:rFonts w:cs="Arial"/>
        </w:rPr>
        <w:t xml:space="preserve">was reported in the placebo group and no cases of CTCAE Grade 4 ALT and AST levels were reported in the </w:t>
      </w:r>
      <w:proofErr w:type="spellStart"/>
      <w:r w:rsidRPr="002D07A3">
        <w:rPr>
          <w:rFonts w:cs="Arial"/>
        </w:rPr>
        <w:t>sec</w:t>
      </w:r>
      <w:r w:rsidR="00AF46A0">
        <w:rPr>
          <w:rFonts w:cs="Arial"/>
        </w:rPr>
        <w:t>ukinumab</w:t>
      </w:r>
      <w:proofErr w:type="spellEnd"/>
      <w:r w:rsidR="00AF46A0">
        <w:rPr>
          <w:rFonts w:cs="Arial"/>
        </w:rPr>
        <w:t xml:space="preserve"> group.</w:t>
      </w:r>
    </w:p>
    <w:p w14:paraId="0C58ECF6" w14:textId="502B185A" w:rsidR="00AF4E63" w:rsidRPr="00247D3E" w:rsidRDefault="00AF4E63" w:rsidP="00AF46A0">
      <w:pPr>
        <w:rPr>
          <w:rFonts w:cs="Arial"/>
        </w:rPr>
      </w:pPr>
      <w:r w:rsidRPr="002D07A3">
        <w:rPr>
          <w:rFonts w:cs="Arial"/>
        </w:rPr>
        <w:t xml:space="preserve">Elevations (mainly CTCAE Grade 1 and Grade 2) in ALT and AST was also observed during the long-term treatment with </w:t>
      </w:r>
      <w:proofErr w:type="spellStart"/>
      <w:r w:rsidRPr="002D07A3">
        <w:rPr>
          <w:rFonts w:cs="Arial"/>
        </w:rPr>
        <w:t>secukinumab</w:t>
      </w:r>
      <w:proofErr w:type="spellEnd"/>
      <w:r w:rsidRPr="002D07A3">
        <w:rPr>
          <w:rFonts w:cs="Arial"/>
        </w:rPr>
        <w:t>.</w:t>
      </w:r>
    </w:p>
    <w:p w14:paraId="432F3D07" w14:textId="19C77B4F" w:rsidR="00247D3E" w:rsidRPr="002D07A3" w:rsidRDefault="00247D3E" w:rsidP="00AF46A0">
      <w:pPr>
        <w:rPr>
          <w:rFonts w:cs="Arial"/>
        </w:rPr>
      </w:pPr>
      <w:r w:rsidRPr="002D07A3">
        <w:rPr>
          <w:rFonts w:cs="Arial"/>
        </w:rPr>
        <w:t xml:space="preserve">During the placebo-controlled period, increased incidence of elevated hepatic transaminases was observed in </w:t>
      </w:r>
      <w:r w:rsidR="00B94F93">
        <w:rPr>
          <w:rFonts w:cs="Arial"/>
        </w:rPr>
        <w:t xml:space="preserve">non-radiographic axial </w:t>
      </w:r>
      <w:proofErr w:type="spellStart"/>
      <w:r w:rsidR="00B94F93">
        <w:rPr>
          <w:rFonts w:cs="Arial"/>
        </w:rPr>
        <w:t>spondyloarthritis</w:t>
      </w:r>
      <w:proofErr w:type="spellEnd"/>
      <w:r w:rsidRPr="002D07A3">
        <w:rPr>
          <w:rFonts w:cs="Arial"/>
        </w:rPr>
        <w:t xml:space="preserve"> patients treated with </w:t>
      </w:r>
      <w:proofErr w:type="spellStart"/>
      <w:r w:rsidRPr="002D07A3">
        <w:rPr>
          <w:rFonts w:cs="Arial"/>
        </w:rPr>
        <w:t>secukinumab</w:t>
      </w:r>
      <w:proofErr w:type="spellEnd"/>
      <w:r w:rsidRPr="002D07A3">
        <w:rPr>
          <w:rFonts w:cs="Arial"/>
        </w:rPr>
        <w:t xml:space="preserve"> compared to placebo. The elevations in hepatic transaminases were seen primarily in CTCAE Grade 1 (ALT: </w:t>
      </w:r>
      <w:r w:rsidR="00B94F93">
        <w:rPr>
          <w:rFonts w:cs="Arial"/>
        </w:rPr>
        <w:t>12.9</w:t>
      </w:r>
      <w:r w:rsidRPr="002D07A3">
        <w:rPr>
          <w:rFonts w:cs="Arial"/>
        </w:rPr>
        <w:t xml:space="preserve">% vs </w:t>
      </w:r>
      <w:r w:rsidR="00B94F93">
        <w:rPr>
          <w:rFonts w:cs="Arial"/>
        </w:rPr>
        <w:t>9.5</w:t>
      </w:r>
      <w:r w:rsidRPr="002D07A3">
        <w:rPr>
          <w:rFonts w:cs="Arial"/>
        </w:rPr>
        <w:t xml:space="preserve">%; AST: </w:t>
      </w:r>
      <w:r w:rsidR="00B94F93">
        <w:rPr>
          <w:rFonts w:cs="Arial"/>
        </w:rPr>
        <w:t>11.1</w:t>
      </w:r>
      <w:r w:rsidRPr="002D07A3">
        <w:rPr>
          <w:rFonts w:cs="Arial"/>
        </w:rPr>
        <w:t xml:space="preserve">% vs. </w:t>
      </w:r>
      <w:r w:rsidR="00B94F93">
        <w:rPr>
          <w:rFonts w:cs="Arial"/>
        </w:rPr>
        <w:t>2.8</w:t>
      </w:r>
      <w:r w:rsidRPr="002D07A3">
        <w:rPr>
          <w:rFonts w:cs="Arial"/>
        </w:rPr>
        <w:t xml:space="preserve">%, respectively). Increase in CTCAE Grade 2 and Grade 3 hepatic transaminase levels was uncommon in both </w:t>
      </w:r>
      <w:proofErr w:type="spellStart"/>
      <w:r w:rsidRPr="002D07A3">
        <w:rPr>
          <w:rFonts w:cs="Arial"/>
        </w:rPr>
        <w:t>secukinumab</w:t>
      </w:r>
      <w:proofErr w:type="spellEnd"/>
      <w:r w:rsidRPr="002D07A3">
        <w:rPr>
          <w:rFonts w:cs="Arial"/>
        </w:rPr>
        <w:t xml:space="preserve"> and placebo groups (Grade 2 ALT: </w:t>
      </w:r>
      <w:r w:rsidR="00B94F93">
        <w:rPr>
          <w:rFonts w:cs="Arial"/>
        </w:rPr>
        <w:t>1.1</w:t>
      </w:r>
      <w:r w:rsidRPr="002D07A3">
        <w:rPr>
          <w:rFonts w:cs="Arial"/>
        </w:rPr>
        <w:t>% vs. 0.5%, AST: 0.5% vs. 0.0%; Grade 3 ALT: 0.</w:t>
      </w:r>
      <w:r w:rsidR="00B94F93">
        <w:rPr>
          <w:rFonts w:cs="Arial"/>
        </w:rPr>
        <w:t>0</w:t>
      </w:r>
      <w:r w:rsidRPr="002D07A3">
        <w:rPr>
          <w:rFonts w:cs="Arial"/>
        </w:rPr>
        <w:t>% vs. 0.0%, AST: 0.</w:t>
      </w:r>
      <w:r w:rsidR="00B94F93">
        <w:rPr>
          <w:rFonts w:cs="Arial"/>
        </w:rPr>
        <w:t>3</w:t>
      </w:r>
      <w:r w:rsidRPr="002D07A3">
        <w:rPr>
          <w:rFonts w:cs="Arial"/>
        </w:rPr>
        <w:t>% vs.</w:t>
      </w:r>
      <w:r w:rsidR="00B94F93">
        <w:rPr>
          <w:rFonts w:cs="Arial"/>
        </w:rPr>
        <w:t>0.5</w:t>
      </w:r>
      <w:r w:rsidRPr="002D07A3">
        <w:rPr>
          <w:rFonts w:cs="Arial"/>
        </w:rPr>
        <w:t>%, respectively</w:t>
      </w:r>
      <w:r w:rsidR="00B94F93">
        <w:rPr>
          <w:rFonts w:cs="Arial"/>
        </w:rPr>
        <w:t>). N</w:t>
      </w:r>
      <w:r w:rsidRPr="002D07A3">
        <w:rPr>
          <w:rFonts w:cs="Arial"/>
        </w:rPr>
        <w:t xml:space="preserve">o cases of CTCAE Grade 4 ALT and AST levels were reported </w:t>
      </w:r>
      <w:r w:rsidR="00B94F93">
        <w:rPr>
          <w:rFonts w:cs="Arial"/>
        </w:rPr>
        <w:t>during the placebo-controlled period</w:t>
      </w:r>
      <w:r w:rsidR="00AF46A0">
        <w:rPr>
          <w:rFonts w:cs="Arial"/>
        </w:rPr>
        <w:t>.</w:t>
      </w:r>
    </w:p>
    <w:p w14:paraId="20520565" w14:textId="0F8237E9" w:rsidR="00247D3E" w:rsidRPr="00733D88" w:rsidRDefault="00247D3E" w:rsidP="00AF46A0">
      <w:pPr>
        <w:rPr>
          <w:rFonts w:cstheme="minorHAnsi"/>
        </w:rPr>
      </w:pPr>
      <w:r w:rsidRPr="002D07A3">
        <w:rPr>
          <w:rFonts w:cs="Arial"/>
        </w:rPr>
        <w:t xml:space="preserve">Elevations (mainly CTCAE Grade 1 and Grade 2) in ALT and AST was also observed during the long-term treatment with </w:t>
      </w:r>
      <w:proofErr w:type="spellStart"/>
      <w:r w:rsidRPr="002D07A3">
        <w:rPr>
          <w:rFonts w:cs="Arial"/>
        </w:rPr>
        <w:t>secukinumab</w:t>
      </w:r>
      <w:proofErr w:type="spellEnd"/>
      <w:r w:rsidRPr="002D07A3">
        <w:rPr>
          <w:rFonts w:cs="Arial"/>
        </w:rPr>
        <w:t>.</w:t>
      </w:r>
    </w:p>
    <w:p w14:paraId="4A875A8E" w14:textId="77777777" w:rsidR="001A3992" w:rsidRPr="00733D88" w:rsidRDefault="001A3992" w:rsidP="00AF46A0">
      <w:pPr>
        <w:pStyle w:val="Heading2"/>
        <w:spacing w:before="0" w:after="120"/>
        <w:ind w:left="578" w:hanging="578"/>
        <w:rPr>
          <w:rFonts w:cstheme="minorHAnsi"/>
        </w:rPr>
      </w:pPr>
      <w:r w:rsidRPr="00733D88">
        <w:rPr>
          <w:rFonts w:cstheme="minorHAnsi"/>
        </w:rPr>
        <w:t>Overdose</w:t>
      </w:r>
    </w:p>
    <w:p w14:paraId="45A9D479" w14:textId="77777777" w:rsidR="008A42F5" w:rsidRPr="00733D88" w:rsidRDefault="008A42F5" w:rsidP="00AF46A0">
      <w:pPr>
        <w:rPr>
          <w:rFonts w:cs="Arial"/>
        </w:rPr>
      </w:pPr>
      <w:r w:rsidRPr="00733D88">
        <w:rPr>
          <w:rFonts w:cs="Arial"/>
        </w:rPr>
        <w:t>No case of overdose has been reported in clinical studies.</w:t>
      </w:r>
    </w:p>
    <w:p w14:paraId="1F490C76" w14:textId="77777777" w:rsidR="008A42F5" w:rsidRPr="00733D88" w:rsidRDefault="008A42F5" w:rsidP="00AF46A0">
      <w:pPr>
        <w:rPr>
          <w:rFonts w:cs="Arial"/>
        </w:rPr>
      </w:pPr>
      <w:r w:rsidRPr="00733D88">
        <w:rPr>
          <w:rFonts w:cs="Arial"/>
        </w:rPr>
        <w:t xml:space="preserve">Doses up to 30 mg/kg (i.e. approximately 2,000 mg to 3,000 mg) have been administered intravenously in clinical studies without dose-limiting toxicity. </w:t>
      </w:r>
    </w:p>
    <w:p w14:paraId="506FD0ED" w14:textId="77777777" w:rsidR="008A42F5" w:rsidRPr="00733D88" w:rsidRDefault="008A42F5" w:rsidP="00AF46A0">
      <w:pPr>
        <w:rPr>
          <w:rFonts w:cs="Arial"/>
        </w:rPr>
      </w:pPr>
      <w:r w:rsidRPr="00733D88">
        <w:rPr>
          <w:rFonts w:cs="Arial"/>
        </w:rPr>
        <w:t>In the event of overdose, it is recommended that the patient be monitored for any signs or symptoms of adverse reactions and appropriate symptomatic treatment be instituted immediately.</w:t>
      </w:r>
    </w:p>
    <w:p w14:paraId="6CAEE791" w14:textId="77777777" w:rsidR="00497C85" w:rsidRPr="00733D88" w:rsidRDefault="00497C85" w:rsidP="00AF46A0">
      <w:pPr>
        <w:rPr>
          <w:rFonts w:cstheme="minorHAnsi"/>
        </w:rPr>
      </w:pPr>
      <w:r w:rsidRPr="002D07A3">
        <w:rPr>
          <w:rFonts w:cstheme="minorHAnsi"/>
        </w:rPr>
        <w:t>For information on the management of overdose, contact the Poisons Information Centre on 13 11 26 (Australia).</w:t>
      </w:r>
    </w:p>
    <w:p w14:paraId="0CF68CDB" w14:textId="77777777" w:rsidR="001A3992" w:rsidRPr="002D07A3" w:rsidRDefault="001A3992" w:rsidP="00AF46A0">
      <w:pPr>
        <w:pStyle w:val="Heading1"/>
        <w:spacing w:before="0" w:after="120"/>
        <w:rPr>
          <w:rFonts w:cstheme="minorHAnsi"/>
        </w:rPr>
      </w:pPr>
      <w:r w:rsidRPr="002D07A3">
        <w:rPr>
          <w:rFonts w:cstheme="minorHAnsi"/>
        </w:rPr>
        <w:t>Pharmacological properties</w:t>
      </w:r>
    </w:p>
    <w:p w14:paraId="698665AD" w14:textId="77777777" w:rsidR="00AF4E63" w:rsidRPr="00733D88" w:rsidRDefault="00AF4E63" w:rsidP="00AF46A0">
      <w:pPr>
        <w:rPr>
          <w:rFonts w:cs="Arial"/>
        </w:rPr>
      </w:pPr>
      <w:proofErr w:type="spellStart"/>
      <w:r w:rsidRPr="00733D88">
        <w:rPr>
          <w:rFonts w:cs="Arial"/>
        </w:rPr>
        <w:t>Pharmacotherapeutic</w:t>
      </w:r>
      <w:proofErr w:type="spellEnd"/>
      <w:r w:rsidRPr="00733D88">
        <w:rPr>
          <w:rFonts w:cs="Arial"/>
        </w:rPr>
        <w:t xml:space="preserve"> group</w:t>
      </w:r>
      <w:r w:rsidRPr="00733D88">
        <w:rPr>
          <w:rFonts w:cs="Arial"/>
          <w:b/>
        </w:rPr>
        <w:t xml:space="preserve">: </w:t>
      </w:r>
      <w:r w:rsidRPr="00733D88">
        <w:rPr>
          <w:rFonts w:cs="Arial"/>
        </w:rPr>
        <w:t>interleukin inhibitors; ATC Code</w:t>
      </w:r>
      <w:r w:rsidRPr="00733D88">
        <w:rPr>
          <w:rFonts w:cs="Arial"/>
          <w:b/>
        </w:rPr>
        <w:t xml:space="preserve">: </w:t>
      </w:r>
      <w:r w:rsidRPr="00733D88">
        <w:rPr>
          <w:rFonts w:cs="Arial"/>
        </w:rPr>
        <w:t>L04AC10</w:t>
      </w:r>
    </w:p>
    <w:p w14:paraId="63F79FEC" w14:textId="77777777" w:rsidR="001A3992" w:rsidRPr="002D07A3" w:rsidRDefault="001A3992" w:rsidP="00AF46A0">
      <w:pPr>
        <w:pStyle w:val="Heading2"/>
        <w:spacing w:before="0" w:after="120"/>
        <w:ind w:left="567"/>
        <w:rPr>
          <w:rFonts w:cstheme="minorHAnsi"/>
        </w:rPr>
      </w:pPr>
      <w:r w:rsidRPr="002D07A3">
        <w:rPr>
          <w:rFonts w:cstheme="minorHAnsi"/>
        </w:rPr>
        <w:t xml:space="preserve">Pharmacodynamic properties </w:t>
      </w:r>
    </w:p>
    <w:p w14:paraId="2DBF072A" w14:textId="77777777" w:rsidR="00AF4E63" w:rsidRPr="00733D88" w:rsidRDefault="00AF4E63" w:rsidP="00AF46A0">
      <w:pPr>
        <w:rPr>
          <w:rFonts w:cs="Arial"/>
        </w:rPr>
      </w:pPr>
      <w:r w:rsidRPr="00733D88">
        <w:rPr>
          <w:rFonts w:cs="Arial"/>
        </w:rPr>
        <w:t xml:space="preserve">Serum levels of total IL-17A (free and </w:t>
      </w:r>
      <w:proofErr w:type="spellStart"/>
      <w:r w:rsidRPr="00733D88">
        <w:rPr>
          <w:rFonts w:cs="Arial"/>
        </w:rPr>
        <w:t>secukinumab</w:t>
      </w:r>
      <w:proofErr w:type="spellEnd"/>
      <w:r w:rsidRPr="00733D88">
        <w:rPr>
          <w:rFonts w:cs="Arial"/>
        </w:rPr>
        <w:t xml:space="preserve">-bound IL-17A) are increased due to reduced clearance of </w:t>
      </w:r>
      <w:proofErr w:type="spellStart"/>
      <w:r w:rsidRPr="00733D88">
        <w:rPr>
          <w:rFonts w:cs="Arial"/>
        </w:rPr>
        <w:t>secukinumab</w:t>
      </w:r>
      <w:proofErr w:type="spellEnd"/>
      <w:r w:rsidRPr="00733D88">
        <w:rPr>
          <w:rFonts w:cs="Arial"/>
        </w:rPr>
        <w:t xml:space="preserve">-bound IL-17A within 2 to 7 days in patients receiving </w:t>
      </w:r>
      <w:proofErr w:type="spellStart"/>
      <w:r w:rsidRPr="00733D88">
        <w:rPr>
          <w:rFonts w:cs="Arial"/>
        </w:rPr>
        <w:t>secukinumab</w:t>
      </w:r>
      <w:proofErr w:type="spellEnd"/>
      <w:r w:rsidRPr="00733D88">
        <w:rPr>
          <w:rFonts w:cs="Arial"/>
        </w:rPr>
        <w:t xml:space="preserve">, indicating that </w:t>
      </w:r>
      <w:proofErr w:type="spellStart"/>
      <w:r w:rsidRPr="00733D88">
        <w:rPr>
          <w:rFonts w:cs="Arial"/>
        </w:rPr>
        <w:t>secukinumab</w:t>
      </w:r>
      <w:proofErr w:type="spellEnd"/>
      <w:r w:rsidRPr="00733D88">
        <w:rPr>
          <w:rFonts w:cs="Arial"/>
        </w:rPr>
        <w:t xml:space="preserve"> selectively captures free IL-17A which plays a key role in the pathogenesis of plaque psoriasis.</w:t>
      </w:r>
    </w:p>
    <w:p w14:paraId="1482955A" w14:textId="77777777" w:rsidR="00AF4E63" w:rsidRPr="00733D88" w:rsidRDefault="00AF4E63" w:rsidP="00AF46A0">
      <w:pPr>
        <w:rPr>
          <w:rFonts w:cs="Arial"/>
        </w:rPr>
      </w:pPr>
      <w:r w:rsidRPr="00733D88">
        <w:rPr>
          <w:rFonts w:cs="Arial"/>
        </w:rPr>
        <w:t xml:space="preserve">In a study with </w:t>
      </w:r>
      <w:proofErr w:type="spellStart"/>
      <w:r w:rsidRPr="00733D88">
        <w:rPr>
          <w:rFonts w:cs="Arial"/>
        </w:rPr>
        <w:t>secukinumab</w:t>
      </w:r>
      <w:proofErr w:type="spellEnd"/>
      <w:r w:rsidRPr="00733D88">
        <w:rPr>
          <w:rFonts w:cs="Arial"/>
        </w:rPr>
        <w:t xml:space="preserve">, infiltrating epidermal neutrophils and various neutrophil associated markers that are increased in </w:t>
      </w:r>
      <w:proofErr w:type="spellStart"/>
      <w:r w:rsidRPr="00733D88">
        <w:rPr>
          <w:rFonts w:cs="Arial"/>
        </w:rPr>
        <w:t>lesional</w:t>
      </w:r>
      <w:proofErr w:type="spellEnd"/>
      <w:r w:rsidRPr="00733D88">
        <w:rPr>
          <w:rFonts w:cs="Arial"/>
        </w:rPr>
        <w:t xml:space="preserve"> skin of plaque psoriasis patients were significantly reduced after one to two weeks of treatment. </w:t>
      </w:r>
    </w:p>
    <w:p w14:paraId="70A84EEC" w14:textId="296E914E" w:rsidR="00AF4E63" w:rsidRPr="00733D88" w:rsidRDefault="00AF4E63" w:rsidP="00AF46A0">
      <w:pPr>
        <w:rPr>
          <w:rFonts w:cs="Arial"/>
        </w:rPr>
      </w:pPr>
      <w:proofErr w:type="spellStart"/>
      <w:r w:rsidRPr="00733D88">
        <w:rPr>
          <w:rFonts w:cs="Arial"/>
        </w:rPr>
        <w:t>Secukinumab</w:t>
      </w:r>
      <w:proofErr w:type="spellEnd"/>
      <w:r w:rsidRPr="00733D88">
        <w:rPr>
          <w:rFonts w:cs="Arial"/>
        </w:rPr>
        <w:t xml:space="preserve"> has been shown to lower (within 1 to 2 weeks of treatment) levels of C-reactive protein, which is a marker of inflammation in psoriatic arthritis and </w:t>
      </w:r>
      <w:r w:rsidR="00457C40" w:rsidRPr="00733D88">
        <w:t xml:space="preserve">axial </w:t>
      </w:r>
      <w:proofErr w:type="spellStart"/>
      <w:r w:rsidR="00457C40" w:rsidRPr="00733D88">
        <w:t>spondyloarthritis</w:t>
      </w:r>
      <w:proofErr w:type="spellEnd"/>
      <w:r w:rsidR="00457C40" w:rsidRPr="00733D88">
        <w:t xml:space="preserve"> (</w:t>
      </w:r>
      <w:r w:rsidRPr="00733D88">
        <w:rPr>
          <w:rFonts w:cs="Arial"/>
        </w:rPr>
        <w:t>ankylosing spondylitis</w:t>
      </w:r>
      <w:r w:rsidR="00457C40" w:rsidRPr="00733D88">
        <w:t xml:space="preserve"> and non-radiographic axial </w:t>
      </w:r>
      <w:proofErr w:type="spellStart"/>
      <w:r w:rsidR="00457C40" w:rsidRPr="00733D88">
        <w:t>spondyloarthritis</w:t>
      </w:r>
      <w:proofErr w:type="spellEnd"/>
      <w:r w:rsidR="00457C40" w:rsidRPr="00733D88">
        <w:t>)</w:t>
      </w:r>
      <w:r w:rsidRPr="00733D88">
        <w:rPr>
          <w:rFonts w:cs="Arial"/>
        </w:rPr>
        <w:t>.</w:t>
      </w:r>
    </w:p>
    <w:p w14:paraId="03E89A8A" w14:textId="77777777" w:rsidR="001A3992" w:rsidRPr="00733D88" w:rsidRDefault="001A3992" w:rsidP="00AF46A0">
      <w:pPr>
        <w:pStyle w:val="Heading3"/>
        <w:spacing w:before="0" w:after="120"/>
        <w:ind w:left="0"/>
        <w:rPr>
          <w:rFonts w:cstheme="minorHAnsi"/>
        </w:rPr>
      </w:pPr>
      <w:r w:rsidRPr="00733D88">
        <w:rPr>
          <w:rFonts w:cstheme="minorHAnsi"/>
        </w:rPr>
        <w:t>Mechanism of action</w:t>
      </w:r>
    </w:p>
    <w:p w14:paraId="70685538" w14:textId="1345C519" w:rsidR="002D5871" w:rsidRPr="00733D88" w:rsidRDefault="00AF4E63" w:rsidP="00AF46A0">
      <w:proofErr w:type="spellStart"/>
      <w:r w:rsidRPr="00733D88">
        <w:rPr>
          <w:rFonts w:cs="Arial"/>
        </w:rPr>
        <w:t>Secukinumab</w:t>
      </w:r>
      <w:proofErr w:type="spellEnd"/>
      <w:r w:rsidRPr="00733D88">
        <w:rPr>
          <w:rFonts w:cs="Arial"/>
        </w:rPr>
        <w:t xml:space="preserve"> is a fully human IgG1 antibody that selectively binds to and neutralises the </w:t>
      </w:r>
      <w:proofErr w:type="spellStart"/>
      <w:r w:rsidRPr="00733D88">
        <w:rPr>
          <w:rFonts w:cs="Arial"/>
        </w:rPr>
        <w:t>proinflammatory</w:t>
      </w:r>
      <w:proofErr w:type="spellEnd"/>
      <w:r w:rsidRPr="00733D88">
        <w:rPr>
          <w:rFonts w:cs="Arial"/>
        </w:rPr>
        <w:t xml:space="preserve"> cytokine interleukin-17A (IL-17A). IL-17A is a naturally occurring cytokine that is involved in normal inflammatory and immune responses. IL-17A plays a key role in the pathogenesis of plaque psoriasis, psoriatic arthritis, and </w:t>
      </w:r>
      <w:r w:rsidR="002D5871" w:rsidRPr="00733D88">
        <w:t xml:space="preserve">axial </w:t>
      </w:r>
      <w:proofErr w:type="spellStart"/>
      <w:r w:rsidR="002D5871" w:rsidRPr="00733D88">
        <w:t>spondyloarthritis</w:t>
      </w:r>
      <w:proofErr w:type="spellEnd"/>
      <w:r w:rsidR="002D5871" w:rsidRPr="00733D88">
        <w:t xml:space="preserve"> (</w:t>
      </w:r>
      <w:r w:rsidRPr="00733D88">
        <w:rPr>
          <w:rFonts w:cs="Arial"/>
        </w:rPr>
        <w:t>ankylosing spondylitis</w:t>
      </w:r>
      <w:r w:rsidR="002D5871" w:rsidRPr="00733D88">
        <w:t xml:space="preserve"> and non-radiographic axial </w:t>
      </w:r>
      <w:proofErr w:type="spellStart"/>
      <w:r w:rsidR="002D5871" w:rsidRPr="00733D88">
        <w:t>spondyloarthritis</w:t>
      </w:r>
      <w:proofErr w:type="spellEnd"/>
      <w:r w:rsidR="002D5871" w:rsidRPr="00733D88">
        <w:t>)</w:t>
      </w:r>
      <w:r w:rsidRPr="00733D88">
        <w:rPr>
          <w:rFonts w:cs="Arial"/>
        </w:rPr>
        <w:t xml:space="preserve">. Increased numbers of IL-17A producing lymphocytes and innate immune cells and increased levels of IL-17A have been found in the blood of patients with plaque psoriasis, psoriatic arthritis, and </w:t>
      </w:r>
      <w:r w:rsidR="002D5871" w:rsidRPr="00733D88">
        <w:t xml:space="preserve">axial </w:t>
      </w:r>
      <w:proofErr w:type="spellStart"/>
      <w:r w:rsidR="002D5871" w:rsidRPr="00733D88">
        <w:t>spondyloarthritis</w:t>
      </w:r>
      <w:proofErr w:type="spellEnd"/>
      <w:r w:rsidRPr="00733D88">
        <w:rPr>
          <w:rFonts w:cs="Arial"/>
        </w:rPr>
        <w:t xml:space="preserve"> and affected skin of patients with plaque psoriasis. IL-17A is highly up-regulated in </w:t>
      </w:r>
      <w:proofErr w:type="spellStart"/>
      <w:r w:rsidRPr="00733D88">
        <w:rPr>
          <w:rFonts w:cs="Arial"/>
        </w:rPr>
        <w:t>lesional</w:t>
      </w:r>
      <w:proofErr w:type="spellEnd"/>
      <w:r w:rsidRPr="00733D88">
        <w:rPr>
          <w:rFonts w:cs="Arial"/>
        </w:rPr>
        <w:t xml:space="preserve"> skin in contrast to non-</w:t>
      </w:r>
      <w:proofErr w:type="spellStart"/>
      <w:r w:rsidRPr="00733D88">
        <w:rPr>
          <w:rFonts w:cs="Arial"/>
        </w:rPr>
        <w:t>lesional</w:t>
      </w:r>
      <w:proofErr w:type="spellEnd"/>
      <w:r w:rsidRPr="00733D88">
        <w:rPr>
          <w:rFonts w:cs="Arial"/>
        </w:rPr>
        <w:t xml:space="preserve"> skin of plaque psoriasis patients. Higher frequency of IL-17- producing cells was detected in the synovial fluid of patients with psoriatic arthritis and in the subchondral bone marrow of facet joints from patients with </w:t>
      </w:r>
      <w:r w:rsidR="002D5871" w:rsidRPr="00733D88">
        <w:t xml:space="preserve">axial </w:t>
      </w:r>
      <w:proofErr w:type="spellStart"/>
      <w:r w:rsidR="002D5871" w:rsidRPr="00733D88">
        <w:t>spondyloarthritis</w:t>
      </w:r>
      <w:proofErr w:type="spellEnd"/>
      <w:r w:rsidRPr="00733D88">
        <w:rPr>
          <w:rFonts w:cs="Arial"/>
        </w:rPr>
        <w:t xml:space="preserve">. </w:t>
      </w:r>
      <w:r w:rsidR="002D5871" w:rsidRPr="00733D88">
        <w:rPr>
          <w:rFonts w:cs="Arial"/>
        </w:rPr>
        <w:t xml:space="preserve"> </w:t>
      </w:r>
      <w:r w:rsidR="002D5871" w:rsidRPr="00733D88">
        <w:t xml:space="preserve">Inhibition of IL-17A was shown to be effective in the treatment of AS, thus establishing the key role of this cytokine in axial </w:t>
      </w:r>
      <w:proofErr w:type="spellStart"/>
      <w:r w:rsidR="002D5871" w:rsidRPr="00733D88">
        <w:t>spondyloarthritis</w:t>
      </w:r>
      <w:proofErr w:type="spellEnd"/>
      <w:r w:rsidR="002D5871" w:rsidRPr="00733D88">
        <w:t xml:space="preserve"> (see Clinical </w:t>
      </w:r>
      <w:r w:rsidR="001603B3" w:rsidRPr="00733D88">
        <w:t>t</w:t>
      </w:r>
      <w:r w:rsidR="002D5871" w:rsidRPr="00733D88">
        <w:t xml:space="preserve">rials). </w:t>
      </w:r>
    </w:p>
    <w:p w14:paraId="0D7D5BB4" w14:textId="24A1DB57" w:rsidR="00AF4E63" w:rsidRPr="00733D88" w:rsidRDefault="00AF4E63" w:rsidP="00AF46A0">
      <w:pPr>
        <w:rPr>
          <w:rFonts w:cs="Arial"/>
        </w:rPr>
      </w:pPr>
      <w:r w:rsidRPr="00733D88">
        <w:rPr>
          <w:rFonts w:cs="Arial"/>
        </w:rPr>
        <w:t xml:space="preserve">IL-17A also promotes tissue inflammation, neutrophil infiltration, bone and tissue destruction, and tissue remodelling including angiogenesis and fibrosis. </w:t>
      </w:r>
    </w:p>
    <w:p w14:paraId="1D33CB61" w14:textId="77777777" w:rsidR="00AF4E63" w:rsidRPr="00733D88" w:rsidRDefault="00AF4E63" w:rsidP="00AF46A0">
      <w:proofErr w:type="spellStart"/>
      <w:r w:rsidRPr="00733D88">
        <w:rPr>
          <w:rFonts w:cs="Arial"/>
        </w:rPr>
        <w:t>Secukinumab</w:t>
      </w:r>
      <w:proofErr w:type="spellEnd"/>
      <w:r w:rsidRPr="00733D88">
        <w:rPr>
          <w:rFonts w:cs="Arial"/>
        </w:rPr>
        <w:t xml:space="preserve"> works by targeting IL-17A and inhibiting its interaction with the IL-17 receptor, which is expressed on various cell types including keratinocytes. As a result, </w:t>
      </w:r>
      <w:proofErr w:type="spellStart"/>
      <w:r w:rsidRPr="00733D88">
        <w:rPr>
          <w:rFonts w:cs="Arial"/>
        </w:rPr>
        <w:t>secukinumab</w:t>
      </w:r>
      <w:proofErr w:type="spellEnd"/>
      <w:r w:rsidRPr="00733D88">
        <w:rPr>
          <w:rFonts w:cs="Arial"/>
        </w:rPr>
        <w:t xml:space="preserve"> inhibits the release of </w:t>
      </w:r>
      <w:proofErr w:type="spellStart"/>
      <w:r w:rsidRPr="00733D88">
        <w:rPr>
          <w:rFonts w:cs="Arial"/>
        </w:rPr>
        <w:t>proinflammatory</w:t>
      </w:r>
      <w:proofErr w:type="spellEnd"/>
      <w:r w:rsidRPr="00733D88">
        <w:rPr>
          <w:rFonts w:cs="Arial"/>
        </w:rPr>
        <w:t xml:space="preserve"> cytokines, chemokines and mediators of tissue damage and reduces IL-17A-mediated contributions to autoimmune and inflammatory diseases. Clinically relevant levels of </w:t>
      </w:r>
      <w:proofErr w:type="spellStart"/>
      <w:r w:rsidRPr="00733D88">
        <w:rPr>
          <w:rFonts w:cs="Arial"/>
        </w:rPr>
        <w:t>secukinumab</w:t>
      </w:r>
      <w:proofErr w:type="spellEnd"/>
      <w:r w:rsidRPr="00733D88">
        <w:rPr>
          <w:rFonts w:cs="Arial"/>
        </w:rPr>
        <w:t xml:space="preserve"> reach the skin and reduce local inflammatory markers.  As a direct consequence, treatment with </w:t>
      </w:r>
      <w:proofErr w:type="spellStart"/>
      <w:r w:rsidRPr="00733D88">
        <w:rPr>
          <w:rFonts w:cs="Arial"/>
        </w:rPr>
        <w:t>secukinumab</w:t>
      </w:r>
      <w:proofErr w:type="spellEnd"/>
      <w:r w:rsidRPr="00733D88">
        <w:rPr>
          <w:rFonts w:cs="Arial"/>
        </w:rPr>
        <w:t xml:space="preserve"> reduces erythema, induration, and desquamation present in plaque psoriasis lesions.</w:t>
      </w:r>
    </w:p>
    <w:p w14:paraId="670E0A8C" w14:textId="2E7C3F4D" w:rsidR="001A3992" w:rsidRPr="002D07A3" w:rsidRDefault="001A3992" w:rsidP="00AF46A0">
      <w:pPr>
        <w:pStyle w:val="Heading3"/>
        <w:spacing w:before="0" w:after="120"/>
        <w:ind w:left="0"/>
        <w:rPr>
          <w:rFonts w:cstheme="minorHAnsi"/>
        </w:rPr>
      </w:pPr>
      <w:r w:rsidRPr="00733D88">
        <w:rPr>
          <w:rFonts w:cstheme="minorHAnsi"/>
        </w:rPr>
        <w:t>Clinical</w:t>
      </w:r>
      <w:r w:rsidRPr="002D07A3">
        <w:rPr>
          <w:rFonts w:cstheme="minorHAnsi"/>
        </w:rPr>
        <w:t xml:space="preserve"> trials</w:t>
      </w:r>
    </w:p>
    <w:p w14:paraId="20B7938C" w14:textId="77777777" w:rsidR="00F62A4F" w:rsidRPr="00733D88" w:rsidRDefault="00F62A4F" w:rsidP="00AF46A0">
      <w:pPr>
        <w:spacing w:after="120"/>
        <w:rPr>
          <w:rFonts w:ascii="Arial" w:hAnsi="Arial" w:cs="Arial"/>
          <w:b/>
          <w:u w:val="single"/>
        </w:rPr>
      </w:pPr>
      <w:r w:rsidRPr="00733D88">
        <w:rPr>
          <w:rFonts w:asciiTheme="majorHAnsi" w:eastAsiaTheme="majorEastAsia" w:hAnsiTheme="majorHAnsi" w:cstheme="minorHAnsi"/>
          <w:b/>
          <w:bCs/>
          <w:u w:val="single"/>
        </w:rPr>
        <w:t>Plaque psoriasis</w:t>
      </w:r>
    </w:p>
    <w:p w14:paraId="3DA430E9" w14:textId="77777777" w:rsidR="00F62A4F" w:rsidRPr="00733D88" w:rsidRDefault="00F62A4F" w:rsidP="00AF46A0">
      <w:pPr>
        <w:rPr>
          <w:rFonts w:cs="Arial"/>
        </w:rPr>
      </w:pPr>
      <w:r w:rsidRPr="00733D88">
        <w:rPr>
          <w:rFonts w:cs="Arial"/>
        </w:rPr>
        <w:t xml:space="preserve">The safety and efficacy of COSENTYX were evaluated versus placebo or </w:t>
      </w:r>
      <w:proofErr w:type="spellStart"/>
      <w:r w:rsidRPr="00733D88">
        <w:rPr>
          <w:rFonts w:cs="Arial"/>
        </w:rPr>
        <w:t>etanercept</w:t>
      </w:r>
      <w:proofErr w:type="spellEnd"/>
      <w:r w:rsidRPr="00733D88">
        <w:rPr>
          <w:rFonts w:cs="Arial"/>
        </w:rPr>
        <w:t xml:space="preserve"> in four randomised, double-blind, placebo-controlled phase 3 studies in adult patients with moderate to severe chronic plaque-type psoriasis poorly controlled by topical treatments and / or phototherapy and / or previous systemic therapy (ERASURE, FIXTURE, FEATURE, and JUNCTURE). The safety and efficacy of COSENTYX were evaluated versus placebo or </w:t>
      </w:r>
      <w:proofErr w:type="spellStart"/>
      <w:r w:rsidRPr="00733D88">
        <w:rPr>
          <w:rFonts w:cs="Arial"/>
        </w:rPr>
        <w:t>etanercept</w:t>
      </w:r>
      <w:proofErr w:type="spellEnd"/>
      <w:r w:rsidRPr="00733D88">
        <w:rPr>
          <w:rFonts w:cs="Arial"/>
        </w:rPr>
        <w:t xml:space="preserve"> in four randomised, double-blind,</w:t>
      </w:r>
      <w:r w:rsidRPr="00733D88">
        <w:rPr>
          <w:rFonts w:ascii="Arial" w:hAnsi="Arial" w:cs="Arial"/>
          <w:sz w:val="20"/>
        </w:rPr>
        <w:t xml:space="preserve"> </w:t>
      </w:r>
      <w:r w:rsidRPr="00733D88">
        <w:rPr>
          <w:rFonts w:cs="Arial"/>
        </w:rPr>
        <w:t xml:space="preserve">placebo-controlled phase 3 studies in patients with moderate to severe plaque psoriasis who were candidates for phototherapy or systemic therapy (ERASURE, FIXTURE, FEATURE, and JUNCTURE). In addition, one study assessed a chronic treatment regimen versus a ‘retreatment as needed’ regimen (SCULPTURE). The co-primary endpoints in the placebo and active controlled studies were the proportion of patients who achieved a PASI 75 response and IGA mod 2011 ’clear’ or ‘almost clear’ response versus placebo at Week 12. </w:t>
      </w:r>
    </w:p>
    <w:p w14:paraId="34631610" w14:textId="77777777" w:rsidR="00AF46A0" w:rsidRDefault="00AF46A0" w:rsidP="00AF46A0">
      <w:pPr>
        <w:rPr>
          <w:rFonts w:cs="Arial"/>
        </w:rPr>
      </w:pPr>
    </w:p>
    <w:p w14:paraId="5EF52652" w14:textId="2305E65C" w:rsidR="00F62A4F" w:rsidRPr="00733D88" w:rsidRDefault="00F62A4F" w:rsidP="00AF46A0">
      <w:pPr>
        <w:rPr>
          <w:rFonts w:cs="Arial"/>
        </w:rPr>
      </w:pPr>
      <w:r w:rsidRPr="00733D88">
        <w:rPr>
          <w:rFonts w:cs="Arial"/>
        </w:rPr>
        <w:t xml:space="preserve">Key exclusion criteria across pivotal trials were: forms of psoriasis other than chronic plaque-type; drug-induced psoriasis; ongoing use of certain psoriasis treatments, e.g. topical or systemic corticosteroids or UV therapy; patients with active, ongoing inflammatory disease; patients with active, ongoing, chronic or recurrent infectious disease; evidence of tuberculosis infection (enrolment was allowed for patients with latent tuberculosis if appropriate treatment was initiated and maintained according to the local treatment guideline); history of HIV, hepatitis B or hepatitis C; underlying immunocompromising conditions; presence of lymphoproliferative disease, malignancy or history of malignancy within the past 5 years; significant medical problems including uncontrolled hypertension and congestive heart failure (NYHA Class III and IV); patients with serum creatinine &gt;176.8 </w:t>
      </w:r>
      <w:proofErr w:type="spellStart"/>
      <w:r w:rsidRPr="00733D88">
        <w:rPr>
          <w:rFonts w:cs="Arial"/>
        </w:rPr>
        <w:t>micromol</w:t>
      </w:r>
      <w:proofErr w:type="spellEnd"/>
      <w:r w:rsidRPr="00733D88">
        <w:rPr>
          <w:rFonts w:cs="Arial"/>
        </w:rPr>
        <w:t>/L or with white blood cell count &lt;2,500 /</w:t>
      </w:r>
      <w:proofErr w:type="spellStart"/>
      <w:r w:rsidRPr="00733D88">
        <w:rPr>
          <w:rFonts w:cs="Arial"/>
        </w:rPr>
        <w:t>microL</w:t>
      </w:r>
      <w:proofErr w:type="spellEnd"/>
      <w:r w:rsidRPr="00733D88">
        <w:rPr>
          <w:rFonts w:cs="Arial"/>
        </w:rPr>
        <w:t>, platelets &lt;100,000/</w:t>
      </w:r>
      <w:proofErr w:type="spellStart"/>
      <w:r w:rsidRPr="00733D88">
        <w:rPr>
          <w:rFonts w:cs="Arial"/>
        </w:rPr>
        <w:t>microL</w:t>
      </w:r>
      <w:proofErr w:type="spellEnd"/>
      <w:r w:rsidRPr="00733D88">
        <w:rPr>
          <w:rFonts w:cs="Arial"/>
        </w:rPr>
        <w:t>, neutrophils &lt;1,500/</w:t>
      </w:r>
      <w:proofErr w:type="spellStart"/>
      <w:r w:rsidRPr="00733D88">
        <w:rPr>
          <w:rFonts w:cs="Arial"/>
        </w:rPr>
        <w:t>microL</w:t>
      </w:r>
      <w:proofErr w:type="spellEnd"/>
      <w:r w:rsidRPr="00733D88">
        <w:rPr>
          <w:rFonts w:cs="Arial"/>
        </w:rPr>
        <w:t xml:space="preserve"> or haemoglobin &lt;8.5 g/</w:t>
      </w:r>
      <w:proofErr w:type="spellStart"/>
      <w:r w:rsidRPr="00733D88">
        <w:rPr>
          <w:rFonts w:cs="Arial"/>
        </w:rPr>
        <w:t>dL</w:t>
      </w:r>
      <w:proofErr w:type="spellEnd"/>
      <w:r w:rsidRPr="00733D88">
        <w:rPr>
          <w:rFonts w:cs="Arial"/>
        </w:rPr>
        <w:t>; pregnant or nursing women; and women of child-bearing potential not using effective contraception during the study.</w:t>
      </w:r>
    </w:p>
    <w:p w14:paraId="7DCC0328" w14:textId="77777777" w:rsidR="00F62A4F" w:rsidRPr="00733D88" w:rsidRDefault="00F62A4F" w:rsidP="00AF46A0">
      <w:pPr>
        <w:rPr>
          <w:rFonts w:cs="Arial"/>
        </w:rPr>
      </w:pPr>
      <w:r w:rsidRPr="00733D88">
        <w:rPr>
          <w:rFonts w:cs="Arial"/>
        </w:rPr>
        <w:t>Of the 2,403 patients who were included in the placebo-controlled studies, 79 % were biologic-naïve, 45 % were non-biologic failures, 8 % were biologic failures, 6 % were anti-TNF failures, and 2 % were anti-p40 failures. Baseline disease characteristics were generally consistent across all treatment groups with a median baseline Psoriasis Area Severity Index (PASI) score from 19 to 20, IGA mod 2011 baseline score ranged from “moderate” (62 %) to “severe” (38 %), median baseline Body Surface Area (BSA) ≥ 27 and median Dermatology Life Quality Index (DLQI) score from 10 to 12. Approximately 15 to 25 % of patients in phase III studies had psoriatic arthritis (</w:t>
      </w:r>
      <w:proofErr w:type="spellStart"/>
      <w:r w:rsidRPr="00733D88">
        <w:rPr>
          <w:rFonts w:cs="Arial"/>
        </w:rPr>
        <w:t>PsA</w:t>
      </w:r>
      <w:proofErr w:type="spellEnd"/>
      <w:r w:rsidRPr="00733D88">
        <w:rPr>
          <w:rFonts w:cs="Arial"/>
        </w:rPr>
        <w:t xml:space="preserve">) at baseline. </w:t>
      </w:r>
    </w:p>
    <w:p w14:paraId="16A220E7" w14:textId="77777777"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ERASURE Study (A2302)</w:t>
      </w:r>
    </w:p>
    <w:p w14:paraId="64D4EBB2" w14:textId="77777777" w:rsidR="00F62A4F" w:rsidRPr="00733D88" w:rsidRDefault="00F62A4F" w:rsidP="00AF46A0">
      <w:pPr>
        <w:rPr>
          <w:rFonts w:cs="Arial"/>
        </w:rPr>
      </w:pPr>
      <w:r w:rsidRPr="00733D88">
        <w:rPr>
          <w:rFonts w:cs="Arial"/>
        </w:rPr>
        <w:t>This trial evaluated 738 patients. Patients were randomised to COSENTYX received 150 mg or 300 mg doses at weeks 0, 1, 2, 3, and 4 followed by the same dose every month. Patients were randomised to receive placebo who were non-responders at week 12 were then crossed over to receive COSENTYX (either 150 mg or 300 mg) at weeks 12, 13, 14, and 15, followed by the same dose every month starting at week 16. All patients were followed for up to 52 weeks following first administration of study treatment.</w:t>
      </w:r>
    </w:p>
    <w:p w14:paraId="57630B31" w14:textId="4AB1FDD5"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FIXTURE Study (A2303)</w:t>
      </w:r>
    </w:p>
    <w:p w14:paraId="0DB1367D" w14:textId="77777777" w:rsidR="00D125DE" w:rsidRPr="00733D88" w:rsidRDefault="00F62A4F" w:rsidP="00AF46A0">
      <w:pPr>
        <w:rPr>
          <w:rFonts w:cs="Arial"/>
        </w:rPr>
      </w:pPr>
      <w:r w:rsidRPr="00733D88">
        <w:rPr>
          <w:rFonts w:cs="Arial"/>
        </w:rPr>
        <w:t xml:space="preserve">This trial evaluated 1,306 patients. Patients were randomised to COSENTYX received 150 mg or 300 mg doses at weeks 0, 1, 2, 3, and 4 followed by the same dose every month. Patients were randomised to </w:t>
      </w:r>
      <w:proofErr w:type="spellStart"/>
      <w:r w:rsidRPr="00733D88">
        <w:rPr>
          <w:rFonts w:cs="Arial"/>
        </w:rPr>
        <w:t>etanercept</w:t>
      </w:r>
      <w:proofErr w:type="spellEnd"/>
      <w:r w:rsidRPr="00733D88">
        <w:rPr>
          <w:rFonts w:cs="Arial"/>
        </w:rPr>
        <w:t xml:space="preserve"> received 50 mg doses twice per week for 12 weeks followed by 50 mg every week. Patients were randomised to receive placebo who were non-responders at week 12 then crossed over to receive COSENTYX (either 150 mg or 300 mg) at weeks 12, 13, 14, and 15, followed by the same dose every month starting at week 16. All patients were followed for up to 52 weeks following first administration of study treatment.</w:t>
      </w:r>
    </w:p>
    <w:p w14:paraId="62840B29" w14:textId="4579A631" w:rsidR="00F62A4F" w:rsidRPr="00733D88" w:rsidRDefault="00AF46A0" w:rsidP="00AF46A0">
      <w:pPr>
        <w:spacing w:after="120"/>
        <w:rPr>
          <w:rFonts w:asciiTheme="majorHAnsi" w:eastAsiaTheme="majorEastAsia" w:hAnsiTheme="majorHAnsi" w:cstheme="minorHAnsi"/>
          <w:b/>
          <w:bCs/>
        </w:rPr>
      </w:pPr>
      <w:r>
        <w:rPr>
          <w:rFonts w:asciiTheme="majorHAnsi" w:eastAsiaTheme="majorEastAsia" w:hAnsiTheme="majorHAnsi" w:cstheme="minorHAnsi"/>
          <w:b/>
          <w:bCs/>
        </w:rPr>
        <w:t>FEATURE Study (A2308)</w:t>
      </w:r>
    </w:p>
    <w:p w14:paraId="7EAD151C" w14:textId="77777777" w:rsidR="00F62A4F" w:rsidRPr="00733D88" w:rsidRDefault="00F62A4F" w:rsidP="00AF46A0">
      <w:pPr>
        <w:rPr>
          <w:rFonts w:cs="Arial"/>
        </w:rPr>
      </w:pPr>
      <w:r w:rsidRPr="00733D88">
        <w:rPr>
          <w:rFonts w:cs="Arial"/>
        </w:rPr>
        <w:t>This trial evaluated 177 patients using a pre-filled syringe compared with placebo after 12 weeks of treatment to assess the safety, tolerability, and usability of COSENTYX self-administration via the pre-filled syringe. Patients randomised to COSENTYX received 150 mg or 300 mg doses at weeks 0, 1, 2, 3, and 4 followed by the same dose every month.  Patients were also randomised to receive placebo at weeks 0, 1, 2, 3, and 4 followed by the same dose every month.</w:t>
      </w:r>
    </w:p>
    <w:p w14:paraId="510FBE9E" w14:textId="77777777"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 xml:space="preserve">JUNCTURE Study (A2309) </w:t>
      </w:r>
    </w:p>
    <w:p w14:paraId="64109F85" w14:textId="77777777" w:rsidR="00F62A4F" w:rsidRPr="00733D88" w:rsidRDefault="00F62A4F" w:rsidP="00AF46A0">
      <w:pPr>
        <w:rPr>
          <w:rFonts w:cs="Arial"/>
        </w:rPr>
      </w:pPr>
      <w:r w:rsidRPr="00733D88">
        <w:rPr>
          <w:rFonts w:cs="Arial"/>
        </w:rPr>
        <w:t>This trial evaluated 182 patients using a pre-filled pen compared with placebo after 12 weeks of treatment to assess the safety, tolerability, and usability of COSENTYX self-administration via the pre-filled pen. Patients were randomised to COSENTYX received 150 mg or 300 mg doses at weeks 0, 1, 2, and 3, followed by the same dose every month starting at week 4. Patients were also randomised to receive placebo at weeks 0, 1, 2, and 3, followed by the same dose every month starting at week 4.</w:t>
      </w:r>
    </w:p>
    <w:p w14:paraId="6CC48F46" w14:textId="60598EAE"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SCULPTURE Study (A2304)</w:t>
      </w:r>
    </w:p>
    <w:p w14:paraId="4BB96817" w14:textId="77777777" w:rsidR="00F62A4F" w:rsidRPr="00733D88" w:rsidRDefault="00F62A4F" w:rsidP="00AF46A0">
      <w:pPr>
        <w:rPr>
          <w:rFonts w:cs="Arial"/>
        </w:rPr>
      </w:pPr>
      <w:r w:rsidRPr="00733D88">
        <w:rPr>
          <w:rFonts w:cs="Arial"/>
        </w:rPr>
        <w:t xml:space="preserve">This trial evaluated 966 patients. All patients received COSENTYX 150 mg or 300 mg doses at weeks 0, 1, 2, 3, 4, 8 and 12 and then were randomised to receive either a maintenance regimen of the same dose every month starting at Week 12 or a “retreatment as needed” regimen of the same dose. </w:t>
      </w:r>
    </w:p>
    <w:p w14:paraId="22DB1758" w14:textId="77777777"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Results</w:t>
      </w:r>
    </w:p>
    <w:p w14:paraId="4A1B4E67" w14:textId="77777777" w:rsidR="00F62A4F" w:rsidRPr="00733D88" w:rsidRDefault="00F62A4F" w:rsidP="00AF46A0">
      <w:pPr>
        <w:rPr>
          <w:rFonts w:cs="Arial"/>
        </w:rPr>
      </w:pPr>
      <w:r w:rsidRPr="00733D88">
        <w:rPr>
          <w:rFonts w:cs="Arial"/>
        </w:rPr>
        <w:t xml:space="preserve">The 300 mg dose provided improved skin clearance across efficacy endpoints of PASI 75/90/100, and IGA mod 2011 ‘clear’ or ‘almost clear’ responses across all studies with peak effects seen at week 16 (see to Table </w:t>
      </w:r>
      <w:r w:rsidR="0016038E" w:rsidRPr="00733D88">
        <w:rPr>
          <w:rFonts w:cs="Arial"/>
        </w:rPr>
        <w:t>5</w:t>
      </w:r>
      <w:r w:rsidRPr="00733D88">
        <w:rPr>
          <w:rFonts w:cs="Arial"/>
        </w:rPr>
        <w:t xml:space="preserve"> and Table </w:t>
      </w:r>
      <w:r w:rsidR="0016038E" w:rsidRPr="00733D88">
        <w:rPr>
          <w:rFonts w:cs="Arial"/>
        </w:rPr>
        <w:t>6</w:t>
      </w:r>
      <w:r w:rsidRPr="00733D88">
        <w:rPr>
          <w:rFonts w:cs="Arial"/>
        </w:rPr>
        <w:t>). Therefore the 300 mg dose is recommended.</w:t>
      </w:r>
    </w:p>
    <w:p w14:paraId="149BB18B" w14:textId="77777777" w:rsidR="00F62A4F" w:rsidRPr="00733D88" w:rsidRDefault="00F62A4F" w:rsidP="00AF46A0">
      <w:pPr>
        <w:rPr>
          <w:rFonts w:cs="Arial"/>
        </w:rPr>
      </w:pPr>
      <w:r w:rsidRPr="00733D88">
        <w:rPr>
          <w:rFonts w:cs="Arial"/>
        </w:rPr>
        <w:t>COSENTYX was efficacious in biologic-naive, biologic/anti-TNF-exposed and biologic/anti-TNF-failure patients.</w:t>
      </w:r>
    </w:p>
    <w:p w14:paraId="073E4879" w14:textId="77777777" w:rsidR="00353978" w:rsidRDefault="00F62A4F" w:rsidP="00AF46A0">
      <w:pPr>
        <w:rPr>
          <w:rFonts w:cs="Arial"/>
        </w:rPr>
      </w:pPr>
      <w:r w:rsidRPr="00733D88">
        <w:rPr>
          <w:rFonts w:cs="Arial"/>
        </w:rPr>
        <w:t>COSENTYX was associated with a fast onset of efficacy as shown in Figure 1 with a 50 % reduction in mean PASI by week 3 for 300 mg.</w:t>
      </w:r>
    </w:p>
    <w:p w14:paraId="1FF33F05" w14:textId="0B6044DB" w:rsidR="00F62A4F" w:rsidRPr="00733D88" w:rsidRDefault="00F62A4F" w:rsidP="00AF46A0">
      <w:pPr>
        <w:rPr>
          <w:rFonts w:ascii="Arial" w:hAnsi="Arial" w:cs="Arial"/>
          <w:b/>
          <w:sz w:val="20"/>
        </w:rPr>
      </w:pPr>
      <w:r w:rsidRPr="002C3B84" w:rsidDel="00BF599D">
        <w:rPr>
          <w:rFonts w:ascii="Arial" w:hAnsi="Arial" w:cs="Arial"/>
          <w:b/>
          <w:sz w:val="20"/>
        </w:rPr>
        <w:t xml:space="preserve">Figure </w:t>
      </w:r>
      <w:r w:rsidRPr="00733D88">
        <w:rPr>
          <w:rFonts w:ascii="Arial" w:hAnsi="Arial" w:cs="Arial"/>
          <w:b/>
          <w:sz w:val="20"/>
        </w:rPr>
        <w:t xml:space="preserve">1 </w:t>
      </w:r>
      <w:r w:rsidRPr="00733D88" w:rsidDel="00BF599D">
        <w:rPr>
          <w:rFonts w:ascii="Arial" w:hAnsi="Arial" w:cs="Arial"/>
          <w:b/>
          <w:sz w:val="20"/>
        </w:rPr>
        <w:tab/>
        <w:t>Time course of percentage change from baseline of mean PASI</w:t>
      </w:r>
      <w:r w:rsidRPr="00733D88">
        <w:rPr>
          <w:rFonts w:ascii="Arial" w:hAnsi="Arial" w:cs="Arial"/>
          <w:b/>
          <w:sz w:val="20"/>
        </w:rPr>
        <w:t xml:space="preserve"> score in ERASURE trial (m = number of patients evaluable)</w:t>
      </w:r>
    </w:p>
    <w:p w14:paraId="51C5595D" w14:textId="77777777" w:rsidR="00F62A4F" w:rsidRPr="00733D88" w:rsidRDefault="00F62A4F" w:rsidP="00AF46A0">
      <w:pPr>
        <w:rPr>
          <w:rFonts w:ascii="Arial" w:hAnsi="Arial" w:cs="Arial"/>
          <w:sz w:val="20"/>
        </w:rPr>
      </w:pPr>
      <w:r w:rsidRPr="00904D71">
        <w:rPr>
          <w:rFonts w:ascii="Arial" w:hAnsi="Arial" w:cs="Arial"/>
          <w:noProof/>
          <w:sz w:val="20"/>
          <w:lang w:eastAsia="en-AU"/>
        </w:rPr>
        <w:drawing>
          <wp:inline distT="0" distB="0" distL="0" distR="0" wp14:anchorId="2D70D75E" wp14:editId="2A207FF0">
            <wp:extent cx="4579315" cy="29995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87838" cy="3005129"/>
                    </a:xfrm>
                    <a:prstGeom prst="rect">
                      <a:avLst/>
                    </a:prstGeom>
                  </pic:spPr>
                </pic:pic>
              </a:graphicData>
            </a:graphic>
          </wp:inline>
        </w:drawing>
      </w:r>
    </w:p>
    <w:p w14:paraId="45C74AFD" w14:textId="746EB6E8" w:rsidR="00C73D6B" w:rsidRDefault="00C73D6B" w:rsidP="00AF46A0">
      <w:pPr>
        <w:spacing w:after="120"/>
        <w:ind w:left="1166" w:hanging="1166"/>
        <w:rPr>
          <w:rFonts w:ascii="Arial" w:hAnsi="Arial" w:cs="Arial"/>
          <w:b/>
          <w:sz w:val="20"/>
        </w:rPr>
      </w:pPr>
      <w:bookmarkStart w:id="1" w:name="_Toc368649367"/>
    </w:p>
    <w:p w14:paraId="3CB6A247" w14:textId="20D92759" w:rsidR="00F62A4F" w:rsidRPr="00733D88" w:rsidRDefault="0016038E" w:rsidP="00AF46A0">
      <w:pPr>
        <w:spacing w:after="120"/>
        <w:ind w:left="1166" w:hanging="1166"/>
        <w:rPr>
          <w:rFonts w:ascii="Arial" w:hAnsi="Arial" w:cs="Arial"/>
          <w:b/>
          <w:sz w:val="20"/>
        </w:rPr>
      </w:pPr>
      <w:r w:rsidRPr="00733D88">
        <w:rPr>
          <w:rFonts w:ascii="Arial" w:hAnsi="Arial" w:cs="Arial"/>
          <w:b/>
          <w:sz w:val="20"/>
        </w:rPr>
        <w:t>Table 5</w:t>
      </w:r>
      <w:r w:rsidR="00F62A4F" w:rsidRPr="00733D88">
        <w:rPr>
          <w:rFonts w:ascii="Arial" w:hAnsi="Arial" w:cs="Arial"/>
          <w:b/>
          <w:sz w:val="20"/>
        </w:rPr>
        <w:tab/>
        <w:t xml:space="preserve">Summary of clinical response in ERASURE, FEATURE and JUNCTURE </w:t>
      </w:r>
      <w:bookmarkEnd w:id="1"/>
      <w:r w:rsidR="00F62A4F" w:rsidRPr="00733D88">
        <w:rPr>
          <w:rFonts w:ascii="Arial" w:hAnsi="Arial" w:cs="Arial"/>
          <w:b/>
          <w:sz w:val="20"/>
        </w:rPr>
        <w:t>trials</w:t>
      </w:r>
    </w:p>
    <w:tbl>
      <w:tblPr>
        <w:tblStyle w:val="TableGrid"/>
        <w:tblW w:w="0" w:type="auto"/>
        <w:tblLook w:val="04A0" w:firstRow="1" w:lastRow="0" w:firstColumn="1" w:lastColumn="0" w:noHBand="0" w:noVBand="1"/>
      </w:tblPr>
      <w:tblGrid>
        <w:gridCol w:w="1477"/>
        <w:gridCol w:w="907"/>
        <w:gridCol w:w="1124"/>
        <w:gridCol w:w="1125"/>
        <w:gridCol w:w="1095"/>
        <w:gridCol w:w="1096"/>
        <w:gridCol w:w="1096"/>
        <w:gridCol w:w="1096"/>
      </w:tblGrid>
      <w:tr w:rsidR="002C3B84" w:rsidRPr="002C3B84" w14:paraId="57E91F4D" w14:textId="77777777" w:rsidTr="002C3B84">
        <w:trPr>
          <w:cantSplit/>
        </w:trPr>
        <w:tc>
          <w:tcPr>
            <w:tcW w:w="1477" w:type="dxa"/>
            <w:vMerge w:val="restart"/>
            <w:vAlign w:val="center"/>
          </w:tcPr>
          <w:p w14:paraId="457C5B61" w14:textId="77777777" w:rsidR="002C3B84" w:rsidRPr="002C3B84" w:rsidRDefault="002C3B84" w:rsidP="00AF46A0">
            <w:pPr>
              <w:rPr>
                <w:rFonts w:ascii="Arial" w:hAnsi="Arial" w:cs="Arial"/>
                <w:sz w:val="18"/>
                <w:szCs w:val="18"/>
              </w:rPr>
            </w:pPr>
          </w:p>
        </w:tc>
        <w:tc>
          <w:tcPr>
            <w:tcW w:w="3156" w:type="dxa"/>
            <w:gridSpan w:val="3"/>
            <w:vAlign w:val="center"/>
          </w:tcPr>
          <w:p w14:paraId="46C6A39A" w14:textId="77777777" w:rsidR="002C3B84" w:rsidRPr="002C3B84" w:rsidRDefault="002C3B84" w:rsidP="00AF46A0">
            <w:pPr>
              <w:rPr>
                <w:rFonts w:ascii="Arial" w:hAnsi="Arial" w:cs="Arial"/>
                <w:b/>
                <w:sz w:val="18"/>
                <w:szCs w:val="18"/>
              </w:rPr>
            </w:pPr>
            <w:r w:rsidRPr="002C3B84">
              <w:rPr>
                <w:rFonts w:ascii="Arial" w:hAnsi="Arial" w:cs="Arial"/>
                <w:b/>
                <w:sz w:val="18"/>
                <w:szCs w:val="18"/>
              </w:rPr>
              <w:t>Week 12</w:t>
            </w:r>
          </w:p>
        </w:tc>
        <w:tc>
          <w:tcPr>
            <w:tcW w:w="2191" w:type="dxa"/>
            <w:gridSpan w:val="2"/>
            <w:vAlign w:val="center"/>
          </w:tcPr>
          <w:p w14:paraId="4D7F2BE7" w14:textId="77777777" w:rsidR="002C3B84" w:rsidRPr="002C3B84" w:rsidRDefault="002C3B84" w:rsidP="00AF46A0">
            <w:pPr>
              <w:rPr>
                <w:rFonts w:ascii="Arial" w:hAnsi="Arial" w:cs="Arial"/>
                <w:b/>
                <w:color w:val="000000" w:themeColor="text1"/>
                <w:sz w:val="18"/>
                <w:szCs w:val="18"/>
              </w:rPr>
            </w:pPr>
            <w:r w:rsidRPr="002C3B84">
              <w:rPr>
                <w:rFonts w:ascii="Arial" w:hAnsi="Arial" w:cs="Arial"/>
                <w:b/>
                <w:color w:val="000000" w:themeColor="text1"/>
                <w:sz w:val="18"/>
                <w:szCs w:val="18"/>
              </w:rPr>
              <w:t>Week 16</w:t>
            </w:r>
          </w:p>
        </w:tc>
        <w:tc>
          <w:tcPr>
            <w:tcW w:w="2192" w:type="dxa"/>
            <w:gridSpan w:val="2"/>
            <w:vAlign w:val="center"/>
          </w:tcPr>
          <w:p w14:paraId="22C41868" w14:textId="77777777" w:rsidR="002C3B84" w:rsidRPr="002C3B84" w:rsidRDefault="002C3B84" w:rsidP="00AF46A0">
            <w:pPr>
              <w:rPr>
                <w:rFonts w:ascii="Arial" w:hAnsi="Arial" w:cs="Arial"/>
                <w:b/>
                <w:color w:val="000000" w:themeColor="text1"/>
                <w:sz w:val="18"/>
                <w:szCs w:val="18"/>
              </w:rPr>
            </w:pPr>
            <w:r w:rsidRPr="002C3B84">
              <w:rPr>
                <w:rFonts w:ascii="Arial" w:hAnsi="Arial" w:cs="Arial"/>
                <w:b/>
                <w:color w:val="000000" w:themeColor="text1"/>
                <w:sz w:val="18"/>
                <w:szCs w:val="18"/>
              </w:rPr>
              <w:t>Week 52</w:t>
            </w:r>
          </w:p>
        </w:tc>
      </w:tr>
      <w:tr w:rsidR="002C3B84" w:rsidRPr="002C3B84" w14:paraId="0513D78E" w14:textId="77777777" w:rsidTr="002C3B84">
        <w:trPr>
          <w:cantSplit/>
        </w:trPr>
        <w:tc>
          <w:tcPr>
            <w:tcW w:w="1477" w:type="dxa"/>
            <w:vMerge/>
            <w:vAlign w:val="center"/>
          </w:tcPr>
          <w:p w14:paraId="2562BECA" w14:textId="77777777" w:rsidR="002C3B84" w:rsidRPr="002C3B84" w:rsidRDefault="002C3B84" w:rsidP="00AF46A0">
            <w:pPr>
              <w:rPr>
                <w:rFonts w:ascii="Arial" w:hAnsi="Arial" w:cs="Arial"/>
                <w:sz w:val="18"/>
                <w:szCs w:val="18"/>
              </w:rPr>
            </w:pPr>
          </w:p>
        </w:tc>
        <w:tc>
          <w:tcPr>
            <w:tcW w:w="907" w:type="dxa"/>
            <w:vAlign w:val="center"/>
          </w:tcPr>
          <w:p w14:paraId="583E21D9" w14:textId="3E9A0268" w:rsidR="002C3B84" w:rsidRPr="002C3B84" w:rsidRDefault="002C3B84" w:rsidP="00AF46A0">
            <w:pPr>
              <w:rPr>
                <w:rFonts w:ascii="Arial" w:hAnsi="Arial" w:cs="Arial"/>
                <w:b/>
                <w:sz w:val="18"/>
                <w:szCs w:val="18"/>
              </w:rPr>
            </w:pPr>
            <w:r w:rsidRPr="0048253F">
              <w:rPr>
                <w:rFonts w:ascii="Arial" w:hAnsi="Arial" w:cs="Arial"/>
                <w:b/>
                <w:sz w:val="18"/>
                <w:szCs w:val="18"/>
              </w:rPr>
              <w:t>Placebo</w:t>
            </w:r>
          </w:p>
        </w:tc>
        <w:tc>
          <w:tcPr>
            <w:tcW w:w="1124" w:type="dxa"/>
            <w:vAlign w:val="center"/>
          </w:tcPr>
          <w:p w14:paraId="62A57332" w14:textId="77777777" w:rsidR="002C3B84" w:rsidRPr="002C3B84" w:rsidRDefault="002C3B84" w:rsidP="00AF46A0">
            <w:pPr>
              <w:rPr>
                <w:rFonts w:ascii="Arial" w:hAnsi="Arial" w:cs="Arial"/>
                <w:b/>
                <w:sz w:val="18"/>
                <w:szCs w:val="18"/>
              </w:rPr>
            </w:pPr>
            <w:r w:rsidRPr="002C3B84">
              <w:rPr>
                <w:rFonts w:ascii="Arial" w:hAnsi="Arial" w:cs="Arial"/>
                <w:b/>
                <w:sz w:val="18"/>
                <w:szCs w:val="18"/>
              </w:rPr>
              <w:t>150 mg</w:t>
            </w:r>
          </w:p>
        </w:tc>
        <w:tc>
          <w:tcPr>
            <w:tcW w:w="1125" w:type="dxa"/>
            <w:vAlign w:val="center"/>
          </w:tcPr>
          <w:p w14:paraId="00413E8D" w14:textId="77777777" w:rsidR="002C3B84" w:rsidRPr="002C3B84" w:rsidRDefault="002C3B84" w:rsidP="00AF46A0">
            <w:pPr>
              <w:rPr>
                <w:rFonts w:ascii="Arial" w:hAnsi="Arial" w:cs="Arial"/>
                <w:b/>
                <w:sz w:val="18"/>
                <w:szCs w:val="18"/>
              </w:rPr>
            </w:pPr>
            <w:r w:rsidRPr="002C3B84">
              <w:rPr>
                <w:rFonts w:ascii="Arial" w:hAnsi="Arial" w:cs="Arial"/>
                <w:b/>
                <w:sz w:val="18"/>
                <w:szCs w:val="18"/>
              </w:rPr>
              <w:t>300 mg</w:t>
            </w:r>
          </w:p>
        </w:tc>
        <w:tc>
          <w:tcPr>
            <w:tcW w:w="1095" w:type="dxa"/>
            <w:vAlign w:val="center"/>
          </w:tcPr>
          <w:p w14:paraId="62096496" w14:textId="77777777" w:rsidR="002C3B84" w:rsidRPr="002C3B84" w:rsidRDefault="002C3B84" w:rsidP="00AF46A0">
            <w:pPr>
              <w:rPr>
                <w:rFonts w:ascii="Arial" w:hAnsi="Arial" w:cs="Arial"/>
                <w:b/>
                <w:color w:val="000000" w:themeColor="text1"/>
                <w:sz w:val="18"/>
                <w:szCs w:val="18"/>
              </w:rPr>
            </w:pPr>
            <w:r w:rsidRPr="002C3B84">
              <w:rPr>
                <w:rFonts w:ascii="Arial" w:hAnsi="Arial" w:cs="Arial"/>
                <w:b/>
                <w:color w:val="000000" w:themeColor="text1"/>
                <w:sz w:val="18"/>
                <w:szCs w:val="18"/>
              </w:rPr>
              <w:t>150 mg</w:t>
            </w:r>
          </w:p>
        </w:tc>
        <w:tc>
          <w:tcPr>
            <w:tcW w:w="1096" w:type="dxa"/>
            <w:vAlign w:val="center"/>
          </w:tcPr>
          <w:p w14:paraId="1D64C5A2" w14:textId="77777777" w:rsidR="002C3B84" w:rsidRPr="002C3B84" w:rsidRDefault="002C3B84" w:rsidP="00AF46A0">
            <w:pPr>
              <w:rPr>
                <w:rFonts w:ascii="Arial" w:hAnsi="Arial" w:cs="Arial"/>
                <w:b/>
                <w:color w:val="000000" w:themeColor="text1"/>
                <w:sz w:val="18"/>
                <w:szCs w:val="18"/>
              </w:rPr>
            </w:pPr>
            <w:r w:rsidRPr="002C3B84">
              <w:rPr>
                <w:rFonts w:ascii="Arial" w:hAnsi="Arial" w:cs="Arial"/>
                <w:b/>
                <w:color w:val="000000" w:themeColor="text1"/>
                <w:sz w:val="18"/>
                <w:szCs w:val="18"/>
              </w:rPr>
              <w:t>300 mg</w:t>
            </w:r>
          </w:p>
        </w:tc>
        <w:tc>
          <w:tcPr>
            <w:tcW w:w="1096" w:type="dxa"/>
            <w:vAlign w:val="center"/>
          </w:tcPr>
          <w:p w14:paraId="3DFE925F" w14:textId="4E140F00" w:rsidR="002C3B84" w:rsidRPr="002C3B84" w:rsidRDefault="002C3B84" w:rsidP="00AF46A0">
            <w:pPr>
              <w:rPr>
                <w:rFonts w:ascii="Arial" w:hAnsi="Arial" w:cs="Arial"/>
                <w:b/>
                <w:color w:val="000000" w:themeColor="text1"/>
                <w:sz w:val="18"/>
                <w:szCs w:val="18"/>
              </w:rPr>
            </w:pPr>
            <w:r w:rsidRPr="002C3B84">
              <w:rPr>
                <w:rFonts w:ascii="Arial" w:hAnsi="Arial" w:cs="Arial"/>
                <w:b/>
                <w:color w:val="000000" w:themeColor="text1"/>
                <w:sz w:val="18"/>
                <w:szCs w:val="18"/>
              </w:rPr>
              <w:t>150 mg</w:t>
            </w:r>
          </w:p>
        </w:tc>
        <w:tc>
          <w:tcPr>
            <w:tcW w:w="1096" w:type="dxa"/>
            <w:vAlign w:val="center"/>
          </w:tcPr>
          <w:p w14:paraId="6A421B07" w14:textId="2AFCFD39" w:rsidR="002C3B84" w:rsidRPr="002C3B84" w:rsidRDefault="002C3B84" w:rsidP="00AF46A0">
            <w:pPr>
              <w:rPr>
                <w:rFonts w:ascii="Arial" w:hAnsi="Arial" w:cs="Arial"/>
                <w:b/>
                <w:color w:val="000000" w:themeColor="text1"/>
                <w:sz w:val="18"/>
                <w:szCs w:val="18"/>
              </w:rPr>
            </w:pPr>
            <w:r w:rsidRPr="002C3B84">
              <w:rPr>
                <w:rFonts w:ascii="Arial" w:hAnsi="Arial" w:cs="Arial"/>
                <w:b/>
                <w:color w:val="000000" w:themeColor="text1"/>
                <w:sz w:val="18"/>
                <w:szCs w:val="18"/>
              </w:rPr>
              <w:t>300 mg</w:t>
            </w:r>
          </w:p>
        </w:tc>
      </w:tr>
      <w:tr w:rsidR="00F62A4F" w:rsidRPr="002C3B84" w14:paraId="0AC1EEF7" w14:textId="77777777" w:rsidTr="002D07A3">
        <w:trPr>
          <w:cantSplit/>
        </w:trPr>
        <w:tc>
          <w:tcPr>
            <w:tcW w:w="9016" w:type="dxa"/>
            <w:gridSpan w:val="8"/>
            <w:vAlign w:val="center"/>
          </w:tcPr>
          <w:p w14:paraId="6541074D" w14:textId="77777777" w:rsidR="00F62A4F" w:rsidRPr="002C3B84" w:rsidRDefault="00F62A4F" w:rsidP="00AF46A0">
            <w:pPr>
              <w:rPr>
                <w:rFonts w:ascii="Arial" w:hAnsi="Arial" w:cs="Arial"/>
                <w:b/>
                <w:color w:val="000000" w:themeColor="text1"/>
                <w:sz w:val="18"/>
                <w:szCs w:val="18"/>
              </w:rPr>
            </w:pPr>
            <w:r w:rsidRPr="002C3B84">
              <w:rPr>
                <w:rFonts w:ascii="Arial" w:hAnsi="Arial" w:cs="Arial"/>
                <w:b/>
                <w:color w:val="000000" w:themeColor="text1"/>
                <w:sz w:val="18"/>
                <w:szCs w:val="18"/>
              </w:rPr>
              <w:t>ERASURE</w:t>
            </w:r>
          </w:p>
        </w:tc>
      </w:tr>
      <w:tr w:rsidR="00F62A4F" w:rsidRPr="002C3B84" w14:paraId="79897314" w14:textId="77777777" w:rsidTr="002D07A3">
        <w:trPr>
          <w:cantSplit/>
        </w:trPr>
        <w:tc>
          <w:tcPr>
            <w:tcW w:w="1477" w:type="dxa"/>
            <w:vAlign w:val="center"/>
          </w:tcPr>
          <w:p w14:paraId="4CF932FA" w14:textId="77777777" w:rsidR="00F62A4F" w:rsidRPr="002C3B84" w:rsidRDefault="00F62A4F" w:rsidP="00AF46A0">
            <w:pPr>
              <w:rPr>
                <w:rFonts w:ascii="Arial" w:hAnsi="Arial" w:cs="Arial"/>
                <w:sz w:val="18"/>
                <w:szCs w:val="18"/>
              </w:rPr>
            </w:pPr>
            <w:r w:rsidRPr="002C3B84">
              <w:rPr>
                <w:rFonts w:ascii="Arial" w:hAnsi="Arial" w:cs="Arial"/>
                <w:sz w:val="18"/>
                <w:szCs w:val="18"/>
              </w:rPr>
              <w:t>Number of patients</w:t>
            </w:r>
          </w:p>
        </w:tc>
        <w:tc>
          <w:tcPr>
            <w:tcW w:w="907" w:type="dxa"/>
            <w:vAlign w:val="center"/>
          </w:tcPr>
          <w:p w14:paraId="0F2571F9" w14:textId="77777777" w:rsidR="00F62A4F" w:rsidRPr="002C3B84" w:rsidRDefault="00F62A4F" w:rsidP="00AF46A0">
            <w:pPr>
              <w:rPr>
                <w:rFonts w:ascii="Arial" w:hAnsi="Arial" w:cs="Arial"/>
                <w:sz w:val="18"/>
                <w:szCs w:val="18"/>
              </w:rPr>
            </w:pPr>
            <w:r w:rsidRPr="002C3B84">
              <w:rPr>
                <w:rFonts w:ascii="Arial" w:hAnsi="Arial" w:cs="Arial"/>
                <w:sz w:val="18"/>
                <w:szCs w:val="18"/>
              </w:rPr>
              <w:t>246</w:t>
            </w:r>
          </w:p>
        </w:tc>
        <w:tc>
          <w:tcPr>
            <w:tcW w:w="1124" w:type="dxa"/>
            <w:vAlign w:val="center"/>
          </w:tcPr>
          <w:p w14:paraId="2A920612" w14:textId="77777777" w:rsidR="00F62A4F" w:rsidRPr="002C3B84" w:rsidRDefault="00F62A4F" w:rsidP="00AF46A0">
            <w:pPr>
              <w:rPr>
                <w:rFonts w:ascii="Arial" w:hAnsi="Arial" w:cs="Arial"/>
                <w:sz w:val="18"/>
                <w:szCs w:val="18"/>
              </w:rPr>
            </w:pPr>
            <w:r w:rsidRPr="002C3B84">
              <w:rPr>
                <w:rFonts w:ascii="Arial" w:hAnsi="Arial" w:cs="Arial"/>
                <w:sz w:val="18"/>
                <w:szCs w:val="18"/>
              </w:rPr>
              <w:t>244</w:t>
            </w:r>
          </w:p>
        </w:tc>
        <w:tc>
          <w:tcPr>
            <w:tcW w:w="1125" w:type="dxa"/>
            <w:vAlign w:val="center"/>
          </w:tcPr>
          <w:p w14:paraId="3EFFA540" w14:textId="77777777" w:rsidR="00F62A4F" w:rsidRPr="002C3B84" w:rsidRDefault="00F62A4F" w:rsidP="00AF46A0">
            <w:pPr>
              <w:rPr>
                <w:rFonts w:ascii="Arial" w:hAnsi="Arial" w:cs="Arial"/>
                <w:sz w:val="18"/>
                <w:szCs w:val="18"/>
              </w:rPr>
            </w:pPr>
            <w:r w:rsidRPr="002C3B84">
              <w:rPr>
                <w:rFonts w:ascii="Arial" w:hAnsi="Arial" w:cs="Arial"/>
                <w:sz w:val="18"/>
                <w:szCs w:val="18"/>
              </w:rPr>
              <w:t>245</w:t>
            </w:r>
          </w:p>
        </w:tc>
        <w:tc>
          <w:tcPr>
            <w:tcW w:w="1095" w:type="dxa"/>
            <w:vAlign w:val="center"/>
          </w:tcPr>
          <w:p w14:paraId="7073516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244</w:t>
            </w:r>
          </w:p>
        </w:tc>
        <w:tc>
          <w:tcPr>
            <w:tcW w:w="1096" w:type="dxa"/>
            <w:vAlign w:val="center"/>
          </w:tcPr>
          <w:p w14:paraId="1305DADF"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245</w:t>
            </w:r>
          </w:p>
        </w:tc>
        <w:tc>
          <w:tcPr>
            <w:tcW w:w="1096" w:type="dxa"/>
            <w:vAlign w:val="center"/>
          </w:tcPr>
          <w:p w14:paraId="62AA4E6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244</w:t>
            </w:r>
          </w:p>
        </w:tc>
        <w:tc>
          <w:tcPr>
            <w:tcW w:w="1096" w:type="dxa"/>
            <w:vAlign w:val="center"/>
          </w:tcPr>
          <w:p w14:paraId="3A8E20B4"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245</w:t>
            </w:r>
          </w:p>
        </w:tc>
      </w:tr>
      <w:tr w:rsidR="00F62A4F" w:rsidRPr="002C3B84" w14:paraId="44BAEAEE" w14:textId="77777777" w:rsidTr="002D07A3">
        <w:trPr>
          <w:cantSplit/>
        </w:trPr>
        <w:tc>
          <w:tcPr>
            <w:tcW w:w="1477" w:type="dxa"/>
            <w:vAlign w:val="center"/>
          </w:tcPr>
          <w:p w14:paraId="2910B05E" w14:textId="77777777" w:rsidR="00F62A4F" w:rsidRPr="002C3B84" w:rsidRDefault="00F62A4F" w:rsidP="00AF46A0">
            <w:pPr>
              <w:rPr>
                <w:rFonts w:ascii="Arial" w:hAnsi="Arial" w:cs="Arial"/>
                <w:sz w:val="18"/>
                <w:szCs w:val="18"/>
              </w:rPr>
            </w:pPr>
            <w:r w:rsidRPr="002C3B84">
              <w:rPr>
                <w:rFonts w:ascii="Arial" w:hAnsi="Arial" w:cs="Arial"/>
                <w:sz w:val="18"/>
                <w:szCs w:val="18"/>
              </w:rPr>
              <w:t>PASI 50 response n (%)</w:t>
            </w:r>
          </w:p>
        </w:tc>
        <w:tc>
          <w:tcPr>
            <w:tcW w:w="907" w:type="dxa"/>
            <w:vAlign w:val="center"/>
          </w:tcPr>
          <w:p w14:paraId="004AC16C" w14:textId="77777777" w:rsidR="00F62A4F" w:rsidRPr="002C3B84" w:rsidRDefault="00F62A4F" w:rsidP="00AF46A0">
            <w:pPr>
              <w:rPr>
                <w:rFonts w:ascii="Arial" w:hAnsi="Arial" w:cs="Arial"/>
                <w:sz w:val="18"/>
                <w:szCs w:val="18"/>
              </w:rPr>
            </w:pPr>
            <w:r w:rsidRPr="002C3B84">
              <w:rPr>
                <w:rFonts w:ascii="Arial" w:hAnsi="Arial" w:cs="Arial"/>
                <w:sz w:val="18"/>
                <w:szCs w:val="18"/>
              </w:rPr>
              <w:t>22 (8.9%)</w:t>
            </w:r>
          </w:p>
        </w:tc>
        <w:tc>
          <w:tcPr>
            <w:tcW w:w="1124" w:type="dxa"/>
            <w:vAlign w:val="center"/>
          </w:tcPr>
          <w:p w14:paraId="4EEAF359" w14:textId="77777777" w:rsidR="00F62A4F" w:rsidRPr="002C3B84" w:rsidRDefault="00F62A4F" w:rsidP="00AF46A0">
            <w:pPr>
              <w:rPr>
                <w:rFonts w:ascii="Arial" w:hAnsi="Arial" w:cs="Arial"/>
                <w:sz w:val="18"/>
                <w:szCs w:val="18"/>
              </w:rPr>
            </w:pPr>
            <w:r w:rsidRPr="002C3B84">
              <w:rPr>
                <w:rFonts w:ascii="Arial" w:hAnsi="Arial" w:cs="Arial"/>
                <w:sz w:val="18"/>
                <w:szCs w:val="18"/>
              </w:rPr>
              <w:t>203 (83.5%)</w:t>
            </w:r>
          </w:p>
        </w:tc>
        <w:tc>
          <w:tcPr>
            <w:tcW w:w="1125" w:type="dxa"/>
            <w:vAlign w:val="center"/>
          </w:tcPr>
          <w:p w14:paraId="26867022" w14:textId="77777777" w:rsidR="00F62A4F" w:rsidRPr="002C3B84" w:rsidRDefault="00F62A4F" w:rsidP="00AF46A0">
            <w:pPr>
              <w:rPr>
                <w:rFonts w:ascii="Arial" w:hAnsi="Arial" w:cs="Arial"/>
                <w:sz w:val="18"/>
                <w:szCs w:val="18"/>
              </w:rPr>
            </w:pPr>
            <w:r w:rsidRPr="002C3B84">
              <w:rPr>
                <w:rFonts w:ascii="Arial" w:hAnsi="Arial" w:cs="Arial"/>
                <w:sz w:val="18"/>
                <w:szCs w:val="18"/>
              </w:rPr>
              <w:t>222 (90.6%)</w:t>
            </w:r>
          </w:p>
        </w:tc>
        <w:tc>
          <w:tcPr>
            <w:tcW w:w="1095" w:type="dxa"/>
            <w:vAlign w:val="center"/>
          </w:tcPr>
          <w:p w14:paraId="0E887F34"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212 (87.2%)</w:t>
            </w:r>
          </w:p>
        </w:tc>
        <w:tc>
          <w:tcPr>
            <w:tcW w:w="1096" w:type="dxa"/>
            <w:vAlign w:val="center"/>
          </w:tcPr>
          <w:p w14:paraId="25849FDF"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224 (91.4%)</w:t>
            </w:r>
          </w:p>
        </w:tc>
        <w:tc>
          <w:tcPr>
            <w:tcW w:w="1096" w:type="dxa"/>
            <w:vAlign w:val="center"/>
          </w:tcPr>
          <w:p w14:paraId="6BF5E768" w14:textId="4D6CE3CE"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187</w:t>
            </w:r>
          </w:p>
          <w:p w14:paraId="53BB5FDD"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(77%)</w:t>
            </w:r>
          </w:p>
        </w:tc>
        <w:tc>
          <w:tcPr>
            <w:tcW w:w="1096" w:type="dxa"/>
            <w:vAlign w:val="center"/>
          </w:tcPr>
          <w:p w14:paraId="56598E74"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207 (84.5%)</w:t>
            </w:r>
          </w:p>
        </w:tc>
      </w:tr>
      <w:tr w:rsidR="00F62A4F" w:rsidRPr="002C3B84" w14:paraId="33F5DE8C" w14:textId="77777777" w:rsidTr="002D07A3">
        <w:trPr>
          <w:cantSplit/>
        </w:trPr>
        <w:tc>
          <w:tcPr>
            <w:tcW w:w="1477" w:type="dxa"/>
            <w:vAlign w:val="center"/>
          </w:tcPr>
          <w:p w14:paraId="51D390CA" w14:textId="77777777" w:rsidR="00F62A4F" w:rsidRPr="002C3B84" w:rsidRDefault="00F62A4F" w:rsidP="00AF46A0">
            <w:pPr>
              <w:rPr>
                <w:rFonts w:ascii="Arial" w:hAnsi="Arial" w:cs="Arial"/>
                <w:sz w:val="18"/>
                <w:szCs w:val="18"/>
              </w:rPr>
            </w:pPr>
            <w:r w:rsidRPr="002C3B84">
              <w:rPr>
                <w:rFonts w:ascii="Arial" w:hAnsi="Arial" w:cs="Arial"/>
                <w:sz w:val="18"/>
                <w:szCs w:val="18"/>
              </w:rPr>
              <w:t>PASI 75 response n (%)</w:t>
            </w:r>
          </w:p>
        </w:tc>
        <w:tc>
          <w:tcPr>
            <w:tcW w:w="907" w:type="dxa"/>
            <w:vAlign w:val="center"/>
          </w:tcPr>
          <w:p w14:paraId="3C66778A" w14:textId="77777777" w:rsidR="00F62A4F" w:rsidRPr="002C3B84" w:rsidRDefault="00F62A4F" w:rsidP="00AF46A0">
            <w:pPr>
              <w:rPr>
                <w:rFonts w:ascii="Arial" w:hAnsi="Arial" w:cs="Arial"/>
                <w:sz w:val="18"/>
                <w:szCs w:val="18"/>
              </w:rPr>
            </w:pPr>
            <w:r w:rsidRPr="002C3B84">
              <w:rPr>
                <w:rFonts w:ascii="Arial" w:hAnsi="Arial" w:cs="Arial"/>
                <w:sz w:val="18"/>
                <w:szCs w:val="18"/>
              </w:rPr>
              <w:t>11 (4.5%)</w:t>
            </w:r>
          </w:p>
        </w:tc>
        <w:tc>
          <w:tcPr>
            <w:tcW w:w="1124" w:type="dxa"/>
            <w:vAlign w:val="center"/>
          </w:tcPr>
          <w:p w14:paraId="4204C106" w14:textId="77777777" w:rsidR="00F62A4F" w:rsidRPr="002C3B84" w:rsidRDefault="00F62A4F" w:rsidP="00AF46A0">
            <w:pPr>
              <w:rPr>
                <w:rFonts w:ascii="Arial" w:hAnsi="Arial" w:cs="Arial"/>
                <w:sz w:val="18"/>
                <w:szCs w:val="18"/>
              </w:rPr>
            </w:pPr>
            <w:r w:rsidRPr="002C3B84">
              <w:rPr>
                <w:rFonts w:ascii="Arial" w:hAnsi="Arial" w:cs="Arial"/>
                <w:sz w:val="18"/>
                <w:szCs w:val="18"/>
              </w:rPr>
              <w:t>174 (71.6%)</w:t>
            </w:r>
            <w:r w:rsidRPr="002C3B84">
              <w:rPr>
                <w:rFonts w:ascii="Arial" w:hAnsi="Arial" w:cs="Arial"/>
                <w:i/>
                <w:sz w:val="18"/>
                <w:szCs w:val="18"/>
              </w:rPr>
              <w:t>**</w:t>
            </w:r>
          </w:p>
        </w:tc>
        <w:tc>
          <w:tcPr>
            <w:tcW w:w="1125" w:type="dxa"/>
            <w:vAlign w:val="center"/>
          </w:tcPr>
          <w:p w14:paraId="4B6DDF7E" w14:textId="77777777" w:rsidR="00F62A4F" w:rsidRPr="002C3B84" w:rsidRDefault="00F62A4F" w:rsidP="00AF46A0">
            <w:pPr>
              <w:rPr>
                <w:rFonts w:ascii="Arial" w:hAnsi="Arial" w:cs="Arial"/>
                <w:sz w:val="18"/>
                <w:szCs w:val="18"/>
              </w:rPr>
            </w:pPr>
            <w:r w:rsidRPr="002C3B84">
              <w:rPr>
                <w:rFonts w:ascii="Arial" w:hAnsi="Arial" w:cs="Arial"/>
                <w:sz w:val="18"/>
                <w:szCs w:val="18"/>
              </w:rPr>
              <w:t>200 (81.6%)</w:t>
            </w:r>
            <w:r w:rsidRPr="002C3B84">
              <w:rPr>
                <w:rFonts w:ascii="Arial" w:hAnsi="Arial" w:cs="Arial"/>
                <w:i/>
                <w:sz w:val="18"/>
                <w:szCs w:val="18"/>
              </w:rPr>
              <w:t>**</w:t>
            </w:r>
          </w:p>
        </w:tc>
        <w:tc>
          <w:tcPr>
            <w:tcW w:w="1095" w:type="dxa"/>
            <w:vAlign w:val="center"/>
          </w:tcPr>
          <w:p w14:paraId="5123B638"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188 (77.4%)</w:t>
            </w:r>
          </w:p>
        </w:tc>
        <w:tc>
          <w:tcPr>
            <w:tcW w:w="1096" w:type="dxa"/>
            <w:vAlign w:val="center"/>
          </w:tcPr>
          <w:p w14:paraId="62126D3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211 (86.1%)</w:t>
            </w:r>
          </w:p>
        </w:tc>
        <w:tc>
          <w:tcPr>
            <w:tcW w:w="1096" w:type="dxa"/>
            <w:vAlign w:val="center"/>
          </w:tcPr>
          <w:p w14:paraId="77F3CB6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146 (60.1%)</w:t>
            </w:r>
          </w:p>
        </w:tc>
        <w:tc>
          <w:tcPr>
            <w:tcW w:w="1096" w:type="dxa"/>
            <w:vAlign w:val="center"/>
          </w:tcPr>
          <w:p w14:paraId="5ECE85F5"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182 (74.3%)</w:t>
            </w:r>
          </w:p>
        </w:tc>
      </w:tr>
      <w:tr w:rsidR="00F62A4F" w:rsidRPr="002C3B84" w14:paraId="69319854" w14:textId="77777777" w:rsidTr="002D07A3">
        <w:trPr>
          <w:cantSplit/>
        </w:trPr>
        <w:tc>
          <w:tcPr>
            <w:tcW w:w="1477" w:type="dxa"/>
            <w:vAlign w:val="center"/>
          </w:tcPr>
          <w:p w14:paraId="7A6772D4" w14:textId="77777777" w:rsidR="00F62A4F" w:rsidRPr="002C3B84" w:rsidRDefault="00F62A4F" w:rsidP="00AF46A0">
            <w:pPr>
              <w:rPr>
                <w:rFonts w:ascii="Arial" w:hAnsi="Arial" w:cs="Arial"/>
                <w:sz w:val="18"/>
                <w:szCs w:val="18"/>
              </w:rPr>
            </w:pPr>
            <w:r w:rsidRPr="002C3B84">
              <w:rPr>
                <w:rFonts w:ascii="Arial" w:hAnsi="Arial" w:cs="Arial"/>
                <w:sz w:val="18"/>
                <w:szCs w:val="18"/>
              </w:rPr>
              <w:t>PASI 90 response n (%)</w:t>
            </w:r>
          </w:p>
        </w:tc>
        <w:tc>
          <w:tcPr>
            <w:tcW w:w="907" w:type="dxa"/>
            <w:vAlign w:val="center"/>
          </w:tcPr>
          <w:p w14:paraId="6DAD2447" w14:textId="656C37FD" w:rsidR="00F62A4F" w:rsidRPr="002C3B84" w:rsidRDefault="00F62A4F" w:rsidP="00AF46A0">
            <w:pPr>
              <w:rPr>
                <w:rFonts w:ascii="Arial" w:hAnsi="Arial" w:cs="Arial"/>
                <w:sz w:val="18"/>
                <w:szCs w:val="18"/>
              </w:rPr>
            </w:pPr>
            <w:r w:rsidRPr="002C3B84">
              <w:rPr>
                <w:rFonts w:ascii="Arial" w:hAnsi="Arial" w:cs="Arial"/>
                <w:sz w:val="18"/>
                <w:szCs w:val="18"/>
              </w:rPr>
              <w:t>3</w:t>
            </w:r>
          </w:p>
          <w:p w14:paraId="26559BF9" w14:textId="77777777" w:rsidR="00F62A4F" w:rsidRPr="002C3B84" w:rsidRDefault="00F62A4F" w:rsidP="00AF46A0">
            <w:pPr>
              <w:rPr>
                <w:rFonts w:ascii="Arial" w:hAnsi="Arial" w:cs="Arial"/>
                <w:sz w:val="18"/>
                <w:szCs w:val="18"/>
              </w:rPr>
            </w:pPr>
            <w:r w:rsidRPr="002C3B84">
              <w:rPr>
                <w:rFonts w:ascii="Arial" w:hAnsi="Arial" w:cs="Arial"/>
                <w:sz w:val="18"/>
                <w:szCs w:val="18"/>
              </w:rPr>
              <w:t>(1.2%)</w:t>
            </w:r>
          </w:p>
        </w:tc>
        <w:tc>
          <w:tcPr>
            <w:tcW w:w="1124" w:type="dxa"/>
            <w:vAlign w:val="center"/>
          </w:tcPr>
          <w:p w14:paraId="3D4D73C0" w14:textId="77777777" w:rsidR="00F62A4F" w:rsidRPr="002C3B84" w:rsidRDefault="00F62A4F" w:rsidP="00AF46A0">
            <w:pPr>
              <w:rPr>
                <w:rFonts w:ascii="Arial" w:hAnsi="Arial" w:cs="Arial"/>
                <w:sz w:val="18"/>
                <w:szCs w:val="18"/>
              </w:rPr>
            </w:pPr>
            <w:r w:rsidRPr="002C3B84">
              <w:rPr>
                <w:rFonts w:ascii="Arial" w:hAnsi="Arial" w:cs="Arial"/>
                <w:sz w:val="18"/>
                <w:szCs w:val="18"/>
              </w:rPr>
              <w:t>95 (39.1%)</w:t>
            </w:r>
            <w:r w:rsidRPr="002C3B84">
              <w:rPr>
                <w:rFonts w:ascii="Arial" w:hAnsi="Arial" w:cs="Arial"/>
                <w:i/>
                <w:sz w:val="18"/>
                <w:szCs w:val="18"/>
              </w:rPr>
              <w:t>**</w:t>
            </w:r>
          </w:p>
        </w:tc>
        <w:tc>
          <w:tcPr>
            <w:tcW w:w="1125" w:type="dxa"/>
            <w:vAlign w:val="center"/>
          </w:tcPr>
          <w:p w14:paraId="5F5E73DA" w14:textId="77777777" w:rsidR="00F62A4F" w:rsidRPr="002C3B84" w:rsidRDefault="00F62A4F" w:rsidP="00AF46A0">
            <w:pPr>
              <w:rPr>
                <w:rFonts w:ascii="Arial" w:hAnsi="Arial" w:cs="Arial"/>
                <w:sz w:val="18"/>
                <w:szCs w:val="18"/>
              </w:rPr>
            </w:pPr>
            <w:r w:rsidRPr="002C3B84">
              <w:rPr>
                <w:rFonts w:ascii="Arial" w:hAnsi="Arial" w:cs="Arial"/>
                <w:sz w:val="18"/>
                <w:szCs w:val="18"/>
              </w:rPr>
              <w:t>145 (59.2%)</w:t>
            </w:r>
            <w:r w:rsidRPr="002C3B84">
              <w:rPr>
                <w:rFonts w:ascii="Arial" w:hAnsi="Arial" w:cs="Arial"/>
                <w:i/>
                <w:sz w:val="18"/>
                <w:szCs w:val="18"/>
              </w:rPr>
              <w:t>**</w:t>
            </w:r>
          </w:p>
        </w:tc>
        <w:tc>
          <w:tcPr>
            <w:tcW w:w="1095" w:type="dxa"/>
            <w:vAlign w:val="center"/>
          </w:tcPr>
          <w:p w14:paraId="458F49A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130 (53.5%)</w:t>
            </w:r>
          </w:p>
        </w:tc>
        <w:tc>
          <w:tcPr>
            <w:tcW w:w="1096" w:type="dxa"/>
            <w:vAlign w:val="center"/>
          </w:tcPr>
          <w:p w14:paraId="2508CB15"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171 (69.8%)</w:t>
            </w:r>
          </w:p>
        </w:tc>
        <w:tc>
          <w:tcPr>
            <w:tcW w:w="1096" w:type="dxa"/>
            <w:vAlign w:val="center"/>
          </w:tcPr>
          <w:p w14:paraId="5D63A870" w14:textId="03ACE32B"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88</w:t>
            </w:r>
          </w:p>
          <w:p w14:paraId="5341B94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(36.2%)</w:t>
            </w:r>
          </w:p>
        </w:tc>
        <w:tc>
          <w:tcPr>
            <w:tcW w:w="1096" w:type="dxa"/>
            <w:vAlign w:val="center"/>
          </w:tcPr>
          <w:p w14:paraId="1B6E153D"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147 (60.0%)</w:t>
            </w:r>
          </w:p>
        </w:tc>
      </w:tr>
      <w:tr w:rsidR="00F62A4F" w:rsidRPr="002C3B84" w14:paraId="22091E00" w14:textId="77777777" w:rsidTr="002D07A3">
        <w:trPr>
          <w:cantSplit/>
        </w:trPr>
        <w:tc>
          <w:tcPr>
            <w:tcW w:w="1477" w:type="dxa"/>
            <w:vAlign w:val="center"/>
          </w:tcPr>
          <w:p w14:paraId="2EADC02F" w14:textId="77777777" w:rsidR="00F62A4F" w:rsidRPr="002C3B84" w:rsidRDefault="00F62A4F" w:rsidP="00AF46A0">
            <w:pPr>
              <w:rPr>
                <w:rFonts w:ascii="Arial" w:hAnsi="Arial" w:cs="Arial"/>
                <w:sz w:val="18"/>
                <w:szCs w:val="18"/>
              </w:rPr>
            </w:pPr>
            <w:r w:rsidRPr="002C3B84">
              <w:rPr>
                <w:rFonts w:ascii="Arial" w:hAnsi="Arial" w:cs="Arial"/>
                <w:sz w:val="18"/>
                <w:szCs w:val="18"/>
              </w:rPr>
              <w:t>PASI 100 response n (%)</w:t>
            </w:r>
          </w:p>
        </w:tc>
        <w:tc>
          <w:tcPr>
            <w:tcW w:w="907" w:type="dxa"/>
            <w:vAlign w:val="center"/>
          </w:tcPr>
          <w:p w14:paraId="5AB2939A" w14:textId="1A939E92" w:rsidR="00F62A4F" w:rsidRPr="002C3B84" w:rsidRDefault="00F62A4F" w:rsidP="00AF46A0">
            <w:pPr>
              <w:rPr>
                <w:rFonts w:ascii="Arial" w:hAnsi="Arial" w:cs="Arial"/>
                <w:sz w:val="18"/>
                <w:szCs w:val="18"/>
              </w:rPr>
            </w:pPr>
            <w:r w:rsidRPr="002C3B84">
              <w:rPr>
                <w:rFonts w:ascii="Arial" w:hAnsi="Arial" w:cs="Arial"/>
                <w:sz w:val="18"/>
                <w:szCs w:val="18"/>
              </w:rPr>
              <w:t>2</w:t>
            </w:r>
          </w:p>
          <w:p w14:paraId="0FD5748F" w14:textId="77777777" w:rsidR="00F62A4F" w:rsidRPr="002C3B84" w:rsidRDefault="00F62A4F" w:rsidP="00AF46A0">
            <w:pPr>
              <w:rPr>
                <w:rFonts w:ascii="Arial" w:hAnsi="Arial" w:cs="Arial"/>
                <w:sz w:val="18"/>
                <w:szCs w:val="18"/>
              </w:rPr>
            </w:pPr>
            <w:r w:rsidRPr="002C3B84">
              <w:rPr>
                <w:rFonts w:ascii="Arial" w:hAnsi="Arial" w:cs="Arial"/>
                <w:sz w:val="18"/>
                <w:szCs w:val="18"/>
              </w:rPr>
              <w:t>(0.8%)</w:t>
            </w:r>
          </w:p>
        </w:tc>
        <w:tc>
          <w:tcPr>
            <w:tcW w:w="1124" w:type="dxa"/>
            <w:vAlign w:val="center"/>
          </w:tcPr>
          <w:p w14:paraId="0AE53DDC" w14:textId="2C37187D" w:rsidR="00F62A4F" w:rsidRPr="002C3B84" w:rsidRDefault="00F62A4F" w:rsidP="00AF46A0">
            <w:pPr>
              <w:rPr>
                <w:rFonts w:ascii="Arial" w:hAnsi="Arial" w:cs="Arial"/>
                <w:sz w:val="18"/>
                <w:szCs w:val="18"/>
              </w:rPr>
            </w:pPr>
            <w:r w:rsidRPr="002C3B84">
              <w:rPr>
                <w:rFonts w:ascii="Arial" w:hAnsi="Arial" w:cs="Arial"/>
                <w:sz w:val="18"/>
                <w:szCs w:val="18"/>
              </w:rPr>
              <w:t>31</w:t>
            </w:r>
          </w:p>
          <w:p w14:paraId="1782E556" w14:textId="77777777" w:rsidR="00F62A4F" w:rsidRPr="002C3B84" w:rsidRDefault="00F62A4F" w:rsidP="00AF46A0">
            <w:pPr>
              <w:rPr>
                <w:rFonts w:ascii="Arial" w:hAnsi="Arial" w:cs="Arial"/>
                <w:sz w:val="18"/>
                <w:szCs w:val="18"/>
              </w:rPr>
            </w:pPr>
            <w:r w:rsidRPr="002C3B84">
              <w:rPr>
                <w:rFonts w:ascii="Arial" w:hAnsi="Arial" w:cs="Arial"/>
                <w:sz w:val="18"/>
                <w:szCs w:val="18"/>
              </w:rPr>
              <w:t>(12.8%)</w:t>
            </w:r>
          </w:p>
        </w:tc>
        <w:tc>
          <w:tcPr>
            <w:tcW w:w="1125" w:type="dxa"/>
            <w:vAlign w:val="center"/>
          </w:tcPr>
          <w:p w14:paraId="13A4C180" w14:textId="58B337E5" w:rsidR="00F62A4F" w:rsidRPr="002C3B84" w:rsidRDefault="00F62A4F" w:rsidP="00AF46A0">
            <w:pPr>
              <w:rPr>
                <w:rFonts w:ascii="Arial" w:hAnsi="Arial" w:cs="Arial"/>
                <w:sz w:val="18"/>
                <w:szCs w:val="18"/>
              </w:rPr>
            </w:pPr>
            <w:r w:rsidRPr="002C3B84">
              <w:rPr>
                <w:rFonts w:ascii="Arial" w:hAnsi="Arial" w:cs="Arial"/>
                <w:sz w:val="18"/>
                <w:szCs w:val="18"/>
              </w:rPr>
              <w:t>70</w:t>
            </w:r>
          </w:p>
          <w:p w14:paraId="32A01A40" w14:textId="77777777" w:rsidR="00F62A4F" w:rsidRPr="002C3B84" w:rsidRDefault="00F62A4F" w:rsidP="00AF46A0">
            <w:pPr>
              <w:rPr>
                <w:rFonts w:ascii="Arial" w:hAnsi="Arial" w:cs="Arial"/>
                <w:sz w:val="18"/>
                <w:szCs w:val="18"/>
              </w:rPr>
            </w:pPr>
            <w:r w:rsidRPr="002C3B84">
              <w:rPr>
                <w:rFonts w:ascii="Arial" w:hAnsi="Arial" w:cs="Arial"/>
                <w:sz w:val="18"/>
                <w:szCs w:val="18"/>
              </w:rPr>
              <w:t>(28.6%)</w:t>
            </w:r>
          </w:p>
        </w:tc>
        <w:tc>
          <w:tcPr>
            <w:tcW w:w="1095" w:type="dxa"/>
            <w:vAlign w:val="center"/>
          </w:tcPr>
          <w:p w14:paraId="431BDF6B"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51 (21.0%)</w:t>
            </w:r>
          </w:p>
        </w:tc>
        <w:tc>
          <w:tcPr>
            <w:tcW w:w="1096" w:type="dxa"/>
            <w:vAlign w:val="center"/>
          </w:tcPr>
          <w:p w14:paraId="1F56E15E"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102 (41.6%)</w:t>
            </w:r>
          </w:p>
        </w:tc>
        <w:tc>
          <w:tcPr>
            <w:tcW w:w="1096" w:type="dxa"/>
            <w:vAlign w:val="center"/>
          </w:tcPr>
          <w:p w14:paraId="6310904A" w14:textId="6E7426C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49</w:t>
            </w:r>
          </w:p>
          <w:p w14:paraId="0D7C491E"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(20.2%)</w:t>
            </w:r>
          </w:p>
        </w:tc>
        <w:tc>
          <w:tcPr>
            <w:tcW w:w="1096" w:type="dxa"/>
            <w:vAlign w:val="center"/>
          </w:tcPr>
          <w:p w14:paraId="740DBC64" w14:textId="79009148"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96</w:t>
            </w:r>
          </w:p>
          <w:p w14:paraId="4E0146E2"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(39.2%)</w:t>
            </w:r>
          </w:p>
        </w:tc>
      </w:tr>
      <w:tr w:rsidR="00F62A4F" w:rsidRPr="002C3B84" w14:paraId="21354909" w14:textId="77777777" w:rsidTr="002D07A3">
        <w:trPr>
          <w:cantSplit/>
        </w:trPr>
        <w:tc>
          <w:tcPr>
            <w:tcW w:w="1477" w:type="dxa"/>
            <w:vAlign w:val="center"/>
          </w:tcPr>
          <w:p w14:paraId="52D0ADEE" w14:textId="77777777" w:rsidR="00F62A4F" w:rsidRPr="002C3B84" w:rsidRDefault="00F62A4F" w:rsidP="00AF46A0">
            <w:pPr>
              <w:rPr>
                <w:rFonts w:ascii="Arial" w:hAnsi="Arial" w:cs="Arial"/>
                <w:sz w:val="18"/>
                <w:szCs w:val="18"/>
              </w:rPr>
            </w:pPr>
            <w:r w:rsidRPr="002C3B84">
              <w:rPr>
                <w:rFonts w:ascii="Arial" w:hAnsi="Arial" w:cs="Arial"/>
                <w:sz w:val="18"/>
                <w:szCs w:val="18"/>
              </w:rPr>
              <w:t>IGA mod 2011 “clear” or “almost clear” response n (%)</w:t>
            </w:r>
          </w:p>
        </w:tc>
        <w:tc>
          <w:tcPr>
            <w:tcW w:w="907" w:type="dxa"/>
            <w:vAlign w:val="center"/>
          </w:tcPr>
          <w:p w14:paraId="2AAD6BB0" w14:textId="77777777" w:rsidR="00F62A4F" w:rsidRPr="002C3B84" w:rsidRDefault="00F62A4F" w:rsidP="00AF46A0">
            <w:pPr>
              <w:rPr>
                <w:rFonts w:ascii="Arial" w:hAnsi="Arial" w:cs="Arial"/>
                <w:sz w:val="18"/>
                <w:szCs w:val="18"/>
              </w:rPr>
            </w:pPr>
            <w:r w:rsidRPr="002C3B84">
              <w:rPr>
                <w:rFonts w:ascii="Arial" w:hAnsi="Arial" w:cs="Arial"/>
                <w:sz w:val="18"/>
                <w:szCs w:val="18"/>
              </w:rPr>
              <w:t>6 (2.40%)</w:t>
            </w:r>
          </w:p>
        </w:tc>
        <w:tc>
          <w:tcPr>
            <w:tcW w:w="1124" w:type="dxa"/>
            <w:vAlign w:val="center"/>
          </w:tcPr>
          <w:p w14:paraId="5A090BD0" w14:textId="77777777" w:rsidR="00F62A4F" w:rsidRPr="002C3B84" w:rsidRDefault="00F62A4F" w:rsidP="00AF46A0">
            <w:pPr>
              <w:rPr>
                <w:rFonts w:ascii="Arial" w:hAnsi="Arial" w:cs="Arial"/>
                <w:sz w:val="18"/>
                <w:szCs w:val="18"/>
              </w:rPr>
            </w:pPr>
            <w:r w:rsidRPr="002C3B84">
              <w:rPr>
                <w:rFonts w:ascii="Arial" w:hAnsi="Arial" w:cs="Arial"/>
                <w:sz w:val="18"/>
                <w:szCs w:val="18"/>
              </w:rPr>
              <w:t>125 (51.2%)</w:t>
            </w:r>
            <w:r w:rsidRPr="002C3B84">
              <w:rPr>
                <w:rFonts w:ascii="Arial" w:hAnsi="Arial" w:cs="Arial"/>
                <w:i/>
                <w:sz w:val="18"/>
                <w:szCs w:val="18"/>
              </w:rPr>
              <w:t>**</w:t>
            </w:r>
          </w:p>
        </w:tc>
        <w:tc>
          <w:tcPr>
            <w:tcW w:w="1125" w:type="dxa"/>
            <w:vAlign w:val="center"/>
          </w:tcPr>
          <w:p w14:paraId="28171257" w14:textId="77777777" w:rsidR="00F62A4F" w:rsidRPr="002C3B84" w:rsidRDefault="00F62A4F" w:rsidP="00AF46A0">
            <w:pPr>
              <w:rPr>
                <w:rFonts w:ascii="Arial" w:hAnsi="Arial" w:cs="Arial"/>
                <w:sz w:val="18"/>
                <w:szCs w:val="18"/>
              </w:rPr>
            </w:pPr>
            <w:r w:rsidRPr="002C3B84">
              <w:rPr>
                <w:rFonts w:ascii="Arial" w:hAnsi="Arial" w:cs="Arial"/>
                <w:sz w:val="18"/>
                <w:szCs w:val="18"/>
              </w:rPr>
              <w:t>160 (65.3%)</w:t>
            </w:r>
            <w:r w:rsidRPr="002C3B84">
              <w:rPr>
                <w:rFonts w:ascii="Arial" w:hAnsi="Arial" w:cs="Arial"/>
                <w:i/>
                <w:sz w:val="18"/>
                <w:szCs w:val="18"/>
              </w:rPr>
              <w:t>**</w:t>
            </w:r>
          </w:p>
        </w:tc>
        <w:tc>
          <w:tcPr>
            <w:tcW w:w="1095" w:type="dxa"/>
            <w:vAlign w:val="center"/>
          </w:tcPr>
          <w:p w14:paraId="18275D0A"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142 (58.2%)</w:t>
            </w:r>
          </w:p>
        </w:tc>
        <w:tc>
          <w:tcPr>
            <w:tcW w:w="1096" w:type="dxa"/>
            <w:vAlign w:val="center"/>
          </w:tcPr>
          <w:p w14:paraId="3928FC6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180 (73.5%)</w:t>
            </w:r>
          </w:p>
        </w:tc>
        <w:tc>
          <w:tcPr>
            <w:tcW w:w="1096" w:type="dxa"/>
            <w:vAlign w:val="center"/>
          </w:tcPr>
          <w:p w14:paraId="74680F5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101 (41.4%)</w:t>
            </w:r>
          </w:p>
        </w:tc>
        <w:tc>
          <w:tcPr>
            <w:tcW w:w="1096" w:type="dxa"/>
            <w:vAlign w:val="center"/>
          </w:tcPr>
          <w:p w14:paraId="5720D26B"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148 (60.4%)</w:t>
            </w:r>
          </w:p>
        </w:tc>
      </w:tr>
      <w:tr w:rsidR="00F62A4F" w:rsidRPr="002C3B84" w14:paraId="68596071" w14:textId="77777777" w:rsidTr="002C3B84">
        <w:trPr>
          <w:cantSplit/>
        </w:trPr>
        <w:tc>
          <w:tcPr>
            <w:tcW w:w="9016" w:type="dxa"/>
            <w:gridSpan w:val="8"/>
            <w:vAlign w:val="center"/>
          </w:tcPr>
          <w:p w14:paraId="143FA2E8" w14:textId="77777777" w:rsidR="00F62A4F" w:rsidRPr="002C3B84" w:rsidRDefault="00F62A4F" w:rsidP="00AF46A0">
            <w:pPr>
              <w:rPr>
                <w:rFonts w:ascii="Arial" w:hAnsi="Arial" w:cs="Arial"/>
                <w:b/>
                <w:color w:val="000000" w:themeColor="text1"/>
                <w:sz w:val="18"/>
                <w:szCs w:val="18"/>
              </w:rPr>
            </w:pPr>
            <w:r w:rsidRPr="002C3B84">
              <w:rPr>
                <w:rFonts w:ascii="Arial" w:hAnsi="Arial" w:cs="Arial"/>
                <w:b/>
                <w:color w:val="000000" w:themeColor="text1"/>
                <w:sz w:val="18"/>
                <w:szCs w:val="18"/>
              </w:rPr>
              <w:t>FEATURE</w:t>
            </w:r>
          </w:p>
        </w:tc>
      </w:tr>
      <w:tr w:rsidR="00F62A4F" w:rsidRPr="002C3B84" w14:paraId="2564FD96" w14:textId="77777777" w:rsidTr="002C3B84">
        <w:trPr>
          <w:cantSplit/>
        </w:trPr>
        <w:tc>
          <w:tcPr>
            <w:tcW w:w="1477" w:type="dxa"/>
            <w:vAlign w:val="center"/>
          </w:tcPr>
          <w:p w14:paraId="47D5B7CD" w14:textId="77777777" w:rsidR="00F62A4F" w:rsidRPr="002C3B84" w:rsidRDefault="00F62A4F" w:rsidP="00AF46A0">
            <w:pPr>
              <w:rPr>
                <w:rFonts w:ascii="Arial" w:hAnsi="Arial" w:cs="Arial"/>
                <w:sz w:val="18"/>
                <w:szCs w:val="18"/>
              </w:rPr>
            </w:pPr>
            <w:r w:rsidRPr="002C3B84">
              <w:rPr>
                <w:rFonts w:ascii="Arial" w:hAnsi="Arial" w:cs="Arial"/>
                <w:sz w:val="18"/>
                <w:szCs w:val="18"/>
              </w:rPr>
              <w:t>Number of patients</w:t>
            </w:r>
          </w:p>
        </w:tc>
        <w:tc>
          <w:tcPr>
            <w:tcW w:w="907" w:type="dxa"/>
            <w:vAlign w:val="center"/>
          </w:tcPr>
          <w:p w14:paraId="6CF90AC3" w14:textId="77777777" w:rsidR="00F62A4F" w:rsidRPr="002C3B84" w:rsidRDefault="00F62A4F" w:rsidP="00AF46A0">
            <w:pPr>
              <w:rPr>
                <w:rFonts w:ascii="Arial" w:hAnsi="Arial" w:cs="Arial"/>
                <w:sz w:val="18"/>
                <w:szCs w:val="18"/>
              </w:rPr>
            </w:pPr>
            <w:r w:rsidRPr="002C3B84">
              <w:rPr>
                <w:rFonts w:ascii="Arial" w:hAnsi="Arial" w:cs="Arial"/>
                <w:sz w:val="18"/>
                <w:szCs w:val="18"/>
              </w:rPr>
              <w:t>59</w:t>
            </w:r>
          </w:p>
        </w:tc>
        <w:tc>
          <w:tcPr>
            <w:tcW w:w="1124" w:type="dxa"/>
            <w:vAlign w:val="center"/>
          </w:tcPr>
          <w:p w14:paraId="291ECC22" w14:textId="77777777" w:rsidR="00F62A4F" w:rsidRPr="002C3B84" w:rsidRDefault="00F62A4F" w:rsidP="00AF46A0">
            <w:pPr>
              <w:rPr>
                <w:rFonts w:ascii="Arial" w:hAnsi="Arial" w:cs="Arial"/>
                <w:sz w:val="18"/>
                <w:szCs w:val="18"/>
              </w:rPr>
            </w:pPr>
            <w:r w:rsidRPr="002C3B84">
              <w:rPr>
                <w:rFonts w:ascii="Arial" w:hAnsi="Arial" w:cs="Arial"/>
                <w:sz w:val="18"/>
                <w:szCs w:val="18"/>
              </w:rPr>
              <w:t>59</w:t>
            </w:r>
          </w:p>
        </w:tc>
        <w:tc>
          <w:tcPr>
            <w:tcW w:w="1125" w:type="dxa"/>
            <w:vAlign w:val="center"/>
          </w:tcPr>
          <w:p w14:paraId="1D8A0068" w14:textId="77777777" w:rsidR="00F62A4F" w:rsidRPr="002C3B84" w:rsidRDefault="00F62A4F" w:rsidP="00AF46A0">
            <w:pPr>
              <w:rPr>
                <w:rFonts w:ascii="Arial" w:hAnsi="Arial" w:cs="Arial"/>
                <w:sz w:val="18"/>
                <w:szCs w:val="18"/>
              </w:rPr>
            </w:pPr>
            <w:r w:rsidRPr="002C3B84">
              <w:rPr>
                <w:rFonts w:ascii="Arial" w:hAnsi="Arial" w:cs="Arial"/>
                <w:sz w:val="18"/>
                <w:szCs w:val="18"/>
              </w:rPr>
              <w:t>58</w:t>
            </w:r>
          </w:p>
        </w:tc>
        <w:tc>
          <w:tcPr>
            <w:tcW w:w="1095" w:type="dxa"/>
            <w:vAlign w:val="center"/>
          </w:tcPr>
          <w:p w14:paraId="523E5745"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3CA6C277"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647F253F"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7CC4CFCE"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7FBDB494" w14:textId="77777777" w:rsidTr="002C3B84">
        <w:trPr>
          <w:cantSplit/>
        </w:trPr>
        <w:tc>
          <w:tcPr>
            <w:tcW w:w="1477" w:type="dxa"/>
            <w:vAlign w:val="center"/>
          </w:tcPr>
          <w:p w14:paraId="2E611EC3" w14:textId="77777777" w:rsidR="00F62A4F" w:rsidRPr="002C3B84" w:rsidRDefault="00F62A4F" w:rsidP="00AF46A0">
            <w:pPr>
              <w:rPr>
                <w:rFonts w:ascii="Arial" w:hAnsi="Arial" w:cs="Arial"/>
                <w:sz w:val="18"/>
                <w:szCs w:val="18"/>
              </w:rPr>
            </w:pPr>
            <w:r w:rsidRPr="002C3B84">
              <w:rPr>
                <w:rFonts w:ascii="Arial" w:hAnsi="Arial" w:cs="Arial"/>
                <w:sz w:val="18"/>
                <w:szCs w:val="18"/>
              </w:rPr>
              <w:t>PASI 50 response n (%)</w:t>
            </w:r>
          </w:p>
        </w:tc>
        <w:tc>
          <w:tcPr>
            <w:tcW w:w="907" w:type="dxa"/>
            <w:vAlign w:val="center"/>
          </w:tcPr>
          <w:p w14:paraId="5EE5EC50" w14:textId="77777777" w:rsidR="00F62A4F" w:rsidRPr="002C3B84" w:rsidRDefault="00F62A4F" w:rsidP="00AF46A0">
            <w:pPr>
              <w:rPr>
                <w:rFonts w:ascii="Arial" w:hAnsi="Arial" w:cs="Arial"/>
                <w:sz w:val="18"/>
                <w:szCs w:val="18"/>
              </w:rPr>
            </w:pPr>
            <w:r w:rsidRPr="002C3B84">
              <w:rPr>
                <w:rFonts w:ascii="Arial" w:hAnsi="Arial" w:cs="Arial"/>
                <w:sz w:val="18"/>
                <w:szCs w:val="18"/>
              </w:rPr>
              <w:t>3 (5.1%)</w:t>
            </w:r>
          </w:p>
        </w:tc>
        <w:tc>
          <w:tcPr>
            <w:tcW w:w="1124" w:type="dxa"/>
            <w:vAlign w:val="center"/>
          </w:tcPr>
          <w:p w14:paraId="35A7B239" w14:textId="77777777" w:rsidR="00F62A4F" w:rsidRPr="002C3B84" w:rsidRDefault="00F62A4F" w:rsidP="00AF46A0">
            <w:pPr>
              <w:rPr>
                <w:rFonts w:ascii="Arial" w:hAnsi="Arial" w:cs="Arial"/>
                <w:sz w:val="18"/>
                <w:szCs w:val="18"/>
              </w:rPr>
            </w:pPr>
            <w:r w:rsidRPr="002C3B84">
              <w:rPr>
                <w:rFonts w:ascii="Arial" w:hAnsi="Arial" w:cs="Arial"/>
                <w:sz w:val="18"/>
                <w:szCs w:val="18"/>
              </w:rPr>
              <w:t>51 (86.4%)</w:t>
            </w:r>
          </w:p>
        </w:tc>
        <w:tc>
          <w:tcPr>
            <w:tcW w:w="1125" w:type="dxa"/>
            <w:vAlign w:val="center"/>
          </w:tcPr>
          <w:p w14:paraId="7D6D0387" w14:textId="612548FB" w:rsidR="00F62A4F" w:rsidRPr="002C3B84" w:rsidRDefault="00F62A4F" w:rsidP="00AF46A0">
            <w:pPr>
              <w:rPr>
                <w:rFonts w:ascii="Arial" w:hAnsi="Arial" w:cs="Arial"/>
                <w:sz w:val="18"/>
                <w:szCs w:val="18"/>
              </w:rPr>
            </w:pPr>
            <w:r w:rsidRPr="002C3B84">
              <w:rPr>
                <w:rFonts w:ascii="Arial" w:hAnsi="Arial" w:cs="Arial"/>
                <w:sz w:val="18"/>
                <w:szCs w:val="18"/>
              </w:rPr>
              <w:t>51</w:t>
            </w:r>
          </w:p>
          <w:p w14:paraId="5A2D558A" w14:textId="77777777" w:rsidR="00F62A4F" w:rsidRPr="002C3B84" w:rsidRDefault="00F62A4F" w:rsidP="00AF46A0">
            <w:pPr>
              <w:rPr>
                <w:rFonts w:ascii="Arial" w:hAnsi="Arial" w:cs="Arial"/>
                <w:sz w:val="18"/>
                <w:szCs w:val="18"/>
              </w:rPr>
            </w:pPr>
            <w:r w:rsidRPr="002C3B84">
              <w:rPr>
                <w:rFonts w:ascii="Arial" w:hAnsi="Arial" w:cs="Arial"/>
                <w:sz w:val="18"/>
                <w:szCs w:val="18"/>
              </w:rPr>
              <w:t>(87.9%)</w:t>
            </w:r>
          </w:p>
        </w:tc>
        <w:tc>
          <w:tcPr>
            <w:tcW w:w="1095" w:type="dxa"/>
            <w:vAlign w:val="center"/>
          </w:tcPr>
          <w:p w14:paraId="183786F2"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2540B667"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3EA241A5"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71BD219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54FF2357" w14:textId="77777777" w:rsidTr="002C3B84">
        <w:trPr>
          <w:cantSplit/>
        </w:trPr>
        <w:tc>
          <w:tcPr>
            <w:tcW w:w="1477" w:type="dxa"/>
            <w:vAlign w:val="center"/>
          </w:tcPr>
          <w:p w14:paraId="2BC58A2D" w14:textId="77777777" w:rsidR="00F62A4F" w:rsidRPr="002C3B84" w:rsidRDefault="00F62A4F" w:rsidP="00AF46A0">
            <w:pPr>
              <w:rPr>
                <w:rFonts w:ascii="Arial" w:hAnsi="Arial" w:cs="Arial"/>
                <w:sz w:val="18"/>
                <w:szCs w:val="18"/>
              </w:rPr>
            </w:pPr>
            <w:r w:rsidRPr="002C3B84">
              <w:rPr>
                <w:rFonts w:ascii="Arial" w:hAnsi="Arial" w:cs="Arial"/>
                <w:sz w:val="18"/>
                <w:szCs w:val="18"/>
              </w:rPr>
              <w:t>PASI 75 response n (%)</w:t>
            </w:r>
          </w:p>
        </w:tc>
        <w:tc>
          <w:tcPr>
            <w:tcW w:w="907" w:type="dxa"/>
            <w:vAlign w:val="center"/>
          </w:tcPr>
          <w:p w14:paraId="5452B64A"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vAlign w:val="center"/>
          </w:tcPr>
          <w:p w14:paraId="04281BD7" w14:textId="77777777" w:rsidR="00F62A4F" w:rsidRPr="002C3B84" w:rsidRDefault="00F62A4F" w:rsidP="00AF46A0">
            <w:pPr>
              <w:rPr>
                <w:rFonts w:ascii="Arial" w:hAnsi="Arial" w:cs="Arial"/>
                <w:sz w:val="18"/>
                <w:szCs w:val="18"/>
              </w:rPr>
            </w:pPr>
            <w:r w:rsidRPr="002C3B84">
              <w:rPr>
                <w:rFonts w:ascii="Arial" w:hAnsi="Arial" w:cs="Arial"/>
                <w:sz w:val="18"/>
                <w:szCs w:val="18"/>
              </w:rPr>
              <w:t>41 (69.5%)</w:t>
            </w:r>
            <w:r w:rsidRPr="002C3B84">
              <w:rPr>
                <w:rFonts w:ascii="Arial" w:hAnsi="Arial" w:cs="Arial"/>
                <w:i/>
                <w:sz w:val="18"/>
                <w:szCs w:val="18"/>
              </w:rPr>
              <w:t>**</w:t>
            </w:r>
          </w:p>
        </w:tc>
        <w:tc>
          <w:tcPr>
            <w:tcW w:w="1125" w:type="dxa"/>
            <w:vAlign w:val="center"/>
          </w:tcPr>
          <w:p w14:paraId="11C0AA40" w14:textId="77777777" w:rsidR="00F62A4F" w:rsidRPr="002C3B84" w:rsidRDefault="00F62A4F" w:rsidP="00AF46A0">
            <w:pPr>
              <w:rPr>
                <w:rFonts w:ascii="Arial" w:hAnsi="Arial" w:cs="Arial"/>
                <w:sz w:val="18"/>
                <w:szCs w:val="18"/>
              </w:rPr>
            </w:pPr>
            <w:r w:rsidRPr="002C3B84">
              <w:rPr>
                <w:rFonts w:ascii="Arial" w:hAnsi="Arial" w:cs="Arial"/>
                <w:sz w:val="18"/>
                <w:szCs w:val="18"/>
              </w:rPr>
              <w:t>44 (75.9%)</w:t>
            </w:r>
            <w:r w:rsidRPr="002C3B84">
              <w:rPr>
                <w:rFonts w:ascii="Arial" w:hAnsi="Arial" w:cs="Arial"/>
                <w:i/>
                <w:sz w:val="18"/>
                <w:szCs w:val="18"/>
              </w:rPr>
              <w:t>**</w:t>
            </w:r>
          </w:p>
        </w:tc>
        <w:tc>
          <w:tcPr>
            <w:tcW w:w="1095" w:type="dxa"/>
            <w:vAlign w:val="center"/>
          </w:tcPr>
          <w:p w14:paraId="275013FF"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461BE0B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3687FC4F"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19E72EE7"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10EDAA1B" w14:textId="77777777" w:rsidTr="002C3B84">
        <w:trPr>
          <w:cantSplit/>
        </w:trPr>
        <w:tc>
          <w:tcPr>
            <w:tcW w:w="1477" w:type="dxa"/>
            <w:vAlign w:val="center"/>
          </w:tcPr>
          <w:p w14:paraId="5AFBAF20" w14:textId="77777777" w:rsidR="00F62A4F" w:rsidRPr="002C3B84" w:rsidRDefault="00F62A4F" w:rsidP="00AF46A0">
            <w:pPr>
              <w:rPr>
                <w:rFonts w:ascii="Arial" w:hAnsi="Arial" w:cs="Arial"/>
                <w:sz w:val="18"/>
                <w:szCs w:val="18"/>
              </w:rPr>
            </w:pPr>
            <w:r w:rsidRPr="002C3B84">
              <w:rPr>
                <w:rFonts w:ascii="Arial" w:hAnsi="Arial" w:cs="Arial"/>
                <w:sz w:val="18"/>
                <w:szCs w:val="18"/>
              </w:rPr>
              <w:t>PASI 90 response n (%)</w:t>
            </w:r>
          </w:p>
        </w:tc>
        <w:tc>
          <w:tcPr>
            <w:tcW w:w="907" w:type="dxa"/>
            <w:vAlign w:val="center"/>
          </w:tcPr>
          <w:p w14:paraId="047A3565"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vAlign w:val="center"/>
          </w:tcPr>
          <w:p w14:paraId="5F5F2434" w14:textId="77777777" w:rsidR="00F62A4F" w:rsidRPr="002C3B84" w:rsidRDefault="00F62A4F" w:rsidP="00AF46A0">
            <w:pPr>
              <w:rPr>
                <w:rFonts w:ascii="Arial" w:hAnsi="Arial" w:cs="Arial"/>
                <w:sz w:val="18"/>
                <w:szCs w:val="18"/>
              </w:rPr>
            </w:pPr>
            <w:r w:rsidRPr="002C3B84">
              <w:rPr>
                <w:rFonts w:ascii="Arial" w:hAnsi="Arial" w:cs="Arial"/>
                <w:sz w:val="18"/>
                <w:szCs w:val="18"/>
              </w:rPr>
              <w:t>27 (45.8%)</w:t>
            </w:r>
          </w:p>
        </w:tc>
        <w:tc>
          <w:tcPr>
            <w:tcW w:w="1125" w:type="dxa"/>
            <w:vAlign w:val="center"/>
          </w:tcPr>
          <w:p w14:paraId="5FFCC7CA" w14:textId="77777777" w:rsidR="00F62A4F" w:rsidRPr="002C3B84" w:rsidRDefault="00F62A4F" w:rsidP="00AF46A0">
            <w:pPr>
              <w:rPr>
                <w:rFonts w:ascii="Arial" w:hAnsi="Arial" w:cs="Arial"/>
                <w:sz w:val="18"/>
                <w:szCs w:val="18"/>
              </w:rPr>
            </w:pPr>
            <w:r w:rsidRPr="002C3B84">
              <w:rPr>
                <w:rFonts w:ascii="Arial" w:hAnsi="Arial" w:cs="Arial"/>
                <w:sz w:val="18"/>
                <w:szCs w:val="18"/>
              </w:rPr>
              <w:t>35 (60.3%)</w:t>
            </w:r>
          </w:p>
        </w:tc>
        <w:tc>
          <w:tcPr>
            <w:tcW w:w="1095" w:type="dxa"/>
            <w:vAlign w:val="center"/>
          </w:tcPr>
          <w:p w14:paraId="7F89759B"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5771CAB8"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437AE82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5D293546"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7699BF83" w14:textId="77777777" w:rsidTr="002C3B84">
        <w:trPr>
          <w:cantSplit/>
        </w:trPr>
        <w:tc>
          <w:tcPr>
            <w:tcW w:w="1477" w:type="dxa"/>
            <w:vAlign w:val="center"/>
          </w:tcPr>
          <w:p w14:paraId="08A381F6" w14:textId="77777777" w:rsidR="00F62A4F" w:rsidRPr="002C3B84" w:rsidRDefault="00F62A4F" w:rsidP="00AF46A0">
            <w:pPr>
              <w:rPr>
                <w:rFonts w:ascii="Arial" w:hAnsi="Arial" w:cs="Arial"/>
                <w:sz w:val="18"/>
                <w:szCs w:val="18"/>
              </w:rPr>
            </w:pPr>
            <w:r w:rsidRPr="002C3B84">
              <w:rPr>
                <w:rFonts w:ascii="Arial" w:hAnsi="Arial" w:cs="Arial"/>
                <w:sz w:val="18"/>
                <w:szCs w:val="18"/>
              </w:rPr>
              <w:t>PASI 100 response n (%)</w:t>
            </w:r>
          </w:p>
        </w:tc>
        <w:tc>
          <w:tcPr>
            <w:tcW w:w="907" w:type="dxa"/>
            <w:vAlign w:val="center"/>
          </w:tcPr>
          <w:p w14:paraId="03BD7E08"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vAlign w:val="center"/>
          </w:tcPr>
          <w:p w14:paraId="1798AD36" w14:textId="77777777" w:rsidR="00F62A4F" w:rsidRPr="002C3B84" w:rsidRDefault="00F62A4F" w:rsidP="00AF46A0">
            <w:pPr>
              <w:rPr>
                <w:rFonts w:ascii="Arial" w:hAnsi="Arial" w:cs="Arial"/>
                <w:sz w:val="18"/>
                <w:szCs w:val="18"/>
              </w:rPr>
            </w:pPr>
            <w:r w:rsidRPr="002C3B84">
              <w:rPr>
                <w:rFonts w:ascii="Arial" w:hAnsi="Arial" w:cs="Arial"/>
                <w:sz w:val="18"/>
                <w:szCs w:val="18"/>
              </w:rPr>
              <w:t>5 (8.5%)</w:t>
            </w:r>
          </w:p>
        </w:tc>
        <w:tc>
          <w:tcPr>
            <w:tcW w:w="1125" w:type="dxa"/>
            <w:vAlign w:val="center"/>
          </w:tcPr>
          <w:p w14:paraId="57399BDA" w14:textId="77777777" w:rsidR="00F62A4F" w:rsidRPr="002C3B84" w:rsidRDefault="00F62A4F" w:rsidP="00AF46A0">
            <w:pPr>
              <w:rPr>
                <w:rFonts w:ascii="Arial" w:hAnsi="Arial" w:cs="Arial"/>
                <w:sz w:val="18"/>
                <w:szCs w:val="18"/>
              </w:rPr>
            </w:pPr>
            <w:r w:rsidRPr="002C3B84">
              <w:rPr>
                <w:rFonts w:ascii="Arial" w:hAnsi="Arial" w:cs="Arial"/>
                <w:sz w:val="18"/>
                <w:szCs w:val="18"/>
              </w:rPr>
              <w:t>25 (43.1%)</w:t>
            </w:r>
          </w:p>
        </w:tc>
        <w:tc>
          <w:tcPr>
            <w:tcW w:w="1095" w:type="dxa"/>
            <w:vAlign w:val="center"/>
          </w:tcPr>
          <w:p w14:paraId="581CCC9E"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63E29BBE"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077DB9C5"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7D4C63B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45630FAF" w14:textId="77777777" w:rsidTr="002C3B84">
        <w:trPr>
          <w:cantSplit/>
        </w:trPr>
        <w:tc>
          <w:tcPr>
            <w:tcW w:w="1477" w:type="dxa"/>
            <w:vAlign w:val="center"/>
          </w:tcPr>
          <w:p w14:paraId="0354FD9A" w14:textId="77777777" w:rsidR="00F62A4F" w:rsidRPr="002C3B84" w:rsidRDefault="00F62A4F" w:rsidP="00AF46A0">
            <w:pPr>
              <w:rPr>
                <w:rFonts w:ascii="Arial" w:hAnsi="Arial" w:cs="Arial"/>
                <w:sz w:val="18"/>
                <w:szCs w:val="18"/>
              </w:rPr>
            </w:pPr>
            <w:r w:rsidRPr="002C3B84">
              <w:rPr>
                <w:rFonts w:ascii="Arial" w:hAnsi="Arial" w:cs="Arial"/>
                <w:sz w:val="18"/>
                <w:szCs w:val="18"/>
              </w:rPr>
              <w:t>IGA mod 2011 “clear” or “almost clear” response n (%)</w:t>
            </w:r>
          </w:p>
        </w:tc>
        <w:tc>
          <w:tcPr>
            <w:tcW w:w="907" w:type="dxa"/>
            <w:vAlign w:val="center"/>
          </w:tcPr>
          <w:p w14:paraId="6E91BDE8"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vAlign w:val="center"/>
          </w:tcPr>
          <w:p w14:paraId="682F59A1" w14:textId="77777777" w:rsidR="00F62A4F" w:rsidRPr="002C3B84" w:rsidRDefault="00F62A4F" w:rsidP="00AF46A0">
            <w:pPr>
              <w:rPr>
                <w:rFonts w:ascii="Arial" w:hAnsi="Arial" w:cs="Arial"/>
                <w:sz w:val="18"/>
                <w:szCs w:val="18"/>
              </w:rPr>
            </w:pPr>
            <w:r w:rsidRPr="002C3B84">
              <w:rPr>
                <w:rFonts w:ascii="Arial" w:hAnsi="Arial" w:cs="Arial"/>
                <w:sz w:val="18"/>
                <w:szCs w:val="18"/>
              </w:rPr>
              <w:t>31 (52.5%)</w:t>
            </w:r>
            <w:r w:rsidRPr="002C3B84">
              <w:rPr>
                <w:rFonts w:ascii="Arial" w:hAnsi="Arial" w:cs="Arial"/>
                <w:i/>
                <w:sz w:val="18"/>
                <w:szCs w:val="18"/>
              </w:rPr>
              <w:t>**</w:t>
            </w:r>
          </w:p>
        </w:tc>
        <w:tc>
          <w:tcPr>
            <w:tcW w:w="1125" w:type="dxa"/>
            <w:vAlign w:val="center"/>
          </w:tcPr>
          <w:p w14:paraId="7B8E5911" w14:textId="77777777" w:rsidR="00F62A4F" w:rsidRPr="002C3B84" w:rsidRDefault="00F62A4F" w:rsidP="00AF46A0">
            <w:pPr>
              <w:rPr>
                <w:rFonts w:ascii="Arial" w:hAnsi="Arial" w:cs="Arial"/>
                <w:sz w:val="18"/>
                <w:szCs w:val="18"/>
              </w:rPr>
            </w:pPr>
            <w:r w:rsidRPr="002C3B84">
              <w:rPr>
                <w:rFonts w:ascii="Arial" w:hAnsi="Arial" w:cs="Arial"/>
                <w:sz w:val="18"/>
                <w:szCs w:val="18"/>
              </w:rPr>
              <w:t>40 (69.0%)</w:t>
            </w:r>
            <w:r w:rsidRPr="002C3B84">
              <w:rPr>
                <w:rFonts w:ascii="Arial" w:hAnsi="Arial" w:cs="Arial"/>
                <w:i/>
                <w:sz w:val="18"/>
                <w:szCs w:val="18"/>
              </w:rPr>
              <w:t>**</w:t>
            </w:r>
          </w:p>
        </w:tc>
        <w:tc>
          <w:tcPr>
            <w:tcW w:w="1095" w:type="dxa"/>
            <w:vAlign w:val="center"/>
          </w:tcPr>
          <w:p w14:paraId="1EFBCA6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3C8F9F9D"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6CEB229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139B3C40"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1153D532" w14:textId="77777777" w:rsidTr="002C3B84">
        <w:trPr>
          <w:cantSplit/>
        </w:trPr>
        <w:tc>
          <w:tcPr>
            <w:tcW w:w="9016" w:type="dxa"/>
            <w:gridSpan w:val="8"/>
            <w:vAlign w:val="center"/>
          </w:tcPr>
          <w:p w14:paraId="045D7B67" w14:textId="77777777" w:rsidR="00F62A4F" w:rsidRPr="002C3B84" w:rsidRDefault="00F62A4F" w:rsidP="00AF46A0">
            <w:pPr>
              <w:rPr>
                <w:rFonts w:ascii="Arial" w:hAnsi="Arial" w:cs="Arial"/>
                <w:b/>
                <w:color w:val="000000" w:themeColor="text1"/>
                <w:sz w:val="18"/>
                <w:szCs w:val="18"/>
              </w:rPr>
            </w:pPr>
            <w:r w:rsidRPr="002C3B84">
              <w:rPr>
                <w:rFonts w:ascii="Arial" w:hAnsi="Arial" w:cs="Arial"/>
                <w:b/>
                <w:color w:val="000000" w:themeColor="text1"/>
                <w:sz w:val="18"/>
                <w:szCs w:val="18"/>
              </w:rPr>
              <w:t>JUNCTURE</w:t>
            </w:r>
          </w:p>
        </w:tc>
      </w:tr>
      <w:tr w:rsidR="00F62A4F" w:rsidRPr="002C3B84" w14:paraId="06AAC5C8" w14:textId="77777777" w:rsidTr="002C3B84">
        <w:trPr>
          <w:cantSplit/>
        </w:trPr>
        <w:tc>
          <w:tcPr>
            <w:tcW w:w="1477" w:type="dxa"/>
            <w:vAlign w:val="center"/>
          </w:tcPr>
          <w:p w14:paraId="58268A2C" w14:textId="77777777" w:rsidR="00F62A4F" w:rsidRPr="002C3B84" w:rsidRDefault="00F62A4F" w:rsidP="00AF46A0">
            <w:pPr>
              <w:rPr>
                <w:rFonts w:ascii="Arial" w:hAnsi="Arial" w:cs="Arial"/>
                <w:sz w:val="18"/>
                <w:szCs w:val="18"/>
              </w:rPr>
            </w:pPr>
            <w:r w:rsidRPr="002C3B84">
              <w:rPr>
                <w:rFonts w:ascii="Arial" w:hAnsi="Arial" w:cs="Arial"/>
                <w:sz w:val="18"/>
                <w:szCs w:val="18"/>
              </w:rPr>
              <w:t>Number of patients</w:t>
            </w:r>
          </w:p>
        </w:tc>
        <w:tc>
          <w:tcPr>
            <w:tcW w:w="907" w:type="dxa"/>
            <w:vAlign w:val="center"/>
          </w:tcPr>
          <w:p w14:paraId="598F9DDD" w14:textId="77777777" w:rsidR="00F62A4F" w:rsidRPr="002C3B84" w:rsidRDefault="00F62A4F" w:rsidP="00AF46A0">
            <w:pPr>
              <w:rPr>
                <w:rFonts w:ascii="Arial" w:hAnsi="Arial" w:cs="Arial"/>
                <w:sz w:val="18"/>
                <w:szCs w:val="18"/>
              </w:rPr>
            </w:pPr>
            <w:r w:rsidRPr="002C3B84">
              <w:rPr>
                <w:rFonts w:ascii="Arial" w:hAnsi="Arial" w:cs="Arial"/>
                <w:sz w:val="18"/>
                <w:szCs w:val="18"/>
              </w:rPr>
              <w:t>61</w:t>
            </w:r>
          </w:p>
        </w:tc>
        <w:tc>
          <w:tcPr>
            <w:tcW w:w="1124" w:type="dxa"/>
            <w:vAlign w:val="center"/>
          </w:tcPr>
          <w:p w14:paraId="75A805FE" w14:textId="77777777" w:rsidR="00F62A4F" w:rsidRPr="002C3B84" w:rsidRDefault="00F62A4F" w:rsidP="00AF46A0">
            <w:pPr>
              <w:rPr>
                <w:rFonts w:ascii="Arial" w:hAnsi="Arial" w:cs="Arial"/>
                <w:sz w:val="18"/>
                <w:szCs w:val="18"/>
              </w:rPr>
            </w:pPr>
            <w:r w:rsidRPr="002C3B84">
              <w:rPr>
                <w:rFonts w:ascii="Arial" w:hAnsi="Arial" w:cs="Arial"/>
                <w:sz w:val="18"/>
                <w:szCs w:val="18"/>
              </w:rPr>
              <w:t>60</w:t>
            </w:r>
          </w:p>
        </w:tc>
        <w:tc>
          <w:tcPr>
            <w:tcW w:w="1125" w:type="dxa"/>
            <w:vAlign w:val="center"/>
          </w:tcPr>
          <w:p w14:paraId="49FAD1E4" w14:textId="77777777" w:rsidR="00F62A4F" w:rsidRPr="002C3B84" w:rsidRDefault="00F62A4F" w:rsidP="00AF46A0">
            <w:pPr>
              <w:rPr>
                <w:rFonts w:ascii="Arial" w:hAnsi="Arial" w:cs="Arial"/>
                <w:sz w:val="18"/>
                <w:szCs w:val="18"/>
              </w:rPr>
            </w:pPr>
            <w:r w:rsidRPr="002C3B84">
              <w:rPr>
                <w:rFonts w:ascii="Arial" w:hAnsi="Arial" w:cs="Arial"/>
                <w:sz w:val="18"/>
                <w:szCs w:val="18"/>
              </w:rPr>
              <w:t>60</w:t>
            </w:r>
          </w:p>
        </w:tc>
        <w:tc>
          <w:tcPr>
            <w:tcW w:w="1095" w:type="dxa"/>
            <w:vAlign w:val="center"/>
          </w:tcPr>
          <w:p w14:paraId="3652F1F8"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27197E47"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180E32B3"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73BBCCC0"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53BEFBCE" w14:textId="77777777" w:rsidTr="002C3B84">
        <w:trPr>
          <w:cantSplit/>
        </w:trPr>
        <w:tc>
          <w:tcPr>
            <w:tcW w:w="1477" w:type="dxa"/>
            <w:vAlign w:val="center"/>
          </w:tcPr>
          <w:p w14:paraId="60725003" w14:textId="77777777" w:rsidR="00F62A4F" w:rsidRPr="002C3B84" w:rsidRDefault="00F62A4F" w:rsidP="00AF46A0">
            <w:pPr>
              <w:rPr>
                <w:rFonts w:ascii="Arial" w:hAnsi="Arial" w:cs="Arial"/>
                <w:sz w:val="18"/>
                <w:szCs w:val="18"/>
              </w:rPr>
            </w:pPr>
            <w:r w:rsidRPr="002C3B84">
              <w:rPr>
                <w:rFonts w:ascii="Arial" w:hAnsi="Arial" w:cs="Arial"/>
                <w:sz w:val="18"/>
                <w:szCs w:val="18"/>
              </w:rPr>
              <w:t>PASI 50 response n (%)</w:t>
            </w:r>
          </w:p>
        </w:tc>
        <w:tc>
          <w:tcPr>
            <w:tcW w:w="907" w:type="dxa"/>
            <w:vAlign w:val="center"/>
          </w:tcPr>
          <w:p w14:paraId="1C747270" w14:textId="77777777" w:rsidR="00F62A4F" w:rsidRPr="002C3B84" w:rsidRDefault="00F62A4F" w:rsidP="00AF46A0">
            <w:pPr>
              <w:rPr>
                <w:rFonts w:ascii="Arial" w:hAnsi="Arial" w:cs="Arial"/>
                <w:sz w:val="18"/>
                <w:szCs w:val="18"/>
              </w:rPr>
            </w:pPr>
            <w:r w:rsidRPr="002C3B84">
              <w:rPr>
                <w:rFonts w:ascii="Arial" w:hAnsi="Arial" w:cs="Arial"/>
                <w:sz w:val="18"/>
                <w:szCs w:val="18"/>
              </w:rPr>
              <w:t>5 (8.2%)</w:t>
            </w:r>
          </w:p>
        </w:tc>
        <w:tc>
          <w:tcPr>
            <w:tcW w:w="1124" w:type="dxa"/>
            <w:vAlign w:val="center"/>
          </w:tcPr>
          <w:p w14:paraId="3A56E304" w14:textId="77777777" w:rsidR="00F62A4F" w:rsidRPr="002C3B84" w:rsidRDefault="00F62A4F" w:rsidP="00AF46A0">
            <w:pPr>
              <w:rPr>
                <w:rFonts w:ascii="Arial" w:hAnsi="Arial" w:cs="Arial"/>
                <w:sz w:val="18"/>
                <w:szCs w:val="18"/>
              </w:rPr>
            </w:pPr>
            <w:r w:rsidRPr="002C3B84">
              <w:rPr>
                <w:rFonts w:ascii="Arial" w:hAnsi="Arial" w:cs="Arial"/>
                <w:sz w:val="18"/>
                <w:szCs w:val="18"/>
              </w:rPr>
              <w:t>48 (80.0%)</w:t>
            </w:r>
          </w:p>
        </w:tc>
        <w:tc>
          <w:tcPr>
            <w:tcW w:w="1125" w:type="dxa"/>
            <w:vAlign w:val="center"/>
          </w:tcPr>
          <w:p w14:paraId="324FF05D" w14:textId="77777777" w:rsidR="00F62A4F" w:rsidRPr="002C3B84" w:rsidRDefault="00F62A4F" w:rsidP="00AF46A0">
            <w:pPr>
              <w:rPr>
                <w:rFonts w:ascii="Arial" w:hAnsi="Arial" w:cs="Arial"/>
                <w:sz w:val="18"/>
                <w:szCs w:val="18"/>
              </w:rPr>
            </w:pPr>
            <w:r w:rsidRPr="002C3B84">
              <w:rPr>
                <w:rFonts w:ascii="Arial" w:hAnsi="Arial" w:cs="Arial"/>
                <w:sz w:val="18"/>
                <w:szCs w:val="18"/>
              </w:rPr>
              <w:t>58 (96.7%)</w:t>
            </w:r>
          </w:p>
        </w:tc>
        <w:tc>
          <w:tcPr>
            <w:tcW w:w="1095" w:type="dxa"/>
            <w:vAlign w:val="center"/>
          </w:tcPr>
          <w:p w14:paraId="3FC4E67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7FC961E7"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6BBDC77D"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6A9AE7E4"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5223CE00" w14:textId="77777777" w:rsidTr="002C3B84">
        <w:trPr>
          <w:cantSplit/>
        </w:trPr>
        <w:tc>
          <w:tcPr>
            <w:tcW w:w="1477" w:type="dxa"/>
            <w:vAlign w:val="center"/>
          </w:tcPr>
          <w:p w14:paraId="60CEEFD7" w14:textId="77777777" w:rsidR="00F62A4F" w:rsidRPr="002C3B84" w:rsidRDefault="00F62A4F" w:rsidP="00AF46A0">
            <w:pPr>
              <w:rPr>
                <w:rFonts w:ascii="Arial" w:hAnsi="Arial" w:cs="Arial"/>
                <w:sz w:val="18"/>
                <w:szCs w:val="18"/>
              </w:rPr>
            </w:pPr>
            <w:r w:rsidRPr="002C3B84">
              <w:rPr>
                <w:rFonts w:ascii="Arial" w:hAnsi="Arial" w:cs="Arial"/>
                <w:sz w:val="18"/>
                <w:szCs w:val="18"/>
              </w:rPr>
              <w:t>PASI 75 response n (%)</w:t>
            </w:r>
          </w:p>
        </w:tc>
        <w:tc>
          <w:tcPr>
            <w:tcW w:w="907" w:type="dxa"/>
            <w:vAlign w:val="center"/>
          </w:tcPr>
          <w:p w14:paraId="7DD3FB6B" w14:textId="77777777" w:rsidR="00F62A4F" w:rsidRPr="002C3B84" w:rsidRDefault="00F62A4F" w:rsidP="00AF46A0">
            <w:pPr>
              <w:rPr>
                <w:rFonts w:ascii="Arial" w:hAnsi="Arial" w:cs="Arial"/>
                <w:sz w:val="18"/>
                <w:szCs w:val="18"/>
              </w:rPr>
            </w:pPr>
            <w:r w:rsidRPr="002C3B84">
              <w:rPr>
                <w:rFonts w:ascii="Arial" w:hAnsi="Arial" w:cs="Arial"/>
                <w:sz w:val="18"/>
                <w:szCs w:val="18"/>
              </w:rPr>
              <w:t>2 (3.3%)</w:t>
            </w:r>
          </w:p>
        </w:tc>
        <w:tc>
          <w:tcPr>
            <w:tcW w:w="1124" w:type="dxa"/>
            <w:vAlign w:val="center"/>
          </w:tcPr>
          <w:p w14:paraId="486142CA" w14:textId="77777777" w:rsidR="00F62A4F" w:rsidRPr="002C3B84" w:rsidRDefault="00F62A4F" w:rsidP="00AF46A0">
            <w:pPr>
              <w:rPr>
                <w:rFonts w:ascii="Arial" w:hAnsi="Arial" w:cs="Arial"/>
                <w:sz w:val="18"/>
                <w:szCs w:val="18"/>
              </w:rPr>
            </w:pPr>
            <w:r w:rsidRPr="002C3B84">
              <w:rPr>
                <w:rFonts w:ascii="Arial" w:hAnsi="Arial" w:cs="Arial"/>
                <w:sz w:val="18"/>
                <w:szCs w:val="18"/>
              </w:rPr>
              <w:t>43 (71.7%)**</w:t>
            </w:r>
          </w:p>
        </w:tc>
        <w:tc>
          <w:tcPr>
            <w:tcW w:w="1125" w:type="dxa"/>
            <w:vAlign w:val="center"/>
          </w:tcPr>
          <w:p w14:paraId="564C103B" w14:textId="77777777" w:rsidR="00F62A4F" w:rsidRPr="002C3B84" w:rsidRDefault="00F62A4F" w:rsidP="00AF46A0">
            <w:pPr>
              <w:rPr>
                <w:rFonts w:ascii="Arial" w:hAnsi="Arial" w:cs="Arial"/>
                <w:sz w:val="18"/>
                <w:szCs w:val="18"/>
              </w:rPr>
            </w:pPr>
            <w:r w:rsidRPr="002C3B84">
              <w:rPr>
                <w:rFonts w:ascii="Arial" w:hAnsi="Arial" w:cs="Arial"/>
                <w:sz w:val="18"/>
                <w:szCs w:val="18"/>
              </w:rPr>
              <w:t>52 (86.7%)**</w:t>
            </w:r>
          </w:p>
        </w:tc>
        <w:tc>
          <w:tcPr>
            <w:tcW w:w="1095" w:type="dxa"/>
            <w:vAlign w:val="center"/>
          </w:tcPr>
          <w:p w14:paraId="3F1780E6"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03B8CCC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6393A96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32D5E0F4"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5A1B1EFD" w14:textId="77777777" w:rsidTr="002C3B84">
        <w:trPr>
          <w:cantSplit/>
        </w:trPr>
        <w:tc>
          <w:tcPr>
            <w:tcW w:w="1477" w:type="dxa"/>
            <w:vAlign w:val="center"/>
          </w:tcPr>
          <w:p w14:paraId="42A2BC47" w14:textId="77777777" w:rsidR="00F62A4F" w:rsidRPr="002C3B84" w:rsidRDefault="00F62A4F" w:rsidP="00AF46A0">
            <w:pPr>
              <w:rPr>
                <w:rFonts w:ascii="Arial" w:hAnsi="Arial" w:cs="Arial"/>
                <w:sz w:val="18"/>
                <w:szCs w:val="18"/>
              </w:rPr>
            </w:pPr>
            <w:r w:rsidRPr="002C3B84">
              <w:rPr>
                <w:rFonts w:ascii="Arial" w:hAnsi="Arial" w:cs="Arial"/>
                <w:sz w:val="18"/>
                <w:szCs w:val="18"/>
              </w:rPr>
              <w:t>PASI 90 response n (%)</w:t>
            </w:r>
          </w:p>
        </w:tc>
        <w:tc>
          <w:tcPr>
            <w:tcW w:w="907" w:type="dxa"/>
            <w:vAlign w:val="center"/>
          </w:tcPr>
          <w:p w14:paraId="781DC74E"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vAlign w:val="center"/>
          </w:tcPr>
          <w:p w14:paraId="29740189" w14:textId="77777777" w:rsidR="00F62A4F" w:rsidRPr="002C3B84" w:rsidRDefault="00F62A4F" w:rsidP="00AF46A0">
            <w:pPr>
              <w:rPr>
                <w:rFonts w:ascii="Arial" w:hAnsi="Arial" w:cs="Arial"/>
                <w:sz w:val="18"/>
                <w:szCs w:val="18"/>
              </w:rPr>
            </w:pPr>
            <w:r w:rsidRPr="002C3B84">
              <w:rPr>
                <w:rFonts w:ascii="Arial" w:hAnsi="Arial" w:cs="Arial"/>
                <w:sz w:val="18"/>
                <w:szCs w:val="18"/>
              </w:rPr>
              <w:t>24 (40.0%)</w:t>
            </w:r>
          </w:p>
        </w:tc>
        <w:tc>
          <w:tcPr>
            <w:tcW w:w="1125" w:type="dxa"/>
            <w:vAlign w:val="center"/>
          </w:tcPr>
          <w:p w14:paraId="626BA488" w14:textId="77777777" w:rsidR="00F62A4F" w:rsidRPr="002C3B84" w:rsidRDefault="00F62A4F" w:rsidP="00AF46A0">
            <w:pPr>
              <w:rPr>
                <w:rFonts w:ascii="Arial" w:hAnsi="Arial" w:cs="Arial"/>
                <w:sz w:val="18"/>
                <w:szCs w:val="18"/>
              </w:rPr>
            </w:pPr>
            <w:r w:rsidRPr="002C3B84">
              <w:rPr>
                <w:rFonts w:ascii="Arial" w:hAnsi="Arial" w:cs="Arial"/>
                <w:sz w:val="18"/>
                <w:szCs w:val="18"/>
              </w:rPr>
              <w:t>33 (55.0%)</w:t>
            </w:r>
          </w:p>
        </w:tc>
        <w:tc>
          <w:tcPr>
            <w:tcW w:w="1095" w:type="dxa"/>
            <w:vAlign w:val="center"/>
          </w:tcPr>
          <w:p w14:paraId="5693E55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02D26F6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5E08CE15"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12D6EBA7"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5E96E0E6" w14:textId="77777777" w:rsidTr="002C3B84">
        <w:trPr>
          <w:cantSplit/>
        </w:trPr>
        <w:tc>
          <w:tcPr>
            <w:tcW w:w="1477" w:type="dxa"/>
            <w:vAlign w:val="center"/>
          </w:tcPr>
          <w:p w14:paraId="5D80A806" w14:textId="77777777" w:rsidR="00F62A4F" w:rsidRPr="002C3B84" w:rsidRDefault="00F62A4F" w:rsidP="00AF46A0">
            <w:pPr>
              <w:rPr>
                <w:rFonts w:ascii="Arial" w:hAnsi="Arial" w:cs="Arial"/>
                <w:sz w:val="18"/>
                <w:szCs w:val="18"/>
              </w:rPr>
            </w:pPr>
            <w:r w:rsidRPr="002C3B84">
              <w:rPr>
                <w:rFonts w:ascii="Arial" w:hAnsi="Arial" w:cs="Arial"/>
                <w:sz w:val="18"/>
                <w:szCs w:val="18"/>
              </w:rPr>
              <w:t>PASI 100 response n (%)</w:t>
            </w:r>
          </w:p>
        </w:tc>
        <w:tc>
          <w:tcPr>
            <w:tcW w:w="907" w:type="dxa"/>
            <w:vAlign w:val="center"/>
          </w:tcPr>
          <w:p w14:paraId="2BBADF66"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vAlign w:val="center"/>
          </w:tcPr>
          <w:p w14:paraId="3B191124" w14:textId="77777777" w:rsidR="00F62A4F" w:rsidRPr="002C3B84" w:rsidRDefault="00F62A4F" w:rsidP="00AF46A0">
            <w:pPr>
              <w:rPr>
                <w:rFonts w:ascii="Arial" w:hAnsi="Arial" w:cs="Arial"/>
                <w:sz w:val="18"/>
                <w:szCs w:val="18"/>
              </w:rPr>
            </w:pPr>
            <w:r w:rsidRPr="002C3B84">
              <w:rPr>
                <w:rFonts w:ascii="Arial" w:hAnsi="Arial" w:cs="Arial"/>
                <w:sz w:val="18"/>
                <w:szCs w:val="18"/>
              </w:rPr>
              <w:t>10 (16.7%)</w:t>
            </w:r>
          </w:p>
        </w:tc>
        <w:tc>
          <w:tcPr>
            <w:tcW w:w="1125" w:type="dxa"/>
            <w:vAlign w:val="center"/>
          </w:tcPr>
          <w:p w14:paraId="4BB357B0" w14:textId="77777777" w:rsidR="00F62A4F" w:rsidRPr="002C3B84" w:rsidRDefault="00F62A4F" w:rsidP="00AF46A0">
            <w:pPr>
              <w:rPr>
                <w:rFonts w:ascii="Arial" w:hAnsi="Arial" w:cs="Arial"/>
                <w:sz w:val="18"/>
                <w:szCs w:val="18"/>
              </w:rPr>
            </w:pPr>
            <w:r w:rsidRPr="002C3B84">
              <w:rPr>
                <w:rFonts w:ascii="Arial" w:hAnsi="Arial" w:cs="Arial"/>
                <w:sz w:val="18"/>
                <w:szCs w:val="18"/>
              </w:rPr>
              <w:t>16 (26.7%)</w:t>
            </w:r>
          </w:p>
        </w:tc>
        <w:tc>
          <w:tcPr>
            <w:tcW w:w="1095" w:type="dxa"/>
            <w:vAlign w:val="center"/>
          </w:tcPr>
          <w:p w14:paraId="3A37CAF6"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097218E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79325871"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vAlign w:val="center"/>
          </w:tcPr>
          <w:p w14:paraId="1B77D0ED"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39020825" w14:textId="77777777" w:rsidTr="002C3B84">
        <w:trPr>
          <w:cantSplit/>
        </w:trPr>
        <w:tc>
          <w:tcPr>
            <w:tcW w:w="1477" w:type="dxa"/>
            <w:tcBorders>
              <w:bottom w:val="single" w:sz="4" w:space="0" w:color="auto"/>
            </w:tcBorders>
            <w:vAlign w:val="center"/>
          </w:tcPr>
          <w:p w14:paraId="5D3EB85C" w14:textId="77777777" w:rsidR="00F62A4F" w:rsidRPr="002C3B84" w:rsidRDefault="00F62A4F" w:rsidP="00AF46A0">
            <w:pPr>
              <w:rPr>
                <w:rFonts w:ascii="Arial" w:hAnsi="Arial" w:cs="Arial"/>
                <w:sz w:val="18"/>
                <w:szCs w:val="18"/>
              </w:rPr>
            </w:pPr>
            <w:r w:rsidRPr="002C3B84">
              <w:rPr>
                <w:rFonts w:ascii="Arial" w:hAnsi="Arial" w:cs="Arial"/>
                <w:sz w:val="18"/>
                <w:szCs w:val="18"/>
              </w:rPr>
              <w:t>IGA mod 2011 “clear” or “almost clear” response n (%)</w:t>
            </w:r>
          </w:p>
        </w:tc>
        <w:tc>
          <w:tcPr>
            <w:tcW w:w="907" w:type="dxa"/>
            <w:tcBorders>
              <w:bottom w:val="single" w:sz="4" w:space="0" w:color="auto"/>
            </w:tcBorders>
            <w:vAlign w:val="center"/>
          </w:tcPr>
          <w:p w14:paraId="4A339556" w14:textId="77777777" w:rsidR="00F62A4F" w:rsidRPr="002C3B84" w:rsidRDefault="00F62A4F" w:rsidP="00AF46A0">
            <w:pPr>
              <w:rPr>
                <w:rFonts w:ascii="Arial" w:hAnsi="Arial" w:cs="Arial"/>
                <w:sz w:val="18"/>
                <w:szCs w:val="18"/>
              </w:rPr>
            </w:pPr>
            <w:r w:rsidRPr="002C3B84">
              <w:rPr>
                <w:rFonts w:ascii="Arial" w:hAnsi="Arial" w:cs="Arial"/>
                <w:sz w:val="18"/>
                <w:szCs w:val="18"/>
              </w:rPr>
              <w:t>0 (0.0%)</w:t>
            </w:r>
          </w:p>
        </w:tc>
        <w:tc>
          <w:tcPr>
            <w:tcW w:w="1124" w:type="dxa"/>
            <w:tcBorders>
              <w:bottom w:val="single" w:sz="4" w:space="0" w:color="auto"/>
            </w:tcBorders>
            <w:vAlign w:val="center"/>
          </w:tcPr>
          <w:p w14:paraId="37F4DE02" w14:textId="77777777" w:rsidR="00F62A4F" w:rsidRPr="002C3B84" w:rsidRDefault="00F62A4F" w:rsidP="00AF46A0">
            <w:pPr>
              <w:rPr>
                <w:rFonts w:ascii="Arial" w:hAnsi="Arial" w:cs="Arial"/>
                <w:sz w:val="18"/>
                <w:szCs w:val="18"/>
              </w:rPr>
            </w:pPr>
            <w:r w:rsidRPr="002C3B84">
              <w:rPr>
                <w:rFonts w:ascii="Arial" w:hAnsi="Arial" w:cs="Arial"/>
                <w:sz w:val="18"/>
                <w:szCs w:val="18"/>
              </w:rPr>
              <w:t>32 (53.3%)</w:t>
            </w:r>
            <w:r w:rsidRPr="002C3B84">
              <w:rPr>
                <w:rFonts w:ascii="Arial" w:hAnsi="Arial" w:cs="Arial"/>
                <w:i/>
                <w:sz w:val="18"/>
                <w:szCs w:val="18"/>
              </w:rPr>
              <w:t>**</w:t>
            </w:r>
          </w:p>
        </w:tc>
        <w:tc>
          <w:tcPr>
            <w:tcW w:w="1125" w:type="dxa"/>
            <w:tcBorders>
              <w:bottom w:val="single" w:sz="4" w:space="0" w:color="auto"/>
            </w:tcBorders>
            <w:vAlign w:val="center"/>
          </w:tcPr>
          <w:p w14:paraId="47F5BD6E" w14:textId="77777777" w:rsidR="00F62A4F" w:rsidRPr="002C3B84" w:rsidRDefault="00F62A4F" w:rsidP="00AF46A0">
            <w:pPr>
              <w:rPr>
                <w:rFonts w:ascii="Arial" w:hAnsi="Arial" w:cs="Arial"/>
                <w:sz w:val="18"/>
                <w:szCs w:val="18"/>
              </w:rPr>
            </w:pPr>
            <w:r w:rsidRPr="002C3B84">
              <w:rPr>
                <w:rFonts w:ascii="Arial" w:hAnsi="Arial" w:cs="Arial"/>
                <w:sz w:val="18"/>
                <w:szCs w:val="18"/>
              </w:rPr>
              <w:t>44 (73.3%)</w:t>
            </w:r>
            <w:r w:rsidRPr="002C3B84">
              <w:rPr>
                <w:rFonts w:ascii="Arial" w:hAnsi="Arial" w:cs="Arial"/>
                <w:i/>
                <w:sz w:val="18"/>
                <w:szCs w:val="18"/>
              </w:rPr>
              <w:t>**</w:t>
            </w:r>
          </w:p>
        </w:tc>
        <w:tc>
          <w:tcPr>
            <w:tcW w:w="1095" w:type="dxa"/>
            <w:tcBorders>
              <w:bottom w:val="single" w:sz="4" w:space="0" w:color="auto"/>
            </w:tcBorders>
            <w:vAlign w:val="center"/>
          </w:tcPr>
          <w:p w14:paraId="3971027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tcBorders>
              <w:bottom w:val="single" w:sz="4" w:space="0" w:color="auto"/>
            </w:tcBorders>
            <w:vAlign w:val="center"/>
          </w:tcPr>
          <w:p w14:paraId="3F78A9CF"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tcBorders>
              <w:bottom w:val="single" w:sz="4" w:space="0" w:color="auto"/>
            </w:tcBorders>
            <w:vAlign w:val="center"/>
          </w:tcPr>
          <w:p w14:paraId="1317397A"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c>
          <w:tcPr>
            <w:tcW w:w="1096" w:type="dxa"/>
            <w:tcBorders>
              <w:bottom w:val="single" w:sz="4" w:space="0" w:color="auto"/>
            </w:tcBorders>
            <w:vAlign w:val="center"/>
          </w:tcPr>
          <w:p w14:paraId="7D04B789" w14:textId="77777777" w:rsidR="00F62A4F" w:rsidRPr="002C3B84" w:rsidRDefault="00F62A4F" w:rsidP="00AF46A0">
            <w:pPr>
              <w:rPr>
                <w:rFonts w:ascii="Arial" w:hAnsi="Arial" w:cs="Arial"/>
                <w:color w:val="000000" w:themeColor="text1"/>
                <w:sz w:val="18"/>
                <w:szCs w:val="18"/>
              </w:rPr>
            </w:pPr>
            <w:r w:rsidRPr="002C3B84">
              <w:rPr>
                <w:rFonts w:ascii="Arial" w:hAnsi="Arial" w:cs="Arial"/>
                <w:color w:val="000000" w:themeColor="text1"/>
                <w:sz w:val="18"/>
                <w:szCs w:val="18"/>
              </w:rPr>
              <w:t>-</w:t>
            </w:r>
          </w:p>
        </w:tc>
      </w:tr>
      <w:tr w:rsidR="00F62A4F" w:rsidRPr="002C3B84" w14:paraId="08567075" w14:textId="77777777" w:rsidTr="002C3B84">
        <w:trPr>
          <w:cantSplit/>
        </w:trPr>
        <w:tc>
          <w:tcPr>
            <w:tcW w:w="9016" w:type="dxa"/>
            <w:gridSpan w:val="8"/>
            <w:tcBorders>
              <w:left w:val="nil"/>
              <w:bottom w:val="nil"/>
              <w:right w:val="nil"/>
            </w:tcBorders>
            <w:vAlign w:val="center"/>
          </w:tcPr>
          <w:p w14:paraId="1DFF3335" w14:textId="77777777" w:rsidR="00F62A4F" w:rsidRPr="002D07A3" w:rsidRDefault="00F62A4F" w:rsidP="00AF46A0">
            <w:pPr>
              <w:rPr>
                <w:rFonts w:ascii="Arial" w:hAnsi="Arial" w:cs="Arial"/>
                <w:i/>
                <w:color w:val="000000" w:themeColor="text1"/>
                <w:sz w:val="16"/>
              </w:rPr>
            </w:pPr>
            <w:r w:rsidRPr="002D07A3">
              <w:rPr>
                <w:rFonts w:ascii="Arial" w:hAnsi="Arial" w:cs="Arial"/>
                <w:i/>
                <w:color w:val="000000" w:themeColor="text1"/>
                <w:sz w:val="16"/>
              </w:rPr>
              <w:t>*The IGA mod 2011 is a 5-category scale including “0 = clear”, “1 = almost clear”, “2 = mild”, “3 = moderate” or “4 = severe”, indicating the physician’s overall assessment of the psoriasis severity focusing on induration, erythema and scaling. Treatment success of “clear” or “almost clear” consisted of no signs of psoriasis or normal to pink coloration of lesions, no thickening of the plaque and none to minimal focal scaling.</w:t>
            </w:r>
          </w:p>
          <w:p w14:paraId="625C41D5" w14:textId="77777777" w:rsidR="00F62A4F" w:rsidRPr="002D07A3" w:rsidRDefault="00F62A4F" w:rsidP="00AF46A0">
            <w:pPr>
              <w:rPr>
                <w:rFonts w:ascii="Arial" w:hAnsi="Arial" w:cs="Arial"/>
                <w:i/>
                <w:color w:val="000000" w:themeColor="text1"/>
                <w:sz w:val="16"/>
                <w:szCs w:val="18"/>
              </w:rPr>
            </w:pPr>
            <w:r w:rsidRPr="002D07A3">
              <w:rPr>
                <w:rFonts w:ascii="Arial" w:hAnsi="Arial" w:cs="Arial"/>
                <w:i/>
                <w:color w:val="000000" w:themeColor="text1"/>
                <w:sz w:val="16"/>
              </w:rPr>
              <w:t>** p values versus placebo and adjusted for multiplicity: p&lt;0.0001</w:t>
            </w:r>
          </w:p>
        </w:tc>
      </w:tr>
    </w:tbl>
    <w:p w14:paraId="0F41A19C" w14:textId="77777777" w:rsidR="002C3B84" w:rsidRDefault="002C3B84" w:rsidP="00AF46A0">
      <w:pPr>
        <w:rPr>
          <w:rFonts w:ascii="Arial" w:hAnsi="Arial" w:cs="Arial"/>
          <w:sz w:val="20"/>
        </w:rPr>
        <w:sectPr w:rsidR="002C3B84" w:rsidSect="00AF46A0">
          <w:headerReference w:type="even" r:id="rId13"/>
          <w:headerReference w:type="default" r:id="rId14"/>
          <w:footerReference w:type="even" r:id="rId15"/>
          <w:footerReference w:type="default" r:id="rId16"/>
          <w:headerReference w:type="first" r:id="rId17"/>
          <w:footerReference w:type="first" r:id="rId18"/>
          <w:pgSz w:w="11906" w:h="16838" w:code="9"/>
          <w:pgMar w:top="1276" w:right="1440" w:bottom="1440" w:left="1440" w:header="142" w:footer="447" w:gutter="0"/>
          <w:cols w:space="708"/>
          <w:docGrid w:linePitch="360"/>
        </w:sectPr>
      </w:pPr>
    </w:p>
    <w:p w14:paraId="60359A11" w14:textId="77777777" w:rsidR="00F62A4F" w:rsidRPr="002C3B84" w:rsidRDefault="00F62A4F" w:rsidP="00AF46A0">
      <w:pPr>
        <w:spacing w:after="120"/>
        <w:ind w:left="1166" w:hanging="1166"/>
        <w:rPr>
          <w:rFonts w:ascii="Arial" w:hAnsi="Arial" w:cs="Arial"/>
          <w:b/>
          <w:sz w:val="20"/>
        </w:rPr>
      </w:pPr>
      <w:bookmarkStart w:id="2" w:name="IDX"/>
      <w:bookmarkEnd w:id="2"/>
      <w:r w:rsidRPr="002C3B84">
        <w:rPr>
          <w:rFonts w:ascii="Arial" w:hAnsi="Arial" w:cs="Arial"/>
          <w:b/>
          <w:sz w:val="20"/>
        </w:rPr>
        <w:t xml:space="preserve">Table </w:t>
      </w:r>
      <w:r w:rsidR="0016038E" w:rsidRPr="002C3B84">
        <w:rPr>
          <w:rFonts w:ascii="Arial" w:hAnsi="Arial" w:cs="Arial"/>
          <w:b/>
          <w:sz w:val="20"/>
        </w:rPr>
        <w:t>6</w:t>
      </w:r>
      <w:r w:rsidRPr="002C3B84">
        <w:rPr>
          <w:rFonts w:ascii="Arial" w:hAnsi="Arial" w:cs="Arial"/>
          <w:b/>
          <w:sz w:val="20"/>
        </w:rPr>
        <w:tab/>
        <w:t>Summary of clinical response in FIXTURE trial</w:t>
      </w:r>
    </w:p>
    <w:tbl>
      <w:tblPr>
        <w:tblStyle w:val="TableGrid"/>
        <w:tblW w:w="9243" w:type="dxa"/>
        <w:tblLayout w:type="fixed"/>
        <w:tblLook w:val="04A0" w:firstRow="1" w:lastRow="0" w:firstColumn="1" w:lastColumn="0" w:noHBand="0" w:noVBand="1"/>
      </w:tblPr>
      <w:tblGrid>
        <w:gridCol w:w="918"/>
        <w:gridCol w:w="837"/>
        <w:gridCol w:w="832"/>
        <w:gridCol w:w="832"/>
        <w:gridCol w:w="832"/>
        <w:gridCol w:w="832"/>
        <w:gridCol w:w="832"/>
        <w:gridCol w:w="832"/>
        <w:gridCol w:w="832"/>
        <w:gridCol w:w="832"/>
        <w:gridCol w:w="832"/>
      </w:tblGrid>
      <w:tr w:rsidR="002C3B84" w:rsidRPr="002C3B84" w14:paraId="5A0E9A23" w14:textId="77777777" w:rsidTr="002C3B84">
        <w:tc>
          <w:tcPr>
            <w:tcW w:w="918" w:type="dxa"/>
            <w:vMerge w:val="restart"/>
          </w:tcPr>
          <w:p w14:paraId="03646D4C" w14:textId="77777777" w:rsidR="002C3B84" w:rsidRPr="002C3B84" w:rsidRDefault="002C3B84" w:rsidP="00AF46A0">
            <w:pPr>
              <w:rPr>
                <w:rFonts w:ascii="Arial" w:hAnsi="Arial" w:cs="Arial"/>
                <w:b/>
                <w:sz w:val="16"/>
                <w:szCs w:val="16"/>
              </w:rPr>
            </w:pPr>
          </w:p>
        </w:tc>
        <w:tc>
          <w:tcPr>
            <w:tcW w:w="3333" w:type="dxa"/>
            <w:gridSpan w:val="4"/>
            <w:vAlign w:val="center"/>
          </w:tcPr>
          <w:p w14:paraId="29B214F7" w14:textId="77777777" w:rsidR="002C3B84" w:rsidRPr="002C3B84" w:rsidRDefault="002C3B84" w:rsidP="00AF46A0">
            <w:pPr>
              <w:rPr>
                <w:rFonts w:ascii="Arial" w:hAnsi="Arial" w:cs="Arial"/>
                <w:b/>
                <w:sz w:val="18"/>
                <w:szCs w:val="18"/>
              </w:rPr>
            </w:pPr>
            <w:r w:rsidRPr="002C3B84">
              <w:rPr>
                <w:rFonts w:ascii="Arial" w:hAnsi="Arial" w:cs="Arial"/>
                <w:b/>
                <w:sz w:val="18"/>
                <w:szCs w:val="18"/>
              </w:rPr>
              <w:t>Week 12</w:t>
            </w:r>
          </w:p>
        </w:tc>
        <w:tc>
          <w:tcPr>
            <w:tcW w:w="2496" w:type="dxa"/>
            <w:gridSpan w:val="3"/>
            <w:vAlign w:val="center"/>
          </w:tcPr>
          <w:p w14:paraId="2FDB0D44" w14:textId="77777777" w:rsidR="002C3B84" w:rsidRPr="002C3B84" w:rsidRDefault="002C3B84" w:rsidP="00AF46A0">
            <w:pPr>
              <w:rPr>
                <w:rFonts w:ascii="Arial" w:hAnsi="Arial" w:cs="Arial"/>
                <w:b/>
                <w:sz w:val="18"/>
                <w:szCs w:val="18"/>
              </w:rPr>
            </w:pPr>
            <w:r w:rsidRPr="002C3B84">
              <w:rPr>
                <w:rFonts w:ascii="Arial" w:hAnsi="Arial" w:cs="Arial"/>
                <w:b/>
                <w:sz w:val="18"/>
                <w:szCs w:val="18"/>
              </w:rPr>
              <w:t>Week 16</w:t>
            </w:r>
          </w:p>
        </w:tc>
        <w:tc>
          <w:tcPr>
            <w:tcW w:w="2496" w:type="dxa"/>
            <w:gridSpan w:val="3"/>
            <w:vAlign w:val="center"/>
          </w:tcPr>
          <w:p w14:paraId="0198B2C3" w14:textId="77777777" w:rsidR="002C3B84" w:rsidRPr="002C3B84" w:rsidRDefault="002C3B84" w:rsidP="00AF46A0">
            <w:pPr>
              <w:rPr>
                <w:rFonts w:ascii="Arial" w:hAnsi="Arial" w:cs="Arial"/>
                <w:b/>
                <w:sz w:val="18"/>
                <w:szCs w:val="18"/>
              </w:rPr>
            </w:pPr>
            <w:r w:rsidRPr="002C3B84">
              <w:rPr>
                <w:rFonts w:ascii="Arial" w:hAnsi="Arial" w:cs="Arial"/>
                <w:b/>
                <w:sz w:val="18"/>
                <w:szCs w:val="18"/>
              </w:rPr>
              <w:t>Week 52</w:t>
            </w:r>
          </w:p>
        </w:tc>
      </w:tr>
      <w:tr w:rsidR="002C3B84" w:rsidRPr="002C3B84" w14:paraId="2AF30AD2" w14:textId="77777777" w:rsidTr="002C3B84">
        <w:tc>
          <w:tcPr>
            <w:tcW w:w="918" w:type="dxa"/>
            <w:vMerge/>
          </w:tcPr>
          <w:p w14:paraId="7D3C0C80" w14:textId="77777777" w:rsidR="002C3B84" w:rsidRPr="002C3B84" w:rsidRDefault="002C3B84" w:rsidP="00AF46A0">
            <w:pPr>
              <w:rPr>
                <w:rFonts w:ascii="Arial" w:hAnsi="Arial" w:cs="Arial"/>
                <w:b/>
                <w:sz w:val="16"/>
                <w:szCs w:val="16"/>
              </w:rPr>
            </w:pPr>
          </w:p>
        </w:tc>
        <w:tc>
          <w:tcPr>
            <w:tcW w:w="837" w:type="dxa"/>
            <w:vAlign w:val="center"/>
          </w:tcPr>
          <w:p w14:paraId="03B8835D" w14:textId="77777777" w:rsidR="002C3B84" w:rsidRPr="002C3B84" w:rsidRDefault="002C3B84" w:rsidP="00AF46A0">
            <w:pPr>
              <w:tabs>
                <w:tab w:val="left" w:pos="531"/>
              </w:tabs>
              <w:rPr>
                <w:rFonts w:ascii="Arial" w:hAnsi="Arial" w:cs="Arial"/>
                <w:b/>
                <w:sz w:val="16"/>
                <w:szCs w:val="16"/>
              </w:rPr>
            </w:pPr>
            <w:r w:rsidRPr="002C3B84">
              <w:rPr>
                <w:rFonts w:ascii="Arial" w:hAnsi="Arial" w:cs="Arial"/>
                <w:b/>
                <w:sz w:val="16"/>
                <w:szCs w:val="16"/>
              </w:rPr>
              <w:t>Placebo</w:t>
            </w:r>
          </w:p>
        </w:tc>
        <w:tc>
          <w:tcPr>
            <w:tcW w:w="832" w:type="dxa"/>
            <w:vAlign w:val="center"/>
          </w:tcPr>
          <w:p w14:paraId="589439CF" w14:textId="77777777" w:rsidR="002C3B84" w:rsidRPr="002C3B84" w:rsidRDefault="002C3B84" w:rsidP="00AF46A0">
            <w:pPr>
              <w:rPr>
                <w:rFonts w:ascii="Arial" w:hAnsi="Arial" w:cs="Arial"/>
                <w:b/>
                <w:sz w:val="16"/>
                <w:szCs w:val="16"/>
              </w:rPr>
            </w:pPr>
            <w:r w:rsidRPr="002C3B84">
              <w:rPr>
                <w:rFonts w:ascii="Arial" w:hAnsi="Arial" w:cs="Arial"/>
                <w:b/>
                <w:sz w:val="16"/>
                <w:szCs w:val="16"/>
              </w:rPr>
              <w:t>150 mg</w:t>
            </w:r>
          </w:p>
        </w:tc>
        <w:tc>
          <w:tcPr>
            <w:tcW w:w="832" w:type="dxa"/>
            <w:vAlign w:val="center"/>
          </w:tcPr>
          <w:p w14:paraId="497AAECA" w14:textId="77777777" w:rsidR="002C3B84" w:rsidRPr="002C3B84" w:rsidRDefault="002C3B84" w:rsidP="00AF46A0">
            <w:pPr>
              <w:rPr>
                <w:rFonts w:ascii="Arial" w:hAnsi="Arial" w:cs="Arial"/>
                <w:b/>
                <w:sz w:val="16"/>
                <w:szCs w:val="16"/>
              </w:rPr>
            </w:pPr>
            <w:r w:rsidRPr="002C3B84">
              <w:rPr>
                <w:rFonts w:ascii="Arial" w:hAnsi="Arial" w:cs="Arial"/>
                <w:b/>
                <w:sz w:val="16"/>
                <w:szCs w:val="16"/>
              </w:rPr>
              <w:t>300 mg</w:t>
            </w:r>
          </w:p>
        </w:tc>
        <w:tc>
          <w:tcPr>
            <w:tcW w:w="832" w:type="dxa"/>
            <w:vAlign w:val="center"/>
          </w:tcPr>
          <w:p w14:paraId="02904724" w14:textId="77777777" w:rsidR="002C3B84" w:rsidRPr="002C3B84" w:rsidRDefault="002C3B84" w:rsidP="00AF46A0">
            <w:pPr>
              <w:ind w:left="-112" w:right="-108"/>
              <w:rPr>
                <w:rFonts w:ascii="Arial" w:hAnsi="Arial" w:cs="Arial"/>
                <w:b/>
                <w:sz w:val="15"/>
                <w:szCs w:val="15"/>
              </w:rPr>
            </w:pPr>
            <w:proofErr w:type="spellStart"/>
            <w:r w:rsidRPr="002C3B84">
              <w:rPr>
                <w:rFonts w:ascii="Arial" w:hAnsi="Arial" w:cs="Arial"/>
                <w:b/>
                <w:sz w:val="15"/>
                <w:szCs w:val="15"/>
              </w:rPr>
              <w:t>Etanercept</w:t>
            </w:r>
            <w:proofErr w:type="spellEnd"/>
          </w:p>
        </w:tc>
        <w:tc>
          <w:tcPr>
            <w:tcW w:w="832" w:type="dxa"/>
            <w:vAlign w:val="center"/>
          </w:tcPr>
          <w:p w14:paraId="7405D5B0" w14:textId="77777777" w:rsidR="002C3B84" w:rsidRPr="002C3B84" w:rsidRDefault="002C3B84" w:rsidP="00AF46A0">
            <w:pPr>
              <w:rPr>
                <w:rFonts w:ascii="Arial" w:hAnsi="Arial" w:cs="Arial"/>
                <w:b/>
                <w:sz w:val="16"/>
                <w:szCs w:val="16"/>
              </w:rPr>
            </w:pPr>
            <w:r w:rsidRPr="002C3B84">
              <w:rPr>
                <w:rFonts w:ascii="Arial" w:hAnsi="Arial" w:cs="Arial"/>
                <w:b/>
                <w:sz w:val="16"/>
                <w:szCs w:val="16"/>
              </w:rPr>
              <w:t>150 mg</w:t>
            </w:r>
          </w:p>
        </w:tc>
        <w:tc>
          <w:tcPr>
            <w:tcW w:w="832" w:type="dxa"/>
            <w:vAlign w:val="center"/>
          </w:tcPr>
          <w:p w14:paraId="1EE3C830" w14:textId="77777777" w:rsidR="002C3B84" w:rsidRPr="002C3B84" w:rsidRDefault="002C3B84" w:rsidP="00AF46A0">
            <w:pPr>
              <w:rPr>
                <w:rFonts w:ascii="Arial" w:hAnsi="Arial" w:cs="Arial"/>
                <w:b/>
                <w:sz w:val="16"/>
                <w:szCs w:val="16"/>
              </w:rPr>
            </w:pPr>
            <w:r w:rsidRPr="002C3B84">
              <w:rPr>
                <w:rFonts w:ascii="Arial" w:hAnsi="Arial" w:cs="Arial"/>
                <w:b/>
                <w:sz w:val="16"/>
                <w:szCs w:val="16"/>
              </w:rPr>
              <w:t>300 mg</w:t>
            </w:r>
          </w:p>
        </w:tc>
        <w:tc>
          <w:tcPr>
            <w:tcW w:w="832" w:type="dxa"/>
            <w:vAlign w:val="center"/>
          </w:tcPr>
          <w:p w14:paraId="23839E99" w14:textId="77777777" w:rsidR="002C3B84" w:rsidRPr="002C3B84" w:rsidRDefault="002C3B84" w:rsidP="00AF46A0">
            <w:pPr>
              <w:ind w:left="-83" w:right="-111"/>
              <w:rPr>
                <w:rFonts w:ascii="Arial" w:hAnsi="Arial" w:cs="Arial"/>
                <w:b/>
                <w:sz w:val="15"/>
                <w:szCs w:val="15"/>
              </w:rPr>
            </w:pPr>
            <w:proofErr w:type="spellStart"/>
            <w:r w:rsidRPr="002C3B84">
              <w:rPr>
                <w:rFonts w:ascii="Arial" w:hAnsi="Arial" w:cs="Arial"/>
                <w:b/>
                <w:sz w:val="15"/>
                <w:szCs w:val="15"/>
              </w:rPr>
              <w:t>Etanercept</w:t>
            </w:r>
            <w:proofErr w:type="spellEnd"/>
          </w:p>
        </w:tc>
        <w:tc>
          <w:tcPr>
            <w:tcW w:w="832" w:type="dxa"/>
            <w:vAlign w:val="center"/>
          </w:tcPr>
          <w:p w14:paraId="0B68202A" w14:textId="77777777" w:rsidR="002C3B84" w:rsidRPr="002C3B84" w:rsidRDefault="002C3B84" w:rsidP="00AF46A0">
            <w:pPr>
              <w:rPr>
                <w:rFonts w:ascii="Arial" w:hAnsi="Arial" w:cs="Arial"/>
                <w:b/>
                <w:sz w:val="16"/>
                <w:szCs w:val="16"/>
              </w:rPr>
            </w:pPr>
            <w:r w:rsidRPr="002C3B84">
              <w:rPr>
                <w:rFonts w:ascii="Arial" w:hAnsi="Arial" w:cs="Arial"/>
                <w:b/>
                <w:sz w:val="16"/>
                <w:szCs w:val="16"/>
              </w:rPr>
              <w:t>150 mg</w:t>
            </w:r>
          </w:p>
        </w:tc>
        <w:tc>
          <w:tcPr>
            <w:tcW w:w="832" w:type="dxa"/>
            <w:vAlign w:val="center"/>
          </w:tcPr>
          <w:p w14:paraId="34A690CC" w14:textId="77777777" w:rsidR="002C3B84" w:rsidRPr="002C3B84" w:rsidRDefault="002C3B84" w:rsidP="00AF46A0">
            <w:pPr>
              <w:rPr>
                <w:rFonts w:ascii="Arial" w:hAnsi="Arial" w:cs="Arial"/>
                <w:b/>
                <w:sz w:val="16"/>
                <w:szCs w:val="16"/>
              </w:rPr>
            </w:pPr>
            <w:r w:rsidRPr="002C3B84">
              <w:rPr>
                <w:rFonts w:ascii="Arial" w:hAnsi="Arial" w:cs="Arial"/>
                <w:b/>
                <w:sz w:val="16"/>
                <w:szCs w:val="16"/>
              </w:rPr>
              <w:t>300 mg</w:t>
            </w:r>
          </w:p>
        </w:tc>
        <w:tc>
          <w:tcPr>
            <w:tcW w:w="832" w:type="dxa"/>
            <w:vAlign w:val="center"/>
          </w:tcPr>
          <w:p w14:paraId="750DBC05" w14:textId="77777777" w:rsidR="002C3B84" w:rsidRPr="002C3B84" w:rsidRDefault="002C3B84" w:rsidP="00AF46A0">
            <w:pPr>
              <w:ind w:left="-86" w:right="-90"/>
              <w:rPr>
                <w:rFonts w:ascii="Arial" w:hAnsi="Arial" w:cs="Arial"/>
                <w:b/>
                <w:sz w:val="15"/>
                <w:szCs w:val="15"/>
              </w:rPr>
            </w:pPr>
            <w:proofErr w:type="spellStart"/>
            <w:r w:rsidRPr="002C3B84">
              <w:rPr>
                <w:rFonts w:ascii="Arial" w:hAnsi="Arial" w:cs="Arial"/>
                <w:b/>
                <w:sz w:val="15"/>
                <w:szCs w:val="15"/>
              </w:rPr>
              <w:t>Etanercept</w:t>
            </w:r>
            <w:proofErr w:type="spellEnd"/>
          </w:p>
        </w:tc>
      </w:tr>
      <w:tr w:rsidR="00F62A4F" w:rsidRPr="002C3B84" w14:paraId="047E2FD4" w14:textId="77777777" w:rsidTr="002C3B84">
        <w:tc>
          <w:tcPr>
            <w:tcW w:w="918" w:type="dxa"/>
            <w:vAlign w:val="center"/>
          </w:tcPr>
          <w:p w14:paraId="48F2EFA2" w14:textId="77777777" w:rsidR="00F62A4F" w:rsidRPr="002C3B84" w:rsidRDefault="00F62A4F" w:rsidP="00AF46A0">
            <w:pPr>
              <w:rPr>
                <w:rFonts w:ascii="Arial" w:hAnsi="Arial" w:cs="Arial"/>
                <w:sz w:val="16"/>
                <w:szCs w:val="16"/>
              </w:rPr>
            </w:pPr>
            <w:r w:rsidRPr="002C3B84">
              <w:rPr>
                <w:rFonts w:ascii="Arial" w:hAnsi="Arial" w:cs="Arial"/>
                <w:sz w:val="16"/>
                <w:szCs w:val="16"/>
              </w:rPr>
              <w:t>Number of patients</w:t>
            </w:r>
          </w:p>
        </w:tc>
        <w:tc>
          <w:tcPr>
            <w:tcW w:w="837" w:type="dxa"/>
            <w:vAlign w:val="center"/>
          </w:tcPr>
          <w:p w14:paraId="2ADFEF6C" w14:textId="77777777" w:rsidR="00F62A4F" w:rsidRPr="002C3B84" w:rsidRDefault="00F62A4F" w:rsidP="00AF46A0">
            <w:pPr>
              <w:rPr>
                <w:rFonts w:ascii="Arial" w:hAnsi="Arial" w:cs="Arial"/>
                <w:sz w:val="16"/>
                <w:szCs w:val="16"/>
              </w:rPr>
            </w:pPr>
            <w:r w:rsidRPr="002C3B84">
              <w:rPr>
                <w:rFonts w:ascii="Arial" w:hAnsi="Arial" w:cs="Arial"/>
                <w:sz w:val="16"/>
                <w:szCs w:val="16"/>
              </w:rPr>
              <w:t>324</w:t>
            </w:r>
          </w:p>
        </w:tc>
        <w:tc>
          <w:tcPr>
            <w:tcW w:w="832" w:type="dxa"/>
            <w:vAlign w:val="center"/>
          </w:tcPr>
          <w:p w14:paraId="6BF0C658" w14:textId="77777777" w:rsidR="00F62A4F" w:rsidRPr="002C3B84" w:rsidRDefault="00F62A4F" w:rsidP="00AF46A0">
            <w:pPr>
              <w:rPr>
                <w:rFonts w:ascii="Arial" w:hAnsi="Arial" w:cs="Arial"/>
                <w:sz w:val="16"/>
                <w:szCs w:val="16"/>
              </w:rPr>
            </w:pPr>
            <w:r w:rsidRPr="002C3B84">
              <w:rPr>
                <w:rFonts w:ascii="Arial" w:hAnsi="Arial" w:cs="Arial"/>
                <w:sz w:val="16"/>
                <w:szCs w:val="16"/>
              </w:rPr>
              <w:t>327</w:t>
            </w:r>
          </w:p>
        </w:tc>
        <w:tc>
          <w:tcPr>
            <w:tcW w:w="832" w:type="dxa"/>
            <w:vAlign w:val="center"/>
          </w:tcPr>
          <w:p w14:paraId="0EF5FC15" w14:textId="77777777" w:rsidR="00F62A4F" w:rsidRPr="002C3B84" w:rsidRDefault="00F62A4F" w:rsidP="00AF46A0">
            <w:pPr>
              <w:rPr>
                <w:rFonts w:ascii="Arial" w:hAnsi="Arial" w:cs="Arial"/>
                <w:sz w:val="16"/>
                <w:szCs w:val="16"/>
              </w:rPr>
            </w:pPr>
            <w:r w:rsidRPr="002C3B84">
              <w:rPr>
                <w:rFonts w:ascii="Arial" w:hAnsi="Arial" w:cs="Arial"/>
                <w:sz w:val="16"/>
                <w:szCs w:val="16"/>
              </w:rPr>
              <w:t>323</w:t>
            </w:r>
          </w:p>
        </w:tc>
        <w:tc>
          <w:tcPr>
            <w:tcW w:w="832" w:type="dxa"/>
            <w:vAlign w:val="center"/>
          </w:tcPr>
          <w:p w14:paraId="0DD46A81" w14:textId="77777777" w:rsidR="00F62A4F" w:rsidRPr="002C3B84" w:rsidRDefault="00F62A4F" w:rsidP="00AF46A0">
            <w:pPr>
              <w:rPr>
                <w:rFonts w:ascii="Arial" w:hAnsi="Arial" w:cs="Arial"/>
                <w:sz w:val="16"/>
                <w:szCs w:val="16"/>
              </w:rPr>
            </w:pPr>
            <w:r w:rsidRPr="002C3B84">
              <w:rPr>
                <w:rFonts w:ascii="Arial" w:hAnsi="Arial" w:cs="Arial"/>
                <w:sz w:val="16"/>
                <w:szCs w:val="16"/>
              </w:rPr>
              <w:t>323</w:t>
            </w:r>
          </w:p>
        </w:tc>
        <w:tc>
          <w:tcPr>
            <w:tcW w:w="832" w:type="dxa"/>
            <w:vAlign w:val="center"/>
          </w:tcPr>
          <w:p w14:paraId="2906852C" w14:textId="77777777" w:rsidR="00F62A4F" w:rsidRPr="002C3B84" w:rsidRDefault="00F62A4F" w:rsidP="00AF46A0">
            <w:pPr>
              <w:rPr>
                <w:rFonts w:ascii="Arial" w:hAnsi="Arial" w:cs="Arial"/>
                <w:sz w:val="16"/>
                <w:szCs w:val="16"/>
              </w:rPr>
            </w:pPr>
            <w:r w:rsidRPr="002C3B84">
              <w:rPr>
                <w:rFonts w:ascii="Arial" w:hAnsi="Arial" w:cs="Arial"/>
                <w:sz w:val="16"/>
                <w:szCs w:val="16"/>
              </w:rPr>
              <w:t>327</w:t>
            </w:r>
          </w:p>
        </w:tc>
        <w:tc>
          <w:tcPr>
            <w:tcW w:w="832" w:type="dxa"/>
            <w:vAlign w:val="center"/>
          </w:tcPr>
          <w:p w14:paraId="7A2FA633" w14:textId="77777777" w:rsidR="00F62A4F" w:rsidRPr="002C3B84" w:rsidRDefault="00F62A4F" w:rsidP="00AF46A0">
            <w:pPr>
              <w:rPr>
                <w:rFonts w:ascii="Arial" w:hAnsi="Arial" w:cs="Arial"/>
                <w:sz w:val="16"/>
                <w:szCs w:val="16"/>
              </w:rPr>
            </w:pPr>
            <w:r w:rsidRPr="002C3B84">
              <w:rPr>
                <w:rFonts w:ascii="Arial" w:hAnsi="Arial" w:cs="Arial"/>
                <w:sz w:val="16"/>
                <w:szCs w:val="16"/>
              </w:rPr>
              <w:t>323</w:t>
            </w:r>
          </w:p>
        </w:tc>
        <w:tc>
          <w:tcPr>
            <w:tcW w:w="832" w:type="dxa"/>
            <w:vAlign w:val="center"/>
          </w:tcPr>
          <w:p w14:paraId="1107DBBB" w14:textId="77777777" w:rsidR="00F62A4F" w:rsidRPr="002C3B84" w:rsidRDefault="00F62A4F" w:rsidP="00AF46A0">
            <w:pPr>
              <w:rPr>
                <w:rFonts w:ascii="Arial" w:hAnsi="Arial" w:cs="Arial"/>
                <w:sz w:val="16"/>
                <w:szCs w:val="16"/>
              </w:rPr>
            </w:pPr>
            <w:r w:rsidRPr="002C3B84">
              <w:rPr>
                <w:rFonts w:ascii="Arial" w:hAnsi="Arial" w:cs="Arial"/>
                <w:sz w:val="16"/>
                <w:szCs w:val="16"/>
              </w:rPr>
              <w:t>323</w:t>
            </w:r>
          </w:p>
        </w:tc>
        <w:tc>
          <w:tcPr>
            <w:tcW w:w="832" w:type="dxa"/>
            <w:vAlign w:val="center"/>
          </w:tcPr>
          <w:p w14:paraId="7585494E" w14:textId="77777777" w:rsidR="00F62A4F" w:rsidRPr="002C3B84" w:rsidRDefault="00F62A4F" w:rsidP="00AF46A0">
            <w:pPr>
              <w:rPr>
                <w:rFonts w:ascii="Arial" w:hAnsi="Arial" w:cs="Arial"/>
                <w:sz w:val="16"/>
                <w:szCs w:val="16"/>
              </w:rPr>
            </w:pPr>
            <w:r w:rsidRPr="002C3B84">
              <w:rPr>
                <w:rFonts w:ascii="Arial" w:hAnsi="Arial" w:cs="Arial"/>
                <w:sz w:val="16"/>
                <w:szCs w:val="16"/>
              </w:rPr>
              <w:t>327</w:t>
            </w:r>
          </w:p>
        </w:tc>
        <w:tc>
          <w:tcPr>
            <w:tcW w:w="832" w:type="dxa"/>
            <w:vAlign w:val="center"/>
          </w:tcPr>
          <w:p w14:paraId="155A3444" w14:textId="77777777" w:rsidR="00F62A4F" w:rsidRPr="002C3B84" w:rsidRDefault="00F62A4F" w:rsidP="00AF46A0">
            <w:pPr>
              <w:rPr>
                <w:rFonts w:ascii="Arial" w:hAnsi="Arial" w:cs="Arial"/>
                <w:sz w:val="16"/>
                <w:szCs w:val="16"/>
              </w:rPr>
            </w:pPr>
            <w:r w:rsidRPr="002C3B84">
              <w:rPr>
                <w:rFonts w:ascii="Arial" w:hAnsi="Arial" w:cs="Arial"/>
                <w:sz w:val="16"/>
                <w:szCs w:val="16"/>
              </w:rPr>
              <w:t>323</w:t>
            </w:r>
          </w:p>
        </w:tc>
        <w:tc>
          <w:tcPr>
            <w:tcW w:w="832" w:type="dxa"/>
            <w:vAlign w:val="center"/>
          </w:tcPr>
          <w:p w14:paraId="4093E327" w14:textId="77777777" w:rsidR="00F62A4F" w:rsidRPr="002C3B84" w:rsidRDefault="00F62A4F" w:rsidP="00AF46A0">
            <w:pPr>
              <w:rPr>
                <w:rFonts w:ascii="Arial" w:hAnsi="Arial" w:cs="Arial"/>
                <w:sz w:val="16"/>
                <w:szCs w:val="16"/>
              </w:rPr>
            </w:pPr>
            <w:r w:rsidRPr="002C3B84">
              <w:rPr>
                <w:rFonts w:ascii="Arial" w:hAnsi="Arial" w:cs="Arial"/>
                <w:sz w:val="16"/>
                <w:szCs w:val="16"/>
              </w:rPr>
              <w:t>323</w:t>
            </w:r>
          </w:p>
        </w:tc>
      </w:tr>
      <w:tr w:rsidR="00F62A4F" w:rsidRPr="002C3B84" w14:paraId="45946BF6" w14:textId="77777777" w:rsidTr="002C3B84">
        <w:tc>
          <w:tcPr>
            <w:tcW w:w="918" w:type="dxa"/>
            <w:vAlign w:val="center"/>
          </w:tcPr>
          <w:p w14:paraId="77FD97A0" w14:textId="77777777" w:rsidR="00F62A4F" w:rsidRPr="002C3B84" w:rsidRDefault="00F62A4F" w:rsidP="00AF46A0">
            <w:pPr>
              <w:rPr>
                <w:rFonts w:ascii="Arial" w:hAnsi="Arial" w:cs="Arial"/>
                <w:sz w:val="16"/>
                <w:szCs w:val="16"/>
              </w:rPr>
            </w:pPr>
            <w:r w:rsidRPr="002C3B84">
              <w:rPr>
                <w:rFonts w:ascii="Arial" w:hAnsi="Arial" w:cs="Arial"/>
                <w:sz w:val="16"/>
                <w:szCs w:val="16"/>
              </w:rPr>
              <w:t>PASI 50 response n (%)</w:t>
            </w:r>
          </w:p>
        </w:tc>
        <w:tc>
          <w:tcPr>
            <w:tcW w:w="837" w:type="dxa"/>
            <w:vAlign w:val="center"/>
          </w:tcPr>
          <w:p w14:paraId="56AEDD7E" w14:textId="77777777" w:rsidR="00F62A4F" w:rsidRPr="002C3B84" w:rsidRDefault="00F62A4F" w:rsidP="00AF46A0">
            <w:pPr>
              <w:rPr>
                <w:rFonts w:ascii="Arial" w:hAnsi="Arial" w:cs="Arial"/>
                <w:sz w:val="16"/>
                <w:szCs w:val="16"/>
              </w:rPr>
            </w:pPr>
            <w:r w:rsidRPr="002C3B84">
              <w:rPr>
                <w:rFonts w:ascii="Arial" w:hAnsi="Arial" w:cs="Arial"/>
                <w:sz w:val="16"/>
                <w:szCs w:val="16"/>
              </w:rPr>
              <w:t>49 (15.1%)</w:t>
            </w:r>
          </w:p>
        </w:tc>
        <w:tc>
          <w:tcPr>
            <w:tcW w:w="832" w:type="dxa"/>
            <w:vAlign w:val="center"/>
          </w:tcPr>
          <w:p w14:paraId="0D741B18" w14:textId="77777777" w:rsidR="00F62A4F" w:rsidRPr="002C3B84" w:rsidRDefault="00F62A4F" w:rsidP="00AF46A0">
            <w:pPr>
              <w:rPr>
                <w:rFonts w:ascii="Arial" w:hAnsi="Arial" w:cs="Arial"/>
                <w:sz w:val="16"/>
                <w:szCs w:val="16"/>
              </w:rPr>
            </w:pPr>
            <w:r w:rsidRPr="002C3B84">
              <w:rPr>
                <w:rFonts w:ascii="Arial" w:hAnsi="Arial" w:cs="Arial"/>
                <w:sz w:val="16"/>
                <w:szCs w:val="16"/>
              </w:rPr>
              <w:t>266 (81.3%)</w:t>
            </w:r>
          </w:p>
        </w:tc>
        <w:tc>
          <w:tcPr>
            <w:tcW w:w="832" w:type="dxa"/>
            <w:vAlign w:val="center"/>
          </w:tcPr>
          <w:p w14:paraId="3A4025E9" w14:textId="77777777" w:rsidR="00F62A4F" w:rsidRPr="002C3B84" w:rsidRDefault="00F62A4F" w:rsidP="00AF46A0">
            <w:pPr>
              <w:rPr>
                <w:rFonts w:ascii="Arial" w:hAnsi="Arial" w:cs="Arial"/>
                <w:sz w:val="16"/>
                <w:szCs w:val="16"/>
              </w:rPr>
            </w:pPr>
            <w:r w:rsidRPr="002C3B84">
              <w:rPr>
                <w:rFonts w:ascii="Arial" w:hAnsi="Arial" w:cs="Arial"/>
                <w:sz w:val="16"/>
                <w:szCs w:val="16"/>
              </w:rPr>
              <w:t>296 (91.6%)</w:t>
            </w:r>
          </w:p>
        </w:tc>
        <w:tc>
          <w:tcPr>
            <w:tcW w:w="832" w:type="dxa"/>
            <w:vAlign w:val="center"/>
          </w:tcPr>
          <w:p w14:paraId="49FB2C58" w14:textId="77777777" w:rsidR="00F62A4F" w:rsidRPr="002C3B84" w:rsidRDefault="00F62A4F" w:rsidP="00AF46A0">
            <w:pPr>
              <w:rPr>
                <w:rFonts w:ascii="Arial" w:hAnsi="Arial" w:cs="Arial"/>
                <w:sz w:val="16"/>
                <w:szCs w:val="16"/>
              </w:rPr>
            </w:pPr>
            <w:r w:rsidRPr="002C3B84">
              <w:rPr>
                <w:rFonts w:ascii="Arial" w:hAnsi="Arial" w:cs="Arial"/>
                <w:sz w:val="16"/>
                <w:szCs w:val="16"/>
              </w:rPr>
              <w:t>226 (70.0%)</w:t>
            </w:r>
          </w:p>
        </w:tc>
        <w:tc>
          <w:tcPr>
            <w:tcW w:w="832" w:type="dxa"/>
            <w:vAlign w:val="center"/>
          </w:tcPr>
          <w:p w14:paraId="43E0F77F" w14:textId="77777777" w:rsidR="00F62A4F" w:rsidRPr="002C3B84" w:rsidRDefault="00F62A4F" w:rsidP="00AF46A0">
            <w:pPr>
              <w:rPr>
                <w:rFonts w:ascii="Arial" w:hAnsi="Arial" w:cs="Arial"/>
                <w:sz w:val="16"/>
                <w:szCs w:val="16"/>
              </w:rPr>
            </w:pPr>
            <w:r w:rsidRPr="002C3B84">
              <w:rPr>
                <w:rFonts w:ascii="Arial" w:hAnsi="Arial" w:cs="Arial"/>
                <w:sz w:val="16"/>
                <w:szCs w:val="16"/>
              </w:rPr>
              <w:t>290 (88.7%)</w:t>
            </w:r>
          </w:p>
        </w:tc>
        <w:tc>
          <w:tcPr>
            <w:tcW w:w="832" w:type="dxa"/>
            <w:vAlign w:val="center"/>
          </w:tcPr>
          <w:p w14:paraId="2883A093" w14:textId="77777777" w:rsidR="00F62A4F" w:rsidRPr="002C3B84" w:rsidRDefault="00F62A4F" w:rsidP="00AF46A0">
            <w:pPr>
              <w:rPr>
                <w:rFonts w:ascii="Arial" w:hAnsi="Arial" w:cs="Arial"/>
                <w:sz w:val="16"/>
                <w:szCs w:val="16"/>
              </w:rPr>
            </w:pPr>
            <w:r w:rsidRPr="002C3B84">
              <w:rPr>
                <w:rFonts w:ascii="Arial" w:hAnsi="Arial" w:cs="Arial"/>
                <w:sz w:val="16"/>
                <w:szCs w:val="16"/>
              </w:rPr>
              <w:t>302 (93.5%)</w:t>
            </w:r>
          </w:p>
        </w:tc>
        <w:tc>
          <w:tcPr>
            <w:tcW w:w="832" w:type="dxa"/>
            <w:vAlign w:val="center"/>
          </w:tcPr>
          <w:p w14:paraId="5CB3EE48" w14:textId="77777777" w:rsidR="00F62A4F" w:rsidRPr="002C3B84" w:rsidRDefault="00F62A4F" w:rsidP="00AF46A0">
            <w:pPr>
              <w:rPr>
                <w:rFonts w:ascii="Arial" w:hAnsi="Arial" w:cs="Arial"/>
                <w:sz w:val="16"/>
                <w:szCs w:val="16"/>
              </w:rPr>
            </w:pPr>
            <w:r w:rsidRPr="002C3B84">
              <w:rPr>
                <w:rFonts w:ascii="Arial" w:hAnsi="Arial" w:cs="Arial"/>
                <w:sz w:val="16"/>
                <w:szCs w:val="16"/>
              </w:rPr>
              <w:t>257 (79.6%)</w:t>
            </w:r>
          </w:p>
        </w:tc>
        <w:tc>
          <w:tcPr>
            <w:tcW w:w="832" w:type="dxa"/>
            <w:vAlign w:val="center"/>
          </w:tcPr>
          <w:p w14:paraId="7DC939E9" w14:textId="77777777" w:rsidR="00F62A4F" w:rsidRPr="002C3B84" w:rsidRDefault="00F62A4F" w:rsidP="00AF46A0">
            <w:pPr>
              <w:rPr>
                <w:rFonts w:ascii="Arial" w:hAnsi="Arial" w:cs="Arial"/>
                <w:sz w:val="16"/>
                <w:szCs w:val="16"/>
              </w:rPr>
            </w:pPr>
            <w:r w:rsidRPr="002C3B84">
              <w:rPr>
                <w:rFonts w:ascii="Arial" w:hAnsi="Arial" w:cs="Arial"/>
                <w:sz w:val="16"/>
                <w:szCs w:val="16"/>
              </w:rPr>
              <w:t>249 (76.1%)</w:t>
            </w:r>
          </w:p>
        </w:tc>
        <w:tc>
          <w:tcPr>
            <w:tcW w:w="832" w:type="dxa"/>
            <w:vAlign w:val="center"/>
          </w:tcPr>
          <w:p w14:paraId="2BBFA638" w14:textId="77777777" w:rsidR="00F62A4F" w:rsidRPr="002C3B84" w:rsidRDefault="00F62A4F" w:rsidP="00AF46A0">
            <w:pPr>
              <w:rPr>
                <w:rFonts w:ascii="Arial" w:hAnsi="Arial" w:cs="Arial"/>
                <w:sz w:val="16"/>
                <w:szCs w:val="16"/>
              </w:rPr>
            </w:pPr>
            <w:r w:rsidRPr="002C3B84">
              <w:rPr>
                <w:rFonts w:ascii="Arial" w:hAnsi="Arial" w:cs="Arial"/>
                <w:sz w:val="16"/>
                <w:szCs w:val="16"/>
              </w:rPr>
              <w:t>274 (84.8%)</w:t>
            </w:r>
          </w:p>
        </w:tc>
        <w:tc>
          <w:tcPr>
            <w:tcW w:w="832" w:type="dxa"/>
            <w:vAlign w:val="center"/>
          </w:tcPr>
          <w:p w14:paraId="72586E82" w14:textId="77777777" w:rsidR="00F62A4F" w:rsidRPr="002C3B84" w:rsidRDefault="00F62A4F" w:rsidP="00AF46A0">
            <w:pPr>
              <w:rPr>
                <w:rFonts w:ascii="Arial" w:hAnsi="Arial" w:cs="Arial"/>
                <w:sz w:val="16"/>
                <w:szCs w:val="16"/>
              </w:rPr>
            </w:pPr>
            <w:r w:rsidRPr="002C3B84">
              <w:rPr>
                <w:rFonts w:ascii="Arial" w:hAnsi="Arial" w:cs="Arial"/>
                <w:sz w:val="16"/>
                <w:szCs w:val="16"/>
              </w:rPr>
              <w:t>234 (72.4%)</w:t>
            </w:r>
          </w:p>
        </w:tc>
      </w:tr>
      <w:tr w:rsidR="00F62A4F" w:rsidRPr="002C3B84" w14:paraId="473FAC05" w14:textId="77777777" w:rsidTr="002C3B84">
        <w:tc>
          <w:tcPr>
            <w:tcW w:w="918" w:type="dxa"/>
            <w:vAlign w:val="center"/>
          </w:tcPr>
          <w:p w14:paraId="69FE8439" w14:textId="77777777" w:rsidR="00F62A4F" w:rsidRPr="002C3B84" w:rsidRDefault="00F62A4F" w:rsidP="00AF46A0">
            <w:pPr>
              <w:rPr>
                <w:rFonts w:ascii="Arial" w:hAnsi="Arial" w:cs="Arial"/>
                <w:sz w:val="16"/>
                <w:szCs w:val="16"/>
              </w:rPr>
            </w:pPr>
            <w:r w:rsidRPr="002C3B84">
              <w:rPr>
                <w:rFonts w:ascii="Arial" w:hAnsi="Arial" w:cs="Arial"/>
                <w:sz w:val="16"/>
                <w:szCs w:val="16"/>
              </w:rPr>
              <w:t>PASI 75 response n (%)</w:t>
            </w:r>
          </w:p>
        </w:tc>
        <w:tc>
          <w:tcPr>
            <w:tcW w:w="837" w:type="dxa"/>
            <w:vAlign w:val="center"/>
          </w:tcPr>
          <w:p w14:paraId="64235FF6" w14:textId="77777777" w:rsidR="00F62A4F" w:rsidRPr="002C3B84" w:rsidRDefault="00F62A4F" w:rsidP="00AF46A0">
            <w:pPr>
              <w:rPr>
                <w:rFonts w:ascii="Arial" w:hAnsi="Arial" w:cs="Arial"/>
                <w:sz w:val="16"/>
                <w:szCs w:val="16"/>
              </w:rPr>
            </w:pPr>
            <w:r w:rsidRPr="002C3B84">
              <w:rPr>
                <w:rFonts w:ascii="Arial" w:hAnsi="Arial" w:cs="Arial"/>
                <w:sz w:val="16"/>
                <w:szCs w:val="16"/>
              </w:rPr>
              <w:t>16 (4.9%)</w:t>
            </w:r>
          </w:p>
        </w:tc>
        <w:tc>
          <w:tcPr>
            <w:tcW w:w="832" w:type="dxa"/>
            <w:vAlign w:val="center"/>
          </w:tcPr>
          <w:p w14:paraId="3C2557BA" w14:textId="77777777" w:rsidR="00F62A4F" w:rsidRPr="002C3B84" w:rsidRDefault="00F62A4F" w:rsidP="00AF46A0">
            <w:pPr>
              <w:rPr>
                <w:rFonts w:ascii="Arial" w:hAnsi="Arial" w:cs="Arial"/>
                <w:sz w:val="16"/>
                <w:szCs w:val="16"/>
              </w:rPr>
            </w:pPr>
            <w:r w:rsidRPr="002C3B84">
              <w:rPr>
                <w:rFonts w:ascii="Arial" w:hAnsi="Arial" w:cs="Arial"/>
                <w:sz w:val="16"/>
                <w:szCs w:val="16"/>
              </w:rPr>
              <w:t>219 (67.0%)**</w:t>
            </w:r>
          </w:p>
        </w:tc>
        <w:tc>
          <w:tcPr>
            <w:tcW w:w="832" w:type="dxa"/>
            <w:vAlign w:val="center"/>
          </w:tcPr>
          <w:p w14:paraId="7FA361F8" w14:textId="77777777" w:rsidR="00F62A4F" w:rsidRPr="002C3B84" w:rsidRDefault="00F62A4F" w:rsidP="00AF46A0">
            <w:pPr>
              <w:rPr>
                <w:rFonts w:ascii="Arial" w:hAnsi="Arial" w:cs="Arial"/>
                <w:sz w:val="16"/>
                <w:szCs w:val="16"/>
              </w:rPr>
            </w:pPr>
            <w:r w:rsidRPr="002C3B84">
              <w:rPr>
                <w:rFonts w:ascii="Arial" w:hAnsi="Arial" w:cs="Arial"/>
                <w:sz w:val="16"/>
                <w:szCs w:val="16"/>
              </w:rPr>
              <w:t>249 (77.1%)**</w:t>
            </w:r>
          </w:p>
        </w:tc>
        <w:tc>
          <w:tcPr>
            <w:tcW w:w="832" w:type="dxa"/>
            <w:vAlign w:val="center"/>
          </w:tcPr>
          <w:p w14:paraId="39F25A69" w14:textId="77777777" w:rsidR="00F62A4F" w:rsidRPr="002C3B84" w:rsidRDefault="00F62A4F" w:rsidP="00AF46A0">
            <w:pPr>
              <w:rPr>
                <w:rFonts w:ascii="Arial" w:hAnsi="Arial" w:cs="Arial"/>
                <w:sz w:val="16"/>
                <w:szCs w:val="16"/>
              </w:rPr>
            </w:pPr>
            <w:r w:rsidRPr="002C3B84">
              <w:rPr>
                <w:rFonts w:ascii="Arial" w:hAnsi="Arial" w:cs="Arial"/>
                <w:sz w:val="16"/>
                <w:szCs w:val="16"/>
              </w:rPr>
              <w:t>142 (44.0%)</w:t>
            </w:r>
          </w:p>
        </w:tc>
        <w:tc>
          <w:tcPr>
            <w:tcW w:w="832" w:type="dxa"/>
            <w:vAlign w:val="center"/>
          </w:tcPr>
          <w:p w14:paraId="2183369A" w14:textId="77777777" w:rsidR="00F62A4F" w:rsidRPr="002C3B84" w:rsidRDefault="00F62A4F" w:rsidP="00AF46A0">
            <w:pPr>
              <w:rPr>
                <w:rFonts w:ascii="Arial" w:hAnsi="Arial" w:cs="Arial"/>
                <w:sz w:val="16"/>
                <w:szCs w:val="16"/>
              </w:rPr>
            </w:pPr>
            <w:r w:rsidRPr="002C3B84">
              <w:rPr>
                <w:rFonts w:ascii="Arial" w:hAnsi="Arial" w:cs="Arial"/>
                <w:sz w:val="16"/>
                <w:szCs w:val="16"/>
              </w:rPr>
              <w:t>247 (75.5%)</w:t>
            </w:r>
          </w:p>
        </w:tc>
        <w:tc>
          <w:tcPr>
            <w:tcW w:w="832" w:type="dxa"/>
            <w:vAlign w:val="center"/>
          </w:tcPr>
          <w:p w14:paraId="41D27E39" w14:textId="77777777" w:rsidR="00F62A4F" w:rsidRPr="002C3B84" w:rsidRDefault="00F62A4F" w:rsidP="00AF46A0">
            <w:pPr>
              <w:rPr>
                <w:rFonts w:ascii="Arial" w:hAnsi="Arial" w:cs="Arial"/>
                <w:sz w:val="16"/>
                <w:szCs w:val="16"/>
              </w:rPr>
            </w:pPr>
            <w:r w:rsidRPr="002C3B84">
              <w:rPr>
                <w:rFonts w:ascii="Arial" w:hAnsi="Arial" w:cs="Arial"/>
                <w:sz w:val="16"/>
                <w:szCs w:val="16"/>
              </w:rPr>
              <w:t>280 (86.7%)</w:t>
            </w:r>
          </w:p>
        </w:tc>
        <w:tc>
          <w:tcPr>
            <w:tcW w:w="832" w:type="dxa"/>
            <w:vAlign w:val="center"/>
          </w:tcPr>
          <w:p w14:paraId="43412719" w14:textId="77777777" w:rsidR="00F62A4F" w:rsidRPr="002C3B84" w:rsidRDefault="00F62A4F" w:rsidP="00AF46A0">
            <w:pPr>
              <w:rPr>
                <w:rFonts w:ascii="Arial" w:hAnsi="Arial" w:cs="Arial"/>
                <w:sz w:val="16"/>
                <w:szCs w:val="16"/>
              </w:rPr>
            </w:pPr>
            <w:r w:rsidRPr="002C3B84">
              <w:rPr>
                <w:rFonts w:ascii="Arial" w:hAnsi="Arial" w:cs="Arial"/>
                <w:sz w:val="16"/>
                <w:szCs w:val="16"/>
              </w:rPr>
              <w:t>189 (58.5%)</w:t>
            </w:r>
          </w:p>
        </w:tc>
        <w:tc>
          <w:tcPr>
            <w:tcW w:w="832" w:type="dxa"/>
            <w:vAlign w:val="center"/>
          </w:tcPr>
          <w:p w14:paraId="3585D47B" w14:textId="77777777" w:rsidR="00F62A4F" w:rsidRPr="002C3B84" w:rsidRDefault="00F62A4F" w:rsidP="00AF46A0">
            <w:pPr>
              <w:rPr>
                <w:rFonts w:ascii="Arial" w:hAnsi="Arial" w:cs="Arial"/>
                <w:sz w:val="16"/>
                <w:szCs w:val="16"/>
              </w:rPr>
            </w:pPr>
            <w:r w:rsidRPr="002C3B84">
              <w:rPr>
                <w:rFonts w:ascii="Arial" w:hAnsi="Arial" w:cs="Arial"/>
                <w:sz w:val="16"/>
                <w:szCs w:val="16"/>
              </w:rPr>
              <w:t>215 (65.7%)</w:t>
            </w:r>
          </w:p>
        </w:tc>
        <w:tc>
          <w:tcPr>
            <w:tcW w:w="832" w:type="dxa"/>
            <w:vAlign w:val="center"/>
          </w:tcPr>
          <w:p w14:paraId="6A3549D3" w14:textId="77777777" w:rsidR="00F62A4F" w:rsidRPr="002C3B84" w:rsidRDefault="00F62A4F" w:rsidP="00AF46A0">
            <w:pPr>
              <w:rPr>
                <w:rFonts w:ascii="Arial" w:hAnsi="Arial" w:cs="Arial"/>
                <w:sz w:val="16"/>
                <w:szCs w:val="16"/>
              </w:rPr>
            </w:pPr>
            <w:r w:rsidRPr="002C3B84">
              <w:rPr>
                <w:rFonts w:ascii="Arial" w:hAnsi="Arial" w:cs="Arial"/>
                <w:sz w:val="16"/>
                <w:szCs w:val="16"/>
              </w:rPr>
              <w:t>254 (78.6%)</w:t>
            </w:r>
          </w:p>
        </w:tc>
        <w:tc>
          <w:tcPr>
            <w:tcW w:w="832" w:type="dxa"/>
            <w:vAlign w:val="center"/>
          </w:tcPr>
          <w:p w14:paraId="195E0703" w14:textId="77777777" w:rsidR="00F62A4F" w:rsidRPr="002C3B84" w:rsidRDefault="00F62A4F" w:rsidP="00AF46A0">
            <w:pPr>
              <w:rPr>
                <w:rFonts w:ascii="Arial" w:hAnsi="Arial" w:cs="Arial"/>
                <w:sz w:val="16"/>
                <w:szCs w:val="16"/>
              </w:rPr>
            </w:pPr>
            <w:r w:rsidRPr="002C3B84">
              <w:rPr>
                <w:rFonts w:ascii="Arial" w:hAnsi="Arial" w:cs="Arial"/>
                <w:sz w:val="16"/>
                <w:szCs w:val="16"/>
              </w:rPr>
              <w:t>179 (55.4%)</w:t>
            </w:r>
          </w:p>
        </w:tc>
      </w:tr>
      <w:tr w:rsidR="00F62A4F" w:rsidRPr="002C3B84" w14:paraId="59BF8955" w14:textId="77777777" w:rsidTr="002C3B84">
        <w:tc>
          <w:tcPr>
            <w:tcW w:w="918" w:type="dxa"/>
            <w:vAlign w:val="center"/>
          </w:tcPr>
          <w:p w14:paraId="70B722EA" w14:textId="77777777" w:rsidR="00F62A4F" w:rsidRPr="002C3B84" w:rsidRDefault="00F62A4F" w:rsidP="00AF46A0">
            <w:pPr>
              <w:rPr>
                <w:rFonts w:ascii="Arial" w:hAnsi="Arial" w:cs="Arial"/>
                <w:sz w:val="16"/>
                <w:szCs w:val="16"/>
              </w:rPr>
            </w:pPr>
            <w:r w:rsidRPr="002C3B84">
              <w:rPr>
                <w:rFonts w:ascii="Arial" w:hAnsi="Arial" w:cs="Arial"/>
                <w:sz w:val="16"/>
                <w:szCs w:val="16"/>
              </w:rPr>
              <w:t>PASI 90 response n (%)</w:t>
            </w:r>
          </w:p>
        </w:tc>
        <w:tc>
          <w:tcPr>
            <w:tcW w:w="837" w:type="dxa"/>
            <w:vAlign w:val="center"/>
          </w:tcPr>
          <w:p w14:paraId="3CC368D0" w14:textId="77777777" w:rsidR="00F62A4F" w:rsidRPr="002C3B84" w:rsidRDefault="00F62A4F" w:rsidP="00AF46A0">
            <w:pPr>
              <w:rPr>
                <w:rFonts w:ascii="Arial" w:hAnsi="Arial" w:cs="Arial"/>
                <w:sz w:val="16"/>
                <w:szCs w:val="16"/>
              </w:rPr>
            </w:pPr>
            <w:r w:rsidRPr="002C3B84">
              <w:rPr>
                <w:rFonts w:ascii="Arial" w:hAnsi="Arial" w:cs="Arial"/>
                <w:sz w:val="16"/>
                <w:szCs w:val="16"/>
              </w:rPr>
              <w:t xml:space="preserve">5 </w:t>
            </w:r>
          </w:p>
          <w:p w14:paraId="2F98CC81" w14:textId="77777777" w:rsidR="00F62A4F" w:rsidRPr="002C3B84" w:rsidRDefault="00F62A4F" w:rsidP="00AF46A0">
            <w:pPr>
              <w:rPr>
                <w:rFonts w:ascii="Arial" w:hAnsi="Arial" w:cs="Arial"/>
                <w:sz w:val="16"/>
                <w:szCs w:val="16"/>
              </w:rPr>
            </w:pPr>
            <w:r w:rsidRPr="002C3B84">
              <w:rPr>
                <w:rFonts w:ascii="Arial" w:hAnsi="Arial" w:cs="Arial"/>
                <w:sz w:val="16"/>
                <w:szCs w:val="16"/>
              </w:rPr>
              <w:t>(1.5%)</w:t>
            </w:r>
          </w:p>
        </w:tc>
        <w:tc>
          <w:tcPr>
            <w:tcW w:w="832" w:type="dxa"/>
            <w:vAlign w:val="center"/>
          </w:tcPr>
          <w:p w14:paraId="13EA3BA5" w14:textId="77777777" w:rsidR="00F62A4F" w:rsidRPr="002C3B84" w:rsidRDefault="00F62A4F" w:rsidP="00AF46A0">
            <w:pPr>
              <w:rPr>
                <w:rFonts w:ascii="Arial" w:hAnsi="Arial" w:cs="Arial"/>
                <w:sz w:val="16"/>
                <w:szCs w:val="16"/>
              </w:rPr>
            </w:pPr>
            <w:r w:rsidRPr="002C3B84">
              <w:rPr>
                <w:rFonts w:ascii="Arial" w:hAnsi="Arial" w:cs="Arial"/>
                <w:sz w:val="16"/>
                <w:szCs w:val="16"/>
              </w:rPr>
              <w:t>137 (41.9%)</w:t>
            </w:r>
          </w:p>
        </w:tc>
        <w:tc>
          <w:tcPr>
            <w:tcW w:w="832" w:type="dxa"/>
            <w:vAlign w:val="center"/>
          </w:tcPr>
          <w:p w14:paraId="1BFEE70F" w14:textId="77777777" w:rsidR="00F62A4F" w:rsidRPr="002C3B84" w:rsidRDefault="00F62A4F" w:rsidP="00AF46A0">
            <w:pPr>
              <w:rPr>
                <w:rFonts w:ascii="Arial" w:hAnsi="Arial" w:cs="Arial"/>
                <w:sz w:val="16"/>
                <w:szCs w:val="16"/>
              </w:rPr>
            </w:pPr>
            <w:r w:rsidRPr="002C3B84">
              <w:rPr>
                <w:rFonts w:ascii="Arial" w:hAnsi="Arial" w:cs="Arial"/>
                <w:sz w:val="16"/>
                <w:szCs w:val="16"/>
              </w:rPr>
              <w:t>175 (54.2%)</w:t>
            </w:r>
          </w:p>
        </w:tc>
        <w:tc>
          <w:tcPr>
            <w:tcW w:w="832" w:type="dxa"/>
            <w:vAlign w:val="center"/>
          </w:tcPr>
          <w:p w14:paraId="1CF2F42E" w14:textId="77777777" w:rsidR="00F62A4F" w:rsidRPr="002C3B84" w:rsidRDefault="00F62A4F" w:rsidP="00AF46A0">
            <w:pPr>
              <w:rPr>
                <w:rFonts w:ascii="Arial" w:hAnsi="Arial" w:cs="Arial"/>
                <w:sz w:val="16"/>
                <w:szCs w:val="16"/>
              </w:rPr>
            </w:pPr>
            <w:r w:rsidRPr="002C3B84">
              <w:rPr>
                <w:rFonts w:ascii="Arial" w:hAnsi="Arial" w:cs="Arial"/>
                <w:sz w:val="16"/>
                <w:szCs w:val="16"/>
              </w:rPr>
              <w:t>67 (20.7%)</w:t>
            </w:r>
          </w:p>
        </w:tc>
        <w:tc>
          <w:tcPr>
            <w:tcW w:w="832" w:type="dxa"/>
            <w:vAlign w:val="center"/>
          </w:tcPr>
          <w:p w14:paraId="2F8E585C" w14:textId="77777777" w:rsidR="00F62A4F" w:rsidRPr="002C3B84" w:rsidRDefault="00F62A4F" w:rsidP="00AF46A0">
            <w:pPr>
              <w:rPr>
                <w:rFonts w:ascii="Arial" w:hAnsi="Arial" w:cs="Arial"/>
                <w:sz w:val="16"/>
                <w:szCs w:val="16"/>
              </w:rPr>
            </w:pPr>
            <w:r w:rsidRPr="002C3B84">
              <w:rPr>
                <w:rFonts w:ascii="Arial" w:hAnsi="Arial" w:cs="Arial"/>
                <w:sz w:val="16"/>
                <w:szCs w:val="16"/>
              </w:rPr>
              <w:t>176 (53.8%)</w:t>
            </w:r>
          </w:p>
        </w:tc>
        <w:tc>
          <w:tcPr>
            <w:tcW w:w="832" w:type="dxa"/>
            <w:vAlign w:val="center"/>
          </w:tcPr>
          <w:p w14:paraId="02E09E7D" w14:textId="77777777" w:rsidR="00F62A4F" w:rsidRPr="002C3B84" w:rsidRDefault="00F62A4F" w:rsidP="00AF46A0">
            <w:pPr>
              <w:rPr>
                <w:rFonts w:ascii="Arial" w:hAnsi="Arial" w:cs="Arial"/>
                <w:sz w:val="16"/>
                <w:szCs w:val="16"/>
              </w:rPr>
            </w:pPr>
            <w:r w:rsidRPr="002C3B84">
              <w:rPr>
                <w:rFonts w:ascii="Arial" w:hAnsi="Arial" w:cs="Arial"/>
                <w:sz w:val="16"/>
                <w:szCs w:val="16"/>
              </w:rPr>
              <w:t>234 (72.4%)</w:t>
            </w:r>
          </w:p>
        </w:tc>
        <w:tc>
          <w:tcPr>
            <w:tcW w:w="832" w:type="dxa"/>
            <w:vAlign w:val="center"/>
          </w:tcPr>
          <w:p w14:paraId="7E2CC572" w14:textId="77777777" w:rsidR="00F62A4F" w:rsidRPr="002C3B84" w:rsidRDefault="00F62A4F" w:rsidP="00AF46A0">
            <w:pPr>
              <w:rPr>
                <w:rFonts w:ascii="Arial" w:hAnsi="Arial" w:cs="Arial"/>
                <w:sz w:val="16"/>
                <w:szCs w:val="16"/>
              </w:rPr>
            </w:pPr>
            <w:r w:rsidRPr="002C3B84">
              <w:rPr>
                <w:rFonts w:ascii="Arial" w:hAnsi="Arial" w:cs="Arial"/>
                <w:sz w:val="16"/>
                <w:szCs w:val="16"/>
              </w:rPr>
              <w:t>101 (31.3%)</w:t>
            </w:r>
          </w:p>
        </w:tc>
        <w:tc>
          <w:tcPr>
            <w:tcW w:w="832" w:type="dxa"/>
            <w:vAlign w:val="center"/>
          </w:tcPr>
          <w:p w14:paraId="169FB4C8" w14:textId="77777777" w:rsidR="00F62A4F" w:rsidRPr="002C3B84" w:rsidRDefault="00F62A4F" w:rsidP="00AF46A0">
            <w:pPr>
              <w:rPr>
                <w:rFonts w:ascii="Arial" w:hAnsi="Arial" w:cs="Arial"/>
                <w:sz w:val="16"/>
                <w:szCs w:val="16"/>
              </w:rPr>
            </w:pPr>
            <w:r w:rsidRPr="002C3B84">
              <w:rPr>
                <w:rFonts w:ascii="Arial" w:hAnsi="Arial" w:cs="Arial"/>
                <w:sz w:val="16"/>
                <w:szCs w:val="16"/>
              </w:rPr>
              <w:t>147 (45.0%)</w:t>
            </w:r>
          </w:p>
        </w:tc>
        <w:tc>
          <w:tcPr>
            <w:tcW w:w="832" w:type="dxa"/>
            <w:vAlign w:val="center"/>
          </w:tcPr>
          <w:p w14:paraId="07E72BB6" w14:textId="77777777" w:rsidR="00F62A4F" w:rsidRPr="002C3B84" w:rsidRDefault="00F62A4F" w:rsidP="00AF46A0">
            <w:pPr>
              <w:rPr>
                <w:rFonts w:ascii="Arial" w:hAnsi="Arial" w:cs="Arial"/>
                <w:sz w:val="16"/>
                <w:szCs w:val="16"/>
              </w:rPr>
            </w:pPr>
            <w:r w:rsidRPr="002C3B84">
              <w:rPr>
                <w:rFonts w:ascii="Arial" w:hAnsi="Arial" w:cs="Arial"/>
                <w:sz w:val="16"/>
                <w:szCs w:val="16"/>
              </w:rPr>
              <w:t>210 (65.0%)</w:t>
            </w:r>
          </w:p>
        </w:tc>
        <w:tc>
          <w:tcPr>
            <w:tcW w:w="832" w:type="dxa"/>
            <w:vAlign w:val="center"/>
          </w:tcPr>
          <w:p w14:paraId="4A848A6E" w14:textId="77777777" w:rsidR="00F62A4F" w:rsidRPr="002C3B84" w:rsidRDefault="00F62A4F" w:rsidP="00AF46A0">
            <w:pPr>
              <w:rPr>
                <w:rFonts w:ascii="Arial" w:hAnsi="Arial" w:cs="Arial"/>
                <w:sz w:val="16"/>
                <w:szCs w:val="16"/>
              </w:rPr>
            </w:pPr>
            <w:r w:rsidRPr="002C3B84">
              <w:rPr>
                <w:rFonts w:ascii="Arial" w:hAnsi="Arial" w:cs="Arial"/>
                <w:sz w:val="16"/>
                <w:szCs w:val="16"/>
              </w:rPr>
              <w:t>108 (33.4%)</w:t>
            </w:r>
          </w:p>
        </w:tc>
      </w:tr>
      <w:tr w:rsidR="00F62A4F" w:rsidRPr="002C3B84" w14:paraId="0DB0DDD1" w14:textId="77777777" w:rsidTr="002C3B84">
        <w:tc>
          <w:tcPr>
            <w:tcW w:w="918" w:type="dxa"/>
            <w:vAlign w:val="center"/>
          </w:tcPr>
          <w:p w14:paraId="240466E2" w14:textId="77777777" w:rsidR="00F62A4F" w:rsidRPr="002C3B84" w:rsidRDefault="00F62A4F" w:rsidP="00AF46A0">
            <w:pPr>
              <w:rPr>
                <w:rFonts w:ascii="Arial" w:hAnsi="Arial" w:cs="Arial"/>
                <w:sz w:val="16"/>
                <w:szCs w:val="16"/>
              </w:rPr>
            </w:pPr>
            <w:r w:rsidRPr="002C3B84">
              <w:rPr>
                <w:rFonts w:ascii="Arial" w:hAnsi="Arial" w:cs="Arial"/>
                <w:sz w:val="16"/>
                <w:szCs w:val="16"/>
              </w:rPr>
              <w:t>PASI 100 response n (%)</w:t>
            </w:r>
          </w:p>
        </w:tc>
        <w:tc>
          <w:tcPr>
            <w:tcW w:w="837" w:type="dxa"/>
            <w:vAlign w:val="center"/>
          </w:tcPr>
          <w:p w14:paraId="57EBC03F" w14:textId="77777777" w:rsidR="00F62A4F" w:rsidRPr="002C3B84" w:rsidRDefault="00F62A4F" w:rsidP="00AF46A0">
            <w:pPr>
              <w:rPr>
                <w:rFonts w:ascii="Arial" w:hAnsi="Arial" w:cs="Arial"/>
                <w:sz w:val="16"/>
                <w:szCs w:val="16"/>
              </w:rPr>
            </w:pPr>
            <w:r w:rsidRPr="002C3B84">
              <w:rPr>
                <w:rFonts w:ascii="Arial" w:hAnsi="Arial" w:cs="Arial"/>
                <w:sz w:val="16"/>
                <w:szCs w:val="16"/>
              </w:rPr>
              <w:t xml:space="preserve">0 </w:t>
            </w:r>
          </w:p>
          <w:p w14:paraId="0A3B0A0E" w14:textId="77777777" w:rsidR="00F62A4F" w:rsidRPr="002C3B84" w:rsidRDefault="00F62A4F" w:rsidP="00AF46A0">
            <w:pPr>
              <w:rPr>
                <w:rFonts w:ascii="Arial" w:hAnsi="Arial" w:cs="Arial"/>
                <w:sz w:val="16"/>
                <w:szCs w:val="16"/>
              </w:rPr>
            </w:pPr>
            <w:r w:rsidRPr="002C3B84">
              <w:rPr>
                <w:rFonts w:ascii="Arial" w:hAnsi="Arial" w:cs="Arial"/>
                <w:sz w:val="16"/>
                <w:szCs w:val="16"/>
              </w:rPr>
              <w:t>(0%)</w:t>
            </w:r>
          </w:p>
        </w:tc>
        <w:tc>
          <w:tcPr>
            <w:tcW w:w="832" w:type="dxa"/>
            <w:vAlign w:val="center"/>
          </w:tcPr>
          <w:p w14:paraId="15FD7469" w14:textId="77777777" w:rsidR="00F62A4F" w:rsidRPr="002C3B84" w:rsidRDefault="00F62A4F" w:rsidP="00AF46A0">
            <w:pPr>
              <w:rPr>
                <w:rFonts w:ascii="Arial" w:hAnsi="Arial" w:cs="Arial"/>
                <w:sz w:val="16"/>
                <w:szCs w:val="16"/>
              </w:rPr>
            </w:pPr>
            <w:r w:rsidRPr="002C3B84">
              <w:rPr>
                <w:rFonts w:ascii="Arial" w:hAnsi="Arial" w:cs="Arial"/>
                <w:sz w:val="16"/>
                <w:szCs w:val="16"/>
              </w:rPr>
              <w:t>47 (14.4%)</w:t>
            </w:r>
          </w:p>
        </w:tc>
        <w:tc>
          <w:tcPr>
            <w:tcW w:w="832" w:type="dxa"/>
            <w:vAlign w:val="center"/>
          </w:tcPr>
          <w:p w14:paraId="376791E6" w14:textId="77777777" w:rsidR="00F62A4F" w:rsidRPr="002C3B84" w:rsidRDefault="00F62A4F" w:rsidP="00AF46A0">
            <w:pPr>
              <w:rPr>
                <w:rFonts w:ascii="Arial" w:hAnsi="Arial" w:cs="Arial"/>
                <w:sz w:val="16"/>
                <w:szCs w:val="16"/>
              </w:rPr>
            </w:pPr>
            <w:r w:rsidRPr="002C3B84">
              <w:rPr>
                <w:rFonts w:ascii="Arial" w:hAnsi="Arial" w:cs="Arial"/>
                <w:sz w:val="16"/>
                <w:szCs w:val="16"/>
              </w:rPr>
              <w:t>78 (24.1%)</w:t>
            </w:r>
          </w:p>
        </w:tc>
        <w:tc>
          <w:tcPr>
            <w:tcW w:w="832" w:type="dxa"/>
            <w:vAlign w:val="center"/>
          </w:tcPr>
          <w:p w14:paraId="1B54EF69" w14:textId="77777777" w:rsidR="00F62A4F" w:rsidRPr="002C3B84" w:rsidRDefault="00F62A4F" w:rsidP="00AF46A0">
            <w:pPr>
              <w:rPr>
                <w:rFonts w:ascii="Arial" w:hAnsi="Arial" w:cs="Arial"/>
                <w:sz w:val="16"/>
                <w:szCs w:val="16"/>
              </w:rPr>
            </w:pPr>
            <w:r w:rsidRPr="002C3B84">
              <w:rPr>
                <w:rFonts w:ascii="Arial" w:hAnsi="Arial" w:cs="Arial"/>
                <w:sz w:val="16"/>
                <w:szCs w:val="16"/>
              </w:rPr>
              <w:t>14 (4.3%)</w:t>
            </w:r>
          </w:p>
        </w:tc>
        <w:tc>
          <w:tcPr>
            <w:tcW w:w="832" w:type="dxa"/>
            <w:vAlign w:val="center"/>
          </w:tcPr>
          <w:p w14:paraId="2471543B" w14:textId="77777777" w:rsidR="00F62A4F" w:rsidRPr="002C3B84" w:rsidRDefault="00F62A4F" w:rsidP="00AF46A0">
            <w:pPr>
              <w:rPr>
                <w:rFonts w:ascii="Arial" w:hAnsi="Arial" w:cs="Arial"/>
                <w:sz w:val="16"/>
                <w:szCs w:val="16"/>
              </w:rPr>
            </w:pPr>
            <w:r w:rsidRPr="002C3B84">
              <w:rPr>
                <w:rFonts w:ascii="Arial" w:hAnsi="Arial" w:cs="Arial"/>
                <w:sz w:val="16"/>
                <w:szCs w:val="16"/>
              </w:rPr>
              <w:t>84 (25.7%)</w:t>
            </w:r>
          </w:p>
        </w:tc>
        <w:tc>
          <w:tcPr>
            <w:tcW w:w="832" w:type="dxa"/>
            <w:vAlign w:val="center"/>
          </w:tcPr>
          <w:p w14:paraId="2AB9210B" w14:textId="77777777" w:rsidR="00F62A4F" w:rsidRPr="002C3B84" w:rsidRDefault="00F62A4F" w:rsidP="00AF46A0">
            <w:pPr>
              <w:rPr>
                <w:rFonts w:ascii="Arial" w:hAnsi="Arial" w:cs="Arial"/>
                <w:sz w:val="16"/>
                <w:szCs w:val="16"/>
              </w:rPr>
            </w:pPr>
            <w:r w:rsidRPr="002C3B84">
              <w:rPr>
                <w:rFonts w:ascii="Arial" w:hAnsi="Arial" w:cs="Arial"/>
                <w:sz w:val="16"/>
                <w:szCs w:val="16"/>
              </w:rPr>
              <w:t>119 (36.8%)</w:t>
            </w:r>
          </w:p>
        </w:tc>
        <w:tc>
          <w:tcPr>
            <w:tcW w:w="832" w:type="dxa"/>
            <w:vAlign w:val="center"/>
          </w:tcPr>
          <w:p w14:paraId="1B357306" w14:textId="77777777" w:rsidR="00F62A4F" w:rsidRPr="002C3B84" w:rsidRDefault="00F62A4F" w:rsidP="00AF46A0">
            <w:pPr>
              <w:rPr>
                <w:rFonts w:ascii="Arial" w:hAnsi="Arial" w:cs="Arial"/>
                <w:sz w:val="16"/>
                <w:szCs w:val="16"/>
              </w:rPr>
            </w:pPr>
            <w:r w:rsidRPr="002C3B84">
              <w:rPr>
                <w:rFonts w:ascii="Arial" w:hAnsi="Arial" w:cs="Arial"/>
                <w:sz w:val="16"/>
                <w:szCs w:val="16"/>
              </w:rPr>
              <w:t>24 (7.4%)</w:t>
            </w:r>
          </w:p>
        </w:tc>
        <w:tc>
          <w:tcPr>
            <w:tcW w:w="832" w:type="dxa"/>
            <w:vAlign w:val="center"/>
          </w:tcPr>
          <w:p w14:paraId="6C8A605A" w14:textId="77777777" w:rsidR="00F62A4F" w:rsidRPr="002C3B84" w:rsidRDefault="00F62A4F" w:rsidP="00AF46A0">
            <w:pPr>
              <w:rPr>
                <w:rFonts w:ascii="Arial" w:hAnsi="Arial" w:cs="Arial"/>
                <w:sz w:val="16"/>
                <w:szCs w:val="16"/>
              </w:rPr>
            </w:pPr>
            <w:r w:rsidRPr="002C3B84">
              <w:rPr>
                <w:rFonts w:ascii="Arial" w:hAnsi="Arial" w:cs="Arial"/>
                <w:sz w:val="16"/>
                <w:szCs w:val="16"/>
              </w:rPr>
              <w:t>65 (19.9%)</w:t>
            </w:r>
          </w:p>
        </w:tc>
        <w:tc>
          <w:tcPr>
            <w:tcW w:w="832" w:type="dxa"/>
            <w:vAlign w:val="center"/>
          </w:tcPr>
          <w:p w14:paraId="139F5F39" w14:textId="77777777" w:rsidR="00F62A4F" w:rsidRPr="002C3B84" w:rsidRDefault="00F62A4F" w:rsidP="00AF46A0">
            <w:pPr>
              <w:rPr>
                <w:rFonts w:ascii="Arial" w:hAnsi="Arial" w:cs="Arial"/>
                <w:sz w:val="16"/>
                <w:szCs w:val="16"/>
              </w:rPr>
            </w:pPr>
            <w:r w:rsidRPr="002C3B84">
              <w:rPr>
                <w:rFonts w:ascii="Arial" w:hAnsi="Arial" w:cs="Arial"/>
                <w:sz w:val="16"/>
                <w:szCs w:val="16"/>
              </w:rPr>
              <w:t>117 (36.2%)</w:t>
            </w:r>
          </w:p>
        </w:tc>
        <w:tc>
          <w:tcPr>
            <w:tcW w:w="832" w:type="dxa"/>
            <w:vAlign w:val="center"/>
          </w:tcPr>
          <w:p w14:paraId="6414D15E" w14:textId="77777777" w:rsidR="00F62A4F" w:rsidRPr="002C3B84" w:rsidRDefault="00F62A4F" w:rsidP="00AF46A0">
            <w:pPr>
              <w:rPr>
                <w:rFonts w:ascii="Arial" w:hAnsi="Arial" w:cs="Arial"/>
                <w:sz w:val="16"/>
                <w:szCs w:val="16"/>
              </w:rPr>
            </w:pPr>
            <w:r w:rsidRPr="002C3B84">
              <w:rPr>
                <w:rFonts w:ascii="Arial" w:hAnsi="Arial" w:cs="Arial"/>
                <w:sz w:val="16"/>
                <w:szCs w:val="16"/>
              </w:rPr>
              <w:t>32 (9.9%)</w:t>
            </w:r>
          </w:p>
        </w:tc>
      </w:tr>
      <w:tr w:rsidR="00F62A4F" w:rsidRPr="002C3B84" w14:paraId="53C9A35D" w14:textId="77777777" w:rsidTr="002C3B84">
        <w:tc>
          <w:tcPr>
            <w:tcW w:w="918" w:type="dxa"/>
            <w:tcBorders>
              <w:bottom w:val="single" w:sz="4" w:space="0" w:color="auto"/>
            </w:tcBorders>
            <w:vAlign w:val="center"/>
          </w:tcPr>
          <w:p w14:paraId="553A4629" w14:textId="77777777" w:rsidR="00F62A4F" w:rsidRPr="002C3B84" w:rsidRDefault="00F62A4F" w:rsidP="00AF46A0">
            <w:pPr>
              <w:rPr>
                <w:rFonts w:ascii="Arial" w:hAnsi="Arial" w:cs="Arial"/>
                <w:sz w:val="16"/>
                <w:szCs w:val="16"/>
              </w:rPr>
            </w:pPr>
            <w:r w:rsidRPr="002C3B84">
              <w:rPr>
                <w:rFonts w:ascii="Arial" w:hAnsi="Arial" w:cs="Arial"/>
                <w:sz w:val="16"/>
                <w:szCs w:val="16"/>
              </w:rPr>
              <w:t>IGA mod 2011 “clear” or “almost clear” response n (%)</w:t>
            </w:r>
          </w:p>
        </w:tc>
        <w:tc>
          <w:tcPr>
            <w:tcW w:w="837" w:type="dxa"/>
            <w:tcBorders>
              <w:bottom w:val="single" w:sz="4" w:space="0" w:color="auto"/>
            </w:tcBorders>
            <w:vAlign w:val="center"/>
          </w:tcPr>
          <w:p w14:paraId="37A26551" w14:textId="77777777" w:rsidR="00F62A4F" w:rsidRPr="002C3B84" w:rsidRDefault="00F62A4F" w:rsidP="00AF46A0">
            <w:pPr>
              <w:rPr>
                <w:rFonts w:ascii="Arial" w:hAnsi="Arial" w:cs="Arial"/>
                <w:sz w:val="16"/>
                <w:szCs w:val="16"/>
              </w:rPr>
            </w:pPr>
            <w:r w:rsidRPr="002C3B84">
              <w:rPr>
                <w:rFonts w:ascii="Arial" w:hAnsi="Arial" w:cs="Arial"/>
                <w:sz w:val="16"/>
                <w:szCs w:val="16"/>
              </w:rPr>
              <w:t>9 (2.8%)</w:t>
            </w:r>
          </w:p>
        </w:tc>
        <w:tc>
          <w:tcPr>
            <w:tcW w:w="832" w:type="dxa"/>
            <w:tcBorders>
              <w:bottom w:val="single" w:sz="4" w:space="0" w:color="auto"/>
            </w:tcBorders>
            <w:vAlign w:val="center"/>
          </w:tcPr>
          <w:p w14:paraId="6C15A6C5" w14:textId="77777777" w:rsidR="00F62A4F" w:rsidRPr="002C3B84" w:rsidRDefault="00F62A4F" w:rsidP="00AF46A0">
            <w:pPr>
              <w:rPr>
                <w:rFonts w:ascii="Arial" w:hAnsi="Arial" w:cs="Arial"/>
                <w:sz w:val="16"/>
                <w:szCs w:val="16"/>
              </w:rPr>
            </w:pPr>
            <w:r w:rsidRPr="002C3B84">
              <w:rPr>
                <w:rFonts w:ascii="Arial" w:hAnsi="Arial" w:cs="Arial"/>
                <w:sz w:val="16"/>
                <w:szCs w:val="16"/>
              </w:rPr>
              <w:t>167 (51.1%)**</w:t>
            </w:r>
          </w:p>
        </w:tc>
        <w:tc>
          <w:tcPr>
            <w:tcW w:w="832" w:type="dxa"/>
            <w:tcBorders>
              <w:bottom w:val="single" w:sz="4" w:space="0" w:color="auto"/>
            </w:tcBorders>
            <w:vAlign w:val="center"/>
          </w:tcPr>
          <w:p w14:paraId="15ABC54F" w14:textId="77777777" w:rsidR="00F62A4F" w:rsidRPr="002C3B84" w:rsidRDefault="00F62A4F" w:rsidP="00AF46A0">
            <w:pPr>
              <w:rPr>
                <w:rFonts w:ascii="Arial" w:hAnsi="Arial" w:cs="Arial"/>
                <w:sz w:val="16"/>
                <w:szCs w:val="16"/>
              </w:rPr>
            </w:pPr>
            <w:r w:rsidRPr="002C3B84">
              <w:rPr>
                <w:rFonts w:ascii="Arial" w:hAnsi="Arial" w:cs="Arial"/>
                <w:sz w:val="16"/>
                <w:szCs w:val="16"/>
              </w:rPr>
              <w:t>202 (62.5%)**</w:t>
            </w:r>
          </w:p>
        </w:tc>
        <w:tc>
          <w:tcPr>
            <w:tcW w:w="832" w:type="dxa"/>
            <w:tcBorders>
              <w:bottom w:val="single" w:sz="4" w:space="0" w:color="auto"/>
            </w:tcBorders>
            <w:vAlign w:val="center"/>
          </w:tcPr>
          <w:p w14:paraId="79BD3758" w14:textId="77777777" w:rsidR="00F62A4F" w:rsidRPr="002C3B84" w:rsidRDefault="00F62A4F" w:rsidP="00AF46A0">
            <w:pPr>
              <w:rPr>
                <w:rFonts w:ascii="Arial" w:hAnsi="Arial" w:cs="Arial"/>
                <w:sz w:val="16"/>
                <w:szCs w:val="16"/>
              </w:rPr>
            </w:pPr>
            <w:r w:rsidRPr="002C3B84">
              <w:rPr>
                <w:rFonts w:ascii="Arial" w:hAnsi="Arial" w:cs="Arial"/>
                <w:sz w:val="16"/>
                <w:szCs w:val="16"/>
              </w:rPr>
              <w:t>88 (27.2%)</w:t>
            </w:r>
          </w:p>
        </w:tc>
        <w:tc>
          <w:tcPr>
            <w:tcW w:w="832" w:type="dxa"/>
            <w:tcBorders>
              <w:bottom w:val="single" w:sz="4" w:space="0" w:color="auto"/>
            </w:tcBorders>
            <w:vAlign w:val="center"/>
          </w:tcPr>
          <w:p w14:paraId="6B012E64" w14:textId="77777777" w:rsidR="00F62A4F" w:rsidRPr="002C3B84" w:rsidRDefault="00F62A4F" w:rsidP="00AF46A0">
            <w:pPr>
              <w:rPr>
                <w:rFonts w:ascii="Arial" w:hAnsi="Arial" w:cs="Arial"/>
                <w:sz w:val="16"/>
                <w:szCs w:val="16"/>
              </w:rPr>
            </w:pPr>
            <w:r w:rsidRPr="002C3B84">
              <w:rPr>
                <w:rFonts w:ascii="Arial" w:hAnsi="Arial" w:cs="Arial"/>
                <w:sz w:val="16"/>
                <w:szCs w:val="16"/>
              </w:rPr>
              <w:t>200 (61.2%)</w:t>
            </w:r>
          </w:p>
        </w:tc>
        <w:tc>
          <w:tcPr>
            <w:tcW w:w="832" w:type="dxa"/>
            <w:tcBorders>
              <w:bottom w:val="single" w:sz="4" w:space="0" w:color="auto"/>
            </w:tcBorders>
            <w:vAlign w:val="center"/>
          </w:tcPr>
          <w:p w14:paraId="275DA33F" w14:textId="77777777" w:rsidR="00F62A4F" w:rsidRPr="002C3B84" w:rsidRDefault="00F62A4F" w:rsidP="00AF46A0">
            <w:pPr>
              <w:rPr>
                <w:rFonts w:ascii="Arial" w:hAnsi="Arial" w:cs="Arial"/>
                <w:sz w:val="16"/>
                <w:szCs w:val="16"/>
              </w:rPr>
            </w:pPr>
            <w:r w:rsidRPr="002C3B84">
              <w:rPr>
                <w:rFonts w:ascii="Arial" w:hAnsi="Arial" w:cs="Arial"/>
                <w:sz w:val="16"/>
                <w:szCs w:val="16"/>
              </w:rPr>
              <w:t>244 (75.5%)</w:t>
            </w:r>
          </w:p>
        </w:tc>
        <w:tc>
          <w:tcPr>
            <w:tcW w:w="832" w:type="dxa"/>
            <w:tcBorders>
              <w:bottom w:val="single" w:sz="4" w:space="0" w:color="auto"/>
            </w:tcBorders>
            <w:vAlign w:val="center"/>
          </w:tcPr>
          <w:p w14:paraId="4E4C7789" w14:textId="77777777" w:rsidR="00F62A4F" w:rsidRPr="002C3B84" w:rsidRDefault="00F62A4F" w:rsidP="00AF46A0">
            <w:pPr>
              <w:rPr>
                <w:rFonts w:ascii="Arial" w:hAnsi="Arial" w:cs="Arial"/>
                <w:sz w:val="16"/>
                <w:szCs w:val="16"/>
              </w:rPr>
            </w:pPr>
            <w:r w:rsidRPr="002C3B84">
              <w:rPr>
                <w:rFonts w:ascii="Arial" w:hAnsi="Arial" w:cs="Arial"/>
                <w:sz w:val="16"/>
                <w:szCs w:val="16"/>
              </w:rPr>
              <w:t>127 (39.3%)</w:t>
            </w:r>
          </w:p>
        </w:tc>
        <w:tc>
          <w:tcPr>
            <w:tcW w:w="832" w:type="dxa"/>
            <w:tcBorders>
              <w:bottom w:val="single" w:sz="4" w:space="0" w:color="auto"/>
            </w:tcBorders>
            <w:vAlign w:val="center"/>
          </w:tcPr>
          <w:p w14:paraId="66929FD4" w14:textId="77777777" w:rsidR="00F62A4F" w:rsidRPr="002C3B84" w:rsidRDefault="00F62A4F" w:rsidP="00AF46A0">
            <w:pPr>
              <w:rPr>
                <w:rFonts w:ascii="Arial" w:hAnsi="Arial" w:cs="Arial"/>
                <w:sz w:val="16"/>
                <w:szCs w:val="16"/>
              </w:rPr>
            </w:pPr>
            <w:r w:rsidRPr="002C3B84">
              <w:rPr>
                <w:rFonts w:ascii="Arial" w:hAnsi="Arial" w:cs="Arial"/>
                <w:sz w:val="16"/>
                <w:szCs w:val="16"/>
              </w:rPr>
              <w:t>168 (51.4%)</w:t>
            </w:r>
          </w:p>
        </w:tc>
        <w:tc>
          <w:tcPr>
            <w:tcW w:w="832" w:type="dxa"/>
            <w:tcBorders>
              <w:bottom w:val="single" w:sz="4" w:space="0" w:color="auto"/>
            </w:tcBorders>
            <w:vAlign w:val="center"/>
          </w:tcPr>
          <w:p w14:paraId="220A78C9" w14:textId="77777777" w:rsidR="00F62A4F" w:rsidRPr="002C3B84" w:rsidRDefault="00F62A4F" w:rsidP="00AF46A0">
            <w:pPr>
              <w:rPr>
                <w:rFonts w:ascii="Arial" w:hAnsi="Arial" w:cs="Arial"/>
                <w:sz w:val="16"/>
                <w:szCs w:val="16"/>
              </w:rPr>
            </w:pPr>
            <w:r w:rsidRPr="002C3B84">
              <w:rPr>
                <w:rFonts w:ascii="Arial" w:hAnsi="Arial" w:cs="Arial"/>
                <w:sz w:val="16"/>
                <w:szCs w:val="16"/>
              </w:rPr>
              <w:t>219 (67.8%)</w:t>
            </w:r>
          </w:p>
        </w:tc>
        <w:tc>
          <w:tcPr>
            <w:tcW w:w="832" w:type="dxa"/>
            <w:tcBorders>
              <w:bottom w:val="single" w:sz="4" w:space="0" w:color="auto"/>
            </w:tcBorders>
            <w:vAlign w:val="center"/>
          </w:tcPr>
          <w:p w14:paraId="06C878A9" w14:textId="77777777" w:rsidR="00F62A4F" w:rsidRPr="002C3B84" w:rsidRDefault="00F62A4F" w:rsidP="00AF46A0">
            <w:pPr>
              <w:rPr>
                <w:rFonts w:ascii="Arial" w:hAnsi="Arial" w:cs="Arial"/>
                <w:sz w:val="16"/>
                <w:szCs w:val="16"/>
              </w:rPr>
            </w:pPr>
            <w:r w:rsidRPr="002C3B84">
              <w:rPr>
                <w:rFonts w:ascii="Arial" w:hAnsi="Arial" w:cs="Arial"/>
                <w:sz w:val="16"/>
                <w:szCs w:val="16"/>
              </w:rPr>
              <w:t>120 (37.2%)</w:t>
            </w:r>
          </w:p>
        </w:tc>
      </w:tr>
      <w:tr w:rsidR="00F62A4F" w:rsidRPr="001520C6" w14:paraId="354EBE68" w14:textId="77777777" w:rsidTr="002C3B84">
        <w:tc>
          <w:tcPr>
            <w:tcW w:w="9243" w:type="dxa"/>
            <w:gridSpan w:val="11"/>
            <w:tcBorders>
              <w:left w:val="nil"/>
              <w:bottom w:val="nil"/>
              <w:right w:val="nil"/>
            </w:tcBorders>
            <w:vAlign w:val="center"/>
          </w:tcPr>
          <w:p w14:paraId="798D1AEC" w14:textId="77777777" w:rsidR="00F62A4F" w:rsidRPr="002D07A3" w:rsidRDefault="00F62A4F" w:rsidP="00AF46A0">
            <w:pPr>
              <w:rPr>
                <w:rFonts w:ascii="Arial" w:hAnsi="Arial" w:cs="Arial"/>
                <w:i/>
                <w:sz w:val="16"/>
                <w:szCs w:val="16"/>
                <w:lang w:val="fr-FR"/>
              </w:rPr>
            </w:pPr>
            <w:r w:rsidRPr="002D07A3">
              <w:rPr>
                <w:rFonts w:ascii="Arial" w:hAnsi="Arial" w:cs="Arial"/>
                <w:i/>
                <w:sz w:val="16"/>
                <w:szCs w:val="18"/>
                <w:lang w:val="fr-FR"/>
              </w:rPr>
              <w:t xml:space="preserve">** p values versus </w:t>
            </w:r>
            <w:proofErr w:type="spellStart"/>
            <w:r w:rsidRPr="002D07A3">
              <w:rPr>
                <w:rFonts w:ascii="Arial" w:hAnsi="Arial" w:cs="Arial"/>
                <w:i/>
                <w:sz w:val="16"/>
                <w:szCs w:val="18"/>
                <w:lang w:val="fr-FR"/>
              </w:rPr>
              <w:t>etanercept</w:t>
            </w:r>
            <w:proofErr w:type="spellEnd"/>
            <w:r w:rsidRPr="002D07A3">
              <w:rPr>
                <w:rFonts w:ascii="Arial" w:hAnsi="Arial" w:cs="Arial"/>
                <w:i/>
                <w:sz w:val="16"/>
                <w:szCs w:val="18"/>
                <w:lang w:val="fr-FR"/>
              </w:rPr>
              <w:t>: p=0.0250</w:t>
            </w:r>
          </w:p>
        </w:tc>
      </w:tr>
    </w:tbl>
    <w:p w14:paraId="67F015C4" w14:textId="77777777" w:rsidR="00F62A4F" w:rsidRPr="002C3B84" w:rsidRDefault="00F62A4F" w:rsidP="00AF46A0">
      <w:pPr>
        <w:rPr>
          <w:rFonts w:cs="Arial"/>
        </w:rPr>
      </w:pPr>
      <w:r w:rsidRPr="002C3B84">
        <w:rPr>
          <w:rFonts w:cs="Arial"/>
        </w:rPr>
        <w:t xml:space="preserve">An additional psoriasis study (CLEAR) evaluated 676 patients. </w:t>
      </w:r>
      <w:proofErr w:type="spellStart"/>
      <w:r w:rsidRPr="002C3B84">
        <w:rPr>
          <w:rFonts w:cs="Arial"/>
        </w:rPr>
        <w:t>Secukinumab</w:t>
      </w:r>
      <w:proofErr w:type="spellEnd"/>
      <w:r w:rsidRPr="002C3B84">
        <w:rPr>
          <w:rFonts w:cs="Arial"/>
        </w:rPr>
        <w:t xml:space="preserve"> 300 mg met the primary and secondary endpoints by showing superiority to </w:t>
      </w:r>
      <w:proofErr w:type="spellStart"/>
      <w:r w:rsidRPr="002C3B84">
        <w:rPr>
          <w:rFonts w:cs="Arial"/>
        </w:rPr>
        <w:t>ustekinumab</w:t>
      </w:r>
      <w:proofErr w:type="spellEnd"/>
      <w:r w:rsidRPr="002C3B84">
        <w:rPr>
          <w:rFonts w:cs="Arial"/>
        </w:rPr>
        <w:t xml:space="preserve"> based on PASI 90 response at Week 16 and speed of onset of PASI 75 response at Week 4, and long term PASI 90 response at Week 52. Greater efficacy of </w:t>
      </w:r>
      <w:proofErr w:type="spellStart"/>
      <w:r w:rsidRPr="002C3B84">
        <w:rPr>
          <w:rFonts w:cs="Arial"/>
        </w:rPr>
        <w:t>secukinumab</w:t>
      </w:r>
      <w:proofErr w:type="spellEnd"/>
      <w:r w:rsidRPr="002C3B84">
        <w:rPr>
          <w:rFonts w:cs="Arial"/>
        </w:rPr>
        <w:t xml:space="preserve"> compared to </w:t>
      </w:r>
      <w:proofErr w:type="spellStart"/>
      <w:r w:rsidRPr="002C3B84">
        <w:rPr>
          <w:rFonts w:cs="Arial"/>
        </w:rPr>
        <w:t>ustekinumab</w:t>
      </w:r>
      <w:proofErr w:type="spellEnd"/>
      <w:r w:rsidRPr="002C3B84">
        <w:rPr>
          <w:rFonts w:cs="Arial"/>
        </w:rPr>
        <w:t xml:space="preserve"> for the endpoints PASI 75/90/100 and IGA mod 2011 0 or 1 response (“clear” or “almost clear”) was observed early and continued through to Week 52.</w:t>
      </w:r>
    </w:p>
    <w:p w14:paraId="007FE5BC" w14:textId="77777777" w:rsidR="00F62A4F" w:rsidRPr="002C3B84" w:rsidRDefault="00F62A4F" w:rsidP="00AF46A0">
      <w:pPr>
        <w:spacing w:after="120"/>
        <w:ind w:left="1166" w:hanging="1166"/>
        <w:rPr>
          <w:rFonts w:ascii="Arial" w:hAnsi="Arial" w:cs="Arial"/>
          <w:b/>
          <w:sz w:val="20"/>
        </w:rPr>
      </w:pPr>
      <w:r w:rsidRPr="002C3B84">
        <w:rPr>
          <w:rFonts w:ascii="Arial" w:hAnsi="Arial" w:cs="Arial"/>
          <w:b/>
          <w:sz w:val="20"/>
        </w:rPr>
        <w:t xml:space="preserve">Table </w:t>
      </w:r>
      <w:r w:rsidR="0016038E" w:rsidRPr="002C3B84">
        <w:rPr>
          <w:rFonts w:ascii="Arial" w:hAnsi="Arial" w:cs="Arial"/>
          <w:b/>
          <w:sz w:val="20"/>
        </w:rPr>
        <w:t>7</w:t>
      </w:r>
      <w:r w:rsidRPr="002C3B84">
        <w:rPr>
          <w:rFonts w:ascii="Arial" w:hAnsi="Arial" w:cs="Arial"/>
          <w:b/>
          <w:sz w:val="20"/>
        </w:rPr>
        <w:tab/>
        <w:t>Summary of clinical response on CLEAR Study</w:t>
      </w:r>
    </w:p>
    <w:tbl>
      <w:tblPr>
        <w:tblStyle w:val="TableGrid"/>
        <w:tblW w:w="9243" w:type="dxa"/>
        <w:tblLook w:val="04A0" w:firstRow="1" w:lastRow="0" w:firstColumn="1" w:lastColumn="0" w:noHBand="0" w:noVBand="1"/>
      </w:tblPr>
      <w:tblGrid>
        <w:gridCol w:w="1432"/>
        <w:gridCol w:w="1301"/>
        <w:gridCol w:w="1302"/>
        <w:gridCol w:w="1302"/>
        <w:gridCol w:w="1302"/>
        <w:gridCol w:w="1302"/>
        <w:gridCol w:w="1302"/>
      </w:tblGrid>
      <w:tr w:rsidR="005854D8" w:rsidRPr="002C3B84" w14:paraId="3CB8F3DD" w14:textId="77777777" w:rsidTr="00D834B1">
        <w:tc>
          <w:tcPr>
            <w:tcW w:w="1432" w:type="dxa"/>
            <w:vMerge w:val="restart"/>
            <w:vAlign w:val="center"/>
          </w:tcPr>
          <w:p w14:paraId="459D157E" w14:textId="77777777" w:rsidR="005854D8" w:rsidRPr="002D07A3" w:rsidRDefault="005854D8" w:rsidP="00AF46A0">
            <w:pPr>
              <w:rPr>
                <w:rFonts w:ascii="Arial" w:hAnsi="Arial" w:cs="Arial"/>
                <w:b/>
                <w:sz w:val="15"/>
                <w:szCs w:val="15"/>
              </w:rPr>
            </w:pPr>
          </w:p>
        </w:tc>
        <w:tc>
          <w:tcPr>
            <w:tcW w:w="2603" w:type="dxa"/>
            <w:gridSpan w:val="2"/>
            <w:vAlign w:val="center"/>
          </w:tcPr>
          <w:p w14:paraId="364E6575" w14:textId="77777777" w:rsidR="005854D8" w:rsidRPr="002D07A3" w:rsidRDefault="005854D8" w:rsidP="00AF46A0">
            <w:pPr>
              <w:rPr>
                <w:rFonts w:ascii="Arial" w:hAnsi="Arial" w:cs="Arial"/>
                <w:b/>
                <w:sz w:val="16"/>
                <w:szCs w:val="15"/>
              </w:rPr>
            </w:pPr>
            <w:r w:rsidRPr="002D07A3">
              <w:rPr>
                <w:rFonts w:ascii="Arial" w:hAnsi="Arial" w:cs="Arial"/>
                <w:b/>
                <w:sz w:val="16"/>
                <w:szCs w:val="15"/>
              </w:rPr>
              <w:t>Week 4</w:t>
            </w:r>
          </w:p>
        </w:tc>
        <w:tc>
          <w:tcPr>
            <w:tcW w:w="2604" w:type="dxa"/>
            <w:gridSpan w:val="2"/>
            <w:vAlign w:val="center"/>
          </w:tcPr>
          <w:p w14:paraId="789700E8" w14:textId="77777777" w:rsidR="005854D8" w:rsidRPr="002D07A3" w:rsidRDefault="005854D8" w:rsidP="00AF46A0">
            <w:pPr>
              <w:rPr>
                <w:rFonts w:ascii="Arial" w:hAnsi="Arial" w:cs="Arial"/>
                <w:b/>
                <w:sz w:val="16"/>
                <w:szCs w:val="15"/>
              </w:rPr>
            </w:pPr>
            <w:r w:rsidRPr="002D07A3">
              <w:rPr>
                <w:rFonts w:ascii="Arial" w:hAnsi="Arial" w:cs="Arial"/>
                <w:b/>
                <w:sz w:val="16"/>
                <w:szCs w:val="15"/>
              </w:rPr>
              <w:t>Week 16</w:t>
            </w:r>
          </w:p>
        </w:tc>
        <w:tc>
          <w:tcPr>
            <w:tcW w:w="2604" w:type="dxa"/>
            <w:gridSpan w:val="2"/>
          </w:tcPr>
          <w:p w14:paraId="540AC874" w14:textId="77777777" w:rsidR="005854D8" w:rsidRPr="002D07A3" w:rsidRDefault="005854D8" w:rsidP="00AF46A0">
            <w:pPr>
              <w:rPr>
                <w:rFonts w:ascii="Arial" w:hAnsi="Arial" w:cs="Arial"/>
                <w:b/>
                <w:sz w:val="16"/>
                <w:szCs w:val="15"/>
              </w:rPr>
            </w:pPr>
            <w:r w:rsidRPr="002D07A3">
              <w:rPr>
                <w:rFonts w:ascii="Arial" w:hAnsi="Arial" w:cs="Arial"/>
                <w:b/>
                <w:sz w:val="16"/>
                <w:szCs w:val="15"/>
              </w:rPr>
              <w:t>Week 52</w:t>
            </w:r>
          </w:p>
        </w:tc>
      </w:tr>
      <w:tr w:rsidR="005854D8" w:rsidRPr="002C3B84" w14:paraId="3A3D2E3F" w14:textId="77777777" w:rsidTr="00D834B1">
        <w:tc>
          <w:tcPr>
            <w:tcW w:w="1432" w:type="dxa"/>
            <w:vMerge/>
            <w:vAlign w:val="center"/>
          </w:tcPr>
          <w:p w14:paraId="1E704A71" w14:textId="77777777" w:rsidR="005854D8" w:rsidRPr="002D07A3" w:rsidRDefault="005854D8" w:rsidP="00AF46A0">
            <w:pPr>
              <w:rPr>
                <w:rFonts w:ascii="Arial" w:hAnsi="Arial" w:cs="Arial"/>
                <w:b/>
                <w:sz w:val="15"/>
                <w:szCs w:val="15"/>
              </w:rPr>
            </w:pPr>
          </w:p>
        </w:tc>
        <w:tc>
          <w:tcPr>
            <w:tcW w:w="1301" w:type="dxa"/>
            <w:vAlign w:val="center"/>
          </w:tcPr>
          <w:p w14:paraId="54E48CC5" w14:textId="77777777" w:rsidR="005854D8" w:rsidRPr="002C3B84" w:rsidRDefault="005854D8" w:rsidP="00AF46A0">
            <w:pPr>
              <w:spacing w:after="0"/>
              <w:ind w:left="-45"/>
              <w:rPr>
                <w:rFonts w:ascii="Arial" w:hAnsi="Arial" w:cs="Arial"/>
                <w:b/>
                <w:sz w:val="15"/>
                <w:szCs w:val="15"/>
              </w:rPr>
            </w:pPr>
            <w:proofErr w:type="spellStart"/>
            <w:r w:rsidRPr="002C3B84">
              <w:rPr>
                <w:rFonts w:ascii="Arial" w:hAnsi="Arial" w:cs="Arial"/>
                <w:b/>
                <w:sz w:val="15"/>
                <w:szCs w:val="15"/>
              </w:rPr>
              <w:t>Secukinumab</w:t>
            </w:r>
            <w:proofErr w:type="spellEnd"/>
          </w:p>
          <w:p w14:paraId="5EF9327D" w14:textId="77777777" w:rsidR="005854D8" w:rsidRPr="002C3B84" w:rsidRDefault="005854D8" w:rsidP="00AF46A0">
            <w:pPr>
              <w:spacing w:after="0"/>
              <w:ind w:left="-45"/>
              <w:rPr>
                <w:rFonts w:ascii="Arial" w:hAnsi="Arial" w:cs="Arial"/>
                <w:b/>
                <w:sz w:val="15"/>
                <w:szCs w:val="15"/>
              </w:rPr>
            </w:pPr>
            <w:r w:rsidRPr="002C3B84">
              <w:rPr>
                <w:rFonts w:ascii="Arial" w:hAnsi="Arial" w:cs="Arial"/>
                <w:b/>
                <w:sz w:val="15"/>
                <w:szCs w:val="15"/>
              </w:rPr>
              <w:t>300 mg</w:t>
            </w:r>
          </w:p>
        </w:tc>
        <w:tc>
          <w:tcPr>
            <w:tcW w:w="1302" w:type="dxa"/>
            <w:vAlign w:val="center"/>
          </w:tcPr>
          <w:p w14:paraId="1912C5D8" w14:textId="77777777" w:rsidR="005854D8" w:rsidRPr="002C3B84" w:rsidRDefault="005854D8" w:rsidP="00AF46A0">
            <w:pPr>
              <w:spacing w:after="0"/>
              <w:rPr>
                <w:rFonts w:ascii="Arial" w:hAnsi="Arial" w:cs="Arial"/>
                <w:b/>
                <w:sz w:val="15"/>
                <w:szCs w:val="15"/>
              </w:rPr>
            </w:pPr>
            <w:proofErr w:type="spellStart"/>
            <w:r w:rsidRPr="002C3B84">
              <w:rPr>
                <w:rFonts w:ascii="Arial" w:hAnsi="Arial" w:cs="Arial"/>
                <w:b/>
                <w:sz w:val="15"/>
                <w:szCs w:val="15"/>
              </w:rPr>
              <w:t>Ustekinumab</w:t>
            </w:r>
            <w:proofErr w:type="spellEnd"/>
            <w:r w:rsidRPr="002C3B84">
              <w:rPr>
                <w:rFonts w:ascii="Arial" w:hAnsi="Arial" w:cs="Arial"/>
                <w:b/>
                <w:sz w:val="15"/>
                <w:szCs w:val="15"/>
              </w:rPr>
              <w:t>*</w:t>
            </w:r>
          </w:p>
        </w:tc>
        <w:tc>
          <w:tcPr>
            <w:tcW w:w="1302" w:type="dxa"/>
            <w:vAlign w:val="center"/>
          </w:tcPr>
          <w:p w14:paraId="003CC08C" w14:textId="77777777" w:rsidR="005854D8" w:rsidRPr="002C3B84" w:rsidRDefault="005854D8" w:rsidP="00AF46A0">
            <w:pPr>
              <w:spacing w:after="0"/>
              <w:rPr>
                <w:rFonts w:ascii="Arial" w:hAnsi="Arial" w:cs="Arial"/>
                <w:b/>
                <w:sz w:val="15"/>
                <w:szCs w:val="15"/>
              </w:rPr>
            </w:pPr>
            <w:proofErr w:type="spellStart"/>
            <w:r w:rsidRPr="002C3B84">
              <w:rPr>
                <w:rFonts w:ascii="Arial" w:hAnsi="Arial" w:cs="Arial"/>
                <w:b/>
                <w:sz w:val="15"/>
                <w:szCs w:val="15"/>
              </w:rPr>
              <w:t>Secukinumab</w:t>
            </w:r>
            <w:proofErr w:type="spellEnd"/>
          </w:p>
          <w:p w14:paraId="35B35C81" w14:textId="77777777" w:rsidR="005854D8" w:rsidRPr="002C3B84" w:rsidRDefault="005854D8" w:rsidP="00AF46A0">
            <w:pPr>
              <w:spacing w:after="0"/>
              <w:rPr>
                <w:rFonts w:ascii="Arial" w:hAnsi="Arial" w:cs="Arial"/>
                <w:b/>
                <w:sz w:val="15"/>
                <w:szCs w:val="15"/>
              </w:rPr>
            </w:pPr>
            <w:r w:rsidRPr="002C3B84">
              <w:rPr>
                <w:rFonts w:ascii="Arial" w:hAnsi="Arial" w:cs="Arial"/>
                <w:b/>
                <w:sz w:val="15"/>
                <w:szCs w:val="15"/>
              </w:rPr>
              <w:t>300 mg</w:t>
            </w:r>
          </w:p>
        </w:tc>
        <w:tc>
          <w:tcPr>
            <w:tcW w:w="1302" w:type="dxa"/>
            <w:vAlign w:val="center"/>
          </w:tcPr>
          <w:p w14:paraId="3CF089B2" w14:textId="77777777" w:rsidR="005854D8" w:rsidRPr="002C3B84" w:rsidRDefault="005854D8" w:rsidP="00AF46A0">
            <w:pPr>
              <w:spacing w:after="0"/>
              <w:rPr>
                <w:rFonts w:ascii="Arial" w:hAnsi="Arial" w:cs="Arial"/>
                <w:b/>
                <w:sz w:val="15"/>
                <w:szCs w:val="15"/>
              </w:rPr>
            </w:pPr>
            <w:proofErr w:type="spellStart"/>
            <w:r w:rsidRPr="002C3B84">
              <w:rPr>
                <w:rFonts w:ascii="Arial" w:hAnsi="Arial" w:cs="Arial"/>
                <w:b/>
                <w:sz w:val="15"/>
                <w:szCs w:val="15"/>
              </w:rPr>
              <w:t>Ustekinumab</w:t>
            </w:r>
            <w:proofErr w:type="spellEnd"/>
            <w:r w:rsidRPr="002C3B84">
              <w:rPr>
                <w:rFonts w:ascii="Arial" w:hAnsi="Arial" w:cs="Arial"/>
                <w:b/>
                <w:sz w:val="15"/>
                <w:szCs w:val="15"/>
              </w:rPr>
              <w:t>*</w:t>
            </w:r>
          </w:p>
        </w:tc>
        <w:tc>
          <w:tcPr>
            <w:tcW w:w="1302" w:type="dxa"/>
            <w:vAlign w:val="center"/>
          </w:tcPr>
          <w:p w14:paraId="72DF48CE" w14:textId="77777777" w:rsidR="005854D8" w:rsidRPr="002C3B84" w:rsidRDefault="005854D8" w:rsidP="00AF46A0">
            <w:pPr>
              <w:spacing w:after="0"/>
              <w:rPr>
                <w:rFonts w:ascii="Arial" w:hAnsi="Arial" w:cs="Arial"/>
                <w:b/>
                <w:sz w:val="15"/>
                <w:szCs w:val="15"/>
              </w:rPr>
            </w:pPr>
            <w:proofErr w:type="spellStart"/>
            <w:r w:rsidRPr="002C3B84">
              <w:rPr>
                <w:rFonts w:ascii="Arial" w:hAnsi="Arial" w:cs="Arial"/>
                <w:b/>
                <w:sz w:val="15"/>
                <w:szCs w:val="15"/>
              </w:rPr>
              <w:t>Secukinumab</w:t>
            </w:r>
            <w:proofErr w:type="spellEnd"/>
            <w:r w:rsidRPr="002C3B84">
              <w:rPr>
                <w:rFonts w:ascii="Arial" w:hAnsi="Arial" w:cs="Arial"/>
                <w:b/>
                <w:sz w:val="15"/>
                <w:szCs w:val="15"/>
              </w:rPr>
              <w:t xml:space="preserve"> 300 mg</w:t>
            </w:r>
          </w:p>
        </w:tc>
        <w:tc>
          <w:tcPr>
            <w:tcW w:w="1302" w:type="dxa"/>
            <w:vAlign w:val="center"/>
          </w:tcPr>
          <w:p w14:paraId="7AF8EA30" w14:textId="77777777" w:rsidR="005854D8" w:rsidRPr="002C3B84" w:rsidRDefault="005854D8" w:rsidP="00AF46A0">
            <w:pPr>
              <w:spacing w:after="0"/>
              <w:rPr>
                <w:rFonts w:ascii="Arial" w:hAnsi="Arial" w:cs="Arial"/>
                <w:b/>
                <w:sz w:val="15"/>
                <w:szCs w:val="15"/>
              </w:rPr>
            </w:pPr>
            <w:proofErr w:type="spellStart"/>
            <w:r w:rsidRPr="002C3B84">
              <w:rPr>
                <w:rFonts w:ascii="Arial" w:hAnsi="Arial" w:cs="Arial"/>
                <w:b/>
                <w:sz w:val="15"/>
                <w:szCs w:val="15"/>
              </w:rPr>
              <w:t>Ustekinumab</w:t>
            </w:r>
            <w:proofErr w:type="spellEnd"/>
            <w:r w:rsidRPr="002C3B84">
              <w:rPr>
                <w:rFonts w:ascii="Arial" w:hAnsi="Arial" w:cs="Arial"/>
                <w:b/>
                <w:sz w:val="15"/>
                <w:szCs w:val="15"/>
              </w:rPr>
              <w:t>*</w:t>
            </w:r>
          </w:p>
        </w:tc>
      </w:tr>
      <w:tr w:rsidR="00F62A4F" w:rsidRPr="002C3B84" w14:paraId="79AE8169" w14:textId="77777777" w:rsidTr="00D834B1">
        <w:tc>
          <w:tcPr>
            <w:tcW w:w="1432" w:type="dxa"/>
            <w:vAlign w:val="center"/>
          </w:tcPr>
          <w:p w14:paraId="5823F5A3" w14:textId="77777777" w:rsidR="00F62A4F" w:rsidRPr="002D07A3" w:rsidRDefault="00F62A4F" w:rsidP="00AF46A0">
            <w:pPr>
              <w:ind w:left="-54"/>
              <w:rPr>
                <w:rFonts w:ascii="Arial" w:hAnsi="Arial" w:cs="Arial"/>
                <w:sz w:val="16"/>
                <w:szCs w:val="15"/>
              </w:rPr>
            </w:pPr>
            <w:r w:rsidRPr="002D07A3">
              <w:rPr>
                <w:rFonts w:ascii="Arial" w:hAnsi="Arial" w:cs="Arial"/>
                <w:sz w:val="16"/>
                <w:szCs w:val="15"/>
              </w:rPr>
              <w:t>Number of patients</w:t>
            </w:r>
          </w:p>
        </w:tc>
        <w:tc>
          <w:tcPr>
            <w:tcW w:w="1301" w:type="dxa"/>
            <w:vAlign w:val="center"/>
          </w:tcPr>
          <w:p w14:paraId="76934461" w14:textId="77777777" w:rsidR="00F62A4F" w:rsidRPr="002D07A3" w:rsidRDefault="00F62A4F" w:rsidP="00AF46A0">
            <w:pPr>
              <w:rPr>
                <w:rFonts w:ascii="Arial" w:hAnsi="Arial" w:cs="Arial"/>
                <w:sz w:val="16"/>
                <w:szCs w:val="15"/>
              </w:rPr>
            </w:pPr>
            <w:r w:rsidRPr="002D07A3">
              <w:rPr>
                <w:rFonts w:ascii="Arial" w:hAnsi="Arial" w:cs="Arial"/>
                <w:sz w:val="16"/>
                <w:szCs w:val="15"/>
              </w:rPr>
              <w:t>334</w:t>
            </w:r>
          </w:p>
        </w:tc>
        <w:tc>
          <w:tcPr>
            <w:tcW w:w="1302" w:type="dxa"/>
            <w:vAlign w:val="center"/>
          </w:tcPr>
          <w:p w14:paraId="0AB33919" w14:textId="77777777" w:rsidR="00F62A4F" w:rsidRPr="002D07A3" w:rsidRDefault="00F62A4F" w:rsidP="00AF46A0">
            <w:pPr>
              <w:rPr>
                <w:rFonts w:ascii="Arial" w:hAnsi="Arial" w:cs="Arial"/>
                <w:sz w:val="16"/>
                <w:szCs w:val="15"/>
              </w:rPr>
            </w:pPr>
            <w:r w:rsidRPr="002D07A3">
              <w:rPr>
                <w:rFonts w:ascii="Arial" w:hAnsi="Arial" w:cs="Arial"/>
                <w:sz w:val="16"/>
                <w:szCs w:val="15"/>
              </w:rPr>
              <w:t>335</w:t>
            </w:r>
          </w:p>
        </w:tc>
        <w:tc>
          <w:tcPr>
            <w:tcW w:w="1302" w:type="dxa"/>
            <w:vAlign w:val="center"/>
          </w:tcPr>
          <w:p w14:paraId="18A2314D" w14:textId="77777777" w:rsidR="00F62A4F" w:rsidRPr="002D07A3" w:rsidRDefault="00F62A4F" w:rsidP="00AF46A0">
            <w:pPr>
              <w:rPr>
                <w:rFonts w:ascii="Arial" w:hAnsi="Arial" w:cs="Arial"/>
                <w:sz w:val="16"/>
                <w:szCs w:val="15"/>
              </w:rPr>
            </w:pPr>
            <w:r w:rsidRPr="002D07A3">
              <w:rPr>
                <w:rFonts w:ascii="Arial" w:hAnsi="Arial" w:cs="Arial"/>
                <w:sz w:val="16"/>
                <w:szCs w:val="15"/>
              </w:rPr>
              <w:t>334</w:t>
            </w:r>
          </w:p>
        </w:tc>
        <w:tc>
          <w:tcPr>
            <w:tcW w:w="1302" w:type="dxa"/>
            <w:vAlign w:val="center"/>
          </w:tcPr>
          <w:p w14:paraId="214A19D0" w14:textId="77777777" w:rsidR="00F62A4F" w:rsidRPr="002D07A3" w:rsidRDefault="00F62A4F" w:rsidP="00AF46A0">
            <w:pPr>
              <w:rPr>
                <w:rFonts w:ascii="Arial" w:hAnsi="Arial" w:cs="Arial"/>
                <w:sz w:val="16"/>
                <w:szCs w:val="15"/>
              </w:rPr>
            </w:pPr>
            <w:r w:rsidRPr="002D07A3">
              <w:rPr>
                <w:rFonts w:ascii="Arial" w:hAnsi="Arial" w:cs="Arial"/>
                <w:sz w:val="16"/>
                <w:szCs w:val="15"/>
              </w:rPr>
              <w:t>335</w:t>
            </w:r>
          </w:p>
        </w:tc>
        <w:tc>
          <w:tcPr>
            <w:tcW w:w="1302" w:type="dxa"/>
            <w:vAlign w:val="center"/>
          </w:tcPr>
          <w:p w14:paraId="32CCF4F0" w14:textId="77777777" w:rsidR="00F62A4F" w:rsidRPr="002D07A3" w:rsidRDefault="00F62A4F" w:rsidP="00AF46A0">
            <w:pPr>
              <w:rPr>
                <w:rFonts w:ascii="Arial" w:hAnsi="Arial" w:cs="Arial"/>
                <w:sz w:val="16"/>
                <w:szCs w:val="15"/>
              </w:rPr>
            </w:pPr>
            <w:r w:rsidRPr="002D07A3">
              <w:rPr>
                <w:rFonts w:ascii="Arial" w:hAnsi="Arial" w:cs="Arial"/>
                <w:sz w:val="16"/>
                <w:szCs w:val="15"/>
              </w:rPr>
              <w:t>334</w:t>
            </w:r>
          </w:p>
        </w:tc>
        <w:tc>
          <w:tcPr>
            <w:tcW w:w="1302" w:type="dxa"/>
            <w:vAlign w:val="center"/>
          </w:tcPr>
          <w:p w14:paraId="7BDD73C0" w14:textId="77777777" w:rsidR="00F62A4F" w:rsidRPr="002D07A3" w:rsidRDefault="00F62A4F" w:rsidP="00AF46A0">
            <w:pPr>
              <w:rPr>
                <w:rFonts w:ascii="Arial" w:hAnsi="Arial" w:cs="Arial"/>
                <w:sz w:val="16"/>
                <w:szCs w:val="15"/>
              </w:rPr>
            </w:pPr>
            <w:r w:rsidRPr="002D07A3">
              <w:rPr>
                <w:rFonts w:ascii="Arial" w:hAnsi="Arial" w:cs="Arial"/>
                <w:sz w:val="16"/>
                <w:szCs w:val="15"/>
              </w:rPr>
              <w:t>335</w:t>
            </w:r>
          </w:p>
        </w:tc>
      </w:tr>
      <w:tr w:rsidR="00F62A4F" w:rsidRPr="002C3B84" w14:paraId="66D859F5" w14:textId="77777777" w:rsidTr="00D834B1">
        <w:tc>
          <w:tcPr>
            <w:tcW w:w="1432" w:type="dxa"/>
            <w:vAlign w:val="center"/>
          </w:tcPr>
          <w:p w14:paraId="36A7924E" w14:textId="77777777" w:rsidR="00F62A4F" w:rsidRPr="002D07A3" w:rsidRDefault="00F62A4F" w:rsidP="00AF46A0">
            <w:pPr>
              <w:ind w:left="-54"/>
              <w:rPr>
                <w:rFonts w:ascii="Arial" w:hAnsi="Arial" w:cs="Arial"/>
                <w:sz w:val="16"/>
                <w:szCs w:val="15"/>
              </w:rPr>
            </w:pPr>
            <w:r w:rsidRPr="002D07A3">
              <w:rPr>
                <w:rFonts w:ascii="Arial" w:hAnsi="Arial" w:cs="Arial"/>
                <w:sz w:val="16"/>
                <w:szCs w:val="15"/>
              </w:rPr>
              <w:t>PASI 75 response n (%)</w:t>
            </w:r>
          </w:p>
        </w:tc>
        <w:tc>
          <w:tcPr>
            <w:tcW w:w="1301" w:type="dxa"/>
            <w:vAlign w:val="center"/>
          </w:tcPr>
          <w:p w14:paraId="55A4893C" w14:textId="77777777" w:rsidR="00F62A4F" w:rsidRPr="002D07A3" w:rsidRDefault="00F62A4F" w:rsidP="00AF46A0">
            <w:pPr>
              <w:rPr>
                <w:rFonts w:ascii="Arial" w:hAnsi="Arial" w:cs="Arial"/>
                <w:sz w:val="16"/>
                <w:szCs w:val="15"/>
              </w:rPr>
            </w:pPr>
            <w:r w:rsidRPr="002D07A3">
              <w:rPr>
                <w:rFonts w:ascii="Arial" w:hAnsi="Arial" w:cs="Arial"/>
                <w:sz w:val="16"/>
                <w:szCs w:val="15"/>
              </w:rPr>
              <w:t>167 (50.0%)**</w:t>
            </w:r>
          </w:p>
        </w:tc>
        <w:tc>
          <w:tcPr>
            <w:tcW w:w="1302" w:type="dxa"/>
            <w:vAlign w:val="center"/>
          </w:tcPr>
          <w:p w14:paraId="2431A6E7" w14:textId="77777777" w:rsidR="00F62A4F" w:rsidRPr="002D07A3" w:rsidRDefault="00F62A4F" w:rsidP="00AF46A0">
            <w:pPr>
              <w:rPr>
                <w:rFonts w:ascii="Arial" w:hAnsi="Arial" w:cs="Arial"/>
                <w:sz w:val="16"/>
                <w:szCs w:val="15"/>
              </w:rPr>
            </w:pPr>
            <w:r w:rsidRPr="002D07A3">
              <w:rPr>
                <w:rFonts w:ascii="Arial" w:hAnsi="Arial" w:cs="Arial"/>
                <w:sz w:val="16"/>
                <w:szCs w:val="15"/>
              </w:rPr>
              <w:t>69 (20.6%)</w:t>
            </w:r>
          </w:p>
        </w:tc>
        <w:tc>
          <w:tcPr>
            <w:tcW w:w="1302" w:type="dxa"/>
            <w:vAlign w:val="center"/>
          </w:tcPr>
          <w:p w14:paraId="1FDCB92C" w14:textId="77777777" w:rsidR="00F62A4F" w:rsidRPr="002D07A3" w:rsidRDefault="00F62A4F" w:rsidP="00AF46A0">
            <w:pPr>
              <w:rPr>
                <w:rFonts w:ascii="Arial" w:hAnsi="Arial" w:cs="Arial"/>
                <w:sz w:val="16"/>
                <w:szCs w:val="15"/>
              </w:rPr>
            </w:pPr>
            <w:r w:rsidRPr="002D07A3">
              <w:rPr>
                <w:rFonts w:ascii="Arial" w:hAnsi="Arial" w:cs="Arial"/>
                <w:sz w:val="16"/>
                <w:szCs w:val="15"/>
              </w:rPr>
              <w:t>311 (93.1%)</w:t>
            </w:r>
          </w:p>
        </w:tc>
        <w:tc>
          <w:tcPr>
            <w:tcW w:w="1302" w:type="dxa"/>
            <w:vAlign w:val="center"/>
          </w:tcPr>
          <w:p w14:paraId="71B88ADF" w14:textId="77777777" w:rsidR="00F62A4F" w:rsidRPr="002D07A3" w:rsidRDefault="00F62A4F" w:rsidP="00AF46A0">
            <w:pPr>
              <w:rPr>
                <w:rFonts w:ascii="Arial" w:hAnsi="Arial" w:cs="Arial"/>
                <w:sz w:val="16"/>
                <w:szCs w:val="15"/>
              </w:rPr>
            </w:pPr>
            <w:r w:rsidRPr="002D07A3">
              <w:rPr>
                <w:rFonts w:ascii="Arial" w:hAnsi="Arial" w:cs="Arial"/>
                <w:sz w:val="16"/>
                <w:szCs w:val="15"/>
              </w:rPr>
              <w:t>277 (82.7%)</w:t>
            </w:r>
          </w:p>
        </w:tc>
        <w:tc>
          <w:tcPr>
            <w:tcW w:w="1302" w:type="dxa"/>
            <w:vAlign w:val="center"/>
          </w:tcPr>
          <w:p w14:paraId="4FB48E90" w14:textId="77777777" w:rsidR="00F62A4F" w:rsidRPr="002D07A3" w:rsidRDefault="00F62A4F" w:rsidP="00AF46A0">
            <w:pPr>
              <w:rPr>
                <w:rFonts w:ascii="Arial" w:hAnsi="Arial" w:cs="Arial"/>
                <w:sz w:val="16"/>
                <w:szCs w:val="15"/>
              </w:rPr>
            </w:pPr>
            <w:r w:rsidRPr="002D07A3">
              <w:rPr>
                <w:rFonts w:ascii="Arial" w:hAnsi="Arial" w:cs="Arial"/>
                <w:sz w:val="16"/>
                <w:szCs w:val="15"/>
              </w:rPr>
              <w:t>306 (91.6%)</w:t>
            </w:r>
          </w:p>
        </w:tc>
        <w:tc>
          <w:tcPr>
            <w:tcW w:w="1302" w:type="dxa"/>
            <w:vAlign w:val="center"/>
          </w:tcPr>
          <w:p w14:paraId="5CCE0666" w14:textId="77777777" w:rsidR="00F62A4F" w:rsidRPr="002D07A3" w:rsidRDefault="00F62A4F" w:rsidP="00AF46A0">
            <w:pPr>
              <w:rPr>
                <w:rFonts w:ascii="Arial" w:hAnsi="Arial" w:cs="Arial"/>
                <w:sz w:val="16"/>
                <w:szCs w:val="15"/>
              </w:rPr>
            </w:pPr>
            <w:r w:rsidRPr="002D07A3">
              <w:rPr>
                <w:rFonts w:ascii="Arial" w:hAnsi="Arial" w:cs="Arial"/>
                <w:sz w:val="16"/>
                <w:szCs w:val="15"/>
              </w:rPr>
              <w:t>262 (78.2%)</w:t>
            </w:r>
          </w:p>
        </w:tc>
      </w:tr>
      <w:tr w:rsidR="00F62A4F" w:rsidRPr="002C3B84" w14:paraId="7EDC79FA" w14:textId="77777777" w:rsidTr="00D834B1">
        <w:tc>
          <w:tcPr>
            <w:tcW w:w="1432" w:type="dxa"/>
            <w:vAlign w:val="center"/>
          </w:tcPr>
          <w:p w14:paraId="15000338" w14:textId="77777777" w:rsidR="00F62A4F" w:rsidRPr="002D07A3" w:rsidRDefault="00F62A4F" w:rsidP="00AF46A0">
            <w:pPr>
              <w:ind w:left="-54"/>
              <w:rPr>
                <w:rFonts w:ascii="Arial" w:hAnsi="Arial" w:cs="Arial"/>
                <w:sz w:val="16"/>
                <w:szCs w:val="15"/>
              </w:rPr>
            </w:pPr>
            <w:r w:rsidRPr="002D07A3">
              <w:rPr>
                <w:rFonts w:ascii="Arial" w:hAnsi="Arial" w:cs="Arial"/>
                <w:sz w:val="16"/>
                <w:szCs w:val="15"/>
              </w:rPr>
              <w:t>PASI 90 response n (%)</w:t>
            </w:r>
          </w:p>
        </w:tc>
        <w:tc>
          <w:tcPr>
            <w:tcW w:w="1301" w:type="dxa"/>
            <w:vAlign w:val="center"/>
          </w:tcPr>
          <w:p w14:paraId="3C882E72" w14:textId="77777777" w:rsidR="00F62A4F" w:rsidRPr="002D07A3" w:rsidRDefault="00F62A4F" w:rsidP="00AF46A0">
            <w:pPr>
              <w:rPr>
                <w:rFonts w:ascii="Arial" w:hAnsi="Arial" w:cs="Arial"/>
                <w:sz w:val="16"/>
                <w:szCs w:val="15"/>
              </w:rPr>
            </w:pPr>
            <w:r w:rsidRPr="002D07A3">
              <w:rPr>
                <w:rFonts w:ascii="Arial" w:hAnsi="Arial" w:cs="Arial"/>
                <w:sz w:val="16"/>
                <w:szCs w:val="15"/>
              </w:rPr>
              <w:t>70 (21.0%)</w:t>
            </w:r>
          </w:p>
        </w:tc>
        <w:tc>
          <w:tcPr>
            <w:tcW w:w="1302" w:type="dxa"/>
            <w:vAlign w:val="center"/>
          </w:tcPr>
          <w:p w14:paraId="4F6AA09B" w14:textId="77777777" w:rsidR="00F62A4F" w:rsidRPr="002D07A3" w:rsidRDefault="00F62A4F" w:rsidP="00AF46A0">
            <w:pPr>
              <w:rPr>
                <w:rFonts w:ascii="Arial" w:hAnsi="Arial" w:cs="Arial"/>
                <w:sz w:val="16"/>
                <w:szCs w:val="15"/>
              </w:rPr>
            </w:pPr>
            <w:r w:rsidRPr="002D07A3">
              <w:rPr>
                <w:rFonts w:ascii="Arial" w:hAnsi="Arial" w:cs="Arial"/>
                <w:sz w:val="16"/>
                <w:szCs w:val="15"/>
              </w:rPr>
              <w:t>18 (5.4%)</w:t>
            </w:r>
          </w:p>
        </w:tc>
        <w:tc>
          <w:tcPr>
            <w:tcW w:w="1302" w:type="dxa"/>
            <w:vAlign w:val="center"/>
          </w:tcPr>
          <w:p w14:paraId="48A0484E" w14:textId="77777777" w:rsidR="00F62A4F" w:rsidRPr="002D07A3" w:rsidRDefault="00F62A4F" w:rsidP="00AF46A0">
            <w:pPr>
              <w:rPr>
                <w:rFonts w:ascii="Arial" w:hAnsi="Arial" w:cs="Arial"/>
                <w:sz w:val="16"/>
                <w:szCs w:val="15"/>
              </w:rPr>
            </w:pPr>
            <w:r w:rsidRPr="002D07A3">
              <w:rPr>
                <w:rFonts w:ascii="Arial" w:hAnsi="Arial" w:cs="Arial"/>
                <w:sz w:val="16"/>
                <w:szCs w:val="15"/>
              </w:rPr>
              <w:t>264 (79.0%)**</w:t>
            </w:r>
          </w:p>
        </w:tc>
        <w:tc>
          <w:tcPr>
            <w:tcW w:w="1302" w:type="dxa"/>
            <w:vAlign w:val="center"/>
          </w:tcPr>
          <w:p w14:paraId="4802A4B0" w14:textId="77777777" w:rsidR="00F62A4F" w:rsidRPr="002D07A3" w:rsidRDefault="00F62A4F" w:rsidP="00AF46A0">
            <w:pPr>
              <w:rPr>
                <w:rFonts w:ascii="Arial" w:hAnsi="Arial" w:cs="Arial"/>
                <w:sz w:val="16"/>
                <w:szCs w:val="15"/>
              </w:rPr>
            </w:pPr>
            <w:r w:rsidRPr="002D07A3">
              <w:rPr>
                <w:rFonts w:ascii="Arial" w:hAnsi="Arial" w:cs="Arial"/>
                <w:sz w:val="16"/>
                <w:szCs w:val="15"/>
              </w:rPr>
              <w:t>193 (57.6%)</w:t>
            </w:r>
          </w:p>
        </w:tc>
        <w:tc>
          <w:tcPr>
            <w:tcW w:w="1302" w:type="dxa"/>
            <w:vAlign w:val="center"/>
          </w:tcPr>
          <w:p w14:paraId="2874D14D" w14:textId="77777777" w:rsidR="00F62A4F" w:rsidRPr="002D07A3" w:rsidRDefault="00F62A4F" w:rsidP="00AF46A0">
            <w:pPr>
              <w:tabs>
                <w:tab w:val="left" w:pos="1019"/>
              </w:tabs>
              <w:rPr>
                <w:rFonts w:ascii="Arial" w:hAnsi="Arial" w:cs="Arial"/>
                <w:sz w:val="16"/>
                <w:szCs w:val="15"/>
              </w:rPr>
            </w:pPr>
            <w:r w:rsidRPr="002D07A3">
              <w:rPr>
                <w:rFonts w:ascii="Arial" w:hAnsi="Arial" w:cs="Arial"/>
                <w:sz w:val="16"/>
                <w:szCs w:val="15"/>
              </w:rPr>
              <w:t>250 (74.9%)***</w:t>
            </w:r>
          </w:p>
        </w:tc>
        <w:tc>
          <w:tcPr>
            <w:tcW w:w="1302" w:type="dxa"/>
            <w:vAlign w:val="center"/>
          </w:tcPr>
          <w:p w14:paraId="248E36E3" w14:textId="77777777" w:rsidR="00F62A4F" w:rsidRPr="002D07A3" w:rsidRDefault="00F62A4F" w:rsidP="00AF46A0">
            <w:pPr>
              <w:rPr>
                <w:rFonts w:ascii="Arial" w:hAnsi="Arial" w:cs="Arial"/>
                <w:sz w:val="16"/>
                <w:szCs w:val="15"/>
              </w:rPr>
            </w:pPr>
            <w:r w:rsidRPr="002D07A3">
              <w:rPr>
                <w:rFonts w:ascii="Arial" w:hAnsi="Arial" w:cs="Arial"/>
                <w:sz w:val="16"/>
                <w:szCs w:val="15"/>
              </w:rPr>
              <w:t>203 (60.6%)</w:t>
            </w:r>
          </w:p>
        </w:tc>
      </w:tr>
      <w:tr w:rsidR="00F62A4F" w:rsidRPr="002C3B84" w14:paraId="38EFF0CF" w14:textId="77777777" w:rsidTr="00D834B1">
        <w:tc>
          <w:tcPr>
            <w:tcW w:w="1432" w:type="dxa"/>
            <w:vAlign w:val="center"/>
          </w:tcPr>
          <w:p w14:paraId="6B407204" w14:textId="77777777" w:rsidR="00F62A4F" w:rsidRPr="002D07A3" w:rsidRDefault="00F62A4F" w:rsidP="00AF46A0">
            <w:pPr>
              <w:ind w:left="-54"/>
              <w:rPr>
                <w:rFonts w:ascii="Arial" w:hAnsi="Arial" w:cs="Arial"/>
                <w:sz w:val="16"/>
                <w:szCs w:val="15"/>
              </w:rPr>
            </w:pPr>
            <w:r w:rsidRPr="002D07A3">
              <w:rPr>
                <w:rFonts w:ascii="Arial" w:hAnsi="Arial" w:cs="Arial"/>
                <w:sz w:val="16"/>
                <w:szCs w:val="15"/>
              </w:rPr>
              <w:t>PASI 100 response n (%)</w:t>
            </w:r>
          </w:p>
        </w:tc>
        <w:tc>
          <w:tcPr>
            <w:tcW w:w="1301" w:type="dxa"/>
            <w:vAlign w:val="center"/>
          </w:tcPr>
          <w:p w14:paraId="2262E995" w14:textId="77777777" w:rsidR="00F62A4F" w:rsidRPr="002D07A3" w:rsidRDefault="00F62A4F" w:rsidP="00AF46A0">
            <w:pPr>
              <w:rPr>
                <w:rFonts w:ascii="Arial" w:hAnsi="Arial" w:cs="Arial"/>
                <w:sz w:val="16"/>
                <w:szCs w:val="15"/>
              </w:rPr>
            </w:pPr>
            <w:r w:rsidRPr="002D07A3">
              <w:rPr>
                <w:rFonts w:ascii="Arial" w:hAnsi="Arial" w:cs="Arial"/>
                <w:sz w:val="16"/>
                <w:szCs w:val="15"/>
              </w:rPr>
              <w:t>14 (4.2%)</w:t>
            </w:r>
          </w:p>
        </w:tc>
        <w:tc>
          <w:tcPr>
            <w:tcW w:w="1302" w:type="dxa"/>
            <w:vAlign w:val="center"/>
          </w:tcPr>
          <w:p w14:paraId="47A7C2C9" w14:textId="77777777" w:rsidR="00F62A4F" w:rsidRPr="002D07A3" w:rsidRDefault="00F62A4F" w:rsidP="00AF46A0">
            <w:pPr>
              <w:rPr>
                <w:rFonts w:ascii="Arial" w:hAnsi="Arial" w:cs="Arial"/>
                <w:sz w:val="16"/>
                <w:szCs w:val="15"/>
              </w:rPr>
            </w:pPr>
            <w:r w:rsidRPr="002D07A3">
              <w:rPr>
                <w:rFonts w:ascii="Arial" w:hAnsi="Arial" w:cs="Arial"/>
                <w:sz w:val="16"/>
                <w:szCs w:val="15"/>
              </w:rPr>
              <w:t>3 (0.9%)</w:t>
            </w:r>
          </w:p>
        </w:tc>
        <w:tc>
          <w:tcPr>
            <w:tcW w:w="1302" w:type="dxa"/>
            <w:vAlign w:val="center"/>
          </w:tcPr>
          <w:p w14:paraId="09E861B4" w14:textId="77777777" w:rsidR="00F62A4F" w:rsidRPr="002D07A3" w:rsidRDefault="00F62A4F" w:rsidP="00AF46A0">
            <w:pPr>
              <w:rPr>
                <w:rFonts w:ascii="Arial" w:hAnsi="Arial" w:cs="Arial"/>
                <w:sz w:val="16"/>
                <w:szCs w:val="15"/>
              </w:rPr>
            </w:pPr>
            <w:r w:rsidRPr="002D07A3">
              <w:rPr>
                <w:rFonts w:ascii="Arial" w:hAnsi="Arial" w:cs="Arial"/>
                <w:sz w:val="16"/>
                <w:szCs w:val="15"/>
              </w:rPr>
              <w:t>148 (44.3%)</w:t>
            </w:r>
          </w:p>
        </w:tc>
        <w:tc>
          <w:tcPr>
            <w:tcW w:w="1302" w:type="dxa"/>
            <w:vAlign w:val="center"/>
          </w:tcPr>
          <w:p w14:paraId="32F8F136" w14:textId="77777777" w:rsidR="00F62A4F" w:rsidRPr="002D07A3" w:rsidRDefault="00F62A4F" w:rsidP="00AF46A0">
            <w:pPr>
              <w:rPr>
                <w:rFonts w:ascii="Arial" w:hAnsi="Arial" w:cs="Arial"/>
                <w:sz w:val="16"/>
                <w:szCs w:val="15"/>
              </w:rPr>
            </w:pPr>
            <w:r w:rsidRPr="002D07A3">
              <w:rPr>
                <w:rFonts w:ascii="Arial" w:hAnsi="Arial" w:cs="Arial"/>
                <w:sz w:val="16"/>
                <w:szCs w:val="15"/>
              </w:rPr>
              <w:t>95 (28.4%)</w:t>
            </w:r>
          </w:p>
        </w:tc>
        <w:tc>
          <w:tcPr>
            <w:tcW w:w="1302" w:type="dxa"/>
            <w:vAlign w:val="center"/>
          </w:tcPr>
          <w:p w14:paraId="134A6EA6" w14:textId="77777777" w:rsidR="00F62A4F" w:rsidRPr="002D07A3" w:rsidRDefault="00F62A4F" w:rsidP="00AF46A0">
            <w:pPr>
              <w:rPr>
                <w:rFonts w:ascii="Arial" w:hAnsi="Arial" w:cs="Arial"/>
                <w:sz w:val="16"/>
                <w:szCs w:val="15"/>
              </w:rPr>
            </w:pPr>
            <w:r w:rsidRPr="002D07A3">
              <w:rPr>
                <w:rFonts w:ascii="Arial" w:hAnsi="Arial" w:cs="Arial"/>
                <w:sz w:val="16"/>
                <w:szCs w:val="15"/>
              </w:rPr>
              <w:t>150 (44.9%)</w:t>
            </w:r>
          </w:p>
        </w:tc>
        <w:tc>
          <w:tcPr>
            <w:tcW w:w="1302" w:type="dxa"/>
            <w:vAlign w:val="center"/>
          </w:tcPr>
          <w:p w14:paraId="29839B77" w14:textId="77777777" w:rsidR="00F62A4F" w:rsidRPr="002D07A3" w:rsidRDefault="00F62A4F" w:rsidP="00AF46A0">
            <w:pPr>
              <w:rPr>
                <w:rFonts w:ascii="Arial" w:hAnsi="Arial" w:cs="Arial"/>
                <w:sz w:val="16"/>
                <w:szCs w:val="15"/>
              </w:rPr>
            </w:pPr>
            <w:r w:rsidRPr="002D07A3">
              <w:rPr>
                <w:rFonts w:ascii="Arial" w:hAnsi="Arial" w:cs="Arial"/>
                <w:sz w:val="16"/>
                <w:szCs w:val="15"/>
              </w:rPr>
              <w:t>123 (36.7%)</w:t>
            </w:r>
          </w:p>
        </w:tc>
      </w:tr>
      <w:tr w:rsidR="00F62A4F" w:rsidRPr="002C3B84" w14:paraId="655FDB9A" w14:textId="77777777" w:rsidTr="00D834B1">
        <w:tc>
          <w:tcPr>
            <w:tcW w:w="1432" w:type="dxa"/>
            <w:tcBorders>
              <w:bottom w:val="single" w:sz="4" w:space="0" w:color="auto"/>
            </w:tcBorders>
            <w:vAlign w:val="center"/>
          </w:tcPr>
          <w:p w14:paraId="67F60119" w14:textId="77777777" w:rsidR="00F62A4F" w:rsidRPr="002D07A3" w:rsidRDefault="00F62A4F" w:rsidP="00AF46A0">
            <w:pPr>
              <w:ind w:left="-54"/>
              <w:rPr>
                <w:rFonts w:ascii="Arial" w:hAnsi="Arial" w:cs="Arial"/>
                <w:sz w:val="16"/>
                <w:szCs w:val="15"/>
              </w:rPr>
            </w:pPr>
            <w:r w:rsidRPr="002D07A3">
              <w:rPr>
                <w:rFonts w:ascii="Arial" w:hAnsi="Arial" w:cs="Arial"/>
                <w:sz w:val="16"/>
                <w:szCs w:val="15"/>
              </w:rPr>
              <w:t>IGA mod 2011 “clear” or “almost clear” response n (%)</w:t>
            </w:r>
          </w:p>
        </w:tc>
        <w:tc>
          <w:tcPr>
            <w:tcW w:w="1301" w:type="dxa"/>
            <w:tcBorders>
              <w:bottom w:val="single" w:sz="4" w:space="0" w:color="auto"/>
            </w:tcBorders>
            <w:vAlign w:val="center"/>
          </w:tcPr>
          <w:p w14:paraId="63951C5B" w14:textId="77777777" w:rsidR="00F62A4F" w:rsidRPr="002D07A3" w:rsidRDefault="00F62A4F" w:rsidP="00AF46A0">
            <w:pPr>
              <w:rPr>
                <w:rFonts w:ascii="Arial" w:hAnsi="Arial" w:cs="Arial"/>
                <w:sz w:val="16"/>
                <w:szCs w:val="15"/>
              </w:rPr>
            </w:pPr>
            <w:r w:rsidRPr="002D07A3">
              <w:rPr>
                <w:rFonts w:ascii="Arial" w:hAnsi="Arial" w:cs="Arial"/>
                <w:sz w:val="16"/>
                <w:szCs w:val="15"/>
              </w:rPr>
              <w:t>126 (37.7%)</w:t>
            </w:r>
          </w:p>
        </w:tc>
        <w:tc>
          <w:tcPr>
            <w:tcW w:w="1302" w:type="dxa"/>
            <w:tcBorders>
              <w:bottom w:val="single" w:sz="4" w:space="0" w:color="auto"/>
            </w:tcBorders>
            <w:vAlign w:val="center"/>
          </w:tcPr>
          <w:p w14:paraId="6A6DCE0F" w14:textId="77777777" w:rsidR="00F62A4F" w:rsidRPr="002D07A3" w:rsidRDefault="00F62A4F" w:rsidP="00AF46A0">
            <w:pPr>
              <w:rPr>
                <w:rFonts w:ascii="Arial" w:hAnsi="Arial" w:cs="Arial"/>
                <w:sz w:val="16"/>
                <w:szCs w:val="15"/>
              </w:rPr>
            </w:pPr>
            <w:r w:rsidRPr="002D07A3">
              <w:rPr>
                <w:rFonts w:ascii="Arial" w:hAnsi="Arial" w:cs="Arial"/>
                <w:sz w:val="16"/>
                <w:szCs w:val="15"/>
              </w:rPr>
              <w:t>41 (12.2%)</w:t>
            </w:r>
          </w:p>
        </w:tc>
        <w:tc>
          <w:tcPr>
            <w:tcW w:w="1302" w:type="dxa"/>
            <w:tcBorders>
              <w:bottom w:val="single" w:sz="4" w:space="0" w:color="auto"/>
            </w:tcBorders>
            <w:vAlign w:val="center"/>
          </w:tcPr>
          <w:p w14:paraId="11871116" w14:textId="77777777" w:rsidR="00F62A4F" w:rsidRPr="002D07A3" w:rsidRDefault="00F62A4F" w:rsidP="00AF46A0">
            <w:pPr>
              <w:rPr>
                <w:rFonts w:ascii="Arial" w:hAnsi="Arial" w:cs="Arial"/>
                <w:sz w:val="16"/>
                <w:szCs w:val="15"/>
              </w:rPr>
            </w:pPr>
            <w:r w:rsidRPr="002D07A3">
              <w:rPr>
                <w:rFonts w:ascii="Arial" w:hAnsi="Arial" w:cs="Arial"/>
                <w:sz w:val="16"/>
                <w:szCs w:val="15"/>
              </w:rPr>
              <w:t>277 (82.9%)</w:t>
            </w:r>
          </w:p>
        </w:tc>
        <w:tc>
          <w:tcPr>
            <w:tcW w:w="1302" w:type="dxa"/>
            <w:tcBorders>
              <w:bottom w:val="single" w:sz="4" w:space="0" w:color="auto"/>
            </w:tcBorders>
            <w:vAlign w:val="center"/>
          </w:tcPr>
          <w:p w14:paraId="05A7213C" w14:textId="77777777" w:rsidR="00F62A4F" w:rsidRPr="002D07A3" w:rsidRDefault="00F62A4F" w:rsidP="00AF46A0">
            <w:pPr>
              <w:rPr>
                <w:rFonts w:ascii="Arial" w:hAnsi="Arial" w:cs="Arial"/>
                <w:sz w:val="16"/>
                <w:szCs w:val="15"/>
              </w:rPr>
            </w:pPr>
            <w:r w:rsidRPr="002D07A3">
              <w:rPr>
                <w:rFonts w:ascii="Arial" w:hAnsi="Arial" w:cs="Arial"/>
                <w:sz w:val="16"/>
                <w:szCs w:val="15"/>
              </w:rPr>
              <w:t>226 (67.5%)</w:t>
            </w:r>
          </w:p>
        </w:tc>
        <w:tc>
          <w:tcPr>
            <w:tcW w:w="1302" w:type="dxa"/>
            <w:tcBorders>
              <w:bottom w:val="single" w:sz="4" w:space="0" w:color="auto"/>
            </w:tcBorders>
            <w:vAlign w:val="center"/>
          </w:tcPr>
          <w:p w14:paraId="77B29CA9" w14:textId="77777777" w:rsidR="00F62A4F" w:rsidRPr="002D07A3" w:rsidRDefault="00F62A4F" w:rsidP="00AF46A0">
            <w:pPr>
              <w:rPr>
                <w:rFonts w:ascii="Arial" w:hAnsi="Arial" w:cs="Arial"/>
                <w:sz w:val="16"/>
                <w:szCs w:val="15"/>
              </w:rPr>
            </w:pPr>
            <w:r w:rsidRPr="002D07A3">
              <w:rPr>
                <w:rFonts w:ascii="Arial" w:hAnsi="Arial" w:cs="Arial"/>
                <w:sz w:val="16"/>
                <w:szCs w:val="15"/>
              </w:rPr>
              <w:t>261 (78.1%)</w:t>
            </w:r>
          </w:p>
        </w:tc>
        <w:tc>
          <w:tcPr>
            <w:tcW w:w="1302" w:type="dxa"/>
            <w:tcBorders>
              <w:bottom w:val="single" w:sz="4" w:space="0" w:color="auto"/>
            </w:tcBorders>
            <w:vAlign w:val="center"/>
          </w:tcPr>
          <w:p w14:paraId="1A31037F" w14:textId="77777777" w:rsidR="00F62A4F" w:rsidRPr="002D07A3" w:rsidRDefault="00F62A4F" w:rsidP="00AF46A0">
            <w:pPr>
              <w:rPr>
                <w:rFonts w:ascii="Arial" w:hAnsi="Arial" w:cs="Arial"/>
                <w:sz w:val="16"/>
                <w:szCs w:val="15"/>
              </w:rPr>
            </w:pPr>
            <w:r w:rsidRPr="002D07A3">
              <w:rPr>
                <w:rFonts w:ascii="Arial" w:hAnsi="Arial" w:cs="Arial"/>
                <w:sz w:val="16"/>
                <w:szCs w:val="15"/>
              </w:rPr>
              <w:t>213 (63.6%)</w:t>
            </w:r>
          </w:p>
        </w:tc>
      </w:tr>
      <w:tr w:rsidR="00F62A4F" w:rsidRPr="00C73D6B" w14:paraId="09629921" w14:textId="77777777" w:rsidTr="00D834B1">
        <w:tc>
          <w:tcPr>
            <w:tcW w:w="9243" w:type="dxa"/>
            <w:gridSpan w:val="7"/>
            <w:tcBorders>
              <w:left w:val="nil"/>
              <w:bottom w:val="nil"/>
              <w:right w:val="nil"/>
            </w:tcBorders>
            <w:vAlign w:val="center"/>
          </w:tcPr>
          <w:p w14:paraId="29789331" w14:textId="5EFD99F7" w:rsidR="00F62A4F" w:rsidRPr="002D07A3" w:rsidRDefault="00F62A4F" w:rsidP="00AF46A0">
            <w:pPr>
              <w:rPr>
                <w:rFonts w:ascii="Arial" w:hAnsi="Arial" w:cs="Arial"/>
                <w:i/>
                <w:sz w:val="15"/>
                <w:szCs w:val="15"/>
              </w:rPr>
            </w:pPr>
            <w:r w:rsidRPr="002D07A3">
              <w:rPr>
                <w:rFonts w:ascii="Arial" w:hAnsi="Arial" w:cs="Arial"/>
                <w:i/>
                <w:sz w:val="15"/>
                <w:szCs w:val="15"/>
              </w:rPr>
              <w:t xml:space="preserve">* Patients treated with </w:t>
            </w:r>
            <w:proofErr w:type="spellStart"/>
            <w:r w:rsidRPr="002D07A3">
              <w:rPr>
                <w:rFonts w:ascii="Arial" w:hAnsi="Arial" w:cs="Arial"/>
                <w:i/>
                <w:sz w:val="15"/>
                <w:szCs w:val="15"/>
              </w:rPr>
              <w:t>secukinumab</w:t>
            </w:r>
            <w:proofErr w:type="spellEnd"/>
            <w:r w:rsidRPr="002D07A3">
              <w:rPr>
                <w:rFonts w:ascii="Arial" w:hAnsi="Arial" w:cs="Arial"/>
                <w:i/>
                <w:sz w:val="15"/>
                <w:szCs w:val="15"/>
              </w:rPr>
              <w:t xml:space="preserve"> received 300 mg doses at Weeks 0, 1, 2, 3, and 4 followed by the same dose every 4 weeks until Week 52. </w:t>
            </w:r>
          </w:p>
          <w:p w14:paraId="11B37607" w14:textId="77777777" w:rsidR="00F62A4F" w:rsidRPr="002D07A3" w:rsidRDefault="00F62A4F" w:rsidP="00AF46A0">
            <w:pPr>
              <w:rPr>
                <w:rFonts w:ascii="Arial" w:hAnsi="Arial" w:cs="Arial"/>
                <w:i/>
                <w:sz w:val="15"/>
                <w:szCs w:val="15"/>
              </w:rPr>
            </w:pPr>
            <w:r w:rsidRPr="002D07A3">
              <w:rPr>
                <w:rFonts w:ascii="Arial" w:hAnsi="Arial" w:cs="Arial"/>
                <w:i/>
                <w:sz w:val="15"/>
                <w:szCs w:val="15"/>
              </w:rPr>
              <w:t xml:space="preserve">Patients treated with </w:t>
            </w:r>
            <w:proofErr w:type="spellStart"/>
            <w:r w:rsidRPr="002D07A3">
              <w:rPr>
                <w:rFonts w:ascii="Arial" w:hAnsi="Arial" w:cs="Arial"/>
                <w:i/>
                <w:sz w:val="15"/>
                <w:szCs w:val="15"/>
              </w:rPr>
              <w:t>ustekinumab</w:t>
            </w:r>
            <w:proofErr w:type="spellEnd"/>
            <w:r w:rsidRPr="002D07A3">
              <w:rPr>
                <w:rFonts w:ascii="Arial" w:hAnsi="Arial" w:cs="Arial"/>
                <w:i/>
                <w:sz w:val="15"/>
                <w:szCs w:val="15"/>
              </w:rPr>
              <w:t xml:space="preserve"> received 45 mg or 90 mg at Weeks 0 and 4, then every 12 weeks until Week 52 (dosed by weight as per approved posology)</w:t>
            </w:r>
          </w:p>
          <w:p w14:paraId="2CC39900" w14:textId="77777777" w:rsidR="00F62A4F" w:rsidRPr="002D07A3" w:rsidRDefault="00F62A4F" w:rsidP="00AF46A0">
            <w:pPr>
              <w:rPr>
                <w:rFonts w:ascii="Arial" w:hAnsi="Arial" w:cs="Arial"/>
                <w:i/>
                <w:sz w:val="15"/>
                <w:szCs w:val="15"/>
              </w:rPr>
            </w:pPr>
            <w:r w:rsidRPr="002D07A3">
              <w:rPr>
                <w:rFonts w:ascii="Arial" w:hAnsi="Arial" w:cs="Arial"/>
                <w:i/>
                <w:sz w:val="15"/>
                <w:szCs w:val="15"/>
              </w:rPr>
              <w:t xml:space="preserve">** p values versus </w:t>
            </w:r>
            <w:proofErr w:type="spellStart"/>
            <w:r w:rsidRPr="002D07A3">
              <w:rPr>
                <w:rFonts w:ascii="Arial" w:hAnsi="Arial" w:cs="Arial"/>
                <w:i/>
                <w:sz w:val="15"/>
                <w:szCs w:val="15"/>
              </w:rPr>
              <w:t>ustekinumab</w:t>
            </w:r>
            <w:proofErr w:type="spellEnd"/>
            <w:r w:rsidRPr="002D07A3">
              <w:rPr>
                <w:rFonts w:ascii="Arial" w:hAnsi="Arial" w:cs="Arial"/>
                <w:i/>
                <w:sz w:val="15"/>
                <w:szCs w:val="15"/>
              </w:rPr>
              <w:t>: p&lt;0.0001 for primary endpoint PASI 90 at Week 16 and secondary endpoint PASI 75 at Week 4</w:t>
            </w:r>
          </w:p>
          <w:p w14:paraId="66D16027" w14:textId="77777777" w:rsidR="00F62A4F" w:rsidRPr="002D07A3" w:rsidRDefault="00F62A4F" w:rsidP="00AF46A0">
            <w:pPr>
              <w:rPr>
                <w:rFonts w:ascii="Arial" w:hAnsi="Arial" w:cs="Arial"/>
                <w:i/>
                <w:sz w:val="15"/>
                <w:szCs w:val="15"/>
              </w:rPr>
            </w:pPr>
            <w:r w:rsidRPr="002D07A3">
              <w:rPr>
                <w:rFonts w:ascii="Arial" w:hAnsi="Arial" w:cs="Arial"/>
                <w:i/>
                <w:sz w:val="15"/>
                <w:szCs w:val="15"/>
              </w:rPr>
              <w:t xml:space="preserve">*** p value versus </w:t>
            </w:r>
            <w:proofErr w:type="spellStart"/>
            <w:r w:rsidRPr="002D07A3">
              <w:rPr>
                <w:rFonts w:ascii="Arial" w:hAnsi="Arial" w:cs="Arial"/>
                <w:i/>
                <w:sz w:val="15"/>
                <w:szCs w:val="15"/>
              </w:rPr>
              <w:t>ustekinumab</w:t>
            </w:r>
            <w:proofErr w:type="spellEnd"/>
            <w:r w:rsidRPr="002D07A3">
              <w:rPr>
                <w:rFonts w:ascii="Arial" w:hAnsi="Arial" w:cs="Arial"/>
                <w:i/>
                <w:sz w:val="15"/>
                <w:szCs w:val="15"/>
              </w:rPr>
              <w:t>: p = 0.0001 for secondary endpoint of PASI 90 at Week 52</w:t>
            </w:r>
          </w:p>
        </w:tc>
      </w:tr>
    </w:tbl>
    <w:p w14:paraId="5FA3F60E" w14:textId="77777777" w:rsidR="00F62A4F" w:rsidRPr="002C3B84" w:rsidRDefault="00F62A4F" w:rsidP="00AF46A0">
      <w:pPr>
        <w:rPr>
          <w:rFonts w:cs="Arial"/>
        </w:rPr>
      </w:pPr>
      <w:r w:rsidRPr="002C3B84" w:rsidDel="004C3437">
        <w:rPr>
          <w:rFonts w:cs="Arial"/>
        </w:rPr>
        <w:t>All plaque psoriasis phase III studies included approximately 15 to 25% of patients with concurrent psoriatic arthritis at baseline. Improvements in PASI 75 in this patient population were similar to those in the overall plaque psoriasis population.</w:t>
      </w:r>
    </w:p>
    <w:p w14:paraId="302368E7" w14:textId="77777777" w:rsidR="00F62A4F" w:rsidRPr="002C3B84" w:rsidRDefault="00F62A4F" w:rsidP="00AF46A0">
      <w:pPr>
        <w:rPr>
          <w:rFonts w:cs="Arial"/>
        </w:rPr>
      </w:pPr>
      <w:r w:rsidRPr="002C3B84" w:rsidDel="004C3437">
        <w:rPr>
          <w:rFonts w:cs="Arial"/>
        </w:rPr>
        <w:t xml:space="preserve">In the subset of psoriatic arthritis patients </w:t>
      </w:r>
      <w:r w:rsidRPr="002C3B84">
        <w:rPr>
          <w:rFonts w:cs="Arial"/>
        </w:rPr>
        <w:t xml:space="preserve">in </w:t>
      </w:r>
      <w:r w:rsidRPr="002C3B84" w:rsidDel="004C3437">
        <w:rPr>
          <w:rFonts w:cs="Arial"/>
        </w:rPr>
        <w:t xml:space="preserve">the </w:t>
      </w:r>
      <w:r w:rsidRPr="002C3B84">
        <w:rPr>
          <w:rFonts w:cs="Arial"/>
        </w:rPr>
        <w:t xml:space="preserve">ERASURE and FIXTURE </w:t>
      </w:r>
      <w:r w:rsidRPr="002C3B84" w:rsidDel="004C3437">
        <w:rPr>
          <w:rFonts w:cs="Arial"/>
        </w:rPr>
        <w:t xml:space="preserve">studies, physical function was assessed using the HAQ Disability Index (HAQ-DI). In these studies, patients treated with 150 mg or 300 mg </w:t>
      </w:r>
      <w:r w:rsidRPr="002C3B84">
        <w:rPr>
          <w:rFonts w:cs="Arial"/>
        </w:rPr>
        <w:t>COSENTYX</w:t>
      </w:r>
      <w:r w:rsidRPr="002C3B84" w:rsidDel="004C3437">
        <w:rPr>
          <w:rFonts w:cs="Arial"/>
        </w:rPr>
        <w:t xml:space="preserve"> showed greater improvement from baseline in the HAQ-DI score (mean decreases of -27.5%  and -50.2% at week 12) compared to placebo (-8.9%). This improvement was maintained up to week 52. </w:t>
      </w:r>
    </w:p>
    <w:p w14:paraId="597C3C62" w14:textId="77777777" w:rsidR="00F62A4F" w:rsidRPr="002C3B84" w:rsidRDefault="00F62A4F" w:rsidP="00AF46A0">
      <w:pPr>
        <w:rPr>
          <w:rFonts w:cs="Arial"/>
        </w:rPr>
      </w:pPr>
      <w:r w:rsidRPr="002C3B84">
        <w:rPr>
          <w:rFonts w:cs="Arial"/>
        </w:rPr>
        <w:t>Patients in the SCULPTURE study that were randomised after week 12 to a “retreatment as needed” maintenance regimen did not achieve adequate maintenance of response to either dose used. After 52 weeks of treatment patients with 300 mg “retreatment as needed” regimen achieved a PASI 75 of 41.0% and a PASI 90 of 13.8%, whereas patients with a monthly maintenance regimen of 300 mg achieved a PASI 75 of 78.2% and a PASI 90 of 59.7%. Similarly, patients with 150 mg “retreatment as needed” regimen achieved a PASI 75 of 35.0% and a PASI 90 of 11.2%, whereas patients with a monthly maintenance regimen of 150 mg achieved a PASI 75 of 62.1% and a PASI 90 of 45.8% after 52 weeks of treatment. Therefore a fixed monthly maintenance regimen is recommended.</w:t>
      </w:r>
    </w:p>
    <w:p w14:paraId="0E256CF9" w14:textId="77777777" w:rsidR="00F62A4F" w:rsidRPr="002C3B84" w:rsidRDefault="00F62A4F" w:rsidP="00AF46A0">
      <w:pPr>
        <w:spacing w:after="120"/>
        <w:rPr>
          <w:rFonts w:asciiTheme="majorHAnsi" w:eastAsiaTheme="majorEastAsia" w:hAnsiTheme="majorHAnsi" w:cstheme="minorHAnsi"/>
          <w:b/>
          <w:bCs/>
        </w:rPr>
      </w:pPr>
      <w:r w:rsidRPr="002C3B84">
        <w:rPr>
          <w:rFonts w:asciiTheme="majorHAnsi" w:eastAsiaTheme="majorEastAsia" w:hAnsiTheme="majorHAnsi" w:cstheme="minorHAnsi"/>
          <w:b/>
          <w:bCs/>
        </w:rPr>
        <w:t>Specific locations/forms of plaque psoriasis</w:t>
      </w:r>
    </w:p>
    <w:p w14:paraId="4CD2391D" w14:textId="77777777" w:rsidR="00F62A4F" w:rsidRPr="002C3B84" w:rsidRDefault="00F62A4F" w:rsidP="00AF46A0">
      <w:pPr>
        <w:rPr>
          <w:rFonts w:cs="Arial"/>
        </w:rPr>
      </w:pPr>
      <w:r w:rsidRPr="002C3B84">
        <w:rPr>
          <w:rFonts w:cs="Arial"/>
        </w:rPr>
        <w:t xml:space="preserve">In two additional placebo-controlled studies, improvement was seen in both nail psoriasis (TRANSFIGURE, 198 patients) and palmoplantar plaque psoriasis (GESTURE, 205 patients). In the TRANSFIGURE study, </w:t>
      </w:r>
      <w:proofErr w:type="spellStart"/>
      <w:r w:rsidRPr="002C3B84">
        <w:rPr>
          <w:rFonts w:cs="Arial"/>
        </w:rPr>
        <w:t>secukinumab</w:t>
      </w:r>
      <w:proofErr w:type="spellEnd"/>
      <w:r w:rsidRPr="002C3B84">
        <w:rPr>
          <w:rFonts w:cs="Arial"/>
        </w:rPr>
        <w:t xml:space="preserve"> was superior to placebo at Week 16 (46.1% for 300 mg, 38.4% for 150 mg and 11.7% for placebo) as assessed by significant improvement from baseline in the Nail Psoriasis Severity Index (NAPSI %) for patients with moderate to severe plaque psoriasis with nail involvement. In the GESTURE study, </w:t>
      </w:r>
      <w:proofErr w:type="spellStart"/>
      <w:r w:rsidRPr="002C3B84">
        <w:rPr>
          <w:rFonts w:cs="Arial"/>
        </w:rPr>
        <w:t>secukinumab</w:t>
      </w:r>
      <w:proofErr w:type="spellEnd"/>
      <w:r w:rsidRPr="002C3B84">
        <w:rPr>
          <w:rFonts w:cs="Arial"/>
        </w:rPr>
        <w:t xml:space="preserve"> was superior to placebo at Week 16 (33.3% for 300 mg, 22.1% for 150 mg, and 1.5% for placebo) as assessed by significant improvement of the Palmoplantar Investigator’s Global Assessment (</w:t>
      </w:r>
      <w:proofErr w:type="spellStart"/>
      <w:r w:rsidRPr="002C3B84">
        <w:rPr>
          <w:rFonts w:cs="Arial"/>
        </w:rPr>
        <w:t>ppIGA</w:t>
      </w:r>
      <w:proofErr w:type="spellEnd"/>
      <w:r w:rsidRPr="002C3B84">
        <w:rPr>
          <w:rFonts w:cs="Arial"/>
        </w:rPr>
        <w:t>) 0 or 1 response (“clear” or “almost clear”) for patients with moderate to severe palmoplantar plaque psoriasis.</w:t>
      </w:r>
    </w:p>
    <w:p w14:paraId="37E5F144" w14:textId="77777777" w:rsidR="00F62A4F" w:rsidRPr="002C3B84" w:rsidRDefault="00F62A4F" w:rsidP="00AF46A0">
      <w:pPr>
        <w:rPr>
          <w:rFonts w:cs="Arial"/>
        </w:rPr>
      </w:pPr>
      <w:r w:rsidRPr="002C3B84">
        <w:rPr>
          <w:rFonts w:cs="Arial"/>
        </w:rPr>
        <w:t xml:space="preserve">The placebo-controlled SCALP study evaluated 102 patients with moderate to severe scalp psoriasis, defined as having a Psoriasis Scalp Severity Index (PSSI) score of ≥12, an IGA mod 2011 scalp only score of 3 or greater and at least 30% of the scalp surface area affected. In this study, 62% of patients had at least 50% of the scalp surface area affected. </w:t>
      </w:r>
      <w:proofErr w:type="spellStart"/>
      <w:r w:rsidRPr="002C3B84">
        <w:rPr>
          <w:rFonts w:cs="Arial"/>
        </w:rPr>
        <w:t>Secukinumab</w:t>
      </w:r>
      <w:proofErr w:type="spellEnd"/>
      <w:r w:rsidRPr="002C3B84">
        <w:rPr>
          <w:rFonts w:cs="Arial"/>
        </w:rPr>
        <w:t xml:space="preserve"> 300 mg was superior to placebo at Week 12 as assessed by significant improvement from baseline in both the PSSI 90 response (52.9% vs. 2.0%) and IGA mod 2011 0 or 1 scalp only response (56.9% vs. 5.9%). Greater efficacy of </w:t>
      </w:r>
      <w:proofErr w:type="spellStart"/>
      <w:r w:rsidRPr="002C3B84">
        <w:rPr>
          <w:rFonts w:cs="Arial"/>
        </w:rPr>
        <w:t>secukinumab</w:t>
      </w:r>
      <w:proofErr w:type="spellEnd"/>
      <w:r w:rsidRPr="002C3B84">
        <w:rPr>
          <w:rFonts w:cs="Arial"/>
        </w:rPr>
        <w:t xml:space="preserve"> 300 mg over placebo for both endpoints was observed by Week 3. Improvement in both endpoints was sustained for </w:t>
      </w:r>
      <w:proofErr w:type="spellStart"/>
      <w:r w:rsidRPr="002C3B84">
        <w:rPr>
          <w:rFonts w:cs="Arial"/>
        </w:rPr>
        <w:t>secukinumab</w:t>
      </w:r>
      <w:proofErr w:type="spellEnd"/>
      <w:r w:rsidRPr="002C3B84">
        <w:rPr>
          <w:rFonts w:cs="Arial"/>
        </w:rPr>
        <w:t xml:space="preserve"> patients who continued treatment through to Week 24 (PSSI 90 response 58.8% and IGA mod 2011 0 or 1 scalp only response 62.7%).</w:t>
      </w:r>
    </w:p>
    <w:p w14:paraId="0B658E7B" w14:textId="77777777" w:rsidR="00F62A4F" w:rsidRPr="002C3B84" w:rsidDel="004C3437" w:rsidRDefault="00F62A4F" w:rsidP="00A85630">
      <w:r w:rsidRPr="002C3B84" w:rsidDel="004C3437">
        <w:t>Quality of Life / Patient reported outcomes</w:t>
      </w:r>
    </w:p>
    <w:p w14:paraId="5217B0D1" w14:textId="77777777" w:rsidR="00F62A4F" w:rsidRPr="002C3B84" w:rsidRDefault="00F62A4F" w:rsidP="00AF46A0">
      <w:pPr>
        <w:rPr>
          <w:rFonts w:cs="Arial"/>
        </w:rPr>
      </w:pPr>
      <w:r w:rsidRPr="002C3B84" w:rsidDel="004C3437">
        <w:rPr>
          <w:rFonts w:cs="Arial"/>
        </w:rPr>
        <w:t>Statistically significant improvements at week 12 (Studies 1-4) from baseline compared to placebo were demonstrated in the DLQI (Dermatology Life Quality Index), these improvements were maintained for 52 weeks (Studies 1 and 2).</w:t>
      </w:r>
    </w:p>
    <w:p w14:paraId="71E71B3D" w14:textId="77777777" w:rsidR="00F62A4F" w:rsidRPr="002C3B84" w:rsidRDefault="00F62A4F" w:rsidP="00AF46A0">
      <w:pPr>
        <w:rPr>
          <w:rFonts w:cs="Arial"/>
        </w:rPr>
      </w:pPr>
      <w:r w:rsidRPr="002C3B84" w:rsidDel="004C3437">
        <w:rPr>
          <w:rFonts w:cs="Arial"/>
        </w:rPr>
        <w:t>Statistically significant improvements at week 12 from baseline compared to placebo (</w:t>
      </w:r>
      <w:r w:rsidRPr="002C3B84">
        <w:rPr>
          <w:rFonts w:cs="Arial"/>
        </w:rPr>
        <w:t xml:space="preserve">ERASURE and FIXTURE </w:t>
      </w:r>
      <w:r w:rsidRPr="002C3B84" w:rsidDel="004C3437">
        <w:rPr>
          <w:rFonts w:cs="Arial"/>
        </w:rPr>
        <w:t>Studies) in patient reported signs and symptoms of itching, pain and scaling were demonstrated in the validated Psoriasis Symptom Diary.</w:t>
      </w:r>
    </w:p>
    <w:p w14:paraId="4A0CE0C8" w14:textId="77777777" w:rsidR="00F62A4F" w:rsidRPr="002C3B84" w:rsidRDefault="00F62A4F" w:rsidP="00AF46A0">
      <w:pPr>
        <w:rPr>
          <w:rFonts w:cs="Arial"/>
        </w:rPr>
      </w:pPr>
      <w:r w:rsidRPr="002C3B84">
        <w:rPr>
          <w:rFonts w:cs="Arial"/>
        </w:rPr>
        <w:t xml:space="preserve">Statistically significant improvements at Week 4 from baseline in patients treated with </w:t>
      </w:r>
      <w:proofErr w:type="spellStart"/>
      <w:r w:rsidRPr="002C3B84">
        <w:rPr>
          <w:rFonts w:cs="Arial"/>
        </w:rPr>
        <w:t>secukinumab</w:t>
      </w:r>
      <w:proofErr w:type="spellEnd"/>
      <w:r w:rsidRPr="002C3B84">
        <w:rPr>
          <w:rFonts w:cs="Arial"/>
        </w:rPr>
        <w:t xml:space="preserve"> compared to patients treated with </w:t>
      </w:r>
      <w:proofErr w:type="spellStart"/>
      <w:r w:rsidRPr="002C3B84">
        <w:rPr>
          <w:rFonts w:cs="Arial"/>
        </w:rPr>
        <w:t>ustekinumab</w:t>
      </w:r>
      <w:proofErr w:type="spellEnd"/>
      <w:r w:rsidRPr="002C3B84">
        <w:rPr>
          <w:rFonts w:cs="Arial"/>
        </w:rPr>
        <w:t xml:space="preserve"> (CLEAR) were demonstrated in the DLQI, and these improvements were maintained for up to 52 weeks. The Work Productivity and Activity Impairment Questionnaire-Psoriasis outcom</w:t>
      </w:r>
      <w:r w:rsidR="00F9049D" w:rsidRPr="002C3B84">
        <w:rPr>
          <w:rFonts w:cs="Arial"/>
        </w:rPr>
        <w:t>es (WPAI-PSO) showed generally</w:t>
      </w:r>
      <w:r w:rsidRPr="002C3B84">
        <w:rPr>
          <w:rFonts w:cs="Arial"/>
        </w:rPr>
        <w:t xml:space="preserve"> greater improvement in patients treated with </w:t>
      </w:r>
      <w:proofErr w:type="spellStart"/>
      <w:r w:rsidRPr="002C3B84">
        <w:rPr>
          <w:rFonts w:cs="Arial"/>
        </w:rPr>
        <w:t>secukinumab</w:t>
      </w:r>
      <w:proofErr w:type="spellEnd"/>
      <w:r w:rsidRPr="002C3B84">
        <w:rPr>
          <w:rFonts w:cs="Arial"/>
        </w:rPr>
        <w:t xml:space="preserve"> compared to patients treated with </w:t>
      </w:r>
      <w:proofErr w:type="spellStart"/>
      <w:r w:rsidRPr="002C3B84">
        <w:rPr>
          <w:rFonts w:cs="Arial"/>
        </w:rPr>
        <w:t>ustekinumab</w:t>
      </w:r>
      <w:proofErr w:type="spellEnd"/>
      <w:r w:rsidRPr="002C3B84">
        <w:rPr>
          <w:rFonts w:cs="Arial"/>
        </w:rPr>
        <w:t>.</w:t>
      </w:r>
    </w:p>
    <w:p w14:paraId="6B18289A" w14:textId="77777777" w:rsidR="00F62A4F" w:rsidRPr="002C3B84" w:rsidRDefault="00F62A4F" w:rsidP="00AF46A0">
      <w:pPr>
        <w:rPr>
          <w:rFonts w:cs="Arial"/>
        </w:rPr>
      </w:pPr>
      <w:r w:rsidRPr="002C3B84">
        <w:rPr>
          <w:rFonts w:cs="Arial"/>
        </w:rPr>
        <w:t xml:space="preserve">Statistically significant improvements in patient reported signs and symptoms of itching, pain and scaling at Week 16 and Week 52 (CLEAR) were demonstrated in the Psoriasis Symptom Diary in patients treated with </w:t>
      </w:r>
      <w:proofErr w:type="spellStart"/>
      <w:r w:rsidRPr="002C3B84">
        <w:rPr>
          <w:rFonts w:cs="Arial"/>
        </w:rPr>
        <w:t>secukinumab</w:t>
      </w:r>
      <w:proofErr w:type="spellEnd"/>
      <w:r w:rsidRPr="002C3B84">
        <w:rPr>
          <w:rFonts w:cs="Arial"/>
        </w:rPr>
        <w:t xml:space="preserve"> compared to patients treated with </w:t>
      </w:r>
      <w:proofErr w:type="spellStart"/>
      <w:r w:rsidRPr="002C3B84">
        <w:rPr>
          <w:rFonts w:cs="Arial"/>
        </w:rPr>
        <w:t>ustekinumab</w:t>
      </w:r>
      <w:proofErr w:type="spellEnd"/>
      <w:r w:rsidRPr="002C3B84">
        <w:rPr>
          <w:rFonts w:cs="Arial"/>
        </w:rPr>
        <w:t xml:space="preserve">. </w:t>
      </w:r>
    </w:p>
    <w:p w14:paraId="18DA94E2" w14:textId="77777777" w:rsidR="00F62A4F" w:rsidRPr="002C3B84" w:rsidRDefault="00F62A4F" w:rsidP="00AF46A0">
      <w:pPr>
        <w:rPr>
          <w:rFonts w:cs="Arial"/>
        </w:rPr>
      </w:pPr>
      <w:r w:rsidRPr="002C3B84">
        <w:rPr>
          <w:rFonts w:cs="Arial"/>
        </w:rPr>
        <w:t xml:space="preserve">Statistically significant improvements at Week 12 from baseline compared to placebo (SCALP) were demonstrated in Health Related Quality of Life as measured by </w:t>
      </w:r>
      <w:proofErr w:type="spellStart"/>
      <w:r w:rsidRPr="002C3B84">
        <w:rPr>
          <w:rFonts w:cs="Arial"/>
        </w:rPr>
        <w:t>Scalpdex</w:t>
      </w:r>
      <w:proofErr w:type="spellEnd"/>
      <w:r w:rsidRPr="002C3B84">
        <w:rPr>
          <w:rFonts w:cs="Arial"/>
        </w:rPr>
        <w:t>. These improvements were observed starting at Week 4 and were maintained through to Week 24.</w:t>
      </w:r>
    </w:p>
    <w:p w14:paraId="148E5C2D" w14:textId="77777777" w:rsidR="00F62A4F" w:rsidRPr="002C3B84" w:rsidDel="004C3437" w:rsidRDefault="00F62A4F" w:rsidP="00AF46A0">
      <w:pPr>
        <w:rPr>
          <w:rFonts w:cs="Arial"/>
        </w:rPr>
      </w:pPr>
      <w:r w:rsidRPr="002C3B84">
        <w:rPr>
          <w:rFonts w:cs="Arial"/>
        </w:rPr>
        <w:t>Statistically significant improvements (decreases) at Week 12 from baseline (SCALP) were demonstrated in patient-reported signs and symptoms of scalp itching, pain, and scaling, compared to placebo.</w:t>
      </w:r>
    </w:p>
    <w:p w14:paraId="3472D50F" w14:textId="77777777" w:rsidR="00F62A4F" w:rsidRPr="002C3B84" w:rsidRDefault="00F62A4F" w:rsidP="00AF46A0">
      <w:pPr>
        <w:spacing w:after="120"/>
        <w:rPr>
          <w:rFonts w:asciiTheme="majorHAnsi" w:eastAsiaTheme="majorEastAsia" w:hAnsiTheme="majorHAnsi" w:cstheme="minorHAnsi"/>
          <w:b/>
          <w:bCs/>
          <w:u w:val="single"/>
        </w:rPr>
      </w:pPr>
      <w:r w:rsidRPr="002C3B84">
        <w:rPr>
          <w:rFonts w:asciiTheme="majorHAnsi" w:eastAsiaTheme="majorEastAsia" w:hAnsiTheme="majorHAnsi" w:cstheme="minorHAnsi"/>
          <w:b/>
          <w:bCs/>
          <w:u w:val="single"/>
        </w:rPr>
        <w:t>Psoriatic Arthritis</w:t>
      </w:r>
    </w:p>
    <w:p w14:paraId="34646875" w14:textId="6A7D7908" w:rsidR="00F62A4F" w:rsidRPr="002C3B84" w:rsidRDefault="00F62A4F" w:rsidP="00AF46A0">
      <w:pPr>
        <w:rPr>
          <w:rFonts w:cs="Arial"/>
        </w:rPr>
      </w:pPr>
      <w:r w:rsidRPr="002C3B84">
        <w:rPr>
          <w:rFonts w:cs="Arial"/>
        </w:rPr>
        <w:t xml:space="preserve">The safety and efficacy of COSENTYX were assessed in </w:t>
      </w:r>
      <w:r w:rsidR="001A2207" w:rsidRPr="002C3B84">
        <w:rPr>
          <w:rFonts w:cs="Arial"/>
        </w:rPr>
        <w:t>1,999</w:t>
      </w:r>
      <w:r w:rsidRPr="002C3B84">
        <w:rPr>
          <w:rFonts w:cs="Arial"/>
        </w:rPr>
        <w:t xml:space="preserve"> patients in </w:t>
      </w:r>
      <w:r w:rsidR="001A2207" w:rsidRPr="002C3B84">
        <w:rPr>
          <w:rFonts w:cs="Arial"/>
        </w:rPr>
        <w:t xml:space="preserve">three </w:t>
      </w:r>
      <w:r w:rsidRPr="002C3B84">
        <w:rPr>
          <w:rFonts w:cs="Arial"/>
        </w:rPr>
        <w:t>randomi</w:t>
      </w:r>
      <w:r w:rsidR="001A2207" w:rsidRPr="002C3B84">
        <w:rPr>
          <w:rFonts w:cs="Arial"/>
        </w:rPr>
        <w:t>s</w:t>
      </w:r>
      <w:r w:rsidRPr="002C3B84">
        <w:rPr>
          <w:rFonts w:cs="Arial"/>
        </w:rPr>
        <w:t>ed, double-blind, placebo-controlled phase III studies in patients with active psoriatic arthritis (</w:t>
      </w:r>
      <w:r w:rsidR="001A2207" w:rsidRPr="002C3B84">
        <w:rPr>
          <w:rFonts w:cs="Arial"/>
        </w:rPr>
        <w:t>≥</w:t>
      </w:r>
      <w:r w:rsidRPr="002C3B84">
        <w:rPr>
          <w:rFonts w:cs="Arial"/>
        </w:rPr>
        <w:t xml:space="preserve">3 swollen and </w:t>
      </w:r>
      <w:r w:rsidR="001A2207" w:rsidRPr="002C3B84">
        <w:rPr>
          <w:rFonts w:cs="Arial"/>
        </w:rPr>
        <w:t>≥</w:t>
      </w:r>
      <w:r w:rsidRPr="002C3B84">
        <w:rPr>
          <w:rFonts w:cs="Arial"/>
        </w:rPr>
        <w:t xml:space="preserve">3 tender joints) despite non-steroidal anti-inflammatory drug (NSAID), corticosteroids or disease-modifying anti-rheumatic drug (DMARD) therapy.  Patients with each subtype of </w:t>
      </w:r>
      <w:proofErr w:type="spellStart"/>
      <w:r w:rsidRPr="002C3B84">
        <w:rPr>
          <w:rFonts w:cs="Arial"/>
        </w:rPr>
        <w:t>PsA</w:t>
      </w:r>
      <w:proofErr w:type="spellEnd"/>
      <w:r w:rsidRPr="002C3B84">
        <w:rPr>
          <w:rFonts w:cs="Arial"/>
        </w:rPr>
        <w:t xml:space="preserve"> were enrolled in these studies, including </w:t>
      </w:r>
      <w:proofErr w:type="spellStart"/>
      <w:r w:rsidRPr="002C3B84">
        <w:rPr>
          <w:rFonts w:cs="Arial"/>
        </w:rPr>
        <w:t>polyarticular</w:t>
      </w:r>
      <w:proofErr w:type="spellEnd"/>
      <w:r w:rsidRPr="002C3B84">
        <w:rPr>
          <w:rFonts w:cs="Arial"/>
        </w:rPr>
        <w:t xml:space="preserve"> arthritis with no evidence of rheumatoid nodules, spondylitis with peripheral arthritis, asymmetric peripheral arthritis, distal interphalangeal involvement and arthritis </w:t>
      </w:r>
      <w:proofErr w:type="spellStart"/>
      <w:r w:rsidRPr="002C3B84">
        <w:rPr>
          <w:rFonts w:cs="Arial"/>
        </w:rPr>
        <w:t>mutilans</w:t>
      </w:r>
      <w:proofErr w:type="spellEnd"/>
      <w:r w:rsidRPr="002C3B84">
        <w:rPr>
          <w:rFonts w:cs="Arial"/>
        </w:rPr>
        <w:t xml:space="preserve">. Patients in these studies had a diagnosis of </w:t>
      </w:r>
      <w:proofErr w:type="spellStart"/>
      <w:r w:rsidRPr="002C3B84">
        <w:rPr>
          <w:rFonts w:cs="Arial"/>
        </w:rPr>
        <w:t>PsA</w:t>
      </w:r>
      <w:proofErr w:type="spellEnd"/>
      <w:r w:rsidRPr="002C3B84">
        <w:rPr>
          <w:rFonts w:cs="Arial"/>
        </w:rPr>
        <w:t xml:space="preserve"> for a median of 3.9 to 5.3 years.   Approximately half of all enrolled patients had at least 3% BSA involvement with skin psoriasis at baseline.  Over </w:t>
      </w:r>
      <w:r w:rsidR="001A2207" w:rsidRPr="002C3B84">
        <w:rPr>
          <w:rFonts w:cs="Arial"/>
        </w:rPr>
        <w:t>61</w:t>
      </w:r>
      <w:r w:rsidRPr="002C3B84">
        <w:rPr>
          <w:rFonts w:cs="Arial"/>
        </w:rPr>
        <w:t xml:space="preserve">% and </w:t>
      </w:r>
      <w:r w:rsidR="001A2207" w:rsidRPr="002C3B84">
        <w:rPr>
          <w:rFonts w:cs="Arial"/>
        </w:rPr>
        <w:t>42</w:t>
      </w:r>
      <w:r w:rsidRPr="002C3B84">
        <w:rPr>
          <w:rFonts w:cs="Arial"/>
        </w:rPr>
        <w:t xml:space="preserve">% of the </w:t>
      </w:r>
      <w:proofErr w:type="spellStart"/>
      <w:r w:rsidRPr="002C3B84">
        <w:rPr>
          <w:rFonts w:cs="Arial"/>
        </w:rPr>
        <w:t>PsA</w:t>
      </w:r>
      <w:proofErr w:type="spellEnd"/>
      <w:r w:rsidRPr="002C3B84">
        <w:rPr>
          <w:rFonts w:cs="Arial"/>
        </w:rPr>
        <w:t xml:space="preserve"> patients had </w:t>
      </w:r>
      <w:proofErr w:type="spellStart"/>
      <w:r w:rsidRPr="002C3B84">
        <w:rPr>
          <w:rFonts w:cs="Arial"/>
        </w:rPr>
        <w:t>enthesitis</w:t>
      </w:r>
      <w:proofErr w:type="spellEnd"/>
      <w:r w:rsidRPr="002C3B84">
        <w:rPr>
          <w:rFonts w:cs="Arial"/>
        </w:rPr>
        <w:t xml:space="preserve"> and </w:t>
      </w:r>
      <w:proofErr w:type="spellStart"/>
      <w:r w:rsidRPr="002C3B84">
        <w:rPr>
          <w:rFonts w:cs="Arial"/>
        </w:rPr>
        <w:t>dactylitis</w:t>
      </w:r>
      <w:proofErr w:type="spellEnd"/>
      <w:r w:rsidRPr="002C3B84">
        <w:rPr>
          <w:rFonts w:cs="Arial"/>
        </w:rPr>
        <w:t xml:space="preserve"> at baseline, respectively.</w:t>
      </w:r>
    </w:p>
    <w:p w14:paraId="0B081956" w14:textId="5A94E988" w:rsidR="00F62A4F" w:rsidRPr="002C3B84" w:rsidRDefault="00F62A4F" w:rsidP="00AF46A0">
      <w:pPr>
        <w:rPr>
          <w:rFonts w:cs="Arial"/>
        </w:rPr>
      </w:pPr>
      <w:r w:rsidRPr="002C3B84">
        <w:rPr>
          <w:rFonts w:cs="Arial"/>
        </w:rPr>
        <w:t>In FUTURE 1 Study (PsA1 Study)</w:t>
      </w:r>
      <w:r w:rsidR="001A2207" w:rsidRPr="002C3B84">
        <w:rPr>
          <w:rFonts w:cs="Arial"/>
        </w:rPr>
        <w:t>,</w:t>
      </w:r>
      <w:r w:rsidRPr="002C3B84">
        <w:rPr>
          <w:rFonts w:cs="Arial"/>
        </w:rPr>
        <w:t xml:space="preserve"> FUTURE 2 Study (PsA2 Study)</w:t>
      </w:r>
      <w:r w:rsidR="001A2207" w:rsidRPr="002C3B84">
        <w:rPr>
          <w:rFonts w:cs="Arial"/>
        </w:rPr>
        <w:t>, and FUTURE 5 Study (PsA3 Study),</w:t>
      </w:r>
      <w:r w:rsidRPr="002C3B84">
        <w:rPr>
          <w:rFonts w:cs="Arial"/>
        </w:rPr>
        <w:t xml:space="preserve"> 29%</w:t>
      </w:r>
      <w:r w:rsidR="001A2207" w:rsidRPr="002C3B84">
        <w:rPr>
          <w:rFonts w:cs="Arial"/>
        </w:rPr>
        <w:t>,</w:t>
      </w:r>
      <w:r w:rsidRPr="002C3B84">
        <w:rPr>
          <w:rFonts w:cs="Arial"/>
        </w:rPr>
        <w:t xml:space="preserve"> 35%</w:t>
      </w:r>
      <w:r w:rsidR="001A2207" w:rsidRPr="002C3B84">
        <w:rPr>
          <w:rFonts w:cs="Arial"/>
        </w:rPr>
        <w:t>, and 30%</w:t>
      </w:r>
      <w:r w:rsidRPr="002C3B84">
        <w:rPr>
          <w:rFonts w:cs="Arial"/>
        </w:rPr>
        <w:t xml:space="preserve"> of patients, respectively, were previously treated with an anti-TNF-alpha agent and discontinued the anti-TNF-alpha agent for either lack of efficacy or intolerance (anti-TNF-alpha-IR patients).  For </w:t>
      </w:r>
      <w:r w:rsidR="001A2207" w:rsidRPr="002C3B84">
        <w:rPr>
          <w:rFonts w:cs="Arial"/>
        </w:rPr>
        <w:t>FUTURE 1 and FUTURE 2</w:t>
      </w:r>
      <w:r w:rsidRPr="002C3B84">
        <w:rPr>
          <w:rFonts w:cs="Arial"/>
        </w:rPr>
        <w:t xml:space="preserve">, the primary endpoint was American College of Rheumatology (ACR) 20 response at Week 24. </w:t>
      </w:r>
      <w:r w:rsidR="001A2207" w:rsidRPr="002C3B84">
        <w:rPr>
          <w:rFonts w:cs="Arial"/>
        </w:rPr>
        <w:t>The primary endpoint for FUTURE 5 was ACR20 response at Week 16,</w:t>
      </w:r>
      <w:r w:rsidR="001A2207" w:rsidRPr="002C3B84">
        <w:t xml:space="preserve"> and the key secondary endpoint was the change from baseline in modified Total Sharp Score (</w:t>
      </w:r>
      <w:proofErr w:type="spellStart"/>
      <w:r w:rsidR="001A2207" w:rsidRPr="002C3B84">
        <w:t>mTSS</w:t>
      </w:r>
      <w:proofErr w:type="spellEnd"/>
      <w:r w:rsidR="001A2207" w:rsidRPr="002C3B84">
        <w:t>) at Week 24</w:t>
      </w:r>
      <w:r w:rsidR="001A2207" w:rsidRPr="002C3B84">
        <w:rPr>
          <w:rFonts w:cs="Arial"/>
        </w:rPr>
        <w:t>.</w:t>
      </w:r>
    </w:p>
    <w:p w14:paraId="50C0C0FF" w14:textId="77777777" w:rsidR="00F62A4F" w:rsidRPr="002C3B84" w:rsidRDefault="00F62A4F" w:rsidP="00A85630">
      <w:pPr>
        <w:ind w:right="-330"/>
        <w:rPr>
          <w:rFonts w:cs="Arial"/>
        </w:rPr>
      </w:pPr>
      <w:r w:rsidRPr="002C3B84">
        <w:rPr>
          <w:rFonts w:cs="Arial"/>
        </w:rPr>
        <w:t xml:space="preserve">Key exclusion criteria across pivotal trials were: use of high potency opioid analgesics; ongoing use of certain psoriasis treatments, e.g. topical or systemic corticosteroids or UV therapy; previous exposure to </w:t>
      </w:r>
      <w:proofErr w:type="spellStart"/>
      <w:r w:rsidRPr="002C3B84">
        <w:rPr>
          <w:rFonts w:cs="Arial"/>
        </w:rPr>
        <w:t>secukinumab</w:t>
      </w:r>
      <w:proofErr w:type="spellEnd"/>
      <w:r w:rsidRPr="002C3B84">
        <w:rPr>
          <w:rFonts w:cs="Arial"/>
        </w:rPr>
        <w:t xml:space="preserve"> or any other biologic drugs for psoriasis and </w:t>
      </w:r>
      <w:proofErr w:type="spellStart"/>
      <w:r w:rsidRPr="002C3B84">
        <w:rPr>
          <w:rFonts w:cs="Arial"/>
        </w:rPr>
        <w:t>PsA</w:t>
      </w:r>
      <w:proofErr w:type="spellEnd"/>
      <w:r w:rsidRPr="002C3B84">
        <w:rPr>
          <w:rFonts w:cs="Arial"/>
        </w:rPr>
        <w:t xml:space="preserve"> except for those targeting TNFα, patients with active, ongoing inflammatory disease other than </w:t>
      </w:r>
      <w:proofErr w:type="spellStart"/>
      <w:r w:rsidRPr="002C3B84">
        <w:rPr>
          <w:rFonts w:cs="Arial"/>
        </w:rPr>
        <w:t>PsA</w:t>
      </w:r>
      <w:proofErr w:type="spellEnd"/>
      <w:r w:rsidRPr="002C3B84">
        <w:rPr>
          <w:rFonts w:cs="Arial"/>
        </w:rPr>
        <w:t xml:space="preserve">; patients with active, ongoing, chronic or recurrent infectious disease; evidence of tuberculosis infection (enrolment was allowed for patients with latent tuberculosis if appropriate treatment was initiated and maintained according to the local treatment guideline); history of HIV, hepatitis B or hepatitis C; underlying immunocompromising conditions; presence of lymphoproliferative disease, malignancy or history of malignancy within the past 5 years; significant medical problems including uncontrolled hypertension and congestive heart failure (NYHA Class III and IV); patients with serum creatinine &gt;132.6 </w:t>
      </w:r>
      <w:proofErr w:type="spellStart"/>
      <w:r w:rsidRPr="002C3B84">
        <w:rPr>
          <w:rFonts w:cs="Arial"/>
        </w:rPr>
        <w:t>micromol</w:t>
      </w:r>
      <w:proofErr w:type="spellEnd"/>
      <w:r w:rsidRPr="002C3B84">
        <w:rPr>
          <w:rFonts w:cs="Arial"/>
        </w:rPr>
        <w:t>/L or with white blood cell count &lt;3,000 /</w:t>
      </w:r>
      <w:proofErr w:type="spellStart"/>
      <w:r w:rsidRPr="002C3B84">
        <w:rPr>
          <w:rFonts w:cs="Arial"/>
        </w:rPr>
        <w:t>microL</w:t>
      </w:r>
      <w:proofErr w:type="spellEnd"/>
      <w:r w:rsidRPr="002C3B84">
        <w:rPr>
          <w:rFonts w:cs="Arial"/>
        </w:rPr>
        <w:t>,, platelets &lt;100,000/</w:t>
      </w:r>
      <w:proofErr w:type="spellStart"/>
      <w:r w:rsidRPr="002C3B84">
        <w:rPr>
          <w:rFonts w:cs="Arial"/>
        </w:rPr>
        <w:t>microL</w:t>
      </w:r>
      <w:proofErr w:type="spellEnd"/>
      <w:r w:rsidRPr="002C3B84">
        <w:rPr>
          <w:rFonts w:cs="Arial"/>
        </w:rPr>
        <w:t>, neutrophils &lt;1,500/</w:t>
      </w:r>
      <w:proofErr w:type="spellStart"/>
      <w:r w:rsidRPr="002C3B84">
        <w:rPr>
          <w:rFonts w:cs="Arial"/>
        </w:rPr>
        <w:t>microL</w:t>
      </w:r>
      <w:proofErr w:type="spellEnd"/>
      <w:r w:rsidRPr="002C3B84">
        <w:rPr>
          <w:rFonts w:cs="Arial"/>
        </w:rPr>
        <w:t xml:space="preserve"> or haemoglobin &lt;8.5 g/</w:t>
      </w:r>
      <w:proofErr w:type="spellStart"/>
      <w:r w:rsidRPr="002C3B84">
        <w:rPr>
          <w:rFonts w:cs="Arial"/>
        </w:rPr>
        <w:t>dL</w:t>
      </w:r>
      <w:proofErr w:type="spellEnd"/>
      <w:r w:rsidRPr="002C3B84">
        <w:rPr>
          <w:rFonts w:cs="Arial"/>
        </w:rPr>
        <w:t>; pregnant or nursing women; and women of child-bearing potential not using effective contraception during the study.</w:t>
      </w:r>
    </w:p>
    <w:p w14:paraId="0DB8DECA" w14:textId="77777777" w:rsidR="00F62A4F" w:rsidRPr="002C3B84" w:rsidRDefault="00F62A4F" w:rsidP="00AF46A0">
      <w:pPr>
        <w:spacing w:after="120"/>
        <w:rPr>
          <w:rFonts w:asciiTheme="majorHAnsi" w:eastAsiaTheme="majorEastAsia" w:hAnsiTheme="majorHAnsi" w:cstheme="minorHAnsi"/>
          <w:b/>
          <w:bCs/>
        </w:rPr>
      </w:pPr>
      <w:r w:rsidRPr="002C3B84">
        <w:rPr>
          <w:rFonts w:asciiTheme="majorHAnsi" w:eastAsiaTheme="majorEastAsia" w:hAnsiTheme="majorHAnsi" w:cstheme="minorHAnsi"/>
          <w:b/>
          <w:bCs/>
        </w:rPr>
        <w:t>FUTURE 1 Study (F2306)</w:t>
      </w:r>
    </w:p>
    <w:p w14:paraId="0847B14B" w14:textId="76704670" w:rsidR="00F62A4F" w:rsidRPr="002C3B84" w:rsidRDefault="00F62A4F" w:rsidP="00AF46A0">
      <w:pPr>
        <w:rPr>
          <w:rFonts w:cs="Arial"/>
        </w:rPr>
      </w:pPr>
      <w:r w:rsidRPr="002C3B84">
        <w:rPr>
          <w:rFonts w:cs="Arial"/>
        </w:rPr>
        <w:t>PsA1 Study evaluated 606 patients, of whom 60.7% had concomitant MTX. Patients randomi</w:t>
      </w:r>
      <w:r w:rsidR="001A2207" w:rsidRPr="002C3B84">
        <w:rPr>
          <w:rFonts w:cs="Arial"/>
        </w:rPr>
        <w:t>s</w:t>
      </w:r>
      <w:r w:rsidRPr="002C3B84">
        <w:rPr>
          <w:rFonts w:cs="Arial"/>
        </w:rPr>
        <w:t xml:space="preserve">ed to COSENTYX received 10 mg/kg, </w:t>
      </w:r>
      <w:proofErr w:type="spellStart"/>
      <w:r w:rsidRPr="002C3B84">
        <w:rPr>
          <w:rFonts w:cs="Arial"/>
        </w:rPr>
        <w:t>i.v.</w:t>
      </w:r>
      <w:proofErr w:type="spellEnd"/>
      <w:r w:rsidRPr="002C3B84">
        <w:rPr>
          <w:rFonts w:cs="Arial"/>
        </w:rPr>
        <w:t xml:space="preserve"> at Weeks 0, 2, and 4, followed by either 75 mg or 150 mg </w:t>
      </w:r>
      <w:proofErr w:type="spellStart"/>
      <w:r w:rsidRPr="002C3B84">
        <w:rPr>
          <w:rFonts w:cs="Arial"/>
        </w:rPr>
        <w:t>s.c.</w:t>
      </w:r>
      <w:proofErr w:type="spellEnd"/>
      <w:r w:rsidRPr="002C3B84">
        <w:rPr>
          <w:rFonts w:cs="Arial"/>
        </w:rPr>
        <w:t xml:space="preserve"> every month starting at Week 8. Patients randomi</w:t>
      </w:r>
      <w:r w:rsidR="001A2207" w:rsidRPr="002C3B84">
        <w:rPr>
          <w:rFonts w:cs="Arial"/>
        </w:rPr>
        <w:t>s</w:t>
      </w:r>
      <w:r w:rsidRPr="002C3B84">
        <w:rPr>
          <w:rFonts w:cs="Arial"/>
        </w:rPr>
        <w:t xml:space="preserve">ed to receive placebo who were non-responders at Week 16 (early rescue) and other placebo patients at Week 24 were crossed over to receive COSENTYX (either 75 mg or 150 mg) at Week 16 followed by the same dose every month. </w:t>
      </w:r>
    </w:p>
    <w:p w14:paraId="41694FC8" w14:textId="77777777" w:rsidR="00F62A4F" w:rsidRPr="002C3B84" w:rsidRDefault="00F62A4F" w:rsidP="00AF46A0">
      <w:pPr>
        <w:spacing w:after="120"/>
        <w:rPr>
          <w:rFonts w:asciiTheme="majorHAnsi" w:eastAsiaTheme="majorEastAsia" w:hAnsiTheme="majorHAnsi" w:cstheme="minorHAnsi"/>
          <w:b/>
          <w:bCs/>
        </w:rPr>
      </w:pPr>
      <w:r w:rsidRPr="002C3B84">
        <w:rPr>
          <w:rFonts w:asciiTheme="majorHAnsi" w:eastAsiaTheme="majorEastAsia" w:hAnsiTheme="majorHAnsi" w:cstheme="minorHAnsi"/>
          <w:b/>
          <w:bCs/>
        </w:rPr>
        <w:t>FUTURE 2 Study (F2312)</w:t>
      </w:r>
    </w:p>
    <w:p w14:paraId="002674B7" w14:textId="1C5D46A8" w:rsidR="00F62A4F" w:rsidRPr="002C3B84" w:rsidRDefault="00F62A4F" w:rsidP="00AF46A0">
      <w:pPr>
        <w:rPr>
          <w:rFonts w:cs="Arial"/>
        </w:rPr>
      </w:pPr>
      <w:r w:rsidRPr="002C3B84">
        <w:rPr>
          <w:rFonts w:cs="Arial"/>
        </w:rPr>
        <w:t>PsA2 Study evaluated 397 patients, of whom 46.6% had concomitant MTX. Patients randomi</w:t>
      </w:r>
      <w:r w:rsidR="001A2207" w:rsidRPr="002C3B84">
        <w:rPr>
          <w:rFonts w:cs="Arial"/>
        </w:rPr>
        <w:t>s</w:t>
      </w:r>
      <w:r w:rsidRPr="002C3B84">
        <w:rPr>
          <w:rFonts w:cs="Arial"/>
        </w:rPr>
        <w:t xml:space="preserve">ed to COSENTYX received 75 mg, 150 mg or 300 mg </w:t>
      </w:r>
      <w:proofErr w:type="spellStart"/>
      <w:r w:rsidRPr="002C3B84">
        <w:rPr>
          <w:rFonts w:cs="Arial"/>
        </w:rPr>
        <w:t>s.c.</w:t>
      </w:r>
      <w:proofErr w:type="spellEnd"/>
      <w:r w:rsidRPr="002C3B84">
        <w:rPr>
          <w:rFonts w:cs="Arial"/>
        </w:rPr>
        <w:t xml:space="preserve"> at Weeks 0, 1, 2, 3, and 4 followed by the same dose every month. Patients randomi</w:t>
      </w:r>
      <w:r w:rsidR="001A2207" w:rsidRPr="002C3B84">
        <w:rPr>
          <w:rFonts w:cs="Arial"/>
        </w:rPr>
        <w:t>s</w:t>
      </w:r>
      <w:r w:rsidRPr="002C3B84">
        <w:rPr>
          <w:rFonts w:cs="Arial"/>
        </w:rPr>
        <w:t xml:space="preserve">ed to receive placebo who were non-responders at Week 16 (early rescue) were then crossed over to receive COSENTYX (either 150 mg or 300 mg, </w:t>
      </w:r>
      <w:proofErr w:type="spellStart"/>
      <w:r w:rsidRPr="002C3B84">
        <w:rPr>
          <w:rFonts w:cs="Arial"/>
        </w:rPr>
        <w:t>s.c.</w:t>
      </w:r>
      <w:proofErr w:type="spellEnd"/>
      <w:r w:rsidRPr="002C3B84">
        <w:rPr>
          <w:rFonts w:cs="Arial"/>
        </w:rPr>
        <w:t>) at Week 16 followed by the same dose every month. Patients randomi</w:t>
      </w:r>
      <w:r w:rsidR="00371153">
        <w:rPr>
          <w:rFonts w:cs="Arial"/>
        </w:rPr>
        <w:t>s</w:t>
      </w:r>
      <w:r w:rsidRPr="002C3B84">
        <w:rPr>
          <w:rFonts w:cs="Arial"/>
        </w:rPr>
        <w:t xml:space="preserve">ed to receive placebo who were responders at Week 16 were crossed over to receive COSENTYX (either 150 mg or 300 mg) at Week 24 followed by the same dose every month. </w:t>
      </w:r>
    </w:p>
    <w:p w14:paraId="5E5847C7" w14:textId="77777777" w:rsidR="001A2207" w:rsidRPr="002C3B84" w:rsidRDefault="001A2207" w:rsidP="00AF46A0">
      <w:pPr>
        <w:spacing w:after="120"/>
        <w:rPr>
          <w:rFonts w:asciiTheme="majorHAnsi" w:eastAsiaTheme="majorEastAsia" w:hAnsiTheme="majorHAnsi" w:cstheme="minorHAnsi"/>
          <w:b/>
          <w:bCs/>
        </w:rPr>
      </w:pPr>
      <w:r w:rsidRPr="002C3B84">
        <w:rPr>
          <w:rFonts w:asciiTheme="majorHAnsi" w:eastAsiaTheme="majorEastAsia" w:hAnsiTheme="majorHAnsi" w:cstheme="minorHAnsi"/>
          <w:b/>
          <w:bCs/>
        </w:rPr>
        <w:t>FUTURE 5 Study (F2342)</w:t>
      </w:r>
    </w:p>
    <w:p w14:paraId="7BC67914" w14:textId="2D4FD1AE" w:rsidR="001A2207" w:rsidRPr="002C3B84" w:rsidRDefault="001A2207" w:rsidP="00AF46A0">
      <w:pPr>
        <w:rPr>
          <w:rFonts w:cs="Arial"/>
        </w:rPr>
      </w:pPr>
      <w:r w:rsidRPr="002C3B84">
        <w:rPr>
          <w:rFonts w:cs="Arial"/>
        </w:rPr>
        <w:t xml:space="preserve">PsA3 Study evaluated 996 patients, of whom 50.1% had concomitant MTX treatment. Patients were randomised to receive COSENTYX 150 mg, 300 mg, or placebo </w:t>
      </w:r>
      <w:proofErr w:type="spellStart"/>
      <w:r w:rsidRPr="002C3B84">
        <w:rPr>
          <w:rFonts w:cs="Arial"/>
        </w:rPr>
        <w:t>s.c.</w:t>
      </w:r>
      <w:proofErr w:type="spellEnd"/>
      <w:r w:rsidRPr="002C3B84">
        <w:rPr>
          <w:rFonts w:cs="Arial"/>
        </w:rPr>
        <w:t xml:space="preserve"> at Weeks 0, 1, 2, 3 and 4 followed by the same dose every month, or a once monthly injection of COSENTYX 150 mg</w:t>
      </w:r>
      <w:r w:rsidR="00DC4A2E" w:rsidRPr="002C3B84">
        <w:rPr>
          <w:rFonts w:cs="Arial"/>
        </w:rPr>
        <w:t xml:space="preserve"> (without loading)</w:t>
      </w:r>
      <w:r w:rsidRPr="002C3B84">
        <w:rPr>
          <w:rFonts w:cs="Arial"/>
        </w:rPr>
        <w:t xml:space="preserve">. Patients randomised to receive placebo who were non-responders at Week 16 were then crossed over to receive COSENTYX (either 150 mg or 300 mg, </w:t>
      </w:r>
      <w:proofErr w:type="spellStart"/>
      <w:r w:rsidRPr="002C3B84">
        <w:rPr>
          <w:rFonts w:cs="Arial"/>
        </w:rPr>
        <w:t>s.c.</w:t>
      </w:r>
      <w:proofErr w:type="spellEnd"/>
      <w:r w:rsidRPr="002C3B84">
        <w:rPr>
          <w:rFonts w:cs="Arial"/>
        </w:rPr>
        <w:t>) at Week 16 followed by the same dose every month. Patients randomised to receive placebo who were responders at Week 16 were crossed over to receive COSENTYX (either 150 mg or 300 mg) at Week 24 followed by the same dose every month.</w:t>
      </w:r>
      <w:r w:rsidR="00B25248" w:rsidRPr="002C3B84">
        <w:rPr>
          <w:rFonts w:cs="Arial"/>
        </w:rPr>
        <w:t xml:space="preserve"> The total combined duration of treatment for PsA3 Study is 2 years.</w:t>
      </w:r>
    </w:p>
    <w:p w14:paraId="081FF00D" w14:textId="77777777" w:rsidR="00F62A4F" w:rsidRPr="002C3B84" w:rsidRDefault="00F62A4F" w:rsidP="00AF46A0">
      <w:pPr>
        <w:spacing w:after="120"/>
        <w:rPr>
          <w:rFonts w:asciiTheme="majorHAnsi" w:eastAsiaTheme="majorEastAsia" w:hAnsiTheme="majorHAnsi" w:cstheme="minorHAnsi"/>
          <w:b/>
          <w:bCs/>
        </w:rPr>
      </w:pPr>
      <w:r w:rsidRPr="002C3B84">
        <w:rPr>
          <w:rFonts w:asciiTheme="majorHAnsi" w:eastAsiaTheme="majorEastAsia" w:hAnsiTheme="majorHAnsi" w:cstheme="minorHAnsi"/>
          <w:b/>
          <w:bCs/>
        </w:rPr>
        <w:t>Signs and symptoms</w:t>
      </w:r>
    </w:p>
    <w:p w14:paraId="2C5E7AC9" w14:textId="416C509B" w:rsidR="003418E5" w:rsidRDefault="001A2207" w:rsidP="00AF46A0">
      <w:pPr>
        <w:rPr>
          <w:rFonts w:cs="Arial"/>
        </w:rPr>
      </w:pPr>
      <w:r w:rsidRPr="002C3B84">
        <w:t>Treatment with COSENTYX resulted in significant improvement in the measure of disease activity compared to placebo at Weeks 16</w:t>
      </w:r>
      <w:r w:rsidR="005C4D15" w:rsidRPr="002C3B84">
        <w:t xml:space="preserve"> and</w:t>
      </w:r>
      <w:r w:rsidRPr="002C3B84">
        <w:t xml:space="preserve"> 24 </w:t>
      </w:r>
      <w:r w:rsidR="0016038E" w:rsidRPr="002C3B84">
        <w:rPr>
          <w:rFonts w:cs="Arial"/>
        </w:rPr>
        <w:t>(see Table 8</w:t>
      </w:r>
      <w:r w:rsidR="00F62A4F" w:rsidRPr="002C3B84">
        <w:rPr>
          <w:rFonts w:cs="Arial"/>
        </w:rPr>
        <w:t>).</w:t>
      </w:r>
      <w:bookmarkStart w:id="3" w:name="_Toc411604539"/>
      <w:bookmarkStart w:id="4" w:name="_Toc405968100"/>
    </w:p>
    <w:p w14:paraId="45750DA5" w14:textId="77777777" w:rsidR="00A85630" w:rsidRDefault="00A85630" w:rsidP="00AF46A0">
      <w:pPr>
        <w:spacing w:after="120"/>
        <w:ind w:left="1166" w:hanging="1166"/>
        <w:rPr>
          <w:rFonts w:ascii="Arial" w:hAnsi="Arial" w:cs="Arial"/>
          <w:b/>
          <w:sz w:val="20"/>
        </w:rPr>
      </w:pPr>
    </w:p>
    <w:p w14:paraId="572DA26B" w14:textId="77777777" w:rsidR="00A85630" w:rsidRDefault="00A85630" w:rsidP="00AF46A0">
      <w:pPr>
        <w:spacing w:after="120"/>
        <w:ind w:left="1166" w:hanging="1166"/>
        <w:rPr>
          <w:rFonts w:ascii="Arial" w:hAnsi="Arial" w:cs="Arial"/>
          <w:b/>
          <w:sz w:val="20"/>
        </w:rPr>
      </w:pPr>
    </w:p>
    <w:p w14:paraId="4C819811" w14:textId="77777777" w:rsidR="00A85630" w:rsidRDefault="00A85630" w:rsidP="00AF46A0">
      <w:pPr>
        <w:spacing w:after="120"/>
        <w:ind w:left="1166" w:hanging="1166"/>
        <w:rPr>
          <w:rFonts w:ascii="Arial" w:hAnsi="Arial" w:cs="Arial"/>
          <w:b/>
          <w:sz w:val="20"/>
        </w:rPr>
      </w:pPr>
    </w:p>
    <w:p w14:paraId="21B5AF8C" w14:textId="4CBB6795" w:rsidR="00AC3297" w:rsidRPr="00733D88" w:rsidRDefault="0016038E" w:rsidP="00AF46A0">
      <w:pPr>
        <w:spacing w:after="120"/>
        <w:ind w:left="1166" w:hanging="1166"/>
        <w:rPr>
          <w:rFonts w:ascii="Arial" w:hAnsi="Arial" w:cs="Arial"/>
          <w:b/>
          <w:sz w:val="20"/>
        </w:rPr>
      </w:pPr>
      <w:r w:rsidRPr="00733D88">
        <w:rPr>
          <w:rFonts w:ascii="Arial" w:hAnsi="Arial" w:cs="Arial"/>
          <w:b/>
          <w:sz w:val="20"/>
        </w:rPr>
        <w:t>Table 8</w:t>
      </w:r>
      <w:r w:rsidR="00F62A4F" w:rsidRPr="00733D88">
        <w:rPr>
          <w:rFonts w:ascii="Arial" w:hAnsi="Arial" w:cs="Arial"/>
          <w:b/>
          <w:sz w:val="20"/>
        </w:rPr>
        <w:tab/>
      </w:r>
      <w:r w:rsidR="001A2207" w:rsidRPr="00733D88">
        <w:rPr>
          <w:rFonts w:ascii="Arial" w:hAnsi="Arial" w:cs="Arial"/>
          <w:b/>
          <w:sz w:val="20"/>
        </w:rPr>
        <w:t xml:space="preserve">Clinical response in PsA2 and PsA3 Studies at Week 16 </w:t>
      </w:r>
      <w:r w:rsidR="00125CBA" w:rsidRPr="00733D88">
        <w:rPr>
          <w:rFonts w:ascii="Arial" w:hAnsi="Arial" w:cs="Arial"/>
          <w:b/>
          <w:sz w:val="20"/>
        </w:rPr>
        <w:t xml:space="preserve">and </w:t>
      </w:r>
      <w:r w:rsidR="001A2207" w:rsidRPr="00733D88">
        <w:rPr>
          <w:rFonts w:ascii="Arial" w:hAnsi="Arial" w:cs="Arial"/>
          <w:b/>
          <w:sz w:val="20"/>
        </w:rPr>
        <w:t>Week 24</w:t>
      </w:r>
    </w:p>
    <w:tbl>
      <w:tblPr>
        <w:tblStyle w:val="TableGrid"/>
        <w:tblW w:w="0" w:type="auto"/>
        <w:tblLook w:val="04A0" w:firstRow="1" w:lastRow="0" w:firstColumn="1" w:lastColumn="0" w:noHBand="0" w:noVBand="1"/>
      </w:tblPr>
      <w:tblGrid>
        <w:gridCol w:w="2441"/>
        <w:gridCol w:w="1071"/>
        <w:gridCol w:w="1093"/>
        <w:gridCol w:w="1093"/>
        <w:gridCol w:w="1072"/>
        <w:gridCol w:w="1163"/>
        <w:gridCol w:w="1083"/>
      </w:tblGrid>
      <w:tr w:rsidR="001C4469" w:rsidRPr="00D45099" w14:paraId="32231EDA" w14:textId="77777777" w:rsidTr="002D07A3">
        <w:trPr>
          <w:cantSplit/>
        </w:trPr>
        <w:tc>
          <w:tcPr>
            <w:tcW w:w="2515" w:type="dxa"/>
            <w:vMerge w:val="restart"/>
            <w:vAlign w:val="center"/>
          </w:tcPr>
          <w:p w14:paraId="521C45FB" w14:textId="77777777" w:rsidR="002C3B84" w:rsidRPr="00904D71" w:rsidRDefault="002C3B84" w:rsidP="00AF46A0">
            <w:pPr>
              <w:spacing w:after="0"/>
              <w:rPr>
                <w:rFonts w:ascii="Arial" w:hAnsi="Arial" w:cs="Arial"/>
                <w:b/>
                <w:sz w:val="18"/>
                <w:szCs w:val="16"/>
              </w:rPr>
            </w:pPr>
          </w:p>
        </w:tc>
        <w:tc>
          <w:tcPr>
            <w:tcW w:w="3250" w:type="dxa"/>
            <w:gridSpan w:val="3"/>
            <w:vAlign w:val="center"/>
          </w:tcPr>
          <w:p w14:paraId="21B589E6" w14:textId="77777777" w:rsidR="002C3B84" w:rsidRPr="00914388" w:rsidRDefault="002C3B84" w:rsidP="00AF46A0">
            <w:pPr>
              <w:spacing w:after="0"/>
              <w:rPr>
                <w:rFonts w:ascii="Arial" w:hAnsi="Arial" w:cs="Arial"/>
                <w:b/>
                <w:sz w:val="18"/>
                <w:szCs w:val="16"/>
              </w:rPr>
            </w:pPr>
            <w:r w:rsidRPr="00914388">
              <w:rPr>
                <w:rFonts w:ascii="Arial" w:hAnsi="Arial" w:cs="Arial"/>
                <w:b/>
                <w:sz w:val="18"/>
                <w:szCs w:val="16"/>
              </w:rPr>
              <w:t>PsA2</w:t>
            </w:r>
          </w:p>
        </w:tc>
        <w:tc>
          <w:tcPr>
            <w:tcW w:w="3251" w:type="dxa"/>
            <w:gridSpan w:val="3"/>
            <w:vAlign w:val="center"/>
          </w:tcPr>
          <w:p w14:paraId="4C77FC9E" w14:textId="77777777" w:rsidR="002C3B84" w:rsidRPr="00B77816" w:rsidRDefault="002C3B84" w:rsidP="00AF46A0">
            <w:pPr>
              <w:spacing w:after="0"/>
              <w:rPr>
                <w:rFonts w:ascii="Arial" w:hAnsi="Arial" w:cs="Arial"/>
                <w:b/>
                <w:sz w:val="18"/>
                <w:szCs w:val="16"/>
              </w:rPr>
            </w:pPr>
            <w:r w:rsidRPr="00B77816">
              <w:rPr>
                <w:rFonts w:ascii="Arial" w:hAnsi="Arial" w:cs="Arial"/>
                <w:b/>
                <w:sz w:val="18"/>
                <w:szCs w:val="16"/>
              </w:rPr>
              <w:t>PsA3</w:t>
            </w:r>
          </w:p>
        </w:tc>
      </w:tr>
      <w:tr w:rsidR="001C4469" w:rsidRPr="00D45099" w14:paraId="56AB629E" w14:textId="77777777" w:rsidTr="002D07A3">
        <w:trPr>
          <w:cantSplit/>
        </w:trPr>
        <w:tc>
          <w:tcPr>
            <w:tcW w:w="2515" w:type="dxa"/>
            <w:vMerge/>
            <w:vAlign w:val="center"/>
          </w:tcPr>
          <w:p w14:paraId="086368CA" w14:textId="77777777" w:rsidR="002C3B84" w:rsidRPr="002D07A3" w:rsidRDefault="002C3B84" w:rsidP="00AF46A0">
            <w:pPr>
              <w:spacing w:after="0"/>
              <w:rPr>
                <w:rFonts w:ascii="Arial" w:hAnsi="Arial" w:cs="Arial"/>
                <w:b/>
                <w:sz w:val="18"/>
                <w:szCs w:val="16"/>
              </w:rPr>
            </w:pPr>
          </w:p>
        </w:tc>
        <w:tc>
          <w:tcPr>
            <w:tcW w:w="1083" w:type="dxa"/>
            <w:vAlign w:val="center"/>
          </w:tcPr>
          <w:p w14:paraId="68B7CDD2" w14:textId="77777777" w:rsidR="002C3B84" w:rsidRPr="00904D71" w:rsidRDefault="002C3B84" w:rsidP="00AF46A0">
            <w:pPr>
              <w:spacing w:after="0"/>
              <w:rPr>
                <w:rFonts w:ascii="Arial" w:hAnsi="Arial" w:cs="Arial"/>
                <w:b/>
                <w:sz w:val="18"/>
                <w:szCs w:val="16"/>
              </w:rPr>
            </w:pPr>
            <w:r w:rsidRPr="002D07A3">
              <w:rPr>
                <w:rFonts w:ascii="Arial" w:hAnsi="Arial" w:cs="Arial"/>
                <w:sz w:val="18"/>
                <w:szCs w:val="16"/>
              </w:rPr>
              <w:t>Placebo</w:t>
            </w:r>
          </w:p>
        </w:tc>
        <w:tc>
          <w:tcPr>
            <w:tcW w:w="1084" w:type="dxa"/>
            <w:vAlign w:val="center"/>
          </w:tcPr>
          <w:p w14:paraId="6E5FD338" w14:textId="77777777" w:rsidR="002C3B84" w:rsidRPr="00914388" w:rsidRDefault="002C3B84" w:rsidP="00AF46A0">
            <w:pPr>
              <w:spacing w:after="0"/>
              <w:rPr>
                <w:rFonts w:ascii="Arial" w:hAnsi="Arial" w:cs="Arial"/>
                <w:b/>
                <w:sz w:val="18"/>
                <w:szCs w:val="16"/>
              </w:rPr>
            </w:pPr>
            <w:r w:rsidRPr="00914388">
              <w:rPr>
                <w:rFonts w:ascii="Arial" w:hAnsi="Arial" w:cs="Arial"/>
                <w:sz w:val="18"/>
                <w:szCs w:val="16"/>
              </w:rPr>
              <w:t>150 mg</w:t>
            </w:r>
            <w:r w:rsidRPr="00914388">
              <w:rPr>
                <w:rFonts w:ascii="Arial" w:hAnsi="Arial" w:cs="Arial"/>
                <w:b/>
                <w:sz w:val="18"/>
                <w:szCs w:val="16"/>
                <w:vertAlign w:val="superscript"/>
              </w:rPr>
              <w:t>1</w:t>
            </w:r>
          </w:p>
        </w:tc>
        <w:tc>
          <w:tcPr>
            <w:tcW w:w="1083" w:type="dxa"/>
            <w:vAlign w:val="center"/>
          </w:tcPr>
          <w:p w14:paraId="6D36F4B1" w14:textId="77777777" w:rsidR="002C3B84" w:rsidRPr="0001542A" w:rsidRDefault="002C3B84" w:rsidP="00AF46A0">
            <w:pPr>
              <w:spacing w:after="0"/>
              <w:rPr>
                <w:rFonts w:ascii="Arial" w:hAnsi="Arial" w:cs="Arial"/>
                <w:b/>
                <w:sz w:val="18"/>
                <w:szCs w:val="16"/>
              </w:rPr>
            </w:pPr>
            <w:r w:rsidRPr="00B77816">
              <w:rPr>
                <w:rFonts w:ascii="Arial" w:hAnsi="Arial" w:cs="Arial"/>
                <w:sz w:val="18"/>
                <w:szCs w:val="16"/>
              </w:rPr>
              <w:t>300 mg</w:t>
            </w:r>
            <w:r w:rsidRPr="00B77816">
              <w:rPr>
                <w:rFonts w:ascii="Arial" w:hAnsi="Arial" w:cs="Arial"/>
                <w:b/>
                <w:sz w:val="18"/>
                <w:szCs w:val="16"/>
                <w:vertAlign w:val="superscript"/>
              </w:rPr>
              <w:t>1</w:t>
            </w:r>
          </w:p>
        </w:tc>
        <w:tc>
          <w:tcPr>
            <w:tcW w:w="1084" w:type="dxa"/>
            <w:vAlign w:val="center"/>
          </w:tcPr>
          <w:p w14:paraId="7056131F" w14:textId="77777777" w:rsidR="002C3B84" w:rsidRPr="00904D71" w:rsidRDefault="002C3B84" w:rsidP="00AF46A0">
            <w:pPr>
              <w:spacing w:after="0"/>
              <w:rPr>
                <w:rFonts w:ascii="Arial" w:hAnsi="Arial" w:cs="Arial"/>
                <w:b/>
                <w:sz w:val="18"/>
                <w:szCs w:val="16"/>
              </w:rPr>
            </w:pPr>
            <w:r w:rsidRPr="002D07A3">
              <w:rPr>
                <w:rFonts w:ascii="Arial" w:hAnsi="Arial" w:cs="Arial"/>
                <w:sz w:val="18"/>
                <w:szCs w:val="16"/>
              </w:rPr>
              <w:t>Placebo</w:t>
            </w:r>
          </w:p>
        </w:tc>
        <w:tc>
          <w:tcPr>
            <w:tcW w:w="1083" w:type="dxa"/>
            <w:vAlign w:val="center"/>
          </w:tcPr>
          <w:p w14:paraId="312890F6" w14:textId="77777777" w:rsidR="002C3B84" w:rsidRPr="00914388" w:rsidRDefault="002C3B84" w:rsidP="00AF46A0">
            <w:pPr>
              <w:spacing w:after="0"/>
              <w:rPr>
                <w:rFonts w:ascii="Arial" w:hAnsi="Arial" w:cs="Arial"/>
                <w:b/>
                <w:sz w:val="18"/>
                <w:szCs w:val="16"/>
              </w:rPr>
            </w:pPr>
            <w:r w:rsidRPr="00914388">
              <w:rPr>
                <w:rFonts w:ascii="Arial" w:hAnsi="Arial" w:cs="Arial"/>
                <w:sz w:val="18"/>
                <w:szCs w:val="16"/>
              </w:rPr>
              <w:t>150 mg</w:t>
            </w:r>
            <w:r w:rsidRPr="00914388">
              <w:rPr>
                <w:rFonts w:ascii="Arial" w:hAnsi="Arial" w:cs="Arial"/>
                <w:b/>
                <w:sz w:val="18"/>
                <w:szCs w:val="16"/>
                <w:vertAlign w:val="superscript"/>
              </w:rPr>
              <w:t>1</w:t>
            </w:r>
          </w:p>
        </w:tc>
        <w:tc>
          <w:tcPr>
            <w:tcW w:w="1084" w:type="dxa"/>
            <w:vAlign w:val="center"/>
          </w:tcPr>
          <w:p w14:paraId="7C4DFB37" w14:textId="77777777" w:rsidR="002C3B84" w:rsidRPr="0001542A" w:rsidRDefault="002C3B84" w:rsidP="00AF46A0">
            <w:pPr>
              <w:spacing w:after="0"/>
              <w:rPr>
                <w:rFonts w:ascii="Arial" w:hAnsi="Arial" w:cs="Arial"/>
                <w:b/>
                <w:sz w:val="18"/>
                <w:szCs w:val="16"/>
              </w:rPr>
            </w:pPr>
            <w:r w:rsidRPr="00B77816">
              <w:rPr>
                <w:rFonts w:ascii="Arial" w:hAnsi="Arial" w:cs="Arial"/>
                <w:sz w:val="18"/>
                <w:szCs w:val="16"/>
              </w:rPr>
              <w:t>300 mg</w:t>
            </w:r>
            <w:r w:rsidRPr="00B77816">
              <w:rPr>
                <w:rFonts w:ascii="Arial" w:hAnsi="Arial" w:cs="Arial"/>
                <w:b/>
                <w:sz w:val="18"/>
                <w:szCs w:val="16"/>
                <w:vertAlign w:val="superscript"/>
              </w:rPr>
              <w:t>1</w:t>
            </w:r>
          </w:p>
        </w:tc>
      </w:tr>
      <w:tr w:rsidR="001C4469" w:rsidRPr="00D45099" w14:paraId="6545DF55" w14:textId="77777777" w:rsidTr="002D07A3">
        <w:trPr>
          <w:cantSplit/>
          <w:trHeight w:val="340"/>
        </w:trPr>
        <w:tc>
          <w:tcPr>
            <w:tcW w:w="2515" w:type="dxa"/>
            <w:tcBorders>
              <w:bottom w:val="single" w:sz="4" w:space="0" w:color="auto"/>
            </w:tcBorders>
            <w:vAlign w:val="center"/>
          </w:tcPr>
          <w:p w14:paraId="07F32822" w14:textId="77777777" w:rsidR="007858F0" w:rsidRPr="00914388" w:rsidRDefault="007858F0" w:rsidP="00AF46A0">
            <w:pPr>
              <w:spacing w:after="0"/>
              <w:rPr>
                <w:rFonts w:ascii="Arial" w:hAnsi="Arial" w:cs="Arial"/>
                <w:b/>
                <w:sz w:val="18"/>
                <w:szCs w:val="16"/>
              </w:rPr>
            </w:pPr>
            <w:r w:rsidRPr="00904D71">
              <w:rPr>
                <w:rFonts w:ascii="Arial" w:hAnsi="Arial" w:cs="Arial"/>
                <w:sz w:val="18"/>
                <w:szCs w:val="16"/>
              </w:rPr>
              <w:t>Number of patients randomised</w:t>
            </w:r>
          </w:p>
        </w:tc>
        <w:tc>
          <w:tcPr>
            <w:tcW w:w="1083" w:type="dxa"/>
            <w:tcBorders>
              <w:bottom w:val="single" w:sz="4" w:space="0" w:color="auto"/>
            </w:tcBorders>
            <w:vAlign w:val="center"/>
          </w:tcPr>
          <w:p w14:paraId="165766F0" w14:textId="77777777" w:rsidR="007858F0" w:rsidRPr="00914388" w:rsidRDefault="007858F0" w:rsidP="00AF46A0">
            <w:pPr>
              <w:spacing w:after="0"/>
              <w:rPr>
                <w:rFonts w:ascii="Arial" w:hAnsi="Arial" w:cs="Arial"/>
                <w:b/>
                <w:sz w:val="18"/>
                <w:szCs w:val="16"/>
              </w:rPr>
            </w:pPr>
            <w:r w:rsidRPr="00914388">
              <w:rPr>
                <w:rFonts w:ascii="Arial" w:hAnsi="Arial" w:cs="Arial"/>
                <w:sz w:val="18"/>
                <w:szCs w:val="16"/>
              </w:rPr>
              <w:t>98</w:t>
            </w:r>
          </w:p>
        </w:tc>
        <w:tc>
          <w:tcPr>
            <w:tcW w:w="1084" w:type="dxa"/>
            <w:tcBorders>
              <w:bottom w:val="single" w:sz="4" w:space="0" w:color="auto"/>
            </w:tcBorders>
            <w:vAlign w:val="center"/>
          </w:tcPr>
          <w:p w14:paraId="3214BCB6" w14:textId="77777777" w:rsidR="007858F0" w:rsidRPr="00B77816" w:rsidRDefault="007858F0" w:rsidP="00AF46A0">
            <w:pPr>
              <w:spacing w:after="0"/>
              <w:rPr>
                <w:rFonts w:ascii="Arial" w:hAnsi="Arial" w:cs="Arial"/>
                <w:b/>
                <w:sz w:val="18"/>
                <w:szCs w:val="16"/>
              </w:rPr>
            </w:pPr>
            <w:r w:rsidRPr="00B77816">
              <w:rPr>
                <w:rFonts w:ascii="Arial" w:hAnsi="Arial" w:cs="Arial"/>
                <w:sz w:val="18"/>
                <w:szCs w:val="16"/>
              </w:rPr>
              <w:t>100</w:t>
            </w:r>
          </w:p>
        </w:tc>
        <w:tc>
          <w:tcPr>
            <w:tcW w:w="1083" w:type="dxa"/>
            <w:tcBorders>
              <w:bottom w:val="single" w:sz="4" w:space="0" w:color="auto"/>
            </w:tcBorders>
            <w:vAlign w:val="center"/>
          </w:tcPr>
          <w:p w14:paraId="60985C72" w14:textId="77777777" w:rsidR="007858F0" w:rsidRPr="009908D8" w:rsidRDefault="007858F0" w:rsidP="00AF46A0">
            <w:pPr>
              <w:spacing w:after="0"/>
              <w:rPr>
                <w:rFonts w:ascii="Arial" w:hAnsi="Arial" w:cs="Arial"/>
                <w:b/>
                <w:sz w:val="18"/>
                <w:szCs w:val="16"/>
              </w:rPr>
            </w:pPr>
            <w:r w:rsidRPr="0001542A">
              <w:rPr>
                <w:rFonts w:ascii="Arial" w:hAnsi="Arial" w:cs="Arial"/>
                <w:sz w:val="18"/>
                <w:szCs w:val="16"/>
              </w:rPr>
              <w:t>100</w:t>
            </w:r>
          </w:p>
        </w:tc>
        <w:tc>
          <w:tcPr>
            <w:tcW w:w="1084" w:type="dxa"/>
            <w:tcBorders>
              <w:bottom w:val="single" w:sz="4" w:space="0" w:color="auto"/>
            </w:tcBorders>
            <w:vAlign w:val="center"/>
          </w:tcPr>
          <w:p w14:paraId="501F6272" w14:textId="77777777" w:rsidR="007858F0" w:rsidRPr="00376702" w:rsidRDefault="007858F0" w:rsidP="00AF46A0">
            <w:pPr>
              <w:spacing w:after="0"/>
              <w:rPr>
                <w:rFonts w:ascii="Arial" w:hAnsi="Arial" w:cs="Arial"/>
                <w:b/>
                <w:sz w:val="18"/>
                <w:szCs w:val="16"/>
              </w:rPr>
            </w:pPr>
            <w:r w:rsidRPr="00505132">
              <w:rPr>
                <w:rFonts w:ascii="Arial" w:hAnsi="Arial" w:cs="Arial"/>
                <w:sz w:val="18"/>
                <w:szCs w:val="16"/>
              </w:rPr>
              <w:t>332</w:t>
            </w:r>
          </w:p>
        </w:tc>
        <w:tc>
          <w:tcPr>
            <w:tcW w:w="1083" w:type="dxa"/>
            <w:tcBorders>
              <w:bottom w:val="single" w:sz="4" w:space="0" w:color="auto"/>
            </w:tcBorders>
            <w:vAlign w:val="center"/>
          </w:tcPr>
          <w:p w14:paraId="5F1091DE" w14:textId="77777777" w:rsidR="007858F0" w:rsidRPr="00C135A5" w:rsidRDefault="007858F0" w:rsidP="00AF46A0">
            <w:pPr>
              <w:spacing w:after="0"/>
              <w:rPr>
                <w:rFonts w:ascii="Arial" w:hAnsi="Arial" w:cs="Arial"/>
                <w:b/>
                <w:sz w:val="18"/>
                <w:szCs w:val="16"/>
              </w:rPr>
            </w:pPr>
            <w:r w:rsidRPr="00C135A5">
              <w:rPr>
                <w:rFonts w:ascii="Arial" w:hAnsi="Arial" w:cs="Arial"/>
                <w:sz w:val="18"/>
                <w:szCs w:val="16"/>
              </w:rPr>
              <w:t>220</w:t>
            </w:r>
          </w:p>
        </w:tc>
        <w:tc>
          <w:tcPr>
            <w:tcW w:w="1084" w:type="dxa"/>
            <w:tcBorders>
              <w:bottom w:val="single" w:sz="4" w:space="0" w:color="auto"/>
            </w:tcBorders>
            <w:vAlign w:val="center"/>
          </w:tcPr>
          <w:p w14:paraId="19B8E56A" w14:textId="77777777" w:rsidR="007858F0" w:rsidRPr="00AD734A" w:rsidRDefault="007858F0" w:rsidP="00AF46A0">
            <w:pPr>
              <w:spacing w:after="0"/>
              <w:rPr>
                <w:rFonts w:ascii="Arial" w:hAnsi="Arial" w:cs="Arial"/>
                <w:b/>
                <w:sz w:val="18"/>
                <w:szCs w:val="16"/>
              </w:rPr>
            </w:pPr>
            <w:r w:rsidRPr="00AD734A">
              <w:rPr>
                <w:rFonts w:ascii="Arial" w:hAnsi="Arial" w:cs="Arial"/>
                <w:sz w:val="18"/>
                <w:szCs w:val="16"/>
              </w:rPr>
              <w:t>222</w:t>
            </w:r>
          </w:p>
        </w:tc>
      </w:tr>
      <w:tr w:rsidR="001C4469" w:rsidRPr="00D45099" w14:paraId="7EA72C86" w14:textId="77777777" w:rsidTr="002D07A3">
        <w:trPr>
          <w:cantSplit/>
        </w:trPr>
        <w:tc>
          <w:tcPr>
            <w:tcW w:w="2515" w:type="dxa"/>
            <w:tcBorders>
              <w:bottom w:val="nil"/>
            </w:tcBorders>
            <w:vAlign w:val="center"/>
          </w:tcPr>
          <w:p w14:paraId="3EEE4333" w14:textId="76190C83" w:rsidR="007858F0" w:rsidRPr="00904D71" w:rsidRDefault="007858F0" w:rsidP="00AF46A0">
            <w:pPr>
              <w:spacing w:after="0"/>
              <w:rPr>
                <w:szCs w:val="16"/>
              </w:rPr>
            </w:pPr>
            <w:r w:rsidRPr="002D07A3">
              <w:rPr>
                <w:rFonts w:ascii="Arial" w:eastAsiaTheme="minorHAnsi" w:hAnsi="Arial" w:cs="Arial"/>
                <w:sz w:val="18"/>
                <w:szCs w:val="16"/>
              </w:rPr>
              <w:t>ACR 20 response n(%)</w:t>
            </w:r>
          </w:p>
        </w:tc>
        <w:tc>
          <w:tcPr>
            <w:tcW w:w="1083" w:type="dxa"/>
            <w:tcBorders>
              <w:bottom w:val="nil"/>
            </w:tcBorders>
            <w:vAlign w:val="center"/>
          </w:tcPr>
          <w:p w14:paraId="5594D06C" w14:textId="77777777" w:rsidR="007858F0" w:rsidRPr="00914388" w:rsidRDefault="007858F0" w:rsidP="00AF46A0">
            <w:pPr>
              <w:spacing w:after="0"/>
              <w:rPr>
                <w:rFonts w:ascii="Arial" w:hAnsi="Arial" w:cs="Arial"/>
                <w:sz w:val="18"/>
                <w:szCs w:val="16"/>
              </w:rPr>
            </w:pPr>
          </w:p>
        </w:tc>
        <w:tc>
          <w:tcPr>
            <w:tcW w:w="1084" w:type="dxa"/>
            <w:tcBorders>
              <w:bottom w:val="nil"/>
            </w:tcBorders>
            <w:vAlign w:val="center"/>
          </w:tcPr>
          <w:p w14:paraId="490C915B" w14:textId="77777777" w:rsidR="007858F0" w:rsidRPr="00914388" w:rsidRDefault="007858F0" w:rsidP="00AF46A0">
            <w:pPr>
              <w:spacing w:after="0"/>
              <w:rPr>
                <w:rFonts w:ascii="Arial" w:hAnsi="Arial" w:cs="Arial"/>
                <w:sz w:val="18"/>
                <w:szCs w:val="16"/>
              </w:rPr>
            </w:pPr>
          </w:p>
        </w:tc>
        <w:tc>
          <w:tcPr>
            <w:tcW w:w="1083" w:type="dxa"/>
            <w:tcBorders>
              <w:bottom w:val="nil"/>
            </w:tcBorders>
            <w:vAlign w:val="center"/>
          </w:tcPr>
          <w:p w14:paraId="02312CE6" w14:textId="77777777" w:rsidR="007858F0" w:rsidRPr="00B77816" w:rsidRDefault="007858F0" w:rsidP="00AF46A0">
            <w:pPr>
              <w:spacing w:after="0"/>
              <w:rPr>
                <w:rFonts w:ascii="Arial" w:hAnsi="Arial" w:cs="Arial"/>
                <w:sz w:val="18"/>
                <w:szCs w:val="16"/>
              </w:rPr>
            </w:pPr>
          </w:p>
        </w:tc>
        <w:tc>
          <w:tcPr>
            <w:tcW w:w="1084" w:type="dxa"/>
            <w:tcBorders>
              <w:bottom w:val="nil"/>
            </w:tcBorders>
            <w:vAlign w:val="center"/>
          </w:tcPr>
          <w:p w14:paraId="3394290E" w14:textId="77777777" w:rsidR="007858F0" w:rsidRPr="0001542A" w:rsidRDefault="007858F0" w:rsidP="00AF46A0">
            <w:pPr>
              <w:spacing w:after="0"/>
              <w:rPr>
                <w:rFonts w:ascii="Arial" w:hAnsi="Arial" w:cs="Arial"/>
                <w:sz w:val="18"/>
                <w:szCs w:val="16"/>
              </w:rPr>
            </w:pPr>
          </w:p>
        </w:tc>
        <w:tc>
          <w:tcPr>
            <w:tcW w:w="1083" w:type="dxa"/>
            <w:tcBorders>
              <w:bottom w:val="nil"/>
            </w:tcBorders>
            <w:vAlign w:val="center"/>
          </w:tcPr>
          <w:p w14:paraId="55F7CC16" w14:textId="77777777" w:rsidR="007858F0" w:rsidRPr="009908D8" w:rsidRDefault="007858F0" w:rsidP="00AF46A0">
            <w:pPr>
              <w:spacing w:after="0"/>
              <w:rPr>
                <w:rFonts w:ascii="Arial" w:hAnsi="Arial" w:cs="Arial"/>
                <w:sz w:val="18"/>
                <w:szCs w:val="16"/>
              </w:rPr>
            </w:pPr>
          </w:p>
        </w:tc>
        <w:tc>
          <w:tcPr>
            <w:tcW w:w="1084" w:type="dxa"/>
            <w:tcBorders>
              <w:bottom w:val="nil"/>
            </w:tcBorders>
            <w:vAlign w:val="center"/>
          </w:tcPr>
          <w:p w14:paraId="1E5D5C35" w14:textId="77777777" w:rsidR="007858F0" w:rsidRPr="00505132" w:rsidRDefault="007858F0" w:rsidP="00AF46A0">
            <w:pPr>
              <w:spacing w:after="0"/>
              <w:rPr>
                <w:rFonts w:ascii="Arial" w:hAnsi="Arial" w:cs="Arial"/>
                <w:sz w:val="18"/>
                <w:szCs w:val="16"/>
              </w:rPr>
            </w:pPr>
          </w:p>
        </w:tc>
      </w:tr>
      <w:tr w:rsidR="001C4469" w:rsidRPr="00D45099" w14:paraId="3C93DDAD" w14:textId="77777777" w:rsidTr="002D07A3">
        <w:trPr>
          <w:cantSplit/>
        </w:trPr>
        <w:tc>
          <w:tcPr>
            <w:tcW w:w="2515" w:type="dxa"/>
            <w:tcBorders>
              <w:top w:val="nil"/>
              <w:bottom w:val="nil"/>
            </w:tcBorders>
            <w:vAlign w:val="center"/>
          </w:tcPr>
          <w:p w14:paraId="6E64179F"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2A3EC26D" w14:textId="71752D67" w:rsidR="007858F0" w:rsidRPr="00914388" w:rsidRDefault="007858F0" w:rsidP="00AF46A0">
            <w:pPr>
              <w:spacing w:after="0"/>
              <w:rPr>
                <w:rFonts w:ascii="Arial" w:hAnsi="Arial" w:cs="Arial"/>
                <w:b/>
                <w:sz w:val="18"/>
                <w:szCs w:val="16"/>
              </w:rPr>
            </w:pPr>
          </w:p>
        </w:tc>
        <w:tc>
          <w:tcPr>
            <w:tcW w:w="1084" w:type="dxa"/>
            <w:tcBorders>
              <w:top w:val="nil"/>
              <w:bottom w:val="nil"/>
            </w:tcBorders>
            <w:vAlign w:val="center"/>
          </w:tcPr>
          <w:p w14:paraId="062F7683" w14:textId="04E572E3" w:rsidR="007858F0" w:rsidRPr="00B77816" w:rsidRDefault="007858F0" w:rsidP="00AF46A0">
            <w:pPr>
              <w:spacing w:after="0"/>
              <w:rPr>
                <w:rFonts w:ascii="Arial" w:hAnsi="Arial" w:cs="Arial"/>
                <w:b/>
                <w:sz w:val="18"/>
                <w:szCs w:val="16"/>
              </w:rPr>
            </w:pPr>
          </w:p>
        </w:tc>
        <w:tc>
          <w:tcPr>
            <w:tcW w:w="1083" w:type="dxa"/>
            <w:tcBorders>
              <w:top w:val="nil"/>
              <w:bottom w:val="nil"/>
            </w:tcBorders>
            <w:vAlign w:val="center"/>
          </w:tcPr>
          <w:p w14:paraId="330CF67E" w14:textId="59008B1B" w:rsidR="007858F0" w:rsidRPr="0001542A" w:rsidRDefault="007858F0" w:rsidP="00AF46A0">
            <w:pPr>
              <w:spacing w:after="0"/>
              <w:rPr>
                <w:rFonts w:ascii="Arial" w:hAnsi="Arial" w:cs="Arial"/>
                <w:b/>
                <w:sz w:val="18"/>
                <w:szCs w:val="16"/>
              </w:rPr>
            </w:pPr>
          </w:p>
        </w:tc>
        <w:tc>
          <w:tcPr>
            <w:tcW w:w="1084" w:type="dxa"/>
            <w:tcBorders>
              <w:top w:val="nil"/>
              <w:bottom w:val="nil"/>
            </w:tcBorders>
            <w:vAlign w:val="center"/>
          </w:tcPr>
          <w:p w14:paraId="13591C17" w14:textId="77777777" w:rsidR="007858F0" w:rsidRPr="00376702" w:rsidRDefault="007858F0" w:rsidP="00AF46A0">
            <w:pPr>
              <w:pStyle w:val="Table"/>
              <w:rPr>
                <w:vertAlign w:val="superscript"/>
              </w:rPr>
            </w:pPr>
            <w:r w:rsidRPr="009908D8">
              <w:t>91</w:t>
            </w:r>
            <w:r w:rsidRPr="00505132">
              <w:rPr>
                <w:vertAlign w:val="superscript"/>
              </w:rPr>
              <w:t>◊</w:t>
            </w:r>
          </w:p>
          <w:p w14:paraId="5C974970" w14:textId="77777777" w:rsidR="007858F0" w:rsidRPr="00C135A5" w:rsidRDefault="007858F0" w:rsidP="00AF46A0">
            <w:pPr>
              <w:spacing w:after="0"/>
              <w:rPr>
                <w:rFonts w:ascii="Arial" w:hAnsi="Arial" w:cs="Arial"/>
                <w:b/>
                <w:sz w:val="18"/>
                <w:szCs w:val="16"/>
              </w:rPr>
            </w:pPr>
            <w:r w:rsidRPr="00C135A5">
              <w:rPr>
                <w:rFonts w:ascii="Arial" w:hAnsi="Arial" w:cs="Arial"/>
                <w:sz w:val="18"/>
                <w:szCs w:val="16"/>
              </w:rPr>
              <w:t>(27.4%)</w:t>
            </w:r>
          </w:p>
        </w:tc>
        <w:tc>
          <w:tcPr>
            <w:tcW w:w="1083" w:type="dxa"/>
            <w:tcBorders>
              <w:top w:val="nil"/>
              <w:bottom w:val="nil"/>
            </w:tcBorders>
            <w:vAlign w:val="center"/>
          </w:tcPr>
          <w:p w14:paraId="32E93889" w14:textId="77777777" w:rsidR="007858F0" w:rsidRPr="00AD734A" w:rsidRDefault="007858F0" w:rsidP="00AF46A0">
            <w:pPr>
              <w:pStyle w:val="Table"/>
              <w:rPr>
                <w:vertAlign w:val="superscript"/>
              </w:rPr>
            </w:pPr>
            <w:r w:rsidRPr="00C135A5">
              <w:t>122</w:t>
            </w:r>
            <w:r w:rsidRPr="00AD734A">
              <w:rPr>
                <w:vertAlign w:val="superscript"/>
              </w:rPr>
              <w:t>◊</w:t>
            </w:r>
          </w:p>
          <w:p w14:paraId="382ABA5C" w14:textId="77777777" w:rsidR="007858F0" w:rsidRPr="001520C6" w:rsidRDefault="007858F0" w:rsidP="00AF46A0">
            <w:pPr>
              <w:spacing w:after="0"/>
              <w:rPr>
                <w:rFonts w:ascii="Arial" w:hAnsi="Arial" w:cs="Arial"/>
                <w:b/>
                <w:sz w:val="18"/>
                <w:szCs w:val="16"/>
              </w:rPr>
            </w:pPr>
            <w:r w:rsidRPr="001520C6">
              <w:rPr>
                <w:rFonts w:ascii="Arial" w:hAnsi="Arial" w:cs="Arial"/>
                <w:sz w:val="18"/>
                <w:szCs w:val="16"/>
              </w:rPr>
              <w:t>(55.5%***)</w:t>
            </w:r>
          </w:p>
        </w:tc>
        <w:tc>
          <w:tcPr>
            <w:tcW w:w="1084" w:type="dxa"/>
            <w:tcBorders>
              <w:top w:val="nil"/>
              <w:bottom w:val="nil"/>
            </w:tcBorders>
            <w:vAlign w:val="center"/>
          </w:tcPr>
          <w:p w14:paraId="5A3C260D" w14:textId="77777777" w:rsidR="007858F0" w:rsidRPr="002911FE" w:rsidRDefault="007858F0" w:rsidP="00AF46A0">
            <w:pPr>
              <w:pStyle w:val="Table"/>
              <w:rPr>
                <w:vertAlign w:val="superscript"/>
              </w:rPr>
            </w:pPr>
            <w:r w:rsidRPr="001520C6">
              <w:t>139</w:t>
            </w:r>
            <w:r w:rsidRPr="00900AF7">
              <w:rPr>
                <w:vertAlign w:val="superscript"/>
              </w:rPr>
              <w:t>◊</w:t>
            </w:r>
          </w:p>
          <w:p w14:paraId="508C9744" w14:textId="77777777" w:rsidR="007858F0" w:rsidRPr="008B3BB5" w:rsidRDefault="007858F0" w:rsidP="00AF46A0">
            <w:pPr>
              <w:spacing w:after="0"/>
              <w:rPr>
                <w:rFonts w:ascii="Arial" w:hAnsi="Arial" w:cs="Arial"/>
                <w:b/>
                <w:sz w:val="18"/>
                <w:szCs w:val="16"/>
              </w:rPr>
            </w:pPr>
            <w:r w:rsidRPr="00FD3682">
              <w:rPr>
                <w:rFonts w:ascii="Arial" w:hAnsi="Arial" w:cs="Arial"/>
                <w:sz w:val="18"/>
                <w:szCs w:val="16"/>
              </w:rPr>
              <w:t>(62.6%***)</w:t>
            </w:r>
          </w:p>
        </w:tc>
      </w:tr>
      <w:tr w:rsidR="001C4469" w:rsidRPr="00D45099" w14:paraId="6F77E20F" w14:textId="77777777" w:rsidTr="002D07A3">
        <w:trPr>
          <w:cantSplit/>
        </w:trPr>
        <w:tc>
          <w:tcPr>
            <w:tcW w:w="2515" w:type="dxa"/>
            <w:tcBorders>
              <w:top w:val="nil"/>
              <w:bottom w:val="nil"/>
            </w:tcBorders>
            <w:vAlign w:val="center"/>
          </w:tcPr>
          <w:p w14:paraId="0FAC04C0"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553EF77D" w14:textId="77777777" w:rsidR="007858F0" w:rsidRPr="00B77816" w:rsidRDefault="007858F0" w:rsidP="00AF46A0">
            <w:pPr>
              <w:pStyle w:val="Table"/>
            </w:pPr>
            <w:r w:rsidRPr="00914388">
              <w:t>15</w:t>
            </w:r>
            <w:r w:rsidRPr="00914388">
              <w:rPr>
                <w:vertAlign w:val="superscript"/>
              </w:rPr>
              <w:t>◊</w:t>
            </w:r>
          </w:p>
          <w:p w14:paraId="6BA96A06" w14:textId="77777777" w:rsidR="007858F0" w:rsidRPr="009908D8" w:rsidRDefault="007858F0" w:rsidP="00AF46A0">
            <w:pPr>
              <w:spacing w:after="0"/>
              <w:rPr>
                <w:rFonts w:ascii="Arial" w:hAnsi="Arial" w:cs="Arial"/>
                <w:b/>
                <w:sz w:val="18"/>
                <w:szCs w:val="16"/>
              </w:rPr>
            </w:pPr>
            <w:r w:rsidRPr="0001542A">
              <w:rPr>
                <w:rFonts w:ascii="Arial" w:hAnsi="Arial" w:cs="Arial"/>
                <w:sz w:val="18"/>
                <w:szCs w:val="16"/>
              </w:rPr>
              <w:t>(15.3%)</w:t>
            </w:r>
          </w:p>
        </w:tc>
        <w:tc>
          <w:tcPr>
            <w:tcW w:w="1084" w:type="dxa"/>
            <w:tcBorders>
              <w:top w:val="nil"/>
              <w:bottom w:val="nil"/>
            </w:tcBorders>
            <w:vAlign w:val="center"/>
          </w:tcPr>
          <w:p w14:paraId="5D554C6F" w14:textId="77777777" w:rsidR="007858F0" w:rsidRPr="00C135A5" w:rsidRDefault="007858F0" w:rsidP="00AF46A0">
            <w:pPr>
              <w:pStyle w:val="Table"/>
            </w:pPr>
            <w:r w:rsidRPr="00505132">
              <w:t>51</w:t>
            </w:r>
            <w:r w:rsidRPr="00376702">
              <w:rPr>
                <w:vertAlign w:val="superscript"/>
              </w:rPr>
              <w:t>◊</w:t>
            </w:r>
          </w:p>
          <w:p w14:paraId="2C6219AA" w14:textId="77777777" w:rsidR="007858F0" w:rsidRPr="00AD734A" w:rsidRDefault="007858F0" w:rsidP="00AF46A0">
            <w:pPr>
              <w:spacing w:after="0"/>
              <w:rPr>
                <w:rFonts w:ascii="Arial" w:hAnsi="Arial" w:cs="Arial"/>
                <w:b/>
                <w:sz w:val="18"/>
                <w:szCs w:val="16"/>
              </w:rPr>
            </w:pPr>
            <w:r w:rsidRPr="00C135A5">
              <w:rPr>
                <w:rFonts w:ascii="Arial" w:hAnsi="Arial" w:cs="Arial"/>
                <w:sz w:val="18"/>
                <w:szCs w:val="16"/>
              </w:rPr>
              <w:t>(51.0%***)</w:t>
            </w:r>
          </w:p>
        </w:tc>
        <w:tc>
          <w:tcPr>
            <w:tcW w:w="1083" w:type="dxa"/>
            <w:tcBorders>
              <w:top w:val="nil"/>
              <w:bottom w:val="nil"/>
            </w:tcBorders>
            <w:vAlign w:val="center"/>
          </w:tcPr>
          <w:p w14:paraId="4A7F5258" w14:textId="77777777" w:rsidR="007858F0" w:rsidRPr="001520C6" w:rsidRDefault="007858F0" w:rsidP="00AF46A0">
            <w:pPr>
              <w:pStyle w:val="Table"/>
            </w:pPr>
            <w:r w:rsidRPr="00AD734A">
              <w:t>54</w:t>
            </w:r>
            <w:r w:rsidRPr="00AD734A">
              <w:rPr>
                <w:vertAlign w:val="superscript"/>
              </w:rPr>
              <w:t>◊</w:t>
            </w:r>
          </w:p>
          <w:p w14:paraId="1186CDAB" w14:textId="77777777" w:rsidR="007858F0" w:rsidRPr="00900AF7" w:rsidRDefault="007858F0" w:rsidP="00AF46A0">
            <w:pPr>
              <w:spacing w:after="0"/>
              <w:rPr>
                <w:rFonts w:ascii="Arial" w:hAnsi="Arial" w:cs="Arial"/>
                <w:b/>
                <w:sz w:val="18"/>
                <w:szCs w:val="16"/>
              </w:rPr>
            </w:pPr>
            <w:r w:rsidRPr="001520C6">
              <w:rPr>
                <w:rFonts w:ascii="Arial" w:hAnsi="Arial" w:cs="Arial"/>
                <w:sz w:val="18"/>
                <w:szCs w:val="16"/>
              </w:rPr>
              <w:t>(54.0%***)</w:t>
            </w:r>
          </w:p>
        </w:tc>
        <w:tc>
          <w:tcPr>
            <w:tcW w:w="1084" w:type="dxa"/>
            <w:tcBorders>
              <w:top w:val="nil"/>
              <w:bottom w:val="nil"/>
            </w:tcBorders>
            <w:vAlign w:val="center"/>
          </w:tcPr>
          <w:p w14:paraId="62F3C25D" w14:textId="132D3351" w:rsidR="007858F0" w:rsidRPr="002911FE" w:rsidRDefault="007858F0" w:rsidP="00AF46A0">
            <w:pPr>
              <w:spacing w:after="0"/>
              <w:rPr>
                <w:rFonts w:ascii="Arial" w:hAnsi="Arial" w:cs="Arial"/>
                <w:b/>
                <w:sz w:val="18"/>
                <w:szCs w:val="16"/>
              </w:rPr>
            </w:pPr>
          </w:p>
        </w:tc>
        <w:tc>
          <w:tcPr>
            <w:tcW w:w="1083" w:type="dxa"/>
            <w:tcBorders>
              <w:top w:val="nil"/>
              <w:bottom w:val="nil"/>
            </w:tcBorders>
            <w:vAlign w:val="center"/>
          </w:tcPr>
          <w:p w14:paraId="587D674E" w14:textId="1DEF0F27" w:rsidR="007858F0" w:rsidRPr="00FD3682" w:rsidRDefault="007858F0" w:rsidP="00AF46A0">
            <w:pPr>
              <w:spacing w:after="0"/>
              <w:rPr>
                <w:rFonts w:ascii="Arial" w:hAnsi="Arial" w:cs="Arial"/>
                <w:b/>
                <w:sz w:val="18"/>
                <w:szCs w:val="16"/>
              </w:rPr>
            </w:pPr>
          </w:p>
        </w:tc>
        <w:tc>
          <w:tcPr>
            <w:tcW w:w="1084" w:type="dxa"/>
            <w:tcBorders>
              <w:top w:val="nil"/>
              <w:bottom w:val="nil"/>
            </w:tcBorders>
            <w:vAlign w:val="center"/>
          </w:tcPr>
          <w:p w14:paraId="0347AB00" w14:textId="622167E9" w:rsidR="007858F0" w:rsidRPr="008B3BB5" w:rsidRDefault="007858F0" w:rsidP="00AF46A0">
            <w:pPr>
              <w:spacing w:after="0"/>
              <w:rPr>
                <w:rFonts w:ascii="Arial" w:hAnsi="Arial" w:cs="Arial"/>
                <w:b/>
                <w:sz w:val="18"/>
                <w:szCs w:val="16"/>
              </w:rPr>
            </w:pPr>
          </w:p>
        </w:tc>
      </w:tr>
      <w:tr w:rsidR="001C4469" w:rsidRPr="00D45099" w14:paraId="7F0AF651" w14:textId="77777777" w:rsidTr="002D07A3">
        <w:trPr>
          <w:cantSplit/>
        </w:trPr>
        <w:tc>
          <w:tcPr>
            <w:tcW w:w="2515" w:type="dxa"/>
            <w:tcBorders>
              <w:bottom w:val="nil"/>
            </w:tcBorders>
            <w:vAlign w:val="center"/>
          </w:tcPr>
          <w:p w14:paraId="4E416E66" w14:textId="0465716E" w:rsidR="007858F0" w:rsidRPr="00904D71" w:rsidRDefault="007858F0" w:rsidP="00AF46A0">
            <w:pPr>
              <w:spacing w:after="0"/>
              <w:rPr>
                <w:szCs w:val="16"/>
              </w:rPr>
            </w:pPr>
            <w:r w:rsidRPr="002D07A3">
              <w:rPr>
                <w:rFonts w:ascii="Arial" w:eastAsiaTheme="minorHAnsi" w:hAnsi="Arial" w:cs="Arial"/>
                <w:sz w:val="18"/>
                <w:szCs w:val="16"/>
              </w:rPr>
              <w:t>ACR 50 response n(%)</w:t>
            </w:r>
          </w:p>
        </w:tc>
        <w:tc>
          <w:tcPr>
            <w:tcW w:w="1083" w:type="dxa"/>
            <w:tcBorders>
              <w:bottom w:val="nil"/>
            </w:tcBorders>
            <w:vAlign w:val="center"/>
          </w:tcPr>
          <w:p w14:paraId="3F35282E" w14:textId="77777777" w:rsidR="007858F0" w:rsidRPr="00914388" w:rsidRDefault="007858F0" w:rsidP="00AF46A0">
            <w:pPr>
              <w:spacing w:after="0"/>
              <w:rPr>
                <w:rFonts w:ascii="Arial" w:hAnsi="Arial" w:cs="Arial"/>
                <w:b/>
                <w:sz w:val="18"/>
                <w:szCs w:val="16"/>
              </w:rPr>
            </w:pPr>
          </w:p>
        </w:tc>
        <w:tc>
          <w:tcPr>
            <w:tcW w:w="1084" w:type="dxa"/>
            <w:tcBorders>
              <w:bottom w:val="nil"/>
            </w:tcBorders>
            <w:vAlign w:val="center"/>
          </w:tcPr>
          <w:p w14:paraId="7553407A" w14:textId="77777777" w:rsidR="007858F0" w:rsidRPr="00914388" w:rsidRDefault="007858F0" w:rsidP="00AF46A0">
            <w:pPr>
              <w:spacing w:after="0"/>
              <w:rPr>
                <w:rFonts w:ascii="Arial" w:hAnsi="Arial" w:cs="Arial"/>
                <w:b/>
                <w:sz w:val="18"/>
                <w:szCs w:val="16"/>
              </w:rPr>
            </w:pPr>
          </w:p>
        </w:tc>
        <w:tc>
          <w:tcPr>
            <w:tcW w:w="1083" w:type="dxa"/>
            <w:tcBorders>
              <w:bottom w:val="nil"/>
            </w:tcBorders>
            <w:vAlign w:val="center"/>
          </w:tcPr>
          <w:p w14:paraId="15DD8B5F" w14:textId="77777777" w:rsidR="007858F0" w:rsidRPr="00B77816" w:rsidRDefault="007858F0" w:rsidP="00AF46A0">
            <w:pPr>
              <w:spacing w:after="0"/>
              <w:rPr>
                <w:rFonts w:ascii="Arial" w:hAnsi="Arial" w:cs="Arial"/>
                <w:b/>
                <w:sz w:val="18"/>
                <w:szCs w:val="16"/>
              </w:rPr>
            </w:pPr>
          </w:p>
        </w:tc>
        <w:tc>
          <w:tcPr>
            <w:tcW w:w="1084" w:type="dxa"/>
            <w:tcBorders>
              <w:bottom w:val="nil"/>
            </w:tcBorders>
            <w:vAlign w:val="center"/>
          </w:tcPr>
          <w:p w14:paraId="6F388982" w14:textId="77777777" w:rsidR="007858F0" w:rsidRPr="0001542A" w:rsidRDefault="007858F0" w:rsidP="00AF46A0">
            <w:pPr>
              <w:spacing w:after="0"/>
              <w:rPr>
                <w:rFonts w:ascii="Arial" w:hAnsi="Arial" w:cs="Arial"/>
                <w:b/>
                <w:sz w:val="18"/>
                <w:szCs w:val="16"/>
              </w:rPr>
            </w:pPr>
          </w:p>
        </w:tc>
        <w:tc>
          <w:tcPr>
            <w:tcW w:w="1083" w:type="dxa"/>
            <w:tcBorders>
              <w:bottom w:val="nil"/>
            </w:tcBorders>
            <w:vAlign w:val="center"/>
          </w:tcPr>
          <w:p w14:paraId="670043CC" w14:textId="77777777" w:rsidR="007858F0" w:rsidRPr="009908D8" w:rsidRDefault="007858F0" w:rsidP="00AF46A0">
            <w:pPr>
              <w:spacing w:after="0"/>
              <w:rPr>
                <w:rFonts w:ascii="Arial" w:hAnsi="Arial" w:cs="Arial"/>
                <w:b/>
                <w:sz w:val="18"/>
                <w:szCs w:val="16"/>
              </w:rPr>
            </w:pPr>
          </w:p>
        </w:tc>
        <w:tc>
          <w:tcPr>
            <w:tcW w:w="1084" w:type="dxa"/>
            <w:tcBorders>
              <w:bottom w:val="nil"/>
            </w:tcBorders>
            <w:vAlign w:val="center"/>
          </w:tcPr>
          <w:p w14:paraId="1035E7D1" w14:textId="77777777" w:rsidR="007858F0" w:rsidRPr="00505132" w:rsidRDefault="007858F0" w:rsidP="00AF46A0">
            <w:pPr>
              <w:spacing w:after="0"/>
              <w:rPr>
                <w:rFonts w:ascii="Arial" w:hAnsi="Arial" w:cs="Arial"/>
                <w:b/>
                <w:sz w:val="18"/>
                <w:szCs w:val="16"/>
              </w:rPr>
            </w:pPr>
          </w:p>
        </w:tc>
      </w:tr>
      <w:tr w:rsidR="001C4469" w:rsidRPr="00D45099" w14:paraId="4F0F1E75" w14:textId="77777777" w:rsidTr="002D07A3">
        <w:trPr>
          <w:cantSplit/>
        </w:trPr>
        <w:tc>
          <w:tcPr>
            <w:tcW w:w="2515" w:type="dxa"/>
            <w:tcBorders>
              <w:top w:val="nil"/>
              <w:bottom w:val="nil"/>
            </w:tcBorders>
            <w:vAlign w:val="center"/>
          </w:tcPr>
          <w:p w14:paraId="629886DF"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5AA90580" w14:textId="4E3CFC33" w:rsidR="007858F0" w:rsidRPr="00914388" w:rsidRDefault="007858F0" w:rsidP="00AF46A0">
            <w:pPr>
              <w:spacing w:after="0"/>
              <w:rPr>
                <w:rFonts w:ascii="Arial" w:hAnsi="Arial" w:cs="Arial"/>
                <w:b/>
                <w:sz w:val="18"/>
                <w:szCs w:val="16"/>
              </w:rPr>
            </w:pPr>
          </w:p>
        </w:tc>
        <w:tc>
          <w:tcPr>
            <w:tcW w:w="1084" w:type="dxa"/>
            <w:tcBorders>
              <w:top w:val="nil"/>
              <w:bottom w:val="nil"/>
            </w:tcBorders>
            <w:vAlign w:val="center"/>
          </w:tcPr>
          <w:p w14:paraId="6AE51E2B" w14:textId="54BF6971" w:rsidR="007858F0" w:rsidRPr="00B77816" w:rsidRDefault="007858F0" w:rsidP="00AF46A0">
            <w:pPr>
              <w:spacing w:after="0"/>
              <w:rPr>
                <w:rFonts w:ascii="Arial" w:hAnsi="Arial" w:cs="Arial"/>
                <w:b/>
                <w:sz w:val="18"/>
                <w:szCs w:val="16"/>
              </w:rPr>
            </w:pPr>
          </w:p>
        </w:tc>
        <w:tc>
          <w:tcPr>
            <w:tcW w:w="1083" w:type="dxa"/>
            <w:tcBorders>
              <w:top w:val="nil"/>
              <w:bottom w:val="nil"/>
            </w:tcBorders>
            <w:vAlign w:val="center"/>
          </w:tcPr>
          <w:p w14:paraId="4AC24EC3" w14:textId="375BB870" w:rsidR="007858F0" w:rsidRPr="0001542A" w:rsidRDefault="007858F0" w:rsidP="00AF46A0">
            <w:pPr>
              <w:spacing w:after="0"/>
              <w:rPr>
                <w:rFonts w:ascii="Arial" w:hAnsi="Arial" w:cs="Arial"/>
                <w:b/>
                <w:sz w:val="18"/>
                <w:szCs w:val="16"/>
              </w:rPr>
            </w:pPr>
          </w:p>
        </w:tc>
        <w:tc>
          <w:tcPr>
            <w:tcW w:w="1084" w:type="dxa"/>
            <w:tcBorders>
              <w:top w:val="nil"/>
              <w:bottom w:val="nil"/>
            </w:tcBorders>
            <w:vAlign w:val="center"/>
          </w:tcPr>
          <w:p w14:paraId="1B546755" w14:textId="77777777" w:rsidR="007858F0" w:rsidRPr="009908D8" w:rsidRDefault="007858F0" w:rsidP="00AF46A0">
            <w:pPr>
              <w:pStyle w:val="Table"/>
            </w:pPr>
            <w:r w:rsidRPr="009908D8">
              <w:t>27</w:t>
            </w:r>
          </w:p>
          <w:p w14:paraId="100CEF37" w14:textId="77777777" w:rsidR="007858F0" w:rsidRPr="00376702" w:rsidRDefault="007858F0" w:rsidP="00AF46A0">
            <w:pPr>
              <w:spacing w:after="0"/>
              <w:rPr>
                <w:rFonts w:ascii="Arial" w:hAnsi="Arial" w:cs="Arial"/>
                <w:b/>
                <w:sz w:val="18"/>
                <w:szCs w:val="16"/>
              </w:rPr>
            </w:pPr>
            <w:r w:rsidRPr="00505132">
              <w:rPr>
                <w:rFonts w:ascii="Arial" w:hAnsi="Arial" w:cs="Arial"/>
                <w:sz w:val="18"/>
                <w:szCs w:val="16"/>
              </w:rPr>
              <w:t>(8.1%)</w:t>
            </w:r>
          </w:p>
        </w:tc>
        <w:tc>
          <w:tcPr>
            <w:tcW w:w="1083" w:type="dxa"/>
            <w:tcBorders>
              <w:top w:val="nil"/>
              <w:bottom w:val="nil"/>
            </w:tcBorders>
            <w:vAlign w:val="center"/>
          </w:tcPr>
          <w:p w14:paraId="5B41C175" w14:textId="77777777" w:rsidR="007858F0" w:rsidRPr="00C135A5" w:rsidRDefault="007858F0" w:rsidP="00AF46A0">
            <w:pPr>
              <w:pStyle w:val="Table"/>
            </w:pPr>
            <w:r w:rsidRPr="00C135A5">
              <w:t>79</w:t>
            </w:r>
          </w:p>
          <w:p w14:paraId="04A7935A" w14:textId="369C534D" w:rsidR="007858F0" w:rsidRPr="00AD734A" w:rsidRDefault="007858F0" w:rsidP="00AF46A0">
            <w:pPr>
              <w:spacing w:after="0"/>
              <w:rPr>
                <w:rFonts w:ascii="Arial" w:hAnsi="Arial" w:cs="Arial"/>
                <w:b/>
                <w:sz w:val="18"/>
                <w:szCs w:val="16"/>
              </w:rPr>
            </w:pPr>
            <w:r w:rsidRPr="00AD734A">
              <w:rPr>
                <w:rFonts w:ascii="Arial" w:hAnsi="Arial" w:cs="Arial"/>
                <w:sz w:val="18"/>
                <w:szCs w:val="16"/>
              </w:rPr>
              <w:t>(35.9%*)</w:t>
            </w:r>
          </w:p>
        </w:tc>
        <w:tc>
          <w:tcPr>
            <w:tcW w:w="1084" w:type="dxa"/>
            <w:tcBorders>
              <w:top w:val="nil"/>
              <w:bottom w:val="nil"/>
            </w:tcBorders>
            <w:vAlign w:val="center"/>
          </w:tcPr>
          <w:p w14:paraId="2BCCA21D" w14:textId="77777777" w:rsidR="007858F0" w:rsidRPr="00AD734A" w:rsidRDefault="007858F0" w:rsidP="00AF46A0">
            <w:pPr>
              <w:pStyle w:val="Table"/>
            </w:pPr>
            <w:r w:rsidRPr="00AD734A">
              <w:t>88</w:t>
            </w:r>
          </w:p>
          <w:p w14:paraId="6473F1C6" w14:textId="26347BE7" w:rsidR="007858F0" w:rsidRPr="001520C6" w:rsidRDefault="007858F0" w:rsidP="00AF46A0">
            <w:pPr>
              <w:spacing w:after="0"/>
              <w:rPr>
                <w:rFonts w:ascii="Arial" w:hAnsi="Arial" w:cs="Arial"/>
                <w:b/>
                <w:sz w:val="18"/>
                <w:szCs w:val="16"/>
              </w:rPr>
            </w:pPr>
            <w:r w:rsidRPr="001520C6">
              <w:rPr>
                <w:rFonts w:ascii="Arial" w:hAnsi="Arial" w:cs="Arial"/>
                <w:sz w:val="18"/>
                <w:szCs w:val="16"/>
              </w:rPr>
              <w:t>(39.6%*)</w:t>
            </w:r>
          </w:p>
        </w:tc>
      </w:tr>
      <w:tr w:rsidR="001C4469" w:rsidRPr="00D45099" w14:paraId="1D4435C8" w14:textId="77777777" w:rsidTr="002D07A3">
        <w:trPr>
          <w:cantSplit/>
        </w:trPr>
        <w:tc>
          <w:tcPr>
            <w:tcW w:w="2515" w:type="dxa"/>
            <w:tcBorders>
              <w:top w:val="nil"/>
              <w:bottom w:val="nil"/>
            </w:tcBorders>
            <w:vAlign w:val="center"/>
          </w:tcPr>
          <w:p w14:paraId="12104D11"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1669417F" w14:textId="77777777" w:rsidR="007858F0" w:rsidRPr="00914388" w:rsidRDefault="007858F0" w:rsidP="00AF46A0">
            <w:pPr>
              <w:pStyle w:val="Table"/>
            </w:pPr>
            <w:r w:rsidRPr="00914388">
              <w:t>7</w:t>
            </w:r>
          </w:p>
          <w:p w14:paraId="5F026114" w14:textId="77777777" w:rsidR="007858F0" w:rsidRPr="00B77816" w:rsidRDefault="007858F0" w:rsidP="00AF46A0">
            <w:pPr>
              <w:spacing w:after="0"/>
              <w:rPr>
                <w:rFonts w:ascii="Arial" w:hAnsi="Arial" w:cs="Arial"/>
                <w:b/>
                <w:sz w:val="18"/>
                <w:szCs w:val="16"/>
              </w:rPr>
            </w:pPr>
            <w:r w:rsidRPr="00B77816">
              <w:rPr>
                <w:rFonts w:ascii="Arial" w:hAnsi="Arial" w:cs="Arial"/>
                <w:sz w:val="18"/>
                <w:szCs w:val="16"/>
              </w:rPr>
              <w:t>(7.1%)</w:t>
            </w:r>
          </w:p>
        </w:tc>
        <w:tc>
          <w:tcPr>
            <w:tcW w:w="1084" w:type="dxa"/>
            <w:tcBorders>
              <w:top w:val="nil"/>
              <w:bottom w:val="nil"/>
            </w:tcBorders>
            <w:vAlign w:val="center"/>
          </w:tcPr>
          <w:p w14:paraId="79532217" w14:textId="77777777" w:rsidR="007858F0" w:rsidRPr="009908D8" w:rsidRDefault="007858F0" w:rsidP="00AF46A0">
            <w:pPr>
              <w:pStyle w:val="Table"/>
            </w:pPr>
            <w:r w:rsidRPr="0001542A">
              <w:t>35</w:t>
            </w:r>
          </w:p>
          <w:p w14:paraId="054FC6CB" w14:textId="468218F8" w:rsidR="007858F0" w:rsidRPr="00376702" w:rsidRDefault="007858F0" w:rsidP="00AF46A0">
            <w:pPr>
              <w:spacing w:after="0"/>
              <w:rPr>
                <w:rFonts w:ascii="Arial" w:hAnsi="Arial" w:cs="Arial"/>
                <w:b/>
                <w:sz w:val="18"/>
                <w:szCs w:val="16"/>
              </w:rPr>
            </w:pPr>
            <w:r w:rsidRPr="00505132">
              <w:rPr>
                <w:rFonts w:ascii="Arial" w:hAnsi="Arial" w:cs="Arial"/>
                <w:sz w:val="18"/>
                <w:szCs w:val="16"/>
              </w:rPr>
              <w:t>(35.0%)</w:t>
            </w:r>
          </w:p>
        </w:tc>
        <w:tc>
          <w:tcPr>
            <w:tcW w:w="1083" w:type="dxa"/>
            <w:tcBorders>
              <w:top w:val="nil"/>
              <w:bottom w:val="nil"/>
            </w:tcBorders>
            <w:vAlign w:val="center"/>
          </w:tcPr>
          <w:p w14:paraId="608A05BA" w14:textId="77777777" w:rsidR="007858F0" w:rsidRPr="00C135A5" w:rsidRDefault="007858F0" w:rsidP="00AF46A0">
            <w:pPr>
              <w:pStyle w:val="Table"/>
            </w:pPr>
            <w:r w:rsidRPr="00C135A5">
              <w:t>35</w:t>
            </w:r>
          </w:p>
          <w:p w14:paraId="2A0AA250" w14:textId="0804C9F3" w:rsidR="007858F0" w:rsidRPr="00AD734A" w:rsidRDefault="007858F0" w:rsidP="00AF46A0">
            <w:pPr>
              <w:spacing w:after="0"/>
              <w:rPr>
                <w:rFonts w:ascii="Arial" w:hAnsi="Arial" w:cs="Arial"/>
                <w:b/>
                <w:sz w:val="18"/>
                <w:szCs w:val="16"/>
              </w:rPr>
            </w:pPr>
            <w:r w:rsidRPr="00AD734A">
              <w:rPr>
                <w:rFonts w:ascii="Arial" w:hAnsi="Arial" w:cs="Arial"/>
                <w:sz w:val="18"/>
                <w:szCs w:val="16"/>
              </w:rPr>
              <w:t>(35.0%**)</w:t>
            </w:r>
          </w:p>
        </w:tc>
        <w:tc>
          <w:tcPr>
            <w:tcW w:w="1084" w:type="dxa"/>
            <w:tcBorders>
              <w:top w:val="nil"/>
              <w:bottom w:val="nil"/>
            </w:tcBorders>
            <w:vAlign w:val="center"/>
          </w:tcPr>
          <w:p w14:paraId="5B5FB16F" w14:textId="100BE815" w:rsidR="007858F0" w:rsidRPr="001520C6" w:rsidRDefault="007858F0" w:rsidP="00AF46A0">
            <w:pPr>
              <w:spacing w:after="0"/>
              <w:rPr>
                <w:rFonts w:ascii="Arial" w:hAnsi="Arial" w:cs="Arial"/>
                <w:b/>
                <w:sz w:val="18"/>
                <w:szCs w:val="16"/>
              </w:rPr>
            </w:pPr>
          </w:p>
        </w:tc>
        <w:tc>
          <w:tcPr>
            <w:tcW w:w="1083" w:type="dxa"/>
            <w:tcBorders>
              <w:top w:val="nil"/>
              <w:bottom w:val="nil"/>
            </w:tcBorders>
            <w:vAlign w:val="center"/>
          </w:tcPr>
          <w:p w14:paraId="4CABEC21" w14:textId="48AC37D2" w:rsidR="007858F0" w:rsidRPr="001520C6" w:rsidRDefault="007858F0" w:rsidP="00AF46A0">
            <w:pPr>
              <w:spacing w:after="0"/>
              <w:rPr>
                <w:rFonts w:ascii="Arial" w:hAnsi="Arial" w:cs="Arial"/>
                <w:b/>
                <w:sz w:val="18"/>
                <w:szCs w:val="16"/>
              </w:rPr>
            </w:pPr>
          </w:p>
        </w:tc>
        <w:tc>
          <w:tcPr>
            <w:tcW w:w="1084" w:type="dxa"/>
            <w:tcBorders>
              <w:top w:val="nil"/>
              <w:bottom w:val="nil"/>
            </w:tcBorders>
            <w:vAlign w:val="center"/>
          </w:tcPr>
          <w:p w14:paraId="4AB8593C" w14:textId="4C4EEF78" w:rsidR="007858F0" w:rsidRPr="00900AF7" w:rsidRDefault="007858F0" w:rsidP="00AF46A0">
            <w:pPr>
              <w:spacing w:after="0"/>
              <w:rPr>
                <w:rFonts w:ascii="Arial" w:hAnsi="Arial" w:cs="Arial"/>
                <w:b/>
                <w:sz w:val="18"/>
                <w:szCs w:val="16"/>
              </w:rPr>
            </w:pPr>
          </w:p>
        </w:tc>
      </w:tr>
      <w:tr w:rsidR="001C4469" w:rsidRPr="00D45099" w14:paraId="54C5EE43" w14:textId="77777777" w:rsidTr="002D07A3">
        <w:trPr>
          <w:cantSplit/>
        </w:trPr>
        <w:tc>
          <w:tcPr>
            <w:tcW w:w="2515" w:type="dxa"/>
            <w:tcBorders>
              <w:bottom w:val="nil"/>
            </w:tcBorders>
            <w:vAlign w:val="center"/>
          </w:tcPr>
          <w:p w14:paraId="2B5B1C1E" w14:textId="2F358E88" w:rsidR="007858F0" w:rsidRPr="00904D71" w:rsidRDefault="007858F0" w:rsidP="00AF46A0">
            <w:pPr>
              <w:spacing w:after="0"/>
              <w:rPr>
                <w:szCs w:val="16"/>
              </w:rPr>
            </w:pPr>
            <w:r w:rsidRPr="002D07A3">
              <w:rPr>
                <w:rFonts w:ascii="Arial" w:eastAsiaTheme="minorHAnsi" w:hAnsi="Arial" w:cs="Arial"/>
                <w:sz w:val="18"/>
                <w:szCs w:val="16"/>
              </w:rPr>
              <w:t>ACR 70 response n(%)</w:t>
            </w:r>
          </w:p>
        </w:tc>
        <w:tc>
          <w:tcPr>
            <w:tcW w:w="1083" w:type="dxa"/>
            <w:tcBorders>
              <w:bottom w:val="nil"/>
            </w:tcBorders>
            <w:vAlign w:val="center"/>
          </w:tcPr>
          <w:p w14:paraId="61528496" w14:textId="77777777" w:rsidR="007858F0" w:rsidRPr="00914388" w:rsidRDefault="007858F0" w:rsidP="00AF46A0">
            <w:pPr>
              <w:spacing w:after="0"/>
              <w:rPr>
                <w:rFonts w:ascii="Arial" w:hAnsi="Arial" w:cs="Arial"/>
                <w:b/>
                <w:sz w:val="18"/>
                <w:szCs w:val="16"/>
              </w:rPr>
            </w:pPr>
          </w:p>
        </w:tc>
        <w:tc>
          <w:tcPr>
            <w:tcW w:w="1084" w:type="dxa"/>
            <w:tcBorders>
              <w:bottom w:val="nil"/>
            </w:tcBorders>
            <w:vAlign w:val="center"/>
          </w:tcPr>
          <w:p w14:paraId="35B55897" w14:textId="77777777" w:rsidR="007858F0" w:rsidRPr="00914388" w:rsidRDefault="007858F0" w:rsidP="00AF46A0">
            <w:pPr>
              <w:spacing w:after="0"/>
              <w:rPr>
                <w:rFonts w:ascii="Arial" w:hAnsi="Arial" w:cs="Arial"/>
                <w:b/>
                <w:sz w:val="18"/>
                <w:szCs w:val="16"/>
              </w:rPr>
            </w:pPr>
          </w:p>
        </w:tc>
        <w:tc>
          <w:tcPr>
            <w:tcW w:w="1083" w:type="dxa"/>
            <w:tcBorders>
              <w:bottom w:val="nil"/>
            </w:tcBorders>
            <w:vAlign w:val="center"/>
          </w:tcPr>
          <w:p w14:paraId="09147A7E" w14:textId="77777777" w:rsidR="007858F0" w:rsidRPr="00B77816" w:rsidRDefault="007858F0" w:rsidP="00AF46A0">
            <w:pPr>
              <w:spacing w:after="0"/>
              <w:rPr>
                <w:rFonts w:ascii="Arial" w:hAnsi="Arial" w:cs="Arial"/>
                <w:b/>
                <w:sz w:val="18"/>
                <w:szCs w:val="16"/>
              </w:rPr>
            </w:pPr>
          </w:p>
        </w:tc>
        <w:tc>
          <w:tcPr>
            <w:tcW w:w="1084" w:type="dxa"/>
            <w:tcBorders>
              <w:bottom w:val="nil"/>
            </w:tcBorders>
            <w:vAlign w:val="center"/>
          </w:tcPr>
          <w:p w14:paraId="71ABDAE2" w14:textId="77777777" w:rsidR="007858F0" w:rsidRPr="0001542A" w:rsidRDefault="007858F0" w:rsidP="00AF46A0">
            <w:pPr>
              <w:spacing w:after="0"/>
              <w:rPr>
                <w:rFonts w:ascii="Arial" w:hAnsi="Arial" w:cs="Arial"/>
                <w:b/>
                <w:sz w:val="18"/>
                <w:szCs w:val="16"/>
              </w:rPr>
            </w:pPr>
          </w:p>
        </w:tc>
        <w:tc>
          <w:tcPr>
            <w:tcW w:w="1083" w:type="dxa"/>
            <w:tcBorders>
              <w:bottom w:val="nil"/>
            </w:tcBorders>
            <w:vAlign w:val="center"/>
          </w:tcPr>
          <w:p w14:paraId="68F90942" w14:textId="77777777" w:rsidR="007858F0" w:rsidRPr="009908D8" w:rsidRDefault="007858F0" w:rsidP="00AF46A0">
            <w:pPr>
              <w:spacing w:after="0"/>
              <w:rPr>
                <w:rFonts w:ascii="Arial" w:hAnsi="Arial" w:cs="Arial"/>
                <w:b/>
                <w:sz w:val="18"/>
                <w:szCs w:val="16"/>
              </w:rPr>
            </w:pPr>
          </w:p>
        </w:tc>
        <w:tc>
          <w:tcPr>
            <w:tcW w:w="1084" w:type="dxa"/>
            <w:tcBorders>
              <w:bottom w:val="nil"/>
            </w:tcBorders>
            <w:vAlign w:val="center"/>
          </w:tcPr>
          <w:p w14:paraId="34E51E3E" w14:textId="77777777" w:rsidR="007858F0" w:rsidRPr="00505132" w:rsidRDefault="007858F0" w:rsidP="00AF46A0">
            <w:pPr>
              <w:spacing w:after="0"/>
              <w:rPr>
                <w:rFonts w:ascii="Arial" w:hAnsi="Arial" w:cs="Arial"/>
                <w:b/>
                <w:sz w:val="18"/>
                <w:szCs w:val="16"/>
              </w:rPr>
            </w:pPr>
          </w:p>
        </w:tc>
      </w:tr>
      <w:tr w:rsidR="001C4469" w:rsidRPr="00D45099" w14:paraId="1D530FA9" w14:textId="77777777" w:rsidTr="002D07A3">
        <w:trPr>
          <w:cantSplit/>
        </w:trPr>
        <w:tc>
          <w:tcPr>
            <w:tcW w:w="2515" w:type="dxa"/>
            <w:tcBorders>
              <w:top w:val="nil"/>
              <w:bottom w:val="nil"/>
            </w:tcBorders>
            <w:vAlign w:val="center"/>
          </w:tcPr>
          <w:p w14:paraId="485273F4"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48019B61" w14:textId="0C5761A1" w:rsidR="007858F0" w:rsidRPr="00914388" w:rsidRDefault="007858F0" w:rsidP="00AF46A0">
            <w:pPr>
              <w:spacing w:after="0"/>
              <w:rPr>
                <w:rFonts w:ascii="Arial" w:hAnsi="Arial" w:cs="Arial"/>
                <w:b/>
                <w:sz w:val="18"/>
                <w:szCs w:val="16"/>
              </w:rPr>
            </w:pPr>
          </w:p>
        </w:tc>
        <w:tc>
          <w:tcPr>
            <w:tcW w:w="1084" w:type="dxa"/>
            <w:tcBorders>
              <w:top w:val="nil"/>
              <w:bottom w:val="nil"/>
            </w:tcBorders>
            <w:vAlign w:val="center"/>
          </w:tcPr>
          <w:p w14:paraId="62B9D72F" w14:textId="5B454AE7" w:rsidR="007858F0" w:rsidRPr="00B77816" w:rsidRDefault="007858F0" w:rsidP="00AF46A0">
            <w:pPr>
              <w:spacing w:after="0"/>
              <w:rPr>
                <w:rFonts w:ascii="Arial" w:hAnsi="Arial" w:cs="Arial"/>
                <w:b/>
                <w:sz w:val="18"/>
                <w:szCs w:val="16"/>
              </w:rPr>
            </w:pPr>
          </w:p>
        </w:tc>
        <w:tc>
          <w:tcPr>
            <w:tcW w:w="1083" w:type="dxa"/>
            <w:tcBorders>
              <w:top w:val="nil"/>
              <w:bottom w:val="nil"/>
            </w:tcBorders>
            <w:vAlign w:val="center"/>
          </w:tcPr>
          <w:p w14:paraId="0AEB7757" w14:textId="3013D7C8" w:rsidR="007858F0" w:rsidRPr="0001542A" w:rsidRDefault="007858F0" w:rsidP="00AF46A0">
            <w:pPr>
              <w:spacing w:after="0"/>
              <w:rPr>
                <w:rFonts w:ascii="Arial" w:hAnsi="Arial" w:cs="Arial"/>
                <w:b/>
                <w:sz w:val="18"/>
                <w:szCs w:val="16"/>
              </w:rPr>
            </w:pPr>
          </w:p>
        </w:tc>
        <w:tc>
          <w:tcPr>
            <w:tcW w:w="1084" w:type="dxa"/>
            <w:tcBorders>
              <w:top w:val="nil"/>
              <w:bottom w:val="nil"/>
            </w:tcBorders>
            <w:vAlign w:val="center"/>
          </w:tcPr>
          <w:p w14:paraId="064DEEF2" w14:textId="77777777" w:rsidR="007858F0" w:rsidRPr="00505132" w:rsidRDefault="007858F0" w:rsidP="00AF46A0">
            <w:pPr>
              <w:pStyle w:val="Table"/>
            </w:pPr>
            <w:r w:rsidRPr="009908D8">
              <w:t>1</w:t>
            </w:r>
            <w:r w:rsidRPr="00505132">
              <w:t>4</w:t>
            </w:r>
          </w:p>
          <w:p w14:paraId="76D45F13" w14:textId="77777777" w:rsidR="007858F0" w:rsidRPr="00C135A5" w:rsidRDefault="007858F0" w:rsidP="00AF46A0">
            <w:pPr>
              <w:spacing w:after="0"/>
              <w:rPr>
                <w:rFonts w:ascii="Arial" w:hAnsi="Arial" w:cs="Arial"/>
                <w:b/>
                <w:sz w:val="18"/>
                <w:szCs w:val="16"/>
              </w:rPr>
            </w:pPr>
            <w:r w:rsidRPr="00376702">
              <w:rPr>
                <w:rFonts w:ascii="Arial" w:hAnsi="Arial" w:cs="Arial"/>
                <w:sz w:val="18"/>
                <w:szCs w:val="16"/>
              </w:rPr>
              <w:t>(4.2%)</w:t>
            </w:r>
          </w:p>
        </w:tc>
        <w:tc>
          <w:tcPr>
            <w:tcW w:w="1083" w:type="dxa"/>
            <w:tcBorders>
              <w:top w:val="nil"/>
              <w:bottom w:val="nil"/>
            </w:tcBorders>
            <w:vAlign w:val="center"/>
          </w:tcPr>
          <w:p w14:paraId="4C505FB3" w14:textId="77777777" w:rsidR="007858F0" w:rsidRPr="00AD734A" w:rsidRDefault="007858F0" w:rsidP="00AF46A0">
            <w:pPr>
              <w:pStyle w:val="Table"/>
            </w:pPr>
            <w:r w:rsidRPr="00C135A5">
              <w:t>40</w:t>
            </w:r>
          </w:p>
          <w:p w14:paraId="42744359" w14:textId="0B45A9A3" w:rsidR="007858F0" w:rsidRPr="001520C6" w:rsidRDefault="007858F0" w:rsidP="00AF46A0">
            <w:pPr>
              <w:spacing w:after="0"/>
              <w:rPr>
                <w:rFonts w:ascii="Arial" w:hAnsi="Arial" w:cs="Arial"/>
                <w:b/>
                <w:sz w:val="18"/>
                <w:szCs w:val="16"/>
              </w:rPr>
            </w:pPr>
            <w:r w:rsidRPr="001520C6">
              <w:rPr>
                <w:rFonts w:ascii="Arial" w:hAnsi="Arial" w:cs="Arial"/>
                <w:sz w:val="18"/>
                <w:szCs w:val="16"/>
              </w:rPr>
              <w:t>(18.2%)</w:t>
            </w:r>
          </w:p>
        </w:tc>
        <w:tc>
          <w:tcPr>
            <w:tcW w:w="1084" w:type="dxa"/>
            <w:tcBorders>
              <w:top w:val="nil"/>
              <w:bottom w:val="nil"/>
            </w:tcBorders>
            <w:vAlign w:val="center"/>
          </w:tcPr>
          <w:p w14:paraId="014887B3" w14:textId="77777777" w:rsidR="007858F0" w:rsidRPr="00900AF7" w:rsidRDefault="007858F0" w:rsidP="00AF46A0">
            <w:pPr>
              <w:pStyle w:val="Table"/>
            </w:pPr>
            <w:r w:rsidRPr="001520C6">
              <w:t>45</w:t>
            </w:r>
          </w:p>
          <w:p w14:paraId="568A93C0" w14:textId="0A8979EE" w:rsidR="007858F0" w:rsidRPr="002911FE" w:rsidRDefault="007858F0" w:rsidP="00AF46A0">
            <w:pPr>
              <w:spacing w:after="0"/>
              <w:rPr>
                <w:rFonts w:ascii="Arial" w:hAnsi="Arial" w:cs="Arial"/>
                <w:b/>
                <w:sz w:val="18"/>
                <w:szCs w:val="16"/>
              </w:rPr>
            </w:pPr>
            <w:r w:rsidRPr="002911FE">
              <w:rPr>
                <w:rFonts w:ascii="Arial" w:hAnsi="Arial" w:cs="Arial"/>
                <w:sz w:val="18"/>
                <w:szCs w:val="16"/>
              </w:rPr>
              <w:t>(20.3%)</w:t>
            </w:r>
          </w:p>
        </w:tc>
      </w:tr>
      <w:tr w:rsidR="001C4469" w:rsidRPr="00D45099" w14:paraId="0BDB5C29" w14:textId="77777777" w:rsidTr="002D07A3">
        <w:trPr>
          <w:cantSplit/>
        </w:trPr>
        <w:tc>
          <w:tcPr>
            <w:tcW w:w="2515" w:type="dxa"/>
            <w:tcBorders>
              <w:top w:val="nil"/>
              <w:bottom w:val="nil"/>
            </w:tcBorders>
            <w:vAlign w:val="center"/>
          </w:tcPr>
          <w:p w14:paraId="168C7C59"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268B0D6B" w14:textId="77777777" w:rsidR="007858F0" w:rsidRPr="00914388" w:rsidRDefault="007858F0" w:rsidP="00AF46A0">
            <w:pPr>
              <w:pStyle w:val="Table"/>
            </w:pPr>
            <w:r w:rsidRPr="00914388">
              <w:t>1</w:t>
            </w:r>
          </w:p>
          <w:p w14:paraId="3F8E865B" w14:textId="77777777" w:rsidR="007858F0" w:rsidRPr="00B77816" w:rsidRDefault="007858F0" w:rsidP="00AF46A0">
            <w:pPr>
              <w:spacing w:after="0"/>
              <w:rPr>
                <w:rFonts w:ascii="Arial" w:hAnsi="Arial" w:cs="Arial"/>
                <w:b/>
                <w:sz w:val="18"/>
                <w:szCs w:val="16"/>
              </w:rPr>
            </w:pPr>
            <w:r w:rsidRPr="00B77816">
              <w:rPr>
                <w:rFonts w:ascii="Arial" w:hAnsi="Arial" w:cs="Arial"/>
                <w:sz w:val="18"/>
                <w:szCs w:val="16"/>
              </w:rPr>
              <w:t>(1.0%)</w:t>
            </w:r>
          </w:p>
        </w:tc>
        <w:tc>
          <w:tcPr>
            <w:tcW w:w="1084" w:type="dxa"/>
            <w:tcBorders>
              <w:top w:val="nil"/>
              <w:bottom w:val="nil"/>
            </w:tcBorders>
            <w:vAlign w:val="center"/>
          </w:tcPr>
          <w:p w14:paraId="59C52BA5" w14:textId="77777777" w:rsidR="007858F0" w:rsidRPr="009908D8" w:rsidRDefault="007858F0" w:rsidP="00AF46A0">
            <w:pPr>
              <w:pStyle w:val="Table"/>
            </w:pPr>
            <w:r w:rsidRPr="0001542A">
              <w:t>21</w:t>
            </w:r>
          </w:p>
          <w:p w14:paraId="7C2849EE" w14:textId="57175D47" w:rsidR="007858F0" w:rsidRPr="00376702" w:rsidRDefault="007858F0" w:rsidP="00AF46A0">
            <w:pPr>
              <w:spacing w:after="0"/>
              <w:rPr>
                <w:rFonts w:ascii="Arial" w:hAnsi="Arial" w:cs="Arial"/>
                <w:b/>
                <w:sz w:val="18"/>
                <w:szCs w:val="16"/>
              </w:rPr>
            </w:pPr>
            <w:r w:rsidRPr="00505132">
              <w:rPr>
                <w:rFonts w:ascii="Arial" w:hAnsi="Arial" w:cs="Arial"/>
                <w:sz w:val="18"/>
                <w:szCs w:val="16"/>
              </w:rPr>
              <w:t>(21.0%)</w:t>
            </w:r>
          </w:p>
        </w:tc>
        <w:tc>
          <w:tcPr>
            <w:tcW w:w="1083" w:type="dxa"/>
            <w:tcBorders>
              <w:top w:val="nil"/>
              <w:bottom w:val="nil"/>
            </w:tcBorders>
            <w:vAlign w:val="center"/>
          </w:tcPr>
          <w:p w14:paraId="30A92C5E" w14:textId="77777777" w:rsidR="007858F0" w:rsidRPr="00C135A5" w:rsidRDefault="007858F0" w:rsidP="00AF46A0">
            <w:pPr>
              <w:pStyle w:val="Table"/>
            </w:pPr>
            <w:r w:rsidRPr="00C135A5">
              <w:t>20</w:t>
            </w:r>
          </w:p>
          <w:p w14:paraId="6517E431" w14:textId="36624103" w:rsidR="007858F0" w:rsidRPr="00AD734A" w:rsidRDefault="007858F0" w:rsidP="00AF46A0">
            <w:pPr>
              <w:spacing w:after="0"/>
              <w:rPr>
                <w:rFonts w:ascii="Arial" w:hAnsi="Arial" w:cs="Arial"/>
                <w:b/>
                <w:sz w:val="18"/>
                <w:szCs w:val="16"/>
              </w:rPr>
            </w:pPr>
            <w:r w:rsidRPr="00AD734A">
              <w:rPr>
                <w:rFonts w:ascii="Arial" w:hAnsi="Arial" w:cs="Arial"/>
                <w:sz w:val="18"/>
                <w:szCs w:val="16"/>
              </w:rPr>
              <w:t>(20.0%)</w:t>
            </w:r>
          </w:p>
        </w:tc>
        <w:tc>
          <w:tcPr>
            <w:tcW w:w="1084" w:type="dxa"/>
            <w:tcBorders>
              <w:top w:val="nil"/>
              <w:bottom w:val="nil"/>
            </w:tcBorders>
            <w:vAlign w:val="center"/>
          </w:tcPr>
          <w:p w14:paraId="14FE9AE4" w14:textId="25609645" w:rsidR="007858F0" w:rsidRPr="001520C6" w:rsidRDefault="007858F0" w:rsidP="00AF46A0">
            <w:pPr>
              <w:spacing w:after="0"/>
              <w:rPr>
                <w:rFonts w:ascii="Arial" w:hAnsi="Arial" w:cs="Arial"/>
                <w:b/>
                <w:sz w:val="18"/>
                <w:szCs w:val="16"/>
              </w:rPr>
            </w:pPr>
          </w:p>
        </w:tc>
        <w:tc>
          <w:tcPr>
            <w:tcW w:w="1083" w:type="dxa"/>
            <w:tcBorders>
              <w:top w:val="nil"/>
              <w:bottom w:val="nil"/>
            </w:tcBorders>
            <w:vAlign w:val="center"/>
          </w:tcPr>
          <w:p w14:paraId="4D9744DF" w14:textId="7521CE05" w:rsidR="007858F0" w:rsidRPr="001520C6" w:rsidRDefault="007858F0" w:rsidP="00AF46A0">
            <w:pPr>
              <w:spacing w:after="0"/>
              <w:rPr>
                <w:rFonts w:ascii="Arial" w:hAnsi="Arial" w:cs="Arial"/>
                <w:b/>
                <w:sz w:val="18"/>
                <w:szCs w:val="16"/>
              </w:rPr>
            </w:pPr>
          </w:p>
        </w:tc>
        <w:tc>
          <w:tcPr>
            <w:tcW w:w="1084" w:type="dxa"/>
            <w:tcBorders>
              <w:top w:val="nil"/>
              <w:bottom w:val="nil"/>
            </w:tcBorders>
            <w:vAlign w:val="center"/>
          </w:tcPr>
          <w:p w14:paraId="30E993E4" w14:textId="167DE2F7" w:rsidR="007858F0" w:rsidRPr="00900AF7" w:rsidRDefault="007858F0" w:rsidP="00AF46A0">
            <w:pPr>
              <w:spacing w:after="0"/>
              <w:rPr>
                <w:rFonts w:ascii="Arial" w:hAnsi="Arial" w:cs="Arial"/>
                <w:b/>
                <w:sz w:val="18"/>
                <w:szCs w:val="16"/>
              </w:rPr>
            </w:pPr>
          </w:p>
        </w:tc>
      </w:tr>
      <w:tr w:rsidR="00E1362D" w:rsidRPr="001C4469" w14:paraId="0F8DA60C" w14:textId="77777777" w:rsidTr="00212FB1">
        <w:trPr>
          <w:cantSplit/>
          <w:trHeight w:val="283"/>
        </w:trPr>
        <w:tc>
          <w:tcPr>
            <w:tcW w:w="2515" w:type="dxa"/>
            <w:tcBorders>
              <w:bottom w:val="nil"/>
            </w:tcBorders>
            <w:vAlign w:val="center"/>
          </w:tcPr>
          <w:p w14:paraId="4CA4E97D" w14:textId="77777777" w:rsidR="007858F0" w:rsidRPr="002D07A3" w:rsidRDefault="007858F0" w:rsidP="00AF46A0">
            <w:pPr>
              <w:spacing w:after="0"/>
              <w:rPr>
                <w:rFonts w:ascii="Arial" w:hAnsi="Arial" w:cs="Arial"/>
                <w:sz w:val="18"/>
                <w:szCs w:val="16"/>
              </w:rPr>
            </w:pPr>
            <w:r w:rsidRPr="00904D71">
              <w:rPr>
                <w:rFonts w:ascii="Arial" w:hAnsi="Arial" w:cs="Arial"/>
                <w:sz w:val="18"/>
                <w:szCs w:val="16"/>
              </w:rPr>
              <w:t>DAS28-CRP</w:t>
            </w:r>
          </w:p>
        </w:tc>
        <w:tc>
          <w:tcPr>
            <w:tcW w:w="1083" w:type="dxa"/>
            <w:tcBorders>
              <w:bottom w:val="nil"/>
            </w:tcBorders>
            <w:vAlign w:val="center"/>
          </w:tcPr>
          <w:p w14:paraId="6D9E487C" w14:textId="77777777" w:rsidR="007858F0" w:rsidRPr="002D07A3" w:rsidRDefault="007858F0" w:rsidP="00AF46A0">
            <w:pPr>
              <w:spacing w:after="0"/>
              <w:rPr>
                <w:rFonts w:ascii="Arial" w:hAnsi="Arial" w:cs="Arial"/>
                <w:sz w:val="18"/>
                <w:szCs w:val="16"/>
              </w:rPr>
            </w:pPr>
          </w:p>
        </w:tc>
        <w:tc>
          <w:tcPr>
            <w:tcW w:w="1084" w:type="dxa"/>
            <w:tcBorders>
              <w:bottom w:val="nil"/>
            </w:tcBorders>
            <w:vAlign w:val="center"/>
          </w:tcPr>
          <w:p w14:paraId="6C4FA259" w14:textId="77777777" w:rsidR="007858F0" w:rsidRPr="002D07A3" w:rsidRDefault="007858F0" w:rsidP="00AF46A0">
            <w:pPr>
              <w:spacing w:after="0"/>
              <w:rPr>
                <w:rFonts w:ascii="Arial" w:hAnsi="Arial" w:cs="Arial"/>
                <w:sz w:val="18"/>
                <w:szCs w:val="16"/>
              </w:rPr>
            </w:pPr>
          </w:p>
        </w:tc>
        <w:tc>
          <w:tcPr>
            <w:tcW w:w="1083" w:type="dxa"/>
            <w:tcBorders>
              <w:bottom w:val="nil"/>
            </w:tcBorders>
            <w:vAlign w:val="center"/>
          </w:tcPr>
          <w:p w14:paraId="4614205A" w14:textId="77777777" w:rsidR="007858F0" w:rsidRPr="002D07A3" w:rsidRDefault="007858F0" w:rsidP="00AF46A0">
            <w:pPr>
              <w:spacing w:after="0"/>
              <w:rPr>
                <w:rFonts w:ascii="Arial" w:hAnsi="Arial" w:cs="Arial"/>
                <w:sz w:val="18"/>
                <w:szCs w:val="16"/>
              </w:rPr>
            </w:pPr>
          </w:p>
        </w:tc>
        <w:tc>
          <w:tcPr>
            <w:tcW w:w="1084" w:type="dxa"/>
            <w:tcBorders>
              <w:bottom w:val="nil"/>
            </w:tcBorders>
            <w:vAlign w:val="center"/>
          </w:tcPr>
          <w:p w14:paraId="0D29E574" w14:textId="77777777" w:rsidR="007858F0" w:rsidRPr="002D07A3" w:rsidRDefault="007858F0" w:rsidP="00AF46A0">
            <w:pPr>
              <w:spacing w:after="0"/>
              <w:rPr>
                <w:rFonts w:ascii="Arial" w:hAnsi="Arial" w:cs="Arial"/>
                <w:sz w:val="18"/>
                <w:szCs w:val="16"/>
              </w:rPr>
            </w:pPr>
          </w:p>
        </w:tc>
        <w:tc>
          <w:tcPr>
            <w:tcW w:w="1083" w:type="dxa"/>
            <w:tcBorders>
              <w:bottom w:val="nil"/>
            </w:tcBorders>
            <w:vAlign w:val="center"/>
          </w:tcPr>
          <w:p w14:paraId="1B5454EE" w14:textId="77777777" w:rsidR="007858F0" w:rsidRPr="002D07A3" w:rsidRDefault="007858F0" w:rsidP="00AF46A0">
            <w:pPr>
              <w:spacing w:after="0"/>
              <w:rPr>
                <w:rFonts w:ascii="Arial" w:hAnsi="Arial" w:cs="Arial"/>
                <w:sz w:val="18"/>
                <w:szCs w:val="16"/>
              </w:rPr>
            </w:pPr>
          </w:p>
        </w:tc>
        <w:tc>
          <w:tcPr>
            <w:tcW w:w="1084" w:type="dxa"/>
            <w:tcBorders>
              <w:bottom w:val="nil"/>
            </w:tcBorders>
            <w:vAlign w:val="center"/>
          </w:tcPr>
          <w:p w14:paraId="0D4AF45F" w14:textId="77777777" w:rsidR="007858F0" w:rsidRPr="002D07A3" w:rsidRDefault="007858F0" w:rsidP="00AF46A0">
            <w:pPr>
              <w:spacing w:after="0"/>
              <w:rPr>
                <w:rFonts w:ascii="Arial" w:hAnsi="Arial" w:cs="Arial"/>
                <w:sz w:val="18"/>
                <w:szCs w:val="16"/>
              </w:rPr>
            </w:pPr>
          </w:p>
        </w:tc>
      </w:tr>
      <w:tr w:rsidR="00212FB1" w:rsidRPr="001C4469" w14:paraId="305BA3D1" w14:textId="77777777" w:rsidTr="00212FB1">
        <w:trPr>
          <w:cantSplit/>
          <w:trHeight w:val="283"/>
        </w:trPr>
        <w:tc>
          <w:tcPr>
            <w:tcW w:w="2515" w:type="dxa"/>
            <w:tcBorders>
              <w:top w:val="nil"/>
              <w:bottom w:val="nil"/>
            </w:tcBorders>
            <w:vAlign w:val="center"/>
          </w:tcPr>
          <w:p w14:paraId="4827E36A"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3D4C372B" w14:textId="3F3471AE" w:rsidR="007858F0" w:rsidRPr="002D07A3" w:rsidRDefault="007858F0" w:rsidP="00AF46A0">
            <w:pPr>
              <w:spacing w:after="0"/>
              <w:rPr>
                <w:rFonts w:ascii="Arial" w:hAnsi="Arial" w:cs="Arial"/>
                <w:sz w:val="18"/>
                <w:szCs w:val="16"/>
              </w:rPr>
            </w:pPr>
          </w:p>
        </w:tc>
        <w:tc>
          <w:tcPr>
            <w:tcW w:w="1084" w:type="dxa"/>
            <w:tcBorders>
              <w:top w:val="nil"/>
              <w:bottom w:val="nil"/>
            </w:tcBorders>
            <w:vAlign w:val="center"/>
          </w:tcPr>
          <w:p w14:paraId="2FED4869" w14:textId="004DAEB8" w:rsidR="007858F0" w:rsidRPr="002D07A3" w:rsidRDefault="007858F0" w:rsidP="00AF46A0">
            <w:pPr>
              <w:spacing w:after="0"/>
              <w:rPr>
                <w:rFonts w:ascii="Arial" w:hAnsi="Arial" w:cs="Arial"/>
                <w:sz w:val="18"/>
                <w:szCs w:val="16"/>
              </w:rPr>
            </w:pPr>
          </w:p>
        </w:tc>
        <w:tc>
          <w:tcPr>
            <w:tcW w:w="1083" w:type="dxa"/>
            <w:tcBorders>
              <w:top w:val="nil"/>
              <w:bottom w:val="nil"/>
            </w:tcBorders>
            <w:vAlign w:val="center"/>
          </w:tcPr>
          <w:p w14:paraId="3CFFAB2D" w14:textId="0F490B93" w:rsidR="007858F0" w:rsidRPr="002D07A3" w:rsidRDefault="007858F0" w:rsidP="00AF46A0">
            <w:pPr>
              <w:spacing w:after="0"/>
              <w:rPr>
                <w:rFonts w:ascii="Arial" w:hAnsi="Arial" w:cs="Arial"/>
                <w:sz w:val="18"/>
                <w:szCs w:val="16"/>
              </w:rPr>
            </w:pPr>
          </w:p>
        </w:tc>
        <w:tc>
          <w:tcPr>
            <w:tcW w:w="1084" w:type="dxa"/>
            <w:tcBorders>
              <w:top w:val="nil"/>
              <w:bottom w:val="nil"/>
            </w:tcBorders>
            <w:vAlign w:val="center"/>
          </w:tcPr>
          <w:p w14:paraId="3756BEAE" w14:textId="77777777" w:rsidR="007858F0" w:rsidRPr="002D07A3" w:rsidRDefault="007858F0" w:rsidP="00AF46A0">
            <w:pPr>
              <w:spacing w:after="0"/>
              <w:rPr>
                <w:rFonts w:ascii="Arial" w:hAnsi="Arial" w:cs="Arial"/>
                <w:sz w:val="18"/>
                <w:szCs w:val="16"/>
              </w:rPr>
            </w:pPr>
            <w:r w:rsidRPr="00904D71">
              <w:rPr>
                <w:rFonts w:ascii="Arial" w:hAnsi="Arial" w:cs="Arial"/>
                <w:sz w:val="18"/>
                <w:szCs w:val="16"/>
              </w:rPr>
              <w:t>-0.63</w:t>
            </w:r>
          </w:p>
        </w:tc>
        <w:tc>
          <w:tcPr>
            <w:tcW w:w="1083" w:type="dxa"/>
            <w:tcBorders>
              <w:top w:val="nil"/>
              <w:bottom w:val="nil"/>
            </w:tcBorders>
            <w:vAlign w:val="center"/>
          </w:tcPr>
          <w:p w14:paraId="15DDF12E" w14:textId="7678DC11" w:rsidR="007858F0" w:rsidRPr="002D07A3" w:rsidRDefault="007858F0" w:rsidP="00AF46A0">
            <w:pPr>
              <w:spacing w:after="0"/>
              <w:rPr>
                <w:rFonts w:ascii="Arial" w:hAnsi="Arial" w:cs="Arial"/>
                <w:sz w:val="18"/>
                <w:szCs w:val="16"/>
              </w:rPr>
            </w:pPr>
            <w:r w:rsidRPr="00904D71">
              <w:rPr>
                <w:rFonts w:ascii="Arial" w:hAnsi="Arial" w:cs="Arial"/>
                <w:sz w:val="18"/>
                <w:szCs w:val="16"/>
              </w:rPr>
              <w:t>-1.29*</w:t>
            </w:r>
          </w:p>
        </w:tc>
        <w:tc>
          <w:tcPr>
            <w:tcW w:w="1084" w:type="dxa"/>
            <w:tcBorders>
              <w:top w:val="nil"/>
              <w:bottom w:val="nil"/>
            </w:tcBorders>
            <w:vAlign w:val="center"/>
          </w:tcPr>
          <w:p w14:paraId="7E7A2EA0" w14:textId="159F7D2D" w:rsidR="007858F0" w:rsidRPr="002D07A3" w:rsidRDefault="007858F0" w:rsidP="00AF46A0">
            <w:pPr>
              <w:spacing w:after="0"/>
              <w:rPr>
                <w:rFonts w:ascii="Arial" w:hAnsi="Arial" w:cs="Arial"/>
                <w:sz w:val="18"/>
                <w:szCs w:val="16"/>
              </w:rPr>
            </w:pPr>
            <w:r w:rsidRPr="00904D71">
              <w:rPr>
                <w:rFonts w:ascii="Arial" w:hAnsi="Arial" w:cs="Arial"/>
                <w:sz w:val="18"/>
                <w:szCs w:val="16"/>
              </w:rPr>
              <w:t>-1.49*</w:t>
            </w:r>
          </w:p>
        </w:tc>
      </w:tr>
      <w:tr w:rsidR="00212FB1" w:rsidRPr="001C4469" w14:paraId="4915A104" w14:textId="77777777" w:rsidTr="00212FB1">
        <w:trPr>
          <w:cantSplit/>
          <w:trHeight w:val="283"/>
        </w:trPr>
        <w:tc>
          <w:tcPr>
            <w:tcW w:w="2515" w:type="dxa"/>
            <w:tcBorders>
              <w:top w:val="nil"/>
              <w:bottom w:val="nil"/>
            </w:tcBorders>
            <w:vAlign w:val="center"/>
          </w:tcPr>
          <w:p w14:paraId="46A84DC9"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41BCEF16" w14:textId="77777777" w:rsidR="007858F0" w:rsidRPr="002D07A3" w:rsidRDefault="007858F0" w:rsidP="00AF46A0">
            <w:pPr>
              <w:spacing w:after="0"/>
              <w:rPr>
                <w:rFonts w:ascii="Arial" w:hAnsi="Arial" w:cs="Arial"/>
                <w:sz w:val="18"/>
                <w:szCs w:val="16"/>
              </w:rPr>
            </w:pPr>
            <w:r w:rsidRPr="00914388">
              <w:rPr>
                <w:rFonts w:ascii="Arial" w:hAnsi="Arial" w:cs="Arial"/>
                <w:sz w:val="18"/>
                <w:szCs w:val="16"/>
              </w:rPr>
              <w:t>-0.96</w:t>
            </w:r>
          </w:p>
        </w:tc>
        <w:tc>
          <w:tcPr>
            <w:tcW w:w="1084" w:type="dxa"/>
            <w:tcBorders>
              <w:top w:val="nil"/>
              <w:bottom w:val="nil"/>
            </w:tcBorders>
            <w:vAlign w:val="center"/>
          </w:tcPr>
          <w:p w14:paraId="082CFB62" w14:textId="2291EAB6" w:rsidR="007858F0" w:rsidRPr="002D07A3" w:rsidRDefault="007858F0" w:rsidP="00AF46A0">
            <w:pPr>
              <w:spacing w:after="0"/>
              <w:rPr>
                <w:rFonts w:ascii="Arial" w:hAnsi="Arial" w:cs="Arial"/>
                <w:sz w:val="18"/>
                <w:szCs w:val="16"/>
              </w:rPr>
            </w:pPr>
            <w:r w:rsidRPr="00904D71">
              <w:rPr>
                <w:rFonts w:ascii="Arial" w:hAnsi="Arial" w:cs="Arial"/>
                <w:sz w:val="18"/>
                <w:szCs w:val="16"/>
              </w:rPr>
              <w:t>-1.58**</w:t>
            </w:r>
          </w:p>
        </w:tc>
        <w:tc>
          <w:tcPr>
            <w:tcW w:w="1083" w:type="dxa"/>
            <w:tcBorders>
              <w:top w:val="nil"/>
              <w:bottom w:val="nil"/>
            </w:tcBorders>
            <w:vAlign w:val="center"/>
          </w:tcPr>
          <w:p w14:paraId="40B490A7" w14:textId="52E606E8" w:rsidR="007858F0" w:rsidRPr="002D07A3" w:rsidRDefault="007858F0" w:rsidP="00AF46A0">
            <w:pPr>
              <w:spacing w:after="0"/>
              <w:rPr>
                <w:rFonts w:ascii="Arial" w:hAnsi="Arial" w:cs="Arial"/>
                <w:sz w:val="18"/>
                <w:szCs w:val="16"/>
              </w:rPr>
            </w:pPr>
            <w:r w:rsidRPr="00904D71">
              <w:rPr>
                <w:rFonts w:ascii="Arial" w:hAnsi="Arial" w:cs="Arial"/>
                <w:sz w:val="18"/>
                <w:szCs w:val="16"/>
              </w:rPr>
              <w:t>-1.61**</w:t>
            </w:r>
          </w:p>
        </w:tc>
        <w:tc>
          <w:tcPr>
            <w:tcW w:w="1084" w:type="dxa"/>
            <w:tcBorders>
              <w:top w:val="nil"/>
              <w:bottom w:val="nil"/>
            </w:tcBorders>
            <w:vAlign w:val="center"/>
          </w:tcPr>
          <w:p w14:paraId="6A1E3D64" w14:textId="5DA3D45C" w:rsidR="007858F0" w:rsidRPr="002D07A3" w:rsidRDefault="007858F0" w:rsidP="00AF46A0">
            <w:pPr>
              <w:spacing w:after="0"/>
              <w:rPr>
                <w:rFonts w:ascii="Arial" w:hAnsi="Arial" w:cs="Arial"/>
                <w:sz w:val="18"/>
                <w:szCs w:val="16"/>
              </w:rPr>
            </w:pPr>
          </w:p>
        </w:tc>
        <w:tc>
          <w:tcPr>
            <w:tcW w:w="1083" w:type="dxa"/>
            <w:tcBorders>
              <w:top w:val="nil"/>
              <w:bottom w:val="nil"/>
            </w:tcBorders>
            <w:vAlign w:val="center"/>
          </w:tcPr>
          <w:p w14:paraId="252626A8" w14:textId="7116C4B4" w:rsidR="007858F0" w:rsidRPr="002D07A3" w:rsidRDefault="007858F0" w:rsidP="00AF46A0">
            <w:pPr>
              <w:spacing w:after="0"/>
              <w:rPr>
                <w:rFonts w:ascii="Arial" w:hAnsi="Arial" w:cs="Arial"/>
                <w:sz w:val="18"/>
                <w:szCs w:val="16"/>
              </w:rPr>
            </w:pPr>
          </w:p>
        </w:tc>
        <w:tc>
          <w:tcPr>
            <w:tcW w:w="1084" w:type="dxa"/>
            <w:tcBorders>
              <w:top w:val="nil"/>
              <w:bottom w:val="nil"/>
            </w:tcBorders>
            <w:vAlign w:val="center"/>
          </w:tcPr>
          <w:p w14:paraId="43A5C223" w14:textId="11853431" w:rsidR="007858F0" w:rsidRPr="002D07A3" w:rsidRDefault="007858F0" w:rsidP="00AF46A0">
            <w:pPr>
              <w:spacing w:after="0"/>
              <w:rPr>
                <w:rFonts w:ascii="Arial" w:hAnsi="Arial" w:cs="Arial"/>
                <w:sz w:val="18"/>
                <w:szCs w:val="16"/>
              </w:rPr>
            </w:pPr>
          </w:p>
        </w:tc>
      </w:tr>
      <w:tr w:rsidR="00212FB1" w:rsidRPr="001C4469" w14:paraId="0A864919" w14:textId="77777777" w:rsidTr="00212FB1">
        <w:trPr>
          <w:cantSplit/>
          <w:trHeight w:val="794"/>
        </w:trPr>
        <w:tc>
          <w:tcPr>
            <w:tcW w:w="2515" w:type="dxa"/>
            <w:tcBorders>
              <w:bottom w:val="single" w:sz="4" w:space="0" w:color="auto"/>
            </w:tcBorders>
            <w:vAlign w:val="center"/>
          </w:tcPr>
          <w:p w14:paraId="57FA86E8" w14:textId="77777777" w:rsidR="001C4469" w:rsidRPr="002D07A3" w:rsidRDefault="007858F0" w:rsidP="00AF46A0">
            <w:pPr>
              <w:spacing w:after="0"/>
              <w:rPr>
                <w:rFonts w:ascii="Arial" w:hAnsi="Arial" w:cs="Arial"/>
                <w:sz w:val="18"/>
                <w:szCs w:val="16"/>
              </w:rPr>
            </w:pPr>
            <w:r w:rsidRPr="00904D71">
              <w:rPr>
                <w:rFonts w:ascii="Arial" w:hAnsi="Arial" w:cs="Arial"/>
                <w:sz w:val="18"/>
                <w:szCs w:val="16"/>
              </w:rPr>
              <w:t xml:space="preserve">Number of patients with </w:t>
            </w:r>
          </w:p>
          <w:p w14:paraId="52E5B527" w14:textId="6B8B3EF1" w:rsidR="007858F0" w:rsidRPr="002D07A3" w:rsidRDefault="007858F0" w:rsidP="00AF46A0">
            <w:pPr>
              <w:spacing w:after="0"/>
              <w:rPr>
                <w:rFonts w:ascii="Arial" w:hAnsi="Arial" w:cs="Arial"/>
                <w:sz w:val="18"/>
                <w:szCs w:val="16"/>
              </w:rPr>
            </w:pPr>
            <w:r w:rsidRPr="00904D71">
              <w:rPr>
                <w:rFonts w:ascii="Arial" w:hAnsi="Arial" w:cs="Arial"/>
                <w:sz w:val="18"/>
                <w:szCs w:val="16"/>
              </w:rPr>
              <w:t>≥ 3% BSA psoriasis skin involvement at baseline</w:t>
            </w:r>
          </w:p>
        </w:tc>
        <w:tc>
          <w:tcPr>
            <w:tcW w:w="1083" w:type="dxa"/>
            <w:tcBorders>
              <w:bottom w:val="single" w:sz="4" w:space="0" w:color="auto"/>
            </w:tcBorders>
            <w:vAlign w:val="center"/>
          </w:tcPr>
          <w:p w14:paraId="51638A4F" w14:textId="77777777" w:rsidR="007858F0" w:rsidRPr="00914388" w:rsidRDefault="007858F0" w:rsidP="00AF46A0">
            <w:pPr>
              <w:pStyle w:val="Table"/>
            </w:pPr>
            <w:r w:rsidRPr="00904D71">
              <w:t>43</w:t>
            </w:r>
          </w:p>
          <w:p w14:paraId="72BDDD2D" w14:textId="77777777" w:rsidR="007858F0" w:rsidRPr="00914388" w:rsidRDefault="007858F0" w:rsidP="00AF46A0">
            <w:pPr>
              <w:spacing w:after="0"/>
              <w:rPr>
                <w:rFonts w:ascii="Arial" w:hAnsi="Arial" w:cs="Arial"/>
                <w:b/>
                <w:sz w:val="18"/>
                <w:szCs w:val="16"/>
              </w:rPr>
            </w:pPr>
            <w:r w:rsidRPr="00914388">
              <w:rPr>
                <w:rFonts w:ascii="Arial" w:hAnsi="Arial" w:cs="Arial"/>
                <w:sz w:val="18"/>
                <w:szCs w:val="16"/>
              </w:rPr>
              <w:t>(43.9%)</w:t>
            </w:r>
          </w:p>
        </w:tc>
        <w:tc>
          <w:tcPr>
            <w:tcW w:w="1084" w:type="dxa"/>
            <w:tcBorders>
              <w:bottom w:val="single" w:sz="4" w:space="0" w:color="auto"/>
            </w:tcBorders>
            <w:vAlign w:val="center"/>
          </w:tcPr>
          <w:p w14:paraId="78DAF770" w14:textId="77777777" w:rsidR="007858F0" w:rsidRPr="00B77816" w:rsidRDefault="007858F0" w:rsidP="00AF46A0">
            <w:pPr>
              <w:pStyle w:val="Table"/>
            </w:pPr>
            <w:r w:rsidRPr="00B77816">
              <w:t>58</w:t>
            </w:r>
          </w:p>
          <w:p w14:paraId="3470A52A" w14:textId="3E2FE696" w:rsidR="007858F0" w:rsidRPr="00212FB1" w:rsidRDefault="007858F0" w:rsidP="00AF46A0">
            <w:pPr>
              <w:pStyle w:val="Table"/>
            </w:pPr>
            <w:r w:rsidRPr="0001542A">
              <w:t>(58.0%)</w:t>
            </w:r>
          </w:p>
        </w:tc>
        <w:tc>
          <w:tcPr>
            <w:tcW w:w="1083" w:type="dxa"/>
            <w:tcBorders>
              <w:bottom w:val="single" w:sz="4" w:space="0" w:color="auto"/>
            </w:tcBorders>
            <w:vAlign w:val="center"/>
          </w:tcPr>
          <w:p w14:paraId="607D0DA1" w14:textId="77777777" w:rsidR="007858F0" w:rsidRPr="00914388" w:rsidRDefault="007858F0" w:rsidP="00AF46A0">
            <w:pPr>
              <w:pStyle w:val="Table"/>
            </w:pPr>
            <w:r w:rsidRPr="00904D71">
              <w:t>41</w:t>
            </w:r>
          </w:p>
          <w:p w14:paraId="41601628" w14:textId="4EADD777" w:rsidR="007858F0" w:rsidRPr="00212FB1" w:rsidRDefault="007858F0" w:rsidP="00AF46A0">
            <w:pPr>
              <w:pStyle w:val="Table"/>
            </w:pPr>
            <w:r w:rsidRPr="00914388">
              <w:t>(41.0%)</w:t>
            </w:r>
          </w:p>
        </w:tc>
        <w:tc>
          <w:tcPr>
            <w:tcW w:w="1084" w:type="dxa"/>
            <w:tcBorders>
              <w:bottom w:val="single" w:sz="4" w:space="0" w:color="auto"/>
            </w:tcBorders>
            <w:vAlign w:val="center"/>
          </w:tcPr>
          <w:p w14:paraId="1E3EC79D" w14:textId="77777777" w:rsidR="007858F0" w:rsidRPr="00914388" w:rsidRDefault="007858F0" w:rsidP="00AF46A0">
            <w:pPr>
              <w:pStyle w:val="Table"/>
            </w:pPr>
            <w:r w:rsidRPr="00904D71">
              <w:t>162</w:t>
            </w:r>
          </w:p>
          <w:p w14:paraId="697C85A9" w14:textId="77777777" w:rsidR="007858F0" w:rsidRPr="00914388" w:rsidRDefault="007858F0" w:rsidP="00AF46A0">
            <w:pPr>
              <w:spacing w:after="0"/>
              <w:rPr>
                <w:rFonts w:ascii="Arial" w:hAnsi="Arial" w:cs="Arial"/>
                <w:b/>
                <w:sz w:val="18"/>
                <w:szCs w:val="16"/>
              </w:rPr>
            </w:pPr>
            <w:r w:rsidRPr="00914388">
              <w:rPr>
                <w:rFonts w:ascii="Arial" w:hAnsi="Arial" w:cs="Arial"/>
                <w:sz w:val="18"/>
                <w:szCs w:val="16"/>
              </w:rPr>
              <w:t>(48.8%)</w:t>
            </w:r>
          </w:p>
        </w:tc>
        <w:tc>
          <w:tcPr>
            <w:tcW w:w="1083" w:type="dxa"/>
            <w:tcBorders>
              <w:bottom w:val="single" w:sz="4" w:space="0" w:color="auto"/>
            </w:tcBorders>
            <w:vAlign w:val="center"/>
          </w:tcPr>
          <w:p w14:paraId="69208400" w14:textId="77777777" w:rsidR="007858F0" w:rsidRPr="00B77816" w:rsidRDefault="007858F0" w:rsidP="00AF46A0">
            <w:pPr>
              <w:pStyle w:val="Table"/>
            </w:pPr>
            <w:r w:rsidRPr="00B77816">
              <w:t>125</w:t>
            </w:r>
          </w:p>
          <w:p w14:paraId="1F74EB83" w14:textId="77777777" w:rsidR="007858F0" w:rsidRPr="009908D8" w:rsidRDefault="007858F0" w:rsidP="00AF46A0">
            <w:pPr>
              <w:spacing w:after="0"/>
              <w:rPr>
                <w:rFonts w:ascii="Arial" w:hAnsi="Arial" w:cs="Arial"/>
                <w:b/>
                <w:sz w:val="18"/>
                <w:szCs w:val="16"/>
              </w:rPr>
            </w:pPr>
            <w:r w:rsidRPr="0001542A">
              <w:rPr>
                <w:rFonts w:ascii="Arial" w:hAnsi="Arial" w:cs="Arial"/>
                <w:sz w:val="18"/>
                <w:szCs w:val="16"/>
              </w:rPr>
              <w:t>(56.8%)</w:t>
            </w:r>
          </w:p>
        </w:tc>
        <w:tc>
          <w:tcPr>
            <w:tcW w:w="1084" w:type="dxa"/>
            <w:tcBorders>
              <w:bottom w:val="single" w:sz="4" w:space="0" w:color="auto"/>
            </w:tcBorders>
            <w:vAlign w:val="center"/>
          </w:tcPr>
          <w:p w14:paraId="637BCF90" w14:textId="77777777" w:rsidR="007858F0" w:rsidRPr="00505132" w:rsidRDefault="007858F0" w:rsidP="00AF46A0">
            <w:pPr>
              <w:pStyle w:val="Table"/>
            </w:pPr>
            <w:r w:rsidRPr="00505132">
              <w:t>110</w:t>
            </w:r>
          </w:p>
          <w:p w14:paraId="1FD6B263" w14:textId="77777777" w:rsidR="007858F0" w:rsidRPr="00C135A5" w:rsidRDefault="007858F0" w:rsidP="00AF46A0">
            <w:pPr>
              <w:spacing w:after="0"/>
              <w:rPr>
                <w:rFonts w:ascii="Arial" w:hAnsi="Arial" w:cs="Arial"/>
                <w:b/>
                <w:sz w:val="18"/>
                <w:szCs w:val="16"/>
              </w:rPr>
            </w:pPr>
            <w:r w:rsidRPr="00376702">
              <w:rPr>
                <w:rFonts w:ascii="Arial" w:hAnsi="Arial" w:cs="Arial"/>
                <w:sz w:val="18"/>
                <w:szCs w:val="16"/>
              </w:rPr>
              <w:t>(49.5%)</w:t>
            </w:r>
          </w:p>
        </w:tc>
      </w:tr>
      <w:tr w:rsidR="001C4469" w:rsidRPr="00D45099" w14:paraId="723F7030" w14:textId="77777777" w:rsidTr="002D07A3">
        <w:trPr>
          <w:cantSplit/>
        </w:trPr>
        <w:tc>
          <w:tcPr>
            <w:tcW w:w="2515" w:type="dxa"/>
            <w:tcBorders>
              <w:bottom w:val="nil"/>
            </w:tcBorders>
            <w:vAlign w:val="center"/>
          </w:tcPr>
          <w:p w14:paraId="40F9E800" w14:textId="5388A59D" w:rsidR="007858F0" w:rsidRPr="00904D71" w:rsidRDefault="007858F0" w:rsidP="00AF46A0">
            <w:pPr>
              <w:spacing w:after="0"/>
              <w:rPr>
                <w:szCs w:val="16"/>
              </w:rPr>
            </w:pPr>
            <w:r w:rsidRPr="002D07A3">
              <w:rPr>
                <w:rFonts w:ascii="Arial" w:eastAsiaTheme="minorHAnsi" w:hAnsi="Arial" w:cs="Arial"/>
                <w:sz w:val="18"/>
                <w:szCs w:val="16"/>
              </w:rPr>
              <w:t>PASI 75 response n(%)</w:t>
            </w:r>
          </w:p>
        </w:tc>
        <w:tc>
          <w:tcPr>
            <w:tcW w:w="1083" w:type="dxa"/>
            <w:tcBorders>
              <w:bottom w:val="nil"/>
            </w:tcBorders>
            <w:vAlign w:val="center"/>
          </w:tcPr>
          <w:p w14:paraId="4E460F68" w14:textId="77777777" w:rsidR="007858F0" w:rsidRPr="00914388" w:rsidRDefault="007858F0" w:rsidP="00AF46A0">
            <w:pPr>
              <w:spacing w:after="0"/>
              <w:rPr>
                <w:rFonts w:ascii="Arial" w:hAnsi="Arial" w:cs="Arial"/>
                <w:b/>
                <w:sz w:val="18"/>
                <w:szCs w:val="16"/>
              </w:rPr>
            </w:pPr>
          </w:p>
        </w:tc>
        <w:tc>
          <w:tcPr>
            <w:tcW w:w="1084" w:type="dxa"/>
            <w:tcBorders>
              <w:bottom w:val="nil"/>
            </w:tcBorders>
            <w:vAlign w:val="center"/>
          </w:tcPr>
          <w:p w14:paraId="70C9E697" w14:textId="77777777" w:rsidR="007858F0" w:rsidRPr="00914388" w:rsidRDefault="007858F0" w:rsidP="00AF46A0">
            <w:pPr>
              <w:spacing w:after="0"/>
              <w:rPr>
                <w:rFonts w:ascii="Arial" w:hAnsi="Arial" w:cs="Arial"/>
                <w:b/>
                <w:sz w:val="18"/>
                <w:szCs w:val="16"/>
              </w:rPr>
            </w:pPr>
          </w:p>
        </w:tc>
        <w:tc>
          <w:tcPr>
            <w:tcW w:w="1083" w:type="dxa"/>
            <w:tcBorders>
              <w:bottom w:val="nil"/>
            </w:tcBorders>
            <w:vAlign w:val="center"/>
          </w:tcPr>
          <w:p w14:paraId="0CA01895" w14:textId="77777777" w:rsidR="007858F0" w:rsidRPr="00B77816" w:rsidRDefault="007858F0" w:rsidP="00AF46A0">
            <w:pPr>
              <w:spacing w:after="0"/>
              <w:rPr>
                <w:rFonts w:ascii="Arial" w:hAnsi="Arial" w:cs="Arial"/>
                <w:b/>
                <w:sz w:val="18"/>
                <w:szCs w:val="16"/>
              </w:rPr>
            </w:pPr>
          </w:p>
        </w:tc>
        <w:tc>
          <w:tcPr>
            <w:tcW w:w="1084" w:type="dxa"/>
            <w:tcBorders>
              <w:bottom w:val="nil"/>
            </w:tcBorders>
            <w:vAlign w:val="center"/>
          </w:tcPr>
          <w:p w14:paraId="74DBCAFE" w14:textId="77777777" w:rsidR="007858F0" w:rsidRPr="0001542A" w:rsidRDefault="007858F0" w:rsidP="00AF46A0">
            <w:pPr>
              <w:spacing w:after="0"/>
              <w:rPr>
                <w:rFonts w:ascii="Arial" w:hAnsi="Arial" w:cs="Arial"/>
                <w:b/>
                <w:sz w:val="18"/>
                <w:szCs w:val="16"/>
              </w:rPr>
            </w:pPr>
          </w:p>
        </w:tc>
        <w:tc>
          <w:tcPr>
            <w:tcW w:w="1083" w:type="dxa"/>
            <w:tcBorders>
              <w:bottom w:val="nil"/>
            </w:tcBorders>
            <w:vAlign w:val="center"/>
          </w:tcPr>
          <w:p w14:paraId="2F075B53" w14:textId="77777777" w:rsidR="007858F0" w:rsidRPr="009908D8" w:rsidRDefault="007858F0" w:rsidP="00AF46A0">
            <w:pPr>
              <w:spacing w:after="0"/>
              <w:rPr>
                <w:rFonts w:ascii="Arial" w:hAnsi="Arial" w:cs="Arial"/>
                <w:b/>
                <w:sz w:val="18"/>
                <w:szCs w:val="16"/>
              </w:rPr>
            </w:pPr>
          </w:p>
        </w:tc>
        <w:tc>
          <w:tcPr>
            <w:tcW w:w="1084" w:type="dxa"/>
            <w:tcBorders>
              <w:bottom w:val="nil"/>
            </w:tcBorders>
            <w:vAlign w:val="center"/>
          </w:tcPr>
          <w:p w14:paraId="48474C1B" w14:textId="77777777" w:rsidR="007858F0" w:rsidRPr="00505132" w:rsidRDefault="007858F0" w:rsidP="00AF46A0">
            <w:pPr>
              <w:spacing w:after="0"/>
              <w:rPr>
                <w:rFonts w:ascii="Arial" w:hAnsi="Arial" w:cs="Arial"/>
                <w:b/>
                <w:sz w:val="18"/>
                <w:szCs w:val="16"/>
              </w:rPr>
            </w:pPr>
          </w:p>
        </w:tc>
      </w:tr>
      <w:tr w:rsidR="001C4469" w:rsidRPr="00D45099" w14:paraId="7A61AC75" w14:textId="77777777" w:rsidTr="002D07A3">
        <w:trPr>
          <w:cantSplit/>
        </w:trPr>
        <w:tc>
          <w:tcPr>
            <w:tcW w:w="2515" w:type="dxa"/>
            <w:tcBorders>
              <w:top w:val="nil"/>
              <w:bottom w:val="nil"/>
            </w:tcBorders>
            <w:vAlign w:val="center"/>
          </w:tcPr>
          <w:p w14:paraId="06BFCD1D"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52145478" w14:textId="430AC041" w:rsidR="007858F0" w:rsidRPr="00914388" w:rsidRDefault="007858F0" w:rsidP="00AF46A0">
            <w:pPr>
              <w:spacing w:after="0"/>
              <w:rPr>
                <w:rFonts w:ascii="Arial" w:hAnsi="Arial" w:cs="Arial"/>
                <w:b/>
                <w:sz w:val="18"/>
                <w:szCs w:val="16"/>
              </w:rPr>
            </w:pPr>
          </w:p>
        </w:tc>
        <w:tc>
          <w:tcPr>
            <w:tcW w:w="1084" w:type="dxa"/>
            <w:tcBorders>
              <w:top w:val="nil"/>
              <w:bottom w:val="nil"/>
            </w:tcBorders>
            <w:vAlign w:val="center"/>
          </w:tcPr>
          <w:p w14:paraId="286A4EB0" w14:textId="10BD2395" w:rsidR="007858F0" w:rsidRPr="00B77816" w:rsidRDefault="007858F0" w:rsidP="00AF46A0">
            <w:pPr>
              <w:spacing w:after="0"/>
              <w:rPr>
                <w:rFonts w:ascii="Arial" w:hAnsi="Arial" w:cs="Arial"/>
                <w:b/>
                <w:sz w:val="18"/>
                <w:szCs w:val="16"/>
              </w:rPr>
            </w:pPr>
          </w:p>
        </w:tc>
        <w:tc>
          <w:tcPr>
            <w:tcW w:w="1083" w:type="dxa"/>
            <w:tcBorders>
              <w:top w:val="nil"/>
              <w:bottom w:val="nil"/>
            </w:tcBorders>
            <w:vAlign w:val="center"/>
          </w:tcPr>
          <w:p w14:paraId="324FA997" w14:textId="59F9F9D3" w:rsidR="007858F0" w:rsidRPr="0001542A" w:rsidRDefault="007858F0" w:rsidP="00AF46A0">
            <w:pPr>
              <w:spacing w:after="0"/>
              <w:rPr>
                <w:rFonts w:ascii="Arial" w:hAnsi="Arial" w:cs="Arial"/>
                <w:b/>
                <w:sz w:val="18"/>
                <w:szCs w:val="16"/>
              </w:rPr>
            </w:pPr>
          </w:p>
        </w:tc>
        <w:tc>
          <w:tcPr>
            <w:tcW w:w="1084" w:type="dxa"/>
            <w:tcBorders>
              <w:top w:val="nil"/>
              <w:bottom w:val="nil"/>
            </w:tcBorders>
            <w:vAlign w:val="center"/>
          </w:tcPr>
          <w:p w14:paraId="3529CADE" w14:textId="77777777" w:rsidR="007858F0" w:rsidRPr="009908D8" w:rsidRDefault="007858F0" w:rsidP="00AF46A0">
            <w:pPr>
              <w:pStyle w:val="Table"/>
            </w:pPr>
            <w:r w:rsidRPr="009908D8">
              <w:t>20</w:t>
            </w:r>
          </w:p>
          <w:p w14:paraId="1F58654A" w14:textId="77777777" w:rsidR="007858F0" w:rsidRPr="00376702" w:rsidRDefault="007858F0" w:rsidP="00AF46A0">
            <w:pPr>
              <w:spacing w:after="0"/>
              <w:rPr>
                <w:rFonts w:ascii="Arial" w:hAnsi="Arial" w:cs="Arial"/>
                <w:b/>
                <w:sz w:val="18"/>
                <w:szCs w:val="16"/>
              </w:rPr>
            </w:pPr>
            <w:r w:rsidRPr="00505132">
              <w:rPr>
                <w:rFonts w:ascii="Arial" w:hAnsi="Arial" w:cs="Arial"/>
                <w:sz w:val="18"/>
                <w:szCs w:val="16"/>
              </w:rPr>
              <w:t>(12.3%)</w:t>
            </w:r>
          </w:p>
        </w:tc>
        <w:tc>
          <w:tcPr>
            <w:tcW w:w="1083" w:type="dxa"/>
            <w:tcBorders>
              <w:top w:val="nil"/>
              <w:bottom w:val="nil"/>
            </w:tcBorders>
            <w:vAlign w:val="center"/>
          </w:tcPr>
          <w:p w14:paraId="1D329C08" w14:textId="77777777" w:rsidR="007858F0" w:rsidRPr="00C135A5" w:rsidRDefault="007858F0" w:rsidP="00AF46A0">
            <w:pPr>
              <w:pStyle w:val="Table"/>
            </w:pPr>
            <w:r w:rsidRPr="00C135A5">
              <w:t>75</w:t>
            </w:r>
          </w:p>
          <w:p w14:paraId="399891B5" w14:textId="7E2FDB4D" w:rsidR="007858F0" w:rsidRPr="00AD734A" w:rsidRDefault="007858F0" w:rsidP="00AF46A0">
            <w:pPr>
              <w:pStyle w:val="Table"/>
            </w:pPr>
            <w:r w:rsidRPr="00AD734A">
              <w:t>(60.0%*)</w:t>
            </w:r>
          </w:p>
          <w:p w14:paraId="2D1AAC70" w14:textId="77777777" w:rsidR="007858F0" w:rsidRPr="001520C6" w:rsidRDefault="007858F0" w:rsidP="00AF46A0">
            <w:pPr>
              <w:spacing w:after="0"/>
              <w:rPr>
                <w:rFonts w:ascii="Arial" w:hAnsi="Arial" w:cs="Arial"/>
                <w:b/>
                <w:sz w:val="18"/>
                <w:szCs w:val="16"/>
              </w:rPr>
            </w:pPr>
          </w:p>
        </w:tc>
        <w:tc>
          <w:tcPr>
            <w:tcW w:w="1084" w:type="dxa"/>
            <w:tcBorders>
              <w:top w:val="nil"/>
              <w:bottom w:val="nil"/>
            </w:tcBorders>
            <w:vAlign w:val="center"/>
          </w:tcPr>
          <w:p w14:paraId="73561CCD" w14:textId="77777777" w:rsidR="007858F0" w:rsidRPr="001520C6" w:rsidRDefault="007858F0" w:rsidP="00AF46A0">
            <w:pPr>
              <w:pStyle w:val="Table"/>
            </w:pPr>
            <w:r w:rsidRPr="001520C6">
              <w:t>77</w:t>
            </w:r>
          </w:p>
          <w:p w14:paraId="499BD5B0" w14:textId="0CFD0878" w:rsidR="007858F0" w:rsidRPr="002911FE" w:rsidRDefault="007858F0" w:rsidP="00AF46A0">
            <w:pPr>
              <w:spacing w:after="0"/>
              <w:rPr>
                <w:rFonts w:ascii="Arial" w:hAnsi="Arial" w:cs="Arial"/>
                <w:b/>
                <w:sz w:val="18"/>
                <w:szCs w:val="16"/>
              </w:rPr>
            </w:pPr>
            <w:r w:rsidRPr="00900AF7">
              <w:rPr>
                <w:rFonts w:ascii="Arial" w:hAnsi="Arial" w:cs="Arial"/>
                <w:sz w:val="18"/>
                <w:szCs w:val="16"/>
              </w:rPr>
              <w:t>(70.0%*)</w:t>
            </w:r>
          </w:p>
        </w:tc>
      </w:tr>
      <w:tr w:rsidR="001C4469" w:rsidRPr="00D45099" w14:paraId="61C7232B" w14:textId="77777777" w:rsidTr="002D07A3">
        <w:trPr>
          <w:cantSplit/>
        </w:trPr>
        <w:tc>
          <w:tcPr>
            <w:tcW w:w="2515" w:type="dxa"/>
            <w:tcBorders>
              <w:top w:val="nil"/>
              <w:bottom w:val="nil"/>
            </w:tcBorders>
            <w:vAlign w:val="center"/>
          </w:tcPr>
          <w:p w14:paraId="1021F772"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021E9C78" w14:textId="77777777" w:rsidR="007858F0" w:rsidRPr="00914388" w:rsidRDefault="007858F0" w:rsidP="00AF46A0">
            <w:pPr>
              <w:pStyle w:val="Table"/>
            </w:pPr>
            <w:r w:rsidRPr="00914388">
              <w:t>7</w:t>
            </w:r>
          </w:p>
          <w:p w14:paraId="6B656914" w14:textId="77777777" w:rsidR="007858F0" w:rsidRPr="00B77816" w:rsidRDefault="007858F0" w:rsidP="00AF46A0">
            <w:pPr>
              <w:spacing w:after="0"/>
              <w:rPr>
                <w:rFonts w:ascii="Arial" w:hAnsi="Arial" w:cs="Arial"/>
                <w:b/>
                <w:sz w:val="18"/>
                <w:szCs w:val="16"/>
              </w:rPr>
            </w:pPr>
            <w:r w:rsidRPr="00B77816">
              <w:rPr>
                <w:rFonts w:ascii="Arial" w:hAnsi="Arial" w:cs="Arial"/>
                <w:sz w:val="18"/>
                <w:szCs w:val="16"/>
              </w:rPr>
              <w:t>(16.3%)</w:t>
            </w:r>
          </w:p>
        </w:tc>
        <w:tc>
          <w:tcPr>
            <w:tcW w:w="1084" w:type="dxa"/>
            <w:tcBorders>
              <w:top w:val="nil"/>
              <w:bottom w:val="nil"/>
            </w:tcBorders>
            <w:vAlign w:val="center"/>
          </w:tcPr>
          <w:p w14:paraId="2C7D1B08" w14:textId="77777777" w:rsidR="007858F0" w:rsidRPr="009908D8" w:rsidRDefault="007858F0" w:rsidP="00AF46A0">
            <w:pPr>
              <w:pStyle w:val="Table"/>
            </w:pPr>
            <w:r w:rsidRPr="0001542A">
              <w:t>28</w:t>
            </w:r>
          </w:p>
          <w:p w14:paraId="5682C890" w14:textId="623AA1DB" w:rsidR="007858F0" w:rsidRPr="00376702" w:rsidRDefault="007858F0" w:rsidP="00AF46A0">
            <w:pPr>
              <w:spacing w:after="0"/>
              <w:rPr>
                <w:rFonts w:ascii="Arial" w:hAnsi="Arial" w:cs="Arial"/>
                <w:b/>
                <w:sz w:val="18"/>
                <w:szCs w:val="16"/>
              </w:rPr>
            </w:pPr>
            <w:r w:rsidRPr="00505132">
              <w:rPr>
                <w:rFonts w:ascii="Arial" w:hAnsi="Arial" w:cs="Arial"/>
                <w:sz w:val="18"/>
                <w:szCs w:val="16"/>
              </w:rPr>
              <w:t>(48.3%**)</w:t>
            </w:r>
          </w:p>
        </w:tc>
        <w:tc>
          <w:tcPr>
            <w:tcW w:w="1083" w:type="dxa"/>
            <w:tcBorders>
              <w:top w:val="nil"/>
              <w:bottom w:val="nil"/>
            </w:tcBorders>
            <w:vAlign w:val="center"/>
          </w:tcPr>
          <w:p w14:paraId="7255212A" w14:textId="77777777" w:rsidR="007858F0" w:rsidRPr="00C135A5" w:rsidRDefault="007858F0" w:rsidP="00AF46A0">
            <w:pPr>
              <w:pStyle w:val="Table"/>
            </w:pPr>
            <w:r w:rsidRPr="00C135A5">
              <w:t>26</w:t>
            </w:r>
          </w:p>
          <w:p w14:paraId="46E634D4" w14:textId="77777777" w:rsidR="007858F0" w:rsidRPr="00AD734A" w:rsidRDefault="007858F0" w:rsidP="00AF46A0">
            <w:pPr>
              <w:spacing w:after="0"/>
              <w:rPr>
                <w:rFonts w:ascii="Arial" w:hAnsi="Arial" w:cs="Arial"/>
                <w:b/>
                <w:sz w:val="18"/>
                <w:szCs w:val="16"/>
              </w:rPr>
            </w:pPr>
            <w:r w:rsidRPr="00AD734A">
              <w:rPr>
                <w:rFonts w:ascii="Arial" w:hAnsi="Arial" w:cs="Arial"/>
                <w:sz w:val="18"/>
                <w:szCs w:val="16"/>
              </w:rPr>
              <w:t>(63.4%***)</w:t>
            </w:r>
          </w:p>
        </w:tc>
        <w:tc>
          <w:tcPr>
            <w:tcW w:w="1084" w:type="dxa"/>
            <w:tcBorders>
              <w:top w:val="nil"/>
              <w:bottom w:val="nil"/>
            </w:tcBorders>
            <w:vAlign w:val="center"/>
          </w:tcPr>
          <w:p w14:paraId="061F100B" w14:textId="4F670443" w:rsidR="007858F0" w:rsidRPr="001520C6" w:rsidRDefault="007858F0" w:rsidP="00AF46A0">
            <w:pPr>
              <w:spacing w:after="0"/>
              <w:rPr>
                <w:rFonts w:ascii="Arial" w:hAnsi="Arial" w:cs="Arial"/>
                <w:b/>
                <w:sz w:val="18"/>
                <w:szCs w:val="16"/>
              </w:rPr>
            </w:pPr>
          </w:p>
        </w:tc>
        <w:tc>
          <w:tcPr>
            <w:tcW w:w="1083" w:type="dxa"/>
            <w:tcBorders>
              <w:top w:val="nil"/>
              <w:bottom w:val="nil"/>
            </w:tcBorders>
            <w:vAlign w:val="center"/>
          </w:tcPr>
          <w:p w14:paraId="3DECD68F" w14:textId="3AADE766" w:rsidR="007858F0" w:rsidRPr="001520C6" w:rsidRDefault="007858F0" w:rsidP="00AF46A0">
            <w:pPr>
              <w:spacing w:after="0"/>
              <w:rPr>
                <w:rFonts w:ascii="Arial" w:hAnsi="Arial" w:cs="Arial"/>
                <w:b/>
                <w:sz w:val="18"/>
                <w:szCs w:val="16"/>
              </w:rPr>
            </w:pPr>
          </w:p>
        </w:tc>
        <w:tc>
          <w:tcPr>
            <w:tcW w:w="1084" w:type="dxa"/>
            <w:tcBorders>
              <w:top w:val="nil"/>
              <w:bottom w:val="nil"/>
            </w:tcBorders>
            <w:vAlign w:val="center"/>
          </w:tcPr>
          <w:p w14:paraId="31AD55F3" w14:textId="719CCF72" w:rsidR="007858F0" w:rsidRPr="00900AF7" w:rsidRDefault="007858F0" w:rsidP="00AF46A0">
            <w:pPr>
              <w:spacing w:after="0"/>
              <w:rPr>
                <w:rFonts w:ascii="Arial" w:hAnsi="Arial" w:cs="Arial"/>
                <w:b/>
                <w:sz w:val="18"/>
                <w:szCs w:val="16"/>
              </w:rPr>
            </w:pPr>
          </w:p>
        </w:tc>
      </w:tr>
      <w:tr w:rsidR="001C4469" w:rsidRPr="00D45099" w14:paraId="2737646E" w14:textId="77777777" w:rsidTr="002D07A3">
        <w:trPr>
          <w:cantSplit/>
        </w:trPr>
        <w:tc>
          <w:tcPr>
            <w:tcW w:w="2515" w:type="dxa"/>
            <w:tcBorders>
              <w:bottom w:val="nil"/>
            </w:tcBorders>
            <w:vAlign w:val="center"/>
          </w:tcPr>
          <w:p w14:paraId="3C779934" w14:textId="73B0066C" w:rsidR="007858F0" w:rsidRPr="002D07A3" w:rsidRDefault="007858F0" w:rsidP="00AF46A0">
            <w:pPr>
              <w:spacing w:after="0"/>
              <w:rPr>
                <w:rFonts w:ascii="Arial" w:hAnsi="Arial" w:cs="Arial"/>
                <w:sz w:val="18"/>
                <w:szCs w:val="16"/>
              </w:rPr>
            </w:pPr>
            <w:r w:rsidRPr="002D07A3">
              <w:rPr>
                <w:rFonts w:ascii="Arial" w:hAnsi="Arial" w:cs="Arial"/>
                <w:sz w:val="18"/>
                <w:szCs w:val="16"/>
              </w:rPr>
              <w:t xml:space="preserve">PASI 90 response </w:t>
            </w:r>
            <w:r w:rsidRPr="00904D71">
              <w:rPr>
                <w:rFonts w:ascii="Arial" w:hAnsi="Arial" w:cs="Arial"/>
                <w:sz w:val="18"/>
                <w:szCs w:val="16"/>
              </w:rPr>
              <w:t>n(%)</w:t>
            </w:r>
          </w:p>
        </w:tc>
        <w:tc>
          <w:tcPr>
            <w:tcW w:w="1083" w:type="dxa"/>
            <w:tcBorders>
              <w:bottom w:val="nil"/>
            </w:tcBorders>
            <w:vAlign w:val="center"/>
          </w:tcPr>
          <w:p w14:paraId="533D40EC" w14:textId="77777777" w:rsidR="007858F0" w:rsidRPr="00904D71" w:rsidRDefault="007858F0" w:rsidP="00AF46A0">
            <w:pPr>
              <w:spacing w:after="0"/>
              <w:rPr>
                <w:rFonts w:ascii="Arial" w:hAnsi="Arial" w:cs="Arial"/>
                <w:b/>
                <w:sz w:val="18"/>
                <w:szCs w:val="16"/>
              </w:rPr>
            </w:pPr>
          </w:p>
        </w:tc>
        <w:tc>
          <w:tcPr>
            <w:tcW w:w="1084" w:type="dxa"/>
            <w:tcBorders>
              <w:bottom w:val="nil"/>
            </w:tcBorders>
            <w:vAlign w:val="center"/>
          </w:tcPr>
          <w:p w14:paraId="6FF08030" w14:textId="77777777" w:rsidR="007858F0" w:rsidRPr="00914388" w:rsidRDefault="007858F0" w:rsidP="00AF46A0">
            <w:pPr>
              <w:spacing w:after="0"/>
              <w:rPr>
                <w:rFonts w:ascii="Arial" w:hAnsi="Arial" w:cs="Arial"/>
                <w:b/>
                <w:sz w:val="18"/>
                <w:szCs w:val="16"/>
              </w:rPr>
            </w:pPr>
          </w:p>
        </w:tc>
        <w:tc>
          <w:tcPr>
            <w:tcW w:w="1083" w:type="dxa"/>
            <w:tcBorders>
              <w:bottom w:val="nil"/>
            </w:tcBorders>
            <w:vAlign w:val="center"/>
          </w:tcPr>
          <w:p w14:paraId="7872A533" w14:textId="77777777" w:rsidR="007858F0" w:rsidRPr="00914388" w:rsidRDefault="007858F0" w:rsidP="00AF46A0">
            <w:pPr>
              <w:spacing w:after="0"/>
              <w:rPr>
                <w:rFonts w:ascii="Arial" w:hAnsi="Arial" w:cs="Arial"/>
                <w:b/>
                <w:sz w:val="18"/>
                <w:szCs w:val="16"/>
              </w:rPr>
            </w:pPr>
          </w:p>
        </w:tc>
        <w:tc>
          <w:tcPr>
            <w:tcW w:w="1084" w:type="dxa"/>
            <w:tcBorders>
              <w:bottom w:val="nil"/>
            </w:tcBorders>
            <w:vAlign w:val="center"/>
          </w:tcPr>
          <w:p w14:paraId="613887CB" w14:textId="77777777" w:rsidR="007858F0" w:rsidRPr="00B77816" w:rsidRDefault="007858F0" w:rsidP="00AF46A0">
            <w:pPr>
              <w:spacing w:after="0"/>
              <w:rPr>
                <w:rFonts w:ascii="Arial" w:hAnsi="Arial" w:cs="Arial"/>
                <w:b/>
                <w:sz w:val="18"/>
                <w:szCs w:val="16"/>
              </w:rPr>
            </w:pPr>
          </w:p>
        </w:tc>
        <w:tc>
          <w:tcPr>
            <w:tcW w:w="1083" w:type="dxa"/>
            <w:tcBorders>
              <w:bottom w:val="nil"/>
            </w:tcBorders>
            <w:vAlign w:val="center"/>
          </w:tcPr>
          <w:p w14:paraId="50BE50BC" w14:textId="77777777" w:rsidR="007858F0" w:rsidRPr="0001542A" w:rsidRDefault="007858F0" w:rsidP="00AF46A0">
            <w:pPr>
              <w:spacing w:after="0"/>
              <w:rPr>
                <w:rFonts w:ascii="Arial" w:hAnsi="Arial" w:cs="Arial"/>
                <w:b/>
                <w:sz w:val="18"/>
                <w:szCs w:val="16"/>
              </w:rPr>
            </w:pPr>
          </w:p>
        </w:tc>
        <w:tc>
          <w:tcPr>
            <w:tcW w:w="1084" w:type="dxa"/>
            <w:tcBorders>
              <w:bottom w:val="nil"/>
            </w:tcBorders>
            <w:vAlign w:val="center"/>
          </w:tcPr>
          <w:p w14:paraId="302C1BE8" w14:textId="77777777" w:rsidR="007858F0" w:rsidRPr="009908D8" w:rsidRDefault="007858F0" w:rsidP="00AF46A0">
            <w:pPr>
              <w:spacing w:after="0"/>
              <w:rPr>
                <w:rFonts w:ascii="Arial" w:hAnsi="Arial" w:cs="Arial"/>
                <w:b/>
                <w:sz w:val="18"/>
                <w:szCs w:val="16"/>
              </w:rPr>
            </w:pPr>
          </w:p>
        </w:tc>
      </w:tr>
      <w:tr w:rsidR="001C4469" w:rsidRPr="00D45099" w14:paraId="73FAAF2F" w14:textId="77777777" w:rsidTr="002D07A3">
        <w:trPr>
          <w:cantSplit/>
        </w:trPr>
        <w:tc>
          <w:tcPr>
            <w:tcW w:w="2515" w:type="dxa"/>
            <w:tcBorders>
              <w:top w:val="nil"/>
              <w:bottom w:val="nil"/>
            </w:tcBorders>
            <w:vAlign w:val="center"/>
          </w:tcPr>
          <w:p w14:paraId="13149EF0"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4D7B3DAF" w14:textId="697CCA5B" w:rsidR="007858F0" w:rsidRPr="00914388" w:rsidRDefault="007858F0" w:rsidP="00AF46A0">
            <w:pPr>
              <w:spacing w:after="0"/>
              <w:rPr>
                <w:rFonts w:ascii="Arial" w:hAnsi="Arial" w:cs="Arial"/>
                <w:b/>
                <w:sz w:val="18"/>
                <w:szCs w:val="16"/>
              </w:rPr>
            </w:pPr>
          </w:p>
        </w:tc>
        <w:tc>
          <w:tcPr>
            <w:tcW w:w="1084" w:type="dxa"/>
            <w:tcBorders>
              <w:top w:val="nil"/>
              <w:bottom w:val="nil"/>
            </w:tcBorders>
            <w:vAlign w:val="center"/>
          </w:tcPr>
          <w:p w14:paraId="1B8A6D8F" w14:textId="309BF117" w:rsidR="007858F0" w:rsidRPr="00B77816" w:rsidRDefault="007858F0" w:rsidP="00AF46A0">
            <w:pPr>
              <w:spacing w:after="0"/>
              <w:rPr>
                <w:rFonts w:ascii="Arial" w:hAnsi="Arial" w:cs="Arial"/>
                <w:b/>
                <w:sz w:val="18"/>
                <w:szCs w:val="16"/>
              </w:rPr>
            </w:pPr>
          </w:p>
        </w:tc>
        <w:tc>
          <w:tcPr>
            <w:tcW w:w="1083" w:type="dxa"/>
            <w:tcBorders>
              <w:top w:val="nil"/>
              <w:bottom w:val="nil"/>
            </w:tcBorders>
            <w:vAlign w:val="center"/>
          </w:tcPr>
          <w:p w14:paraId="2F8E56DF" w14:textId="1EAEBD2C" w:rsidR="007858F0" w:rsidRPr="0001542A" w:rsidRDefault="007858F0" w:rsidP="00AF46A0">
            <w:pPr>
              <w:spacing w:after="0"/>
              <w:rPr>
                <w:rFonts w:ascii="Arial" w:hAnsi="Arial" w:cs="Arial"/>
                <w:b/>
                <w:sz w:val="18"/>
                <w:szCs w:val="16"/>
              </w:rPr>
            </w:pPr>
          </w:p>
        </w:tc>
        <w:tc>
          <w:tcPr>
            <w:tcW w:w="1084" w:type="dxa"/>
            <w:tcBorders>
              <w:top w:val="nil"/>
              <w:bottom w:val="nil"/>
            </w:tcBorders>
            <w:vAlign w:val="center"/>
          </w:tcPr>
          <w:p w14:paraId="02A76C60" w14:textId="77777777" w:rsidR="007858F0" w:rsidRPr="009908D8" w:rsidRDefault="007858F0" w:rsidP="00AF46A0">
            <w:pPr>
              <w:pStyle w:val="Table"/>
            </w:pPr>
            <w:r w:rsidRPr="009908D8">
              <w:t>15</w:t>
            </w:r>
          </w:p>
          <w:p w14:paraId="6BF55DAA" w14:textId="77777777" w:rsidR="007858F0" w:rsidRPr="00376702" w:rsidRDefault="007858F0" w:rsidP="00AF46A0">
            <w:pPr>
              <w:spacing w:after="0"/>
              <w:rPr>
                <w:rFonts w:ascii="Arial" w:hAnsi="Arial" w:cs="Arial"/>
                <w:b/>
                <w:sz w:val="18"/>
                <w:szCs w:val="16"/>
              </w:rPr>
            </w:pPr>
            <w:r w:rsidRPr="00505132">
              <w:rPr>
                <w:rFonts w:ascii="Arial" w:hAnsi="Arial" w:cs="Arial"/>
                <w:sz w:val="18"/>
                <w:szCs w:val="16"/>
              </w:rPr>
              <w:t>(9.3%)</w:t>
            </w:r>
          </w:p>
        </w:tc>
        <w:tc>
          <w:tcPr>
            <w:tcW w:w="1083" w:type="dxa"/>
            <w:tcBorders>
              <w:top w:val="nil"/>
              <w:bottom w:val="nil"/>
            </w:tcBorders>
            <w:vAlign w:val="center"/>
          </w:tcPr>
          <w:p w14:paraId="3F1724D7" w14:textId="77777777" w:rsidR="007858F0" w:rsidRPr="00C135A5" w:rsidRDefault="007858F0" w:rsidP="00AF46A0">
            <w:pPr>
              <w:pStyle w:val="Table"/>
            </w:pPr>
            <w:r w:rsidRPr="00C135A5">
              <w:t>46</w:t>
            </w:r>
          </w:p>
          <w:p w14:paraId="75ED3407" w14:textId="27CF3C2E" w:rsidR="007858F0" w:rsidRPr="00AD734A" w:rsidRDefault="007858F0" w:rsidP="00AF46A0">
            <w:pPr>
              <w:spacing w:after="0"/>
              <w:rPr>
                <w:rFonts w:ascii="Arial" w:hAnsi="Arial" w:cs="Arial"/>
                <w:b/>
                <w:sz w:val="18"/>
                <w:szCs w:val="16"/>
              </w:rPr>
            </w:pPr>
            <w:r w:rsidRPr="00AD734A">
              <w:rPr>
                <w:rFonts w:ascii="Arial" w:hAnsi="Arial" w:cs="Arial"/>
                <w:sz w:val="18"/>
                <w:szCs w:val="16"/>
              </w:rPr>
              <w:t>(36.8%*)</w:t>
            </w:r>
          </w:p>
        </w:tc>
        <w:tc>
          <w:tcPr>
            <w:tcW w:w="1084" w:type="dxa"/>
            <w:tcBorders>
              <w:top w:val="nil"/>
              <w:bottom w:val="nil"/>
            </w:tcBorders>
            <w:vAlign w:val="center"/>
          </w:tcPr>
          <w:p w14:paraId="27F1EE46" w14:textId="77777777" w:rsidR="007858F0" w:rsidRPr="00AD734A" w:rsidRDefault="007858F0" w:rsidP="00AF46A0">
            <w:pPr>
              <w:pStyle w:val="Table"/>
            </w:pPr>
            <w:r w:rsidRPr="00AD734A">
              <w:t>59</w:t>
            </w:r>
          </w:p>
          <w:p w14:paraId="074EC57B" w14:textId="54447C9D" w:rsidR="007858F0" w:rsidRPr="001520C6" w:rsidRDefault="007858F0" w:rsidP="00AF46A0">
            <w:pPr>
              <w:spacing w:after="0"/>
              <w:rPr>
                <w:rFonts w:ascii="Arial" w:hAnsi="Arial" w:cs="Arial"/>
                <w:b/>
                <w:sz w:val="18"/>
                <w:szCs w:val="16"/>
              </w:rPr>
            </w:pPr>
            <w:r w:rsidRPr="001520C6">
              <w:rPr>
                <w:rFonts w:ascii="Arial" w:hAnsi="Arial" w:cs="Arial"/>
                <w:sz w:val="18"/>
                <w:szCs w:val="16"/>
              </w:rPr>
              <w:t>(53.6%*)</w:t>
            </w:r>
          </w:p>
        </w:tc>
      </w:tr>
      <w:tr w:rsidR="001C4469" w:rsidRPr="00D45099" w14:paraId="4B89BB15" w14:textId="77777777" w:rsidTr="002D07A3">
        <w:trPr>
          <w:cantSplit/>
        </w:trPr>
        <w:tc>
          <w:tcPr>
            <w:tcW w:w="2515" w:type="dxa"/>
            <w:tcBorders>
              <w:top w:val="nil"/>
              <w:bottom w:val="nil"/>
            </w:tcBorders>
            <w:vAlign w:val="center"/>
          </w:tcPr>
          <w:p w14:paraId="731FA46B"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1FF390F0" w14:textId="77777777" w:rsidR="007858F0" w:rsidRPr="00914388" w:rsidRDefault="007858F0" w:rsidP="00AF46A0">
            <w:pPr>
              <w:pStyle w:val="Table"/>
            </w:pPr>
            <w:r w:rsidRPr="00914388">
              <w:t>4</w:t>
            </w:r>
          </w:p>
          <w:p w14:paraId="5E0C0899" w14:textId="77777777" w:rsidR="007858F0" w:rsidRPr="00B77816" w:rsidRDefault="007858F0" w:rsidP="00AF46A0">
            <w:pPr>
              <w:spacing w:after="0"/>
              <w:rPr>
                <w:rFonts w:ascii="Arial" w:hAnsi="Arial" w:cs="Arial"/>
                <w:b/>
                <w:sz w:val="18"/>
                <w:szCs w:val="16"/>
              </w:rPr>
            </w:pPr>
            <w:r w:rsidRPr="00B77816">
              <w:rPr>
                <w:rFonts w:ascii="Arial" w:hAnsi="Arial" w:cs="Arial"/>
                <w:sz w:val="18"/>
                <w:szCs w:val="16"/>
              </w:rPr>
              <w:t>(9.3%)</w:t>
            </w:r>
          </w:p>
        </w:tc>
        <w:tc>
          <w:tcPr>
            <w:tcW w:w="1084" w:type="dxa"/>
            <w:tcBorders>
              <w:top w:val="nil"/>
              <w:bottom w:val="nil"/>
            </w:tcBorders>
            <w:vAlign w:val="center"/>
          </w:tcPr>
          <w:p w14:paraId="0EB2C561" w14:textId="77777777" w:rsidR="007858F0" w:rsidRPr="009908D8" w:rsidRDefault="007858F0" w:rsidP="00AF46A0">
            <w:pPr>
              <w:pStyle w:val="Table"/>
            </w:pPr>
            <w:r w:rsidRPr="0001542A">
              <w:t>19</w:t>
            </w:r>
          </w:p>
          <w:p w14:paraId="7B4ACE03" w14:textId="77777777" w:rsidR="007858F0" w:rsidRPr="00376702" w:rsidRDefault="007858F0" w:rsidP="00AF46A0">
            <w:pPr>
              <w:spacing w:after="0"/>
              <w:rPr>
                <w:rFonts w:ascii="Arial" w:hAnsi="Arial" w:cs="Arial"/>
                <w:b/>
                <w:sz w:val="18"/>
                <w:szCs w:val="16"/>
              </w:rPr>
            </w:pPr>
            <w:r w:rsidRPr="00505132">
              <w:rPr>
                <w:rFonts w:ascii="Arial" w:hAnsi="Arial" w:cs="Arial"/>
                <w:sz w:val="18"/>
                <w:szCs w:val="16"/>
              </w:rPr>
              <w:t>(32.8%**)</w:t>
            </w:r>
          </w:p>
        </w:tc>
        <w:tc>
          <w:tcPr>
            <w:tcW w:w="1083" w:type="dxa"/>
            <w:tcBorders>
              <w:top w:val="nil"/>
              <w:bottom w:val="nil"/>
            </w:tcBorders>
            <w:vAlign w:val="center"/>
          </w:tcPr>
          <w:p w14:paraId="7FCE36A2" w14:textId="77777777" w:rsidR="007858F0" w:rsidRPr="00C135A5" w:rsidRDefault="007858F0" w:rsidP="00AF46A0">
            <w:pPr>
              <w:pStyle w:val="Table"/>
            </w:pPr>
            <w:r w:rsidRPr="00C135A5">
              <w:t>20</w:t>
            </w:r>
          </w:p>
          <w:p w14:paraId="2512D446" w14:textId="77777777" w:rsidR="007858F0" w:rsidRPr="00AD734A" w:rsidRDefault="007858F0" w:rsidP="00AF46A0">
            <w:pPr>
              <w:spacing w:after="0"/>
              <w:rPr>
                <w:rFonts w:ascii="Arial" w:hAnsi="Arial" w:cs="Arial"/>
                <w:b/>
                <w:sz w:val="18"/>
                <w:szCs w:val="16"/>
              </w:rPr>
            </w:pPr>
            <w:r w:rsidRPr="00AD734A">
              <w:rPr>
                <w:rFonts w:ascii="Arial" w:hAnsi="Arial" w:cs="Arial"/>
                <w:sz w:val="18"/>
                <w:szCs w:val="16"/>
              </w:rPr>
              <w:t>(48.8%***)</w:t>
            </w:r>
          </w:p>
        </w:tc>
        <w:tc>
          <w:tcPr>
            <w:tcW w:w="1084" w:type="dxa"/>
            <w:tcBorders>
              <w:top w:val="nil"/>
              <w:bottom w:val="nil"/>
            </w:tcBorders>
            <w:vAlign w:val="center"/>
          </w:tcPr>
          <w:p w14:paraId="129DF33B" w14:textId="1AF97EEC" w:rsidR="007858F0" w:rsidRPr="001520C6" w:rsidRDefault="007858F0" w:rsidP="00AF46A0">
            <w:pPr>
              <w:spacing w:after="0"/>
              <w:rPr>
                <w:rFonts w:ascii="Arial" w:hAnsi="Arial" w:cs="Arial"/>
                <w:b/>
                <w:sz w:val="18"/>
                <w:szCs w:val="16"/>
              </w:rPr>
            </w:pPr>
          </w:p>
        </w:tc>
        <w:tc>
          <w:tcPr>
            <w:tcW w:w="1083" w:type="dxa"/>
            <w:tcBorders>
              <w:top w:val="nil"/>
              <w:bottom w:val="nil"/>
            </w:tcBorders>
            <w:vAlign w:val="center"/>
          </w:tcPr>
          <w:p w14:paraId="2E39CEAD" w14:textId="7F4BAC2D" w:rsidR="007858F0" w:rsidRPr="001520C6" w:rsidRDefault="007858F0" w:rsidP="00AF46A0">
            <w:pPr>
              <w:spacing w:after="0"/>
              <w:rPr>
                <w:rFonts w:ascii="Arial" w:hAnsi="Arial" w:cs="Arial"/>
                <w:b/>
                <w:sz w:val="18"/>
                <w:szCs w:val="16"/>
              </w:rPr>
            </w:pPr>
          </w:p>
        </w:tc>
        <w:tc>
          <w:tcPr>
            <w:tcW w:w="1084" w:type="dxa"/>
            <w:tcBorders>
              <w:top w:val="nil"/>
              <w:bottom w:val="nil"/>
            </w:tcBorders>
            <w:vAlign w:val="center"/>
          </w:tcPr>
          <w:p w14:paraId="634AE6EB" w14:textId="0147633C" w:rsidR="007858F0" w:rsidRPr="00900AF7" w:rsidRDefault="007858F0" w:rsidP="00AF46A0">
            <w:pPr>
              <w:spacing w:after="0"/>
              <w:rPr>
                <w:rFonts w:ascii="Arial" w:hAnsi="Arial" w:cs="Arial"/>
                <w:b/>
                <w:sz w:val="18"/>
                <w:szCs w:val="16"/>
              </w:rPr>
            </w:pPr>
          </w:p>
        </w:tc>
      </w:tr>
      <w:tr w:rsidR="001C4469" w:rsidRPr="00D45099" w14:paraId="5DCA7962" w14:textId="77777777" w:rsidTr="002D07A3">
        <w:trPr>
          <w:cantSplit/>
        </w:trPr>
        <w:tc>
          <w:tcPr>
            <w:tcW w:w="2515" w:type="dxa"/>
            <w:tcBorders>
              <w:bottom w:val="nil"/>
            </w:tcBorders>
          </w:tcPr>
          <w:p w14:paraId="7E099D47" w14:textId="6088547D" w:rsidR="007858F0" w:rsidRPr="00904D71" w:rsidRDefault="007858F0" w:rsidP="00AF46A0">
            <w:pPr>
              <w:spacing w:after="0"/>
              <w:rPr>
                <w:szCs w:val="16"/>
              </w:rPr>
            </w:pPr>
            <w:proofErr w:type="spellStart"/>
            <w:r w:rsidRPr="002D07A3">
              <w:rPr>
                <w:rFonts w:ascii="Arial" w:eastAsiaTheme="minorHAnsi" w:hAnsi="Arial" w:cs="Arial"/>
                <w:sz w:val="18"/>
                <w:szCs w:val="16"/>
              </w:rPr>
              <w:t>Dactylitis</w:t>
            </w:r>
            <w:proofErr w:type="spellEnd"/>
            <w:r w:rsidRPr="002D07A3">
              <w:rPr>
                <w:rFonts w:ascii="Arial" w:eastAsiaTheme="minorHAnsi" w:hAnsi="Arial" w:cs="Arial"/>
                <w:sz w:val="18"/>
                <w:szCs w:val="16"/>
              </w:rPr>
              <w:t xml:space="preserve"> Resolution n(%) </w:t>
            </w:r>
            <w:r w:rsidRPr="002D07A3">
              <w:rPr>
                <w:rFonts w:ascii="Arial" w:eastAsiaTheme="minorHAnsi" w:hAnsi="Arial" w:cs="Arial"/>
                <w:sz w:val="18"/>
                <w:szCs w:val="16"/>
                <w:vertAlign w:val="superscript"/>
              </w:rPr>
              <w:t>†</w:t>
            </w:r>
          </w:p>
        </w:tc>
        <w:tc>
          <w:tcPr>
            <w:tcW w:w="1083" w:type="dxa"/>
            <w:tcBorders>
              <w:bottom w:val="nil"/>
            </w:tcBorders>
            <w:vAlign w:val="center"/>
          </w:tcPr>
          <w:p w14:paraId="51E3B948" w14:textId="77777777" w:rsidR="007858F0" w:rsidRPr="00914388" w:rsidRDefault="007858F0" w:rsidP="00AF46A0">
            <w:pPr>
              <w:spacing w:after="0"/>
              <w:rPr>
                <w:rFonts w:ascii="Arial" w:hAnsi="Arial" w:cs="Arial"/>
                <w:sz w:val="18"/>
                <w:szCs w:val="16"/>
              </w:rPr>
            </w:pPr>
          </w:p>
        </w:tc>
        <w:tc>
          <w:tcPr>
            <w:tcW w:w="1084" w:type="dxa"/>
            <w:tcBorders>
              <w:bottom w:val="nil"/>
            </w:tcBorders>
            <w:vAlign w:val="center"/>
          </w:tcPr>
          <w:p w14:paraId="2847EF2D" w14:textId="77777777" w:rsidR="007858F0" w:rsidRPr="00914388" w:rsidRDefault="007858F0" w:rsidP="00AF46A0">
            <w:pPr>
              <w:pStyle w:val="Table"/>
            </w:pPr>
          </w:p>
        </w:tc>
        <w:tc>
          <w:tcPr>
            <w:tcW w:w="1083" w:type="dxa"/>
            <w:tcBorders>
              <w:bottom w:val="nil"/>
            </w:tcBorders>
            <w:vAlign w:val="center"/>
          </w:tcPr>
          <w:p w14:paraId="6AAF5A07" w14:textId="77777777" w:rsidR="007858F0" w:rsidRPr="00B77816" w:rsidRDefault="007858F0" w:rsidP="00AF46A0">
            <w:pPr>
              <w:pStyle w:val="Table"/>
            </w:pPr>
          </w:p>
        </w:tc>
        <w:tc>
          <w:tcPr>
            <w:tcW w:w="1084" w:type="dxa"/>
            <w:tcBorders>
              <w:bottom w:val="nil"/>
            </w:tcBorders>
            <w:vAlign w:val="center"/>
          </w:tcPr>
          <w:p w14:paraId="641D9FB9" w14:textId="77777777" w:rsidR="007858F0" w:rsidRPr="0001542A" w:rsidRDefault="007858F0" w:rsidP="00AF46A0">
            <w:pPr>
              <w:spacing w:after="0"/>
              <w:rPr>
                <w:rFonts w:ascii="Arial" w:hAnsi="Arial" w:cs="Arial"/>
                <w:sz w:val="18"/>
                <w:szCs w:val="16"/>
              </w:rPr>
            </w:pPr>
          </w:p>
        </w:tc>
        <w:tc>
          <w:tcPr>
            <w:tcW w:w="1083" w:type="dxa"/>
            <w:tcBorders>
              <w:bottom w:val="nil"/>
            </w:tcBorders>
            <w:vAlign w:val="center"/>
          </w:tcPr>
          <w:p w14:paraId="5F856C99" w14:textId="77777777" w:rsidR="007858F0" w:rsidRPr="009908D8" w:rsidRDefault="007858F0" w:rsidP="00AF46A0">
            <w:pPr>
              <w:spacing w:after="0"/>
              <w:rPr>
                <w:rFonts w:ascii="Arial" w:hAnsi="Arial" w:cs="Arial"/>
                <w:sz w:val="18"/>
                <w:szCs w:val="16"/>
              </w:rPr>
            </w:pPr>
          </w:p>
        </w:tc>
        <w:tc>
          <w:tcPr>
            <w:tcW w:w="1084" w:type="dxa"/>
            <w:tcBorders>
              <w:bottom w:val="nil"/>
            </w:tcBorders>
            <w:vAlign w:val="center"/>
          </w:tcPr>
          <w:p w14:paraId="1CA4151B" w14:textId="77777777" w:rsidR="007858F0" w:rsidRPr="00505132" w:rsidRDefault="007858F0" w:rsidP="00AF46A0">
            <w:pPr>
              <w:spacing w:after="0"/>
              <w:rPr>
                <w:rFonts w:ascii="Arial" w:hAnsi="Arial" w:cs="Arial"/>
                <w:sz w:val="18"/>
                <w:szCs w:val="16"/>
              </w:rPr>
            </w:pPr>
          </w:p>
        </w:tc>
      </w:tr>
      <w:tr w:rsidR="001C4469" w:rsidRPr="00D45099" w14:paraId="04BBA420" w14:textId="77777777" w:rsidTr="002D07A3">
        <w:trPr>
          <w:cantSplit/>
        </w:trPr>
        <w:tc>
          <w:tcPr>
            <w:tcW w:w="2515" w:type="dxa"/>
            <w:tcBorders>
              <w:top w:val="nil"/>
              <w:bottom w:val="nil"/>
            </w:tcBorders>
          </w:tcPr>
          <w:p w14:paraId="3B9F96DE"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5F6218F3" w14:textId="769C6AB5" w:rsidR="007858F0" w:rsidRPr="00914388" w:rsidRDefault="007858F0" w:rsidP="00AF46A0">
            <w:pPr>
              <w:spacing w:after="0"/>
              <w:rPr>
                <w:rFonts w:ascii="Arial" w:hAnsi="Arial" w:cs="Arial"/>
                <w:sz w:val="18"/>
                <w:szCs w:val="16"/>
              </w:rPr>
            </w:pPr>
          </w:p>
        </w:tc>
        <w:tc>
          <w:tcPr>
            <w:tcW w:w="1084" w:type="dxa"/>
            <w:tcBorders>
              <w:top w:val="nil"/>
              <w:bottom w:val="nil"/>
            </w:tcBorders>
            <w:vAlign w:val="center"/>
          </w:tcPr>
          <w:p w14:paraId="08DF221E" w14:textId="49810B54" w:rsidR="007858F0" w:rsidRPr="00914388" w:rsidRDefault="007858F0" w:rsidP="00AF46A0">
            <w:pPr>
              <w:pStyle w:val="Table"/>
            </w:pPr>
          </w:p>
        </w:tc>
        <w:tc>
          <w:tcPr>
            <w:tcW w:w="1083" w:type="dxa"/>
            <w:tcBorders>
              <w:top w:val="nil"/>
              <w:bottom w:val="nil"/>
            </w:tcBorders>
            <w:vAlign w:val="center"/>
          </w:tcPr>
          <w:p w14:paraId="119033D7" w14:textId="736BFE71" w:rsidR="007858F0" w:rsidRPr="00B77816" w:rsidRDefault="007858F0" w:rsidP="00AF46A0">
            <w:pPr>
              <w:pStyle w:val="Table"/>
            </w:pPr>
          </w:p>
        </w:tc>
        <w:tc>
          <w:tcPr>
            <w:tcW w:w="1084" w:type="dxa"/>
            <w:tcBorders>
              <w:top w:val="nil"/>
              <w:bottom w:val="nil"/>
            </w:tcBorders>
            <w:vAlign w:val="center"/>
          </w:tcPr>
          <w:p w14:paraId="642177F9" w14:textId="77777777" w:rsidR="007858F0" w:rsidRPr="009908D8" w:rsidRDefault="007858F0" w:rsidP="00AF46A0">
            <w:pPr>
              <w:pStyle w:val="Table"/>
            </w:pPr>
            <w:r w:rsidRPr="0001542A">
              <w:t>40</w:t>
            </w:r>
          </w:p>
          <w:p w14:paraId="7304867D" w14:textId="77777777" w:rsidR="007858F0" w:rsidRPr="00505132" w:rsidRDefault="007858F0" w:rsidP="00AF46A0">
            <w:pPr>
              <w:spacing w:after="0"/>
              <w:rPr>
                <w:rFonts w:ascii="Arial" w:hAnsi="Arial" w:cs="Arial"/>
                <w:sz w:val="18"/>
                <w:szCs w:val="16"/>
              </w:rPr>
            </w:pPr>
            <w:r w:rsidRPr="00505132">
              <w:rPr>
                <w:rFonts w:ascii="Arial" w:hAnsi="Arial" w:cs="Arial"/>
                <w:sz w:val="18"/>
                <w:szCs w:val="16"/>
              </w:rPr>
              <w:t>(32.3%)</w:t>
            </w:r>
          </w:p>
        </w:tc>
        <w:tc>
          <w:tcPr>
            <w:tcW w:w="1083" w:type="dxa"/>
            <w:tcBorders>
              <w:top w:val="nil"/>
              <w:bottom w:val="nil"/>
            </w:tcBorders>
            <w:vAlign w:val="center"/>
          </w:tcPr>
          <w:p w14:paraId="0FA84CFE" w14:textId="77777777" w:rsidR="007858F0" w:rsidRPr="00C135A5" w:rsidRDefault="007858F0" w:rsidP="00AF46A0">
            <w:pPr>
              <w:pStyle w:val="Table"/>
            </w:pPr>
            <w:r w:rsidRPr="00376702">
              <w:t>46</w:t>
            </w:r>
          </w:p>
          <w:p w14:paraId="469E6F2F" w14:textId="2AB6B40A" w:rsidR="007858F0" w:rsidRPr="00AD734A" w:rsidRDefault="007858F0" w:rsidP="00AF46A0">
            <w:pPr>
              <w:spacing w:after="0"/>
              <w:rPr>
                <w:rFonts w:ascii="Arial" w:hAnsi="Arial" w:cs="Arial"/>
                <w:sz w:val="18"/>
                <w:szCs w:val="16"/>
              </w:rPr>
            </w:pPr>
            <w:r w:rsidRPr="00C135A5">
              <w:rPr>
                <w:rFonts w:ascii="Arial" w:hAnsi="Arial" w:cs="Arial"/>
                <w:sz w:val="18"/>
                <w:szCs w:val="16"/>
              </w:rPr>
              <w:t>(57.5%*)</w:t>
            </w:r>
          </w:p>
        </w:tc>
        <w:tc>
          <w:tcPr>
            <w:tcW w:w="1084" w:type="dxa"/>
            <w:tcBorders>
              <w:top w:val="nil"/>
              <w:bottom w:val="nil"/>
            </w:tcBorders>
            <w:vAlign w:val="center"/>
          </w:tcPr>
          <w:p w14:paraId="471C3FC8" w14:textId="77777777" w:rsidR="007858F0" w:rsidRPr="00AD734A" w:rsidRDefault="007858F0" w:rsidP="00AF46A0">
            <w:pPr>
              <w:pStyle w:val="Table"/>
            </w:pPr>
            <w:r w:rsidRPr="00AD734A">
              <w:t>54</w:t>
            </w:r>
          </w:p>
          <w:p w14:paraId="21C7B01A" w14:textId="3E25A2CD" w:rsidR="007858F0" w:rsidRPr="001520C6" w:rsidRDefault="007858F0" w:rsidP="00AF46A0">
            <w:pPr>
              <w:spacing w:after="0"/>
              <w:rPr>
                <w:rFonts w:ascii="Arial" w:hAnsi="Arial" w:cs="Arial"/>
                <w:sz w:val="18"/>
                <w:szCs w:val="16"/>
              </w:rPr>
            </w:pPr>
            <w:r w:rsidRPr="001520C6">
              <w:rPr>
                <w:rFonts w:ascii="Arial" w:hAnsi="Arial" w:cs="Arial"/>
                <w:sz w:val="18"/>
                <w:szCs w:val="16"/>
              </w:rPr>
              <w:t>(65.9%*)</w:t>
            </w:r>
          </w:p>
        </w:tc>
      </w:tr>
      <w:tr w:rsidR="001C4469" w:rsidRPr="00D45099" w14:paraId="02AEB423" w14:textId="77777777" w:rsidTr="002D07A3">
        <w:trPr>
          <w:cantSplit/>
        </w:trPr>
        <w:tc>
          <w:tcPr>
            <w:tcW w:w="2515" w:type="dxa"/>
            <w:tcBorders>
              <w:top w:val="nil"/>
              <w:bottom w:val="nil"/>
            </w:tcBorders>
          </w:tcPr>
          <w:p w14:paraId="2D940876"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2315707C" w14:textId="77777777" w:rsidR="007858F0" w:rsidRPr="00914388" w:rsidRDefault="007858F0" w:rsidP="00AF46A0">
            <w:pPr>
              <w:pStyle w:val="Table"/>
            </w:pPr>
            <w:r w:rsidRPr="00914388">
              <w:t>4</w:t>
            </w:r>
          </w:p>
          <w:p w14:paraId="088901D1" w14:textId="77777777" w:rsidR="007858F0" w:rsidRPr="00B77816" w:rsidRDefault="007858F0" w:rsidP="00AF46A0">
            <w:pPr>
              <w:spacing w:after="0"/>
              <w:rPr>
                <w:rFonts w:ascii="Arial" w:hAnsi="Arial" w:cs="Arial"/>
                <w:sz w:val="18"/>
                <w:szCs w:val="16"/>
              </w:rPr>
            </w:pPr>
            <w:r w:rsidRPr="00B77816">
              <w:rPr>
                <w:rFonts w:ascii="Arial" w:hAnsi="Arial" w:cs="Arial"/>
                <w:sz w:val="18"/>
                <w:szCs w:val="16"/>
              </w:rPr>
              <w:t>(14.8%)</w:t>
            </w:r>
          </w:p>
        </w:tc>
        <w:tc>
          <w:tcPr>
            <w:tcW w:w="1084" w:type="dxa"/>
            <w:tcBorders>
              <w:top w:val="nil"/>
              <w:bottom w:val="nil"/>
            </w:tcBorders>
            <w:vAlign w:val="center"/>
          </w:tcPr>
          <w:p w14:paraId="0B176E52" w14:textId="77777777" w:rsidR="007858F0" w:rsidRPr="009908D8" w:rsidRDefault="007858F0" w:rsidP="00AF46A0">
            <w:pPr>
              <w:pStyle w:val="Table"/>
            </w:pPr>
            <w:r w:rsidRPr="0001542A">
              <w:t>16</w:t>
            </w:r>
          </w:p>
          <w:p w14:paraId="1CEFE688" w14:textId="44E3562C" w:rsidR="007858F0" w:rsidRPr="00505132" w:rsidRDefault="007858F0" w:rsidP="00AF46A0">
            <w:pPr>
              <w:pStyle w:val="Table"/>
            </w:pPr>
            <w:r w:rsidRPr="00505132">
              <w:t>(50.0%)</w:t>
            </w:r>
          </w:p>
        </w:tc>
        <w:tc>
          <w:tcPr>
            <w:tcW w:w="1083" w:type="dxa"/>
            <w:tcBorders>
              <w:top w:val="nil"/>
              <w:bottom w:val="nil"/>
            </w:tcBorders>
            <w:vAlign w:val="center"/>
          </w:tcPr>
          <w:p w14:paraId="3A6B9F5C" w14:textId="77777777" w:rsidR="007858F0" w:rsidRPr="00C135A5" w:rsidRDefault="007858F0" w:rsidP="00AF46A0">
            <w:pPr>
              <w:pStyle w:val="Table"/>
            </w:pPr>
            <w:r w:rsidRPr="00376702">
              <w:t>26</w:t>
            </w:r>
          </w:p>
          <w:p w14:paraId="4DCD6FDA" w14:textId="606DA0E9" w:rsidR="007858F0" w:rsidRPr="00AD734A" w:rsidRDefault="007858F0" w:rsidP="00AF46A0">
            <w:pPr>
              <w:pStyle w:val="Table"/>
            </w:pPr>
            <w:r w:rsidRPr="00C135A5">
              <w:t>(56.5%)</w:t>
            </w:r>
          </w:p>
        </w:tc>
        <w:tc>
          <w:tcPr>
            <w:tcW w:w="1084" w:type="dxa"/>
            <w:tcBorders>
              <w:top w:val="nil"/>
              <w:bottom w:val="nil"/>
            </w:tcBorders>
            <w:vAlign w:val="center"/>
          </w:tcPr>
          <w:p w14:paraId="4ECB407C" w14:textId="1B73104D" w:rsidR="007858F0" w:rsidRPr="001520C6" w:rsidRDefault="007858F0" w:rsidP="00AF46A0">
            <w:pPr>
              <w:spacing w:after="0"/>
              <w:rPr>
                <w:rFonts w:ascii="Arial" w:hAnsi="Arial" w:cs="Arial"/>
                <w:sz w:val="18"/>
                <w:szCs w:val="16"/>
              </w:rPr>
            </w:pPr>
          </w:p>
        </w:tc>
        <w:tc>
          <w:tcPr>
            <w:tcW w:w="1083" w:type="dxa"/>
            <w:tcBorders>
              <w:top w:val="nil"/>
              <w:bottom w:val="nil"/>
            </w:tcBorders>
            <w:vAlign w:val="center"/>
          </w:tcPr>
          <w:p w14:paraId="4B756FA1" w14:textId="00775489" w:rsidR="007858F0" w:rsidRPr="001520C6" w:rsidRDefault="007858F0" w:rsidP="00AF46A0">
            <w:pPr>
              <w:spacing w:after="0"/>
              <w:rPr>
                <w:rFonts w:ascii="Arial" w:hAnsi="Arial" w:cs="Arial"/>
                <w:sz w:val="18"/>
                <w:szCs w:val="16"/>
              </w:rPr>
            </w:pPr>
          </w:p>
        </w:tc>
        <w:tc>
          <w:tcPr>
            <w:tcW w:w="1084" w:type="dxa"/>
            <w:tcBorders>
              <w:top w:val="nil"/>
              <w:bottom w:val="nil"/>
            </w:tcBorders>
            <w:vAlign w:val="center"/>
          </w:tcPr>
          <w:p w14:paraId="3727888F" w14:textId="04E2451F" w:rsidR="007858F0" w:rsidRPr="00900AF7" w:rsidRDefault="007858F0" w:rsidP="00AF46A0">
            <w:pPr>
              <w:spacing w:after="0"/>
              <w:rPr>
                <w:rFonts w:ascii="Arial" w:hAnsi="Arial" w:cs="Arial"/>
                <w:sz w:val="18"/>
                <w:szCs w:val="16"/>
              </w:rPr>
            </w:pPr>
          </w:p>
        </w:tc>
      </w:tr>
      <w:tr w:rsidR="001C4469" w:rsidRPr="00D45099" w14:paraId="371D921C" w14:textId="77777777" w:rsidTr="002D07A3">
        <w:trPr>
          <w:cantSplit/>
        </w:trPr>
        <w:tc>
          <w:tcPr>
            <w:tcW w:w="2515" w:type="dxa"/>
            <w:tcBorders>
              <w:bottom w:val="nil"/>
            </w:tcBorders>
          </w:tcPr>
          <w:p w14:paraId="23151BD8" w14:textId="475A3047" w:rsidR="007858F0" w:rsidRPr="002D07A3" w:rsidRDefault="007858F0" w:rsidP="00AF46A0">
            <w:pPr>
              <w:spacing w:after="0"/>
              <w:rPr>
                <w:rFonts w:ascii="Arial" w:hAnsi="Arial" w:cs="Arial"/>
                <w:sz w:val="18"/>
                <w:szCs w:val="16"/>
              </w:rPr>
            </w:pPr>
            <w:proofErr w:type="spellStart"/>
            <w:r w:rsidRPr="002D07A3">
              <w:rPr>
                <w:rFonts w:ascii="Arial" w:hAnsi="Arial" w:cs="Arial"/>
                <w:sz w:val="18"/>
                <w:szCs w:val="16"/>
              </w:rPr>
              <w:t>Enthesitis</w:t>
            </w:r>
            <w:proofErr w:type="spellEnd"/>
            <w:r w:rsidRPr="002D07A3">
              <w:rPr>
                <w:rFonts w:ascii="Arial" w:hAnsi="Arial" w:cs="Arial"/>
                <w:sz w:val="18"/>
                <w:szCs w:val="16"/>
              </w:rPr>
              <w:t xml:space="preserve"> Resolution</w:t>
            </w:r>
            <w:r w:rsidR="00B43EAF" w:rsidRPr="002D07A3">
              <w:rPr>
                <w:rFonts w:ascii="Arial" w:hAnsi="Arial" w:cs="Arial"/>
                <w:sz w:val="18"/>
                <w:szCs w:val="16"/>
              </w:rPr>
              <w:t xml:space="preserve"> </w:t>
            </w:r>
            <w:r w:rsidRPr="00904D71">
              <w:rPr>
                <w:rFonts w:ascii="Arial" w:hAnsi="Arial" w:cs="Arial"/>
                <w:sz w:val="18"/>
                <w:szCs w:val="16"/>
              </w:rPr>
              <w:t xml:space="preserve">n(%) </w:t>
            </w:r>
            <w:r w:rsidRPr="002D07A3">
              <w:rPr>
                <w:rFonts w:ascii="Arial" w:hAnsi="Arial" w:cs="Arial"/>
                <w:sz w:val="18"/>
                <w:szCs w:val="16"/>
                <w:vertAlign w:val="superscript"/>
              </w:rPr>
              <w:t>‡</w:t>
            </w:r>
          </w:p>
        </w:tc>
        <w:tc>
          <w:tcPr>
            <w:tcW w:w="1083" w:type="dxa"/>
            <w:tcBorders>
              <w:bottom w:val="nil"/>
            </w:tcBorders>
            <w:vAlign w:val="center"/>
          </w:tcPr>
          <w:p w14:paraId="7BD9E61C" w14:textId="77777777" w:rsidR="007858F0" w:rsidRPr="00904D71" w:rsidRDefault="007858F0" w:rsidP="00AF46A0">
            <w:pPr>
              <w:spacing w:after="0"/>
              <w:rPr>
                <w:rFonts w:ascii="Arial" w:hAnsi="Arial" w:cs="Arial"/>
                <w:sz w:val="18"/>
                <w:szCs w:val="16"/>
              </w:rPr>
            </w:pPr>
          </w:p>
        </w:tc>
        <w:tc>
          <w:tcPr>
            <w:tcW w:w="1084" w:type="dxa"/>
            <w:tcBorders>
              <w:bottom w:val="nil"/>
            </w:tcBorders>
            <w:vAlign w:val="center"/>
          </w:tcPr>
          <w:p w14:paraId="715DCCA9" w14:textId="77777777" w:rsidR="007858F0" w:rsidRPr="00914388" w:rsidRDefault="007858F0" w:rsidP="00AF46A0">
            <w:pPr>
              <w:pStyle w:val="Table"/>
            </w:pPr>
          </w:p>
        </w:tc>
        <w:tc>
          <w:tcPr>
            <w:tcW w:w="1083" w:type="dxa"/>
            <w:tcBorders>
              <w:bottom w:val="nil"/>
            </w:tcBorders>
            <w:vAlign w:val="center"/>
          </w:tcPr>
          <w:p w14:paraId="36815F6A" w14:textId="77777777" w:rsidR="007858F0" w:rsidRPr="00914388" w:rsidRDefault="007858F0" w:rsidP="00AF46A0">
            <w:pPr>
              <w:pStyle w:val="Table"/>
            </w:pPr>
          </w:p>
        </w:tc>
        <w:tc>
          <w:tcPr>
            <w:tcW w:w="1084" w:type="dxa"/>
            <w:tcBorders>
              <w:bottom w:val="nil"/>
            </w:tcBorders>
            <w:vAlign w:val="center"/>
          </w:tcPr>
          <w:p w14:paraId="1C362E44" w14:textId="77777777" w:rsidR="007858F0" w:rsidRPr="00B77816" w:rsidRDefault="007858F0" w:rsidP="00AF46A0">
            <w:pPr>
              <w:spacing w:after="0"/>
              <w:rPr>
                <w:rFonts w:ascii="Arial" w:hAnsi="Arial" w:cs="Arial"/>
                <w:sz w:val="18"/>
                <w:szCs w:val="16"/>
              </w:rPr>
            </w:pPr>
          </w:p>
        </w:tc>
        <w:tc>
          <w:tcPr>
            <w:tcW w:w="1083" w:type="dxa"/>
            <w:tcBorders>
              <w:bottom w:val="nil"/>
            </w:tcBorders>
            <w:vAlign w:val="center"/>
          </w:tcPr>
          <w:p w14:paraId="6599A87D" w14:textId="77777777" w:rsidR="007858F0" w:rsidRPr="0001542A" w:rsidRDefault="007858F0" w:rsidP="00AF46A0">
            <w:pPr>
              <w:spacing w:after="0"/>
              <w:rPr>
                <w:rFonts w:ascii="Arial" w:hAnsi="Arial" w:cs="Arial"/>
                <w:sz w:val="18"/>
                <w:szCs w:val="16"/>
              </w:rPr>
            </w:pPr>
          </w:p>
        </w:tc>
        <w:tc>
          <w:tcPr>
            <w:tcW w:w="1084" w:type="dxa"/>
            <w:tcBorders>
              <w:bottom w:val="nil"/>
            </w:tcBorders>
            <w:vAlign w:val="center"/>
          </w:tcPr>
          <w:p w14:paraId="52E1AFAE" w14:textId="77777777" w:rsidR="007858F0" w:rsidRPr="009908D8" w:rsidRDefault="007858F0" w:rsidP="00AF46A0">
            <w:pPr>
              <w:spacing w:after="0"/>
              <w:rPr>
                <w:rFonts w:ascii="Arial" w:hAnsi="Arial" w:cs="Arial"/>
                <w:sz w:val="18"/>
                <w:szCs w:val="16"/>
              </w:rPr>
            </w:pPr>
          </w:p>
        </w:tc>
      </w:tr>
      <w:tr w:rsidR="001C4469" w:rsidRPr="00D45099" w14:paraId="32EE8739" w14:textId="77777777" w:rsidTr="002D07A3">
        <w:trPr>
          <w:cantSplit/>
        </w:trPr>
        <w:tc>
          <w:tcPr>
            <w:tcW w:w="2515" w:type="dxa"/>
            <w:tcBorders>
              <w:top w:val="nil"/>
              <w:bottom w:val="nil"/>
            </w:tcBorders>
          </w:tcPr>
          <w:p w14:paraId="047B053B"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16</w:t>
            </w:r>
          </w:p>
        </w:tc>
        <w:tc>
          <w:tcPr>
            <w:tcW w:w="1083" w:type="dxa"/>
            <w:tcBorders>
              <w:top w:val="nil"/>
              <w:bottom w:val="nil"/>
            </w:tcBorders>
            <w:vAlign w:val="center"/>
          </w:tcPr>
          <w:p w14:paraId="375964B9" w14:textId="291A512F" w:rsidR="007858F0" w:rsidRPr="00914388" w:rsidRDefault="007858F0" w:rsidP="00AF46A0">
            <w:pPr>
              <w:spacing w:after="0"/>
              <w:rPr>
                <w:rFonts w:ascii="Arial" w:hAnsi="Arial" w:cs="Arial"/>
                <w:sz w:val="18"/>
                <w:szCs w:val="16"/>
              </w:rPr>
            </w:pPr>
          </w:p>
        </w:tc>
        <w:tc>
          <w:tcPr>
            <w:tcW w:w="1084" w:type="dxa"/>
            <w:tcBorders>
              <w:top w:val="nil"/>
              <w:bottom w:val="nil"/>
            </w:tcBorders>
            <w:vAlign w:val="center"/>
          </w:tcPr>
          <w:p w14:paraId="0BD2E95E" w14:textId="4B4820AC" w:rsidR="007858F0" w:rsidRPr="00914388" w:rsidRDefault="007858F0" w:rsidP="00AF46A0">
            <w:pPr>
              <w:pStyle w:val="Table"/>
            </w:pPr>
          </w:p>
        </w:tc>
        <w:tc>
          <w:tcPr>
            <w:tcW w:w="1083" w:type="dxa"/>
            <w:tcBorders>
              <w:top w:val="nil"/>
              <w:bottom w:val="nil"/>
            </w:tcBorders>
            <w:vAlign w:val="center"/>
          </w:tcPr>
          <w:p w14:paraId="426DCC25" w14:textId="28A844AA" w:rsidR="007858F0" w:rsidRPr="00B77816" w:rsidRDefault="007858F0" w:rsidP="00AF46A0">
            <w:pPr>
              <w:pStyle w:val="Table"/>
            </w:pPr>
          </w:p>
        </w:tc>
        <w:tc>
          <w:tcPr>
            <w:tcW w:w="1084" w:type="dxa"/>
            <w:tcBorders>
              <w:top w:val="nil"/>
              <w:bottom w:val="nil"/>
            </w:tcBorders>
            <w:vAlign w:val="center"/>
          </w:tcPr>
          <w:p w14:paraId="093D7140" w14:textId="77777777" w:rsidR="007858F0" w:rsidRPr="009908D8" w:rsidRDefault="007858F0" w:rsidP="00AF46A0">
            <w:pPr>
              <w:pStyle w:val="Table"/>
            </w:pPr>
            <w:r w:rsidRPr="0001542A">
              <w:t>68</w:t>
            </w:r>
          </w:p>
          <w:p w14:paraId="152E5482" w14:textId="77777777" w:rsidR="007858F0" w:rsidRPr="00505132" w:rsidRDefault="007858F0" w:rsidP="00AF46A0">
            <w:pPr>
              <w:spacing w:after="0"/>
              <w:rPr>
                <w:rFonts w:ascii="Arial" w:hAnsi="Arial" w:cs="Arial"/>
                <w:sz w:val="18"/>
                <w:szCs w:val="16"/>
              </w:rPr>
            </w:pPr>
            <w:r w:rsidRPr="00505132">
              <w:rPr>
                <w:rFonts w:ascii="Arial" w:hAnsi="Arial" w:cs="Arial"/>
                <w:sz w:val="18"/>
                <w:szCs w:val="16"/>
              </w:rPr>
              <w:t>(35.4%)</w:t>
            </w:r>
          </w:p>
        </w:tc>
        <w:tc>
          <w:tcPr>
            <w:tcW w:w="1083" w:type="dxa"/>
            <w:tcBorders>
              <w:top w:val="nil"/>
              <w:bottom w:val="nil"/>
            </w:tcBorders>
            <w:vAlign w:val="center"/>
          </w:tcPr>
          <w:p w14:paraId="2D6CB1CE" w14:textId="77777777" w:rsidR="007858F0" w:rsidRPr="00C135A5" w:rsidRDefault="007858F0" w:rsidP="00AF46A0">
            <w:pPr>
              <w:pStyle w:val="Table"/>
            </w:pPr>
            <w:r w:rsidRPr="00376702">
              <w:t>77</w:t>
            </w:r>
          </w:p>
          <w:p w14:paraId="3DEDF69D" w14:textId="7782568E" w:rsidR="007858F0" w:rsidRPr="00AD734A" w:rsidRDefault="007858F0" w:rsidP="00AF46A0">
            <w:pPr>
              <w:spacing w:after="0"/>
              <w:rPr>
                <w:rFonts w:ascii="Arial" w:hAnsi="Arial" w:cs="Arial"/>
                <w:sz w:val="18"/>
                <w:szCs w:val="16"/>
              </w:rPr>
            </w:pPr>
            <w:r w:rsidRPr="00C135A5">
              <w:rPr>
                <w:rFonts w:ascii="Arial" w:hAnsi="Arial" w:cs="Arial"/>
                <w:sz w:val="18"/>
                <w:szCs w:val="16"/>
              </w:rPr>
              <w:t>(54.6%*)</w:t>
            </w:r>
          </w:p>
        </w:tc>
        <w:tc>
          <w:tcPr>
            <w:tcW w:w="1084" w:type="dxa"/>
            <w:tcBorders>
              <w:top w:val="nil"/>
              <w:bottom w:val="nil"/>
            </w:tcBorders>
            <w:vAlign w:val="center"/>
          </w:tcPr>
          <w:p w14:paraId="6D1AC983" w14:textId="77777777" w:rsidR="007858F0" w:rsidRPr="00AD734A" w:rsidRDefault="007858F0" w:rsidP="00AF46A0">
            <w:pPr>
              <w:pStyle w:val="Table"/>
            </w:pPr>
            <w:r w:rsidRPr="00AD734A">
              <w:t>78</w:t>
            </w:r>
          </w:p>
          <w:p w14:paraId="37B196AF" w14:textId="5E3F6A70" w:rsidR="007858F0" w:rsidRPr="001520C6" w:rsidRDefault="007858F0" w:rsidP="00AF46A0">
            <w:pPr>
              <w:spacing w:after="0"/>
              <w:rPr>
                <w:rFonts w:ascii="Arial" w:hAnsi="Arial" w:cs="Arial"/>
                <w:sz w:val="18"/>
                <w:szCs w:val="16"/>
              </w:rPr>
            </w:pPr>
            <w:r w:rsidRPr="001520C6">
              <w:rPr>
                <w:rFonts w:ascii="Arial" w:hAnsi="Arial" w:cs="Arial"/>
                <w:sz w:val="18"/>
                <w:szCs w:val="16"/>
              </w:rPr>
              <w:t>(55.7%*)</w:t>
            </w:r>
          </w:p>
        </w:tc>
      </w:tr>
      <w:tr w:rsidR="001C4469" w:rsidRPr="00D45099" w14:paraId="08088B87" w14:textId="77777777" w:rsidTr="002D07A3">
        <w:trPr>
          <w:cantSplit/>
        </w:trPr>
        <w:tc>
          <w:tcPr>
            <w:tcW w:w="2515" w:type="dxa"/>
            <w:tcBorders>
              <w:top w:val="nil"/>
              <w:bottom w:val="nil"/>
            </w:tcBorders>
          </w:tcPr>
          <w:p w14:paraId="03C672C6" w14:textId="77777777" w:rsidR="007858F0" w:rsidRPr="00914388" w:rsidRDefault="007858F0" w:rsidP="00AF46A0">
            <w:pPr>
              <w:spacing w:after="0"/>
              <w:rPr>
                <w:rFonts w:ascii="Arial" w:hAnsi="Arial" w:cs="Arial"/>
                <w:b/>
                <w:sz w:val="18"/>
                <w:szCs w:val="16"/>
              </w:rPr>
            </w:pPr>
            <w:r w:rsidRPr="00904D71">
              <w:rPr>
                <w:rFonts w:ascii="Arial" w:hAnsi="Arial" w:cs="Arial"/>
                <w:b/>
                <w:sz w:val="18"/>
                <w:szCs w:val="16"/>
              </w:rPr>
              <w:t>Week 24</w:t>
            </w:r>
          </w:p>
        </w:tc>
        <w:tc>
          <w:tcPr>
            <w:tcW w:w="1083" w:type="dxa"/>
            <w:tcBorders>
              <w:top w:val="nil"/>
              <w:bottom w:val="nil"/>
            </w:tcBorders>
            <w:vAlign w:val="center"/>
          </w:tcPr>
          <w:p w14:paraId="6F2DB9F8" w14:textId="77777777" w:rsidR="007858F0" w:rsidRPr="00914388" w:rsidRDefault="007858F0" w:rsidP="00AF46A0">
            <w:pPr>
              <w:pStyle w:val="Table"/>
            </w:pPr>
            <w:r w:rsidRPr="00914388">
              <w:t>14</w:t>
            </w:r>
          </w:p>
          <w:p w14:paraId="48444718" w14:textId="77777777" w:rsidR="007858F0" w:rsidRPr="00B77816" w:rsidRDefault="007858F0" w:rsidP="00AF46A0">
            <w:pPr>
              <w:spacing w:after="0"/>
              <w:rPr>
                <w:rFonts w:ascii="Arial" w:hAnsi="Arial" w:cs="Arial"/>
                <w:sz w:val="18"/>
                <w:szCs w:val="16"/>
              </w:rPr>
            </w:pPr>
            <w:r w:rsidRPr="00B77816">
              <w:rPr>
                <w:rFonts w:ascii="Arial" w:hAnsi="Arial" w:cs="Arial"/>
                <w:sz w:val="18"/>
                <w:szCs w:val="16"/>
              </w:rPr>
              <w:t>(21.5%)</w:t>
            </w:r>
          </w:p>
        </w:tc>
        <w:tc>
          <w:tcPr>
            <w:tcW w:w="1084" w:type="dxa"/>
            <w:tcBorders>
              <w:top w:val="nil"/>
              <w:bottom w:val="nil"/>
            </w:tcBorders>
            <w:vAlign w:val="center"/>
          </w:tcPr>
          <w:p w14:paraId="7E68420D" w14:textId="77777777" w:rsidR="007858F0" w:rsidRPr="009908D8" w:rsidRDefault="007858F0" w:rsidP="00AF46A0">
            <w:pPr>
              <w:pStyle w:val="Table"/>
            </w:pPr>
            <w:r w:rsidRPr="0001542A">
              <w:t>27</w:t>
            </w:r>
          </w:p>
          <w:p w14:paraId="00BAE0DE" w14:textId="41E33769" w:rsidR="007858F0" w:rsidRPr="00505132" w:rsidRDefault="007858F0" w:rsidP="00AF46A0">
            <w:pPr>
              <w:pStyle w:val="Table"/>
            </w:pPr>
            <w:r w:rsidRPr="00505132">
              <w:t>(42.2%)</w:t>
            </w:r>
          </w:p>
        </w:tc>
        <w:tc>
          <w:tcPr>
            <w:tcW w:w="1083" w:type="dxa"/>
            <w:tcBorders>
              <w:top w:val="nil"/>
              <w:bottom w:val="nil"/>
            </w:tcBorders>
            <w:vAlign w:val="center"/>
          </w:tcPr>
          <w:p w14:paraId="1C5146BE" w14:textId="77777777" w:rsidR="007858F0" w:rsidRPr="00C135A5" w:rsidRDefault="007858F0" w:rsidP="00AF46A0">
            <w:pPr>
              <w:pStyle w:val="Table"/>
            </w:pPr>
            <w:r w:rsidRPr="00376702">
              <w:t>27</w:t>
            </w:r>
          </w:p>
          <w:p w14:paraId="7513B34C" w14:textId="44D18020" w:rsidR="007858F0" w:rsidRPr="00AD734A" w:rsidRDefault="007858F0" w:rsidP="00AF46A0">
            <w:pPr>
              <w:pStyle w:val="Table"/>
            </w:pPr>
            <w:r w:rsidRPr="00C135A5">
              <w:t>(48.2%)</w:t>
            </w:r>
          </w:p>
        </w:tc>
        <w:tc>
          <w:tcPr>
            <w:tcW w:w="1084" w:type="dxa"/>
            <w:tcBorders>
              <w:top w:val="nil"/>
              <w:bottom w:val="nil"/>
            </w:tcBorders>
            <w:vAlign w:val="center"/>
          </w:tcPr>
          <w:p w14:paraId="178D8172" w14:textId="428A5D56" w:rsidR="007858F0" w:rsidRPr="001520C6" w:rsidRDefault="007858F0" w:rsidP="00AF46A0">
            <w:pPr>
              <w:spacing w:after="0"/>
              <w:rPr>
                <w:rFonts w:ascii="Arial" w:hAnsi="Arial" w:cs="Arial"/>
                <w:sz w:val="18"/>
                <w:szCs w:val="16"/>
              </w:rPr>
            </w:pPr>
          </w:p>
        </w:tc>
        <w:tc>
          <w:tcPr>
            <w:tcW w:w="1083" w:type="dxa"/>
            <w:tcBorders>
              <w:top w:val="nil"/>
              <w:bottom w:val="nil"/>
            </w:tcBorders>
            <w:vAlign w:val="center"/>
          </w:tcPr>
          <w:p w14:paraId="1A211E4C" w14:textId="0AE3C669" w:rsidR="007858F0" w:rsidRPr="001520C6" w:rsidRDefault="007858F0" w:rsidP="00AF46A0">
            <w:pPr>
              <w:spacing w:after="0"/>
              <w:rPr>
                <w:rFonts w:ascii="Arial" w:hAnsi="Arial" w:cs="Arial"/>
                <w:sz w:val="18"/>
                <w:szCs w:val="16"/>
              </w:rPr>
            </w:pPr>
          </w:p>
        </w:tc>
        <w:tc>
          <w:tcPr>
            <w:tcW w:w="1084" w:type="dxa"/>
            <w:tcBorders>
              <w:top w:val="nil"/>
              <w:bottom w:val="nil"/>
            </w:tcBorders>
            <w:vAlign w:val="center"/>
          </w:tcPr>
          <w:p w14:paraId="63DBF310" w14:textId="1FC60E1B" w:rsidR="007858F0" w:rsidRPr="00900AF7" w:rsidRDefault="007858F0" w:rsidP="00AF46A0">
            <w:pPr>
              <w:spacing w:after="0"/>
              <w:rPr>
                <w:rFonts w:ascii="Arial" w:hAnsi="Arial" w:cs="Arial"/>
                <w:sz w:val="18"/>
                <w:szCs w:val="16"/>
              </w:rPr>
            </w:pPr>
          </w:p>
        </w:tc>
      </w:tr>
      <w:tr w:rsidR="007858F0" w:rsidRPr="00D45099" w14:paraId="25776F4D" w14:textId="77777777" w:rsidTr="002D07A3">
        <w:trPr>
          <w:cantSplit/>
        </w:trPr>
        <w:tc>
          <w:tcPr>
            <w:tcW w:w="9016" w:type="dxa"/>
            <w:gridSpan w:val="7"/>
            <w:tcBorders>
              <w:left w:val="nil"/>
              <w:bottom w:val="nil"/>
              <w:right w:val="nil"/>
            </w:tcBorders>
            <w:vAlign w:val="center"/>
          </w:tcPr>
          <w:p w14:paraId="138C2D10" w14:textId="77777777" w:rsidR="007858F0" w:rsidRPr="002D07A3" w:rsidRDefault="007858F0" w:rsidP="00AF46A0">
            <w:pPr>
              <w:spacing w:after="0"/>
              <w:rPr>
                <w:i/>
                <w:sz w:val="14"/>
                <w:szCs w:val="16"/>
              </w:rPr>
            </w:pPr>
            <w:r w:rsidRPr="002D07A3">
              <w:rPr>
                <w:rFonts w:ascii="Arial" w:eastAsiaTheme="minorHAnsi" w:hAnsi="Arial" w:cs="Arial"/>
                <w:i/>
                <w:sz w:val="14"/>
                <w:szCs w:val="16"/>
              </w:rPr>
              <w:t>* p&lt;0.05, ** p&lt;0.01, *** p&lt;0.001; versus placebo</w:t>
            </w:r>
          </w:p>
          <w:p w14:paraId="03A98C38" w14:textId="3D092652" w:rsidR="007858F0" w:rsidRPr="002D07A3" w:rsidRDefault="007858F0" w:rsidP="00AF46A0">
            <w:pPr>
              <w:spacing w:after="0"/>
              <w:rPr>
                <w:rFonts w:ascii="Arial" w:hAnsi="Arial" w:cs="Arial"/>
                <w:i/>
                <w:sz w:val="14"/>
                <w:szCs w:val="16"/>
              </w:rPr>
            </w:pPr>
            <w:r w:rsidRPr="002D07A3">
              <w:rPr>
                <w:rFonts w:ascii="Arial" w:hAnsi="Arial" w:cs="Arial"/>
                <w:i/>
                <w:sz w:val="14"/>
                <w:szCs w:val="16"/>
              </w:rPr>
              <w:t>All p</w:t>
            </w:r>
            <w:r w:rsidRPr="002D07A3">
              <w:rPr>
                <w:rFonts w:ascii="Arial" w:hAnsi="Arial" w:cs="Arial"/>
                <w:i/>
                <w:sz w:val="14"/>
                <w:szCs w:val="16"/>
              </w:rPr>
              <w:noBreakHyphen/>
              <w:t xml:space="preserve">values are adjusted for multiplicity of testing based on pre-defined hierarchy at Week 24 for </w:t>
            </w:r>
            <w:proofErr w:type="spellStart"/>
            <w:r w:rsidRPr="002D07A3">
              <w:rPr>
                <w:rFonts w:ascii="Arial" w:hAnsi="Arial" w:cs="Arial"/>
                <w:i/>
                <w:sz w:val="14"/>
                <w:szCs w:val="16"/>
              </w:rPr>
              <w:t>PsA</w:t>
            </w:r>
            <w:proofErr w:type="spellEnd"/>
            <w:r w:rsidRPr="002D07A3">
              <w:rPr>
                <w:rFonts w:ascii="Arial" w:hAnsi="Arial" w:cs="Arial"/>
                <w:i/>
                <w:sz w:val="14"/>
                <w:szCs w:val="16"/>
              </w:rPr>
              <w:t xml:space="preserve"> Study 2, except for all endpoints at Week 16.</w:t>
            </w:r>
            <w:r w:rsidR="00BB46BA" w:rsidRPr="002D07A3">
              <w:rPr>
                <w:rFonts w:ascii="Arial" w:hAnsi="Arial" w:cs="Arial"/>
                <w:i/>
                <w:sz w:val="14"/>
                <w:szCs w:val="16"/>
              </w:rPr>
              <w:t xml:space="preserve"> ACR70, </w:t>
            </w:r>
            <w:proofErr w:type="spellStart"/>
            <w:r w:rsidR="00BB46BA" w:rsidRPr="002D07A3">
              <w:rPr>
                <w:rFonts w:ascii="Arial" w:hAnsi="Arial" w:cs="Arial"/>
                <w:i/>
                <w:sz w:val="14"/>
                <w:szCs w:val="16"/>
              </w:rPr>
              <w:t>Dactylitis</w:t>
            </w:r>
            <w:proofErr w:type="spellEnd"/>
            <w:r w:rsidR="00BB46BA" w:rsidRPr="002D07A3">
              <w:rPr>
                <w:rFonts w:ascii="Arial" w:hAnsi="Arial" w:cs="Arial"/>
                <w:i/>
                <w:sz w:val="14"/>
                <w:szCs w:val="16"/>
              </w:rPr>
              <w:t xml:space="preserve"> and </w:t>
            </w:r>
            <w:proofErr w:type="spellStart"/>
            <w:r w:rsidR="00BB46BA" w:rsidRPr="002D07A3">
              <w:rPr>
                <w:rFonts w:ascii="Arial" w:hAnsi="Arial" w:cs="Arial"/>
                <w:i/>
                <w:sz w:val="14"/>
                <w:szCs w:val="16"/>
              </w:rPr>
              <w:t>Enthesitis</w:t>
            </w:r>
            <w:proofErr w:type="spellEnd"/>
            <w:r w:rsidR="00BB46BA" w:rsidRPr="002D07A3">
              <w:rPr>
                <w:rFonts w:ascii="Arial" w:hAnsi="Arial" w:cs="Arial"/>
                <w:i/>
                <w:sz w:val="14"/>
                <w:szCs w:val="16"/>
              </w:rPr>
              <w:t>, were exploratory endpoints.</w:t>
            </w:r>
          </w:p>
          <w:p w14:paraId="1A74E5CF" w14:textId="3D498D0E" w:rsidR="007858F0" w:rsidRPr="002D07A3" w:rsidRDefault="007858F0" w:rsidP="00AF46A0">
            <w:pPr>
              <w:spacing w:after="0"/>
              <w:rPr>
                <w:rFonts w:ascii="Arial" w:hAnsi="Arial" w:cs="Arial"/>
                <w:i/>
                <w:sz w:val="14"/>
                <w:szCs w:val="16"/>
              </w:rPr>
            </w:pPr>
            <w:r w:rsidRPr="002D07A3">
              <w:rPr>
                <w:rFonts w:ascii="Arial" w:hAnsi="Arial" w:cs="Arial"/>
                <w:i/>
                <w:sz w:val="14"/>
                <w:szCs w:val="16"/>
              </w:rPr>
              <w:t>All p</w:t>
            </w:r>
            <w:r w:rsidRPr="002D07A3">
              <w:rPr>
                <w:rFonts w:ascii="Arial" w:hAnsi="Arial" w:cs="Arial"/>
                <w:i/>
                <w:sz w:val="14"/>
                <w:szCs w:val="16"/>
              </w:rPr>
              <w:noBreakHyphen/>
              <w:t xml:space="preserve">values are adjusted for multiplicity of testing based on pre-defined hierarchy at Week 16 for </w:t>
            </w:r>
            <w:proofErr w:type="spellStart"/>
            <w:r w:rsidRPr="002D07A3">
              <w:rPr>
                <w:rFonts w:ascii="Arial" w:hAnsi="Arial" w:cs="Arial"/>
                <w:i/>
                <w:sz w:val="14"/>
                <w:szCs w:val="16"/>
              </w:rPr>
              <w:t>PsA</w:t>
            </w:r>
            <w:proofErr w:type="spellEnd"/>
            <w:r w:rsidRPr="002D07A3">
              <w:rPr>
                <w:rFonts w:ascii="Arial" w:hAnsi="Arial" w:cs="Arial"/>
                <w:i/>
                <w:sz w:val="14"/>
                <w:szCs w:val="16"/>
              </w:rPr>
              <w:t xml:space="preserve"> Study 3</w:t>
            </w:r>
            <w:r w:rsidR="00BB46BA" w:rsidRPr="002D07A3">
              <w:rPr>
                <w:rFonts w:ascii="Arial" w:hAnsi="Arial" w:cs="Arial"/>
                <w:i/>
                <w:sz w:val="14"/>
                <w:szCs w:val="16"/>
              </w:rPr>
              <w:t>.</w:t>
            </w:r>
            <w:r w:rsidRPr="002D07A3">
              <w:rPr>
                <w:rFonts w:ascii="Arial" w:hAnsi="Arial" w:cs="Arial"/>
                <w:i/>
                <w:sz w:val="14"/>
                <w:szCs w:val="16"/>
              </w:rPr>
              <w:t xml:space="preserve"> ACR70 was an exploratory endpoint.</w:t>
            </w:r>
          </w:p>
          <w:p w14:paraId="69E8AD33" w14:textId="77777777" w:rsidR="007858F0" w:rsidRPr="002D07A3" w:rsidRDefault="007858F0" w:rsidP="00AF46A0">
            <w:pPr>
              <w:spacing w:after="0"/>
              <w:rPr>
                <w:i/>
                <w:sz w:val="14"/>
                <w:szCs w:val="16"/>
              </w:rPr>
            </w:pPr>
            <w:r w:rsidRPr="002D07A3">
              <w:rPr>
                <w:rFonts w:ascii="Arial" w:eastAsiaTheme="minorHAnsi" w:hAnsi="Arial" w:cs="Arial"/>
                <w:i/>
                <w:sz w:val="14"/>
                <w:szCs w:val="16"/>
              </w:rPr>
              <w:t>Non-responder imputation used for missing binary endpoint.</w:t>
            </w:r>
          </w:p>
          <w:p w14:paraId="1E4978C9" w14:textId="77777777" w:rsidR="007858F0" w:rsidRPr="002D07A3" w:rsidRDefault="007858F0" w:rsidP="00AF46A0">
            <w:pPr>
              <w:spacing w:after="0"/>
              <w:rPr>
                <w:i/>
                <w:sz w:val="14"/>
                <w:szCs w:val="16"/>
              </w:rPr>
            </w:pPr>
            <w:r w:rsidRPr="002D07A3">
              <w:rPr>
                <w:rFonts w:ascii="Arial" w:eastAsiaTheme="minorHAnsi" w:hAnsi="Arial" w:cs="Arial"/>
                <w:i/>
                <w:sz w:val="14"/>
                <w:szCs w:val="16"/>
              </w:rPr>
              <w:t>NA: Not Available; ACR: American College of Rheumatology; PASI: Psoriasis Area and Severity Index; DAS: Disease Activity Score; BSA: Body Surface Area</w:t>
            </w:r>
          </w:p>
          <w:p w14:paraId="03AB8925" w14:textId="77777777" w:rsidR="007858F0" w:rsidRPr="002D07A3" w:rsidRDefault="007858F0" w:rsidP="00AF46A0">
            <w:pPr>
              <w:spacing w:after="0"/>
              <w:rPr>
                <w:rFonts w:ascii="Arial" w:hAnsi="Arial" w:cs="Arial"/>
                <w:i/>
                <w:sz w:val="14"/>
                <w:szCs w:val="16"/>
              </w:rPr>
            </w:pPr>
            <w:r w:rsidRPr="002D07A3">
              <w:rPr>
                <w:rFonts w:ascii="Arial" w:hAnsi="Arial" w:cs="Arial"/>
                <w:i/>
                <w:sz w:val="14"/>
                <w:szCs w:val="16"/>
              </w:rPr>
              <w:t>◊Primary Endpoint</w:t>
            </w:r>
          </w:p>
          <w:p w14:paraId="66B906EA" w14:textId="77777777" w:rsidR="007858F0" w:rsidRPr="002D07A3" w:rsidRDefault="007858F0" w:rsidP="00AF46A0">
            <w:pPr>
              <w:spacing w:after="0"/>
              <w:rPr>
                <w:rFonts w:ascii="Arial" w:hAnsi="Arial" w:cs="Arial"/>
                <w:i/>
                <w:sz w:val="14"/>
                <w:szCs w:val="16"/>
              </w:rPr>
            </w:pPr>
            <w:r w:rsidRPr="002D07A3">
              <w:rPr>
                <w:rFonts w:ascii="Arial" w:hAnsi="Arial" w:cs="Arial"/>
                <w:i/>
                <w:sz w:val="14"/>
                <w:szCs w:val="16"/>
              </w:rPr>
              <w:t xml:space="preserve">1Cosentyx 150 mg or 300 mg </w:t>
            </w:r>
            <w:proofErr w:type="spellStart"/>
            <w:r w:rsidRPr="002D07A3">
              <w:rPr>
                <w:rFonts w:ascii="Arial" w:hAnsi="Arial" w:cs="Arial"/>
                <w:i/>
                <w:sz w:val="14"/>
                <w:szCs w:val="16"/>
              </w:rPr>
              <w:t>s.c.</w:t>
            </w:r>
            <w:proofErr w:type="spellEnd"/>
            <w:r w:rsidRPr="002D07A3">
              <w:rPr>
                <w:rFonts w:ascii="Arial" w:hAnsi="Arial" w:cs="Arial"/>
                <w:i/>
                <w:sz w:val="14"/>
                <w:szCs w:val="16"/>
              </w:rPr>
              <w:t xml:space="preserve"> at Weeks 0, 1, 2, 3, and 4 followed by the same dose every month</w:t>
            </w:r>
          </w:p>
          <w:p w14:paraId="634B1ADE" w14:textId="77777777" w:rsidR="007858F0" w:rsidRPr="002D07A3" w:rsidRDefault="007858F0" w:rsidP="00AF46A0">
            <w:pPr>
              <w:spacing w:after="0"/>
              <w:rPr>
                <w:rFonts w:ascii="Arial" w:hAnsi="Arial" w:cs="Arial"/>
                <w:i/>
                <w:sz w:val="14"/>
                <w:szCs w:val="16"/>
              </w:rPr>
            </w:pPr>
            <w:r w:rsidRPr="002D07A3">
              <w:rPr>
                <w:rFonts w:ascii="Arial" w:hAnsi="Arial" w:cs="Arial"/>
                <w:i/>
                <w:sz w:val="14"/>
                <w:szCs w:val="16"/>
              </w:rPr>
              <w:t xml:space="preserve">†In patients with </w:t>
            </w:r>
            <w:proofErr w:type="spellStart"/>
            <w:r w:rsidRPr="002D07A3">
              <w:rPr>
                <w:rFonts w:ascii="Arial" w:hAnsi="Arial" w:cs="Arial"/>
                <w:i/>
                <w:sz w:val="14"/>
                <w:szCs w:val="16"/>
              </w:rPr>
              <w:t>dactylitis</w:t>
            </w:r>
            <w:proofErr w:type="spellEnd"/>
            <w:r w:rsidRPr="002D07A3">
              <w:rPr>
                <w:rFonts w:ascii="Arial" w:hAnsi="Arial" w:cs="Arial"/>
                <w:i/>
                <w:sz w:val="14"/>
                <w:szCs w:val="16"/>
              </w:rPr>
              <w:t xml:space="preserve"> at baseline (n=27, 32, 46 respectively for PsA2 and n=124, 80, 82  respectively for PsA3 )</w:t>
            </w:r>
          </w:p>
          <w:p w14:paraId="5352AB03" w14:textId="77777777" w:rsidR="007858F0" w:rsidRPr="002D07A3" w:rsidRDefault="007858F0" w:rsidP="00AF46A0">
            <w:pPr>
              <w:spacing w:after="0"/>
              <w:rPr>
                <w:rFonts w:ascii="Arial" w:hAnsi="Arial" w:cs="Arial"/>
                <w:i/>
                <w:sz w:val="14"/>
                <w:szCs w:val="16"/>
              </w:rPr>
            </w:pPr>
            <w:r w:rsidRPr="002D07A3">
              <w:rPr>
                <w:rFonts w:ascii="Arial" w:hAnsi="Arial" w:cs="Arial"/>
                <w:i/>
                <w:sz w:val="14"/>
                <w:szCs w:val="16"/>
              </w:rPr>
              <w:t xml:space="preserve">‡In patients with </w:t>
            </w:r>
            <w:proofErr w:type="spellStart"/>
            <w:r w:rsidRPr="002D07A3">
              <w:rPr>
                <w:rFonts w:ascii="Arial" w:hAnsi="Arial" w:cs="Arial"/>
                <w:i/>
                <w:sz w:val="14"/>
                <w:szCs w:val="16"/>
              </w:rPr>
              <w:t>enthesitis</w:t>
            </w:r>
            <w:proofErr w:type="spellEnd"/>
            <w:r w:rsidRPr="002D07A3">
              <w:rPr>
                <w:rFonts w:ascii="Arial" w:hAnsi="Arial" w:cs="Arial"/>
                <w:i/>
                <w:sz w:val="14"/>
                <w:szCs w:val="16"/>
              </w:rPr>
              <w:t xml:space="preserve"> at baseline (n=65, 64, 56 respectively for PsA2 and n=192, 141, 140, respectively for PsA3)</w:t>
            </w:r>
          </w:p>
        </w:tc>
      </w:tr>
      <w:bookmarkEnd w:id="3"/>
    </w:tbl>
    <w:p w14:paraId="71F5B54F" w14:textId="6BE507F6" w:rsidR="00F62A4F" w:rsidRPr="00D45099" w:rsidRDefault="00F62A4F" w:rsidP="00AF46A0">
      <w:pPr>
        <w:spacing w:after="120"/>
        <w:ind w:left="1166" w:hanging="1166"/>
        <w:rPr>
          <w:rFonts w:ascii="Arial" w:hAnsi="Arial" w:cs="Arial"/>
          <w:b/>
          <w:sz w:val="20"/>
        </w:rPr>
      </w:pPr>
    </w:p>
    <w:bookmarkEnd w:id="4"/>
    <w:p w14:paraId="079FEDE2" w14:textId="648A71AF" w:rsidR="00F62A4F" w:rsidRPr="00D45099" w:rsidRDefault="00F62A4F" w:rsidP="00AF46A0">
      <w:pPr>
        <w:rPr>
          <w:rFonts w:cs="Arial"/>
        </w:rPr>
      </w:pPr>
      <w:r w:rsidRPr="00D45099">
        <w:rPr>
          <w:rFonts w:cs="Arial"/>
        </w:rPr>
        <w:t>The onset of action of COSENTYX occurred as early as Week 2. Statistically significant difference in ACR 20 vs placebo was reached at Week 3.</w:t>
      </w:r>
      <w:r w:rsidR="00B635C0" w:rsidRPr="00D45099">
        <w:rPr>
          <w:rFonts w:cs="Arial"/>
        </w:rPr>
        <w:t xml:space="preserve"> In PsA2 efficacy responses were maintained up to Week 104.</w:t>
      </w:r>
      <w:r w:rsidRPr="00D45099">
        <w:rPr>
          <w:rFonts w:cs="Arial"/>
        </w:rPr>
        <w:t xml:space="preserve"> At Week 16, COSENTYX-treated patients demonstrated significant improvements in signs and symptoms among which significantly higher responses in ACR 20 (60.0% and 57.0% for 150 mg and 300 mg, respectively) compared to placebo (18.4%). </w:t>
      </w:r>
    </w:p>
    <w:p w14:paraId="11C6F6F0" w14:textId="77777777" w:rsidR="00E30F42" w:rsidRPr="00D45099" w:rsidRDefault="00F62A4F" w:rsidP="00AF46A0">
      <w:pPr>
        <w:rPr>
          <w:rFonts w:cs="Arial"/>
        </w:rPr>
      </w:pPr>
      <w:r w:rsidRPr="00D45099">
        <w:rPr>
          <w:rFonts w:cs="Arial"/>
        </w:rPr>
        <w:t>The percentage of patients achieving ACR20 response by visit is shown in Figure 2.</w:t>
      </w:r>
      <w:bookmarkStart w:id="5" w:name="_Toc405968172"/>
      <w:bookmarkStart w:id="6" w:name="_Toc405969198"/>
    </w:p>
    <w:p w14:paraId="6EA0EFEC" w14:textId="77777777" w:rsidR="00F62A4F" w:rsidRPr="00D45099" w:rsidRDefault="00F62A4F" w:rsidP="00AF46A0">
      <w:pPr>
        <w:spacing w:after="120"/>
        <w:ind w:left="1166" w:hanging="1166"/>
        <w:rPr>
          <w:rFonts w:ascii="Arial" w:hAnsi="Arial" w:cs="Arial"/>
          <w:b/>
          <w:sz w:val="20"/>
        </w:rPr>
      </w:pPr>
      <w:r w:rsidRPr="00D45099">
        <w:rPr>
          <w:rFonts w:ascii="Arial" w:hAnsi="Arial" w:cs="Arial"/>
          <w:b/>
          <w:sz w:val="20"/>
        </w:rPr>
        <w:t>Figure 2</w:t>
      </w:r>
      <w:r w:rsidRPr="00D45099">
        <w:rPr>
          <w:rFonts w:ascii="Arial" w:hAnsi="Arial" w:cs="Arial"/>
          <w:b/>
          <w:sz w:val="20"/>
        </w:rPr>
        <w:tab/>
        <w:t xml:space="preserve">ACR 20 response in </w:t>
      </w:r>
      <w:proofErr w:type="spellStart"/>
      <w:r w:rsidRPr="00D45099">
        <w:rPr>
          <w:rFonts w:ascii="Arial" w:hAnsi="Arial" w:cs="Arial"/>
          <w:b/>
          <w:sz w:val="20"/>
        </w:rPr>
        <w:t>PsA</w:t>
      </w:r>
      <w:proofErr w:type="spellEnd"/>
      <w:r w:rsidRPr="00D45099">
        <w:rPr>
          <w:rFonts w:ascii="Arial" w:hAnsi="Arial" w:cs="Arial"/>
          <w:b/>
          <w:sz w:val="20"/>
        </w:rPr>
        <w:t xml:space="preserve"> 2 Study over time up to Week 24</w:t>
      </w:r>
      <w:bookmarkEnd w:id="5"/>
      <w:bookmarkEnd w:id="6"/>
    </w:p>
    <w:p w14:paraId="2F21252D" w14:textId="77777777" w:rsidR="00B635C0" w:rsidRPr="00D45099" w:rsidRDefault="00B635C0" w:rsidP="00AF46A0">
      <w:pPr>
        <w:rPr>
          <w:rFonts w:ascii="Arial" w:hAnsi="Arial" w:cs="Arial"/>
          <w:sz w:val="20"/>
        </w:rPr>
      </w:pPr>
      <w:r w:rsidRPr="00D45099">
        <w:rPr>
          <w:rFonts w:ascii="Arial" w:hAnsi="Arial" w:cs="Arial"/>
          <w:noProof/>
          <w:sz w:val="20"/>
          <w:lang w:eastAsia="en-AU"/>
        </w:rPr>
        <mc:AlternateContent>
          <mc:Choice Requires="wps">
            <w:drawing>
              <wp:anchor distT="0" distB="0" distL="114300" distR="114300" simplePos="0" relativeHeight="251668480" behindDoc="0" locked="0" layoutInCell="1" allowOverlap="1" wp14:anchorId="55B2E125" wp14:editId="4A743696">
                <wp:simplePos x="0" y="0"/>
                <wp:positionH relativeFrom="column">
                  <wp:posOffset>2518410</wp:posOffset>
                </wp:positionH>
                <wp:positionV relativeFrom="paragraph">
                  <wp:posOffset>2889250</wp:posOffset>
                </wp:positionV>
                <wp:extent cx="1100455" cy="267335"/>
                <wp:effectExtent l="0" t="0" r="444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267335"/>
                        </a:xfrm>
                        <a:prstGeom prst="rect">
                          <a:avLst/>
                        </a:prstGeom>
                        <a:solidFill>
                          <a:srgbClr val="FFFFFF"/>
                        </a:solidFill>
                        <a:ln w="9525">
                          <a:noFill/>
                          <a:miter lim="800000"/>
                          <a:headEnd/>
                          <a:tailEnd/>
                        </a:ln>
                      </wps:spPr>
                      <wps:txbx>
                        <w:txbxContent>
                          <w:p w14:paraId="090798E9" w14:textId="77777777" w:rsidR="00AF46A0" w:rsidRPr="00AC40B4" w:rsidRDefault="00AF46A0" w:rsidP="00AC40B4">
                            <w:pPr>
                              <w:jc w:val="center"/>
                              <w:rPr>
                                <w:sz w:val="18"/>
                                <w:szCs w:val="18"/>
                              </w:rPr>
                            </w:pPr>
                            <w:r w:rsidRPr="00AC40B4">
                              <w:rPr>
                                <w:sz w:val="18"/>
                                <w:szCs w:val="18"/>
                              </w:rPr>
                              <w:t>Time (weeks)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2E125" id="_x0000_t202" coordsize="21600,21600" o:spt="202" path="m,l,21600r21600,l21600,xe">
                <v:stroke joinstyle="miter"/>
                <v:path gradientshapeok="t" o:connecttype="rect"/>
              </v:shapetype>
              <v:shape id="Text Box 2" o:spid="_x0000_s1026" type="#_x0000_t202" style="position:absolute;margin-left:198.3pt;margin-top:227.5pt;width:86.65pt;height:2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" stroked="f">
                <v:textbox>
                  <w:txbxContent>
                    <w:p w14:paraId="090798E9" w14:textId="77777777" w:rsidR="00AF46A0" w:rsidRPr="00AC40B4" w:rsidRDefault="00AF46A0" w:rsidP="00AC40B4">
                      <w:pPr>
                        <w:jc w:val="center"/>
                        <w:rPr>
                          <w:sz w:val="18"/>
                          <w:szCs w:val="18"/>
                        </w:rPr>
                      </w:pPr>
                      <w:r w:rsidRPr="00AC40B4">
                        <w:rPr>
                          <w:sz w:val="18"/>
                          <w:szCs w:val="18"/>
                        </w:rPr>
                        <w:t>Time (weeks) (Weeks)</w:t>
                      </w:r>
                    </w:p>
                  </w:txbxContent>
                </v:textbox>
              </v:shape>
            </w:pict>
          </mc:Fallback>
        </mc:AlternateContent>
      </w:r>
      <w:r w:rsidRPr="00D45099">
        <w:rPr>
          <w:rFonts w:ascii="Arial" w:hAnsi="Arial" w:cs="Arial"/>
          <w:noProof/>
          <w:sz w:val="20"/>
          <w:lang w:eastAsia="en-AU"/>
        </w:rPr>
        <mc:AlternateContent>
          <mc:Choice Requires="wps">
            <w:drawing>
              <wp:anchor distT="0" distB="0" distL="114300" distR="114300" simplePos="0" relativeHeight="251670528" behindDoc="0" locked="0" layoutInCell="1" allowOverlap="1" wp14:anchorId="675EF2C7" wp14:editId="4094B7C6">
                <wp:simplePos x="0" y="0"/>
                <wp:positionH relativeFrom="margin">
                  <wp:posOffset>-744538</wp:posOffset>
                </wp:positionH>
                <wp:positionV relativeFrom="paragraph">
                  <wp:posOffset>1254443</wp:posOffset>
                </wp:positionV>
                <wp:extent cx="1814195" cy="294640"/>
                <wp:effectExtent l="0" t="2222"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814195" cy="294640"/>
                        </a:xfrm>
                        <a:prstGeom prst="rect">
                          <a:avLst/>
                        </a:prstGeom>
                        <a:solidFill>
                          <a:srgbClr val="FFFFFF"/>
                        </a:solidFill>
                        <a:ln w="9525">
                          <a:noFill/>
                          <a:miter lim="800000"/>
                          <a:headEnd/>
                          <a:tailEnd/>
                        </a:ln>
                      </wps:spPr>
                      <wps:txbx>
                        <w:txbxContent>
                          <w:p w14:paraId="24DB2DA3" w14:textId="2D246456" w:rsidR="00AF46A0" w:rsidRPr="00AC40B4" w:rsidRDefault="00AF46A0" w:rsidP="00B635C0">
                            <w:pPr>
                              <w:rPr>
                                <w:sz w:val="18"/>
                                <w:szCs w:val="18"/>
                              </w:rPr>
                            </w:pPr>
                            <w:r w:rsidRPr="00AC40B4">
                              <w:rPr>
                                <w:sz w:val="18"/>
                                <w:szCs w:val="18"/>
                              </w:rPr>
                              <w:t>Percentage of responders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EF2C7" id="_x0000_s1027" type="#_x0000_t202" style="position:absolute;margin-left:-58.65pt;margin-top:98.8pt;width:142.85pt;height:23.2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" stroked="f">
                <v:textbox>
                  <w:txbxContent>
                    <w:p w14:paraId="24DB2DA3" w14:textId="2D246456" w:rsidR="00AF46A0" w:rsidRPr="00AC40B4" w:rsidRDefault="00AF46A0" w:rsidP="00B635C0">
                      <w:pPr>
                        <w:rPr>
                          <w:sz w:val="18"/>
                          <w:szCs w:val="18"/>
                        </w:rPr>
                      </w:pPr>
                      <w:r w:rsidRPr="00AC40B4">
                        <w:rPr>
                          <w:sz w:val="18"/>
                          <w:szCs w:val="18"/>
                        </w:rPr>
                        <w:t>Percentage of responders</w:t>
                      </w:r>
                    </w:p>
                  </w:txbxContent>
                </v:textbox>
                <w10:wrap anchorx="margin"/>
              </v:shape>
            </w:pict>
          </mc:Fallback>
        </mc:AlternateContent>
      </w:r>
      <w:r w:rsidRPr="00D45099">
        <w:rPr>
          <w:noProof/>
          <w:lang w:eastAsia="en-AU"/>
        </w:rPr>
        <w:drawing>
          <wp:inline distT="0" distB="0" distL="0" distR="0" wp14:anchorId="245B0DF5" wp14:editId="5433407A">
            <wp:extent cx="5400000" cy="2874774"/>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400000" cy="2874774"/>
                    </a:xfrm>
                    <a:prstGeom prst="rect">
                      <a:avLst/>
                    </a:prstGeom>
                    <a:ln>
                      <a:noFill/>
                    </a:ln>
                    <a:effectLst/>
                  </pic:spPr>
                </pic:pic>
              </a:graphicData>
            </a:graphic>
          </wp:inline>
        </w:drawing>
      </w:r>
    </w:p>
    <w:p w14:paraId="259BED51" w14:textId="77777777" w:rsidR="00B635C0" w:rsidRPr="00D45099" w:rsidRDefault="00B635C0" w:rsidP="00AF46A0">
      <w:pPr>
        <w:spacing w:after="120"/>
        <w:ind w:left="1166" w:hanging="1166"/>
        <w:rPr>
          <w:rFonts w:ascii="Arial" w:hAnsi="Arial" w:cs="Arial"/>
          <w:b/>
          <w:sz w:val="20"/>
        </w:rPr>
      </w:pPr>
      <w:r w:rsidRPr="00D45099">
        <w:rPr>
          <w:noProof/>
          <w:lang w:eastAsia="en-AU"/>
        </w:rPr>
        <w:drawing>
          <wp:inline distT="0" distB="0" distL="0" distR="0" wp14:anchorId="4D3D654E" wp14:editId="47644B22">
            <wp:extent cx="4320000" cy="318465"/>
            <wp:effectExtent l="133350" t="133350" r="137795" b="13906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320000" cy="318465"/>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contourClr>
                        <a:srgbClr val="FFFFFF"/>
                      </a:contourClr>
                    </a:sp3d>
                  </pic:spPr>
                </pic:pic>
              </a:graphicData>
            </a:graphic>
          </wp:inline>
        </w:drawing>
      </w:r>
    </w:p>
    <w:p w14:paraId="01125E1D" w14:textId="77777777" w:rsidR="00F62A4F" w:rsidRPr="00D45099" w:rsidRDefault="00F62A4F" w:rsidP="00AF46A0">
      <w:pPr>
        <w:rPr>
          <w:rFonts w:cs="Arial"/>
        </w:rPr>
      </w:pPr>
      <w:r w:rsidRPr="00D45099">
        <w:rPr>
          <w:rFonts w:cs="Arial"/>
        </w:rPr>
        <w:t xml:space="preserve">Similar responses for primary and key secondary endpoints were seen in </w:t>
      </w:r>
      <w:proofErr w:type="spellStart"/>
      <w:r w:rsidRPr="00D45099">
        <w:rPr>
          <w:rFonts w:cs="Arial"/>
        </w:rPr>
        <w:t>PsA</w:t>
      </w:r>
      <w:proofErr w:type="spellEnd"/>
      <w:r w:rsidRPr="00D45099">
        <w:rPr>
          <w:rFonts w:cs="Arial"/>
        </w:rPr>
        <w:t xml:space="preserve"> patients regardless of whether they were on concomitant MTX treatment or not.</w:t>
      </w:r>
    </w:p>
    <w:p w14:paraId="38B1299F" w14:textId="1CD6BB57" w:rsidR="00F62A4F" w:rsidRPr="00D45099" w:rsidRDefault="00F62A4F" w:rsidP="00AF46A0">
      <w:pPr>
        <w:rPr>
          <w:rFonts w:cs="Arial"/>
        </w:rPr>
      </w:pPr>
      <w:r w:rsidRPr="00D45099">
        <w:rPr>
          <w:rFonts w:cs="Arial"/>
        </w:rPr>
        <w:t>Both, anti-TNF-alpha</w:t>
      </w:r>
      <w:r w:rsidRPr="00D45099" w:rsidDel="00B763A8">
        <w:rPr>
          <w:rFonts w:cs="Arial"/>
        </w:rPr>
        <w:t xml:space="preserve"> </w:t>
      </w:r>
      <w:r w:rsidRPr="00D45099">
        <w:rPr>
          <w:rFonts w:cs="Arial"/>
        </w:rPr>
        <w:t>-naïve and anti-TNF-alpha</w:t>
      </w:r>
      <w:r w:rsidRPr="00D45099" w:rsidDel="00B763A8">
        <w:rPr>
          <w:rFonts w:cs="Arial"/>
        </w:rPr>
        <w:t xml:space="preserve"> </w:t>
      </w:r>
      <w:r w:rsidRPr="00D45099">
        <w:rPr>
          <w:rFonts w:cs="Arial"/>
        </w:rPr>
        <w:t>–IR COSENTYX-treated patients, had a significantly higher ACR 20 response compared to placebo at Week</w:t>
      </w:r>
      <w:r w:rsidR="006D6F1E" w:rsidRPr="00D45099">
        <w:rPr>
          <w:rFonts w:cs="Arial"/>
        </w:rPr>
        <w:t xml:space="preserve"> </w:t>
      </w:r>
      <w:r w:rsidRPr="00D45099">
        <w:rPr>
          <w:rFonts w:cs="Arial"/>
        </w:rPr>
        <w:t>24, with a slightly higher response in the anti-TNF-alpha</w:t>
      </w:r>
      <w:r w:rsidRPr="00D45099" w:rsidDel="00B763A8">
        <w:rPr>
          <w:rFonts w:cs="Arial"/>
        </w:rPr>
        <w:t xml:space="preserve"> </w:t>
      </w:r>
      <w:r w:rsidRPr="00D45099">
        <w:rPr>
          <w:rFonts w:cs="Arial"/>
        </w:rPr>
        <w:t>- naïve group</w:t>
      </w:r>
      <w:r w:rsidR="00A108FB" w:rsidRPr="00D45099">
        <w:rPr>
          <w:rFonts w:cs="Arial"/>
        </w:rPr>
        <w:t xml:space="preserve"> in the PsA2 study</w:t>
      </w:r>
      <w:r w:rsidRPr="00D45099">
        <w:rPr>
          <w:rFonts w:cs="Arial"/>
        </w:rPr>
        <w:t xml:space="preserve"> (anti-TNF-alpha</w:t>
      </w:r>
      <w:r w:rsidRPr="00D45099" w:rsidDel="00B763A8">
        <w:rPr>
          <w:rFonts w:cs="Arial"/>
        </w:rPr>
        <w:t xml:space="preserve"> </w:t>
      </w:r>
      <w:r w:rsidRPr="00D45099">
        <w:rPr>
          <w:rFonts w:cs="Arial"/>
        </w:rPr>
        <w:t>-naïve: 64% and 58% for 150 mg and 300 mg, respectively, compared to placebo 15.9%; anti-TNF-alpha</w:t>
      </w:r>
      <w:r w:rsidRPr="00D45099" w:rsidDel="00B763A8">
        <w:rPr>
          <w:rFonts w:cs="Arial"/>
        </w:rPr>
        <w:t xml:space="preserve"> </w:t>
      </w:r>
      <w:r w:rsidRPr="00D45099">
        <w:rPr>
          <w:rFonts w:cs="Arial"/>
        </w:rPr>
        <w:t>-IR: 30% and 46% for 150 mg and 300 mg, respectively, compared to placebo 14.3%). Anti-TNF-alpha</w:t>
      </w:r>
      <w:r w:rsidRPr="00D45099" w:rsidDel="00B763A8">
        <w:rPr>
          <w:rFonts w:cs="Arial"/>
        </w:rPr>
        <w:t xml:space="preserve"> </w:t>
      </w:r>
      <w:r w:rsidRPr="00D45099">
        <w:rPr>
          <w:rFonts w:cs="Arial"/>
        </w:rPr>
        <w:t>–IR patients on 300</w:t>
      </w:r>
      <w:r w:rsidR="006D6F1E" w:rsidRPr="00D45099">
        <w:rPr>
          <w:rFonts w:cs="Arial"/>
        </w:rPr>
        <w:t xml:space="preserve"> </w:t>
      </w:r>
      <w:r w:rsidRPr="00D45099">
        <w:rPr>
          <w:rFonts w:cs="Arial"/>
        </w:rPr>
        <w:t>mg showed higher response rates on ACR20 compared to placebo patients (p&lt;0.05) and demonstrated clinical meaningful benefit over 150 mg on multiple secondary endpoints. Improvements in the PASI75 response were seen in both subgroups and the 300 mg dose showed statistically significant benefit in the anti-TNF-alpha</w:t>
      </w:r>
      <w:r w:rsidRPr="00D45099" w:rsidDel="00B763A8">
        <w:rPr>
          <w:rFonts w:cs="Arial"/>
        </w:rPr>
        <w:t xml:space="preserve"> </w:t>
      </w:r>
      <w:r w:rsidRPr="00D45099">
        <w:rPr>
          <w:rFonts w:cs="Arial"/>
        </w:rPr>
        <w:t>-IR patients.</w:t>
      </w:r>
    </w:p>
    <w:p w14:paraId="7F967D3E" w14:textId="765EDBF6" w:rsidR="00F62A4F" w:rsidRPr="00D45099" w:rsidRDefault="00F62A4F" w:rsidP="00AF46A0">
      <w:pPr>
        <w:rPr>
          <w:rFonts w:cs="Arial"/>
        </w:rPr>
      </w:pPr>
      <w:r w:rsidRPr="00D45099">
        <w:rPr>
          <w:rFonts w:cs="Arial"/>
        </w:rPr>
        <w:t xml:space="preserve">Improvements were shown in all components of the ACR scores, including patient assessment of pain. The proportion of patients achieving a modified </w:t>
      </w:r>
      <w:proofErr w:type="spellStart"/>
      <w:r w:rsidRPr="00D45099">
        <w:rPr>
          <w:rFonts w:cs="Arial"/>
        </w:rPr>
        <w:t>PsA</w:t>
      </w:r>
      <w:proofErr w:type="spellEnd"/>
      <w:r w:rsidRPr="00D45099">
        <w:rPr>
          <w:rFonts w:cs="Arial"/>
        </w:rPr>
        <w:t xml:space="preserve"> Response Criteria (</w:t>
      </w:r>
      <w:proofErr w:type="spellStart"/>
      <w:r w:rsidRPr="00D45099">
        <w:rPr>
          <w:rFonts w:cs="Arial"/>
        </w:rPr>
        <w:t>PsARC</w:t>
      </w:r>
      <w:proofErr w:type="spellEnd"/>
      <w:r w:rsidRPr="00D45099">
        <w:rPr>
          <w:rFonts w:cs="Arial"/>
        </w:rPr>
        <w:t xml:space="preserve">) response was greater in the COSENTYX-treated patients (59.0% and 61.0% for 150 mg and 300 mg, respectively) compared to placebo (26.5%) at Week 24. </w:t>
      </w:r>
    </w:p>
    <w:p w14:paraId="4B4FBFF0" w14:textId="5A7D2710" w:rsidR="00F62A4F" w:rsidRPr="00D45099" w:rsidRDefault="00F62A4F" w:rsidP="00AF46A0">
      <w:pPr>
        <w:rPr>
          <w:rFonts w:cs="Arial"/>
        </w:rPr>
      </w:pPr>
      <w:r w:rsidRPr="00D45099">
        <w:rPr>
          <w:rFonts w:cs="Arial"/>
        </w:rPr>
        <w:t>In PsA</w:t>
      </w:r>
      <w:r w:rsidR="00A8009B">
        <w:rPr>
          <w:rFonts w:cs="Arial"/>
        </w:rPr>
        <w:t>1</w:t>
      </w:r>
      <w:r w:rsidRPr="00D45099">
        <w:rPr>
          <w:rFonts w:cs="Arial"/>
        </w:rPr>
        <w:t xml:space="preserve"> Study and PsA</w:t>
      </w:r>
      <w:r w:rsidR="00A8009B">
        <w:rPr>
          <w:rFonts w:cs="Arial"/>
        </w:rPr>
        <w:t>2</w:t>
      </w:r>
      <w:r w:rsidRPr="00D45099">
        <w:rPr>
          <w:rFonts w:cs="Arial"/>
        </w:rPr>
        <w:t xml:space="preserve"> Study, efficacy was maintained up to Week 52. In PsA</w:t>
      </w:r>
      <w:r w:rsidR="00A8009B">
        <w:rPr>
          <w:rFonts w:cs="Arial"/>
        </w:rPr>
        <w:t>2</w:t>
      </w:r>
      <w:r w:rsidRPr="00D45099">
        <w:rPr>
          <w:rFonts w:cs="Arial"/>
        </w:rPr>
        <w:t xml:space="preserve"> Study, among 200 patients initially randomised to COSENTYX 150 mg and 300 mg, 178 (89%) patients were still on treatment at Week 52. Of the 100 patients randomised to COSENTYX 150 mg, 64, 39 and 20 had an ACR 20/50/70 response, respectively. Of the 100 patients randomised to COSENTYX 300 mg, 64, 44 and 24 had an ACR 20/50/70 response, respectively. </w:t>
      </w:r>
    </w:p>
    <w:p w14:paraId="4D834350" w14:textId="77777777" w:rsidR="006D6F1E" w:rsidRPr="00D45099" w:rsidRDefault="006D6F1E" w:rsidP="00AF46A0">
      <w:pPr>
        <w:spacing w:after="120"/>
        <w:rPr>
          <w:rFonts w:asciiTheme="majorHAnsi" w:eastAsiaTheme="majorEastAsia" w:hAnsiTheme="majorHAnsi" w:cstheme="minorHAnsi"/>
          <w:b/>
          <w:bCs/>
        </w:rPr>
      </w:pPr>
      <w:r w:rsidRPr="00D45099">
        <w:rPr>
          <w:rFonts w:asciiTheme="majorHAnsi" w:eastAsiaTheme="majorEastAsia" w:hAnsiTheme="majorHAnsi" w:cstheme="minorHAnsi"/>
          <w:b/>
          <w:bCs/>
        </w:rPr>
        <w:t>Radiographic response</w:t>
      </w:r>
    </w:p>
    <w:p w14:paraId="3FBA27D5" w14:textId="66FACB1B" w:rsidR="006D6F1E" w:rsidRPr="00D45099" w:rsidRDefault="006D6F1E" w:rsidP="00AF46A0">
      <w:pPr>
        <w:pStyle w:val="Text"/>
        <w:rPr>
          <w:rFonts w:asciiTheme="minorHAnsi" w:hAnsiTheme="minorHAnsi" w:cs="Arial"/>
          <w:sz w:val="22"/>
        </w:rPr>
      </w:pPr>
      <w:r w:rsidRPr="00D45099">
        <w:rPr>
          <w:rFonts w:asciiTheme="minorHAnsi" w:hAnsiTheme="minorHAnsi" w:cs="Arial"/>
          <w:sz w:val="22"/>
        </w:rPr>
        <w:t xml:space="preserve">In PsA3 Study, </w:t>
      </w:r>
      <w:r w:rsidR="006C282A" w:rsidRPr="00D45099">
        <w:rPr>
          <w:rFonts w:asciiTheme="minorHAnsi" w:hAnsiTheme="minorHAnsi" w:cs="Arial"/>
          <w:sz w:val="22"/>
        </w:rPr>
        <w:t xml:space="preserve">inhibition of progression of </w:t>
      </w:r>
      <w:r w:rsidRPr="00D45099">
        <w:rPr>
          <w:rFonts w:asciiTheme="minorHAnsi" w:hAnsiTheme="minorHAnsi" w:cs="Arial"/>
          <w:sz w:val="22"/>
        </w:rPr>
        <w:t>structural damage was assessed radiographically and expressed by the modified Total Sharp Score (</w:t>
      </w:r>
      <w:proofErr w:type="spellStart"/>
      <w:r w:rsidRPr="00D45099">
        <w:rPr>
          <w:rFonts w:asciiTheme="minorHAnsi" w:hAnsiTheme="minorHAnsi" w:cs="Arial"/>
          <w:sz w:val="22"/>
        </w:rPr>
        <w:t>mTSS</w:t>
      </w:r>
      <w:proofErr w:type="spellEnd"/>
      <w:r w:rsidRPr="00D45099">
        <w:rPr>
          <w:rFonts w:asciiTheme="minorHAnsi" w:hAnsiTheme="minorHAnsi" w:cs="Arial"/>
          <w:sz w:val="22"/>
        </w:rPr>
        <w:t xml:space="preserve">) and its components, the Erosion Score (ES) and the Joint Space Narrowing Score (JSN).  Radiographs of hands, wrists, and feet were obtained at baseline Week 16 and/or Week 24 and scored independently by at least two readers who were blinded to treatment group and visit number.  </w:t>
      </w:r>
    </w:p>
    <w:p w14:paraId="6396F310" w14:textId="77777777" w:rsidR="006D6F1E" w:rsidRPr="00D45099" w:rsidRDefault="006D6F1E" w:rsidP="00AF46A0">
      <w:pPr>
        <w:pStyle w:val="Text"/>
        <w:rPr>
          <w:rFonts w:asciiTheme="minorHAnsi" w:hAnsiTheme="minorHAnsi" w:cs="Arial"/>
          <w:sz w:val="22"/>
        </w:rPr>
      </w:pPr>
    </w:p>
    <w:p w14:paraId="30F7A11A" w14:textId="77777777" w:rsidR="006D6F1E" w:rsidRPr="00D45099" w:rsidRDefault="006D6F1E" w:rsidP="00AF46A0">
      <w:pPr>
        <w:pStyle w:val="Text"/>
        <w:rPr>
          <w:rFonts w:asciiTheme="minorHAnsi" w:hAnsiTheme="minorHAnsi" w:cs="Arial"/>
          <w:sz w:val="22"/>
        </w:rPr>
      </w:pPr>
      <w:r w:rsidRPr="00D45099">
        <w:rPr>
          <w:rFonts w:asciiTheme="minorHAnsi" w:hAnsiTheme="minorHAnsi" w:cs="Arial"/>
          <w:sz w:val="22"/>
        </w:rPr>
        <w:t xml:space="preserve">COSENTYX 150 mg and 300 mg treatment significantly inhibited the rate of progression of peripheral joint damage compared with placebo treatment as measured by change from baseline in </w:t>
      </w:r>
      <w:proofErr w:type="spellStart"/>
      <w:r w:rsidRPr="00D45099">
        <w:rPr>
          <w:rFonts w:asciiTheme="minorHAnsi" w:hAnsiTheme="minorHAnsi" w:cs="Arial"/>
          <w:sz w:val="22"/>
        </w:rPr>
        <w:t>mTSS</w:t>
      </w:r>
      <w:proofErr w:type="spellEnd"/>
      <w:r w:rsidRPr="00D45099">
        <w:rPr>
          <w:rFonts w:asciiTheme="minorHAnsi" w:hAnsiTheme="minorHAnsi" w:cs="Arial"/>
          <w:sz w:val="22"/>
        </w:rPr>
        <w:t xml:space="preserve"> at Week 24 (Table 9). </w:t>
      </w:r>
    </w:p>
    <w:p w14:paraId="26EC38B1" w14:textId="77777777" w:rsidR="006D6F1E" w:rsidRPr="00D45099" w:rsidRDefault="006D6F1E" w:rsidP="00AF46A0">
      <w:pPr>
        <w:pStyle w:val="Text"/>
        <w:rPr>
          <w:rFonts w:asciiTheme="minorHAnsi" w:hAnsiTheme="minorHAnsi" w:cs="Arial"/>
          <w:sz w:val="22"/>
        </w:rPr>
      </w:pPr>
    </w:p>
    <w:p w14:paraId="4F479466" w14:textId="0E506808" w:rsidR="006D6F1E" w:rsidRPr="00D45099" w:rsidRDefault="00C40E8A" w:rsidP="00AF46A0">
      <w:pPr>
        <w:pStyle w:val="Text"/>
        <w:rPr>
          <w:rFonts w:asciiTheme="minorHAnsi" w:hAnsiTheme="minorHAnsi" w:cs="Arial"/>
          <w:sz w:val="22"/>
        </w:rPr>
      </w:pPr>
      <w:r w:rsidRPr="00D45099">
        <w:rPr>
          <w:rFonts w:asciiTheme="minorHAnsi" w:hAnsiTheme="minorHAnsi" w:cs="Arial"/>
          <w:sz w:val="22"/>
        </w:rPr>
        <w:t>T</w:t>
      </w:r>
      <w:r w:rsidR="006D6F1E" w:rsidRPr="00D45099">
        <w:rPr>
          <w:rFonts w:asciiTheme="minorHAnsi" w:hAnsiTheme="minorHAnsi" w:cs="Arial"/>
          <w:sz w:val="22"/>
        </w:rPr>
        <w:t xml:space="preserve">he percentage of patients with no disease progression (defined as a change from baseline in </w:t>
      </w:r>
      <w:proofErr w:type="spellStart"/>
      <w:r w:rsidR="006D6F1E" w:rsidRPr="00D45099">
        <w:rPr>
          <w:rFonts w:asciiTheme="minorHAnsi" w:hAnsiTheme="minorHAnsi" w:cs="Arial"/>
          <w:sz w:val="22"/>
        </w:rPr>
        <w:t>mTSS</w:t>
      </w:r>
      <w:proofErr w:type="spellEnd"/>
      <w:r w:rsidR="006D6F1E" w:rsidRPr="00D45099">
        <w:rPr>
          <w:rFonts w:asciiTheme="minorHAnsi" w:hAnsiTheme="minorHAnsi" w:cs="Arial"/>
          <w:sz w:val="22"/>
        </w:rPr>
        <w:t xml:space="preserve"> of ≤0.5) from randomi</w:t>
      </w:r>
      <w:r w:rsidR="00371153">
        <w:rPr>
          <w:rFonts w:asciiTheme="minorHAnsi" w:hAnsiTheme="minorHAnsi" w:cs="Arial"/>
          <w:sz w:val="22"/>
        </w:rPr>
        <w:t>s</w:t>
      </w:r>
      <w:r w:rsidR="006D6F1E" w:rsidRPr="00D45099">
        <w:rPr>
          <w:rFonts w:asciiTheme="minorHAnsi" w:hAnsiTheme="minorHAnsi" w:cs="Arial"/>
          <w:sz w:val="22"/>
        </w:rPr>
        <w:t xml:space="preserve">ation to Week 24 was </w:t>
      </w:r>
      <w:r w:rsidR="006C282A" w:rsidRPr="00D45099">
        <w:rPr>
          <w:rFonts w:asciiTheme="minorHAnsi" w:hAnsiTheme="minorHAnsi" w:cs="Arial"/>
          <w:sz w:val="22"/>
        </w:rPr>
        <w:t>80.3</w:t>
      </w:r>
      <w:r w:rsidR="006D6F1E" w:rsidRPr="00D45099">
        <w:rPr>
          <w:rFonts w:asciiTheme="minorHAnsi" w:hAnsiTheme="minorHAnsi" w:cs="Arial"/>
          <w:sz w:val="22"/>
        </w:rPr>
        <w:t xml:space="preserve">%, </w:t>
      </w:r>
      <w:r w:rsidR="006C282A" w:rsidRPr="00D45099">
        <w:rPr>
          <w:rFonts w:asciiTheme="minorHAnsi" w:hAnsiTheme="minorHAnsi" w:cs="Arial"/>
          <w:sz w:val="22"/>
        </w:rPr>
        <w:t>88.5</w:t>
      </w:r>
      <w:r w:rsidR="006D6F1E" w:rsidRPr="00D45099">
        <w:rPr>
          <w:rFonts w:asciiTheme="minorHAnsi" w:hAnsiTheme="minorHAnsi" w:cs="Arial"/>
          <w:sz w:val="22"/>
        </w:rPr>
        <w:t xml:space="preserve">% and 73.6% for COSENTYX 150 mg, 300 mg and placebo, respectively. An effect of inhibition of structural damage was observed irrespective of concomitant MTX use or TNF status. </w:t>
      </w:r>
    </w:p>
    <w:p w14:paraId="0814EC71" w14:textId="77777777" w:rsidR="006D6F1E" w:rsidRPr="00D45099" w:rsidRDefault="006D6F1E" w:rsidP="00AF46A0">
      <w:pPr>
        <w:pStyle w:val="Text"/>
        <w:rPr>
          <w:rFonts w:asciiTheme="minorHAnsi" w:hAnsiTheme="minorHAnsi" w:cs="Arial"/>
          <w:sz w:val="22"/>
        </w:rPr>
      </w:pPr>
    </w:p>
    <w:p w14:paraId="25BF674C" w14:textId="77777777" w:rsidR="006D6F1E" w:rsidRPr="00D45099" w:rsidRDefault="006D6F1E" w:rsidP="00AF46A0">
      <w:pPr>
        <w:pStyle w:val="Text"/>
        <w:rPr>
          <w:rFonts w:asciiTheme="minorHAnsi" w:hAnsiTheme="minorHAnsi" w:cs="Arial"/>
          <w:sz w:val="22"/>
        </w:rPr>
      </w:pPr>
      <w:r w:rsidRPr="00D45099">
        <w:rPr>
          <w:rFonts w:asciiTheme="minorHAnsi" w:hAnsiTheme="minorHAnsi" w:cs="Arial"/>
          <w:sz w:val="22"/>
        </w:rPr>
        <w:t>Structural damage was also assessed in the PsA1 Study. Radiographs of hands, wrists, and feet were obtained at baseline and Week 24 during the double-blind period when patients were on COSENTYX or placebo and at Week 52 when all patients were on open-label COSENTYX.</w:t>
      </w:r>
    </w:p>
    <w:p w14:paraId="3AEA8396" w14:textId="77777777" w:rsidR="006D6F1E" w:rsidRPr="00D45099" w:rsidRDefault="006D6F1E" w:rsidP="00AF46A0">
      <w:pPr>
        <w:pStyle w:val="Text"/>
        <w:rPr>
          <w:rFonts w:asciiTheme="minorHAnsi" w:hAnsiTheme="minorHAnsi" w:cs="Arial"/>
          <w:sz w:val="22"/>
        </w:rPr>
      </w:pPr>
    </w:p>
    <w:p w14:paraId="51C6D514" w14:textId="77777777" w:rsidR="006D6F1E" w:rsidRPr="00D45099" w:rsidRDefault="006D6F1E" w:rsidP="00AF46A0">
      <w:pPr>
        <w:rPr>
          <w:rFonts w:eastAsia="Times New Roman" w:cs="Arial"/>
          <w:szCs w:val="20"/>
          <w:lang w:bidi="th-TH"/>
        </w:rPr>
      </w:pPr>
      <w:r w:rsidRPr="00D45099">
        <w:rPr>
          <w:rFonts w:cs="Arial"/>
        </w:rPr>
        <w:t xml:space="preserve">By Week 24, COSENTYX 150 mg treatment significantly inhibited the rate of progression of peripheral joint damage compared with placebo treatment as measured by change from baseline in </w:t>
      </w:r>
      <w:proofErr w:type="spellStart"/>
      <w:r w:rsidRPr="00D45099">
        <w:rPr>
          <w:rFonts w:cs="Arial"/>
        </w:rPr>
        <w:t>mTSS</w:t>
      </w:r>
      <w:proofErr w:type="spellEnd"/>
      <w:r w:rsidRPr="00D45099">
        <w:rPr>
          <w:rFonts w:cs="Arial"/>
        </w:rPr>
        <w:t xml:space="preserve"> (see </w:t>
      </w:r>
      <w:r w:rsidRPr="00D45099">
        <w:rPr>
          <w:rFonts w:eastAsia="Times New Roman" w:cs="Arial"/>
          <w:szCs w:val="20"/>
          <w:lang w:bidi="th-TH"/>
        </w:rPr>
        <w:t>Table 9). Inhibition of structural damage was maintained with COSENTYX treatment up to Week 52.</w:t>
      </w:r>
    </w:p>
    <w:p w14:paraId="496BFBEA" w14:textId="3DB3BEDE" w:rsidR="00F62A4F" w:rsidRPr="00D45099" w:rsidRDefault="00F62A4F" w:rsidP="00AF46A0">
      <w:pPr>
        <w:rPr>
          <w:rFonts w:cs="Arial"/>
        </w:rPr>
      </w:pPr>
      <w:r w:rsidRPr="00D45099">
        <w:rPr>
          <w:rFonts w:cs="Arial"/>
        </w:rPr>
        <w:t>In PsA</w:t>
      </w:r>
      <w:r w:rsidR="00A8009B">
        <w:rPr>
          <w:rFonts w:cs="Arial"/>
        </w:rPr>
        <w:t>1</w:t>
      </w:r>
      <w:r w:rsidRPr="00D45099">
        <w:rPr>
          <w:rFonts w:cs="Arial"/>
        </w:rPr>
        <w:t xml:space="preserve"> Study, the inhibition of progression of structural damage was assessed radiographically and expressed as the change in modified total Sharp Score (</w:t>
      </w:r>
      <w:proofErr w:type="spellStart"/>
      <w:r w:rsidRPr="00D45099">
        <w:rPr>
          <w:rFonts w:cs="Arial"/>
        </w:rPr>
        <w:t>mTSS</w:t>
      </w:r>
      <w:proofErr w:type="spellEnd"/>
      <w:r w:rsidRPr="00D45099">
        <w:rPr>
          <w:rFonts w:cs="Arial"/>
        </w:rPr>
        <w:t xml:space="preserve">) and its components, the Erosion Score (ES) and the Joint Space Narrowing score (JSN) at Weeks 24 and 52, compared to baseline Week 24 data presented in Table </w:t>
      </w:r>
      <w:r w:rsidR="0016038E" w:rsidRPr="00D45099">
        <w:rPr>
          <w:rFonts w:cs="Arial"/>
        </w:rPr>
        <w:t>9</w:t>
      </w:r>
      <w:r w:rsidRPr="00D45099">
        <w:rPr>
          <w:rFonts w:cs="Arial"/>
        </w:rPr>
        <w:t xml:space="preserve">. </w:t>
      </w:r>
    </w:p>
    <w:p w14:paraId="4CCC8743" w14:textId="77777777" w:rsidR="004A2465" w:rsidRPr="00D45099" w:rsidRDefault="004A2465" w:rsidP="00AF46A0">
      <w:pPr>
        <w:spacing w:after="120"/>
        <w:ind w:left="1166" w:hanging="1166"/>
        <w:rPr>
          <w:rFonts w:ascii="Arial" w:hAnsi="Arial" w:cs="Arial"/>
          <w:b/>
          <w:sz w:val="20"/>
        </w:rPr>
      </w:pPr>
      <w:r w:rsidRPr="00D45099">
        <w:rPr>
          <w:rFonts w:ascii="Arial" w:hAnsi="Arial" w:cs="Arial"/>
          <w:b/>
          <w:sz w:val="20"/>
        </w:rPr>
        <w:t>Table 9</w:t>
      </w:r>
      <w:r w:rsidRPr="00D45099">
        <w:rPr>
          <w:rFonts w:ascii="Arial" w:hAnsi="Arial" w:cs="Arial"/>
          <w:b/>
          <w:sz w:val="20"/>
        </w:rPr>
        <w:tab/>
        <w:t>Change in modified Total Sharp Score in PsA3 and PsA1 Studies</w:t>
      </w:r>
    </w:p>
    <w:tbl>
      <w:tblPr>
        <w:tblW w:w="9067" w:type="dxa"/>
        <w:tblBorders>
          <w:top w:val="single" w:sz="4" w:space="0" w:color="auto"/>
        </w:tblBorders>
        <w:tblLayout w:type="fixed"/>
        <w:tblLook w:val="04A0" w:firstRow="1" w:lastRow="0" w:firstColumn="1" w:lastColumn="0" w:noHBand="0" w:noVBand="1"/>
      </w:tblPr>
      <w:tblGrid>
        <w:gridCol w:w="2893"/>
        <w:gridCol w:w="1234"/>
        <w:gridCol w:w="1235"/>
        <w:gridCol w:w="1226"/>
        <w:gridCol w:w="9"/>
        <w:gridCol w:w="1235"/>
        <w:gridCol w:w="1235"/>
      </w:tblGrid>
      <w:tr w:rsidR="004A2465" w:rsidRPr="002F5D9E" w14:paraId="24FFEC8D" w14:textId="77777777" w:rsidTr="009303C3">
        <w:trPr>
          <w:tblHeader/>
        </w:trPr>
        <w:tc>
          <w:tcPr>
            <w:tcW w:w="2893" w:type="dxa"/>
            <w:tcBorders>
              <w:top w:val="single" w:sz="4" w:space="0" w:color="auto"/>
              <w:left w:val="single" w:sz="4" w:space="0" w:color="auto"/>
              <w:bottom w:val="nil"/>
              <w:right w:val="single" w:sz="4" w:space="0" w:color="auto"/>
            </w:tcBorders>
          </w:tcPr>
          <w:p w14:paraId="5D6DEB22" w14:textId="77777777" w:rsidR="004A2465" w:rsidRPr="00904D71" w:rsidRDefault="004A2465" w:rsidP="00AF46A0">
            <w:pPr>
              <w:spacing w:before="20" w:after="20" w:line="240" w:lineRule="auto"/>
              <w:rPr>
                <w:szCs w:val="18"/>
              </w:rPr>
            </w:pPr>
          </w:p>
        </w:tc>
        <w:tc>
          <w:tcPr>
            <w:tcW w:w="3695" w:type="dxa"/>
            <w:gridSpan w:val="3"/>
            <w:tcBorders>
              <w:top w:val="single" w:sz="4" w:space="0" w:color="auto"/>
              <w:left w:val="single" w:sz="4" w:space="0" w:color="auto"/>
              <w:bottom w:val="single" w:sz="4" w:space="0" w:color="auto"/>
              <w:right w:val="single" w:sz="4" w:space="0" w:color="auto"/>
            </w:tcBorders>
            <w:hideMark/>
          </w:tcPr>
          <w:p w14:paraId="5CE2505D" w14:textId="77777777" w:rsidR="004A2465" w:rsidRPr="00904D71" w:rsidRDefault="004A2465" w:rsidP="00AF46A0">
            <w:pPr>
              <w:spacing w:before="20" w:after="20" w:line="240" w:lineRule="auto"/>
              <w:rPr>
                <w:szCs w:val="18"/>
              </w:rPr>
            </w:pPr>
            <w:r w:rsidRPr="002D07A3">
              <w:rPr>
                <w:rFonts w:ascii="Arial" w:hAnsi="Arial" w:cs="Arial"/>
                <w:b/>
                <w:sz w:val="18"/>
                <w:szCs w:val="18"/>
              </w:rPr>
              <w:t>PsA3</w:t>
            </w:r>
          </w:p>
        </w:tc>
        <w:tc>
          <w:tcPr>
            <w:tcW w:w="2479" w:type="dxa"/>
            <w:gridSpan w:val="3"/>
            <w:tcBorders>
              <w:top w:val="single" w:sz="4" w:space="0" w:color="auto"/>
              <w:left w:val="single" w:sz="4" w:space="0" w:color="auto"/>
              <w:bottom w:val="single" w:sz="4" w:space="0" w:color="auto"/>
              <w:right w:val="single" w:sz="4" w:space="0" w:color="auto"/>
            </w:tcBorders>
            <w:hideMark/>
          </w:tcPr>
          <w:p w14:paraId="7131F7E4" w14:textId="77777777" w:rsidR="004A2465" w:rsidRPr="00904D71" w:rsidRDefault="004A2465" w:rsidP="00AF46A0">
            <w:pPr>
              <w:spacing w:before="20" w:after="20" w:line="240" w:lineRule="auto"/>
              <w:rPr>
                <w:szCs w:val="18"/>
              </w:rPr>
            </w:pPr>
            <w:r w:rsidRPr="002D07A3">
              <w:rPr>
                <w:rFonts w:ascii="Arial" w:hAnsi="Arial" w:cs="Arial"/>
                <w:b/>
                <w:sz w:val="18"/>
                <w:szCs w:val="18"/>
              </w:rPr>
              <w:t>PsA1</w:t>
            </w:r>
          </w:p>
        </w:tc>
      </w:tr>
      <w:tr w:rsidR="004A2465" w:rsidRPr="002F5D9E" w14:paraId="5AB88F53" w14:textId="77777777" w:rsidTr="009303C3">
        <w:trPr>
          <w:tblHeader/>
        </w:trPr>
        <w:tc>
          <w:tcPr>
            <w:tcW w:w="2893" w:type="dxa"/>
            <w:tcBorders>
              <w:top w:val="nil"/>
              <w:left w:val="single" w:sz="4" w:space="0" w:color="auto"/>
              <w:bottom w:val="single" w:sz="4" w:space="0" w:color="auto"/>
              <w:right w:val="single" w:sz="4" w:space="0" w:color="auto"/>
            </w:tcBorders>
          </w:tcPr>
          <w:p w14:paraId="0922A77B" w14:textId="77777777" w:rsidR="004A2465" w:rsidRPr="00904D71" w:rsidRDefault="004A2465" w:rsidP="00AF46A0">
            <w:pPr>
              <w:spacing w:before="20" w:after="20" w:line="240" w:lineRule="auto"/>
              <w:rPr>
                <w:szCs w:val="18"/>
              </w:rPr>
            </w:pPr>
          </w:p>
        </w:tc>
        <w:tc>
          <w:tcPr>
            <w:tcW w:w="1234" w:type="dxa"/>
            <w:tcBorders>
              <w:top w:val="single" w:sz="4" w:space="0" w:color="auto"/>
              <w:left w:val="single" w:sz="4" w:space="0" w:color="auto"/>
              <w:bottom w:val="single" w:sz="4" w:space="0" w:color="auto"/>
              <w:right w:val="single" w:sz="4" w:space="0" w:color="auto"/>
            </w:tcBorders>
            <w:vAlign w:val="center"/>
            <w:hideMark/>
          </w:tcPr>
          <w:p w14:paraId="117FCD63" w14:textId="77777777" w:rsidR="004A2465" w:rsidRPr="00904D71" w:rsidRDefault="004A2465" w:rsidP="00AF46A0">
            <w:pPr>
              <w:spacing w:before="20" w:after="20" w:line="240" w:lineRule="auto"/>
              <w:rPr>
                <w:szCs w:val="18"/>
              </w:rPr>
            </w:pPr>
            <w:r w:rsidRPr="002D07A3">
              <w:rPr>
                <w:rFonts w:ascii="Arial" w:hAnsi="Arial" w:cs="Arial"/>
                <w:b/>
                <w:sz w:val="18"/>
                <w:szCs w:val="18"/>
              </w:rPr>
              <w:t>Placebo</w:t>
            </w:r>
          </w:p>
          <w:p w14:paraId="6EF70F2D" w14:textId="77777777" w:rsidR="004A2465" w:rsidRPr="00904D71" w:rsidRDefault="004A2465" w:rsidP="00AF46A0">
            <w:pPr>
              <w:spacing w:before="20" w:after="20" w:line="240" w:lineRule="auto"/>
              <w:rPr>
                <w:szCs w:val="18"/>
              </w:rPr>
            </w:pPr>
            <w:r w:rsidRPr="002D07A3">
              <w:rPr>
                <w:rFonts w:ascii="Arial" w:hAnsi="Arial" w:cs="Arial"/>
                <w:b/>
                <w:sz w:val="18"/>
                <w:szCs w:val="18"/>
              </w:rPr>
              <w:t>n=296</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70E24BD" w14:textId="77777777" w:rsidR="004A2465" w:rsidRPr="00904D71" w:rsidRDefault="004A2465" w:rsidP="00AF46A0">
            <w:pPr>
              <w:spacing w:before="20" w:after="20" w:line="240" w:lineRule="auto"/>
              <w:rPr>
                <w:szCs w:val="18"/>
              </w:rPr>
            </w:pPr>
            <w:r w:rsidRPr="002D07A3">
              <w:rPr>
                <w:rFonts w:ascii="Arial" w:hAnsi="Arial" w:cs="Arial"/>
                <w:b/>
                <w:sz w:val="18"/>
                <w:szCs w:val="18"/>
              </w:rPr>
              <w:t>150 mg</w:t>
            </w:r>
            <w:r w:rsidRPr="002D07A3">
              <w:rPr>
                <w:rFonts w:ascii="Arial" w:hAnsi="Arial" w:cs="Arial"/>
                <w:b/>
                <w:sz w:val="18"/>
                <w:szCs w:val="18"/>
                <w:vertAlign w:val="superscript"/>
              </w:rPr>
              <w:t>1</w:t>
            </w:r>
          </w:p>
          <w:p w14:paraId="14A43603" w14:textId="77777777" w:rsidR="004A2465" w:rsidRPr="00904D71" w:rsidRDefault="004A2465" w:rsidP="00AF46A0">
            <w:pPr>
              <w:spacing w:before="20" w:after="20" w:line="240" w:lineRule="auto"/>
              <w:rPr>
                <w:szCs w:val="18"/>
              </w:rPr>
            </w:pPr>
            <w:r w:rsidRPr="002D07A3">
              <w:rPr>
                <w:rFonts w:ascii="Arial" w:hAnsi="Arial" w:cs="Arial"/>
                <w:b/>
                <w:sz w:val="18"/>
                <w:szCs w:val="18"/>
              </w:rPr>
              <w:t>n=213</w:t>
            </w:r>
          </w:p>
        </w:tc>
        <w:tc>
          <w:tcPr>
            <w:tcW w:w="1235" w:type="dxa"/>
            <w:gridSpan w:val="2"/>
            <w:tcBorders>
              <w:top w:val="single" w:sz="4" w:space="0" w:color="auto"/>
              <w:left w:val="single" w:sz="4" w:space="0" w:color="auto"/>
              <w:bottom w:val="single" w:sz="4" w:space="0" w:color="auto"/>
              <w:right w:val="single" w:sz="4" w:space="0" w:color="auto"/>
            </w:tcBorders>
            <w:vAlign w:val="center"/>
            <w:hideMark/>
          </w:tcPr>
          <w:p w14:paraId="7AB8D246" w14:textId="77777777" w:rsidR="004A2465" w:rsidRPr="00904D71" w:rsidRDefault="004A2465" w:rsidP="00AF46A0">
            <w:pPr>
              <w:spacing w:before="20" w:after="20" w:line="240" w:lineRule="auto"/>
              <w:rPr>
                <w:szCs w:val="18"/>
              </w:rPr>
            </w:pPr>
            <w:r w:rsidRPr="002D07A3">
              <w:rPr>
                <w:rFonts w:ascii="Arial" w:hAnsi="Arial" w:cs="Arial"/>
                <w:b/>
                <w:sz w:val="18"/>
                <w:szCs w:val="18"/>
              </w:rPr>
              <w:t>300 mg</w:t>
            </w:r>
            <w:r w:rsidRPr="002D07A3">
              <w:rPr>
                <w:rFonts w:ascii="Arial" w:hAnsi="Arial" w:cs="Arial"/>
                <w:b/>
                <w:sz w:val="18"/>
                <w:szCs w:val="18"/>
                <w:vertAlign w:val="superscript"/>
              </w:rPr>
              <w:t>1</w:t>
            </w:r>
          </w:p>
          <w:p w14:paraId="1F67C8AF" w14:textId="77777777" w:rsidR="004A2465" w:rsidRPr="00904D71" w:rsidRDefault="004A2465" w:rsidP="00AF46A0">
            <w:pPr>
              <w:spacing w:before="20" w:after="20" w:line="240" w:lineRule="auto"/>
              <w:rPr>
                <w:szCs w:val="18"/>
              </w:rPr>
            </w:pPr>
            <w:r w:rsidRPr="002D07A3">
              <w:rPr>
                <w:rFonts w:ascii="Arial" w:hAnsi="Arial" w:cs="Arial"/>
                <w:b/>
                <w:sz w:val="18"/>
                <w:szCs w:val="18"/>
              </w:rPr>
              <w:t>n=217</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B8AA1C9" w14:textId="77777777" w:rsidR="004A2465" w:rsidRPr="00904D71" w:rsidRDefault="004A2465" w:rsidP="00AF46A0">
            <w:pPr>
              <w:spacing w:before="20" w:after="20" w:line="240" w:lineRule="auto"/>
              <w:rPr>
                <w:szCs w:val="18"/>
              </w:rPr>
            </w:pPr>
            <w:r w:rsidRPr="002D07A3">
              <w:rPr>
                <w:rFonts w:ascii="Arial" w:hAnsi="Arial" w:cs="Arial"/>
                <w:b/>
                <w:sz w:val="18"/>
                <w:szCs w:val="18"/>
              </w:rPr>
              <w:t>Placebo</w:t>
            </w:r>
          </w:p>
          <w:p w14:paraId="406D8F69" w14:textId="77777777" w:rsidR="004A2465" w:rsidRPr="00904D71" w:rsidRDefault="004A2465" w:rsidP="00AF46A0">
            <w:pPr>
              <w:spacing w:before="20" w:after="20" w:line="240" w:lineRule="auto"/>
              <w:rPr>
                <w:szCs w:val="18"/>
              </w:rPr>
            </w:pPr>
            <w:r w:rsidRPr="002D07A3">
              <w:rPr>
                <w:rFonts w:ascii="Arial" w:hAnsi="Arial" w:cs="Arial"/>
                <w:b/>
                <w:sz w:val="18"/>
                <w:szCs w:val="18"/>
              </w:rPr>
              <w:t>n= 179</w:t>
            </w:r>
          </w:p>
        </w:tc>
        <w:tc>
          <w:tcPr>
            <w:tcW w:w="1235" w:type="dxa"/>
            <w:tcBorders>
              <w:top w:val="single" w:sz="4" w:space="0" w:color="auto"/>
              <w:left w:val="single" w:sz="4" w:space="0" w:color="auto"/>
              <w:bottom w:val="single" w:sz="4" w:space="0" w:color="auto"/>
              <w:right w:val="single" w:sz="4" w:space="0" w:color="auto"/>
            </w:tcBorders>
            <w:vAlign w:val="center"/>
            <w:hideMark/>
          </w:tcPr>
          <w:p w14:paraId="25A69625" w14:textId="77777777" w:rsidR="002F5D9E" w:rsidRDefault="004A2465" w:rsidP="00AF46A0">
            <w:pPr>
              <w:spacing w:before="20" w:after="20" w:line="240" w:lineRule="auto"/>
              <w:rPr>
                <w:rFonts w:ascii="Arial" w:hAnsi="Arial" w:cs="Arial"/>
                <w:b/>
                <w:sz w:val="18"/>
                <w:szCs w:val="18"/>
              </w:rPr>
            </w:pPr>
            <w:r w:rsidRPr="002F5D9E">
              <w:rPr>
                <w:rFonts w:ascii="Arial" w:hAnsi="Arial" w:cs="Arial"/>
                <w:b/>
                <w:sz w:val="18"/>
                <w:szCs w:val="18"/>
              </w:rPr>
              <w:t>150 mg</w:t>
            </w:r>
            <w:r w:rsidRPr="002D07A3">
              <w:rPr>
                <w:rFonts w:ascii="Arial" w:hAnsi="Arial" w:cs="Arial"/>
                <w:b/>
                <w:sz w:val="18"/>
                <w:szCs w:val="18"/>
                <w:vertAlign w:val="superscript"/>
              </w:rPr>
              <w:t>2</w:t>
            </w:r>
          </w:p>
          <w:p w14:paraId="46237E7E" w14:textId="0DFA614C" w:rsidR="004A2465" w:rsidRPr="002D07A3" w:rsidRDefault="004A2465" w:rsidP="00AF46A0">
            <w:pPr>
              <w:spacing w:before="20" w:after="20" w:line="240" w:lineRule="auto"/>
              <w:rPr>
                <w:rFonts w:ascii="Arial" w:hAnsi="Arial" w:cs="Arial"/>
                <w:b/>
                <w:sz w:val="18"/>
                <w:szCs w:val="18"/>
              </w:rPr>
            </w:pPr>
            <w:r w:rsidRPr="002F5D9E">
              <w:rPr>
                <w:rFonts w:ascii="Arial" w:hAnsi="Arial" w:cs="Arial"/>
                <w:b/>
                <w:sz w:val="18"/>
                <w:szCs w:val="18"/>
              </w:rPr>
              <w:t>n= 185</w:t>
            </w:r>
          </w:p>
        </w:tc>
      </w:tr>
      <w:tr w:rsidR="004A2465" w:rsidRPr="002F5D9E" w14:paraId="56C6DF36" w14:textId="77777777" w:rsidTr="009303C3">
        <w:tc>
          <w:tcPr>
            <w:tcW w:w="2893" w:type="dxa"/>
            <w:tcBorders>
              <w:top w:val="single" w:sz="4" w:space="0" w:color="auto"/>
              <w:left w:val="single" w:sz="4" w:space="0" w:color="auto"/>
              <w:bottom w:val="nil"/>
              <w:right w:val="single" w:sz="4" w:space="0" w:color="auto"/>
            </w:tcBorders>
            <w:hideMark/>
          </w:tcPr>
          <w:p w14:paraId="755F3E0A" w14:textId="77777777" w:rsidR="004A2465" w:rsidRPr="00904D71" w:rsidRDefault="004A2465" w:rsidP="00AF46A0">
            <w:pPr>
              <w:spacing w:before="20" w:after="20" w:line="240" w:lineRule="auto"/>
              <w:rPr>
                <w:szCs w:val="18"/>
              </w:rPr>
            </w:pPr>
            <w:r w:rsidRPr="002D07A3">
              <w:rPr>
                <w:rFonts w:ascii="Arial" w:hAnsi="Arial" w:cs="Arial"/>
                <w:b/>
                <w:sz w:val="18"/>
                <w:szCs w:val="18"/>
              </w:rPr>
              <w:t>Total Score</w:t>
            </w:r>
          </w:p>
        </w:tc>
        <w:tc>
          <w:tcPr>
            <w:tcW w:w="1234" w:type="dxa"/>
            <w:tcBorders>
              <w:top w:val="single" w:sz="4" w:space="0" w:color="auto"/>
              <w:left w:val="single" w:sz="4" w:space="0" w:color="auto"/>
              <w:bottom w:val="nil"/>
              <w:right w:val="single" w:sz="4" w:space="0" w:color="auto"/>
            </w:tcBorders>
            <w:vAlign w:val="center"/>
          </w:tcPr>
          <w:p w14:paraId="61DBEC22" w14:textId="77777777" w:rsidR="004A2465" w:rsidRPr="00914388" w:rsidRDefault="004A2465" w:rsidP="00AF46A0">
            <w:pPr>
              <w:spacing w:before="20" w:after="20" w:line="240" w:lineRule="auto"/>
              <w:rPr>
                <w:szCs w:val="18"/>
              </w:rPr>
            </w:pPr>
          </w:p>
        </w:tc>
        <w:tc>
          <w:tcPr>
            <w:tcW w:w="1235" w:type="dxa"/>
            <w:tcBorders>
              <w:top w:val="single" w:sz="4" w:space="0" w:color="auto"/>
              <w:left w:val="single" w:sz="4" w:space="0" w:color="auto"/>
              <w:bottom w:val="nil"/>
              <w:right w:val="single" w:sz="4" w:space="0" w:color="auto"/>
            </w:tcBorders>
            <w:vAlign w:val="center"/>
          </w:tcPr>
          <w:p w14:paraId="4CFEC0C6" w14:textId="77777777" w:rsidR="004A2465" w:rsidRPr="00914388" w:rsidRDefault="004A2465" w:rsidP="00AF46A0">
            <w:pPr>
              <w:spacing w:before="20" w:after="20" w:line="240" w:lineRule="auto"/>
              <w:rPr>
                <w:szCs w:val="18"/>
              </w:rPr>
            </w:pPr>
          </w:p>
        </w:tc>
        <w:tc>
          <w:tcPr>
            <w:tcW w:w="1235" w:type="dxa"/>
            <w:gridSpan w:val="2"/>
            <w:tcBorders>
              <w:top w:val="single" w:sz="4" w:space="0" w:color="auto"/>
              <w:left w:val="single" w:sz="4" w:space="0" w:color="auto"/>
              <w:bottom w:val="nil"/>
              <w:right w:val="single" w:sz="4" w:space="0" w:color="auto"/>
            </w:tcBorders>
            <w:vAlign w:val="center"/>
          </w:tcPr>
          <w:p w14:paraId="64363F66" w14:textId="77777777" w:rsidR="004A2465" w:rsidRPr="00B77816" w:rsidRDefault="004A2465" w:rsidP="00AF46A0">
            <w:pPr>
              <w:spacing w:before="20" w:after="20" w:line="240" w:lineRule="auto"/>
              <w:rPr>
                <w:szCs w:val="18"/>
              </w:rPr>
            </w:pPr>
          </w:p>
        </w:tc>
        <w:tc>
          <w:tcPr>
            <w:tcW w:w="1235" w:type="dxa"/>
            <w:tcBorders>
              <w:top w:val="single" w:sz="4" w:space="0" w:color="auto"/>
              <w:left w:val="single" w:sz="4" w:space="0" w:color="auto"/>
              <w:bottom w:val="nil"/>
              <w:right w:val="single" w:sz="4" w:space="0" w:color="auto"/>
            </w:tcBorders>
            <w:vAlign w:val="center"/>
          </w:tcPr>
          <w:p w14:paraId="102B133C" w14:textId="77777777" w:rsidR="004A2465" w:rsidRPr="0001542A" w:rsidRDefault="004A2465" w:rsidP="00AF46A0">
            <w:pPr>
              <w:spacing w:before="20" w:after="20" w:line="240" w:lineRule="auto"/>
              <w:rPr>
                <w:szCs w:val="18"/>
              </w:rPr>
            </w:pPr>
          </w:p>
        </w:tc>
        <w:tc>
          <w:tcPr>
            <w:tcW w:w="1235" w:type="dxa"/>
            <w:tcBorders>
              <w:top w:val="single" w:sz="4" w:space="0" w:color="auto"/>
              <w:left w:val="single" w:sz="4" w:space="0" w:color="auto"/>
              <w:bottom w:val="nil"/>
              <w:right w:val="single" w:sz="4" w:space="0" w:color="auto"/>
            </w:tcBorders>
            <w:vAlign w:val="center"/>
          </w:tcPr>
          <w:p w14:paraId="5F8D9CD7" w14:textId="77777777" w:rsidR="004A2465" w:rsidRPr="009908D8" w:rsidRDefault="004A2465" w:rsidP="00AF46A0">
            <w:pPr>
              <w:spacing w:before="20" w:after="20" w:line="240" w:lineRule="auto"/>
              <w:rPr>
                <w:szCs w:val="18"/>
              </w:rPr>
            </w:pPr>
          </w:p>
        </w:tc>
      </w:tr>
      <w:tr w:rsidR="004A2465" w:rsidRPr="002F5D9E" w14:paraId="25FABB5B" w14:textId="77777777" w:rsidTr="009303C3">
        <w:tc>
          <w:tcPr>
            <w:tcW w:w="2893" w:type="dxa"/>
            <w:tcBorders>
              <w:top w:val="nil"/>
              <w:left w:val="single" w:sz="4" w:space="0" w:color="auto"/>
              <w:bottom w:val="nil"/>
              <w:right w:val="single" w:sz="4" w:space="0" w:color="auto"/>
            </w:tcBorders>
            <w:hideMark/>
          </w:tcPr>
          <w:p w14:paraId="266E052B" w14:textId="77777777" w:rsidR="004A2465" w:rsidRPr="00904D71" w:rsidRDefault="004A2465" w:rsidP="00AF46A0">
            <w:pPr>
              <w:spacing w:before="20" w:after="20" w:line="240" w:lineRule="auto"/>
              <w:rPr>
                <w:szCs w:val="18"/>
              </w:rPr>
            </w:pPr>
            <w:r w:rsidRPr="002D07A3">
              <w:rPr>
                <w:rFonts w:ascii="Arial" w:hAnsi="Arial" w:cs="Arial"/>
                <w:sz w:val="18"/>
                <w:szCs w:val="18"/>
              </w:rPr>
              <w:t xml:space="preserve">Baseline </w:t>
            </w:r>
          </w:p>
          <w:p w14:paraId="65C90156" w14:textId="77777777" w:rsidR="004A2465" w:rsidRPr="00904D71" w:rsidRDefault="004A2465" w:rsidP="00AF46A0">
            <w:pPr>
              <w:spacing w:before="20" w:after="20" w:line="240" w:lineRule="auto"/>
              <w:rPr>
                <w:szCs w:val="18"/>
              </w:rPr>
            </w:pPr>
            <w:r w:rsidRPr="002D07A3">
              <w:rPr>
                <w:rFonts w:ascii="Arial" w:hAnsi="Arial" w:cs="Arial"/>
                <w:sz w:val="18"/>
                <w:szCs w:val="18"/>
              </w:rPr>
              <w:t>(SD)</w:t>
            </w:r>
          </w:p>
        </w:tc>
        <w:tc>
          <w:tcPr>
            <w:tcW w:w="1234" w:type="dxa"/>
            <w:tcBorders>
              <w:top w:val="nil"/>
              <w:left w:val="single" w:sz="4" w:space="0" w:color="auto"/>
              <w:bottom w:val="nil"/>
              <w:right w:val="single" w:sz="4" w:space="0" w:color="auto"/>
            </w:tcBorders>
            <w:vAlign w:val="center"/>
            <w:hideMark/>
          </w:tcPr>
          <w:p w14:paraId="6B451B5A" w14:textId="77777777" w:rsidR="004A2465" w:rsidRPr="00904D71" w:rsidRDefault="004A2465" w:rsidP="00AF46A0">
            <w:pPr>
              <w:spacing w:before="20" w:after="20" w:line="240" w:lineRule="auto"/>
              <w:rPr>
                <w:szCs w:val="18"/>
              </w:rPr>
            </w:pPr>
            <w:r w:rsidRPr="002D07A3">
              <w:rPr>
                <w:rFonts w:ascii="Arial" w:hAnsi="Arial" w:cs="Arial"/>
                <w:sz w:val="18"/>
                <w:szCs w:val="18"/>
              </w:rPr>
              <w:t>15.0</w:t>
            </w:r>
          </w:p>
          <w:p w14:paraId="5537471A" w14:textId="77777777" w:rsidR="004A2465" w:rsidRPr="00904D71" w:rsidRDefault="004A2465" w:rsidP="00AF46A0">
            <w:pPr>
              <w:spacing w:before="20" w:after="20" w:line="240" w:lineRule="auto"/>
              <w:rPr>
                <w:szCs w:val="18"/>
              </w:rPr>
            </w:pPr>
            <w:r w:rsidRPr="002D07A3">
              <w:rPr>
                <w:rFonts w:ascii="Arial" w:hAnsi="Arial" w:cs="Arial"/>
                <w:sz w:val="18"/>
                <w:szCs w:val="18"/>
              </w:rPr>
              <w:t>(38.2)</w:t>
            </w:r>
          </w:p>
        </w:tc>
        <w:tc>
          <w:tcPr>
            <w:tcW w:w="1235" w:type="dxa"/>
            <w:tcBorders>
              <w:top w:val="nil"/>
              <w:left w:val="single" w:sz="4" w:space="0" w:color="auto"/>
              <w:bottom w:val="nil"/>
              <w:right w:val="single" w:sz="4" w:space="0" w:color="auto"/>
            </w:tcBorders>
            <w:vAlign w:val="center"/>
            <w:hideMark/>
          </w:tcPr>
          <w:p w14:paraId="44AF9094" w14:textId="6D5B50FE" w:rsidR="004A2465" w:rsidRPr="00904D71" w:rsidRDefault="004A2465" w:rsidP="00AF46A0">
            <w:pPr>
              <w:spacing w:before="20" w:after="20" w:line="240" w:lineRule="auto"/>
              <w:rPr>
                <w:szCs w:val="18"/>
              </w:rPr>
            </w:pPr>
            <w:r w:rsidRPr="002D07A3">
              <w:rPr>
                <w:rFonts w:ascii="Arial" w:hAnsi="Arial" w:cs="Arial"/>
                <w:sz w:val="18"/>
                <w:szCs w:val="18"/>
              </w:rPr>
              <w:t>13.</w:t>
            </w:r>
            <w:r w:rsidR="009B727A" w:rsidRPr="002D07A3">
              <w:rPr>
                <w:rFonts w:ascii="Arial" w:hAnsi="Arial" w:cs="Arial"/>
                <w:sz w:val="18"/>
                <w:szCs w:val="18"/>
              </w:rPr>
              <w:t>6</w:t>
            </w:r>
          </w:p>
          <w:p w14:paraId="1E4A5955" w14:textId="77777777" w:rsidR="004A2465" w:rsidRPr="00904D71" w:rsidRDefault="004A2465" w:rsidP="00AF46A0">
            <w:pPr>
              <w:spacing w:before="20" w:after="20" w:line="240" w:lineRule="auto"/>
              <w:rPr>
                <w:szCs w:val="18"/>
              </w:rPr>
            </w:pPr>
            <w:r w:rsidRPr="002D07A3">
              <w:rPr>
                <w:rFonts w:ascii="Arial" w:hAnsi="Arial" w:cs="Arial"/>
                <w:sz w:val="18"/>
                <w:szCs w:val="18"/>
              </w:rPr>
              <w:t>(25.6)</w:t>
            </w:r>
          </w:p>
        </w:tc>
        <w:tc>
          <w:tcPr>
            <w:tcW w:w="1235" w:type="dxa"/>
            <w:gridSpan w:val="2"/>
            <w:tcBorders>
              <w:top w:val="nil"/>
              <w:left w:val="single" w:sz="4" w:space="0" w:color="auto"/>
              <w:bottom w:val="nil"/>
              <w:right w:val="single" w:sz="4" w:space="0" w:color="auto"/>
            </w:tcBorders>
            <w:vAlign w:val="center"/>
            <w:hideMark/>
          </w:tcPr>
          <w:p w14:paraId="2551C402" w14:textId="77777777" w:rsidR="004A2465" w:rsidRPr="00904D71" w:rsidRDefault="004A2465" w:rsidP="00AF46A0">
            <w:pPr>
              <w:spacing w:before="20" w:after="20" w:line="240" w:lineRule="auto"/>
              <w:rPr>
                <w:szCs w:val="18"/>
              </w:rPr>
            </w:pPr>
            <w:r w:rsidRPr="002D07A3">
              <w:rPr>
                <w:rFonts w:ascii="Arial" w:hAnsi="Arial" w:cs="Arial"/>
                <w:sz w:val="18"/>
                <w:szCs w:val="18"/>
              </w:rPr>
              <w:t>12.9</w:t>
            </w:r>
          </w:p>
          <w:p w14:paraId="4CD9480F" w14:textId="77777777" w:rsidR="004A2465" w:rsidRPr="00904D71" w:rsidRDefault="004A2465" w:rsidP="00AF46A0">
            <w:pPr>
              <w:spacing w:before="20" w:after="20" w:line="240" w:lineRule="auto"/>
              <w:rPr>
                <w:szCs w:val="18"/>
              </w:rPr>
            </w:pPr>
            <w:r w:rsidRPr="002D07A3">
              <w:rPr>
                <w:rFonts w:ascii="Arial" w:hAnsi="Arial" w:cs="Arial"/>
                <w:sz w:val="18"/>
                <w:szCs w:val="18"/>
              </w:rPr>
              <w:t>(23.8)</w:t>
            </w:r>
          </w:p>
        </w:tc>
        <w:tc>
          <w:tcPr>
            <w:tcW w:w="1235" w:type="dxa"/>
            <w:tcBorders>
              <w:top w:val="nil"/>
              <w:left w:val="single" w:sz="4" w:space="0" w:color="auto"/>
              <w:bottom w:val="nil"/>
              <w:right w:val="single" w:sz="4" w:space="0" w:color="auto"/>
            </w:tcBorders>
            <w:vAlign w:val="center"/>
            <w:hideMark/>
          </w:tcPr>
          <w:p w14:paraId="46AE3E4B" w14:textId="77777777" w:rsidR="004A2465" w:rsidRPr="00904D71" w:rsidRDefault="004A2465" w:rsidP="00AF46A0">
            <w:pPr>
              <w:spacing w:before="20" w:after="20" w:line="240" w:lineRule="auto"/>
              <w:rPr>
                <w:szCs w:val="18"/>
              </w:rPr>
            </w:pPr>
            <w:r w:rsidRPr="002D07A3">
              <w:rPr>
                <w:rFonts w:ascii="Arial" w:hAnsi="Arial" w:cs="Arial"/>
                <w:sz w:val="18"/>
                <w:szCs w:val="18"/>
              </w:rPr>
              <w:t>28.4</w:t>
            </w:r>
          </w:p>
          <w:p w14:paraId="25988ABB" w14:textId="77777777" w:rsidR="004A2465" w:rsidRPr="00904D71" w:rsidRDefault="004A2465" w:rsidP="00AF46A0">
            <w:pPr>
              <w:spacing w:before="20" w:after="20" w:line="240" w:lineRule="auto"/>
              <w:rPr>
                <w:szCs w:val="18"/>
              </w:rPr>
            </w:pPr>
            <w:r w:rsidRPr="002D07A3">
              <w:rPr>
                <w:rFonts w:ascii="Arial" w:hAnsi="Arial" w:cs="Arial"/>
                <w:sz w:val="18"/>
                <w:szCs w:val="18"/>
              </w:rPr>
              <w:t>(63.5)</w:t>
            </w:r>
          </w:p>
        </w:tc>
        <w:tc>
          <w:tcPr>
            <w:tcW w:w="1235" w:type="dxa"/>
            <w:tcBorders>
              <w:top w:val="nil"/>
              <w:left w:val="single" w:sz="4" w:space="0" w:color="auto"/>
              <w:bottom w:val="nil"/>
              <w:right w:val="single" w:sz="4" w:space="0" w:color="auto"/>
            </w:tcBorders>
            <w:vAlign w:val="center"/>
            <w:hideMark/>
          </w:tcPr>
          <w:p w14:paraId="680EE659" w14:textId="77777777" w:rsidR="004A2465" w:rsidRPr="002D07A3" w:rsidRDefault="004A2465" w:rsidP="00AF46A0">
            <w:pPr>
              <w:spacing w:before="20" w:after="20" w:line="240" w:lineRule="auto"/>
              <w:rPr>
                <w:szCs w:val="18"/>
              </w:rPr>
            </w:pPr>
            <w:r w:rsidRPr="002D07A3">
              <w:rPr>
                <w:rFonts w:ascii="Arial" w:hAnsi="Arial" w:cs="Arial"/>
                <w:sz w:val="18"/>
                <w:szCs w:val="18"/>
              </w:rPr>
              <w:t>22.3</w:t>
            </w:r>
          </w:p>
          <w:p w14:paraId="1EA7C9F0" w14:textId="77777777" w:rsidR="004A2465" w:rsidRPr="00904D71" w:rsidRDefault="004A2465" w:rsidP="00AF46A0">
            <w:pPr>
              <w:spacing w:before="20" w:after="20" w:line="240" w:lineRule="auto"/>
              <w:rPr>
                <w:szCs w:val="18"/>
              </w:rPr>
            </w:pPr>
            <w:r w:rsidRPr="002D07A3">
              <w:rPr>
                <w:rFonts w:ascii="Arial" w:hAnsi="Arial" w:cs="Arial"/>
                <w:sz w:val="18"/>
                <w:szCs w:val="18"/>
              </w:rPr>
              <w:t>(48.0)</w:t>
            </w:r>
          </w:p>
        </w:tc>
      </w:tr>
      <w:tr w:rsidR="004A2465" w:rsidRPr="002F5D9E" w14:paraId="20436C5C" w14:textId="77777777" w:rsidTr="009303C3">
        <w:tc>
          <w:tcPr>
            <w:tcW w:w="2893" w:type="dxa"/>
            <w:tcBorders>
              <w:top w:val="nil"/>
              <w:left w:val="single" w:sz="4" w:space="0" w:color="auto"/>
              <w:bottom w:val="single" w:sz="4" w:space="0" w:color="auto"/>
              <w:right w:val="single" w:sz="4" w:space="0" w:color="auto"/>
            </w:tcBorders>
            <w:hideMark/>
          </w:tcPr>
          <w:p w14:paraId="1EF24A42" w14:textId="77777777" w:rsidR="004A2465" w:rsidRPr="00904D71" w:rsidRDefault="004A2465" w:rsidP="00AF46A0">
            <w:pPr>
              <w:spacing w:before="20" w:after="20" w:line="240" w:lineRule="auto"/>
              <w:rPr>
                <w:szCs w:val="18"/>
              </w:rPr>
            </w:pPr>
            <w:r w:rsidRPr="002D07A3">
              <w:rPr>
                <w:rFonts w:ascii="Arial" w:hAnsi="Arial" w:cs="Arial"/>
                <w:sz w:val="18"/>
                <w:szCs w:val="18"/>
              </w:rPr>
              <w:t>Mean Change at Week 24</w:t>
            </w:r>
          </w:p>
        </w:tc>
        <w:tc>
          <w:tcPr>
            <w:tcW w:w="1234" w:type="dxa"/>
            <w:tcBorders>
              <w:top w:val="nil"/>
              <w:left w:val="single" w:sz="4" w:space="0" w:color="auto"/>
              <w:bottom w:val="single" w:sz="4" w:space="0" w:color="auto"/>
              <w:right w:val="single" w:sz="4" w:space="0" w:color="auto"/>
            </w:tcBorders>
            <w:vAlign w:val="center"/>
            <w:hideMark/>
          </w:tcPr>
          <w:p w14:paraId="5017824B" w14:textId="331801F5" w:rsidR="004A2465" w:rsidRPr="00904D71" w:rsidRDefault="004A2465" w:rsidP="00AF46A0">
            <w:pPr>
              <w:spacing w:before="20" w:after="20" w:line="240" w:lineRule="auto"/>
              <w:rPr>
                <w:szCs w:val="18"/>
              </w:rPr>
            </w:pPr>
            <w:r w:rsidRPr="002D07A3">
              <w:rPr>
                <w:rFonts w:ascii="Arial" w:hAnsi="Arial" w:cs="Arial"/>
                <w:sz w:val="18"/>
                <w:szCs w:val="18"/>
              </w:rPr>
              <w:t>0.5</w:t>
            </w:r>
            <w:r w:rsidR="008E247E" w:rsidRPr="002D07A3">
              <w:rPr>
                <w:rFonts w:ascii="Arial" w:hAnsi="Arial" w:cs="Arial"/>
                <w:sz w:val="18"/>
                <w:szCs w:val="18"/>
              </w:rPr>
              <w:t>0</w:t>
            </w:r>
          </w:p>
        </w:tc>
        <w:tc>
          <w:tcPr>
            <w:tcW w:w="1235" w:type="dxa"/>
            <w:tcBorders>
              <w:top w:val="nil"/>
              <w:left w:val="single" w:sz="4" w:space="0" w:color="auto"/>
              <w:bottom w:val="single" w:sz="4" w:space="0" w:color="auto"/>
              <w:right w:val="single" w:sz="4" w:space="0" w:color="auto"/>
            </w:tcBorders>
            <w:vAlign w:val="center"/>
            <w:hideMark/>
          </w:tcPr>
          <w:p w14:paraId="30EE598E" w14:textId="77777777" w:rsidR="004A2465" w:rsidRPr="00904D71" w:rsidRDefault="004A2465" w:rsidP="00AF46A0">
            <w:pPr>
              <w:spacing w:before="20" w:after="20" w:line="240" w:lineRule="auto"/>
              <w:rPr>
                <w:szCs w:val="18"/>
              </w:rPr>
            </w:pPr>
            <w:r w:rsidRPr="002D07A3">
              <w:rPr>
                <w:rFonts w:ascii="Arial" w:hAnsi="Arial" w:cs="Arial"/>
                <w:sz w:val="18"/>
                <w:szCs w:val="18"/>
              </w:rPr>
              <w:t>0.13*</w:t>
            </w:r>
          </w:p>
        </w:tc>
        <w:tc>
          <w:tcPr>
            <w:tcW w:w="1235" w:type="dxa"/>
            <w:gridSpan w:val="2"/>
            <w:tcBorders>
              <w:top w:val="nil"/>
              <w:left w:val="single" w:sz="4" w:space="0" w:color="auto"/>
              <w:bottom w:val="single" w:sz="4" w:space="0" w:color="auto"/>
              <w:right w:val="single" w:sz="4" w:space="0" w:color="auto"/>
            </w:tcBorders>
            <w:vAlign w:val="center"/>
            <w:hideMark/>
          </w:tcPr>
          <w:p w14:paraId="42EE5C0D" w14:textId="77777777" w:rsidR="004A2465" w:rsidRPr="00904D71" w:rsidRDefault="004A2465" w:rsidP="00AF46A0">
            <w:pPr>
              <w:spacing w:before="20" w:after="20" w:line="240" w:lineRule="auto"/>
              <w:rPr>
                <w:szCs w:val="18"/>
              </w:rPr>
            </w:pPr>
            <w:r w:rsidRPr="002D07A3">
              <w:rPr>
                <w:rFonts w:ascii="Arial" w:hAnsi="Arial" w:cs="Arial"/>
                <w:sz w:val="18"/>
                <w:szCs w:val="18"/>
              </w:rPr>
              <w:t>0.02*</w:t>
            </w:r>
          </w:p>
        </w:tc>
        <w:tc>
          <w:tcPr>
            <w:tcW w:w="1235" w:type="dxa"/>
            <w:tcBorders>
              <w:top w:val="nil"/>
              <w:left w:val="single" w:sz="4" w:space="0" w:color="auto"/>
              <w:bottom w:val="single" w:sz="4" w:space="0" w:color="auto"/>
              <w:right w:val="single" w:sz="4" w:space="0" w:color="auto"/>
            </w:tcBorders>
            <w:vAlign w:val="center"/>
            <w:hideMark/>
          </w:tcPr>
          <w:p w14:paraId="4D4E32CB" w14:textId="77777777" w:rsidR="004A2465" w:rsidRPr="00904D71" w:rsidRDefault="004A2465" w:rsidP="00AF46A0">
            <w:pPr>
              <w:spacing w:before="20" w:after="20" w:line="240" w:lineRule="auto"/>
              <w:rPr>
                <w:szCs w:val="18"/>
              </w:rPr>
            </w:pPr>
            <w:r w:rsidRPr="002D07A3">
              <w:rPr>
                <w:rFonts w:ascii="Arial" w:hAnsi="Arial" w:cs="Arial"/>
                <w:sz w:val="18"/>
                <w:szCs w:val="18"/>
              </w:rPr>
              <w:t>0.57</w:t>
            </w:r>
          </w:p>
        </w:tc>
        <w:tc>
          <w:tcPr>
            <w:tcW w:w="1235" w:type="dxa"/>
            <w:tcBorders>
              <w:top w:val="nil"/>
              <w:left w:val="single" w:sz="4" w:space="0" w:color="auto"/>
              <w:bottom w:val="single" w:sz="4" w:space="0" w:color="auto"/>
              <w:right w:val="single" w:sz="4" w:space="0" w:color="auto"/>
            </w:tcBorders>
            <w:vAlign w:val="center"/>
            <w:hideMark/>
          </w:tcPr>
          <w:p w14:paraId="4BFF67F1" w14:textId="77777777" w:rsidR="004A2465" w:rsidRPr="00904D71" w:rsidRDefault="004A2465" w:rsidP="00AF46A0">
            <w:pPr>
              <w:spacing w:before="20" w:after="20" w:line="240" w:lineRule="auto"/>
              <w:rPr>
                <w:szCs w:val="18"/>
              </w:rPr>
            </w:pPr>
            <w:r w:rsidRPr="002D07A3">
              <w:rPr>
                <w:rFonts w:ascii="Arial" w:hAnsi="Arial" w:cs="Arial"/>
                <w:sz w:val="18"/>
                <w:szCs w:val="18"/>
              </w:rPr>
              <w:t>0.13*</w:t>
            </w:r>
          </w:p>
        </w:tc>
      </w:tr>
      <w:tr w:rsidR="004A2465" w:rsidRPr="002F5D9E" w14:paraId="63FDC26A" w14:textId="77777777" w:rsidTr="009303C3">
        <w:tc>
          <w:tcPr>
            <w:tcW w:w="9067" w:type="dxa"/>
            <w:gridSpan w:val="7"/>
            <w:tcBorders>
              <w:top w:val="single" w:sz="4" w:space="0" w:color="auto"/>
              <w:left w:val="nil"/>
              <w:bottom w:val="nil"/>
              <w:right w:val="nil"/>
            </w:tcBorders>
          </w:tcPr>
          <w:p w14:paraId="55A0B6CC" w14:textId="77777777" w:rsidR="004A2465" w:rsidRPr="002D07A3" w:rsidRDefault="004A2465" w:rsidP="00AF46A0">
            <w:pPr>
              <w:spacing w:before="20" w:after="20" w:line="240" w:lineRule="auto"/>
              <w:rPr>
                <w:rFonts w:ascii="Arial" w:hAnsi="Arial" w:cs="Arial"/>
                <w:i/>
                <w:sz w:val="16"/>
                <w:szCs w:val="16"/>
              </w:rPr>
            </w:pPr>
            <w:r w:rsidRPr="002D07A3">
              <w:rPr>
                <w:rFonts w:ascii="Arial" w:hAnsi="Arial" w:cs="Arial"/>
                <w:i/>
                <w:sz w:val="16"/>
                <w:szCs w:val="16"/>
              </w:rPr>
              <w:t>* p&lt;0.05 based on nominal, but not adjusted, p-value</w:t>
            </w:r>
          </w:p>
          <w:p w14:paraId="1191A4DA" w14:textId="77777777" w:rsidR="004A2465" w:rsidRPr="002D07A3" w:rsidRDefault="004A2465" w:rsidP="00AF46A0">
            <w:pPr>
              <w:spacing w:before="20" w:after="20" w:line="240" w:lineRule="auto"/>
              <w:rPr>
                <w:i/>
                <w:sz w:val="16"/>
                <w:szCs w:val="16"/>
              </w:rPr>
            </w:pPr>
            <w:r w:rsidRPr="002D07A3">
              <w:rPr>
                <w:rFonts w:ascii="Arial" w:hAnsi="Arial" w:cs="Arial"/>
                <w:i/>
                <w:sz w:val="16"/>
                <w:szCs w:val="16"/>
              </w:rPr>
              <w:t xml:space="preserve">1 </w:t>
            </w:r>
            <w:proofErr w:type="spellStart"/>
            <w:r w:rsidRPr="002D07A3">
              <w:rPr>
                <w:rFonts w:ascii="Arial" w:hAnsi="Arial" w:cs="Arial"/>
                <w:i/>
                <w:sz w:val="16"/>
                <w:szCs w:val="16"/>
              </w:rPr>
              <w:t>Cosentyx</w:t>
            </w:r>
            <w:proofErr w:type="spellEnd"/>
            <w:r w:rsidRPr="002D07A3">
              <w:rPr>
                <w:rFonts w:ascii="Arial" w:hAnsi="Arial" w:cs="Arial"/>
                <w:i/>
                <w:sz w:val="16"/>
                <w:szCs w:val="16"/>
              </w:rPr>
              <w:t xml:space="preserve"> 150 mg or 300 mg </w:t>
            </w:r>
            <w:proofErr w:type="spellStart"/>
            <w:r w:rsidRPr="002D07A3">
              <w:rPr>
                <w:rFonts w:ascii="Arial" w:hAnsi="Arial" w:cs="Arial"/>
                <w:i/>
                <w:sz w:val="16"/>
                <w:szCs w:val="16"/>
              </w:rPr>
              <w:t>s.c.</w:t>
            </w:r>
            <w:proofErr w:type="spellEnd"/>
            <w:r w:rsidRPr="002D07A3">
              <w:rPr>
                <w:rFonts w:ascii="Arial" w:hAnsi="Arial" w:cs="Arial"/>
                <w:i/>
                <w:sz w:val="16"/>
                <w:szCs w:val="16"/>
              </w:rPr>
              <w:t xml:space="preserve"> at Weeks 0, 1, 2, 3, and 4 followed by the same dose every month</w:t>
            </w:r>
          </w:p>
          <w:p w14:paraId="1B6DF286" w14:textId="77777777" w:rsidR="004A2465" w:rsidRPr="002D07A3" w:rsidRDefault="004A2465" w:rsidP="00AF46A0">
            <w:pPr>
              <w:spacing w:before="20" w:after="20" w:line="240" w:lineRule="auto"/>
              <w:rPr>
                <w:i/>
                <w:sz w:val="16"/>
                <w:szCs w:val="16"/>
              </w:rPr>
            </w:pPr>
            <w:r w:rsidRPr="002D07A3">
              <w:rPr>
                <w:rFonts w:ascii="Arial" w:hAnsi="Arial" w:cs="Arial"/>
                <w:i/>
                <w:sz w:val="16"/>
                <w:szCs w:val="16"/>
              </w:rPr>
              <w:t xml:space="preserve">210 mg/kg at Weeks 0, 2 and 4 followed </w:t>
            </w:r>
            <w:proofErr w:type="spellStart"/>
            <w:r w:rsidRPr="002D07A3">
              <w:rPr>
                <w:rFonts w:ascii="Arial" w:hAnsi="Arial" w:cs="Arial"/>
                <w:i/>
                <w:sz w:val="16"/>
                <w:szCs w:val="16"/>
              </w:rPr>
              <w:t>s.c.</w:t>
            </w:r>
            <w:proofErr w:type="spellEnd"/>
            <w:r w:rsidRPr="002D07A3">
              <w:rPr>
                <w:rFonts w:ascii="Arial" w:hAnsi="Arial" w:cs="Arial"/>
                <w:i/>
                <w:sz w:val="16"/>
                <w:szCs w:val="16"/>
              </w:rPr>
              <w:t xml:space="preserve"> </w:t>
            </w:r>
            <w:proofErr w:type="spellStart"/>
            <w:r w:rsidRPr="002D07A3">
              <w:rPr>
                <w:rFonts w:ascii="Arial" w:hAnsi="Arial" w:cs="Arial"/>
                <w:i/>
                <w:sz w:val="16"/>
                <w:szCs w:val="16"/>
              </w:rPr>
              <w:t>pdoses</w:t>
            </w:r>
            <w:proofErr w:type="spellEnd"/>
            <w:r w:rsidRPr="002D07A3">
              <w:rPr>
                <w:rFonts w:ascii="Arial" w:hAnsi="Arial" w:cs="Arial"/>
                <w:i/>
                <w:sz w:val="16"/>
                <w:szCs w:val="16"/>
              </w:rPr>
              <w:t xml:space="preserve"> of 75 mg or 150 mg</w:t>
            </w:r>
          </w:p>
        </w:tc>
      </w:tr>
    </w:tbl>
    <w:p w14:paraId="54090A79" w14:textId="48465F9B" w:rsidR="00DD3737" w:rsidRPr="00D45099" w:rsidRDefault="00DD3737" w:rsidP="00AF46A0">
      <w:pPr>
        <w:rPr>
          <w:rFonts w:ascii="Arial" w:hAnsi="Arial" w:cs="Arial"/>
          <w:sz w:val="20"/>
        </w:rPr>
      </w:pPr>
    </w:p>
    <w:p w14:paraId="79E3A271" w14:textId="3947D1C4" w:rsidR="00F62A4F" w:rsidRPr="00D45099" w:rsidRDefault="00F62A4F" w:rsidP="00AF46A0">
      <w:pPr>
        <w:rPr>
          <w:rFonts w:cs="Arial"/>
        </w:rPr>
      </w:pPr>
      <w:r w:rsidRPr="00D45099">
        <w:rPr>
          <w:rFonts w:cs="Arial"/>
        </w:rPr>
        <w:t xml:space="preserve">Inhibition of structural damage was maintained with COSENTYX </w:t>
      </w:r>
      <w:r w:rsidR="00C10956" w:rsidRPr="00D45099">
        <w:rPr>
          <w:rFonts w:cs="Arial"/>
        </w:rPr>
        <w:t xml:space="preserve">150 mg </w:t>
      </w:r>
      <w:r w:rsidRPr="00D45099">
        <w:rPr>
          <w:rFonts w:cs="Arial"/>
        </w:rPr>
        <w:t xml:space="preserve">treatment up to Week </w:t>
      </w:r>
      <w:r w:rsidR="006D6F1E" w:rsidRPr="00D45099">
        <w:rPr>
          <w:rFonts w:cs="Arial"/>
        </w:rPr>
        <w:t>104</w:t>
      </w:r>
      <w:r w:rsidR="00B25248" w:rsidRPr="00D45099">
        <w:rPr>
          <w:rFonts w:cs="Arial"/>
        </w:rPr>
        <w:t xml:space="preserve"> in PsA</w:t>
      </w:r>
      <w:r w:rsidR="00A8009B">
        <w:rPr>
          <w:rFonts w:cs="Arial"/>
        </w:rPr>
        <w:t>2</w:t>
      </w:r>
      <w:r w:rsidR="00B25248" w:rsidRPr="00D45099">
        <w:rPr>
          <w:rFonts w:cs="Arial"/>
        </w:rPr>
        <w:t xml:space="preserve"> Study</w:t>
      </w:r>
      <w:r w:rsidR="00C10956" w:rsidRPr="00D45099">
        <w:rPr>
          <w:rFonts w:cs="Arial"/>
        </w:rPr>
        <w:t xml:space="preserve"> and with COSENTYX 300 mg treatment up to week 52</w:t>
      </w:r>
      <w:r w:rsidR="00B25248" w:rsidRPr="00D45099">
        <w:rPr>
          <w:rFonts w:cs="Arial"/>
        </w:rPr>
        <w:t xml:space="preserve"> in PsA</w:t>
      </w:r>
      <w:r w:rsidR="00A8009B">
        <w:rPr>
          <w:rFonts w:cs="Arial"/>
        </w:rPr>
        <w:t>3</w:t>
      </w:r>
      <w:r w:rsidR="00B25248" w:rsidRPr="00D45099">
        <w:rPr>
          <w:rFonts w:cs="Arial"/>
        </w:rPr>
        <w:t xml:space="preserve"> Study</w:t>
      </w:r>
      <w:r w:rsidRPr="00D45099">
        <w:rPr>
          <w:rFonts w:cs="Arial"/>
        </w:rPr>
        <w:t>.</w:t>
      </w:r>
    </w:p>
    <w:p w14:paraId="2CDBB03B" w14:textId="1F9F381D" w:rsidR="00F62A4F" w:rsidRPr="00D45099" w:rsidRDefault="00F62A4F" w:rsidP="00AF46A0">
      <w:pPr>
        <w:rPr>
          <w:rFonts w:cs="Arial"/>
        </w:rPr>
      </w:pPr>
      <w:r w:rsidRPr="00D45099">
        <w:rPr>
          <w:rFonts w:cs="Arial"/>
        </w:rPr>
        <w:t xml:space="preserve">The percentage of patients with no-disease progression (defined as a change from baseline in </w:t>
      </w:r>
      <w:proofErr w:type="spellStart"/>
      <w:r w:rsidR="006D6F1E" w:rsidRPr="00D45099">
        <w:rPr>
          <w:rFonts w:cs="Arial"/>
        </w:rPr>
        <w:t>mTSS</w:t>
      </w:r>
      <w:proofErr w:type="spellEnd"/>
      <w:r w:rsidRPr="00D45099">
        <w:rPr>
          <w:rFonts w:cs="Arial"/>
        </w:rPr>
        <w:t xml:space="preserve"> of ≤0.5) from randomi</w:t>
      </w:r>
      <w:r w:rsidR="006D6F1E" w:rsidRPr="00D45099">
        <w:rPr>
          <w:rFonts w:cs="Arial"/>
        </w:rPr>
        <w:t>s</w:t>
      </w:r>
      <w:r w:rsidRPr="00D45099">
        <w:rPr>
          <w:rFonts w:cs="Arial"/>
        </w:rPr>
        <w:t xml:space="preserve">ation to Week 24 was, 82.3% in </w:t>
      </w:r>
      <w:proofErr w:type="spellStart"/>
      <w:r w:rsidRPr="00D45099">
        <w:rPr>
          <w:rFonts w:cs="Arial"/>
        </w:rPr>
        <w:t>secukinumab</w:t>
      </w:r>
      <w:proofErr w:type="spellEnd"/>
      <w:r w:rsidRPr="00D45099">
        <w:rPr>
          <w:rFonts w:cs="Arial"/>
        </w:rPr>
        <w:t xml:space="preserve"> 10 mg/kg </w:t>
      </w:r>
      <w:proofErr w:type="spellStart"/>
      <w:r w:rsidRPr="00D45099">
        <w:rPr>
          <w:rFonts w:cs="Arial"/>
        </w:rPr>
        <w:t>i.v.</w:t>
      </w:r>
      <w:proofErr w:type="spellEnd"/>
      <w:r w:rsidRPr="00D45099">
        <w:rPr>
          <w:rFonts w:cs="Arial"/>
        </w:rPr>
        <w:t xml:space="preserve"> load – 150 mg </w:t>
      </w:r>
      <w:proofErr w:type="spellStart"/>
      <w:r w:rsidRPr="00D45099">
        <w:rPr>
          <w:rFonts w:cs="Arial"/>
        </w:rPr>
        <w:t>s.c.</w:t>
      </w:r>
      <w:proofErr w:type="spellEnd"/>
      <w:r w:rsidRPr="00D45099">
        <w:rPr>
          <w:rFonts w:cs="Arial"/>
        </w:rPr>
        <w:t xml:space="preserve"> maintenance and 75.7% in placebo. The percentage of patients with no-disease progression, from Week 24 to Week 52, for the same above described regimen, was 85.7% and 86.8%, respectively.</w:t>
      </w:r>
    </w:p>
    <w:p w14:paraId="5E9E464C" w14:textId="77777777" w:rsidR="00F62A4F" w:rsidRPr="00D45099" w:rsidRDefault="00F62A4F" w:rsidP="00AF46A0">
      <w:pPr>
        <w:spacing w:after="120"/>
        <w:rPr>
          <w:rFonts w:asciiTheme="majorHAnsi" w:eastAsiaTheme="majorEastAsia" w:hAnsiTheme="majorHAnsi" w:cstheme="minorHAnsi"/>
          <w:b/>
          <w:bCs/>
        </w:rPr>
      </w:pPr>
      <w:r w:rsidRPr="00D45099">
        <w:rPr>
          <w:rFonts w:asciiTheme="majorHAnsi" w:eastAsiaTheme="majorEastAsia" w:hAnsiTheme="majorHAnsi" w:cstheme="minorHAnsi"/>
          <w:b/>
          <w:bCs/>
        </w:rPr>
        <w:t>Physical function and health related quality of life</w:t>
      </w:r>
    </w:p>
    <w:p w14:paraId="78FBB809" w14:textId="3E84DA1A" w:rsidR="00F62A4F" w:rsidRPr="00D45099" w:rsidRDefault="00F62A4F" w:rsidP="00AF46A0">
      <w:pPr>
        <w:rPr>
          <w:rFonts w:cs="Arial"/>
        </w:rPr>
      </w:pPr>
      <w:r w:rsidRPr="00D45099">
        <w:rPr>
          <w:rFonts w:cs="Arial"/>
        </w:rPr>
        <w:t>In PsA</w:t>
      </w:r>
      <w:r w:rsidR="006D6F1E" w:rsidRPr="00D45099">
        <w:rPr>
          <w:rFonts w:cs="Arial"/>
        </w:rPr>
        <w:t>2 and PsA3</w:t>
      </w:r>
      <w:r w:rsidRPr="00D45099">
        <w:rPr>
          <w:rFonts w:cs="Arial"/>
        </w:rPr>
        <w:t xml:space="preserve"> Stud</w:t>
      </w:r>
      <w:r w:rsidR="006D6F1E" w:rsidRPr="00D45099">
        <w:rPr>
          <w:rFonts w:cs="Arial"/>
        </w:rPr>
        <w:t>ies</w:t>
      </w:r>
      <w:r w:rsidRPr="00D45099">
        <w:rPr>
          <w:rFonts w:cs="Arial"/>
        </w:rPr>
        <w:t xml:space="preserve">, patients treated with COSENTYX 150 mg and 300 mg showed improvement in physical function compared to patients treated with placebo as assessed by </w:t>
      </w:r>
      <w:r w:rsidR="00CE20CB" w:rsidRPr="00D45099">
        <w:rPr>
          <w:rFonts w:cs="Arial"/>
        </w:rPr>
        <w:t xml:space="preserve">change from baseline in </w:t>
      </w:r>
      <w:r w:rsidRPr="00D45099">
        <w:rPr>
          <w:rFonts w:cs="Arial"/>
        </w:rPr>
        <w:t>Heath Assessment Questionnaire-Disability Index (HAQ-DI) at Week 24</w:t>
      </w:r>
      <w:r w:rsidR="00CE20CB" w:rsidRPr="00D45099">
        <w:rPr>
          <w:rFonts w:cs="Arial"/>
        </w:rPr>
        <w:t xml:space="preserve"> and Week 16</w:t>
      </w:r>
      <w:r w:rsidR="006D6F1E" w:rsidRPr="00D45099">
        <w:rPr>
          <w:rFonts w:cs="Arial"/>
        </w:rPr>
        <w:t>, respectively</w:t>
      </w:r>
      <w:r w:rsidRPr="00D45099">
        <w:rPr>
          <w:rFonts w:cs="Arial"/>
        </w:rPr>
        <w:t>.</w:t>
      </w:r>
      <w:r w:rsidR="00F52032" w:rsidRPr="00D45099">
        <w:rPr>
          <w:rFonts w:cs="Arial"/>
        </w:rPr>
        <w:t xml:space="preserve"> </w:t>
      </w:r>
      <w:r w:rsidR="00CE20CB" w:rsidRPr="00D45099">
        <w:rPr>
          <w:rFonts w:cs="Arial"/>
        </w:rPr>
        <w:t>In PsA3 study, the change from baseline in HAQ-DI was -0.44 and -0.55 for COSENTYX 150 mg and 300 mg, respectively, versus -0.21 for placebo (&lt;0.0001).</w:t>
      </w:r>
      <w:r w:rsidRPr="00D45099">
        <w:rPr>
          <w:rFonts w:cs="Arial"/>
        </w:rPr>
        <w:t xml:space="preserve"> Improvements in HAQ-DI scores were seen regardless of previous anti-TNF-alpha exposure. </w:t>
      </w:r>
    </w:p>
    <w:p w14:paraId="6BD02DB9" w14:textId="77777777" w:rsidR="00F62A4F" w:rsidRPr="00D45099" w:rsidRDefault="00F62A4F" w:rsidP="00AF46A0">
      <w:pPr>
        <w:rPr>
          <w:rFonts w:cs="Arial"/>
        </w:rPr>
      </w:pPr>
      <w:r w:rsidRPr="00D45099">
        <w:rPr>
          <w:rFonts w:cs="Arial"/>
        </w:rPr>
        <w:t>COSENTYX-treated patients reported significant improvements in health-related quality of life as measured by the Short Form (36) Health Survey Physical Component Summary (SF 36 PCS) score (p&lt;0.001)</w:t>
      </w:r>
      <w:r w:rsidR="00F52032" w:rsidRPr="00D45099">
        <w:rPr>
          <w:rFonts w:cs="Arial"/>
        </w:rPr>
        <w:t xml:space="preserve"> and these improvements were maintained up to Week 104 in PsA2</w:t>
      </w:r>
      <w:r w:rsidRPr="00D45099">
        <w:rPr>
          <w:rFonts w:cs="Arial"/>
        </w:rPr>
        <w:t>.</w:t>
      </w:r>
    </w:p>
    <w:p w14:paraId="2AD5EDE9" w14:textId="276D308A" w:rsidR="001603B3" w:rsidRPr="00733D88" w:rsidRDefault="001603B3" w:rsidP="00AF46A0">
      <w:pPr>
        <w:spacing w:after="120"/>
        <w:rPr>
          <w:rFonts w:asciiTheme="majorHAnsi" w:eastAsiaTheme="majorEastAsia" w:hAnsiTheme="majorHAnsi" w:cstheme="minorHAnsi"/>
          <w:b/>
          <w:bCs/>
          <w:u w:val="single"/>
        </w:rPr>
      </w:pPr>
      <w:r w:rsidRPr="002D07A3">
        <w:rPr>
          <w:rFonts w:asciiTheme="majorHAnsi" w:eastAsiaTheme="majorEastAsia" w:hAnsiTheme="majorHAnsi" w:cstheme="minorHAnsi"/>
          <w:b/>
          <w:bCs/>
          <w:u w:val="single"/>
        </w:rPr>
        <w:t xml:space="preserve">Axial </w:t>
      </w:r>
      <w:proofErr w:type="spellStart"/>
      <w:r w:rsidRPr="002D07A3">
        <w:rPr>
          <w:rFonts w:asciiTheme="majorHAnsi" w:eastAsiaTheme="majorEastAsia" w:hAnsiTheme="majorHAnsi" w:cstheme="minorHAnsi"/>
          <w:b/>
          <w:bCs/>
          <w:u w:val="single"/>
        </w:rPr>
        <w:t>spondyloarthritis</w:t>
      </w:r>
      <w:proofErr w:type="spellEnd"/>
      <w:r w:rsidRPr="002D07A3">
        <w:rPr>
          <w:rFonts w:asciiTheme="majorHAnsi" w:eastAsiaTheme="majorEastAsia" w:hAnsiTheme="majorHAnsi" w:cstheme="minorHAnsi"/>
          <w:b/>
          <w:bCs/>
          <w:u w:val="single"/>
        </w:rPr>
        <w:t xml:space="preserve"> (</w:t>
      </w:r>
      <w:proofErr w:type="spellStart"/>
      <w:r w:rsidRPr="002D07A3">
        <w:rPr>
          <w:rFonts w:asciiTheme="majorHAnsi" w:eastAsiaTheme="majorEastAsia" w:hAnsiTheme="majorHAnsi" w:cstheme="minorHAnsi"/>
          <w:b/>
          <w:bCs/>
          <w:u w:val="single"/>
        </w:rPr>
        <w:t>axSpA</w:t>
      </w:r>
      <w:proofErr w:type="spellEnd"/>
      <w:r w:rsidRPr="002D07A3">
        <w:rPr>
          <w:rFonts w:asciiTheme="majorHAnsi" w:eastAsiaTheme="majorEastAsia" w:hAnsiTheme="majorHAnsi" w:cstheme="minorHAnsi"/>
          <w:b/>
          <w:bCs/>
          <w:u w:val="single"/>
        </w:rPr>
        <w:t>) with or without radiographic damage</w:t>
      </w:r>
    </w:p>
    <w:p w14:paraId="2C77072C" w14:textId="3B5962E8" w:rsidR="00F62A4F" w:rsidRPr="00733D88" w:rsidRDefault="00F62A4F" w:rsidP="00AF46A0">
      <w:pPr>
        <w:spacing w:after="120"/>
        <w:rPr>
          <w:rFonts w:asciiTheme="majorHAnsi" w:eastAsiaTheme="majorEastAsia" w:hAnsiTheme="majorHAnsi" w:cstheme="minorHAnsi"/>
          <w:b/>
          <w:bCs/>
          <w:u w:val="single"/>
        </w:rPr>
      </w:pPr>
      <w:r w:rsidRPr="00733D88">
        <w:rPr>
          <w:rFonts w:asciiTheme="majorHAnsi" w:eastAsiaTheme="majorEastAsia" w:hAnsiTheme="majorHAnsi" w:cstheme="minorHAnsi"/>
          <w:b/>
          <w:bCs/>
          <w:u w:val="single"/>
        </w:rPr>
        <w:t>Ankylosing spondylitis</w:t>
      </w:r>
      <w:r w:rsidR="001603B3" w:rsidRPr="00733D88">
        <w:rPr>
          <w:rFonts w:asciiTheme="majorHAnsi" w:eastAsiaTheme="majorEastAsia" w:hAnsiTheme="majorHAnsi" w:cstheme="minorHAnsi"/>
          <w:b/>
          <w:bCs/>
          <w:u w:val="single"/>
        </w:rPr>
        <w:t xml:space="preserve"> (</w:t>
      </w:r>
      <w:proofErr w:type="spellStart"/>
      <w:r w:rsidR="001603B3" w:rsidRPr="002D07A3">
        <w:rPr>
          <w:rFonts w:asciiTheme="majorHAnsi" w:eastAsiaTheme="majorEastAsia" w:hAnsiTheme="majorHAnsi" w:cstheme="minorHAnsi"/>
          <w:b/>
          <w:bCs/>
          <w:u w:val="single"/>
        </w:rPr>
        <w:t>axSpA</w:t>
      </w:r>
      <w:proofErr w:type="spellEnd"/>
      <w:r w:rsidR="001603B3" w:rsidRPr="002D07A3">
        <w:rPr>
          <w:rFonts w:asciiTheme="majorHAnsi" w:eastAsiaTheme="majorEastAsia" w:hAnsiTheme="majorHAnsi" w:cstheme="minorHAnsi"/>
          <w:b/>
          <w:bCs/>
          <w:u w:val="single"/>
        </w:rPr>
        <w:t xml:space="preserve"> with radiographic damage)</w:t>
      </w:r>
    </w:p>
    <w:p w14:paraId="6D5AEB4A" w14:textId="40F65487" w:rsidR="00F62A4F" w:rsidRPr="00733D88" w:rsidRDefault="00F62A4F" w:rsidP="00A85630">
      <w:pPr>
        <w:ind w:right="-188"/>
        <w:rPr>
          <w:rFonts w:cs="Arial"/>
        </w:rPr>
      </w:pPr>
      <w:r w:rsidRPr="00733D88">
        <w:rPr>
          <w:rFonts w:cs="Arial"/>
        </w:rPr>
        <w:t xml:space="preserve">The safety and efficacy of COSENTYX were assessed in </w:t>
      </w:r>
      <w:r w:rsidR="00FC0980">
        <w:rPr>
          <w:rFonts w:cs="Arial"/>
        </w:rPr>
        <w:t>816</w:t>
      </w:r>
      <w:r w:rsidRPr="00733D88">
        <w:rPr>
          <w:rFonts w:cs="Arial"/>
        </w:rPr>
        <w:t xml:space="preserve"> patients in </w:t>
      </w:r>
      <w:r w:rsidR="00FC1C14">
        <w:rPr>
          <w:rFonts w:cs="Arial"/>
        </w:rPr>
        <w:t>three</w:t>
      </w:r>
      <w:r w:rsidRPr="00733D88">
        <w:rPr>
          <w:rFonts w:cs="Arial"/>
        </w:rPr>
        <w:t xml:space="preserve"> randomised, double-blind, placebo-controlled phase III studies in patients with active ankylosing spondylitis (AS) with a Bath Ankylosing Spondylitis Disease Activity Index (BASDAI) ≥4 despite non-steroidal anti-inflammatory drug (NSAID), corticosteroid or disease-modifying anti-rheumatic drug (DMARD) therapy. Patients in </w:t>
      </w:r>
      <w:r w:rsidR="00FC1C14">
        <w:rPr>
          <w:rFonts w:cs="Arial"/>
        </w:rPr>
        <w:t>the AS1 Study and AS2 Study</w:t>
      </w:r>
      <w:r w:rsidRPr="00733D88">
        <w:rPr>
          <w:rFonts w:cs="Arial"/>
        </w:rPr>
        <w:t xml:space="preserve"> had a diagnosis of AS for a median of 2.7 to 5.8 years.</w:t>
      </w:r>
    </w:p>
    <w:p w14:paraId="54015A96" w14:textId="68FE631E" w:rsidR="00F62A4F" w:rsidRPr="00733D88" w:rsidRDefault="00F62A4F" w:rsidP="00AF46A0">
      <w:pPr>
        <w:rPr>
          <w:rFonts w:cs="Arial"/>
        </w:rPr>
      </w:pPr>
      <w:r w:rsidRPr="00733D88">
        <w:rPr>
          <w:rFonts w:cs="Arial"/>
        </w:rPr>
        <w:t>In MEASURE 1 Study (AS1 Study)</w:t>
      </w:r>
      <w:r w:rsidR="00FC1C14">
        <w:rPr>
          <w:rFonts w:cs="Arial"/>
        </w:rPr>
        <w:t>,</w:t>
      </w:r>
      <w:r w:rsidRPr="00733D88">
        <w:rPr>
          <w:rFonts w:cs="Arial"/>
        </w:rPr>
        <w:t xml:space="preserve"> MEASURE 2 Study (AS2 Study)</w:t>
      </w:r>
      <w:r w:rsidR="00FC1C14">
        <w:rPr>
          <w:rFonts w:cs="Arial"/>
        </w:rPr>
        <w:t>, and MEASURE 3 Study (AS3 Study),</w:t>
      </w:r>
      <w:r w:rsidRPr="00733D88">
        <w:rPr>
          <w:rFonts w:cs="Arial"/>
        </w:rPr>
        <w:t xml:space="preserve"> 27.0%</w:t>
      </w:r>
      <w:r w:rsidR="00FC1C14">
        <w:rPr>
          <w:rFonts w:cs="Arial"/>
        </w:rPr>
        <w:t>,</w:t>
      </w:r>
      <w:r w:rsidRPr="00733D88">
        <w:rPr>
          <w:rFonts w:cs="Arial"/>
        </w:rPr>
        <w:t xml:space="preserve"> 38.8%</w:t>
      </w:r>
      <w:r w:rsidR="00FC1C14">
        <w:rPr>
          <w:rFonts w:cs="Arial"/>
        </w:rPr>
        <w:t>, and 23.5%</w:t>
      </w:r>
      <w:r w:rsidRPr="00733D88">
        <w:rPr>
          <w:rFonts w:cs="Arial"/>
        </w:rPr>
        <w:t xml:space="preserve"> of patients, respectively, were previously treated with an anti-TNF-alpha agent and discontinued the anti-TNFα agent for either lack of efficacy or intolerance (anti-TNF-alpha</w:t>
      </w:r>
      <w:r w:rsidRPr="00733D88" w:rsidDel="00971F69">
        <w:rPr>
          <w:rFonts w:cs="Arial"/>
        </w:rPr>
        <w:t xml:space="preserve"> </w:t>
      </w:r>
      <w:r w:rsidRPr="00733D88">
        <w:rPr>
          <w:rFonts w:cs="Arial"/>
        </w:rPr>
        <w:t>-IR patients).</w:t>
      </w:r>
    </w:p>
    <w:p w14:paraId="52FD0B20" w14:textId="77777777" w:rsidR="00F62A4F" w:rsidRPr="00733D88" w:rsidRDefault="00F62A4F" w:rsidP="00AF46A0">
      <w:pPr>
        <w:rPr>
          <w:rFonts w:cs="Arial"/>
        </w:rPr>
      </w:pPr>
      <w:r w:rsidRPr="00733D88">
        <w:rPr>
          <w:rFonts w:cs="Arial"/>
        </w:rPr>
        <w:t xml:space="preserve">Key exclusion criteria across pivotal trials were: patients with total </w:t>
      </w:r>
      <w:proofErr w:type="spellStart"/>
      <w:r w:rsidRPr="00733D88">
        <w:rPr>
          <w:rFonts w:cs="Arial"/>
        </w:rPr>
        <w:t>ankylosis</w:t>
      </w:r>
      <w:proofErr w:type="spellEnd"/>
      <w:r w:rsidRPr="00733D88">
        <w:rPr>
          <w:rFonts w:cs="Arial"/>
        </w:rPr>
        <w:t xml:space="preserve"> of the spine; use of high potency opioid analgesics; previous exposure to </w:t>
      </w:r>
      <w:proofErr w:type="spellStart"/>
      <w:r w:rsidRPr="00733D88">
        <w:rPr>
          <w:rFonts w:cs="Arial"/>
        </w:rPr>
        <w:t>secukinumab</w:t>
      </w:r>
      <w:proofErr w:type="spellEnd"/>
      <w:r w:rsidRPr="00733D88">
        <w:rPr>
          <w:rFonts w:cs="Arial"/>
        </w:rPr>
        <w:t xml:space="preserve"> or any other biologic drugs except for those targeting TNF-alpha, patients with active, ongoing inflammatory disease, other than AS; patients with active, ongoing, chronic or recurrent infectious disease; evidence of tuberculosis infection (enrolment was allowed for patients with latent tuberculosis if appropriate treatment was initiated and maintained according to the local treatment guideline); history of HIV, hepatitis B or hepatitis C; underlying immunocompromising conditions; presence of lymphoproliferative disease, malignancy or history of malignancy within the past 5 years; significant medical problems including uncontrolled hypertension and congestive heart failure (NYHA Class III and IV); patients with serum creatinine &gt;132.6 </w:t>
      </w:r>
      <w:proofErr w:type="spellStart"/>
      <w:r w:rsidRPr="00733D88">
        <w:rPr>
          <w:rFonts w:cs="Arial"/>
        </w:rPr>
        <w:t>micromol</w:t>
      </w:r>
      <w:proofErr w:type="spellEnd"/>
      <w:r w:rsidRPr="00733D88">
        <w:rPr>
          <w:rFonts w:cs="Arial"/>
        </w:rPr>
        <w:t>/L or with white blood cell count &lt;3,000 /</w:t>
      </w:r>
      <w:proofErr w:type="spellStart"/>
      <w:r w:rsidRPr="00733D88">
        <w:rPr>
          <w:rFonts w:cs="Arial"/>
        </w:rPr>
        <w:t>microL</w:t>
      </w:r>
      <w:proofErr w:type="spellEnd"/>
      <w:r w:rsidRPr="00733D88">
        <w:rPr>
          <w:rFonts w:cs="Arial"/>
        </w:rPr>
        <w:t>, platelets &lt;100,000/</w:t>
      </w:r>
      <w:proofErr w:type="spellStart"/>
      <w:r w:rsidRPr="00733D88">
        <w:rPr>
          <w:rFonts w:cs="Arial"/>
        </w:rPr>
        <w:t>microL</w:t>
      </w:r>
      <w:proofErr w:type="spellEnd"/>
      <w:r w:rsidRPr="00733D88">
        <w:rPr>
          <w:rFonts w:cs="Arial"/>
        </w:rPr>
        <w:t>, neutrophils &lt;1,500/</w:t>
      </w:r>
      <w:proofErr w:type="spellStart"/>
      <w:r w:rsidRPr="00733D88">
        <w:rPr>
          <w:rFonts w:cs="Arial"/>
        </w:rPr>
        <w:t>microL</w:t>
      </w:r>
      <w:proofErr w:type="spellEnd"/>
      <w:r w:rsidRPr="00733D88">
        <w:rPr>
          <w:rFonts w:cs="Arial"/>
        </w:rPr>
        <w:t xml:space="preserve"> or haemoglobin &lt;8.5 g/</w:t>
      </w:r>
      <w:proofErr w:type="spellStart"/>
      <w:r w:rsidRPr="00733D88">
        <w:rPr>
          <w:rFonts w:cs="Arial"/>
        </w:rPr>
        <w:t>dL</w:t>
      </w:r>
      <w:proofErr w:type="spellEnd"/>
      <w:r w:rsidRPr="00733D88">
        <w:rPr>
          <w:rFonts w:cs="Arial"/>
        </w:rPr>
        <w:t xml:space="preserve">; pregnant or nursing women; and women of child-bearing potential not using effective contraception during the study. </w:t>
      </w:r>
    </w:p>
    <w:p w14:paraId="50A0B446" w14:textId="3D48E8B5" w:rsidR="00F62A4F" w:rsidRPr="00733D88" w:rsidRDefault="00F62A4F" w:rsidP="00AF46A0">
      <w:pPr>
        <w:rPr>
          <w:rFonts w:cs="Arial"/>
        </w:rPr>
      </w:pPr>
      <w:r w:rsidRPr="00733D88">
        <w:rPr>
          <w:rFonts w:cs="Arial"/>
        </w:rPr>
        <w:t xml:space="preserve">AS1 Study evaluated 371 patients, of whom 14.8% and 33.4% used concomitant MTX or sulfasalazine, respectively. Patients randomised to COSENTYX received 10 mg/kg, </w:t>
      </w:r>
      <w:proofErr w:type="spellStart"/>
      <w:r w:rsidRPr="00733D88">
        <w:rPr>
          <w:rFonts w:cs="Arial"/>
        </w:rPr>
        <w:t>i.v.</w:t>
      </w:r>
      <w:proofErr w:type="spellEnd"/>
      <w:r w:rsidRPr="00733D88">
        <w:rPr>
          <w:rFonts w:cs="Arial"/>
        </w:rPr>
        <w:t xml:space="preserve"> at Weeks 0, 2, and 4, followed by either 75 mg or 150 mg </w:t>
      </w:r>
      <w:proofErr w:type="spellStart"/>
      <w:r w:rsidRPr="00733D88">
        <w:rPr>
          <w:rFonts w:cs="Arial"/>
        </w:rPr>
        <w:t>s.c.</w:t>
      </w:r>
      <w:proofErr w:type="spellEnd"/>
      <w:r w:rsidRPr="00733D88">
        <w:rPr>
          <w:rFonts w:cs="Arial"/>
        </w:rPr>
        <w:t xml:space="preserve"> every month starting at week 8. Patients randomised to placebo who were non-responders at Week 16 (early rescue) and all other placebo patients at Week 24 were crossed over to receive COSENTYX (either 75 mg or 150 mg </w:t>
      </w:r>
      <w:proofErr w:type="spellStart"/>
      <w:r w:rsidRPr="00733D88">
        <w:rPr>
          <w:rFonts w:cs="Arial"/>
        </w:rPr>
        <w:t>s.c.</w:t>
      </w:r>
      <w:proofErr w:type="spellEnd"/>
      <w:r w:rsidRPr="00733D88">
        <w:rPr>
          <w:rFonts w:cs="Arial"/>
        </w:rPr>
        <w:t>), followed by the same dose every month.</w:t>
      </w:r>
      <w:r w:rsidR="00742C11" w:rsidRPr="00742C11">
        <w:rPr>
          <w:rFonts w:cs="Arial"/>
        </w:rPr>
        <w:t xml:space="preserve"> </w:t>
      </w:r>
      <w:r w:rsidR="00742C11">
        <w:rPr>
          <w:rFonts w:cs="Arial"/>
        </w:rPr>
        <w:t>T</w:t>
      </w:r>
      <w:r w:rsidR="00742C11" w:rsidRPr="00733D88">
        <w:rPr>
          <w:rFonts w:cs="Arial"/>
        </w:rPr>
        <w:t xml:space="preserve">he primary endpoint was at least a 20% improvement in Assessment of </w:t>
      </w:r>
      <w:proofErr w:type="spellStart"/>
      <w:r w:rsidR="00742C11" w:rsidRPr="00733D88">
        <w:rPr>
          <w:rFonts w:cs="Arial"/>
        </w:rPr>
        <w:t>Spondyloarthritis</w:t>
      </w:r>
      <w:proofErr w:type="spellEnd"/>
      <w:r w:rsidR="00742C11" w:rsidRPr="00733D88">
        <w:rPr>
          <w:rFonts w:cs="Arial"/>
        </w:rPr>
        <w:t xml:space="preserve"> International Society (ASAS 20) criteria at Week 16.</w:t>
      </w:r>
    </w:p>
    <w:p w14:paraId="4030BF9D" w14:textId="6B9C2A57" w:rsidR="00F62A4F" w:rsidRDefault="00F62A4F" w:rsidP="00AF46A0">
      <w:pPr>
        <w:rPr>
          <w:rFonts w:cs="Arial"/>
        </w:rPr>
      </w:pPr>
      <w:r w:rsidRPr="00733D88">
        <w:rPr>
          <w:rFonts w:cs="Arial"/>
        </w:rPr>
        <w:t xml:space="preserve">AS2 Study evaluated 219 patients, of whom 11.9% and 14.2% used concomitant MTX or sulfasalazine, respectively.  Patients randomised to COSENTYX received 75 mg or 150 mg </w:t>
      </w:r>
      <w:proofErr w:type="spellStart"/>
      <w:r w:rsidRPr="00733D88">
        <w:rPr>
          <w:rFonts w:cs="Arial"/>
        </w:rPr>
        <w:t>s.c.</w:t>
      </w:r>
      <w:proofErr w:type="spellEnd"/>
      <w:r w:rsidRPr="00733D88">
        <w:rPr>
          <w:rFonts w:cs="Arial"/>
        </w:rPr>
        <w:t xml:space="preserve"> at Weeks 0, 1, 2, 3, and 4 followed by the same dose every month. At Week 16, patients who were randomised to placebo at baseline were re-randomised to receive COSENTYX (either 75 mg or 150 mg) </w:t>
      </w:r>
      <w:proofErr w:type="spellStart"/>
      <w:r w:rsidRPr="00733D88">
        <w:rPr>
          <w:rFonts w:cs="Arial"/>
        </w:rPr>
        <w:t>s.c.</w:t>
      </w:r>
      <w:proofErr w:type="spellEnd"/>
      <w:r w:rsidRPr="00733D88">
        <w:rPr>
          <w:rFonts w:cs="Arial"/>
        </w:rPr>
        <w:t xml:space="preserve"> every month. </w:t>
      </w:r>
      <w:r w:rsidR="00742C11">
        <w:rPr>
          <w:rFonts w:cs="Arial"/>
        </w:rPr>
        <w:t xml:space="preserve"> The primary endpoint was ASAS 20 at Week 16.</w:t>
      </w:r>
    </w:p>
    <w:p w14:paraId="61112DAF" w14:textId="72971D35" w:rsidR="00742C11" w:rsidRPr="00733D88" w:rsidRDefault="00742C11" w:rsidP="00AF46A0">
      <w:pPr>
        <w:rPr>
          <w:rFonts w:cs="Arial"/>
        </w:rPr>
      </w:pPr>
      <w:r w:rsidRPr="00A97EFF">
        <w:rPr>
          <w:rFonts w:cs="Arial"/>
          <w:color w:val="000000" w:themeColor="text1"/>
        </w:rPr>
        <w:t>AS3 Study evaluated 226 patients, of whom 13.3% and 23.5% used concomitant MTX or sulfasalazine,</w:t>
      </w:r>
      <w:r>
        <w:rPr>
          <w:rFonts w:cs="Arial"/>
          <w:color w:val="000000" w:themeColor="text1"/>
        </w:rPr>
        <w:t xml:space="preserve"> respectively. Patients randomis</w:t>
      </w:r>
      <w:r w:rsidRPr="00A97EFF">
        <w:rPr>
          <w:rFonts w:cs="Arial"/>
          <w:color w:val="000000" w:themeColor="text1"/>
        </w:rPr>
        <w:t xml:space="preserve">ed to COSENTYX received 10 mg/kg, </w:t>
      </w:r>
      <w:proofErr w:type="spellStart"/>
      <w:r w:rsidRPr="00A97EFF">
        <w:rPr>
          <w:rFonts w:cs="Arial"/>
          <w:color w:val="000000" w:themeColor="text1"/>
        </w:rPr>
        <w:t>i.v.</w:t>
      </w:r>
      <w:proofErr w:type="spellEnd"/>
      <w:r w:rsidRPr="00A97EFF">
        <w:rPr>
          <w:rFonts w:cs="Arial"/>
          <w:color w:val="000000" w:themeColor="text1"/>
        </w:rPr>
        <w:t xml:space="preserve"> at Weeks 0, 2, and 4, followed by either 150 mg or 300 mg </w:t>
      </w:r>
      <w:proofErr w:type="spellStart"/>
      <w:r w:rsidRPr="00A97EFF">
        <w:rPr>
          <w:rFonts w:cs="Arial"/>
          <w:color w:val="000000" w:themeColor="text1"/>
        </w:rPr>
        <w:t>s.c.</w:t>
      </w:r>
      <w:proofErr w:type="spellEnd"/>
      <w:r w:rsidRPr="00A97EFF">
        <w:rPr>
          <w:rFonts w:cs="Arial"/>
          <w:color w:val="000000" w:themeColor="text1"/>
        </w:rPr>
        <w:t xml:space="preserve"> every month. At Wee</w:t>
      </w:r>
      <w:r>
        <w:rPr>
          <w:rFonts w:cs="Arial"/>
          <w:color w:val="000000" w:themeColor="text1"/>
        </w:rPr>
        <w:t>k 16, patients who were randomis</w:t>
      </w:r>
      <w:r w:rsidRPr="00A97EFF">
        <w:rPr>
          <w:rFonts w:cs="Arial"/>
          <w:color w:val="000000" w:themeColor="text1"/>
        </w:rPr>
        <w:t>ed to placebo at baseline were re-randomi</w:t>
      </w:r>
      <w:r>
        <w:rPr>
          <w:rFonts w:cs="Arial"/>
          <w:color w:val="000000" w:themeColor="text1"/>
        </w:rPr>
        <w:t>s</w:t>
      </w:r>
      <w:r w:rsidRPr="00A97EFF">
        <w:rPr>
          <w:rFonts w:cs="Arial"/>
          <w:color w:val="000000" w:themeColor="text1"/>
        </w:rPr>
        <w:t xml:space="preserve">ed to receive </w:t>
      </w:r>
      <w:proofErr w:type="spellStart"/>
      <w:r w:rsidRPr="00A97EFF">
        <w:rPr>
          <w:rFonts w:cs="Arial"/>
          <w:color w:val="000000" w:themeColor="text1"/>
        </w:rPr>
        <w:t>Cosentyx</w:t>
      </w:r>
      <w:proofErr w:type="spellEnd"/>
      <w:r w:rsidRPr="00A97EFF">
        <w:rPr>
          <w:rFonts w:cs="Arial"/>
          <w:color w:val="000000" w:themeColor="text1"/>
        </w:rPr>
        <w:t xml:space="preserve"> (either 150 mg or 300 mg) </w:t>
      </w:r>
      <w:proofErr w:type="spellStart"/>
      <w:r w:rsidRPr="00A97EFF">
        <w:rPr>
          <w:rFonts w:cs="Arial"/>
          <w:color w:val="000000" w:themeColor="text1"/>
        </w:rPr>
        <w:t>s.c.</w:t>
      </w:r>
      <w:proofErr w:type="spellEnd"/>
      <w:r w:rsidRPr="00A97EFF">
        <w:rPr>
          <w:rFonts w:cs="Arial"/>
          <w:color w:val="000000" w:themeColor="text1"/>
        </w:rPr>
        <w:t xml:space="preserve"> every month. The primary end point was ASAS20 at Week 16. Patients were blinded to the treatment regimen up to Week 52, and the study continued to Week 156.</w:t>
      </w:r>
    </w:p>
    <w:p w14:paraId="2933D03D" w14:textId="77777777"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Signs and symptoms</w:t>
      </w:r>
    </w:p>
    <w:p w14:paraId="43C884B5" w14:textId="392B24F5" w:rsidR="00F62A4F" w:rsidRPr="00733D88" w:rsidRDefault="00F62A4F" w:rsidP="00AF46A0">
      <w:pPr>
        <w:rPr>
          <w:rFonts w:cs="Arial"/>
        </w:rPr>
      </w:pPr>
      <w:r w:rsidRPr="00733D88">
        <w:rPr>
          <w:rFonts w:cs="Arial"/>
        </w:rPr>
        <w:t xml:space="preserve">In AS2 Study, treatment with COSENTYX 150 mg resulted in greater improvement in measures of disease activity compared with placebo at Week 16 (see Table </w:t>
      </w:r>
      <w:r w:rsidR="00690FDD" w:rsidRPr="00733D88">
        <w:rPr>
          <w:rFonts w:cs="Arial"/>
        </w:rPr>
        <w:t>1</w:t>
      </w:r>
      <w:r w:rsidR="00AC40B4" w:rsidRPr="00733D88">
        <w:rPr>
          <w:rFonts w:cs="Arial"/>
        </w:rPr>
        <w:t>0</w:t>
      </w:r>
      <w:r w:rsidRPr="00733D88">
        <w:rPr>
          <w:rFonts w:cs="Arial"/>
        </w:rPr>
        <w:t>).</w:t>
      </w:r>
      <w:bookmarkStart w:id="7" w:name="_Toc411604542"/>
    </w:p>
    <w:bookmarkEnd w:id="7"/>
    <w:p w14:paraId="7E97F7B4" w14:textId="5EFF20A1" w:rsidR="00F62A4F" w:rsidRPr="00733D88" w:rsidRDefault="00F62A4F" w:rsidP="00AF46A0">
      <w:pPr>
        <w:spacing w:after="120"/>
        <w:ind w:left="1166" w:hanging="1166"/>
        <w:rPr>
          <w:rFonts w:ascii="Arial" w:hAnsi="Arial" w:cs="Arial"/>
          <w:b/>
          <w:sz w:val="20"/>
        </w:rPr>
      </w:pPr>
      <w:r w:rsidRPr="00733D88">
        <w:rPr>
          <w:rFonts w:ascii="Arial" w:hAnsi="Arial" w:cs="Arial"/>
          <w:b/>
          <w:sz w:val="20"/>
        </w:rPr>
        <w:t xml:space="preserve">Table </w:t>
      </w:r>
      <w:r w:rsidR="003028BF" w:rsidRPr="00733D88">
        <w:rPr>
          <w:rFonts w:ascii="Arial" w:hAnsi="Arial" w:cs="Arial"/>
          <w:b/>
          <w:sz w:val="20"/>
        </w:rPr>
        <w:t xml:space="preserve">10 </w:t>
      </w:r>
      <w:r w:rsidRPr="00733D88">
        <w:rPr>
          <w:rFonts w:ascii="Arial" w:hAnsi="Arial" w:cs="Arial"/>
          <w:b/>
          <w:sz w:val="20"/>
        </w:rPr>
        <w:tab/>
        <w:t>Clinical response in AS2 Study at Week 16</w:t>
      </w:r>
    </w:p>
    <w:tbl>
      <w:tblPr>
        <w:tblStyle w:val="TableGrid4"/>
        <w:tblW w:w="8500" w:type="dxa"/>
        <w:tblLayout w:type="fixed"/>
        <w:tblCellMar>
          <w:top w:w="57" w:type="dxa"/>
          <w:bottom w:w="57" w:type="dxa"/>
        </w:tblCellMar>
        <w:tblLook w:val="04A0" w:firstRow="1" w:lastRow="0" w:firstColumn="1" w:lastColumn="0" w:noHBand="0" w:noVBand="1"/>
      </w:tblPr>
      <w:tblGrid>
        <w:gridCol w:w="3681"/>
        <w:gridCol w:w="1701"/>
        <w:gridCol w:w="1417"/>
        <w:gridCol w:w="1701"/>
      </w:tblGrid>
      <w:tr w:rsidR="00F62A4F" w:rsidRPr="00733D88" w14:paraId="11F95FE2" w14:textId="77777777" w:rsidTr="002D07A3">
        <w:trPr>
          <w:trHeight w:val="28"/>
          <w:tblHeader/>
        </w:trPr>
        <w:tc>
          <w:tcPr>
            <w:tcW w:w="3681" w:type="dxa"/>
            <w:vAlign w:val="center"/>
          </w:tcPr>
          <w:p w14:paraId="2706C06F"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Outcome (p-value vs placebo)</w:t>
            </w:r>
          </w:p>
        </w:tc>
        <w:tc>
          <w:tcPr>
            <w:tcW w:w="1701" w:type="dxa"/>
            <w:vAlign w:val="center"/>
          </w:tcPr>
          <w:p w14:paraId="49112888"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Placebo</w:t>
            </w:r>
          </w:p>
          <w:p w14:paraId="324CCAD0"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(n = 74)</w:t>
            </w:r>
          </w:p>
        </w:tc>
        <w:tc>
          <w:tcPr>
            <w:tcW w:w="1417" w:type="dxa"/>
            <w:vAlign w:val="center"/>
          </w:tcPr>
          <w:p w14:paraId="470D6C7F"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75 mg</w:t>
            </w:r>
          </w:p>
          <w:p w14:paraId="6908234B"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(n = 73)</w:t>
            </w:r>
          </w:p>
        </w:tc>
        <w:tc>
          <w:tcPr>
            <w:tcW w:w="1701" w:type="dxa"/>
            <w:vAlign w:val="center"/>
          </w:tcPr>
          <w:p w14:paraId="783EE84F"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150 mg</w:t>
            </w:r>
          </w:p>
          <w:p w14:paraId="20630667" w14:textId="77777777" w:rsidR="00F62A4F" w:rsidRPr="002D07A3" w:rsidRDefault="00F62A4F" w:rsidP="00AF46A0">
            <w:pPr>
              <w:rPr>
                <w:rFonts w:ascii="Arial" w:hAnsi="Arial" w:cs="Arial"/>
                <w:b/>
                <w:sz w:val="18"/>
                <w:szCs w:val="18"/>
                <w:lang w:val="en-AU"/>
              </w:rPr>
            </w:pPr>
            <w:r w:rsidRPr="00733D88">
              <w:rPr>
                <w:rFonts w:ascii="Arial" w:hAnsi="Arial" w:cs="Arial"/>
                <w:b/>
                <w:sz w:val="18"/>
                <w:szCs w:val="18"/>
              </w:rPr>
              <w:t>(n = 72)</w:t>
            </w:r>
          </w:p>
        </w:tc>
      </w:tr>
      <w:tr w:rsidR="00F62A4F" w:rsidRPr="00733D88" w14:paraId="491E4A5F" w14:textId="77777777" w:rsidTr="002D07A3">
        <w:trPr>
          <w:trHeight w:val="28"/>
          <w:tblHeader/>
        </w:trPr>
        <w:tc>
          <w:tcPr>
            <w:tcW w:w="3681" w:type="dxa"/>
            <w:vAlign w:val="center"/>
          </w:tcPr>
          <w:p w14:paraId="26E01900"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Efficacy at Week 16</w:t>
            </w:r>
          </w:p>
        </w:tc>
        <w:tc>
          <w:tcPr>
            <w:tcW w:w="1701" w:type="dxa"/>
            <w:vAlign w:val="center"/>
          </w:tcPr>
          <w:p w14:paraId="7E2BDBCE" w14:textId="77777777" w:rsidR="00F62A4F" w:rsidRPr="002D07A3" w:rsidRDefault="00F62A4F" w:rsidP="00AF46A0">
            <w:pPr>
              <w:rPr>
                <w:rFonts w:ascii="Arial" w:hAnsi="Arial" w:cs="Arial"/>
                <w:sz w:val="18"/>
                <w:szCs w:val="18"/>
                <w:lang w:val="en-AU"/>
              </w:rPr>
            </w:pPr>
          </w:p>
        </w:tc>
        <w:tc>
          <w:tcPr>
            <w:tcW w:w="1417" w:type="dxa"/>
            <w:vAlign w:val="center"/>
          </w:tcPr>
          <w:p w14:paraId="739C60A0" w14:textId="77777777" w:rsidR="00F62A4F" w:rsidRPr="002D07A3" w:rsidRDefault="00F62A4F" w:rsidP="00AF46A0">
            <w:pPr>
              <w:rPr>
                <w:rFonts w:ascii="Arial" w:hAnsi="Arial" w:cs="Arial"/>
                <w:sz w:val="18"/>
                <w:szCs w:val="18"/>
                <w:lang w:val="en-AU"/>
              </w:rPr>
            </w:pPr>
          </w:p>
        </w:tc>
        <w:tc>
          <w:tcPr>
            <w:tcW w:w="1701" w:type="dxa"/>
            <w:vAlign w:val="center"/>
          </w:tcPr>
          <w:p w14:paraId="5133BE74" w14:textId="77777777" w:rsidR="00F62A4F" w:rsidRPr="002D07A3" w:rsidRDefault="00F62A4F" w:rsidP="00AF46A0">
            <w:pPr>
              <w:rPr>
                <w:rFonts w:ascii="Arial" w:hAnsi="Arial" w:cs="Arial"/>
                <w:sz w:val="18"/>
                <w:szCs w:val="18"/>
                <w:lang w:val="en-AU"/>
              </w:rPr>
            </w:pPr>
          </w:p>
        </w:tc>
      </w:tr>
      <w:tr w:rsidR="00F62A4F" w:rsidRPr="00733D88" w14:paraId="072AA3FA" w14:textId="77777777" w:rsidTr="002D07A3">
        <w:trPr>
          <w:trHeight w:val="28"/>
          <w:tblHeader/>
        </w:trPr>
        <w:tc>
          <w:tcPr>
            <w:tcW w:w="3681" w:type="dxa"/>
            <w:vAlign w:val="center"/>
          </w:tcPr>
          <w:p w14:paraId="2A17FD5F"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ASAS20 response, %</w:t>
            </w:r>
          </w:p>
        </w:tc>
        <w:tc>
          <w:tcPr>
            <w:tcW w:w="1701" w:type="dxa"/>
            <w:vAlign w:val="center"/>
          </w:tcPr>
          <w:p w14:paraId="755FFDB3"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28.4</w:t>
            </w:r>
          </w:p>
        </w:tc>
        <w:tc>
          <w:tcPr>
            <w:tcW w:w="1417" w:type="dxa"/>
            <w:vAlign w:val="center"/>
          </w:tcPr>
          <w:p w14:paraId="7E94B435"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41.1</w:t>
            </w:r>
          </w:p>
        </w:tc>
        <w:tc>
          <w:tcPr>
            <w:tcW w:w="1701" w:type="dxa"/>
            <w:vAlign w:val="center"/>
          </w:tcPr>
          <w:p w14:paraId="29D262F2"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61.1***</w:t>
            </w:r>
          </w:p>
        </w:tc>
      </w:tr>
      <w:tr w:rsidR="00F62A4F" w:rsidRPr="00733D88" w14:paraId="1B92CF75" w14:textId="77777777" w:rsidTr="002D07A3">
        <w:trPr>
          <w:trHeight w:val="273"/>
          <w:tblHeader/>
        </w:trPr>
        <w:tc>
          <w:tcPr>
            <w:tcW w:w="3681" w:type="dxa"/>
            <w:vAlign w:val="center"/>
          </w:tcPr>
          <w:p w14:paraId="09E15AEE" w14:textId="77777777" w:rsidR="00F62A4F" w:rsidRPr="002D07A3" w:rsidRDefault="00F62A4F" w:rsidP="00AF46A0">
            <w:pPr>
              <w:rPr>
                <w:rFonts w:ascii="Arial" w:hAnsi="Arial" w:cs="Arial"/>
                <w:sz w:val="18"/>
                <w:szCs w:val="18"/>
                <w:lang w:val="en-AU"/>
              </w:rPr>
            </w:pPr>
            <w:r w:rsidRPr="002D07A3">
              <w:rPr>
                <w:rFonts w:ascii="Arial" w:hAnsi="Arial" w:cs="Arial"/>
                <w:sz w:val="18"/>
                <w:szCs w:val="18"/>
                <w:lang w:val="en-AU"/>
              </w:rPr>
              <w:t>ASAS40 response, %</w:t>
            </w:r>
          </w:p>
        </w:tc>
        <w:tc>
          <w:tcPr>
            <w:tcW w:w="1701" w:type="dxa"/>
            <w:vAlign w:val="center"/>
          </w:tcPr>
          <w:p w14:paraId="256A1D47"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10.8</w:t>
            </w:r>
          </w:p>
        </w:tc>
        <w:tc>
          <w:tcPr>
            <w:tcW w:w="1417" w:type="dxa"/>
            <w:vAlign w:val="center"/>
          </w:tcPr>
          <w:p w14:paraId="72F1E4D6"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26.0</w:t>
            </w:r>
          </w:p>
        </w:tc>
        <w:tc>
          <w:tcPr>
            <w:tcW w:w="1701" w:type="dxa"/>
            <w:vAlign w:val="center"/>
          </w:tcPr>
          <w:p w14:paraId="44E4E0D9"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36.1***</w:t>
            </w:r>
          </w:p>
        </w:tc>
      </w:tr>
      <w:tr w:rsidR="00F62A4F" w:rsidRPr="00733D88" w14:paraId="469F5548" w14:textId="77777777" w:rsidTr="002D07A3">
        <w:trPr>
          <w:trHeight w:val="273"/>
          <w:tblHeader/>
        </w:trPr>
        <w:tc>
          <w:tcPr>
            <w:tcW w:w="3681" w:type="dxa"/>
            <w:vAlign w:val="center"/>
          </w:tcPr>
          <w:p w14:paraId="6A2D812F" w14:textId="77777777" w:rsidR="00F62A4F" w:rsidRPr="002D07A3" w:rsidRDefault="00F62A4F" w:rsidP="00AF46A0">
            <w:pPr>
              <w:rPr>
                <w:rFonts w:ascii="Arial" w:hAnsi="Arial" w:cs="Arial"/>
                <w:sz w:val="18"/>
                <w:szCs w:val="18"/>
                <w:lang w:val="en-AU"/>
              </w:rPr>
            </w:pPr>
            <w:proofErr w:type="spellStart"/>
            <w:r w:rsidRPr="00733D88">
              <w:rPr>
                <w:rFonts w:ascii="Arial" w:hAnsi="Arial" w:cs="Arial"/>
                <w:sz w:val="18"/>
                <w:szCs w:val="18"/>
              </w:rPr>
              <w:t>hsCRP</w:t>
            </w:r>
            <w:proofErr w:type="spellEnd"/>
            <w:r w:rsidRPr="00733D88">
              <w:rPr>
                <w:rFonts w:ascii="Arial" w:hAnsi="Arial" w:cs="Arial"/>
                <w:sz w:val="18"/>
                <w:szCs w:val="18"/>
              </w:rPr>
              <w:t>, (post-BSL/BSL ratio)</w:t>
            </w:r>
          </w:p>
        </w:tc>
        <w:tc>
          <w:tcPr>
            <w:tcW w:w="1701" w:type="dxa"/>
            <w:vAlign w:val="center"/>
          </w:tcPr>
          <w:p w14:paraId="6EC1E56D"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1.13</w:t>
            </w:r>
          </w:p>
        </w:tc>
        <w:tc>
          <w:tcPr>
            <w:tcW w:w="1417" w:type="dxa"/>
            <w:vAlign w:val="center"/>
          </w:tcPr>
          <w:p w14:paraId="1F8B8262"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0.61</w:t>
            </w:r>
          </w:p>
        </w:tc>
        <w:tc>
          <w:tcPr>
            <w:tcW w:w="1701" w:type="dxa"/>
            <w:vAlign w:val="center"/>
          </w:tcPr>
          <w:p w14:paraId="46159FC6"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0.55***</w:t>
            </w:r>
          </w:p>
        </w:tc>
      </w:tr>
      <w:tr w:rsidR="00F62A4F" w:rsidRPr="00733D88" w14:paraId="6DE184A1" w14:textId="77777777" w:rsidTr="002D07A3">
        <w:trPr>
          <w:trHeight w:val="28"/>
          <w:tblHeader/>
        </w:trPr>
        <w:tc>
          <w:tcPr>
            <w:tcW w:w="3681" w:type="dxa"/>
            <w:vAlign w:val="center"/>
          </w:tcPr>
          <w:p w14:paraId="699789A3"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ASAS5/6, %</w:t>
            </w:r>
          </w:p>
        </w:tc>
        <w:tc>
          <w:tcPr>
            <w:tcW w:w="1701" w:type="dxa"/>
            <w:vAlign w:val="center"/>
          </w:tcPr>
          <w:p w14:paraId="7588344A"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8.1</w:t>
            </w:r>
          </w:p>
        </w:tc>
        <w:tc>
          <w:tcPr>
            <w:tcW w:w="1417" w:type="dxa"/>
            <w:vAlign w:val="center"/>
          </w:tcPr>
          <w:p w14:paraId="054AE150"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34.2</w:t>
            </w:r>
          </w:p>
        </w:tc>
        <w:tc>
          <w:tcPr>
            <w:tcW w:w="1701" w:type="dxa"/>
            <w:vAlign w:val="center"/>
          </w:tcPr>
          <w:p w14:paraId="24B2793B"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43.1***</w:t>
            </w:r>
          </w:p>
        </w:tc>
      </w:tr>
      <w:tr w:rsidR="00F62A4F" w:rsidRPr="00733D88" w14:paraId="04F271FB" w14:textId="77777777" w:rsidTr="002D07A3">
        <w:trPr>
          <w:trHeight w:val="28"/>
          <w:tblHeader/>
        </w:trPr>
        <w:tc>
          <w:tcPr>
            <w:tcW w:w="3681" w:type="dxa"/>
            <w:vAlign w:val="center"/>
          </w:tcPr>
          <w:p w14:paraId="12DB474E"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ASAS partial remission, %</w:t>
            </w:r>
          </w:p>
        </w:tc>
        <w:tc>
          <w:tcPr>
            <w:tcW w:w="1701" w:type="dxa"/>
            <w:vAlign w:val="center"/>
          </w:tcPr>
          <w:p w14:paraId="014B3AF4"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4.1</w:t>
            </w:r>
          </w:p>
        </w:tc>
        <w:tc>
          <w:tcPr>
            <w:tcW w:w="1417" w:type="dxa"/>
            <w:vAlign w:val="center"/>
          </w:tcPr>
          <w:p w14:paraId="3E215E49"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15.1</w:t>
            </w:r>
          </w:p>
        </w:tc>
        <w:tc>
          <w:tcPr>
            <w:tcW w:w="1701" w:type="dxa"/>
            <w:vAlign w:val="center"/>
          </w:tcPr>
          <w:p w14:paraId="212AE07A"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13.9</w:t>
            </w:r>
          </w:p>
        </w:tc>
      </w:tr>
      <w:tr w:rsidR="00F62A4F" w:rsidRPr="00733D88" w14:paraId="540A1D2B" w14:textId="77777777" w:rsidTr="002D07A3">
        <w:trPr>
          <w:trHeight w:val="28"/>
          <w:tblHeader/>
        </w:trPr>
        <w:tc>
          <w:tcPr>
            <w:tcW w:w="3681" w:type="dxa"/>
            <w:vAlign w:val="center"/>
          </w:tcPr>
          <w:p w14:paraId="640B4C80"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BASDAI50, %</w:t>
            </w:r>
          </w:p>
        </w:tc>
        <w:tc>
          <w:tcPr>
            <w:tcW w:w="1701" w:type="dxa"/>
            <w:vAlign w:val="center"/>
          </w:tcPr>
          <w:p w14:paraId="2082ABAF"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10.8</w:t>
            </w:r>
          </w:p>
        </w:tc>
        <w:tc>
          <w:tcPr>
            <w:tcW w:w="1417" w:type="dxa"/>
            <w:vAlign w:val="center"/>
          </w:tcPr>
          <w:p w14:paraId="5001229A"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24.7*</w:t>
            </w:r>
          </w:p>
        </w:tc>
        <w:tc>
          <w:tcPr>
            <w:tcW w:w="1701" w:type="dxa"/>
            <w:vAlign w:val="center"/>
          </w:tcPr>
          <w:p w14:paraId="56995977"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30.6**</w:t>
            </w:r>
          </w:p>
        </w:tc>
      </w:tr>
      <w:tr w:rsidR="00F62A4F" w:rsidRPr="00733D88" w14:paraId="19AC7F54" w14:textId="77777777" w:rsidTr="002D07A3">
        <w:trPr>
          <w:trHeight w:val="28"/>
          <w:tblHeader/>
        </w:trPr>
        <w:tc>
          <w:tcPr>
            <w:tcW w:w="3681" w:type="dxa"/>
            <w:tcBorders>
              <w:bottom w:val="single" w:sz="4" w:space="0" w:color="auto"/>
            </w:tcBorders>
            <w:vAlign w:val="center"/>
          </w:tcPr>
          <w:p w14:paraId="230DECE4"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 xml:space="preserve">ASDAS-CRP major improvement </w:t>
            </w:r>
          </w:p>
        </w:tc>
        <w:tc>
          <w:tcPr>
            <w:tcW w:w="1701" w:type="dxa"/>
            <w:tcBorders>
              <w:bottom w:val="single" w:sz="4" w:space="0" w:color="auto"/>
            </w:tcBorders>
            <w:vAlign w:val="center"/>
          </w:tcPr>
          <w:p w14:paraId="68459A60"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4.1</w:t>
            </w:r>
          </w:p>
        </w:tc>
        <w:tc>
          <w:tcPr>
            <w:tcW w:w="1417" w:type="dxa"/>
            <w:tcBorders>
              <w:bottom w:val="single" w:sz="4" w:space="0" w:color="auto"/>
            </w:tcBorders>
            <w:vAlign w:val="center"/>
          </w:tcPr>
          <w:p w14:paraId="514053E1"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15.1</w:t>
            </w:r>
            <w:r w:rsidRPr="002D07A3">
              <w:rPr>
                <w:rFonts w:ascii="Arial" w:hAnsi="Arial" w:cs="Arial"/>
                <w:sz w:val="18"/>
                <w:szCs w:val="18"/>
                <w:lang w:val="en-AU"/>
              </w:rPr>
              <w:t>*</w:t>
            </w:r>
          </w:p>
        </w:tc>
        <w:tc>
          <w:tcPr>
            <w:tcW w:w="1701" w:type="dxa"/>
            <w:tcBorders>
              <w:bottom w:val="single" w:sz="4" w:space="0" w:color="auto"/>
            </w:tcBorders>
            <w:vAlign w:val="center"/>
          </w:tcPr>
          <w:p w14:paraId="2BDEB402" w14:textId="77777777" w:rsidR="00F62A4F" w:rsidRPr="002D07A3" w:rsidRDefault="00F62A4F" w:rsidP="00AF46A0">
            <w:pPr>
              <w:rPr>
                <w:rFonts w:ascii="Arial" w:hAnsi="Arial" w:cs="Arial"/>
                <w:sz w:val="18"/>
                <w:szCs w:val="18"/>
                <w:lang w:val="en-AU"/>
              </w:rPr>
            </w:pPr>
            <w:r w:rsidRPr="00733D88">
              <w:rPr>
                <w:rFonts w:ascii="Arial" w:hAnsi="Arial" w:cs="Arial"/>
                <w:sz w:val="18"/>
                <w:szCs w:val="18"/>
              </w:rPr>
              <w:t>25.0***</w:t>
            </w:r>
          </w:p>
        </w:tc>
      </w:tr>
      <w:tr w:rsidR="00F62A4F" w:rsidRPr="00D01EB6" w14:paraId="25FB9D05" w14:textId="77777777" w:rsidTr="002D07A3">
        <w:trPr>
          <w:trHeight w:val="420"/>
          <w:tblHeader/>
        </w:trPr>
        <w:tc>
          <w:tcPr>
            <w:tcW w:w="8500" w:type="dxa"/>
            <w:gridSpan w:val="4"/>
            <w:tcBorders>
              <w:left w:val="nil"/>
              <w:bottom w:val="nil"/>
              <w:right w:val="nil"/>
            </w:tcBorders>
            <w:vAlign w:val="center"/>
          </w:tcPr>
          <w:p w14:paraId="099D81C0" w14:textId="77777777" w:rsidR="00F62A4F" w:rsidRPr="002D07A3" w:rsidRDefault="00F62A4F" w:rsidP="00AF46A0">
            <w:pPr>
              <w:rPr>
                <w:rFonts w:ascii="Arial" w:hAnsi="Arial" w:cs="Arial"/>
                <w:i/>
                <w:sz w:val="16"/>
                <w:szCs w:val="18"/>
                <w:lang w:val="en-AU"/>
              </w:rPr>
            </w:pPr>
            <w:r w:rsidRPr="002D07A3">
              <w:rPr>
                <w:rFonts w:ascii="Arial" w:hAnsi="Arial" w:cs="Arial"/>
                <w:i/>
                <w:sz w:val="16"/>
                <w:szCs w:val="18"/>
              </w:rPr>
              <w:t>*p&lt;0.05;  **p&lt;0.01; ***p&lt; 0.001 vs. placebo</w:t>
            </w:r>
          </w:p>
          <w:p w14:paraId="7A875A1E" w14:textId="77777777" w:rsidR="00F62A4F" w:rsidRPr="002D07A3" w:rsidRDefault="00F62A4F" w:rsidP="00AF46A0">
            <w:pPr>
              <w:rPr>
                <w:rFonts w:ascii="Arial" w:hAnsi="Arial" w:cs="Arial"/>
                <w:i/>
                <w:sz w:val="16"/>
                <w:szCs w:val="18"/>
                <w:lang w:val="en-AU"/>
              </w:rPr>
            </w:pPr>
            <w:r w:rsidRPr="002D07A3">
              <w:rPr>
                <w:rFonts w:ascii="Arial" w:hAnsi="Arial" w:cs="Arial"/>
                <w:i/>
                <w:sz w:val="16"/>
                <w:szCs w:val="18"/>
              </w:rPr>
              <w:t>All p-values adjusted for multiplicity of testing based on pre-defined hierarchy, except BASDAI50 and ASDAS-CRP</w:t>
            </w:r>
          </w:p>
          <w:p w14:paraId="35993A05" w14:textId="77777777" w:rsidR="00F62A4F" w:rsidRPr="002D07A3" w:rsidRDefault="00F62A4F" w:rsidP="00AF46A0">
            <w:pPr>
              <w:rPr>
                <w:rFonts w:ascii="Arial" w:hAnsi="Arial" w:cs="Arial"/>
                <w:i/>
                <w:sz w:val="16"/>
                <w:szCs w:val="18"/>
                <w:lang w:val="en-AU"/>
              </w:rPr>
            </w:pPr>
            <w:r w:rsidRPr="002D07A3">
              <w:rPr>
                <w:rFonts w:ascii="Arial" w:hAnsi="Arial" w:cs="Arial"/>
                <w:i/>
                <w:sz w:val="16"/>
                <w:szCs w:val="18"/>
              </w:rPr>
              <w:t>Non-responder imputation used for missing binary endpoint</w:t>
            </w:r>
          </w:p>
          <w:p w14:paraId="6B834504" w14:textId="77777777" w:rsidR="00F62A4F" w:rsidRPr="002D07A3" w:rsidRDefault="00F62A4F" w:rsidP="00AF46A0">
            <w:pPr>
              <w:rPr>
                <w:rFonts w:ascii="Arial" w:hAnsi="Arial" w:cs="Arial"/>
                <w:i/>
                <w:sz w:val="16"/>
                <w:szCs w:val="18"/>
                <w:lang w:val="en-AU"/>
              </w:rPr>
            </w:pPr>
            <w:r w:rsidRPr="002D07A3">
              <w:rPr>
                <w:rFonts w:ascii="Arial" w:hAnsi="Arial" w:cs="Arial"/>
                <w:i/>
                <w:sz w:val="16"/>
                <w:szCs w:val="18"/>
              </w:rPr>
              <w:t xml:space="preserve">ASAS: Assessment of </w:t>
            </w:r>
            <w:proofErr w:type="spellStart"/>
            <w:r w:rsidRPr="002D07A3">
              <w:rPr>
                <w:rFonts w:ascii="Arial" w:hAnsi="Arial" w:cs="Arial"/>
                <w:i/>
                <w:sz w:val="16"/>
                <w:szCs w:val="18"/>
              </w:rPr>
              <w:t>SpondyloArthritis</w:t>
            </w:r>
            <w:proofErr w:type="spellEnd"/>
            <w:r w:rsidRPr="002D07A3">
              <w:rPr>
                <w:rFonts w:ascii="Arial" w:hAnsi="Arial" w:cs="Arial"/>
                <w:i/>
                <w:sz w:val="16"/>
                <w:szCs w:val="18"/>
              </w:rPr>
              <w:t xml:space="preserve"> International Society Criteria; BASDAI: Bath Ankylosing Spondylitis Disease Activity Index; </w:t>
            </w:r>
            <w:proofErr w:type="spellStart"/>
            <w:r w:rsidRPr="002D07A3">
              <w:rPr>
                <w:rFonts w:ascii="Arial" w:hAnsi="Arial" w:cs="Arial"/>
                <w:i/>
                <w:sz w:val="16"/>
                <w:szCs w:val="18"/>
              </w:rPr>
              <w:t>hsCRP</w:t>
            </w:r>
            <w:proofErr w:type="spellEnd"/>
            <w:r w:rsidRPr="002D07A3">
              <w:rPr>
                <w:rFonts w:ascii="Arial" w:hAnsi="Arial" w:cs="Arial"/>
                <w:i/>
                <w:sz w:val="16"/>
                <w:szCs w:val="18"/>
              </w:rPr>
              <w:t xml:space="preserve">: high-sensitivity C-reactive protein; ASDAS: Ankylosing Spondylitis Disease Activity Score; BSL: baseline; LS: least square </w:t>
            </w:r>
          </w:p>
        </w:tc>
      </w:tr>
    </w:tbl>
    <w:p w14:paraId="40C39851" w14:textId="272D5EE3" w:rsidR="003B15C9" w:rsidRPr="00212FB1" w:rsidRDefault="003B15C9" w:rsidP="00AF46A0">
      <w:pPr>
        <w:rPr>
          <w:rFonts w:cs="Arial"/>
        </w:rPr>
      </w:pPr>
    </w:p>
    <w:p w14:paraId="2AB72A8D" w14:textId="77777777" w:rsidR="00F62A4F" w:rsidRPr="00733D88" w:rsidRDefault="00F62A4F" w:rsidP="00AF46A0">
      <w:pPr>
        <w:rPr>
          <w:rFonts w:cs="Arial"/>
        </w:rPr>
      </w:pPr>
      <w:r w:rsidRPr="00212FB1">
        <w:rPr>
          <w:rFonts w:cs="Arial"/>
        </w:rPr>
        <w:t>The onset of action of COSENTYX 150 mg occurred as early as Week 1 for ASAS20 and Week 2 for ASAS4</w:t>
      </w:r>
      <w:r w:rsidRPr="00733D88">
        <w:rPr>
          <w:rFonts w:cs="Arial"/>
        </w:rPr>
        <w:t xml:space="preserve">0 (superior to placebo) in AS2 Study.  </w:t>
      </w:r>
    </w:p>
    <w:p w14:paraId="39021E26" w14:textId="77777777" w:rsidR="00212FB1" w:rsidRDefault="00212FB1" w:rsidP="00AF46A0">
      <w:pPr>
        <w:spacing w:after="120"/>
        <w:rPr>
          <w:rFonts w:ascii="Arial" w:hAnsi="Arial" w:cs="Arial"/>
          <w:b/>
          <w:sz w:val="20"/>
        </w:rPr>
        <w:sectPr w:rsidR="00212FB1" w:rsidSect="00A85630">
          <w:pgSz w:w="11906" w:h="16838" w:code="9"/>
          <w:pgMar w:top="1440" w:right="1440" w:bottom="851" w:left="1440" w:header="709" w:footer="709" w:gutter="0"/>
          <w:cols w:space="708"/>
          <w:docGrid w:linePitch="360"/>
        </w:sectPr>
      </w:pPr>
    </w:p>
    <w:p w14:paraId="4FE835DE" w14:textId="3F65A1EF" w:rsidR="00F62A4F" w:rsidRPr="00212FB1" w:rsidRDefault="00F62A4F" w:rsidP="00AF46A0">
      <w:pPr>
        <w:spacing w:after="120"/>
        <w:rPr>
          <w:rFonts w:ascii="Arial" w:hAnsi="Arial" w:cs="Arial"/>
          <w:b/>
          <w:sz w:val="20"/>
        </w:rPr>
      </w:pPr>
      <w:r w:rsidRPr="00212FB1">
        <w:rPr>
          <w:rFonts w:ascii="Arial" w:hAnsi="Arial" w:cs="Arial"/>
          <w:b/>
          <w:sz w:val="20"/>
        </w:rPr>
        <w:t xml:space="preserve">Figure 3 </w:t>
      </w:r>
      <w:r w:rsidRPr="00212FB1">
        <w:rPr>
          <w:rFonts w:ascii="Arial" w:hAnsi="Arial" w:cs="Arial"/>
          <w:b/>
          <w:sz w:val="20"/>
        </w:rPr>
        <w:tab/>
        <w:t>ASAS20 responses in AS 2 Study over time up to Week 16</w:t>
      </w:r>
    </w:p>
    <w:p w14:paraId="1A676CE7" w14:textId="77777777" w:rsidR="00F62A4F" w:rsidRPr="00733D88" w:rsidRDefault="00F62A4F" w:rsidP="00AF46A0">
      <w:pPr>
        <w:ind w:left="720"/>
        <w:rPr>
          <w:rFonts w:ascii="Arial" w:hAnsi="Arial" w:cs="Arial"/>
          <w:sz w:val="20"/>
        </w:rPr>
      </w:pPr>
      <w:r w:rsidRPr="00904D71">
        <w:rPr>
          <w:rFonts w:ascii="Arial" w:hAnsi="Arial" w:cs="Arial"/>
          <w:noProof/>
          <w:sz w:val="20"/>
          <w:lang w:eastAsia="en-AU"/>
        </w:rPr>
        <mc:AlternateContent>
          <mc:Choice Requires="wps">
            <w:drawing>
              <wp:anchor distT="0" distB="0" distL="114300" distR="114300" simplePos="0" relativeHeight="251661312" behindDoc="0" locked="0" layoutInCell="1" allowOverlap="1" wp14:anchorId="4E37E37F" wp14:editId="7A8FB55F">
                <wp:simplePos x="0" y="0"/>
                <wp:positionH relativeFrom="margin">
                  <wp:align>left</wp:align>
                </wp:positionH>
                <wp:positionV relativeFrom="paragraph">
                  <wp:posOffset>1058921</wp:posOffset>
                </wp:positionV>
                <wp:extent cx="2073910" cy="292735"/>
                <wp:effectExtent l="0" t="4763"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73910" cy="292735"/>
                        </a:xfrm>
                        <a:prstGeom prst="rect">
                          <a:avLst/>
                        </a:prstGeom>
                        <a:solidFill>
                          <a:srgbClr val="FFFFFF"/>
                        </a:solidFill>
                        <a:ln w="9525">
                          <a:noFill/>
                          <a:miter lim="800000"/>
                          <a:headEnd/>
                          <a:tailEnd/>
                        </a:ln>
                      </wps:spPr>
                      <wps:txbx>
                        <w:txbxContent>
                          <w:p w14:paraId="3A784AA3" w14:textId="77777777" w:rsidR="00AF46A0" w:rsidRPr="00551677" w:rsidRDefault="00AF46A0" w:rsidP="00F62A4F">
                            <w:r w:rsidRPr="00551677">
                              <w:t xml:space="preserve">Percentage of responders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7E37F" id="_x0000_s1028" type="#_x0000_t202" style="position:absolute;left:0;text-align:left;margin-left:0;margin-top:83.4pt;width:163.3pt;height:23.05pt;rotation:-9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" stroked="f">
                <v:textbox>
                  <w:txbxContent>
                    <w:p w14:paraId="3A784AA3" w14:textId="77777777" w:rsidR="00AF46A0" w:rsidRPr="00551677" w:rsidRDefault="00AF46A0" w:rsidP="00F62A4F">
                      <w:r w:rsidRPr="00551677">
                        <w:t xml:space="preserve">Percentage of responders </w:t>
                      </w:r>
                    </w:p>
                  </w:txbxContent>
                </v:textbox>
                <w10:wrap anchorx="margin"/>
              </v:shape>
            </w:pict>
          </mc:Fallback>
        </mc:AlternateContent>
      </w:r>
      <w:r w:rsidRPr="00914388">
        <w:rPr>
          <w:rFonts w:ascii="Arial" w:hAnsi="Arial" w:cs="Arial"/>
          <w:noProof/>
          <w:sz w:val="20"/>
          <w:lang w:eastAsia="en-AU"/>
        </w:rPr>
        <w:drawing>
          <wp:inline distT="0" distB="0" distL="0" distR="0" wp14:anchorId="3CB348D3" wp14:editId="44FDAD27">
            <wp:extent cx="5541590" cy="2544418"/>
            <wp:effectExtent l="0" t="0" r="2540" b="8890"/>
            <wp:docPr id="2051" name="Picture 2051" descr="C:\Users\lenhaca1\AppData\Local\Temp\SNAGHTMLf61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haca1\AppData\Local\Temp\SNAGHTMLf6140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2327" cy="2544756"/>
                    </a:xfrm>
                    <a:prstGeom prst="rect">
                      <a:avLst/>
                    </a:prstGeom>
                    <a:noFill/>
                    <a:ln>
                      <a:noFill/>
                    </a:ln>
                  </pic:spPr>
                </pic:pic>
              </a:graphicData>
            </a:graphic>
          </wp:inline>
        </w:drawing>
      </w:r>
    </w:p>
    <w:p w14:paraId="0CC998F0" w14:textId="22F33F5B" w:rsidR="00F62A4F" w:rsidRPr="00733D88" w:rsidRDefault="00F62A4F" w:rsidP="00AF46A0">
      <w:pPr>
        <w:rPr>
          <w:rFonts w:ascii="Arial" w:hAnsi="Arial" w:cs="Arial"/>
          <w:sz w:val="20"/>
        </w:rPr>
      </w:pPr>
      <w:r w:rsidRPr="00904D71">
        <w:rPr>
          <w:rFonts w:ascii="Arial" w:hAnsi="Arial" w:cs="Arial"/>
          <w:noProof/>
          <w:sz w:val="20"/>
          <w:lang w:eastAsia="en-AU"/>
        </w:rPr>
        <mc:AlternateContent>
          <mc:Choice Requires="wps">
            <w:drawing>
              <wp:anchor distT="0" distB="0" distL="114300" distR="114300" simplePos="0" relativeHeight="251659264" behindDoc="0" locked="0" layoutInCell="1" allowOverlap="1" wp14:anchorId="52E89D97" wp14:editId="40F27D53">
                <wp:simplePos x="0" y="0"/>
                <wp:positionH relativeFrom="column">
                  <wp:posOffset>2130094</wp:posOffset>
                </wp:positionH>
                <wp:positionV relativeFrom="paragraph">
                  <wp:posOffset>29210</wp:posOffset>
                </wp:positionV>
                <wp:extent cx="1430020" cy="253365"/>
                <wp:effectExtent l="0" t="0" r="0" b="0"/>
                <wp:wrapNone/>
                <wp:docPr id="20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020" cy="253365"/>
                        </a:xfrm>
                        <a:prstGeom prst="rect">
                          <a:avLst/>
                        </a:prstGeom>
                        <a:solidFill>
                          <a:srgbClr val="FFFFFF"/>
                        </a:solidFill>
                        <a:ln w="9525">
                          <a:noFill/>
                          <a:miter lim="800000"/>
                          <a:headEnd/>
                          <a:tailEnd/>
                        </a:ln>
                      </wps:spPr>
                      <wps:txbx>
                        <w:txbxContent>
                          <w:p w14:paraId="6C3DBB02" w14:textId="77777777" w:rsidR="00AF46A0" w:rsidRPr="00E75D57" w:rsidRDefault="00AF46A0" w:rsidP="00F62A4F">
                            <w:pPr>
                              <w:jc w:val="center"/>
                            </w:pPr>
                            <w:r w:rsidRPr="00E548AE">
                              <w:rPr>
                                <w:color w:val="000000" w:themeColor="text1"/>
                              </w:rPr>
                              <w:t xml:space="preserve">Time </w:t>
                            </w:r>
                            <w:r w:rsidRPr="00E75D57">
                              <w:t>(Weeks)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E89D97" id="_x0000_s1029" type="#_x0000_t202" style="position:absolute;margin-left:167.7pt;margin-top:2.3pt;width:112.6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" stroked="f">
                <v:textbox>
                  <w:txbxContent>
                    <w:p w14:paraId="6C3DBB02" w14:textId="77777777" w:rsidR="00AF46A0" w:rsidRPr="00E75D57" w:rsidRDefault="00AF46A0" w:rsidP="00F62A4F">
                      <w:pPr>
                        <w:jc w:val="center"/>
                      </w:pPr>
                      <w:r w:rsidRPr="00E548AE">
                        <w:rPr>
                          <w:color w:val="000000" w:themeColor="text1"/>
                        </w:rPr>
                        <w:t xml:space="preserve">Time </w:t>
                      </w:r>
                      <w:r w:rsidRPr="00E75D57">
                        <w:t>(Weeks)</w:t>
                      </w:r>
                    </w:p>
                  </w:txbxContent>
                </v:textbox>
              </v:shape>
            </w:pict>
          </mc:Fallback>
        </mc:AlternateContent>
      </w:r>
      <w:r w:rsidRPr="002D07A3">
        <w:rPr>
          <w:rFonts w:ascii="Arial" w:hAnsi="Arial" w:cs="Arial"/>
          <w:noProof/>
          <w:sz w:val="20"/>
          <w:lang w:eastAsia="en-AU"/>
        </w:rPr>
        <mc:AlternateContent>
          <mc:Choice Requires="wps">
            <w:drawing>
              <wp:anchor distT="0" distB="0" distL="114300" distR="114300" simplePos="0" relativeHeight="251660288" behindDoc="1" locked="0" layoutInCell="1" allowOverlap="1" wp14:anchorId="31BEC054" wp14:editId="7DE534EC">
                <wp:simplePos x="0" y="0"/>
                <wp:positionH relativeFrom="column">
                  <wp:posOffset>861695</wp:posOffset>
                </wp:positionH>
                <wp:positionV relativeFrom="paragraph">
                  <wp:posOffset>135566</wp:posOffset>
                </wp:positionV>
                <wp:extent cx="4011235" cy="373769"/>
                <wp:effectExtent l="0" t="0" r="8890" b="7620"/>
                <wp:wrapNone/>
                <wp:docPr id="2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235" cy="373769"/>
                        </a:xfrm>
                        <a:prstGeom prst="rect">
                          <a:avLst/>
                        </a:prstGeom>
                        <a:solidFill>
                          <a:srgbClr val="FFFFFF"/>
                        </a:solidFill>
                        <a:ln w="9525">
                          <a:noFill/>
                          <a:miter lim="800000"/>
                          <a:headEnd/>
                          <a:tailEnd/>
                        </a:ln>
                      </wps:spPr>
                      <wps:txbx>
                        <w:txbxContent>
                          <w:p w14:paraId="78FFB761" w14:textId="77777777" w:rsidR="00AF46A0" w:rsidRDefault="00AF46A0" w:rsidP="00F62A4F">
                            <w:r>
                              <w:rPr>
                                <w:noProof/>
                                <w:lang w:eastAsia="en-AU"/>
                              </w:rPr>
                              <w:drawing>
                                <wp:inline distT="0" distB="0" distL="0" distR="0" wp14:anchorId="6F01ECE5" wp14:editId="37EA06F3">
                                  <wp:extent cx="3704321" cy="300351"/>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07551" cy="30061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EC054" id="_x0000_s1030" type="#_x0000_t202" style="position:absolute;margin-left:67.85pt;margin-top:10.65pt;width:315.85pt;height:2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" stroked="f">
                <v:textbox>
                  <w:txbxContent>
                    <w:p w14:paraId="78FFB761" w14:textId="77777777" w:rsidR="00AF46A0" w:rsidRDefault="00AF46A0" w:rsidP="00F62A4F">
                      <w:r>
                        <w:rPr>
                          <w:noProof/>
                          <w:lang w:eastAsia="en-AU"/>
                        </w:rPr>
                        <w:drawing>
                          <wp:inline distT="0" distB="0" distL="0" distR="0" wp14:anchorId="6F01ECE5" wp14:editId="37EA06F3">
                            <wp:extent cx="3704321" cy="300351"/>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07551" cy="300613"/>
                                    </a:xfrm>
                                    <a:prstGeom prst="rect">
                                      <a:avLst/>
                                    </a:prstGeom>
                                  </pic:spPr>
                                </pic:pic>
                              </a:graphicData>
                            </a:graphic>
                          </wp:inline>
                        </w:drawing>
                      </w:r>
                    </w:p>
                  </w:txbxContent>
                </v:textbox>
              </v:shape>
            </w:pict>
          </mc:Fallback>
        </mc:AlternateContent>
      </w:r>
    </w:p>
    <w:p w14:paraId="541E75F7" w14:textId="77777777" w:rsidR="00E30F42" w:rsidRPr="00733D88" w:rsidRDefault="00E30F42" w:rsidP="00AF46A0">
      <w:pPr>
        <w:spacing w:after="120"/>
        <w:ind w:left="1166" w:hanging="1166"/>
        <w:rPr>
          <w:rFonts w:ascii="Arial" w:hAnsi="Arial" w:cs="Arial"/>
          <w:b/>
          <w:sz w:val="20"/>
        </w:rPr>
      </w:pPr>
      <w:bookmarkStart w:id="8" w:name="_Toc405968174"/>
      <w:bookmarkStart w:id="9" w:name="_Toc476122934"/>
    </w:p>
    <w:p w14:paraId="4EBB25CC" w14:textId="77777777" w:rsidR="00F62A4F" w:rsidRPr="00212FB1" w:rsidRDefault="00F62A4F" w:rsidP="00AF46A0">
      <w:pPr>
        <w:spacing w:after="120"/>
        <w:ind w:left="1166" w:hanging="1166"/>
        <w:rPr>
          <w:rFonts w:ascii="Arial" w:hAnsi="Arial" w:cs="Arial"/>
          <w:b/>
          <w:sz w:val="20"/>
        </w:rPr>
      </w:pPr>
      <w:r w:rsidRPr="00212FB1">
        <w:rPr>
          <w:rFonts w:ascii="Arial" w:hAnsi="Arial" w:cs="Arial"/>
          <w:b/>
          <w:sz w:val="20"/>
        </w:rPr>
        <w:t>Figure 4</w:t>
      </w:r>
      <w:r w:rsidRPr="00212FB1">
        <w:rPr>
          <w:rFonts w:ascii="Arial" w:hAnsi="Arial" w:cs="Arial"/>
          <w:b/>
          <w:sz w:val="20"/>
        </w:rPr>
        <w:tab/>
        <w:t>ASAS40 responses in AS 2 Study over time up to Week 16</w:t>
      </w:r>
      <w:bookmarkEnd w:id="8"/>
      <w:bookmarkEnd w:id="9"/>
    </w:p>
    <w:p w14:paraId="7CA5F020" w14:textId="77777777" w:rsidR="00F62A4F" w:rsidRPr="00733D88" w:rsidRDefault="00F62A4F" w:rsidP="00AF46A0">
      <w:pPr>
        <w:pStyle w:val="Text"/>
        <w:tabs>
          <w:tab w:val="left" w:pos="567"/>
          <w:tab w:val="left" w:pos="709"/>
        </w:tabs>
        <w:ind w:firstLine="426"/>
      </w:pPr>
      <w:r w:rsidRPr="00904D71">
        <w:rPr>
          <w:noProof/>
          <w:szCs w:val="24"/>
          <w:lang w:eastAsia="en-AU" w:bidi="ar-SA"/>
        </w:rPr>
        <mc:AlternateContent>
          <mc:Choice Requires="wps">
            <w:drawing>
              <wp:anchor distT="0" distB="0" distL="114300" distR="114300" simplePos="0" relativeHeight="251666432" behindDoc="0" locked="0" layoutInCell="1" allowOverlap="1" wp14:anchorId="5D2C3CD7" wp14:editId="0526EEBB">
                <wp:simplePos x="0" y="0"/>
                <wp:positionH relativeFrom="column">
                  <wp:posOffset>2572385</wp:posOffset>
                </wp:positionH>
                <wp:positionV relativeFrom="paragraph">
                  <wp:posOffset>2587301</wp:posOffset>
                </wp:positionV>
                <wp:extent cx="922020" cy="2940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94005"/>
                        </a:xfrm>
                        <a:prstGeom prst="rect">
                          <a:avLst/>
                        </a:prstGeom>
                        <a:solidFill>
                          <a:srgbClr val="FFFFFF"/>
                        </a:solidFill>
                        <a:ln w="9525">
                          <a:noFill/>
                          <a:miter lim="800000"/>
                          <a:headEnd/>
                          <a:tailEnd/>
                        </a:ln>
                      </wps:spPr>
                      <wps:txbx>
                        <w:txbxContent>
                          <w:p w14:paraId="5E3C5609" w14:textId="77777777" w:rsidR="00AF46A0" w:rsidRPr="00E548AE" w:rsidRDefault="00AF46A0" w:rsidP="00F62A4F">
                            <w:pPr>
                              <w:jc w:val="center"/>
                              <w:rPr>
                                <w:color w:val="000000" w:themeColor="text1"/>
                                <w:sz w:val="20"/>
                              </w:rPr>
                            </w:pPr>
                            <w:r w:rsidRPr="00E548AE">
                              <w:rPr>
                                <w:color w:val="000000" w:themeColor="text1"/>
                                <w:sz w:val="20"/>
                              </w:rPr>
                              <w:t>Time (Weeks)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C3CD7" id="_x0000_s1031" type="#_x0000_t202" style="position:absolute;left:0;text-align:left;margin-left:202.55pt;margin-top:203.7pt;width:72.6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" stroked="f">
                <v:textbox>
                  <w:txbxContent>
                    <w:p w14:paraId="5E3C5609" w14:textId="77777777" w:rsidR="00AF46A0" w:rsidRPr="00E548AE" w:rsidRDefault="00AF46A0" w:rsidP="00F62A4F">
                      <w:pPr>
                        <w:jc w:val="center"/>
                        <w:rPr>
                          <w:color w:val="000000" w:themeColor="text1"/>
                          <w:sz w:val="20"/>
                        </w:rPr>
                      </w:pPr>
                      <w:r w:rsidRPr="00E548AE">
                        <w:rPr>
                          <w:color w:val="000000" w:themeColor="text1"/>
                          <w:sz w:val="20"/>
                        </w:rPr>
                        <w:t>Time (Weeks)</w:t>
                      </w:r>
                    </w:p>
                  </w:txbxContent>
                </v:textbox>
              </v:shape>
            </w:pict>
          </mc:Fallback>
        </mc:AlternateContent>
      </w:r>
      <w:r w:rsidRPr="00914388">
        <w:rPr>
          <w:noProof/>
          <w:lang w:eastAsia="en-AU" w:bidi="ar-SA"/>
        </w:rPr>
        <w:drawing>
          <wp:inline distT="0" distB="0" distL="0" distR="0" wp14:anchorId="41A1419E" wp14:editId="625F2163">
            <wp:extent cx="5533626" cy="2542966"/>
            <wp:effectExtent l="0" t="0" r="0" b="0"/>
            <wp:docPr id="2" name="Picture 2" descr="C:\Users\lenhaca1\AppData\Local\Temp\SNAGHTML135e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haca1\AppData\Local\Temp\SNAGHTML135ea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34564" cy="2543397"/>
                    </a:xfrm>
                    <a:prstGeom prst="rect">
                      <a:avLst/>
                    </a:prstGeom>
                    <a:noFill/>
                    <a:ln>
                      <a:noFill/>
                    </a:ln>
                  </pic:spPr>
                </pic:pic>
              </a:graphicData>
            </a:graphic>
          </wp:inline>
        </w:drawing>
      </w:r>
      <w:r w:rsidRPr="00914388">
        <w:rPr>
          <w:noProof/>
          <w:szCs w:val="24"/>
          <w:lang w:eastAsia="en-AU" w:bidi="ar-SA"/>
        </w:rPr>
        <mc:AlternateContent>
          <mc:Choice Requires="wps">
            <w:drawing>
              <wp:anchor distT="0" distB="0" distL="114300" distR="114300" simplePos="0" relativeHeight="251664384" behindDoc="0" locked="0" layoutInCell="1" allowOverlap="1" wp14:anchorId="7690CEBE" wp14:editId="2C5851ED">
                <wp:simplePos x="0" y="0"/>
                <wp:positionH relativeFrom="column">
                  <wp:posOffset>-914082</wp:posOffset>
                </wp:positionH>
                <wp:positionV relativeFrom="paragraph">
                  <wp:posOffset>921702</wp:posOffset>
                </wp:positionV>
                <wp:extent cx="2074230" cy="292735"/>
                <wp:effectExtent l="0" t="4763" r="0" b="0"/>
                <wp:wrapNone/>
                <wp:docPr id="20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074230" cy="292735"/>
                        </a:xfrm>
                        <a:prstGeom prst="rect">
                          <a:avLst/>
                        </a:prstGeom>
                        <a:solidFill>
                          <a:srgbClr val="FFFFFF"/>
                        </a:solidFill>
                        <a:ln w="9525">
                          <a:noFill/>
                          <a:miter lim="800000"/>
                          <a:headEnd/>
                          <a:tailEnd/>
                        </a:ln>
                      </wps:spPr>
                      <wps:txbx>
                        <w:txbxContent>
                          <w:p w14:paraId="3F7D9BC4" w14:textId="77777777" w:rsidR="00AF46A0" w:rsidRPr="00E548AE" w:rsidRDefault="00AF46A0" w:rsidP="00F62A4F">
                            <w:pPr>
                              <w:jc w:val="center"/>
                              <w:rPr>
                                <w:color w:val="000000" w:themeColor="text1"/>
                                <w:sz w:val="20"/>
                              </w:rPr>
                            </w:pPr>
                            <w:r w:rsidRPr="00E548AE">
                              <w:rPr>
                                <w:color w:val="000000" w:themeColor="text1"/>
                                <w:sz w:val="20"/>
                              </w:rPr>
                              <w:t xml:space="preserve">Percentage of responders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0CEBE" id="_x0000_s1032" type="#_x0000_t202" style="position:absolute;left:0;text-align:left;margin-left:-71.95pt;margin-top:72.55pt;width:163.35pt;height:23.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" stroked="f">
                <v:textbox>
                  <w:txbxContent>
                    <w:p w14:paraId="3F7D9BC4" w14:textId="77777777" w:rsidR="00AF46A0" w:rsidRPr="00E548AE" w:rsidRDefault="00AF46A0" w:rsidP="00F62A4F">
                      <w:pPr>
                        <w:jc w:val="center"/>
                        <w:rPr>
                          <w:color w:val="000000" w:themeColor="text1"/>
                          <w:sz w:val="20"/>
                        </w:rPr>
                      </w:pPr>
                      <w:r w:rsidRPr="00E548AE">
                        <w:rPr>
                          <w:color w:val="000000" w:themeColor="text1"/>
                          <w:sz w:val="20"/>
                        </w:rPr>
                        <w:t xml:space="preserve">Percentage of responders </w:t>
                      </w:r>
                    </w:p>
                  </w:txbxContent>
                </v:textbox>
              </v:shape>
            </w:pict>
          </mc:Fallback>
        </mc:AlternateContent>
      </w:r>
    </w:p>
    <w:p w14:paraId="04FA06D9" w14:textId="77777777" w:rsidR="00F62A4F" w:rsidRPr="00733D88" w:rsidRDefault="00F62A4F" w:rsidP="00AF46A0">
      <w:pPr>
        <w:pStyle w:val="Text"/>
      </w:pPr>
    </w:p>
    <w:p w14:paraId="06E552D5" w14:textId="77777777" w:rsidR="00F62A4F" w:rsidRPr="00733D88" w:rsidRDefault="00F62A4F" w:rsidP="00AF46A0">
      <w:pPr>
        <w:pStyle w:val="Text"/>
      </w:pPr>
      <w:r w:rsidRPr="00904D71">
        <w:rPr>
          <w:noProof/>
          <w:lang w:eastAsia="en-AU" w:bidi="ar-SA"/>
        </w:rPr>
        <mc:AlternateContent>
          <mc:Choice Requires="wps">
            <w:drawing>
              <wp:anchor distT="0" distB="0" distL="114300" distR="114300" simplePos="0" relativeHeight="251665408" behindDoc="0" locked="0" layoutInCell="1" allowOverlap="1" wp14:anchorId="534BB129" wp14:editId="19D8575A">
                <wp:simplePos x="0" y="0"/>
                <wp:positionH relativeFrom="column">
                  <wp:posOffset>1176020</wp:posOffset>
                </wp:positionH>
                <wp:positionV relativeFrom="paragraph">
                  <wp:posOffset>96209</wp:posOffset>
                </wp:positionV>
                <wp:extent cx="3357226" cy="407142"/>
                <wp:effectExtent l="0" t="0" r="0" b="0"/>
                <wp:wrapNone/>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26" cy="407142"/>
                        </a:xfrm>
                        <a:prstGeom prst="rect">
                          <a:avLst/>
                        </a:prstGeom>
                        <a:solidFill>
                          <a:srgbClr val="FFFFFF"/>
                        </a:solidFill>
                        <a:ln w="9525">
                          <a:noFill/>
                          <a:miter lim="800000"/>
                          <a:headEnd/>
                          <a:tailEnd/>
                        </a:ln>
                      </wps:spPr>
                      <wps:txbx>
                        <w:txbxContent>
                          <w:p w14:paraId="74E96232" w14:textId="77777777" w:rsidR="00AF46A0" w:rsidRDefault="00AF46A0" w:rsidP="00F62A4F">
                            <w:pPr>
                              <w:jc w:val="center"/>
                            </w:pPr>
                            <w:r>
                              <w:rPr>
                                <w:noProof/>
                                <w:lang w:eastAsia="en-AU"/>
                              </w:rPr>
                              <w:drawing>
                                <wp:inline distT="0" distB="0" distL="0" distR="0" wp14:anchorId="28197890" wp14:editId="7432EF72">
                                  <wp:extent cx="3236272" cy="300350"/>
                                  <wp:effectExtent l="0" t="0" r="254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38259" cy="30053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BB129" id="_x0000_s1033" type="#_x0000_t202" style="position:absolute;margin-left:92.6pt;margin-top:7.6pt;width:264.35pt;height:3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" stroked="f">
                <v:textbox>
                  <w:txbxContent>
                    <w:p w14:paraId="74E96232" w14:textId="77777777" w:rsidR="00AF46A0" w:rsidRDefault="00AF46A0" w:rsidP="00F62A4F">
                      <w:pPr>
                        <w:jc w:val="center"/>
                      </w:pPr>
                      <w:r>
                        <w:rPr>
                          <w:noProof/>
                          <w:lang w:eastAsia="en-AU"/>
                        </w:rPr>
                        <w:drawing>
                          <wp:inline distT="0" distB="0" distL="0" distR="0" wp14:anchorId="28197890" wp14:editId="7432EF72">
                            <wp:extent cx="3236272" cy="300350"/>
                            <wp:effectExtent l="0" t="0" r="254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238259" cy="300534"/>
                                    </a:xfrm>
                                    <a:prstGeom prst="rect">
                                      <a:avLst/>
                                    </a:prstGeom>
                                  </pic:spPr>
                                </pic:pic>
                              </a:graphicData>
                            </a:graphic>
                          </wp:inline>
                        </w:drawing>
                      </w:r>
                    </w:p>
                  </w:txbxContent>
                </v:textbox>
              </v:shape>
            </w:pict>
          </mc:Fallback>
        </mc:AlternateContent>
      </w:r>
    </w:p>
    <w:p w14:paraId="26A757FF" w14:textId="77777777" w:rsidR="00F62A4F" w:rsidRPr="00733D88" w:rsidRDefault="00F62A4F" w:rsidP="00AF46A0">
      <w:pPr>
        <w:rPr>
          <w:rFonts w:ascii="Arial" w:hAnsi="Arial" w:cs="Arial"/>
          <w:sz w:val="20"/>
        </w:rPr>
      </w:pPr>
    </w:p>
    <w:p w14:paraId="7CE7A853" w14:textId="77777777" w:rsidR="00F62A4F" w:rsidRPr="00733D88" w:rsidRDefault="00F62A4F" w:rsidP="00AF46A0">
      <w:pPr>
        <w:rPr>
          <w:rFonts w:ascii="Arial" w:hAnsi="Arial" w:cs="Arial"/>
          <w:sz w:val="20"/>
        </w:rPr>
      </w:pPr>
    </w:p>
    <w:p w14:paraId="5E317E6C" w14:textId="77777777" w:rsidR="00F62A4F" w:rsidRPr="00733D88" w:rsidRDefault="00F62A4F" w:rsidP="00AF46A0">
      <w:pPr>
        <w:rPr>
          <w:rFonts w:cs="Arial"/>
        </w:rPr>
      </w:pPr>
      <w:r w:rsidRPr="00733D88">
        <w:rPr>
          <w:rFonts w:cs="Arial"/>
        </w:rPr>
        <w:t xml:space="preserve">ASAS20 responses were improved at Week 16 in both </w:t>
      </w:r>
      <w:proofErr w:type="spellStart"/>
      <w:r w:rsidRPr="00733D88">
        <w:rPr>
          <w:rFonts w:cs="Arial"/>
        </w:rPr>
        <w:t>antiTNF</w:t>
      </w:r>
      <w:proofErr w:type="spellEnd"/>
      <w:r w:rsidRPr="00733D88">
        <w:rPr>
          <w:rFonts w:cs="Arial"/>
        </w:rPr>
        <w:t>α-naïve patients (68.2% vs. 31.1%; p&lt;0.05) and anti-TNFα-IR patients (50.0% vs. 24.1%; p&lt;0.05) for COSENTYX 150 mg compared with placebo, respectively.</w:t>
      </w:r>
    </w:p>
    <w:p w14:paraId="2BCBE242" w14:textId="39A855EF" w:rsidR="00F62A4F" w:rsidRDefault="00F62A4F" w:rsidP="00AF46A0">
      <w:pPr>
        <w:rPr>
          <w:rFonts w:cs="Arial"/>
        </w:rPr>
      </w:pPr>
      <w:r w:rsidRPr="00733D88">
        <w:rPr>
          <w:rFonts w:cs="Arial"/>
        </w:rPr>
        <w:t xml:space="preserve">In </w:t>
      </w:r>
      <w:r w:rsidR="00C6319D">
        <w:rPr>
          <w:rFonts w:cs="Arial"/>
        </w:rPr>
        <w:t>AS1 Study and AS2 Study</w:t>
      </w:r>
      <w:r w:rsidRPr="00733D88">
        <w:rPr>
          <w:rFonts w:cs="Arial"/>
        </w:rPr>
        <w:t>, COSENTYX -treated patients (150 mg in AS2 Study and both regimens in AS1 Study) demonstrated significantly improved signs and symptoms at Week 16, with comparable magnitude of response and efficacy was maintained up to Week 52 in both anti TNF-alpha-naïve and anti-TNF-alpha-IR patients.  In AS Study 2, among 72 patients initially randomised to COSENTYX 150 mg, 61 (84.7%) patients were still on treatment at Week 52.  Of the 72 patients randomised to COSENTYX 150 mg, 45 and 35 had ASAS</w:t>
      </w:r>
      <w:r w:rsidR="00B02EC3" w:rsidRPr="00733D88">
        <w:rPr>
          <w:rFonts w:cs="Arial"/>
        </w:rPr>
        <w:t xml:space="preserve"> 20/40 response, respectively.</w:t>
      </w:r>
    </w:p>
    <w:p w14:paraId="7A95526B" w14:textId="3E95CA9C" w:rsidR="00C6319D" w:rsidRPr="00733D88" w:rsidRDefault="00C6319D" w:rsidP="00AF46A0">
      <w:pPr>
        <w:rPr>
          <w:rFonts w:cs="Arial"/>
        </w:rPr>
      </w:pPr>
      <w:r w:rsidRPr="00A97EFF">
        <w:rPr>
          <w:rFonts w:cs="Arial"/>
          <w:color w:val="000000" w:themeColor="text1"/>
        </w:rPr>
        <w:t xml:space="preserve">In AS3 Study, COSENTYX treated patients (150 mg and 300 mg) demonstrated improved signs and symptoms, and had comparable efficacy responses regardless of dose that were superior to placebo at Week 16 for the primary endpoint (ASAS20). </w:t>
      </w:r>
      <w:r>
        <w:rPr>
          <w:rFonts w:cs="Arial"/>
          <w:color w:val="000000" w:themeColor="text1"/>
        </w:rPr>
        <w:t>Greater response rates favouring 300 mg were also observed for ASAS partial remission (ASAS PR) response at week 16</w:t>
      </w:r>
      <w:r w:rsidRPr="00A97EFF">
        <w:rPr>
          <w:rFonts w:cs="Arial"/>
          <w:color w:val="000000" w:themeColor="text1"/>
        </w:rPr>
        <w:t>. During the blinded period, the ASAS20 and ASAS40 responses were 69.7% and 47.6% for 150 mg and 74.3% and 57.4% for 300 mg at Week 52, respectively. The ASAS20 and ASAS40 responses were maintained through Week 156 (69.5% and 47.6% for 150 mg vs. 74.8% and 55.6% for 300 mg). The ASAS partial remission (ASAS PR) responses were 9.5% and 21.1% for 150 mg and 300 mg respectively, compared to 1.3% for placebo at Week 16. The ASAS PR responses were 18.1% and 24.3% for 150 mg and 300 mg at Week 52, respectively. These responses were maintained through Week 156 (15.1% for 150 mg and 27.2% for 300 mg).</w:t>
      </w:r>
    </w:p>
    <w:p w14:paraId="47B3BC77" w14:textId="77777777"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Spinal mobility</w:t>
      </w:r>
    </w:p>
    <w:p w14:paraId="55520DCD" w14:textId="77777777" w:rsidR="00F62A4F" w:rsidRPr="00733D88" w:rsidRDefault="00F62A4F" w:rsidP="00AF46A0">
      <w:pPr>
        <w:rPr>
          <w:rFonts w:cs="Arial"/>
        </w:rPr>
      </w:pPr>
      <w:r w:rsidRPr="00733D88">
        <w:rPr>
          <w:rFonts w:cs="Arial"/>
        </w:rPr>
        <w:t>Patients treated with COSENTYX 150 mg showed impr</w:t>
      </w:r>
      <w:r w:rsidR="00B02EC3" w:rsidRPr="00733D88">
        <w:rPr>
          <w:rFonts w:cs="Arial"/>
        </w:rPr>
        <w:t>o</w:t>
      </w:r>
      <w:r w:rsidRPr="00733D88">
        <w:rPr>
          <w:rFonts w:cs="Arial"/>
        </w:rPr>
        <w:t>vements in spinal mobility as measu</w:t>
      </w:r>
      <w:r w:rsidR="00B02EC3" w:rsidRPr="00733D88">
        <w:rPr>
          <w:rFonts w:cs="Arial"/>
        </w:rPr>
        <w:t>red by change from baseline in B</w:t>
      </w:r>
      <w:r w:rsidRPr="00733D88">
        <w:rPr>
          <w:rFonts w:cs="Arial"/>
        </w:rPr>
        <w:t>ASMI at Week 16 for both AS Study 1 (0.40 versus 0.12 for placebo; p=0.0114) and AS Study 2 (0.51 versus 0.22 for placebo; p=0.0533).  These improvements were sustained up to Week 52.</w:t>
      </w:r>
    </w:p>
    <w:p w14:paraId="47E852E1" w14:textId="77777777" w:rsidR="00F62A4F" w:rsidRPr="00733D88" w:rsidRDefault="00F62A4F" w:rsidP="00AF46A0">
      <w:pPr>
        <w:spacing w:after="120"/>
        <w:rPr>
          <w:rFonts w:asciiTheme="majorHAnsi" w:eastAsiaTheme="majorEastAsia" w:hAnsiTheme="majorHAnsi" w:cstheme="minorHAnsi"/>
          <w:b/>
          <w:bCs/>
        </w:rPr>
      </w:pPr>
      <w:r w:rsidRPr="00733D88">
        <w:rPr>
          <w:rFonts w:asciiTheme="majorHAnsi" w:eastAsiaTheme="majorEastAsia" w:hAnsiTheme="majorHAnsi" w:cstheme="minorHAnsi"/>
          <w:b/>
          <w:bCs/>
        </w:rPr>
        <w:t>Physical function and health-related quality of life</w:t>
      </w:r>
    </w:p>
    <w:p w14:paraId="36C060AC" w14:textId="77777777" w:rsidR="00F62A4F" w:rsidRPr="00733D88" w:rsidRDefault="00F62A4F" w:rsidP="00AF46A0">
      <w:pPr>
        <w:rPr>
          <w:rFonts w:cs="Arial"/>
        </w:rPr>
      </w:pPr>
      <w:r w:rsidRPr="00733D88">
        <w:rPr>
          <w:rFonts w:cs="Arial"/>
        </w:rPr>
        <w:t xml:space="preserve">In AS Study 1 and 2, patients treated with COSENTYX 150 mg showed improvements in health-related quality of life as measured by </w:t>
      </w:r>
      <w:proofErr w:type="spellStart"/>
      <w:r w:rsidRPr="00733D88">
        <w:rPr>
          <w:rFonts w:cs="Arial"/>
        </w:rPr>
        <w:t>ASQoL</w:t>
      </w:r>
      <w:proofErr w:type="spellEnd"/>
      <w:r w:rsidRPr="00733D88">
        <w:rPr>
          <w:rFonts w:cs="Arial"/>
        </w:rPr>
        <w:t xml:space="preserve"> (p = 0.001) and SF-36 PCS (p&lt; 0.001).</w:t>
      </w:r>
      <w:r w:rsidRPr="00733D88" w:rsidDel="001629A6">
        <w:rPr>
          <w:rFonts w:cs="Arial"/>
        </w:rPr>
        <w:t xml:space="preserve"> </w:t>
      </w:r>
      <w:r w:rsidRPr="00733D88">
        <w:rPr>
          <w:rFonts w:cs="Arial"/>
        </w:rPr>
        <w:t>These improvements were sustained up to Week 52.</w:t>
      </w:r>
    </w:p>
    <w:p w14:paraId="0D4985A6" w14:textId="77777777" w:rsidR="0013166A" w:rsidRPr="00733D88" w:rsidRDefault="00F62A4F" w:rsidP="00AF46A0">
      <w:pPr>
        <w:rPr>
          <w:rFonts w:cs="Arial"/>
        </w:rPr>
      </w:pPr>
      <w:r w:rsidRPr="00733D88">
        <w:rPr>
          <w:rFonts w:cs="Arial"/>
        </w:rPr>
        <w:t>Patients treated with COSENTYX 150 mg also showed improvements on exploratory endpoints in physical function as assessed by the Bath Ankylosing Spondylitis Functional Index (BASFI) compared to placebo (-2.15 versus -0.68).</w:t>
      </w:r>
    </w:p>
    <w:p w14:paraId="6C1BC5A2" w14:textId="1E85B096" w:rsidR="001603B3" w:rsidRPr="002D07A3" w:rsidRDefault="001603B3" w:rsidP="00AF46A0">
      <w:pPr>
        <w:pStyle w:val="Text"/>
        <w:spacing w:after="200" w:line="276" w:lineRule="auto"/>
        <w:rPr>
          <w:rFonts w:asciiTheme="majorHAnsi" w:eastAsiaTheme="majorEastAsia" w:hAnsiTheme="majorHAnsi" w:cstheme="minorHAnsi"/>
          <w:b/>
          <w:bCs/>
          <w:sz w:val="22"/>
          <w:szCs w:val="22"/>
          <w:u w:val="single"/>
          <w:lang w:bidi="ar-SA"/>
        </w:rPr>
      </w:pPr>
      <w:r w:rsidRPr="002D07A3">
        <w:rPr>
          <w:rFonts w:asciiTheme="majorHAnsi" w:eastAsiaTheme="majorEastAsia" w:hAnsiTheme="majorHAnsi" w:cstheme="minorHAnsi"/>
          <w:b/>
          <w:bCs/>
          <w:sz w:val="22"/>
          <w:szCs w:val="22"/>
          <w:u w:val="single"/>
          <w:lang w:bidi="ar-SA"/>
        </w:rPr>
        <w:t xml:space="preserve">Non-radiographic axial </w:t>
      </w:r>
      <w:proofErr w:type="spellStart"/>
      <w:r w:rsidRPr="002D07A3">
        <w:rPr>
          <w:rFonts w:asciiTheme="majorHAnsi" w:eastAsiaTheme="majorEastAsia" w:hAnsiTheme="majorHAnsi" w:cstheme="minorHAnsi"/>
          <w:b/>
          <w:bCs/>
          <w:sz w:val="22"/>
          <w:szCs w:val="22"/>
          <w:u w:val="single"/>
          <w:lang w:bidi="ar-SA"/>
        </w:rPr>
        <w:t>spondyloarthritis</w:t>
      </w:r>
      <w:proofErr w:type="spellEnd"/>
      <w:r w:rsidRPr="002D07A3">
        <w:rPr>
          <w:rFonts w:asciiTheme="majorHAnsi" w:eastAsiaTheme="majorEastAsia" w:hAnsiTheme="majorHAnsi" w:cstheme="minorHAnsi"/>
          <w:b/>
          <w:bCs/>
          <w:sz w:val="22"/>
          <w:szCs w:val="22"/>
          <w:u w:val="single"/>
          <w:lang w:bidi="ar-SA"/>
        </w:rPr>
        <w:t xml:space="preserve"> (</w:t>
      </w:r>
      <w:proofErr w:type="spellStart"/>
      <w:r w:rsidRPr="00733D88">
        <w:rPr>
          <w:rFonts w:asciiTheme="majorHAnsi" w:eastAsiaTheme="majorEastAsia" w:hAnsiTheme="majorHAnsi" w:cstheme="minorHAnsi"/>
          <w:b/>
          <w:bCs/>
          <w:sz w:val="22"/>
          <w:szCs w:val="22"/>
          <w:u w:val="single"/>
          <w:lang w:bidi="ar-SA"/>
        </w:rPr>
        <w:t>axSpA</w:t>
      </w:r>
      <w:proofErr w:type="spellEnd"/>
      <w:r w:rsidRPr="00733D88">
        <w:rPr>
          <w:rFonts w:asciiTheme="majorHAnsi" w:eastAsiaTheme="majorEastAsia" w:hAnsiTheme="majorHAnsi" w:cstheme="minorHAnsi"/>
          <w:b/>
          <w:bCs/>
          <w:sz w:val="22"/>
          <w:szCs w:val="22"/>
          <w:u w:val="single"/>
          <w:lang w:bidi="ar-SA"/>
        </w:rPr>
        <w:t xml:space="preserve"> without radiographic damage</w:t>
      </w:r>
      <w:r w:rsidRPr="002D07A3">
        <w:rPr>
          <w:rFonts w:asciiTheme="majorHAnsi" w:eastAsiaTheme="majorEastAsia" w:hAnsiTheme="majorHAnsi" w:cstheme="minorHAnsi"/>
          <w:b/>
          <w:bCs/>
          <w:sz w:val="22"/>
          <w:szCs w:val="22"/>
          <w:u w:val="single"/>
          <w:lang w:bidi="ar-SA"/>
        </w:rPr>
        <w:t>)</w:t>
      </w:r>
    </w:p>
    <w:p w14:paraId="0079D31D" w14:textId="0EDE76D5" w:rsidR="001603B3" w:rsidRPr="002D07A3" w:rsidRDefault="001603B3" w:rsidP="00AF46A0">
      <w:pPr>
        <w:pStyle w:val="Text"/>
        <w:spacing w:after="200" w:line="276" w:lineRule="auto"/>
        <w:rPr>
          <w:rFonts w:asciiTheme="minorHAnsi" w:eastAsiaTheme="minorHAnsi" w:hAnsiTheme="minorHAnsi" w:cs="Arial"/>
          <w:sz w:val="22"/>
          <w:szCs w:val="22"/>
          <w:lang w:bidi="ar-SA"/>
        </w:rPr>
      </w:pPr>
      <w:r w:rsidRPr="002D07A3">
        <w:rPr>
          <w:rFonts w:asciiTheme="minorHAnsi" w:eastAsiaTheme="minorHAnsi" w:hAnsiTheme="minorHAnsi" w:cs="Arial"/>
          <w:sz w:val="22"/>
          <w:szCs w:val="22"/>
          <w:lang w:bidi="ar-SA"/>
        </w:rPr>
        <w:t xml:space="preserve">The safety and efficacy of </w:t>
      </w:r>
      <w:r w:rsidR="00733D88" w:rsidRPr="00733D88">
        <w:rPr>
          <w:rFonts w:asciiTheme="minorHAnsi" w:eastAsiaTheme="minorHAnsi" w:hAnsiTheme="minorHAnsi" w:cs="Arial"/>
          <w:sz w:val="22"/>
          <w:szCs w:val="22"/>
          <w:lang w:bidi="ar-SA"/>
        </w:rPr>
        <w:t>COSENTYX</w:t>
      </w:r>
      <w:r w:rsidRPr="002D07A3">
        <w:rPr>
          <w:rFonts w:asciiTheme="minorHAnsi" w:eastAsiaTheme="minorHAnsi" w:hAnsiTheme="minorHAnsi" w:cs="Arial"/>
          <w:sz w:val="22"/>
          <w:szCs w:val="22"/>
          <w:lang w:bidi="ar-SA"/>
        </w:rPr>
        <w:t xml:space="preserve"> were assessed</w:t>
      </w:r>
      <w:r w:rsidR="00733D88">
        <w:rPr>
          <w:rFonts w:asciiTheme="minorHAnsi" w:eastAsiaTheme="minorHAnsi" w:hAnsiTheme="minorHAnsi" w:cs="Arial"/>
          <w:sz w:val="22"/>
          <w:szCs w:val="22"/>
          <w:lang w:bidi="ar-SA"/>
        </w:rPr>
        <w:t xml:space="preserve"> in 555 patients in one randomis</w:t>
      </w:r>
      <w:r w:rsidRPr="002D07A3">
        <w:rPr>
          <w:rFonts w:asciiTheme="minorHAnsi" w:eastAsiaTheme="minorHAnsi" w:hAnsiTheme="minorHAnsi" w:cs="Arial"/>
          <w:sz w:val="22"/>
          <w:szCs w:val="22"/>
          <w:lang w:bidi="ar-SA"/>
        </w:rPr>
        <w:t xml:space="preserve">ed, double-blind, placebo-controlled phase III study in patients with active non-radiographic axial </w:t>
      </w:r>
      <w:proofErr w:type="spellStart"/>
      <w:r w:rsidRPr="002D07A3">
        <w:rPr>
          <w:rFonts w:asciiTheme="minorHAnsi" w:eastAsiaTheme="minorHAnsi" w:hAnsiTheme="minorHAnsi" w:cs="Arial"/>
          <w:sz w:val="22"/>
          <w:szCs w:val="22"/>
          <w:lang w:bidi="ar-SA"/>
        </w:rPr>
        <w:t>spondyloarthritis</w:t>
      </w:r>
      <w:proofErr w:type="spellEnd"/>
      <w:r w:rsidRPr="002D07A3">
        <w:rPr>
          <w:rFonts w:asciiTheme="minorHAnsi" w:eastAsiaTheme="minorHAnsi" w:hAnsiTheme="minorHAnsi" w:cs="Arial"/>
          <w:sz w:val="22"/>
          <w:szCs w:val="22"/>
          <w:lang w:bidi="ar-SA"/>
        </w:rPr>
        <w:t xml:space="preserve"> (</w:t>
      </w:r>
      <w:proofErr w:type="spellStart"/>
      <w:r w:rsidRPr="002D07A3">
        <w:rPr>
          <w:rFonts w:asciiTheme="minorHAnsi" w:eastAsiaTheme="minorHAnsi" w:hAnsiTheme="minorHAnsi" w:cs="Arial"/>
          <w:sz w:val="22"/>
          <w:szCs w:val="22"/>
          <w:lang w:bidi="ar-SA"/>
        </w:rPr>
        <w:t>nr-axSpA</w:t>
      </w:r>
      <w:proofErr w:type="spellEnd"/>
      <w:r w:rsidRPr="002D07A3">
        <w:rPr>
          <w:rFonts w:asciiTheme="minorHAnsi" w:eastAsiaTheme="minorHAnsi" w:hAnsiTheme="minorHAnsi" w:cs="Arial"/>
          <w:sz w:val="22"/>
          <w:szCs w:val="22"/>
          <w:lang w:bidi="ar-SA"/>
        </w:rPr>
        <w:t xml:space="preserve">) fulfilling the Assessment of </w:t>
      </w:r>
      <w:proofErr w:type="spellStart"/>
      <w:r w:rsidRPr="002D07A3">
        <w:rPr>
          <w:rFonts w:asciiTheme="minorHAnsi" w:eastAsiaTheme="minorHAnsi" w:hAnsiTheme="minorHAnsi" w:cs="Arial"/>
          <w:sz w:val="22"/>
          <w:szCs w:val="22"/>
          <w:lang w:bidi="ar-SA"/>
        </w:rPr>
        <w:t>Spondyloarthritis</w:t>
      </w:r>
      <w:proofErr w:type="spellEnd"/>
      <w:r w:rsidRPr="002D07A3">
        <w:rPr>
          <w:rFonts w:asciiTheme="minorHAnsi" w:eastAsiaTheme="minorHAnsi" w:hAnsiTheme="minorHAnsi" w:cs="Arial"/>
          <w:sz w:val="22"/>
          <w:szCs w:val="22"/>
          <w:lang w:bidi="ar-SA"/>
        </w:rPr>
        <w:t xml:space="preserve"> International Society (ASAS) classification criteria for axial </w:t>
      </w:r>
      <w:proofErr w:type="spellStart"/>
      <w:r w:rsidRPr="002D07A3">
        <w:rPr>
          <w:rFonts w:asciiTheme="minorHAnsi" w:eastAsiaTheme="minorHAnsi" w:hAnsiTheme="minorHAnsi" w:cs="Arial"/>
          <w:sz w:val="22"/>
          <w:szCs w:val="22"/>
          <w:lang w:bidi="ar-SA"/>
        </w:rPr>
        <w:t>spondyloarthritis</w:t>
      </w:r>
      <w:proofErr w:type="spellEnd"/>
      <w:r w:rsidRPr="002D07A3">
        <w:rPr>
          <w:rFonts w:asciiTheme="minorHAnsi" w:eastAsiaTheme="minorHAnsi" w:hAnsiTheme="minorHAnsi" w:cs="Arial"/>
          <w:sz w:val="22"/>
          <w:szCs w:val="22"/>
          <w:lang w:bidi="ar-SA"/>
        </w:rPr>
        <w:t xml:space="preserve"> (</w:t>
      </w:r>
      <w:proofErr w:type="spellStart"/>
      <w:r w:rsidRPr="002D07A3">
        <w:rPr>
          <w:rFonts w:asciiTheme="minorHAnsi" w:eastAsiaTheme="minorHAnsi" w:hAnsiTheme="minorHAnsi" w:cs="Arial"/>
          <w:sz w:val="22"/>
          <w:szCs w:val="22"/>
          <w:lang w:bidi="ar-SA"/>
        </w:rPr>
        <w:t>axSpA</w:t>
      </w:r>
      <w:proofErr w:type="spellEnd"/>
      <w:r w:rsidRPr="002D07A3">
        <w:rPr>
          <w:rFonts w:asciiTheme="minorHAnsi" w:eastAsiaTheme="minorHAnsi" w:hAnsiTheme="minorHAnsi" w:cs="Arial"/>
          <w:sz w:val="22"/>
          <w:szCs w:val="22"/>
          <w:lang w:bidi="ar-SA"/>
        </w:rPr>
        <w:t xml:space="preserve">) with no radiographic evidence of changes in the sacroiliac joints that would meet the modified New York criteria for ankylosing spondylitis (AS). Patients enrolled had active disease, defined as a Bath Ankylosing Spondylitis Disease Activity Index (BASDAI) ≥4, a Visual Analogue Scale (VAS) for total back pain of ≥40 (on a scale of 0-100 mm), despite current or previous non-steroidal anti-inflammatory drug (NSAID) therapy and increased C-reactive protein (CRP) and/or evidence of </w:t>
      </w:r>
      <w:proofErr w:type="spellStart"/>
      <w:r w:rsidRPr="002D07A3">
        <w:rPr>
          <w:rFonts w:asciiTheme="minorHAnsi" w:eastAsiaTheme="minorHAnsi" w:hAnsiTheme="minorHAnsi" w:cs="Arial"/>
          <w:sz w:val="22"/>
          <w:szCs w:val="22"/>
          <w:lang w:bidi="ar-SA"/>
        </w:rPr>
        <w:t>sacroiliitis</w:t>
      </w:r>
      <w:proofErr w:type="spellEnd"/>
      <w:r w:rsidRPr="002D07A3">
        <w:rPr>
          <w:rFonts w:asciiTheme="minorHAnsi" w:eastAsiaTheme="minorHAnsi" w:hAnsiTheme="minorHAnsi" w:cs="Arial"/>
          <w:sz w:val="22"/>
          <w:szCs w:val="22"/>
          <w:lang w:bidi="ar-SA"/>
        </w:rPr>
        <w:t xml:space="preserve"> on Magnetic Resonance Imaging (MRI). Patients in this study had a diagnosis of </w:t>
      </w:r>
      <w:proofErr w:type="spellStart"/>
      <w:r w:rsidRPr="002D07A3">
        <w:rPr>
          <w:rFonts w:asciiTheme="minorHAnsi" w:eastAsiaTheme="minorHAnsi" w:hAnsiTheme="minorHAnsi" w:cs="Arial"/>
          <w:sz w:val="22"/>
          <w:szCs w:val="22"/>
          <w:lang w:bidi="ar-SA"/>
        </w:rPr>
        <w:t>axSpA</w:t>
      </w:r>
      <w:proofErr w:type="spellEnd"/>
      <w:r w:rsidRPr="002D07A3">
        <w:rPr>
          <w:rFonts w:asciiTheme="minorHAnsi" w:eastAsiaTheme="minorHAnsi" w:hAnsiTheme="minorHAnsi" w:cs="Arial"/>
          <w:sz w:val="22"/>
          <w:szCs w:val="22"/>
          <w:lang w:bidi="ar-SA"/>
        </w:rPr>
        <w:t xml:space="preserve"> for a </w:t>
      </w:r>
      <w:r w:rsidR="00A93A76">
        <w:rPr>
          <w:rFonts w:asciiTheme="minorHAnsi" w:eastAsiaTheme="minorHAnsi" w:hAnsiTheme="minorHAnsi" w:cs="Arial"/>
          <w:sz w:val="22"/>
          <w:szCs w:val="22"/>
          <w:lang w:bidi="ar-SA"/>
        </w:rPr>
        <w:t>mean</w:t>
      </w:r>
      <w:r w:rsidRPr="002D07A3">
        <w:rPr>
          <w:rFonts w:asciiTheme="minorHAnsi" w:eastAsiaTheme="minorHAnsi" w:hAnsiTheme="minorHAnsi" w:cs="Arial"/>
          <w:sz w:val="22"/>
          <w:szCs w:val="22"/>
          <w:lang w:bidi="ar-SA"/>
        </w:rPr>
        <w:t xml:space="preserve"> of 2.1 to 3.0 years and 54% of the study participants were female.</w:t>
      </w:r>
    </w:p>
    <w:p w14:paraId="5CA4AB5E" w14:textId="77777777" w:rsidR="001603B3" w:rsidRPr="002D07A3" w:rsidRDefault="001603B3" w:rsidP="00AF46A0">
      <w:pPr>
        <w:pStyle w:val="Text"/>
        <w:spacing w:after="200" w:line="276" w:lineRule="auto"/>
        <w:rPr>
          <w:rFonts w:asciiTheme="minorHAnsi" w:eastAsiaTheme="minorHAnsi" w:hAnsiTheme="minorHAnsi" w:cs="Arial"/>
          <w:sz w:val="22"/>
          <w:szCs w:val="22"/>
          <w:lang w:bidi="ar-SA"/>
        </w:rPr>
      </w:pPr>
      <w:r w:rsidRPr="002D07A3">
        <w:rPr>
          <w:rFonts w:asciiTheme="minorHAnsi" w:eastAsiaTheme="minorHAnsi" w:hAnsiTheme="minorHAnsi" w:cs="Arial"/>
          <w:sz w:val="22"/>
          <w:szCs w:val="22"/>
          <w:lang w:bidi="ar-SA"/>
        </w:rPr>
        <w:t xml:space="preserve">In </w:t>
      </w:r>
      <w:proofErr w:type="spellStart"/>
      <w:r w:rsidRPr="002D07A3">
        <w:rPr>
          <w:rFonts w:asciiTheme="minorHAnsi" w:eastAsiaTheme="minorHAnsi" w:hAnsiTheme="minorHAnsi" w:cs="Arial"/>
          <w:sz w:val="22"/>
          <w:szCs w:val="22"/>
          <w:lang w:bidi="ar-SA"/>
        </w:rPr>
        <w:t>nr-axSpA</w:t>
      </w:r>
      <w:proofErr w:type="spellEnd"/>
      <w:r w:rsidRPr="002D07A3">
        <w:rPr>
          <w:rFonts w:asciiTheme="minorHAnsi" w:eastAsiaTheme="minorHAnsi" w:hAnsiTheme="minorHAnsi" w:cs="Arial"/>
          <w:sz w:val="22"/>
          <w:szCs w:val="22"/>
          <w:lang w:bidi="ar-SA"/>
        </w:rPr>
        <w:t xml:space="preserve"> 1 Study, 57.6% of patients had increased CRP, 72.2% had evidence of </w:t>
      </w:r>
      <w:proofErr w:type="spellStart"/>
      <w:r w:rsidRPr="002D07A3">
        <w:rPr>
          <w:rFonts w:asciiTheme="minorHAnsi" w:eastAsiaTheme="minorHAnsi" w:hAnsiTheme="minorHAnsi" w:cs="Arial"/>
          <w:sz w:val="22"/>
          <w:szCs w:val="22"/>
          <w:lang w:bidi="ar-SA"/>
        </w:rPr>
        <w:t>sacroiliitis</w:t>
      </w:r>
      <w:proofErr w:type="spellEnd"/>
      <w:r w:rsidRPr="002D07A3">
        <w:rPr>
          <w:rFonts w:asciiTheme="minorHAnsi" w:eastAsiaTheme="minorHAnsi" w:hAnsiTheme="minorHAnsi" w:cs="Arial"/>
          <w:sz w:val="22"/>
          <w:szCs w:val="22"/>
          <w:lang w:bidi="ar-SA"/>
        </w:rPr>
        <w:t xml:space="preserve"> on MRI and 29.9% had both increased CRP and evidence of </w:t>
      </w:r>
      <w:proofErr w:type="spellStart"/>
      <w:r w:rsidRPr="002D07A3">
        <w:rPr>
          <w:rFonts w:asciiTheme="minorHAnsi" w:eastAsiaTheme="minorHAnsi" w:hAnsiTheme="minorHAnsi" w:cs="Arial"/>
          <w:sz w:val="22"/>
          <w:szCs w:val="22"/>
          <w:lang w:bidi="ar-SA"/>
        </w:rPr>
        <w:t>sacroiliitis</w:t>
      </w:r>
      <w:proofErr w:type="spellEnd"/>
      <w:r w:rsidRPr="002D07A3">
        <w:rPr>
          <w:rFonts w:asciiTheme="minorHAnsi" w:eastAsiaTheme="minorHAnsi" w:hAnsiTheme="minorHAnsi" w:cs="Arial"/>
          <w:sz w:val="22"/>
          <w:szCs w:val="22"/>
          <w:lang w:bidi="ar-SA"/>
        </w:rPr>
        <w:t xml:space="preserve"> on MRI. In addition, 9.7% of patients were previously treated with an anti-TNF-alpha agent and discontinued the anti-TNF-alpha agent for either lack of efficacy or intolerance (anti-TNF-alpha-IR patients).</w:t>
      </w:r>
    </w:p>
    <w:p w14:paraId="344F18F5" w14:textId="2D351C56" w:rsidR="001603B3" w:rsidRPr="00733D88" w:rsidRDefault="001603B3" w:rsidP="00AF46A0">
      <w:pPr>
        <w:pStyle w:val="Text"/>
        <w:spacing w:after="200" w:line="276" w:lineRule="auto"/>
      </w:pPr>
      <w:proofErr w:type="spellStart"/>
      <w:r w:rsidRPr="002D07A3">
        <w:rPr>
          <w:rFonts w:asciiTheme="minorHAnsi" w:eastAsiaTheme="minorHAnsi" w:hAnsiTheme="minorHAnsi" w:cs="Arial"/>
          <w:sz w:val="22"/>
          <w:szCs w:val="22"/>
          <w:lang w:bidi="ar-SA"/>
        </w:rPr>
        <w:t>Nr-axSpA</w:t>
      </w:r>
      <w:proofErr w:type="spellEnd"/>
      <w:r w:rsidRPr="002D07A3">
        <w:rPr>
          <w:rFonts w:asciiTheme="minorHAnsi" w:eastAsiaTheme="minorHAnsi" w:hAnsiTheme="minorHAnsi" w:cs="Arial"/>
          <w:sz w:val="22"/>
          <w:szCs w:val="22"/>
          <w:lang w:bidi="ar-SA"/>
        </w:rPr>
        <w:t xml:space="preserve"> 1 Study (PREVENT) evaluated 555 patients, of whom 9.9% and 14.8% used concomitant MTX or sulfasalazine, respectively. In the double-blind period, patients received either placebo or </w:t>
      </w:r>
      <w:r w:rsidR="001076F7" w:rsidRPr="00733D88">
        <w:rPr>
          <w:rFonts w:asciiTheme="minorHAnsi" w:eastAsiaTheme="minorHAnsi" w:hAnsiTheme="minorHAnsi" w:cs="Arial"/>
          <w:sz w:val="22"/>
          <w:szCs w:val="22"/>
          <w:lang w:bidi="ar-SA"/>
        </w:rPr>
        <w:t>COSENTYX</w:t>
      </w:r>
      <w:r w:rsidRPr="002D07A3">
        <w:rPr>
          <w:rFonts w:asciiTheme="minorHAnsi" w:eastAsiaTheme="minorHAnsi" w:hAnsiTheme="minorHAnsi" w:cs="Arial"/>
          <w:sz w:val="22"/>
          <w:szCs w:val="22"/>
          <w:lang w:bidi="ar-SA"/>
        </w:rPr>
        <w:t xml:space="preserve"> for 52 weeks. Patients randomi</w:t>
      </w:r>
      <w:r w:rsidR="001076F7">
        <w:rPr>
          <w:rFonts w:asciiTheme="minorHAnsi" w:eastAsiaTheme="minorHAnsi" w:hAnsiTheme="minorHAnsi" w:cs="Arial"/>
          <w:sz w:val="22"/>
          <w:szCs w:val="22"/>
          <w:lang w:bidi="ar-SA"/>
        </w:rPr>
        <w:t>s</w:t>
      </w:r>
      <w:r w:rsidRPr="002D07A3">
        <w:rPr>
          <w:rFonts w:asciiTheme="minorHAnsi" w:eastAsiaTheme="minorHAnsi" w:hAnsiTheme="minorHAnsi" w:cs="Arial"/>
          <w:sz w:val="22"/>
          <w:szCs w:val="22"/>
          <w:lang w:bidi="ar-SA"/>
        </w:rPr>
        <w:t xml:space="preserve">ed to </w:t>
      </w:r>
      <w:r w:rsidR="001076F7" w:rsidRPr="00733D88">
        <w:rPr>
          <w:rFonts w:asciiTheme="minorHAnsi" w:eastAsiaTheme="minorHAnsi" w:hAnsiTheme="minorHAnsi" w:cs="Arial"/>
          <w:sz w:val="22"/>
          <w:szCs w:val="22"/>
          <w:lang w:bidi="ar-SA"/>
        </w:rPr>
        <w:t xml:space="preserve">COSENTYX </w:t>
      </w:r>
      <w:r w:rsidRPr="002D07A3">
        <w:rPr>
          <w:rFonts w:asciiTheme="minorHAnsi" w:eastAsiaTheme="minorHAnsi" w:hAnsiTheme="minorHAnsi" w:cs="Arial"/>
          <w:sz w:val="22"/>
          <w:szCs w:val="22"/>
          <w:lang w:bidi="ar-SA"/>
        </w:rPr>
        <w:t xml:space="preserve">received 150 mg </w:t>
      </w:r>
      <w:proofErr w:type="spellStart"/>
      <w:r w:rsidRPr="002D07A3">
        <w:rPr>
          <w:rFonts w:asciiTheme="minorHAnsi" w:eastAsiaTheme="minorHAnsi" w:hAnsiTheme="minorHAnsi" w:cs="Arial"/>
          <w:sz w:val="22"/>
          <w:szCs w:val="22"/>
          <w:lang w:bidi="ar-SA"/>
        </w:rPr>
        <w:t>s.c.</w:t>
      </w:r>
      <w:proofErr w:type="spellEnd"/>
      <w:r w:rsidRPr="002D07A3">
        <w:rPr>
          <w:rFonts w:asciiTheme="minorHAnsi" w:eastAsiaTheme="minorHAnsi" w:hAnsiTheme="minorHAnsi" w:cs="Arial"/>
          <w:sz w:val="22"/>
          <w:szCs w:val="22"/>
          <w:lang w:bidi="ar-SA"/>
        </w:rPr>
        <w:t xml:space="preserve"> at Weeks 0, 1, 2, 3 and 4 followed by the same dose every </w:t>
      </w:r>
      <w:r w:rsidR="00C12690">
        <w:rPr>
          <w:rFonts w:asciiTheme="minorHAnsi" w:eastAsiaTheme="minorHAnsi" w:hAnsiTheme="minorHAnsi" w:cs="Arial"/>
          <w:sz w:val="22"/>
          <w:szCs w:val="22"/>
          <w:lang w:bidi="ar-SA"/>
        </w:rPr>
        <w:t>four weeks</w:t>
      </w:r>
      <w:r w:rsidRPr="002D07A3">
        <w:rPr>
          <w:rFonts w:asciiTheme="minorHAnsi" w:eastAsiaTheme="minorHAnsi" w:hAnsiTheme="minorHAnsi" w:cs="Arial"/>
          <w:sz w:val="22"/>
          <w:szCs w:val="22"/>
          <w:lang w:bidi="ar-SA"/>
        </w:rPr>
        <w:t xml:space="preserve">, or </w:t>
      </w:r>
      <w:r w:rsidR="001076F7" w:rsidRPr="00733D88">
        <w:rPr>
          <w:rFonts w:asciiTheme="minorHAnsi" w:eastAsiaTheme="minorHAnsi" w:hAnsiTheme="minorHAnsi" w:cs="Arial"/>
          <w:sz w:val="22"/>
          <w:szCs w:val="22"/>
          <w:lang w:bidi="ar-SA"/>
        </w:rPr>
        <w:t>COSENTYX</w:t>
      </w:r>
      <w:r w:rsidRPr="002D07A3">
        <w:rPr>
          <w:rFonts w:asciiTheme="minorHAnsi" w:eastAsiaTheme="minorHAnsi" w:hAnsiTheme="minorHAnsi" w:cs="Arial"/>
          <w:sz w:val="22"/>
          <w:szCs w:val="22"/>
          <w:lang w:bidi="ar-SA"/>
        </w:rPr>
        <w:t xml:space="preserve"> 150 mg</w:t>
      </w:r>
      <w:r w:rsidR="00C12690">
        <w:rPr>
          <w:rFonts w:asciiTheme="minorHAnsi" w:eastAsiaTheme="minorHAnsi" w:hAnsiTheme="minorHAnsi" w:cs="Arial"/>
          <w:sz w:val="22"/>
          <w:szCs w:val="22"/>
          <w:lang w:bidi="ar-SA"/>
        </w:rPr>
        <w:t xml:space="preserve"> </w:t>
      </w:r>
      <w:proofErr w:type="spellStart"/>
      <w:r w:rsidR="00C12690">
        <w:rPr>
          <w:rFonts w:asciiTheme="minorHAnsi" w:eastAsiaTheme="minorHAnsi" w:hAnsiTheme="minorHAnsi" w:cs="Arial"/>
          <w:sz w:val="22"/>
          <w:szCs w:val="22"/>
          <w:lang w:bidi="ar-SA"/>
        </w:rPr>
        <w:t>s.c.</w:t>
      </w:r>
      <w:proofErr w:type="spellEnd"/>
      <w:r w:rsidR="00C12690">
        <w:rPr>
          <w:rFonts w:asciiTheme="minorHAnsi" w:eastAsiaTheme="minorHAnsi" w:hAnsiTheme="minorHAnsi" w:cs="Arial"/>
          <w:sz w:val="22"/>
          <w:szCs w:val="22"/>
          <w:lang w:bidi="ar-SA"/>
        </w:rPr>
        <w:t xml:space="preserve"> every four weeks without a loading dose</w:t>
      </w:r>
      <w:r w:rsidRPr="002D07A3">
        <w:rPr>
          <w:rFonts w:asciiTheme="minorHAnsi" w:eastAsiaTheme="minorHAnsi" w:hAnsiTheme="minorHAnsi" w:cs="Arial"/>
          <w:sz w:val="22"/>
          <w:szCs w:val="22"/>
          <w:lang w:bidi="ar-SA"/>
        </w:rPr>
        <w:t>. The primary endpoint was at least 40% improvement in ASAS 40 at Week 16 in TNF-naive patients.</w:t>
      </w:r>
      <w:r w:rsidRPr="00733D88">
        <w:t xml:space="preserve"> </w:t>
      </w:r>
    </w:p>
    <w:p w14:paraId="597D2BD8" w14:textId="1B8F3FF3" w:rsidR="001603B3" w:rsidRPr="002D07A3" w:rsidRDefault="001603B3" w:rsidP="00AF46A0">
      <w:pPr>
        <w:rPr>
          <w:rFonts w:asciiTheme="majorHAnsi" w:eastAsiaTheme="majorEastAsia" w:hAnsiTheme="majorHAnsi" w:cstheme="minorHAnsi"/>
          <w:b/>
          <w:bCs/>
        </w:rPr>
      </w:pPr>
      <w:r w:rsidRPr="002D07A3">
        <w:rPr>
          <w:rFonts w:asciiTheme="majorHAnsi" w:eastAsiaTheme="majorEastAsia" w:hAnsiTheme="majorHAnsi" w:cstheme="minorHAnsi"/>
          <w:b/>
          <w:bCs/>
        </w:rPr>
        <w:t>Clinical response</w:t>
      </w:r>
    </w:p>
    <w:p w14:paraId="3207EA31" w14:textId="77777777" w:rsidR="001603B3" w:rsidRPr="002D07A3" w:rsidRDefault="001603B3" w:rsidP="00AF46A0">
      <w:pPr>
        <w:rPr>
          <w:rFonts w:asciiTheme="majorHAnsi" w:eastAsiaTheme="majorEastAsia" w:hAnsiTheme="majorHAnsi" w:cstheme="minorHAnsi"/>
          <w:b/>
          <w:bCs/>
        </w:rPr>
      </w:pPr>
      <w:r w:rsidRPr="002D07A3">
        <w:rPr>
          <w:rFonts w:asciiTheme="majorHAnsi" w:eastAsiaTheme="majorEastAsia" w:hAnsiTheme="majorHAnsi" w:cstheme="minorHAnsi"/>
          <w:b/>
          <w:bCs/>
        </w:rPr>
        <w:t>Signs and symptoms</w:t>
      </w:r>
    </w:p>
    <w:p w14:paraId="74B022C7" w14:textId="1E4B3507" w:rsidR="001603B3" w:rsidRPr="002D07A3" w:rsidRDefault="001603B3" w:rsidP="00AF46A0">
      <w:pPr>
        <w:pStyle w:val="Text"/>
        <w:spacing w:after="200" w:line="276" w:lineRule="auto"/>
        <w:rPr>
          <w:rFonts w:asciiTheme="minorHAnsi" w:eastAsiaTheme="minorHAnsi" w:hAnsiTheme="minorHAnsi" w:cs="Arial"/>
          <w:sz w:val="22"/>
          <w:szCs w:val="22"/>
          <w:lang w:bidi="ar-SA"/>
        </w:rPr>
      </w:pPr>
      <w:r w:rsidRPr="002D07A3">
        <w:rPr>
          <w:rFonts w:asciiTheme="minorHAnsi" w:eastAsiaTheme="minorHAnsi" w:hAnsiTheme="minorHAnsi" w:cs="Arial"/>
          <w:sz w:val="22"/>
          <w:szCs w:val="22"/>
          <w:lang w:bidi="ar-SA"/>
        </w:rPr>
        <w:t>In nr-axSpA1 Study, treatment with COSENTYX 150 mg resulted in significant improvements in the measures of disease activity compared to placebo at Week 16. These measures include ASAS 40, ASAS 5/6, BASDAI score, BASDAI 50, high-sensitivity CRP (</w:t>
      </w:r>
      <w:proofErr w:type="spellStart"/>
      <w:r w:rsidRPr="002D07A3">
        <w:rPr>
          <w:rFonts w:asciiTheme="minorHAnsi" w:eastAsiaTheme="minorHAnsi" w:hAnsiTheme="minorHAnsi" w:cs="Arial"/>
          <w:sz w:val="22"/>
          <w:szCs w:val="22"/>
          <w:lang w:bidi="ar-SA"/>
        </w:rPr>
        <w:t>hsCRP</w:t>
      </w:r>
      <w:proofErr w:type="spellEnd"/>
      <w:r w:rsidRPr="002D07A3">
        <w:rPr>
          <w:rFonts w:asciiTheme="minorHAnsi" w:eastAsiaTheme="minorHAnsi" w:hAnsiTheme="minorHAnsi" w:cs="Arial"/>
          <w:sz w:val="22"/>
          <w:szCs w:val="22"/>
          <w:lang w:bidi="ar-SA"/>
        </w:rPr>
        <w:t>), ASAS 20 and ASAS partial remission response compared to placebo at Week 16 (Table 11).</w:t>
      </w:r>
    </w:p>
    <w:p w14:paraId="2433295A" w14:textId="39681CEC" w:rsidR="001603B3" w:rsidRPr="002D07A3" w:rsidRDefault="001603B3" w:rsidP="00AF46A0">
      <w:pPr>
        <w:spacing w:after="120"/>
        <w:rPr>
          <w:rFonts w:ascii="Arial" w:hAnsi="Arial" w:cs="Arial"/>
          <w:b/>
          <w:sz w:val="20"/>
        </w:rPr>
      </w:pPr>
      <w:r w:rsidRPr="002D07A3">
        <w:rPr>
          <w:rFonts w:ascii="Arial" w:hAnsi="Arial" w:cs="Arial"/>
          <w:b/>
          <w:sz w:val="20"/>
        </w:rPr>
        <w:t xml:space="preserve">Table </w:t>
      </w:r>
      <w:r w:rsidR="007F45C2" w:rsidRPr="00904D71">
        <w:rPr>
          <w:rFonts w:ascii="Arial" w:hAnsi="Arial" w:cs="Arial"/>
          <w:b/>
          <w:sz w:val="20"/>
        </w:rPr>
        <w:t>1</w:t>
      </w:r>
      <w:r w:rsidRPr="002D07A3">
        <w:rPr>
          <w:rFonts w:ascii="Arial" w:hAnsi="Arial" w:cs="Arial"/>
          <w:b/>
          <w:sz w:val="20"/>
        </w:rPr>
        <w:t>1</w:t>
      </w:r>
      <w:r w:rsidRPr="002D07A3">
        <w:rPr>
          <w:rFonts w:ascii="Arial" w:hAnsi="Arial" w:cs="Arial"/>
          <w:b/>
          <w:sz w:val="20"/>
        </w:rPr>
        <w:tab/>
        <w:t>Clinical response in nr-axSpA1 Study at Week 16</w:t>
      </w:r>
    </w:p>
    <w:tbl>
      <w:tblPr>
        <w:tblStyle w:val="TableGrid"/>
        <w:tblW w:w="10207" w:type="dxa"/>
        <w:tblInd w:w="-5" w:type="dxa"/>
        <w:tblLayout w:type="fixed"/>
        <w:tblLook w:val="04A0" w:firstRow="1" w:lastRow="0" w:firstColumn="1" w:lastColumn="0" w:noHBand="0" w:noVBand="1"/>
      </w:tblPr>
      <w:tblGrid>
        <w:gridCol w:w="4501"/>
        <w:gridCol w:w="1736"/>
        <w:gridCol w:w="1985"/>
        <w:gridCol w:w="1985"/>
      </w:tblGrid>
      <w:tr w:rsidR="006B5C41" w:rsidRPr="00212FB1" w14:paraId="694BB616" w14:textId="6BC3D648" w:rsidTr="002D07A3">
        <w:trPr>
          <w:trHeight w:val="283"/>
        </w:trPr>
        <w:tc>
          <w:tcPr>
            <w:tcW w:w="4501" w:type="dxa"/>
            <w:vAlign w:val="center"/>
          </w:tcPr>
          <w:p w14:paraId="59C61B50" w14:textId="77777777" w:rsidR="006B5C41" w:rsidRPr="00904D71" w:rsidRDefault="006B5C41" w:rsidP="00AF46A0">
            <w:pPr>
              <w:spacing w:before="20" w:after="20"/>
              <w:rPr>
                <w:szCs w:val="18"/>
              </w:rPr>
            </w:pPr>
            <w:r w:rsidRPr="002D07A3">
              <w:rPr>
                <w:rFonts w:ascii="Arial" w:eastAsiaTheme="minorHAnsi" w:hAnsi="Arial" w:cs="Arial"/>
                <w:b/>
                <w:sz w:val="18"/>
                <w:szCs w:val="18"/>
              </w:rPr>
              <w:t>Outcome (p-value vs placebo)</w:t>
            </w:r>
          </w:p>
        </w:tc>
        <w:tc>
          <w:tcPr>
            <w:tcW w:w="1736" w:type="dxa"/>
            <w:vAlign w:val="center"/>
          </w:tcPr>
          <w:p w14:paraId="2012C00E" w14:textId="49031E45" w:rsidR="006B5C41" w:rsidRPr="00914388" w:rsidRDefault="006B5C41" w:rsidP="00AF46A0">
            <w:pPr>
              <w:pStyle w:val="Table"/>
            </w:pPr>
            <w:r w:rsidRPr="00914388">
              <w:t>Placebo</w:t>
            </w:r>
          </w:p>
        </w:tc>
        <w:tc>
          <w:tcPr>
            <w:tcW w:w="1985" w:type="dxa"/>
            <w:vAlign w:val="center"/>
          </w:tcPr>
          <w:p w14:paraId="0A5E9375" w14:textId="4BA906E7" w:rsidR="006B5C41" w:rsidRPr="00B77816" w:rsidRDefault="006B5C41" w:rsidP="00AF46A0">
            <w:pPr>
              <w:pStyle w:val="Table"/>
            </w:pPr>
            <w:r w:rsidRPr="00B77816">
              <w:t>150 mg</w:t>
            </w:r>
            <w:r>
              <w:t xml:space="preserve"> with load</w:t>
            </w:r>
            <w:r w:rsidRPr="00B77816">
              <w:rPr>
                <w:vertAlign w:val="superscript"/>
              </w:rPr>
              <w:t>1</w:t>
            </w:r>
          </w:p>
        </w:tc>
        <w:tc>
          <w:tcPr>
            <w:tcW w:w="1985" w:type="dxa"/>
          </w:tcPr>
          <w:p w14:paraId="53008390" w14:textId="6B24BC87" w:rsidR="006B5C41" w:rsidRPr="00B77816" w:rsidRDefault="006B5C41" w:rsidP="00AF46A0">
            <w:pPr>
              <w:pStyle w:val="Table"/>
            </w:pPr>
            <w:r>
              <w:t>150 mg without load</w:t>
            </w:r>
          </w:p>
        </w:tc>
      </w:tr>
      <w:tr w:rsidR="006B5C41" w:rsidRPr="00212FB1" w14:paraId="04BDE1B7" w14:textId="55C40B72" w:rsidTr="002D07A3">
        <w:trPr>
          <w:trHeight w:val="283"/>
        </w:trPr>
        <w:tc>
          <w:tcPr>
            <w:tcW w:w="4501" w:type="dxa"/>
            <w:vAlign w:val="center"/>
          </w:tcPr>
          <w:p w14:paraId="189547E1" w14:textId="1459FB09" w:rsidR="006B5C41" w:rsidRPr="00904D71" w:rsidRDefault="006B5C41" w:rsidP="00AF46A0">
            <w:pPr>
              <w:spacing w:before="20" w:after="20"/>
              <w:rPr>
                <w:szCs w:val="18"/>
              </w:rPr>
            </w:pPr>
            <w:r w:rsidRPr="002D07A3">
              <w:rPr>
                <w:rFonts w:ascii="Arial" w:eastAsiaTheme="minorHAnsi" w:hAnsi="Arial" w:cs="Arial"/>
                <w:b/>
                <w:sz w:val="18"/>
                <w:szCs w:val="18"/>
              </w:rPr>
              <w:t>Number of TNF-naive patients randomi</w:t>
            </w:r>
            <w:r>
              <w:rPr>
                <w:rFonts w:ascii="Arial" w:hAnsi="Arial" w:cs="Arial"/>
                <w:b/>
                <w:sz w:val="18"/>
                <w:szCs w:val="18"/>
              </w:rPr>
              <w:t>s</w:t>
            </w:r>
            <w:r w:rsidRPr="002D07A3">
              <w:rPr>
                <w:rFonts w:ascii="Arial" w:eastAsiaTheme="minorHAnsi" w:hAnsi="Arial" w:cs="Arial"/>
                <w:b/>
                <w:sz w:val="18"/>
                <w:szCs w:val="18"/>
              </w:rPr>
              <w:t>ed</w:t>
            </w:r>
          </w:p>
        </w:tc>
        <w:tc>
          <w:tcPr>
            <w:tcW w:w="1736" w:type="dxa"/>
            <w:vAlign w:val="center"/>
          </w:tcPr>
          <w:p w14:paraId="31F34D11" w14:textId="77777777" w:rsidR="006B5C41" w:rsidRPr="00914388" w:rsidRDefault="006B5C41" w:rsidP="00AF46A0">
            <w:pPr>
              <w:pStyle w:val="Table"/>
            </w:pPr>
            <w:r w:rsidRPr="00914388">
              <w:t>171</w:t>
            </w:r>
          </w:p>
        </w:tc>
        <w:tc>
          <w:tcPr>
            <w:tcW w:w="1985" w:type="dxa"/>
            <w:vAlign w:val="center"/>
          </w:tcPr>
          <w:p w14:paraId="5DE06635" w14:textId="77777777" w:rsidR="006B5C41" w:rsidRPr="00B77816" w:rsidRDefault="006B5C41" w:rsidP="00AF46A0">
            <w:pPr>
              <w:pStyle w:val="Table"/>
            </w:pPr>
            <w:r w:rsidRPr="00B77816">
              <w:t>164</w:t>
            </w:r>
          </w:p>
        </w:tc>
        <w:tc>
          <w:tcPr>
            <w:tcW w:w="1985" w:type="dxa"/>
          </w:tcPr>
          <w:p w14:paraId="5CF7EFFA" w14:textId="378ED7D3" w:rsidR="006B5C41" w:rsidRPr="00B77816" w:rsidRDefault="00C5093D" w:rsidP="00AF46A0">
            <w:pPr>
              <w:pStyle w:val="Table"/>
            </w:pPr>
            <w:r>
              <w:t>166</w:t>
            </w:r>
          </w:p>
        </w:tc>
      </w:tr>
      <w:tr w:rsidR="006B5C41" w:rsidRPr="00212FB1" w14:paraId="4AEBF2BA" w14:textId="2EBE2250" w:rsidTr="002D07A3">
        <w:trPr>
          <w:trHeight w:val="283"/>
        </w:trPr>
        <w:tc>
          <w:tcPr>
            <w:tcW w:w="4501" w:type="dxa"/>
            <w:vAlign w:val="center"/>
          </w:tcPr>
          <w:p w14:paraId="0388D086" w14:textId="77777777" w:rsidR="006B5C41" w:rsidRPr="00904D71" w:rsidRDefault="006B5C41" w:rsidP="00AF46A0">
            <w:pPr>
              <w:spacing w:before="20" w:after="20"/>
              <w:rPr>
                <w:szCs w:val="18"/>
              </w:rPr>
            </w:pPr>
            <w:r w:rsidRPr="002D07A3">
              <w:rPr>
                <w:rFonts w:ascii="Arial" w:eastAsiaTheme="minorHAnsi" w:hAnsi="Arial" w:cs="Arial"/>
                <w:sz w:val="18"/>
                <w:szCs w:val="18"/>
              </w:rPr>
              <w:t>ASAS 40 response, %</w:t>
            </w:r>
          </w:p>
        </w:tc>
        <w:tc>
          <w:tcPr>
            <w:tcW w:w="1736" w:type="dxa"/>
            <w:vAlign w:val="center"/>
          </w:tcPr>
          <w:p w14:paraId="32B44A25" w14:textId="77777777" w:rsidR="006B5C41" w:rsidRPr="002D07A3" w:rsidRDefault="006B5C41" w:rsidP="00AF46A0">
            <w:pPr>
              <w:pStyle w:val="Table"/>
              <w:rPr>
                <w:b w:val="0"/>
              </w:rPr>
            </w:pPr>
            <w:r w:rsidRPr="002D07A3">
              <w:rPr>
                <w:b w:val="0"/>
              </w:rPr>
              <w:t>29.2%</w:t>
            </w:r>
          </w:p>
        </w:tc>
        <w:tc>
          <w:tcPr>
            <w:tcW w:w="1985" w:type="dxa"/>
            <w:vAlign w:val="center"/>
          </w:tcPr>
          <w:p w14:paraId="498D4063" w14:textId="77777777" w:rsidR="006B5C41" w:rsidRPr="002D07A3" w:rsidRDefault="006B5C41" w:rsidP="00AF46A0">
            <w:pPr>
              <w:pStyle w:val="Table"/>
              <w:rPr>
                <w:b w:val="0"/>
              </w:rPr>
            </w:pPr>
            <w:r w:rsidRPr="002D07A3">
              <w:rPr>
                <w:b w:val="0"/>
              </w:rPr>
              <w:t>41.5%*</w:t>
            </w:r>
          </w:p>
        </w:tc>
        <w:tc>
          <w:tcPr>
            <w:tcW w:w="1985" w:type="dxa"/>
          </w:tcPr>
          <w:p w14:paraId="4F371E65" w14:textId="15040BC1" w:rsidR="006B5C41" w:rsidRPr="00395DF2" w:rsidRDefault="00C73D3A" w:rsidP="00AF46A0">
            <w:pPr>
              <w:pStyle w:val="Table"/>
              <w:rPr>
                <w:b w:val="0"/>
              </w:rPr>
            </w:pPr>
            <w:r>
              <w:rPr>
                <w:b w:val="0"/>
              </w:rPr>
              <w:t>42.2%</w:t>
            </w:r>
            <w:r w:rsidR="00503ABE">
              <w:rPr>
                <w:b w:val="0"/>
              </w:rPr>
              <w:t>*</w:t>
            </w:r>
          </w:p>
        </w:tc>
      </w:tr>
      <w:tr w:rsidR="006B5C41" w:rsidRPr="00212FB1" w14:paraId="6BAFC744" w14:textId="1095DF89" w:rsidTr="002D07A3">
        <w:trPr>
          <w:trHeight w:val="283"/>
        </w:trPr>
        <w:tc>
          <w:tcPr>
            <w:tcW w:w="4501" w:type="dxa"/>
            <w:vAlign w:val="center"/>
          </w:tcPr>
          <w:p w14:paraId="58CB9E76" w14:textId="461CB378" w:rsidR="006B5C41" w:rsidRPr="00904D71" w:rsidRDefault="006B5C41" w:rsidP="00AF46A0">
            <w:pPr>
              <w:spacing w:before="20" w:after="20"/>
              <w:rPr>
                <w:szCs w:val="18"/>
              </w:rPr>
            </w:pPr>
            <w:r w:rsidRPr="002D07A3">
              <w:rPr>
                <w:rFonts w:ascii="Arial" w:eastAsiaTheme="minorHAnsi" w:hAnsi="Arial" w:cs="Arial"/>
                <w:b/>
                <w:sz w:val="18"/>
                <w:szCs w:val="18"/>
              </w:rPr>
              <w:t>Total number of patients randomi</w:t>
            </w:r>
            <w:r>
              <w:rPr>
                <w:rFonts w:ascii="Arial" w:hAnsi="Arial" w:cs="Arial"/>
                <w:b/>
                <w:sz w:val="18"/>
                <w:szCs w:val="18"/>
              </w:rPr>
              <w:t>s</w:t>
            </w:r>
            <w:r w:rsidRPr="002D07A3">
              <w:rPr>
                <w:rFonts w:ascii="Arial" w:eastAsiaTheme="minorHAnsi" w:hAnsi="Arial" w:cs="Arial"/>
                <w:b/>
                <w:sz w:val="18"/>
                <w:szCs w:val="18"/>
              </w:rPr>
              <w:t>ed</w:t>
            </w:r>
          </w:p>
        </w:tc>
        <w:tc>
          <w:tcPr>
            <w:tcW w:w="1736" w:type="dxa"/>
            <w:vAlign w:val="center"/>
          </w:tcPr>
          <w:p w14:paraId="168B0D5B" w14:textId="77777777" w:rsidR="006B5C41" w:rsidRPr="00914388" w:rsidRDefault="006B5C41" w:rsidP="00AF46A0">
            <w:pPr>
              <w:pStyle w:val="Table"/>
            </w:pPr>
            <w:r w:rsidRPr="00914388">
              <w:t>186</w:t>
            </w:r>
          </w:p>
        </w:tc>
        <w:tc>
          <w:tcPr>
            <w:tcW w:w="1985" w:type="dxa"/>
            <w:vAlign w:val="center"/>
          </w:tcPr>
          <w:p w14:paraId="6F8C1287" w14:textId="77777777" w:rsidR="006B5C41" w:rsidRPr="00B77816" w:rsidRDefault="006B5C41" w:rsidP="00AF46A0">
            <w:pPr>
              <w:pStyle w:val="Table"/>
            </w:pPr>
            <w:r w:rsidRPr="00B77816">
              <w:t>185</w:t>
            </w:r>
          </w:p>
        </w:tc>
        <w:tc>
          <w:tcPr>
            <w:tcW w:w="1985" w:type="dxa"/>
          </w:tcPr>
          <w:p w14:paraId="60AD5240" w14:textId="6EE94D0D" w:rsidR="006B5C41" w:rsidRPr="00B77816" w:rsidRDefault="00C5093D" w:rsidP="00AF46A0">
            <w:pPr>
              <w:pStyle w:val="Table"/>
            </w:pPr>
            <w:r>
              <w:t>184</w:t>
            </w:r>
          </w:p>
        </w:tc>
      </w:tr>
      <w:tr w:rsidR="006B5C41" w:rsidRPr="00212FB1" w14:paraId="1A667165" w14:textId="74394607" w:rsidTr="002D07A3">
        <w:trPr>
          <w:trHeight w:val="283"/>
        </w:trPr>
        <w:tc>
          <w:tcPr>
            <w:tcW w:w="4501" w:type="dxa"/>
            <w:vAlign w:val="center"/>
          </w:tcPr>
          <w:p w14:paraId="517C7037" w14:textId="77777777" w:rsidR="006B5C41" w:rsidRPr="002D07A3" w:rsidRDefault="006B5C41" w:rsidP="00AF46A0">
            <w:pPr>
              <w:spacing w:before="20" w:after="20"/>
              <w:rPr>
                <w:szCs w:val="18"/>
              </w:rPr>
            </w:pPr>
            <w:r w:rsidRPr="002D07A3">
              <w:rPr>
                <w:rFonts w:ascii="Arial" w:eastAsiaTheme="minorHAnsi" w:hAnsi="Arial" w:cs="Arial"/>
                <w:sz w:val="18"/>
                <w:szCs w:val="18"/>
              </w:rPr>
              <w:t>ASAS 40 response, %</w:t>
            </w:r>
          </w:p>
        </w:tc>
        <w:tc>
          <w:tcPr>
            <w:tcW w:w="1736" w:type="dxa"/>
            <w:vAlign w:val="center"/>
          </w:tcPr>
          <w:p w14:paraId="2DE9D934" w14:textId="77777777" w:rsidR="006B5C41" w:rsidRPr="002D07A3" w:rsidRDefault="006B5C41" w:rsidP="00AF46A0">
            <w:pPr>
              <w:pStyle w:val="Table"/>
              <w:rPr>
                <w:b w:val="0"/>
              </w:rPr>
            </w:pPr>
            <w:r w:rsidRPr="002D07A3">
              <w:rPr>
                <w:b w:val="0"/>
              </w:rPr>
              <w:t>28.0%</w:t>
            </w:r>
          </w:p>
        </w:tc>
        <w:tc>
          <w:tcPr>
            <w:tcW w:w="1985" w:type="dxa"/>
            <w:vAlign w:val="center"/>
          </w:tcPr>
          <w:p w14:paraId="7F3E76F4" w14:textId="77777777" w:rsidR="006B5C41" w:rsidRPr="002D07A3" w:rsidRDefault="006B5C41" w:rsidP="00AF46A0">
            <w:pPr>
              <w:pStyle w:val="Table"/>
              <w:rPr>
                <w:b w:val="0"/>
              </w:rPr>
            </w:pPr>
            <w:r w:rsidRPr="002D07A3">
              <w:rPr>
                <w:b w:val="0"/>
              </w:rPr>
              <w:t>40.0%*</w:t>
            </w:r>
          </w:p>
        </w:tc>
        <w:tc>
          <w:tcPr>
            <w:tcW w:w="1985" w:type="dxa"/>
          </w:tcPr>
          <w:p w14:paraId="54406025" w14:textId="7ADBBDD1" w:rsidR="006B5C41" w:rsidRPr="00395DF2" w:rsidRDefault="006B5C41" w:rsidP="00AF46A0">
            <w:pPr>
              <w:pStyle w:val="Table"/>
              <w:rPr>
                <w:b w:val="0"/>
              </w:rPr>
            </w:pPr>
            <w:r>
              <w:rPr>
                <w:b w:val="0"/>
              </w:rPr>
              <w:t>40.8%</w:t>
            </w:r>
            <w:r w:rsidR="00503ABE">
              <w:rPr>
                <w:b w:val="0"/>
              </w:rPr>
              <w:t>*</w:t>
            </w:r>
          </w:p>
        </w:tc>
      </w:tr>
      <w:tr w:rsidR="006B5C41" w:rsidRPr="00212FB1" w14:paraId="50369FCA" w14:textId="44B550F8" w:rsidTr="002D07A3">
        <w:trPr>
          <w:trHeight w:val="283"/>
        </w:trPr>
        <w:tc>
          <w:tcPr>
            <w:tcW w:w="4501" w:type="dxa"/>
            <w:vAlign w:val="center"/>
          </w:tcPr>
          <w:p w14:paraId="6718E1D1" w14:textId="77777777" w:rsidR="006B5C41" w:rsidRPr="002D07A3" w:rsidRDefault="006B5C41" w:rsidP="00AF46A0">
            <w:pPr>
              <w:spacing w:before="20" w:after="20"/>
              <w:rPr>
                <w:szCs w:val="18"/>
              </w:rPr>
            </w:pPr>
            <w:r w:rsidRPr="002D07A3">
              <w:rPr>
                <w:rFonts w:ascii="Arial" w:eastAsiaTheme="minorHAnsi" w:hAnsi="Arial" w:cs="Arial"/>
                <w:sz w:val="18"/>
                <w:szCs w:val="18"/>
              </w:rPr>
              <w:t>ASAS 5/6, %</w:t>
            </w:r>
          </w:p>
        </w:tc>
        <w:tc>
          <w:tcPr>
            <w:tcW w:w="1736" w:type="dxa"/>
            <w:vAlign w:val="center"/>
          </w:tcPr>
          <w:p w14:paraId="409BFC9F" w14:textId="77777777" w:rsidR="006B5C41" w:rsidRPr="002D07A3" w:rsidRDefault="006B5C41" w:rsidP="00AF46A0">
            <w:pPr>
              <w:pStyle w:val="Table"/>
              <w:rPr>
                <w:b w:val="0"/>
              </w:rPr>
            </w:pPr>
            <w:r w:rsidRPr="002D07A3">
              <w:rPr>
                <w:b w:val="0"/>
              </w:rPr>
              <w:t>23.7%</w:t>
            </w:r>
          </w:p>
        </w:tc>
        <w:tc>
          <w:tcPr>
            <w:tcW w:w="1985" w:type="dxa"/>
            <w:vAlign w:val="center"/>
          </w:tcPr>
          <w:p w14:paraId="3B37369B" w14:textId="698CCD6E" w:rsidR="006B5C41" w:rsidRPr="002D07A3" w:rsidRDefault="006B5C41" w:rsidP="00AF46A0">
            <w:pPr>
              <w:pStyle w:val="Table"/>
              <w:rPr>
                <w:b w:val="0"/>
              </w:rPr>
            </w:pPr>
            <w:r w:rsidRPr="002D07A3">
              <w:rPr>
                <w:b w:val="0"/>
              </w:rPr>
              <w:t>40.0%*</w:t>
            </w:r>
          </w:p>
        </w:tc>
        <w:tc>
          <w:tcPr>
            <w:tcW w:w="1985" w:type="dxa"/>
          </w:tcPr>
          <w:p w14:paraId="7AF018A6" w14:textId="4D8CAE07" w:rsidR="006B5C41" w:rsidRPr="00395DF2" w:rsidRDefault="006B5C41" w:rsidP="00AF46A0">
            <w:pPr>
              <w:pStyle w:val="Table"/>
              <w:rPr>
                <w:b w:val="0"/>
              </w:rPr>
            </w:pPr>
            <w:r>
              <w:rPr>
                <w:b w:val="0"/>
              </w:rPr>
              <w:t>35.9%</w:t>
            </w:r>
            <w:r w:rsidR="00503ABE">
              <w:rPr>
                <w:b w:val="0"/>
              </w:rPr>
              <w:t>*</w:t>
            </w:r>
          </w:p>
        </w:tc>
      </w:tr>
      <w:tr w:rsidR="006B5C41" w:rsidRPr="00212FB1" w14:paraId="2E7AEC52" w14:textId="67EEA159" w:rsidTr="002D07A3">
        <w:trPr>
          <w:trHeight w:val="283"/>
        </w:trPr>
        <w:tc>
          <w:tcPr>
            <w:tcW w:w="4501" w:type="dxa"/>
            <w:vAlign w:val="center"/>
          </w:tcPr>
          <w:p w14:paraId="5A9CED29" w14:textId="77777777" w:rsidR="006B5C41" w:rsidRPr="002D07A3" w:rsidRDefault="006B5C41" w:rsidP="00AF46A0">
            <w:pPr>
              <w:spacing w:before="20" w:after="20"/>
              <w:rPr>
                <w:szCs w:val="18"/>
              </w:rPr>
            </w:pPr>
            <w:r w:rsidRPr="002D07A3">
              <w:rPr>
                <w:rFonts w:ascii="Arial" w:eastAsiaTheme="minorHAnsi" w:hAnsi="Arial" w:cs="Arial"/>
                <w:sz w:val="18"/>
                <w:szCs w:val="18"/>
              </w:rPr>
              <w:t>BASDAI, LS mean change from baseline score</w:t>
            </w:r>
          </w:p>
        </w:tc>
        <w:tc>
          <w:tcPr>
            <w:tcW w:w="1736" w:type="dxa"/>
            <w:vAlign w:val="center"/>
          </w:tcPr>
          <w:p w14:paraId="5143237F" w14:textId="77777777" w:rsidR="006B5C41" w:rsidRPr="002D07A3" w:rsidRDefault="006B5C41" w:rsidP="00AF46A0">
            <w:pPr>
              <w:pStyle w:val="Table"/>
              <w:rPr>
                <w:b w:val="0"/>
              </w:rPr>
            </w:pPr>
            <w:r w:rsidRPr="002D07A3">
              <w:rPr>
                <w:b w:val="0"/>
              </w:rPr>
              <w:t>-1.46</w:t>
            </w:r>
          </w:p>
        </w:tc>
        <w:tc>
          <w:tcPr>
            <w:tcW w:w="1985" w:type="dxa"/>
            <w:vAlign w:val="center"/>
          </w:tcPr>
          <w:p w14:paraId="17B5A4AB" w14:textId="59B1EC05" w:rsidR="006B5C41" w:rsidRPr="002D07A3" w:rsidRDefault="006B5C41" w:rsidP="00AF46A0">
            <w:pPr>
              <w:pStyle w:val="Table"/>
              <w:rPr>
                <w:b w:val="0"/>
              </w:rPr>
            </w:pPr>
            <w:r w:rsidRPr="002D07A3">
              <w:rPr>
                <w:b w:val="0"/>
              </w:rPr>
              <w:t>-2.35*</w:t>
            </w:r>
          </w:p>
        </w:tc>
        <w:tc>
          <w:tcPr>
            <w:tcW w:w="1985" w:type="dxa"/>
          </w:tcPr>
          <w:p w14:paraId="48B0B5B6" w14:textId="7EFB9070" w:rsidR="006B5C41" w:rsidRPr="00395DF2" w:rsidRDefault="00655CE2" w:rsidP="00AF46A0">
            <w:pPr>
              <w:pStyle w:val="Table"/>
              <w:rPr>
                <w:b w:val="0"/>
              </w:rPr>
            </w:pPr>
            <w:r>
              <w:rPr>
                <w:b w:val="0"/>
              </w:rPr>
              <w:t>-2.43</w:t>
            </w:r>
            <w:r w:rsidR="00503ABE">
              <w:rPr>
                <w:b w:val="0"/>
              </w:rPr>
              <w:t>*</w:t>
            </w:r>
            <w:r w:rsidR="001021BE">
              <w:rPr>
                <w:b w:val="0"/>
              </w:rPr>
              <w:t>*</w:t>
            </w:r>
          </w:p>
        </w:tc>
      </w:tr>
      <w:tr w:rsidR="006B5C41" w:rsidRPr="00212FB1" w14:paraId="3F0EF1EE" w14:textId="3E37F3EA" w:rsidTr="002D07A3">
        <w:trPr>
          <w:trHeight w:val="283"/>
        </w:trPr>
        <w:tc>
          <w:tcPr>
            <w:tcW w:w="4501" w:type="dxa"/>
            <w:vAlign w:val="center"/>
          </w:tcPr>
          <w:p w14:paraId="3CC8C21B" w14:textId="77777777" w:rsidR="006B5C41" w:rsidRPr="002D07A3" w:rsidRDefault="006B5C41" w:rsidP="00AF46A0">
            <w:pPr>
              <w:spacing w:before="20" w:after="20"/>
              <w:rPr>
                <w:szCs w:val="18"/>
              </w:rPr>
            </w:pPr>
            <w:r w:rsidRPr="002D07A3">
              <w:rPr>
                <w:rFonts w:ascii="Arial" w:eastAsiaTheme="minorHAnsi" w:hAnsi="Arial" w:cs="Arial"/>
                <w:sz w:val="18"/>
                <w:szCs w:val="18"/>
              </w:rPr>
              <w:t>BASDAI 50, %</w:t>
            </w:r>
          </w:p>
        </w:tc>
        <w:tc>
          <w:tcPr>
            <w:tcW w:w="1736" w:type="dxa"/>
            <w:vAlign w:val="center"/>
          </w:tcPr>
          <w:p w14:paraId="7CCB681C" w14:textId="77777777" w:rsidR="006B5C41" w:rsidRPr="002D07A3" w:rsidRDefault="006B5C41" w:rsidP="00AF46A0">
            <w:pPr>
              <w:pStyle w:val="Table"/>
              <w:rPr>
                <w:b w:val="0"/>
              </w:rPr>
            </w:pPr>
            <w:r w:rsidRPr="002D07A3">
              <w:rPr>
                <w:b w:val="0"/>
              </w:rPr>
              <w:t>21.0%</w:t>
            </w:r>
          </w:p>
        </w:tc>
        <w:tc>
          <w:tcPr>
            <w:tcW w:w="1985" w:type="dxa"/>
            <w:vAlign w:val="center"/>
          </w:tcPr>
          <w:p w14:paraId="2266065D" w14:textId="19B86DB6" w:rsidR="006B5C41" w:rsidRPr="002D07A3" w:rsidRDefault="006B5C41" w:rsidP="00AF46A0">
            <w:pPr>
              <w:pStyle w:val="Table"/>
              <w:rPr>
                <w:b w:val="0"/>
              </w:rPr>
            </w:pPr>
            <w:r w:rsidRPr="002D07A3">
              <w:rPr>
                <w:b w:val="0"/>
              </w:rPr>
              <w:t>37.3%*</w:t>
            </w:r>
          </w:p>
        </w:tc>
        <w:tc>
          <w:tcPr>
            <w:tcW w:w="1985" w:type="dxa"/>
          </w:tcPr>
          <w:p w14:paraId="039527F6" w14:textId="7F6DE6B6" w:rsidR="006B5C41" w:rsidRPr="00395DF2" w:rsidRDefault="00655CE2" w:rsidP="00AF46A0">
            <w:pPr>
              <w:pStyle w:val="Table"/>
              <w:rPr>
                <w:b w:val="0"/>
              </w:rPr>
            </w:pPr>
            <w:r>
              <w:rPr>
                <w:b w:val="0"/>
              </w:rPr>
              <w:t>37.5%</w:t>
            </w:r>
            <w:r w:rsidR="00503ABE">
              <w:rPr>
                <w:b w:val="0"/>
              </w:rPr>
              <w:t>*</w:t>
            </w:r>
            <w:r w:rsidR="001021BE">
              <w:rPr>
                <w:b w:val="0"/>
              </w:rPr>
              <w:t>*</w:t>
            </w:r>
          </w:p>
        </w:tc>
      </w:tr>
      <w:tr w:rsidR="006B5C41" w:rsidRPr="00212FB1" w14:paraId="6D6DE847" w14:textId="0C2AB494" w:rsidTr="002D07A3">
        <w:trPr>
          <w:trHeight w:val="283"/>
        </w:trPr>
        <w:tc>
          <w:tcPr>
            <w:tcW w:w="4501" w:type="dxa"/>
            <w:vAlign w:val="center"/>
          </w:tcPr>
          <w:p w14:paraId="3B6410A0" w14:textId="77777777" w:rsidR="006B5C41" w:rsidRPr="002D07A3" w:rsidRDefault="006B5C41" w:rsidP="00AF46A0">
            <w:pPr>
              <w:spacing w:before="20" w:after="20"/>
              <w:rPr>
                <w:szCs w:val="18"/>
              </w:rPr>
            </w:pPr>
            <w:proofErr w:type="spellStart"/>
            <w:r w:rsidRPr="002D07A3">
              <w:rPr>
                <w:rFonts w:ascii="Arial" w:eastAsiaTheme="minorHAnsi" w:hAnsi="Arial" w:cs="Arial"/>
                <w:sz w:val="18"/>
                <w:szCs w:val="18"/>
              </w:rPr>
              <w:t>hsCRP</w:t>
            </w:r>
            <w:proofErr w:type="spellEnd"/>
            <w:r w:rsidRPr="002D07A3">
              <w:rPr>
                <w:rFonts w:ascii="Arial" w:eastAsiaTheme="minorHAnsi" w:hAnsi="Arial" w:cs="Arial"/>
                <w:sz w:val="18"/>
                <w:szCs w:val="18"/>
              </w:rPr>
              <w:t>, (post-BSL/BSL ratio)</w:t>
            </w:r>
          </w:p>
        </w:tc>
        <w:tc>
          <w:tcPr>
            <w:tcW w:w="1736" w:type="dxa"/>
            <w:vAlign w:val="center"/>
          </w:tcPr>
          <w:p w14:paraId="08DEA9D0" w14:textId="77777777" w:rsidR="006B5C41" w:rsidRPr="002D07A3" w:rsidRDefault="006B5C41" w:rsidP="00AF46A0">
            <w:pPr>
              <w:pStyle w:val="Table"/>
              <w:rPr>
                <w:b w:val="0"/>
              </w:rPr>
            </w:pPr>
            <w:r w:rsidRPr="002D07A3">
              <w:rPr>
                <w:b w:val="0"/>
              </w:rPr>
              <w:t>0.91</w:t>
            </w:r>
          </w:p>
        </w:tc>
        <w:tc>
          <w:tcPr>
            <w:tcW w:w="1985" w:type="dxa"/>
            <w:vAlign w:val="center"/>
          </w:tcPr>
          <w:p w14:paraId="61254250" w14:textId="53559630" w:rsidR="006B5C41" w:rsidRPr="002D07A3" w:rsidRDefault="006B5C41" w:rsidP="00AF46A0">
            <w:pPr>
              <w:pStyle w:val="Table"/>
              <w:rPr>
                <w:b w:val="0"/>
              </w:rPr>
            </w:pPr>
            <w:r w:rsidRPr="002D07A3">
              <w:rPr>
                <w:b w:val="0"/>
              </w:rPr>
              <w:t>0.64*</w:t>
            </w:r>
          </w:p>
        </w:tc>
        <w:tc>
          <w:tcPr>
            <w:tcW w:w="1985" w:type="dxa"/>
          </w:tcPr>
          <w:p w14:paraId="5D5E4BAF" w14:textId="3B675742" w:rsidR="006B5C41" w:rsidRPr="00395DF2" w:rsidRDefault="00A96B27" w:rsidP="00AF46A0">
            <w:pPr>
              <w:pStyle w:val="Table"/>
              <w:rPr>
                <w:b w:val="0"/>
              </w:rPr>
            </w:pPr>
            <w:r>
              <w:rPr>
                <w:b w:val="0"/>
              </w:rPr>
              <w:t>0.64</w:t>
            </w:r>
            <w:r w:rsidR="00503ABE">
              <w:rPr>
                <w:b w:val="0"/>
              </w:rPr>
              <w:t>*</w:t>
            </w:r>
            <w:r w:rsidR="001021BE">
              <w:rPr>
                <w:b w:val="0"/>
              </w:rPr>
              <w:t>*</w:t>
            </w:r>
          </w:p>
        </w:tc>
      </w:tr>
      <w:tr w:rsidR="006B5C41" w:rsidRPr="00212FB1" w14:paraId="4EFC1B32" w14:textId="058A6214" w:rsidTr="002D07A3">
        <w:trPr>
          <w:trHeight w:val="283"/>
        </w:trPr>
        <w:tc>
          <w:tcPr>
            <w:tcW w:w="4501" w:type="dxa"/>
            <w:vAlign w:val="center"/>
          </w:tcPr>
          <w:p w14:paraId="2C74D73E" w14:textId="77777777" w:rsidR="006B5C41" w:rsidRPr="00904D71" w:rsidRDefault="006B5C41" w:rsidP="00AF46A0">
            <w:pPr>
              <w:spacing w:before="20" w:after="20"/>
              <w:rPr>
                <w:szCs w:val="18"/>
              </w:rPr>
            </w:pPr>
            <w:r w:rsidRPr="002D07A3">
              <w:rPr>
                <w:rFonts w:ascii="Arial" w:eastAsiaTheme="minorHAnsi" w:hAnsi="Arial" w:cs="Arial"/>
                <w:sz w:val="18"/>
                <w:szCs w:val="18"/>
              </w:rPr>
              <w:t>ASAS 20 response, %</w:t>
            </w:r>
          </w:p>
        </w:tc>
        <w:tc>
          <w:tcPr>
            <w:tcW w:w="1736" w:type="dxa"/>
            <w:vAlign w:val="center"/>
          </w:tcPr>
          <w:p w14:paraId="19722B49" w14:textId="77777777" w:rsidR="006B5C41" w:rsidRPr="002D07A3" w:rsidRDefault="006B5C41" w:rsidP="00AF46A0">
            <w:pPr>
              <w:pStyle w:val="Table"/>
              <w:rPr>
                <w:b w:val="0"/>
              </w:rPr>
            </w:pPr>
            <w:r w:rsidRPr="002D07A3">
              <w:rPr>
                <w:b w:val="0"/>
              </w:rPr>
              <w:t>45.7%</w:t>
            </w:r>
          </w:p>
        </w:tc>
        <w:tc>
          <w:tcPr>
            <w:tcW w:w="1985" w:type="dxa"/>
            <w:vAlign w:val="center"/>
          </w:tcPr>
          <w:p w14:paraId="4BF3471E" w14:textId="77777777" w:rsidR="006B5C41" w:rsidRPr="002D07A3" w:rsidRDefault="006B5C41" w:rsidP="00AF46A0">
            <w:pPr>
              <w:pStyle w:val="Table"/>
              <w:rPr>
                <w:b w:val="0"/>
              </w:rPr>
            </w:pPr>
            <w:r w:rsidRPr="002D07A3">
              <w:rPr>
                <w:b w:val="0"/>
              </w:rPr>
              <w:t>56.8%*</w:t>
            </w:r>
          </w:p>
        </w:tc>
        <w:tc>
          <w:tcPr>
            <w:tcW w:w="1985" w:type="dxa"/>
          </w:tcPr>
          <w:p w14:paraId="28E14327" w14:textId="6F357058" w:rsidR="006B5C41" w:rsidRPr="00395DF2" w:rsidRDefault="006B5C41" w:rsidP="00AF46A0">
            <w:pPr>
              <w:pStyle w:val="Table"/>
              <w:rPr>
                <w:b w:val="0"/>
              </w:rPr>
            </w:pPr>
            <w:r>
              <w:rPr>
                <w:b w:val="0"/>
              </w:rPr>
              <w:t>58.2%</w:t>
            </w:r>
            <w:r w:rsidR="00503ABE">
              <w:rPr>
                <w:b w:val="0"/>
              </w:rPr>
              <w:t>*</w:t>
            </w:r>
          </w:p>
        </w:tc>
      </w:tr>
      <w:tr w:rsidR="006B5C41" w:rsidRPr="00212FB1" w14:paraId="290E9EEF" w14:textId="64D9F73F" w:rsidTr="002D07A3">
        <w:trPr>
          <w:trHeight w:val="283"/>
        </w:trPr>
        <w:tc>
          <w:tcPr>
            <w:tcW w:w="4501" w:type="dxa"/>
            <w:tcBorders>
              <w:bottom w:val="single" w:sz="4" w:space="0" w:color="auto"/>
            </w:tcBorders>
            <w:vAlign w:val="center"/>
          </w:tcPr>
          <w:p w14:paraId="38AC2A13" w14:textId="77777777" w:rsidR="006B5C41" w:rsidRPr="002D07A3" w:rsidRDefault="006B5C41" w:rsidP="00AF46A0">
            <w:pPr>
              <w:spacing w:before="20" w:after="20"/>
              <w:rPr>
                <w:szCs w:val="18"/>
              </w:rPr>
            </w:pPr>
            <w:r w:rsidRPr="002D07A3">
              <w:rPr>
                <w:rFonts w:ascii="Arial" w:eastAsiaTheme="minorHAnsi" w:hAnsi="Arial" w:cs="Arial"/>
                <w:sz w:val="18"/>
                <w:szCs w:val="18"/>
              </w:rPr>
              <w:t>ASAS partial remission, %</w:t>
            </w:r>
          </w:p>
        </w:tc>
        <w:tc>
          <w:tcPr>
            <w:tcW w:w="1736" w:type="dxa"/>
            <w:tcBorders>
              <w:bottom w:val="single" w:sz="4" w:space="0" w:color="auto"/>
            </w:tcBorders>
            <w:vAlign w:val="center"/>
          </w:tcPr>
          <w:p w14:paraId="3FD6FDBC" w14:textId="77777777" w:rsidR="006B5C41" w:rsidRPr="002D07A3" w:rsidRDefault="006B5C41" w:rsidP="00AF46A0">
            <w:pPr>
              <w:pStyle w:val="Table"/>
              <w:rPr>
                <w:b w:val="0"/>
              </w:rPr>
            </w:pPr>
            <w:r w:rsidRPr="002D07A3">
              <w:rPr>
                <w:b w:val="0"/>
              </w:rPr>
              <w:t>7.0%</w:t>
            </w:r>
          </w:p>
        </w:tc>
        <w:tc>
          <w:tcPr>
            <w:tcW w:w="1985" w:type="dxa"/>
            <w:tcBorders>
              <w:bottom w:val="single" w:sz="4" w:space="0" w:color="auto"/>
            </w:tcBorders>
            <w:vAlign w:val="center"/>
          </w:tcPr>
          <w:p w14:paraId="35D0DF2D" w14:textId="156F9CB0" w:rsidR="006B5C41" w:rsidRPr="002D07A3" w:rsidRDefault="006B5C41" w:rsidP="00AF46A0">
            <w:pPr>
              <w:pStyle w:val="Table"/>
              <w:rPr>
                <w:b w:val="0"/>
              </w:rPr>
            </w:pPr>
            <w:r w:rsidRPr="002D07A3">
              <w:rPr>
                <w:b w:val="0"/>
              </w:rPr>
              <w:t>21.6%*</w:t>
            </w:r>
          </w:p>
        </w:tc>
        <w:tc>
          <w:tcPr>
            <w:tcW w:w="1985" w:type="dxa"/>
            <w:tcBorders>
              <w:bottom w:val="single" w:sz="4" w:space="0" w:color="auto"/>
            </w:tcBorders>
          </w:tcPr>
          <w:p w14:paraId="18EF220D" w14:textId="35DA4C40" w:rsidR="006B5C41" w:rsidRPr="00395DF2" w:rsidRDefault="00A1560D" w:rsidP="00AF46A0">
            <w:pPr>
              <w:pStyle w:val="Table"/>
              <w:rPr>
                <w:b w:val="0"/>
              </w:rPr>
            </w:pPr>
            <w:r>
              <w:rPr>
                <w:b w:val="0"/>
              </w:rPr>
              <w:t>21.2%</w:t>
            </w:r>
            <w:r w:rsidR="00503ABE">
              <w:rPr>
                <w:b w:val="0"/>
              </w:rPr>
              <w:t>*</w:t>
            </w:r>
            <w:r w:rsidR="001021BE">
              <w:rPr>
                <w:b w:val="0"/>
              </w:rPr>
              <w:t>*</w:t>
            </w:r>
          </w:p>
        </w:tc>
      </w:tr>
      <w:tr w:rsidR="006B5C41" w:rsidRPr="00212FB1" w14:paraId="7654B7A7" w14:textId="28FA115C" w:rsidTr="002D07A3">
        <w:trPr>
          <w:trHeight w:val="28"/>
        </w:trPr>
        <w:tc>
          <w:tcPr>
            <w:tcW w:w="8222" w:type="dxa"/>
            <w:gridSpan w:val="3"/>
            <w:tcBorders>
              <w:left w:val="nil"/>
              <w:bottom w:val="nil"/>
              <w:right w:val="nil"/>
            </w:tcBorders>
          </w:tcPr>
          <w:p w14:paraId="30F40BA5" w14:textId="475649D9" w:rsidR="006B5C41" w:rsidRPr="00904D71" w:rsidRDefault="006B5C41" w:rsidP="00AF46A0">
            <w:pPr>
              <w:spacing w:before="20" w:after="20"/>
              <w:rPr>
                <w:i/>
                <w:sz w:val="16"/>
                <w:szCs w:val="18"/>
              </w:rPr>
            </w:pPr>
            <w:r w:rsidRPr="002D07A3">
              <w:rPr>
                <w:rFonts w:ascii="Arial" w:eastAsiaTheme="minorHAnsi" w:hAnsi="Arial" w:cs="Arial"/>
                <w:i/>
                <w:sz w:val="16"/>
                <w:szCs w:val="18"/>
              </w:rPr>
              <w:t>*p&lt;0.05;  **p&lt; 0.001 vs. placebo</w:t>
            </w:r>
          </w:p>
          <w:p w14:paraId="1D6F8419" w14:textId="77777777" w:rsidR="006B5C41" w:rsidRPr="00904D71" w:rsidRDefault="006B5C41" w:rsidP="00AF46A0">
            <w:pPr>
              <w:spacing w:before="20" w:after="20"/>
              <w:rPr>
                <w:i/>
                <w:sz w:val="16"/>
                <w:szCs w:val="18"/>
              </w:rPr>
            </w:pPr>
            <w:r w:rsidRPr="002D07A3">
              <w:rPr>
                <w:rFonts w:ascii="Arial" w:eastAsiaTheme="minorHAnsi" w:hAnsi="Arial" w:cs="Arial"/>
                <w:i/>
                <w:sz w:val="16"/>
                <w:szCs w:val="18"/>
              </w:rPr>
              <w:t>All p-values adjusted for multiplicity of testing based on pre-defined hierarchy</w:t>
            </w:r>
          </w:p>
          <w:p w14:paraId="5A2B6DAD" w14:textId="77777777" w:rsidR="006B5C41" w:rsidRPr="00904D71" w:rsidRDefault="006B5C41" w:rsidP="00AF46A0">
            <w:pPr>
              <w:spacing w:before="20" w:after="20"/>
              <w:rPr>
                <w:i/>
                <w:sz w:val="16"/>
                <w:szCs w:val="18"/>
              </w:rPr>
            </w:pPr>
            <w:r w:rsidRPr="002D07A3">
              <w:rPr>
                <w:rFonts w:ascii="Arial" w:eastAsiaTheme="minorHAnsi" w:hAnsi="Arial" w:cs="Arial"/>
                <w:i/>
                <w:sz w:val="16"/>
                <w:szCs w:val="18"/>
              </w:rPr>
              <w:t>Non-responder imputation used for missing binary endpoint</w:t>
            </w:r>
          </w:p>
          <w:p w14:paraId="4F1B6156" w14:textId="77777777" w:rsidR="006B5C41" w:rsidRPr="00904D71" w:rsidRDefault="006B5C41" w:rsidP="00AF46A0">
            <w:pPr>
              <w:spacing w:before="20" w:after="20"/>
              <w:rPr>
                <w:i/>
                <w:sz w:val="16"/>
                <w:szCs w:val="18"/>
              </w:rPr>
            </w:pPr>
            <w:r w:rsidRPr="002D07A3">
              <w:rPr>
                <w:rFonts w:ascii="Arial" w:eastAsiaTheme="minorHAnsi" w:hAnsi="Arial" w:cs="Arial"/>
                <w:i/>
                <w:sz w:val="16"/>
                <w:szCs w:val="18"/>
              </w:rPr>
              <w:t xml:space="preserve">1Cosentyx 150 mg </w:t>
            </w:r>
            <w:proofErr w:type="spellStart"/>
            <w:r w:rsidRPr="002D07A3">
              <w:rPr>
                <w:rFonts w:ascii="Arial" w:eastAsiaTheme="minorHAnsi" w:hAnsi="Arial" w:cs="Arial"/>
                <w:i/>
                <w:sz w:val="16"/>
                <w:szCs w:val="18"/>
              </w:rPr>
              <w:t>s.c.</w:t>
            </w:r>
            <w:proofErr w:type="spellEnd"/>
            <w:r w:rsidRPr="002D07A3">
              <w:rPr>
                <w:rFonts w:ascii="Arial" w:eastAsiaTheme="minorHAnsi" w:hAnsi="Arial" w:cs="Arial"/>
                <w:i/>
                <w:sz w:val="16"/>
                <w:szCs w:val="18"/>
              </w:rPr>
              <w:t xml:space="preserve"> at Weeks 0, 1, 2, 3, and 4 followed by the same dose every month</w:t>
            </w:r>
          </w:p>
          <w:p w14:paraId="6871F1C3" w14:textId="77777777" w:rsidR="006B5C41" w:rsidRPr="002D07A3" w:rsidRDefault="006B5C41" w:rsidP="00AF46A0">
            <w:pPr>
              <w:spacing w:before="20" w:after="20"/>
              <w:rPr>
                <w:i/>
                <w:sz w:val="16"/>
                <w:szCs w:val="18"/>
              </w:rPr>
            </w:pPr>
            <w:r w:rsidRPr="002D07A3">
              <w:rPr>
                <w:rFonts w:ascii="Arial" w:eastAsiaTheme="minorHAnsi" w:hAnsi="Arial" w:cs="Arial"/>
                <w:i/>
                <w:sz w:val="16"/>
                <w:szCs w:val="18"/>
              </w:rPr>
              <w:t xml:space="preserve">ASAS: Assessment of </w:t>
            </w:r>
            <w:proofErr w:type="spellStart"/>
            <w:r w:rsidRPr="002D07A3">
              <w:rPr>
                <w:rFonts w:ascii="Arial" w:eastAsiaTheme="minorHAnsi" w:hAnsi="Arial" w:cs="Arial"/>
                <w:i/>
                <w:sz w:val="16"/>
                <w:szCs w:val="18"/>
              </w:rPr>
              <w:t>SpondyloArthritis</w:t>
            </w:r>
            <w:proofErr w:type="spellEnd"/>
            <w:r w:rsidRPr="002D07A3">
              <w:rPr>
                <w:rFonts w:ascii="Arial" w:eastAsiaTheme="minorHAnsi" w:hAnsi="Arial" w:cs="Arial"/>
                <w:i/>
                <w:sz w:val="16"/>
                <w:szCs w:val="18"/>
              </w:rPr>
              <w:t xml:space="preserve"> International Society Criteria; BASDAI: Bath Ankylosing Spondylitis Disease Activity Index; </w:t>
            </w:r>
            <w:proofErr w:type="spellStart"/>
            <w:r w:rsidRPr="002D07A3">
              <w:rPr>
                <w:rFonts w:ascii="Arial" w:eastAsiaTheme="minorHAnsi" w:hAnsi="Arial" w:cs="Arial"/>
                <w:i/>
                <w:sz w:val="16"/>
                <w:szCs w:val="18"/>
              </w:rPr>
              <w:t>hsCRP</w:t>
            </w:r>
            <w:proofErr w:type="spellEnd"/>
            <w:r w:rsidRPr="002D07A3">
              <w:rPr>
                <w:rFonts w:ascii="Arial" w:eastAsiaTheme="minorHAnsi" w:hAnsi="Arial" w:cs="Arial"/>
                <w:i/>
                <w:sz w:val="16"/>
                <w:szCs w:val="18"/>
              </w:rPr>
              <w:t>: high-sensitivity C-reactive protein; BSL: baseline; LS: least square</w:t>
            </w:r>
          </w:p>
        </w:tc>
        <w:tc>
          <w:tcPr>
            <w:tcW w:w="1985" w:type="dxa"/>
            <w:tcBorders>
              <w:left w:val="nil"/>
              <w:bottom w:val="nil"/>
              <w:right w:val="nil"/>
            </w:tcBorders>
          </w:tcPr>
          <w:p w14:paraId="1C78B896" w14:textId="77777777" w:rsidR="006B5C41" w:rsidRPr="00212FB1" w:rsidRDefault="006B5C41" w:rsidP="00AF46A0">
            <w:pPr>
              <w:spacing w:before="20" w:after="20"/>
              <w:rPr>
                <w:rFonts w:ascii="Arial" w:hAnsi="Arial" w:cs="Arial"/>
                <w:i/>
                <w:sz w:val="16"/>
                <w:szCs w:val="18"/>
              </w:rPr>
            </w:pPr>
          </w:p>
        </w:tc>
      </w:tr>
    </w:tbl>
    <w:p w14:paraId="5CD2AC9D" w14:textId="61630BB0" w:rsidR="007F45C2" w:rsidRPr="00904D71" w:rsidRDefault="007F45C2" w:rsidP="00AF46A0">
      <w:pPr>
        <w:pStyle w:val="Text"/>
        <w:rPr>
          <w:rFonts w:asciiTheme="minorHAnsi" w:eastAsiaTheme="minorHAnsi" w:hAnsiTheme="minorHAnsi" w:cstheme="minorBidi"/>
          <w:sz w:val="22"/>
          <w:szCs w:val="22"/>
          <w:lang w:bidi="ar-SA"/>
        </w:rPr>
      </w:pPr>
    </w:p>
    <w:p w14:paraId="58EF25DE" w14:textId="43EB284E" w:rsidR="001603B3" w:rsidRPr="00B77816" w:rsidRDefault="001603B3" w:rsidP="00AF46A0">
      <w:r w:rsidRPr="00914388">
        <w:t xml:space="preserve">The onset of action of </w:t>
      </w:r>
      <w:r w:rsidR="001076F7" w:rsidRPr="00914388">
        <w:t>COSENTYX</w:t>
      </w:r>
      <w:r w:rsidRPr="00B77816">
        <w:t xml:space="preserve"> 150 mg occurred as early as Week 3 for ASAS 40 in anti-TNF-alpha naive patients (superior to placebo) in nr-axSpA1 Study. The percentage of patients achieving an ASAS </w:t>
      </w:r>
      <w:r w:rsidRPr="002D07A3">
        <w:t>40 response in anti-TNF-alpha naive patients by visit is shown in Figure 5.</w:t>
      </w:r>
      <w:r w:rsidRPr="00904D71">
        <w:t xml:space="preserve"> Patients treated with </w:t>
      </w:r>
      <w:r w:rsidR="001076F7" w:rsidRPr="00914388">
        <w:t>COSENTYX</w:t>
      </w:r>
      <w:r w:rsidRPr="00914388">
        <w:t xml:space="preserve"> maintained their response compared to placebo up to Week 52.</w:t>
      </w:r>
    </w:p>
    <w:p w14:paraId="1AEF8AA7" w14:textId="77777777" w:rsidR="007F45C2" w:rsidRPr="002D07A3" w:rsidRDefault="007F45C2" w:rsidP="00AF46A0">
      <w:pPr>
        <w:pStyle w:val="Text"/>
        <w:rPr>
          <w:rFonts w:asciiTheme="minorHAnsi" w:eastAsiaTheme="minorHAnsi" w:hAnsiTheme="minorHAnsi" w:cstheme="minorBidi"/>
          <w:sz w:val="22"/>
          <w:szCs w:val="22"/>
          <w:lang w:bidi="ar-SA"/>
        </w:rPr>
      </w:pPr>
    </w:p>
    <w:p w14:paraId="698CAB82" w14:textId="619B978B" w:rsidR="001603B3" w:rsidRPr="002D07A3" w:rsidRDefault="001603B3" w:rsidP="00AF46A0">
      <w:pPr>
        <w:spacing w:after="120"/>
        <w:rPr>
          <w:rFonts w:ascii="Arial" w:hAnsi="Arial" w:cs="Arial"/>
          <w:b/>
          <w:sz w:val="20"/>
        </w:rPr>
      </w:pPr>
      <w:r w:rsidRPr="002D07A3">
        <w:rPr>
          <w:rFonts w:ascii="Arial" w:hAnsi="Arial" w:cs="Arial"/>
          <w:b/>
          <w:sz w:val="20"/>
        </w:rPr>
        <w:t>Figure 5</w:t>
      </w:r>
      <w:r w:rsidRPr="002D07A3">
        <w:rPr>
          <w:rFonts w:ascii="Arial" w:hAnsi="Arial" w:cs="Arial"/>
          <w:b/>
          <w:sz w:val="20"/>
        </w:rPr>
        <w:tab/>
        <w:t>ASAS 40 responses in anti-TNF-alpha naive patients in nr-axSpA1 Study over time up to Week 16</w:t>
      </w:r>
    </w:p>
    <w:p w14:paraId="302B6F81" w14:textId="3C30AA11" w:rsidR="00CA1F8F" w:rsidRDefault="00CA1F8F" w:rsidP="00AF46A0">
      <w:pPr>
        <w:pStyle w:val="Text"/>
        <w:spacing w:after="200" w:line="276" w:lineRule="auto"/>
        <w:rPr>
          <w:rFonts w:asciiTheme="minorHAnsi" w:eastAsiaTheme="minorHAnsi" w:hAnsiTheme="minorHAnsi" w:cs="Arial"/>
          <w:sz w:val="22"/>
          <w:szCs w:val="22"/>
          <w:lang w:bidi="ar-SA"/>
        </w:rPr>
      </w:pPr>
      <w:r>
        <w:rPr>
          <w:noProof/>
          <w:lang w:eastAsia="en-AU" w:bidi="ar-SA"/>
        </w:rPr>
        <w:drawing>
          <wp:inline distT="0" distB="0" distL="0" distR="0" wp14:anchorId="31F917D5" wp14:editId="3AD87CEB">
            <wp:extent cx="5731510" cy="3568396"/>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568396"/>
                    </a:xfrm>
                    <a:prstGeom prst="rect">
                      <a:avLst/>
                    </a:prstGeom>
                  </pic:spPr>
                </pic:pic>
              </a:graphicData>
            </a:graphic>
          </wp:inline>
        </w:drawing>
      </w:r>
    </w:p>
    <w:p w14:paraId="6EEB62C0" w14:textId="30AD0C46" w:rsidR="001603B3" w:rsidRPr="00733D88" w:rsidRDefault="001603B3" w:rsidP="00AF46A0">
      <w:pPr>
        <w:pStyle w:val="Text"/>
        <w:spacing w:after="200" w:line="276" w:lineRule="auto"/>
        <w:rPr>
          <w:rFonts w:asciiTheme="minorHAnsi" w:eastAsiaTheme="minorHAnsi" w:hAnsiTheme="minorHAnsi" w:cs="Arial"/>
          <w:sz w:val="22"/>
          <w:szCs w:val="22"/>
          <w:lang w:bidi="ar-SA"/>
        </w:rPr>
      </w:pPr>
      <w:r w:rsidRPr="002D07A3">
        <w:rPr>
          <w:rFonts w:asciiTheme="minorHAnsi" w:eastAsiaTheme="minorHAnsi" w:hAnsiTheme="minorHAnsi" w:cs="Arial"/>
          <w:sz w:val="22"/>
          <w:szCs w:val="22"/>
          <w:lang w:bidi="ar-SA"/>
        </w:rPr>
        <w:t xml:space="preserve">ASAS 40 responses were also improved at Week 16 in anti-TNF-alpha-IR patients (28.6% vs. 13.3%) for </w:t>
      </w:r>
      <w:r w:rsidR="001076F7" w:rsidRPr="00733D88">
        <w:rPr>
          <w:rFonts w:asciiTheme="minorHAnsi" w:eastAsiaTheme="minorHAnsi" w:hAnsiTheme="minorHAnsi" w:cs="Arial"/>
          <w:sz w:val="22"/>
          <w:szCs w:val="22"/>
          <w:lang w:bidi="ar-SA"/>
        </w:rPr>
        <w:t>COSENTYX</w:t>
      </w:r>
      <w:r w:rsidRPr="002D07A3">
        <w:rPr>
          <w:rFonts w:asciiTheme="minorHAnsi" w:eastAsiaTheme="minorHAnsi" w:hAnsiTheme="minorHAnsi" w:cs="Arial"/>
          <w:sz w:val="22"/>
          <w:szCs w:val="22"/>
          <w:lang w:bidi="ar-SA"/>
        </w:rPr>
        <w:t xml:space="preserve"> 150 mg compared with placebo. The magnitude of response (treatment difference versus placebo) with respect to signs and symptoms at Week 16 was similar in anti-TNF-alpha-naïve and anti-TNF-alpha-IR patients, with higher absolute response rates in anti-TNF-alpha-naïve patients. Efficacy versus placebo was maintained in anti-TNF-alpha-naïve and anti-TNF-alpha-IR patients up to Week 52.</w:t>
      </w:r>
    </w:p>
    <w:p w14:paraId="573856BC" w14:textId="77777777" w:rsidR="001603B3" w:rsidRPr="002D07A3" w:rsidRDefault="001603B3" w:rsidP="00AF46A0">
      <w:pPr>
        <w:ind w:left="3"/>
        <w:rPr>
          <w:rFonts w:asciiTheme="majorHAnsi" w:eastAsiaTheme="majorEastAsia" w:hAnsiTheme="majorHAnsi" w:cstheme="minorHAnsi"/>
          <w:b/>
          <w:bCs/>
        </w:rPr>
      </w:pPr>
      <w:r w:rsidRPr="002D07A3">
        <w:rPr>
          <w:rFonts w:asciiTheme="majorHAnsi" w:eastAsiaTheme="majorEastAsia" w:hAnsiTheme="majorHAnsi" w:cstheme="minorHAnsi"/>
          <w:b/>
          <w:bCs/>
        </w:rPr>
        <w:t>Physical function and health-related quality of life</w:t>
      </w:r>
    </w:p>
    <w:p w14:paraId="27645539" w14:textId="17709850" w:rsidR="001603B3" w:rsidRPr="00733D88" w:rsidRDefault="001603B3" w:rsidP="00AF46A0">
      <w:pPr>
        <w:pStyle w:val="Text"/>
        <w:spacing w:after="200" w:line="276" w:lineRule="auto"/>
        <w:rPr>
          <w:rFonts w:asciiTheme="minorHAnsi" w:eastAsiaTheme="minorHAnsi" w:hAnsiTheme="minorHAnsi" w:cs="Arial"/>
          <w:sz w:val="22"/>
          <w:szCs w:val="22"/>
          <w:lang w:bidi="ar-SA"/>
        </w:rPr>
      </w:pPr>
      <w:r w:rsidRPr="002D07A3">
        <w:rPr>
          <w:rFonts w:asciiTheme="minorHAnsi" w:eastAsiaTheme="minorHAnsi" w:hAnsiTheme="minorHAnsi" w:cs="Arial"/>
          <w:sz w:val="22"/>
          <w:szCs w:val="22"/>
          <w:lang w:bidi="ar-SA"/>
        </w:rPr>
        <w:t xml:space="preserve">Patients treated with </w:t>
      </w:r>
      <w:r w:rsidR="001076F7" w:rsidRPr="00733D88">
        <w:rPr>
          <w:rFonts w:asciiTheme="minorHAnsi" w:eastAsiaTheme="minorHAnsi" w:hAnsiTheme="minorHAnsi" w:cs="Arial"/>
          <w:sz w:val="22"/>
          <w:szCs w:val="22"/>
          <w:lang w:bidi="ar-SA"/>
        </w:rPr>
        <w:t xml:space="preserve">COSENTYX </w:t>
      </w:r>
      <w:r w:rsidRPr="002D07A3">
        <w:rPr>
          <w:rFonts w:asciiTheme="minorHAnsi" w:eastAsiaTheme="minorHAnsi" w:hAnsiTheme="minorHAnsi" w:cs="Arial"/>
          <w:sz w:val="22"/>
          <w:szCs w:val="22"/>
          <w:lang w:bidi="ar-SA"/>
        </w:rPr>
        <w:t>150 mg showed statistically significant improvements by Week 16 compared to placebo-treated patients in physical function as assessed by the BASFI (Week 16: -1.75 vs -1.01, p&lt;0.0</w:t>
      </w:r>
      <w:r w:rsidR="000C675B">
        <w:rPr>
          <w:rFonts w:asciiTheme="minorHAnsi" w:eastAsiaTheme="minorHAnsi" w:hAnsiTheme="minorHAnsi" w:cs="Arial"/>
          <w:sz w:val="22"/>
          <w:szCs w:val="22"/>
          <w:lang w:bidi="ar-SA"/>
        </w:rPr>
        <w:t>5</w:t>
      </w:r>
      <w:r w:rsidRPr="002D07A3">
        <w:rPr>
          <w:rFonts w:asciiTheme="minorHAnsi" w:eastAsiaTheme="minorHAnsi" w:hAnsiTheme="minorHAnsi" w:cs="Arial"/>
          <w:sz w:val="22"/>
          <w:szCs w:val="22"/>
          <w:lang w:bidi="ar-SA"/>
        </w:rPr>
        <w:t xml:space="preserve">). Patients treated with </w:t>
      </w:r>
      <w:r w:rsidR="001076F7" w:rsidRPr="00733D88">
        <w:rPr>
          <w:rFonts w:asciiTheme="minorHAnsi" w:eastAsiaTheme="minorHAnsi" w:hAnsiTheme="minorHAnsi" w:cs="Arial"/>
          <w:sz w:val="22"/>
          <w:szCs w:val="22"/>
          <w:lang w:bidi="ar-SA"/>
        </w:rPr>
        <w:t>COSENTYX</w:t>
      </w:r>
      <w:r w:rsidRPr="002D07A3">
        <w:rPr>
          <w:rFonts w:asciiTheme="minorHAnsi" w:eastAsiaTheme="minorHAnsi" w:hAnsiTheme="minorHAnsi" w:cs="Arial"/>
          <w:sz w:val="22"/>
          <w:szCs w:val="22"/>
          <w:lang w:bidi="ar-SA"/>
        </w:rPr>
        <w:t xml:space="preserve"> reported significant improvements compared to placebo-treated patients by Week 16 in health-related quality of life as measured by </w:t>
      </w:r>
      <w:proofErr w:type="spellStart"/>
      <w:r w:rsidRPr="002D07A3">
        <w:rPr>
          <w:rFonts w:asciiTheme="minorHAnsi" w:eastAsiaTheme="minorHAnsi" w:hAnsiTheme="minorHAnsi" w:cs="Arial"/>
          <w:sz w:val="22"/>
          <w:szCs w:val="22"/>
          <w:lang w:bidi="ar-SA"/>
        </w:rPr>
        <w:t>ASQoL</w:t>
      </w:r>
      <w:proofErr w:type="spellEnd"/>
      <w:r w:rsidRPr="002D07A3">
        <w:rPr>
          <w:rFonts w:asciiTheme="minorHAnsi" w:eastAsiaTheme="minorHAnsi" w:hAnsiTheme="minorHAnsi" w:cs="Arial"/>
          <w:sz w:val="22"/>
          <w:szCs w:val="22"/>
          <w:lang w:bidi="ar-SA"/>
        </w:rPr>
        <w:t xml:space="preserve"> (LS mean change: Week 16: -3.45 vs -1.84, p&lt;0.0</w:t>
      </w:r>
      <w:r w:rsidR="006D6733">
        <w:rPr>
          <w:rFonts w:asciiTheme="minorHAnsi" w:eastAsiaTheme="minorHAnsi" w:hAnsiTheme="minorHAnsi" w:cs="Arial"/>
          <w:sz w:val="22"/>
          <w:szCs w:val="22"/>
          <w:lang w:bidi="ar-SA"/>
        </w:rPr>
        <w:t>5</w:t>
      </w:r>
      <w:r w:rsidRPr="002D07A3">
        <w:rPr>
          <w:rFonts w:asciiTheme="minorHAnsi" w:eastAsiaTheme="minorHAnsi" w:hAnsiTheme="minorHAnsi" w:cs="Arial"/>
          <w:sz w:val="22"/>
          <w:szCs w:val="22"/>
          <w:lang w:bidi="ar-SA"/>
        </w:rPr>
        <w:t>) and SF-36 Physical Component Summary (SF-36 PCS) (LS mean change: Week 16: 5.71 vs 2.93, p&lt;0.0</w:t>
      </w:r>
      <w:r w:rsidR="006D6733">
        <w:rPr>
          <w:rFonts w:asciiTheme="minorHAnsi" w:eastAsiaTheme="minorHAnsi" w:hAnsiTheme="minorHAnsi" w:cs="Arial"/>
          <w:sz w:val="22"/>
          <w:szCs w:val="22"/>
          <w:lang w:bidi="ar-SA"/>
        </w:rPr>
        <w:t>5</w:t>
      </w:r>
      <w:r w:rsidRPr="002D07A3">
        <w:rPr>
          <w:rFonts w:asciiTheme="minorHAnsi" w:eastAsiaTheme="minorHAnsi" w:hAnsiTheme="minorHAnsi" w:cs="Arial"/>
          <w:sz w:val="22"/>
          <w:szCs w:val="22"/>
          <w:lang w:bidi="ar-SA"/>
        </w:rPr>
        <w:t>). These improvements were sustained up to Week 52.</w:t>
      </w:r>
    </w:p>
    <w:p w14:paraId="4F2626E6" w14:textId="77777777" w:rsidR="001603B3" w:rsidRPr="002D07A3" w:rsidRDefault="001603B3" w:rsidP="00AF46A0">
      <w:pPr>
        <w:ind w:left="3"/>
        <w:rPr>
          <w:rFonts w:asciiTheme="majorHAnsi" w:eastAsiaTheme="majorEastAsia" w:hAnsiTheme="majorHAnsi" w:cstheme="minorHAnsi"/>
          <w:b/>
          <w:bCs/>
        </w:rPr>
      </w:pPr>
      <w:r w:rsidRPr="002D07A3">
        <w:rPr>
          <w:rFonts w:asciiTheme="majorHAnsi" w:eastAsiaTheme="majorEastAsia" w:hAnsiTheme="majorHAnsi" w:cstheme="minorHAnsi"/>
          <w:b/>
          <w:bCs/>
        </w:rPr>
        <w:t>Spinal mobility</w:t>
      </w:r>
    </w:p>
    <w:p w14:paraId="05AF326E" w14:textId="4F5023BC" w:rsidR="001603B3" w:rsidRPr="002D07A3" w:rsidRDefault="001603B3" w:rsidP="00AF46A0">
      <w:pPr>
        <w:ind w:left="14"/>
        <w:rPr>
          <w:rFonts w:cs="Arial"/>
        </w:rPr>
      </w:pPr>
      <w:r w:rsidRPr="002D07A3">
        <w:rPr>
          <w:rFonts w:cs="Arial"/>
        </w:rPr>
        <w:t xml:space="preserve">Spinal mobility was assessed by BASMI up to Week 16. Numerically greater improvements were demonstrated in patients treated with </w:t>
      </w:r>
      <w:r w:rsidR="001076F7" w:rsidRPr="00B77816">
        <w:rPr>
          <w:rFonts w:cs="Arial"/>
        </w:rPr>
        <w:t>COSENTYX</w:t>
      </w:r>
      <w:r w:rsidRPr="002D07A3">
        <w:rPr>
          <w:rFonts w:cs="Arial"/>
        </w:rPr>
        <w:t xml:space="preserve"> compared with placebo-treated patients at Weeks 4, 8, 12 and 16.</w:t>
      </w:r>
    </w:p>
    <w:p w14:paraId="2D2E5684" w14:textId="2AB0F728" w:rsidR="001603B3" w:rsidRPr="002D07A3" w:rsidRDefault="001603B3" w:rsidP="00AF46A0">
      <w:pPr>
        <w:ind w:left="14"/>
        <w:rPr>
          <w:rFonts w:asciiTheme="majorHAnsi" w:eastAsiaTheme="majorEastAsia" w:hAnsiTheme="majorHAnsi" w:cstheme="minorHAnsi"/>
          <w:b/>
          <w:bCs/>
        </w:rPr>
      </w:pPr>
      <w:r w:rsidRPr="002D07A3">
        <w:rPr>
          <w:rFonts w:asciiTheme="majorHAnsi" w:eastAsiaTheme="majorEastAsia" w:hAnsiTheme="majorHAnsi" w:cstheme="minorHAnsi"/>
          <w:b/>
          <w:bCs/>
        </w:rPr>
        <w:t xml:space="preserve">Inhibition of inflammation in magnetic resonance imaging (MRI) </w:t>
      </w:r>
    </w:p>
    <w:p w14:paraId="0CF605C5" w14:textId="5590066F" w:rsidR="003028BF" w:rsidRPr="00B77816" w:rsidRDefault="001603B3" w:rsidP="00AF46A0">
      <w:pPr>
        <w:ind w:left="14"/>
        <w:rPr>
          <w:rFonts w:cs="Arial"/>
        </w:rPr>
      </w:pPr>
      <w:r w:rsidRPr="002D07A3">
        <w:rPr>
          <w:rFonts w:cs="Arial"/>
        </w:rPr>
        <w:t xml:space="preserve">Signs of inflammation were assessed by MRI at baseline and Week 16 and expressed as change from baseline in Berlin SI-joint </w:t>
      </w:r>
      <w:r w:rsidR="001076F7" w:rsidRPr="00B77816">
        <w:rPr>
          <w:rFonts w:cs="Arial"/>
        </w:rPr>
        <w:t>oedema</w:t>
      </w:r>
      <w:r w:rsidRPr="002D07A3">
        <w:rPr>
          <w:rFonts w:cs="Arial"/>
        </w:rPr>
        <w:t xml:space="preserve"> score for sacroiliac joints and </w:t>
      </w:r>
      <w:proofErr w:type="spellStart"/>
      <w:r w:rsidRPr="002D07A3">
        <w:rPr>
          <w:rFonts w:cs="Arial"/>
        </w:rPr>
        <w:t>ASspiMRI</w:t>
      </w:r>
      <w:proofErr w:type="spellEnd"/>
      <w:r w:rsidRPr="002D07A3">
        <w:rPr>
          <w:rFonts w:cs="Arial"/>
        </w:rPr>
        <w:t xml:space="preserve">-a score and Berlin spine score for the spine. Inhibition of inflammatory signs in both sacroiliac joints and the spine was observed in patients treated with </w:t>
      </w:r>
      <w:proofErr w:type="spellStart"/>
      <w:r w:rsidRPr="002D07A3">
        <w:rPr>
          <w:rFonts w:cs="Arial"/>
        </w:rPr>
        <w:t>secukinumab</w:t>
      </w:r>
      <w:proofErr w:type="spellEnd"/>
      <w:r w:rsidRPr="002D07A3">
        <w:rPr>
          <w:rFonts w:cs="Arial"/>
        </w:rPr>
        <w:t xml:space="preserve">. Mean change from baseline in Berlin SI-joint </w:t>
      </w:r>
      <w:r w:rsidR="001076F7" w:rsidRPr="00B77816">
        <w:rPr>
          <w:rFonts w:cs="Arial"/>
        </w:rPr>
        <w:t>oedema</w:t>
      </w:r>
      <w:r w:rsidRPr="002D07A3">
        <w:rPr>
          <w:rFonts w:cs="Arial"/>
        </w:rPr>
        <w:t xml:space="preserve"> score was -1.68 for patients treated with </w:t>
      </w:r>
      <w:r w:rsidR="001076F7" w:rsidRPr="00B77816">
        <w:rPr>
          <w:rFonts w:cs="Arial"/>
        </w:rPr>
        <w:t>COSENTYX</w:t>
      </w:r>
      <w:r w:rsidRPr="002D07A3">
        <w:rPr>
          <w:rFonts w:cs="Arial"/>
        </w:rPr>
        <w:t xml:space="preserve"> 150 mg (n=180) versus -0.39 for the placebo-treated patients (n=174) (p&lt;0.0</w:t>
      </w:r>
      <w:r w:rsidR="006D6733">
        <w:rPr>
          <w:rFonts w:cs="Arial"/>
        </w:rPr>
        <w:t>5</w:t>
      </w:r>
      <w:r w:rsidRPr="002D07A3">
        <w:rPr>
          <w:rFonts w:cs="Arial"/>
        </w:rPr>
        <w:t>).</w:t>
      </w:r>
    </w:p>
    <w:p w14:paraId="5898D8A4" w14:textId="11719610" w:rsidR="00F62A4F" w:rsidRPr="00733D88" w:rsidRDefault="00F62A4F" w:rsidP="00AF46A0">
      <w:pPr>
        <w:spacing w:after="120"/>
        <w:ind w:left="14"/>
        <w:rPr>
          <w:rFonts w:asciiTheme="majorHAnsi" w:eastAsiaTheme="majorEastAsia" w:hAnsiTheme="majorHAnsi" w:cstheme="minorHAnsi"/>
          <w:b/>
          <w:bCs/>
          <w:u w:val="single"/>
        </w:rPr>
      </w:pPr>
      <w:bookmarkStart w:id="10" w:name="_Toc451770044"/>
      <w:r w:rsidRPr="00733D88">
        <w:rPr>
          <w:rFonts w:asciiTheme="majorHAnsi" w:eastAsiaTheme="majorEastAsia" w:hAnsiTheme="majorHAnsi" w:cstheme="minorHAnsi"/>
          <w:b/>
          <w:bCs/>
          <w:u w:val="single"/>
        </w:rPr>
        <w:t xml:space="preserve">Non-clinical safety data </w:t>
      </w:r>
      <w:bookmarkEnd w:id="10"/>
    </w:p>
    <w:p w14:paraId="7ABBF347" w14:textId="77777777" w:rsidR="00F62A4F" w:rsidRPr="00733D88" w:rsidRDefault="00F62A4F" w:rsidP="00AF46A0">
      <w:pPr>
        <w:ind w:left="14"/>
        <w:rPr>
          <w:rFonts w:cs="Arial"/>
        </w:rPr>
      </w:pPr>
      <w:r w:rsidRPr="00733D88">
        <w:rPr>
          <w:rFonts w:cs="Arial"/>
        </w:rPr>
        <w:t xml:space="preserve">Non-clinical data revealed no special hazard for humans based on tissue cross-reactivity testing, safety pharmacology, repeated dose and reproductive toxicity studies performed with </w:t>
      </w:r>
      <w:proofErr w:type="spellStart"/>
      <w:r w:rsidRPr="00733D88">
        <w:rPr>
          <w:rFonts w:cs="Arial"/>
        </w:rPr>
        <w:t>secukinumab</w:t>
      </w:r>
      <w:proofErr w:type="spellEnd"/>
      <w:r w:rsidRPr="00733D88">
        <w:rPr>
          <w:rFonts w:cs="Arial"/>
        </w:rPr>
        <w:t xml:space="preserve"> or a murine anti-murine IL-17A antibody.</w:t>
      </w:r>
    </w:p>
    <w:p w14:paraId="1770D39F" w14:textId="77777777" w:rsidR="00F62A4F" w:rsidRPr="00733D88" w:rsidRDefault="00F62A4F" w:rsidP="00AF46A0">
      <w:pPr>
        <w:ind w:left="14"/>
        <w:rPr>
          <w:rFonts w:cs="Arial"/>
        </w:rPr>
      </w:pPr>
      <w:r w:rsidRPr="00733D88">
        <w:rPr>
          <w:rFonts w:cs="Arial"/>
        </w:rPr>
        <w:t xml:space="preserve">Since </w:t>
      </w:r>
      <w:proofErr w:type="spellStart"/>
      <w:r w:rsidRPr="00733D88">
        <w:rPr>
          <w:rFonts w:cs="Arial"/>
        </w:rPr>
        <w:t>secukinumab</w:t>
      </w:r>
      <w:proofErr w:type="spellEnd"/>
      <w:r w:rsidRPr="00733D88">
        <w:rPr>
          <w:rFonts w:cs="Arial"/>
        </w:rPr>
        <w:t xml:space="preserve"> binds to </w:t>
      </w:r>
      <w:proofErr w:type="spellStart"/>
      <w:r w:rsidRPr="00733D88">
        <w:rPr>
          <w:rFonts w:cs="Arial"/>
        </w:rPr>
        <w:t>cynomolgus</w:t>
      </w:r>
      <w:proofErr w:type="spellEnd"/>
      <w:r w:rsidRPr="00733D88">
        <w:rPr>
          <w:rFonts w:cs="Arial"/>
        </w:rPr>
        <w:t xml:space="preserve"> monkey and human IL-17A, its safety was studied in the </w:t>
      </w:r>
      <w:proofErr w:type="spellStart"/>
      <w:r w:rsidRPr="00733D88">
        <w:rPr>
          <w:rFonts w:cs="Arial"/>
        </w:rPr>
        <w:t>cynomolgus</w:t>
      </w:r>
      <w:proofErr w:type="spellEnd"/>
      <w:r w:rsidRPr="00733D88">
        <w:rPr>
          <w:rFonts w:cs="Arial"/>
        </w:rPr>
        <w:t xml:space="preserve"> monkey. No undesirable effects of </w:t>
      </w:r>
      <w:proofErr w:type="spellStart"/>
      <w:r w:rsidRPr="00733D88">
        <w:rPr>
          <w:rFonts w:cs="Arial"/>
        </w:rPr>
        <w:t>secukinumab</w:t>
      </w:r>
      <w:proofErr w:type="spellEnd"/>
      <w:r w:rsidRPr="00733D88">
        <w:rPr>
          <w:rFonts w:cs="Arial"/>
        </w:rPr>
        <w:t xml:space="preserve"> were seen following subcutaneous administration to </w:t>
      </w:r>
      <w:proofErr w:type="spellStart"/>
      <w:r w:rsidRPr="00733D88">
        <w:rPr>
          <w:rFonts w:cs="Arial"/>
        </w:rPr>
        <w:t>cynomolgus</w:t>
      </w:r>
      <w:proofErr w:type="spellEnd"/>
      <w:r w:rsidRPr="00733D88">
        <w:rPr>
          <w:rFonts w:cs="Arial"/>
        </w:rPr>
        <w:t xml:space="preserve"> monkeys for up to 13 weeks and </w:t>
      </w:r>
      <w:proofErr w:type="spellStart"/>
      <w:r w:rsidRPr="00733D88">
        <w:rPr>
          <w:rFonts w:cs="Arial"/>
        </w:rPr>
        <w:t>intraveneous</w:t>
      </w:r>
      <w:proofErr w:type="spellEnd"/>
      <w:r w:rsidRPr="00733D88">
        <w:rPr>
          <w:rFonts w:cs="Arial"/>
        </w:rPr>
        <w:t xml:space="preserve"> administration up to 26 weeks (including pharmacokinetic, pharmacodynamic, immunogenicity and </w:t>
      </w:r>
      <w:proofErr w:type="spellStart"/>
      <w:r w:rsidRPr="00733D88">
        <w:rPr>
          <w:rFonts w:cs="Arial"/>
        </w:rPr>
        <w:t>immunotoxicity</w:t>
      </w:r>
      <w:proofErr w:type="spellEnd"/>
      <w:r w:rsidRPr="00733D88">
        <w:rPr>
          <w:rFonts w:cs="Arial"/>
        </w:rPr>
        <w:t xml:space="preserve"> (e.g. T cell dependent antibody response and NK cell activity) evaluations). The average serum concentrations observed in monkeys after 13 weekly subcutaneous doses of 150 mg/kg are 48-fold higher than the predicted average serum concentration expected in psoriatic patients at the highest clinical dose. The exposure multiples are even higher when the average serum concentration from the 26 weeks intravenous toxicology study in </w:t>
      </w:r>
      <w:proofErr w:type="spellStart"/>
      <w:r w:rsidRPr="00733D88">
        <w:rPr>
          <w:rFonts w:cs="Arial"/>
        </w:rPr>
        <w:t>cynomolgus</w:t>
      </w:r>
      <w:proofErr w:type="spellEnd"/>
      <w:r w:rsidRPr="00733D88">
        <w:rPr>
          <w:rFonts w:cs="Arial"/>
        </w:rPr>
        <w:t xml:space="preserve"> monkeys are taken into consideration. Antibodies to </w:t>
      </w:r>
      <w:proofErr w:type="spellStart"/>
      <w:r w:rsidRPr="00733D88">
        <w:rPr>
          <w:rFonts w:cs="Arial"/>
        </w:rPr>
        <w:t>secukinumab</w:t>
      </w:r>
      <w:proofErr w:type="spellEnd"/>
      <w:r w:rsidRPr="00733D88">
        <w:rPr>
          <w:rFonts w:cs="Arial"/>
        </w:rPr>
        <w:t xml:space="preserve"> were detected in only one out of 101 animals. No non-specific tissue cross-reactivity was demonstrated when </w:t>
      </w:r>
      <w:proofErr w:type="spellStart"/>
      <w:r w:rsidRPr="00733D88">
        <w:rPr>
          <w:rFonts w:cs="Arial"/>
        </w:rPr>
        <w:t>secukinumab</w:t>
      </w:r>
      <w:proofErr w:type="spellEnd"/>
      <w:r w:rsidRPr="00733D88">
        <w:rPr>
          <w:rFonts w:cs="Arial"/>
        </w:rPr>
        <w:t xml:space="preserve"> was applied to normal human tissues.</w:t>
      </w:r>
    </w:p>
    <w:p w14:paraId="5E7332BB" w14:textId="77777777" w:rsidR="00F62A4F" w:rsidRPr="00733D88" w:rsidRDefault="00F62A4F" w:rsidP="00AF46A0">
      <w:pPr>
        <w:ind w:left="14"/>
        <w:rPr>
          <w:rFonts w:cs="Arial"/>
        </w:rPr>
      </w:pPr>
      <w:r w:rsidRPr="00733D88">
        <w:rPr>
          <w:rFonts w:cs="Arial"/>
        </w:rPr>
        <w:t xml:space="preserve">No undesirable effects of a murine anti-murine IL-17A antibody were seen in fertility and early embryonic development and pre-and postnatal development studies in mice. The high dose used in these studies was in excess of the maximally effective dose in terms of IL-17A suppression and activity (see </w:t>
      </w:r>
      <w:r w:rsidR="003B15C9" w:rsidRPr="00733D88">
        <w:rPr>
          <w:rFonts w:cs="Arial"/>
        </w:rPr>
        <w:t>section 4.6 FERTILITY, PREGNANCY AND LACTATION</w:t>
      </w:r>
      <w:r w:rsidRPr="00733D88">
        <w:rPr>
          <w:rFonts w:cs="Arial"/>
        </w:rPr>
        <w:t>).</w:t>
      </w:r>
    </w:p>
    <w:p w14:paraId="046E2414" w14:textId="77777777" w:rsidR="001A3992" w:rsidRPr="002D07A3" w:rsidRDefault="001A3992" w:rsidP="00AF46A0">
      <w:pPr>
        <w:pStyle w:val="Heading2"/>
        <w:spacing w:before="0" w:after="120"/>
        <w:ind w:left="578" w:hanging="578"/>
        <w:rPr>
          <w:rFonts w:cstheme="minorHAnsi"/>
        </w:rPr>
      </w:pPr>
      <w:r w:rsidRPr="002D07A3">
        <w:rPr>
          <w:rFonts w:cstheme="minorHAnsi"/>
        </w:rPr>
        <w:t xml:space="preserve">Pharmacokinetic properties </w:t>
      </w:r>
    </w:p>
    <w:p w14:paraId="106AB536" w14:textId="6DC2D1F3" w:rsidR="00AF4E63" w:rsidRPr="00733D88" w:rsidRDefault="00AF4E63" w:rsidP="00AF46A0">
      <w:pPr>
        <w:rPr>
          <w:rFonts w:cs="Arial"/>
        </w:rPr>
      </w:pPr>
      <w:r w:rsidRPr="00733D88">
        <w:rPr>
          <w:rFonts w:cs="Arial"/>
        </w:rPr>
        <w:t xml:space="preserve">The mean pharmacokinetic parameters of </w:t>
      </w:r>
      <w:proofErr w:type="spellStart"/>
      <w:r w:rsidRPr="00733D88">
        <w:rPr>
          <w:rFonts w:cs="Arial"/>
        </w:rPr>
        <w:t>secukinumab</w:t>
      </w:r>
      <w:proofErr w:type="spellEnd"/>
      <w:r w:rsidRPr="00733D88">
        <w:rPr>
          <w:rFonts w:cs="Arial"/>
        </w:rPr>
        <w:t xml:space="preserve"> following single and multiple subcutaneous administration in adult patients with psoriasis, resulting from population pharmacokinetic analysis, are shown in Table </w:t>
      </w:r>
      <w:r w:rsidR="00733D88">
        <w:rPr>
          <w:rFonts w:cs="Arial"/>
        </w:rPr>
        <w:t>1</w:t>
      </w:r>
      <w:r w:rsidR="005F67EA">
        <w:rPr>
          <w:rFonts w:cs="Arial"/>
        </w:rPr>
        <w:t>2</w:t>
      </w:r>
      <w:r w:rsidRPr="00733D88">
        <w:rPr>
          <w:rFonts w:cs="Arial"/>
        </w:rPr>
        <w:t xml:space="preserve">. </w:t>
      </w:r>
      <w:proofErr w:type="spellStart"/>
      <w:r w:rsidRPr="00733D88">
        <w:rPr>
          <w:rFonts w:cs="Arial"/>
        </w:rPr>
        <w:t>Cmax</w:t>
      </w:r>
      <w:proofErr w:type="spellEnd"/>
      <w:r w:rsidRPr="00733D88">
        <w:rPr>
          <w:rFonts w:cs="Arial"/>
        </w:rPr>
        <w:t xml:space="preserve"> and AUC were dose-proportional at 150 mg and 300 mg subcutaneous doses.</w:t>
      </w:r>
    </w:p>
    <w:p w14:paraId="6A4DE4F5" w14:textId="77777777" w:rsidR="00A85630" w:rsidRDefault="00A85630" w:rsidP="00AF46A0">
      <w:pPr>
        <w:spacing w:after="120"/>
        <w:ind w:left="1166" w:hanging="1166"/>
        <w:rPr>
          <w:rFonts w:ascii="Arial" w:hAnsi="Arial" w:cs="Arial"/>
          <w:b/>
          <w:sz w:val="20"/>
        </w:rPr>
      </w:pPr>
    </w:p>
    <w:p w14:paraId="5F894084" w14:textId="77777777" w:rsidR="00A85630" w:rsidRDefault="00A85630" w:rsidP="00AF46A0">
      <w:pPr>
        <w:spacing w:after="120"/>
        <w:ind w:left="1166" w:hanging="1166"/>
        <w:rPr>
          <w:rFonts w:ascii="Arial" w:hAnsi="Arial" w:cs="Arial"/>
          <w:b/>
          <w:sz w:val="20"/>
        </w:rPr>
      </w:pPr>
    </w:p>
    <w:p w14:paraId="1477DACB" w14:textId="77777777" w:rsidR="00A85630" w:rsidRDefault="00A85630" w:rsidP="00AF46A0">
      <w:pPr>
        <w:spacing w:after="120"/>
        <w:ind w:left="1166" w:hanging="1166"/>
        <w:rPr>
          <w:rFonts w:ascii="Arial" w:hAnsi="Arial" w:cs="Arial"/>
          <w:b/>
          <w:sz w:val="20"/>
        </w:rPr>
      </w:pPr>
    </w:p>
    <w:p w14:paraId="04A7DF00" w14:textId="77777777" w:rsidR="00A85630" w:rsidRDefault="00A85630" w:rsidP="00AF46A0">
      <w:pPr>
        <w:spacing w:after="120"/>
        <w:ind w:left="1166" w:hanging="1166"/>
        <w:rPr>
          <w:rFonts w:ascii="Arial" w:hAnsi="Arial" w:cs="Arial"/>
          <w:b/>
          <w:sz w:val="20"/>
        </w:rPr>
      </w:pPr>
    </w:p>
    <w:p w14:paraId="08516A61" w14:textId="77777777" w:rsidR="00A85630" w:rsidRDefault="00A85630" w:rsidP="00AF46A0">
      <w:pPr>
        <w:spacing w:after="120"/>
        <w:ind w:left="1166" w:hanging="1166"/>
        <w:rPr>
          <w:rFonts w:ascii="Arial" w:hAnsi="Arial" w:cs="Arial"/>
          <w:b/>
          <w:sz w:val="20"/>
        </w:rPr>
      </w:pPr>
    </w:p>
    <w:p w14:paraId="68B696F5" w14:textId="545CD482" w:rsidR="00AF4E63" w:rsidRPr="00733D88" w:rsidRDefault="00AF4E63" w:rsidP="00AF46A0">
      <w:pPr>
        <w:spacing w:after="120"/>
        <w:ind w:left="1166" w:hanging="1166"/>
        <w:rPr>
          <w:rFonts w:ascii="Arial" w:hAnsi="Arial" w:cs="Arial"/>
          <w:b/>
          <w:sz w:val="20"/>
        </w:rPr>
      </w:pPr>
      <w:r w:rsidRPr="00733D88">
        <w:rPr>
          <w:rFonts w:ascii="Arial" w:hAnsi="Arial" w:cs="Arial"/>
          <w:b/>
          <w:sz w:val="20"/>
        </w:rPr>
        <w:t xml:space="preserve">Table </w:t>
      </w:r>
      <w:r w:rsidR="00733D88">
        <w:rPr>
          <w:rFonts w:ascii="Arial" w:hAnsi="Arial" w:cs="Arial"/>
          <w:b/>
          <w:sz w:val="20"/>
        </w:rPr>
        <w:t>1</w:t>
      </w:r>
      <w:r w:rsidR="005F67EA">
        <w:rPr>
          <w:rFonts w:ascii="Arial" w:hAnsi="Arial" w:cs="Arial"/>
          <w:b/>
          <w:sz w:val="20"/>
        </w:rPr>
        <w:t>2</w:t>
      </w:r>
      <w:r w:rsidR="00733D88" w:rsidRPr="00733D88">
        <w:rPr>
          <w:rFonts w:ascii="Arial" w:hAnsi="Arial" w:cs="Arial"/>
          <w:b/>
          <w:sz w:val="20"/>
        </w:rPr>
        <w:t xml:space="preserve"> </w:t>
      </w:r>
      <w:r w:rsidRPr="00733D88">
        <w:rPr>
          <w:rFonts w:ascii="Arial" w:hAnsi="Arial" w:cs="Arial"/>
          <w:b/>
          <w:sz w:val="20"/>
        </w:rPr>
        <w:tab/>
        <w:t xml:space="preserve">Summary of pharmacokinetic parameters of COSENTYX at steady – state following 150 or 300 mg </w:t>
      </w:r>
      <w:proofErr w:type="spellStart"/>
      <w:r w:rsidRPr="00733D88">
        <w:rPr>
          <w:rFonts w:ascii="Arial" w:hAnsi="Arial" w:cs="Arial"/>
          <w:b/>
          <w:sz w:val="20"/>
        </w:rPr>
        <w:t>s.c.</w:t>
      </w:r>
      <w:proofErr w:type="spellEnd"/>
      <w:r w:rsidRPr="00733D88">
        <w:rPr>
          <w:rFonts w:ascii="Arial" w:hAnsi="Arial" w:cs="Arial"/>
          <w:b/>
          <w:sz w:val="20"/>
        </w:rPr>
        <w:t xml:space="preserve"> administration in adult patients with psoriasis </w:t>
      </w:r>
    </w:p>
    <w:tbl>
      <w:tblPr>
        <w:tblStyle w:val="TableGrid"/>
        <w:tblW w:w="9018" w:type="dxa"/>
        <w:tblInd w:w="108" w:type="dxa"/>
        <w:tblLook w:val="04A0" w:firstRow="1" w:lastRow="0" w:firstColumn="1" w:lastColumn="0" w:noHBand="0" w:noVBand="1"/>
      </w:tblPr>
      <w:tblGrid>
        <w:gridCol w:w="2358"/>
        <w:gridCol w:w="1665"/>
        <w:gridCol w:w="1665"/>
        <w:gridCol w:w="1665"/>
        <w:gridCol w:w="1665"/>
      </w:tblGrid>
      <w:tr w:rsidR="00AF4E63" w:rsidRPr="00733D88" w14:paraId="75322578" w14:textId="77777777" w:rsidTr="00010B1A">
        <w:tc>
          <w:tcPr>
            <w:tcW w:w="2358" w:type="dxa"/>
            <w:vMerge w:val="restart"/>
            <w:vAlign w:val="center"/>
          </w:tcPr>
          <w:p w14:paraId="3FCA13A4"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Parameter</w:t>
            </w:r>
          </w:p>
        </w:tc>
        <w:tc>
          <w:tcPr>
            <w:tcW w:w="6660" w:type="dxa"/>
            <w:gridSpan w:val="4"/>
            <w:vAlign w:val="center"/>
          </w:tcPr>
          <w:p w14:paraId="46603DDD"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COSENTYX 4-weekly dose</w:t>
            </w:r>
          </w:p>
        </w:tc>
      </w:tr>
      <w:tr w:rsidR="00AF4E63" w:rsidRPr="00733D88" w14:paraId="2E06053A" w14:textId="77777777" w:rsidTr="00010B1A">
        <w:tc>
          <w:tcPr>
            <w:tcW w:w="2358" w:type="dxa"/>
            <w:vMerge/>
          </w:tcPr>
          <w:p w14:paraId="1FD452CC" w14:textId="77777777" w:rsidR="00AF4E63" w:rsidRPr="00733D88" w:rsidRDefault="00AF4E63" w:rsidP="00AF46A0">
            <w:pPr>
              <w:spacing w:after="0"/>
              <w:rPr>
                <w:rFonts w:ascii="Arial" w:hAnsi="Arial" w:cs="Arial"/>
                <w:sz w:val="18"/>
                <w:szCs w:val="18"/>
              </w:rPr>
            </w:pPr>
          </w:p>
        </w:tc>
        <w:tc>
          <w:tcPr>
            <w:tcW w:w="3330" w:type="dxa"/>
            <w:gridSpan w:val="2"/>
            <w:vAlign w:val="center"/>
          </w:tcPr>
          <w:p w14:paraId="2F792CA9"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150 mg</w:t>
            </w:r>
          </w:p>
        </w:tc>
        <w:tc>
          <w:tcPr>
            <w:tcW w:w="3330" w:type="dxa"/>
            <w:gridSpan w:val="2"/>
            <w:vAlign w:val="center"/>
          </w:tcPr>
          <w:p w14:paraId="56B30CFC"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300 mg</w:t>
            </w:r>
          </w:p>
        </w:tc>
      </w:tr>
      <w:tr w:rsidR="00AF4E63" w:rsidRPr="00733D88" w14:paraId="4CD33F19" w14:textId="77777777" w:rsidTr="00010B1A">
        <w:tc>
          <w:tcPr>
            <w:tcW w:w="2358" w:type="dxa"/>
            <w:vMerge/>
          </w:tcPr>
          <w:p w14:paraId="38034834" w14:textId="77777777" w:rsidR="00AF4E63" w:rsidRPr="00733D88" w:rsidRDefault="00AF4E63" w:rsidP="00AF46A0">
            <w:pPr>
              <w:spacing w:after="0"/>
              <w:rPr>
                <w:rFonts w:ascii="Arial" w:hAnsi="Arial" w:cs="Arial"/>
                <w:sz w:val="18"/>
                <w:szCs w:val="18"/>
              </w:rPr>
            </w:pPr>
          </w:p>
        </w:tc>
        <w:tc>
          <w:tcPr>
            <w:tcW w:w="1665" w:type="dxa"/>
            <w:vAlign w:val="center"/>
          </w:tcPr>
          <w:p w14:paraId="70F5CD54"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Mean (SD)</w:t>
            </w:r>
          </w:p>
        </w:tc>
        <w:tc>
          <w:tcPr>
            <w:tcW w:w="1665" w:type="dxa"/>
            <w:vAlign w:val="center"/>
          </w:tcPr>
          <w:p w14:paraId="20D2F293"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Range</w:t>
            </w:r>
          </w:p>
        </w:tc>
        <w:tc>
          <w:tcPr>
            <w:tcW w:w="1665" w:type="dxa"/>
            <w:vAlign w:val="center"/>
          </w:tcPr>
          <w:p w14:paraId="57B0A9F9"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Mean (SD)</w:t>
            </w:r>
          </w:p>
        </w:tc>
        <w:tc>
          <w:tcPr>
            <w:tcW w:w="1665" w:type="dxa"/>
            <w:vAlign w:val="center"/>
          </w:tcPr>
          <w:p w14:paraId="2F75949E" w14:textId="77777777" w:rsidR="00AF4E63" w:rsidRPr="00733D88" w:rsidRDefault="00AF4E63" w:rsidP="00AF46A0">
            <w:pPr>
              <w:spacing w:after="0"/>
              <w:rPr>
                <w:rFonts w:ascii="Arial" w:hAnsi="Arial" w:cs="Arial"/>
                <w:b/>
                <w:sz w:val="18"/>
                <w:szCs w:val="18"/>
              </w:rPr>
            </w:pPr>
            <w:r w:rsidRPr="00733D88">
              <w:rPr>
                <w:rFonts w:ascii="Arial" w:hAnsi="Arial" w:cs="Arial"/>
                <w:b/>
                <w:sz w:val="18"/>
                <w:szCs w:val="18"/>
              </w:rPr>
              <w:t>Range</w:t>
            </w:r>
          </w:p>
        </w:tc>
      </w:tr>
      <w:tr w:rsidR="00AF4E63" w:rsidRPr="00733D88" w14:paraId="2926582F" w14:textId="77777777" w:rsidTr="0022141A">
        <w:trPr>
          <w:trHeight w:val="283"/>
        </w:trPr>
        <w:tc>
          <w:tcPr>
            <w:tcW w:w="2358" w:type="dxa"/>
          </w:tcPr>
          <w:p w14:paraId="5F2889C8" w14:textId="77777777" w:rsidR="00AF4E63" w:rsidRPr="00733D88" w:rsidRDefault="00AF4E63" w:rsidP="00AF46A0">
            <w:pPr>
              <w:spacing w:after="0"/>
              <w:rPr>
                <w:rFonts w:ascii="Arial" w:hAnsi="Arial" w:cs="Arial"/>
                <w:sz w:val="18"/>
                <w:szCs w:val="18"/>
              </w:rPr>
            </w:pPr>
            <w:proofErr w:type="spellStart"/>
            <w:r w:rsidRPr="00733D88">
              <w:rPr>
                <w:rFonts w:ascii="Arial" w:hAnsi="Arial" w:cs="Arial"/>
                <w:sz w:val="18"/>
                <w:szCs w:val="18"/>
              </w:rPr>
              <w:t>Cmax,ss</w:t>
            </w:r>
            <w:proofErr w:type="spellEnd"/>
            <w:r w:rsidRPr="00733D88">
              <w:rPr>
                <w:rFonts w:ascii="Arial" w:hAnsi="Arial" w:cs="Arial"/>
                <w:sz w:val="18"/>
                <w:szCs w:val="18"/>
              </w:rPr>
              <w:t xml:space="preserve"> (µg/mL)</w:t>
            </w:r>
          </w:p>
        </w:tc>
        <w:tc>
          <w:tcPr>
            <w:tcW w:w="1665" w:type="dxa"/>
            <w:vAlign w:val="center"/>
          </w:tcPr>
          <w:p w14:paraId="313AA67B"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27.6 (10.7)</w:t>
            </w:r>
          </w:p>
        </w:tc>
        <w:tc>
          <w:tcPr>
            <w:tcW w:w="1665" w:type="dxa"/>
            <w:vAlign w:val="center"/>
          </w:tcPr>
          <w:p w14:paraId="32119AF2"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(13.7, 47.4)</w:t>
            </w:r>
          </w:p>
        </w:tc>
        <w:tc>
          <w:tcPr>
            <w:tcW w:w="1665" w:type="dxa"/>
            <w:vAlign w:val="center"/>
          </w:tcPr>
          <w:p w14:paraId="6871FCB8"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55.2 (21.5)</w:t>
            </w:r>
          </w:p>
        </w:tc>
        <w:tc>
          <w:tcPr>
            <w:tcW w:w="1665" w:type="dxa"/>
            <w:vAlign w:val="center"/>
          </w:tcPr>
          <w:p w14:paraId="77F911A1"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(27.5, 94.8)</w:t>
            </w:r>
          </w:p>
        </w:tc>
      </w:tr>
      <w:tr w:rsidR="00AF4E63" w:rsidRPr="00733D88" w14:paraId="5064C723" w14:textId="77777777" w:rsidTr="0022141A">
        <w:trPr>
          <w:trHeight w:val="283"/>
        </w:trPr>
        <w:tc>
          <w:tcPr>
            <w:tcW w:w="2358" w:type="dxa"/>
          </w:tcPr>
          <w:p w14:paraId="3F11BEF1" w14:textId="77777777" w:rsidR="00AF4E63" w:rsidRPr="00733D88" w:rsidRDefault="00AF4E63" w:rsidP="00AF46A0">
            <w:pPr>
              <w:spacing w:after="0"/>
              <w:rPr>
                <w:rFonts w:ascii="Arial" w:hAnsi="Arial" w:cs="Arial"/>
                <w:sz w:val="18"/>
                <w:szCs w:val="18"/>
              </w:rPr>
            </w:pPr>
            <w:proofErr w:type="spellStart"/>
            <w:r w:rsidRPr="00733D88">
              <w:rPr>
                <w:rFonts w:ascii="Arial" w:hAnsi="Arial" w:cs="Arial"/>
                <w:sz w:val="18"/>
                <w:szCs w:val="18"/>
              </w:rPr>
              <w:t>Cav,ss</w:t>
            </w:r>
            <w:proofErr w:type="spellEnd"/>
            <w:r w:rsidRPr="00733D88">
              <w:rPr>
                <w:rFonts w:ascii="Arial" w:hAnsi="Arial" w:cs="Arial"/>
                <w:sz w:val="18"/>
                <w:szCs w:val="18"/>
              </w:rPr>
              <w:t xml:space="preserve"> (µg/mL)</w:t>
            </w:r>
          </w:p>
        </w:tc>
        <w:tc>
          <w:tcPr>
            <w:tcW w:w="1665" w:type="dxa"/>
            <w:vAlign w:val="center"/>
          </w:tcPr>
          <w:p w14:paraId="26D70269"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22.2 (9.2)</w:t>
            </w:r>
          </w:p>
        </w:tc>
        <w:tc>
          <w:tcPr>
            <w:tcW w:w="1665" w:type="dxa"/>
            <w:vAlign w:val="center"/>
          </w:tcPr>
          <w:p w14:paraId="21844E56"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(10.5, 39.0</w:t>
            </w:r>
          </w:p>
        </w:tc>
        <w:tc>
          <w:tcPr>
            <w:tcW w:w="1665" w:type="dxa"/>
            <w:vAlign w:val="center"/>
          </w:tcPr>
          <w:p w14:paraId="6BBE0B10"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44.5 (18.4)</w:t>
            </w:r>
          </w:p>
        </w:tc>
        <w:tc>
          <w:tcPr>
            <w:tcW w:w="1665" w:type="dxa"/>
            <w:vAlign w:val="center"/>
          </w:tcPr>
          <w:p w14:paraId="74BB4C23"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(21.1, 77.9)</w:t>
            </w:r>
          </w:p>
        </w:tc>
      </w:tr>
      <w:tr w:rsidR="00AF4E63" w:rsidRPr="00733D88" w14:paraId="52A27353" w14:textId="77777777" w:rsidTr="0022141A">
        <w:trPr>
          <w:trHeight w:val="283"/>
        </w:trPr>
        <w:tc>
          <w:tcPr>
            <w:tcW w:w="2358" w:type="dxa"/>
          </w:tcPr>
          <w:p w14:paraId="45385D43" w14:textId="77777777" w:rsidR="00AF4E63" w:rsidRPr="00733D88" w:rsidRDefault="00AF4E63" w:rsidP="00AF46A0">
            <w:pPr>
              <w:spacing w:after="0"/>
              <w:rPr>
                <w:rFonts w:ascii="Arial" w:hAnsi="Arial" w:cs="Arial"/>
                <w:sz w:val="18"/>
                <w:szCs w:val="18"/>
              </w:rPr>
            </w:pPr>
            <w:proofErr w:type="spellStart"/>
            <w:r w:rsidRPr="00733D88">
              <w:rPr>
                <w:rFonts w:ascii="Arial" w:hAnsi="Arial" w:cs="Arial"/>
                <w:sz w:val="18"/>
                <w:szCs w:val="18"/>
              </w:rPr>
              <w:t>Tmax,ss</w:t>
            </w:r>
            <w:proofErr w:type="spellEnd"/>
            <w:r w:rsidRPr="00733D88">
              <w:rPr>
                <w:rFonts w:ascii="Arial" w:hAnsi="Arial" w:cs="Arial"/>
                <w:sz w:val="18"/>
                <w:szCs w:val="18"/>
              </w:rPr>
              <w:t xml:space="preserve"> (day)</w:t>
            </w:r>
          </w:p>
        </w:tc>
        <w:tc>
          <w:tcPr>
            <w:tcW w:w="1665" w:type="dxa"/>
            <w:vAlign w:val="center"/>
          </w:tcPr>
          <w:p w14:paraId="1E5E9B20"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6.0</w:t>
            </w:r>
          </w:p>
        </w:tc>
        <w:tc>
          <w:tcPr>
            <w:tcW w:w="1665" w:type="dxa"/>
            <w:vAlign w:val="center"/>
          </w:tcPr>
          <w:p w14:paraId="2E71CE8D"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(4.0, 8.0)</w:t>
            </w:r>
          </w:p>
        </w:tc>
        <w:tc>
          <w:tcPr>
            <w:tcW w:w="1665" w:type="dxa"/>
            <w:vAlign w:val="center"/>
          </w:tcPr>
          <w:p w14:paraId="5F0DCC57"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6.0</w:t>
            </w:r>
          </w:p>
        </w:tc>
        <w:tc>
          <w:tcPr>
            <w:tcW w:w="1665" w:type="dxa"/>
            <w:vAlign w:val="center"/>
          </w:tcPr>
          <w:p w14:paraId="2F650CA2"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(4.0, 8.0)</w:t>
            </w:r>
          </w:p>
        </w:tc>
      </w:tr>
      <w:tr w:rsidR="00AF4E63" w:rsidRPr="00733D88" w14:paraId="7DD43238" w14:textId="77777777" w:rsidTr="0022141A">
        <w:trPr>
          <w:trHeight w:val="283"/>
        </w:trPr>
        <w:tc>
          <w:tcPr>
            <w:tcW w:w="2358" w:type="dxa"/>
          </w:tcPr>
          <w:p w14:paraId="3D2F1424" w14:textId="77777777" w:rsidR="00AF4E63" w:rsidRPr="00733D88" w:rsidRDefault="00AF4E63" w:rsidP="00AF46A0">
            <w:pPr>
              <w:spacing w:after="0"/>
              <w:rPr>
                <w:rFonts w:ascii="Arial" w:hAnsi="Arial" w:cs="Arial"/>
                <w:sz w:val="18"/>
                <w:szCs w:val="18"/>
              </w:rPr>
            </w:pPr>
            <w:proofErr w:type="spellStart"/>
            <w:r w:rsidRPr="00733D88">
              <w:rPr>
                <w:rFonts w:ascii="Arial" w:hAnsi="Arial" w:cs="Arial"/>
                <w:sz w:val="18"/>
                <w:szCs w:val="18"/>
              </w:rPr>
              <w:t>AUCss</w:t>
            </w:r>
            <w:proofErr w:type="spellEnd"/>
            <w:r w:rsidRPr="00733D88">
              <w:rPr>
                <w:rFonts w:ascii="Arial" w:hAnsi="Arial" w:cs="Arial"/>
                <w:sz w:val="18"/>
                <w:szCs w:val="18"/>
              </w:rPr>
              <w:t xml:space="preserve"> (</w:t>
            </w:r>
            <w:proofErr w:type="spellStart"/>
            <w:r w:rsidRPr="00733D88">
              <w:rPr>
                <w:rFonts w:ascii="Arial" w:hAnsi="Arial" w:cs="Arial"/>
                <w:sz w:val="18"/>
                <w:szCs w:val="18"/>
              </w:rPr>
              <w:t>day.µg</w:t>
            </w:r>
            <w:proofErr w:type="spellEnd"/>
            <w:r w:rsidRPr="00733D88">
              <w:rPr>
                <w:rFonts w:ascii="Arial" w:hAnsi="Arial" w:cs="Arial"/>
                <w:sz w:val="18"/>
                <w:szCs w:val="18"/>
              </w:rPr>
              <w:t>/mL)</w:t>
            </w:r>
          </w:p>
        </w:tc>
        <w:tc>
          <w:tcPr>
            <w:tcW w:w="1665" w:type="dxa"/>
            <w:vAlign w:val="center"/>
          </w:tcPr>
          <w:p w14:paraId="52246C83"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622 (257)</w:t>
            </w:r>
          </w:p>
        </w:tc>
        <w:tc>
          <w:tcPr>
            <w:tcW w:w="1665" w:type="dxa"/>
            <w:vAlign w:val="center"/>
          </w:tcPr>
          <w:p w14:paraId="5A63C9B6"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(295, 1090)</w:t>
            </w:r>
          </w:p>
        </w:tc>
        <w:tc>
          <w:tcPr>
            <w:tcW w:w="1665" w:type="dxa"/>
            <w:vAlign w:val="center"/>
          </w:tcPr>
          <w:p w14:paraId="413E2914"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1245 (515)</w:t>
            </w:r>
          </w:p>
        </w:tc>
        <w:tc>
          <w:tcPr>
            <w:tcW w:w="1665" w:type="dxa"/>
            <w:vAlign w:val="center"/>
          </w:tcPr>
          <w:p w14:paraId="08BAB591" w14:textId="77777777" w:rsidR="00AF4E63" w:rsidRPr="00733D88" w:rsidRDefault="00AF4E63" w:rsidP="00AF46A0">
            <w:pPr>
              <w:spacing w:after="0"/>
              <w:rPr>
                <w:rFonts w:ascii="Arial" w:hAnsi="Arial" w:cs="Arial"/>
                <w:sz w:val="18"/>
                <w:szCs w:val="18"/>
              </w:rPr>
            </w:pPr>
            <w:r w:rsidRPr="00733D88">
              <w:rPr>
                <w:rFonts w:ascii="Arial" w:hAnsi="Arial" w:cs="Arial"/>
                <w:sz w:val="18"/>
                <w:szCs w:val="18"/>
              </w:rPr>
              <w:t>(590, 2180)</w:t>
            </w:r>
          </w:p>
        </w:tc>
      </w:tr>
    </w:tbl>
    <w:p w14:paraId="50979789" w14:textId="77777777" w:rsidR="00AF4E63" w:rsidRPr="002D07A3" w:rsidRDefault="00AF4E63" w:rsidP="00AF46A0"/>
    <w:p w14:paraId="629D5316" w14:textId="7F63C517" w:rsidR="00F62A4F" w:rsidRPr="00733D88" w:rsidRDefault="00F62A4F" w:rsidP="00AF46A0">
      <w:pPr>
        <w:spacing w:after="120"/>
        <w:rPr>
          <w:rFonts w:asciiTheme="majorHAnsi" w:eastAsiaTheme="majorEastAsia" w:hAnsiTheme="majorHAnsi" w:cstheme="minorHAnsi"/>
          <w:b/>
          <w:bCs/>
          <w:u w:val="single"/>
        </w:rPr>
      </w:pPr>
      <w:r w:rsidRPr="00733D88">
        <w:rPr>
          <w:rFonts w:asciiTheme="majorHAnsi" w:eastAsiaTheme="majorEastAsia" w:hAnsiTheme="majorHAnsi" w:cstheme="minorHAnsi"/>
          <w:b/>
          <w:bCs/>
          <w:u w:val="single"/>
        </w:rPr>
        <w:t>Pharmacokinetics in special patient groups</w:t>
      </w:r>
    </w:p>
    <w:p w14:paraId="4889578C" w14:textId="77777777" w:rsidR="00F62A4F" w:rsidRPr="00733D88" w:rsidRDefault="00F62A4F" w:rsidP="00AF46A0">
      <w:pPr>
        <w:pStyle w:val="Heading3"/>
        <w:spacing w:before="0" w:after="120"/>
        <w:ind w:left="0"/>
        <w:rPr>
          <w:rFonts w:cstheme="minorHAnsi"/>
          <w:b w:val="0"/>
        </w:rPr>
      </w:pPr>
      <w:r w:rsidRPr="00733D88">
        <w:rPr>
          <w:rFonts w:cstheme="minorHAnsi"/>
        </w:rPr>
        <w:t>Paediatrics (&lt; 18 years of age)</w:t>
      </w:r>
    </w:p>
    <w:p w14:paraId="57F0668E" w14:textId="77777777" w:rsidR="00F62A4F" w:rsidRPr="002D07A3" w:rsidRDefault="00F62A4F" w:rsidP="00AF46A0">
      <w:pPr>
        <w:rPr>
          <w:rFonts w:eastAsiaTheme="majorEastAsia" w:cstheme="minorHAnsi"/>
          <w:bCs/>
        </w:rPr>
      </w:pPr>
      <w:r w:rsidRPr="002D07A3">
        <w:rPr>
          <w:rFonts w:eastAsiaTheme="majorEastAsia" w:cstheme="minorHAnsi"/>
          <w:bCs/>
        </w:rPr>
        <w:t>Specific studies of COSENTYX in paediatric patients have not been conducted.</w:t>
      </w:r>
    </w:p>
    <w:p w14:paraId="2C11F0C2" w14:textId="77777777" w:rsidR="00F62A4F" w:rsidRPr="00733D88" w:rsidRDefault="00F62A4F" w:rsidP="00AF46A0">
      <w:pPr>
        <w:pStyle w:val="Heading3"/>
        <w:spacing w:before="0" w:after="120"/>
        <w:ind w:left="0"/>
        <w:rPr>
          <w:rFonts w:cstheme="minorHAnsi"/>
          <w:b w:val="0"/>
        </w:rPr>
      </w:pPr>
      <w:r w:rsidRPr="00733D88">
        <w:rPr>
          <w:rFonts w:cstheme="minorHAnsi"/>
        </w:rPr>
        <w:t>Elderly patients</w:t>
      </w:r>
    </w:p>
    <w:p w14:paraId="474E095C" w14:textId="77777777" w:rsidR="00F62A4F" w:rsidRPr="00733D88" w:rsidRDefault="00F62A4F" w:rsidP="00AF46A0">
      <w:pPr>
        <w:rPr>
          <w:rFonts w:cs="Arial"/>
        </w:rPr>
      </w:pPr>
      <w:r w:rsidRPr="00733D88">
        <w:rPr>
          <w:rFonts w:cs="Arial"/>
        </w:rPr>
        <w:t>Of the 3,430 plaque psoriasis patients exposed to COSENTYX in clinical studies, a total of 230 were 65 years of age or older and 32 patients were 75 years of age or older.</w:t>
      </w:r>
    </w:p>
    <w:p w14:paraId="17C9E1D2" w14:textId="340C681E" w:rsidR="00F62A4F" w:rsidRPr="00733D88" w:rsidRDefault="00F62A4F" w:rsidP="00AF46A0">
      <w:pPr>
        <w:rPr>
          <w:rFonts w:cs="Arial"/>
        </w:rPr>
      </w:pPr>
      <w:r w:rsidRPr="00733D88">
        <w:rPr>
          <w:rFonts w:cs="Arial"/>
        </w:rPr>
        <w:t xml:space="preserve">Of the </w:t>
      </w:r>
      <w:r w:rsidR="00F52032" w:rsidRPr="00733D88">
        <w:rPr>
          <w:rFonts w:cs="Arial"/>
        </w:rPr>
        <w:t xml:space="preserve">2,536 </w:t>
      </w:r>
      <w:r w:rsidRPr="00733D88">
        <w:rPr>
          <w:rFonts w:cs="Arial"/>
        </w:rPr>
        <w:t xml:space="preserve">psoriatic arthritis patients exposed to COSENTYX  in clinical studies, a total of </w:t>
      </w:r>
      <w:r w:rsidR="00F52032" w:rsidRPr="00733D88">
        <w:rPr>
          <w:rFonts w:cs="Arial"/>
        </w:rPr>
        <w:t xml:space="preserve">236 </w:t>
      </w:r>
      <w:r w:rsidRPr="00733D88">
        <w:rPr>
          <w:rFonts w:cs="Arial"/>
        </w:rPr>
        <w:t xml:space="preserve">patients were 65 years of age or older and </w:t>
      </w:r>
      <w:r w:rsidR="00F52032" w:rsidRPr="00733D88">
        <w:rPr>
          <w:rFonts w:cs="Arial"/>
        </w:rPr>
        <w:t>25</w:t>
      </w:r>
      <w:r w:rsidRPr="00733D88">
        <w:rPr>
          <w:rFonts w:cs="Arial"/>
        </w:rPr>
        <w:t xml:space="preserve"> patients were 75 years of age or older.</w:t>
      </w:r>
    </w:p>
    <w:p w14:paraId="36E8EF22" w14:textId="1FD699F6" w:rsidR="00F62A4F" w:rsidRPr="00733D88" w:rsidRDefault="00F62A4F" w:rsidP="00AF46A0">
      <w:pPr>
        <w:rPr>
          <w:rFonts w:cs="Arial"/>
        </w:rPr>
      </w:pPr>
      <w:r w:rsidRPr="00733D88">
        <w:rPr>
          <w:rFonts w:cs="Arial"/>
        </w:rPr>
        <w:t xml:space="preserve">Of the </w:t>
      </w:r>
      <w:r w:rsidR="00C6319D">
        <w:rPr>
          <w:rFonts w:cs="Arial"/>
        </w:rPr>
        <w:t>794</w:t>
      </w:r>
      <w:r w:rsidRPr="00733D88">
        <w:rPr>
          <w:rFonts w:cs="Arial"/>
        </w:rPr>
        <w:t xml:space="preserve"> ankylosing spondylitis patients exposed to COSENTYX in clinical studies, a total of </w:t>
      </w:r>
      <w:r w:rsidR="00C6319D">
        <w:rPr>
          <w:rFonts w:cs="Arial"/>
        </w:rPr>
        <w:t>29</w:t>
      </w:r>
      <w:r w:rsidRPr="00733D88">
        <w:rPr>
          <w:rFonts w:cs="Arial"/>
        </w:rPr>
        <w:t xml:space="preserve"> patients were 65 years of age or older and 3 patients were 75 years of age or older.</w:t>
      </w:r>
    </w:p>
    <w:p w14:paraId="4CE8F0F7" w14:textId="50DA2A3C" w:rsidR="001603B3" w:rsidRPr="00733D88" w:rsidRDefault="001603B3" w:rsidP="00AF46A0">
      <w:pPr>
        <w:rPr>
          <w:szCs w:val="24"/>
        </w:rPr>
      </w:pPr>
      <w:r w:rsidRPr="00733D88">
        <w:rPr>
          <w:szCs w:val="24"/>
        </w:rPr>
        <w:t xml:space="preserve">Of the 524 non-radiographic axial </w:t>
      </w:r>
      <w:proofErr w:type="spellStart"/>
      <w:r w:rsidRPr="00733D88">
        <w:rPr>
          <w:szCs w:val="24"/>
        </w:rPr>
        <w:t>spondyloarthritis</w:t>
      </w:r>
      <w:proofErr w:type="spellEnd"/>
      <w:r w:rsidRPr="00733D88">
        <w:rPr>
          <w:szCs w:val="24"/>
        </w:rPr>
        <w:t xml:space="preserve"> patients exposed to COSENTYX in clinical studies, a total of 9 patients were 65 years of age or older and 2 patients were 75 years of age of older.</w:t>
      </w:r>
    </w:p>
    <w:p w14:paraId="212ACDE2" w14:textId="64C0A0E2" w:rsidR="00F62A4F" w:rsidRPr="00733D88" w:rsidRDefault="00F62A4F" w:rsidP="00AF46A0">
      <w:pPr>
        <w:rPr>
          <w:rFonts w:cs="Arial"/>
        </w:rPr>
      </w:pPr>
      <w:r w:rsidRPr="00733D88">
        <w:rPr>
          <w:rFonts w:cs="Arial"/>
        </w:rPr>
        <w:t>Based on population PK analysis, clearance in elderly patients and patients less than 65 years of age was similar.</w:t>
      </w:r>
    </w:p>
    <w:p w14:paraId="02292B7A" w14:textId="77777777" w:rsidR="00F62A4F" w:rsidRPr="00733D88" w:rsidRDefault="00F62A4F" w:rsidP="00AF46A0">
      <w:pPr>
        <w:pStyle w:val="Heading3"/>
        <w:spacing w:before="0" w:after="120"/>
        <w:ind w:left="0"/>
        <w:rPr>
          <w:rFonts w:cstheme="minorHAnsi"/>
          <w:b w:val="0"/>
        </w:rPr>
      </w:pPr>
      <w:r w:rsidRPr="00733D88">
        <w:rPr>
          <w:rFonts w:cstheme="minorHAnsi"/>
        </w:rPr>
        <w:t>Patients with renal and hepatic impairment</w:t>
      </w:r>
    </w:p>
    <w:p w14:paraId="007588AB" w14:textId="77777777" w:rsidR="00F62A4F" w:rsidRPr="002D07A3" w:rsidRDefault="00F62A4F" w:rsidP="00AF46A0">
      <w:pPr>
        <w:rPr>
          <w:rFonts w:eastAsiaTheme="majorEastAsia" w:cstheme="minorHAnsi"/>
          <w:bCs/>
        </w:rPr>
      </w:pPr>
      <w:r w:rsidRPr="002D07A3">
        <w:rPr>
          <w:rFonts w:eastAsiaTheme="majorEastAsia" w:cstheme="minorHAnsi"/>
          <w:bCs/>
        </w:rPr>
        <w:t>No pharmacokinetic data are available in patients with hepatic or renal impairment.</w:t>
      </w:r>
    </w:p>
    <w:p w14:paraId="3808B515" w14:textId="77777777" w:rsidR="00F62A4F" w:rsidRPr="00733D88" w:rsidRDefault="00F62A4F" w:rsidP="00AF46A0">
      <w:pPr>
        <w:pStyle w:val="Heading3"/>
        <w:spacing w:before="0" w:after="120"/>
        <w:ind w:left="0"/>
        <w:rPr>
          <w:rFonts w:cstheme="minorHAnsi"/>
          <w:b w:val="0"/>
        </w:rPr>
      </w:pPr>
      <w:r w:rsidRPr="00733D88">
        <w:rPr>
          <w:rFonts w:cstheme="minorHAnsi"/>
        </w:rPr>
        <w:t>Effect of weight on pharmacokinetics</w:t>
      </w:r>
    </w:p>
    <w:p w14:paraId="4117B081" w14:textId="77777777" w:rsidR="00F62A4F" w:rsidRPr="002D07A3" w:rsidRDefault="00F62A4F" w:rsidP="00AF46A0">
      <w:pPr>
        <w:rPr>
          <w:rFonts w:eastAsiaTheme="majorEastAsia" w:cstheme="minorHAnsi"/>
          <w:bCs/>
        </w:rPr>
      </w:pPr>
      <w:proofErr w:type="spellStart"/>
      <w:r w:rsidRPr="002D07A3">
        <w:rPr>
          <w:rFonts w:eastAsiaTheme="majorEastAsia" w:cstheme="minorHAnsi"/>
          <w:bCs/>
        </w:rPr>
        <w:t>Secukinumab</w:t>
      </w:r>
      <w:proofErr w:type="spellEnd"/>
      <w:r w:rsidRPr="002D07A3">
        <w:rPr>
          <w:rFonts w:eastAsiaTheme="majorEastAsia" w:cstheme="minorHAnsi"/>
          <w:bCs/>
        </w:rPr>
        <w:t xml:space="preserve"> clearance and volume of distribution increase as body weight increases.</w:t>
      </w:r>
    </w:p>
    <w:p w14:paraId="44DB0F58" w14:textId="77777777" w:rsidR="001A3992" w:rsidRPr="00733D88" w:rsidRDefault="001A3992" w:rsidP="00AF46A0">
      <w:pPr>
        <w:spacing w:after="120"/>
        <w:rPr>
          <w:rFonts w:cstheme="minorHAnsi"/>
          <w:u w:val="single"/>
        </w:rPr>
      </w:pPr>
      <w:r w:rsidRPr="00733D88">
        <w:rPr>
          <w:rFonts w:asciiTheme="majorHAnsi" w:eastAsiaTheme="majorEastAsia" w:hAnsiTheme="majorHAnsi" w:cstheme="minorHAnsi"/>
          <w:b/>
          <w:bCs/>
          <w:u w:val="single"/>
        </w:rPr>
        <w:t>Absorption</w:t>
      </w:r>
    </w:p>
    <w:p w14:paraId="22E86B94" w14:textId="77777777" w:rsidR="00AF4E63" w:rsidRPr="002D07A3" w:rsidRDefault="00AF4E63" w:rsidP="00AF46A0">
      <w:pPr>
        <w:rPr>
          <w:rFonts w:eastAsiaTheme="majorEastAsia" w:cstheme="minorHAnsi"/>
          <w:bCs/>
        </w:rPr>
      </w:pPr>
      <w:r w:rsidRPr="002D07A3">
        <w:rPr>
          <w:rFonts w:eastAsiaTheme="majorEastAsia" w:cstheme="minorHAnsi"/>
          <w:bCs/>
        </w:rPr>
        <w:t xml:space="preserve">Following a single subcutaneous dose of either 150 mg or 300 mg in plaque psoriasis patients, </w:t>
      </w:r>
      <w:proofErr w:type="spellStart"/>
      <w:r w:rsidRPr="002D07A3">
        <w:rPr>
          <w:rFonts w:eastAsiaTheme="majorEastAsia" w:cstheme="minorHAnsi"/>
          <w:bCs/>
        </w:rPr>
        <w:t>secukinumab</w:t>
      </w:r>
      <w:proofErr w:type="spellEnd"/>
      <w:r w:rsidRPr="002D07A3">
        <w:rPr>
          <w:rFonts w:eastAsiaTheme="majorEastAsia" w:cstheme="minorHAnsi"/>
          <w:bCs/>
        </w:rPr>
        <w:t xml:space="preserve"> reached peak serum concentrations of 13.7 ± 4.8 </w:t>
      </w:r>
      <w:proofErr w:type="spellStart"/>
      <w:r w:rsidRPr="002D07A3">
        <w:rPr>
          <w:rFonts w:eastAsiaTheme="majorEastAsia" w:cstheme="minorHAnsi"/>
          <w:bCs/>
        </w:rPr>
        <w:t>ug</w:t>
      </w:r>
      <w:proofErr w:type="spellEnd"/>
      <w:r w:rsidRPr="002D07A3">
        <w:rPr>
          <w:rFonts w:eastAsiaTheme="majorEastAsia" w:cstheme="minorHAnsi"/>
          <w:bCs/>
        </w:rPr>
        <w:t xml:space="preserve">/mL or 27.3 ± 9.5 </w:t>
      </w:r>
      <w:proofErr w:type="spellStart"/>
      <w:r w:rsidRPr="002D07A3">
        <w:rPr>
          <w:rFonts w:eastAsiaTheme="majorEastAsia" w:cstheme="minorHAnsi"/>
          <w:bCs/>
        </w:rPr>
        <w:t>ug</w:t>
      </w:r>
      <w:proofErr w:type="spellEnd"/>
      <w:r w:rsidRPr="002D07A3">
        <w:rPr>
          <w:rFonts w:eastAsiaTheme="majorEastAsia" w:cstheme="minorHAnsi"/>
          <w:bCs/>
        </w:rPr>
        <w:t>/mL, respectively, between 5 to 6 days post dose.</w:t>
      </w:r>
    </w:p>
    <w:p w14:paraId="4973C09E" w14:textId="77777777" w:rsidR="00AF4E63" w:rsidRPr="002D07A3" w:rsidRDefault="00AF4E63" w:rsidP="00AF46A0">
      <w:pPr>
        <w:rPr>
          <w:rFonts w:eastAsiaTheme="majorEastAsia" w:cstheme="minorHAnsi"/>
          <w:bCs/>
        </w:rPr>
      </w:pPr>
      <w:r w:rsidRPr="002D07A3">
        <w:rPr>
          <w:rFonts w:eastAsiaTheme="majorEastAsia" w:cstheme="minorHAnsi"/>
          <w:bCs/>
        </w:rPr>
        <w:t>After the initial weekly dosing during the first month, the time to reach the maximum concentration was between 31 and 34 days.</w:t>
      </w:r>
    </w:p>
    <w:p w14:paraId="78B13B8C" w14:textId="77777777" w:rsidR="00AF4E63" w:rsidRPr="002D07A3" w:rsidRDefault="00AF4E63" w:rsidP="00AF46A0">
      <w:pPr>
        <w:rPr>
          <w:rFonts w:eastAsiaTheme="majorEastAsia" w:cstheme="minorHAnsi"/>
          <w:bCs/>
        </w:rPr>
      </w:pPr>
      <w:r w:rsidRPr="002D07A3">
        <w:rPr>
          <w:rFonts w:eastAsiaTheme="majorEastAsia" w:cstheme="minorHAnsi"/>
          <w:bCs/>
        </w:rPr>
        <w:t>Peak concentrations at steady-state (</w:t>
      </w:r>
      <w:proofErr w:type="spellStart"/>
      <w:r w:rsidRPr="002D07A3">
        <w:rPr>
          <w:rFonts w:eastAsiaTheme="majorEastAsia" w:cstheme="minorHAnsi"/>
          <w:bCs/>
        </w:rPr>
        <w:t>Cmax,ss</w:t>
      </w:r>
      <w:proofErr w:type="spellEnd"/>
      <w:r w:rsidRPr="002D07A3">
        <w:rPr>
          <w:rFonts w:eastAsiaTheme="majorEastAsia" w:cstheme="minorHAnsi"/>
          <w:bCs/>
        </w:rPr>
        <w:t xml:space="preserve">) following subcutaneous administration of 150 mg or 300 mg were 27.6 </w:t>
      </w:r>
      <w:proofErr w:type="spellStart"/>
      <w:r w:rsidRPr="002D07A3">
        <w:rPr>
          <w:rFonts w:eastAsiaTheme="majorEastAsia" w:cstheme="minorHAnsi"/>
          <w:bCs/>
        </w:rPr>
        <w:t>ug</w:t>
      </w:r>
      <w:proofErr w:type="spellEnd"/>
      <w:r w:rsidRPr="002D07A3">
        <w:rPr>
          <w:rFonts w:eastAsiaTheme="majorEastAsia" w:cstheme="minorHAnsi"/>
          <w:bCs/>
        </w:rPr>
        <w:t xml:space="preserve">/mL and 55.2 </w:t>
      </w:r>
      <w:proofErr w:type="spellStart"/>
      <w:r w:rsidRPr="002D07A3">
        <w:rPr>
          <w:rFonts w:eastAsiaTheme="majorEastAsia" w:cstheme="minorHAnsi"/>
          <w:bCs/>
        </w:rPr>
        <w:t>ug</w:t>
      </w:r>
      <w:proofErr w:type="spellEnd"/>
      <w:r w:rsidRPr="002D07A3">
        <w:rPr>
          <w:rFonts w:eastAsiaTheme="majorEastAsia" w:cstheme="minorHAnsi"/>
          <w:bCs/>
        </w:rPr>
        <w:t>/mL, respectively. Steady-state is reached after 20 weeks with monthly dosing regimens.</w:t>
      </w:r>
    </w:p>
    <w:p w14:paraId="42465502" w14:textId="77777777" w:rsidR="00AF4E63" w:rsidRPr="002D07A3" w:rsidRDefault="00AF4E63" w:rsidP="00AF46A0">
      <w:pPr>
        <w:rPr>
          <w:rFonts w:eastAsiaTheme="majorEastAsia" w:cstheme="minorHAnsi"/>
          <w:bCs/>
        </w:rPr>
      </w:pPr>
      <w:r w:rsidRPr="002D07A3">
        <w:rPr>
          <w:rFonts w:eastAsiaTheme="majorEastAsia" w:cstheme="minorHAnsi"/>
          <w:bCs/>
        </w:rPr>
        <w:t>Compared with exposure after a single dose, patients exhibited a 2-fold increase in peak serum concentrations and AUC following repeated monthly dosing during maintenance.</w:t>
      </w:r>
    </w:p>
    <w:p w14:paraId="1F37FDFA" w14:textId="77777777" w:rsidR="00AF4E63" w:rsidRPr="002D07A3" w:rsidRDefault="00AF4E63" w:rsidP="00AF46A0">
      <w:pPr>
        <w:rPr>
          <w:rFonts w:eastAsiaTheme="majorEastAsia" w:cstheme="minorHAnsi"/>
          <w:bCs/>
        </w:rPr>
      </w:pPr>
      <w:proofErr w:type="spellStart"/>
      <w:r w:rsidRPr="002D07A3">
        <w:rPr>
          <w:rFonts w:eastAsiaTheme="majorEastAsia" w:cstheme="minorHAnsi"/>
          <w:bCs/>
        </w:rPr>
        <w:t>Secukinumab</w:t>
      </w:r>
      <w:proofErr w:type="spellEnd"/>
      <w:r w:rsidRPr="002D07A3">
        <w:rPr>
          <w:rFonts w:eastAsiaTheme="majorEastAsia" w:cstheme="minorHAnsi"/>
          <w:bCs/>
        </w:rPr>
        <w:t xml:space="preserve"> is absorbed with an average absolute bioavailability of 73%.</w:t>
      </w:r>
    </w:p>
    <w:p w14:paraId="421727E7" w14:textId="77777777" w:rsidR="001A3992" w:rsidRPr="00733D88" w:rsidRDefault="001A3992" w:rsidP="00AF46A0">
      <w:pPr>
        <w:spacing w:after="120"/>
        <w:rPr>
          <w:rFonts w:cstheme="minorHAnsi"/>
          <w:u w:val="single"/>
        </w:rPr>
      </w:pPr>
      <w:r w:rsidRPr="00733D88">
        <w:rPr>
          <w:rFonts w:asciiTheme="majorHAnsi" w:eastAsiaTheme="majorEastAsia" w:hAnsiTheme="majorHAnsi" w:cstheme="minorHAnsi"/>
          <w:b/>
          <w:bCs/>
          <w:u w:val="single"/>
        </w:rPr>
        <w:t>Distribution</w:t>
      </w:r>
    </w:p>
    <w:p w14:paraId="0D6298B8" w14:textId="77777777" w:rsidR="00AF4E63" w:rsidRPr="002D07A3" w:rsidRDefault="00AF4E63" w:rsidP="00AF46A0">
      <w:pPr>
        <w:rPr>
          <w:rFonts w:eastAsiaTheme="majorEastAsia" w:cstheme="minorHAnsi"/>
          <w:bCs/>
        </w:rPr>
      </w:pPr>
      <w:r w:rsidRPr="002D07A3">
        <w:rPr>
          <w:rFonts w:eastAsiaTheme="majorEastAsia" w:cstheme="minorHAnsi"/>
          <w:bCs/>
        </w:rPr>
        <w:t>The mean volume of distribution during the terminal phase (</w:t>
      </w:r>
      <w:proofErr w:type="spellStart"/>
      <w:r w:rsidRPr="002D07A3">
        <w:rPr>
          <w:rFonts w:eastAsiaTheme="majorEastAsia" w:cstheme="minorHAnsi"/>
          <w:bCs/>
        </w:rPr>
        <w:t>Vz</w:t>
      </w:r>
      <w:proofErr w:type="spellEnd"/>
      <w:r w:rsidRPr="002D07A3">
        <w:rPr>
          <w:rFonts w:eastAsiaTheme="majorEastAsia" w:cstheme="minorHAnsi"/>
          <w:bCs/>
        </w:rPr>
        <w:t xml:space="preserve">) following a single intravenous administration ranged from 7.10 to 8.60 L in plaque psoriasis patients suggesting that </w:t>
      </w:r>
      <w:proofErr w:type="spellStart"/>
      <w:r w:rsidRPr="002D07A3">
        <w:rPr>
          <w:rFonts w:eastAsiaTheme="majorEastAsia" w:cstheme="minorHAnsi"/>
          <w:bCs/>
        </w:rPr>
        <w:t>secukinumab</w:t>
      </w:r>
      <w:proofErr w:type="spellEnd"/>
      <w:r w:rsidRPr="002D07A3">
        <w:rPr>
          <w:rFonts w:eastAsiaTheme="majorEastAsia" w:cstheme="minorHAnsi"/>
          <w:bCs/>
        </w:rPr>
        <w:t xml:space="preserve"> undergoes limited distribution to peripheral compartments.</w:t>
      </w:r>
    </w:p>
    <w:p w14:paraId="181CBA8B" w14:textId="77777777" w:rsidR="006D6733" w:rsidRDefault="00AF4E63" w:rsidP="00AF46A0">
      <w:pPr>
        <w:rPr>
          <w:rFonts w:eastAsiaTheme="majorEastAsia" w:cstheme="minorHAnsi"/>
          <w:bCs/>
        </w:rPr>
      </w:pPr>
      <w:proofErr w:type="spellStart"/>
      <w:r w:rsidRPr="002D07A3">
        <w:rPr>
          <w:rFonts w:eastAsiaTheme="majorEastAsia" w:cstheme="minorHAnsi"/>
          <w:bCs/>
        </w:rPr>
        <w:t>Secukinumab</w:t>
      </w:r>
      <w:proofErr w:type="spellEnd"/>
      <w:r w:rsidRPr="002D07A3">
        <w:rPr>
          <w:rFonts w:eastAsiaTheme="majorEastAsia" w:cstheme="minorHAnsi"/>
          <w:bCs/>
        </w:rPr>
        <w:t xml:space="preserve"> concentrations in interstitial fluid in the skin of plaque psoriasis patients ranged from 28 </w:t>
      </w:r>
      <w:r w:rsidRPr="006D6733">
        <w:rPr>
          <w:rFonts w:eastAsiaTheme="majorEastAsia" w:cstheme="minorHAnsi"/>
          <w:bCs/>
        </w:rPr>
        <w:t xml:space="preserve">% to 39 % of those in serum at 1 and 2 weeks after a single subcutaneous dose of 300 mg </w:t>
      </w:r>
      <w:proofErr w:type="spellStart"/>
      <w:r w:rsidRPr="006D6733">
        <w:rPr>
          <w:rFonts w:eastAsiaTheme="majorEastAsia" w:cstheme="minorHAnsi"/>
          <w:bCs/>
        </w:rPr>
        <w:t>secukinumab</w:t>
      </w:r>
      <w:proofErr w:type="spellEnd"/>
      <w:r w:rsidRPr="006D6733">
        <w:rPr>
          <w:rFonts w:eastAsiaTheme="majorEastAsia" w:cstheme="minorHAnsi"/>
          <w:bCs/>
        </w:rPr>
        <w:t>.</w:t>
      </w:r>
    </w:p>
    <w:p w14:paraId="2A5223D9" w14:textId="048908A1" w:rsidR="001A3992" w:rsidRPr="00733D88" w:rsidRDefault="000237F3" w:rsidP="00AF46A0">
      <w:pPr>
        <w:rPr>
          <w:rFonts w:asciiTheme="majorHAnsi" w:eastAsiaTheme="majorEastAsia" w:hAnsiTheme="majorHAnsi" w:cstheme="minorHAnsi"/>
          <w:b/>
          <w:bCs/>
          <w:u w:val="single"/>
        </w:rPr>
      </w:pPr>
      <w:r w:rsidRPr="002D07A3">
        <w:rPr>
          <w:rFonts w:eastAsiaTheme="majorEastAsia" w:cstheme="minorHAnsi"/>
          <w:bCs/>
        </w:rPr>
        <w:t xml:space="preserve"> </w:t>
      </w:r>
      <w:r w:rsidR="001A3992" w:rsidRPr="00733D88">
        <w:rPr>
          <w:rFonts w:asciiTheme="majorHAnsi" w:eastAsiaTheme="majorEastAsia" w:hAnsiTheme="majorHAnsi" w:cstheme="minorHAnsi"/>
          <w:b/>
          <w:bCs/>
          <w:u w:val="single"/>
        </w:rPr>
        <w:t>Metabolism</w:t>
      </w:r>
    </w:p>
    <w:p w14:paraId="2C35FE38" w14:textId="77777777" w:rsidR="00AF4E63" w:rsidRPr="002D07A3" w:rsidRDefault="00AF4E63" w:rsidP="00AF46A0">
      <w:pPr>
        <w:rPr>
          <w:rFonts w:eastAsiaTheme="majorEastAsia" w:cstheme="minorHAnsi"/>
          <w:bCs/>
        </w:rPr>
      </w:pPr>
      <w:r w:rsidRPr="002D07A3">
        <w:rPr>
          <w:rFonts w:eastAsiaTheme="majorEastAsia" w:cstheme="minorHAnsi"/>
          <w:bCs/>
        </w:rPr>
        <w:t xml:space="preserve">The metabolic pathway of </w:t>
      </w:r>
      <w:proofErr w:type="spellStart"/>
      <w:r w:rsidRPr="002D07A3">
        <w:rPr>
          <w:rFonts w:eastAsiaTheme="majorEastAsia" w:cstheme="minorHAnsi"/>
          <w:bCs/>
        </w:rPr>
        <w:t>secukinumab</w:t>
      </w:r>
      <w:proofErr w:type="spellEnd"/>
      <w:r w:rsidRPr="002D07A3">
        <w:rPr>
          <w:rFonts w:eastAsiaTheme="majorEastAsia" w:cstheme="minorHAnsi"/>
          <w:bCs/>
        </w:rPr>
        <w:t xml:space="preserve"> has not been characterised. As a human IgG1κ monoclonal antibody </w:t>
      </w:r>
      <w:proofErr w:type="spellStart"/>
      <w:r w:rsidRPr="002D07A3">
        <w:rPr>
          <w:rFonts w:eastAsiaTheme="majorEastAsia" w:cstheme="minorHAnsi"/>
          <w:bCs/>
        </w:rPr>
        <w:t>secukinumab</w:t>
      </w:r>
      <w:proofErr w:type="spellEnd"/>
      <w:r w:rsidRPr="002D07A3">
        <w:rPr>
          <w:rFonts w:eastAsiaTheme="majorEastAsia" w:cstheme="minorHAnsi"/>
          <w:bCs/>
        </w:rPr>
        <w:t xml:space="preserve"> is expected to be degraded into small peptides and amino acids via catabolic pathways in the same manner as endogenous IgG.</w:t>
      </w:r>
    </w:p>
    <w:p w14:paraId="2E6681A3" w14:textId="77777777" w:rsidR="001A3992" w:rsidRPr="00733D88" w:rsidRDefault="001A3992" w:rsidP="00AF46A0">
      <w:pPr>
        <w:spacing w:after="120"/>
        <w:rPr>
          <w:rFonts w:cstheme="minorHAnsi"/>
          <w:u w:val="single"/>
        </w:rPr>
      </w:pPr>
      <w:r w:rsidRPr="00733D88">
        <w:rPr>
          <w:rFonts w:asciiTheme="majorHAnsi" w:eastAsiaTheme="majorEastAsia" w:hAnsiTheme="majorHAnsi" w:cstheme="minorHAnsi"/>
          <w:b/>
          <w:bCs/>
          <w:u w:val="single"/>
        </w:rPr>
        <w:t>Excretion</w:t>
      </w:r>
    </w:p>
    <w:p w14:paraId="2D881525" w14:textId="77777777" w:rsidR="00AF4E63" w:rsidRPr="002D07A3" w:rsidRDefault="00AF4E63" w:rsidP="00AF46A0">
      <w:pPr>
        <w:rPr>
          <w:rFonts w:eastAsiaTheme="majorEastAsia" w:cstheme="minorHAnsi"/>
          <w:bCs/>
        </w:rPr>
      </w:pPr>
      <w:r w:rsidRPr="002D07A3">
        <w:rPr>
          <w:rFonts w:eastAsiaTheme="majorEastAsia" w:cstheme="minorHAnsi"/>
          <w:bCs/>
        </w:rPr>
        <w:t xml:space="preserve">Mean systemic clearance (CL) was 0.19 L/d in plaque psoriasis patients. Clearance was dose- and time-independent, as expected for a therapeutic IgG1 monoclonal antibody interacting with a soluble cytokine target, such as IL-17A. </w:t>
      </w:r>
    </w:p>
    <w:p w14:paraId="589FF87E" w14:textId="77777777" w:rsidR="00AF4E63" w:rsidRPr="002D07A3" w:rsidRDefault="00AF4E63" w:rsidP="00AF46A0">
      <w:pPr>
        <w:rPr>
          <w:rFonts w:eastAsiaTheme="majorEastAsia" w:cstheme="minorHAnsi"/>
          <w:bCs/>
        </w:rPr>
      </w:pPr>
      <w:r w:rsidRPr="002D07A3">
        <w:rPr>
          <w:rFonts w:eastAsiaTheme="majorEastAsia" w:cstheme="minorHAnsi"/>
          <w:bCs/>
        </w:rPr>
        <w:t>The mean elimination half-life was estimated to be 27 days in plaque psoriasis patients. Estimated half-lives in individual plaque psoriasis patients range from 17 to 41 days.</w:t>
      </w:r>
    </w:p>
    <w:p w14:paraId="0C0CE1A1" w14:textId="77777777" w:rsidR="00F62A4F" w:rsidRPr="00733D88" w:rsidRDefault="00F62A4F" w:rsidP="00AF46A0">
      <w:pPr>
        <w:spacing w:after="120"/>
        <w:rPr>
          <w:rFonts w:cstheme="minorHAnsi"/>
          <w:u w:val="single"/>
        </w:rPr>
      </w:pPr>
      <w:r w:rsidRPr="00733D88">
        <w:rPr>
          <w:rFonts w:asciiTheme="majorHAnsi" w:eastAsiaTheme="majorEastAsia" w:hAnsiTheme="majorHAnsi" w:cstheme="minorHAnsi"/>
          <w:b/>
          <w:bCs/>
          <w:u w:val="single"/>
        </w:rPr>
        <w:t>Dose linearity</w:t>
      </w:r>
    </w:p>
    <w:p w14:paraId="65388785" w14:textId="77777777" w:rsidR="00F62A4F" w:rsidRPr="002D07A3" w:rsidRDefault="00F62A4F" w:rsidP="00AF46A0">
      <w:pPr>
        <w:rPr>
          <w:rFonts w:eastAsiaTheme="majorEastAsia" w:cstheme="minorHAnsi"/>
          <w:bCs/>
        </w:rPr>
      </w:pPr>
      <w:r w:rsidRPr="002D07A3">
        <w:rPr>
          <w:rFonts w:eastAsiaTheme="majorEastAsia" w:cstheme="minorHAnsi"/>
          <w:bCs/>
        </w:rPr>
        <w:t xml:space="preserve">The single and multiple dose pharmacokinetics of </w:t>
      </w:r>
      <w:proofErr w:type="spellStart"/>
      <w:r w:rsidRPr="002D07A3">
        <w:rPr>
          <w:rFonts w:eastAsiaTheme="majorEastAsia" w:cstheme="minorHAnsi"/>
          <w:bCs/>
        </w:rPr>
        <w:t>secukinumab</w:t>
      </w:r>
      <w:proofErr w:type="spellEnd"/>
      <w:r w:rsidRPr="002D07A3">
        <w:rPr>
          <w:rFonts w:eastAsiaTheme="majorEastAsia" w:cstheme="minorHAnsi"/>
          <w:bCs/>
        </w:rPr>
        <w:t xml:space="preserve"> in plaque psoriasis patients were determined in several studies with intravenous doses ranging from 1 x 0.3 mg/kg to 3 x 10 mg/kg and with subcutaneous doses ranging from 1 x 25 mg to multiple doses of 300 mg. Exposure was dose proportional across all dosing regimens.</w:t>
      </w:r>
    </w:p>
    <w:p w14:paraId="44B3F5B3" w14:textId="7971B45D" w:rsidR="00F62A4F" w:rsidRPr="002D07A3" w:rsidRDefault="00F62A4F" w:rsidP="00AF46A0">
      <w:pPr>
        <w:rPr>
          <w:rFonts w:eastAsiaTheme="majorEastAsia" w:cstheme="minorHAnsi"/>
          <w:bCs/>
        </w:rPr>
      </w:pPr>
      <w:r w:rsidRPr="002D07A3">
        <w:rPr>
          <w:rFonts w:eastAsiaTheme="majorEastAsia" w:cstheme="minorHAnsi"/>
          <w:bCs/>
        </w:rPr>
        <w:t xml:space="preserve">The pharmacokinetics properties of </w:t>
      </w:r>
      <w:proofErr w:type="spellStart"/>
      <w:r w:rsidRPr="002D07A3">
        <w:rPr>
          <w:rFonts w:eastAsiaTheme="majorEastAsia" w:cstheme="minorHAnsi"/>
          <w:bCs/>
        </w:rPr>
        <w:t>secukinumab</w:t>
      </w:r>
      <w:proofErr w:type="spellEnd"/>
      <w:r w:rsidRPr="002D07A3">
        <w:rPr>
          <w:rFonts w:eastAsiaTheme="majorEastAsia" w:cstheme="minorHAnsi"/>
          <w:bCs/>
        </w:rPr>
        <w:t xml:space="preserve"> observed in psoriatic arthritis and </w:t>
      </w:r>
      <w:r w:rsidR="0005614E" w:rsidRPr="00733D88">
        <w:rPr>
          <w:lang w:bidi="th-TH"/>
        </w:rPr>
        <w:t xml:space="preserve">axial </w:t>
      </w:r>
      <w:proofErr w:type="spellStart"/>
      <w:r w:rsidR="0005614E" w:rsidRPr="00733D88">
        <w:rPr>
          <w:lang w:bidi="th-TH"/>
        </w:rPr>
        <w:t>spondyloarthritis</w:t>
      </w:r>
      <w:proofErr w:type="spellEnd"/>
      <w:r w:rsidR="0005614E" w:rsidRPr="00733D88">
        <w:rPr>
          <w:lang w:bidi="th-TH"/>
        </w:rPr>
        <w:t xml:space="preserve"> (</w:t>
      </w:r>
      <w:r w:rsidRPr="002D07A3">
        <w:rPr>
          <w:rFonts w:eastAsiaTheme="majorEastAsia" w:cstheme="minorHAnsi"/>
          <w:bCs/>
        </w:rPr>
        <w:t>ankylosing spondylitis</w:t>
      </w:r>
      <w:r w:rsidR="0005614E" w:rsidRPr="00733D88">
        <w:t xml:space="preserve"> and non-radiographic axial </w:t>
      </w:r>
      <w:proofErr w:type="spellStart"/>
      <w:r w:rsidR="0005614E" w:rsidRPr="00733D88">
        <w:t>spondyloarthritis</w:t>
      </w:r>
      <w:proofErr w:type="spellEnd"/>
      <w:r w:rsidR="0005614E" w:rsidRPr="00733D88">
        <w:t>)</w:t>
      </w:r>
      <w:r w:rsidRPr="002D07A3">
        <w:rPr>
          <w:rFonts w:eastAsiaTheme="majorEastAsia" w:cstheme="minorHAnsi"/>
          <w:bCs/>
        </w:rPr>
        <w:t xml:space="preserve"> patients were similar to those displayed in plaque psoriasis patients. The bioavailability of </w:t>
      </w:r>
      <w:proofErr w:type="spellStart"/>
      <w:r w:rsidRPr="002D07A3">
        <w:rPr>
          <w:rFonts w:eastAsiaTheme="majorEastAsia" w:cstheme="minorHAnsi"/>
          <w:bCs/>
        </w:rPr>
        <w:t>secukinumab</w:t>
      </w:r>
      <w:proofErr w:type="spellEnd"/>
      <w:r w:rsidRPr="002D07A3">
        <w:rPr>
          <w:rFonts w:eastAsiaTheme="majorEastAsia" w:cstheme="minorHAnsi"/>
          <w:bCs/>
        </w:rPr>
        <w:t xml:space="preserve"> in </w:t>
      </w:r>
      <w:proofErr w:type="spellStart"/>
      <w:r w:rsidRPr="002D07A3">
        <w:rPr>
          <w:rFonts w:eastAsiaTheme="majorEastAsia" w:cstheme="minorHAnsi"/>
          <w:bCs/>
        </w:rPr>
        <w:t>PsA</w:t>
      </w:r>
      <w:proofErr w:type="spellEnd"/>
      <w:r w:rsidRPr="002D07A3">
        <w:rPr>
          <w:rFonts w:eastAsiaTheme="majorEastAsia" w:cstheme="minorHAnsi"/>
          <w:bCs/>
        </w:rPr>
        <w:t xml:space="preserve"> patients was 85% on the basis of the population pharmacokinetic model.</w:t>
      </w:r>
    </w:p>
    <w:p w14:paraId="46E59B95" w14:textId="77777777" w:rsidR="001A3992" w:rsidRPr="002D07A3" w:rsidRDefault="001A3992" w:rsidP="00A85630">
      <w:pPr>
        <w:pStyle w:val="Heading2"/>
        <w:pageBreakBefore/>
        <w:spacing w:before="0" w:after="120"/>
        <w:ind w:left="578" w:hanging="578"/>
        <w:rPr>
          <w:rFonts w:cstheme="minorHAnsi"/>
        </w:rPr>
      </w:pPr>
      <w:r w:rsidRPr="002D07A3">
        <w:rPr>
          <w:rFonts w:cstheme="minorHAnsi"/>
        </w:rPr>
        <w:t>Preclinical safety data</w:t>
      </w:r>
    </w:p>
    <w:p w14:paraId="718E8EE0" w14:textId="77777777" w:rsidR="001A3992" w:rsidRPr="00733D88" w:rsidRDefault="001A3992" w:rsidP="00AF46A0">
      <w:pPr>
        <w:pStyle w:val="Heading3"/>
        <w:spacing w:before="0" w:after="120"/>
        <w:ind w:left="0"/>
        <w:rPr>
          <w:rFonts w:cstheme="minorHAnsi"/>
        </w:rPr>
      </w:pPr>
      <w:r w:rsidRPr="00733D88">
        <w:rPr>
          <w:rFonts w:cstheme="minorHAnsi"/>
        </w:rPr>
        <w:t>Genotoxicity</w:t>
      </w:r>
    </w:p>
    <w:p w14:paraId="050C08DC" w14:textId="77777777" w:rsidR="008A42F5" w:rsidRPr="002D07A3" w:rsidRDefault="008A42F5" w:rsidP="00AF46A0">
      <w:pPr>
        <w:rPr>
          <w:rFonts w:eastAsiaTheme="majorEastAsia" w:cstheme="minorHAnsi"/>
          <w:bCs/>
        </w:rPr>
      </w:pPr>
      <w:r w:rsidRPr="002D07A3">
        <w:rPr>
          <w:rFonts w:eastAsiaTheme="majorEastAsia" w:cstheme="minorHAnsi"/>
          <w:bCs/>
        </w:rPr>
        <w:t>COSENTYX has not been evaluated for genotoxic potential.</w:t>
      </w:r>
    </w:p>
    <w:p w14:paraId="39BC9F89" w14:textId="77777777" w:rsidR="001A3992" w:rsidRPr="002D07A3" w:rsidRDefault="001A3992" w:rsidP="00AF46A0">
      <w:pPr>
        <w:pStyle w:val="Heading3"/>
        <w:spacing w:before="0" w:after="120"/>
        <w:ind w:left="0"/>
        <w:rPr>
          <w:rFonts w:cstheme="minorHAnsi"/>
        </w:rPr>
      </w:pPr>
      <w:r w:rsidRPr="00733D88">
        <w:rPr>
          <w:rFonts w:cstheme="minorHAnsi"/>
        </w:rPr>
        <w:t>Carcin</w:t>
      </w:r>
      <w:r w:rsidRPr="002D07A3">
        <w:rPr>
          <w:rFonts w:cstheme="minorHAnsi"/>
        </w:rPr>
        <w:t>ogenicity</w:t>
      </w:r>
    </w:p>
    <w:p w14:paraId="14412CC7" w14:textId="77777777" w:rsidR="008A42F5" w:rsidRPr="002D07A3" w:rsidRDefault="008A42F5" w:rsidP="00AF46A0">
      <w:proofErr w:type="spellStart"/>
      <w:r w:rsidRPr="002D07A3">
        <w:rPr>
          <w:rFonts w:eastAsiaTheme="majorEastAsia" w:cstheme="minorHAnsi"/>
          <w:bCs/>
        </w:rPr>
        <w:t>Secukinumab</w:t>
      </w:r>
      <w:proofErr w:type="spellEnd"/>
      <w:r w:rsidRPr="002D07A3">
        <w:rPr>
          <w:rFonts w:eastAsiaTheme="majorEastAsia" w:cstheme="minorHAnsi"/>
          <w:bCs/>
        </w:rPr>
        <w:t xml:space="preserve"> has not been evaluated for carcinogenic potential.</w:t>
      </w:r>
    </w:p>
    <w:p w14:paraId="235F9840" w14:textId="2D8B30DF" w:rsidR="001A3992" w:rsidRPr="002D07A3" w:rsidRDefault="001A3992" w:rsidP="00AF46A0">
      <w:pPr>
        <w:pStyle w:val="Heading1"/>
        <w:spacing w:before="0" w:after="120"/>
        <w:rPr>
          <w:rFonts w:cstheme="minorHAnsi"/>
        </w:rPr>
      </w:pPr>
      <w:r w:rsidRPr="002D07A3">
        <w:rPr>
          <w:rFonts w:cstheme="minorHAnsi"/>
        </w:rPr>
        <w:t>Pharmaceutical particulars</w:t>
      </w:r>
    </w:p>
    <w:p w14:paraId="25608D71" w14:textId="77777777" w:rsidR="001A3992" w:rsidRPr="002D07A3" w:rsidRDefault="001A3992" w:rsidP="00AF46A0">
      <w:pPr>
        <w:pStyle w:val="Heading2"/>
        <w:spacing w:before="0" w:after="120"/>
        <w:ind w:left="578" w:hanging="578"/>
        <w:rPr>
          <w:rFonts w:cstheme="minorHAnsi"/>
        </w:rPr>
      </w:pPr>
      <w:r w:rsidRPr="002D07A3">
        <w:rPr>
          <w:rFonts w:cstheme="minorHAnsi"/>
        </w:rPr>
        <w:t xml:space="preserve">List of excipients </w:t>
      </w:r>
    </w:p>
    <w:p w14:paraId="041EF8C1" w14:textId="77777777" w:rsidR="00D834B1" w:rsidRPr="002D07A3" w:rsidRDefault="00D834B1" w:rsidP="00AF46A0">
      <w:pPr>
        <w:spacing w:after="0"/>
        <w:rPr>
          <w:rFonts w:asciiTheme="majorHAnsi" w:hAnsiTheme="majorHAnsi" w:cstheme="minorHAnsi"/>
          <w:b/>
          <w:u w:val="single"/>
        </w:rPr>
      </w:pPr>
      <w:r w:rsidRPr="002D07A3">
        <w:rPr>
          <w:rFonts w:asciiTheme="majorHAnsi" w:hAnsiTheme="majorHAnsi" w:cstheme="minorHAnsi"/>
          <w:b/>
          <w:u w:val="single"/>
        </w:rPr>
        <w:t>Powder for injection</w:t>
      </w:r>
    </w:p>
    <w:p w14:paraId="3339A947" w14:textId="77777777" w:rsidR="00D834B1" w:rsidRPr="002D07A3" w:rsidRDefault="00D834B1" w:rsidP="00AF46A0">
      <w:pPr>
        <w:rPr>
          <w:rFonts w:cstheme="minorHAnsi"/>
        </w:rPr>
      </w:pPr>
      <w:r w:rsidRPr="002D07A3">
        <w:rPr>
          <w:rFonts w:cstheme="minorHAnsi"/>
        </w:rPr>
        <w:t xml:space="preserve">Water for injections, sucrose, histidine, histidine hydrochloride monohydrate, </w:t>
      </w:r>
      <w:proofErr w:type="spellStart"/>
      <w:r w:rsidRPr="002D07A3">
        <w:rPr>
          <w:rFonts w:cstheme="minorHAnsi"/>
        </w:rPr>
        <w:t>polysorbate</w:t>
      </w:r>
      <w:proofErr w:type="spellEnd"/>
      <w:r w:rsidRPr="002D07A3">
        <w:rPr>
          <w:rFonts w:cstheme="minorHAnsi"/>
        </w:rPr>
        <w:t xml:space="preserve"> 80.</w:t>
      </w:r>
    </w:p>
    <w:p w14:paraId="461FE63A" w14:textId="77777777" w:rsidR="00D834B1" w:rsidRPr="002D07A3" w:rsidRDefault="00D834B1" w:rsidP="00AF46A0">
      <w:pPr>
        <w:spacing w:after="0"/>
        <w:rPr>
          <w:rFonts w:asciiTheme="majorHAnsi" w:hAnsiTheme="majorHAnsi" w:cstheme="minorHAnsi"/>
          <w:b/>
          <w:u w:val="single"/>
        </w:rPr>
      </w:pPr>
      <w:r w:rsidRPr="002D07A3">
        <w:rPr>
          <w:rFonts w:asciiTheme="majorHAnsi" w:hAnsiTheme="majorHAnsi" w:cstheme="minorHAnsi"/>
          <w:b/>
          <w:u w:val="single"/>
        </w:rPr>
        <w:t>Solution for injection</w:t>
      </w:r>
    </w:p>
    <w:p w14:paraId="50D02C51" w14:textId="3FCD58C0" w:rsidR="00D834B1" w:rsidRDefault="0008739A" w:rsidP="00AF46A0">
      <w:pPr>
        <w:rPr>
          <w:rFonts w:cstheme="minorHAnsi"/>
        </w:rPr>
      </w:pPr>
      <w:r w:rsidRPr="002D07A3">
        <w:rPr>
          <w:rFonts w:cstheme="minorHAnsi"/>
        </w:rPr>
        <w:t>T</w:t>
      </w:r>
      <w:r w:rsidR="00D834B1" w:rsidRPr="002D07A3">
        <w:rPr>
          <w:rFonts w:cstheme="minorHAnsi"/>
        </w:rPr>
        <w:t xml:space="preserve">rehalose dihydrate, histidine, histidine hydrochloride monohydrate, </w:t>
      </w:r>
      <w:proofErr w:type="spellStart"/>
      <w:r w:rsidR="00D834B1" w:rsidRPr="002D07A3">
        <w:rPr>
          <w:rFonts w:cstheme="minorHAnsi"/>
        </w:rPr>
        <w:t>polysorbate</w:t>
      </w:r>
      <w:proofErr w:type="spellEnd"/>
      <w:r w:rsidR="00D834B1" w:rsidRPr="002D07A3">
        <w:rPr>
          <w:rFonts w:cstheme="minorHAnsi"/>
        </w:rPr>
        <w:t xml:space="preserve"> 80, methionine, water for injections.</w:t>
      </w:r>
    </w:p>
    <w:p w14:paraId="5D40F2D2" w14:textId="77777777" w:rsidR="001A3992" w:rsidRPr="002D07A3" w:rsidRDefault="001A3992" w:rsidP="00AF46A0">
      <w:pPr>
        <w:pStyle w:val="Heading2"/>
        <w:spacing w:before="0" w:after="120"/>
        <w:ind w:left="578" w:hanging="578"/>
        <w:rPr>
          <w:rFonts w:cstheme="minorHAnsi"/>
        </w:rPr>
      </w:pPr>
      <w:r w:rsidRPr="002D07A3">
        <w:rPr>
          <w:rFonts w:cstheme="minorHAnsi"/>
        </w:rPr>
        <w:t xml:space="preserve">Incompatibilities </w:t>
      </w:r>
    </w:p>
    <w:p w14:paraId="76B52F2A" w14:textId="40952FBC" w:rsidR="00755F00" w:rsidRPr="00C5093D" w:rsidRDefault="00755F00" w:rsidP="00AF46A0">
      <w:pPr>
        <w:rPr>
          <w:rFonts w:cstheme="minorHAnsi"/>
        </w:rPr>
      </w:pPr>
      <w:r w:rsidRPr="002D07A3">
        <w:rPr>
          <w:rFonts w:cstheme="minorHAnsi"/>
        </w:rPr>
        <w:t xml:space="preserve">Powder for </w:t>
      </w:r>
      <w:r>
        <w:rPr>
          <w:rFonts w:cstheme="minorHAnsi"/>
        </w:rPr>
        <w:t>S</w:t>
      </w:r>
      <w:r w:rsidRPr="002D07A3">
        <w:rPr>
          <w:rFonts w:cstheme="minorHAnsi"/>
        </w:rPr>
        <w:t>olution:</w:t>
      </w:r>
      <w:r w:rsidRPr="00D0095D">
        <w:rPr>
          <w:rFonts w:cstheme="minorHAnsi"/>
        </w:rPr>
        <w:t xml:space="preserve"> </w:t>
      </w:r>
      <w:r w:rsidRPr="00755F00">
        <w:rPr>
          <w:rFonts w:cstheme="minorHAnsi"/>
        </w:rPr>
        <w:t>COSENTYX</w:t>
      </w:r>
      <w:r w:rsidRPr="00D0095D">
        <w:rPr>
          <w:rFonts w:cstheme="minorHAnsi"/>
        </w:rPr>
        <w:t xml:space="preserve"> should not be mixed with any medication or diluents other than sterile water for injection.</w:t>
      </w:r>
    </w:p>
    <w:p w14:paraId="5EE56D58" w14:textId="375ED84B" w:rsidR="00755F00" w:rsidRPr="002D07A3" w:rsidRDefault="00755F00" w:rsidP="00AF46A0">
      <w:pPr>
        <w:rPr>
          <w:rFonts w:cstheme="minorHAnsi"/>
        </w:rPr>
      </w:pPr>
      <w:r w:rsidRPr="002D07A3">
        <w:rPr>
          <w:rFonts w:cstheme="minorHAnsi"/>
        </w:rPr>
        <w:t>Solution for injection:</w:t>
      </w:r>
      <w:r w:rsidRPr="00904D71">
        <w:rPr>
          <w:rFonts w:cstheme="minorHAnsi"/>
        </w:rPr>
        <w:t xml:space="preserve"> </w:t>
      </w:r>
      <w:r>
        <w:rPr>
          <w:rFonts w:cstheme="minorHAnsi"/>
        </w:rPr>
        <w:t>COSENTYX</w:t>
      </w:r>
      <w:r w:rsidRPr="00904D71">
        <w:rPr>
          <w:rFonts w:cstheme="minorHAnsi"/>
        </w:rPr>
        <w:t xml:space="preserve"> must not be mixed with other medicinal products.</w:t>
      </w:r>
    </w:p>
    <w:p w14:paraId="7298487D" w14:textId="77777777" w:rsidR="001A3992" w:rsidRPr="002D07A3" w:rsidRDefault="001A3992" w:rsidP="00AF46A0">
      <w:pPr>
        <w:pStyle w:val="Heading2"/>
        <w:spacing w:before="0" w:after="120"/>
        <w:ind w:left="578" w:hanging="578"/>
        <w:rPr>
          <w:rFonts w:cstheme="minorHAnsi"/>
        </w:rPr>
      </w:pPr>
      <w:r w:rsidRPr="002D07A3">
        <w:rPr>
          <w:rFonts w:cstheme="minorHAnsi"/>
        </w:rPr>
        <w:t xml:space="preserve">Shelf life </w:t>
      </w:r>
    </w:p>
    <w:p w14:paraId="5721D17B" w14:textId="77777777" w:rsidR="00497C85" w:rsidRPr="002D07A3" w:rsidRDefault="00497C85" w:rsidP="00AF46A0">
      <w:pPr>
        <w:rPr>
          <w:rFonts w:cstheme="minorHAnsi"/>
        </w:rPr>
      </w:pPr>
      <w:r w:rsidRPr="002D07A3">
        <w:rPr>
          <w:rFonts w:cstheme="minorHAnsi"/>
        </w:rPr>
        <w:t>In Australia, information on the shelf life can be found on the public summary of the Australian Register of Therapeutic Goods (ARTG). The expiry date can be fo</w:t>
      </w:r>
      <w:r w:rsidR="00E83219" w:rsidRPr="002D07A3">
        <w:rPr>
          <w:rFonts w:cstheme="minorHAnsi"/>
        </w:rPr>
        <w:t>und on the packaging.</w:t>
      </w:r>
    </w:p>
    <w:p w14:paraId="476E2F14" w14:textId="255BB810" w:rsidR="001A3992" w:rsidRPr="002D07A3" w:rsidRDefault="00A85630" w:rsidP="00AF46A0">
      <w:pPr>
        <w:pStyle w:val="Heading2"/>
        <w:spacing w:before="0" w:after="120"/>
        <w:ind w:left="578" w:hanging="578"/>
        <w:rPr>
          <w:rFonts w:cstheme="minorHAnsi"/>
        </w:rPr>
      </w:pPr>
      <w:r>
        <w:rPr>
          <w:rFonts w:cstheme="minorHAnsi"/>
        </w:rPr>
        <w:t>Special precautions for storage</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2"/>
        <w:gridCol w:w="6884"/>
      </w:tblGrid>
      <w:tr w:rsidR="00E83219" w:rsidRPr="009810F4" w14:paraId="1EF405C8" w14:textId="77777777" w:rsidTr="00CC78C5">
        <w:trPr>
          <w:trHeight w:val="432"/>
        </w:trPr>
        <w:tc>
          <w:tcPr>
            <w:tcW w:w="2142" w:type="dxa"/>
          </w:tcPr>
          <w:p w14:paraId="6910F279"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Powder for Solution:</w:t>
            </w:r>
          </w:p>
        </w:tc>
        <w:tc>
          <w:tcPr>
            <w:tcW w:w="6884" w:type="dxa"/>
          </w:tcPr>
          <w:p w14:paraId="4A32EE7D" w14:textId="44029641"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Store at 2-8°C. Store in the original package</w:t>
            </w:r>
            <w:r w:rsidR="00BD69F4" w:rsidRPr="002D07A3">
              <w:rPr>
                <w:rFonts w:ascii="Calibri" w:hAnsi="Calibri" w:cs="Calibri"/>
              </w:rPr>
              <w:t>.</w:t>
            </w:r>
          </w:p>
        </w:tc>
      </w:tr>
      <w:tr w:rsidR="00E83219" w:rsidRPr="009810F4" w14:paraId="3A3AD404" w14:textId="77777777" w:rsidTr="00CC78C5">
        <w:trPr>
          <w:trHeight w:val="720"/>
        </w:trPr>
        <w:tc>
          <w:tcPr>
            <w:tcW w:w="2142" w:type="dxa"/>
          </w:tcPr>
          <w:p w14:paraId="128E915E"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Prefilled syringe:</w:t>
            </w:r>
          </w:p>
        </w:tc>
        <w:tc>
          <w:tcPr>
            <w:tcW w:w="6884" w:type="dxa"/>
          </w:tcPr>
          <w:p w14:paraId="026B701C" w14:textId="77777777" w:rsidR="00E83219" w:rsidRPr="002D07A3" w:rsidRDefault="00E83219" w:rsidP="00AF46A0">
            <w:pPr>
              <w:spacing w:after="0" w:line="276" w:lineRule="auto"/>
              <w:rPr>
                <w:rFonts w:ascii="Calibri" w:hAnsi="Calibri" w:cs="Calibri"/>
                <w:color w:val="000000" w:themeColor="text1"/>
                <w:sz w:val="22"/>
                <w:szCs w:val="22"/>
              </w:rPr>
            </w:pPr>
            <w:r w:rsidRPr="002D07A3">
              <w:rPr>
                <w:rFonts w:ascii="Calibri" w:hAnsi="Calibri" w:cs="Calibri"/>
                <w:color w:val="000000" w:themeColor="text1"/>
              </w:rPr>
              <w:t xml:space="preserve">Store at 2-8°C. Do not freeze. Protect from light. </w:t>
            </w:r>
          </w:p>
          <w:p w14:paraId="1AB32094" w14:textId="77777777" w:rsidR="00BD69F4" w:rsidRPr="002D07A3" w:rsidRDefault="00E83219" w:rsidP="00AF46A0">
            <w:pPr>
              <w:spacing w:after="0" w:line="276" w:lineRule="auto"/>
              <w:rPr>
                <w:rFonts w:ascii="Calibri" w:hAnsi="Calibri" w:cs="Calibri"/>
                <w:color w:val="000000" w:themeColor="text1"/>
                <w:sz w:val="22"/>
                <w:szCs w:val="22"/>
              </w:rPr>
            </w:pPr>
            <w:r w:rsidRPr="002D07A3">
              <w:rPr>
                <w:rFonts w:ascii="Calibri" w:hAnsi="Calibri" w:cs="Calibri"/>
                <w:color w:val="000000" w:themeColor="text1"/>
              </w:rPr>
              <w:t>Store in the original package.</w:t>
            </w:r>
          </w:p>
          <w:p w14:paraId="6EB8950C" w14:textId="3FA5BFC4" w:rsidR="00BD69F4" w:rsidRPr="002D07A3" w:rsidRDefault="00BD69F4" w:rsidP="00AF46A0">
            <w:pPr>
              <w:spacing w:after="0" w:line="276" w:lineRule="auto"/>
              <w:rPr>
                <w:rFonts w:ascii="Calibri" w:hAnsi="Calibri" w:cs="Calibri"/>
                <w:color w:val="000000" w:themeColor="text1"/>
                <w:sz w:val="22"/>
                <w:szCs w:val="22"/>
              </w:rPr>
            </w:pPr>
            <w:r w:rsidRPr="002D07A3">
              <w:rPr>
                <w:rFonts w:ascii="Calibri" w:hAnsi="Calibri" w:cs="Calibri"/>
                <w:color w:val="000000" w:themeColor="text1"/>
              </w:rPr>
              <w:t xml:space="preserve">May be stored unrefrigerated (out of fridge) </w:t>
            </w:r>
            <w:r w:rsidR="004A0788" w:rsidRPr="002D07A3">
              <w:rPr>
                <w:rFonts w:ascii="Calibri" w:hAnsi="Calibri" w:cs="Calibri"/>
                <w:color w:val="000000" w:themeColor="text1"/>
              </w:rPr>
              <w:t xml:space="preserve">for a single period up to a maximum of 4 days </w:t>
            </w:r>
            <w:r w:rsidRPr="002D07A3">
              <w:rPr>
                <w:rFonts w:ascii="Calibri" w:hAnsi="Calibri" w:cs="Calibri"/>
                <w:color w:val="000000" w:themeColor="text1"/>
              </w:rPr>
              <w:t>at room temperature</w:t>
            </w:r>
            <w:r w:rsidR="004A0788" w:rsidRPr="002D07A3">
              <w:rPr>
                <w:rFonts w:ascii="Calibri" w:hAnsi="Calibri" w:cs="Calibri"/>
                <w:color w:val="000000" w:themeColor="text1"/>
              </w:rPr>
              <w:t xml:space="preserve"> below 30°C</w:t>
            </w:r>
            <w:r w:rsidRPr="002D07A3">
              <w:rPr>
                <w:rFonts w:ascii="Calibri" w:hAnsi="Calibri" w:cs="Calibri"/>
                <w:color w:val="000000" w:themeColor="text1"/>
              </w:rPr>
              <w:t>.</w:t>
            </w:r>
            <w:r w:rsidR="004A0788" w:rsidRPr="002D07A3">
              <w:rPr>
                <w:rFonts w:ascii="Calibri" w:hAnsi="Calibri" w:cs="Calibri"/>
                <w:color w:val="000000" w:themeColor="text1"/>
              </w:rPr>
              <w:t xml:space="preserve">  Do not put back in the refrigerator after it has reached room temperature.  Discard any unused product.</w:t>
            </w:r>
          </w:p>
        </w:tc>
      </w:tr>
      <w:tr w:rsidR="00E83219" w:rsidRPr="009810F4" w14:paraId="7D96CEE2" w14:textId="77777777" w:rsidTr="00CC78C5">
        <w:tc>
          <w:tcPr>
            <w:tcW w:w="2142" w:type="dxa"/>
          </w:tcPr>
          <w:p w14:paraId="7DE46229"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Prefilled pen:</w:t>
            </w:r>
            <w:r w:rsidRPr="002D07A3">
              <w:rPr>
                <w:rFonts w:ascii="Calibri" w:hAnsi="Calibri" w:cs="Calibri"/>
              </w:rPr>
              <w:tab/>
            </w:r>
          </w:p>
        </w:tc>
        <w:tc>
          <w:tcPr>
            <w:tcW w:w="6884" w:type="dxa"/>
          </w:tcPr>
          <w:p w14:paraId="3D96AE63"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 xml:space="preserve">Store at 2-8°C. Do not freeze. Protect from light. </w:t>
            </w:r>
          </w:p>
          <w:p w14:paraId="4987F892"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Store in the original package.</w:t>
            </w:r>
          </w:p>
          <w:p w14:paraId="58ACF098" w14:textId="330F55C5" w:rsidR="00BD69F4" w:rsidRPr="002D07A3" w:rsidRDefault="004A0788" w:rsidP="00AF46A0">
            <w:pPr>
              <w:spacing w:after="0" w:line="276" w:lineRule="auto"/>
              <w:rPr>
                <w:rFonts w:ascii="Calibri" w:hAnsi="Calibri" w:cs="Calibri"/>
                <w:sz w:val="22"/>
                <w:szCs w:val="22"/>
              </w:rPr>
            </w:pPr>
            <w:r w:rsidRPr="002D07A3">
              <w:rPr>
                <w:rFonts w:ascii="Calibri" w:hAnsi="Calibri" w:cs="Calibri"/>
                <w:color w:val="000000" w:themeColor="text1"/>
              </w:rPr>
              <w:t>May be stored unrefrigerated (out of fridge) for a single period up to a maximum of 4 days at room temperature below 30°C.  Do not put back in the refrigerator after it has reached room temperature.  Discard any unused product.</w:t>
            </w:r>
          </w:p>
        </w:tc>
      </w:tr>
    </w:tbl>
    <w:p w14:paraId="1D8BA1E0" w14:textId="77777777" w:rsidR="001A3992" w:rsidRPr="002D07A3" w:rsidRDefault="001A3992" w:rsidP="00A85630">
      <w:pPr>
        <w:pStyle w:val="Heading2"/>
        <w:pageBreakBefore/>
        <w:spacing w:before="0" w:after="120"/>
        <w:ind w:left="578" w:hanging="578"/>
        <w:rPr>
          <w:rFonts w:cstheme="minorHAnsi"/>
        </w:rPr>
      </w:pPr>
      <w:bookmarkStart w:id="11" w:name="_GoBack"/>
      <w:bookmarkEnd w:id="11"/>
      <w:r w:rsidRPr="002D07A3">
        <w:rPr>
          <w:rFonts w:cstheme="minorHAnsi"/>
        </w:rPr>
        <w:t xml:space="preserve">Nature and contents of container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6886"/>
      </w:tblGrid>
      <w:tr w:rsidR="00E83219" w:rsidRPr="009810F4" w14:paraId="16000923" w14:textId="77777777" w:rsidTr="002D07A3">
        <w:trPr>
          <w:trHeight w:val="844"/>
        </w:trPr>
        <w:tc>
          <w:tcPr>
            <w:tcW w:w="2140" w:type="dxa"/>
          </w:tcPr>
          <w:p w14:paraId="10CDC5E6"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Powder for Solution:</w:t>
            </w:r>
          </w:p>
        </w:tc>
        <w:tc>
          <w:tcPr>
            <w:tcW w:w="6886" w:type="dxa"/>
          </w:tcPr>
          <w:p w14:paraId="412DD2E2" w14:textId="77777777" w:rsidR="00E83219" w:rsidRPr="002D07A3" w:rsidRDefault="00E83219" w:rsidP="00AF46A0">
            <w:pPr>
              <w:spacing w:after="0" w:line="276" w:lineRule="auto"/>
              <w:rPr>
                <w:rFonts w:ascii="Calibri" w:hAnsi="Calibri" w:cs="Calibri"/>
                <w:sz w:val="22"/>
                <w:szCs w:val="22"/>
              </w:rPr>
            </w:pPr>
            <w:proofErr w:type="spellStart"/>
            <w:r w:rsidRPr="002D07A3">
              <w:rPr>
                <w:rFonts w:ascii="Calibri" w:hAnsi="Calibri" w:cs="Calibri"/>
              </w:rPr>
              <w:t>secukinumab</w:t>
            </w:r>
            <w:proofErr w:type="spellEnd"/>
            <w:r w:rsidRPr="002D07A3">
              <w:rPr>
                <w:rFonts w:ascii="Calibri" w:hAnsi="Calibri" w:cs="Calibri"/>
              </w:rPr>
              <w:t xml:space="preserve"> 150 mg as a sterile white solid </w:t>
            </w:r>
            <w:proofErr w:type="spellStart"/>
            <w:r w:rsidRPr="002D07A3">
              <w:rPr>
                <w:rFonts w:ascii="Calibri" w:hAnsi="Calibri" w:cs="Calibri"/>
              </w:rPr>
              <w:t>lyophilisate</w:t>
            </w:r>
            <w:proofErr w:type="spellEnd"/>
            <w:r w:rsidRPr="002D07A3">
              <w:rPr>
                <w:rFonts w:ascii="Calibri" w:hAnsi="Calibri" w:cs="Calibri"/>
              </w:rPr>
              <w:t xml:space="preserve"> for subcutaneous injection. Packs containing 1* or 2* single-use vials.</w:t>
            </w:r>
          </w:p>
        </w:tc>
      </w:tr>
      <w:tr w:rsidR="00E83219" w:rsidRPr="009810F4" w14:paraId="67F2A0C5" w14:textId="77777777" w:rsidTr="002D07A3">
        <w:trPr>
          <w:trHeight w:val="1140"/>
        </w:trPr>
        <w:tc>
          <w:tcPr>
            <w:tcW w:w="2140" w:type="dxa"/>
          </w:tcPr>
          <w:p w14:paraId="1A6B3FCF"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Prefilled syringe:</w:t>
            </w:r>
          </w:p>
        </w:tc>
        <w:tc>
          <w:tcPr>
            <w:tcW w:w="6886" w:type="dxa"/>
          </w:tcPr>
          <w:p w14:paraId="1F7BB59A" w14:textId="77777777" w:rsidR="00E83219" w:rsidRPr="002D07A3" w:rsidRDefault="00E83219" w:rsidP="00AF46A0">
            <w:pPr>
              <w:spacing w:after="0" w:line="276" w:lineRule="auto"/>
              <w:rPr>
                <w:rFonts w:ascii="Calibri" w:hAnsi="Calibri" w:cs="Calibri"/>
                <w:sz w:val="22"/>
                <w:szCs w:val="22"/>
              </w:rPr>
            </w:pPr>
            <w:proofErr w:type="spellStart"/>
            <w:r w:rsidRPr="002D07A3">
              <w:rPr>
                <w:rFonts w:ascii="Calibri" w:hAnsi="Calibri" w:cs="Calibri"/>
              </w:rPr>
              <w:t>secukinumab</w:t>
            </w:r>
            <w:proofErr w:type="spellEnd"/>
            <w:r w:rsidRPr="002D07A3">
              <w:rPr>
                <w:rFonts w:ascii="Calibri" w:hAnsi="Calibri" w:cs="Calibri"/>
              </w:rPr>
              <w:t xml:space="preserve"> 150 mg/1 mL solution for subcutaneous injection in a single use pre-filled syringe (PFS). The sterile solution is colourless to slightly yellow. Packs containing 1* or 2* pre-filled syringes. </w:t>
            </w:r>
          </w:p>
        </w:tc>
      </w:tr>
      <w:tr w:rsidR="00E83219" w:rsidRPr="009810F4" w14:paraId="0964179D" w14:textId="77777777" w:rsidTr="00CC78C5">
        <w:trPr>
          <w:trHeight w:val="1191"/>
        </w:trPr>
        <w:tc>
          <w:tcPr>
            <w:tcW w:w="2140" w:type="dxa"/>
          </w:tcPr>
          <w:p w14:paraId="620E9EE0" w14:textId="77777777" w:rsidR="00E83219" w:rsidRPr="002D07A3" w:rsidRDefault="00E83219" w:rsidP="00AF46A0">
            <w:pPr>
              <w:spacing w:after="0" w:line="276" w:lineRule="auto"/>
              <w:rPr>
                <w:rFonts w:ascii="Calibri" w:hAnsi="Calibri" w:cs="Calibri"/>
                <w:sz w:val="22"/>
                <w:szCs w:val="22"/>
              </w:rPr>
            </w:pPr>
            <w:r w:rsidRPr="002D07A3">
              <w:rPr>
                <w:rFonts w:ascii="Calibri" w:hAnsi="Calibri" w:cs="Calibri"/>
              </w:rPr>
              <w:t>Prefilled pen:</w:t>
            </w:r>
            <w:r w:rsidRPr="002D07A3">
              <w:rPr>
                <w:rFonts w:ascii="Calibri" w:hAnsi="Calibri" w:cs="Calibri"/>
              </w:rPr>
              <w:tab/>
            </w:r>
          </w:p>
        </w:tc>
        <w:tc>
          <w:tcPr>
            <w:tcW w:w="6886" w:type="dxa"/>
          </w:tcPr>
          <w:p w14:paraId="65F1D422" w14:textId="77777777" w:rsidR="00E83219" w:rsidRPr="002D07A3" w:rsidRDefault="00E83219" w:rsidP="00AF46A0">
            <w:pPr>
              <w:spacing w:after="0" w:line="276" w:lineRule="auto"/>
              <w:rPr>
                <w:rFonts w:ascii="Calibri" w:hAnsi="Calibri" w:cs="Calibri"/>
                <w:sz w:val="22"/>
                <w:szCs w:val="22"/>
              </w:rPr>
            </w:pPr>
            <w:proofErr w:type="spellStart"/>
            <w:r w:rsidRPr="002D07A3">
              <w:rPr>
                <w:rFonts w:ascii="Calibri" w:hAnsi="Calibri" w:cs="Calibri"/>
              </w:rPr>
              <w:t>secukinumab</w:t>
            </w:r>
            <w:proofErr w:type="spellEnd"/>
            <w:r w:rsidRPr="002D07A3">
              <w:rPr>
                <w:rFonts w:ascii="Calibri" w:hAnsi="Calibri" w:cs="Calibri"/>
              </w:rPr>
              <w:t xml:space="preserve"> 150 mg/1 mL solution for subcutaneous injection in a single use pre-filled pen. The sterile solution is colourless to slightly yellow. The pen consists of a PFS assembled into a pen with a removable rubber cap. Packs containing 1* or 2* pre-filled pens.</w:t>
            </w:r>
          </w:p>
        </w:tc>
      </w:tr>
    </w:tbl>
    <w:p w14:paraId="5FEA8DCB" w14:textId="77777777" w:rsidR="00E83219" w:rsidRPr="00733D88" w:rsidRDefault="00E83219" w:rsidP="00AF46A0">
      <w:pPr>
        <w:rPr>
          <w:rStyle w:val="Emphasis"/>
          <w:rFonts w:cs="Arial"/>
        </w:rPr>
      </w:pPr>
      <w:r w:rsidRPr="002D07A3">
        <w:rPr>
          <w:rFonts w:eastAsia="Times New Roman" w:cstheme="minorHAnsi"/>
          <w:i/>
          <w:iCs/>
        </w:rPr>
        <w:t>*Not all pack sizes or presentations may be marketed.</w:t>
      </w:r>
    </w:p>
    <w:p w14:paraId="444E8195" w14:textId="77777777" w:rsidR="001A3992" w:rsidRPr="002D07A3" w:rsidRDefault="001A3992" w:rsidP="00AF46A0">
      <w:pPr>
        <w:pStyle w:val="Heading2"/>
        <w:spacing w:before="0" w:after="120"/>
        <w:ind w:left="578" w:hanging="578"/>
        <w:rPr>
          <w:rFonts w:cstheme="minorHAnsi"/>
        </w:rPr>
      </w:pPr>
      <w:r w:rsidRPr="002D07A3">
        <w:rPr>
          <w:rFonts w:cstheme="minorHAnsi"/>
        </w:rPr>
        <w:t xml:space="preserve">Special precautions for disposal </w:t>
      </w:r>
    </w:p>
    <w:p w14:paraId="12CE0CFE" w14:textId="1FDDB987" w:rsidR="00907AD8" w:rsidRDefault="00497C85" w:rsidP="00AF46A0">
      <w:pPr>
        <w:rPr>
          <w:rFonts w:cstheme="minorHAnsi"/>
        </w:rPr>
      </w:pPr>
      <w:r w:rsidRPr="002D07A3">
        <w:rPr>
          <w:rFonts w:cstheme="minorHAnsi"/>
        </w:rPr>
        <w:t>In Australia, any unused medicine or waste material should be disposed of by taking to</w:t>
      </w:r>
      <w:r w:rsidR="00E83219" w:rsidRPr="002D07A3">
        <w:rPr>
          <w:rFonts w:cstheme="minorHAnsi"/>
        </w:rPr>
        <w:t xml:space="preserve"> your local pharmacy.</w:t>
      </w:r>
    </w:p>
    <w:p w14:paraId="05D53A47" w14:textId="77777777" w:rsidR="001A3992" w:rsidRPr="002D07A3" w:rsidRDefault="001A3992" w:rsidP="00AF46A0">
      <w:pPr>
        <w:pStyle w:val="Heading2"/>
        <w:spacing w:before="0" w:after="120"/>
        <w:ind w:left="578" w:hanging="578"/>
        <w:rPr>
          <w:rFonts w:cstheme="minorHAnsi"/>
        </w:rPr>
      </w:pPr>
      <w:r w:rsidRPr="002D07A3">
        <w:rPr>
          <w:rFonts w:cstheme="minorHAnsi"/>
        </w:rPr>
        <w:t>Physicochemical properties</w:t>
      </w:r>
    </w:p>
    <w:p w14:paraId="60296CA4" w14:textId="77777777" w:rsidR="001A3992" w:rsidRPr="002D07A3" w:rsidRDefault="001A3992" w:rsidP="00AF46A0">
      <w:pPr>
        <w:pStyle w:val="Heading3"/>
        <w:spacing w:before="0" w:after="120"/>
        <w:ind w:left="0"/>
        <w:rPr>
          <w:rFonts w:cstheme="minorHAnsi"/>
        </w:rPr>
      </w:pPr>
      <w:r w:rsidRPr="002D07A3">
        <w:rPr>
          <w:rFonts w:cstheme="minorHAnsi"/>
        </w:rPr>
        <w:t>Chemical structure</w:t>
      </w:r>
    </w:p>
    <w:p w14:paraId="3039A7EB" w14:textId="77777777" w:rsidR="009608E9" w:rsidRPr="002D07A3" w:rsidRDefault="009608E9" w:rsidP="00AF46A0">
      <w:pPr>
        <w:rPr>
          <w:rFonts w:cstheme="minorHAnsi"/>
        </w:rPr>
      </w:pPr>
      <w:r w:rsidRPr="002D07A3">
        <w:rPr>
          <w:rFonts w:cstheme="minorHAnsi"/>
        </w:rPr>
        <w:t>The amino acid sequences of the light chain (215 amino acids) and the heavy chain (457 amino acids) respectively.</w:t>
      </w:r>
    </w:p>
    <w:p w14:paraId="2EEBC221" w14:textId="77777777" w:rsidR="009608E9" w:rsidRPr="00733D88" w:rsidRDefault="009608E9" w:rsidP="00AF46A0">
      <w:pPr>
        <w:tabs>
          <w:tab w:val="left" w:pos="2164"/>
        </w:tabs>
        <w:rPr>
          <w:rFonts w:cs="Arial"/>
          <w:b/>
        </w:rPr>
      </w:pPr>
      <w:r w:rsidRPr="002D07A3">
        <w:rPr>
          <w:rFonts w:cs="Arial"/>
        </w:rPr>
        <w:t>Molecular formula:</w:t>
      </w:r>
      <w:r w:rsidRPr="00733D88">
        <w:rPr>
          <w:rFonts w:cs="Arial"/>
          <w:b/>
        </w:rPr>
        <w:tab/>
      </w:r>
      <w:r w:rsidRPr="002D07A3">
        <w:rPr>
          <w:rFonts w:cs="Arial"/>
        </w:rPr>
        <w:t>C</w:t>
      </w:r>
      <w:r w:rsidRPr="002D07A3">
        <w:rPr>
          <w:rFonts w:cs="Arial"/>
          <w:vertAlign w:val="subscript"/>
        </w:rPr>
        <w:t>6584</w:t>
      </w:r>
      <w:r w:rsidRPr="002D07A3">
        <w:rPr>
          <w:rFonts w:cs="Arial"/>
        </w:rPr>
        <w:t>H</w:t>
      </w:r>
      <w:r w:rsidRPr="002D07A3">
        <w:rPr>
          <w:rFonts w:cs="Arial"/>
          <w:vertAlign w:val="subscript"/>
        </w:rPr>
        <w:t>10134</w:t>
      </w:r>
      <w:r w:rsidRPr="002D07A3">
        <w:rPr>
          <w:rFonts w:cs="Arial"/>
        </w:rPr>
        <w:t>N</w:t>
      </w:r>
      <w:r w:rsidRPr="002D07A3">
        <w:rPr>
          <w:rFonts w:cs="Arial"/>
          <w:vertAlign w:val="subscript"/>
        </w:rPr>
        <w:t>1754</w:t>
      </w:r>
      <w:r w:rsidRPr="002D07A3">
        <w:rPr>
          <w:rFonts w:cs="Arial"/>
        </w:rPr>
        <w:t>O</w:t>
      </w:r>
      <w:r w:rsidRPr="002D07A3">
        <w:rPr>
          <w:rFonts w:cs="Arial"/>
          <w:vertAlign w:val="subscript"/>
        </w:rPr>
        <w:t>2042</w:t>
      </w:r>
      <w:r w:rsidRPr="002D07A3">
        <w:rPr>
          <w:rFonts w:cs="Arial"/>
        </w:rPr>
        <w:t>S</w:t>
      </w:r>
      <w:r w:rsidRPr="002D07A3">
        <w:rPr>
          <w:rFonts w:cs="Arial"/>
          <w:vertAlign w:val="subscript"/>
        </w:rPr>
        <w:t>44</w:t>
      </w:r>
    </w:p>
    <w:p w14:paraId="25834B13" w14:textId="77777777" w:rsidR="009608E9" w:rsidRPr="002D07A3" w:rsidRDefault="009608E9" w:rsidP="00AF46A0">
      <w:pPr>
        <w:rPr>
          <w:rFonts w:cstheme="minorHAnsi"/>
        </w:rPr>
      </w:pPr>
      <w:r w:rsidRPr="002D07A3">
        <w:rPr>
          <w:rFonts w:cstheme="minorHAnsi"/>
        </w:rPr>
        <w:t>Molecular weight:</w:t>
      </w:r>
      <w:r w:rsidRPr="002D07A3">
        <w:rPr>
          <w:rFonts w:cstheme="minorHAnsi"/>
        </w:rPr>
        <w:tab/>
        <w:t xml:space="preserve">Approximately 148 </w:t>
      </w:r>
      <w:proofErr w:type="spellStart"/>
      <w:r w:rsidRPr="002D07A3">
        <w:rPr>
          <w:rFonts w:cstheme="minorHAnsi"/>
        </w:rPr>
        <w:t>kDa</w:t>
      </w:r>
      <w:proofErr w:type="spellEnd"/>
    </w:p>
    <w:p w14:paraId="38E3DEA3" w14:textId="77777777" w:rsidR="001A3992" w:rsidRPr="002D07A3" w:rsidRDefault="001A3992" w:rsidP="00AF46A0">
      <w:pPr>
        <w:pStyle w:val="Heading3"/>
        <w:spacing w:before="0" w:after="120"/>
        <w:ind w:left="0"/>
        <w:rPr>
          <w:rFonts w:cstheme="minorHAnsi"/>
        </w:rPr>
      </w:pPr>
      <w:r w:rsidRPr="002D07A3">
        <w:rPr>
          <w:rFonts w:cstheme="minorHAnsi"/>
        </w:rPr>
        <w:t>CAS number</w:t>
      </w:r>
    </w:p>
    <w:p w14:paraId="18E0D8AD" w14:textId="77777777" w:rsidR="009608E9" w:rsidRPr="002D07A3" w:rsidRDefault="009608E9" w:rsidP="00AF46A0">
      <w:pPr>
        <w:rPr>
          <w:rFonts w:cstheme="minorHAnsi"/>
        </w:rPr>
      </w:pPr>
      <w:r w:rsidRPr="002D07A3">
        <w:rPr>
          <w:rFonts w:cstheme="minorHAnsi"/>
        </w:rPr>
        <w:t>875356-43-7 (heavy chain), 875356-44-8 (light chain)</w:t>
      </w:r>
    </w:p>
    <w:p w14:paraId="04E526F0" w14:textId="77777777" w:rsidR="001A3992" w:rsidRPr="002D07A3" w:rsidRDefault="001A3992" w:rsidP="00AF46A0">
      <w:pPr>
        <w:pStyle w:val="Heading1"/>
        <w:spacing w:before="0" w:after="120"/>
        <w:rPr>
          <w:rFonts w:cstheme="minorHAnsi"/>
        </w:rPr>
      </w:pPr>
      <w:r w:rsidRPr="002D07A3">
        <w:rPr>
          <w:rFonts w:cstheme="minorHAnsi"/>
        </w:rPr>
        <w:t>Medicine schedule (Poisons Standard)</w:t>
      </w:r>
    </w:p>
    <w:p w14:paraId="6613809B" w14:textId="77777777" w:rsidR="00E83219" w:rsidRPr="002D07A3" w:rsidRDefault="00E83219" w:rsidP="00AF46A0">
      <w:pPr>
        <w:rPr>
          <w:rFonts w:cstheme="minorHAnsi"/>
        </w:rPr>
      </w:pPr>
      <w:r w:rsidRPr="002D07A3">
        <w:rPr>
          <w:rFonts w:cstheme="minorHAnsi"/>
        </w:rPr>
        <w:t>Schedule 4 - Prescription medicine</w:t>
      </w:r>
    </w:p>
    <w:p w14:paraId="5D31A4C2" w14:textId="77777777" w:rsidR="001A3992" w:rsidRPr="002D07A3" w:rsidRDefault="001A3992" w:rsidP="00AF46A0">
      <w:pPr>
        <w:pStyle w:val="Heading1"/>
        <w:spacing w:before="0" w:after="120"/>
        <w:rPr>
          <w:rFonts w:cstheme="minorHAnsi"/>
        </w:rPr>
      </w:pPr>
      <w:r w:rsidRPr="002D07A3">
        <w:rPr>
          <w:rFonts w:cstheme="minorHAnsi"/>
        </w:rPr>
        <w:t>Sponsor</w:t>
      </w:r>
    </w:p>
    <w:p w14:paraId="548A9C6A" w14:textId="77777777" w:rsidR="00E83219" w:rsidRPr="00733D88" w:rsidRDefault="00E83219" w:rsidP="00AF46A0">
      <w:pPr>
        <w:spacing w:after="0" w:line="240" w:lineRule="auto"/>
        <w:rPr>
          <w:rFonts w:cs="Arial"/>
        </w:rPr>
      </w:pPr>
      <w:r w:rsidRPr="00733D88">
        <w:rPr>
          <w:rFonts w:cs="Arial"/>
        </w:rPr>
        <w:t>Novartis Pharmaceuticals Australia Pty Limited</w:t>
      </w:r>
    </w:p>
    <w:p w14:paraId="649F6499" w14:textId="77777777" w:rsidR="00E83219" w:rsidRPr="00733D88" w:rsidRDefault="00E83219" w:rsidP="00AF46A0">
      <w:pPr>
        <w:spacing w:after="0" w:line="240" w:lineRule="auto"/>
        <w:rPr>
          <w:rFonts w:cs="Arial"/>
          <w:b/>
        </w:rPr>
      </w:pPr>
      <w:r w:rsidRPr="00733D88">
        <w:rPr>
          <w:rFonts w:cs="Arial"/>
        </w:rPr>
        <w:t>ABN 18 004 244 160</w:t>
      </w:r>
    </w:p>
    <w:p w14:paraId="51E33678" w14:textId="77777777" w:rsidR="00E83219" w:rsidRPr="00733D88" w:rsidRDefault="00E83219" w:rsidP="00AF46A0">
      <w:pPr>
        <w:spacing w:after="0" w:line="240" w:lineRule="auto"/>
        <w:rPr>
          <w:rFonts w:cs="Arial"/>
        </w:rPr>
      </w:pPr>
      <w:r w:rsidRPr="00733D88">
        <w:rPr>
          <w:rFonts w:cs="Arial"/>
        </w:rPr>
        <w:t>54 Waterloo Road</w:t>
      </w:r>
    </w:p>
    <w:p w14:paraId="14AD8139" w14:textId="77777777" w:rsidR="00E83219" w:rsidRPr="00733D88" w:rsidRDefault="00E83219" w:rsidP="00AF46A0">
      <w:pPr>
        <w:spacing w:after="0" w:line="240" w:lineRule="auto"/>
        <w:rPr>
          <w:rFonts w:cs="Arial"/>
          <w:b/>
        </w:rPr>
      </w:pPr>
      <w:r w:rsidRPr="00733D88">
        <w:rPr>
          <w:rFonts w:cs="Arial"/>
        </w:rPr>
        <w:t>Macquarie Park NSW 2113</w:t>
      </w:r>
    </w:p>
    <w:p w14:paraId="5F432333" w14:textId="77777777" w:rsidR="00E83219" w:rsidRPr="002D07A3" w:rsidRDefault="00E83219" w:rsidP="00AF46A0">
      <w:r w:rsidRPr="00733D88">
        <w:rPr>
          <w:rFonts w:cs="Arial"/>
          <w:vertAlign w:val="superscript"/>
        </w:rPr>
        <w:sym w:font="Symbol" w:char="F0D2"/>
      </w:r>
      <w:r w:rsidRPr="00733D88">
        <w:rPr>
          <w:rFonts w:cs="Arial"/>
        </w:rPr>
        <w:t xml:space="preserve"> = Registered Trademark</w:t>
      </w:r>
    </w:p>
    <w:p w14:paraId="2DAA3DE9" w14:textId="545602FD" w:rsidR="001A3992" w:rsidRPr="002D07A3" w:rsidRDefault="00A85630" w:rsidP="00A85630">
      <w:pPr>
        <w:pStyle w:val="Heading1"/>
        <w:pageBreakBefore/>
        <w:spacing w:before="0" w:after="120"/>
        <w:ind w:left="431" w:hanging="431"/>
        <w:rPr>
          <w:rFonts w:cstheme="minorHAnsi"/>
        </w:rPr>
      </w:pPr>
      <w:r>
        <w:rPr>
          <w:rFonts w:cstheme="minorHAnsi"/>
        </w:rPr>
        <w:t>Date of first approval</w:t>
      </w:r>
    </w:p>
    <w:p w14:paraId="7715DA13" w14:textId="77777777" w:rsidR="00E83219" w:rsidRPr="00733D88" w:rsidRDefault="00E83219" w:rsidP="00AF46A0">
      <w:pPr>
        <w:spacing w:after="0"/>
        <w:rPr>
          <w:rFonts w:cs="Arial"/>
        </w:rPr>
      </w:pPr>
      <w:r w:rsidRPr="00733D88">
        <w:rPr>
          <w:rFonts w:cs="Arial"/>
        </w:rPr>
        <w:t>12 January 2015:</w:t>
      </w:r>
      <w:r w:rsidRPr="00733D88">
        <w:rPr>
          <w:rFonts w:cs="Arial"/>
        </w:rPr>
        <w:tab/>
        <w:t xml:space="preserve"> COSENTYX powder for solution*</w:t>
      </w:r>
    </w:p>
    <w:p w14:paraId="1C5C0137" w14:textId="77777777" w:rsidR="00E83219" w:rsidRPr="00733D88" w:rsidRDefault="00E83219" w:rsidP="00AF46A0">
      <w:pPr>
        <w:spacing w:after="0"/>
        <w:rPr>
          <w:rFonts w:cs="Arial"/>
        </w:rPr>
      </w:pPr>
      <w:r w:rsidRPr="00733D88">
        <w:rPr>
          <w:rFonts w:cs="Arial"/>
        </w:rPr>
        <w:t>12 January 2015:</w:t>
      </w:r>
      <w:r w:rsidRPr="00733D88">
        <w:rPr>
          <w:rFonts w:cs="Arial"/>
        </w:rPr>
        <w:tab/>
        <w:t xml:space="preserve"> COSENTYX prefilled syringe</w:t>
      </w:r>
    </w:p>
    <w:p w14:paraId="10A76DA1" w14:textId="77777777" w:rsidR="00E83219" w:rsidRPr="00733D88" w:rsidRDefault="00E83219" w:rsidP="00AF46A0">
      <w:pPr>
        <w:rPr>
          <w:rFonts w:cs="Arial"/>
        </w:rPr>
      </w:pPr>
      <w:r w:rsidRPr="00733D88">
        <w:rPr>
          <w:rFonts w:cs="Arial"/>
        </w:rPr>
        <w:t>12 January 2015:</w:t>
      </w:r>
      <w:r w:rsidRPr="00733D88">
        <w:rPr>
          <w:rFonts w:cs="Arial"/>
        </w:rPr>
        <w:tab/>
        <w:t xml:space="preserve"> COSENTYX prefilled pen</w:t>
      </w:r>
    </w:p>
    <w:p w14:paraId="02257A61" w14:textId="77777777" w:rsidR="001A3992" w:rsidRPr="002D07A3" w:rsidRDefault="001A3992" w:rsidP="00AF46A0">
      <w:pPr>
        <w:pStyle w:val="Heading1"/>
        <w:spacing w:before="0" w:after="120"/>
        <w:rPr>
          <w:rFonts w:cstheme="minorHAnsi"/>
        </w:rPr>
      </w:pPr>
      <w:r w:rsidRPr="002D07A3">
        <w:rPr>
          <w:rFonts w:cstheme="minorHAnsi"/>
        </w:rPr>
        <w:t xml:space="preserve">Date of revision </w:t>
      </w:r>
    </w:p>
    <w:p w14:paraId="72D49A40" w14:textId="3EC19271" w:rsidR="0081558E" w:rsidRPr="002D07A3" w:rsidRDefault="006A29F4" w:rsidP="00AF46A0">
      <w:r w:rsidRPr="002D07A3">
        <w:t xml:space="preserve"> </w:t>
      </w:r>
      <w:r w:rsidR="006B42AE">
        <w:t>17 September 2020</w:t>
      </w:r>
    </w:p>
    <w:p w14:paraId="4FFA7FCC" w14:textId="77777777" w:rsidR="001A3992" w:rsidRPr="002D07A3" w:rsidRDefault="001A3992" w:rsidP="00AF46A0">
      <w:pPr>
        <w:pStyle w:val="Heading2"/>
        <w:numPr>
          <w:ilvl w:val="0"/>
          <w:numId w:val="0"/>
        </w:numPr>
        <w:spacing w:before="0" w:after="120"/>
        <w:rPr>
          <w:rFonts w:cstheme="minorHAnsi"/>
        </w:rPr>
      </w:pPr>
      <w:r w:rsidRPr="002D07A3">
        <w:rPr>
          <w:rFonts w:cstheme="minorHAnsi"/>
        </w:rPr>
        <w:t>Summary table of changes</w:t>
      </w:r>
    </w:p>
    <w:tbl>
      <w:tblPr>
        <w:tblStyle w:val="LightGrid"/>
        <w:tblW w:w="0" w:type="auto"/>
        <w:tblCellMar>
          <w:top w:w="57" w:type="dxa"/>
          <w:bottom w:w="57" w:type="dxa"/>
        </w:tblCellMar>
        <w:tblLook w:val="06A0" w:firstRow="1" w:lastRow="0" w:firstColumn="1" w:lastColumn="0" w:noHBand="1" w:noVBand="1"/>
      </w:tblPr>
      <w:tblGrid>
        <w:gridCol w:w="2117"/>
        <w:gridCol w:w="6889"/>
      </w:tblGrid>
      <w:tr w:rsidR="00ED0937" w:rsidRPr="00733D88" w14:paraId="41A93677" w14:textId="77777777" w:rsidTr="002D07A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58059491" w14:textId="53F5541B" w:rsidR="00ED0937" w:rsidRPr="002D07A3" w:rsidRDefault="00ED0937" w:rsidP="00AF46A0">
            <w:pPr>
              <w:rPr>
                <w:rFonts w:cstheme="minorHAnsi"/>
                <w:sz w:val="20"/>
              </w:rPr>
            </w:pPr>
            <w:r w:rsidRPr="00F05925">
              <w:rPr>
                <w:rFonts w:cstheme="minorHAnsi"/>
                <w:sz w:val="20"/>
              </w:rPr>
              <w:t>Section</w:t>
            </w:r>
            <w:r w:rsidR="00F05925">
              <w:rPr>
                <w:rFonts w:cstheme="minorHAnsi"/>
                <w:sz w:val="20"/>
              </w:rPr>
              <w:t>s</w:t>
            </w:r>
            <w:r w:rsidRPr="00F05925">
              <w:rPr>
                <w:rFonts w:cstheme="minorHAnsi"/>
                <w:sz w:val="20"/>
              </w:rPr>
              <w:t xml:space="preserve"> Changed</w:t>
            </w:r>
          </w:p>
        </w:tc>
        <w:tc>
          <w:tcPr>
            <w:tcW w:w="6889" w:type="dxa"/>
            <w:shd w:val="clear" w:color="auto" w:fill="F2F2F2" w:themeFill="background1" w:themeFillShade="F2"/>
            <w:vAlign w:val="center"/>
          </w:tcPr>
          <w:p w14:paraId="6921683F" w14:textId="77777777" w:rsidR="00ED0937" w:rsidRPr="002D07A3" w:rsidRDefault="00ED0937" w:rsidP="00AF46A0">
            <w:pPr>
              <w:cnfStyle w:val="100000000000" w:firstRow="1" w:lastRow="0" w:firstColumn="0" w:lastColumn="0" w:oddVBand="0" w:evenVBand="0" w:oddHBand="0" w:evenHBand="0" w:firstRowFirstColumn="0" w:firstRowLastColumn="0" w:lastRowFirstColumn="0" w:lastRowLastColumn="0"/>
              <w:rPr>
                <w:rFonts w:cstheme="minorHAnsi"/>
                <w:sz w:val="20"/>
              </w:rPr>
            </w:pPr>
            <w:r w:rsidRPr="002D07A3">
              <w:rPr>
                <w:rFonts w:cstheme="minorHAnsi"/>
                <w:sz w:val="20"/>
              </w:rPr>
              <w:t>Summary of new information</w:t>
            </w:r>
          </w:p>
        </w:tc>
      </w:tr>
      <w:tr w:rsidR="00BD69F4" w:rsidRPr="004F53D6" w14:paraId="28A676A0"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145EFB14" w14:textId="23E5C4FA" w:rsidR="00BD69F4" w:rsidRPr="002D07A3" w:rsidRDefault="00F05925" w:rsidP="00AF46A0">
            <w:pPr>
              <w:rPr>
                <w:rFonts w:ascii="Calibri" w:hAnsi="Calibri" w:cs="Calibri"/>
                <w:sz w:val="20"/>
              </w:rPr>
            </w:pPr>
            <w:r w:rsidRPr="002D07A3">
              <w:rPr>
                <w:rFonts w:ascii="Calibri" w:hAnsi="Calibri" w:cs="Calibri"/>
                <w:sz w:val="20"/>
              </w:rPr>
              <w:t>4.1</w:t>
            </w:r>
          </w:p>
        </w:tc>
        <w:tc>
          <w:tcPr>
            <w:tcW w:w="6889" w:type="dxa"/>
            <w:shd w:val="clear" w:color="auto" w:fill="F2F2F2" w:themeFill="background1" w:themeFillShade="F2"/>
            <w:vAlign w:val="center"/>
          </w:tcPr>
          <w:p w14:paraId="1AD2EBA2" w14:textId="0F4765F4" w:rsidR="00755F00" w:rsidRPr="002D07A3" w:rsidRDefault="00F05925"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A</w:t>
            </w:r>
            <w:r w:rsidR="003A2619" w:rsidRPr="002D07A3">
              <w:rPr>
                <w:rFonts w:ascii="Calibri" w:hAnsi="Calibri" w:cs="Calibri"/>
                <w:sz w:val="20"/>
              </w:rPr>
              <w:t xml:space="preserve">ddition of </w:t>
            </w:r>
            <w:proofErr w:type="spellStart"/>
            <w:r w:rsidR="003A2619" w:rsidRPr="002D07A3">
              <w:rPr>
                <w:rFonts w:ascii="Calibri" w:hAnsi="Calibri" w:cs="Calibri"/>
                <w:sz w:val="20"/>
              </w:rPr>
              <w:t>nr-axSpA</w:t>
            </w:r>
            <w:proofErr w:type="spellEnd"/>
            <w:r w:rsidR="003A2619" w:rsidRPr="002D07A3">
              <w:rPr>
                <w:rFonts w:ascii="Calibri" w:hAnsi="Calibri" w:cs="Calibri"/>
                <w:sz w:val="20"/>
              </w:rPr>
              <w:t xml:space="preserve"> </w:t>
            </w:r>
            <w:r w:rsidRPr="002D07A3">
              <w:rPr>
                <w:rFonts w:ascii="Calibri" w:hAnsi="Calibri" w:cs="Calibri"/>
                <w:sz w:val="20"/>
              </w:rPr>
              <w:t>indication</w:t>
            </w:r>
          </w:p>
        </w:tc>
      </w:tr>
      <w:tr w:rsidR="003A2619" w:rsidRPr="004F53D6" w14:paraId="636F8E29"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25DB4CE9" w14:textId="6B7FFD7F" w:rsidR="003A2619" w:rsidRPr="002D07A3" w:rsidRDefault="003A2619" w:rsidP="00AF46A0">
            <w:pPr>
              <w:rPr>
                <w:rFonts w:ascii="Calibri" w:hAnsi="Calibri" w:cs="Calibri"/>
                <w:sz w:val="20"/>
              </w:rPr>
            </w:pPr>
            <w:r w:rsidRPr="002D07A3">
              <w:rPr>
                <w:rFonts w:ascii="Calibri" w:hAnsi="Calibri" w:cs="Calibri"/>
                <w:sz w:val="20"/>
              </w:rPr>
              <w:t>4.2</w:t>
            </w:r>
          </w:p>
        </w:tc>
        <w:tc>
          <w:tcPr>
            <w:tcW w:w="6889" w:type="dxa"/>
            <w:shd w:val="clear" w:color="auto" w:fill="F2F2F2" w:themeFill="background1" w:themeFillShade="F2"/>
            <w:vAlign w:val="center"/>
          </w:tcPr>
          <w:p w14:paraId="692249A1" w14:textId="750BF001" w:rsidR="003A2619" w:rsidRPr="002D07A3" w:rsidRDefault="003A2619"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 xml:space="preserve">Addition of dosing for </w:t>
            </w:r>
            <w:proofErr w:type="spellStart"/>
            <w:r w:rsidRPr="002D07A3">
              <w:rPr>
                <w:rFonts w:ascii="Calibri" w:hAnsi="Calibri" w:cs="Calibri"/>
                <w:sz w:val="20"/>
              </w:rPr>
              <w:t>nr-axSpA</w:t>
            </w:r>
            <w:proofErr w:type="spellEnd"/>
            <w:r w:rsidRPr="002D07A3">
              <w:rPr>
                <w:rFonts w:ascii="Calibri" w:hAnsi="Calibri" w:cs="Calibri"/>
                <w:sz w:val="20"/>
              </w:rPr>
              <w:t xml:space="preserve"> indication</w:t>
            </w:r>
          </w:p>
        </w:tc>
      </w:tr>
      <w:tr w:rsidR="003A2619" w:rsidRPr="004F53D6" w14:paraId="4632D4EA"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4A359340" w14:textId="74E31F7C" w:rsidR="003A2619" w:rsidRPr="002D07A3" w:rsidRDefault="003A2619" w:rsidP="00AF46A0">
            <w:pPr>
              <w:rPr>
                <w:rFonts w:ascii="Calibri" w:hAnsi="Calibri" w:cs="Calibri"/>
                <w:sz w:val="20"/>
              </w:rPr>
            </w:pPr>
            <w:r w:rsidRPr="002D07A3">
              <w:rPr>
                <w:rFonts w:ascii="Calibri" w:hAnsi="Calibri" w:cs="Calibri"/>
                <w:sz w:val="20"/>
              </w:rPr>
              <w:t>4.5</w:t>
            </w:r>
          </w:p>
        </w:tc>
        <w:tc>
          <w:tcPr>
            <w:tcW w:w="6889" w:type="dxa"/>
            <w:shd w:val="clear" w:color="auto" w:fill="F2F2F2" w:themeFill="background1" w:themeFillShade="F2"/>
            <w:vAlign w:val="center"/>
          </w:tcPr>
          <w:p w14:paraId="045EDC37" w14:textId="7672EEC1" w:rsidR="003A2619" w:rsidRPr="002D07A3" w:rsidRDefault="003A2619"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Editorial updates</w:t>
            </w:r>
          </w:p>
        </w:tc>
      </w:tr>
      <w:tr w:rsidR="003A2619" w:rsidRPr="004F53D6" w14:paraId="77313E3E"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5FF8B7FA" w14:textId="35BA1CB7" w:rsidR="003A2619" w:rsidRPr="002D07A3" w:rsidRDefault="003A2619" w:rsidP="00AF46A0">
            <w:pPr>
              <w:rPr>
                <w:rFonts w:ascii="Calibri" w:hAnsi="Calibri" w:cs="Calibri"/>
                <w:sz w:val="20"/>
              </w:rPr>
            </w:pPr>
            <w:r w:rsidRPr="002D07A3">
              <w:rPr>
                <w:rFonts w:ascii="Calibri" w:hAnsi="Calibri" w:cs="Calibri"/>
                <w:sz w:val="20"/>
              </w:rPr>
              <w:t>4.8</w:t>
            </w:r>
          </w:p>
        </w:tc>
        <w:tc>
          <w:tcPr>
            <w:tcW w:w="6889" w:type="dxa"/>
            <w:shd w:val="clear" w:color="auto" w:fill="F2F2F2" w:themeFill="background1" w:themeFillShade="F2"/>
            <w:vAlign w:val="center"/>
          </w:tcPr>
          <w:p w14:paraId="63B6CF07" w14:textId="15DEF475" w:rsidR="003A2619" w:rsidRPr="002D07A3" w:rsidRDefault="003A2619"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 xml:space="preserve">Editorial changes and update of information from </w:t>
            </w:r>
            <w:proofErr w:type="spellStart"/>
            <w:r w:rsidRPr="002D07A3">
              <w:rPr>
                <w:rFonts w:ascii="Calibri" w:hAnsi="Calibri" w:cs="Calibri"/>
                <w:sz w:val="20"/>
              </w:rPr>
              <w:t>nr-axSpA</w:t>
            </w:r>
            <w:proofErr w:type="spellEnd"/>
            <w:r w:rsidRPr="002D07A3">
              <w:rPr>
                <w:rFonts w:ascii="Calibri" w:hAnsi="Calibri" w:cs="Calibri"/>
                <w:sz w:val="20"/>
              </w:rPr>
              <w:t xml:space="preserve"> study</w:t>
            </w:r>
          </w:p>
        </w:tc>
      </w:tr>
      <w:tr w:rsidR="003A2619" w:rsidRPr="004F53D6" w14:paraId="56ADDF68"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0C38C318" w14:textId="79180DEF" w:rsidR="003A2619" w:rsidRPr="002D07A3" w:rsidRDefault="003A2619" w:rsidP="00AF46A0">
            <w:pPr>
              <w:rPr>
                <w:rFonts w:ascii="Calibri" w:hAnsi="Calibri" w:cs="Calibri"/>
                <w:sz w:val="20"/>
              </w:rPr>
            </w:pPr>
            <w:r w:rsidRPr="002D07A3">
              <w:rPr>
                <w:rFonts w:ascii="Calibri" w:hAnsi="Calibri" w:cs="Calibri"/>
                <w:sz w:val="20"/>
              </w:rPr>
              <w:t>5.1</w:t>
            </w:r>
          </w:p>
        </w:tc>
        <w:tc>
          <w:tcPr>
            <w:tcW w:w="6889" w:type="dxa"/>
            <w:shd w:val="clear" w:color="auto" w:fill="F2F2F2" w:themeFill="background1" w:themeFillShade="F2"/>
            <w:vAlign w:val="center"/>
          </w:tcPr>
          <w:p w14:paraId="78A114F4" w14:textId="152516A4" w:rsidR="003A2619" w:rsidRPr="002D07A3" w:rsidRDefault="003A2619"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 xml:space="preserve">Editorial changes and update of information from </w:t>
            </w:r>
            <w:proofErr w:type="spellStart"/>
            <w:r w:rsidRPr="002D07A3">
              <w:rPr>
                <w:rFonts w:ascii="Calibri" w:hAnsi="Calibri" w:cs="Calibri"/>
                <w:sz w:val="20"/>
              </w:rPr>
              <w:t>nr-axSpA</w:t>
            </w:r>
            <w:proofErr w:type="spellEnd"/>
            <w:r w:rsidRPr="002D07A3">
              <w:rPr>
                <w:rFonts w:ascii="Calibri" w:hAnsi="Calibri" w:cs="Calibri"/>
                <w:sz w:val="20"/>
              </w:rPr>
              <w:t xml:space="preserve"> study</w:t>
            </w:r>
          </w:p>
        </w:tc>
      </w:tr>
      <w:tr w:rsidR="003A2619" w:rsidRPr="004F53D6" w14:paraId="7DA83F1D"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1F1D6429" w14:textId="06987C2F" w:rsidR="003A2619" w:rsidRPr="002D07A3" w:rsidRDefault="003A2619" w:rsidP="00AF46A0">
            <w:pPr>
              <w:rPr>
                <w:rFonts w:ascii="Calibri" w:hAnsi="Calibri" w:cs="Calibri"/>
                <w:sz w:val="20"/>
              </w:rPr>
            </w:pPr>
            <w:r w:rsidRPr="002D07A3">
              <w:rPr>
                <w:rFonts w:ascii="Calibri" w:hAnsi="Calibri" w:cs="Calibri"/>
                <w:sz w:val="20"/>
              </w:rPr>
              <w:t>5.2</w:t>
            </w:r>
          </w:p>
        </w:tc>
        <w:tc>
          <w:tcPr>
            <w:tcW w:w="6889" w:type="dxa"/>
            <w:shd w:val="clear" w:color="auto" w:fill="F2F2F2" w:themeFill="background1" w:themeFillShade="F2"/>
            <w:vAlign w:val="center"/>
          </w:tcPr>
          <w:p w14:paraId="45984552" w14:textId="61277DCA" w:rsidR="003A2619" w:rsidRPr="002D07A3" w:rsidRDefault="003A2619"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Update of information on exposure in elderly patients</w:t>
            </w:r>
          </w:p>
        </w:tc>
      </w:tr>
      <w:tr w:rsidR="003A2619" w:rsidRPr="004F53D6" w14:paraId="6B550303" w14:textId="77777777" w:rsidTr="002D07A3">
        <w:tc>
          <w:tcPr>
            <w:cnfStyle w:val="001000000000" w:firstRow="0" w:lastRow="0" w:firstColumn="1" w:lastColumn="0" w:oddVBand="0" w:evenVBand="0" w:oddHBand="0" w:evenHBand="0" w:firstRowFirstColumn="0" w:firstRowLastColumn="0" w:lastRowFirstColumn="0" w:lastRowLastColumn="0"/>
            <w:tcW w:w="2117" w:type="dxa"/>
            <w:shd w:val="clear" w:color="auto" w:fill="F2F2F2" w:themeFill="background1" w:themeFillShade="F2"/>
            <w:vAlign w:val="center"/>
          </w:tcPr>
          <w:p w14:paraId="361EA310" w14:textId="046D0F3C" w:rsidR="003A2619" w:rsidRPr="002D07A3" w:rsidRDefault="003A2619" w:rsidP="00AF46A0">
            <w:pPr>
              <w:rPr>
                <w:rFonts w:ascii="Calibri" w:hAnsi="Calibri" w:cs="Calibri"/>
                <w:sz w:val="20"/>
              </w:rPr>
            </w:pPr>
            <w:r w:rsidRPr="002D07A3">
              <w:rPr>
                <w:rFonts w:ascii="Calibri" w:hAnsi="Calibri" w:cs="Calibri"/>
                <w:sz w:val="20"/>
              </w:rPr>
              <w:t>6.2</w:t>
            </w:r>
          </w:p>
        </w:tc>
        <w:tc>
          <w:tcPr>
            <w:tcW w:w="6889" w:type="dxa"/>
            <w:shd w:val="clear" w:color="auto" w:fill="F2F2F2" w:themeFill="background1" w:themeFillShade="F2"/>
            <w:vAlign w:val="center"/>
          </w:tcPr>
          <w:p w14:paraId="50626F4F" w14:textId="578D9B02" w:rsidR="003A2619" w:rsidRPr="002D07A3" w:rsidRDefault="003A2619" w:rsidP="00AF46A0">
            <w:pPr>
              <w:cnfStyle w:val="000000000000" w:firstRow="0" w:lastRow="0" w:firstColumn="0" w:lastColumn="0" w:oddVBand="0" w:evenVBand="0" w:oddHBand="0" w:evenHBand="0" w:firstRowFirstColumn="0" w:firstRowLastColumn="0" w:lastRowFirstColumn="0" w:lastRowLastColumn="0"/>
              <w:rPr>
                <w:rFonts w:ascii="Calibri" w:hAnsi="Calibri" w:cs="Calibri"/>
                <w:sz w:val="20"/>
              </w:rPr>
            </w:pPr>
            <w:r w:rsidRPr="002D07A3">
              <w:rPr>
                <w:rFonts w:ascii="Calibri" w:hAnsi="Calibri" w:cs="Calibri"/>
                <w:sz w:val="20"/>
              </w:rPr>
              <w:t>Update of information to not mix with other medication or diluent, as applicable</w:t>
            </w:r>
          </w:p>
        </w:tc>
      </w:tr>
    </w:tbl>
    <w:p w14:paraId="3703F23D" w14:textId="687FF563" w:rsidR="00960CD5" w:rsidRPr="00907AD8" w:rsidRDefault="00B52008" w:rsidP="00AF46A0">
      <w:pPr>
        <w:spacing w:after="120"/>
        <w:rPr>
          <w:rFonts w:asciiTheme="majorHAnsi" w:hAnsiTheme="majorHAnsi" w:cstheme="minorHAnsi"/>
          <w:sz w:val="16"/>
          <w:szCs w:val="16"/>
        </w:rPr>
      </w:pPr>
      <w:r w:rsidRPr="00907AD8">
        <w:rPr>
          <w:rFonts w:asciiTheme="majorHAnsi" w:hAnsiTheme="majorHAnsi" w:cstheme="minorHAnsi"/>
          <w:sz w:val="16"/>
          <w:szCs w:val="16"/>
        </w:rPr>
        <w:t xml:space="preserve">Internal document code: </w:t>
      </w:r>
      <w:r w:rsidR="00367772" w:rsidRPr="00907AD8">
        <w:rPr>
          <w:rFonts w:asciiTheme="majorHAnsi" w:hAnsiTheme="majorHAnsi" w:cstheme="minorHAnsi"/>
          <w:sz w:val="16"/>
          <w:szCs w:val="16"/>
        </w:rPr>
        <w:t xml:space="preserve"> </w:t>
      </w:r>
      <w:r w:rsidR="00E32595" w:rsidRPr="00907AD8">
        <w:rPr>
          <w:rFonts w:asciiTheme="majorHAnsi" w:hAnsiTheme="majorHAnsi" w:cstheme="minorHAnsi"/>
          <w:sz w:val="16"/>
          <w:szCs w:val="16"/>
        </w:rPr>
        <w:t>cos</w:t>
      </w:r>
      <w:r w:rsidR="00B22049" w:rsidRPr="00907AD8">
        <w:rPr>
          <w:rFonts w:asciiTheme="majorHAnsi" w:hAnsiTheme="majorHAnsi" w:cstheme="minorHAnsi"/>
          <w:sz w:val="16"/>
          <w:szCs w:val="16"/>
        </w:rPr>
        <w:t>100920i</w:t>
      </w:r>
      <w:r w:rsidR="00521C4B" w:rsidRPr="00907AD8">
        <w:rPr>
          <w:rFonts w:asciiTheme="majorHAnsi" w:hAnsiTheme="majorHAnsi" w:cstheme="minorHAnsi"/>
          <w:sz w:val="16"/>
          <w:szCs w:val="16"/>
        </w:rPr>
        <w:t xml:space="preserve"> </w:t>
      </w:r>
      <w:r w:rsidR="0081558E" w:rsidRPr="00907AD8">
        <w:rPr>
          <w:rFonts w:asciiTheme="majorHAnsi" w:hAnsiTheme="majorHAnsi" w:cstheme="minorHAnsi"/>
          <w:sz w:val="16"/>
          <w:szCs w:val="16"/>
        </w:rPr>
        <w:t xml:space="preserve">based on CDS dated </w:t>
      </w:r>
      <w:r w:rsidR="006A29F4" w:rsidRPr="00907AD8">
        <w:rPr>
          <w:rFonts w:asciiTheme="majorHAnsi" w:hAnsiTheme="majorHAnsi" w:cstheme="minorHAnsi"/>
          <w:sz w:val="16"/>
          <w:szCs w:val="16"/>
        </w:rPr>
        <w:t>23 September 2019</w:t>
      </w:r>
    </w:p>
    <w:sectPr w:rsidR="00960CD5" w:rsidRPr="00907AD8" w:rsidSect="0036777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29C03" w14:textId="77777777" w:rsidR="00AF46A0" w:rsidRDefault="00AF46A0" w:rsidP="001A3992">
      <w:pPr>
        <w:spacing w:after="0" w:line="240" w:lineRule="auto"/>
      </w:pPr>
      <w:r>
        <w:separator/>
      </w:r>
    </w:p>
  </w:endnote>
  <w:endnote w:type="continuationSeparator" w:id="0">
    <w:p w14:paraId="589C1AF8" w14:textId="77777777" w:rsidR="00AF46A0" w:rsidRDefault="00AF46A0"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30FB" w14:textId="77777777" w:rsidR="00AF46A0" w:rsidRDefault="00AF4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432093"/>
      <w:docPartObj>
        <w:docPartGallery w:val="Page Numbers (Bottom of Page)"/>
        <w:docPartUnique/>
      </w:docPartObj>
    </w:sdtPr>
    <w:sdtEndPr>
      <w:rPr>
        <w:noProof/>
        <w:sz w:val="20"/>
      </w:rPr>
    </w:sdtEndPr>
    <w:sdtContent>
      <w:p w14:paraId="016250A1" w14:textId="51DA91A2" w:rsidR="00AF46A0" w:rsidRPr="00B8074A" w:rsidRDefault="00AF46A0" w:rsidP="00D834B1">
        <w:pPr>
          <w:pStyle w:val="Footer"/>
          <w:jc w:val="right"/>
          <w:rPr>
            <w:sz w:val="20"/>
          </w:rPr>
        </w:pPr>
        <w:r w:rsidRPr="00B8074A">
          <w:rPr>
            <w:sz w:val="20"/>
          </w:rPr>
          <w:fldChar w:fldCharType="begin"/>
        </w:r>
        <w:r w:rsidRPr="00B8074A">
          <w:rPr>
            <w:sz w:val="20"/>
          </w:rPr>
          <w:instrText xml:space="preserve"> PAGE   \* MERGEFORMAT </w:instrText>
        </w:r>
        <w:r w:rsidRPr="00B8074A">
          <w:rPr>
            <w:sz w:val="20"/>
          </w:rPr>
          <w:fldChar w:fldCharType="separate"/>
        </w:r>
        <w:r w:rsidR="001E0DB4">
          <w:rPr>
            <w:noProof/>
            <w:sz w:val="20"/>
          </w:rPr>
          <w:t>36</w:t>
        </w:r>
        <w:r w:rsidRPr="00B8074A">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499A5" w14:textId="77777777" w:rsidR="00AF46A0" w:rsidRDefault="00AF4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0AC3D" w14:textId="77777777" w:rsidR="00AF46A0" w:rsidRDefault="00AF46A0" w:rsidP="001A3992">
      <w:pPr>
        <w:spacing w:after="0" w:line="240" w:lineRule="auto"/>
      </w:pPr>
      <w:r>
        <w:separator/>
      </w:r>
    </w:p>
  </w:footnote>
  <w:footnote w:type="continuationSeparator" w:id="0">
    <w:p w14:paraId="42905046" w14:textId="77777777" w:rsidR="00AF46A0" w:rsidRDefault="00AF46A0" w:rsidP="001A3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64ACE" w14:textId="77777777" w:rsidR="00AF46A0" w:rsidRDefault="00AF4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E1E8" w14:textId="23F81AC5" w:rsidR="00AF46A0" w:rsidRDefault="00AF46A0">
    <w:pPr>
      <w:pStyle w:val="Header"/>
    </w:pPr>
  </w:p>
  <w:tbl>
    <w:tblPr>
      <w:tblStyle w:val="TableGrid"/>
      <w:tblW w:w="0" w:type="auto"/>
      <w:shd w:val="clear" w:color="auto" w:fill="E4F2E0"/>
      <w:tblLook w:val="04A0" w:firstRow="1" w:lastRow="0" w:firstColumn="1" w:lastColumn="0" w:noHBand="0" w:noVBand="1"/>
    </w:tblPr>
    <w:tblGrid>
      <w:gridCol w:w="8720"/>
    </w:tblGrid>
    <w:tr w:rsidR="00AF46A0" w:rsidRPr="000B2145" w14:paraId="12103D82" w14:textId="77777777" w:rsidTr="00AF46A0">
      <w:trPr>
        <w:trHeight w:val="1012"/>
      </w:trPr>
      <w:tc>
        <w:tcPr>
          <w:tcW w:w="8720" w:type="dxa"/>
          <w:shd w:val="clear" w:color="auto" w:fill="E4F2E0"/>
        </w:tcPr>
        <w:p w14:paraId="528D4EAE" w14:textId="77777777" w:rsidR="00AF46A0" w:rsidRPr="000B2145" w:rsidRDefault="00AF46A0" w:rsidP="00AF46A0">
          <w:pPr>
            <w:pStyle w:val="Footer"/>
            <w:rPr>
              <w:b/>
              <w:sz w:val="18"/>
              <w:szCs w:val="18"/>
            </w:rPr>
          </w:pPr>
          <w:r w:rsidRPr="00EA0C3C">
            <w:rPr>
              <w:b/>
              <w:sz w:val="18"/>
              <w:szCs w:val="18"/>
            </w:rPr>
            <w:t>Attachment 1:</w:t>
          </w:r>
          <w:r>
            <w:t xml:space="preserve"> </w:t>
          </w:r>
          <w:r w:rsidRPr="004E3AD0">
            <w:rPr>
              <w:b/>
              <w:sz w:val="18"/>
              <w:szCs w:val="18"/>
            </w:rPr>
            <w:t xml:space="preserve">AusPAR - </w:t>
          </w:r>
          <w:proofErr w:type="spellStart"/>
          <w:r w:rsidRPr="004E3AD0">
            <w:rPr>
              <w:b/>
              <w:sz w:val="18"/>
              <w:szCs w:val="18"/>
            </w:rPr>
            <w:t>Cosentyx</w:t>
          </w:r>
          <w:proofErr w:type="spellEnd"/>
          <w:r w:rsidRPr="004E3AD0">
            <w:rPr>
              <w:b/>
              <w:sz w:val="18"/>
              <w:szCs w:val="18"/>
            </w:rPr>
            <w:t xml:space="preserve"> – </w:t>
          </w:r>
          <w:proofErr w:type="spellStart"/>
          <w:r w:rsidRPr="004E3AD0">
            <w:rPr>
              <w:b/>
              <w:sz w:val="18"/>
              <w:szCs w:val="18"/>
            </w:rPr>
            <w:t>secukinumab</w:t>
          </w:r>
          <w:proofErr w:type="spellEnd"/>
          <w:r w:rsidRPr="004E3AD0">
            <w:rPr>
              <w:b/>
              <w:sz w:val="18"/>
              <w:szCs w:val="18"/>
            </w:rPr>
            <w:t xml:space="preserve"> – Novartis Pharmaceuticals Australia Pty Ltd PM-2019-04601-1-3</w:t>
          </w:r>
          <w:r>
            <w:rPr>
              <w:b/>
              <w:sz w:val="18"/>
              <w:szCs w:val="18"/>
            </w:rPr>
            <w:t xml:space="preserve"> </w:t>
          </w:r>
          <w:r w:rsidRPr="004E3AD0">
            <w:rPr>
              <w:b/>
              <w:sz w:val="18"/>
              <w:szCs w:val="18"/>
            </w:rPr>
            <w:t>FINAL 27 January 2021</w:t>
          </w:r>
          <w:r>
            <w:rPr>
              <w:b/>
              <w:sz w:val="18"/>
              <w:szCs w:val="18"/>
            </w:rPr>
            <w:t xml:space="preserve">. </w:t>
          </w:r>
          <w:r w:rsidRPr="000B2145">
            <w:rPr>
              <w:b/>
              <w:sz w:val="18"/>
              <w:szCs w:val="18"/>
            </w:rPr>
            <w:t>This is the Product Information that was approved with the submission described in this AusPAR. It may have been superseded. For the most recent PI, please refer to the TGA website at &lt;</w:t>
          </w:r>
          <w:hyperlink r:id="rId1" w:history="1">
            <w:r w:rsidRPr="000B2145">
              <w:rPr>
                <w:rStyle w:val="Hyperlink"/>
                <w:b/>
                <w:sz w:val="18"/>
                <w:szCs w:val="18"/>
              </w:rPr>
              <w:t>https://www.tga.gov.au/product-information-pi</w:t>
            </w:r>
          </w:hyperlink>
          <w:r w:rsidRPr="000B2145">
            <w:rPr>
              <w:b/>
              <w:sz w:val="18"/>
              <w:szCs w:val="18"/>
              <w:u w:val="single"/>
            </w:rPr>
            <w:t>&gt;</w:t>
          </w:r>
        </w:p>
      </w:tc>
    </w:tr>
  </w:tbl>
  <w:p w14:paraId="0027C978" w14:textId="77777777" w:rsidR="00AF46A0" w:rsidRDefault="00AF4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BC615" w14:textId="77777777" w:rsidR="00AF46A0" w:rsidRDefault="00AF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75pt;height:5.75pt;visibility:visible" o:bullet="t">
        <v:imagedata r:id="rId1" o:title=""/>
      </v:shape>
    </w:pict>
  </w:numPicBullet>
  <w:abstractNum w:abstractNumId="0" w15:restartNumberingAfterBreak="0">
    <w:nsid w:val="01166AA6"/>
    <w:multiLevelType w:val="hybridMultilevel"/>
    <w:tmpl w:val="6E0A075A"/>
    <w:lvl w:ilvl="0" w:tplc="656A0132">
      <w:start w:val="1"/>
      <w:numFmt w:val="bullet"/>
      <w:lvlText w:val=""/>
      <w:lvlPicBulletId w:val="0"/>
      <w:lvlJc w:val="left"/>
      <w:pPr>
        <w:tabs>
          <w:tab w:val="num" w:pos="720"/>
        </w:tabs>
        <w:ind w:left="720" w:hanging="360"/>
      </w:pPr>
      <w:rPr>
        <w:rFonts w:ascii="Symbol" w:hAnsi="Symbol" w:hint="default"/>
      </w:rPr>
    </w:lvl>
    <w:lvl w:ilvl="1" w:tplc="21C6F4E0" w:tentative="1">
      <w:start w:val="1"/>
      <w:numFmt w:val="bullet"/>
      <w:lvlText w:val=""/>
      <w:lvlJc w:val="left"/>
      <w:pPr>
        <w:tabs>
          <w:tab w:val="num" w:pos="1440"/>
        </w:tabs>
        <w:ind w:left="1440" w:hanging="360"/>
      </w:pPr>
      <w:rPr>
        <w:rFonts w:ascii="Symbol" w:hAnsi="Symbol" w:hint="default"/>
      </w:rPr>
    </w:lvl>
    <w:lvl w:ilvl="2" w:tplc="C8F01C0E" w:tentative="1">
      <w:start w:val="1"/>
      <w:numFmt w:val="bullet"/>
      <w:lvlText w:val=""/>
      <w:lvlJc w:val="left"/>
      <w:pPr>
        <w:tabs>
          <w:tab w:val="num" w:pos="2160"/>
        </w:tabs>
        <w:ind w:left="2160" w:hanging="360"/>
      </w:pPr>
      <w:rPr>
        <w:rFonts w:ascii="Symbol" w:hAnsi="Symbol" w:hint="default"/>
      </w:rPr>
    </w:lvl>
    <w:lvl w:ilvl="3" w:tplc="84E6E13C" w:tentative="1">
      <w:start w:val="1"/>
      <w:numFmt w:val="bullet"/>
      <w:lvlText w:val=""/>
      <w:lvlJc w:val="left"/>
      <w:pPr>
        <w:tabs>
          <w:tab w:val="num" w:pos="2880"/>
        </w:tabs>
        <w:ind w:left="2880" w:hanging="360"/>
      </w:pPr>
      <w:rPr>
        <w:rFonts w:ascii="Symbol" w:hAnsi="Symbol" w:hint="default"/>
      </w:rPr>
    </w:lvl>
    <w:lvl w:ilvl="4" w:tplc="35964B2E" w:tentative="1">
      <w:start w:val="1"/>
      <w:numFmt w:val="bullet"/>
      <w:lvlText w:val=""/>
      <w:lvlJc w:val="left"/>
      <w:pPr>
        <w:tabs>
          <w:tab w:val="num" w:pos="3600"/>
        </w:tabs>
        <w:ind w:left="3600" w:hanging="360"/>
      </w:pPr>
      <w:rPr>
        <w:rFonts w:ascii="Symbol" w:hAnsi="Symbol" w:hint="default"/>
      </w:rPr>
    </w:lvl>
    <w:lvl w:ilvl="5" w:tplc="81D65C66" w:tentative="1">
      <w:start w:val="1"/>
      <w:numFmt w:val="bullet"/>
      <w:lvlText w:val=""/>
      <w:lvlJc w:val="left"/>
      <w:pPr>
        <w:tabs>
          <w:tab w:val="num" w:pos="4320"/>
        </w:tabs>
        <w:ind w:left="4320" w:hanging="360"/>
      </w:pPr>
      <w:rPr>
        <w:rFonts w:ascii="Symbol" w:hAnsi="Symbol" w:hint="default"/>
      </w:rPr>
    </w:lvl>
    <w:lvl w:ilvl="6" w:tplc="21F0569C" w:tentative="1">
      <w:start w:val="1"/>
      <w:numFmt w:val="bullet"/>
      <w:lvlText w:val=""/>
      <w:lvlJc w:val="left"/>
      <w:pPr>
        <w:tabs>
          <w:tab w:val="num" w:pos="5040"/>
        </w:tabs>
        <w:ind w:left="5040" w:hanging="360"/>
      </w:pPr>
      <w:rPr>
        <w:rFonts w:ascii="Symbol" w:hAnsi="Symbol" w:hint="default"/>
      </w:rPr>
    </w:lvl>
    <w:lvl w:ilvl="7" w:tplc="39664978" w:tentative="1">
      <w:start w:val="1"/>
      <w:numFmt w:val="bullet"/>
      <w:lvlText w:val=""/>
      <w:lvlJc w:val="left"/>
      <w:pPr>
        <w:tabs>
          <w:tab w:val="num" w:pos="5760"/>
        </w:tabs>
        <w:ind w:left="5760" w:hanging="360"/>
      </w:pPr>
      <w:rPr>
        <w:rFonts w:ascii="Symbol" w:hAnsi="Symbol" w:hint="default"/>
      </w:rPr>
    </w:lvl>
    <w:lvl w:ilvl="8" w:tplc="D858581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21774"/>
    <w:multiLevelType w:val="hybridMultilevel"/>
    <w:tmpl w:val="92707F76"/>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 w15:restartNumberingAfterBreak="0">
    <w:nsid w:val="096D51AB"/>
    <w:multiLevelType w:val="hybridMultilevel"/>
    <w:tmpl w:val="9B9413AE"/>
    <w:lvl w:ilvl="0" w:tplc="414A2CF2">
      <w:start w:val="9"/>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42302C"/>
    <w:multiLevelType w:val="hybridMultilevel"/>
    <w:tmpl w:val="8E921022"/>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85ED2"/>
    <w:multiLevelType w:val="hybridMultilevel"/>
    <w:tmpl w:val="842E4F78"/>
    <w:lvl w:ilvl="0" w:tplc="5226F708">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3001D6"/>
    <w:multiLevelType w:val="hybridMultilevel"/>
    <w:tmpl w:val="92707F76"/>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 w15:restartNumberingAfterBreak="0">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B6279"/>
    <w:multiLevelType w:val="singleLevel"/>
    <w:tmpl w:val="7AC450D0"/>
    <w:lvl w:ilvl="0">
      <w:start w:val="1"/>
      <w:numFmt w:val="bullet"/>
      <w:lvlText w:val=""/>
      <w:lvlJc w:val="left"/>
      <w:pPr>
        <w:tabs>
          <w:tab w:val="num" w:pos="357"/>
        </w:tabs>
        <w:ind w:left="357" w:hanging="357"/>
      </w:pPr>
      <w:rPr>
        <w:rFonts w:ascii="Symbol" w:hAnsi="Symbol" w:hint="default"/>
      </w:rPr>
    </w:lvl>
  </w:abstractNum>
  <w:abstractNum w:abstractNumId="10" w15:restartNumberingAfterBreak="0">
    <w:nsid w:val="27163CD8"/>
    <w:multiLevelType w:val="multilevel"/>
    <w:tmpl w:val="6F56D8AE"/>
    <w:lvl w:ilvl="0">
      <w:start w:val="1"/>
      <w:numFmt w:val="decimal"/>
      <w:lvlText w:val="%1"/>
      <w:lvlJc w:val="left"/>
      <w:pPr>
        <w:tabs>
          <w:tab w:val="num" w:pos="1434"/>
        </w:tabs>
        <w:ind w:left="1434" w:hanging="1008"/>
      </w:pPr>
      <w:rPr>
        <w:rFonts w:hint="default"/>
      </w:rPr>
    </w:lvl>
    <w:lvl w:ilvl="1">
      <w:start w:val="1"/>
      <w:numFmt w:val="decimal"/>
      <w:lvlText w:val="%1.%2"/>
      <w:lvlJc w:val="left"/>
      <w:pPr>
        <w:tabs>
          <w:tab w:val="num" w:pos="1008"/>
        </w:tabs>
        <w:ind w:left="1008" w:hanging="1008"/>
      </w:pPr>
      <w:rPr>
        <w:rFonts w:hint="default"/>
      </w:rPr>
    </w:lvl>
    <w:lvl w:ilvl="2">
      <w:start w:val="1"/>
      <w:numFmt w:val="decimal"/>
      <w:lvlText w:val="%1.%2.%3"/>
      <w:lvlJc w:val="left"/>
      <w:pPr>
        <w:tabs>
          <w:tab w:val="num" w:pos="1008"/>
        </w:tabs>
        <w:ind w:left="1008" w:hanging="1008"/>
      </w:pPr>
      <w:rPr>
        <w:rFonts w:hint="default"/>
      </w:rPr>
    </w:lvl>
    <w:lvl w:ilvl="3">
      <w:start w:val="1"/>
      <w:numFmt w:val="decimal"/>
      <w:lvlText w:val="%1.%2.%3.%4"/>
      <w:lvlJc w:val="left"/>
      <w:pPr>
        <w:tabs>
          <w:tab w:val="num" w:pos="1008"/>
        </w:tabs>
        <w:ind w:left="1008" w:hanging="1008"/>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76759FE"/>
    <w:multiLevelType w:val="hybridMultilevel"/>
    <w:tmpl w:val="92707F76"/>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2B1F7F57"/>
    <w:multiLevelType w:val="singleLevel"/>
    <w:tmpl w:val="19486716"/>
    <w:lvl w:ilvl="0">
      <w:start w:val="1"/>
      <w:numFmt w:val="bullet"/>
      <w:lvlText w:val=""/>
      <w:lvlJc w:val="left"/>
      <w:pPr>
        <w:tabs>
          <w:tab w:val="num" w:pos="357"/>
        </w:tabs>
        <w:ind w:left="357" w:hanging="357"/>
      </w:pPr>
      <w:rPr>
        <w:rFonts w:ascii="Symbol" w:hAnsi="Symbol" w:hint="default"/>
      </w:rPr>
    </w:lvl>
  </w:abstractNum>
  <w:abstractNum w:abstractNumId="13" w15:restartNumberingAfterBreak="0">
    <w:nsid w:val="2B7616CB"/>
    <w:multiLevelType w:val="hybridMultilevel"/>
    <w:tmpl w:val="A13ADB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E2D2AFE"/>
    <w:multiLevelType w:val="singleLevel"/>
    <w:tmpl w:val="19486716"/>
    <w:lvl w:ilvl="0">
      <w:start w:val="1"/>
      <w:numFmt w:val="bullet"/>
      <w:lvlText w:val=""/>
      <w:lvlJc w:val="left"/>
      <w:pPr>
        <w:tabs>
          <w:tab w:val="num" w:pos="357"/>
        </w:tabs>
        <w:ind w:left="357" w:hanging="357"/>
      </w:pPr>
      <w:rPr>
        <w:rFonts w:ascii="Symbol" w:hAnsi="Symbol" w:hint="default"/>
      </w:rPr>
    </w:lvl>
  </w:abstractNum>
  <w:abstractNum w:abstractNumId="15" w15:restartNumberingAfterBreak="0">
    <w:nsid w:val="34136B03"/>
    <w:multiLevelType w:val="hybridMultilevel"/>
    <w:tmpl w:val="36E69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53F7676"/>
    <w:multiLevelType w:val="hybridMultilevel"/>
    <w:tmpl w:val="9D64AE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8F6D52"/>
    <w:multiLevelType w:val="hybridMultilevel"/>
    <w:tmpl w:val="55F03F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357B5D"/>
    <w:multiLevelType w:val="hybridMultilevel"/>
    <w:tmpl w:val="D0D03CD4"/>
    <w:lvl w:ilvl="0" w:tplc="414A2CF2">
      <w:start w:val="9"/>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2F59F3"/>
    <w:multiLevelType w:val="singleLevel"/>
    <w:tmpl w:val="19486716"/>
    <w:lvl w:ilvl="0">
      <w:start w:val="1"/>
      <w:numFmt w:val="bullet"/>
      <w:lvlText w:val=""/>
      <w:lvlJc w:val="left"/>
      <w:pPr>
        <w:tabs>
          <w:tab w:val="num" w:pos="357"/>
        </w:tabs>
        <w:ind w:left="357" w:hanging="357"/>
      </w:pPr>
      <w:rPr>
        <w:rFonts w:ascii="Symbol" w:hAnsi="Symbol" w:hint="default"/>
      </w:rPr>
    </w:lvl>
  </w:abstractNum>
  <w:abstractNum w:abstractNumId="20" w15:restartNumberingAfterBreak="0">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686D1A"/>
    <w:multiLevelType w:val="hybridMultilevel"/>
    <w:tmpl w:val="9D10D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780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147994"/>
    <w:multiLevelType w:val="hybridMultilevel"/>
    <w:tmpl w:val="124067E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C84B5E"/>
    <w:multiLevelType w:val="hybridMultilevel"/>
    <w:tmpl w:val="287A5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
  </w:num>
  <w:num w:numId="4">
    <w:abstractNumId w:val="20"/>
  </w:num>
  <w:num w:numId="5">
    <w:abstractNumId w:val="29"/>
  </w:num>
  <w:num w:numId="6">
    <w:abstractNumId w:val="25"/>
  </w:num>
  <w:num w:numId="7">
    <w:abstractNumId w:val="23"/>
  </w:num>
  <w:num w:numId="8">
    <w:abstractNumId w:val="26"/>
  </w:num>
  <w:num w:numId="9">
    <w:abstractNumId w:val="8"/>
  </w:num>
  <w:num w:numId="10">
    <w:abstractNumId w:val="22"/>
  </w:num>
  <w:num w:numId="11">
    <w:abstractNumId w:val="24"/>
  </w:num>
  <w:num w:numId="12">
    <w:abstractNumId w:val="2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1"/>
  </w:num>
  <w:num w:numId="16">
    <w:abstractNumId w:val="3"/>
  </w:num>
  <w:num w:numId="17">
    <w:abstractNumId w:val="5"/>
  </w:num>
  <w:num w:numId="18">
    <w:abstractNumId w:val="17"/>
  </w:num>
  <w:num w:numId="19">
    <w:abstractNumId w:val="6"/>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7"/>
  </w:num>
  <w:num w:numId="23">
    <w:abstractNumId w:val="11"/>
  </w:num>
  <w:num w:numId="24">
    <w:abstractNumId w:val="27"/>
  </w:num>
  <w:num w:numId="25">
    <w:abstractNumId w:val="16"/>
  </w:num>
  <w:num w:numId="26">
    <w:abstractNumId w:val="15"/>
  </w:num>
  <w:num w:numId="27">
    <w:abstractNumId w:val="9"/>
  </w:num>
  <w:num w:numId="28">
    <w:abstractNumId w:val="28"/>
  </w:num>
  <w:num w:numId="29">
    <w:abstractNumId w:val="10"/>
  </w:num>
  <w:num w:numId="30">
    <w:abstractNumId w:val="0"/>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num>
  <w:num w:numId="44">
    <w:abstractNumId w:val="24"/>
  </w:num>
  <w:num w:numId="45">
    <w:abstractNumId w:val="24"/>
  </w:num>
  <w:num w:numId="46">
    <w:abstractNumId w:val="24"/>
  </w:num>
  <w:num w:numId="47">
    <w:abstractNumId w:val="18"/>
  </w:num>
  <w:num w:numId="48">
    <w:abstractNumId w:val="12"/>
  </w:num>
  <w:num w:numId="49">
    <w:abstractNumId w:val="1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es-ES" w:vendorID="64" w:dllVersion="131078"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92"/>
    <w:rsid w:val="00004569"/>
    <w:rsid w:val="00010B1A"/>
    <w:rsid w:val="0001542A"/>
    <w:rsid w:val="00020B88"/>
    <w:rsid w:val="00021BF3"/>
    <w:rsid w:val="000237F3"/>
    <w:rsid w:val="00023AE8"/>
    <w:rsid w:val="00023F1F"/>
    <w:rsid w:val="000242E5"/>
    <w:rsid w:val="00025881"/>
    <w:rsid w:val="000329BE"/>
    <w:rsid w:val="000354D8"/>
    <w:rsid w:val="0005196F"/>
    <w:rsid w:val="0005614E"/>
    <w:rsid w:val="00057818"/>
    <w:rsid w:val="000640E5"/>
    <w:rsid w:val="0006695C"/>
    <w:rsid w:val="000703E2"/>
    <w:rsid w:val="00072CE8"/>
    <w:rsid w:val="000813D1"/>
    <w:rsid w:val="00082480"/>
    <w:rsid w:val="0008739A"/>
    <w:rsid w:val="00090B59"/>
    <w:rsid w:val="000910BC"/>
    <w:rsid w:val="00097A02"/>
    <w:rsid w:val="00097C0A"/>
    <w:rsid w:val="000A3CD3"/>
    <w:rsid w:val="000B0B0A"/>
    <w:rsid w:val="000C4A11"/>
    <w:rsid w:val="000C675B"/>
    <w:rsid w:val="000E7A20"/>
    <w:rsid w:val="000F56BB"/>
    <w:rsid w:val="001021BE"/>
    <w:rsid w:val="001076F7"/>
    <w:rsid w:val="00113790"/>
    <w:rsid w:val="00124391"/>
    <w:rsid w:val="00124540"/>
    <w:rsid w:val="0012484D"/>
    <w:rsid w:val="00124A4D"/>
    <w:rsid w:val="00125CBA"/>
    <w:rsid w:val="0013166A"/>
    <w:rsid w:val="0013490E"/>
    <w:rsid w:val="001414EC"/>
    <w:rsid w:val="001472AF"/>
    <w:rsid w:val="00147AAE"/>
    <w:rsid w:val="001520C6"/>
    <w:rsid w:val="0016038E"/>
    <w:rsid w:val="001603B3"/>
    <w:rsid w:val="00167033"/>
    <w:rsid w:val="001703F5"/>
    <w:rsid w:val="00184637"/>
    <w:rsid w:val="00192543"/>
    <w:rsid w:val="00193F07"/>
    <w:rsid w:val="001A2207"/>
    <w:rsid w:val="001A3359"/>
    <w:rsid w:val="001A3992"/>
    <w:rsid w:val="001B1FCD"/>
    <w:rsid w:val="001C0451"/>
    <w:rsid w:val="001C4469"/>
    <w:rsid w:val="001D2C47"/>
    <w:rsid w:val="001D703B"/>
    <w:rsid w:val="001E0DB4"/>
    <w:rsid w:val="001E2846"/>
    <w:rsid w:val="001E6011"/>
    <w:rsid w:val="001F4088"/>
    <w:rsid w:val="0020577E"/>
    <w:rsid w:val="00206016"/>
    <w:rsid w:val="00212FB1"/>
    <w:rsid w:val="00213FD5"/>
    <w:rsid w:val="0022141A"/>
    <w:rsid w:val="00247D3E"/>
    <w:rsid w:val="00253D7C"/>
    <w:rsid w:val="00256058"/>
    <w:rsid w:val="002630ED"/>
    <w:rsid w:val="00272A86"/>
    <w:rsid w:val="00274325"/>
    <w:rsid w:val="00282A1F"/>
    <w:rsid w:val="002911FE"/>
    <w:rsid w:val="00297A18"/>
    <w:rsid w:val="002B1FCB"/>
    <w:rsid w:val="002B606B"/>
    <w:rsid w:val="002C3B84"/>
    <w:rsid w:val="002C4672"/>
    <w:rsid w:val="002C7B56"/>
    <w:rsid w:val="002D07A3"/>
    <w:rsid w:val="002D5871"/>
    <w:rsid w:val="002E277D"/>
    <w:rsid w:val="002E4CC9"/>
    <w:rsid w:val="002E5230"/>
    <w:rsid w:val="002E6BF6"/>
    <w:rsid w:val="002F1E47"/>
    <w:rsid w:val="002F475F"/>
    <w:rsid w:val="002F5D9E"/>
    <w:rsid w:val="002F5FD4"/>
    <w:rsid w:val="003028BF"/>
    <w:rsid w:val="003164E0"/>
    <w:rsid w:val="003165C5"/>
    <w:rsid w:val="003241EA"/>
    <w:rsid w:val="00330D1F"/>
    <w:rsid w:val="00333A04"/>
    <w:rsid w:val="00340E86"/>
    <w:rsid w:val="003418E5"/>
    <w:rsid w:val="003506F2"/>
    <w:rsid w:val="00351695"/>
    <w:rsid w:val="00353978"/>
    <w:rsid w:val="0035682E"/>
    <w:rsid w:val="00367772"/>
    <w:rsid w:val="00371153"/>
    <w:rsid w:val="0037208D"/>
    <w:rsid w:val="00373102"/>
    <w:rsid w:val="00376702"/>
    <w:rsid w:val="003775C7"/>
    <w:rsid w:val="00394C2A"/>
    <w:rsid w:val="00395DF2"/>
    <w:rsid w:val="003A2619"/>
    <w:rsid w:val="003A30D1"/>
    <w:rsid w:val="003A5E31"/>
    <w:rsid w:val="003B15C9"/>
    <w:rsid w:val="003C15BC"/>
    <w:rsid w:val="003D3F2A"/>
    <w:rsid w:val="003F0C23"/>
    <w:rsid w:val="003F4210"/>
    <w:rsid w:val="003F4D90"/>
    <w:rsid w:val="003F5AED"/>
    <w:rsid w:val="003F6D16"/>
    <w:rsid w:val="004032BD"/>
    <w:rsid w:val="00412812"/>
    <w:rsid w:val="00417EAA"/>
    <w:rsid w:val="00431ACD"/>
    <w:rsid w:val="0043628A"/>
    <w:rsid w:val="0043774C"/>
    <w:rsid w:val="0044524F"/>
    <w:rsid w:val="00457C40"/>
    <w:rsid w:val="004620E8"/>
    <w:rsid w:val="00462710"/>
    <w:rsid w:val="00462FD0"/>
    <w:rsid w:val="0047444C"/>
    <w:rsid w:val="004816F7"/>
    <w:rsid w:val="00497C85"/>
    <w:rsid w:val="004A06AB"/>
    <w:rsid w:val="004A0788"/>
    <w:rsid w:val="004A2465"/>
    <w:rsid w:val="004C0272"/>
    <w:rsid w:val="004C151B"/>
    <w:rsid w:val="004C36A3"/>
    <w:rsid w:val="004C6167"/>
    <w:rsid w:val="004C7365"/>
    <w:rsid w:val="004E2907"/>
    <w:rsid w:val="004E505F"/>
    <w:rsid w:val="004F34B0"/>
    <w:rsid w:val="004F53D6"/>
    <w:rsid w:val="004F5ADC"/>
    <w:rsid w:val="00503ABE"/>
    <w:rsid w:val="00505132"/>
    <w:rsid w:val="0050597C"/>
    <w:rsid w:val="00511F60"/>
    <w:rsid w:val="00512BA0"/>
    <w:rsid w:val="00521C4B"/>
    <w:rsid w:val="00524A16"/>
    <w:rsid w:val="00530EBE"/>
    <w:rsid w:val="0054357C"/>
    <w:rsid w:val="00545C3F"/>
    <w:rsid w:val="00557ABA"/>
    <w:rsid w:val="0056614B"/>
    <w:rsid w:val="00574824"/>
    <w:rsid w:val="00577B39"/>
    <w:rsid w:val="0058033B"/>
    <w:rsid w:val="005854D8"/>
    <w:rsid w:val="00592D1E"/>
    <w:rsid w:val="005A0A7A"/>
    <w:rsid w:val="005A79A2"/>
    <w:rsid w:val="005C4021"/>
    <w:rsid w:val="005C4D15"/>
    <w:rsid w:val="005D0E65"/>
    <w:rsid w:val="005E6B9F"/>
    <w:rsid w:val="005F556A"/>
    <w:rsid w:val="005F67EA"/>
    <w:rsid w:val="005F7E64"/>
    <w:rsid w:val="0061268F"/>
    <w:rsid w:val="00626B66"/>
    <w:rsid w:val="00655CE2"/>
    <w:rsid w:val="006702EF"/>
    <w:rsid w:val="00672D33"/>
    <w:rsid w:val="00673C3F"/>
    <w:rsid w:val="00677EC9"/>
    <w:rsid w:val="0068516D"/>
    <w:rsid w:val="00690FDD"/>
    <w:rsid w:val="00697E7F"/>
    <w:rsid w:val="006A29F4"/>
    <w:rsid w:val="006A5E96"/>
    <w:rsid w:val="006A6FCF"/>
    <w:rsid w:val="006A72CB"/>
    <w:rsid w:val="006B22D1"/>
    <w:rsid w:val="006B42AE"/>
    <w:rsid w:val="006B5C41"/>
    <w:rsid w:val="006C282A"/>
    <w:rsid w:val="006C7191"/>
    <w:rsid w:val="006D1E5A"/>
    <w:rsid w:val="006D357C"/>
    <w:rsid w:val="006D6560"/>
    <w:rsid w:val="006D6733"/>
    <w:rsid w:val="006D6F1E"/>
    <w:rsid w:val="006E7836"/>
    <w:rsid w:val="006F27F8"/>
    <w:rsid w:val="006F4984"/>
    <w:rsid w:val="00703303"/>
    <w:rsid w:val="0071341E"/>
    <w:rsid w:val="0071362E"/>
    <w:rsid w:val="00714AC8"/>
    <w:rsid w:val="00724AC7"/>
    <w:rsid w:val="00733D88"/>
    <w:rsid w:val="007346E1"/>
    <w:rsid w:val="00742C11"/>
    <w:rsid w:val="007455DB"/>
    <w:rsid w:val="0075422A"/>
    <w:rsid w:val="00754A62"/>
    <w:rsid w:val="00754C9D"/>
    <w:rsid w:val="00755F00"/>
    <w:rsid w:val="007566CC"/>
    <w:rsid w:val="007627F2"/>
    <w:rsid w:val="00767457"/>
    <w:rsid w:val="0077229D"/>
    <w:rsid w:val="007858F0"/>
    <w:rsid w:val="00786A52"/>
    <w:rsid w:val="007877D5"/>
    <w:rsid w:val="00791A60"/>
    <w:rsid w:val="007A2F8A"/>
    <w:rsid w:val="007C0094"/>
    <w:rsid w:val="007C7DA6"/>
    <w:rsid w:val="007D1FA3"/>
    <w:rsid w:val="007E4AF0"/>
    <w:rsid w:val="007E693C"/>
    <w:rsid w:val="007F45C2"/>
    <w:rsid w:val="007F51C6"/>
    <w:rsid w:val="0081558E"/>
    <w:rsid w:val="00822BF0"/>
    <w:rsid w:val="008260E5"/>
    <w:rsid w:val="008302EB"/>
    <w:rsid w:val="008346B7"/>
    <w:rsid w:val="008349DE"/>
    <w:rsid w:val="00835935"/>
    <w:rsid w:val="008413CF"/>
    <w:rsid w:val="008433FB"/>
    <w:rsid w:val="00844E45"/>
    <w:rsid w:val="00860D6B"/>
    <w:rsid w:val="0086472C"/>
    <w:rsid w:val="0086583F"/>
    <w:rsid w:val="00866388"/>
    <w:rsid w:val="00871145"/>
    <w:rsid w:val="008A42F5"/>
    <w:rsid w:val="008A66CF"/>
    <w:rsid w:val="008A6C7A"/>
    <w:rsid w:val="008A7965"/>
    <w:rsid w:val="008B3BB5"/>
    <w:rsid w:val="008B5576"/>
    <w:rsid w:val="008B5A7D"/>
    <w:rsid w:val="008C0E09"/>
    <w:rsid w:val="008D2025"/>
    <w:rsid w:val="008E247E"/>
    <w:rsid w:val="008E6F80"/>
    <w:rsid w:val="00900AF7"/>
    <w:rsid w:val="00904D71"/>
    <w:rsid w:val="00907237"/>
    <w:rsid w:val="00907AD8"/>
    <w:rsid w:val="00914388"/>
    <w:rsid w:val="009156E8"/>
    <w:rsid w:val="009303C3"/>
    <w:rsid w:val="00951C28"/>
    <w:rsid w:val="009608E9"/>
    <w:rsid w:val="00960CD5"/>
    <w:rsid w:val="00961F70"/>
    <w:rsid w:val="009625FE"/>
    <w:rsid w:val="00966B21"/>
    <w:rsid w:val="00980ECC"/>
    <w:rsid w:val="009810F4"/>
    <w:rsid w:val="0098156C"/>
    <w:rsid w:val="00982D3F"/>
    <w:rsid w:val="00984CEE"/>
    <w:rsid w:val="0098570B"/>
    <w:rsid w:val="009908D8"/>
    <w:rsid w:val="009A7D08"/>
    <w:rsid w:val="009B615A"/>
    <w:rsid w:val="009B6427"/>
    <w:rsid w:val="009B727A"/>
    <w:rsid w:val="009C540B"/>
    <w:rsid w:val="009D07EB"/>
    <w:rsid w:val="009D133A"/>
    <w:rsid w:val="009D1AED"/>
    <w:rsid w:val="009E1CC2"/>
    <w:rsid w:val="009F0E42"/>
    <w:rsid w:val="00A010D3"/>
    <w:rsid w:val="00A108FB"/>
    <w:rsid w:val="00A11DC3"/>
    <w:rsid w:val="00A1224B"/>
    <w:rsid w:val="00A1560D"/>
    <w:rsid w:val="00A2408C"/>
    <w:rsid w:val="00A257C0"/>
    <w:rsid w:val="00A2648E"/>
    <w:rsid w:val="00A27D7E"/>
    <w:rsid w:val="00A40CEA"/>
    <w:rsid w:val="00A423C6"/>
    <w:rsid w:val="00A6074F"/>
    <w:rsid w:val="00A64987"/>
    <w:rsid w:val="00A66DFA"/>
    <w:rsid w:val="00A72C13"/>
    <w:rsid w:val="00A74FCA"/>
    <w:rsid w:val="00A8009B"/>
    <w:rsid w:val="00A84159"/>
    <w:rsid w:val="00A85630"/>
    <w:rsid w:val="00A90114"/>
    <w:rsid w:val="00A93A76"/>
    <w:rsid w:val="00A96B27"/>
    <w:rsid w:val="00AB2973"/>
    <w:rsid w:val="00AB3537"/>
    <w:rsid w:val="00AB6D7B"/>
    <w:rsid w:val="00AC3297"/>
    <w:rsid w:val="00AC40B4"/>
    <w:rsid w:val="00AD734A"/>
    <w:rsid w:val="00AE137B"/>
    <w:rsid w:val="00AE657B"/>
    <w:rsid w:val="00AF46A0"/>
    <w:rsid w:val="00AF4E63"/>
    <w:rsid w:val="00AF5503"/>
    <w:rsid w:val="00B02EC3"/>
    <w:rsid w:val="00B04744"/>
    <w:rsid w:val="00B06B96"/>
    <w:rsid w:val="00B22049"/>
    <w:rsid w:val="00B23759"/>
    <w:rsid w:val="00B24809"/>
    <w:rsid w:val="00B25248"/>
    <w:rsid w:val="00B3321F"/>
    <w:rsid w:val="00B350C0"/>
    <w:rsid w:val="00B40634"/>
    <w:rsid w:val="00B43EAF"/>
    <w:rsid w:val="00B52008"/>
    <w:rsid w:val="00B61A8B"/>
    <w:rsid w:val="00B635C0"/>
    <w:rsid w:val="00B77816"/>
    <w:rsid w:val="00B77E37"/>
    <w:rsid w:val="00B80E56"/>
    <w:rsid w:val="00B94192"/>
    <w:rsid w:val="00B94F93"/>
    <w:rsid w:val="00B95A3F"/>
    <w:rsid w:val="00B974E9"/>
    <w:rsid w:val="00BA094B"/>
    <w:rsid w:val="00BB2D19"/>
    <w:rsid w:val="00BB46BA"/>
    <w:rsid w:val="00BC6DA9"/>
    <w:rsid w:val="00BD69F4"/>
    <w:rsid w:val="00BE7FD1"/>
    <w:rsid w:val="00C03461"/>
    <w:rsid w:val="00C104FD"/>
    <w:rsid w:val="00C10956"/>
    <w:rsid w:val="00C119E0"/>
    <w:rsid w:val="00C12690"/>
    <w:rsid w:val="00C135A5"/>
    <w:rsid w:val="00C227CD"/>
    <w:rsid w:val="00C27E32"/>
    <w:rsid w:val="00C31DA7"/>
    <w:rsid w:val="00C34100"/>
    <w:rsid w:val="00C40E8A"/>
    <w:rsid w:val="00C42393"/>
    <w:rsid w:val="00C5093D"/>
    <w:rsid w:val="00C55AEF"/>
    <w:rsid w:val="00C57267"/>
    <w:rsid w:val="00C6319D"/>
    <w:rsid w:val="00C6506A"/>
    <w:rsid w:val="00C650CF"/>
    <w:rsid w:val="00C73D3A"/>
    <w:rsid w:val="00C73D6B"/>
    <w:rsid w:val="00C947A4"/>
    <w:rsid w:val="00C96994"/>
    <w:rsid w:val="00CA0576"/>
    <w:rsid w:val="00CA1F18"/>
    <w:rsid w:val="00CA1F8F"/>
    <w:rsid w:val="00CA6CCF"/>
    <w:rsid w:val="00CB0A7D"/>
    <w:rsid w:val="00CB5E8E"/>
    <w:rsid w:val="00CC4EB2"/>
    <w:rsid w:val="00CC78C5"/>
    <w:rsid w:val="00CD2BEB"/>
    <w:rsid w:val="00CE20CB"/>
    <w:rsid w:val="00CF6F73"/>
    <w:rsid w:val="00D0095D"/>
    <w:rsid w:val="00D01761"/>
    <w:rsid w:val="00D01EB6"/>
    <w:rsid w:val="00D125DE"/>
    <w:rsid w:val="00D20C41"/>
    <w:rsid w:val="00D26EC6"/>
    <w:rsid w:val="00D3115F"/>
    <w:rsid w:val="00D35965"/>
    <w:rsid w:val="00D37D38"/>
    <w:rsid w:val="00D44BA0"/>
    <w:rsid w:val="00D45099"/>
    <w:rsid w:val="00D52CE3"/>
    <w:rsid w:val="00D63F42"/>
    <w:rsid w:val="00D76AA9"/>
    <w:rsid w:val="00D834B1"/>
    <w:rsid w:val="00D85277"/>
    <w:rsid w:val="00D86B64"/>
    <w:rsid w:val="00D926FD"/>
    <w:rsid w:val="00DA1CD8"/>
    <w:rsid w:val="00DA2E46"/>
    <w:rsid w:val="00DA5A69"/>
    <w:rsid w:val="00DB3AE8"/>
    <w:rsid w:val="00DC2111"/>
    <w:rsid w:val="00DC3255"/>
    <w:rsid w:val="00DC4A2E"/>
    <w:rsid w:val="00DC7A21"/>
    <w:rsid w:val="00DD1E5A"/>
    <w:rsid w:val="00DD3737"/>
    <w:rsid w:val="00DD3B1C"/>
    <w:rsid w:val="00DD49CA"/>
    <w:rsid w:val="00DD64F5"/>
    <w:rsid w:val="00DE3BC9"/>
    <w:rsid w:val="00DF5E99"/>
    <w:rsid w:val="00DF625A"/>
    <w:rsid w:val="00DF655B"/>
    <w:rsid w:val="00E02A4B"/>
    <w:rsid w:val="00E1362D"/>
    <w:rsid w:val="00E20349"/>
    <w:rsid w:val="00E232D6"/>
    <w:rsid w:val="00E30F42"/>
    <w:rsid w:val="00E32595"/>
    <w:rsid w:val="00E35C14"/>
    <w:rsid w:val="00E40108"/>
    <w:rsid w:val="00E67502"/>
    <w:rsid w:val="00E74A56"/>
    <w:rsid w:val="00E754C4"/>
    <w:rsid w:val="00E7649D"/>
    <w:rsid w:val="00E83219"/>
    <w:rsid w:val="00E84E6E"/>
    <w:rsid w:val="00E86D0D"/>
    <w:rsid w:val="00E97871"/>
    <w:rsid w:val="00EA3164"/>
    <w:rsid w:val="00EB0EA3"/>
    <w:rsid w:val="00EB2484"/>
    <w:rsid w:val="00EB2D5A"/>
    <w:rsid w:val="00ED0080"/>
    <w:rsid w:val="00ED0937"/>
    <w:rsid w:val="00EE366A"/>
    <w:rsid w:val="00EE421D"/>
    <w:rsid w:val="00EE6413"/>
    <w:rsid w:val="00F05622"/>
    <w:rsid w:val="00F05843"/>
    <w:rsid w:val="00F05925"/>
    <w:rsid w:val="00F12AE5"/>
    <w:rsid w:val="00F14DD5"/>
    <w:rsid w:val="00F15667"/>
    <w:rsid w:val="00F2317B"/>
    <w:rsid w:val="00F25D82"/>
    <w:rsid w:val="00F52032"/>
    <w:rsid w:val="00F62A4F"/>
    <w:rsid w:val="00F76296"/>
    <w:rsid w:val="00F82E88"/>
    <w:rsid w:val="00F84EA0"/>
    <w:rsid w:val="00F878DF"/>
    <w:rsid w:val="00F9049D"/>
    <w:rsid w:val="00F96E07"/>
    <w:rsid w:val="00FA0EF2"/>
    <w:rsid w:val="00FC0980"/>
    <w:rsid w:val="00FC1162"/>
    <w:rsid w:val="00FC1C14"/>
    <w:rsid w:val="00FC7DD1"/>
    <w:rsid w:val="00FD3682"/>
    <w:rsid w:val="00FD3E37"/>
    <w:rsid w:val="00FD4CE2"/>
    <w:rsid w:val="00FD61E5"/>
    <w:rsid w:val="00FD6A17"/>
    <w:rsid w:val="00FD6A5E"/>
    <w:rsid w:val="00FE59EB"/>
    <w:rsid w:val="00FF0F5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DA981"/>
  <w15:docId w15:val="{53377FE0-8D71-4BF1-B288-6F67A5E8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nhideWhenUsed/>
    <w:qFormat/>
    <w:rsid w:val="001A3992"/>
    <w:pPr>
      <w:numPr>
        <w:ilvl w:val="1"/>
        <w:numId w:val="1"/>
      </w:numPr>
      <w:spacing w:before="240"/>
      <w:outlineLvl w:val="1"/>
    </w:pPr>
    <w:rPr>
      <w:rFonts w:asciiTheme="majorHAnsi" w:hAnsiTheme="majorHAnsi"/>
      <w:b/>
      <w:smallCaps/>
      <w:sz w:val="24"/>
    </w:rPr>
  </w:style>
  <w:style w:type="paragraph" w:styleId="Heading3">
    <w:name w:val="heading 3"/>
    <w:basedOn w:val="Normal"/>
    <w:next w:val="Normal"/>
    <w:link w:val="Heading3Char"/>
    <w:unhideWhenUsed/>
    <w:qFormat/>
    <w:rsid w:val="001A3992"/>
    <w:pPr>
      <w:keepNext/>
      <w:keepLines/>
      <w:spacing w:before="200" w:after="0"/>
      <w:ind w:left="227"/>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1A399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DO NOT USE"/>
    <w:basedOn w:val="Normal"/>
    <w:next w:val="Normal"/>
    <w:link w:val="Heading5Char"/>
    <w:unhideWhenUsed/>
    <w:qFormat/>
    <w:rsid w:val="001A399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1A3992"/>
    <w:rPr>
      <w:rFonts w:asciiTheme="majorHAnsi" w:hAnsiTheme="majorHAnsi"/>
      <w:b/>
      <w:smallCaps/>
      <w:sz w:val="24"/>
    </w:rPr>
  </w:style>
  <w:style w:type="character" w:customStyle="1" w:styleId="Heading3Char">
    <w:name w:val="Heading 3 Char"/>
    <w:basedOn w:val="DefaultParagraphFont"/>
    <w:link w:val="Heading3"/>
    <w:uiPriority w:val="9"/>
    <w:rsid w:val="001A39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A3992"/>
    <w:rPr>
      <w:rFonts w:asciiTheme="majorHAnsi" w:eastAsiaTheme="majorEastAsia" w:hAnsiTheme="majorHAnsi" w:cstheme="majorBidi"/>
      <w:b/>
      <w:bCs/>
      <w:i/>
      <w:iCs/>
      <w:color w:val="4F81BD" w:themeColor="accent1"/>
    </w:rPr>
  </w:style>
  <w:style w:type="character" w:customStyle="1" w:styleId="Heading5Char">
    <w:name w:val="Heading 5 Char"/>
    <w:aliases w:val="DO NOT USE Char"/>
    <w:basedOn w:val="DefaultParagraphFont"/>
    <w:link w:val="Heading5"/>
    <w:uiPriority w:val="99"/>
    <w:rsid w:val="001A399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Comment Text Char1 Char,Comment Text Char Char Char,Comment Text Char1"/>
    <w:basedOn w:val="Normal"/>
    <w:link w:val="CommentTextChar"/>
    <w:uiPriority w:val="99"/>
    <w:unhideWhenUsed/>
    <w:rsid w:val="001A3992"/>
    <w:pPr>
      <w:spacing w:line="240" w:lineRule="auto"/>
    </w:pPr>
    <w:rPr>
      <w:rFonts w:ascii="Cambria" w:hAnsi="Cambria"/>
      <w:sz w:val="20"/>
      <w:szCs w:val="20"/>
    </w:rPr>
  </w:style>
  <w:style w:type="character" w:customStyle="1" w:styleId="CommentTextChar">
    <w:name w:val="Comment Text Char"/>
    <w:aliases w:val="Comment Text Char1 Char Char,Comment Text Char Char Char Char,Comment Text Char1 Char1"/>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iPriority w:val="99"/>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Header">
    <w:name w:val="header"/>
    <w:basedOn w:val="Normal"/>
    <w:link w:val="HeaderChar"/>
    <w:uiPriority w:val="99"/>
    <w:unhideWhenUsed/>
    <w:rsid w:val="00CA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CCF"/>
  </w:style>
  <w:style w:type="character" w:styleId="Emphasis">
    <w:name w:val="Emphasis"/>
    <w:basedOn w:val="DefaultParagraphFont"/>
    <w:qFormat/>
    <w:rsid w:val="008A42F5"/>
    <w:rPr>
      <w:i/>
      <w:iCs/>
    </w:rPr>
  </w:style>
  <w:style w:type="paragraph" w:customStyle="1" w:styleId="Text">
    <w:name w:val="Text"/>
    <w:aliases w:val="Graphic,Graphic Char Char,Graphic Char Char Char Char Char,Graphic Char Char Char Char Char Char Char C"/>
    <w:basedOn w:val="Normal"/>
    <w:link w:val="TextChar"/>
    <w:qFormat/>
    <w:rsid w:val="00AF4E63"/>
    <w:pPr>
      <w:widowControl w:val="0"/>
      <w:autoSpaceDE w:val="0"/>
      <w:autoSpaceDN w:val="0"/>
      <w:adjustRightInd w:val="0"/>
      <w:spacing w:after="0" w:line="240" w:lineRule="auto"/>
    </w:pPr>
    <w:rPr>
      <w:rFonts w:ascii="Times New Roman" w:eastAsia="Times New Roman" w:hAnsi="Times New Roman" w:cs="Times New Roman"/>
      <w:sz w:val="24"/>
      <w:szCs w:val="20"/>
      <w:lang w:bidi="th-TH"/>
    </w:rPr>
  </w:style>
  <w:style w:type="paragraph" w:customStyle="1" w:styleId="Table">
    <w:name w:val="Table"/>
    <w:aliases w:val="10 pt  Bold,9 pt,10 pt,9 pt Char Char,Normal + (Latin) Arial,(Complex) Arial,table text 10 pt + Arial,Bold,Normal + Courier New,9pt,9,After:  1 pt,Line spacing:  Exactly 9 pt"/>
    <w:basedOn w:val="Normal"/>
    <w:link w:val="TableChar"/>
    <w:autoRedefine/>
    <w:qFormat/>
    <w:rsid w:val="00E1362D"/>
    <w:pPr>
      <w:keepLines/>
      <w:widowControl w:val="0"/>
      <w:tabs>
        <w:tab w:val="left" w:pos="284"/>
      </w:tabs>
      <w:autoSpaceDE w:val="0"/>
      <w:autoSpaceDN w:val="0"/>
      <w:adjustRightInd w:val="0"/>
      <w:spacing w:before="20" w:after="20" w:line="240" w:lineRule="auto"/>
      <w:ind w:left="224" w:firstLine="22"/>
    </w:pPr>
    <w:rPr>
      <w:rFonts w:ascii="Arial" w:eastAsia="SimSun" w:hAnsi="Arial" w:cs="Arial"/>
      <w:b/>
      <w:bCs/>
      <w:sz w:val="18"/>
      <w:szCs w:val="19"/>
      <w:lang w:eastAsia="zh-CN" w:bidi="th-TH"/>
    </w:rPr>
  </w:style>
  <w:style w:type="character" w:customStyle="1" w:styleId="TextChar">
    <w:name w:val="Text Char"/>
    <w:basedOn w:val="DefaultParagraphFont"/>
    <w:link w:val="Text"/>
    <w:locked/>
    <w:rsid w:val="00AF4E63"/>
    <w:rPr>
      <w:rFonts w:ascii="Times New Roman" w:eastAsia="Times New Roman" w:hAnsi="Times New Roman" w:cs="Times New Roman"/>
      <w:sz w:val="24"/>
      <w:szCs w:val="20"/>
      <w:lang w:bidi="th-TH"/>
    </w:rPr>
  </w:style>
  <w:style w:type="table" w:styleId="TableGrid">
    <w:name w:val="Table Grid"/>
    <w:basedOn w:val="TableNormal"/>
    <w:uiPriority w:val="59"/>
    <w:rsid w:val="00AF4E63"/>
    <w:pPr>
      <w:spacing w:after="8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har">
    <w:name w:val="Table Char"/>
    <w:aliases w:val="10 pt  Bold Char,9 pt Char,10 pt Char,9pt Char,9 Char,8 pt Char,bold Char"/>
    <w:basedOn w:val="DefaultParagraphFont"/>
    <w:link w:val="Table"/>
    <w:locked/>
    <w:rsid w:val="00E1362D"/>
    <w:rPr>
      <w:rFonts w:ascii="Arial" w:eastAsia="SimSun" w:hAnsi="Arial" w:cs="Arial"/>
      <w:b/>
      <w:bCs/>
      <w:sz w:val="18"/>
      <w:szCs w:val="19"/>
      <w:lang w:eastAsia="zh-CN" w:bidi="th-TH"/>
    </w:rPr>
  </w:style>
  <w:style w:type="character" w:styleId="PageNumber">
    <w:name w:val="page number"/>
    <w:basedOn w:val="DefaultParagraphFont"/>
    <w:uiPriority w:val="99"/>
    <w:rsid w:val="00F62A4F"/>
    <w:rPr>
      <w:rFonts w:cs="Times New Roman"/>
    </w:rPr>
  </w:style>
  <w:style w:type="table" w:customStyle="1" w:styleId="TableGrid4">
    <w:name w:val="Table Grid4"/>
    <w:basedOn w:val="TableNormal"/>
    <w:next w:val="TableGrid"/>
    <w:uiPriority w:val="59"/>
    <w:rsid w:val="00F62A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E421D"/>
    <w:rPr>
      <w:rFonts w:asciiTheme="minorHAnsi" w:hAnsiTheme="minorHAnsi"/>
      <w:b/>
      <w:bCs/>
    </w:rPr>
  </w:style>
  <w:style w:type="character" w:customStyle="1" w:styleId="CommentSubjectChar">
    <w:name w:val="Comment Subject Char"/>
    <w:basedOn w:val="CommentTextChar"/>
    <w:link w:val="CommentSubject"/>
    <w:uiPriority w:val="99"/>
    <w:semiHidden/>
    <w:rsid w:val="00EE421D"/>
    <w:rPr>
      <w:rFonts w:ascii="Cambria" w:hAnsi="Cambria"/>
      <w:b/>
      <w:bCs/>
      <w:sz w:val="20"/>
      <w:szCs w:val="20"/>
    </w:rPr>
  </w:style>
  <w:style w:type="paragraph" w:customStyle="1" w:styleId="Nottoc-headings">
    <w:name w:val="Not toc-headings"/>
    <w:basedOn w:val="Normal"/>
    <w:next w:val="Text"/>
    <w:link w:val="Nottoc-headingsChar"/>
    <w:rsid w:val="00EE421D"/>
    <w:pPr>
      <w:keepNext/>
      <w:keepLines/>
      <w:widowControl w:val="0"/>
      <w:autoSpaceDE w:val="0"/>
      <w:autoSpaceDN w:val="0"/>
      <w:adjustRightInd w:val="0"/>
      <w:spacing w:before="240" w:after="60" w:line="240" w:lineRule="auto"/>
      <w:ind w:left="1701" w:hanging="1701"/>
    </w:pPr>
    <w:rPr>
      <w:rFonts w:ascii="Arial" w:eastAsia="Times New Roman" w:hAnsi="Arial" w:cs="Times New Roman"/>
      <w:sz w:val="24"/>
      <w:szCs w:val="20"/>
      <w:lang w:bidi="th-TH"/>
    </w:rPr>
  </w:style>
  <w:style w:type="character" w:customStyle="1" w:styleId="Nottoc-headingsChar">
    <w:name w:val="Not toc-headings Char"/>
    <w:basedOn w:val="DefaultParagraphFont"/>
    <w:link w:val="Nottoc-headings"/>
    <w:locked/>
    <w:rsid w:val="00EE421D"/>
    <w:rPr>
      <w:rFonts w:ascii="Arial" w:eastAsia="Times New Roman" w:hAnsi="Arial" w:cs="Times New Roman"/>
      <w:sz w:val="24"/>
      <w:szCs w:val="20"/>
      <w:lang w:bidi="th-TH"/>
    </w:rPr>
  </w:style>
  <w:style w:type="paragraph" w:styleId="Revision">
    <w:name w:val="Revision"/>
    <w:hidden/>
    <w:uiPriority w:val="99"/>
    <w:semiHidden/>
    <w:rsid w:val="00010B1A"/>
    <w:pPr>
      <w:spacing w:after="0" w:line="240" w:lineRule="auto"/>
    </w:pPr>
  </w:style>
  <w:style w:type="paragraph" w:customStyle="1" w:styleId="Default">
    <w:name w:val="Default"/>
    <w:rsid w:val="00253D7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gend">
    <w:name w:val="Legend"/>
    <w:basedOn w:val="Table"/>
    <w:rsid w:val="00AC3297"/>
    <w:pPr>
      <w:spacing w:before="40"/>
      <w:ind w:left="0" w:firstLine="0"/>
    </w:pPr>
    <w:rPr>
      <w:rFonts w:eastAsia="MS Mincho"/>
      <w:b w:val="0"/>
      <w:sz w:val="20"/>
      <w:lang w:eastAsia="en-US"/>
    </w:rPr>
  </w:style>
  <w:style w:type="paragraph" w:customStyle="1" w:styleId="Listlevel1">
    <w:name w:val="List level 1"/>
    <w:basedOn w:val="Normal"/>
    <w:link w:val="Listlevel1Char"/>
    <w:rsid w:val="00BB46BA"/>
    <w:pPr>
      <w:spacing w:before="40" w:after="0" w:line="240" w:lineRule="auto"/>
      <w:ind w:left="425" w:hanging="425"/>
    </w:pPr>
    <w:rPr>
      <w:rFonts w:ascii="Times New Roman" w:eastAsia="MS Mincho" w:hAnsi="Times New Roman" w:cs="Times New Roman"/>
      <w:sz w:val="24"/>
      <w:szCs w:val="20"/>
      <w:lang w:val="en-US" w:eastAsia="zh-CN"/>
    </w:rPr>
  </w:style>
  <w:style w:type="character" w:customStyle="1" w:styleId="Listlevel1Char">
    <w:name w:val="List level 1 Char"/>
    <w:link w:val="Listlevel1"/>
    <w:locked/>
    <w:rsid w:val="00BB46BA"/>
    <w:rPr>
      <w:rFonts w:ascii="Times New Roman" w:eastAsia="MS Mincho" w:hAnsi="Times New Roman" w:cs="Times New Roman"/>
      <w:sz w:val="24"/>
      <w:szCs w:val="20"/>
      <w:lang w:val="en-US" w:eastAsia="zh-CN"/>
    </w:rPr>
  </w:style>
  <w:style w:type="table" w:customStyle="1" w:styleId="TableGrid5">
    <w:name w:val="Table Grid5"/>
    <w:basedOn w:val="TableNormal"/>
    <w:next w:val="TableGrid"/>
    <w:uiPriority w:val="59"/>
    <w:rsid w:val="001603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06F2"/>
    <w:pPr>
      <w:spacing w:after="0" w:line="240" w:lineRule="auto"/>
    </w:pPr>
  </w:style>
  <w:style w:type="paragraph" w:customStyle="1" w:styleId="Firstpageinfo">
    <w:name w:val="Firstpageinfo"/>
    <w:basedOn w:val="Heading5"/>
    <w:link w:val="FirstpageinfoChar"/>
    <w:rsid w:val="00192543"/>
    <w:pPr>
      <w:numPr>
        <w:ilvl w:val="0"/>
        <w:numId w:val="0"/>
      </w:numPr>
      <w:spacing w:before="240" w:line="240" w:lineRule="auto"/>
      <w:outlineLvl w:val="9"/>
    </w:pPr>
    <w:rPr>
      <w:rFonts w:ascii="Arial" w:eastAsia="MS Gothic" w:hAnsi="Arial" w:cs="Arial"/>
      <w:color w:val="auto"/>
      <w:sz w:val="24"/>
      <w:szCs w:val="20"/>
      <w:lang w:val="en-US" w:eastAsia="zh-CN"/>
    </w:rPr>
  </w:style>
  <w:style w:type="character" w:customStyle="1" w:styleId="FirstpageinfoChar">
    <w:name w:val="Firstpageinfo Char"/>
    <w:link w:val="Firstpageinfo"/>
    <w:rsid w:val="00192543"/>
    <w:rPr>
      <w:rFonts w:ascii="Arial" w:eastAsia="MS Gothic" w:hAnsi="Arial" w:cs="Arial"/>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2684">
      <w:bodyDiv w:val="1"/>
      <w:marLeft w:val="0"/>
      <w:marRight w:val="0"/>
      <w:marTop w:val="0"/>
      <w:marBottom w:val="0"/>
      <w:divBdr>
        <w:top w:val="none" w:sz="0" w:space="0" w:color="auto"/>
        <w:left w:val="none" w:sz="0" w:space="0" w:color="auto"/>
        <w:bottom w:val="none" w:sz="0" w:space="0" w:color="auto"/>
        <w:right w:val="none" w:sz="0" w:space="0" w:color="auto"/>
      </w:divBdr>
    </w:div>
    <w:div w:id="285308344">
      <w:bodyDiv w:val="1"/>
      <w:marLeft w:val="0"/>
      <w:marRight w:val="0"/>
      <w:marTop w:val="0"/>
      <w:marBottom w:val="0"/>
      <w:divBdr>
        <w:top w:val="none" w:sz="0" w:space="0" w:color="auto"/>
        <w:left w:val="none" w:sz="0" w:space="0" w:color="auto"/>
        <w:bottom w:val="none" w:sz="0" w:space="0" w:color="auto"/>
        <w:right w:val="none" w:sz="0" w:space="0" w:color="auto"/>
      </w:divBdr>
    </w:div>
    <w:div w:id="430205405">
      <w:bodyDiv w:val="1"/>
      <w:marLeft w:val="0"/>
      <w:marRight w:val="0"/>
      <w:marTop w:val="0"/>
      <w:marBottom w:val="0"/>
      <w:divBdr>
        <w:top w:val="none" w:sz="0" w:space="0" w:color="auto"/>
        <w:left w:val="none" w:sz="0" w:space="0" w:color="auto"/>
        <w:bottom w:val="none" w:sz="0" w:space="0" w:color="auto"/>
        <w:right w:val="none" w:sz="0" w:space="0" w:color="auto"/>
      </w:divBdr>
    </w:div>
    <w:div w:id="495152092">
      <w:bodyDiv w:val="1"/>
      <w:marLeft w:val="0"/>
      <w:marRight w:val="0"/>
      <w:marTop w:val="0"/>
      <w:marBottom w:val="0"/>
      <w:divBdr>
        <w:top w:val="none" w:sz="0" w:space="0" w:color="auto"/>
        <w:left w:val="none" w:sz="0" w:space="0" w:color="auto"/>
        <w:bottom w:val="none" w:sz="0" w:space="0" w:color="auto"/>
        <w:right w:val="none" w:sz="0" w:space="0" w:color="auto"/>
      </w:divBdr>
    </w:div>
    <w:div w:id="776483767">
      <w:bodyDiv w:val="1"/>
      <w:marLeft w:val="0"/>
      <w:marRight w:val="0"/>
      <w:marTop w:val="0"/>
      <w:marBottom w:val="0"/>
      <w:divBdr>
        <w:top w:val="none" w:sz="0" w:space="0" w:color="auto"/>
        <w:left w:val="none" w:sz="0" w:space="0" w:color="auto"/>
        <w:bottom w:val="none" w:sz="0" w:space="0" w:color="auto"/>
        <w:right w:val="none" w:sz="0" w:space="0" w:color="auto"/>
      </w:divBdr>
    </w:div>
    <w:div w:id="785082313">
      <w:bodyDiv w:val="1"/>
      <w:marLeft w:val="0"/>
      <w:marRight w:val="0"/>
      <w:marTop w:val="0"/>
      <w:marBottom w:val="0"/>
      <w:divBdr>
        <w:top w:val="none" w:sz="0" w:space="0" w:color="auto"/>
        <w:left w:val="none" w:sz="0" w:space="0" w:color="auto"/>
        <w:bottom w:val="none" w:sz="0" w:space="0" w:color="auto"/>
        <w:right w:val="none" w:sz="0" w:space="0" w:color="auto"/>
      </w:divBdr>
    </w:div>
    <w:div w:id="1259296206">
      <w:bodyDiv w:val="1"/>
      <w:marLeft w:val="0"/>
      <w:marRight w:val="0"/>
      <w:marTop w:val="0"/>
      <w:marBottom w:val="0"/>
      <w:divBdr>
        <w:top w:val="none" w:sz="0" w:space="0" w:color="auto"/>
        <w:left w:val="none" w:sz="0" w:space="0" w:color="auto"/>
        <w:bottom w:val="none" w:sz="0" w:space="0" w:color="auto"/>
        <w:right w:val="none" w:sz="0" w:space="0" w:color="auto"/>
      </w:divBdr>
    </w:div>
    <w:div w:id="1275403123">
      <w:bodyDiv w:val="1"/>
      <w:marLeft w:val="0"/>
      <w:marRight w:val="0"/>
      <w:marTop w:val="0"/>
      <w:marBottom w:val="0"/>
      <w:divBdr>
        <w:top w:val="none" w:sz="0" w:space="0" w:color="auto"/>
        <w:left w:val="none" w:sz="0" w:space="0" w:color="auto"/>
        <w:bottom w:val="none" w:sz="0" w:space="0" w:color="auto"/>
        <w:right w:val="none" w:sz="0" w:space="0" w:color="auto"/>
      </w:divBdr>
    </w:div>
    <w:div w:id="1370453284">
      <w:bodyDiv w:val="1"/>
      <w:marLeft w:val="0"/>
      <w:marRight w:val="0"/>
      <w:marTop w:val="0"/>
      <w:marBottom w:val="0"/>
      <w:divBdr>
        <w:top w:val="none" w:sz="0" w:space="0" w:color="auto"/>
        <w:left w:val="none" w:sz="0" w:space="0" w:color="auto"/>
        <w:bottom w:val="none" w:sz="0" w:space="0" w:color="auto"/>
        <w:right w:val="none" w:sz="0" w:space="0" w:color="auto"/>
      </w:divBdr>
    </w:div>
    <w:div w:id="1686127284">
      <w:bodyDiv w:val="1"/>
      <w:marLeft w:val="0"/>
      <w:marRight w:val="0"/>
      <w:marTop w:val="0"/>
      <w:marBottom w:val="0"/>
      <w:divBdr>
        <w:top w:val="none" w:sz="0" w:space="0" w:color="auto"/>
        <w:left w:val="none" w:sz="0" w:space="0" w:color="auto"/>
        <w:bottom w:val="none" w:sz="0" w:space="0" w:color="auto"/>
        <w:right w:val="none" w:sz="0" w:space="0" w:color="auto"/>
      </w:divBdr>
    </w:div>
    <w:div w:id="1849443877">
      <w:bodyDiv w:val="1"/>
      <w:marLeft w:val="0"/>
      <w:marRight w:val="0"/>
      <w:marTop w:val="0"/>
      <w:marBottom w:val="0"/>
      <w:divBdr>
        <w:top w:val="none" w:sz="0" w:space="0" w:color="auto"/>
        <w:left w:val="none" w:sz="0" w:space="0" w:color="auto"/>
        <w:bottom w:val="none" w:sz="0" w:space="0" w:color="auto"/>
        <w:right w:val="none" w:sz="0" w:space="0" w:color="auto"/>
      </w:divBdr>
    </w:div>
    <w:div w:id="207435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a.gov.au/reporting-problems" TargetMode="Externa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6079BCE21C9C46934165693479FB40" ma:contentTypeVersion="8" ma:contentTypeDescription="Create a new document." ma:contentTypeScope="" ma:versionID="0a52ec1bb8988531ce7d93ac34d8861f">
  <xsd:schema xmlns:xsd="http://www.w3.org/2001/XMLSchema" xmlns:xs="http://www.w3.org/2001/XMLSchema" xmlns:p="http://schemas.microsoft.com/office/2006/metadata/properties" xmlns:ns3="1cd1d2fd-1ed7-44e9-8467-eca074a474b1" targetNamespace="http://schemas.microsoft.com/office/2006/metadata/properties" ma:root="true" ma:fieldsID="a4d6763428d3570a08c392faf5eeaa1c" ns3:_="">
    <xsd:import namespace="1cd1d2fd-1ed7-44e9-8467-eca074a474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1d2fd-1ed7-44e9-8467-eca074a47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2A2C-AB4F-4033-8D01-6DA89D701E09}">
  <ds:schemaRefs>
    <ds:schemaRef ds:uri="http://purl.org/dc/terms/"/>
    <ds:schemaRef ds:uri="1cd1d2fd-1ed7-44e9-8467-eca074a474b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9021BBA-6934-4683-8ACA-535AA9773B77}">
  <ds:schemaRefs>
    <ds:schemaRef ds:uri="http://schemas.microsoft.com/sharepoint/v3/contenttype/forms"/>
  </ds:schemaRefs>
</ds:datastoreItem>
</file>

<file path=customXml/itemProps3.xml><?xml version="1.0" encoding="utf-8"?>
<ds:datastoreItem xmlns:ds="http://schemas.openxmlformats.org/officeDocument/2006/customXml" ds:itemID="{D2F9BA3E-773B-447B-B3F3-83FFA40C5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1d2fd-1ed7-44e9-8467-eca074a4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4E623A-C7CA-49A9-851F-3CE83486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13149</Words>
  <Characters>74953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Attachment: Product Information for Secukinumab</vt:lpstr>
    </vt:vector>
  </TitlesOfParts>
  <Company/>
  <LinksUpToDate>false</LinksUpToDate>
  <CharactersWithSpaces>87927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Secukinumab</dc:title>
  <dc:subject>prescription medicines</dc:subject>
  <dc:creator>Novartis</dc:creator>
  <cp:lastPrinted>2019-09-25T23:58:00Z</cp:lastPrinted>
  <dcterms:created xsi:type="dcterms:W3CDTF">2021-02-03T00:06:00Z</dcterms:created>
  <dcterms:modified xsi:type="dcterms:W3CDTF">2021-02-03T00:08:00Z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ABULEMA1@novartis.net</vt:lpwstr>
  </property>
  <property fmtid="{D5CDD505-2E9C-101B-9397-08002B2CF9AE}" pid="5" name="MSIP_Label_4929bff8-5b33-42aa-95d2-28f72e792cb0_SetDate">
    <vt:lpwstr>2019-04-05T04:56:55.4059750Z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y fmtid="{D5CDD505-2E9C-101B-9397-08002B2CF9AE}" pid="10" name="ContentTypeId">
    <vt:lpwstr>0x010100FC6079BCE21C9C46934165693479FB40</vt:lpwstr>
  </property>
</Properties>
</file>