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14:paraId="13BFB0B8" w14:textId="77777777" w:rsidTr="00BF1190">
        <w:trPr>
          <w:trHeight w:val="1863"/>
        </w:trPr>
        <w:tc>
          <w:tcPr>
            <w:tcW w:w="3652" w:type="dxa"/>
            <w:tcBorders>
              <w:top w:val="nil"/>
              <w:left w:val="nil"/>
              <w:bottom w:val="nil"/>
              <w:right w:val="nil"/>
            </w:tcBorders>
          </w:tcPr>
          <w:p w14:paraId="57953FDC" w14:textId="77777777" w:rsidR="008E7846" w:rsidRPr="00096AA7" w:rsidRDefault="00BA681D" w:rsidP="00096AA7">
            <w:pPr>
              <w:rPr>
                <w:rFonts w:ascii="Arial" w:hAnsi="Arial" w:cs="Arial"/>
                <w:b/>
                <w:color w:val="002C47"/>
                <w:sz w:val="36"/>
                <w:szCs w:val="36"/>
              </w:rPr>
            </w:pPr>
            <w:r>
              <w:rPr>
                <w:rFonts w:ascii="Arial" w:hAnsi="Arial" w:cs="Arial"/>
                <w:b/>
                <w:color w:val="002C47"/>
                <w:sz w:val="36"/>
                <w:szCs w:val="36"/>
              </w:rPr>
              <w:t>January 2021</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14:paraId="49701AE2" w14:textId="77777777" w:rsidTr="0032583B">
        <w:trPr>
          <w:trHeight w:val="868"/>
        </w:trPr>
        <w:tc>
          <w:tcPr>
            <w:tcW w:w="9079" w:type="dxa"/>
          </w:tcPr>
          <w:p w14:paraId="3BEB357F" w14:textId="5CDB0054" w:rsidR="0032583B" w:rsidRPr="00A964D1" w:rsidRDefault="0032583B" w:rsidP="00BA681D">
            <w:pPr>
              <w:pStyle w:val="Title"/>
              <w:rPr>
                <w:color w:val="FFFFFF" w:themeColor="background1"/>
              </w:rPr>
            </w:pPr>
            <w:r w:rsidRPr="00A964D1">
              <w:rPr>
                <w:color w:val="FFFFFF" w:themeColor="background1"/>
              </w:rPr>
              <w:t>Australia</w:t>
            </w:r>
            <w:r w:rsidR="00BA681D">
              <w:rPr>
                <w:color w:val="FFFFFF" w:themeColor="background1"/>
              </w:rPr>
              <w:t>n Public Assessm</w:t>
            </w:r>
            <w:r w:rsidR="00197A3A">
              <w:rPr>
                <w:color w:val="FFFFFF" w:themeColor="background1"/>
              </w:rPr>
              <w:t xml:space="preserve">ent Report for </w:t>
            </w:r>
            <w:proofErr w:type="spellStart"/>
            <w:r w:rsidR="00197A3A">
              <w:rPr>
                <w:color w:val="FFFFFF" w:themeColor="background1"/>
              </w:rPr>
              <w:t>Secukinumab</w:t>
            </w:r>
            <w:proofErr w:type="spellEnd"/>
          </w:p>
        </w:tc>
      </w:tr>
      <w:tr w:rsidR="0032583B" w:rsidRPr="00B64760" w14:paraId="3D83E8F9" w14:textId="77777777" w:rsidTr="0032583B">
        <w:tc>
          <w:tcPr>
            <w:tcW w:w="9079" w:type="dxa"/>
          </w:tcPr>
          <w:p w14:paraId="6CC43075" w14:textId="77777777" w:rsidR="0032583B" w:rsidRPr="008E7846" w:rsidRDefault="00BA681D" w:rsidP="00460036">
            <w:pPr>
              <w:pStyle w:val="Subtitle"/>
              <w:rPr>
                <w:color w:val="FFFFFF" w:themeColor="background1"/>
              </w:rPr>
            </w:pPr>
            <w:r>
              <w:rPr>
                <w:color w:val="FFFFFF" w:themeColor="background1"/>
              </w:rPr>
              <w:t xml:space="preserve">Proprietary Product Name: </w:t>
            </w:r>
            <w:proofErr w:type="spellStart"/>
            <w:r>
              <w:rPr>
                <w:color w:val="FFFFFF" w:themeColor="background1"/>
              </w:rPr>
              <w:t>Cosentyx</w:t>
            </w:r>
            <w:proofErr w:type="spellEnd"/>
          </w:p>
        </w:tc>
      </w:tr>
      <w:tr w:rsidR="0032583B" w:rsidRPr="00B64760" w14:paraId="335B76D2" w14:textId="77777777" w:rsidTr="0032583B">
        <w:trPr>
          <w:trHeight w:val="486"/>
        </w:trPr>
        <w:tc>
          <w:tcPr>
            <w:tcW w:w="9079" w:type="dxa"/>
          </w:tcPr>
          <w:p w14:paraId="088D64AA" w14:textId="77777777" w:rsidR="0032583B" w:rsidRPr="008E7846" w:rsidRDefault="00BA681D" w:rsidP="0032583B">
            <w:pPr>
              <w:pStyle w:val="Subtitle"/>
              <w:rPr>
                <w:color w:val="FFFFFF" w:themeColor="background1"/>
              </w:rPr>
            </w:pPr>
            <w:r>
              <w:rPr>
                <w:color w:val="FFFFFF" w:themeColor="background1"/>
              </w:rPr>
              <w:t xml:space="preserve">Sponsor: </w:t>
            </w:r>
            <w:r w:rsidRPr="00BA681D">
              <w:rPr>
                <w:color w:val="FFFFFF" w:themeColor="background1"/>
              </w:rPr>
              <w:t>Novartis Pharmaceuticals Australia Pty Ltd</w:t>
            </w:r>
          </w:p>
        </w:tc>
      </w:tr>
    </w:tbl>
    <w:p w14:paraId="56EA1E72" w14:textId="08E477DF" w:rsidR="008E7846" w:rsidRPr="0085156D" w:rsidRDefault="008E7846" w:rsidP="0085156D">
      <w:r w:rsidRPr="0085156D">
        <w:br w:type="page"/>
      </w:r>
    </w:p>
    <w:p w14:paraId="6E9ED22E" w14:textId="77777777" w:rsidR="008E7846" w:rsidRPr="001F6CBA" w:rsidRDefault="008E7846" w:rsidP="008E7846">
      <w:pPr>
        <w:pStyle w:val="NonTOCHeading2"/>
      </w:pPr>
      <w:r w:rsidRPr="001F6CBA">
        <w:lastRenderedPageBreak/>
        <w:t>About the Therapeutic Goods Administration (TGA)</w:t>
      </w:r>
    </w:p>
    <w:p w14:paraId="5DF21596" w14:textId="77777777"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14:paraId="2B330478" w14:textId="77777777"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14:paraId="5F3F356D" w14:textId="77777777"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14:paraId="16F17B87" w14:textId="77777777"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14:paraId="491CB738" w14:textId="45575309" w:rsidR="00441C3F" w:rsidRDefault="008E7846" w:rsidP="00441C3F">
      <w:pPr>
        <w:pStyle w:val="ListBullet"/>
        <w:numPr>
          <w:ilvl w:val="0"/>
          <w:numId w:val="3"/>
        </w:numPr>
        <w:ind w:left="357" w:hanging="357"/>
      </w:pPr>
      <w:r>
        <w:t xml:space="preserve">To report a problem with a medicine or medical device, please see the information on </w:t>
      </w:r>
      <w:r w:rsidR="00441C3F">
        <w:t>the TGA website &lt;</w:t>
      </w:r>
      <w:hyperlink r:id="rId11" w:history="1">
        <w:r w:rsidR="00441C3F">
          <w:rPr>
            <w:rStyle w:val="Hyperlink"/>
          </w:rPr>
          <w:t>https://www.tga.gov.au</w:t>
        </w:r>
      </w:hyperlink>
      <w:r w:rsidR="00441C3F">
        <w:t>&gt;.</w:t>
      </w:r>
    </w:p>
    <w:p w14:paraId="6DADBCA1" w14:textId="77777777" w:rsidR="008E7846" w:rsidRDefault="008E7846" w:rsidP="00875A6B">
      <w:pPr>
        <w:pStyle w:val="NonTOCHeading2"/>
      </w:pPr>
      <w:r>
        <w:t>About AusPARs</w:t>
      </w:r>
    </w:p>
    <w:p w14:paraId="3D2A4BCC" w14:textId="77777777" w:rsidR="008E7846" w:rsidRDefault="008E7846" w:rsidP="008E7846">
      <w:pPr>
        <w:pStyle w:val="ListBullet"/>
        <w:numPr>
          <w:ilvl w:val="0"/>
          <w:numId w:val="3"/>
        </w:numPr>
        <w:ind w:left="357" w:hanging="357"/>
      </w:pPr>
      <w:r>
        <w:t>An Australian Public Assessment Re</w:t>
      </w:r>
      <w:r w:rsidR="00133A1B">
        <w:t>port</w:t>
      </w:r>
      <w:r>
        <w:t xml:space="preserve"> (AusPAR) provides information about the evaluation of a prescription medicine and the considerations that led the TGA to approve or not approve a pr</w:t>
      </w:r>
      <w:r w:rsidR="00441C3F">
        <w:t>escription medicine submission.</w:t>
      </w:r>
    </w:p>
    <w:p w14:paraId="1AAAACC0" w14:textId="77777777" w:rsidR="008E7846" w:rsidRDefault="008E7846" w:rsidP="008E7846">
      <w:pPr>
        <w:pStyle w:val="ListBullet"/>
        <w:numPr>
          <w:ilvl w:val="0"/>
          <w:numId w:val="3"/>
        </w:numPr>
        <w:ind w:left="357" w:hanging="357"/>
      </w:pPr>
      <w:r>
        <w:t>AusPARs are prepared and published by the TGA.</w:t>
      </w:r>
    </w:p>
    <w:p w14:paraId="20B1FAD9" w14:textId="77777777" w:rsidR="008E7846" w:rsidRDefault="008E7846" w:rsidP="008E7846">
      <w:pPr>
        <w:pStyle w:val="ListBullet"/>
        <w:numPr>
          <w:ilvl w:val="0"/>
          <w:numId w:val="3"/>
        </w:numPr>
        <w:ind w:left="357" w:hanging="357"/>
      </w:pPr>
      <w:r>
        <w:t>An AusPAR is prepared for submissions that relate to new chemical entities, generic medicines, major variations and extensions of indications.</w:t>
      </w:r>
    </w:p>
    <w:p w14:paraId="66F11A0A" w14:textId="77777777" w:rsidR="008E7846" w:rsidRDefault="008E7846" w:rsidP="008E7846">
      <w:pPr>
        <w:pStyle w:val="ListBullet"/>
        <w:numPr>
          <w:ilvl w:val="0"/>
          <w:numId w:val="3"/>
        </w:numPr>
        <w:ind w:left="357" w:hanging="357"/>
      </w:pPr>
      <w:r>
        <w:t>An AusPAR is a static document</w:t>
      </w:r>
      <w:r w:rsidR="00133A1B">
        <w:t>;</w:t>
      </w:r>
      <w:r>
        <w:t xml:space="preserve"> it provide</w:t>
      </w:r>
      <w:r w:rsidR="00133A1B">
        <w:t>s</w:t>
      </w:r>
      <w:r>
        <w:t xml:space="preserve"> information that relates to a submission at a particular point in time.</w:t>
      </w:r>
    </w:p>
    <w:p w14:paraId="4A80EF36" w14:textId="77777777"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14:paraId="4F65D4F1" w14:textId="77777777" w:rsidR="00924482" w:rsidRPr="00DF1D7F" w:rsidRDefault="00924482" w:rsidP="00F54B65">
      <w:pPr>
        <w:pStyle w:val="LegalSubheading"/>
        <w:spacing w:before="3120"/>
      </w:pPr>
      <w:r w:rsidRPr="00DF1D7F">
        <w:t>Copyright</w:t>
      </w:r>
    </w:p>
    <w:p w14:paraId="10A6F1BA" w14:textId="42194A73" w:rsidR="00924482" w:rsidRDefault="00924482" w:rsidP="00924482">
      <w:pPr>
        <w:pStyle w:val="LegalCopy"/>
      </w:pPr>
      <w:r w:rsidRPr="00191B3B">
        <w:rPr>
          <w:rFonts w:cs="Arial"/>
          <w:lang w:val="en-GB"/>
        </w:rPr>
        <w:t>© Comm</w:t>
      </w:r>
      <w:r>
        <w:rPr>
          <w:rFonts w:cs="Arial"/>
          <w:lang w:val="en-GB"/>
        </w:rPr>
        <w:t>onwealth of Australia 20</w:t>
      </w:r>
      <w:r w:rsidR="00460036">
        <w:rPr>
          <w:rFonts w:cs="Arial"/>
          <w:lang w:val="en-GB"/>
        </w:rPr>
        <w:t>2</w:t>
      </w:r>
      <w:r w:rsidR="00324E45">
        <w:rPr>
          <w:rFonts w:cs="Arial"/>
          <w:lang w:val="en-GB"/>
        </w:rPr>
        <w:t>1</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2" w:history="1">
        <w:r w:rsidRPr="00191B3B">
          <w:rPr>
            <w:rStyle w:val="Hyperlink"/>
            <w:rFonts w:cs="Arial"/>
            <w:lang w:val="en-GB"/>
          </w:rPr>
          <w:t>tga.cop</w:t>
        </w:r>
        <w:bookmarkStart w:id="0" w:name="_GoBack"/>
        <w:bookmarkEnd w:id="0"/>
        <w:r w:rsidRPr="00191B3B">
          <w:rPr>
            <w:rStyle w:val="Hyperlink"/>
            <w:rFonts w:cs="Arial"/>
            <w:lang w:val="en-GB"/>
          </w:rPr>
          <w:t>yright@tga.gov.au</w:t>
        </w:r>
      </w:hyperlink>
      <w:r w:rsidRPr="00191B3B">
        <w:rPr>
          <w:rFonts w:cs="Arial"/>
        </w:rPr>
        <w:t>&gt;.</w:t>
      </w:r>
    </w:p>
    <w:p w14:paraId="6F942DAE" w14:textId="77777777" w:rsidR="00924482" w:rsidRDefault="00924482" w:rsidP="00924482">
      <w:pPr>
        <w:pStyle w:val="LegalCopy"/>
        <w:sectPr w:rsidR="00924482" w:rsidSect="003D1E62">
          <w:headerReference w:type="even" r:id="rId13"/>
          <w:headerReference w:type="default" r:id="rId14"/>
          <w:footerReference w:type="even" r:id="rId15"/>
          <w:footerReference w:type="default" r:id="rId16"/>
          <w:headerReference w:type="first" r:id="rId17"/>
          <w:footerReference w:type="first" r:id="rId18"/>
          <w:pgSz w:w="11906" w:h="16838" w:code="9"/>
          <w:pgMar w:top="426" w:right="1701" w:bottom="0" w:left="1701" w:header="907" w:footer="142" w:gutter="0"/>
          <w:pgNumType w:fmt="lowerRoman" w:start="1"/>
          <w:cols w:space="708"/>
          <w:titlePg/>
          <w:docGrid w:linePitch="360"/>
        </w:sectPr>
      </w:pPr>
    </w:p>
    <w:bookmarkStart w:id="1" w:name="_Toc247691501" w:displacedByCustomXml="next"/>
    <w:bookmarkStart w:id="2"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22A9667F" w14:textId="77777777" w:rsidR="0089635C" w:rsidRPr="0089635C" w:rsidRDefault="0089635C" w:rsidP="0010788A">
          <w:pPr>
            <w:pStyle w:val="Contents"/>
          </w:pPr>
          <w:r w:rsidRPr="0010788A">
            <w:t>Contents</w:t>
          </w:r>
        </w:p>
        <w:p w14:paraId="61BB8F15" w14:textId="47F9819A" w:rsidR="00EC756C" w:rsidRDefault="00C525A2">
          <w:pPr>
            <w:pStyle w:val="TOC1"/>
            <w:rPr>
              <w:rFonts w:asciiTheme="minorHAnsi" w:eastAsiaTheme="minorEastAsia" w:hAnsiTheme="minorHAnsi" w:cstheme="minorBidi"/>
              <w:b w:val="0"/>
              <w:noProof/>
              <w:sz w:val="22"/>
              <w:lang w:eastAsia="en-AU"/>
            </w:rPr>
          </w:pPr>
          <w:r>
            <w:fldChar w:fldCharType="begin"/>
          </w:r>
          <w:r>
            <w:instrText xml:space="preserve"> TOC \h \z \t "Heading 2,1,Heading 3,2" </w:instrText>
          </w:r>
          <w:r>
            <w:fldChar w:fldCharType="separate"/>
          </w:r>
          <w:hyperlink w:anchor="_Toc63175289" w:history="1">
            <w:r w:rsidR="00EC756C" w:rsidRPr="00613462">
              <w:rPr>
                <w:rStyle w:val="Hyperlink"/>
                <w:noProof/>
              </w:rPr>
              <w:t>List of abbreviations</w:t>
            </w:r>
            <w:r w:rsidR="00EC756C">
              <w:rPr>
                <w:noProof/>
                <w:webHidden/>
              </w:rPr>
              <w:tab/>
            </w:r>
            <w:r w:rsidR="00EC756C">
              <w:rPr>
                <w:noProof/>
                <w:webHidden/>
              </w:rPr>
              <w:fldChar w:fldCharType="begin"/>
            </w:r>
            <w:r w:rsidR="00EC756C">
              <w:rPr>
                <w:noProof/>
                <w:webHidden/>
              </w:rPr>
              <w:instrText xml:space="preserve"> PAGEREF _Toc63175289 \h </w:instrText>
            </w:r>
            <w:r w:rsidR="00EC756C">
              <w:rPr>
                <w:noProof/>
                <w:webHidden/>
              </w:rPr>
            </w:r>
            <w:r w:rsidR="00EC756C">
              <w:rPr>
                <w:noProof/>
                <w:webHidden/>
              </w:rPr>
              <w:fldChar w:fldCharType="separate"/>
            </w:r>
            <w:r w:rsidR="00EC756C">
              <w:rPr>
                <w:noProof/>
                <w:webHidden/>
              </w:rPr>
              <w:t>4</w:t>
            </w:r>
            <w:r w:rsidR="00EC756C">
              <w:rPr>
                <w:noProof/>
                <w:webHidden/>
              </w:rPr>
              <w:fldChar w:fldCharType="end"/>
            </w:r>
          </w:hyperlink>
        </w:p>
        <w:p w14:paraId="736CFFBA" w14:textId="64BE8BE9" w:rsidR="00EC756C" w:rsidRDefault="00EC756C">
          <w:pPr>
            <w:pStyle w:val="TOC1"/>
            <w:rPr>
              <w:rFonts w:asciiTheme="minorHAnsi" w:eastAsiaTheme="minorEastAsia" w:hAnsiTheme="minorHAnsi" w:cstheme="minorBidi"/>
              <w:b w:val="0"/>
              <w:noProof/>
              <w:sz w:val="22"/>
              <w:lang w:eastAsia="en-AU"/>
            </w:rPr>
          </w:pPr>
          <w:hyperlink w:anchor="_Toc63175290" w:history="1">
            <w:r w:rsidRPr="00613462">
              <w:rPr>
                <w:rStyle w:val="Hyperlink"/>
                <w:noProof/>
              </w:rPr>
              <w:t>I. Introduction to product submission</w:t>
            </w:r>
            <w:r>
              <w:rPr>
                <w:noProof/>
                <w:webHidden/>
              </w:rPr>
              <w:tab/>
            </w:r>
            <w:r>
              <w:rPr>
                <w:noProof/>
                <w:webHidden/>
              </w:rPr>
              <w:fldChar w:fldCharType="begin"/>
            </w:r>
            <w:r>
              <w:rPr>
                <w:noProof/>
                <w:webHidden/>
              </w:rPr>
              <w:instrText xml:space="preserve"> PAGEREF _Toc63175290 \h </w:instrText>
            </w:r>
            <w:r>
              <w:rPr>
                <w:noProof/>
                <w:webHidden/>
              </w:rPr>
            </w:r>
            <w:r>
              <w:rPr>
                <w:noProof/>
                <w:webHidden/>
              </w:rPr>
              <w:fldChar w:fldCharType="separate"/>
            </w:r>
            <w:r>
              <w:rPr>
                <w:noProof/>
                <w:webHidden/>
              </w:rPr>
              <w:t>7</w:t>
            </w:r>
            <w:r>
              <w:rPr>
                <w:noProof/>
                <w:webHidden/>
              </w:rPr>
              <w:fldChar w:fldCharType="end"/>
            </w:r>
          </w:hyperlink>
        </w:p>
        <w:p w14:paraId="379B8060" w14:textId="0CE37443" w:rsidR="00EC756C" w:rsidRDefault="00EC756C">
          <w:pPr>
            <w:pStyle w:val="TOC2"/>
            <w:rPr>
              <w:rFonts w:asciiTheme="minorHAnsi" w:eastAsiaTheme="minorEastAsia" w:hAnsiTheme="minorHAnsi" w:cstheme="minorBidi"/>
              <w:b w:val="0"/>
              <w:noProof/>
              <w:sz w:val="22"/>
              <w:lang w:eastAsia="en-AU"/>
            </w:rPr>
          </w:pPr>
          <w:hyperlink w:anchor="_Toc63175291" w:history="1">
            <w:r w:rsidRPr="00613462">
              <w:rPr>
                <w:rStyle w:val="Hyperlink"/>
                <w:noProof/>
                <w:lang w:eastAsia="en-AU"/>
              </w:rPr>
              <w:t>Submission details</w:t>
            </w:r>
            <w:r>
              <w:rPr>
                <w:noProof/>
                <w:webHidden/>
              </w:rPr>
              <w:tab/>
            </w:r>
            <w:r>
              <w:rPr>
                <w:noProof/>
                <w:webHidden/>
              </w:rPr>
              <w:fldChar w:fldCharType="begin"/>
            </w:r>
            <w:r>
              <w:rPr>
                <w:noProof/>
                <w:webHidden/>
              </w:rPr>
              <w:instrText xml:space="preserve"> PAGEREF _Toc63175291 \h </w:instrText>
            </w:r>
            <w:r>
              <w:rPr>
                <w:noProof/>
                <w:webHidden/>
              </w:rPr>
            </w:r>
            <w:r>
              <w:rPr>
                <w:noProof/>
                <w:webHidden/>
              </w:rPr>
              <w:fldChar w:fldCharType="separate"/>
            </w:r>
            <w:r>
              <w:rPr>
                <w:noProof/>
                <w:webHidden/>
              </w:rPr>
              <w:t>7</w:t>
            </w:r>
            <w:r>
              <w:rPr>
                <w:noProof/>
                <w:webHidden/>
              </w:rPr>
              <w:fldChar w:fldCharType="end"/>
            </w:r>
          </w:hyperlink>
        </w:p>
        <w:p w14:paraId="6398BBD0" w14:textId="5A536FD1" w:rsidR="00EC756C" w:rsidRDefault="00EC756C">
          <w:pPr>
            <w:pStyle w:val="TOC2"/>
            <w:rPr>
              <w:rFonts w:asciiTheme="minorHAnsi" w:eastAsiaTheme="minorEastAsia" w:hAnsiTheme="minorHAnsi" w:cstheme="minorBidi"/>
              <w:b w:val="0"/>
              <w:noProof/>
              <w:sz w:val="22"/>
              <w:lang w:eastAsia="en-AU"/>
            </w:rPr>
          </w:pPr>
          <w:hyperlink w:anchor="_Toc63175292" w:history="1">
            <w:r w:rsidRPr="00613462">
              <w:rPr>
                <w:rStyle w:val="Hyperlink"/>
                <w:noProof/>
              </w:rPr>
              <w:t>Product background</w:t>
            </w:r>
            <w:r>
              <w:rPr>
                <w:noProof/>
                <w:webHidden/>
              </w:rPr>
              <w:tab/>
            </w:r>
            <w:r>
              <w:rPr>
                <w:noProof/>
                <w:webHidden/>
              </w:rPr>
              <w:fldChar w:fldCharType="begin"/>
            </w:r>
            <w:r>
              <w:rPr>
                <w:noProof/>
                <w:webHidden/>
              </w:rPr>
              <w:instrText xml:space="preserve"> PAGEREF _Toc63175292 \h </w:instrText>
            </w:r>
            <w:r>
              <w:rPr>
                <w:noProof/>
                <w:webHidden/>
              </w:rPr>
            </w:r>
            <w:r>
              <w:rPr>
                <w:noProof/>
                <w:webHidden/>
              </w:rPr>
              <w:fldChar w:fldCharType="separate"/>
            </w:r>
            <w:r>
              <w:rPr>
                <w:noProof/>
                <w:webHidden/>
              </w:rPr>
              <w:t>8</w:t>
            </w:r>
            <w:r>
              <w:rPr>
                <w:noProof/>
                <w:webHidden/>
              </w:rPr>
              <w:fldChar w:fldCharType="end"/>
            </w:r>
          </w:hyperlink>
        </w:p>
        <w:p w14:paraId="756A0BB4" w14:textId="7BAEF6E0" w:rsidR="00EC756C" w:rsidRDefault="00EC756C">
          <w:pPr>
            <w:pStyle w:val="TOC2"/>
            <w:rPr>
              <w:rFonts w:asciiTheme="minorHAnsi" w:eastAsiaTheme="minorEastAsia" w:hAnsiTheme="minorHAnsi" w:cstheme="minorBidi"/>
              <w:b w:val="0"/>
              <w:noProof/>
              <w:sz w:val="22"/>
              <w:lang w:eastAsia="en-AU"/>
            </w:rPr>
          </w:pPr>
          <w:hyperlink w:anchor="_Toc63175293" w:history="1">
            <w:r w:rsidRPr="00613462">
              <w:rPr>
                <w:rStyle w:val="Hyperlink"/>
                <w:noProof/>
              </w:rPr>
              <w:t>Regulatory status</w:t>
            </w:r>
            <w:r>
              <w:rPr>
                <w:noProof/>
                <w:webHidden/>
              </w:rPr>
              <w:tab/>
            </w:r>
            <w:r>
              <w:rPr>
                <w:noProof/>
                <w:webHidden/>
              </w:rPr>
              <w:fldChar w:fldCharType="begin"/>
            </w:r>
            <w:r>
              <w:rPr>
                <w:noProof/>
                <w:webHidden/>
              </w:rPr>
              <w:instrText xml:space="preserve"> PAGEREF _Toc63175293 \h </w:instrText>
            </w:r>
            <w:r>
              <w:rPr>
                <w:noProof/>
                <w:webHidden/>
              </w:rPr>
            </w:r>
            <w:r>
              <w:rPr>
                <w:noProof/>
                <w:webHidden/>
              </w:rPr>
              <w:fldChar w:fldCharType="separate"/>
            </w:r>
            <w:r>
              <w:rPr>
                <w:noProof/>
                <w:webHidden/>
              </w:rPr>
              <w:t>10</w:t>
            </w:r>
            <w:r>
              <w:rPr>
                <w:noProof/>
                <w:webHidden/>
              </w:rPr>
              <w:fldChar w:fldCharType="end"/>
            </w:r>
          </w:hyperlink>
        </w:p>
        <w:p w14:paraId="004FDCE0" w14:textId="24B849FF" w:rsidR="00EC756C" w:rsidRDefault="00EC756C">
          <w:pPr>
            <w:pStyle w:val="TOC2"/>
            <w:rPr>
              <w:rFonts w:asciiTheme="minorHAnsi" w:eastAsiaTheme="minorEastAsia" w:hAnsiTheme="minorHAnsi" w:cstheme="minorBidi"/>
              <w:b w:val="0"/>
              <w:noProof/>
              <w:sz w:val="22"/>
              <w:lang w:eastAsia="en-AU"/>
            </w:rPr>
          </w:pPr>
          <w:hyperlink w:anchor="_Toc63175294" w:history="1">
            <w:r w:rsidRPr="00613462">
              <w:rPr>
                <w:rStyle w:val="Hyperlink"/>
                <w:noProof/>
              </w:rPr>
              <w:t>Product Information</w:t>
            </w:r>
            <w:r>
              <w:rPr>
                <w:noProof/>
                <w:webHidden/>
              </w:rPr>
              <w:tab/>
            </w:r>
            <w:r>
              <w:rPr>
                <w:noProof/>
                <w:webHidden/>
              </w:rPr>
              <w:fldChar w:fldCharType="begin"/>
            </w:r>
            <w:r>
              <w:rPr>
                <w:noProof/>
                <w:webHidden/>
              </w:rPr>
              <w:instrText xml:space="preserve"> PAGEREF _Toc63175294 \h </w:instrText>
            </w:r>
            <w:r>
              <w:rPr>
                <w:noProof/>
                <w:webHidden/>
              </w:rPr>
            </w:r>
            <w:r>
              <w:rPr>
                <w:noProof/>
                <w:webHidden/>
              </w:rPr>
              <w:fldChar w:fldCharType="separate"/>
            </w:r>
            <w:r>
              <w:rPr>
                <w:noProof/>
                <w:webHidden/>
              </w:rPr>
              <w:t>10</w:t>
            </w:r>
            <w:r>
              <w:rPr>
                <w:noProof/>
                <w:webHidden/>
              </w:rPr>
              <w:fldChar w:fldCharType="end"/>
            </w:r>
          </w:hyperlink>
        </w:p>
        <w:p w14:paraId="12D920D2" w14:textId="16C9B028" w:rsidR="00EC756C" w:rsidRDefault="00EC756C">
          <w:pPr>
            <w:pStyle w:val="TOC1"/>
            <w:rPr>
              <w:rFonts w:asciiTheme="minorHAnsi" w:eastAsiaTheme="minorEastAsia" w:hAnsiTheme="minorHAnsi" w:cstheme="minorBidi"/>
              <w:b w:val="0"/>
              <w:noProof/>
              <w:sz w:val="22"/>
              <w:lang w:eastAsia="en-AU"/>
            </w:rPr>
          </w:pPr>
          <w:hyperlink w:anchor="_Toc63175295" w:history="1">
            <w:r w:rsidRPr="00613462">
              <w:rPr>
                <w:rStyle w:val="Hyperlink"/>
                <w:noProof/>
              </w:rPr>
              <w:t>II. Registration timeline</w:t>
            </w:r>
            <w:r>
              <w:rPr>
                <w:noProof/>
                <w:webHidden/>
              </w:rPr>
              <w:tab/>
            </w:r>
            <w:r>
              <w:rPr>
                <w:noProof/>
                <w:webHidden/>
              </w:rPr>
              <w:fldChar w:fldCharType="begin"/>
            </w:r>
            <w:r>
              <w:rPr>
                <w:noProof/>
                <w:webHidden/>
              </w:rPr>
              <w:instrText xml:space="preserve"> PAGEREF _Toc63175295 \h </w:instrText>
            </w:r>
            <w:r>
              <w:rPr>
                <w:noProof/>
                <w:webHidden/>
              </w:rPr>
            </w:r>
            <w:r>
              <w:rPr>
                <w:noProof/>
                <w:webHidden/>
              </w:rPr>
              <w:fldChar w:fldCharType="separate"/>
            </w:r>
            <w:r>
              <w:rPr>
                <w:noProof/>
                <w:webHidden/>
              </w:rPr>
              <w:t>10</w:t>
            </w:r>
            <w:r>
              <w:rPr>
                <w:noProof/>
                <w:webHidden/>
              </w:rPr>
              <w:fldChar w:fldCharType="end"/>
            </w:r>
          </w:hyperlink>
        </w:p>
        <w:p w14:paraId="2ECCC88C" w14:textId="7BEFDF32" w:rsidR="00EC756C" w:rsidRDefault="00EC756C">
          <w:pPr>
            <w:pStyle w:val="TOC1"/>
            <w:rPr>
              <w:rFonts w:asciiTheme="minorHAnsi" w:eastAsiaTheme="minorEastAsia" w:hAnsiTheme="minorHAnsi" w:cstheme="minorBidi"/>
              <w:b w:val="0"/>
              <w:noProof/>
              <w:sz w:val="22"/>
              <w:lang w:eastAsia="en-AU"/>
            </w:rPr>
          </w:pPr>
          <w:hyperlink w:anchor="_Toc63175296" w:history="1">
            <w:r w:rsidRPr="00613462">
              <w:rPr>
                <w:rStyle w:val="Hyperlink"/>
                <w:noProof/>
              </w:rPr>
              <w:t>III. Submission overview and risk/benefit assessment</w:t>
            </w:r>
            <w:r>
              <w:rPr>
                <w:noProof/>
                <w:webHidden/>
              </w:rPr>
              <w:tab/>
            </w:r>
            <w:r>
              <w:rPr>
                <w:noProof/>
                <w:webHidden/>
              </w:rPr>
              <w:fldChar w:fldCharType="begin"/>
            </w:r>
            <w:r>
              <w:rPr>
                <w:noProof/>
                <w:webHidden/>
              </w:rPr>
              <w:instrText xml:space="preserve"> PAGEREF _Toc63175296 \h </w:instrText>
            </w:r>
            <w:r>
              <w:rPr>
                <w:noProof/>
                <w:webHidden/>
              </w:rPr>
            </w:r>
            <w:r>
              <w:rPr>
                <w:noProof/>
                <w:webHidden/>
              </w:rPr>
              <w:fldChar w:fldCharType="separate"/>
            </w:r>
            <w:r>
              <w:rPr>
                <w:noProof/>
                <w:webHidden/>
              </w:rPr>
              <w:t>11</w:t>
            </w:r>
            <w:r>
              <w:rPr>
                <w:noProof/>
                <w:webHidden/>
              </w:rPr>
              <w:fldChar w:fldCharType="end"/>
            </w:r>
          </w:hyperlink>
        </w:p>
        <w:p w14:paraId="013663CF" w14:textId="25B67C92" w:rsidR="00EC756C" w:rsidRDefault="00EC756C">
          <w:pPr>
            <w:pStyle w:val="TOC2"/>
            <w:rPr>
              <w:rFonts w:asciiTheme="minorHAnsi" w:eastAsiaTheme="minorEastAsia" w:hAnsiTheme="minorHAnsi" w:cstheme="minorBidi"/>
              <w:b w:val="0"/>
              <w:noProof/>
              <w:sz w:val="22"/>
              <w:lang w:eastAsia="en-AU"/>
            </w:rPr>
          </w:pPr>
          <w:hyperlink w:anchor="_Toc63175297" w:history="1">
            <w:r w:rsidRPr="00613462">
              <w:rPr>
                <w:rStyle w:val="Hyperlink"/>
                <w:noProof/>
              </w:rPr>
              <w:t>Quality</w:t>
            </w:r>
            <w:r>
              <w:rPr>
                <w:noProof/>
                <w:webHidden/>
              </w:rPr>
              <w:tab/>
            </w:r>
            <w:r>
              <w:rPr>
                <w:noProof/>
                <w:webHidden/>
              </w:rPr>
              <w:fldChar w:fldCharType="begin"/>
            </w:r>
            <w:r>
              <w:rPr>
                <w:noProof/>
                <w:webHidden/>
              </w:rPr>
              <w:instrText xml:space="preserve"> PAGEREF _Toc63175297 \h </w:instrText>
            </w:r>
            <w:r>
              <w:rPr>
                <w:noProof/>
                <w:webHidden/>
              </w:rPr>
            </w:r>
            <w:r>
              <w:rPr>
                <w:noProof/>
                <w:webHidden/>
              </w:rPr>
              <w:fldChar w:fldCharType="separate"/>
            </w:r>
            <w:r>
              <w:rPr>
                <w:noProof/>
                <w:webHidden/>
              </w:rPr>
              <w:t>11</w:t>
            </w:r>
            <w:r>
              <w:rPr>
                <w:noProof/>
                <w:webHidden/>
              </w:rPr>
              <w:fldChar w:fldCharType="end"/>
            </w:r>
          </w:hyperlink>
        </w:p>
        <w:p w14:paraId="1E9FA3B0" w14:textId="4B7E36EA" w:rsidR="00EC756C" w:rsidRDefault="00EC756C">
          <w:pPr>
            <w:pStyle w:val="TOC2"/>
            <w:rPr>
              <w:rFonts w:asciiTheme="minorHAnsi" w:eastAsiaTheme="minorEastAsia" w:hAnsiTheme="minorHAnsi" w:cstheme="minorBidi"/>
              <w:b w:val="0"/>
              <w:noProof/>
              <w:sz w:val="22"/>
              <w:lang w:eastAsia="en-AU"/>
            </w:rPr>
          </w:pPr>
          <w:hyperlink w:anchor="_Toc63175298" w:history="1">
            <w:r w:rsidRPr="00613462">
              <w:rPr>
                <w:rStyle w:val="Hyperlink"/>
                <w:noProof/>
              </w:rPr>
              <w:t>Nonclinical</w:t>
            </w:r>
            <w:r>
              <w:rPr>
                <w:noProof/>
                <w:webHidden/>
              </w:rPr>
              <w:tab/>
            </w:r>
            <w:r>
              <w:rPr>
                <w:noProof/>
                <w:webHidden/>
              </w:rPr>
              <w:fldChar w:fldCharType="begin"/>
            </w:r>
            <w:r>
              <w:rPr>
                <w:noProof/>
                <w:webHidden/>
              </w:rPr>
              <w:instrText xml:space="preserve"> PAGEREF _Toc63175298 \h </w:instrText>
            </w:r>
            <w:r>
              <w:rPr>
                <w:noProof/>
                <w:webHidden/>
              </w:rPr>
            </w:r>
            <w:r>
              <w:rPr>
                <w:noProof/>
                <w:webHidden/>
              </w:rPr>
              <w:fldChar w:fldCharType="separate"/>
            </w:r>
            <w:r>
              <w:rPr>
                <w:noProof/>
                <w:webHidden/>
              </w:rPr>
              <w:t>11</w:t>
            </w:r>
            <w:r>
              <w:rPr>
                <w:noProof/>
                <w:webHidden/>
              </w:rPr>
              <w:fldChar w:fldCharType="end"/>
            </w:r>
          </w:hyperlink>
        </w:p>
        <w:p w14:paraId="6D576636" w14:textId="5A2CE199" w:rsidR="00EC756C" w:rsidRDefault="00EC756C">
          <w:pPr>
            <w:pStyle w:val="TOC2"/>
            <w:rPr>
              <w:rFonts w:asciiTheme="minorHAnsi" w:eastAsiaTheme="minorEastAsia" w:hAnsiTheme="minorHAnsi" w:cstheme="minorBidi"/>
              <w:b w:val="0"/>
              <w:noProof/>
              <w:sz w:val="22"/>
              <w:lang w:eastAsia="en-AU"/>
            </w:rPr>
          </w:pPr>
          <w:hyperlink w:anchor="_Toc63175299" w:history="1">
            <w:r w:rsidRPr="00613462">
              <w:rPr>
                <w:rStyle w:val="Hyperlink"/>
                <w:noProof/>
              </w:rPr>
              <w:t>Clinical</w:t>
            </w:r>
            <w:r>
              <w:rPr>
                <w:noProof/>
                <w:webHidden/>
              </w:rPr>
              <w:tab/>
            </w:r>
            <w:r>
              <w:rPr>
                <w:noProof/>
                <w:webHidden/>
              </w:rPr>
              <w:fldChar w:fldCharType="begin"/>
            </w:r>
            <w:r>
              <w:rPr>
                <w:noProof/>
                <w:webHidden/>
              </w:rPr>
              <w:instrText xml:space="preserve"> PAGEREF _Toc63175299 \h </w:instrText>
            </w:r>
            <w:r>
              <w:rPr>
                <w:noProof/>
                <w:webHidden/>
              </w:rPr>
            </w:r>
            <w:r>
              <w:rPr>
                <w:noProof/>
                <w:webHidden/>
              </w:rPr>
              <w:fldChar w:fldCharType="separate"/>
            </w:r>
            <w:r>
              <w:rPr>
                <w:noProof/>
                <w:webHidden/>
              </w:rPr>
              <w:t>11</w:t>
            </w:r>
            <w:r>
              <w:rPr>
                <w:noProof/>
                <w:webHidden/>
              </w:rPr>
              <w:fldChar w:fldCharType="end"/>
            </w:r>
          </w:hyperlink>
        </w:p>
        <w:p w14:paraId="4CF911B3" w14:textId="404C60BE" w:rsidR="00EC756C" w:rsidRDefault="00EC756C">
          <w:pPr>
            <w:pStyle w:val="TOC2"/>
            <w:rPr>
              <w:rFonts w:asciiTheme="minorHAnsi" w:eastAsiaTheme="minorEastAsia" w:hAnsiTheme="minorHAnsi" w:cstheme="minorBidi"/>
              <w:b w:val="0"/>
              <w:noProof/>
              <w:sz w:val="22"/>
              <w:lang w:eastAsia="en-AU"/>
            </w:rPr>
          </w:pPr>
          <w:hyperlink w:anchor="_Toc63175300" w:history="1">
            <w:r w:rsidRPr="00613462">
              <w:rPr>
                <w:rStyle w:val="Hyperlink"/>
                <w:noProof/>
              </w:rPr>
              <w:t>Risk management plan</w:t>
            </w:r>
            <w:r>
              <w:rPr>
                <w:noProof/>
                <w:webHidden/>
              </w:rPr>
              <w:tab/>
            </w:r>
            <w:r>
              <w:rPr>
                <w:noProof/>
                <w:webHidden/>
              </w:rPr>
              <w:fldChar w:fldCharType="begin"/>
            </w:r>
            <w:r>
              <w:rPr>
                <w:noProof/>
                <w:webHidden/>
              </w:rPr>
              <w:instrText xml:space="preserve"> PAGEREF _Toc63175300 \h </w:instrText>
            </w:r>
            <w:r>
              <w:rPr>
                <w:noProof/>
                <w:webHidden/>
              </w:rPr>
            </w:r>
            <w:r>
              <w:rPr>
                <w:noProof/>
                <w:webHidden/>
              </w:rPr>
              <w:fldChar w:fldCharType="separate"/>
            </w:r>
            <w:r>
              <w:rPr>
                <w:noProof/>
                <w:webHidden/>
              </w:rPr>
              <w:t>19</w:t>
            </w:r>
            <w:r>
              <w:rPr>
                <w:noProof/>
                <w:webHidden/>
              </w:rPr>
              <w:fldChar w:fldCharType="end"/>
            </w:r>
          </w:hyperlink>
        </w:p>
        <w:p w14:paraId="0A28EDCD" w14:textId="4B6A5DEB" w:rsidR="00EC756C" w:rsidRDefault="00EC756C">
          <w:pPr>
            <w:pStyle w:val="TOC2"/>
            <w:rPr>
              <w:rFonts w:asciiTheme="minorHAnsi" w:eastAsiaTheme="minorEastAsia" w:hAnsiTheme="minorHAnsi" w:cstheme="minorBidi"/>
              <w:b w:val="0"/>
              <w:noProof/>
              <w:sz w:val="22"/>
              <w:lang w:eastAsia="en-AU"/>
            </w:rPr>
          </w:pPr>
          <w:hyperlink w:anchor="_Toc63175301" w:history="1">
            <w:r w:rsidRPr="00613462">
              <w:rPr>
                <w:rStyle w:val="Hyperlink"/>
                <w:noProof/>
              </w:rPr>
              <w:t>Risk-benefit analysis</w:t>
            </w:r>
            <w:r>
              <w:rPr>
                <w:noProof/>
                <w:webHidden/>
              </w:rPr>
              <w:tab/>
            </w:r>
            <w:r>
              <w:rPr>
                <w:noProof/>
                <w:webHidden/>
              </w:rPr>
              <w:fldChar w:fldCharType="begin"/>
            </w:r>
            <w:r>
              <w:rPr>
                <w:noProof/>
                <w:webHidden/>
              </w:rPr>
              <w:instrText xml:space="preserve"> PAGEREF _Toc63175301 \h </w:instrText>
            </w:r>
            <w:r>
              <w:rPr>
                <w:noProof/>
                <w:webHidden/>
              </w:rPr>
            </w:r>
            <w:r>
              <w:rPr>
                <w:noProof/>
                <w:webHidden/>
              </w:rPr>
              <w:fldChar w:fldCharType="separate"/>
            </w:r>
            <w:r>
              <w:rPr>
                <w:noProof/>
                <w:webHidden/>
              </w:rPr>
              <w:t>19</w:t>
            </w:r>
            <w:r>
              <w:rPr>
                <w:noProof/>
                <w:webHidden/>
              </w:rPr>
              <w:fldChar w:fldCharType="end"/>
            </w:r>
          </w:hyperlink>
        </w:p>
        <w:p w14:paraId="5F3788EB" w14:textId="63CC67DD" w:rsidR="00EC756C" w:rsidRDefault="00EC756C">
          <w:pPr>
            <w:pStyle w:val="TOC2"/>
            <w:rPr>
              <w:rFonts w:asciiTheme="minorHAnsi" w:eastAsiaTheme="minorEastAsia" w:hAnsiTheme="minorHAnsi" w:cstheme="minorBidi"/>
              <w:b w:val="0"/>
              <w:noProof/>
              <w:sz w:val="22"/>
              <w:lang w:eastAsia="en-AU"/>
            </w:rPr>
          </w:pPr>
          <w:hyperlink w:anchor="_Toc63175302" w:history="1">
            <w:r w:rsidRPr="00613462">
              <w:rPr>
                <w:rStyle w:val="Hyperlink"/>
                <w:noProof/>
              </w:rPr>
              <w:t>Outcome</w:t>
            </w:r>
            <w:r>
              <w:rPr>
                <w:noProof/>
                <w:webHidden/>
              </w:rPr>
              <w:tab/>
            </w:r>
            <w:r>
              <w:rPr>
                <w:noProof/>
                <w:webHidden/>
              </w:rPr>
              <w:fldChar w:fldCharType="begin"/>
            </w:r>
            <w:r>
              <w:rPr>
                <w:noProof/>
                <w:webHidden/>
              </w:rPr>
              <w:instrText xml:space="preserve"> PAGEREF _Toc63175302 \h </w:instrText>
            </w:r>
            <w:r>
              <w:rPr>
                <w:noProof/>
                <w:webHidden/>
              </w:rPr>
            </w:r>
            <w:r>
              <w:rPr>
                <w:noProof/>
                <w:webHidden/>
              </w:rPr>
              <w:fldChar w:fldCharType="separate"/>
            </w:r>
            <w:r>
              <w:rPr>
                <w:noProof/>
                <w:webHidden/>
              </w:rPr>
              <w:t>24</w:t>
            </w:r>
            <w:r>
              <w:rPr>
                <w:noProof/>
                <w:webHidden/>
              </w:rPr>
              <w:fldChar w:fldCharType="end"/>
            </w:r>
          </w:hyperlink>
        </w:p>
        <w:p w14:paraId="708C8918" w14:textId="249CF436" w:rsidR="00EC756C" w:rsidRDefault="00EC756C">
          <w:pPr>
            <w:pStyle w:val="TOC1"/>
            <w:rPr>
              <w:rFonts w:asciiTheme="minorHAnsi" w:eastAsiaTheme="minorEastAsia" w:hAnsiTheme="minorHAnsi" w:cstheme="minorBidi"/>
              <w:b w:val="0"/>
              <w:noProof/>
              <w:sz w:val="22"/>
              <w:lang w:eastAsia="en-AU"/>
            </w:rPr>
          </w:pPr>
          <w:hyperlink w:anchor="_Toc63175303" w:history="1">
            <w:r w:rsidRPr="00613462">
              <w:rPr>
                <w:rStyle w:val="Hyperlink"/>
                <w:noProof/>
              </w:rPr>
              <w:t>Attachment 1. Product Information</w:t>
            </w:r>
            <w:r>
              <w:rPr>
                <w:noProof/>
                <w:webHidden/>
              </w:rPr>
              <w:tab/>
            </w:r>
            <w:r>
              <w:rPr>
                <w:noProof/>
                <w:webHidden/>
              </w:rPr>
              <w:fldChar w:fldCharType="begin"/>
            </w:r>
            <w:r>
              <w:rPr>
                <w:noProof/>
                <w:webHidden/>
              </w:rPr>
              <w:instrText xml:space="preserve"> PAGEREF _Toc63175303 \h </w:instrText>
            </w:r>
            <w:r>
              <w:rPr>
                <w:noProof/>
                <w:webHidden/>
              </w:rPr>
            </w:r>
            <w:r>
              <w:rPr>
                <w:noProof/>
                <w:webHidden/>
              </w:rPr>
              <w:fldChar w:fldCharType="separate"/>
            </w:r>
            <w:r>
              <w:rPr>
                <w:noProof/>
                <w:webHidden/>
              </w:rPr>
              <w:t>26</w:t>
            </w:r>
            <w:r>
              <w:rPr>
                <w:noProof/>
                <w:webHidden/>
              </w:rPr>
              <w:fldChar w:fldCharType="end"/>
            </w:r>
          </w:hyperlink>
        </w:p>
        <w:p w14:paraId="11701FC1" w14:textId="26032552" w:rsidR="003A7F6C" w:rsidRPr="00B811C6" w:rsidRDefault="00C525A2" w:rsidP="00B811C6">
          <w:pPr>
            <w:pStyle w:val="TOC2"/>
          </w:pPr>
          <w:r>
            <w:fldChar w:fldCharType="end"/>
          </w:r>
        </w:p>
      </w:sdtContent>
    </w:sdt>
    <w:bookmarkStart w:id="3" w:name="_Toc314842482" w:displacedByCustomXml="prev"/>
    <w:p w14:paraId="157EDFF8" w14:textId="77777777" w:rsidR="00FD119B" w:rsidRDefault="00FD119B">
      <w:pPr>
        <w:spacing w:before="0" w:after="200" w:line="0" w:lineRule="auto"/>
      </w:pPr>
      <w:r>
        <w:br w:type="page"/>
      </w:r>
    </w:p>
    <w:p w14:paraId="51C67642" w14:textId="6E8393E0" w:rsidR="00C52E24" w:rsidRPr="00C52E24" w:rsidRDefault="00324E45" w:rsidP="005052B0">
      <w:pPr>
        <w:pStyle w:val="Heading2"/>
      </w:pPr>
      <w:bookmarkStart w:id="4" w:name="_Toc351716269"/>
      <w:bookmarkStart w:id="5" w:name="_Toc351718881"/>
      <w:bookmarkStart w:id="6" w:name="_Toc355338616"/>
      <w:bookmarkStart w:id="7" w:name="_Toc356306144"/>
      <w:bookmarkStart w:id="8" w:name="_Toc63175289"/>
      <w:r>
        <w:t>List of</w:t>
      </w:r>
      <w:r w:rsidR="00FD119B" w:rsidRPr="00FD119B">
        <w:t xml:space="preserve"> abbreviations</w:t>
      </w:r>
      <w:bookmarkEnd w:id="4"/>
      <w:bookmarkEnd w:id="5"/>
      <w:bookmarkEnd w:id="6"/>
      <w:bookmarkEnd w:id="7"/>
      <w:bookmarkEnd w:id="8"/>
    </w:p>
    <w:tbl>
      <w:tblPr>
        <w:tblStyle w:val="TableTGAblue"/>
        <w:tblW w:w="0" w:type="auto"/>
        <w:tblLook w:val="04A0" w:firstRow="1" w:lastRow="0" w:firstColumn="1" w:lastColumn="0" w:noHBand="0" w:noVBand="1"/>
      </w:tblPr>
      <w:tblGrid>
        <w:gridCol w:w="1890"/>
        <w:gridCol w:w="6604"/>
      </w:tblGrid>
      <w:tr w:rsidR="00013E98" w:rsidRPr="00FD119B" w14:paraId="3169640E" w14:textId="77777777" w:rsidTr="00013E98">
        <w:trPr>
          <w:cnfStyle w:val="100000000000" w:firstRow="1" w:lastRow="0" w:firstColumn="0" w:lastColumn="0" w:oddVBand="0" w:evenVBand="0" w:oddHBand="0" w:evenHBand="0" w:firstRowFirstColumn="0" w:firstRowLastColumn="0" w:lastRowFirstColumn="0" w:lastRowLastColumn="0"/>
        </w:trPr>
        <w:tc>
          <w:tcPr>
            <w:tcW w:w="1890" w:type="dxa"/>
            <w:tcBorders>
              <w:top w:val="single" w:sz="4" w:space="0" w:color="auto"/>
              <w:left w:val="single" w:sz="4" w:space="0" w:color="auto"/>
              <w:bottom w:val="single" w:sz="4" w:space="0" w:color="auto"/>
              <w:right w:val="single" w:sz="4" w:space="0" w:color="auto"/>
            </w:tcBorders>
          </w:tcPr>
          <w:p w14:paraId="33F2A4B5" w14:textId="77777777" w:rsidR="00013E98" w:rsidRPr="00013E98" w:rsidRDefault="00013E98" w:rsidP="00013E98">
            <w:r w:rsidRPr="00013E98">
              <w:t>Abbreviation</w:t>
            </w:r>
          </w:p>
        </w:tc>
        <w:tc>
          <w:tcPr>
            <w:tcW w:w="6830" w:type="dxa"/>
            <w:tcBorders>
              <w:top w:val="single" w:sz="4" w:space="0" w:color="auto"/>
              <w:left w:val="single" w:sz="4" w:space="0" w:color="auto"/>
              <w:bottom w:val="single" w:sz="4" w:space="0" w:color="auto"/>
              <w:right w:val="single" w:sz="4" w:space="0" w:color="auto"/>
            </w:tcBorders>
          </w:tcPr>
          <w:p w14:paraId="7EA5959B" w14:textId="77777777" w:rsidR="00013E98" w:rsidRPr="00013E98" w:rsidRDefault="00013E98" w:rsidP="00013E98">
            <w:r w:rsidRPr="00013E98">
              <w:t>Meaning</w:t>
            </w:r>
          </w:p>
        </w:tc>
      </w:tr>
      <w:tr w:rsidR="00013E98" w:rsidRPr="00FD119B" w14:paraId="1DC766C0" w14:textId="77777777" w:rsidTr="00013E98">
        <w:tc>
          <w:tcPr>
            <w:tcW w:w="1890" w:type="dxa"/>
            <w:tcBorders>
              <w:top w:val="single" w:sz="4" w:space="0" w:color="auto"/>
            </w:tcBorders>
          </w:tcPr>
          <w:p w14:paraId="36389BBE" w14:textId="77777777" w:rsidR="00013E98" w:rsidRPr="00013E98" w:rsidRDefault="00013E98" w:rsidP="00013E98">
            <w:r w:rsidRPr="00013E98">
              <w:t>ACM</w:t>
            </w:r>
          </w:p>
        </w:tc>
        <w:tc>
          <w:tcPr>
            <w:tcW w:w="6830" w:type="dxa"/>
            <w:tcBorders>
              <w:top w:val="single" w:sz="4" w:space="0" w:color="auto"/>
            </w:tcBorders>
          </w:tcPr>
          <w:p w14:paraId="34BBA576" w14:textId="77777777" w:rsidR="00013E98" w:rsidRPr="00013E98" w:rsidRDefault="00013E98" w:rsidP="00013E98">
            <w:r w:rsidRPr="00013E98">
              <w:t>Advisory Committee on Medicines</w:t>
            </w:r>
          </w:p>
        </w:tc>
      </w:tr>
      <w:tr w:rsidR="00B95A9E" w:rsidRPr="00FD119B" w14:paraId="2041717B" w14:textId="77777777" w:rsidTr="00013E98">
        <w:tc>
          <w:tcPr>
            <w:tcW w:w="1890" w:type="dxa"/>
            <w:tcBorders>
              <w:top w:val="single" w:sz="4" w:space="0" w:color="auto"/>
            </w:tcBorders>
          </w:tcPr>
          <w:p w14:paraId="0E4A3459" w14:textId="7AAB1270" w:rsidR="00B95A9E" w:rsidRPr="00013E98" w:rsidRDefault="00B95A9E" w:rsidP="00013E98">
            <w:r>
              <w:t>AE</w:t>
            </w:r>
          </w:p>
        </w:tc>
        <w:tc>
          <w:tcPr>
            <w:tcW w:w="6830" w:type="dxa"/>
            <w:tcBorders>
              <w:top w:val="single" w:sz="4" w:space="0" w:color="auto"/>
            </w:tcBorders>
          </w:tcPr>
          <w:p w14:paraId="4FC6FF6A" w14:textId="303B5674" w:rsidR="00B95A9E" w:rsidRPr="00013E98" w:rsidRDefault="00B95A9E" w:rsidP="00013E98">
            <w:r>
              <w:t>Adverse event</w:t>
            </w:r>
          </w:p>
        </w:tc>
      </w:tr>
      <w:tr w:rsidR="00505E17" w:rsidRPr="00FD119B" w14:paraId="4E892E17" w14:textId="77777777" w:rsidTr="00013E98">
        <w:tc>
          <w:tcPr>
            <w:tcW w:w="1890" w:type="dxa"/>
            <w:tcBorders>
              <w:top w:val="single" w:sz="4" w:space="0" w:color="auto"/>
            </w:tcBorders>
          </w:tcPr>
          <w:p w14:paraId="04A211F6" w14:textId="7106F019" w:rsidR="00505E17" w:rsidRPr="00013E98" w:rsidRDefault="00505E17" w:rsidP="00013E98">
            <w:r>
              <w:t>Anti-TNF-IR</w:t>
            </w:r>
          </w:p>
        </w:tc>
        <w:tc>
          <w:tcPr>
            <w:tcW w:w="6830" w:type="dxa"/>
            <w:tcBorders>
              <w:top w:val="single" w:sz="4" w:space="0" w:color="auto"/>
            </w:tcBorders>
          </w:tcPr>
          <w:p w14:paraId="5897B1B4" w14:textId="2F495547" w:rsidR="00505E17" w:rsidRPr="00013E98" w:rsidRDefault="00505E17" w:rsidP="00013E98">
            <w:r>
              <w:t>Inadequate/intolerant anti-tumour necrosis factor responder</w:t>
            </w:r>
          </w:p>
        </w:tc>
      </w:tr>
      <w:tr w:rsidR="00013E98" w:rsidRPr="00FD119B" w14:paraId="4BEBC0D6" w14:textId="77777777" w:rsidTr="00013E98">
        <w:tc>
          <w:tcPr>
            <w:tcW w:w="1890" w:type="dxa"/>
          </w:tcPr>
          <w:p w14:paraId="05BDA726" w14:textId="77777777" w:rsidR="00013E98" w:rsidRPr="00013E98" w:rsidRDefault="00013E98" w:rsidP="00013E98">
            <w:r w:rsidRPr="00013E98">
              <w:t>ARTG</w:t>
            </w:r>
          </w:p>
        </w:tc>
        <w:tc>
          <w:tcPr>
            <w:tcW w:w="6830" w:type="dxa"/>
          </w:tcPr>
          <w:p w14:paraId="57C216A6" w14:textId="77777777" w:rsidR="00013E98" w:rsidRPr="00013E98" w:rsidRDefault="00013E98" w:rsidP="00013E98">
            <w:r w:rsidRPr="00013E98">
              <w:t>Australian Register of Therapeutic Goods</w:t>
            </w:r>
          </w:p>
        </w:tc>
      </w:tr>
      <w:tr w:rsidR="00013E98" w:rsidRPr="00FD119B" w14:paraId="7AB813D7" w14:textId="77777777" w:rsidTr="00013E98">
        <w:tc>
          <w:tcPr>
            <w:tcW w:w="1890" w:type="dxa"/>
          </w:tcPr>
          <w:p w14:paraId="2E51A61D" w14:textId="77777777" w:rsidR="00013E98" w:rsidRDefault="00013E98" w:rsidP="00CF5DAD">
            <w:r>
              <w:t>AS</w:t>
            </w:r>
          </w:p>
        </w:tc>
        <w:tc>
          <w:tcPr>
            <w:tcW w:w="6830" w:type="dxa"/>
          </w:tcPr>
          <w:p w14:paraId="0D5E6E3F" w14:textId="77777777" w:rsidR="00013E98" w:rsidRDefault="00013E98" w:rsidP="00CF5DAD">
            <w:r>
              <w:t>Ankylosing spondylitis</w:t>
            </w:r>
          </w:p>
        </w:tc>
      </w:tr>
      <w:tr w:rsidR="006C6B2D" w:rsidRPr="00FD119B" w14:paraId="4E45C641" w14:textId="77777777" w:rsidTr="00013E98">
        <w:tc>
          <w:tcPr>
            <w:tcW w:w="1890" w:type="dxa"/>
          </w:tcPr>
          <w:p w14:paraId="29B49564" w14:textId="43351CFA" w:rsidR="006C6B2D" w:rsidRDefault="006C6B2D" w:rsidP="00CF5DAD">
            <w:r>
              <w:t>ASAS</w:t>
            </w:r>
          </w:p>
        </w:tc>
        <w:tc>
          <w:tcPr>
            <w:tcW w:w="6830" w:type="dxa"/>
          </w:tcPr>
          <w:p w14:paraId="0FD3E004" w14:textId="0CC0979B" w:rsidR="006C6B2D" w:rsidRDefault="006C6B2D" w:rsidP="00CF5DAD">
            <w:r w:rsidRPr="006C6B2D">
              <w:t xml:space="preserve">Assessment of </w:t>
            </w:r>
            <w:proofErr w:type="spellStart"/>
            <w:r w:rsidRPr="006C6B2D">
              <w:t>SpondyloArthritis</w:t>
            </w:r>
            <w:proofErr w:type="spellEnd"/>
            <w:r w:rsidRPr="006C6B2D">
              <w:t xml:space="preserve"> International Society</w:t>
            </w:r>
          </w:p>
        </w:tc>
      </w:tr>
      <w:tr w:rsidR="006C6B2D" w:rsidRPr="00FD119B" w14:paraId="1361E408" w14:textId="77777777" w:rsidTr="00013E98">
        <w:tc>
          <w:tcPr>
            <w:tcW w:w="1890" w:type="dxa"/>
          </w:tcPr>
          <w:p w14:paraId="7555C77C" w14:textId="2B35397B" w:rsidR="006C6B2D" w:rsidRDefault="00526DA4" w:rsidP="006C6B2D">
            <w:r>
              <w:t>ASAS</w:t>
            </w:r>
            <w:r w:rsidR="006C6B2D">
              <w:t>20</w:t>
            </w:r>
          </w:p>
        </w:tc>
        <w:tc>
          <w:tcPr>
            <w:tcW w:w="6830" w:type="dxa"/>
          </w:tcPr>
          <w:p w14:paraId="76D2E32B" w14:textId="6B9DDB42" w:rsidR="006C6B2D" w:rsidRPr="006C6B2D" w:rsidRDefault="006C6B2D" w:rsidP="0038701A">
            <w:r w:rsidRPr="006C6B2D">
              <w:t xml:space="preserve">Assessment of </w:t>
            </w:r>
            <w:proofErr w:type="spellStart"/>
            <w:r w:rsidRPr="006C6B2D">
              <w:t>SpondyloArthritis</w:t>
            </w:r>
            <w:proofErr w:type="spellEnd"/>
            <w:r w:rsidRPr="006C6B2D">
              <w:t xml:space="preserve"> International Society</w:t>
            </w:r>
            <w:r>
              <w:t xml:space="preserve"> 20% </w:t>
            </w:r>
            <w:r w:rsidR="0038701A">
              <w:t>response</w:t>
            </w:r>
          </w:p>
        </w:tc>
      </w:tr>
      <w:tr w:rsidR="006C6B2D" w:rsidRPr="00FD119B" w14:paraId="17EBE40F" w14:textId="77777777" w:rsidTr="00013E98">
        <w:tc>
          <w:tcPr>
            <w:tcW w:w="1890" w:type="dxa"/>
          </w:tcPr>
          <w:p w14:paraId="293C8584" w14:textId="23EE82FB" w:rsidR="006C6B2D" w:rsidRDefault="00526DA4" w:rsidP="006C6B2D">
            <w:r>
              <w:t>ASAS</w:t>
            </w:r>
            <w:r w:rsidR="006C6B2D">
              <w:t>40</w:t>
            </w:r>
          </w:p>
        </w:tc>
        <w:tc>
          <w:tcPr>
            <w:tcW w:w="6830" w:type="dxa"/>
          </w:tcPr>
          <w:p w14:paraId="11DAF4BE" w14:textId="5131191C" w:rsidR="006C6B2D" w:rsidRPr="006C6B2D" w:rsidRDefault="006C6B2D" w:rsidP="00866B9B">
            <w:r w:rsidRPr="006C6B2D">
              <w:t xml:space="preserve">Assessment of </w:t>
            </w:r>
            <w:proofErr w:type="spellStart"/>
            <w:r w:rsidRPr="006C6B2D">
              <w:t>SpondyloArthritis</w:t>
            </w:r>
            <w:proofErr w:type="spellEnd"/>
            <w:r w:rsidRPr="006C6B2D">
              <w:t xml:space="preserve"> International Society</w:t>
            </w:r>
            <w:r>
              <w:t xml:space="preserve"> 40% </w:t>
            </w:r>
            <w:r w:rsidR="00866B9B">
              <w:t>response</w:t>
            </w:r>
          </w:p>
        </w:tc>
      </w:tr>
      <w:tr w:rsidR="00866B9B" w:rsidRPr="00FD119B" w14:paraId="4FF9F686" w14:textId="77777777" w:rsidTr="00013E98">
        <w:tc>
          <w:tcPr>
            <w:tcW w:w="1890" w:type="dxa"/>
          </w:tcPr>
          <w:p w14:paraId="106FE2EF" w14:textId="77177F77" w:rsidR="00866B9B" w:rsidRDefault="00526DA4" w:rsidP="006C6B2D">
            <w:r>
              <w:t xml:space="preserve">ASAS </w:t>
            </w:r>
            <w:r w:rsidR="00866B9B">
              <w:t>5/6</w:t>
            </w:r>
          </w:p>
        </w:tc>
        <w:tc>
          <w:tcPr>
            <w:tcW w:w="6830" w:type="dxa"/>
          </w:tcPr>
          <w:p w14:paraId="2F61A4BF" w14:textId="57F163E0" w:rsidR="00866B9B" w:rsidRPr="006C6B2D" w:rsidRDefault="00866B9B" w:rsidP="00866B9B">
            <w:r w:rsidRPr="006C6B2D">
              <w:t xml:space="preserve">Assessment of </w:t>
            </w:r>
            <w:proofErr w:type="spellStart"/>
            <w:r w:rsidRPr="006C6B2D">
              <w:t>SpondyloArthritis</w:t>
            </w:r>
            <w:proofErr w:type="spellEnd"/>
            <w:r w:rsidRPr="006C6B2D">
              <w:t xml:space="preserve"> International Society</w:t>
            </w:r>
            <w:r>
              <w:t xml:space="preserve"> 5/6 response</w:t>
            </w:r>
          </w:p>
        </w:tc>
      </w:tr>
      <w:tr w:rsidR="006C6B2D" w:rsidRPr="00FD119B" w14:paraId="4339C6E0" w14:textId="77777777" w:rsidTr="00013E98">
        <w:tc>
          <w:tcPr>
            <w:tcW w:w="1890" w:type="dxa"/>
          </w:tcPr>
          <w:p w14:paraId="395EB461" w14:textId="48325DA5" w:rsidR="006C6B2D" w:rsidRDefault="006C6B2D" w:rsidP="006C6B2D">
            <w:r>
              <w:t>ASAS PR</w:t>
            </w:r>
          </w:p>
        </w:tc>
        <w:tc>
          <w:tcPr>
            <w:tcW w:w="6830" w:type="dxa"/>
          </w:tcPr>
          <w:p w14:paraId="013AAE35" w14:textId="2BB8A685" w:rsidR="006C6B2D" w:rsidRPr="006C6B2D" w:rsidRDefault="006C6B2D" w:rsidP="006C6B2D">
            <w:r w:rsidRPr="006C6B2D">
              <w:t xml:space="preserve">Assessment of </w:t>
            </w:r>
            <w:proofErr w:type="spellStart"/>
            <w:r w:rsidRPr="006C6B2D">
              <w:t>SpondyloArthritis</w:t>
            </w:r>
            <w:proofErr w:type="spellEnd"/>
            <w:r w:rsidRPr="006C6B2D">
              <w:t xml:space="preserve"> International Society</w:t>
            </w:r>
            <w:r>
              <w:t xml:space="preserve"> partial remission score</w:t>
            </w:r>
          </w:p>
        </w:tc>
      </w:tr>
      <w:tr w:rsidR="0038701A" w:rsidRPr="00FD119B" w14:paraId="02E2439C" w14:textId="77777777" w:rsidTr="00013E98">
        <w:tc>
          <w:tcPr>
            <w:tcW w:w="1890" w:type="dxa"/>
          </w:tcPr>
          <w:p w14:paraId="5EC20845" w14:textId="2527D72A" w:rsidR="0038701A" w:rsidRDefault="0038701A" w:rsidP="006C6B2D">
            <w:proofErr w:type="spellStart"/>
            <w:r>
              <w:t>ASQoL</w:t>
            </w:r>
            <w:proofErr w:type="spellEnd"/>
          </w:p>
        </w:tc>
        <w:tc>
          <w:tcPr>
            <w:tcW w:w="6830" w:type="dxa"/>
          </w:tcPr>
          <w:p w14:paraId="54C41EE6" w14:textId="2A7BB445" w:rsidR="0038701A" w:rsidRPr="006C6B2D" w:rsidRDefault="0038701A" w:rsidP="006C6B2D">
            <w:r>
              <w:t>Ankylosing Spondylitis Quality of Life</w:t>
            </w:r>
          </w:p>
        </w:tc>
      </w:tr>
      <w:tr w:rsidR="006C6B2D" w:rsidRPr="00FD119B" w14:paraId="081905A7" w14:textId="77777777" w:rsidTr="00013E98">
        <w:tc>
          <w:tcPr>
            <w:tcW w:w="1890" w:type="dxa"/>
          </w:tcPr>
          <w:p w14:paraId="02DE1EB6" w14:textId="77777777" w:rsidR="006C6B2D" w:rsidRDefault="006C6B2D" w:rsidP="006C6B2D">
            <w:proofErr w:type="spellStart"/>
            <w:r>
              <w:t>axSpA</w:t>
            </w:r>
            <w:proofErr w:type="spellEnd"/>
          </w:p>
        </w:tc>
        <w:tc>
          <w:tcPr>
            <w:tcW w:w="6830" w:type="dxa"/>
          </w:tcPr>
          <w:p w14:paraId="1E4CEC7C" w14:textId="77777777" w:rsidR="006C6B2D" w:rsidRDefault="006C6B2D" w:rsidP="006C6B2D">
            <w:r>
              <w:t xml:space="preserve">Axial </w:t>
            </w:r>
            <w:proofErr w:type="spellStart"/>
            <w:r>
              <w:t>spondyloarthritis</w:t>
            </w:r>
            <w:proofErr w:type="spellEnd"/>
          </w:p>
        </w:tc>
      </w:tr>
      <w:tr w:rsidR="006C6B2D" w:rsidRPr="00FD119B" w14:paraId="5E88B1EC" w14:textId="77777777" w:rsidTr="00013E98">
        <w:tc>
          <w:tcPr>
            <w:tcW w:w="1890" w:type="dxa"/>
          </w:tcPr>
          <w:p w14:paraId="28E7CE04" w14:textId="64AE1204" w:rsidR="006C6B2D" w:rsidRDefault="006C6B2D" w:rsidP="006C6B2D">
            <w:r>
              <w:t>BASDAI</w:t>
            </w:r>
          </w:p>
        </w:tc>
        <w:tc>
          <w:tcPr>
            <w:tcW w:w="6830" w:type="dxa"/>
          </w:tcPr>
          <w:p w14:paraId="5FD737E8" w14:textId="6EF89647" w:rsidR="006C6B2D" w:rsidRDefault="006C6B2D" w:rsidP="006C6B2D">
            <w:r w:rsidRPr="006C6B2D">
              <w:t>Bath Ankylosing Spondylitis Disease Activity Index</w:t>
            </w:r>
          </w:p>
        </w:tc>
      </w:tr>
      <w:tr w:rsidR="00866B9B" w:rsidRPr="00FD119B" w14:paraId="14BFFC0A" w14:textId="77777777" w:rsidTr="00013E98">
        <w:tc>
          <w:tcPr>
            <w:tcW w:w="1890" w:type="dxa"/>
          </w:tcPr>
          <w:p w14:paraId="495BF36D" w14:textId="159BAB84" w:rsidR="00866B9B" w:rsidRDefault="00866B9B" w:rsidP="006C6B2D">
            <w:r>
              <w:t>BASDAI 50</w:t>
            </w:r>
          </w:p>
        </w:tc>
        <w:tc>
          <w:tcPr>
            <w:tcW w:w="6830" w:type="dxa"/>
          </w:tcPr>
          <w:p w14:paraId="679686D8" w14:textId="4E9BC160" w:rsidR="00866B9B" w:rsidRPr="006C6B2D" w:rsidRDefault="00866B9B" w:rsidP="006C6B2D">
            <w:r>
              <w:t>Ba</w:t>
            </w:r>
            <w:r w:rsidRPr="006C6B2D">
              <w:t>th Ankylosing Spondylitis Disease Activity Index</w:t>
            </w:r>
            <w:r>
              <w:t xml:space="preserve"> ≥ 50% improvement</w:t>
            </w:r>
          </w:p>
        </w:tc>
      </w:tr>
      <w:tr w:rsidR="00E553F2" w:rsidRPr="00FD119B" w14:paraId="462A2EC4" w14:textId="77777777" w:rsidTr="00013E98">
        <w:tc>
          <w:tcPr>
            <w:tcW w:w="1890" w:type="dxa"/>
          </w:tcPr>
          <w:p w14:paraId="056E2F0C" w14:textId="1462FD64" w:rsidR="00E553F2" w:rsidRDefault="00E553F2" w:rsidP="006C6B2D">
            <w:r>
              <w:t>BASFI</w:t>
            </w:r>
          </w:p>
        </w:tc>
        <w:tc>
          <w:tcPr>
            <w:tcW w:w="6830" w:type="dxa"/>
          </w:tcPr>
          <w:p w14:paraId="6F0FA497" w14:textId="27C573E3" w:rsidR="00E553F2" w:rsidRPr="006C6B2D" w:rsidRDefault="00E553F2" w:rsidP="006C6B2D">
            <w:r w:rsidRPr="00E553F2">
              <w:t>Bath Ankylosing Spondylitis Functional Index</w:t>
            </w:r>
          </w:p>
        </w:tc>
      </w:tr>
      <w:tr w:rsidR="00597474" w:rsidRPr="00FD119B" w14:paraId="176B9102" w14:textId="77777777" w:rsidTr="00013E98">
        <w:tc>
          <w:tcPr>
            <w:tcW w:w="1890" w:type="dxa"/>
          </w:tcPr>
          <w:p w14:paraId="73092788" w14:textId="6B9E622C" w:rsidR="00597474" w:rsidRDefault="00597474" w:rsidP="006C6B2D">
            <w:r>
              <w:t>CI</w:t>
            </w:r>
          </w:p>
        </w:tc>
        <w:tc>
          <w:tcPr>
            <w:tcW w:w="6830" w:type="dxa"/>
          </w:tcPr>
          <w:p w14:paraId="413E8B1C" w14:textId="21D2FC9F" w:rsidR="00597474" w:rsidRPr="00E553F2" w:rsidRDefault="00597474" w:rsidP="006C6B2D">
            <w:r>
              <w:t>Confidence interval</w:t>
            </w:r>
          </w:p>
        </w:tc>
      </w:tr>
      <w:tr w:rsidR="006C6B2D" w:rsidRPr="00FD119B" w14:paraId="7C8EB1B0" w14:textId="77777777" w:rsidTr="00013E98">
        <w:tc>
          <w:tcPr>
            <w:tcW w:w="1890" w:type="dxa"/>
          </w:tcPr>
          <w:p w14:paraId="42FA8F6A" w14:textId="77777777" w:rsidR="006C6B2D" w:rsidRPr="00270E4A" w:rsidRDefault="006C6B2D" w:rsidP="006C6B2D">
            <w:pPr>
              <w:rPr>
                <w:vertAlign w:val="subscript"/>
              </w:rPr>
            </w:pPr>
            <w:proofErr w:type="spellStart"/>
            <w:r>
              <w:t>C</w:t>
            </w:r>
            <w:r>
              <w:rPr>
                <w:vertAlign w:val="subscript"/>
              </w:rPr>
              <w:t>min</w:t>
            </w:r>
            <w:proofErr w:type="spellEnd"/>
          </w:p>
        </w:tc>
        <w:tc>
          <w:tcPr>
            <w:tcW w:w="6830" w:type="dxa"/>
          </w:tcPr>
          <w:p w14:paraId="215CB4BE" w14:textId="77777777" w:rsidR="006C6B2D" w:rsidRDefault="006C6B2D" w:rsidP="006C6B2D">
            <w:r>
              <w:t>Minimum concentration</w:t>
            </w:r>
          </w:p>
        </w:tc>
      </w:tr>
      <w:tr w:rsidR="00E9139B" w:rsidRPr="00FD119B" w14:paraId="1C82761A" w14:textId="77777777" w:rsidTr="00013E98">
        <w:tc>
          <w:tcPr>
            <w:tcW w:w="1890" w:type="dxa"/>
          </w:tcPr>
          <w:p w14:paraId="7451D03C" w14:textId="37A9DB9C" w:rsidR="00E9139B" w:rsidRDefault="00E9139B" w:rsidP="006C6B2D">
            <w:r>
              <w:t>CHMP</w:t>
            </w:r>
          </w:p>
        </w:tc>
        <w:tc>
          <w:tcPr>
            <w:tcW w:w="6830" w:type="dxa"/>
          </w:tcPr>
          <w:p w14:paraId="01AE731B" w14:textId="13767EA4" w:rsidR="00E9139B" w:rsidRDefault="00E9139B" w:rsidP="006C6B2D">
            <w:r w:rsidRPr="001A3F1E">
              <w:t>Committee for Medicinal Products for Human Use</w:t>
            </w:r>
            <w:r>
              <w:t xml:space="preserve"> (European Union)</w:t>
            </w:r>
          </w:p>
        </w:tc>
      </w:tr>
      <w:tr w:rsidR="00616D96" w:rsidRPr="00FD119B" w14:paraId="5941D259" w14:textId="77777777" w:rsidTr="00013E98">
        <w:tc>
          <w:tcPr>
            <w:tcW w:w="1890" w:type="dxa"/>
          </w:tcPr>
          <w:p w14:paraId="1916D788" w14:textId="29105963" w:rsidR="00616D96" w:rsidRDefault="00616D96" w:rsidP="006C6B2D">
            <w:r>
              <w:t>CRP</w:t>
            </w:r>
          </w:p>
        </w:tc>
        <w:tc>
          <w:tcPr>
            <w:tcW w:w="6830" w:type="dxa"/>
          </w:tcPr>
          <w:p w14:paraId="1C573966" w14:textId="02D0CA96" w:rsidR="00616D96" w:rsidRPr="001A3F1E" w:rsidRDefault="00616D96" w:rsidP="006C6B2D">
            <w:r>
              <w:t>C-reactive protein</w:t>
            </w:r>
          </w:p>
        </w:tc>
      </w:tr>
      <w:tr w:rsidR="006C6B2D" w:rsidRPr="00FD119B" w14:paraId="746BB7CB" w14:textId="77777777" w:rsidTr="00013E98">
        <w:tc>
          <w:tcPr>
            <w:tcW w:w="1890" w:type="dxa"/>
          </w:tcPr>
          <w:p w14:paraId="0943B6E2" w14:textId="77777777" w:rsidR="006C6B2D" w:rsidRDefault="006C6B2D" w:rsidP="006C6B2D">
            <w:r>
              <w:t>CSR</w:t>
            </w:r>
          </w:p>
        </w:tc>
        <w:tc>
          <w:tcPr>
            <w:tcW w:w="6830" w:type="dxa"/>
          </w:tcPr>
          <w:p w14:paraId="05CBBF04" w14:textId="77777777" w:rsidR="006C6B2D" w:rsidRDefault="006C6B2D" w:rsidP="006C6B2D">
            <w:r>
              <w:t>Clinical study report</w:t>
            </w:r>
          </w:p>
        </w:tc>
      </w:tr>
      <w:tr w:rsidR="006C6B2D" w:rsidRPr="00FD119B" w14:paraId="41336069" w14:textId="77777777" w:rsidTr="00013E98">
        <w:tc>
          <w:tcPr>
            <w:tcW w:w="1890" w:type="dxa"/>
          </w:tcPr>
          <w:p w14:paraId="6376E18D" w14:textId="77777777" w:rsidR="006C6B2D" w:rsidRDefault="006C6B2D" w:rsidP="006C6B2D">
            <w:r>
              <w:t>DMARD</w:t>
            </w:r>
          </w:p>
        </w:tc>
        <w:tc>
          <w:tcPr>
            <w:tcW w:w="6830" w:type="dxa"/>
          </w:tcPr>
          <w:p w14:paraId="62B7D355" w14:textId="77777777" w:rsidR="006C6B2D" w:rsidRDefault="006C6B2D" w:rsidP="006C6B2D">
            <w:r>
              <w:t>Disease modifying anti-rheumatic drug</w:t>
            </w:r>
          </w:p>
        </w:tc>
      </w:tr>
      <w:tr w:rsidR="006C6B2D" w:rsidRPr="00FD119B" w14:paraId="655F809E" w14:textId="77777777" w:rsidTr="00013E98">
        <w:tc>
          <w:tcPr>
            <w:tcW w:w="1890" w:type="dxa"/>
          </w:tcPr>
          <w:p w14:paraId="48E43DD6" w14:textId="77777777" w:rsidR="006C6B2D" w:rsidRDefault="006C6B2D" w:rsidP="006C6B2D">
            <w:r>
              <w:t>EU</w:t>
            </w:r>
          </w:p>
        </w:tc>
        <w:tc>
          <w:tcPr>
            <w:tcW w:w="6830" w:type="dxa"/>
          </w:tcPr>
          <w:p w14:paraId="772519E6" w14:textId="77777777" w:rsidR="006C6B2D" w:rsidRDefault="006C6B2D" w:rsidP="006C6B2D">
            <w:r>
              <w:t>European Union</w:t>
            </w:r>
          </w:p>
        </w:tc>
      </w:tr>
      <w:tr w:rsidR="00E9139B" w:rsidRPr="00FD119B" w14:paraId="4C9D1449" w14:textId="77777777" w:rsidTr="00013E98">
        <w:tc>
          <w:tcPr>
            <w:tcW w:w="1890" w:type="dxa"/>
          </w:tcPr>
          <w:p w14:paraId="1AF06A21" w14:textId="62361F5E" w:rsidR="00E9139B" w:rsidRDefault="00E9139B" w:rsidP="006C6B2D">
            <w:r>
              <w:t>FDA</w:t>
            </w:r>
          </w:p>
        </w:tc>
        <w:tc>
          <w:tcPr>
            <w:tcW w:w="6830" w:type="dxa"/>
          </w:tcPr>
          <w:p w14:paraId="142438A0" w14:textId="402BB64D" w:rsidR="00E9139B" w:rsidRDefault="00E9139B" w:rsidP="006C6B2D">
            <w:r>
              <w:t>Food and Drug Administration (United States)</w:t>
            </w:r>
          </w:p>
        </w:tc>
      </w:tr>
      <w:tr w:rsidR="006C6B2D" w:rsidRPr="00FD119B" w14:paraId="6AE4346E" w14:textId="77777777" w:rsidTr="00013E98">
        <w:tc>
          <w:tcPr>
            <w:tcW w:w="1890" w:type="dxa"/>
          </w:tcPr>
          <w:p w14:paraId="1BD6152D" w14:textId="77777777" w:rsidR="006C6B2D" w:rsidRDefault="006C6B2D" w:rsidP="006C6B2D">
            <w:proofErr w:type="spellStart"/>
            <w:r>
              <w:t>hsCRP</w:t>
            </w:r>
            <w:proofErr w:type="spellEnd"/>
          </w:p>
        </w:tc>
        <w:tc>
          <w:tcPr>
            <w:tcW w:w="6830" w:type="dxa"/>
          </w:tcPr>
          <w:p w14:paraId="7EF728C6" w14:textId="77777777" w:rsidR="006C6B2D" w:rsidRDefault="006C6B2D" w:rsidP="006C6B2D">
            <w:r>
              <w:t>High sensitivity C-reactive protein</w:t>
            </w:r>
          </w:p>
        </w:tc>
      </w:tr>
      <w:tr w:rsidR="006C6B2D" w:rsidRPr="00FD119B" w14:paraId="40DD5AD6" w14:textId="77777777" w:rsidTr="00013E98">
        <w:tc>
          <w:tcPr>
            <w:tcW w:w="1890" w:type="dxa"/>
          </w:tcPr>
          <w:p w14:paraId="4FBC4D95" w14:textId="77777777" w:rsidR="006C6B2D" w:rsidRPr="00013E98" w:rsidRDefault="006C6B2D" w:rsidP="006C6B2D">
            <w:r w:rsidRPr="00013E98">
              <w:t>IgG1</w:t>
            </w:r>
          </w:p>
        </w:tc>
        <w:tc>
          <w:tcPr>
            <w:tcW w:w="6830" w:type="dxa"/>
          </w:tcPr>
          <w:p w14:paraId="05F91D15" w14:textId="77777777" w:rsidR="006C6B2D" w:rsidRPr="00013E98" w:rsidRDefault="006C6B2D" w:rsidP="006C6B2D">
            <w:r w:rsidRPr="00013E98">
              <w:t>Immunoglobulin G1</w:t>
            </w:r>
          </w:p>
        </w:tc>
      </w:tr>
      <w:tr w:rsidR="006C6B2D" w:rsidRPr="00FD119B" w14:paraId="6F7BDA75" w14:textId="77777777" w:rsidTr="00013E98">
        <w:tc>
          <w:tcPr>
            <w:tcW w:w="1890" w:type="dxa"/>
          </w:tcPr>
          <w:p w14:paraId="06F2A407" w14:textId="77777777" w:rsidR="006C6B2D" w:rsidRDefault="006C6B2D" w:rsidP="006C6B2D">
            <w:r>
              <w:t>IL-17</w:t>
            </w:r>
          </w:p>
        </w:tc>
        <w:tc>
          <w:tcPr>
            <w:tcW w:w="6830" w:type="dxa"/>
          </w:tcPr>
          <w:p w14:paraId="258B63AE" w14:textId="77777777" w:rsidR="006C6B2D" w:rsidRDefault="006C6B2D" w:rsidP="006C6B2D">
            <w:r>
              <w:t>Interleukin 17</w:t>
            </w:r>
          </w:p>
        </w:tc>
      </w:tr>
      <w:tr w:rsidR="006C6B2D" w:rsidRPr="00FD119B" w14:paraId="3A577DB8" w14:textId="77777777" w:rsidTr="00013E98">
        <w:tc>
          <w:tcPr>
            <w:tcW w:w="1890" w:type="dxa"/>
          </w:tcPr>
          <w:p w14:paraId="7D78A8F2" w14:textId="77777777" w:rsidR="006C6B2D" w:rsidRDefault="006C6B2D" w:rsidP="006C6B2D">
            <w:r>
              <w:t>IV</w:t>
            </w:r>
          </w:p>
        </w:tc>
        <w:tc>
          <w:tcPr>
            <w:tcW w:w="6830" w:type="dxa"/>
          </w:tcPr>
          <w:p w14:paraId="18F6423B" w14:textId="77777777" w:rsidR="006C6B2D" w:rsidRDefault="006C6B2D" w:rsidP="006C6B2D">
            <w:r>
              <w:t>Intravenous</w:t>
            </w:r>
          </w:p>
        </w:tc>
      </w:tr>
      <w:tr w:rsidR="008746B6" w:rsidRPr="00FD119B" w14:paraId="387C3E5A" w14:textId="77777777" w:rsidTr="00013E98">
        <w:tc>
          <w:tcPr>
            <w:tcW w:w="1890" w:type="dxa"/>
          </w:tcPr>
          <w:p w14:paraId="338A8A1E" w14:textId="7694818C" w:rsidR="008746B6" w:rsidRDefault="008746B6" w:rsidP="006C6B2D">
            <w:r>
              <w:t>MRI</w:t>
            </w:r>
          </w:p>
        </w:tc>
        <w:tc>
          <w:tcPr>
            <w:tcW w:w="6830" w:type="dxa"/>
          </w:tcPr>
          <w:p w14:paraId="64E17617" w14:textId="235960B2" w:rsidR="008746B6" w:rsidRDefault="008746B6" w:rsidP="006C6B2D">
            <w:r>
              <w:t>Magnetic resonance imaging</w:t>
            </w:r>
          </w:p>
        </w:tc>
      </w:tr>
      <w:tr w:rsidR="006C6B2D" w:rsidRPr="00FD119B" w14:paraId="1525C8B0" w14:textId="77777777" w:rsidTr="00013E98">
        <w:tc>
          <w:tcPr>
            <w:tcW w:w="1890" w:type="dxa"/>
          </w:tcPr>
          <w:p w14:paraId="497EBCBB" w14:textId="77777777" w:rsidR="006C6B2D" w:rsidRDefault="006C6B2D" w:rsidP="006C6B2D">
            <w:proofErr w:type="spellStart"/>
            <w:r>
              <w:t>nr-axSpA</w:t>
            </w:r>
            <w:proofErr w:type="spellEnd"/>
          </w:p>
        </w:tc>
        <w:tc>
          <w:tcPr>
            <w:tcW w:w="6830" w:type="dxa"/>
          </w:tcPr>
          <w:p w14:paraId="1E1B3750" w14:textId="77777777" w:rsidR="006C6B2D" w:rsidRDefault="006C6B2D" w:rsidP="006C6B2D">
            <w:proofErr w:type="spellStart"/>
            <w:r w:rsidRPr="00235BD8">
              <w:t>Nonradiographic</w:t>
            </w:r>
            <w:proofErr w:type="spellEnd"/>
            <w:r w:rsidRPr="00235BD8">
              <w:t xml:space="preserve"> axial </w:t>
            </w:r>
            <w:proofErr w:type="spellStart"/>
            <w:r w:rsidRPr="00235BD8">
              <w:t>spondyloarthritis</w:t>
            </w:r>
            <w:proofErr w:type="spellEnd"/>
          </w:p>
        </w:tc>
      </w:tr>
      <w:tr w:rsidR="00597474" w:rsidRPr="00FD119B" w14:paraId="01073DEE" w14:textId="77777777" w:rsidTr="00013E98">
        <w:tc>
          <w:tcPr>
            <w:tcW w:w="1890" w:type="dxa"/>
          </w:tcPr>
          <w:p w14:paraId="75D693E0" w14:textId="2F62CF40" w:rsidR="00597474" w:rsidRDefault="00597474" w:rsidP="006C6B2D">
            <w:r>
              <w:t>NRI</w:t>
            </w:r>
          </w:p>
        </w:tc>
        <w:tc>
          <w:tcPr>
            <w:tcW w:w="6830" w:type="dxa"/>
          </w:tcPr>
          <w:p w14:paraId="43F3F4E8" w14:textId="2F9D73E5" w:rsidR="00597474" w:rsidRPr="00235BD8" w:rsidRDefault="00597474" w:rsidP="006C6B2D">
            <w:r>
              <w:t>Non-responder imputation</w:t>
            </w:r>
          </w:p>
        </w:tc>
      </w:tr>
      <w:tr w:rsidR="006C6B2D" w:rsidRPr="00FD119B" w14:paraId="0BA1442D" w14:textId="77777777" w:rsidTr="00013E98">
        <w:tc>
          <w:tcPr>
            <w:tcW w:w="1890" w:type="dxa"/>
          </w:tcPr>
          <w:p w14:paraId="6590CC7F" w14:textId="77777777" w:rsidR="006C6B2D" w:rsidRDefault="006C6B2D" w:rsidP="006C6B2D">
            <w:r>
              <w:t>NSAID</w:t>
            </w:r>
          </w:p>
        </w:tc>
        <w:tc>
          <w:tcPr>
            <w:tcW w:w="6830" w:type="dxa"/>
          </w:tcPr>
          <w:p w14:paraId="7F0205B1" w14:textId="77777777" w:rsidR="006C6B2D" w:rsidRDefault="006C6B2D" w:rsidP="006C6B2D">
            <w:r>
              <w:t>Nonsteroidal anti-inflammatory drug</w:t>
            </w:r>
          </w:p>
        </w:tc>
      </w:tr>
      <w:tr w:rsidR="00597474" w:rsidRPr="00FD119B" w14:paraId="1B46D7AC" w14:textId="77777777" w:rsidTr="00013E98">
        <w:tc>
          <w:tcPr>
            <w:tcW w:w="1890" w:type="dxa"/>
          </w:tcPr>
          <w:p w14:paraId="5CDC051E" w14:textId="1751D79A" w:rsidR="00597474" w:rsidRDefault="00597474" w:rsidP="006C6B2D">
            <w:r>
              <w:t>OR</w:t>
            </w:r>
          </w:p>
        </w:tc>
        <w:tc>
          <w:tcPr>
            <w:tcW w:w="6830" w:type="dxa"/>
          </w:tcPr>
          <w:p w14:paraId="7FBD4682" w14:textId="2769B352" w:rsidR="00597474" w:rsidRDefault="00597474" w:rsidP="006C6B2D">
            <w:r>
              <w:t>Odds ratio</w:t>
            </w:r>
          </w:p>
        </w:tc>
      </w:tr>
      <w:tr w:rsidR="008746B6" w:rsidRPr="00FD119B" w14:paraId="2BCB6F38" w14:textId="77777777" w:rsidTr="00013E98">
        <w:tc>
          <w:tcPr>
            <w:tcW w:w="1890" w:type="dxa"/>
          </w:tcPr>
          <w:p w14:paraId="18E6A982" w14:textId="63C5CD3C" w:rsidR="008746B6" w:rsidRDefault="008746B6" w:rsidP="006C6B2D">
            <w:r>
              <w:t>OSI</w:t>
            </w:r>
          </w:p>
        </w:tc>
        <w:tc>
          <w:tcPr>
            <w:tcW w:w="6830" w:type="dxa"/>
          </w:tcPr>
          <w:p w14:paraId="64019559" w14:textId="7875BAF3" w:rsidR="008746B6" w:rsidRDefault="008746B6" w:rsidP="006C6B2D">
            <w:r>
              <w:t>Objective signs of inflammation</w:t>
            </w:r>
          </w:p>
        </w:tc>
      </w:tr>
      <w:tr w:rsidR="006C6B2D" w:rsidRPr="00FD119B" w14:paraId="63614EB2" w14:textId="77777777" w:rsidTr="00013E98">
        <w:tc>
          <w:tcPr>
            <w:tcW w:w="1890" w:type="dxa"/>
          </w:tcPr>
          <w:p w14:paraId="44C122FA" w14:textId="77777777" w:rsidR="006C6B2D" w:rsidRDefault="006C6B2D" w:rsidP="006C6B2D">
            <w:r>
              <w:t>PI</w:t>
            </w:r>
          </w:p>
        </w:tc>
        <w:tc>
          <w:tcPr>
            <w:tcW w:w="6830" w:type="dxa"/>
          </w:tcPr>
          <w:p w14:paraId="4067A63D" w14:textId="77777777" w:rsidR="006C6B2D" w:rsidRDefault="006C6B2D" w:rsidP="006C6B2D">
            <w:r>
              <w:t>Product Information</w:t>
            </w:r>
          </w:p>
        </w:tc>
      </w:tr>
      <w:tr w:rsidR="00B95A9E" w:rsidRPr="00FD119B" w14:paraId="4A2C5F33" w14:textId="77777777" w:rsidTr="00013E98">
        <w:tc>
          <w:tcPr>
            <w:tcW w:w="1890" w:type="dxa"/>
          </w:tcPr>
          <w:p w14:paraId="74C767FD" w14:textId="27730A8D" w:rsidR="00B95A9E" w:rsidRDefault="00B95A9E" w:rsidP="006C6B2D">
            <w:r>
              <w:t>PT</w:t>
            </w:r>
          </w:p>
        </w:tc>
        <w:tc>
          <w:tcPr>
            <w:tcW w:w="6830" w:type="dxa"/>
          </w:tcPr>
          <w:p w14:paraId="20ED4993" w14:textId="607398E9" w:rsidR="00B95A9E" w:rsidRDefault="00B95A9E" w:rsidP="006C6B2D">
            <w:r>
              <w:t>Preferred Term</w:t>
            </w:r>
          </w:p>
        </w:tc>
      </w:tr>
      <w:tr w:rsidR="006C6B2D" w:rsidRPr="00FD119B" w14:paraId="652EFEE6" w14:textId="77777777" w:rsidTr="00013E98">
        <w:tc>
          <w:tcPr>
            <w:tcW w:w="1890" w:type="dxa"/>
          </w:tcPr>
          <w:p w14:paraId="2714E905" w14:textId="77777777" w:rsidR="006C6B2D" w:rsidRDefault="006C6B2D" w:rsidP="006C6B2D">
            <w:r>
              <w:t>PY</w:t>
            </w:r>
          </w:p>
        </w:tc>
        <w:tc>
          <w:tcPr>
            <w:tcW w:w="6830" w:type="dxa"/>
          </w:tcPr>
          <w:p w14:paraId="683C1CF0" w14:textId="77777777" w:rsidR="006C6B2D" w:rsidRDefault="006C6B2D" w:rsidP="006C6B2D">
            <w:r>
              <w:t>Patient years</w:t>
            </w:r>
          </w:p>
        </w:tc>
      </w:tr>
      <w:tr w:rsidR="006C6B2D" w:rsidRPr="00FD119B" w14:paraId="48A931CA" w14:textId="77777777" w:rsidTr="00013E98">
        <w:tc>
          <w:tcPr>
            <w:tcW w:w="1890" w:type="dxa"/>
          </w:tcPr>
          <w:p w14:paraId="1593BAA4" w14:textId="77777777" w:rsidR="006C6B2D" w:rsidRDefault="006C6B2D" w:rsidP="006C6B2D">
            <w:r>
              <w:t>Q4W</w:t>
            </w:r>
          </w:p>
        </w:tc>
        <w:tc>
          <w:tcPr>
            <w:tcW w:w="6830" w:type="dxa"/>
          </w:tcPr>
          <w:p w14:paraId="5F6BE125" w14:textId="77777777" w:rsidR="006C6B2D" w:rsidRDefault="006C6B2D" w:rsidP="006C6B2D">
            <w:r>
              <w:t>Every 4 weeks</w:t>
            </w:r>
          </w:p>
        </w:tc>
      </w:tr>
      <w:tr w:rsidR="008746B6" w:rsidRPr="00FD119B" w14:paraId="2CF719D2" w14:textId="77777777" w:rsidTr="00013E98">
        <w:tc>
          <w:tcPr>
            <w:tcW w:w="1890" w:type="dxa"/>
          </w:tcPr>
          <w:p w14:paraId="5A105706" w14:textId="65C65DA9" w:rsidR="008746B6" w:rsidRDefault="008746B6" w:rsidP="006C6B2D">
            <w:r>
              <w:t>r-</w:t>
            </w:r>
            <w:proofErr w:type="spellStart"/>
            <w:r>
              <w:t>axSpA</w:t>
            </w:r>
            <w:proofErr w:type="spellEnd"/>
          </w:p>
        </w:tc>
        <w:tc>
          <w:tcPr>
            <w:tcW w:w="6830" w:type="dxa"/>
          </w:tcPr>
          <w:p w14:paraId="3FE7716C" w14:textId="7CB81B90" w:rsidR="008746B6" w:rsidRDefault="008746B6" w:rsidP="006C6B2D">
            <w:r>
              <w:t xml:space="preserve">Radiographic axial </w:t>
            </w:r>
            <w:proofErr w:type="spellStart"/>
            <w:r>
              <w:t>spondyloarthritis</w:t>
            </w:r>
            <w:proofErr w:type="spellEnd"/>
          </w:p>
        </w:tc>
      </w:tr>
      <w:tr w:rsidR="00B95A9E" w:rsidRPr="00FD119B" w14:paraId="55B95871" w14:textId="77777777" w:rsidTr="00013E98">
        <w:tc>
          <w:tcPr>
            <w:tcW w:w="1890" w:type="dxa"/>
          </w:tcPr>
          <w:p w14:paraId="07F8C505" w14:textId="7812971F" w:rsidR="00B95A9E" w:rsidRDefault="00B95A9E" w:rsidP="006C6B2D">
            <w:r>
              <w:t>RMP</w:t>
            </w:r>
          </w:p>
        </w:tc>
        <w:tc>
          <w:tcPr>
            <w:tcW w:w="6830" w:type="dxa"/>
          </w:tcPr>
          <w:p w14:paraId="6DAB0A5C" w14:textId="57E8411F" w:rsidR="00B95A9E" w:rsidRDefault="00B95A9E" w:rsidP="006C6B2D">
            <w:r>
              <w:t>Risk management plan</w:t>
            </w:r>
          </w:p>
        </w:tc>
      </w:tr>
      <w:tr w:rsidR="006C6B2D" w:rsidRPr="00FD119B" w14:paraId="305000FB" w14:textId="77777777" w:rsidTr="00013E98">
        <w:tc>
          <w:tcPr>
            <w:tcW w:w="1890" w:type="dxa"/>
          </w:tcPr>
          <w:p w14:paraId="1DE7FB0F" w14:textId="77777777" w:rsidR="006C6B2D" w:rsidRDefault="006C6B2D" w:rsidP="006C6B2D">
            <w:r>
              <w:t>SAE</w:t>
            </w:r>
          </w:p>
        </w:tc>
        <w:tc>
          <w:tcPr>
            <w:tcW w:w="6830" w:type="dxa"/>
          </w:tcPr>
          <w:p w14:paraId="67973EC5" w14:textId="77777777" w:rsidR="006C6B2D" w:rsidRDefault="006C6B2D" w:rsidP="006C6B2D">
            <w:r>
              <w:t>Serious adverse event</w:t>
            </w:r>
          </w:p>
        </w:tc>
      </w:tr>
      <w:tr w:rsidR="006C6B2D" w:rsidRPr="00FD119B" w14:paraId="6561413F" w14:textId="77777777" w:rsidTr="00013E98">
        <w:tc>
          <w:tcPr>
            <w:tcW w:w="1890" w:type="dxa"/>
          </w:tcPr>
          <w:p w14:paraId="084268DD" w14:textId="77777777" w:rsidR="006C6B2D" w:rsidRDefault="006C6B2D" w:rsidP="006C6B2D">
            <w:r>
              <w:t>SC</w:t>
            </w:r>
          </w:p>
        </w:tc>
        <w:tc>
          <w:tcPr>
            <w:tcW w:w="6830" w:type="dxa"/>
          </w:tcPr>
          <w:p w14:paraId="76BDAB4B" w14:textId="77777777" w:rsidR="006C6B2D" w:rsidRDefault="006C6B2D" w:rsidP="006C6B2D">
            <w:r>
              <w:t>Subcutaneous</w:t>
            </w:r>
          </w:p>
        </w:tc>
      </w:tr>
      <w:tr w:rsidR="008746B6" w:rsidRPr="00FD119B" w14:paraId="2319DA44" w14:textId="77777777" w:rsidTr="00013E98">
        <w:tc>
          <w:tcPr>
            <w:tcW w:w="1890" w:type="dxa"/>
          </w:tcPr>
          <w:p w14:paraId="30B40999" w14:textId="7E14B81C" w:rsidR="008746B6" w:rsidRDefault="008746B6" w:rsidP="006C6B2D">
            <w:r>
              <w:t>SD</w:t>
            </w:r>
          </w:p>
        </w:tc>
        <w:tc>
          <w:tcPr>
            <w:tcW w:w="6830" w:type="dxa"/>
          </w:tcPr>
          <w:p w14:paraId="05E0FB6B" w14:textId="18FF2DC2" w:rsidR="008746B6" w:rsidRDefault="008746B6" w:rsidP="006C6B2D">
            <w:r>
              <w:t>Standard deviation</w:t>
            </w:r>
          </w:p>
        </w:tc>
      </w:tr>
      <w:tr w:rsidR="0038701A" w:rsidRPr="00FD119B" w14:paraId="4F18D83F" w14:textId="77777777" w:rsidTr="00013E98">
        <w:tc>
          <w:tcPr>
            <w:tcW w:w="1890" w:type="dxa"/>
          </w:tcPr>
          <w:p w14:paraId="76F8190A" w14:textId="6C2DDF9B" w:rsidR="0038701A" w:rsidRDefault="0038701A" w:rsidP="006C6B2D">
            <w:r>
              <w:t>SF-36</w:t>
            </w:r>
          </w:p>
        </w:tc>
        <w:tc>
          <w:tcPr>
            <w:tcW w:w="6830" w:type="dxa"/>
          </w:tcPr>
          <w:p w14:paraId="26E58B2C" w14:textId="1891BD03" w:rsidR="0038701A" w:rsidRDefault="0038701A" w:rsidP="006C6B2D">
            <w:r>
              <w:t>Short Form 36</w:t>
            </w:r>
          </w:p>
        </w:tc>
      </w:tr>
      <w:tr w:rsidR="008746B6" w:rsidRPr="00FD119B" w14:paraId="49FF7CD9" w14:textId="77777777" w:rsidTr="00013E98">
        <w:tc>
          <w:tcPr>
            <w:tcW w:w="1890" w:type="dxa"/>
          </w:tcPr>
          <w:p w14:paraId="19DBECE8" w14:textId="0F71DE96" w:rsidR="008746B6" w:rsidRDefault="008746B6" w:rsidP="006C6B2D">
            <w:r>
              <w:t>SI</w:t>
            </w:r>
          </w:p>
        </w:tc>
        <w:tc>
          <w:tcPr>
            <w:tcW w:w="6830" w:type="dxa"/>
          </w:tcPr>
          <w:p w14:paraId="251C4E95" w14:textId="4FE5C94D" w:rsidR="008746B6" w:rsidRDefault="008746B6" w:rsidP="006C6B2D">
            <w:r>
              <w:t>Sacroiliac</w:t>
            </w:r>
          </w:p>
        </w:tc>
      </w:tr>
      <w:tr w:rsidR="006C6B2D" w:rsidRPr="00FD119B" w14:paraId="4AE1283E" w14:textId="77777777" w:rsidTr="00013E98">
        <w:tc>
          <w:tcPr>
            <w:tcW w:w="1890" w:type="dxa"/>
          </w:tcPr>
          <w:p w14:paraId="5F110865" w14:textId="77777777" w:rsidR="006C6B2D" w:rsidRDefault="006C6B2D" w:rsidP="006C6B2D">
            <w:r>
              <w:t>SOC</w:t>
            </w:r>
          </w:p>
        </w:tc>
        <w:tc>
          <w:tcPr>
            <w:tcW w:w="6830" w:type="dxa"/>
          </w:tcPr>
          <w:p w14:paraId="2B7BE3DC" w14:textId="77777777" w:rsidR="006C6B2D" w:rsidRDefault="006C6B2D" w:rsidP="006C6B2D">
            <w:r>
              <w:t>System Organ Class</w:t>
            </w:r>
          </w:p>
        </w:tc>
      </w:tr>
      <w:tr w:rsidR="00D45577" w:rsidRPr="00FD119B" w14:paraId="2F34E5CF" w14:textId="77777777" w:rsidTr="00013E98">
        <w:tc>
          <w:tcPr>
            <w:tcW w:w="1890" w:type="dxa"/>
          </w:tcPr>
          <w:p w14:paraId="3204E23C" w14:textId="066154AD" w:rsidR="00D45577" w:rsidRDefault="00D45577" w:rsidP="006C6B2D">
            <w:r>
              <w:t>SPARCC</w:t>
            </w:r>
          </w:p>
        </w:tc>
        <w:tc>
          <w:tcPr>
            <w:tcW w:w="6830" w:type="dxa"/>
          </w:tcPr>
          <w:p w14:paraId="0067F529" w14:textId="0A29F0BF" w:rsidR="00D45577" w:rsidRDefault="00D45577" w:rsidP="006C6B2D">
            <w:proofErr w:type="spellStart"/>
            <w:r w:rsidRPr="00D45577">
              <w:t>Spondyloarthritis</w:t>
            </w:r>
            <w:proofErr w:type="spellEnd"/>
            <w:r w:rsidRPr="00D45577">
              <w:t xml:space="preserve"> Research Consortium of Canada</w:t>
            </w:r>
          </w:p>
        </w:tc>
      </w:tr>
      <w:tr w:rsidR="006C6B2D" w:rsidRPr="00FD119B" w14:paraId="52C50768" w14:textId="77777777" w:rsidTr="00013E98">
        <w:tc>
          <w:tcPr>
            <w:tcW w:w="1890" w:type="dxa"/>
          </w:tcPr>
          <w:p w14:paraId="3AD1AAA4" w14:textId="3C86639E" w:rsidR="006C6B2D" w:rsidRDefault="00B95A9E" w:rsidP="006C6B2D">
            <w:r>
              <w:t>TR</w:t>
            </w:r>
            <w:r w:rsidR="006C6B2D">
              <w:t>AE</w:t>
            </w:r>
          </w:p>
        </w:tc>
        <w:tc>
          <w:tcPr>
            <w:tcW w:w="6830" w:type="dxa"/>
          </w:tcPr>
          <w:p w14:paraId="188C206F" w14:textId="707B07FD" w:rsidR="006C6B2D" w:rsidRDefault="006C6B2D" w:rsidP="00B95A9E">
            <w:r>
              <w:t xml:space="preserve">Treatment </w:t>
            </w:r>
            <w:r w:rsidR="00B95A9E">
              <w:t>related adverse event</w:t>
            </w:r>
          </w:p>
        </w:tc>
      </w:tr>
      <w:tr w:rsidR="006C6B2D" w:rsidRPr="00FD119B" w14:paraId="0F12D042" w14:textId="77777777" w:rsidTr="00013E98">
        <w:tc>
          <w:tcPr>
            <w:tcW w:w="1890" w:type="dxa"/>
          </w:tcPr>
          <w:p w14:paraId="6BBA0CC0" w14:textId="77777777" w:rsidR="006C6B2D" w:rsidRDefault="006C6B2D" w:rsidP="006C6B2D">
            <w:r>
              <w:t>TNFα</w:t>
            </w:r>
          </w:p>
        </w:tc>
        <w:tc>
          <w:tcPr>
            <w:tcW w:w="6830" w:type="dxa"/>
          </w:tcPr>
          <w:p w14:paraId="5B881823" w14:textId="77777777" w:rsidR="006C6B2D" w:rsidRDefault="006C6B2D" w:rsidP="006C6B2D">
            <w:r>
              <w:t>Tumour necrosis factor alpha</w:t>
            </w:r>
          </w:p>
        </w:tc>
      </w:tr>
      <w:tr w:rsidR="00B95A9E" w:rsidRPr="00FD119B" w14:paraId="79510A0C" w14:textId="77777777" w:rsidTr="00013E98">
        <w:tc>
          <w:tcPr>
            <w:tcW w:w="1890" w:type="dxa"/>
          </w:tcPr>
          <w:p w14:paraId="0FEB2D57" w14:textId="20BD2808" w:rsidR="00B95A9E" w:rsidRDefault="00B95A9E" w:rsidP="006C6B2D">
            <w:proofErr w:type="spellStart"/>
            <w:r>
              <w:t>TNFi</w:t>
            </w:r>
            <w:proofErr w:type="spellEnd"/>
          </w:p>
        </w:tc>
        <w:tc>
          <w:tcPr>
            <w:tcW w:w="6830" w:type="dxa"/>
          </w:tcPr>
          <w:p w14:paraId="4C371C99" w14:textId="6CC6FE1E" w:rsidR="00B95A9E" w:rsidRDefault="00B95A9E" w:rsidP="006C6B2D">
            <w:r>
              <w:t>Tumour necrosis factor inhibitor</w:t>
            </w:r>
          </w:p>
        </w:tc>
      </w:tr>
      <w:tr w:rsidR="006C6B2D" w:rsidRPr="00FD119B" w14:paraId="5452FD90" w14:textId="77777777" w:rsidTr="00013E98">
        <w:tc>
          <w:tcPr>
            <w:tcW w:w="1890" w:type="dxa"/>
          </w:tcPr>
          <w:p w14:paraId="5FCC29C6" w14:textId="6B8F4D08" w:rsidR="006C6B2D" w:rsidRDefault="00C960F3" w:rsidP="006C6B2D">
            <w:r>
              <w:t>ULN</w:t>
            </w:r>
          </w:p>
        </w:tc>
        <w:tc>
          <w:tcPr>
            <w:tcW w:w="6830" w:type="dxa"/>
          </w:tcPr>
          <w:p w14:paraId="366B7ACE" w14:textId="2BFC7831" w:rsidR="006C6B2D" w:rsidRDefault="00C960F3" w:rsidP="006C6B2D">
            <w:r>
              <w:t>Upper limit of normal</w:t>
            </w:r>
          </w:p>
        </w:tc>
      </w:tr>
      <w:tr w:rsidR="00B95A9E" w:rsidRPr="00FD119B" w14:paraId="41EECA0F" w14:textId="77777777" w:rsidTr="00013E98">
        <w:tc>
          <w:tcPr>
            <w:tcW w:w="1890" w:type="dxa"/>
          </w:tcPr>
          <w:p w14:paraId="28B0145C" w14:textId="3EAF56A6" w:rsidR="00B95A9E" w:rsidRDefault="00B95A9E" w:rsidP="006C6B2D">
            <w:r>
              <w:t>URTI</w:t>
            </w:r>
          </w:p>
        </w:tc>
        <w:tc>
          <w:tcPr>
            <w:tcW w:w="6830" w:type="dxa"/>
          </w:tcPr>
          <w:p w14:paraId="0609D2F6" w14:textId="00ECDF8C" w:rsidR="00B95A9E" w:rsidRDefault="00B95A9E" w:rsidP="006C6B2D">
            <w:r>
              <w:t>Upper respiratory tract infection</w:t>
            </w:r>
          </w:p>
        </w:tc>
      </w:tr>
      <w:tr w:rsidR="006C6B2D" w:rsidRPr="00FD119B" w14:paraId="038FC580" w14:textId="77777777" w:rsidTr="00013E98">
        <w:tc>
          <w:tcPr>
            <w:tcW w:w="1890" w:type="dxa"/>
          </w:tcPr>
          <w:p w14:paraId="0ED65728" w14:textId="77777777" w:rsidR="006C6B2D" w:rsidRDefault="006C6B2D" w:rsidP="006C6B2D">
            <w:r>
              <w:t>USA</w:t>
            </w:r>
          </w:p>
        </w:tc>
        <w:tc>
          <w:tcPr>
            <w:tcW w:w="6830" w:type="dxa"/>
          </w:tcPr>
          <w:p w14:paraId="4FDA44D7" w14:textId="77777777" w:rsidR="006C6B2D" w:rsidRDefault="006C6B2D" w:rsidP="006C6B2D">
            <w:r>
              <w:t>United States of America</w:t>
            </w:r>
          </w:p>
        </w:tc>
      </w:tr>
      <w:tr w:rsidR="00505E17" w:rsidRPr="00FD119B" w14:paraId="25A6295A" w14:textId="77777777" w:rsidTr="00013E98">
        <w:tc>
          <w:tcPr>
            <w:tcW w:w="1890" w:type="dxa"/>
          </w:tcPr>
          <w:p w14:paraId="4C7F8CA1" w14:textId="2827E260" w:rsidR="00505E17" w:rsidRDefault="00505E17" w:rsidP="006C6B2D">
            <w:r>
              <w:t>VAS</w:t>
            </w:r>
          </w:p>
        </w:tc>
        <w:tc>
          <w:tcPr>
            <w:tcW w:w="6830" w:type="dxa"/>
          </w:tcPr>
          <w:p w14:paraId="5442E709" w14:textId="03E7AB1D" w:rsidR="00505E17" w:rsidRDefault="00505E17" w:rsidP="006C6B2D">
            <w:r>
              <w:t xml:space="preserve">Visual </w:t>
            </w:r>
            <w:proofErr w:type="spellStart"/>
            <w:r>
              <w:t>analog</w:t>
            </w:r>
            <w:proofErr w:type="spellEnd"/>
            <w:r>
              <w:t xml:space="preserve"> scale</w:t>
            </w:r>
          </w:p>
        </w:tc>
      </w:tr>
    </w:tbl>
    <w:p w14:paraId="41BF2AF3" w14:textId="77777777" w:rsidR="00FD119B" w:rsidRDefault="00FD119B" w:rsidP="00FD119B"/>
    <w:p w14:paraId="5DDF8058" w14:textId="77777777" w:rsidR="00FD119B" w:rsidRPr="00FD119B" w:rsidRDefault="00FD119B" w:rsidP="00FD119B">
      <w:pPr>
        <w:spacing w:before="0" w:after="200" w:line="0" w:lineRule="auto"/>
        <w:rPr>
          <w:b/>
          <w:i/>
          <w:sz w:val="24"/>
          <w:szCs w:val="24"/>
        </w:rPr>
      </w:pPr>
      <w:r w:rsidRPr="00FD119B">
        <w:rPr>
          <w:b/>
          <w:i/>
          <w:sz w:val="24"/>
          <w:szCs w:val="24"/>
        </w:rPr>
        <w:br w:type="page"/>
      </w:r>
    </w:p>
    <w:p w14:paraId="624BA887" w14:textId="77777777" w:rsidR="008E7846" w:rsidRDefault="00F53C07" w:rsidP="008E7846">
      <w:pPr>
        <w:pStyle w:val="Heading2"/>
      </w:pPr>
      <w:bookmarkStart w:id="9" w:name="_Toc63175290"/>
      <w:r>
        <w:t>I.</w:t>
      </w:r>
      <w:r w:rsidR="008E7846">
        <w:t xml:space="preserve"> Introduction to product submission</w:t>
      </w:r>
      <w:bookmarkEnd w:id="1"/>
      <w:bookmarkEnd w:id="3"/>
      <w:bookmarkEnd w:id="9"/>
    </w:p>
    <w:p w14:paraId="0B8D26DA" w14:textId="77777777" w:rsidR="008E7846" w:rsidRDefault="008E7846" w:rsidP="008E7846">
      <w:pPr>
        <w:pStyle w:val="Heading3"/>
        <w:rPr>
          <w:lang w:eastAsia="en-AU"/>
        </w:rPr>
      </w:pPr>
      <w:bookmarkStart w:id="10" w:name="_Toc247691502"/>
      <w:bookmarkStart w:id="11" w:name="_Toc314842483"/>
      <w:bookmarkStart w:id="12" w:name="_Toc63175291"/>
      <w:r>
        <w:rPr>
          <w:lang w:eastAsia="en-AU"/>
        </w:rPr>
        <w:t>Submission details</w:t>
      </w:r>
      <w:bookmarkEnd w:id="10"/>
      <w:bookmarkEnd w:id="11"/>
      <w:bookmarkEnd w:id="12"/>
    </w:p>
    <w:tbl>
      <w:tblPr>
        <w:tblW w:w="9214" w:type="dxa"/>
        <w:tblInd w:w="108" w:type="dxa"/>
        <w:tblLook w:val="01E0" w:firstRow="1" w:lastRow="1" w:firstColumn="1" w:lastColumn="1" w:noHBand="0" w:noVBand="0"/>
      </w:tblPr>
      <w:tblGrid>
        <w:gridCol w:w="2907"/>
        <w:gridCol w:w="6307"/>
      </w:tblGrid>
      <w:tr w:rsidR="008E7846" w:rsidRPr="003D1E62" w14:paraId="6B6B06FB" w14:textId="77777777" w:rsidTr="003735BC">
        <w:tc>
          <w:tcPr>
            <w:tcW w:w="2907" w:type="dxa"/>
          </w:tcPr>
          <w:p w14:paraId="41182A93" w14:textId="77777777" w:rsidR="008E7846" w:rsidRPr="003D1E62" w:rsidRDefault="001B5C90" w:rsidP="001B5C90">
            <w:pPr>
              <w:rPr>
                <w:i/>
              </w:rPr>
            </w:pPr>
            <w:r>
              <w:rPr>
                <w:i/>
              </w:rPr>
              <w:t>Type of s</w:t>
            </w:r>
            <w:r w:rsidR="008E7846" w:rsidRPr="003D1E62">
              <w:rPr>
                <w:i/>
              </w:rPr>
              <w:t>ubmission</w:t>
            </w:r>
            <w:r>
              <w:rPr>
                <w:i/>
              </w:rPr>
              <w:t>:</w:t>
            </w:r>
          </w:p>
        </w:tc>
        <w:tc>
          <w:tcPr>
            <w:tcW w:w="6307" w:type="dxa"/>
          </w:tcPr>
          <w:p w14:paraId="572617C7" w14:textId="32E7AAEB" w:rsidR="008E7846" w:rsidRPr="003D1E62" w:rsidRDefault="00B81FBF" w:rsidP="00CD60AD">
            <w:r>
              <w:t>Extension of indications</w:t>
            </w:r>
          </w:p>
        </w:tc>
      </w:tr>
      <w:tr w:rsidR="00460036" w:rsidRPr="003D1E62" w14:paraId="7F444EDB" w14:textId="77777777" w:rsidTr="003735BC">
        <w:tc>
          <w:tcPr>
            <w:tcW w:w="2907" w:type="dxa"/>
          </w:tcPr>
          <w:p w14:paraId="03F7B549" w14:textId="77777777" w:rsidR="00460036" w:rsidRPr="003D1E62" w:rsidRDefault="00115915" w:rsidP="003D1E62">
            <w:pPr>
              <w:rPr>
                <w:i/>
              </w:rPr>
            </w:pPr>
            <w:r>
              <w:rPr>
                <w:i/>
              </w:rPr>
              <w:t>Product name</w:t>
            </w:r>
            <w:r w:rsidR="00460036" w:rsidRPr="00460036">
              <w:rPr>
                <w:i/>
              </w:rPr>
              <w:t>:</w:t>
            </w:r>
          </w:p>
        </w:tc>
        <w:tc>
          <w:tcPr>
            <w:tcW w:w="6307" w:type="dxa"/>
          </w:tcPr>
          <w:p w14:paraId="50F26CC9" w14:textId="77777777" w:rsidR="00460036" w:rsidRPr="003D1E62" w:rsidRDefault="008007C2" w:rsidP="001B5C90">
            <w:proofErr w:type="spellStart"/>
            <w:r>
              <w:t>Co</w:t>
            </w:r>
            <w:r w:rsidR="00115915">
              <w:t>sentyx</w:t>
            </w:r>
            <w:proofErr w:type="spellEnd"/>
          </w:p>
        </w:tc>
      </w:tr>
      <w:tr w:rsidR="00460036" w:rsidRPr="003D1E62" w14:paraId="7595BA33" w14:textId="77777777" w:rsidTr="003735BC">
        <w:tc>
          <w:tcPr>
            <w:tcW w:w="2907" w:type="dxa"/>
          </w:tcPr>
          <w:p w14:paraId="7A9220B7" w14:textId="77777777" w:rsidR="00460036" w:rsidRPr="003D1E62" w:rsidRDefault="00115915" w:rsidP="003D1E62">
            <w:pPr>
              <w:rPr>
                <w:i/>
              </w:rPr>
            </w:pPr>
            <w:r>
              <w:rPr>
                <w:i/>
              </w:rPr>
              <w:t>Active ingredient</w:t>
            </w:r>
            <w:r w:rsidR="00460036" w:rsidRPr="00460036">
              <w:rPr>
                <w:i/>
              </w:rPr>
              <w:t>:</w:t>
            </w:r>
          </w:p>
        </w:tc>
        <w:tc>
          <w:tcPr>
            <w:tcW w:w="6307" w:type="dxa"/>
          </w:tcPr>
          <w:p w14:paraId="52FE01BE" w14:textId="580BC614" w:rsidR="00460036" w:rsidRPr="003D1E62" w:rsidRDefault="00115915" w:rsidP="001B5C90">
            <w:proofErr w:type="spellStart"/>
            <w:r>
              <w:t>Secukinumab</w:t>
            </w:r>
            <w:proofErr w:type="spellEnd"/>
          </w:p>
        </w:tc>
      </w:tr>
      <w:tr w:rsidR="008E7846" w:rsidRPr="003D1E62" w14:paraId="29C88EE6" w14:textId="77777777" w:rsidTr="003735BC">
        <w:tc>
          <w:tcPr>
            <w:tcW w:w="2907" w:type="dxa"/>
          </w:tcPr>
          <w:p w14:paraId="0C15311D" w14:textId="77777777" w:rsidR="008E7846" w:rsidRPr="003D1E62" w:rsidRDefault="008E7846" w:rsidP="003D1E62">
            <w:r w:rsidRPr="003D1E62">
              <w:rPr>
                <w:i/>
              </w:rPr>
              <w:t>Decision</w:t>
            </w:r>
            <w:r w:rsidRPr="003D1E62">
              <w:t>:</w:t>
            </w:r>
          </w:p>
        </w:tc>
        <w:tc>
          <w:tcPr>
            <w:tcW w:w="6307" w:type="dxa"/>
          </w:tcPr>
          <w:p w14:paraId="2409DF4F" w14:textId="77777777" w:rsidR="008E7846" w:rsidRPr="003D1E62" w:rsidRDefault="00E26C52" w:rsidP="00E26C52">
            <w:r>
              <w:t>Approved</w:t>
            </w:r>
          </w:p>
        </w:tc>
      </w:tr>
      <w:tr w:rsidR="008E7846" w:rsidRPr="003D1E62" w14:paraId="19555A25" w14:textId="77777777" w:rsidTr="003735BC">
        <w:tc>
          <w:tcPr>
            <w:tcW w:w="2907" w:type="dxa"/>
          </w:tcPr>
          <w:p w14:paraId="0E1EE60C" w14:textId="77777777" w:rsidR="008E7846" w:rsidRPr="003D1E62" w:rsidRDefault="008E7846" w:rsidP="001B5C90">
            <w:pPr>
              <w:rPr>
                <w:i/>
              </w:rPr>
            </w:pPr>
            <w:r w:rsidRPr="003D1E62">
              <w:rPr>
                <w:i/>
              </w:rPr>
              <w:t xml:space="preserve">Date of </w:t>
            </w:r>
            <w:r w:rsidR="001B5C90">
              <w:rPr>
                <w:i/>
              </w:rPr>
              <w:t>d</w:t>
            </w:r>
            <w:r w:rsidRPr="003D1E62">
              <w:rPr>
                <w:i/>
              </w:rPr>
              <w:t>ecision:</w:t>
            </w:r>
          </w:p>
        </w:tc>
        <w:tc>
          <w:tcPr>
            <w:tcW w:w="6307" w:type="dxa"/>
          </w:tcPr>
          <w:p w14:paraId="526C21B1" w14:textId="77777777" w:rsidR="008E7846" w:rsidRPr="003D1E62" w:rsidRDefault="00E26C52" w:rsidP="001B5C90">
            <w:r>
              <w:t>10 September 2020</w:t>
            </w:r>
          </w:p>
        </w:tc>
      </w:tr>
      <w:tr w:rsidR="00ED2922" w:rsidRPr="003D1E62" w14:paraId="765BA544" w14:textId="77777777" w:rsidTr="003735BC">
        <w:tc>
          <w:tcPr>
            <w:tcW w:w="2907" w:type="dxa"/>
          </w:tcPr>
          <w:p w14:paraId="7A7004EB" w14:textId="77777777" w:rsidR="00ED2922" w:rsidRPr="00441C3F" w:rsidRDefault="00ED2922" w:rsidP="001B5C90">
            <w:pPr>
              <w:rPr>
                <w:i/>
              </w:rPr>
            </w:pPr>
            <w:r w:rsidRPr="00441C3F">
              <w:rPr>
                <w:i/>
              </w:rPr>
              <w:t>Date of entry onto ARTG</w:t>
            </w:r>
            <w:r w:rsidR="00500337">
              <w:rPr>
                <w:i/>
              </w:rPr>
              <w:t>:</w:t>
            </w:r>
          </w:p>
        </w:tc>
        <w:tc>
          <w:tcPr>
            <w:tcW w:w="6307" w:type="dxa"/>
          </w:tcPr>
          <w:p w14:paraId="3679B684" w14:textId="77777777" w:rsidR="00ED2922" w:rsidRPr="00441C3F" w:rsidRDefault="00E26C52" w:rsidP="00D153D8">
            <w:pPr>
              <w:rPr>
                <w:i/>
              </w:rPr>
            </w:pPr>
            <w:r>
              <w:t>17 September 2020</w:t>
            </w:r>
          </w:p>
        </w:tc>
      </w:tr>
      <w:tr w:rsidR="00500337" w:rsidRPr="003D1E62" w14:paraId="5C98AAC9" w14:textId="77777777" w:rsidTr="003735BC">
        <w:tc>
          <w:tcPr>
            <w:tcW w:w="2907" w:type="dxa"/>
          </w:tcPr>
          <w:p w14:paraId="34E00E33" w14:textId="77777777" w:rsidR="00500337" w:rsidRPr="00441C3F" w:rsidRDefault="008007C2" w:rsidP="001B5C90">
            <w:pPr>
              <w:rPr>
                <w:i/>
              </w:rPr>
            </w:pPr>
            <w:r>
              <w:rPr>
                <w:i/>
              </w:rPr>
              <w:t>ARTG numbers</w:t>
            </w:r>
            <w:r w:rsidR="00500337">
              <w:rPr>
                <w:i/>
              </w:rPr>
              <w:t>:</w:t>
            </w:r>
          </w:p>
        </w:tc>
        <w:tc>
          <w:tcPr>
            <w:tcW w:w="6307" w:type="dxa"/>
          </w:tcPr>
          <w:p w14:paraId="128D94F8" w14:textId="77777777" w:rsidR="00500337" w:rsidRPr="00441C3F" w:rsidRDefault="008007C2" w:rsidP="00EC463D">
            <w:r>
              <w:rPr>
                <w:rFonts w:eastAsiaTheme="minorHAnsi" w:cs="Cambria"/>
                <w:lang w:val="en-GB"/>
              </w:rPr>
              <w:t>AUST R 218798, 218799, 218800</w:t>
            </w:r>
          </w:p>
        </w:tc>
      </w:tr>
      <w:tr w:rsidR="003735BC" w:rsidRPr="003D1E62" w14:paraId="7C62FC63" w14:textId="77777777" w:rsidTr="003735BC">
        <w:tc>
          <w:tcPr>
            <w:tcW w:w="2907" w:type="dxa"/>
          </w:tcPr>
          <w:p w14:paraId="67DCBFCD" w14:textId="77777777" w:rsidR="003735BC" w:rsidRDefault="00FA5069" w:rsidP="001B5C90">
            <w:pPr>
              <w:rPr>
                <w:i/>
              </w:rPr>
            </w:pPr>
            <w:r>
              <w:rPr>
                <w:rFonts w:ascii="Wingdings 3" w:hAnsi="Wingdings 3"/>
                <w:sz w:val="34"/>
                <w:szCs w:val="34"/>
                <w:lang w:eastAsia="en-AU"/>
              </w:rPr>
              <w:t></w:t>
            </w:r>
            <w:r w:rsidR="003735BC" w:rsidRPr="003735BC">
              <w:rPr>
                <w:i/>
              </w:rPr>
              <w:t>Black Triangle Scheme</w:t>
            </w:r>
            <w:r w:rsidR="004C4FBE">
              <w:rPr>
                <w:i/>
              </w:rPr>
              <w:t>:</w:t>
            </w:r>
            <w:r w:rsidR="00460036">
              <w:rPr>
                <w:rStyle w:val="FootnoteReference"/>
                <w:i/>
              </w:rPr>
              <w:footnoteReference w:id="1"/>
            </w:r>
          </w:p>
        </w:tc>
        <w:tc>
          <w:tcPr>
            <w:tcW w:w="6307" w:type="dxa"/>
          </w:tcPr>
          <w:p w14:paraId="1AB71310" w14:textId="77777777" w:rsidR="003735BC" w:rsidRPr="00487162" w:rsidRDefault="008007C2" w:rsidP="003735BC">
            <w:r>
              <w:t>No</w:t>
            </w:r>
          </w:p>
        </w:tc>
      </w:tr>
      <w:tr w:rsidR="008E7846" w:rsidRPr="00487162" w14:paraId="70832661" w14:textId="77777777" w:rsidTr="00BF1190">
        <w:tc>
          <w:tcPr>
            <w:tcW w:w="2907" w:type="dxa"/>
          </w:tcPr>
          <w:p w14:paraId="59AEE6CF" w14:textId="77777777"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14:paraId="25D98252" w14:textId="77777777" w:rsidR="008007C2" w:rsidRDefault="008007C2" w:rsidP="008007C2">
            <w:r>
              <w:t>Novartis Pharmaceuticals Australia Pty Ltd</w:t>
            </w:r>
          </w:p>
          <w:p w14:paraId="24694594" w14:textId="77777777" w:rsidR="008007C2" w:rsidRDefault="008007C2" w:rsidP="008007C2">
            <w:r>
              <w:t>54 Waterloo Road</w:t>
            </w:r>
          </w:p>
          <w:p w14:paraId="759F04AC" w14:textId="77777777" w:rsidR="008E7846" w:rsidRPr="00487162" w:rsidRDefault="008007C2" w:rsidP="008007C2">
            <w:r>
              <w:t>Macquarie Park NSW 2113</w:t>
            </w:r>
          </w:p>
        </w:tc>
      </w:tr>
      <w:tr w:rsidR="008E7846" w:rsidRPr="00487162" w14:paraId="2FE0DA09" w14:textId="77777777" w:rsidTr="00BF1190">
        <w:tc>
          <w:tcPr>
            <w:tcW w:w="2907" w:type="dxa"/>
          </w:tcPr>
          <w:p w14:paraId="726446A7" w14:textId="77777777" w:rsidR="008E7846" w:rsidRPr="00487162" w:rsidRDefault="008007C2" w:rsidP="00E45619">
            <w:pPr>
              <w:rPr>
                <w:i/>
              </w:rPr>
            </w:pPr>
            <w:r>
              <w:rPr>
                <w:i/>
              </w:rPr>
              <w:t>Dose forms</w:t>
            </w:r>
            <w:r w:rsidR="001B5C90">
              <w:rPr>
                <w:i/>
              </w:rPr>
              <w:t>:</w:t>
            </w:r>
          </w:p>
        </w:tc>
        <w:tc>
          <w:tcPr>
            <w:tcW w:w="6307" w:type="dxa"/>
          </w:tcPr>
          <w:p w14:paraId="0BF778C5" w14:textId="77777777" w:rsidR="008E7846" w:rsidRPr="00487162" w:rsidRDefault="008007C2" w:rsidP="00E45619">
            <w:r>
              <w:t>Powder for injection; solution for injection (prefilled syringe); solution for injection (prefilled pen)</w:t>
            </w:r>
          </w:p>
        </w:tc>
      </w:tr>
      <w:tr w:rsidR="008E7846" w:rsidRPr="00487162" w14:paraId="44B88126" w14:textId="77777777" w:rsidTr="00BF1190">
        <w:tc>
          <w:tcPr>
            <w:tcW w:w="2907" w:type="dxa"/>
          </w:tcPr>
          <w:p w14:paraId="60195526" w14:textId="77777777" w:rsidR="008E7846" w:rsidRPr="00487162" w:rsidRDefault="008007C2" w:rsidP="00E45619">
            <w:pPr>
              <w:rPr>
                <w:i/>
              </w:rPr>
            </w:pPr>
            <w:r>
              <w:rPr>
                <w:i/>
              </w:rPr>
              <w:t>Strengths</w:t>
            </w:r>
            <w:r w:rsidR="00324E45">
              <w:rPr>
                <w:i/>
              </w:rPr>
              <w:t>:</w:t>
            </w:r>
          </w:p>
        </w:tc>
        <w:tc>
          <w:tcPr>
            <w:tcW w:w="6307" w:type="dxa"/>
          </w:tcPr>
          <w:p w14:paraId="46E47064" w14:textId="77777777" w:rsidR="008E7846" w:rsidRPr="00487162" w:rsidRDefault="008007C2" w:rsidP="00E45619">
            <w:r>
              <w:t>150 mg powder/vial; 150 mg/1 mL prefilled syringe; 150 mg solution prefilled pen</w:t>
            </w:r>
          </w:p>
        </w:tc>
      </w:tr>
      <w:tr w:rsidR="008E7846" w:rsidRPr="00487162" w14:paraId="13117502" w14:textId="77777777" w:rsidTr="00BF1190">
        <w:tc>
          <w:tcPr>
            <w:tcW w:w="2907" w:type="dxa"/>
          </w:tcPr>
          <w:p w14:paraId="753F59F4" w14:textId="77777777" w:rsidR="008E7846" w:rsidRPr="00487162" w:rsidRDefault="008007C2" w:rsidP="00E45619">
            <w:pPr>
              <w:rPr>
                <w:i/>
              </w:rPr>
            </w:pPr>
            <w:r>
              <w:rPr>
                <w:i/>
              </w:rPr>
              <w:t>Containers</w:t>
            </w:r>
            <w:r w:rsidR="008E7846" w:rsidRPr="00487162">
              <w:rPr>
                <w:i/>
              </w:rPr>
              <w:t>:</w:t>
            </w:r>
          </w:p>
        </w:tc>
        <w:tc>
          <w:tcPr>
            <w:tcW w:w="6307" w:type="dxa"/>
          </w:tcPr>
          <w:p w14:paraId="1A6AECF7" w14:textId="77777777" w:rsidR="008E7846" w:rsidRPr="00487162" w:rsidRDefault="008007C2" w:rsidP="00E45619">
            <w:r>
              <w:t>Vial; prefilled syringe; prefilled pen</w:t>
            </w:r>
          </w:p>
        </w:tc>
      </w:tr>
      <w:tr w:rsidR="008E7846" w:rsidRPr="00487162" w14:paraId="175C6881" w14:textId="77777777" w:rsidTr="00BF1190">
        <w:tc>
          <w:tcPr>
            <w:tcW w:w="2907" w:type="dxa"/>
          </w:tcPr>
          <w:p w14:paraId="1FC286D3" w14:textId="77777777" w:rsidR="008E7846" w:rsidRPr="00487162" w:rsidRDefault="008E7846" w:rsidP="00E45619">
            <w:pPr>
              <w:rPr>
                <w:i/>
              </w:rPr>
            </w:pPr>
            <w:r w:rsidRPr="00487162">
              <w:rPr>
                <w:i/>
              </w:rPr>
              <w:t>Pack size(s):</w:t>
            </w:r>
          </w:p>
        </w:tc>
        <w:tc>
          <w:tcPr>
            <w:tcW w:w="6307" w:type="dxa"/>
          </w:tcPr>
          <w:p w14:paraId="354D43E5" w14:textId="2855A6B5" w:rsidR="008E7846" w:rsidRDefault="000F3E6B" w:rsidP="00E45619">
            <w:r>
              <w:t>Prefilled pen: Packs of 1, and 2 pens</w:t>
            </w:r>
          </w:p>
          <w:p w14:paraId="78E93874" w14:textId="3114C184" w:rsidR="000F3E6B" w:rsidRDefault="000F3E6B" w:rsidP="00E45619">
            <w:r>
              <w:t>Prefilled syringe: Packs of 1, and 1 syringes</w:t>
            </w:r>
          </w:p>
          <w:p w14:paraId="04BB0FDE" w14:textId="30198D89" w:rsidR="000F3E6B" w:rsidRPr="00487162" w:rsidRDefault="000F3E6B" w:rsidP="000F3E6B">
            <w:r>
              <w:t>Powder for injection vial: Packs of 1, and 2</w:t>
            </w:r>
            <w:r w:rsidR="002C0D08">
              <w:t xml:space="preserve"> x</w:t>
            </w:r>
            <w:r>
              <w:t xml:space="preserve"> 6 mL vials </w:t>
            </w:r>
          </w:p>
        </w:tc>
      </w:tr>
      <w:tr w:rsidR="008E7846" w:rsidRPr="00487162" w14:paraId="6DE431E8" w14:textId="77777777" w:rsidTr="00BF1190">
        <w:tc>
          <w:tcPr>
            <w:tcW w:w="2907" w:type="dxa"/>
          </w:tcPr>
          <w:p w14:paraId="4F21E0D3" w14:textId="77777777"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14:paraId="61BACED3" w14:textId="77777777" w:rsidR="000D7D44" w:rsidRPr="00D07BE9" w:rsidRDefault="000D7D44" w:rsidP="000D7D44">
            <w:pPr>
              <w:rPr>
                <w:i/>
              </w:rPr>
            </w:pPr>
            <w:r w:rsidRPr="00D07BE9">
              <w:rPr>
                <w:i/>
              </w:rPr>
              <w:t xml:space="preserve">Non-radiographic axial </w:t>
            </w:r>
            <w:proofErr w:type="spellStart"/>
            <w:r w:rsidRPr="00D07BE9">
              <w:rPr>
                <w:i/>
              </w:rPr>
              <w:t>spondyloarthritis</w:t>
            </w:r>
            <w:proofErr w:type="spellEnd"/>
            <w:r w:rsidRPr="00D07BE9">
              <w:rPr>
                <w:i/>
              </w:rPr>
              <w:t xml:space="preserve"> (</w:t>
            </w:r>
            <w:proofErr w:type="spellStart"/>
            <w:r w:rsidRPr="00D07BE9">
              <w:rPr>
                <w:i/>
              </w:rPr>
              <w:t>axSpA</w:t>
            </w:r>
            <w:proofErr w:type="spellEnd"/>
            <w:r w:rsidRPr="00D07BE9">
              <w:rPr>
                <w:i/>
              </w:rPr>
              <w:t xml:space="preserve"> without radiographic damage)</w:t>
            </w:r>
          </w:p>
          <w:p w14:paraId="569D5C21" w14:textId="77777777" w:rsidR="008E7846" w:rsidRPr="00D07BE9" w:rsidRDefault="000D7D44" w:rsidP="000D7D44">
            <w:proofErr w:type="spellStart"/>
            <w:r w:rsidRPr="00D07BE9">
              <w:rPr>
                <w:i/>
              </w:rPr>
              <w:t>Cosentyx</w:t>
            </w:r>
            <w:proofErr w:type="spellEnd"/>
            <w:r w:rsidRPr="00D07BE9">
              <w:rPr>
                <w:i/>
              </w:rPr>
              <w:t xml:space="preserve"> is indicated for the treatment of adults with active non-radiographic axial </w:t>
            </w:r>
            <w:proofErr w:type="spellStart"/>
            <w:r w:rsidRPr="00D07BE9">
              <w:rPr>
                <w:i/>
              </w:rPr>
              <w:t>spondyloarthritis</w:t>
            </w:r>
            <w:proofErr w:type="spellEnd"/>
            <w:r w:rsidRPr="00D07BE9">
              <w:rPr>
                <w:i/>
              </w:rPr>
              <w:t xml:space="preserve"> (</w:t>
            </w:r>
            <w:proofErr w:type="spellStart"/>
            <w:r w:rsidRPr="00D07BE9">
              <w:rPr>
                <w:i/>
              </w:rPr>
              <w:t>nr-axSpA</w:t>
            </w:r>
            <w:proofErr w:type="spellEnd"/>
            <w:r w:rsidRPr="00D07BE9">
              <w:rPr>
                <w:i/>
              </w:rPr>
              <w:t xml:space="preserve">) with objective signs of inflammation as </w:t>
            </w:r>
            <w:r w:rsidR="00D07BE9" w:rsidRPr="00D07BE9">
              <w:rPr>
                <w:i/>
              </w:rPr>
              <w:t xml:space="preserve">indicated by elevated C-reactive </w:t>
            </w:r>
            <w:r w:rsidRPr="00D07BE9">
              <w:rPr>
                <w:i/>
              </w:rPr>
              <w:t>protein (CRP) and/or MRI change, who have had an</w:t>
            </w:r>
            <w:r w:rsidR="00D07BE9" w:rsidRPr="00D07BE9">
              <w:rPr>
                <w:i/>
              </w:rPr>
              <w:t xml:space="preserve"> inadequate response to, or are </w:t>
            </w:r>
            <w:r w:rsidRPr="00D07BE9">
              <w:rPr>
                <w:i/>
              </w:rPr>
              <w:t>intolerant to, NSAIDs.</w:t>
            </w:r>
          </w:p>
        </w:tc>
      </w:tr>
      <w:tr w:rsidR="008E7846" w:rsidRPr="00487162" w14:paraId="36721298" w14:textId="77777777" w:rsidTr="00BF1190">
        <w:tc>
          <w:tcPr>
            <w:tcW w:w="2907" w:type="dxa"/>
          </w:tcPr>
          <w:p w14:paraId="665B7BE7" w14:textId="77777777" w:rsidR="008E7846" w:rsidRPr="00487162" w:rsidRDefault="00E055B7" w:rsidP="00E45619">
            <w:pPr>
              <w:rPr>
                <w:i/>
              </w:rPr>
            </w:pPr>
            <w:r>
              <w:rPr>
                <w:i/>
              </w:rPr>
              <w:t>Route</w:t>
            </w:r>
            <w:r w:rsidR="008E7846" w:rsidRPr="00487162">
              <w:rPr>
                <w:i/>
              </w:rPr>
              <w:t xml:space="preserve"> of administration:</w:t>
            </w:r>
          </w:p>
        </w:tc>
        <w:tc>
          <w:tcPr>
            <w:tcW w:w="6307" w:type="dxa"/>
          </w:tcPr>
          <w:p w14:paraId="5EAD390A" w14:textId="77777777" w:rsidR="008E7846" w:rsidRPr="00487162" w:rsidRDefault="00E055B7" w:rsidP="00E45619">
            <w:r>
              <w:t>Subcutaneous injection</w:t>
            </w:r>
          </w:p>
        </w:tc>
      </w:tr>
      <w:tr w:rsidR="008E7846" w:rsidRPr="00487162" w14:paraId="24CA96E1" w14:textId="77777777" w:rsidTr="00BF1190">
        <w:tc>
          <w:tcPr>
            <w:tcW w:w="2907" w:type="dxa"/>
          </w:tcPr>
          <w:p w14:paraId="51402284" w14:textId="77777777" w:rsidR="008E7846" w:rsidRPr="00487162" w:rsidRDefault="008E7846" w:rsidP="00E45619">
            <w:pPr>
              <w:rPr>
                <w:i/>
              </w:rPr>
            </w:pPr>
            <w:r w:rsidRPr="00487162">
              <w:rPr>
                <w:i/>
              </w:rPr>
              <w:t>Dosage:</w:t>
            </w:r>
          </w:p>
        </w:tc>
        <w:tc>
          <w:tcPr>
            <w:tcW w:w="6307" w:type="dxa"/>
          </w:tcPr>
          <w:p w14:paraId="7FBD1641" w14:textId="77777777" w:rsidR="00DB6361" w:rsidRPr="00616D96" w:rsidRDefault="00DB6361" w:rsidP="00DB6361">
            <w:pPr>
              <w:rPr>
                <w:b/>
              </w:rPr>
            </w:pPr>
            <w:r w:rsidRPr="00616D96">
              <w:rPr>
                <w:b/>
              </w:rPr>
              <w:t xml:space="preserve">Non-radiographic axial </w:t>
            </w:r>
            <w:proofErr w:type="spellStart"/>
            <w:r w:rsidRPr="00616D96">
              <w:rPr>
                <w:b/>
              </w:rPr>
              <w:t>spondyloarthritis</w:t>
            </w:r>
            <w:proofErr w:type="spellEnd"/>
          </w:p>
          <w:p w14:paraId="140BBC58" w14:textId="77777777" w:rsidR="00DB6361" w:rsidRPr="00616D96" w:rsidRDefault="00DB6361" w:rsidP="00DB6361">
            <w:r w:rsidRPr="00616D96">
              <w:rPr>
                <w:i/>
              </w:rPr>
              <w:t>With a loading dose</w:t>
            </w:r>
            <w:r w:rsidRPr="00616D96">
              <w:t>: The recommended dose is 150 mg by subcutaneous injection with initial dosing at Weeks 0, 1, 2, 3, and 4 followed by the same dose every month.</w:t>
            </w:r>
          </w:p>
          <w:p w14:paraId="214531D8" w14:textId="77777777" w:rsidR="00DB6361" w:rsidRPr="00616D96" w:rsidRDefault="00DB6361" w:rsidP="00DB6361">
            <w:r w:rsidRPr="00616D96">
              <w:rPr>
                <w:i/>
              </w:rPr>
              <w:t>Without a loading dose</w:t>
            </w:r>
            <w:r w:rsidRPr="00616D96">
              <w:t>: The recommended dose is 150 mg by subcutaneous injection every month.</w:t>
            </w:r>
          </w:p>
          <w:p w14:paraId="477313C7" w14:textId="05606923" w:rsidR="00460036" w:rsidRPr="00616D96" w:rsidRDefault="00D84570" w:rsidP="00DB6361">
            <w:r w:rsidRPr="003F2FF5">
              <w:rPr>
                <w:i/>
              </w:rPr>
              <w:t>Assessment prior to i</w:t>
            </w:r>
            <w:r w:rsidR="00DB6361" w:rsidRPr="003F2FF5">
              <w:rPr>
                <w:i/>
              </w:rPr>
              <w:t xml:space="preserve">nitiation of </w:t>
            </w:r>
            <w:proofErr w:type="spellStart"/>
            <w:r w:rsidR="00DB6361" w:rsidRPr="003F2FF5">
              <w:rPr>
                <w:i/>
              </w:rPr>
              <w:t>Cosentyx</w:t>
            </w:r>
            <w:proofErr w:type="spellEnd"/>
            <w:r w:rsidR="00DB6361" w:rsidRPr="003F2FF5">
              <w:rPr>
                <w:i/>
              </w:rPr>
              <w:t>:</w:t>
            </w:r>
            <w:r w:rsidR="00DB6361" w:rsidRPr="00616D96">
              <w:t xml:space="preserve"> Evaluate patients for tuberculosis (TB) infection prior to initiating treatment with </w:t>
            </w:r>
            <w:proofErr w:type="spellStart"/>
            <w:r w:rsidR="00DB6361" w:rsidRPr="00616D96">
              <w:t>Cosentyx</w:t>
            </w:r>
            <w:proofErr w:type="spellEnd"/>
            <w:r w:rsidR="00DB6361" w:rsidRPr="00616D96">
              <w:t xml:space="preserve"> (see section 4.4. Special Warnings And Precautions For Use of the Product Information (PI)).</w:t>
            </w:r>
          </w:p>
        </w:tc>
      </w:tr>
      <w:tr w:rsidR="00460036" w:rsidRPr="00487162" w14:paraId="0E05836E" w14:textId="77777777" w:rsidTr="00BF1190">
        <w:tc>
          <w:tcPr>
            <w:tcW w:w="2907" w:type="dxa"/>
          </w:tcPr>
          <w:p w14:paraId="0B0B0A90" w14:textId="77777777" w:rsidR="00460036" w:rsidRPr="00487162" w:rsidRDefault="00460036" w:rsidP="00E45619">
            <w:pPr>
              <w:rPr>
                <w:i/>
              </w:rPr>
            </w:pPr>
            <w:r w:rsidRPr="00460036">
              <w:rPr>
                <w:i/>
              </w:rPr>
              <w:t>Pregnancy category</w:t>
            </w:r>
            <w:r>
              <w:rPr>
                <w:i/>
              </w:rPr>
              <w:t>:</w:t>
            </w:r>
          </w:p>
        </w:tc>
        <w:tc>
          <w:tcPr>
            <w:tcW w:w="6307" w:type="dxa"/>
          </w:tcPr>
          <w:p w14:paraId="78324979" w14:textId="77777777" w:rsidR="00E43A60" w:rsidRDefault="00E43A60" w:rsidP="000F3E6B">
            <w:r>
              <w:t>C</w:t>
            </w:r>
          </w:p>
          <w:p w14:paraId="52F236B2" w14:textId="097C14B0" w:rsidR="000F3E6B" w:rsidRPr="000F3E6B" w:rsidRDefault="000F3E6B" w:rsidP="000F3E6B">
            <w:r w:rsidRPr="000F3E6B">
              <w:t xml:space="preserve">Drugs which, owing to their pharmacological effects, have caused or may be suspected of causing, harmful effects on the human </w:t>
            </w:r>
            <w:proofErr w:type="spellStart"/>
            <w:r w:rsidRPr="000F3E6B">
              <w:t>fetus</w:t>
            </w:r>
            <w:proofErr w:type="spellEnd"/>
            <w:r w:rsidRPr="000F3E6B">
              <w:t xml:space="preserve"> or neonate without causing malformations. These effects may be reversible. Accompanying texts should be consulted for further details.</w:t>
            </w:r>
          </w:p>
          <w:p w14:paraId="6DDE8E49" w14:textId="67D5E246" w:rsidR="00460036" w:rsidRPr="00487162" w:rsidRDefault="00460036" w:rsidP="00460036">
            <w:r>
              <w:t>The use of any medicine during pregnancy requires careful consideration of both risks and benefits by the treating health professional. This must not be used as the sole basis of decision making in the use of medicines during pregnancy. The TGA does not provide advice on the use of medicines in pregnancy for specific cases. More information is available from obstetric drug information servi</w:t>
            </w:r>
            <w:r w:rsidR="000F3E6B">
              <w:t>ces in your State or Territory.</w:t>
            </w:r>
          </w:p>
        </w:tc>
      </w:tr>
    </w:tbl>
    <w:p w14:paraId="048FBEA6" w14:textId="77777777" w:rsidR="008E7846" w:rsidRDefault="008E7846" w:rsidP="008E7846">
      <w:pPr>
        <w:pStyle w:val="Heading3"/>
      </w:pPr>
      <w:bookmarkStart w:id="13" w:name="_Toc247691503"/>
      <w:bookmarkStart w:id="14" w:name="_Toc314842484"/>
      <w:bookmarkStart w:id="15" w:name="_Toc63175292"/>
      <w:r>
        <w:t>Product background</w:t>
      </w:r>
      <w:bookmarkEnd w:id="13"/>
      <w:bookmarkEnd w:id="14"/>
      <w:bookmarkEnd w:id="15"/>
    </w:p>
    <w:p w14:paraId="199195D0" w14:textId="5E448EBB" w:rsidR="008E7846" w:rsidRPr="00BD6FDA" w:rsidRDefault="00250271" w:rsidP="00BD6FDA">
      <w:r w:rsidRPr="00BD6FDA">
        <w:t>This AusPAR describes t</w:t>
      </w:r>
      <w:r w:rsidR="00BD6FDA" w:rsidRPr="00BD6FDA">
        <w:t>he application by Novartis Pharmaceuticals Australia Pty Ltd</w:t>
      </w:r>
      <w:r w:rsidRPr="00BD6FDA">
        <w:t xml:space="preserve"> (the</w:t>
      </w:r>
      <w:r w:rsidR="00BD6FDA" w:rsidRPr="00BD6FDA">
        <w:t xml:space="preserve"> sponsor) to register </w:t>
      </w:r>
      <w:proofErr w:type="spellStart"/>
      <w:r w:rsidR="00575B83">
        <w:t>Cosentyx</w:t>
      </w:r>
      <w:proofErr w:type="spellEnd"/>
      <w:r w:rsidR="00235BD8">
        <w:t xml:space="preserve"> (</w:t>
      </w:r>
      <w:proofErr w:type="spellStart"/>
      <w:r w:rsidR="00235BD8">
        <w:t>secukinumab</w:t>
      </w:r>
      <w:proofErr w:type="spellEnd"/>
      <w:r w:rsidR="00235BD8">
        <w:t>) 15</w:t>
      </w:r>
      <w:r w:rsidR="00BD6FDA" w:rsidRPr="00BD6FDA">
        <w:t>0 mg</w:t>
      </w:r>
      <w:r w:rsidRPr="00BD6FDA">
        <w:t xml:space="preserve"> </w:t>
      </w:r>
      <w:r w:rsidR="009C74D9">
        <w:t xml:space="preserve">powder for injection (vial) and 150 mg solution for injection (prefilled syringe and prefilled pen) </w:t>
      </w:r>
      <w:r w:rsidRPr="00BD6FDA">
        <w:t>for th</w:t>
      </w:r>
      <w:r w:rsidR="00BD6FDA" w:rsidRPr="00BD6FDA">
        <w:t xml:space="preserve">e following proposed </w:t>
      </w:r>
      <w:r w:rsidRPr="00BD6FDA">
        <w:t>extension of indications</w:t>
      </w:r>
      <w:r w:rsidR="00CF5DAD" w:rsidRPr="00BD6FDA">
        <w:t>:</w:t>
      </w:r>
    </w:p>
    <w:p w14:paraId="67F9273B" w14:textId="4589DAD8" w:rsidR="00235BD8" w:rsidRDefault="00235BD8" w:rsidP="00922197">
      <w:pPr>
        <w:ind w:left="720"/>
        <w:rPr>
          <w:i/>
        </w:rPr>
      </w:pPr>
      <w:proofErr w:type="spellStart"/>
      <w:r w:rsidRPr="00235BD8">
        <w:rPr>
          <w:i/>
        </w:rPr>
        <w:t>Nonradiographic</w:t>
      </w:r>
      <w:proofErr w:type="spellEnd"/>
      <w:r w:rsidRPr="00235BD8">
        <w:rPr>
          <w:i/>
        </w:rPr>
        <w:t xml:space="preserve"> axial </w:t>
      </w:r>
      <w:proofErr w:type="spellStart"/>
      <w:r w:rsidRPr="00235BD8">
        <w:rPr>
          <w:i/>
        </w:rPr>
        <w:t>spondyloarthritis</w:t>
      </w:r>
      <w:proofErr w:type="spellEnd"/>
      <w:r w:rsidRPr="00235BD8">
        <w:rPr>
          <w:i/>
        </w:rPr>
        <w:t xml:space="preserve"> (</w:t>
      </w:r>
      <w:proofErr w:type="spellStart"/>
      <w:r w:rsidRPr="00235BD8">
        <w:rPr>
          <w:i/>
        </w:rPr>
        <w:t>nr-axSpA</w:t>
      </w:r>
      <w:proofErr w:type="spellEnd"/>
      <w:r w:rsidRPr="00235BD8">
        <w:rPr>
          <w:i/>
        </w:rPr>
        <w:t xml:space="preserve">), as part of axial </w:t>
      </w:r>
      <w:proofErr w:type="spellStart"/>
      <w:r w:rsidRPr="00235BD8">
        <w:rPr>
          <w:i/>
        </w:rPr>
        <w:t>spondyloarthritis</w:t>
      </w:r>
      <w:proofErr w:type="spellEnd"/>
      <w:r w:rsidRPr="00235BD8">
        <w:rPr>
          <w:i/>
        </w:rPr>
        <w:t xml:space="preserve"> (</w:t>
      </w:r>
      <w:proofErr w:type="spellStart"/>
      <w:r w:rsidRPr="00235BD8">
        <w:rPr>
          <w:i/>
        </w:rPr>
        <w:t>axSpA</w:t>
      </w:r>
      <w:proofErr w:type="spellEnd"/>
      <w:r w:rsidRPr="00235BD8">
        <w:rPr>
          <w:i/>
        </w:rPr>
        <w:t>)</w:t>
      </w:r>
      <w:r>
        <w:rPr>
          <w:i/>
        </w:rPr>
        <w:t xml:space="preserve"> </w:t>
      </w:r>
      <w:r w:rsidRPr="00235BD8">
        <w:rPr>
          <w:i/>
        </w:rPr>
        <w:t>with or without radiographic damage.</w:t>
      </w:r>
    </w:p>
    <w:p w14:paraId="18F72374" w14:textId="70A5B0AC" w:rsidR="00922197" w:rsidRDefault="00922197" w:rsidP="00922197">
      <w:r>
        <w:t xml:space="preserve">Axial </w:t>
      </w:r>
      <w:proofErr w:type="spellStart"/>
      <w:r>
        <w:t>spondyloarthritis</w:t>
      </w:r>
      <w:proofErr w:type="spellEnd"/>
      <w:r>
        <w:t xml:space="preserve"> (</w:t>
      </w:r>
      <w:proofErr w:type="spellStart"/>
      <w:r>
        <w:t>axSpA</w:t>
      </w:r>
      <w:proofErr w:type="spellEnd"/>
      <w:r>
        <w:t xml:space="preserve">) is a chronic inflammatory condition predominantly manifested by back pain and progressive spinal stiffness that incorporates two subtypes, ankylosing spondylitis (AS, also described as radiographic axial </w:t>
      </w:r>
      <w:proofErr w:type="spellStart"/>
      <w:r>
        <w:t>spondyloarthritis</w:t>
      </w:r>
      <w:proofErr w:type="spellEnd"/>
      <w:r>
        <w:t>, or r</w:t>
      </w:r>
      <w:r>
        <w:noBreakHyphen/>
      </w:r>
      <w:proofErr w:type="spellStart"/>
      <w:r>
        <w:t>axSpA</w:t>
      </w:r>
      <w:proofErr w:type="spellEnd"/>
      <w:r>
        <w:t xml:space="preserve">) and non-radiographic axial </w:t>
      </w:r>
      <w:proofErr w:type="spellStart"/>
      <w:r>
        <w:t>SpA</w:t>
      </w:r>
      <w:proofErr w:type="spellEnd"/>
      <w:r>
        <w:t xml:space="preserve"> (</w:t>
      </w:r>
      <w:proofErr w:type="spellStart"/>
      <w:r>
        <w:t>nr-axSpA</w:t>
      </w:r>
      <w:proofErr w:type="spellEnd"/>
      <w:r>
        <w:t xml:space="preserve">). Patients with AS and </w:t>
      </w:r>
      <w:proofErr w:type="spellStart"/>
      <w:r>
        <w:t>nr-axSpA</w:t>
      </w:r>
      <w:proofErr w:type="spellEnd"/>
      <w:r>
        <w:t xml:space="preserve"> report similar disease burden and symptoms. AS and </w:t>
      </w:r>
      <w:proofErr w:type="spellStart"/>
      <w:r>
        <w:t>nr-axSpA</w:t>
      </w:r>
      <w:proofErr w:type="spellEnd"/>
      <w:r>
        <w:t xml:space="preserve"> differ in that significant abnormalities of affected sacroiliac (SI) joints are observed by conventional radiography in patients with AS but not in those with </w:t>
      </w:r>
      <w:proofErr w:type="spellStart"/>
      <w:r>
        <w:t>nr-axSpA</w:t>
      </w:r>
      <w:proofErr w:type="spellEnd"/>
      <w:r>
        <w:t xml:space="preserve">. In this population, the diagnosis is supported by evidence of active inflammation of the SI joints on magnetic resonance imaging (MRI) and other evidence of inflammation, for example elevated serum inflammatory markers. Approximately 5 to 10% of patients with </w:t>
      </w:r>
      <w:proofErr w:type="spellStart"/>
      <w:r>
        <w:t>nr-axSpA</w:t>
      </w:r>
      <w:proofErr w:type="spellEnd"/>
      <w:r>
        <w:t xml:space="preserve"> progress to AS within two years and approximately 20% within about five years.</w:t>
      </w:r>
      <w:r w:rsidR="00467E78">
        <w:rPr>
          <w:rStyle w:val="FootnoteReference"/>
        </w:rPr>
        <w:footnoteReference w:id="2"/>
      </w:r>
      <w:r>
        <w:t xml:space="preserve"> While ankylosing spondylitis and </w:t>
      </w:r>
      <w:proofErr w:type="spellStart"/>
      <w:r>
        <w:t>nr-axSpA</w:t>
      </w:r>
      <w:proofErr w:type="spellEnd"/>
      <w:r>
        <w:t xml:space="preserve"> are often considered together, there remains uncertainty around whether they represent distinct but overlapping disorders, or just different subgroups along a single axial </w:t>
      </w:r>
      <w:proofErr w:type="spellStart"/>
      <w:r>
        <w:t>SpA</w:t>
      </w:r>
      <w:proofErr w:type="spellEnd"/>
      <w:r>
        <w:t xml:space="preserve"> spectrum differing by severity or chronology of the illness.</w:t>
      </w:r>
    </w:p>
    <w:p w14:paraId="5C17E20B" w14:textId="58567C2A" w:rsidR="00922197" w:rsidRDefault="00922197" w:rsidP="00922197">
      <w:r>
        <w:t xml:space="preserve">This submission requests an extension of the registered treatment indications in Australia for </w:t>
      </w:r>
      <w:proofErr w:type="spellStart"/>
      <w:r>
        <w:t>secukinumab</w:t>
      </w:r>
      <w:proofErr w:type="spellEnd"/>
      <w:r>
        <w:t xml:space="preserve">, which are currently restricted to plaque psoriasis, psoriatic arthritis and AS, to include the treatment of adults with active </w:t>
      </w:r>
      <w:proofErr w:type="spellStart"/>
      <w:r>
        <w:t>nr-axSpA</w:t>
      </w:r>
      <w:proofErr w:type="spellEnd"/>
      <w:r>
        <w:t>.</w:t>
      </w:r>
    </w:p>
    <w:p w14:paraId="1B47B616" w14:textId="251BF5CB" w:rsidR="00922197" w:rsidRDefault="00922197" w:rsidP="00922197">
      <w:r>
        <w:t xml:space="preserve">Up until 2015, the TGA only approved biologic therapies for the limited axial </w:t>
      </w:r>
      <w:proofErr w:type="spellStart"/>
      <w:r>
        <w:t>SpA</w:t>
      </w:r>
      <w:proofErr w:type="spellEnd"/>
      <w:r>
        <w:t xml:space="preserve"> indication of clearly defined AS, owing to concerns about the broader axial </w:t>
      </w:r>
      <w:proofErr w:type="spellStart"/>
      <w:r>
        <w:t>SpA</w:t>
      </w:r>
      <w:proofErr w:type="spellEnd"/>
      <w:r>
        <w:t xml:space="preserve"> treatment indication and the need for a clearer delineation of </w:t>
      </w:r>
      <w:proofErr w:type="spellStart"/>
      <w:r>
        <w:t>nr-axSpA</w:t>
      </w:r>
      <w:proofErr w:type="spellEnd"/>
      <w:r>
        <w:t xml:space="preserve"> as a defined subset. The United States (US) Food and Drug Administration (FDA) took a similar position to the TGA. However, in recent years, following the publication of additional scientific data regarding </w:t>
      </w:r>
      <w:proofErr w:type="spellStart"/>
      <w:r>
        <w:t>nr-axSpA</w:t>
      </w:r>
      <w:proofErr w:type="spellEnd"/>
      <w:r>
        <w:t xml:space="preserve"> (natural history, definition and documentation of the objective signs of inflammation (OSI) associated with the entity), the TGA has approved a small number of tumour necrosis factor α (TNFα) inhibiting (anti-TNF) therapies for the treatment of </w:t>
      </w:r>
      <w:proofErr w:type="spellStart"/>
      <w:r>
        <w:t>nr</w:t>
      </w:r>
      <w:r>
        <w:noBreakHyphen/>
        <w:t>axSpA</w:t>
      </w:r>
      <w:proofErr w:type="spellEnd"/>
      <w:r>
        <w:t xml:space="preserve">. Current treatment options in Australia for </w:t>
      </w:r>
      <w:proofErr w:type="spellStart"/>
      <w:r>
        <w:t>nr-axSpA</w:t>
      </w:r>
      <w:proofErr w:type="spellEnd"/>
      <w:r>
        <w:t xml:space="preserve"> therefore include nonsteroidal anti-inflammatory drugs (NSAID) and the following anti-TNF drugs:</w:t>
      </w:r>
    </w:p>
    <w:p w14:paraId="292127A9" w14:textId="77777777" w:rsidR="00922197" w:rsidRPr="00922197" w:rsidRDefault="00922197" w:rsidP="00922197">
      <w:pPr>
        <w:rPr>
          <w:i/>
        </w:rPr>
      </w:pPr>
      <w:proofErr w:type="spellStart"/>
      <w:r w:rsidRPr="00922197">
        <w:rPr>
          <w:i/>
        </w:rPr>
        <w:t>Golimumab</w:t>
      </w:r>
      <w:proofErr w:type="spellEnd"/>
      <w:r w:rsidRPr="00922197">
        <w:rPr>
          <w:i/>
        </w:rPr>
        <w:t xml:space="preserve">: Non-radiographic axial </w:t>
      </w:r>
      <w:proofErr w:type="spellStart"/>
      <w:r w:rsidRPr="00922197">
        <w:rPr>
          <w:i/>
        </w:rPr>
        <w:t>spondyloarthritis</w:t>
      </w:r>
      <w:proofErr w:type="spellEnd"/>
      <w:r w:rsidRPr="00922197">
        <w:rPr>
          <w:i/>
        </w:rPr>
        <w:t xml:space="preserve"> (</w:t>
      </w:r>
      <w:proofErr w:type="spellStart"/>
      <w:r w:rsidRPr="00922197">
        <w:rPr>
          <w:i/>
        </w:rPr>
        <w:t>nr</w:t>
      </w:r>
      <w:proofErr w:type="spellEnd"/>
      <w:r w:rsidRPr="00922197">
        <w:rPr>
          <w:i/>
        </w:rPr>
        <w:t xml:space="preserve">-Axial </w:t>
      </w:r>
      <w:proofErr w:type="spellStart"/>
      <w:r w:rsidRPr="00922197">
        <w:rPr>
          <w:i/>
        </w:rPr>
        <w:t>SpA</w:t>
      </w:r>
      <w:proofErr w:type="spellEnd"/>
      <w:r w:rsidRPr="00922197">
        <w:rPr>
          <w:i/>
        </w:rPr>
        <w:t>)</w:t>
      </w:r>
    </w:p>
    <w:p w14:paraId="77FB44AD" w14:textId="740BDA2C" w:rsidR="00922197" w:rsidRPr="00922197" w:rsidRDefault="00922197" w:rsidP="00922197">
      <w:pPr>
        <w:ind w:left="720"/>
        <w:rPr>
          <w:i/>
        </w:rPr>
      </w:pPr>
      <w:proofErr w:type="spellStart"/>
      <w:r w:rsidRPr="00922197">
        <w:rPr>
          <w:i/>
        </w:rPr>
        <w:t>Simponi</w:t>
      </w:r>
      <w:proofErr w:type="spellEnd"/>
      <w:r w:rsidRPr="00922197">
        <w:rPr>
          <w:i/>
        </w:rPr>
        <w:t xml:space="preserve"> is indicated for the treatment of adults with active non-radiographic axial </w:t>
      </w:r>
      <w:proofErr w:type="spellStart"/>
      <w:r w:rsidRPr="00922197">
        <w:rPr>
          <w:i/>
        </w:rPr>
        <w:t>spondyloarthritis</w:t>
      </w:r>
      <w:proofErr w:type="spellEnd"/>
      <w:r w:rsidRPr="00922197">
        <w:rPr>
          <w:i/>
        </w:rPr>
        <w:t xml:space="preserve"> with objective signs of inflammation as indicated by elevated C-reactive protein (CRP) and/or magnetic resonance imaging (MRI) evidence, who have had an inadequate response to, or are intolerant to, nonsteroidal anti-inflammatory drugs (NSAIDs).</w:t>
      </w:r>
    </w:p>
    <w:p w14:paraId="7D868938" w14:textId="460CEB63" w:rsidR="00922197" w:rsidRPr="00922197" w:rsidRDefault="00922197" w:rsidP="00922197">
      <w:pPr>
        <w:rPr>
          <w:i/>
        </w:rPr>
      </w:pPr>
      <w:proofErr w:type="spellStart"/>
      <w:r w:rsidRPr="00922197">
        <w:rPr>
          <w:i/>
        </w:rPr>
        <w:t>Etanercept</w:t>
      </w:r>
      <w:proofErr w:type="spellEnd"/>
      <w:r w:rsidRPr="00922197">
        <w:rPr>
          <w:i/>
        </w:rPr>
        <w:t xml:space="preserve">: Non-radiographic axial </w:t>
      </w:r>
      <w:proofErr w:type="spellStart"/>
      <w:r w:rsidRPr="00922197">
        <w:rPr>
          <w:i/>
        </w:rPr>
        <w:t>spondyloarthritis</w:t>
      </w:r>
      <w:proofErr w:type="spellEnd"/>
    </w:p>
    <w:p w14:paraId="2D4B2A99" w14:textId="77777777" w:rsidR="00922197" w:rsidRPr="00922197" w:rsidRDefault="00922197" w:rsidP="00922197">
      <w:pPr>
        <w:ind w:left="720"/>
        <w:rPr>
          <w:i/>
        </w:rPr>
      </w:pPr>
      <w:r w:rsidRPr="00922197">
        <w:rPr>
          <w:i/>
        </w:rPr>
        <w:t xml:space="preserve">Treatment of adults with active* non-radiographic axial </w:t>
      </w:r>
      <w:proofErr w:type="spellStart"/>
      <w:r w:rsidRPr="00922197">
        <w:rPr>
          <w:i/>
        </w:rPr>
        <w:t>spondyloarthritis</w:t>
      </w:r>
      <w:proofErr w:type="spellEnd"/>
      <w:r w:rsidRPr="00922197">
        <w:rPr>
          <w:i/>
        </w:rPr>
        <w:t xml:space="preserve"> with objective signs of inflammation as indicated by elevated C-reactive protein (CRP) and/or MRI change who have had an inadequate response to NSAIDs.</w:t>
      </w:r>
    </w:p>
    <w:p w14:paraId="549D704D" w14:textId="7B5C2B17" w:rsidR="00922197" w:rsidRDefault="00922197" w:rsidP="00922197">
      <w:pPr>
        <w:ind w:left="720"/>
        <w:rPr>
          <w:i/>
        </w:rPr>
      </w:pPr>
      <w:r w:rsidRPr="00922197">
        <w:rPr>
          <w:i/>
        </w:rPr>
        <w:t>*Active disease is defined as a Bath Ankylosing Spondylitis Disease Activity Index (BASDAI) score of ≥ 4.</w:t>
      </w:r>
      <w:bookmarkStart w:id="16" w:name="_Ref60964419"/>
      <w:r w:rsidR="00E9139B">
        <w:rPr>
          <w:rStyle w:val="FootnoteReference"/>
          <w:i/>
        </w:rPr>
        <w:footnoteReference w:id="3"/>
      </w:r>
      <w:bookmarkEnd w:id="16"/>
    </w:p>
    <w:p w14:paraId="595CB5EA" w14:textId="090A108B" w:rsidR="00467E78" w:rsidRDefault="00467E78" w:rsidP="00467E78">
      <w:pPr>
        <w:ind w:right="379"/>
        <w:jc w:val="both"/>
        <w:rPr>
          <w:i/>
        </w:rPr>
      </w:pPr>
      <w:r>
        <w:rPr>
          <w:i/>
        </w:rPr>
        <w:t xml:space="preserve">Certolizumab pegol: Non-radiographic axial </w:t>
      </w:r>
      <w:proofErr w:type="spellStart"/>
      <w:r>
        <w:rPr>
          <w:i/>
        </w:rPr>
        <w:t>spondyloarthritis</w:t>
      </w:r>
      <w:proofErr w:type="spellEnd"/>
    </w:p>
    <w:p w14:paraId="54BBC3D3" w14:textId="77777777" w:rsidR="00467E78" w:rsidRPr="00474D6E" w:rsidRDefault="00467E78" w:rsidP="00467E78">
      <w:pPr>
        <w:ind w:left="567" w:right="379"/>
        <w:jc w:val="both"/>
        <w:rPr>
          <w:i/>
        </w:rPr>
      </w:pPr>
      <w:r>
        <w:rPr>
          <w:i/>
        </w:rPr>
        <w:t xml:space="preserve">Cimzia is indicated for the treatment </w:t>
      </w:r>
      <w:r w:rsidRPr="004535D0">
        <w:rPr>
          <w:i/>
        </w:rPr>
        <w:t>of adults with active non-radio</w:t>
      </w:r>
      <w:r>
        <w:rPr>
          <w:i/>
        </w:rPr>
        <w:t xml:space="preserve">graphic axial </w:t>
      </w:r>
      <w:proofErr w:type="spellStart"/>
      <w:r>
        <w:rPr>
          <w:i/>
        </w:rPr>
        <w:t>spondyloarthritis</w:t>
      </w:r>
      <w:proofErr w:type="spellEnd"/>
      <w:r>
        <w:rPr>
          <w:i/>
        </w:rPr>
        <w:t xml:space="preserve"> </w:t>
      </w:r>
      <w:r w:rsidRPr="004535D0">
        <w:rPr>
          <w:i/>
        </w:rPr>
        <w:t>(</w:t>
      </w:r>
      <w:proofErr w:type="spellStart"/>
      <w:r w:rsidRPr="004535D0">
        <w:rPr>
          <w:i/>
        </w:rPr>
        <w:t>nr-axSpA</w:t>
      </w:r>
      <w:proofErr w:type="spellEnd"/>
      <w:r w:rsidRPr="004535D0">
        <w:rPr>
          <w:i/>
        </w:rPr>
        <w:t>) with objective signs of inflammation as indicated by elevated C reactive protein (CRP)</w:t>
      </w:r>
      <w:r>
        <w:rPr>
          <w:i/>
        </w:rPr>
        <w:t xml:space="preserve"> </w:t>
      </w:r>
      <w:r w:rsidRPr="004535D0">
        <w:rPr>
          <w:i/>
        </w:rPr>
        <w:t>and /or magnetic resonance imaging (MRI) change, who have had an inadequate response to, or</w:t>
      </w:r>
      <w:r>
        <w:rPr>
          <w:i/>
        </w:rPr>
        <w:t xml:space="preserve"> </w:t>
      </w:r>
      <w:r w:rsidRPr="004535D0">
        <w:rPr>
          <w:i/>
        </w:rPr>
        <w:t>are intolerant to, nonsteroidal anti‐inflammatory drugs (NSAIDs).</w:t>
      </w:r>
    </w:p>
    <w:p w14:paraId="42544C1F" w14:textId="4D685C39" w:rsidR="00467E78" w:rsidRPr="009C395C" w:rsidRDefault="00467E78" w:rsidP="00467E78">
      <w:proofErr w:type="spellStart"/>
      <w:r>
        <w:t>Secukinumab</w:t>
      </w:r>
      <w:proofErr w:type="spellEnd"/>
      <w:r>
        <w:t xml:space="preserve"> is the first in class anti-interleukin (IL)-17 therapy proposed for registration in Australia to treat active </w:t>
      </w:r>
      <w:proofErr w:type="spellStart"/>
      <w:r>
        <w:t>nr-axSpA</w:t>
      </w:r>
      <w:proofErr w:type="spellEnd"/>
      <w:r>
        <w:t>.</w:t>
      </w:r>
    </w:p>
    <w:p w14:paraId="5FFD8988" w14:textId="77777777" w:rsidR="008E7846" w:rsidRPr="003F31A2" w:rsidRDefault="00386150" w:rsidP="008E7846">
      <w:pPr>
        <w:pStyle w:val="Heading3"/>
      </w:pPr>
      <w:bookmarkStart w:id="17" w:name="_Toc314842485"/>
      <w:bookmarkStart w:id="18" w:name="_Toc247691504"/>
      <w:bookmarkStart w:id="19" w:name="_Toc63175293"/>
      <w:r>
        <w:t>Regulatory s</w:t>
      </w:r>
      <w:r w:rsidR="008E7846">
        <w:t>tatus</w:t>
      </w:r>
      <w:bookmarkEnd w:id="17"/>
      <w:bookmarkEnd w:id="18"/>
      <w:bookmarkEnd w:id="19"/>
    </w:p>
    <w:p w14:paraId="1C92057E" w14:textId="5CE44ADE" w:rsidR="00545A94" w:rsidRDefault="00545A94" w:rsidP="00545A94">
      <w:pPr>
        <w:pStyle w:val="Heading4"/>
      </w:pPr>
      <w:bookmarkStart w:id="20" w:name="_Toc247691505"/>
      <w:bookmarkStart w:id="21" w:name="_Toc314842486"/>
      <w:r>
        <w:t xml:space="preserve">Australian </w:t>
      </w:r>
      <w:r w:rsidR="00FC13EA">
        <w:t>r</w:t>
      </w:r>
      <w:r>
        <w:t xml:space="preserve">egulatory </w:t>
      </w:r>
      <w:r w:rsidR="00FC13EA">
        <w:t>s</w:t>
      </w:r>
      <w:r>
        <w:t>tatus</w:t>
      </w:r>
    </w:p>
    <w:p w14:paraId="7F9F7896" w14:textId="61B117B0" w:rsidR="00270E4A" w:rsidRDefault="00545A94" w:rsidP="003D072C">
      <w:pPr>
        <w:rPr>
          <w:lang w:val="en-US"/>
        </w:rPr>
      </w:pPr>
      <w:r>
        <w:t xml:space="preserve">The product received initial registration on the Australian Register of Therapeutic Goods (ARTG) </w:t>
      </w:r>
      <w:r w:rsidR="003D072C">
        <w:t>in</w:t>
      </w:r>
      <w:r w:rsidR="00467E78">
        <w:t xml:space="preserve"> January 2015, </w:t>
      </w:r>
      <w:r>
        <w:t xml:space="preserve">approved for the </w:t>
      </w:r>
      <w:r w:rsidR="00467E78">
        <w:t xml:space="preserve">treatment </w:t>
      </w:r>
      <w:r w:rsidR="00D84570">
        <w:t>of plaque psoriasis</w:t>
      </w:r>
      <w:r w:rsidR="00467E78">
        <w:t xml:space="preserve">, and </w:t>
      </w:r>
      <w:r w:rsidR="00467E78">
        <w:rPr>
          <w:lang w:val="en-US"/>
        </w:rPr>
        <w:t>subsequently the indication was extended to incl</w:t>
      </w:r>
      <w:r w:rsidR="00D84570">
        <w:rPr>
          <w:lang w:val="en-US"/>
        </w:rPr>
        <w:t>ude psoriatic arthritis</w:t>
      </w:r>
      <w:r w:rsidR="00467E78">
        <w:rPr>
          <w:lang w:val="en-US"/>
        </w:rPr>
        <w:t xml:space="preserve"> and ankylosing spondylitis (axial </w:t>
      </w:r>
      <w:proofErr w:type="spellStart"/>
      <w:r w:rsidR="00467E78">
        <w:rPr>
          <w:lang w:val="en-US"/>
        </w:rPr>
        <w:t>spondyloarthritis</w:t>
      </w:r>
      <w:proofErr w:type="spellEnd"/>
      <w:r w:rsidR="00467E78">
        <w:rPr>
          <w:lang w:val="en-US"/>
        </w:rPr>
        <w:t xml:space="preserve"> with radiographic damage) in May 2016.</w:t>
      </w:r>
    </w:p>
    <w:p w14:paraId="61E6AAA7" w14:textId="7E931C41" w:rsidR="00990FBB" w:rsidRPr="00467E78" w:rsidRDefault="00990FBB" w:rsidP="00990FBB">
      <w:pPr>
        <w:rPr>
          <w:lang w:val="en-US"/>
        </w:rPr>
      </w:pPr>
      <w:r>
        <w:rPr>
          <w:lang w:val="en-US"/>
        </w:rPr>
        <w:t xml:space="preserve">More recently (2020), an application was approved to alter </w:t>
      </w:r>
      <w:r w:rsidR="00616D96">
        <w:rPr>
          <w:lang w:val="en-US"/>
        </w:rPr>
        <w:t xml:space="preserve">dosage for </w:t>
      </w:r>
      <w:r>
        <w:rPr>
          <w:lang w:val="en-US"/>
        </w:rPr>
        <w:t xml:space="preserve">the </w:t>
      </w:r>
      <w:r w:rsidR="00C926CF">
        <w:rPr>
          <w:lang w:val="en-US"/>
        </w:rPr>
        <w:t>a</w:t>
      </w:r>
      <w:r w:rsidRPr="00990FBB">
        <w:rPr>
          <w:lang w:val="en-US"/>
        </w:rPr>
        <w:t>nkylosing spondylitis</w:t>
      </w:r>
      <w:r w:rsidR="00C926CF">
        <w:rPr>
          <w:lang w:val="en-US"/>
        </w:rPr>
        <w:t xml:space="preserve"> (axial </w:t>
      </w:r>
      <w:proofErr w:type="spellStart"/>
      <w:r w:rsidR="00C926CF">
        <w:rPr>
          <w:lang w:val="en-US"/>
        </w:rPr>
        <w:t>spondyloarthritis</w:t>
      </w:r>
      <w:proofErr w:type="spellEnd"/>
      <w:r w:rsidR="00C926CF">
        <w:rPr>
          <w:lang w:val="en-US"/>
        </w:rPr>
        <w:t xml:space="preserve"> </w:t>
      </w:r>
      <w:r w:rsidR="00616D96">
        <w:rPr>
          <w:lang w:val="en-US"/>
        </w:rPr>
        <w:t>with radiographic damage) indication to permit a 300 </w:t>
      </w:r>
      <w:r w:rsidR="00C926CF">
        <w:rPr>
          <w:lang w:val="en-US"/>
        </w:rPr>
        <w:t>mg maintenance dose b</w:t>
      </w:r>
      <w:r w:rsidRPr="00990FBB">
        <w:rPr>
          <w:lang w:val="en-US"/>
        </w:rPr>
        <w:t xml:space="preserve">ased on clinical response, </w:t>
      </w:r>
      <w:r w:rsidR="00C926CF">
        <w:rPr>
          <w:lang w:val="en-US"/>
        </w:rPr>
        <w:t>as opposed to 150 mg.</w:t>
      </w:r>
    </w:p>
    <w:p w14:paraId="04036307" w14:textId="0065E13D" w:rsidR="00545A94" w:rsidRDefault="00545A94" w:rsidP="00AB638B">
      <w:pPr>
        <w:pStyle w:val="Heading4"/>
      </w:pPr>
      <w:r>
        <w:t xml:space="preserve">Overseas </w:t>
      </w:r>
      <w:r w:rsidR="00FC13EA">
        <w:t>regulatory status</w:t>
      </w:r>
    </w:p>
    <w:p w14:paraId="3C848B1B" w14:textId="71CD8019" w:rsidR="001A3F1E" w:rsidRPr="00C926CF" w:rsidRDefault="00AB638B" w:rsidP="001A3F1E">
      <w:pPr>
        <w:rPr>
          <w:i/>
        </w:rPr>
      </w:pPr>
      <w:r>
        <w:t xml:space="preserve">In the </w:t>
      </w:r>
      <w:r w:rsidR="00C926CF">
        <w:t xml:space="preserve">United States of America (USA) </w:t>
      </w:r>
      <w:proofErr w:type="spellStart"/>
      <w:r w:rsidR="00C926CF">
        <w:t>secukinumab</w:t>
      </w:r>
      <w:proofErr w:type="spellEnd"/>
      <w:r w:rsidR="00C926CF">
        <w:t xml:space="preserve"> was</w:t>
      </w:r>
      <w:r w:rsidR="001A3F1E">
        <w:t xml:space="preserve"> approved for marketing by the </w:t>
      </w:r>
      <w:r w:rsidR="00E9139B">
        <w:t>United States (</w:t>
      </w:r>
      <w:r w:rsidR="001A3F1E">
        <w:t>US</w:t>
      </w:r>
      <w:r w:rsidR="00E9139B">
        <w:t>) Food and Drug Administration</w:t>
      </w:r>
      <w:r w:rsidR="001A3F1E">
        <w:t xml:space="preserve"> </w:t>
      </w:r>
      <w:r w:rsidR="00E9139B">
        <w:t>(</w:t>
      </w:r>
      <w:r w:rsidR="001A3F1E">
        <w:t>FDA</w:t>
      </w:r>
      <w:r w:rsidR="00E9139B">
        <w:t>)</w:t>
      </w:r>
      <w:r w:rsidR="001A3F1E">
        <w:t xml:space="preserve"> in June 2020 for the indication:</w:t>
      </w:r>
    </w:p>
    <w:p w14:paraId="43D965ED" w14:textId="4850F871" w:rsidR="001A3F1E" w:rsidRPr="00F34272" w:rsidRDefault="001A3F1E" w:rsidP="001A3F1E">
      <w:pPr>
        <w:ind w:left="720"/>
        <w:rPr>
          <w:i/>
        </w:rPr>
      </w:pPr>
      <w:r>
        <w:rPr>
          <w:i/>
        </w:rPr>
        <w:t>A</w:t>
      </w:r>
      <w:r w:rsidRPr="00F34272">
        <w:rPr>
          <w:i/>
        </w:rPr>
        <w:t xml:space="preserve">ctive non-radiographic axial </w:t>
      </w:r>
      <w:proofErr w:type="spellStart"/>
      <w:r w:rsidRPr="00F34272">
        <w:rPr>
          <w:i/>
        </w:rPr>
        <w:t>spondyloarthritis</w:t>
      </w:r>
      <w:proofErr w:type="spellEnd"/>
      <w:r w:rsidRPr="00F34272">
        <w:rPr>
          <w:i/>
        </w:rPr>
        <w:t xml:space="preserve"> (</w:t>
      </w:r>
      <w:proofErr w:type="spellStart"/>
      <w:r w:rsidRPr="00F34272">
        <w:rPr>
          <w:i/>
        </w:rPr>
        <w:t>nr-axSpA</w:t>
      </w:r>
      <w:proofErr w:type="spellEnd"/>
      <w:r w:rsidRPr="00F34272">
        <w:rPr>
          <w:i/>
        </w:rPr>
        <w:t>) in adult patients with objective signs of inflammation</w:t>
      </w:r>
      <w:r>
        <w:rPr>
          <w:i/>
        </w:rPr>
        <w:t>.”</w:t>
      </w:r>
    </w:p>
    <w:p w14:paraId="0627FAC9" w14:textId="77777777" w:rsidR="001A3F1E" w:rsidRPr="00091330" w:rsidRDefault="001A3F1E" w:rsidP="001A3F1E">
      <w:r>
        <w:t>Both loading and non-loading dose regimens were approved in the US, with subsequent doses every four weeks.</w:t>
      </w:r>
    </w:p>
    <w:p w14:paraId="4BAB9FC0" w14:textId="3318234B" w:rsidR="001A3F1E" w:rsidRDefault="00C926CF" w:rsidP="001A3F1E">
      <w:r>
        <w:t xml:space="preserve">In the European Union (EU) </w:t>
      </w:r>
      <w:proofErr w:type="spellStart"/>
      <w:r>
        <w:t>s</w:t>
      </w:r>
      <w:r w:rsidR="001A3F1E">
        <w:t>ecukinumab</w:t>
      </w:r>
      <w:proofErr w:type="spellEnd"/>
      <w:r w:rsidR="001A3F1E">
        <w:t xml:space="preserve"> received a positive opinion from the EU </w:t>
      </w:r>
      <w:r w:rsidR="001A3F1E" w:rsidRPr="001A3F1E">
        <w:t>Committee for Medicinal Products for Human Use</w:t>
      </w:r>
      <w:r w:rsidR="001A3F1E">
        <w:t xml:space="preserve"> (CHMP) in March 2020 for the </w:t>
      </w:r>
      <w:r>
        <w:t>following indication:</w:t>
      </w:r>
    </w:p>
    <w:p w14:paraId="121C678A" w14:textId="40A36B95" w:rsidR="001A3F1E" w:rsidRPr="00F34272" w:rsidRDefault="001A3F1E" w:rsidP="001A3F1E">
      <w:pPr>
        <w:ind w:left="720"/>
        <w:rPr>
          <w:i/>
        </w:rPr>
      </w:pPr>
      <w:r>
        <w:rPr>
          <w:i/>
        </w:rPr>
        <w:t>F</w:t>
      </w:r>
      <w:r w:rsidRPr="00F34272">
        <w:rPr>
          <w:i/>
        </w:rPr>
        <w:t xml:space="preserve">or the treatment of active non-radiographic axial </w:t>
      </w:r>
      <w:proofErr w:type="spellStart"/>
      <w:r w:rsidRPr="00F34272">
        <w:rPr>
          <w:i/>
        </w:rPr>
        <w:t>spondyloarthritis</w:t>
      </w:r>
      <w:proofErr w:type="spellEnd"/>
      <w:r w:rsidRPr="00F34272">
        <w:rPr>
          <w:i/>
        </w:rPr>
        <w:t xml:space="preserve"> with objective signs of inflammation as indicated by elevated C-reactive protein (CRP) and/or magnetic resonance imaging (MRI) evidence in adults who have responded inadequately to nonsteroidal anti-inflammatory drugs (NSAIDs).</w:t>
      </w:r>
    </w:p>
    <w:p w14:paraId="158E1A87" w14:textId="59A6966A" w:rsidR="001A3F1E" w:rsidRPr="001A3F1E" w:rsidRDefault="001A3F1E" w:rsidP="001A3F1E">
      <w:r>
        <w:t>The recommended dosage included loading doses at Weeks 0, 1, 2, 3 and 4, followed by monthly doses thereafter.</w:t>
      </w:r>
    </w:p>
    <w:p w14:paraId="6429E0AF" w14:textId="77777777" w:rsidR="008E7846" w:rsidRDefault="008E7846" w:rsidP="00940A89">
      <w:pPr>
        <w:pStyle w:val="Heading3"/>
      </w:pPr>
      <w:bookmarkStart w:id="22" w:name="_Toc63175294"/>
      <w:r>
        <w:t>Product Information</w:t>
      </w:r>
      <w:bookmarkEnd w:id="20"/>
      <w:bookmarkEnd w:id="21"/>
      <w:bookmarkEnd w:id="22"/>
    </w:p>
    <w:p w14:paraId="359D8A58" w14:textId="6798017F" w:rsidR="00940A89" w:rsidRDefault="006136D7" w:rsidP="00940A89">
      <w:bookmarkStart w:id="23" w:name="_Toc247691506"/>
      <w:bookmarkStart w:id="24" w:name="_Toc314842487"/>
      <w:r w:rsidRPr="00940A89">
        <w:t xml:space="preserve">The Product Information (PI) </w:t>
      </w:r>
      <w:r>
        <w:t xml:space="preserve">approved with the submission which is described in </w:t>
      </w:r>
      <w:r w:rsidRPr="00940A89">
        <w:t xml:space="preserve">this AusPAR can be found as Attachment 1. For the most recent </w:t>
      </w:r>
      <w:r>
        <w:t>PI,</w:t>
      </w:r>
      <w:r w:rsidRPr="00940A89">
        <w:t xml:space="preserve"> ple</w:t>
      </w:r>
      <w:r>
        <w:t>ase refer to the TGA website</w:t>
      </w:r>
      <w:r w:rsidRPr="00441C3F">
        <w:t xml:space="preserve"> at </w:t>
      </w:r>
      <w:r w:rsidR="00441C3F" w:rsidRPr="00441C3F">
        <w:t>&lt;</w:t>
      </w:r>
      <w:hyperlink r:id="rId19" w:history="1">
        <w:r w:rsidR="00441C3F" w:rsidRPr="00441C3F">
          <w:rPr>
            <w:rStyle w:val="Hyperlink"/>
          </w:rPr>
          <w:t>https://www.tga.gov.au/product-information-pi</w:t>
        </w:r>
      </w:hyperlink>
      <w:r w:rsidR="00441C3F">
        <w:t>&gt;</w:t>
      </w:r>
      <w:r w:rsidR="00940A89" w:rsidRPr="00940A89">
        <w:t>.</w:t>
      </w:r>
    </w:p>
    <w:p w14:paraId="77D1139A" w14:textId="77777777" w:rsidR="00500337" w:rsidRDefault="00500337" w:rsidP="00500337">
      <w:pPr>
        <w:pStyle w:val="Heading2"/>
      </w:pPr>
      <w:bookmarkStart w:id="25" w:name="_Toc504480011"/>
      <w:bookmarkStart w:id="26" w:name="_Toc63175295"/>
      <w:r>
        <w:t>II. Registration timeline</w:t>
      </w:r>
      <w:bookmarkEnd w:id="25"/>
      <w:bookmarkEnd w:id="26"/>
    </w:p>
    <w:p w14:paraId="2AE9FFA5" w14:textId="77777777" w:rsidR="00500337" w:rsidRDefault="00500337" w:rsidP="00500337">
      <w:r>
        <w:t>The following table captures the key steps and dates for this application and which are detailed and discussed in this AusPAR.</w:t>
      </w:r>
    </w:p>
    <w:p w14:paraId="6E012ACA" w14:textId="5899111A" w:rsidR="004102CB" w:rsidRDefault="004102CB" w:rsidP="004102CB">
      <w:pPr>
        <w:pStyle w:val="TableTitle"/>
      </w:pPr>
      <w:r>
        <w:t xml:space="preserve">Table </w:t>
      </w:r>
      <w:fldSimple w:instr=" SEQ Table \* ARABIC ">
        <w:r w:rsidR="003F2FF5">
          <w:rPr>
            <w:noProof/>
          </w:rPr>
          <w:t>1</w:t>
        </w:r>
      </w:fldSimple>
      <w:r>
        <w:t>: Timeline for Submission PM-2019-</w:t>
      </w:r>
      <w:r w:rsidR="000270C4">
        <w:t>04601-1-3</w:t>
      </w:r>
    </w:p>
    <w:tbl>
      <w:tblPr>
        <w:tblStyle w:val="TableTGAblue"/>
        <w:tblW w:w="0" w:type="auto"/>
        <w:tblLook w:val="04A0" w:firstRow="1" w:lastRow="0" w:firstColumn="1" w:lastColumn="0" w:noHBand="0" w:noVBand="1"/>
      </w:tblPr>
      <w:tblGrid>
        <w:gridCol w:w="6091"/>
        <w:gridCol w:w="2403"/>
      </w:tblGrid>
      <w:tr w:rsidR="00500337" w14:paraId="662B2CCE" w14:textId="77777777" w:rsidTr="00FC13EA">
        <w:trPr>
          <w:cnfStyle w:val="100000000000" w:firstRow="1" w:lastRow="0" w:firstColumn="0" w:lastColumn="0" w:oddVBand="0" w:evenVBand="0" w:oddHBand="0" w:evenHBand="0" w:firstRowFirstColumn="0" w:firstRowLastColumn="0" w:lastRowFirstColumn="0" w:lastRowLastColumn="0"/>
          <w:cantSplit/>
        </w:trPr>
        <w:tc>
          <w:tcPr>
            <w:tcW w:w="6091" w:type="dxa"/>
            <w:tcBorders>
              <w:top w:val="single" w:sz="4" w:space="0" w:color="auto"/>
              <w:left w:val="single" w:sz="4" w:space="0" w:color="auto"/>
              <w:bottom w:val="single" w:sz="4" w:space="0" w:color="auto"/>
              <w:right w:val="single" w:sz="4" w:space="0" w:color="auto"/>
            </w:tcBorders>
          </w:tcPr>
          <w:p w14:paraId="3DD37D05" w14:textId="77777777" w:rsidR="00500337" w:rsidRDefault="00500337" w:rsidP="00500337">
            <w:pPr>
              <w:ind w:left="0" w:right="0"/>
            </w:pPr>
            <w:r>
              <w:t>Description</w:t>
            </w:r>
          </w:p>
        </w:tc>
        <w:tc>
          <w:tcPr>
            <w:tcW w:w="2403" w:type="dxa"/>
            <w:tcBorders>
              <w:top w:val="single" w:sz="4" w:space="0" w:color="auto"/>
              <w:left w:val="single" w:sz="4" w:space="0" w:color="auto"/>
              <w:bottom w:val="single" w:sz="4" w:space="0" w:color="auto"/>
              <w:right w:val="single" w:sz="4" w:space="0" w:color="auto"/>
            </w:tcBorders>
          </w:tcPr>
          <w:p w14:paraId="7570098C" w14:textId="77777777" w:rsidR="00500337" w:rsidRDefault="00500337" w:rsidP="00500337">
            <w:pPr>
              <w:ind w:left="0" w:right="0"/>
            </w:pPr>
            <w:r>
              <w:t>Date</w:t>
            </w:r>
          </w:p>
        </w:tc>
      </w:tr>
      <w:tr w:rsidR="00500337" w14:paraId="39324B95" w14:textId="77777777" w:rsidTr="00FC13EA">
        <w:tc>
          <w:tcPr>
            <w:tcW w:w="6091" w:type="dxa"/>
            <w:tcBorders>
              <w:top w:val="single" w:sz="4" w:space="0" w:color="auto"/>
            </w:tcBorders>
          </w:tcPr>
          <w:p w14:paraId="2162B8E0" w14:textId="77777777" w:rsidR="00500337" w:rsidRDefault="00500337" w:rsidP="00500337">
            <w:pPr>
              <w:ind w:left="0" w:right="0"/>
            </w:pPr>
            <w:r>
              <w:t>Submission dossier accepted and first round evaluation commenced</w:t>
            </w:r>
          </w:p>
        </w:tc>
        <w:tc>
          <w:tcPr>
            <w:tcW w:w="2403" w:type="dxa"/>
            <w:tcBorders>
              <w:top w:val="single" w:sz="4" w:space="0" w:color="auto"/>
            </w:tcBorders>
          </w:tcPr>
          <w:p w14:paraId="635B1B47" w14:textId="77777777" w:rsidR="00500337" w:rsidRDefault="00342FD6" w:rsidP="00500337">
            <w:pPr>
              <w:ind w:left="0" w:right="0"/>
            </w:pPr>
            <w:r>
              <w:t>4 December 2019</w:t>
            </w:r>
          </w:p>
        </w:tc>
      </w:tr>
      <w:tr w:rsidR="00500337" w14:paraId="5360E7ED" w14:textId="77777777" w:rsidTr="00FC13EA">
        <w:tc>
          <w:tcPr>
            <w:tcW w:w="6091" w:type="dxa"/>
          </w:tcPr>
          <w:p w14:paraId="7A95B22E" w14:textId="6CED8B78" w:rsidR="00500337" w:rsidRPr="00197A3A" w:rsidRDefault="00500337" w:rsidP="00FC13EA">
            <w:pPr>
              <w:ind w:left="0" w:right="0"/>
            </w:pPr>
            <w:r>
              <w:t>First round evaluation completed</w:t>
            </w:r>
          </w:p>
        </w:tc>
        <w:tc>
          <w:tcPr>
            <w:tcW w:w="2403" w:type="dxa"/>
          </w:tcPr>
          <w:p w14:paraId="2FEA879A" w14:textId="1D213B30" w:rsidR="00500337" w:rsidRDefault="00C926CF" w:rsidP="00500337">
            <w:pPr>
              <w:ind w:left="0" w:right="0"/>
            </w:pPr>
            <w:r>
              <w:t>26 March 2020</w:t>
            </w:r>
          </w:p>
        </w:tc>
      </w:tr>
      <w:tr w:rsidR="00500337" w14:paraId="4D07A1E7" w14:textId="77777777" w:rsidTr="00FC13EA">
        <w:tc>
          <w:tcPr>
            <w:tcW w:w="6091" w:type="dxa"/>
          </w:tcPr>
          <w:p w14:paraId="47AE45CA" w14:textId="77777777" w:rsidR="00500337" w:rsidRDefault="00500337" w:rsidP="00500337">
            <w:pPr>
              <w:ind w:left="0" w:right="0"/>
            </w:pPr>
            <w:r>
              <w:t>Sponsor provides responses on questions raised in first round evaluation</w:t>
            </w:r>
          </w:p>
        </w:tc>
        <w:tc>
          <w:tcPr>
            <w:tcW w:w="2403" w:type="dxa"/>
          </w:tcPr>
          <w:p w14:paraId="03B8364C" w14:textId="77777777" w:rsidR="00500337" w:rsidRDefault="00342FD6" w:rsidP="00500337">
            <w:pPr>
              <w:ind w:left="0" w:right="0"/>
            </w:pPr>
            <w:r>
              <w:t>28 May 2020</w:t>
            </w:r>
          </w:p>
        </w:tc>
      </w:tr>
      <w:tr w:rsidR="00500337" w14:paraId="599EC11F" w14:textId="77777777" w:rsidTr="00FC13EA">
        <w:tc>
          <w:tcPr>
            <w:tcW w:w="6091" w:type="dxa"/>
          </w:tcPr>
          <w:p w14:paraId="38DAFFC6" w14:textId="77777777" w:rsidR="00500337" w:rsidRDefault="00500337" w:rsidP="00500337">
            <w:pPr>
              <w:ind w:left="0" w:right="0"/>
            </w:pPr>
            <w:r>
              <w:t>Second round evaluation completed</w:t>
            </w:r>
          </w:p>
        </w:tc>
        <w:tc>
          <w:tcPr>
            <w:tcW w:w="2403" w:type="dxa"/>
          </w:tcPr>
          <w:p w14:paraId="44931523" w14:textId="7671B20C" w:rsidR="00500337" w:rsidRDefault="00C926CF" w:rsidP="00500337">
            <w:pPr>
              <w:ind w:left="0" w:right="0"/>
            </w:pPr>
            <w:r>
              <w:t>16 June</w:t>
            </w:r>
            <w:r w:rsidR="00456306">
              <w:t xml:space="preserve"> 2020</w:t>
            </w:r>
          </w:p>
        </w:tc>
      </w:tr>
      <w:tr w:rsidR="00500337" w14:paraId="7C636FDA" w14:textId="77777777" w:rsidTr="00FC13EA">
        <w:tc>
          <w:tcPr>
            <w:tcW w:w="6091" w:type="dxa"/>
          </w:tcPr>
          <w:p w14:paraId="3A63A132" w14:textId="14FDBC81" w:rsidR="00500337" w:rsidRPr="00342FD6" w:rsidRDefault="00456306" w:rsidP="00456306">
            <w:pPr>
              <w:ind w:left="0" w:right="0"/>
              <w:rPr>
                <w:highlight w:val="yellow"/>
              </w:rPr>
            </w:pPr>
            <w:r w:rsidRPr="00456306">
              <w:rPr>
                <w:color w:val="auto"/>
              </w:rPr>
              <w:t>Del</w:t>
            </w:r>
            <w:r w:rsidR="00324E45" w:rsidRPr="00456306">
              <w:rPr>
                <w:color w:val="auto"/>
              </w:rPr>
              <w:t xml:space="preserve">egate’s Overall benefit-risk assessment and request for Advisory Committee advice </w:t>
            </w:r>
          </w:p>
        </w:tc>
        <w:tc>
          <w:tcPr>
            <w:tcW w:w="2403" w:type="dxa"/>
          </w:tcPr>
          <w:p w14:paraId="1B2BDA53" w14:textId="43765D1F" w:rsidR="00500337" w:rsidRPr="00456306" w:rsidRDefault="004B2446" w:rsidP="00500337">
            <w:pPr>
              <w:ind w:left="0" w:right="0"/>
            </w:pPr>
            <w:r>
              <w:t>4 July 2020</w:t>
            </w:r>
          </w:p>
        </w:tc>
      </w:tr>
      <w:tr w:rsidR="00500337" w14:paraId="010C56B8" w14:textId="77777777" w:rsidTr="00FC13EA">
        <w:tc>
          <w:tcPr>
            <w:tcW w:w="6091" w:type="dxa"/>
          </w:tcPr>
          <w:p w14:paraId="0DC6E5E6" w14:textId="77777777" w:rsidR="00500337" w:rsidRDefault="00500337" w:rsidP="00500337">
            <w:pPr>
              <w:ind w:left="0" w:right="0"/>
            </w:pPr>
            <w:r>
              <w:t>Sponsor’s pre-Advisory Committee response</w:t>
            </w:r>
          </w:p>
        </w:tc>
        <w:tc>
          <w:tcPr>
            <w:tcW w:w="2403" w:type="dxa"/>
          </w:tcPr>
          <w:p w14:paraId="226E6B05" w14:textId="7A1542BF" w:rsidR="00500337" w:rsidRDefault="004B2446" w:rsidP="00500337">
            <w:pPr>
              <w:ind w:left="0" w:right="0"/>
            </w:pPr>
            <w:r>
              <w:t>17 July 2020</w:t>
            </w:r>
          </w:p>
        </w:tc>
      </w:tr>
      <w:tr w:rsidR="00500337" w14:paraId="161CF67F" w14:textId="77777777" w:rsidTr="00FC13EA">
        <w:tc>
          <w:tcPr>
            <w:tcW w:w="6091" w:type="dxa"/>
          </w:tcPr>
          <w:p w14:paraId="51677149" w14:textId="77777777" w:rsidR="00500337" w:rsidRDefault="00500337" w:rsidP="00500337">
            <w:pPr>
              <w:ind w:left="0" w:right="0"/>
            </w:pPr>
            <w:r>
              <w:t>Advisory Committee meeting</w:t>
            </w:r>
          </w:p>
        </w:tc>
        <w:tc>
          <w:tcPr>
            <w:tcW w:w="2403" w:type="dxa"/>
          </w:tcPr>
          <w:p w14:paraId="0871F051" w14:textId="77777777" w:rsidR="00500337" w:rsidRDefault="00342FD6" w:rsidP="00500337">
            <w:pPr>
              <w:ind w:left="0" w:right="0"/>
            </w:pPr>
            <w:r>
              <w:t>6/7 August 2020</w:t>
            </w:r>
          </w:p>
        </w:tc>
      </w:tr>
      <w:tr w:rsidR="00500337" w14:paraId="243F39DC" w14:textId="77777777" w:rsidTr="00FC13EA">
        <w:tc>
          <w:tcPr>
            <w:tcW w:w="6091" w:type="dxa"/>
          </w:tcPr>
          <w:p w14:paraId="702919E9" w14:textId="77777777" w:rsidR="00500337" w:rsidRDefault="00500337" w:rsidP="00500337">
            <w:pPr>
              <w:ind w:left="0" w:right="0"/>
            </w:pPr>
            <w:r>
              <w:t>Registration decision (Outcome)</w:t>
            </w:r>
          </w:p>
        </w:tc>
        <w:tc>
          <w:tcPr>
            <w:tcW w:w="2403" w:type="dxa"/>
          </w:tcPr>
          <w:p w14:paraId="73D3ED30" w14:textId="77777777" w:rsidR="00500337" w:rsidRDefault="00342FD6" w:rsidP="00500337">
            <w:pPr>
              <w:ind w:left="0" w:right="0"/>
            </w:pPr>
            <w:r>
              <w:t>10 September 2020</w:t>
            </w:r>
          </w:p>
        </w:tc>
      </w:tr>
      <w:tr w:rsidR="00500337" w14:paraId="3E660D46" w14:textId="77777777" w:rsidTr="00FC13EA">
        <w:tc>
          <w:tcPr>
            <w:tcW w:w="6091" w:type="dxa"/>
          </w:tcPr>
          <w:p w14:paraId="289B644C" w14:textId="77777777" w:rsidR="00500337" w:rsidRDefault="00500337" w:rsidP="00500337">
            <w:pPr>
              <w:ind w:left="0" w:right="0"/>
            </w:pPr>
            <w:r>
              <w:t xml:space="preserve">Completion of administrative activities and registration on </w:t>
            </w:r>
            <w:r w:rsidR="00006FAB">
              <w:t xml:space="preserve">the </w:t>
            </w:r>
            <w:r>
              <w:t>ARTG</w:t>
            </w:r>
          </w:p>
        </w:tc>
        <w:tc>
          <w:tcPr>
            <w:tcW w:w="2403" w:type="dxa"/>
          </w:tcPr>
          <w:p w14:paraId="6C637400" w14:textId="77777777" w:rsidR="00500337" w:rsidRDefault="00342FD6" w:rsidP="00500337">
            <w:pPr>
              <w:ind w:left="0" w:right="0"/>
            </w:pPr>
            <w:r>
              <w:t>17 September 2020</w:t>
            </w:r>
          </w:p>
        </w:tc>
      </w:tr>
      <w:tr w:rsidR="00500337" w14:paraId="1E5F1C76" w14:textId="77777777" w:rsidTr="00FC13EA">
        <w:tc>
          <w:tcPr>
            <w:tcW w:w="6091" w:type="dxa"/>
          </w:tcPr>
          <w:p w14:paraId="6C181835" w14:textId="77777777" w:rsidR="00500337" w:rsidRDefault="00500337" w:rsidP="00500337">
            <w:pPr>
              <w:ind w:left="0" w:right="0"/>
            </w:pPr>
            <w:r>
              <w:t>Number of working days from submission dossier acceptance to registration decision*</w:t>
            </w:r>
          </w:p>
        </w:tc>
        <w:tc>
          <w:tcPr>
            <w:tcW w:w="2403" w:type="dxa"/>
          </w:tcPr>
          <w:p w14:paraId="7365AB07" w14:textId="77777777" w:rsidR="00500337" w:rsidRDefault="00B81FBF" w:rsidP="00500337">
            <w:pPr>
              <w:ind w:left="0" w:right="0"/>
            </w:pPr>
            <w:r>
              <w:t>146 days</w:t>
            </w:r>
          </w:p>
        </w:tc>
      </w:tr>
    </w:tbl>
    <w:p w14:paraId="41D3AA84" w14:textId="77777777" w:rsidR="00500337" w:rsidRDefault="00500337" w:rsidP="00500337">
      <w:pPr>
        <w:pStyle w:val="TableDescription"/>
      </w:pPr>
      <w:r>
        <w:t>*</w:t>
      </w:r>
      <w:r w:rsidR="00BF3774" w:rsidRPr="00BF3774">
        <w:t xml:space="preserve">Statutory </w:t>
      </w:r>
      <w:r>
        <w:t>timeframe for standard applications is 2</w:t>
      </w:r>
      <w:r w:rsidR="00BF3774">
        <w:t>55</w:t>
      </w:r>
      <w:r>
        <w:t xml:space="preserve"> working days</w:t>
      </w:r>
    </w:p>
    <w:p w14:paraId="70416703" w14:textId="77777777" w:rsidR="008E7846" w:rsidRPr="00792A32" w:rsidRDefault="00456765" w:rsidP="008E7846">
      <w:pPr>
        <w:pStyle w:val="Heading2"/>
      </w:pPr>
      <w:bookmarkStart w:id="27" w:name="_Toc196046504"/>
      <w:bookmarkStart w:id="28" w:name="_Toc247691527"/>
      <w:bookmarkStart w:id="29" w:name="_Toc314842510"/>
      <w:bookmarkStart w:id="30" w:name="_Toc163441390"/>
      <w:bookmarkStart w:id="31" w:name="_Toc63175296"/>
      <w:bookmarkEnd w:id="2"/>
      <w:bookmarkEnd w:id="23"/>
      <w:bookmarkEnd w:id="24"/>
      <w:r>
        <w:t>I</w:t>
      </w:r>
      <w:r w:rsidR="00DA64CB">
        <w:t>I</w:t>
      </w:r>
      <w:r w:rsidR="008E7846">
        <w:t xml:space="preserve">I. </w:t>
      </w:r>
      <w:r w:rsidR="00006FAB" w:rsidRPr="00006FAB">
        <w:t xml:space="preserve">Submission overview </w:t>
      </w:r>
      <w:r w:rsidR="008E7846" w:rsidRPr="00792A32">
        <w:t xml:space="preserve">and </w:t>
      </w:r>
      <w:r w:rsidR="008E7846">
        <w:t>r</w:t>
      </w:r>
      <w:r w:rsidR="008E7846" w:rsidRPr="00792A32">
        <w:t>isk/</w:t>
      </w:r>
      <w:r w:rsidR="008E7846">
        <w:t>b</w:t>
      </w:r>
      <w:r w:rsidR="008E7846" w:rsidRPr="00792A32">
        <w:t xml:space="preserve">enefit </w:t>
      </w:r>
      <w:r w:rsidR="008E7846">
        <w:t>a</w:t>
      </w:r>
      <w:r w:rsidR="008E7846" w:rsidRPr="00792A32">
        <w:t>ssessment</w:t>
      </w:r>
      <w:bookmarkEnd w:id="27"/>
      <w:bookmarkEnd w:id="28"/>
      <w:bookmarkEnd w:id="29"/>
      <w:bookmarkEnd w:id="31"/>
    </w:p>
    <w:p w14:paraId="1819CEDC" w14:textId="77777777" w:rsidR="008E7846" w:rsidRDefault="008E7846" w:rsidP="008E7846">
      <w:pPr>
        <w:pStyle w:val="Heading3"/>
      </w:pPr>
      <w:bookmarkStart w:id="32" w:name="_Toc247691528"/>
      <w:bookmarkStart w:id="33" w:name="_Toc314842511"/>
      <w:bookmarkStart w:id="34" w:name="_Toc63175297"/>
      <w:r>
        <w:t>Quality</w:t>
      </w:r>
      <w:bookmarkEnd w:id="32"/>
      <w:bookmarkEnd w:id="33"/>
      <w:bookmarkEnd w:id="34"/>
    </w:p>
    <w:p w14:paraId="31218FA3" w14:textId="77777777" w:rsidR="00E45619" w:rsidRDefault="00006FAB" w:rsidP="00006FAB">
      <w:r>
        <w:t>There was no requirement for a quality evaluation in a submission of this type.</w:t>
      </w:r>
    </w:p>
    <w:p w14:paraId="6F901F27" w14:textId="77777777" w:rsidR="008E7846" w:rsidRDefault="008E7846" w:rsidP="008E7846">
      <w:pPr>
        <w:pStyle w:val="Heading3"/>
      </w:pPr>
      <w:bookmarkStart w:id="35" w:name="_Toc314842512"/>
      <w:bookmarkStart w:id="36" w:name="_Toc63175298"/>
      <w:r>
        <w:t>Nonclinical</w:t>
      </w:r>
      <w:bookmarkEnd w:id="35"/>
      <w:bookmarkEnd w:id="36"/>
    </w:p>
    <w:p w14:paraId="07080B31" w14:textId="77777777" w:rsidR="008E7846" w:rsidRDefault="00006FAB" w:rsidP="00006FAB">
      <w:r>
        <w:t>There was no requirement for a nonclinical evaluation in a submission of this type.</w:t>
      </w:r>
    </w:p>
    <w:p w14:paraId="5AA1F931" w14:textId="7C718C0A" w:rsidR="008E7846" w:rsidRDefault="008E7846" w:rsidP="008E7846">
      <w:pPr>
        <w:pStyle w:val="Heading3"/>
      </w:pPr>
      <w:bookmarkStart w:id="37" w:name="_Toc247691530"/>
      <w:bookmarkStart w:id="38" w:name="_Toc314842513"/>
      <w:bookmarkStart w:id="39" w:name="_Toc63175299"/>
      <w:r>
        <w:t>Clinical</w:t>
      </w:r>
      <w:bookmarkEnd w:id="37"/>
      <w:bookmarkEnd w:id="38"/>
      <w:bookmarkEnd w:id="39"/>
    </w:p>
    <w:p w14:paraId="4BA18801" w14:textId="7DB3028B" w:rsidR="00BB2F6A" w:rsidRDefault="00BB2F6A" w:rsidP="00BB2F6A">
      <w:r>
        <w:t xml:space="preserve">The clinical dossier included one Phase III efficacy and safety study (Study CAIN457H2315 (also known as the PREVENT trial) further referenced in this document as Study H2315), and a pooled safety data set where safety data from Study H2315 was pooled with safety data from nine other clinical studies in </w:t>
      </w:r>
      <w:r w:rsidR="008746B6">
        <w:t>ankylosing spondylitis (</w:t>
      </w:r>
      <w:r>
        <w:t>AS</w:t>
      </w:r>
      <w:r w:rsidR="008746B6">
        <w:t>)</w:t>
      </w:r>
      <w:r>
        <w:t>, psoriatic arthritis and plaque psoriasis.</w:t>
      </w:r>
    </w:p>
    <w:p w14:paraId="6F1B59F0" w14:textId="77777777" w:rsidR="00BB2F6A" w:rsidRPr="00AA53F4" w:rsidRDefault="00BB2F6A" w:rsidP="00BB2F6A">
      <w:pPr>
        <w:pStyle w:val="Heading4"/>
      </w:pPr>
      <w:r w:rsidRPr="00AA53F4">
        <w:t>Pharmacology</w:t>
      </w:r>
    </w:p>
    <w:p w14:paraId="07565097" w14:textId="16FD0273" w:rsidR="00BB2F6A" w:rsidRDefault="00BB2F6A" w:rsidP="00BB2F6A">
      <w:pPr>
        <w:pStyle w:val="Heading5"/>
      </w:pPr>
      <w:r>
        <w:t>Pharmacokinetics</w:t>
      </w:r>
    </w:p>
    <w:p w14:paraId="155E62D6" w14:textId="6C9ECA41" w:rsidR="00BB2F6A" w:rsidRDefault="00BB2F6A" w:rsidP="00BB2F6A">
      <w:r>
        <w:t xml:space="preserve">The pharmacokinetic characteristics of </w:t>
      </w:r>
      <w:proofErr w:type="spellStart"/>
      <w:r>
        <w:t>secukinumab</w:t>
      </w:r>
      <w:proofErr w:type="spellEnd"/>
      <w:r>
        <w:t xml:space="preserve"> in patients with </w:t>
      </w:r>
      <w:proofErr w:type="spellStart"/>
      <w:r>
        <w:t>nr-axSpA</w:t>
      </w:r>
      <w:proofErr w:type="spellEnd"/>
      <w:r>
        <w:t xml:space="preserve"> are similar to the previously characterised pharmacokinetics of </w:t>
      </w:r>
      <w:proofErr w:type="spellStart"/>
      <w:r>
        <w:t>secukinumab</w:t>
      </w:r>
      <w:proofErr w:type="spellEnd"/>
      <w:r>
        <w:t xml:space="preserve"> in adult patients with AS. </w:t>
      </w:r>
      <w:proofErr w:type="spellStart"/>
      <w:r>
        <w:t>Secukinumab</w:t>
      </w:r>
      <w:proofErr w:type="spellEnd"/>
      <w:r>
        <w:t xml:space="preserve"> exhibits moderate variability in </w:t>
      </w:r>
      <w:r w:rsidR="00D92EC5">
        <w:t xml:space="preserve">serum </w:t>
      </w:r>
      <w:r>
        <w:t xml:space="preserve">trough concentrations in adult subjects with </w:t>
      </w:r>
      <w:proofErr w:type="spellStart"/>
      <w:r>
        <w:t>axSpA</w:t>
      </w:r>
      <w:proofErr w:type="spellEnd"/>
      <w:r>
        <w:t xml:space="preserve">. At Week 4, </w:t>
      </w:r>
      <w:proofErr w:type="spellStart"/>
      <w:r>
        <w:t>secukinumab</w:t>
      </w:r>
      <w:proofErr w:type="spellEnd"/>
      <w:r>
        <w:t xml:space="preserve"> trough concentrations (mean ± standard deviation (SD)) in subjects who received a loading regimen of 150 mg SC </w:t>
      </w:r>
      <w:proofErr w:type="spellStart"/>
      <w:r>
        <w:t>secukinumab</w:t>
      </w:r>
      <w:proofErr w:type="spellEnd"/>
      <w:r>
        <w:t xml:space="preserve"> at Weeks 0, 1, 2 and 3 (53.1 ± 16.0 µg/mL) were 5-fold those measured in the no load group who had only received 150 mg </w:t>
      </w:r>
      <w:proofErr w:type="spellStart"/>
      <w:r>
        <w:t>secukinumab</w:t>
      </w:r>
      <w:proofErr w:type="spellEnd"/>
      <w:r>
        <w:t xml:space="preserve"> at Week 0 (10.5 ± 4.3 µg/mL). Both </w:t>
      </w:r>
      <w:proofErr w:type="spellStart"/>
      <w:r>
        <w:t>secukinumab</w:t>
      </w:r>
      <w:proofErr w:type="spellEnd"/>
      <w:r>
        <w:t xml:space="preserve"> treatment groups received 150 mg </w:t>
      </w:r>
      <w:proofErr w:type="spellStart"/>
      <w:r>
        <w:t>secukinumab</w:t>
      </w:r>
      <w:proofErr w:type="spellEnd"/>
      <w:r>
        <w:t xml:space="preserve"> at Week 4 and each 4 weeks after. By Week 16, the mean trough concentration in the loaded group was 28.5 ± 11.0</w:t>
      </w:r>
      <w:r w:rsidR="00E21886">
        <w:t xml:space="preserve"> </w:t>
      </w:r>
      <w:r>
        <w:t>µg/mL and in the unloaded group was 20.6 ± 8.0 µg/</w:t>
      </w:r>
      <w:proofErr w:type="spellStart"/>
      <w:r>
        <w:t>mL.</w:t>
      </w:r>
      <w:proofErr w:type="spellEnd"/>
      <w:r>
        <w:t xml:space="preserve"> By Week 52, the steady state mean serum concentrations of </w:t>
      </w:r>
      <w:proofErr w:type="spellStart"/>
      <w:r>
        <w:t>secukinumab</w:t>
      </w:r>
      <w:proofErr w:type="spellEnd"/>
      <w:r>
        <w:t xml:space="preserve"> were 22.8 and 22.4 µg/mL in the loaded treatment arm (n = 98 subjects) and the no load arm (n = 106 subjects), respectively.</w:t>
      </w:r>
    </w:p>
    <w:p w14:paraId="61026523" w14:textId="635B0104" w:rsidR="00BB2F6A" w:rsidRPr="00794460" w:rsidRDefault="00BD5938" w:rsidP="00BB2F6A">
      <w:r w:rsidRPr="00BD5938">
        <w:t>One patient showed treatmen</w:t>
      </w:r>
      <w:r>
        <w:t xml:space="preserve">t-emergent ADA at Week 52 only </w:t>
      </w:r>
      <w:r w:rsidR="00BB2F6A">
        <w:t>in the Phase III Study H2315.</w:t>
      </w:r>
    </w:p>
    <w:p w14:paraId="33EECECD" w14:textId="6E9E1B58" w:rsidR="00BB2F6A" w:rsidRDefault="00BB2F6A" w:rsidP="00BB2F6A">
      <w:pPr>
        <w:pStyle w:val="Heading5"/>
      </w:pPr>
      <w:r>
        <w:t>Population pharmacokinetic data</w:t>
      </w:r>
    </w:p>
    <w:p w14:paraId="6B805534" w14:textId="77777777" w:rsidR="00BB2F6A" w:rsidRPr="00794460" w:rsidRDefault="00BB2F6A" w:rsidP="00BB2F6A">
      <w:r>
        <w:t>None submitted.</w:t>
      </w:r>
    </w:p>
    <w:p w14:paraId="355197B7" w14:textId="44772CFD" w:rsidR="00BB2F6A" w:rsidRDefault="00BB2F6A" w:rsidP="00BB2F6A">
      <w:pPr>
        <w:pStyle w:val="Heading5"/>
      </w:pPr>
      <w:r>
        <w:t>Pharmacodynamics</w:t>
      </w:r>
    </w:p>
    <w:p w14:paraId="163609A5" w14:textId="77777777" w:rsidR="00BB2F6A" w:rsidRPr="00794460" w:rsidRDefault="00BB2F6A" w:rsidP="00BB2F6A">
      <w:r>
        <w:t>No new data submitted.</w:t>
      </w:r>
    </w:p>
    <w:p w14:paraId="1A179DCB" w14:textId="77777777" w:rsidR="00E21886" w:rsidRDefault="00E21886" w:rsidP="00E21886">
      <w:pPr>
        <w:pStyle w:val="Heading4"/>
      </w:pPr>
      <w:r>
        <w:t>Efficacy</w:t>
      </w:r>
    </w:p>
    <w:p w14:paraId="170D3842" w14:textId="450590FC" w:rsidR="00E21886" w:rsidRDefault="00E21886" w:rsidP="00E21886">
      <w:pPr>
        <w:pStyle w:val="Heading5"/>
      </w:pPr>
      <w:r>
        <w:t>Study CAIN457H2315 (PREVENT trial)</w:t>
      </w:r>
    </w:p>
    <w:p w14:paraId="713408B3" w14:textId="45465B8B" w:rsidR="00E21886" w:rsidRDefault="00E21886" w:rsidP="00E21886">
      <w:r>
        <w:t>This study is an ongoing, randomised, double blin</w:t>
      </w:r>
      <w:r w:rsidR="00915343">
        <w:t>d, parallel group, placebo controlled Phase III</w:t>
      </w:r>
      <w:r>
        <w:t xml:space="preserve"> trial in 555 adults primarily designed to demonstrate the efficacy of </w:t>
      </w:r>
      <w:proofErr w:type="spellStart"/>
      <w:r w:rsidR="00915343">
        <w:t>secukinumab</w:t>
      </w:r>
      <w:proofErr w:type="spellEnd"/>
      <w:r>
        <w:t xml:space="preserve"> 150 mg therapy (with or without a loading dose regimen) versus </w:t>
      </w:r>
      <w:r w:rsidR="00915343">
        <w:t>placebo</w:t>
      </w:r>
      <w:r>
        <w:t xml:space="preserve"> on the signs and symptoms of active </w:t>
      </w:r>
      <w:proofErr w:type="spellStart"/>
      <w:r>
        <w:t>nr-axSpA</w:t>
      </w:r>
      <w:proofErr w:type="spellEnd"/>
      <w:r>
        <w:t>. The trial c</w:t>
      </w:r>
      <w:r w:rsidR="00915343">
        <w:t>onsists of a core phase (up to W</w:t>
      </w:r>
      <w:r>
        <w:t>ee</w:t>
      </w:r>
      <w:r w:rsidR="00915343">
        <w:t>k 104) and an extension phase (W</w:t>
      </w:r>
      <w:r>
        <w:t>eeks 104 to 208), although the data presented in the dossier were only a</w:t>
      </w:r>
      <w:r w:rsidR="00915343">
        <w:t>vailable from study reports at Week 2</w:t>
      </w:r>
      <w:r w:rsidR="00562DA5">
        <w:t>4</w:t>
      </w:r>
      <w:r w:rsidR="00915343">
        <w:t xml:space="preserve"> and after W</w:t>
      </w:r>
      <w:r>
        <w:t xml:space="preserve">eek 52. The </w:t>
      </w:r>
      <w:proofErr w:type="spellStart"/>
      <w:r w:rsidR="00915343">
        <w:t>secukinumab</w:t>
      </w:r>
      <w:proofErr w:type="spellEnd"/>
      <w:r>
        <w:t xml:space="preserve"> dose regimens chosen for evaluation in the study were based on d</w:t>
      </w:r>
      <w:r w:rsidR="00915343">
        <w:t>oses used in two pivotal Phase III</w:t>
      </w:r>
      <w:r>
        <w:t xml:space="preserve"> trials in adult subjects with active AS. Two separate analysis plans were developed for this study, to satisfy different requirements for regulators in the USA</w:t>
      </w:r>
      <w:r w:rsidR="00915343">
        <w:t xml:space="preserve"> (primary efficacy analysis at W</w:t>
      </w:r>
      <w:r>
        <w:t>eek 52), and for regulators in the EU and other non-USA regions</w:t>
      </w:r>
      <w:r w:rsidR="00915343">
        <w:t xml:space="preserve"> (primary efficacy analysis at W</w:t>
      </w:r>
      <w:r>
        <w:t>eek 16). The original submission included a clinical study report summaris</w:t>
      </w:r>
      <w:r w:rsidR="00915343">
        <w:t>ing all efficacy results up to W</w:t>
      </w:r>
      <w:r>
        <w:t>eek 24, and efficacy results for patients who had completed their week 52 visit by the cut-off date of 17 December 2018. Results presented here are from the EU analysis plan, unless otherwise stated.</w:t>
      </w:r>
    </w:p>
    <w:p w14:paraId="743EBB3A" w14:textId="2C77ECE2" w:rsidR="00E21886" w:rsidRDefault="00E21886" w:rsidP="00E21886">
      <w:r>
        <w:t>Patients were sc</w:t>
      </w:r>
      <w:r w:rsidR="00915343">
        <w:t>reened up to 10 weeks prior to B</w:t>
      </w:r>
      <w:r>
        <w:t xml:space="preserve">aseline to determine eligibility for the trial and to provide for wash-out of </w:t>
      </w:r>
      <w:r w:rsidR="00915343">
        <w:t>any prohibited medications. At B</w:t>
      </w:r>
      <w:r>
        <w:t xml:space="preserve">aseline, eligible patients were randomised at a ratio of 1:1:1 to one of three treatment groups: </w:t>
      </w:r>
      <w:proofErr w:type="spellStart"/>
      <w:r w:rsidR="00915343">
        <w:t>secukinumab</w:t>
      </w:r>
      <w:proofErr w:type="spellEnd"/>
      <w:r>
        <w:t xml:space="preserve"> 150 mg at 0, 1, 2, 3 and 4 weeks, then 4-weekly thereafter (loaded regimen), </w:t>
      </w:r>
      <w:proofErr w:type="spellStart"/>
      <w:r w:rsidR="00915343">
        <w:t>secukinumab</w:t>
      </w:r>
      <w:proofErr w:type="spellEnd"/>
      <w:r>
        <w:t xml:space="preserve"> 150 mg at 0 weeks and then 4-weekly thereafter (</w:t>
      </w:r>
      <w:r w:rsidR="00915343">
        <w:t>no load regimen), or matched placebo SC</w:t>
      </w:r>
      <w:r>
        <w:t xml:space="preserve"> injections. Based on the clinical judgement of disease activity by the investigator, background medications such as </w:t>
      </w:r>
      <w:r w:rsidR="00915343">
        <w:t>NSAIDs and disease-modifying anti</w:t>
      </w:r>
      <w:r w:rsidR="00915343">
        <w:noBreakHyphen/>
      </w:r>
      <w:r>
        <w:t>rheumatic drugs (DMARD) could be modified or added to treat signs and sympt</w:t>
      </w:r>
      <w:r w:rsidR="00915343">
        <w:t xml:space="preserve">oms of </w:t>
      </w:r>
      <w:proofErr w:type="spellStart"/>
      <w:r w:rsidR="00915343">
        <w:t>nr-axSpA</w:t>
      </w:r>
      <w:proofErr w:type="spellEnd"/>
      <w:r w:rsidR="00915343">
        <w:t>, but only from W</w:t>
      </w:r>
      <w:r>
        <w:t xml:space="preserve">eek 16 onwards. Furthermore, patients who were deemed to be inadequate responders at two or more consecutive visits, based on the clinical judgement of the investigator, could receive </w:t>
      </w:r>
      <w:proofErr w:type="spellStart"/>
      <w:r w:rsidR="00915343">
        <w:t>secukinumab</w:t>
      </w:r>
      <w:proofErr w:type="spellEnd"/>
      <w:r>
        <w:t xml:space="preserve"> 150 mg SC therapy or other biologics as s</w:t>
      </w:r>
      <w:r w:rsidR="00915343">
        <w:t>tandard of care treatment from Week 20 onwards. Starting at W</w:t>
      </w:r>
      <w:r>
        <w:t xml:space="preserve">eek 52, all patients were assigned to receive </w:t>
      </w:r>
      <w:proofErr w:type="spellStart"/>
      <w:r w:rsidR="00915343">
        <w:t>secukinumab</w:t>
      </w:r>
      <w:proofErr w:type="spellEnd"/>
      <w:r>
        <w:t xml:space="preserve"> 150 mg therapy in an open-label manner except for those patients who had discontinued blinded study treatment (</w:t>
      </w:r>
      <w:proofErr w:type="spellStart"/>
      <w:r w:rsidR="00915343">
        <w:t>secukinumab</w:t>
      </w:r>
      <w:proofErr w:type="spellEnd"/>
      <w:r w:rsidR="00915343">
        <w:t xml:space="preserve"> or placebo</w:t>
      </w:r>
      <w:r>
        <w:t>) during the</w:t>
      </w:r>
      <w:r w:rsidR="00915343">
        <w:t xml:space="preserve"> initial 52 weeks of the trial.</w:t>
      </w:r>
    </w:p>
    <w:p w14:paraId="34E37EDD" w14:textId="2C680806" w:rsidR="00915343" w:rsidRDefault="00E21886" w:rsidP="00E21886">
      <w:r>
        <w:t xml:space="preserve">Inclusion and exclusion criteria reflect the common criteria in clinical trials for this population. Key criteria for participants were that they must have had a documented diagnosis of adult onset </w:t>
      </w:r>
      <w:proofErr w:type="spellStart"/>
      <w:r>
        <w:t>axSpA</w:t>
      </w:r>
      <w:proofErr w:type="spellEnd"/>
      <w:r>
        <w:t xml:space="preserve"> according to Assessment in </w:t>
      </w:r>
      <w:proofErr w:type="spellStart"/>
      <w:r>
        <w:t>Spondyloarthritis</w:t>
      </w:r>
      <w:proofErr w:type="spellEnd"/>
      <w:r>
        <w:t xml:space="preserve"> International Society (ASAS) criteria, objective signs at screening of SI joint inflammation on centrally-read MRI</w:t>
      </w:r>
      <w:r w:rsidR="00915343">
        <w:t xml:space="preserve"> and/or a high sensitivity (</w:t>
      </w:r>
      <w:proofErr w:type="spellStart"/>
      <w:r w:rsidR="00915343">
        <w:t>hs</w:t>
      </w:r>
      <w:proofErr w:type="spellEnd"/>
      <w:r w:rsidR="00915343">
        <w:t>) C-reactive protein (</w:t>
      </w:r>
      <w:r>
        <w:t>CRP</w:t>
      </w:r>
      <w:r w:rsidR="00915343">
        <w:t>)</w:t>
      </w:r>
      <w:r>
        <w:t xml:space="preserve"> value &gt; upper limit of normal (ULN) on central screening. Patients were ineligible if </w:t>
      </w:r>
      <w:proofErr w:type="spellStart"/>
      <w:r>
        <w:t>sacroiliitis</w:t>
      </w:r>
      <w:proofErr w:type="spellEnd"/>
      <w:r>
        <w:t xml:space="preserve"> was evident on plain X-rays as defined by the modified New York (</w:t>
      </w:r>
      <w:proofErr w:type="spellStart"/>
      <w:r>
        <w:t>mN</w:t>
      </w:r>
      <w:r w:rsidR="00C960F3">
        <w:t>Y</w:t>
      </w:r>
      <w:proofErr w:type="spellEnd"/>
      <w:r w:rsidR="00C960F3">
        <w:t>) criteria.</w:t>
      </w:r>
      <w:r w:rsidR="00C960F3">
        <w:rPr>
          <w:rStyle w:val="FootnoteReference"/>
        </w:rPr>
        <w:footnoteReference w:id="4"/>
      </w:r>
      <w:r w:rsidR="00C960F3">
        <w:t xml:space="preserve"> Active disease at B</w:t>
      </w:r>
      <w:r>
        <w:t>aseline was determined by Bath Ankylosing Spondylitis Disease Ac</w:t>
      </w:r>
      <w:r w:rsidR="00C960F3">
        <w:t>tivity Index (BASDAI) score ≥ 4;</w:t>
      </w:r>
      <w:r w:rsidR="00C960F3" w:rsidRPr="00C960F3">
        <w:rPr>
          <w:vertAlign w:val="superscript"/>
        </w:rPr>
        <w:fldChar w:fldCharType="begin"/>
      </w:r>
      <w:r w:rsidR="00C960F3" w:rsidRPr="00C960F3">
        <w:rPr>
          <w:vertAlign w:val="superscript"/>
        </w:rPr>
        <w:instrText xml:space="preserve"> NOTEREF _Ref60964419 \h </w:instrText>
      </w:r>
      <w:r w:rsidR="00C960F3">
        <w:rPr>
          <w:vertAlign w:val="superscript"/>
        </w:rPr>
        <w:instrText xml:space="preserve"> \* MERGEFORMAT </w:instrText>
      </w:r>
      <w:r w:rsidR="00C960F3" w:rsidRPr="00C960F3">
        <w:rPr>
          <w:vertAlign w:val="superscript"/>
        </w:rPr>
      </w:r>
      <w:r w:rsidR="00C960F3" w:rsidRPr="00C960F3">
        <w:rPr>
          <w:vertAlign w:val="superscript"/>
        </w:rPr>
        <w:fldChar w:fldCharType="separate"/>
      </w:r>
      <w:r w:rsidR="003F2FF5">
        <w:rPr>
          <w:vertAlign w:val="superscript"/>
        </w:rPr>
        <w:t>3</w:t>
      </w:r>
      <w:r w:rsidR="00C960F3" w:rsidRPr="00C960F3">
        <w:rPr>
          <w:vertAlign w:val="superscript"/>
        </w:rPr>
        <w:fldChar w:fldCharType="end"/>
      </w:r>
      <w:r>
        <w:t xml:space="preserve"> spinal pain ≥ 4 by visual analogue scale (VAS) and total back pain &gt; 40</w:t>
      </w:r>
      <w:r w:rsidR="00915343">
        <w:t xml:space="preserve"> </w:t>
      </w:r>
      <w:r>
        <w:t>mm by VAS.</w:t>
      </w:r>
      <w:r w:rsidR="00505E17">
        <w:rPr>
          <w:rStyle w:val="FootnoteReference"/>
        </w:rPr>
        <w:footnoteReference w:id="5"/>
      </w:r>
      <w:r>
        <w:t xml:space="preserve"> Participants must also have had an inadequate response to, had a contraindication to, or been intolerant to at least two NSAIDs. Prior exposure to one anti-TNFα therapy was allowed if the drug had been discontinued for at least three months prior to randomisation following inadequate response or intolerance (anti-TNF-IR). While the initial protocol allowed for a maximum of 30% of the population to be anti-TNF-IR, this estimate was revised by protocol variation to a maximum of 20%. However, in the final population only 9.7% of participants had received a prior anti-TNF medication. Randomisation was centrally conducted and stratified according to the patient subgroup by objective signs of inflammation (OSI). The OSI classification crit</w:t>
      </w:r>
      <w:r w:rsidR="00915343">
        <w:t>eria produced three subgroups:</w:t>
      </w:r>
    </w:p>
    <w:p w14:paraId="3ED78A38" w14:textId="77777777" w:rsidR="00915343" w:rsidRDefault="00915343" w:rsidP="00915343">
      <w:pPr>
        <w:pStyle w:val="ListBullet"/>
      </w:pPr>
      <w:r>
        <w:t>CRP+/MRI+ (29.9%);</w:t>
      </w:r>
    </w:p>
    <w:p w14:paraId="6A775739" w14:textId="77777777" w:rsidR="00915343" w:rsidRDefault="00915343" w:rsidP="00915343">
      <w:pPr>
        <w:pStyle w:val="ListBullet"/>
      </w:pPr>
      <w:r>
        <w:t>CRP-/MRI+ (42.3%);</w:t>
      </w:r>
      <w:r w:rsidR="00E21886">
        <w:t xml:space="preserve"> </w:t>
      </w:r>
      <w:r>
        <w:t>or</w:t>
      </w:r>
    </w:p>
    <w:p w14:paraId="25A1982F" w14:textId="29F0C252" w:rsidR="00E21886" w:rsidRDefault="00915343" w:rsidP="00915343">
      <w:pPr>
        <w:pStyle w:val="ListBullet"/>
      </w:pPr>
      <w:r>
        <w:t>CRP+/MRI- (27.7%).</w:t>
      </w:r>
    </w:p>
    <w:p w14:paraId="4357FD25" w14:textId="3D4D0393" w:rsidR="00E21886" w:rsidRDefault="00E21886" w:rsidP="00E21886">
      <w:r>
        <w:t>The primary efficacy outcome w</w:t>
      </w:r>
      <w:r w:rsidR="00915343">
        <w:t xml:space="preserve">as the </w:t>
      </w:r>
      <w:r w:rsidR="002C0D08" w:rsidRPr="002C0D08">
        <w:t xml:space="preserve">Assessment of </w:t>
      </w:r>
      <w:proofErr w:type="spellStart"/>
      <w:r w:rsidR="002C0D08" w:rsidRPr="002C0D08">
        <w:t>SpondyloArthri</w:t>
      </w:r>
      <w:r w:rsidR="002C0D08">
        <w:t>tis</w:t>
      </w:r>
      <w:proofErr w:type="spellEnd"/>
      <w:r w:rsidR="002C0D08">
        <w:t xml:space="preserve"> International Society </w:t>
      </w:r>
      <w:r w:rsidR="00915343">
        <w:t>40</w:t>
      </w:r>
      <w:r w:rsidR="002C0D08">
        <w:t>%</w:t>
      </w:r>
      <w:r w:rsidR="00915343">
        <w:t xml:space="preserve"> response</w:t>
      </w:r>
      <w:r w:rsidR="002C0D08">
        <w:t xml:space="preserve"> (ASAS40)</w:t>
      </w:r>
      <w:r w:rsidR="00915343">
        <w:t xml:space="preserve"> rate at W</w:t>
      </w:r>
      <w:r>
        <w:t>eek 16 in anti-TNF naïve subjects. An ASAS40 response is defined as a &gt;</w:t>
      </w:r>
      <w:r w:rsidR="005D274B">
        <w:t> </w:t>
      </w:r>
      <w:r>
        <w:t>40% improvement an</w:t>
      </w:r>
      <w:r w:rsidR="00915343">
        <w:t>d an absolute improvement from B</w:t>
      </w:r>
      <w:r>
        <w:t>aseline of &gt;</w:t>
      </w:r>
      <w:r w:rsidR="005D274B">
        <w:t> </w:t>
      </w:r>
      <w:r w:rsidR="00E553F2">
        <w:t xml:space="preserve">2 units (range: 0 to </w:t>
      </w:r>
      <w:r>
        <w:t>10) in at least three of four domains: back pain (10</w:t>
      </w:r>
      <w:r w:rsidR="00915343">
        <w:t xml:space="preserve"> </w:t>
      </w:r>
      <w:r>
        <w:t>cm VAS), patient global assessment of disease activity (10</w:t>
      </w:r>
      <w:r w:rsidR="00915343">
        <w:t xml:space="preserve"> </w:t>
      </w:r>
      <w:r>
        <w:t>cm VAS), ph</w:t>
      </w:r>
      <w:r w:rsidR="00915343">
        <w:t>ysical function (</w:t>
      </w:r>
      <w:r w:rsidR="006E48E9">
        <w:t xml:space="preserve">assessed by the </w:t>
      </w:r>
      <w:r w:rsidR="00E553F2" w:rsidRPr="00E553F2">
        <w:t>Bath Ankylosing Spondylitis Functional Index</w:t>
      </w:r>
      <w:r w:rsidR="00E553F2">
        <w:t xml:space="preserve"> (</w:t>
      </w:r>
      <w:r w:rsidR="00915343">
        <w:t>BASFI</w:t>
      </w:r>
      <w:r w:rsidR="00E553F2">
        <w:t>)</w:t>
      </w:r>
      <w:r w:rsidR="00915343">
        <w:t xml:space="preserve">: range 0 to </w:t>
      </w:r>
      <w:r>
        <w:t>10) and inflammation (mean score of items 5 and 6 of the BASDAI; both 10</w:t>
      </w:r>
      <w:r w:rsidR="00915343">
        <w:t xml:space="preserve"> </w:t>
      </w:r>
      <w:r>
        <w:t>cm VAS), without any worsening in the remaining domain. An ASAS40 response is considered to be of significant clinical benefit.</w:t>
      </w:r>
    </w:p>
    <w:p w14:paraId="21974584" w14:textId="23E4DCBE" w:rsidR="00E21886" w:rsidRDefault="00E21886" w:rsidP="00E21886">
      <w:r>
        <w:t>Pre-specified secondary efficacy outcomes were evaluated by anti-TNF status (naïve v</w:t>
      </w:r>
      <w:r w:rsidR="00A2406D">
        <w:t>ersu</w:t>
      </w:r>
      <w:r>
        <w:t xml:space="preserve">s </w:t>
      </w:r>
      <w:r w:rsidR="00A2406D">
        <w:t>anti-TNF-</w:t>
      </w:r>
      <w:r>
        <w:t xml:space="preserve">IR) and OSI stratification. Comparisons of loaded </w:t>
      </w:r>
      <w:proofErr w:type="spellStart"/>
      <w:r w:rsidR="00A2406D">
        <w:t>secukinumab</w:t>
      </w:r>
      <w:proofErr w:type="spellEnd"/>
      <w:r>
        <w:t xml:space="preserve"> treatment versus placebo treatment were prioritised over comparisons of no loading </w:t>
      </w:r>
      <w:proofErr w:type="spellStart"/>
      <w:r w:rsidR="00A2406D">
        <w:t>secukinumab</w:t>
      </w:r>
      <w:proofErr w:type="spellEnd"/>
      <w:r>
        <w:t xml:space="preserve"> trea</w:t>
      </w:r>
      <w:r w:rsidR="00A2406D">
        <w:t>tment versus placebo treatment.</w:t>
      </w:r>
    </w:p>
    <w:p w14:paraId="4352A0F6" w14:textId="77777777" w:rsidR="00E21886" w:rsidRDefault="00E21886" w:rsidP="00E21886">
      <w:r>
        <w:t>The secondary outcomes in sequential testing order included:</w:t>
      </w:r>
    </w:p>
    <w:p w14:paraId="53F5C632" w14:textId="3E40662B" w:rsidR="00E21886" w:rsidRDefault="00E21886" w:rsidP="00A2406D">
      <w:pPr>
        <w:pStyle w:val="ListBullet"/>
      </w:pPr>
      <w:r>
        <w:t xml:space="preserve">Proportion of subjects </w:t>
      </w:r>
      <w:r w:rsidR="00A2406D">
        <w:t xml:space="preserve">achieving ASAS </w:t>
      </w:r>
      <w:r w:rsidR="003D0750">
        <w:t>5/6 response at Week 16;</w:t>
      </w:r>
      <w:r w:rsidR="003D0750">
        <w:rPr>
          <w:rStyle w:val="FootnoteReference"/>
        </w:rPr>
        <w:footnoteReference w:id="6"/>
      </w:r>
    </w:p>
    <w:p w14:paraId="16C15B49" w14:textId="4B08FDCE" w:rsidR="00E21886" w:rsidRDefault="00A2406D" w:rsidP="00A2406D">
      <w:pPr>
        <w:pStyle w:val="ListBullet"/>
      </w:pPr>
      <w:r>
        <w:t>Mean change from B</w:t>
      </w:r>
      <w:r w:rsidR="00E21886">
        <w:t>aseline in total BASDAI</w:t>
      </w:r>
      <w:r>
        <w:t xml:space="preserve"> score at Week 16,</w:t>
      </w:r>
    </w:p>
    <w:p w14:paraId="12D7C14F" w14:textId="2FCB9C19" w:rsidR="00E21886" w:rsidRDefault="00E21886" w:rsidP="00A2406D">
      <w:pPr>
        <w:pStyle w:val="ListBullet"/>
      </w:pPr>
      <w:r>
        <w:t>Percentage of subjects a</w:t>
      </w:r>
      <w:r w:rsidR="00A2406D">
        <w:t>chievin</w:t>
      </w:r>
      <w:r w:rsidR="00866B9B">
        <w:t>g BASDAI 50 response at Week 16;</w:t>
      </w:r>
      <w:r w:rsidR="00866B9B">
        <w:rPr>
          <w:rStyle w:val="FootnoteReference"/>
        </w:rPr>
        <w:footnoteReference w:id="7"/>
      </w:r>
    </w:p>
    <w:p w14:paraId="7A1FB99B" w14:textId="4EA5B097" w:rsidR="00E21886" w:rsidRDefault="00E21886" w:rsidP="00A2406D">
      <w:pPr>
        <w:pStyle w:val="ListBullet"/>
      </w:pPr>
      <w:r>
        <w:t>Mean ch</w:t>
      </w:r>
      <w:r w:rsidR="00A2406D">
        <w:t xml:space="preserve">ange from Baseline in </w:t>
      </w:r>
      <w:proofErr w:type="spellStart"/>
      <w:r w:rsidR="00A2406D">
        <w:t>hsCRP</w:t>
      </w:r>
      <w:proofErr w:type="spellEnd"/>
      <w:r w:rsidR="00A2406D">
        <w:t xml:space="preserve"> at Week 16,</w:t>
      </w:r>
    </w:p>
    <w:p w14:paraId="2E205B35" w14:textId="66F73FBD" w:rsidR="00E21886" w:rsidRDefault="00E21886" w:rsidP="00A2406D">
      <w:pPr>
        <w:pStyle w:val="ListBullet"/>
      </w:pPr>
      <w:r>
        <w:t>Mean ch</w:t>
      </w:r>
      <w:r w:rsidR="00A2406D">
        <w:t>ange fr</w:t>
      </w:r>
      <w:r w:rsidR="00866B9B">
        <w:t>om Baseline in BASFI at Week 16;</w:t>
      </w:r>
      <w:r w:rsidR="00866B9B">
        <w:rPr>
          <w:rStyle w:val="FootnoteReference"/>
        </w:rPr>
        <w:footnoteReference w:id="8"/>
      </w:r>
    </w:p>
    <w:p w14:paraId="2A57C950" w14:textId="561AD4EC" w:rsidR="00E21886" w:rsidRDefault="00A2406D" w:rsidP="00A2406D">
      <w:pPr>
        <w:pStyle w:val="ListBullet"/>
      </w:pPr>
      <w:r>
        <w:t>Mean change from B</w:t>
      </w:r>
      <w:r w:rsidR="00E21886">
        <w:t>aseli</w:t>
      </w:r>
      <w:r>
        <w:t>ne in S</w:t>
      </w:r>
      <w:r w:rsidR="00D45577">
        <w:t>I joint SPARCC score at Week 16;</w:t>
      </w:r>
      <w:r w:rsidR="00D45577">
        <w:rPr>
          <w:rStyle w:val="FootnoteReference"/>
        </w:rPr>
        <w:footnoteReference w:id="9"/>
      </w:r>
    </w:p>
    <w:p w14:paraId="04D2B95D" w14:textId="11388D84" w:rsidR="00E21886" w:rsidRDefault="00E21886" w:rsidP="00A2406D">
      <w:pPr>
        <w:pStyle w:val="ListBullet"/>
      </w:pPr>
      <w:r>
        <w:t>Proportion of subjec</w:t>
      </w:r>
      <w:r w:rsidR="00A2406D">
        <w:t>ts reac</w:t>
      </w:r>
      <w:r w:rsidR="00D45577">
        <w:t>hing ASAS20 response at Week 16;</w:t>
      </w:r>
      <w:r w:rsidR="00D45577">
        <w:rPr>
          <w:rStyle w:val="FootnoteReference"/>
        </w:rPr>
        <w:footnoteReference w:id="10"/>
      </w:r>
    </w:p>
    <w:p w14:paraId="231DDA36" w14:textId="6CBAA6ED" w:rsidR="00E21886" w:rsidRDefault="00A2406D" w:rsidP="00A2406D">
      <w:pPr>
        <w:pStyle w:val="ListBullet"/>
      </w:pPr>
      <w:r>
        <w:t>Mean change from B</w:t>
      </w:r>
      <w:r w:rsidR="0038701A">
        <w:t>aseline in SF-36 PCS at Week 16;</w:t>
      </w:r>
      <w:r w:rsidR="0038701A">
        <w:rPr>
          <w:rStyle w:val="FootnoteReference"/>
        </w:rPr>
        <w:footnoteReference w:id="11"/>
      </w:r>
    </w:p>
    <w:p w14:paraId="4B4910A6" w14:textId="26EEDA48" w:rsidR="00E21886" w:rsidRDefault="00A2406D" w:rsidP="00A2406D">
      <w:pPr>
        <w:pStyle w:val="ListBullet"/>
      </w:pPr>
      <w:r>
        <w:t>Mean change from B</w:t>
      </w:r>
      <w:r w:rsidR="0038701A">
        <w:t xml:space="preserve">aseline in the </w:t>
      </w:r>
      <w:proofErr w:type="spellStart"/>
      <w:r w:rsidR="0038701A">
        <w:t>ASQoL</w:t>
      </w:r>
      <w:proofErr w:type="spellEnd"/>
      <w:r w:rsidR="0038701A">
        <w:t xml:space="preserve"> at Week 16;</w:t>
      </w:r>
      <w:r w:rsidR="0038701A">
        <w:rPr>
          <w:rStyle w:val="FootnoteReference"/>
        </w:rPr>
        <w:footnoteReference w:id="12"/>
      </w:r>
      <w:r>
        <w:t xml:space="preserve"> and</w:t>
      </w:r>
    </w:p>
    <w:p w14:paraId="4D1091A3" w14:textId="527EB5A7" w:rsidR="00E21886" w:rsidRDefault="00E21886" w:rsidP="00A2406D">
      <w:pPr>
        <w:pStyle w:val="ListBullet"/>
      </w:pPr>
      <w:r>
        <w:t>Proportion of subjects achie</w:t>
      </w:r>
      <w:r w:rsidR="00A2406D">
        <w:t>ving ASAS partial remission at W</w:t>
      </w:r>
      <w:r w:rsidR="00BD2549">
        <w:t>eek 16.</w:t>
      </w:r>
    </w:p>
    <w:p w14:paraId="0FAFF22F" w14:textId="3F7CA362" w:rsidR="00E21886" w:rsidRDefault="00E21886" w:rsidP="00E21886">
      <w:r>
        <w:t>MRI scans of the spine a</w:t>
      </w:r>
      <w:r w:rsidR="00A2406D">
        <w:t>nd SI joints were performed at Baseline, Week 16 (+/- 2 weeks) and W</w:t>
      </w:r>
      <w:r>
        <w:t xml:space="preserve">eek 52. </w:t>
      </w:r>
    </w:p>
    <w:p w14:paraId="6BEAB1FD" w14:textId="613BBAAE" w:rsidR="00E21886" w:rsidRDefault="00E21886" w:rsidP="00E21886">
      <w:r>
        <w:t>The analysis of the primary efficacy endpoint was based on a logistic regression model fitted with treatment group (</w:t>
      </w:r>
      <w:proofErr w:type="spellStart"/>
      <w:r w:rsidR="00A2406D">
        <w:t>secukinumab</w:t>
      </w:r>
      <w:proofErr w:type="spellEnd"/>
      <w:r>
        <w:t xml:space="preserve"> loaded, </w:t>
      </w:r>
      <w:proofErr w:type="spellStart"/>
      <w:r w:rsidR="00A2406D">
        <w:t>secukinumab</w:t>
      </w:r>
      <w:proofErr w:type="spellEnd"/>
      <w:r>
        <w:t xml:space="preserve"> no loading, </w:t>
      </w:r>
      <w:r w:rsidR="00A2406D">
        <w:t>placebo</w:t>
      </w:r>
      <w:r>
        <w:t>) and OSI classification as factors, and wi</w:t>
      </w:r>
      <w:r w:rsidR="00597474">
        <w:t>th weight as a covariate. Odds r</w:t>
      </w:r>
      <w:r>
        <w:t xml:space="preserve">atios (OR) with associated 95% confidence intervals (CI) were computed using the logistic regression model for comparisons </w:t>
      </w:r>
      <w:r w:rsidR="00A2406D">
        <w:t xml:space="preserve">of efficacy outcomes between </w:t>
      </w:r>
      <w:proofErr w:type="spellStart"/>
      <w:r w:rsidR="00A2406D">
        <w:t>secukinumab</w:t>
      </w:r>
      <w:proofErr w:type="spellEnd"/>
      <w:r w:rsidR="00A2406D">
        <w:t xml:space="preserve"> versus placebo</w:t>
      </w:r>
      <w:r>
        <w:t>. Participants who discontinued their randomised study tre</w:t>
      </w:r>
      <w:r w:rsidR="00A2406D">
        <w:t>atment for any reason prior to W</w:t>
      </w:r>
      <w:r>
        <w:t>eek 16 were considered non-responders (non-responder imputation, NRI). Similarly, subjects who did not have sufficient available data to compute the ASAS response at baseline or any time thereafter were also classified as non-responders. Sensitivity testing using observed data, multiple imputation and a tipping point analysis were performed to test the integrity of the primary analysis.</w:t>
      </w:r>
    </w:p>
    <w:p w14:paraId="185E1ACF" w14:textId="144F7C00" w:rsidR="00E21886" w:rsidRDefault="00E21886" w:rsidP="00E21886">
      <w:r>
        <w:t xml:space="preserve">Using the hierarchical analysis strategy, the primary and all secondary efficacy endpoints were met at 16 weeks. The ASAS40 response rate at 16 weeks in anti-TNF naïve patients in the </w:t>
      </w:r>
      <w:proofErr w:type="spellStart"/>
      <w:r w:rsidR="00A2406D">
        <w:t>secukinumab</w:t>
      </w:r>
      <w:proofErr w:type="spellEnd"/>
      <w:r>
        <w:t xml:space="preserve"> loaded group (68/164, 41.5%) was statistically significantly higher than in the </w:t>
      </w:r>
      <w:r w:rsidR="00A2406D">
        <w:t>placebo</w:t>
      </w:r>
      <w:r>
        <w:t xml:space="preserve"> group (50/171, 29.2%, p</w:t>
      </w:r>
      <w:r w:rsidR="00A2406D">
        <w:t xml:space="preserve"> </w:t>
      </w:r>
      <w:r>
        <w:t>=</w:t>
      </w:r>
      <w:r w:rsidR="00A2406D">
        <w:t xml:space="preserve"> </w:t>
      </w:r>
      <w:r>
        <w:t xml:space="preserve">0.0197, Hypothesis 1). Similarly, the ASAS40 response rate in the </w:t>
      </w:r>
      <w:proofErr w:type="spellStart"/>
      <w:r w:rsidR="00A2406D">
        <w:t>secukinumab</w:t>
      </w:r>
      <w:proofErr w:type="spellEnd"/>
      <w:r>
        <w:t xml:space="preserve"> no load arm (70/166, 42.2%) was statistically higher than with </w:t>
      </w:r>
      <w:r w:rsidR="00A2406D">
        <w:t>placebo</w:t>
      </w:r>
      <w:r>
        <w:t xml:space="preserve"> treatment (p</w:t>
      </w:r>
      <w:r w:rsidR="00A2406D">
        <w:t xml:space="preserve"> </w:t>
      </w:r>
      <w:r>
        <w:t>=</w:t>
      </w:r>
      <w:r w:rsidR="00A2406D">
        <w:t xml:space="preserve"> </w:t>
      </w:r>
      <w:r>
        <w:t>0</w:t>
      </w:r>
      <w:r w:rsidR="00A2406D">
        <w:t xml:space="preserve">.0146, Hypothesis 13) as shown in </w:t>
      </w:r>
      <w:r w:rsidR="00F740FE">
        <w:t>Table 2, below.</w:t>
      </w:r>
    </w:p>
    <w:p w14:paraId="7357F546" w14:textId="5ECC7021" w:rsidR="00A2406D" w:rsidRDefault="00A2406D" w:rsidP="00A2406D">
      <w:pPr>
        <w:pStyle w:val="TableTitle"/>
      </w:pPr>
      <w:r>
        <w:t xml:space="preserve">Table </w:t>
      </w:r>
      <w:fldSimple w:instr=" SEQ Table \* ARABIC ">
        <w:r w:rsidR="003F2FF5">
          <w:rPr>
            <w:noProof/>
          </w:rPr>
          <w:t>2</w:t>
        </w:r>
      </w:fldSimple>
      <w:r>
        <w:t>: Study H2315 (PREVENT</w:t>
      </w:r>
      <w:r w:rsidR="00597474">
        <w:t xml:space="preserve"> trial</w:t>
      </w:r>
      <w:r>
        <w:t>) ASAS40 res</w:t>
      </w:r>
      <w:r w:rsidR="00597474">
        <w:t>ponse rates at Week 16 for anti</w:t>
      </w:r>
      <w:r w:rsidR="00597474">
        <w:noBreakHyphen/>
      </w:r>
      <w:r>
        <w:t>TNF naïve participants (non-responder imputation)</w:t>
      </w:r>
    </w:p>
    <w:p w14:paraId="6D3727E6" w14:textId="2DB45491" w:rsidR="00E21886" w:rsidRDefault="00A2406D" w:rsidP="00E21886">
      <w:r>
        <w:rPr>
          <w:noProof/>
          <w:lang w:eastAsia="en-AU"/>
        </w:rPr>
        <w:drawing>
          <wp:inline distT="0" distB="0" distL="0" distR="0" wp14:anchorId="7A1D130B" wp14:editId="436ECCC5">
            <wp:extent cx="5400040" cy="1706880"/>
            <wp:effectExtent l="0" t="0" r="0" b="7620"/>
            <wp:docPr id="6" name="Picture 6" descr="Table 2: Study H2315 (PREVENT trial) ASAS40 response rates at Week 16 for anti TNF naïve participants (non-responder impu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1706880"/>
                    </a:xfrm>
                    <a:prstGeom prst="rect">
                      <a:avLst/>
                    </a:prstGeom>
                    <a:noFill/>
                    <a:ln>
                      <a:noFill/>
                    </a:ln>
                  </pic:spPr>
                </pic:pic>
              </a:graphicData>
            </a:graphic>
          </wp:inline>
        </w:drawing>
      </w:r>
    </w:p>
    <w:p w14:paraId="7802A54D" w14:textId="1F7D8C30" w:rsidR="00E21886" w:rsidRDefault="00E21886" w:rsidP="00E21886">
      <w:r>
        <w:t xml:space="preserve">Higher response rates in </w:t>
      </w:r>
      <w:proofErr w:type="spellStart"/>
      <w:r w:rsidR="00E514FE">
        <w:t>secukinumab</w:t>
      </w:r>
      <w:proofErr w:type="spellEnd"/>
      <w:r>
        <w:t xml:space="preserve"> tr</w:t>
      </w:r>
      <w:r w:rsidR="00E514FE">
        <w:t>eated groups were sustained at W</w:t>
      </w:r>
      <w:r>
        <w:t>eek 52 (</w:t>
      </w:r>
      <w:proofErr w:type="spellStart"/>
      <w:r w:rsidR="00E514FE">
        <w:t>secukinumab</w:t>
      </w:r>
      <w:proofErr w:type="spellEnd"/>
      <w:r>
        <w:t xml:space="preserve"> load 47/133, 35.3%; </w:t>
      </w:r>
      <w:proofErr w:type="spellStart"/>
      <w:r w:rsidR="00E514FE">
        <w:t>secukinumab</w:t>
      </w:r>
      <w:proofErr w:type="spellEnd"/>
      <w:r>
        <w:t xml:space="preserve"> no load 47/132, 35.6%; </w:t>
      </w:r>
      <w:r w:rsidR="00E514FE">
        <w:t>placebo</w:t>
      </w:r>
      <w:r>
        <w:t xml:space="preserve"> 25</w:t>
      </w:r>
      <w:r w:rsidR="00E514FE">
        <w:t>/132, 18.9%; interim analysis).</w:t>
      </w:r>
    </w:p>
    <w:p w14:paraId="350F06A9" w14:textId="3A551D1C" w:rsidR="00BB2F6A" w:rsidRDefault="00E21886" w:rsidP="00E21886">
      <w:r>
        <w:t>The ASAS40 response rates at 16 weeks in anti-TNF naïve patients were numerically higher in CRP+/MRI+ participants (</w:t>
      </w:r>
      <w:proofErr w:type="spellStart"/>
      <w:r w:rsidR="00E514FE">
        <w:t>secukinumab</w:t>
      </w:r>
      <w:proofErr w:type="spellEnd"/>
      <w:r>
        <w:t xml:space="preserve"> loaded 26/49, 53.1%; no load 28/52, 53.8%) than in CRP+/MRI- participants (loaded 16/45, 35.6%; no load 15/44, 34.1%) and CRP-/MRI+ (loaded 26/70, 37.1%; no load 27/70, 38.6%). While the study was not powered to examine statistical differences in response rates in subgroups, it is noted that in the CRP+/MRI+ participants response rates in the both </w:t>
      </w:r>
      <w:proofErr w:type="spellStart"/>
      <w:r w:rsidR="00DF7E75">
        <w:t>secukinumab</w:t>
      </w:r>
      <w:proofErr w:type="spellEnd"/>
      <w:r>
        <w:t xml:space="preserve"> treated arms were higher than in the </w:t>
      </w:r>
      <w:r w:rsidR="00E514FE">
        <w:t>placebo</w:t>
      </w:r>
      <w:r>
        <w:t xml:space="preserve"> arm, this difference was not seen in the CR</w:t>
      </w:r>
      <w:r w:rsidR="00B95A9E">
        <w:t>P+/MRI- or CRP</w:t>
      </w:r>
      <w:r w:rsidR="00B95A9E">
        <w:noBreakHyphen/>
      </w:r>
      <w:r w:rsidR="00E514FE">
        <w:t>/MRI+ groups (placebo</w:t>
      </w:r>
      <w:r>
        <w:t xml:space="preserve"> response rates: CRP+/MRI+ 22.0%; CRP+/MRI- 33.3%</w:t>
      </w:r>
      <w:r w:rsidR="00B95A9E">
        <w:t>; CRP</w:t>
      </w:r>
      <w:r w:rsidR="00B95A9E">
        <w:noBreakHyphen/>
      </w:r>
      <w:r>
        <w:t>/MRI+ 31.6%). This finding suggests that the overall difference in the primary efficacy outcome may be driven by the response rates in the CRP+/MRI+ subgroup.</w:t>
      </w:r>
    </w:p>
    <w:p w14:paraId="67609883" w14:textId="754EC79B" w:rsidR="00E514FE" w:rsidRDefault="00E514FE" w:rsidP="00E514FE">
      <w:pPr>
        <w:pStyle w:val="TableTitle"/>
      </w:pPr>
      <w:r>
        <w:t xml:space="preserve">Table </w:t>
      </w:r>
      <w:fldSimple w:instr=" SEQ Table \* ARABIC ">
        <w:r w:rsidR="003F2FF5">
          <w:rPr>
            <w:noProof/>
          </w:rPr>
          <w:t>3</w:t>
        </w:r>
      </w:fldSimple>
      <w:r>
        <w:t>: Study H2315 (PREVENT</w:t>
      </w:r>
      <w:r w:rsidR="00B95A9E">
        <w:t xml:space="preserve"> trial</w:t>
      </w:r>
      <w:r>
        <w:t xml:space="preserve">) Efficacy results </w:t>
      </w:r>
      <w:r w:rsidRPr="00660B51">
        <w:t>(full analysis set, hierarchical testing strategy)</w:t>
      </w:r>
    </w:p>
    <w:p w14:paraId="445E17DB" w14:textId="4B75F9C0" w:rsidR="00E514FE" w:rsidRDefault="00E514FE" w:rsidP="00E21886">
      <w:r>
        <w:rPr>
          <w:bCs/>
          <w:noProof/>
          <w:lang w:eastAsia="en-AU"/>
        </w:rPr>
        <w:drawing>
          <wp:inline distT="0" distB="0" distL="0" distR="0" wp14:anchorId="4BF953EE" wp14:editId="3DBE2474">
            <wp:extent cx="5400040" cy="3135630"/>
            <wp:effectExtent l="0" t="0" r="0" b="7620"/>
            <wp:docPr id="13" name="Picture 13" descr="Table 3: Study H2315 (PREVENT trial) Efficacy results (full analysis set, hierarchical testing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3135630"/>
                    </a:xfrm>
                    <a:prstGeom prst="rect">
                      <a:avLst/>
                    </a:prstGeom>
                    <a:noFill/>
                    <a:ln>
                      <a:noFill/>
                    </a:ln>
                  </pic:spPr>
                </pic:pic>
              </a:graphicData>
            </a:graphic>
          </wp:inline>
        </w:drawing>
      </w:r>
    </w:p>
    <w:p w14:paraId="07FB1C4F" w14:textId="25208C44" w:rsidR="00E514FE" w:rsidRDefault="00E514FE" w:rsidP="00E514FE">
      <w:pPr>
        <w:pStyle w:val="TableTitle"/>
      </w:pPr>
      <w:r>
        <w:t xml:space="preserve">Table </w:t>
      </w:r>
      <w:fldSimple w:instr=" SEQ Table \* ARABIC ">
        <w:r w:rsidR="003F2FF5">
          <w:rPr>
            <w:noProof/>
          </w:rPr>
          <w:t>4</w:t>
        </w:r>
      </w:fldSimple>
      <w:r>
        <w:t>: Study H2315 (PREVENT</w:t>
      </w:r>
      <w:r w:rsidR="00B95A9E">
        <w:t xml:space="preserve"> trial</w:t>
      </w:r>
      <w:r>
        <w:t xml:space="preserve">) Efficacy results </w:t>
      </w:r>
      <w:r w:rsidRPr="00660B51">
        <w:t>(full analysis set, hierarchical testing strategy)</w:t>
      </w:r>
      <w:r>
        <w:t xml:space="preserve"> (continued)</w:t>
      </w:r>
    </w:p>
    <w:p w14:paraId="6BC70595" w14:textId="3034AB19" w:rsidR="00E514FE" w:rsidRDefault="00E514FE" w:rsidP="00E21886">
      <w:r>
        <w:rPr>
          <w:bCs/>
          <w:noProof/>
          <w:lang w:eastAsia="en-AU"/>
        </w:rPr>
        <w:drawing>
          <wp:inline distT="0" distB="0" distL="0" distR="0" wp14:anchorId="036E98B9" wp14:editId="7CB4CD04">
            <wp:extent cx="5400040" cy="1976120"/>
            <wp:effectExtent l="0" t="0" r="0" b="5080"/>
            <wp:docPr id="14" name="Picture 14" descr="Table 4: Study H2315 (PREVENT trial) Efficacy results (full analysis set, hierarchical testing strategy)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1976120"/>
                    </a:xfrm>
                    <a:prstGeom prst="rect">
                      <a:avLst/>
                    </a:prstGeom>
                    <a:noFill/>
                    <a:ln>
                      <a:noFill/>
                    </a:ln>
                  </pic:spPr>
                </pic:pic>
              </a:graphicData>
            </a:graphic>
          </wp:inline>
        </w:drawing>
      </w:r>
    </w:p>
    <w:p w14:paraId="73C4E6BA" w14:textId="55364590" w:rsidR="00C64A3D" w:rsidRDefault="00C64A3D" w:rsidP="00C64A3D">
      <w:r>
        <w:t xml:space="preserve">In the full analysis set ASAS40 response rates at Week 16 in the </w:t>
      </w:r>
      <w:proofErr w:type="spellStart"/>
      <w:r>
        <w:t>secukinumab</w:t>
      </w:r>
      <w:proofErr w:type="spellEnd"/>
      <w:r>
        <w:t xml:space="preserve"> loaded arm (74/184, 40.0%) and in the </w:t>
      </w:r>
      <w:proofErr w:type="spellStart"/>
      <w:r>
        <w:t>secukinumab</w:t>
      </w:r>
      <w:proofErr w:type="spellEnd"/>
      <w:r>
        <w:t xml:space="preserve"> no load arm (75/184, 40.8%) were both significantly higher than in the placebo arm (52/186, 28.0%; p</w:t>
      </w:r>
      <w:r w:rsidR="008F2803">
        <w:t xml:space="preserve"> </w:t>
      </w:r>
      <w:r>
        <w:t>=</w:t>
      </w:r>
      <w:r w:rsidR="008F2803">
        <w:t xml:space="preserve"> </w:t>
      </w:r>
      <w:r>
        <w:t>0.011, p</w:t>
      </w:r>
      <w:r w:rsidR="008F2803">
        <w:t xml:space="preserve"> </w:t>
      </w:r>
      <w:r>
        <w:t>=</w:t>
      </w:r>
      <w:r w:rsidR="008F2803">
        <w:t xml:space="preserve"> </w:t>
      </w:r>
      <w:r>
        <w:t xml:space="preserve">0.009, respectively). This was reflected in the CRP+/MRI+ subgroup where response rates in </w:t>
      </w:r>
      <w:proofErr w:type="spellStart"/>
      <w:r>
        <w:t>secukinumab</w:t>
      </w:r>
      <w:proofErr w:type="spellEnd"/>
      <w:r>
        <w:t xml:space="preserve"> treated arms (loaded 29/54, 53.7%; no load 29/57, 50.9%) were numerically greater than in the placebo arm (12/55, 21.8%), but not in the CRP+/MRI- (loaded 18/52, 34.6%, no load 16/51, 31.4%, placebo 15/51, 29.4%) or in the CRP-/MRI+ (loaded 27/79, 34.2%, no load 30/76, 39.5%, placebo 25/80, 31.3%). ASAS40 response rates to placebo in the CRP+/MRI- and CRP-/MRI+ groups were numerically somewhat higher than seen in the CRP+/MRI+ subgroup.</w:t>
      </w:r>
    </w:p>
    <w:p w14:paraId="63D46049" w14:textId="40651E86" w:rsidR="00C64A3D" w:rsidRDefault="008F2803" w:rsidP="00C64A3D">
      <w:r>
        <w:t>ASAS40 response rates at W</w:t>
      </w:r>
      <w:r w:rsidR="00C64A3D">
        <w:t xml:space="preserve">eek 16 in </w:t>
      </w:r>
      <w:proofErr w:type="spellStart"/>
      <w:r w:rsidR="00C64A3D">
        <w:t>secukinumab</w:t>
      </w:r>
      <w:proofErr w:type="spellEnd"/>
      <w:r w:rsidR="00C64A3D">
        <w:t xml:space="preserve"> treated groups were numerically higher in anti-TNF naïve subjects compared with anti-TNF-IR patients (</w:t>
      </w:r>
      <w:proofErr w:type="spellStart"/>
      <w:r w:rsidR="00C64A3D">
        <w:t>secukinumab</w:t>
      </w:r>
      <w:proofErr w:type="spellEnd"/>
      <w:r w:rsidR="00C64A3D">
        <w:t xml:space="preserve"> loaded 6/21, 28.6%; </w:t>
      </w:r>
      <w:proofErr w:type="spellStart"/>
      <w:r w:rsidR="00C64A3D">
        <w:t>secukinumab</w:t>
      </w:r>
      <w:proofErr w:type="spellEnd"/>
      <w:r w:rsidR="00C64A3D">
        <w:t xml:space="preserve"> no load 5/18, 27.8%; placebo</w:t>
      </w:r>
      <w:r>
        <w:t xml:space="preserve"> 2/15, 13.3%).</w:t>
      </w:r>
      <w:r w:rsidR="00C64A3D">
        <w:t xml:space="preserve"> Response rates to placebo were lower than seen in other subgroups. Small group size (&lt;</w:t>
      </w:r>
      <w:r>
        <w:t xml:space="preserve"> </w:t>
      </w:r>
      <w:r w:rsidR="00C64A3D">
        <w:t>10% of the full population) is a likely contributor to this variability.</w:t>
      </w:r>
    </w:p>
    <w:p w14:paraId="657EADF4" w14:textId="741D1D78" w:rsidR="00C64A3D" w:rsidRDefault="00C64A3D" w:rsidP="00C64A3D">
      <w:r>
        <w:t xml:space="preserve">In the full analysis </w:t>
      </w:r>
      <w:r w:rsidR="008F2803">
        <w:t>set, ASAS5/6 response rates at W</w:t>
      </w:r>
      <w:r>
        <w:t xml:space="preserve">eek 16 in CRP+/MRI+ participants in the </w:t>
      </w:r>
      <w:proofErr w:type="spellStart"/>
      <w:r>
        <w:t>secukinumab</w:t>
      </w:r>
      <w:proofErr w:type="spellEnd"/>
      <w:r>
        <w:t xml:space="preserve"> treated arms (&gt;</w:t>
      </w:r>
      <w:r w:rsidR="008F2803">
        <w:t xml:space="preserve"> </w:t>
      </w:r>
      <w:r>
        <w:t xml:space="preserve">50%) were also numerically higher than in placebo arm (20.0%). This difference was not reflected in the CRP+/MRI- participants (loaded 36.5%, no load 35.3%, placebo 33.3%). In the CRP-/MRI+ participants, the ASAS5/6 response rate in the loaded arm was 34.2%, in the no load arm was 23.7% and in the placebo arm was 20.0%. The ASAS5/6 response rates in the anti-TNF-IR subgroup were similar in </w:t>
      </w:r>
      <w:proofErr w:type="spellStart"/>
      <w:r>
        <w:t>secukinumab</w:t>
      </w:r>
      <w:proofErr w:type="spellEnd"/>
      <w:r>
        <w:t xml:space="preserve"> treated arms and placebo treated participants.</w:t>
      </w:r>
    </w:p>
    <w:p w14:paraId="47E456E3" w14:textId="5BA3C9D8" w:rsidR="00C64A3D" w:rsidRDefault="00C64A3D" w:rsidP="00C64A3D">
      <w:r>
        <w:t>Overall, the seconda</w:t>
      </w:r>
      <w:r w:rsidR="008F2803">
        <w:t>ry outcomes BASDAI change from B</w:t>
      </w:r>
      <w:r>
        <w:t>aselin</w:t>
      </w:r>
      <w:r w:rsidR="008F2803">
        <w:t>e, BASDAI50, BASFI change from B</w:t>
      </w:r>
      <w:r>
        <w:t xml:space="preserve">aseline, ASAS20, </w:t>
      </w:r>
      <w:r w:rsidR="008F2803">
        <w:t>SF-36 PCS and MCS changes from B</w:t>
      </w:r>
      <w:r w:rsidR="00B95A9E">
        <w:t xml:space="preserve">aseline, </w:t>
      </w:r>
      <w:proofErr w:type="spellStart"/>
      <w:r w:rsidR="00B95A9E">
        <w:t>AsQo</w:t>
      </w:r>
      <w:r>
        <w:t>L</w:t>
      </w:r>
      <w:proofErr w:type="spellEnd"/>
      <w:r>
        <w:t xml:space="preserve"> and ASAS partial remission in the full analysis population at 16 weeks were significantly better in the </w:t>
      </w:r>
      <w:proofErr w:type="spellStart"/>
      <w:r>
        <w:t>secukinumab</w:t>
      </w:r>
      <w:proofErr w:type="spellEnd"/>
      <w:r>
        <w:t xml:space="preserve"> treatment arms than in the placebo arm. Again, the results appeared to be predominantly driven by the anti-TNF naïve and CRP+/MRI+ groups, with no numerical differences in the response rates between </w:t>
      </w:r>
      <w:proofErr w:type="spellStart"/>
      <w:r>
        <w:t>secukinumab</w:t>
      </w:r>
      <w:proofErr w:type="spellEnd"/>
      <w:r>
        <w:t xml:space="preserve"> treated arms and placebo arm in most analyses for CRP+/MRI-, CRP-/MRI+ and anti-TNF-IR subgroups. MRI improvements at 16 weeks (SI joint oedema mean chan</w:t>
      </w:r>
      <w:r w:rsidR="00B95A9E">
        <w:t>ge from baseline) in the full analysis set</w:t>
      </w:r>
      <w:r>
        <w:t xml:space="preserve"> were significantly greater in the </w:t>
      </w:r>
      <w:proofErr w:type="spellStart"/>
      <w:r>
        <w:t>secukinumab</w:t>
      </w:r>
      <w:proofErr w:type="spellEnd"/>
      <w:r>
        <w:t xml:space="preserve"> treated arms than in placebo arm, this was also reflected numerically in the CRP-/MRI+ group as well as in the CRP+/MRI+ group, although not in CRP+/MRI- or anti-TNF-IR groups.</w:t>
      </w:r>
    </w:p>
    <w:p w14:paraId="6F94AC61" w14:textId="26C67120" w:rsidR="00C64A3D" w:rsidRDefault="00C64A3D" w:rsidP="00C64A3D">
      <w:r>
        <w:t>Using a</w:t>
      </w:r>
      <w:r w:rsidR="008F2803">
        <w:t xml:space="preserve"> time response curve analysis (W</w:t>
      </w:r>
      <w:r>
        <w:t>eeks 1, 2, 3, 4, 8, 1</w:t>
      </w:r>
      <w:r w:rsidR="008F2803">
        <w:t>2 and 16) with unadjusted p</w:t>
      </w:r>
      <w:r w:rsidR="008F2803">
        <w:noBreakHyphen/>
      </w:r>
      <w:r>
        <w:t xml:space="preserve">values of 0.05 as the cut-off for statistical significance, higher ASAS40 response rates were observed with </w:t>
      </w:r>
      <w:proofErr w:type="spellStart"/>
      <w:r>
        <w:t>secukinumab</w:t>
      </w:r>
      <w:proofErr w:type="spellEnd"/>
      <w:r>
        <w:t xml:space="preserve"> versus placebo</w:t>
      </w:r>
      <w:r w:rsidR="008F2803">
        <w:t xml:space="preserve"> in TNF-naïve patients from W</w:t>
      </w:r>
      <w:r>
        <w:t xml:space="preserve">eek 3 onwards for the </w:t>
      </w:r>
      <w:proofErr w:type="spellStart"/>
      <w:r>
        <w:t>secukinumab</w:t>
      </w:r>
      <w:proofErr w:type="spellEnd"/>
      <w:r w:rsidR="008F2803">
        <w:t xml:space="preserve"> 150 mg load group, and from W</w:t>
      </w:r>
      <w:r>
        <w:t xml:space="preserve">eek 8 onwards for the </w:t>
      </w:r>
      <w:proofErr w:type="spellStart"/>
      <w:r>
        <w:t>secukinumab</w:t>
      </w:r>
      <w:proofErr w:type="spellEnd"/>
      <w:r>
        <w:t xml:space="preserve"> 150 mg no load arm. Although ASAS40 response rates in the </w:t>
      </w:r>
      <w:proofErr w:type="spellStart"/>
      <w:r>
        <w:t>secukinumab</w:t>
      </w:r>
      <w:proofErr w:type="spellEnd"/>
      <w:r>
        <w:t xml:space="preserve"> loaded group were numerically higher than in the no loading </w:t>
      </w:r>
      <w:proofErr w:type="spellStart"/>
      <w:r>
        <w:t>secukinumab</w:t>
      </w:r>
      <w:proofErr w:type="spellEnd"/>
      <w:r>
        <w:t xml:space="preserve"> group, that difference was not statistically significant at any time point</w:t>
      </w:r>
      <w:r w:rsidR="008F2803">
        <w:t xml:space="preserve"> (see following figure).</w:t>
      </w:r>
    </w:p>
    <w:p w14:paraId="37CDB433" w14:textId="538EE266" w:rsidR="008F2803" w:rsidRDefault="008F2803" w:rsidP="008F2803">
      <w:pPr>
        <w:pStyle w:val="FigureTitle"/>
      </w:pPr>
      <w:r>
        <w:t xml:space="preserve">Figure </w:t>
      </w:r>
      <w:fldSimple w:instr=" SEQ Figure \* ARABIC ">
        <w:r w:rsidR="003F2FF5">
          <w:rPr>
            <w:noProof/>
          </w:rPr>
          <w:t>1</w:t>
        </w:r>
      </w:fldSimple>
      <w:r>
        <w:t>: Study H2315 (PREVENT</w:t>
      </w:r>
      <w:r w:rsidR="00B95A9E">
        <w:t xml:space="preserve"> trial</w:t>
      </w:r>
      <w:r>
        <w:t xml:space="preserve">) </w:t>
      </w:r>
      <w:r w:rsidRPr="002B1C6B">
        <w:t>ASAS40 respon</w:t>
      </w:r>
      <w:r w:rsidR="00B95A9E">
        <w:t>se over time (as a percentage</w:t>
      </w:r>
      <w:r>
        <w:t xml:space="preserve">, </w:t>
      </w:r>
      <w:r w:rsidR="00B95A9E">
        <w:t>with 95% confidence intervals</w:t>
      </w:r>
      <w:r>
        <w:t>) in TNF</w:t>
      </w:r>
      <w:r>
        <w:noBreakHyphen/>
      </w:r>
      <w:r w:rsidRPr="002B1C6B">
        <w:t>alpha naïve patients (non-responder imputation)</w:t>
      </w:r>
    </w:p>
    <w:p w14:paraId="2973DD30" w14:textId="3A20A71C" w:rsidR="008F2803" w:rsidRDefault="008F2803" w:rsidP="00C64A3D">
      <w:r w:rsidRPr="0025333E">
        <w:rPr>
          <w:noProof/>
          <w:lang w:eastAsia="en-AU"/>
        </w:rPr>
        <w:drawing>
          <wp:inline distT="0" distB="0" distL="0" distR="0" wp14:anchorId="73716569" wp14:editId="649536C3">
            <wp:extent cx="4739640" cy="3124454"/>
            <wp:effectExtent l="0" t="0" r="3810" b="0"/>
            <wp:docPr id="15" name="Picture 15" descr="Figure 1: Study H2315 (PREVENT trial) ASAS40 response over time (as a percentage, with 95% confidence intervals) in TNF alpha naïve patients (non-responder impu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83178" cy="3219077"/>
                    </a:xfrm>
                    <a:prstGeom prst="rect">
                      <a:avLst/>
                    </a:prstGeom>
                    <a:noFill/>
                    <a:ln>
                      <a:noFill/>
                    </a:ln>
                  </pic:spPr>
                </pic:pic>
              </a:graphicData>
            </a:graphic>
          </wp:inline>
        </w:drawing>
      </w:r>
    </w:p>
    <w:p w14:paraId="11B7A28F" w14:textId="00E803A1" w:rsidR="008F2803" w:rsidRDefault="008F2803" w:rsidP="00C64A3D">
      <w:r>
        <w:t>An interim analysis of Week 52 data (US FDA analysis) included 71.5% of study participants with data available at database lock. The study met the primary efficacy endpoint for</w:t>
      </w:r>
      <w:r w:rsidRPr="00754946">
        <w:t xml:space="preserve"> ASAS40 </w:t>
      </w:r>
      <w:r>
        <w:t>response rates in TNF-naïve patients at W</w:t>
      </w:r>
      <w:r w:rsidRPr="00754946">
        <w:t>eek 52. For anti-TNF naïve patients, the rate of ASAS</w:t>
      </w:r>
      <w:r>
        <w:t>40 response at Week 52</w:t>
      </w:r>
      <w:r w:rsidRPr="00754946">
        <w:t xml:space="preserve"> was high</w:t>
      </w:r>
      <w:r>
        <w:t xml:space="preserve">er in both </w:t>
      </w:r>
      <w:proofErr w:type="spellStart"/>
      <w:r>
        <w:t>secukinumab</w:t>
      </w:r>
      <w:proofErr w:type="spellEnd"/>
      <w:r>
        <w:t xml:space="preserve"> </w:t>
      </w:r>
      <w:r w:rsidRPr="00754946">
        <w:t>treatment groups (</w:t>
      </w:r>
      <w:r>
        <w:t>44/114, 38.6%</w:t>
      </w:r>
      <w:r w:rsidRPr="00754946">
        <w:t xml:space="preserve"> with loading</w:t>
      </w:r>
      <w:r>
        <w:t>;</w:t>
      </w:r>
      <w:r w:rsidRPr="00754946">
        <w:t xml:space="preserve"> and </w:t>
      </w:r>
      <w:r>
        <w:t xml:space="preserve">44/115, 38.3% </w:t>
      </w:r>
      <w:r w:rsidRPr="00754946">
        <w:t xml:space="preserve">with no </w:t>
      </w:r>
      <w:proofErr w:type="spellStart"/>
      <w:r>
        <w:t>secukinumab</w:t>
      </w:r>
      <w:proofErr w:type="spellEnd"/>
      <w:r w:rsidRPr="00754946">
        <w:t xml:space="preserve"> load) compared to 20.2% (24/119) in the </w:t>
      </w:r>
      <w:r>
        <w:t>placebo</w:t>
      </w:r>
      <w:r w:rsidRPr="00754946">
        <w:t xml:space="preserve"> arm.</w:t>
      </w:r>
    </w:p>
    <w:p w14:paraId="5FDFEBC9" w14:textId="6B5A85CC" w:rsidR="008F2803" w:rsidRDefault="009C6296" w:rsidP="009C6296">
      <w:pPr>
        <w:pStyle w:val="Heading4"/>
      </w:pPr>
      <w:r>
        <w:t>Safety</w:t>
      </w:r>
    </w:p>
    <w:p w14:paraId="625A8237" w14:textId="6B72E4AB" w:rsidR="009C6296" w:rsidRDefault="009C6296" w:rsidP="009C6296">
      <w:r>
        <w:t xml:space="preserve">Cumulative exposure to </w:t>
      </w:r>
      <w:proofErr w:type="spellStart"/>
      <w:r w:rsidR="00DF7E75">
        <w:t>secukinumab</w:t>
      </w:r>
      <w:proofErr w:type="spellEnd"/>
      <w:r w:rsidR="00DF7E75">
        <w:t xml:space="preserve"> in S</w:t>
      </w:r>
      <w:r>
        <w:t xml:space="preserve">tudy H2315 at the data cut-off date was </w:t>
      </w:r>
      <w:r w:rsidR="00DF7E75">
        <w:t>228.3 </w:t>
      </w:r>
      <w:r w:rsidRPr="005D2E18">
        <w:t xml:space="preserve">patient years </w:t>
      </w:r>
      <w:r>
        <w:t xml:space="preserve">(PY) </w:t>
      </w:r>
      <w:r w:rsidRPr="005D2E18">
        <w:t xml:space="preserve">for the </w:t>
      </w:r>
      <w:proofErr w:type="spellStart"/>
      <w:r w:rsidR="00DF7E75">
        <w:t>secukinumab</w:t>
      </w:r>
      <w:proofErr w:type="spellEnd"/>
      <w:r>
        <w:t xml:space="preserve"> l</w:t>
      </w:r>
      <w:r w:rsidRPr="005D2E18">
        <w:t>oad group</w:t>
      </w:r>
      <w:r>
        <w:t xml:space="preserve"> and</w:t>
      </w:r>
      <w:r w:rsidRPr="005D2E18">
        <w:t xml:space="preserve"> 234.6 </w:t>
      </w:r>
      <w:r>
        <w:t xml:space="preserve">PY </w:t>
      </w:r>
      <w:r w:rsidRPr="005D2E18">
        <w:t xml:space="preserve">for the </w:t>
      </w:r>
      <w:r>
        <w:t>n</w:t>
      </w:r>
      <w:r w:rsidRPr="005D2E18">
        <w:t xml:space="preserve">o </w:t>
      </w:r>
      <w:r>
        <w:t>l</w:t>
      </w:r>
      <w:r w:rsidRPr="005D2E18">
        <w:t xml:space="preserve">oad </w:t>
      </w:r>
      <w:proofErr w:type="spellStart"/>
      <w:r w:rsidR="00DF7E75">
        <w:t>secukinumab</w:t>
      </w:r>
      <w:proofErr w:type="spellEnd"/>
      <w:r>
        <w:t xml:space="preserve"> a</w:t>
      </w:r>
      <w:r w:rsidRPr="005D2E18">
        <w:t>r</w:t>
      </w:r>
      <w:r>
        <w:t xml:space="preserve">m. Including patients who switched from </w:t>
      </w:r>
      <w:r w:rsidR="00DF7E75">
        <w:t>placebo at any time between 24 </w:t>
      </w:r>
      <w:r>
        <w:t xml:space="preserve">weeks and 52 weeks, cumulative exposure to </w:t>
      </w:r>
      <w:proofErr w:type="spellStart"/>
      <w:r w:rsidR="00DF7E75">
        <w:t>secukinumab</w:t>
      </w:r>
      <w:proofErr w:type="spellEnd"/>
      <w:r>
        <w:t xml:space="preserve"> overall was 588.0 </w:t>
      </w:r>
      <w:r w:rsidR="00DF7E75">
        <w:t>PY</w:t>
      </w:r>
      <w:r>
        <w:t xml:space="preserve">. The median duration of exposure to </w:t>
      </w:r>
      <w:proofErr w:type="spellStart"/>
      <w:r w:rsidR="00DF7E75">
        <w:t>secukinumab</w:t>
      </w:r>
      <w:proofErr w:type="spellEnd"/>
      <w:r>
        <w:t xml:space="preserve"> was 419.0 days for the </w:t>
      </w:r>
      <w:proofErr w:type="spellStart"/>
      <w:r w:rsidR="00DF7E75">
        <w:t>secukinumab</w:t>
      </w:r>
      <w:proofErr w:type="spellEnd"/>
      <w:r>
        <w:t xml:space="preserve"> loaded group, 451.0 days for the </w:t>
      </w:r>
      <w:proofErr w:type="spellStart"/>
      <w:r w:rsidR="00DF7E75">
        <w:t>secukinumab</w:t>
      </w:r>
      <w:proofErr w:type="spellEnd"/>
      <w:r>
        <w:t xml:space="preserve"> no load group and 394.5 days for any </w:t>
      </w:r>
      <w:proofErr w:type="spellStart"/>
      <w:r w:rsidR="00DF7E75">
        <w:t>secukinumab</w:t>
      </w:r>
      <w:proofErr w:type="spellEnd"/>
      <w:r>
        <w:t xml:space="preserve"> treatment.</w:t>
      </w:r>
    </w:p>
    <w:p w14:paraId="454264C7" w14:textId="35F62EEA" w:rsidR="009C6296" w:rsidRDefault="009C6296" w:rsidP="009C6296">
      <w:pPr>
        <w:autoSpaceDE w:val="0"/>
        <w:autoSpaceDN w:val="0"/>
        <w:adjustRightInd w:val="0"/>
        <w:spacing w:before="0" w:after="0" w:line="240" w:lineRule="auto"/>
        <w:rPr>
          <w:lang w:eastAsia="ja-JP"/>
        </w:rPr>
      </w:pPr>
      <w:r w:rsidRPr="00C3224B">
        <w:rPr>
          <w:lang w:eastAsia="ja-JP"/>
        </w:rPr>
        <w:t>Treatment</w:t>
      </w:r>
      <w:r>
        <w:rPr>
          <w:lang w:eastAsia="ja-JP"/>
        </w:rPr>
        <w:t xml:space="preserve"> r</w:t>
      </w:r>
      <w:r w:rsidRPr="00C3224B">
        <w:rPr>
          <w:lang w:eastAsia="ja-JP"/>
        </w:rPr>
        <w:t>e</w:t>
      </w:r>
      <w:r>
        <w:rPr>
          <w:lang w:eastAsia="ja-JP"/>
        </w:rPr>
        <w:t>la</w:t>
      </w:r>
      <w:r w:rsidRPr="00C3224B">
        <w:rPr>
          <w:lang w:eastAsia="ja-JP"/>
        </w:rPr>
        <w:t>t</w:t>
      </w:r>
      <w:r>
        <w:rPr>
          <w:lang w:eastAsia="ja-JP"/>
        </w:rPr>
        <w:t>ed adverse events (</w:t>
      </w:r>
      <w:r w:rsidR="00DF7E75">
        <w:rPr>
          <w:lang w:eastAsia="ja-JP"/>
        </w:rPr>
        <w:t>TRAE</w:t>
      </w:r>
      <w:r>
        <w:rPr>
          <w:lang w:eastAsia="ja-JP"/>
        </w:rPr>
        <w:t xml:space="preserve">) were </w:t>
      </w:r>
      <w:r w:rsidRPr="00C3224B">
        <w:rPr>
          <w:lang w:eastAsia="ja-JP"/>
        </w:rPr>
        <w:t>reported at a higher incidence</w:t>
      </w:r>
      <w:r>
        <w:rPr>
          <w:lang w:eastAsia="ja-JP"/>
        </w:rPr>
        <w:t xml:space="preserve"> i</w:t>
      </w:r>
      <w:r w:rsidRPr="00C3224B">
        <w:rPr>
          <w:lang w:eastAsia="ja-JP"/>
        </w:rPr>
        <w:t xml:space="preserve">n the </w:t>
      </w:r>
      <w:proofErr w:type="spellStart"/>
      <w:r w:rsidR="00DF7E75">
        <w:rPr>
          <w:lang w:eastAsia="ja-JP"/>
        </w:rPr>
        <w:t>secukinumab</w:t>
      </w:r>
      <w:proofErr w:type="spellEnd"/>
      <w:r w:rsidRPr="00C3224B">
        <w:rPr>
          <w:lang w:eastAsia="ja-JP"/>
        </w:rPr>
        <w:t xml:space="preserve"> group</w:t>
      </w:r>
      <w:r>
        <w:rPr>
          <w:lang w:eastAsia="ja-JP"/>
        </w:rPr>
        <w:t>s</w:t>
      </w:r>
      <w:r w:rsidRPr="00C3224B">
        <w:rPr>
          <w:lang w:eastAsia="ja-JP"/>
        </w:rPr>
        <w:t xml:space="preserve"> compared to </w:t>
      </w:r>
      <w:r w:rsidR="00DF7E75">
        <w:rPr>
          <w:lang w:eastAsia="ja-JP"/>
        </w:rPr>
        <w:t>placebo</w:t>
      </w:r>
      <w:r>
        <w:rPr>
          <w:lang w:eastAsia="ja-JP"/>
        </w:rPr>
        <w:t xml:space="preserve"> for the entire treatment period: 4</w:t>
      </w:r>
      <w:r w:rsidRPr="00C3224B">
        <w:rPr>
          <w:lang w:eastAsia="ja-JP"/>
        </w:rPr>
        <w:t xml:space="preserve">0.5% </w:t>
      </w:r>
      <w:r>
        <w:rPr>
          <w:lang w:eastAsia="ja-JP"/>
        </w:rPr>
        <w:t xml:space="preserve">(75/185) </w:t>
      </w:r>
      <w:r w:rsidRPr="00C3224B">
        <w:rPr>
          <w:lang w:eastAsia="ja-JP"/>
        </w:rPr>
        <w:t>in</w:t>
      </w:r>
      <w:r>
        <w:rPr>
          <w:lang w:eastAsia="ja-JP"/>
        </w:rPr>
        <w:t xml:space="preserve"> </w:t>
      </w:r>
      <w:r w:rsidRPr="00C3224B">
        <w:rPr>
          <w:lang w:eastAsia="ja-JP"/>
        </w:rPr>
        <w:t xml:space="preserve">the </w:t>
      </w:r>
      <w:r>
        <w:rPr>
          <w:lang w:eastAsia="ja-JP"/>
        </w:rPr>
        <w:t xml:space="preserve">loaded </w:t>
      </w:r>
      <w:proofErr w:type="spellStart"/>
      <w:r w:rsidR="00DF7E75">
        <w:rPr>
          <w:lang w:eastAsia="ja-JP"/>
        </w:rPr>
        <w:t>secukinumab</w:t>
      </w:r>
      <w:proofErr w:type="spellEnd"/>
      <w:r w:rsidRPr="00C3224B">
        <w:rPr>
          <w:lang w:eastAsia="ja-JP"/>
        </w:rPr>
        <w:t xml:space="preserve"> group </w:t>
      </w:r>
      <w:r>
        <w:rPr>
          <w:lang w:eastAsia="ja-JP"/>
        </w:rPr>
        <w:t xml:space="preserve">and 29.3% (54/184) in the no load </w:t>
      </w:r>
      <w:proofErr w:type="spellStart"/>
      <w:r w:rsidR="00DF7E75">
        <w:rPr>
          <w:lang w:eastAsia="ja-JP"/>
        </w:rPr>
        <w:t>secukinumab</w:t>
      </w:r>
      <w:proofErr w:type="spellEnd"/>
      <w:r>
        <w:rPr>
          <w:lang w:eastAsia="ja-JP"/>
        </w:rPr>
        <w:t xml:space="preserve"> arm </w:t>
      </w:r>
      <w:r w:rsidRPr="00C3224B">
        <w:rPr>
          <w:lang w:eastAsia="ja-JP"/>
        </w:rPr>
        <w:t>v</w:t>
      </w:r>
      <w:r>
        <w:rPr>
          <w:lang w:eastAsia="ja-JP"/>
        </w:rPr>
        <w:t>er</w:t>
      </w:r>
      <w:r w:rsidRPr="00C3224B">
        <w:rPr>
          <w:lang w:eastAsia="ja-JP"/>
        </w:rPr>
        <w:t>s</w:t>
      </w:r>
      <w:r>
        <w:rPr>
          <w:lang w:eastAsia="ja-JP"/>
        </w:rPr>
        <w:t>us</w:t>
      </w:r>
      <w:r w:rsidRPr="00C3224B">
        <w:rPr>
          <w:lang w:eastAsia="ja-JP"/>
        </w:rPr>
        <w:t xml:space="preserve"> 18.3% </w:t>
      </w:r>
      <w:r>
        <w:rPr>
          <w:lang w:eastAsia="ja-JP"/>
        </w:rPr>
        <w:t xml:space="preserve">(34/186) </w:t>
      </w:r>
      <w:r w:rsidRPr="00C3224B">
        <w:rPr>
          <w:lang w:eastAsia="ja-JP"/>
        </w:rPr>
        <w:t xml:space="preserve">in the </w:t>
      </w:r>
      <w:r w:rsidR="00DF7E75">
        <w:rPr>
          <w:lang w:eastAsia="ja-JP"/>
        </w:rPr>
        <w:t>placebo</w:t>
      </w:r>
      <w:r w:rsidRPr="00C3224B">
        <w:rPr>
          <w:lang w:eastAsia="ja-JP"/>
        </w:rPr>
        <w:t xml:space="preserve"> group. </w:t>
      </w:r>
      <w:r>
        <w:rPr>
          <w:lang w:eastAsia="ja-JP"/>
        </w:rPr>
        <w:t>The</w:t>
      </w:r>
      <w:r w:rsidRPr="00C3224B">
        <w:rPr>
          <w:lang w:eastAsia="ja-JP"/>
        </w:rPr>
        <w:t xml:space="preserve"> major contributor to this imbalance between</w:t>
      </w:r>
      <w:r>
        <w:rPr>
          <w:lang w:eastAsia="ja-JP"/>
        </w:rPr>
        <w:t xml:space="preserve"> the </w:t>
      </w:r>
      <w:r w:rsidRPr="00C3224B">
        <w:rPr>
          <w:lang w:eastAsia="ja-JP"/>
        </w:rPr>
        <w:t>groups during the entire study period w</w:t>
      </w:r>
      <w:r>
        <w:rPr>
          <w:lang w:eastAsia="ja-JP"/>
        </w:rPr>
        <w:t xml:space="preserve">as </w:t>
      </w:r>
      <w:r w:rsidRPr="00C3224B">
        <w:rPr>
          <w:lang w:eastAsia="ja-JP"/>
        </w:rPr>
        <w:t xml:space="preserve">mainly </w:t>
      </w:r>
      <w:r>
        <w:rPr>
          <w:lang w:eastAsia="ja-JP"/>
        </w:rPr>
        <w:t xml:space="preserve">in the </w:t>
      </w:r>
      <w:r w:rsidR="00DF7E75">
        <w:rPr>
          <w:lang w:eastAsia="ja-JP"/>
        </w:rPr>
        <w:t>System Order Class (</w:t>
      </w:r>
      <w:r>
        <w:rPr>
          <w:lang w:eastAsia="ja-JP"/>
        </w:rPr>
        <w:t>SOC</w:t>
      </w:r>
      <w:r w:rsidR="00DF7E75">
        <w:rPr>
          <w:lang w:eastAsia="ja-JP"/>
        </w:rPr>
        <w:t>)</w:t>
      </w:r>
      <w:r>
        <w:rPr>
          <w:lang w:eastAsia="ja-JP"/>
        </w:rPr>
        <w:t xml:space="preserve"> of </w:t>
      </w:r>
      <w:r w:rsidR="00DF7E75">
        <w:rPr>
          <w:lang w:eastAsia="ja-JP"/>
        </w:rPr>
        <w:t>‘I</w:t>
      </w:r>
      <w:r w:rsidRPr="00C3224B">
        <w:rPr>
          <w:lang w:eastAsia="ja-JP"/>
        </w:rPr>
        <w:t>nfection</w:t>
      </w:r>
      <w:r w:rsidR="00DF7E75">
        <w:rPr>
          <w:lang w:eastAsia="ja-JP"/>
        </w:rPr>
        <w:t>’</w:t>
      </w:r>
      <w:r w:rsidRPr="00C3224B">
        <w:rPr>
          <w:lang w:eastAsia="ja-JP"/>
        </w:rPr>
        <w:t xml:space="preserve"> (2</w:t>
      </w:r>
      <w:r>
        <w:rPr>
          <w:lang w:eastAsia="ja-JP"/>
        </w:rPr>
        <w:t>9</w:t>
      </w:r>
      <w:r w:rsidRPr="00C3224B">
        <w:rPr>
          <w:lang w:eastAsia="ja-JP"/>
        </w:rPr>
        <w:t>.</w:t>
      </w:r>
      <w:r>
        <w:rPr>
          <w:lang w:eastAsia="ja-JP"/>
        </w:rPr>
        <w:t>7</w:t>
      </w:r>
      <w:r w:rsidRPr="00C3224B">
        <w:rPr>
          <w:lang w:eastAsia="ja-JP"/>
        </w:rPr>
        <w:t xml:space="preserve">% in the </w:t>
      </w:r>
      <w:r>
        <w:rPr>
          <w:lang w:eastAsia="ja-JP"/>
        </w:rPr>
        <w:t xml:space="preserve">loaded </w:t>
      </w:r>
      <w:proofErr w:type="spellStart"/>
      <w:r w:rsidR="00DF7E75">
        <w:rPr>
          <w:lang w:eastAsia="ja-JP"/>
        </w:rPr>
        <w:t>secukinumab</w:t>
      </w:r>
      <w:proofErr w:type="spellEnd"/>
      <w:r w:rsidRPr="00C3224B">
        <w:rPr>
          <w:lang w:eastAsia="ja-JP"/>
        </w:rPr>
        <w:t xml:space="preserve"> group </w:t>
      </w:r>
      <w:r>
        <w:rPr>
          <w:lang w:eastAsia="ja-JP"/>
        </w:rPr>
        <w:t xml:space="preserve">and 17.4% in the no load </w:t>
      </w:r>
      <w:proofErr w:type="spellStart"/>
      <w:r w:rsidR="00DF7E75">
        <w:rPr>
          <w:lang w:eastAsia="ja-JP"/>
        </w:rPr>
        <w:t>secukinumab</w:t>
      </w:r>
      <w:proofErr w:type="spellEnd"/>
      <w:r>
        <w:rPr>
          <w:lang w:eastAsia="ja-JP"/>
        </w:rPr>
        <w:t xml:space="preserve"> arm </w:t>
      </w:r>
      <w:r w:rsidRPr="00C3224B">
        <w:rPr>
          <w:lang w:eastAsia="ja-JP"/>
        </w:rPr>
        <w:t>v</w:t>
      </w:r>
      <w:r>
        <w:rPr>
          <w:lang w:eastAsia="ja-JP"/>
        </w:rPr>
        <w:t>er</w:t>
      </w:r>
      <w:r w:rsidRPr="00C3224B">
        <w:rPr>
          <w:lang w:eastAsia="ja-JP"/>
        </w:rPr>
        <w:t>s</w:t>
      </w:r>
      <w:r>
        <w:rPr>
          <w:lang w:eastAsia="ja-JP"/>
        </w:rPr>
        <w:t>us</w:t>
      </w:r>
      <w:r w:rsidRPr="00C3224B">
        <w:rPr>
          <w:lang w:eastAsia="ja-JP"/>
        </w:rPr>
        <w:t xml:space="preserve"> 11.3% in the </w:t>
      </w:r>
      <w:r w:rsidR="00DF7E75">
        <w:rPr>
          <w:lang w:eastAsia="ja-JP"/>
        </w:rPr>
        <w:t>placebo</w:t>
      </w:r>
      <w:r>
        <w:rPr>
          <w:lang w:eastAsia="ja-JP"/>
        </w:rPr>
        <w:t xml:space="preserve"> group)</w:t>
      </w:r>
      <w:r w:rsidRPr="00C3224B">
        <w:rPr>
          <w:lang w:eastAsia="ja-JP"/>
        </w:rPr>
        <w:t xml:space="preserve"> </w:t>
      </w:r>
      <w:r>
        <w:rPr>
          <w:lang w:eastAsia="ja-JP"/>
        </w:rPr>
        <w:t xml:space="preserve">predominantly </w:t>
      </w:r>
      <w:r w:rsidRPr="00C3224B">
        <w:rPr>
          <w:lang w:eastAsia="ja-JP"/>
        </w:rPr>
        <w:t xml:space="preserve">due to </w:t>
      </w:r>
      <w:r>
        <w:rPr>
          <w:lang w:eastAsia="ja-JP"/>
        </w:rPr>
        <w:t xml:space="preserve">differences in the incidence of </w:t>
      </w:r>
      <w:proofErr w:type="spellStart"/>
      <w:r w:rsidRPr="00C3224B">
        <w:rPr>
          <w:lang w:eastAsia="ja-JP"/>
        </w:rPr>
        <w:t>nasopharyngitis</w:t>
      </w:r>
      <w:proofErr w:type="spellEnd"/>
      <w:r>
        <w:rPr>
          <w:lang w:eastAsia="ja-JP"/>
        </w:rPr>
        <w:t xml:space="preserve"> followed by upper respiratory tract infections (URTI) and urinary tract infections by </w:t>
      </w:r>
      <w:r w:rsidR="00DF7E75">
        <w:rPr>
          <w:lang w:eastAsia="ja-JP"/>
        </w:rPr>
        <w:t>Preferred T</w:t>
      </w:r>
      <w:r>
        <w:rPr>
          <w:lang w:eastAsia="ja-JP"/>
        </w:rPr>
        <w:t>erm (PT) across the three groups.</w:t>
      </w:r>
    </w:p>
    <w:p w14:paraId="1F20F63E" w14:textId="25C08F0E" w:rsidR="009C6296" w:rsidRDefault="009C6296" w:rsidP="009C6296">
      <w:pPr>
        <w:rPr>
          <w:lang w:eastAsia="ja-JP"/>
        </w:rPr>
      </w:pPr>
      <w:r>
        <w:rPr>
          <w:lang w:eastAsia="ja-JP"/>
        </w:rPr>
        <w:t>O</w:t>
      </w:r>
      <w:r w:rsidRPr="00C3224B">
        <w:rPr>
          <w:lang w:eastAsia="ja-JP"/>
        </w:rPr>
        <w:t>t</w:t>
      </w:r>
      <w:r>
        <w:rPr>
          <w:lang w:eastAsia="ja-JP"/>
        </w:rPr>
        <w:t>her</w:t>
      </w:r>
      <w:r w:rsidRPr="00C3224B">
        <w:rPr>
          <w:lang w:eastAsia="ja-JP"/>
        </w:rPr>
        <w:t xml:space="preserve"> </w:t>
      </w:r>
      <w:r>
        <w:rPr>
          <w:lang w:eastAsia="ja-JP"/>
        </w:rPr>
        <w:t>SOCs where differences were reported in the three arms</w:t>
      </w:r>
      <w:r w:rsidR="00DF7E75">
        <w:rPr>
          <w:lang w:eastAsia="ja-JP"/>
        </w:rPr>
        <w:t xml:space="preserve"> included G</w:t>
      </w:r>
      <w:r w:rsidR="00F14532">
        <w:rPr>
          <w:lang w:eastAsia="ja-JP"/>
        </w:rPr>
        <w:t>astrointestinal D</w:t>
      </w:r>
      <w:r>
        <w:rPr>
          <w:lang w:eastAsia="ja-JP"/>
        </w:rPr>
        <w:t xml:space="preserve">isorders: </w:t>
      </w:r>
      <w:r w:rsidRPr="00C3224B">
        <w:rPr>
          <w:lang w:eastAsia="ja-JP"/>
        </w:rPr>
        <w:t>5.</w:t>
      </w:r>
      <w:r>
        <w:rPr>
          <w:lang w:eastAsia="ja-JP"/>
        </w:rPr>
        <w:t xml:space="preserve">9%(11/185) </w:t>
      </w:r>
      <w:r w:rsidRPr="00C3224B">
        <w:rPr>
          <w:lang w:eastAsia="ja-JP"/>
        </w:rPr>
        <w:t xml:space="preserve">in the </w:t>
      </w:r>
      <w:r>
        <w:rPr>
          <w:lang w:eastAsia="ja-JP"/>
        </w:rPr>
        <w:t xml:space="preserve">loaded </w:t>
      </w:r>
      <w:proofErr w:type="spellStart"/>
      <w:r w:rsidR="00DF7E75">
        <w:rPr>
          <w:lang w:eastAsia="ja-JP"/>
        </w:rPr>
        <w:t>secukinumab</w:t>
      </w:r>
      <w:proofErr w:type="spellEnd"/>
      <w:r>
        <w:rPr>
          <w:lang w:eastAsia="ja-JP"/>
        </w:rPr>
        <w:t xml:space="preserve"> </w:t>
      </w:r>
      <w:r w:rsidRPr="00C3224B">
        <w:rPr>
          <w:lang w:eastAsia="ja-JP"/>
        </w:rPr>
        <w:t xml:space="preserve">group </w:t>
      </w:r>
      <w:r>
        <w:rPr>
          <w:lang w:eastAsia="ja-JP"/>
        </w:rPr>
        <w:t xml:space="preserve">and 7.6% (14/184) in the no load </w:t>
      </w:r>
      <w:proofErr w:type="spellStart"/>
      <w:r w:rsidR="00DF7E75">
        <w:rPr>
          <w:lang w:eastAsia="ja-JP"/>
        </w:rPr>
        <w:t>secukinumab</w:t>
      </w:r>
      <w:proofErr w:type="spellEnd"/>
      <w:r>
        <w:rPr>
          <w:lang w:eastAsia="ja-JP"/>
        </w:rPr>
        <w:t xml:space="preserve"> arm </w:t>
      </w:r>
      <w:r w:rsidRPr="00C3224B">
        <w:rPr>
          <w:lang w:eastAsia="ja-JP"/>
        </w:rPr>
        <w:t>v</w:t>
      </w:r>
      <w:r>
        <w:rPr>
          <w:lang w:eastAsia="ja-JP"/>
        </w:rPr>
        <w:t>er</w:t>
      </w:r>
      <w:r w:rsidRPr="00C3224B">
        <w:rPr>
          <w:lang w:eastAsia="ja-JP"/>
        </w:rPr>
        <w:t>s</w:t>
      </w:r>
      <w:r>
        <w:rPr>
          <w:lang w:eastAsia="ja-JP"/>
        </w:rPr>
        <w:t>us</w:t>
      </w:r>
      <w:r w:rsidRPr="00C3224B">
        <w:rPr>
          <w:lang w:eastAsia="ja-JP"/>
        </w:rPr>
        <w:t xml:space="preserve"> 3.2% </w:t>
      </w:r>
      <w:r>
        <w:rPr>
          <w:lang w:eastAsia="ja-JP"/>
        </w:rPr>
        <w:t xml:space="preserve">(6/186) </w:t>
      </w:r>
      <w:r w:rsidRPr="00C3224B">
        <w:rPr>
          <w:lang w:eastAsia="ja-JP"/>
        </w:rPr>
        <w:t xml:space="preserve">in the </w:t>
      </w:r>
      <w:r w:rsidR="00DF7E75">
        <w:rPr>
          <w:lang w:eastAsia="ja-JP"/>
        </w:rPr>
        <w:t>placebo</w:t>
      </w:r>
      <w:r>
        <w:rPr>
          <w:lang w:eastAsia="ja-JP"/>
        </w:rPr>
        <w:t xml:space="preserve"> gr</w:t>
      </w:r>
      <w:r w:rsidRPr="00C3224B">
        <w:rPr>
          <w:lang w:eastAsia="ja-JP"/>
        </w:rPr>
        <w:t>o</w:t>
      </w:r>
      <w:r>
        <w:rPr>
          <w:lang w:eastAsia="ja-JP"/>
        </w:rPr>
        <w:t xml:space="preserve">up </w:t>
      </w:r>
      <w:r w:rsidRPr="00C3224B">
        <w:rPr>
          <w:lang w:eastAsia="ja-JP"/>
        </w:rPr>
        <w:t>mainly due</w:t>
      </w:r>
      <w:r>
        <w:rPr>
          <w:lang w:eastAsia="ja-JP"/>
        </w:rPr>
        <w:t xml:space="preserve"> </w:t>
      </w:r>
      <w:r w:rsidRPr="00C3224B">
        <w:rPr>
          <w:lang w:eastAsia="ja-JP"/>
        </w:rPr>
        <w:t xml:space="preserve">to </w:t>
      </w:r>
      <w:r>
        <w:rPr>
          <w:lang w:eastAsia="ja-JP"/>
        </w:rPr>
        <w:t xml:space="preserve">a higher frequency of </w:t>
      </w:r>
      <w:r w:rsidRPr="00C3224B">
        <w:rPr>
          <w:lang w:eastAsia="ja-JP"/>
        </w:rPr>
        <w:t>nausea</w:t>
      </w:r>
      <w:r>
        <w:rPr>
          <w:lang w:eastAsia="ja-JP"/>
        </w:rPr>
        <w:t xml:space="preserve"> </w:t>
      </w:r>
      <w:r w:rsidR="00DF7E75">
        <w:rPr>
          <w:lang w:eastAsia="ja-JP"/>
        </w:rPr>
        <w:t>adverse events (AE)</w:t>
      </w:r>
      <w:r>
        <w:rPr>
          <w:lang w:eastAsia="ja-JP"/>
        </w:rPr>
        <w:t xml:space="preserve"> by PT in the two </w:t>
      </w:r>
      <w:proofErr w:type="spellStart"/>
      <w:r w:rsidR="00DF7E75">
        <w:rPr>
          <w:lang w:eastAsia="ja-JP"/>
        </w:rPr>
        <w:t>secukinumab</w:t>
      </w:r>
      <w:proofErr w:type="spellEnd"/>
      <w:r>
        <w:rPr>
          <w:lang w:eastAsia="ja-JP"/>
        </w:rPr>
        <w:t xml:space="preserve"> groups and diarrhoea AEs in the no load </w:t>
      </w:r>
      <w:proofErr w:type="spellStart"/>
      <w:r w:rsidR="00DF7E75">
        <w:rPr>
          <w:lang w:eastAsia="ja-JP"/>
        </w:rPr>
        <w:t>secukinumab</w:t>
      </w:r>
      <w:proofErr w:type="spellEnd"/>
      <w:r>
        <w:rPr>
          <w:lang w:eastAsia="ja-JP"/>
        </w:rPr>
        <w:t xml:space="preserve"> arm;</w:t>
      </w:r>
      <w:r w:rsidRPr="00C3224B">
        <w:rPr>
          <w:lang w:eastAsia="ja-JP"/>
        </w:rPr>
        <w:t xml:space="preserve"> and </w:t>
      </w:r>
      <w:r w:rsidR="00DF7E75">
        <w:rPr>
          <w:lang w:eastAsia="ja-JP"/>
        </w:rPr>
        <w:t>General Disorders and Administration Site C</w:t>
      </w:r>
      <w:r w:rsidRPr="00C3224B">
        <w:rPr>
          <w:lang w:eastAsia="ja-JP"/>
        </w:rPr>
        <w:t>onditions</w:t>
      </w:r>
      <w:r>
        <w:rPr>
          <w:lang w:eastAsia="ja-JP"/>
        </w:rPr>
        <w:t>.</w:t>
      </w:r>
    </w:p>
    <w:p w14:paraId="4E937B18" w14:textId="097981A9" w:rsidR="009C6296" w:rsidRDefault="009C6296" w:rsidP="009C6296">
      <w:pPr>
        <w:rPr>
          <w:lang w:eastAsia="ja-JP"/>
        </w:rPr>
      </w:pPr>
      <w:r w:rsidRPr="00310D89">
        <w:rPr>
          <w:lang w:eastAsia="ja-JP"/>
        </w:rPr>
        <w:t xml:space="preserve">No deaths were reported </w:t>
      </w:r>
      <w:r>
        <w:rPr>
          <w:lang w:eastAsia="ja-JP"/>
        </w:rPr>
        <w:t>fo</w:t>
      </w:r>
      <w:r w:rsidRPr="00310D89">
        <w:rPr>
          <w:lang w:eastAsia="ja-JP"/>
        </w:rPr>
        <w:t>r the entire treatment period</w:t>
      </w:r>
      <w:r>
        <w:rPr>
          <w:lang w:eastAsia="ja-JP"/>
        </w:rPr>
        <w:t xml:space="preserve"> of Study H2315</w:t>
      </w:r>
      <w:r w:rsidRPr="00310D89">
        <w:rPr>
          <w:lang w:eastAsia="ja-JP"/>
        </w:rPr>
        <w:t xml:space="preserve">. </w:t>
      </w:r>
      <w:r>
        <w:rPr>
          <w:lang w:eastAsia="ja-JP"/>
        </w:rPr>
        <w:t>However, n</w:t>
      </w:r>
      <w:r w:rsidR="00DF7E75">
        <w:rPr>
          <w:lang w:eastAsia="ja-JP"/>
        </w:rPr>
        <w:t>on</w:t>
      </w:r>
      <w:r w:rsidR="00DF7E75">
        <w:rPr>
          <w:lang w:eastAsia="ja-JP"/>
        </w:rPr>
        <w:noBreakHyphen/>
      </w:r>
      <w:r w:rsidRPr="00310D89">
        <w:rPr>
          <w:lang w:eastAsia="ja-JP"/>
        </w:rPr>
        <w:t xml:space="preserve">fatal </w:t>
      </w:r>
      <w:r w:rsidR="00DF7E75">
        <w:rPr>
          <w:lang w:eastAsia="ja-JP"/>
        </w:rPr>
        <w:t>serious adverse events (SAE)</w:t>
      </w:r>
      <w:r w:rsidRPr="00310D89">
        <w:rPr>
          <w:lang w:eastAsia="ja-JP"/>
        </w:rPr>
        <w:t xml:space="preserve"> occurred more</w:t>
      </w:r>
      <w:r>
        <w:rPr>
          <w:lang w:eastAsia="ja-JP"/>
        </w:rPr>
        <w:t xml:space="preserve"> </w:t>
      </w:r>
      <w:r w:rsidRPr="00310D89">
        <w:rPr>
          <w:lang w:eastAsia="ja-JP"/>
        </w:rPr>
        <w:t xml:space="preserve">frequently in </w:t>
      </w:r>
      <w:r>
        <w:rPr>
          <w:lang w:eastAsia="ja-JP"/>
        </w:rPr>
        <w:t xml:space="preserve">the loaded </w:t>
      </w:r>
      <w:proofErr w:type="spellStart"/>
      <w:r w:rsidR="00DF7E75">
        <w:rPr>
          <w:lang w:eastAsia="ja-JP"/>
        </w:rPr>
        <w:t>secukinumab</w:t>
      </w:r>
      <w:proofErr w:type="spellEnd"/>
      <w:r>
        <w:rPr>
          <w:lang w:eastAsia="ja-JP"/>
        </w:rPr>
        <w:t xml:space="preserve"> treatment</w:t>
      </w:r>
      <w:r w:rsidRPr="00310D89">
        <w:rPr>
          <w:lang w:eastAsia="ja-JP"/>
        </w:rPr>
        <w:t xml:space="preserve"> group compared to </w:t>
      </w:r>
      <w:r>
        <w:rPr>
          <w:lang w:eastAsia="ja-JP"/>
        </w:rPr>
        <w:t>the two other arms: 8</w:t>
      </w:r>
      <w:r w:rsidRPr="00310D89">
        <w:rPr>
          <w:lang w:eastAsia="ja-JP"/>
        </w:rPr>
        <w:t>.</w:t>
      </w:r>
      <w:r>
        <w:rPr>
          <w:lang w:eastAsia="ja-JP"/>
        </w:rPr>
        <w:t>1</w:t>
      </w:r>
      <w:r w:rsidRPr="00310D89">
        <w:rPr>
          <w:lang w:eastAsia="ja-JP"/>
        </w:rPr>
        <w:t xml:space="preserve">% </w:t>
      </w:r>
      <w:r>
        <w:rPr>
          <w:lang w:eastAsia="ja-JP"/>
        </w:rPr>
        <w:t xml:space="preserve">(15/185) with loaded </w:t>
      </w:r>
      <w:proofErr w:type="spellStart"/>
      <w:r w:rsidR="00DF7E75">
        <w:rPr>
          <w:lang w:eastAsia="ja-JP"/>
        </w:rPr>
        <w:t>secukinumab</w:t>
      </w:r>
      <w:proofErr w:type="spellEnd"/>
      <w:r>
        <w:rPr>
          <w:lang w:eastAsia="ja-JP"/>
        </w:rPr>
        <w:t xml:space="preserve"> therapy </w:t>
      </w:r>
      <w:r w:rsidRPr="00310D89">
        <w:rPr>
          <w:lang w:eastAsia="ja-JP"/>
        </w:rPr>
        <w:t>v</w:t>
      </w:r>
      <w:r>
        <w:rPr>
          <w:lang w:eastAsia="ja-JP"/>
        </w:rPr>
        <w:t>er</w:t>
      </w:r>
      <w:r w:rsidRPr="00310D89">
        <w:rPr>
          <w:lang w:eastAsia="ja-JP"/>
        </w:rPr>
        <w:t>s</w:t>
      </w:r>
      <w:r>
        <w:rPr>
          <w:lang w:eastAsia="ja-JP"/>
        </w:rPr>
        <w:t>us</w:t>
      </w:r>
      <w:r w:rsidRPr="00310D89">
        <w:rPr>
          <w:lang w:eastAsia="ja-JP"/>
        </w:rPr>
        <w:t xml:space="preserve"> </w:t>
      </w:r>
      <w:r>
        <w:rPr>
          <w:lang w:eastAsia="ja-JP"/>
        </w:rPr>
        <w:t xml:space="preserve">4.3% (8/184) with no load </w:t>
      </w:r>
      <w:proofErr w:type="spellStart"/>
      <w:r w:rsidR="00DF7E75">
        <w:rPr>
          <w:lang w:eastAsia="ja-JP"/>
        </w:rPr>
        <w:t>secukinumab</w:t>
      </w:r>
      <w:proofErr w:type="spellEnd"/>
      <w:r>
        <w:rPr>
          <w:lang w:eastAsia="ja-JP"/>
        </w:rPr>
        <w:t xml:space="preserve"> treatment and </w:t>
      </w:r>
      <w:r w:rsidRPr="00310D89">
        <w:rPr>
          <w:lang w:eastAsia="ja-JP"/>
        </w:rPr>
        <w:t>3.8%</w:t>
      </w:r>
      <w:r>
        <w:rPr>
          <w:lang w:eastAsia="ja-JP"/>
        </w:rPr>
        <w:t xml:space="preserve"> (7/186) with </w:t>
      </w:r>
      <w:r w:rsidR="00DF7E75">
        <w:rPr>
          <w:lang w:eastAsia="ja-JP"/>
        </w:rPr>
        <w:t>placebo. Up to W</w:t>
      </w:r>
      <w:r>
        <w:rPr>
          <w:lang w:eastAsia="ja-JP"/>
        </w:rPr>
        <w:t>eek 20, the frequency of SAEs was similar between the three treatment cohorts.</w:t>
      </w:r>
    </w:p>
    <w:p w14:paraId="0AE62801" w14:textId="242EB7C9" w:rsidR="009C6296" w:rsidRDefault="00DF7E75" w:rsidP="009C6296">
      <w:r>
        <w:t>The safety data up to Week 16 in S</w:t>
      </w:r>
      <w:r w:rsidR="009C6296">
        <w:t xml:space="preserve">tudy H2315 was compared with safety data in other treatment indications to evaluate the need to update the current list of AEs during </w:t>
      </w:r>
      <w:r>
        <w:t>placebo</w:t>
      </w:r>
      <w:r w:rsidR="009C6296">
        <w:t xml:space="preserve"> controlled treatment periods. Data from four trials in psoriasis (Studies </w:t>
      </w:r>
      <w:r>
        <w:t>A2302, A2303, S2308 and A2309, all 12 weeks), two in psoriatic arthritis</w:t>
      </w:r>
      <w:r w:rsidR="009C6296">
        <w:t xml:space="preserve"> (Studi</w:t>
      </w:r>
      <w:r w:rsidR="009C6296" w:rsidRPr="00834C60">
        <w:t>es</w:t>
      </w:r>
      <w:r>
        <w:t xml:space="preserve"> F2306 and F2312, both </w:t>
      </w:r>
      <w:r w:rsidR="009C6296">
        <w:t>16 weeks) a</w:t>
      </w:r>
      <w:r w:rsidR="009C6296" w:rsidRPr="00834C60">
        <w:t>n</w:t>
      </w:r>
      <w:r w:rsidR="009C6296">
        <w:t>d two in AS (</w:t>
      </w:r>
      <w:r w:rsidR="009C6296" w:rsidRPr="00834C60">
        <w:t>Stud</w:t>
      </w:r>
      <w:r w:rsidR="009C6296">
        <w:t>ies F</w:t>
      </w:r>
      <w:r w:rsidR="009C6296" w:rsidRPr="00834C60">
        <w:t>2305 and F2310</w:t>
      </w:r>
      <w:r>
        <w:t>, both 1</w:t>
      </w:r>
      <w:r w:rsidR="009C6296">
        <w:t xml:space="preserve">6 weeks) were pooled with data from </w:t>
      </w:r>
      <w:r>
        <w:t xml:space="preserve">Study </w:t>
      </w:r>
      <w:r w:rsidR="009C6296">
        <w:t>H2315.</w:t>
      </w:r>
      <w:r w:rsidR="009C6296" w:rsidRPr="00787C6F">
        <w:rPr>
          <w:lang w:eastAsia="ja-JP"/>
        </w:rPr>
        <w:t xml:space="preserve"> </w:t>
      </w:r>
      <w:r w:rsidR="009C6296" w:rsidRPr="00787C6F">
        <w:t>A side-by-side comparison of the frequencies of treatment-emergent AEs between Studies H2315 and F2310 (</w:t>
      </w:r>
      <w:r w:rsidR="009C6296">
        <w:t xml:space="preserve">in patients with AS, </w:t>
      </w:r>
      <w:r w:rsidR="002332EF">
        <w:t>up to W</w:t>
      </w:r>
      <w:r w:rsidR="009C6296" w:rsidRPr="00787C6F">
        <w:t xml:space="preserve">eek 16) was </w:t>
      </w:r>
      <w:r w:rsidR="009C6296">
        <w:t xml:space="preserve">also </w:t>
      </w:r>
      <w:r w:rsidR="009C6296" w:rsidRPr="00787C6F">
        <w:t>provided in the submission. In both studies, the pri</w:t>
      </w:r>
      <w:r w:rsidR="002332EF">
        <w:t>mary analysis was performed at W</w:t>
      </w:r>
      <w:r w:rsidR="009C6296" w:rsidRPr="00787C6F">
        <w:t xml:space="preserve">eek 16 before </w:t>
      </w:r>
      <w:r>
        <w:t>placebo</w:t>
      </w:r>
      <w:r w:rsidR="009C6296" w:rsidRPr="00787C6F">
        <w:t xml:space="preserve"> group subjects were allowed the option to switch to open-label </w:t>
      </w:r>
      <w:proofErr w:type="spellStart"/>
      <w:r>
        <w:t>secukinumab</w:t>
      </w:r>
      <w:proofErr w:type="spellEnd"/>
      <w:r w:rsidR="009C6296" w:rsidRPr="00787C6F">
        <w:t xml:space="preserve">. Overall, the safety profile for </w:t>
      </w:r>
      <w:proofErr w:type="spellStart"/>
      <w:r>
        <w:t>secukinumab</w:t>
      </w:r>
      <w:proofErr w:type="spellEnd"/>
      <w:r w:rsidR="009C6296">
        <w:t xml:space="preserve"> in </w:t>
      </w:r>
      <w:proofErr w:type="spellStart"/>
      <w:r w:rsidR="009C6296">
        <w:t>nr-ax</w:t>
      </w:r>
      <w:r w:rsidR="002332EF">
        <w:t>SpA</w:t>
      </w:r>
      <w:proofErr w:type="spellEnd"/>
      <w:r w:rsidR="002332EF">
        <w:t xml:space="preserve"> patients in Study </w:t>
      </w:r>
      <w:r w:rsidR="009C6296" w:rsidRPr="00787C6F">
        <w:t xml:space="preserve">H2315 is comparable to that of </w:t>
      </w:r>
      <w:proofErr w:type="spellStart"/>
      <w:r>
        <w:t>secukinumab</w:t>
      </w:r>
      <w:proofErr w:type="spellEnd"/>
      <w:r w:rsidR="009C6296" w:rsidRPr="00787C6F">
        <w:t xml:space="preserve"> tr</w:t>
      </w:r>
      <w:r w:rsidR="002332EF">
        <w:t>eatment in AS patients in Study </w:t>
      </w:r>
      <w:r w:rsidR="009C6296" w:rsidRPr="00787C6F">
        <w:t xml:space="preserve">F2310, based upon the overall frequency of AEs in the </w:t>
      </w:r>
      <w:r w:rsidR="009C6296">
        <w:t>two</w:t>
      </w:r>
      <w:r w:rsidR="009C6296" w:rsidRPr="00787C6F">
        <w:t xml:space="preserve"> studies and the similarities in the most commonly occurring AEs per SOC. Incidence rates in the loaded </w:t>
      </w:r>
      <w:proofErr w:type="spellStart"/>
      <w:r>
        <w:t>secukinumab</w:t>
      </w:r>
      <w:proofErr w:type="spellEnd"/>
      <w:r w:rsidR="009C6296" w:rsidRPr="00787C6F">
        <w:t xml:space="preserve"> 150 mg group and the no load </w:t>
      </w:r>
      <w:proofErr w:type="spellStart"/>
      <w:r>
        <w:t>secukinumab</w:t>
      </w:r>
      <w:proofErr w:type="spellEnd"/>
      <w:r w:rsidR="009C6296" w:rsidRPr="00787C6F">
        <w:t xml:space="preserve"> arm of Study H2315 were comparable to those treated with loaded </w:t>
      </w:r>
      <w:proofErr w:type="spellStart"/>
      <w:r>
        <w:t>secukinumab</w:t>
      </w:r>
      <w:proofErr w:type="spellEnd"/>
      <w:r w:rsidR="009C6296" w:rsidRPr="00787C6F">
        <w:t xml:space="preserve"> therapy in</w:t>
      </w:r>
      <w:r w:rsidR="009C6296">
        <w:t xml:space="preserve"> </w:t>
      </w:r>
      <w:r w:rsidR="009C6296" w:rsidRPr="00787C6F">
        <w:t xml:space="preserve">Study F2310. AEs in the </w:t>
      </w:r>
      <w:r>
        <w:t>placebo</w:t>
      </w:r>
      <w:r w:rsidR="009C6296" w:rsidRPr="00787C6F">
        <w:t xml:space="preserve"> group of Study F2310 were slightly more frequent than reported in Study H2315</w:t>
      </w:r>
      <w:r w:rsidR="009C6296">
        <w:t>.</w:t>
      </w:r>
    </w:p>
    <w:p w14:paraId="2F4D6912" w14:textId="7DC74542" w:rsidR="00EC7384" w:rsidRDefault="00EC7384" w:rsidP="00EC7384">
      <w:pPr>
        <w:pStyle w:val="Heading4"/>
      </w:pPr>
      <w:r>
        <w:t>Clinical evaluator’s opinion</w:t>
      </w:r>
    </w:p>
    <w:p w14:paraId="60B8E7EB" w14:textId="0D6710C2" w:rsidR="00EC7384" w:rsidRDefault="00EC7384" w:rsidP="00EC7384">
      <w:r w:rsidRPr="00EC7384">
        <w:t>The clinical evaluator has recommended approval (</w:t>
      </w:r>
      <w:r>
        <w:t xml:space="preserve">as follows below) </w:t>
      </w:r>
      <w:r w:rsidRPr="00EC7384">
        <w:t xml:space="preserve">however recommends a </w:t>
      </w:r>
      <w:proofErr w:type="spellStart"/>
      <w:r w:rsidRPr="00EC7384">
        <w:t>secukinumab</w:t>
      </w:r>
      <w:proofErr w:type="spellEnd"/>
      <w:r w:rsidRPr="00EC7384">
        <w:t xml:space="preserve"> re</w:t>
      </w:r>
      <w:r>
        <w:t>gimen without loading over the s</w:t>
      </w:r>
      <w:r w:rsidRPr="00EC7384">
        <w:t>po</w:t>
      </w:r>
      <w:r>
        <w:t>nsor’s preferred dosage regimen:</w:t>
      </w:r>
    </w:p>
    <w:p w14:paraId="1EF25EF6" w14:textId="77C5AA3B" w:rsidR="00EC7384" w:rsidRDefault="00EC7384" w:rsidP="00EC7384">
      <w:pPr>
        <w:ind w:left="720"/>
      </w:pPr>
      <w:r>
        <w:t xml:space="preserve">The clinical evaluator recommends acceptance of the sponsor’s proposed extension of treatment indication for </w:t>
      </w:r>
      <w:proofErr w:type="spellStart"/>
      <w:r>
        <w:t>secukinumab</w:t>
      </w:r>
      <w:proofErr w:type="spellEnd"/>
      <w:r>
        <w:t xml:space="preserve"> to include the treatment of patients with active </w:t>
      </w:r>
      <w:proofErr w:type="spellStart"/>
      <w:r>
        <w:t>nr</w:t>
      </w:r>
      <w:proofErr w:type="spellEnd"/>
      <w:r>
        <w:noBreakHyphen/>
        <w:t xml:space="preserve">axial </w:t>
      </w:r>
      <w:proofErr w:type="spellStart"/>
      <w:r>
        <w:t>SpA</w:t>
      </w:r>
      <w:proofErr w:type="spellEnd"/>
      <w:r>
        <w:t xml:space="preserve">. The current submission provides robust evidence of improving the symptoms and signs of active </w:t>
      </w:r>
      <w:proofErr w:type="spellStart"/>
      <w:r>
        <w:t>nr</w:t>
      </w:r>
      <w:proofErr w:type="spellEnd"/>
      <w:r>
        <w:t xml:space="preserve">-axial </w:t>
      </w:r>
      <w:proofErr w:type="spellStart"/>
      <w:r>
        <w:t>SpA</w:t>
      </w:r>
      <w:proofErr w:type="spellEnd"/>
      <w:r>
        <w:t xml:space="preserve">, as well as physical functioning and health related outcomes. The improvements are obtained at an acceptable safety risk and patients with </w:t>
      </w:r>
      <w:proofErr w:type="spellStart"/>
      <w:r>
        <w:t>nr</w:t>
      </w:r>
      <w:proofErr w:type="spellEnd"/>
      <w:r>
        <w:t xml:space="preserve">-axial </w:t>
      </w:r>
      <w:proofErr w:type="spellStart"/>
      <w:r>
        <w:t>SpA</w:t>
      </w:r>
      <w:proofErr w:type="spellEnd"/>
      <w:r>
        <w:t xml:space="preserve"> do not show any significant variations (increased incidence or change in pattern of AEs) from the known safety profile of </w:t>
      </w:r>
      <w:proofErr w:type="spellStart"/>
      <w:r>
        <w:t>secukinumab</w:t>
      </w:r>
      <w:proofErr w:type="spellEnd"/>
      <w:r>
        <w:t>.</w:t>
      </w:r>
    </w:p>
    <w:p w14:paraId="259B9A10" w14:textId="77777777" w:rsidR="00EC7384" w:rsidRDefault="00EC7384" w:rsidP="00EC7384">
      <w:pPr>
        <w:ind w:left="720"/>
      </w:pPr>
      <w:r>
        <w:t xml:space="preserve">However, the clinical evaluator recommends the proposed wording of the </w:t>
      </w:r>
      <w:proofErr w:type="spellStart"/>
      <w:r>
        <w:t>nr</w:t>
      </w:r>
      <w:proofErr w:type="spellEnd"/>
      <w:r>
        <w:noBreakHyphen/>
        <w:t>axial </w:t>
      </w:r>
      <w:proofErr w:type="spellStart"/>
      <w:r>
        <w:t>SpA</w:t>
      </w:r>
      <w:proofErr w:type="spellEnd"/>
      <w:r>
        <w:t xml:space="preserve"> treatment indication be more specific in defining the objective signs of inflammation and specify that it is a second line treatment after a trial of NSAID. A more detailed treatment indication wording would be consistent with supporting trial dataset as well as the approved treatment indication wording for anti-TNF drugs in this population.</w:t>
      </w:r>
    </w:p>
    <w:p w14:paraId="05572F4A" w14:textId="6D6061FA" w:rsidR="00EC7384" w:rsidRDefault="00EC7384" w:rsidP="00EC7384">
      <w:pPr>
        <w:ind w:left="720"/>
      </w:pPr>
      <w:r>
        <w:t>The proposed indication is:</w:t>
      </w:r>
    </w:p>
    <w:p w14:paraId="5331C5E7" w14:textId="0F248B25" w:rsidR="00EC7384" w:rsidRPr="00EC7384" w:rsidRDefault="00EC7384" w:rsidP="00EC7384">
      <w:pPr>
        <w:ind w:left="720"/>
        <w:rPr>
          <w:i/>
        </w:rPr>
      </w:pPr>
      <w:proofErr w:type="spellStart"/>
      <w:r w:rsidRPr="00EC7384">
        <w:rPr>
          <w:i/>
        </w:rPr>
        <w:t>Cosentyx</w:t>
      </w:r>
      <w:proofErr w:type="spellEnd"/>
      <w:r w:rsidRPr="00EC7384">
        <w:rPr>
          <w:i/>
        </w:rPr>
        <w:t xml:space="preserve"> is indicated for the treatment of adults with active non-radiographic axial </w:t>
      </w:r>
      <w:proofErr w:type="spellStart"/>
      <w:r w:rsidRPr="00EC7384">
        <w:rPr>
          <w:i/>
        </w:rPr>
        <w:t>spondyloarthritis</w:t>
      </w:r>
      <w:proofErr w:type="spellEnd"/>
      <w:r w:rsidRPr="00EC7384">
        <w:rPr>
          <w:i/>
        </w:rPr>
        <w:t xml:space="preserve"> (</w:t>
      </w:r>
      <w:proofErr w:type="spellStart"/>
      <w:r w:rsidRPr="00EC7384">
        <w:rPr>
          <w:i/>
        </w:rPr>
        <w:t>nr-axSpA</w:t>
      </w:r>
      <w:proofErr w:type="spellEnd"/>
      <w:r w:rsidRPr="00EC7384">
        <w:rPr>
          <w:i/>
        </w:rPr>
        <w:t>) with objective signs of inflammation as indicated by elevated C-reactive protein (CRP) and/or MRI change, who have had an inadequate response to</w:t>
      </w:r>
      <w:r>
        <w:rPr>
          <w:i/>
        </w:rPr>
        <w:t>, or are intolerant to, NSAIDs.</w:t>
      </w:r>
    </w:p>
    <w:p w14:paraId="37821426" w14:textId="3AA1959B" w:rsidR="00EC7384" w:rsidRDefault="00EC7384" w:rsidP="00EC7384">
      <w:pPr>
        <w:ind w:left="720"/>
      </w:pPr>
      <w:r>
        <w:t xml:space="preserve">In this submission, the sponsor has additionally evaluated the effect of using a loading dose regimen at initiation of </w:t>
      </w:r>
      <w:proofErr w:type="spellStart"/>
      <w:r>
        <w:t>secukinumab</w:t>
      </w:r>
      <w:proofErr w:type="spellEnd"/>
      <w:r>
        <w:t xml:space="preserve"> treatment versus treatment without loading. Analysis Plan A of Study H2315 demonstrated that both regimens of </w:t>
      </w:r>
      <w:proofErr w:type="spellStart"/>
      <w:r>
        <w:t>secukinumab</w:t>
      </w:r>
      <w:proofErr w:type="spellEnd"/>
      <w:r>
        <w:t xml:space="preserve"> were equally efficacious at 16 weeks of treatment follow-up and the sponsor is justifying the registration of the loading regimen based on earlier time responses (in weeks) for a chronic condition. The posology at initiation of </w:t>
      </w:r>
      <w:proofErr w:type="spellStart"/>
      <w:r>
        <w:t>secukinumab</w:t>
      </w:r>
      <w:proofErr w:type="spellEnd"/>
      <w:r>
        <w:t xml:space="preserve"> treatment is an outstanding contentious issue for which the sponsor needs to provide clinical reasoning. Study H</w:t>
      </w:r>
      <w:r w:rsidR="00260FC8">
        <w:t>2315 is a well conducted Phase III</w:t>
      </w:r>
      <w:r>
        <w:t xml:space="preserve"> trial in a well-defined disease population with </w:t>
      </w:r>
      <w:proofErr w:type="spellStart"/>
      <w:r>
        <w:t>nr</w:t>
      </w:r>
      <w:proofErr w:type="spellEnd"/>
      <w:r>
        <w:t xml:space="preserve">-axial </w:t>
      </w:r>
      <w:proofErr w:type="spellStart"/>
      <w:r>
        <w:t>SpA</w:t>
      </w:r>
      <w:proofErr w:type="spellEnd"/>
      <w:r>
        <w:t xml:space="preserve"> (as per the internationally recognised and valid 2009 ASAS Classification Criteria). Furthermore, patients were assessed and analysed according to validated objective signs of inflammation criteria (elevated CRP and/or MRI changes). Patients with active </w:t>
      </w:r>
      <w:proofErr w:type="spellStart"/>
      <w:r>
        <w:t>nr</w:t>
      </w:r>
      <w:proofErr w:type="spellEnd"/>
      <w:r>
        <w:t xml:space="preserve">-axial </w:t>
      </w:r>
      <w:proofErr w:type="spellStart"/>
      <w:r>
        <w:t>SpA</w:t>
      </w:r>
      <w:proofErr w:type="spellEnd"/>
      <w:r>
        <w:t xml:space="preserve"> demonstrated treatment responses to </w:t>
      </w:r>
      <w:proofErr w:type="spellStart"/>
      <w:r w:rsidR="00260FC8">
        <w:t>secukinumab</w:t>
      </w:r>
      <w:proofErr w:type="spellEnd"/>
      <w:r>
        <w:t xml:space="preserve"> that are of a similar magnitude of benefit to that seen in patients with active AS, and there no significant differences in the safety profile of the drug across t</w:t>
      </w:r>
      <w:r w:rsidR="00260FC8">
        <w:t xml:space="preserve">he axial </w:t>
      </w:r>
      <w:proofErr w:type="spellStart"/>
      <w:r w:rsidR="00260FC8">
        <w:t>SpA</w:t>
      </w:r>
      <w:proofErr w:type="spellEnd"/>
      <w:r w:rsidR="00260FC8">
        <w:t xml:space="preserve"> treatment subsets.</w:t>
      </w:r>
    </w:p>
    <w:p w14:paraId="082CE357" w14:textId="10C9AD98" w:rsidR="002332EF" w:rsidRDefault="002332EF" w:rsidP="002332EF">
      <w:pPr>
        <w:pStyle w:val="Heading3"/>
      </w:pPr>
      <w:bookmarkStart w:id="40" w:name="_Toc63175300"/>
      <w:r>
        <w:t>Risk management plan</w:t>
      </w:r>
      <w:bookmarkEnd w:id="40"/>
    </w:p>
    <w:p w14:paraId="0ACBC44C" w14:textId="03634EE1" w:rsidR="009C6296" w:rsidRDefault="002332EF" w:rsidP="002332EF">
      <w:r>
        <w:t>No evaluation was required for this submission.</w:t>
      </w:r>
      <w:r w:rsidR="00260FC8">
        <w:rPr>
          <w:rStyle w:val="FootnoteReference"/>
        </w:rPr>
        <w:footnoteReference w:id="13"/>
      </w:r>
      <w:r>
        <w:t xml:space="preserve"> The absence of a</w:t>
      </w:r>
      <w:r w:rsidR="00F740FE">
        <w:t xml:space="preserve"> risk management plant (</w:t>
      </w:r>
      <w:r>
        <w:t>RMP</w:t>
      </w:r>
      <w:r w:rsidR="00F740FE">
        <w:t>)</w:t>
      </w:r>
      <w:r>
        <w:t xml:space="preserve"> for the new indication was acceptable to the TGA. No additional safety concerns or changes in the safety profile were identified during the evaluation. The most recent RMP was submitted in November 2019.</w:t>
      </w:r>
    </w:p>
    <w:p w14:paraId="02E69721" w14:textId="3650D9CB" w:rsidR="00260FC8" w:rsidRDefault="00260FC8" w:rsidP="00260FC8">
      <w:pPr>
        <w:pStyle w:val="Heading3"/>
      </w:pPr>
      <w:bookmarkStart w:id="41" w:name="_Toc63175301"/>
      <w:r>
        <w:t>Risk-benefit analysis</w:t>
      </w:r>
      <w:bookmarkEnd w:id="41"/>
    </w:p>
    <w:p w14:paraId="56C01424" w14:textId="296288EC" w:rsidR="00260FC8" w:rsidRPr="00260FC8" w:rsidRDefault="00260FC8" w:rsidP="00260FC8">
      <w:pPr>
        <w:pStyle w:val="Heading4"/>
      </w:pPr>
      <w:r w:rsidRPr="00260FC8">
        <w:t>Delegate’s considerations</w:t>
      </w:r>
    </w:p>
    <w:p w14:paraId="42E32B4E" w14:textId="77777777" w:rsidR="00260FC8" w:rsidRDefault="00260FC8" w:rsidP="00260FC8">
      <w:pPr>
        <w:pStyle w:val="Heading5"/>
      </w:pPr>
      <w:r w:rsidRPr="005529C3">
        <w:t>Proposed indication</w:t>
      </w:r>
    </w:p>
    <w:p w14:paraId="20012BF3" w14:textId="3F5F861A" w:rsidR="00260FC8" w:rsidRDefault="00260FC8" w:rsidP="00260FC8">
      <w:r>
        <w:t xml:space="preserve">The sponsor requested an extension of indication for </w:t>
      </w:r>
      <w:proofErr w:type="spellStart"/>
      <w:r>
        <w:t>secukinumab</w:t>
      </w:r>
      <w:proofErr w:type="spellEnd"/>
      <w:r>
        <w:t xml:space="preserve"> for the treatment of patients with active </w:t>
      </w:r>
      <w:proofErr w:type="spellStart"/>
      <w:r>
        <w:t>nr-axSpA</w:t>
      </w:r>
      <w:proofErr w:type="spellEnd"/>
      <w:r>
        <w:t>. The submission was supported by one ongoing Phase III efficacy and safety trial in 555 participants. Based on the inclusion and exclusion criteria described in the protocol the extension of indication includes clear descriptors of the proposed population, that is:</w:t>
      </w:r>
    </w:p>
    <w:p w14:paraId="67FFD03B" w14:textId="77777777" w:rsidR="00260FC8" w:rsidRDefault="00260FC8" w:rsidP="00260FC8">
      <w:pPr>
        <w:ind w:left="720"/>
        <w:rPr>
          <w:b/>
          <w:i/>
        </w:rPr>
      </w:pPr>
      <w:r>
        <w:rPr>
          <w:b/>
          <w:i/>
        </w:rPr>
        <w:t xml:space="preserve">Non-radiographic axial </w:t>
      </w:r>
      <w:proofErr w:type="spellStart"/>
      <w:r>
        <w:rPr>
          <w:b/>
          <w:i/>
        </w:rPr>
        <w:t>spondyloarthritis</w:t>
      </w:r>
      <w:proofErr w:type="spellEnd"/>
      <w:r>
        <w:rPr>
          <w:b/>
          <w:i/>
        </w:rPr>
        <w:t xml:space="preserve"> (</w:t>
      </w:r>
      <w:proofErr w:type="spellStart"/>
      <w:r>
        <w:rPr>
          <w:b/>
          <w:i/>
        </w:rPr>
        <w:t>axSpA</w:t>
      </w:r>
      <w:proofErr w:type="spellEnd"/>
      <w:r>
        <w:rPr>
          <w:b/>
          <w:i/>
        </w:rPr>
        <w:t xml:space="preserve"> without radiographic damage)</w:t>
      </w:r>
    </w:p>
    <w:p w14:paraId="5BE46829" w14:textId="258E5AEC" w:rsidR="00260FC8" w:rsidRPr="00CC1CA4" w:rsidRDefault="00260FC8" w:rsidP="00260FC8">
      <w:pPr>
        <w:ind w:left="720"/>
        <w:rPr>
          <w:i/>
        </w:rPr>
      </w:pPr>
      <w:proofErr w:type="spellStart"/>
      <w:r>
        <w:rPr>
          <w:i/>
        </w:rPr>
        <w:t>Cosentyx</w:t>
      </w:r>
      <w:proofErr w:type="spellEnd"/>
      <w:r>
        <w:rPr>
          <w:i/>
        </w:rPr>
        <w:t xml:space="preserve"> is indicated for the treatment of adults with active non-radiographic axial </w:t>
      </w:r>
      <w:proofErr w:type="spellStart"/>
      <w:r>
        <w:rPr>
          <w:i/>
        </w:rPr>
        <w:t>spondyloarthritis</w:t>
      </w:r>
      <w:proofErr w:type="spellEnd"/>
      <w:r>
        <w:rPr>
          <w:i/>
        </w:rPr>
        <w:t xml:space="preserve"> (</w:t>
      </w:r>
      <w:proofErr w:type="spellStart"/>
      <w:r>
        <w:rPr>
          <w:i/>
        </w:rPr>
        <w:t>nr-axSpA</w:t>
      </w:r>
      <w:proofErr w:type="spellEnd"/>
      <w:r>
        <w:rPr>
          <w:i/>
        </w:rPr>
        <w:t>) with objective signs of inflammation as indicated by elevated C-reactive protein (CRP) and/or MRI change, who have had an inadequate response to, or are intolerant to, NSAIDs.</w:t>
      </w:r>
    </w:p>
    <w:p w14:paraId="647CC8FB" w14:textId="6E66ECF6" w:rsidR="00260FC8" w:rsidRDefault="00260FC8" w:rsidP="00260FC8">
      <w:r>
        <w:t xml:space="preserve">The amended indication is somewhat supported by the data provided in the submission, and aligns with indications for other biological medicines (TNFα inhibitors) approved for the treatment of </w:t>
      </w:r>
      <w:proofErr w:type="spellStart"/>
      <w:r>
        <w:t>nr-axSpA</w:t>
      </w:r>
      <w:proofErr w:type="spellEnd"/>
      <w:r>
        <w:t xml:space="preserve"> in Australia. Approval of the proposed indication also aligns with approvals in international jurisdictions.</w:t>
      </w:r>
    </w:p>
    <w:p w14:paraId="22372817" w14:textId="5FBCF9C4" w:rsidR="00260FC8" w:rsidRDefault="00260FC8" w:rsidP="00260FC8">
      <w:r>
        <w:t xml:space="preserve">The evaluator noted that the overall ASAS40 response rate to placebo in anti-TNF naïve patients was somewhat higher than had been reported in the literature assessing other treatment options for </w:t>
      </w:r>
      <w:proofErr w:type="spellStart"/>
      <w:r>
        <w:t>nr-axSpA</w:t>
      </w:r>
      <w:proofErr w:type="spellEnd"/>
      <w:r>
        <w:t xml:space="preserve">. In response to a TGA request for </w:t>
      </w:r>
      <w:r w:rsidR="001F2D8A">
        <w:t xml:space="preserve">further </w:t>
      </w:r>
      <w:r>
        <w:t>information, the sponsor suggested that the high placebo response may reflect the subjective nature of the major efficacy outcome measures, which are made up of composite endpoints. The sponsor referred to lower response rates to ‘higher hurdle’ secondary endpoints in placebo treated patients to support this opinion. Nevertheless, there appears to be significant variability in placebo response rates in different OSI sub-groups that merits further consideration. The sponsor has been asked to address this issue in a pre-ACM response.</w:t>
      </w:r>
    </w:p>
    <w:p w14:paraId="3909CB34" w14:textId="77777777" w:rsidR="00260FC8" w:rsidRDefault="00260FC8" w:rsidP="00260FC8">
      <w:r>
        <w:t xml:space="preserve">The sub-group analysis identifies that the response rates to </w:t>
      </w:r>
      <w:proofErr w:type="spellStart"/>
      <w:r>
        <w:t>secukinumab</w:t>
      </w:r>
      <w:proofErr w:type="spellEnd"/>
      <w:r>
        <w:t xml:space="preserve"> appear to be driven by better responses at 16 weeks in the CRP+/MRI+ population, which do not statistically appear to extend to CRP+/MRI- or CRP-/MRI+ subgroups. These two subgroups, making up some 70% of the participants in the trial, represent a significant proportion of the population of </w:t>
      </w:r>
      <w:proofErr w:type="spellStart"/>
      <w:r>
        <w:t>axSpA</w:t>
      </w:r>
      <w:proofErr w:type="spellEnd"/>
      <w:r>
        <w:t xml:space="preserve"> that may not respond to </w:t>
      </w:r>
      <w:proofErr w:type="spellStart"/>
      <w:r>
        <w:t>secukinumab</w:t>
      </w:r>
      <w:proofErr w:type="spellEnd"/>
      <w:r>
        <w:t xml:space="preserve"> as well as the group data suggest.</w:t>
      </w:r>
    </w:p>
    <w:p w14:paraId="47C5635B" w14:textId="6FFE6BB2" w:rsidR="00260FC8" w:rsidRDefault="00260FC8" w:rsidP="00260FC8">
      <w:r>
        <w:t xml:space="preserve">A similar concern may be raised with regard to extension of the indication to anti-TNF-IR patients. This population was not well represented in the study and accurate analysis of response rates is limited by small numbers. Nevertheless, with response rates to </w:t>
      </w:r>
      <w:proofErr w:type="spellStart"/>
      <w:r>
        <w:t>secukinumab</w:t>
      </w:r>
      <w:proofErr w:type="spellEnd"/>
      <w:r>
        <w:t xml:space="preserve"> considerably lower than seen in anti-TNF naïve populations, and potentially matching response rates to placebo, there may be a case for not routinely offering </w:t>
      </w:r>
      <w:proofErr w:type="spellStart"/>
      <w:r>
        <w:t>secukinumab</w:t>
      </w:r>
      <w:proofErr w:type="spellEnd"/>
      <w:r>
        <w:t xml:space="preserve"> for the treatment of </w:t>
      </w:r>
      <w:proofErr w:type="spellStart"/>
      <w:r>
        <w:t>axSpA</w:t>
      </w:r>
      <w:proofErr w:type="spellEnd"/>
      <w:r>
        <w:t xml:space="preserve"> in anti-TNF-IR patients.</w:t>
      </w:r>
      <w:r w:rsidR="00994A19">
        <w:rPr>
          <w:rStyle w:val="FootnoteReference"/>
        </w:rPr>
        <w:footnoteReference w:id="14"/>
      </w:r>
      <w:r>
        <w:t xml:space="preserve"> There are currently no head to head comparisons of the efficacy of </w:t>
      </w:r>
      <w:proofErr w:type="spellStart"/>
      <w:r>
        <w:t>secukinumab</w:t>
      </w:r>
      <w:proofErr w:type="spellEnd"/>
      <w:r>
        <w:t xml:space="preserve"> and the TNFα inhibitors to assess whether </w:t>
      </w:r>
      <w:proofErr w:type="spellStart"/>
      <w:r>
        <w:t>secukinumab</w:t>
      </w:r>
      <w:proofErr w:type="spellEnd"/>
      <w:r>
        <w:t xml:space="preserve"> should be trialled before these drugs.</w:t>
      </w:r>
    </w:p>
    <w:p w14:paraId="7A816F40" w14:textId="77777777" w:rsidR="00260FC8" w:rsidRDefault="00260FC8" w:rsidP="00260FC8">
      <w:r>
        <w:t xml:space="preserve">In view of the variability in efficacy among different subgroups of the </w:t>
      </w:r>
      <w:proofErr w:type="spellStart"/>
      <w:r>
        <w:t>nr-axSpA</w:t>
      </w:r>
      <w:proofErr w:type="spellEnd"/>
      <w:r>
        <w:t xml:space="preserve"> population, this delegate recommends that patients who have failed to respond to, or who are intolerant to treatment with NSAIDs, who satisfy the other criteria for </w:t>
      </w:r>
      <w:proofErr w:type="spellStart"/>
      <w:r>
        <w:t>nr-axSpA</w:t>
      </w:r>
      <w:proofErr w:type="spellEnd"/>
      <w:r>
        <w:t xml:space="preserve">, may consider a trial of </w:t>
      </w:r>
      <w:proofErr w:type="spellStart"/>
      <w:r>
        <w:t>secukinumab</w:t>
      </w:r>
      <w:proofErr w:type="spellEnd"/>
      <w:r>
        <w:t>, which should be ceased if there is no evidence of a reasonable clinical response by 16 weeks of treatment.</w:t>
      </w:r>
    </w:p>
    <w:p w14:paraId="5295D83E" w14:textId="77777777" w:rsidR="00260FC8" w:rsidRDefault="00260FC8" w:rsidP="001F2D8A">
      <w:pPr>
        <w:pStyle w:val="Heading5"/>
      </w:pPr>
      <w:r w:rsidRPr="005529C3">
        <w:t xml:space="preserve">Proposed </w:t>
      </w:r>
      <w:r>
        <w:t>dose regimen</w:t>
      </w:r>
    </w:p>
    <w:p w14:paraId="5995B53D" w14:textId="63334C3A" w:rsidR="00260FC8" w:rsidRDefault="00260FC8" w:rsidP="00260FC8">
      <w:r>
        <w:t>The sponsor requests approval of a dosing regimen of</w:t>
      </w:r>
      <w:r w:rsidR="001F2D8A">
        <w:t>:</w:t>
      </w:r>
    </w:p>
    <w:p w14:paraId="5F56C285" w14:textId="77777777" w:rsidR="00260FC8" w:rsidRPr="00DA51DD" w:rsidRDefault="00260FC8" w:rsidP="00260FC8">
      <w:pPr>
        <w:ind w:left="720"/>
        <w:rPr>
          <w:i/>
        </w:rPr>
      </w:pPr>
      <w:r>
        <w:rPr>
          <w:i/>
        </w:rPr>
        <w:t>…150mg by subcutaneous injection with initial dosing at Weeks 0, 1, 2, 3 and 4 followed by the same dose every month.</w:t>
      </w:r>
    </w:p>
    <w:p w14:paraId="1E714E99" w14:textId="2386F1B2" w:rsidR="00260FC8" w:rsidRDefault="00260FC8" w:rsidP="00260FC8">
      <w:r>
        <w:t xml:space="preserve">The sponsor has provided sufficient evidence that subcutaneous injections of </w:t>
      </w:r>
      <w:proofErr w:type="spellStart"/>
      <w:r>
        <w:t>secukinumab</w:t>
      </w:r>
      <w:proofErr w:type="spellEnd"/>
      <w:r>
        <w:t xml:space="preserve"> every four weeks, with or without initial loading doses of 150</w:t>
      </w:r>
      <w:r w:rsidR="001F2D8A">
        <w:t xml:space="preserve"> </w:t>
      </w:r>
      <w:r>
        <w:t>mg at 1, 2 and 3 weeks, provide significantly greater improvements in the signs</w:t>
      </w:r>
      <w:r w:rsidR="001F2D8A">
        <w:t xml:space="preserve"> and symptoms of </w:t>
      </w:r>
      <w:proofErr w:type="spellStart"/>
      <w:r w:rsidR="001F2D8A">
        <w:t>nr</w:t>
      </w:r>
      <w:r w:rsidR="001F2D8A">
        <w:noBreakHyphen/>
      </w:r>
      <w:r>
        <w:t>axSpA</w:t>
      </w:r>
      <w:proofErr w:type="spellEnd"/>
      <w:r>
        <w:t xml:space="preserve"> over placebo at sixteen weeks (at least in some subgroups of the </w:t>
      </w:r>
      <w:proofErr w:type="spellStart"/>
      <w:r>
        <w:t>nr-axSpA</w:t>
      </w:r>
      <w:proofErr w:type="spellEnd"/>
      <w:r>
        <w:t xml:space="preserve"> population), and that the benefit over placebo in responders</w:t>
      </w:r>
      <w:r w:rsidR="001F2D8A">
        <w:t xml:space="preserve"> is sustained at least until 52 </w:t>
      </w:r>
      <w:r>
        <w:t>weeks. Although actual dosing during the studies occurred every four weeks rather than monthly, this difference is unlikely to have a significant effect on efficacy or safety in the longer term. The study is still ongoing and further long-term efficacy and safety data can be provided.</w:t>
      </w:r>
    </w:p>
    <w:p w14:paraId="7BE0F4BB" w14:textId="49AD6BE4" w:rsidR="00260FC8" w:rsidRDefault="00260FC8" w:rsidP="00260FC8">
      <w:r>
        <w:t>The sponsor has shown that improvements in the primary</w:t>
      </w:r>
      <w:r w:rsidR="001F2D8A">
        <w:t xml:space="preserve"> efficacy outcome (ASAS40 at 16 </w:t>
      </w:r>
      <w:r>
        <w:t xml:space="preserve">weeks in the TNF naïve population) in </w:t>
      </w:r>
      <w:proofErr w:type="spellStart"/>
      <w:r>
        <w:t>secukinumab</w:t>
      </w:r>
      <w:proofErr w:type="spellEnd"/>
      <w:r>
        <w:t xml:space="preserve"> loaded patients are statistically significantly better than in placebo treated patients from three weeks of treatment. While at the same time points, ASAS40 responses in </w:t>
      </w:r>
      <w:proofErr w:type="spellStart"/>
      <w:r>
        <w:t>secukinumab</w:t>
      </w:r>
      <w:proofErr w:type="spellEnd"/>
      <w:r>
        <w:t xml:space="preserve"> loaded and </w:t>
      </w:r>
      <w:proofErr w:type="spellStart"/>
      <w:r>
        <w:t>secukinumab</w:t>
      </w:r>
      <w:proofErr w:type="spellEnd"/>
      <w:r>
        <w:t xml:space="preserve"> no load regimens are not statistically significantly different (see Figure 1</w:t>
      </w:r>
      <w:r w:rsidR="001F2D8A">
        <w:t>, above</w:t>
      </w:r>
      <w:r>
        <w:t xml:space="preserve">), neither is the response rate in the </w:t>
      </w:r>
      <w:proofErr w:type="spellStart"/>
      <w:r>
        <w:t>secukinumab</w:t>
      </w:r>
      <w:proofErr w:type="spellEnd"/>
      <w:r>
        <w:t xml:space="preserve"> no load regimen statistically significantly different from response rate in the placebo group. The sponsor argues that the </w:t>
      </w:r>
      <w:proofErr w:type="spellStart"/>
      <w:r>
        <w:t>secukinumab</w:t>
      </w:r>
      <w:proofErr w:type="spellEnd"/>
      <w:r>
        <w:t xml:space="preserve"> no load regimen only shows statistical improvements over placebo at eight weeks of treatment, which is a clinically important delay that may be avoided by applying the loading dose. As the evaluator has identified, adverse events reports are more frequent in the first 20 weeks of treatment and overall with the </w:t>
      </w:r>
      <w:proofErr w:type="spellStart"/>
      <w:r>
        <w:t>secukinumab</w:t>
      </w:r>
      <w:proofErr w:type="spellEnd"/>
      <w:r>
        <w:t xml:space="preserve"> loaded regimen, although absolute event rates between the loaded and no loaded regimen are numerically not grossly different. Adverse event reports are comparable to those reported in the AS population, who carry a similar burden of</w:t>
      </w:r>
      <w:r w:rsidR="001F2D8A">
        <w:t xml:space="preserve"> disease as the </w:t>
      </w:r>
      <w:proofErr w:type="spellStart"/>
      <w:r w:rsidR="001F2D8A">
        <w:t>nr-axSpA</w:t>
      </w:r>
      <w:proofErr w:type="spellEnd"/>
      <w:r w:rsidR="001F2D8A">
        <w:t xml:space="preserve"> group.</w:t>
      </w:r>
    </w:p>
    <w:p w14:paraId="0019B022" w14:textId="78DF3DAE" w:rsidR="00260FC8" w:rsidRDefault="001F2D8A" w:rsidP="00260FC8">
      <w:r>
        <w:t>This D</w:t>
      </w:r>
      <w:r w:rsidR="00260FC8">
        <w:t xml:space="preserve">elegate recommends that the choice between a loaded or no loading regimen for </w:t>
      </w:r>
      <w:proofErr w:type="spellStart"/>
      <w:r w:rsidR="00260FC8">
        <w:t>secukinumab</w:t>
      </w:r>
      <w:proofErr w:type="spellEnd"/>
      <w:r w:rsidR="00260FC8">
        <w:t xml:space="preserve"> be left to the decision of the patient and treating physician, with due consideration of patient factors that may contribute to increased experience of adverse reactions, previous experience with other medications and the likelihood of a significant clinical response.</w:t>
      </w:r>
    </w:p>
    <w:p w14:paraId="7486C81D" w14:textId="77777777" w:rsidR="00260FC8" w:rsidRDefault="00260FC8" w:rsidP="001F2D8A">
      <w:pPr>
        <w:pStyle w:val="Heading5"/>
      </w:pPr>
      <w:r>
        <w:t>Deficiencies of the data</w:t>
      </w:r>
    </w:p>
    <w:p w14:paraId="71B7F07A" w14:textId="4D5AFEF2" w:rsidR="00260FC8" w:rsidRPr="00804421" w:rsidRDefault="00260FC8" w:rsidP="00260FC8">
      <w:r>
        <w:t>While the sponsor had intended that up to 30% of the trial population could comprise of patients who had an inadequate response or intolerance of TNFα inhibitors, some</w:t>
      </w:r>
      <w:r w:rsidR="001F2D8A">
        <w:t xml:space="preserve"> </w:t>
      </w:r>
      <w:r>
        <w:t xml:space="preserve">10% of the final analysis set were from this subgroup. Logistic regression analyses of the secondary efficacy outcomes were stratified by anti-TNF status. Numerically, efficacy responses in this population were somewhat lower than in anti-TNF naïve population, which has been reported with other biological medicines. The low enrolment of this population subgroup has contributed to some uncertainty regarding the likely effectiveness of </w:t>
      </w:r>
      <w:proofErr w:type="spellStart"/>
      <w:r>
        <w:t>secukinumab</w:t>
      </w:r>
      <w:proofErr w:type="spellEnd"/>
      <w:r>
        <w:t xml:space="preserve">, particularly in view of broad variability in the response rates to placebo. In the absence of conclusive data regarding efficacy in this subset, but also acknowledging that patients who have not responded to NSAIDs or TNFα inhibitors have no other treatment options, it is this delegate’s opinion that a trial of </w:t>
      </w:r>
      <w:proofErr w:type="spellStart"/>
      <w:r>
        <w:t>secukinumab</w:t>
      </w:r>
      <w:proofErr w:type="spellEnd"/>
      <w:r>
        <w:t xml:space="preserve"> may be appropriate, with cessation at 16 weeks in the absence of clinical response.</w:t>
      </w:r>
    </w:p>
    <w:p w14:paraId="38916E2F" w14:textId="77777777" w:rsidR="00260FC8" w:rsidRDefault="00260FC8" w:rsidP="00260FC8">
      <w:pPr>
        <w:pStyle w:val="Heading4"/>
      </w:pPr>
      <w:r>
        <w:t>Proposed regulatory action</w:t>
      </w:r>
    </w:p>
    <w:p w14:paraId="3E3CD046" w14:textId="293A7291" w:rsidR="00260FC8" w:rsidRPr="001F2D8A" w:rsidRDefault="00260FC8" w:rsidP="001F2D8A">
      <w:r w:rsidRPr="001F2D8A">
        <w:t xml:space="preserve">Pending advice from </w:t>
      </w:r>
      <w:r w:rsidR="001F2D8A" w:rsidRPr="001F2D8A">
        <w:t>the Advisory Committee on Medicines (</w:t>
      </w:r>
      <w:r w:rsidRPr="001F2D8A">
        <w:t>ACM</w:t>
      </w:r>
      <w:r w:rsidR="001F2D8A" w:rsidRPr="001F2D8A">
        <w:t>)</w:t>
      </w:r>
      <w:r w:rsidR="001F2D8A">
        <w:t xml:space="preserve"> and the sponsor’s pre</w:t>
      </w:r>
      <w:r w:rsidR="001F2D8A">
        <w:noBreakHyphen/>
        <w:t>ACM response, the D</w:t>
      </w:r>
      <w:r w:rsidRPr="001F2D8A">
        <w:t xml:space="preserve">elegate considers the benefit/risk profile of </w:t>
      </w:r>
      <w:proofErr w:type="spellStart"/>
      <w:r w:rsidRPr="001F2D8A">
        <w:t>secukinumab</w:t>
      </w:r>
      <w:proofErr w:type="spellEnd"/>
      <w:r w:rsidRPr="001F2D8A">
        <w:t xml:space="preserve"> to be positive and recommends approval for the indication:</w:t>
      </w:r>
    </w:p>
    <w:p w14:paraId="3E0EE70B" w14:textId="77777777" w:rsidR="00260FC8" w:rsidRDefault="00260FC8" w:rsidP="00260FC8">
      <w:pPr>
        <w:ind w:left="720"/>
        <w:rPr>
          <w:i/>
        </w:rPr>
      </w:pPr>
      <w:r w:rsidRPr="00066C32">
        <w:rPr>
          <w:b/>
          <w:bCs/>
          <w:i/>
        </w:rPr>
        <w:t xml:space="preserve">Non-radiographic axial </w:t>
      </w:r>
      <w:proofErr w:type="spellStart"/>
      <w:r w:rsidRPr="00066C32">
        <w:rPr>
          <w:b/>
          <w:bCs/>
          <w:i/>
        </w:rPr>
        <w:t>spondyloarthritis</w:t>
      </w:r>
      <w:proofErr w:type="spellEnd"/>
      <w:r w:rsidRPr="00066C32">
        <w:rPr>
          <w:b/>
          <w:bCs/>
          <w:i/>
        </w:rPr>
        <w:t xml:space="preserve"> (</w:t>
      </w:r>
      <w:proofErr w:type="spellStart"/>
      <w:r w:rsidRPr="00066C32">
        <w:rPr>
          <w:b/>
          <w:bCs/>
          <w:i/>
        </w:rPr>
        <w:t>axS</w:t>
      </w:r>
      <w:r w:rsidRPr="00066C32">
        <w:rPr>
          <w:b/>
          <w:i/>
        </w:rPr>
        <w:t>pA</w:t>
      </w:r>
      <w:proofErr w:type="spellEnd"/>
      <w:r w:rsidRPr="00066C32">
        <w:rPr>
          <w:b/>
          <w:i/>
        </w:rPr>
        <w:t xml:space="preserve"> without radiographic damage)</w:t>
      </w:r>
    </w:p>
    <w:p w14:paraId="5CC27420" w14:textId="77777777" w:rsidR="00260FC8" w:rsidRDefault="00260FC8" w:rsidP="00260FC8">
      <w:pPr>
        <w:ind w:left="720"/>
        <w:rPr>
          <w:i/>
        </w:rPr>
      </w:pPr>
      <w:proofErr w:type="spellStart"/>
      <w:r w:rsidRPr="00066C32">
        <w:rPr>
          <w:i/>
        </w:rPr>
        <w:t>Cosentyx</w:t>
      </w:r>
      <w:proofErr w:type="spellEnd"/>
      <w:r w:rsidRPr="00066C32">
        <w:rPr>
          <w:i/>
        </w:rPr>
        <w:t xml:space="preserve"> is indicated for the treatment of adults with active non-radiographic axial </w:t>
      </w:r>
      <w:proofErr w:type="spellStart"/>
      <w:r w:rsidRPr="00066C32">
        <w:rPr>
          <w:i/>
        </w:rPr>
        <w:t>spondyloarthritis</w:t>
      </w:r>
      <w:proofErr w:type="spellEnd"/>
      <w:r w:rsidRPr="00066C32">
        <w:rPr>
          <w:i/>
        </w:rPr>
        <w:t xml:space="preserve"> (</w:t>
      </w:r>
      <w:proofErr w:type="spellStart"/>
      <w:r w:rsidRPr="00066C32">
        <w:rPr>
          <w:i/>
        </w:rPr>
        <w:t>nr-axSpA</w:t>
      </w:r>
      <w:proofErr w:type="spellEnd"/>
      <w:r w:rsidRPr="00066C32">
        <w:rPr>
          <w:i/>
        </w:rPr>
        <w:t>) with objective signs of inflammation as indicated by elevated C-reactive protein (CRP) and/or MRI change, who have had an inadequate response to, or are intolerant to, NSAIDs</w:t>
      </w:r>
    </w:p>
    <w:p w14:paraId="2AEDD561" w14:textId="63A9A367" w:rsidR="00260FC8" w:rsidRPr="005D26E5" w:rsidRDefault="00260FC8" w:rsidP="00260FC8">
      <w:r>
        <w:t xml:space="preserve">Pending advice from </w:t>
      </w:r>
      <w:r w:rsidR="001F2D8A">
        <w:t>the ACM, the D</w:t>
      </w:r>
      <w:r>
        <w:t xml:space="preserve">elegate recommends that both dosing </w:t>
      </w:r>
      <w:r w:rsidR="001F2D8A">
        <w:t>regimens be approved for use, that is to say:</w:t>
      </w:r>
    </w:p>
    <w:p w14:paraId="011FB758" w14:textId="77777777" w:rsidR="00260FC8" w:rsidRDefault="00260FC8" w:rsidP="00260FC8">
      <w:pPr>
        <w:ind w:left="720"/>
        <w:rPr>
          <w:bCs/>
          <w:i/>
        </w:rPr>
      </w:pPr>
      <w:r>
        <w:rPr>
          <w:b/>
          <w:bCs/>
          <w:i/>
        </w:rPr>
        <w:t xml:space="preserve">Without a loading dose: </w:t>
      </w:r>
      <w:r w:rsidRPr="00066C32">
        <w:rPr>
          <w:bCs/>
          <w:i/>
        </w:rPr>
        <w:t xml:space="preserve">The recommended dose is 150 mg by subcutaneous injection </w:t>
      </w:r>
      <w:r>
        <w:rPr>
          <w:bCs/>
          <w:i/>
        </w:rPr>
        <w:t xml:space="preserve">every four weeks. </w:t>
      </w:r>
    </w:p>
    <w:p w14:paraId="38C95AEC" w14:textId="77777777" w:rsidR="00260FC8" w:rsidRDefault="00260FC8" w:rsidP="00260FC8">
      <w:pPr>
        <w:ind w:left="720"/>
        <w:rPr>
          <w:bCs/>
          <w:i/>
        </w:rPr>
      </w:pPr>
      <w:r>
        <w:rPr>
          <w:b/>
          <w:bCs/>
          <w:i/>
        </w:rPr>
        <w:t xml:space="preserve">With a loading dose: </w:t>
      </w:r>
      <w:r>
        <w:rPr>
          <w:bCs/>
          <w:i/>
        </w:rPr>
        <w:t xml:space="preserve">The recommended dose is 150 mg by subcutaneous injection every four weeks </w:t>
      </w:r>
      <w:r w:rsidRPr="00066C32">
        <w:rPr>
          <w:bCs/>
          <w:i/>
        </w:rPr>
        <w:t>with initial dosing at Weeks 0, 1, 2, 3,</w:t>
      </w:r>
      <w:r>
        <w:rPr>
          <w:bCs/>
          <w:i/>
        </w:rPr>
        <w:t xml:space="preserve"> </w:t>
      </w:r>
      <w:r w:rsidRPr="00066C32">
        <w:rPr>
          <w:bCs/>
          <w:i/>
        </w:rPr>
        <w:t>and 4.</w:t>
      </w:r>
    </w:p>
    <w:p w14:paraId="1FB1F32B" w14:textId="77777777" w:rsidR="00260FC8" w:rsidRPr="00066C32" w:rsidRDefault="00260FC8" w:rsidP="00260FC8">
      <w:pPr>
        <w:ind w:left="720"/>
        <w:rPr>
          <w:bCs/>
          <w:i/>
        </w:rPr>
      </w:pPr>
      <w:r w:rsidRPr="00F7641D">
        <w:rPr>
          <w:bCs/>
          <w:i/>
        </w:rPr>
        <w:t xml:space="preserve">Consideration should be given to discontinuing treatment in patients who have shown no response by 16 weeks of treatment. </w:t>
      </w:r>
    </w:p>
    <w:p w14:paraId="08CA78FD" w14:textId="0A9D89EE" w:rsidR="00260FC8" w:rsidRPr="00066C32" w:rsidRDefault="00260FC8" w:rsidP="00D90816">
      <w:pPr>
        <w:pStyle w:val="Heading5"/>
      </w:pPr>
      <w:r>
        <w:t>Outstanding issues</w:t>
      </w:r>
    </w:p>
    <w:p w14:paraId="5A903682" w14:textId="77777777" w:rsidR="00260FC8" w:rsidRDefault="00260FC8" w:rsidP="00260FC8">
      <w:r>
        <w:t>Pending advice from the ACM and pre-ACM response from the sponsor, some aspects of the Product Information are yet to be confirmed.</w:t>
      </w:r>
    </w:p>
    <w:p w14:paraId="698806B2" w14:textId="77777777" w:rsidR="00260FC8" w:rsidRPr="00066C32" w:rsidRDefault="00260FC8" w:rsidP="00D90816">
      <w:pPr>
        <w:pStyle w:val="Heading5"/>
      </w:pPr>
      <w:r>
        <w:t>Conditions of registration</w:t>
      </w:r>
    </w:p>
    <w:p w14:paraId="2275C2F7" w14:textId="3150D3AE" w:rsidR="00260FC8" w:rsidRDefault="00260FC8" w:rsidP="00260FC8">
      <w:r>
        <w:t xml:space="preserve">The sponsor must submit the final clinical study reports </w:t>
      </w:r>
      <w:r w:rsidR="001F2D8A">
        <w:t>of the fully completed pivotal S</w:t>
      </w:r>
      <w:r>
        <w:t>tudy</w:t>
      </w:r>
      <w:r w:rsidRPr="00DF7D45">
        <w:t xml:space="preserve"> CAIN457H2315</w:t>
      </w:r>
      <w:r w:rsidR="001F2D8A">
        <w:t xml:space="preserve"> (or Study H2315 as referenced earlier in this document)</w:t>
      </w:r>
      <w:r>
        <w:t>, including, but not restricted to, results addressing the maintenance of response after treatment of withdrawal and results of immunogenicity studies, on completion of the study.</w:t>
      </w:r>
    </w:p>
    <w:p w14:paraId="46DC526B" w14:textId="188B28D5" w:rsidR="00D90816" w:rsidRDefault="00D90816" w:rsidP="00D90816">
      <w:pPr>
        <w:pStyle w:val="Heading4"/>
      </w:pPr>
      <w:r>
        <w:t>Request for Advisory Committee advice</w:t>
      </w:r>
    </w:p>
    <w:p w14:paraId="0D52BDF2" w14:textId="77777777" w:rsidR="00D90816" w:rsidRDefault="00D90816" w:rsidP="00D90816">
      <w:pPr>
        <w:pStyle w:val="Numberbullet0"/>
      </w:pPr>
      <w:r>
        <w:t>What is the view of the Committee on the relative benefits and risks of the loading regimen compared to the unloaded regimen?</w:t>
      </w:r>
    </w:p>
    <w:p w14:paraId="3A4DB60B" w14:textId="77777777" w:rsidR="00D90816" w:rsidRDefault="00D90816" w:rsidP="00F8450F">
      <w:pPr>
        <w:pStyle w:val="Numberbullet0"/>
        <w:numPr>
          <w:ilvl w:val="0"/>
          <w:numId w:val="0"/>
        </w:numPr>
        <w:ind w:left="425"/>
      </w:pPr>
      <w:r>
        <w:t xml:space="preserve">What is the view of the Committee on the clinical importance of the numerically higher response rate (as measured by ASAS40 in anti-TNF naïve patients) in the first eight weeks in the </w:t>
      </w:r>
      <w:proofErr w:type="spellStart"/>
      <w:r>
        <w:t>secukinumab</w:t>
      </w:r>
      <w:proofErr w:type="spellEnd"/>
      <w:r>
        <w:t xml:space="preserve"> loaded arm compared to </w:t>
      </w:r>
      <w:proofErr w:type="spellStart"/>
      <w:r>
        <w:t>secukinumab</w:t>
      </w:r>
      <w:proofErr w:type="spellEnd"/>
      <w:r>
        <w:t xml:space="preserve"> no load arm?</w:t>
      </w:r>
    </w:p>
    <w:p w14:paraId="524DA8A0" w14:textId="77777777" w:rsidR="00D90816" w:rsidRDefault="00D90816" w:rsidP="00D90816">
      <w:pPr>
        <w:pStyle w:val="Numberbullet0"/>
      </w:pPr>
      <w:r>
        <w:t xml:space="preserve">What is the view of the Committee on the evidence supporting efficacy of </w:t>
      </w:r>
      <w:proofErr w:type="spellStart"/>
      <w:r>
        <w:t>secukinumab</w:t>
      </w:r>
      <w:proofErr w:type="spellEnd"/>
      <w:r>
        <w:t xml:space="preserve"> in anti-TNF-IR populations?</w:t>
      </w:r>
    </w:p>
    <w:p w14:paraId="084AD9CB" w14:textId="77777777" w:rsidR="00D90816" w:rsidRDefault="00D90816" w:rsidP="00D90816">
      <w:pPr>
        <w:pStyle w:val="Numberbullet0"/>
      </w:pPr>
      <w:r>
        <w:t>The committee is also requested to provide advice on any other issues that it thinks may be relevant to a decision on whether or not to approve this application.</w:t>
      </w:r>
    </w:p>
    <w:p w14:paraId="3A920827" w14:textId="77777777" w:rsidR="00D90816" w:rsidRDefault="00D90816" w:rsidP="00D90816">
      <w:pPr>
        <w:pStyle w:val="Heading4"/>
      </w:pPr>
      <w:r>
        <w:t>Questions for sponsor</w:t>
      </w:r>
    </w:p>
    <w:p w14:paraId="0F4F9DFB" w14:textId="22A66519" w:rsidR="00D90816" w:rsidRPr="00C25433" w:rsidRDefault="00D90816" w:rsidP="00C25433">
      <w:pPr>
        <w:pStyle w:val="Numberbullet0"/>
        <w:numPr>
          <w:ilvl w:val="0"/>
          <w:numId w:val="34"/>
        </w:numPr>
      </w:pPr>
      <w:r w:rsidRPr="00C25433">
        <w:t>With reference to the primary efficacy outcome in anti-TNF naïve study participants at 16 weeks, please comment on why the ASAS40 response rate to placebo in CRP+/MRI+ participants (22%) was apparently lower than the response rate to placebo in CRP+/MRI- (33.3%) and CRP-/MRI+ (31.6%) participants? The evaluator queried the overall response rate to placebo in the anti-TNF naïve population (29.2%) compa</w:t>
      </w:r>
      <w:r w:rsidR="00C25433" w:rsidRPr="00C25433">
        <w:t>red to other published studies.</w:t>
      </w:r>
    </w:p>
    <w:p w14:paraId="442B9D53" w14:textId="587A7515" w:rsidR="00260FC8" w:rsidRPr="00C25433" w:rsidRDefault="00D90816" w:rsidP="00C25433">
      <w:pPr>
        <w:pStyle w:val="Numberbullet0"/>
        <w:numPr>
          <w:ilvl w:val="0"/>
          <w:numId w:val="34"/>
        </w:numPr>
      </w:pPr>
      <w:r w:rsidRPr="00C25433">
        <w:t xml:space="preserve">Noting that the response rates to </w:t>
      </w:r>
      <w:proofErr w:type="spellStart"/>
      <w:r w:rsidRPr="00C25433">
        <w:t>secukinumab</w:t>
      </w:r>
      <w:proofErr w:type="spellEnd"/>
      <w:r w:rsidRPr="00C25433">
        <w:t xml:space="preserve"> (loaded and no load arms) at 16 weeks for the primary and secondary outcomes in the anti-TNF-IR participants were generally not different to response rates in the placebo arm, please justify including anti-TNF-IR patients in the indication.</w:t>
      </w:r>
    </w:p>
    <w:p w14:paraId="6CEA7DB1" w14:textId="61061D12" w:rsidR="00C25433" w:rsidRDefault="00C25433" w:rsidP="00C25433">
      <w:pPr>
        <w:pStyle w:val="Heading4"/>
      </w:pPr>
      <w:r>
        <w:t xml:space="preserve">Sponsor’s response to </w:t>
      </w:r>
      <w:r w:rsidR="00EC756C">
        <w:t>d</w:t>
      </w:r>
      <w:r>
        <w:t>elegate’s questions</w:t>
      </w:r>
    </w:p>
    <w:p w14:paraId="6A2073A2" w14:textId="1FB31FF8" w:rsidR="00C25433" w:rsidRPr="00C25433" w:rsidRDefault="00C25433" w:rsidP="00C25433">
      <w:pPr>
        <w:pStyle w:val="Numberbullet0"/>
        <w:numPr>
          <w:ilvl w:val="0"/>
          <w:numId w:val="35"/>
        </w:numPr>
        <w:rPr>
          <w:b/>
          <w:i/>
        </w:rPr>
      </w:pPr>
      <w:r w:rsidRPr="00C25433">
        <w:rPr>
          <w:b/>
          <w:i/>
        </w:rPr>
        <w:t>With reference to the primary efficacy outcome in anti-TNF naïve study participants at 16 weeks, please comment on why the ASAS40 response rate to placebo in CRP+/MRI+ participants (22%) was apparently lower than the response rate to placebo in CRP+/MRI- (33.3%) and CRP-/MRI+ (31.6%) participants? The evaluator queried the overall response rate to placebo in the anti-TNF naïve population (29.2%) compared to other published studies.</w:t>
      </w:r>
    </w:p>
    <w:p w14:paraId="10F341DD" w14:textId="462C1C2C" w:rsidR="00C25433" w:rsidRDefault="00C25433" w:rsidP="00C25433">
      <w:r>
        <w:t>Akin to the influence of objective signs of inflammation based on magnetic resonance imaging (MRI) and/or C-reacti</w:t>
      </w:r>
      <w:r w:rsidR="00B95A9E">
        <w:t>ve protein (CRP) positivity at B</w:t>
      </w:r>
      <w:r>
        <w:t>aseline on efficacy with TNF inhibitors (</w:t>
      </w:r>
      <w:proofErr w:type="spellStart"/>
      <w:r>
        <w:t>TNFi</w:t>
      </w:r>
      <w:proofErr w:type="spellEnd"/>
      <w:r>
        <w:t xml:space="preserve">), as seen the example of </w:t>
      </w:r>
      <w:proofErr w:type="spellStart"/>
      <w:r>
        <w:t>golimumab</w:t>
      </w:r>
      <w:proofErr w:type="spellEnd"/>
      <w:r>
        <w:t xml:space="preserve">, Study H2315 showed the highest efficacy with the lowest placebo responses in the subgroups which were CRP+ and/or MRI+ across efficacy outcomes in patients with </w:t>
      </w:r>
      <w:proofErr w:type="spellStart"/>
      <w:r>
        <w:t>nr-axSpA</w:t>
      </w:r>
      <w:proofErr w:type="spellEnd"/>
      <w:r>
        <w:t>. Both elevation of CRP and evidence of inflammati</w:t>
      </w:r>
      <w:r w:rsidR="00B95A9E">
        <w:t xml:space="preserve">on in the sacroiliac joints (SI </w:t>
      </w:r>
      <w:r>
        <w:t xml:space="preserve">joints) on MRI are well established objective assessments for disease activity in patients with </w:t>
      </w:r>
      <w:proofErr w:type="spellStart"/>
      <w:r>
        <w:t>nr-axSpA</w:t>
      </w:r>
      <w:proofErr w:type="spellEnd"/>
      <w:r>
        <w:t>.</w:t>
      </w:r>
    </w:p>
    <w:p w14:paraId="432145DF" w14:textId="0DCCB73E" w:rsidR="00C25433" w:rsidRDefault="00C25433" w:rsidP="00C25433">
      <w:r>
        <w:t>Therefore, higher placebo response rates in patients with lesser objective signs of inflammation such as might be seen in the subgroups of patients with CRP+/MRI- and CRP-/MRI+ may be expected and reflected in the ASAS40 response rates. Notably for high hurdle efficacy outcomes such as ASAS partial remission placebo response rates for the CRP+/MRI- (7.8%) and CRP-/MRI+ (7.5%) patients were comparable to the placebo response rates in CRP+/MRI+ (5.5%) patients.</w:t>
      </w:r>
    </w:p>
    <w:p w14:paraId="2A2BCDF9" w14:textId="34ECD3BA" w:rsidR="00C25433" w:rsidRPr="00C25433" w:rsidRDefault="00C25433" w:rsidP="00C25433">
      <w:pPr>
        <w:pStyle w:val="Numberbullet0"/>
        <w:numPr>
          <w:ilvl w:val="0"/>
          <w:numId w:val="34"/>
        </w:numPr>
        <w:rPr>
          <w:b/>
          <w:i/>
        </w:rPr>
      </w:pPr>
      <w:r w:rsidRPr="00C25433">
        <w:rPr>
          <w:b/>
          <w:i/>
        </w:rPr>
        <w:t xml:space="preserve">Noting that the response rates to </w:t>
      </w:r>
      <w:proofErr w:type="spellStart"/>
      <w:r w:rsidRPr="00C25433">
        <w:rPr>
          <w:b/>
          <w:i/>
        </w:rPr>
        <w:t>secukinumab</w:t>
      </w:r>
      <w:proofErr w:type="spellEnd"/>
      <w:r w:rsidRPr="00C25433">
        <w:rPr>
          <w:b/>
          <w:i/>
        </w:rPr>
        <w:t xml:space="preserve"> (loaded and no load arms) at 16</w:t>
      </w:r>
      <w:r w:rsidR="00F740FE">
        <w:rPr>
          <w:b/>
          <w:i/>
        </w:rPr>
        <w:t> </w:t>
      </w:r>
      <w:r w:rsidRPr="00C25433">
        <w:rPr>
          <w:b/>
          <w:i/>
        </w:rPr>
        <w:t>weeks for the primary and secondary outcomes in the anti-TNF-IR participants were generally not different to response rates in the placebo arm, please justify including anti-TNF-IR patients in the indication.</w:t>
      </w:r>
    </w:p>
    <w:p w14:paraId="3F86E9CD" w14:textId="07E03C40" w:rsidR="00C25433" w:rsidRDefault="00C25433" w:rsidP="00C25433">
      <w:r>
        <w:t xml:space="preserve">The robustness of the data supporting the efficacy of </w:t>
      </w:r>
      <w:proofErr w:type="spellStart"/>
      <w:r>
        <w:t>secukinumab</w:t>
      </w:r>
      <w:proofErr w:type="spellEnd"/>
      <w:r>
        <w:t xml:space="preserve"> in both </w:t>
      </w:r>
      <w:proofErr w:type="spellStart"/>
      <w:r>
        <w:t>TNFi</w:t>
      </w:r>
      <w:proofErr w:type="spellEnd"/>
      <w:r>
        <w:t xml:space="preserve">-naïve and TNF-IR </w:t>
      </w:r>
      <w:proofErr w:type="spellStart"/>
      <w:r>
        <w:t>nr-axSpA</w:t>
      </w:r>
      <w:proofErr w:type="spellEnd"/>
      <w:r>
        <w:t xml:space="preserve"> patients is confirmed by the comparison of efficacy responses based on non-responder imputation at Week 16 of TNF-IR patients against those of </w:t>
      </w:r>
      <w:proofErr w:type="spellStart"/>
      <w:r>
        <w:t>TNFi</w:t>
      </w:r>
      <w:proofErr w:type="spellEnd"/>
      <w:r>
        <w:t xml:space="preserve">-naïve patients. It is well known that TNF-IR patients have lower absolute response rates both for the active biologic and for placebo than TNF-naive patients, thus it is important to look at treatment differences versus placebo in order to make comparisons. As outlined in the following table, there are no meaningful differences between the two subgroups in terms of calculated treatment differences against placebo. This confirms the similar efficacy of </w:t>
      </w:r>
      <w:proofErr w:type="spellStart"/>
      <w:r>
        <w:t>secukinumab</w:t>
      </w:r>
      <w:proofErr w:type="spellEnd"/>
      <w:r>
        <w:t xml:space="preserve"> in both subgroups. The robustness of the evidence of efficacy in TNF-IR patients is further supported by the consistent results of benefit across key efficacy endpoints.</w:t>
      </w:r>
    </w:p>
    <w:p w14:paraId="0A4B33E2" w14:textId="0AFA47EE" w:rsidR="003A4EC8" w:rsidRDefault="003A4EC8" w:rsidP="003A4EC8">
      <w:pPr>
        <w:pStyle w:val="TableTitle"/>
      </w:pPr>
      <w:r>
        <w:t xml:space="preserve">Table </w:t>
      </w:r>
      <w:fldSimple w:instr=" SEQ Table \* ARABIC ">
        <w:r w:rsidR="003F2FF5">
          <w:rPr>
            <w:noProof/>
          </w:rPr>
          <w:t>5</w:t>
        </w:r>
      </w:fldSimple>
      <w:r>
        <w:t xml:space="preserve">: Study H2315 </w:t>
      </w:r>
      <w:proofErr w:type="spellStart"/>
      <w:r>
        <w:t>TNFi</w:t>
      </w:r>
      <w:proofErr w:type="spellEnd"/>
      <w:r>
        <w:t>-naïve versus TNF-IR efficacy responses based on non-responder imputation at Week 16 (full analysis set)</w:t>
      </w:r>
    </w:p>
    <w:p w14:paraId="4074081D" w14:textId="3DAA1593" w:rsidR="003A4EC8" w:rsidRDefault="003A4EC8" w:rsidP="00C25433">
      <w:r w:rsidRPr="003A4EC8">
        <w:rPr>
          <w:noProof/>
          <w:lang w:eastAsia="en-AU"/>
        </w:rPr>
        <w:drawing>
          <wp:inline distT="0" distB="0" distL="0" distR="0" wp14:anchorId="435A65C0" wp14:editId="2F06B7F5">
            <wp:extent cx="5491872" cy="1963972"/>
            <wp:effectExtent l="0" t="0" r="0" b="0"/>
            <wp:docPr id="4" name="Picture 4" descr="Table 5: Study H2315 TNFi-naïve versus TNF-IR efficacy responses based on non-responder imputation at Week 16 (full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grayscl/>
                      <a:extLst>
                        <a:ext uri="{28A0092B-C50C-407E-A947-70E740481C1C}">
                          <a14:useLocalDpi xmlns:a14="http://schemas.microsoft.com/office/drawing/2010/main" val="0"/>
                        </a:ext>
                      </a:extLst>
                    </a:blip>
                    <a:srcRect/>
                    <a:stretch>
                      <a:fillRect/>
                    </a:stretch>
                  </pic:blipFill>
                  <pic:spPr bwMode="auto">
                    <a:xfrm>
                      <a:off x="0" y="0"/>
                      <a:ext cx="5551221" cy="1985196"/>
                    </a:xfrm>
                    <a:prstGeom prst="rect">
                      <a:avLst/>
                    </a:prstGeom>
                    <a:noFill/>
                    <a:ln>
                      <a:noFill/>
                    </a:ln>
                  </pic:spPr>
                </pic:pic>
              </a:graphicData>
            </a:graphic>
          </wp:inline>
        </w:drawing>
      </w:r>
    </w:p>
    <w:p w14:paraId="410A8C5B" w14:textId="42E1C0B4" w:rsidR="003A4EC8" w:rsidRDefault="003A4EC8" w:rsidP="003A4EC8">
      <w:r>
        <w:t xml:space="preserve">In addition, </w:t>
      </w:r>
      <w:proofErr w:type="spellStart"/>
      <w:r>
        <w:t>secukinumab</w:t>
      </w:r>
      <w:proofErr w:type="spellEnd"/>
      <w:r>
        <w:t xml:space="preserve"> has already demonstrated clear efficacy across multiple autoimmune indications in TNF-IR patients, including psoriasis, psoriatic arthritis, and AS). In particular, IL-17A blockade is the only other cyt</w:t>
      </w:r>
      <w:r w:rsidR="00E04675">
        <w:t xml:space="preserve">okine-based biologic other than </w:t>
      </w:r>
      <w:r>
        <w:t xml:space="preserve">TNF-inhibition shown to effectively treat AS, which falls along the same disease spectrum as </w:t>
      </w:r>
      <w:proofErr w:type="spellStart"/>
      <w:r>
        <w:t>nr</w:t>
      </w:r>
      <w:r w:rsidR="00E04675">
        <w:t>-axSpA</w:t>
      </w:r>
      <w:proofErr w:type="spellEnd"/>
      <w:r w:rsidR="00E04675">
        <w:t xml:space="preserve"> </w:t>
      </w:r>
      <w:r>
        <w:t xml:space="preserve">sharing similar clinical features, disease severity, and response to treatment </w:t>
      </w:r>
      <w:r w:rsidRPr="00C165DD">
        <w:t>(Wallis 2013).</w:t>
      </w:r>
    </w:p>
    <w:p w14:paraId="12DD2B67" w14:textId="77777777" w:rsidR="00F8450F" w:rsidRDefault="00F8450F" w:rsidP="00F8450F">
      <w:pPr>
        <w:pStyle w:val="Heading4"/>
      </w:pPr>
      <w:r>
        <w:t>Advisory Committee considerations</w:t>
      </w:r>
      <w:r>
        <w:rPr>
          <w:rStyle w:val="FootnoteReference"/>
        </w:rPr>
        <w:footnoteReference w:id="15"/>
      </w:r>
    </w:p>
    <w:p w14:paraId="49D6D5D3" w14:textId="77777777" w:rsidR="00F8450F" w:rsidRDefault="00F8450F" w:rsidP="00F8450F">
      <w:pPr>
        <w:rPr>
          <w:bCs/>
        </w:rPr>
      </w:pPr>
      <w:r w:rsidRPr="00456765">
        <w:rPr>
          <w:bCs/>
        </w:rPr>
        <w:t>The Advisory Committee on Medicines (ACM), having considered the evaluations and the Delegate’s overview, as well as the sponsor’s response to these documents, advised the following</w:t>
      </w:r>
      <w:r>
        <w:rPr>
          <w:bCs/>
        </w:rPr>
        <w:t>.</w:t>
      </w:r>
    </w:p>
    <w:p w14:paraId="51D5DD76" w14:textId="302A997F" w:rsidR="00F8450F" w:rsidRDefault="00F8450F" w:rsidP="00F8450F">
      <w:pPr>
        <w:pStyle w:val="Heading5"/>
      </w:pPr>
      <w:r>
        <w:t xml:space="preserve">Specific advice to the </w:t>
      </w:r>
      <w:r w:rsidR="00EC756C">
        <w:t>d</w:t>
      </w:r>
      <w:r>
        <w:t>elegate</w:t>
      </w:r>
    </w:p>
    <w:p w14:paraId="149DE198" w14:textId="77777777" w:rsidR="00F8450F" w:rsidRPr="00846579" w:rsidRDefault="00F8450F" w:rsidP="00F8450F">
      <w:r>
        <w:t>The ACM advised the following in response to the Delegate’s specific request for advice:</w:t>
      </w:r>
    </w:p>
    <w:p w14:paraId="07E44303" w14:textId="77777777" w:rsidR="00F8450F" w:rsidRPr="0015606B" w:rsidRDefault="00F8450F" w:rsidP="00F8450F">
      <w:pPr>
        <w:pStyle w:val="Numberbullet0"/>
        <w:numPr>
          <w:ilvl w:val="0"/>
          <w:numId w:val="33"/>
        </w:numPr>
        <w:rPr>
          <w:b/>
          <w:i/>
        </w:rPr>
      </w:pPr>
      <w:r w:rsidRPr="0015606B">
        <w:rPr>
          <w:b/>
          <w:i/>
        </w:rPr>
        <w:t>What is the view of the Committee on the relative benefits and risks of the loading regimen compared to the unloaded regimen?</w:t>
      </w:r>
    </w:p>
    <w:p w14:paraId="5AEB85CE" w14:textId="77777777" w:rsidR="00F8450F" w:rsidRPr="00846579" w:rsidRDefault="00F8450F" w:rsidP="00F8450F">
      <w:pPr>
        <w:pStyle w:val="Numberbullet0"/>
        <w:numPr>
          <w:ilvl w:val="0"/>
          <w:numId w:val="0"/>
        </w:numPr>
        <w:ind w:left="425"/>
        <w:rPr>
          <w:b/>
          <w:i/>
        </w:rPr>
      </w:pPr>
      <w:r w:rsidRPr="00846579">
        <w:rPr>
          <w:b/>
          <w:i/>
        </w:rPr>
        <w:t xml:space="preserve">What is the view of the Committee on the clinical importance of the numerically higher response rate (as measured by ASAS40 in anti-TNF naïve patients) in the first eight weeks in the </w:t>
      </w:r>
      <w:proofErr w:type="spellStart"/>
      <w:r w:rsidRPr="00846579">
        <w:rPr>
          <w:b/>
          <w:i/>
        </w:rPr>
        <w:t>secukinumab</w:t>
      </w:r>
      <w:proofErr w:type="spellEnd"/>
      <w:r w:rsidRPr="00846579">
        <w:rPr>
          <w:b/>
          <w:i/>
        </w:rPr>
        <w:t>-loaded arm c</w:t>
      </w:r>
      <w:r>
        <w:rPr>
          <w:b/>
          <w:i/>
        </w:rPr>
        <w:t>ompared to the non-loading arm?</w:t>
      </w:r>
    </w:p>
    <w:p w14:paraId="18792720" w14:textId="77777777" w:rsidR="00F8450F" w:rsidRDefault="00F8450F" w:rsidP="00F8450F">
      <w:r>
        <w:t>In assessing the relative benefits and risks of the loading regime, the ACM determined that there was utility in a loading dose. Clinical studies have demonstrated a response lag in unloaded patients. Although the difference in response between loaded and unloaded patients disappears by Week 16 of treatment, the difference at earlier stages (Weeks 3 to 4) is clinically important enough for the ACM to conclude that the loading regime offers advantages for some patients. Although the loading regime has been associated with a higher incidence of adverse events, particularly infections, these are mild in nature and outweighed by improvements in patient response. The ACM was of the view that decisions regarding whether to pursue a loaded regimen or an unloaded regimen is best made clinically by the treating rheumatologist.</w:t>
      </w:r>
    </w:p>
    <w:p w14:paraId="7ADEB0B1" w14:textId="77777777" w:rsidR="00F8450F" w:rsidRPr="00846579" w:rsidRDefault="00F8450F" w:rsidP="00F8450F">
      <w:pPr>
        <w:pStyle w:val="Numberbullet0"/>
        <w:rPr>
          <w:b/>
          <w:i/>
        </w:rPr>
      </w:pPr>
      <w:r w:rsidRPr="00846579">
        <w:rPr>
          <w:b/>
          <w:i/>
        </w:rPr>
        <w:t xml:space="preserve">What is the view of the Committee on the evidence supporting the efficacy of </w:t>
      </w:r>
      <w:proofErr w:type="spellStart"/>
      <w:r w:rsidRPr="00846579">
        <w:rPr>
          <w:b/>
          <w:i/>
        </w:rPr>
        <w:t>secukinumab</w:t>
      </w:r>
      <w:proofErr w:type="spellEnd"/>
      <w:r w:rsidRPr="00846579">
        <w:rPr>
          <w:b/>
          <w:i/>
        </w:rPr>
        <w:t xml:space="preserve"> in anti-TNF-IR populations? </w:t>
      </w:r>
    </w:p>
    <w:p w14:paraId="4C2D6DBC" w14:textId="77777777" w:rsidR="00F8450F" w:rsidRDefault="00F8450F" w:rsidP="00F8450F">
      <w:r>
        <w:t xml:space="preserve">The ACM noted that the studies under consideration were not adequately powered to investigate the effects of </w:t>
      </w:r>
      <w:proofErr w:type="spellStart"/>
      <w:r>
        <w:t>secukinumab</w:t>
      </w:r>
      <w:proofErr w:type="spellEnd"/>
      <w:r>
        <w:t xml:space="preserve"> on TNF-experienced patients; with lower responses reported to both treatment and placebo. Though the numbers were too low to be of statistical significance, the ACM concluded that it is possible that </w:t>
      </w:r>
      <w:proofErr w:type="spellStart"/>
      <w:r>
        <w:t>secukinumab</w:t>
      </w:r>
      <w:proofErr w:type="spellEnd"/>
      <w:r>
        <w:t xml:space="preserve"> may be of benefit in TNF experienced patients and this group should not be excluded from consideration given the lack of alternative treatment options. </w:t>
      </w:r>
    </w:p>
    <w:p w14:paraId="05D7B3D2" w14:textId="77777777" w:rsidR="00F8450F" w:rsidRPr="00AF1269" w:rsidRDefault="00F8450F" w:rsidP="00F8450F">
      <w:pPr>
        <w:pStyle w:val="Numberbullet0"/>
        <w:rPr>
          <w:b/>
          <w:i/>
        </w:rPr>
      </w:pPr>
      <w:r w:rsidRPr="00AF1269">
        <w:rPr>
          <w:b/>
          <w:i/>
        </w:rPr>
        <w:t xml:space="preserve">The Committee is also requested to provide advice on any other issues that it thinks may be relevant to a decision on whether or not to approve this application </w:t>
      </w:r>
    </w:p>
    <w:p w14:paraId="3F1A2FB1" w14:textId="77777777" w:rsidR="00F8450F" w:rsidRDefault="00F8450F" w:rsidP="00F8450F">
      <w:r>
        <w:t>The committee had no other advice to provide to the Delegate regarding this application.</w:t>
      </w:r>
    </w:p>
    <w:p w14:paraId="6AA4802D" w14:textId="77777777" w:rsidR="00F8450F" w:rsidRDefault="00F8450F" w:rsidP="00F8450F">
      <w:pPr>
        <w:pStyle w:val="Heading5"/>
      </w:pPr>
      <w:r>
        <w:t>Conclusion</w:t>
      </w:r>
    </w:p>
    <w:p w14:paraId="43D6273F" w14:textId="1AE02151" w:rsidR="00F8450F" w:rsidRDefault="00F8450F" w:rsidP="00F8450F">
      <w:pPr>
        <w:pStyle w:val="Default"/>
        <w:rPr>
          <w:sz w:val="22"/>
          <w:szCs w:val="22"/>
        </w:rPr>
      </w:pPr>
      <w:r>
        <w:rPr>
          <w:sz w:val="22"/>
          <w:szCs w:val="22"/>
        </w:rPr>
        <w:t>The ACM considered this product to have an overall positive benefit-risk profile for the indication:</w:t>
      </w:r>
    </w:p>
    <w:p w14:paraId="09AC811E" w14:textId="77777777" w:rsidR="00F8450F" w:rsidRPr="00AF1269" w:rsidRDefault="00F8450F" w:rsidP="00F8450F">
      <w:pPr>
        <w:ind w:left="720"/>
      </w:pPr>
      <w:proofErr w:type="spellStart"/>
      <w:r>
        <w:rPr>
          <w:i/>
          <w:iCs/>
        </w:rPr>
        <w:t>Cosentyx</w:t>
      </w:r>
      <w:proofErr w:type="spellEnd"/>
      <w:r>
        <w:rPr>
          <w:i/>
          <w:iCs/>
        </w:rPr>
        <w:t xml:space="preserve"> is indicated for the treatment of adults with active non-radiographic axial </w:t>
      </w:r>
      <w:proofErr w:type="spellStart"/>
      <w:r>
        <w:rPr>
          <w:i/>
          <w:iCs/>
        </w:rPr>
        <w:t>spondyloarthritis</w:t>
      </w:r>
      <w:proofErr w:type="spellEnd"/>
      <w:r>
        <w:rPr>
          <w:i/>
          <w:iCs/>
        </w:rPr>
        <w:t xml:space="preserve"> with objective signs of inflammation as indicated by elevated C-reactive protein and/or MRI change, who have had an inadequate response to, or are intolerant to, NSAIDs.</w:t>
      </w:r>
    </w:p>
    <w:p w14:paraId="65C98727" w14:textId="77777777" w:rsidR="00A420B0" w:rsidRPr="002E238E" w:rsidRDefault="00A420B0" w:rsidP="00A420B0">
      <w:pPr>
        <w:pStyle w:val="Heading3"/>
      </w:pPr>
      <w:bookmarkStart w:id="42" w:name="_Toc63175302"/>
      <w:r>
        <w:t>Outcome</w:t>
      </w:r>
      <w:bookmarkEnd w:id="42"/>
    </w:p>
    <w:p w14:paraId="7F52D61B" w14:textId="77777777" w:rsidR="00A420B0" w:rsidRDefault="00A420B0" w:rsidP="00A420B0">
      <w:r>
        <w:t>Based on a review of quality, safety and efficacy, the TGA approved the registration of:</w:t>
      </w:r>
    </w:p>
    <w:p w14:paraId="27ECBC13" w14:textId="77777777" w:rsidR="00A420B0" w:rsidRDefault="00A420B0" w:rsidP="00A420B0">
      <w:pPr>
        <w:pStyle w:val="ListBullet"/>
      </w:pPr>
      <w:proofErr w:type="spellStart"/>
      <w:r>
        <w:t>Cosentyx</w:t>
      </w:r>
      <w:proofErr w:type="spellEnd"/>
      <w:r>
        <w:t xml:space="preserve"> </w:t>
      </w:r>
      <w:proofErr w:type="spellStart"/>
      <w:r>
        <w:t>secukinumab</w:t>
      </w:r>
      <w:proofErr w:type="spellEnd"/>
      <w:r>
        <w:t xml:space="preserve"> (rch) 150 mg powder for injection vial</w:t>
      </w:r>
    </w:p>
    <w:p w14:paraId="3FF7FEE4" w14:textId="77777777" w:rsidR="00A420B0" w:rsidRDefault="00A420B0" w:rsidP="00A420B0">
      <w:pPr>
        <w:pStyle w:val="ListBullet"/>
      </w:pPr>
      <w:proofErr w:type="spellStart"/>
      <w:r>
        <w:t>Cosentyx</w:t>
      </w:r>
      <w:proofErr w:type="spellEnd"/>
      <w:r>
        <w:t xml:space="preserve"> </w:t>
      </w:r>
      <w:proofErr w:type="spellStart"/>
      <w:r>
        <w:t>secukinumab</w:t>
      </w:r>
      <w:proofErr w:type="spellEnd"/>
      <w:r>
        <w:t xml:space="preserve"> (rch) 150 mg/1 mL solution for injection in prefilled syringe</w:t>
      </w:r>
    </w:p>
    <w:p w14:paraId="27FA5070" w14:textId="77777777" w:rsidR="00A420B0" w:rsidRDefault="00A420B0" w:rsidP="00A420B0">
      <w:pPr>
        <w:pStyle w:val="ListBullet"/>
      </w:pPr>
      <w:proofErr w:type="spellStart"/>
      <w:r>
        <w:t>Cosentyx</w:t>
      </w:r>
      <w:proofErr w:type="spellEnd"/>
      <w:r>
        <w:t xml:space="preserve"> </w:t>
      </w:r>
      <w:proofErr w:type="spellStart"/>
      <w:r>
        <w:t>secukinumab</w:t>
      </w:r>
      <w:proofErr w:type="spellEnd"/>
      <w:r>
        <w:t xml:space="preserve"> (rch) 150 mg/1 mL solution for injection in prefilled pen</w:t>
      </w:r>
    </w:p>
    <w:p w14:paraId="48ECA9D6" w14:textId="40CC4033" w:rsidR="00A420B0" w:rsidRDefault="00EC756C" w:rsidP="00A420B0">
      <w:r>
        <w:t>I</w:t>
      </w:r>
      <w:r w:rsidR="00A420B0">
        <w:t>ndicated for the following extension of indications:</w:t>
      </w:r>
    </w:p>
    <w:p w14:paraId="3A3C45B8" w14:textId="77777777" w:rsidR="00A420B0" w:rsidRPr="00B7268C" w:rsidRDefault="00A420B0" w:rsidP="00A420B0">
      <w:pPr>
        <w:ind w:left="720"/>
        <w:rPr>
          <w:b/>
          <w:i/>
        </w:rPr>
      </w:pPr>
      <w:r w:rsidRPr="00B7268C">
        <w:rPr>
          <w:b/>
          <w:i/>
        </w:rPr>
        <w:t xml:space="preserve">Non-radiographic axial </w:t>
      </w:r>
      <w:proofErr w:type="spellStart"/>
      <w:r w:rsidRPr="00B7268C">
        <w:rPr>
          <w:b/>
          <w:i/>
        </w:rPr>
        <w:t>spondyloarthritis</w:t>
      </w:r>
      <w:proofErr w:type="spellEnd"/>
      <w:r w:rsidRPr="00B7268C">
        <w:rPr>
          <w:b/>
          <w:i/>
        </w:rPr>
        <w:t xml:space="preserve"> (</w:t>
      </w:r>
      <w:proofErr w:type="spellStart"/>
      <w:r w:rsidRPr="00B7268C">
        <w:rPr>
          <w:b/>
          <w:i/>
        </w:rPr>
        <w:t>axSpA</w:t>
      </w:r>
      <w:proofErr w:type="spellEnd"/>
      <w:r w:rsidRPr="00B7268C">
        <w:rPr>
          <w:b/>
          <w:i/>
        </w:rPr>
        <w:t xml:space="preserve"> without radiographic damage)</w:t>
      </w:r>
    </w:p>
    <w:p w14:paraId="354B688E" w14:textId="77777777" w:rsidR="00A420B0" w:rsidRPr="00B7268C" w:rsidRDefault="00A420B0" w:rsidP="00A420B0">
      <w:pPr>
        <w:ind w:left="720"/>
        <w:rPr>
          <w:i/>
        </w:rPr>
      </w:pPr>
      <w:proofErr w:type="spellStart"/>
      <w:r w:rsidRPr="00B7268C">
        <w:rPr>
          <w:i/>
        </w:rPr>
        <w:t>Cosentyx</w:t>
      </w:r>
      <w:proofErr w:type="spellEnd"/>
      <w:r w:rsidRPr="00B7268C">
        <w:rPr>
          <w:i/>
        </w:rPr>
        <w:t xml:space="preserve"> is indicated for the treatment of adults with active non-radiographic axial </w:t>
      </w:r>
      <w:proofErr w:type="spellStart"/>
      <w:r w:rsidRPr="00B7268C">
        <w:rPr>
          <w:i/>
        </w:rPr>
        <w:t>spondyloarthritis</w:t>
      </w:r>
      <w:proofErr w:type="spellEnd"/>
      <w:r w:rsidRPr="00B7268C">
        <w:rPr>
          <w:i/>
        </w:rPr>
        <w:t xml:space="preserve"> (</w:t>
      </w:r>
      <w:proofErr w:type="spellStart"/>
      <w:r w:rsidRPr="00B7268C">
        <w:rPr>
          <w:i/>
        </w:rPr>
        <w:t>nr-axSpA</w:t>
      </w:r>
      <w:proofErr w:type="spellEnd"/>
      <w:r w:rsidRPr="00B7268C">
        <w:rPr>
          <w:i/>
        </w:rPr>
        <w:t xml:space="preserve">) with objective signs of inflammation as indicated by elevated </w:t>
      </w:r>
      <w:proofErr w:type="spellStart"/>
      <w:r w:rsidRPr="00B7268C">
        <w:rPr>
          <w:i/>
        </w:rPr>
        <w:t>C_reactive</w:t>
      </w:r>
      <w:proofErr w:type="spellEnd"/>
      <w:r w:rsidRPr="00B7268C">
        <w:rPr>
          <w:i/>
        </w:rPr>
        <w:t xml:space="preserve"> protein (CRP) and/or MRI change, who have had an inadequate response to, or are intolerant to NSAIDs.</w:t>
      </w:r>
    </w:p>
    <w:p w14:paraId="28F6D8B8" w14:textId="77777777" w:rsidR="00A420B0" w:rsidRDefault="00A420B0" w:rsidP="00A420B0">
      <w:r>
        <w:t>The full indications are now:</w:t>
      </w:r>
    </w:p>
    <w:p w14:paraId="20E4C91D" w14:textId="77777777" w:rsidR="00A420B0" w:rsidRPr="00B7268C" w:rsidRDefault="00A420B0" w:rsidP="00A420B0">
      <w:pPr>
        <w:ind w:firstLine="720"/>
        <w:rPr>
          <w:b/>
          <w:i/>
        </w:rPr>
      </w:pPr>
      <w:r w:rsidRPr="00B7268C">
        <w:rPr>
          <w:b/>
          <w:i/>
        </w:rPr>
        <w:t>Plaque psoriasis</w:t>
      </w:r>
    </w:p>
    <w:p w14:paraId="04040ED8" w14:textId="77777777" w:rsidR="00A420B0" w:rsidRDefault="00A420B0" w:rsidP="00A420B0">
      <w:pPr>
        <w:ind w:left="720"/>
        <w:rPr>
          <w:i/>
        </w:rPr>
      </w:pPr>
      <w:proofErr w:type="spellStart"/>
      <w:r w:rsidRPr="00B7268C">
        <w:rPr>
          <w:i/>
        </w:rPr>
        <w:t>Cosentyx</w:t>
      </w:r>
      <w:proofErr w:type="spellEnd"/>
      <w:r w:rsidRPr="00B7268C">
        <w:rPr>
          <w:i/>
        </w:rPr>
        <w:t xml:space="preserve"> is indicated for the treatment of moderate to severe plaque psoriasis in adult patients who are candidates for systemic therapy or phototherapy.</w:t>
      </w:r>
    </w:p>
    <w:p w14:paraId="53A6D90F" w14:textId="77777777" w:rsidR="008E0D88" w:rsidRPr="008E0D88" w:rsidRDefault="008E0D88" w:rsidP="008E0D88">
      <w:pPr>
        <w:ind w:firstLine="720"/>
        <w:rPr>
          <w:b/>
          <w:i/>
        </w:rPr>
      </w:pPr>
      <w:r w:rsidRPr="008E0D88">
        <w:rPr>
          <w:b/>
          <w:i/>
        </w:rPr>
        <w:t>Psoriatic arthritis</w:t>
      </w:r>
    </w:p>
    <w:p w14:paraId="20F25B37" w14:textId="76E7A70B" w:rsidR="008E0D88" w:rsidRPr="008E0D88" w:rsidRDefault="00F740FE" w:rsidP="008E0D88">
      <w:pPr>
        <w:ind w:left="720"/>
        <w:rPr>
          <w:i/>
        </w:rPr>
      </w:pPr>
      <w:proofErr w:type="spellStart"/>
      <w:r w:rsidRPr="008E0D88">
        <w:rPr>
          <w:i/>
        </w:rPr>
        <w:t>Cosentyx</w:t>
      </w:r>
      <w:proofErr w:type="spellEnd"/>
      <w:r w:rsidR="008E0D88" w:rsidRPr="008E0D88">
        <w:rPr>
          <w:i/>
        </w:rPr>
        <w:t xml:space="preserve"> is indicated for the treatment of adult patients with active psoriatic arthritis when the response to previous disease-modifying anti-rheumatic drug (DMARD) therapy has been inadequate.</w:t>
      </w:r>
    </w:p>
    <w:p w14:paraId="2ABA1584" w14:textId="3C29FCB8" w:rsidR="00A420B0" w:rsidRPr="00B84498" w:rsidRDefault="00A420B0" w:rsidP="00A420B0">
      <w:pPr>
        <w:ind w:left="720"/>
        <w:rPr>
          <w:b/>
          <w:i/>
        </w:rPr>
      </w:pPr>
      <w:r w:rsidRPr="00B84498">
        <w:rPr>
          <w:b/>
          <w:i/>
        </w:rPr>
        <w:t xml:space="preserve">Axial </w:t>
      </w:r>
      <w:proofErr w:type="spellStart"/>
      <w:r w:rsidRPr="00B84498">
        <w:rPr>
          <w:b/>
          <w:i/>
        </w:rPr>
        <w:t>spondyloarthritis</w:t>
      </w:r>
      <w:proofErr w:type="spellEnd"/>
      <w:r w:rsidRPr="00B84498">
        <w:rPr>
          <w:b/>
          <w:i/>
        </w:rPr>
        <w:t xml:space="preserve"> (</w:t>
      </w:r>
      <w:proofErr w:type="spellStart"/>
      <w:r w:rsidRPr="00B84498">
        <w:rPr>
          <w:b/>
          <w:i/>
        </w:rPr>
        <w:t>axSpA</w:t>
      </w:r>
      <w:proofErr w:type="spellEnd"/>
      <w:r w:rsidRPr="00B84498">
        <w:rPr>
          <w:b/>
          <w:i/>
        </w:rPr>
        <w:t>) with or without radiographic damage</w:t>
      </w:r>
    </w:p>
    <w:p w14:paraId="3FD82067" w14:textId="77777777" w:rsidR="00A420B0" w:rsidRPr="00B84498" w:rsidRDefault="00A420B0" w:rsidP="00A420B0">
      <w:pPr>
        <w:ind w:left="720"/>
        <w:rPr>
          <w:b/>
          <w:i/>
        </w:rPr>
      </w:pPr>
      <w:r w:rsidRPr="00B84498">
        <w:rPr>
          <w:b/>
          <w:i/>
        </w:rPr>
        <w:t>Ankylosing spondylitis (</w:t>
      </w:r>
      <w:proofErr w:type="spellStart"/>
      <w:r w:rsidRPr="00B84498">
        <w:rPr>
          <w:b/>
          <w:i/>
        </w:rPr>
        <w:t>axSpA</w:t>
      </w:r>
      <w:proofErr w:type="spellEnd"/>
      <w:r w:rsidRPr="00B84498">
        <w:rPr>
          <w:b/>
          <w:i/>
        </w:rPr>
        <w:t xml:space="preserve"> with radiographic damage)</w:t>
      </w:r>
    </w:p>
    <w:p w14:paraId="615FD2C7" w14:textId="77777777" w:rsidR="00A420B0" w:rsidRPr="00B84498" w:rsidRDefault="00A420B0" w:rsidP="00A420B0">
      <w:pPr>
        <w:ind w:left="720"/>
        <w:rPr>
          <w:i/>
        </w:rPr>
      </w:pPr>
      <w:proofErr w:type="spellStart"/>
      <w:r w:rsidRPr="00B84498">
        <w:rPr>
          <w:i/>
        </w:rPr>
        <w:t>Cosentyx</w:t>
      </w:r>
      <w:proofErr w:type="spellEnd"/>
      <w:r w:rsidRPr="00B84498">
        <w:rPr>
          <w:i/>
        </w:rPr>
        <w:t xml:space="preserve"> is indicated for the treatment of adult patients with active ankylosing spondylitis.</w:t>
      </w:r>
    </w:p>
    <w:p w14:paraId="34260172" w14:textId="77777777" w:rsidR="00A420B0" w:rsidRPr="00B84498" w:rsidRDefault="00A420B0" w:rsidP="00A420B0">
      <w:pPr>
        <w:ind w:left="720"/>
        <w:rPr>
          <w:b/>
          <w:i/>
        </w:rPr>
      </w:pPr>
      <w:r w:rsidRPr="00B84498">
        <w:rPr>
          <w:b/>
          <w:i/>
        </w:rPr>
        <w:t xml:space="preserve">Non-radiographic axial </w:t>
      </w:r>
      <w:proofErr w:type="spellStart"/>
      <w:r w:rsidRPr="00B84498">
        <w:rPr>
          <w:b/>
          <w:i/>
        </w:rPr>
        <w:t>spondyloarthritis</w:t>
      </w:r>
      <w:proofErr w:type="spellEnd"/>
      <w:r w:rsidRPr="00B84498">
        <w:rPr>
          <w:b/>
          <w:i/>
        </w:rPr>
        <w:t xml:space="preserve"> (</w:t>
      </w:r>
      <w:proofErr w:type="spellStart"/>
      <w:r w:rsidRPr="00B84498">
        <w:rPr>
          <w:b/>
          <w:i/>
        </w:rPr>
        <w:t>axSpA</w:t>
      </w:r>
      <w:proofErr w:type="spellEnd"/>
      <w:r w:rsidRPr="00B84498">
        <w:rPr>
          <w:b/>
          <w:i/>
        </w:rPr>
        <w:t xml:space="preserve"> without radiographic damage)</w:t>
      </w:r>
    </w:p>
    <w:p w14:paraId="3112547F" w14:textId="77777777" w:rsidR="00A420B0" w:rsidRPr="00B7268C" w:rsidRDefault="00A420B0" w:rsidP="00A420B0">
      <w:pPr>
        <w:ind w:left="720"/>
        <w:rPr>
          <w:i/>
        </w:rPr>
      </w:pPr>
      <w:proofErr w:type="spellStart"/>
      <w:r w:rsidRPr="00B84498">
        <w:rPr>
          <w:i/>
        </w:rPr>
        <w:t>Cosentyx</w:t>
      </w:r>
      <w:proofErr w:type="spellEnd"/>
      <w:r w:rsidRPr="00B84498">
        <w:rPr>
          <w:i/>
        </w:rPr>
        <w:t xml:space="preserve"> is indicated for the treatment of adults wit</w:t>
      </w:r>
      <w:r>
        <w:rPr>
          <w:i/>
        </w:rPr>
        <w:t xml:space="preserve">h active non-radiographic axial </w:t>
      </w:r>
      <w:proofErr w:type="spellStart"/>
      <w:r w:rsidRPr="00B84498">
        <w:rPr>
          <w:i/>
        </w:rPr>
        <w:t>spondyloarthritis</w:t>
      </w:r>
      <w:proofErr w:type="spellEnd"/>
      <w:r w:rsidRPr="00B84498">
        <w:rPr>
          <w:i/>
        </w:rPr>
        <w:t xml:space="preserve"> (</w:t>
      </w:r>
      <w:proofErr w:type="spellStart"/>
      <w:r w:rsidRPr="00B84498">
        <w:rPr>
          <w:i/>
        </w:rPr>
        <w:t>nr-axSpA</w:t>
      </w:r>
      <w:proofErr w:type="spellEnd"/>
      <w:r w:rsidRPr="00B84498">
        <w:rPr>
          <w:i/>
        </w:rPr>
        <w:t xml:space="preserve">) with objective signs of inflammation as </w:t>
      </w:r>
      <w:r>
        <w:rPr>
          <w:i/>
        </w:rPr>
        <w:t xml:space="preserve">indicated by elevated C-reactive </w:t>
      </w:r>
      <w:r w:rsidRPr="00B84498">
        <w:rPr>
          <w:i/>
        </w:rPr>
        <w:t>protein (CRP) and/or MRI change, who have had an</w:t>
      </w:r>
      <w:r>
        <w:rPr>
          <w:i/>
        </w:rPr>
        <w:t xml:space="preserve"> inadequate response to, or are </w:t>
      </w:r>
      <w:r w:rsidRPr="00B84498">
        <w:rPr>
          <w:i/>
        </w:rPr>
        <w:t>intolerant to, NSAIDs.</w:t>
      </w:r>
    </w:p>
    <w:p w14:paraId="27405D10" w14:textId="77777777" w:rsidR="00A420B0" w:rsidRPr="00D23139" w:rsidRDefault="00A420B0" w:rsidP="00A420B0">
      <w:pPr>
        <w:pStyle w:val="Heading4"/>
      </w:pPr>
      <w:r w:rsidRPr="00D23139">
        <w:t>Specific conditions of registration applying to these goods</w:t>
      </w:r>
    </w:p>
    <w:p w14:paraId="6B3EE8E1" w14:textId="77777777" w:rsidR="00A420B0" w:rsidRPr="00B84498" w:rsidRDefault="00A420B0" w:rsidP="00A420B0">
      <w:r w:rsidRPr="00B84498">
        <w:t>This approval does not impose any requirement for the submission of Periodic Safety</w:t>
      </w:r>
      <w:r>
        <w:t xml:space="preserve"> </w:t>
      </w:r>
      <w:r w:rsidRPr="00B84498">
        <w:t>Update reports. You should note that it is a requirement</w:t>
      </w:r>
      <w:r>
        <w:t xml:space="preserve"> that all existing requirements </w:t>
      </w:r>
      <w:r w:rsidRPr="00B84498">
        <w:t>for the submission of PSURs as a consequence of the initial regist</w:t>
      </w:r>
      <w:r>
        <w:t xml:space="preserve">ration or subsequent </w:t>
      </w:r>
      <w:r w:rsidRPr="00B84498">
        <w:t>changes must be completed.</w:t>
      </w:r>
    </w:p>
    <w:p w14:paraId="6778F72C" w14:textId="77777777" w:rsidR="00A420B0" w:rsidRPr="00B84498" w:rsidRDefault="00A420B0" w:rsidP="00A420B0">
      <w:r w:rsidRPr="00B84498">
        <w:t xml:space="preserve">You are reminded that sections 29A and 29AA of the </w:t>
      </w:r>
      <w:r>
        <w:t xml:space="preserve">Therapeutic Goods Act 1989 </w:t>
      </w:r>
      <w:r w:rsidRPr="00B84498">
        <w:t>provide for penalties where there has been failure to inform the Secretary in writing, as</w:t>
      </w:r>
      <w:r>
        <w:t xml:space="preserve"> </w:t>
      </w:r>
      <w:r w:rsidRPr="00B84498">
        <w:t>soon as a person has become aware, of:</w:t>
      </w:r>
    </w:p>
    <w:p w14:paraId="26AF4181" w14:textId="77777777" w:rsidR="00A420B0" w:rsidRDefault="00A420B0" w:rsidP="00A420B0">
      <w:pPr>
        <w:pStyle w:val="ListBullet"/>
        <w:rPr>
          <w:lang w:val="en-GB"/>
        </w:rPr>
      </w:pPr>
      <w:r>
        <w:rPr>
          <w:lang w:val="en-GB"/>
        </w:rPr>
        <w:t>information that contradicts information already given by the person under this Act;</w:t>
      </w:r>
    </w:p>
    <w:p w14:paraId="2C70C8A2" w14:textId="77777777" w:rsidR="00A420B0" w:rsidRDefault="00A420B0" w:rsidP="00A420B0">
      <w:pPr>
        <w:pStyle w:val="ListBullet"/>
        <w:rPr>
          <w:lang w:val="en-GB"/>
        </w:rPr>
      </w:pPr>
      <w:r>
        <w:rPr>
          <w:lang w:val="en-GB"/>
        </w:rPr>
        <w:t>information that indicates that the use of the goods in accordance with the recommendations for their use may have an unintended harmful effect;</w:t>
      </w:r>
    </w:p>
    <w:p w14:paraId="7DCDAF5D" w14:textId="77777777" w:rsidR="00A420B0" w:rsidRDefault="00A420B0" w:rsidP="00A420B0">
      <w:pPr>
        <w:pStyle w:val="ListBullet"/>
        <w:rPr>
          <w:lang w:val="en-GB"/>
        </w:rPr>
      </w:pPr>
      <w:r>
        <w:rPr>
          <w:lang w:val="en-GB"/>
        </w:rPr>
        <w:t>information that indicates that the goods, when used in accordance with the recommendations for their use, may not be as effective as the application for registration or listing of the goods or information already given by the person under this Act suggests;</w:t>
      </w:r>
    </w:p>
    <w:p w14:paraId="4DAB9FCD" w14:textId="00907AF5" w:rsidR="00F8450F" w:rsidRPr="00A420B0" w:rsidRDefault="00A420B0" w:rsidP="00D90816">
      <w:pPr>
        <w:pStyle w:val="ListBullet"/>
        <w:rPr>
          <w:lang w:val="en-GB"/>
        </w:rPr>
      </w:pPr>
      <w:r>
        <w:rPr>
          <w:lang w:val="en-GB"/>
        </w:rPr>
        <w:t>information that indicates that the quality, safety or efficacy of the goods is unacceptable.</w:t>
      </w:r>
    </w:p>
    <w:p w14:paraId="5C9BA38B" w14:textId="77777777" w:rsidR="008E7846" w:rsidRDefault="00A80B5B" w:rsidP="00D23139">
      <w:pPr>
        <w:pStyle w:val="Heading2"/>
      </w:pPr>
      <w:bookmarkStart w:id="43" w:name="_Toc247691533"/>
      <w:bookmarkStart w:id="44" w:name="_Toc314842517"/>
      <w:bookmarkStart w:id="45" w:name="_Toc63175303"/>
      <w:bookmarkEnd w:id="30"/>
      <w:r>
        <w:t xml:space="preserve">Attachment 1. </w:t>
      </w:r>
      <w:r w:rsidR="008E7846">
        <w:t xml:space="preserve">Product </w:t>
      </w:r>
      <w:r w:rsidR="00AA0ED0">
        <w:t>I</w:t>
      </w:r>
      <w:r w:rsidR="008E7846">
        <w:t>nformation</w:t>
      </w:r>
      <w:bookmarkEnd w:id="43"/>
      <w:bookmarkEnd w:id="44"/>
      <w:bookmarkEnd w:id="45"/>
    </w:p>
    <w:p w14:paraId="59DDFA17" w14:textId="541150A3" w:rsidR="00C80137" w:rsidRDefault="006136D7" w:rsidP="00C80137">
      <w:pPr>
        <w:rPr>
          <w:color w:val="000000"/>
          <w:lang w:eastAsia="en-AU"/>
        </w:rPr>
      </w:pPr>
      <w:r w:rsidRPr="002B3624">
        <w:t xml:space="preserve">The </w:t>
      </w:r>
      <w:r>
        <w:t>PI</w:t>
      </w:r>
      <w:r w:rsidRPr="002B3624">
        <w:t xml:space="preserve"> for </w:t>
      </w:r>
      <w:proofErr w:type="spellStart"/>
      <w:r w:rsidR="0005105D">
        <w:t>Cosentyx</w:t>
      </w:r>
      <w:proofErr w:type="spellEnd"/>
      <w:r w:rsidRPr="002B3624">
        <w:t xml:space="preserve"> </w:t>
      </w:r>
      <w:r>
        <w:t xml:space="preserve">approved with the submission which is described in </w:t>
      </w:r>
      <w:r w:rsidRPr="002B3624">
        <w:t xml:space="preserve">this AusPAR is at Attachment 1. For the most recent </w:t>
      </w:r>
      <w:r>
        <w:t>PI,</w:t>
      </w:r>
      <w:r w:rsidRPr="002B3624">
        <w:t xml:space="preserve"> please refer to the </w:t>
      </w:r>
      <w:r w:rsidRPr="007C6B9B">
        <w:t xml:space="preserve">TGA website at </w:t>
      </w:r>
      <w:r w:rsidR="007C6B9B" w:rsidRPr="007C6B9B">
        <w:t>&lt;</w:t>
      </w:r>
      <w:hyperlink r:id="rId25" w:history="1">
        <w:r w:rsidR="007C6B9B" w:rsidRPr="007C6B9B">
          <w:rPr>
            <w:rStyle w:val="Hyperlink"/>
          </w:rPr>
          <w:t>https://www.tga.gov.au/product-information-pi</w:t>
        </w:r>
      </w:hyperlink>
      <w:r w:rsidR="0005105D">
        <w:t>&gt;.</w:t>
      </w:r>
    </w:p>
    <w:p w14:paraId="37EF342A" w14:textId="16CDF777" w:rsidR="00744121" w:rsidRDefault="008E7846" w:rsidP="00E43A60">
      <w:pPr>
        <w:autoSpaceDE w:val="0"/>
        <w:autoSpaceDN w:val="0"/>
        <w:adjustRightInd w:val="0"/>
        <w:spacing w:after="0"/>
        <w:rPr>
          <w:lang w:eastAsia="ja-JP"/>
        </w:rPr>
      </w:pPr>
      <w:r w:rsidRPr="00C80137">
        <w:rPr>
          <w:b/>
        </w:rPr>
        <w:br w:type="page"/>
      </w:r>
    </w:p>
    <w:p w14:paraId="6EB0F0BE" w14:textId="77777777" w:rsidR="00C80137" w:rsidRPr="001D043B" w:rsidRDefault="00C80137" w:rsidP="003A7F6C">
      <w:pPr>
        <w:pStyle w:val="TableTitle"/>
        <w:sectPr w:rsidR="00C80137" w:rsidRPr="001D043B" w:rsidSect="00B452CE">
          <w:headerReference w:type="even" r:id="rId26"/>
          <w:headerReference w:type="default" r:id="rId27"/>
          <w:headerReference w:type="first" r:id="rId28"/>
          <w:footerReference w:type="first" r:id="rId29"/>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14:paraId="39CEB81D" w14:textId="77777777" w:rsidTr="00A05FA4">
        <w:trPr>
          <w:trHeight w:hRule="exact" w:val="704"/>
        </w:trPr>
        <w:tc>
          <w:tcPr>
            <w:tcW w:w="9175" w:type="dxa"/>
          </w:tcPr>
          <w:p w14:paraId="15109FCA" w14:textId="77777777" w:rsidR="001C32CD" w:rsidRPr="00487162" w:rsidRDefault="001C32CD" w:rsidP="00A05FA4">
            <w:pPr>
              <w:pStyle w:val="TGASignoff"/>
            </w:pPr>
            <w:r w:rsidRPr="00487162">
              <w:t>Therapeutic Goods Administration</w:t>
            </w:r>
          </w:p>
        </w:tc>
      </w:tr>
      <w:tr w:rsidR="001C32CD" w:rsidRPr="004C239D" w14:paraId="3DC720DC" w14:textId="77777777" w:rsidTr="00A05FA4">
        <w:trPr>
          <w:trHeight w:val="1221"/>
        </w:trPr>
        <w:tc>
          <w:tcPr>
            <w:tcW w:w="9175" w:type="dxa"/>
            <w:tcMar>
              <w:top w:w="28" w:type="dxa"/>
            </w:tcMar>
          </w:tcPr>
          <w:p w14:paraId="4A79FF0F" w14:textId="77777777" w:rsidR="001C32CD" w:rsidRPr="00487162" w:rsidRDefault="001C32CD" w:rsidP="00A05FA4">
            <w:pPr>
              <w:pStyle w:val="Address"/>
            </w:pPr>
            <w:r w:rsidRPr="00487162">
              <w:t>PO Box 100 Woden ACT 2606 Australia</w:t>
            </w:r>
          </w:p>
          <w:p w14:paraId="453ACA13" w14:textId="374F522F" w:rsidR="001C32CD" w:rsidRPr="00487162" w:rsidRDefault="001C32CD" w:rsidP="00A05FA4">
            <w:pPr>
              <w:pStyle w:val="Address"/>
            </w:pPr>
            <w:r w:rsidRPr="00487162">
              <w:t xml:space="preserve">Email: </w:t>
            </w:r>
            <w:hyperlink r:id="rId30" w:history="1">
              <w:r w:rsidRPr="004C239D">
                <w:rPr>
                  <w:rStyle w:val="Hyperlink"/>
                </w:rPr>
                <w:t>info@tga.gov.au</w:t>
              </w:r>
            </w:hyperlink>
            <w:r w:rsidRPr="00487162">
              <w:t xml:space="preserve">  Phone: 1800 020 653  Fax: 02 6232 8605</w:t>
            </w:r>
          </w:p>
          <w:p w14:paraId="7B671CC1" w14:textId="7910AE29" w:rsidR="001C32CD" w:rsidRPr="004C239D" w:rsidRDefault="00FC13EA" w:rsidP="00A05FA4">
            <w:pPr>
              <w:pStyle w:val="Address"/>
              <w:spacing w:line="260" w:lineRule="atLeast"/>
              <w:rPr>
                <w:b/>
                <w:color w:val="0000FF"/>
                <w:u w:val="single"/>
              </w:rPr>
            </w:pPr>
            <w:hyperlink r:id="rId31" w:history="1">
              <w:r w:rsidR="007C6B9B" w:rsidRPr="007C6B9B">
                <w:rPr>
                  <w:rStyle w:val="Hyperlink"/>
                  <w:b/>
                </w:rPr>
                <w:t>https://www.tga.gov.au</w:t>
              </w:r>
            </w:hyperlink>
          </w:p>
        </w:tc>
      </w:tr>
    </w:tbl>
    <w:p w14:paraId="1B445E6F" w14:textId="77777777" w:rsidR="00774E1D" w:rsidRPr="008A5E0B" w:rsidRDefault="00774E1D" w:rsidP="004C239D"/>
    <w:sectPr w:rsidR="00774E1D" w:rsidRPr="008A5E0B" w:rsidSect="001C32CD">
      <w:headerReference w:type="even" r:id="rId32"/>
      <w:headerReference w:type="default" r:id="rId33"/>
      <w:footerReference w:type="default" r:id="rId34"/>
      <w:headerReference w:type="first" r:id="rId35"/>
      <w:footerReference w:type="first" r:id="rId36"/>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A50B1" w14:textId="77777777" w:rsidR="00FC13EA" w:rsidRDefault="00FC13EA" w:rsidP="00C40A36">
      <w:pPr>
        <w:spacing w:after="0"/>
      </w:pPr>
      <w:r>
        <w:separator/>
      </w:r>
    </w:p>
  </w:endnote>
  <w:endnote w:type="continuationSeparator" w:id="0">
    <w:p w14:paraId="63A057B1" w14:textId="77777777" w:rsidR="00FC13EA" w:rsidRDefault="00FC13EA"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FD12C" w14:textId="77777777" w:rsidR="00FC13EA" w:rsidRDefault="00FC1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513"/>
      <w:gridCol w:w="1348"/>
    </w:tblGrid>
    <w:tr w:rsidR="00FC13EA" w:rsidRPr="00487162" w14:paraId="609FDF4D" w14:textId="77777777" w:rsidTr="00BB3445">
      <w:trPr>
        <w:trHeight w:val="269"/>
      </w:trPr>
      <w:tc>
        <w:tcPr>
          <w:tcW w:w="7513" w:type="dxa"/>
          <w:tcMar>
            <w:top w:w="142" w:type="dxa"/>
            <w:bottom w:w="0" w:type="dxa"/>
          </w:tcMar>
        </w:tcPr>
        <w:p w14:paraId="2DDFF997" w14:textId="5D8623C7" w:rsidR="00FC13EA" w:rsidRPr="00487162" w:rsidRDefault="00FC13EA" w:rsidP="00BB3445">
          <w:pPr>
            <w:pStyle w:val="Footer"/>
          </w:pPr>
          <w:r w:rsidRPr="00487162">
            <w:t>AusPA</w:t>
          </w:r>
          <w:r>
            <w:t xml:space="preserve">R - </w:t>
          </w:r>
          <w:proofErr w:type="spellStart"/>
          <w:r>
            <w:t>Cosentyx</w:t>
          </w:r>
          <w:proofErr w:type="spellEnd"/>
          <w:r>
            <w:t xml:space="preserve"> – </w:t>
          </w:r>
          <w:proofErr w:type="spellStart"/>
          <w:r>
            <w:t>secukinumab</w:t>
          </w:r>
          <w:proofErr w:type="spellEnd"/>
          <w:r>
            <w:t xml:space="preserve"> – Novartis Pharmaceuticals Australia Pty Ltd </w:t>
          </w:r>
          <w:r w:rsidRPr="002C0D08">
            <w:t>PM-2019-04601-1-3</w:t>
          </w:r>
          <w:r>
            <w:t xml:space="preserve"> FINAL</w:t>
          </w:r>
          <w:r w:rsidRPr="00487162">
            <w:t xml:space="preserve"> </w:t>
          </w:r>
          <w:r>
            <w:t>27 January 2021</w:t>
          </w:r>
        </w:p>
      </w:tc>
      <w:tc>
        <w:tcPr>
          <w:tcW w:w="1348" w:type="dxa"/>
          <w:tcMar>
            <w:top w:w="142" w:type="dxa"/>
            <w:bottom w:w="0" w:type="dxa"/>
          </w:tcMar>
        </w:tcPr>
        <w:p w14:paraId="0476E79B" w14:textId="08AFC368" w:rsidR="00FC13EA" w:rsidRPr="00487162" w:rsidRDefault="00FC13EA" w:rsidP="00DB750B">
          <w:pPr>
            <w:pStyle w:val="Footer"/>
            <w:jc w:val="right"/>
          </w:pPr>
          <w:r w:rsidRPr="00487162">
            <w:t xml:space="preserve">Page </w:t>
          </w:r>
          <w:r>
            <w:fldChar w:fldCharType="begin"/>
          </w:r>
          <w:r>
            <w:instrText xml:space="preserve"> PAGE  \* Arabic </w:instrText>
          </w:r>
          <w:r>
            <w:fldChar w:fldCharType="separate"/>
          </w:r>
          <w:r w:rsidR="00EC756C">
            <w:rPr>
              <w:noProof/>
            </w:rPr>
            <w:t>3</w:t>
          </w:r>
          <w:r>
            <w:fldChar w:fldCharType="end"/>
          </w:r>
          <w:r w:rsidRPr="00487162">
            <w:t xml:space="preserve"> of </w:t>
          </w:r>
          <w:fldSimple w:instr=" NUMPAGES  \* Arabic ">
            <w:r w:rsidR="00EC756C">
              <w:rPr>
                <w:noProof/>
              </w:rPr>
              <w:t>27</w:t>
            </w:r>
          </w:fldSimple>
        </w:p>
      </w:tc>
    </w:tr>
  </w:tbl>
  <w:p w14:paraId="70467D70" w14:textId="77777777" w:rsidR="00FC13EA" w:rsidRDefault="00FC13EA" w:rsidP="003D1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55F45" w14:textId="77777777" w:rsidR="00FC13EA" w:rsidRDefault="00FC13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FC13EA" w:rsidRPr="00487162" w14:paraId="3CE79FED" w14:textId="77777777" w:rsidTr="00E45619">
      <w:trPr>
        <w:trHeight w:val="269"/>
      </w:trPr>
      <w:tc>
        <w:tcPr>
          <w:tcW w:w="4519" w:type="dxa"/>
          <w:tcBorders>
            <w:top w:val="single" w:sz="4" w:space="0" w:color="auto"/>
          </w:tcBorders>
          <w:tcMar>
            <w:top w:w="142" w:type="dxa"/>
            <w:bottom w:w="0" w:type="dxa"/>
          </w:tcMar>
        </w:tcPr>
        <w:p w14:paraId="76DD8D4D" w14:textId="77777777" w:rsidR="00FC13EA" w:rsidRPr="00487162" w:rsidRDefault="00FC13EA" w:rsidP="00FE1DEE">
          <w:pPr>
            <w:pStyle w:val="Footer"/>
          </w:pPr>
          <w:r w:rsidRPr="00487162">
            <w:t>Document title, Part #, Section # - Section title</w:t>
          </w:r>
        </w:p>
        <w:p w14:paraId="2C82B41E" w14:textId="77777777" w:rsidR="00FC13EA" w:rsidRPr="00487162" w:rsidRDefault="00FC13EA" w:rsidP="00FE1DEE">
          <w:pPr>
            <w:pStyle w:val="Footer"/>
          </w:pPr>
          <w:r w:rsidRPr="00487162">
            <w:t>V1.0 October 2010</w:t>
          </w:r>
        </w:p>
      </w:tc>
      <w:tc>
        <w:tcPr>
          <w:tcW w:w="4342" w:type="dxa"/>
          <w:tcBorders>
            <w:top w:val="single" w:sz="4" w:space="0" w:color="auto"/>
          </w:tcBorders>
          <w:tcMar>
            <w:top w:w="142" w:type="dxa"/>
            <w:bottom w:w="0" w:type="dxa"/>
          </w:tcMar>
        </w:tcPr>
        <w:p w14:paraId="2D44A12A" w14:textId="77777777" w:rsidR="00FC13EA" w:rsidRPr="00487162" w:rsidRDefault="00FC13EA"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2</w:t>
            </w:r>
          </w:fldSimple>
        </w:p>
      </w:tc>
    </w:tr>
  </w:tbl>
  <w:p w14:paraId="1CEF0E82" w14:textId="77777777" w:rsidR="00FC13EA" w:rsidRDefault="00FC13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2798E" w14:textId="77777777" w:rsidR="00FC13EA" w:rsidRPr="001C32CD" w:rsidRDefault="00FC13EA" w:rsidP="001C32C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FC13EA" w14:paraId="7E22F91C" w14:textId="77777777" w:rsidTr="0010601F">
      <w:trPr>
        <w:trHeight w:val="108"/>
      </w:trPr>
      <w:tc>
        <w:tcPr>
          <w:tcW w:w="8875" w:type="dxa"/>
          <w:gridSpan w:val="2"/>
          <w:tcBorders>
            <w:bottom w:val="single" w:sz="4" w:space="0" w:color="auto"/>
          </w:tcBorders>
          <w:tcMar>
            <w:right w:w="284" w:type="dxa"/>
          </w:tcMar>
        </w:tcPr>
        <w:p w14:paraId="40789926" w14:textId="77777777" w:rsidR="00FC13EA" w:rsidRDefault="00FC13EA" w:rsidP="006E08B3">
          <w:pPr>
            <w:pStyle w:val="Heading3"/>
          </w:pPr>
          <w:r>
            <w:t>Copyright</w:t>
          </w:r>
        </w:p>
        <w:p w14:paraId="6D98188D" w14:textId="77777777" w:rsidR="00FC13EA" w:rsidRDefault="00FC13EA" w:rsidP="006E08B3">
          <w:r>
            <w:rPr>
              <w:rFonts w:cs="Arial"/>
            </w:rPr>
            <w:t>©</w:t>
          </w:r>
          <w:r>
            <w:t xml:space="preserve"> Commonwealth of Australia [add year]</w:t>
          </w:r>
        </w:p>
        <w:p w14:paraId="7EF2B994" w14:textId="77777777" w:rsidR="00FC13EA" w:rsidRDefault="00FC13EA" w:rsidP="006E08B3"/>
        <w:p w14:paraId="40C65362" w14:textId="77777777" w:rsidR="00FC13EA" w:rsidRDefault="00FC13EA"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14:paraId="1379B0BE" w14:textId="77777777" w:rsidR="00FC13EA" w:rsidRDefault="00FC13EA" w:rsidP="006E08B3"/>
        <w:p w14:paraId="3E7E3035" w14:textId="77777777" w:rsidR="00FC13EA" w:rsidRDefault="00FC13EA" w:rsidP="006E08B3">
          <w:pPr>
            <w:pStyle w:val="Heading3"/>
          </w:pPr>
          <w:r>
            <w:t>Confidentiality</w:t>
          </w:r>
        </w:p>
        <w:p w14:paraId="0A0C2A2A" w14:textId="77777777" w:rsidR="00FC13EA" w:rsidRDefault="00FC13EA"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0FBA369F" w14:textId="77777777" w:rsidR="00FC13EA" w:rsidRDefault="00FC13EA" w:rsidP="006E08B3"/>
        <w:p w14:paraId="75CE2F6D" w14:textId="77777777" w:rsidR="00FC13EA" w:rsidRDefault="00FC13EA" w:rsidP="006E08B3">
          <w:r>
            <w:t>For submission made by individuals, all personal details, other than your name, will be removed from your submission before it is published on the TGA’s Internet site.</w:t>
          </w:r>
        </w:p>
        <w:p w14:paraId="01FE553F" w14:textId="77777777" w:rsidR="00FC13EA" w:rsidRDefault="00FC13EA" w:rsidP="006E08B3"/>
        <w:p w14:paraId="1519140D" w14:textId="77777777" w:rsidR="00FC13EA" w:rsidRDefault="00FC13EA"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FC13EA" w14:paraId="6A7BA003" w14:textId="77777777" w:rsidTr="0010601F">
      <w:trPr>
        <w:trHeight w:val="417"/>
      </w:trPr>
      <w:tc>
        <w:tcPr>
          <w:tcW w:w="4519" w:type="dxa"/>
          <w:tcBorders>
            <w:top w:val="single" w:sz="4" w:space="0" w:color="auto"/>
          </w:tcBorders>
          <w:tcMar>
            <w:top w:w="142" w:type="dxa"/>
            <w:bottom w:w="0" w:type="dxa"/>
          </w:tcMar>
        </w:tcPr>
        <w:p w14:paraId="1EBB9578" w14:textId="77777777" w:rsidR="00FC13EA" w:rsidRDefault="00FC13EA" w:rsidP="006E08B3">
          <w:r>
            <w:t>Document title, Part #, Section # - Section title</w:t>
          </w:r>
        </w:p>
        <w:p w14:paraId="1D61DE75" w14:textId="77777777" w:rsidR="00FC13EA" w:rsidRDefault="00FC13EA" w:rsidP="006E08B3">
          <w:r>
            <w:t>V1.0 October 2010</w:t>
          </w:r>
        </w:p>
      </w:tc>
      <w:tc>
        <w:tcPr>
          <w:tcW w:w="4356" w:type="dxa"/>
          <w:tcBorders>
            <w:top w:val="single" w:sz="4" w:space="0" w:color="auto"/>
          </w:tcBorders>
          <w:tcMar>
            <w:top w:w="142" w:type="dxa"/>
            <w:bottom w:w="0" w:type="dxa"/>
          </w:tcMar>
        </w:tcPr>
        <w:p w14:paraId="4E9FFB61" w14:textId="77777777" w:rsidR="00FC13EA" w:rsidRDefault="00FC13EA"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2</w:t>
            </w:r>
          </w:fldSimple>
          <w:r>
            <w:t xml:space="preserve">  </w:t>
          </w:r>
        </w:p>
      </w:tc>
    </w:tr>
  </w:tbl>
  <w:p w14:paraId="23B682E3" w14:textId="77777777" w:rsidR="00FC13EA" w:rsidRDefault="00FC13E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D192E" w14:textId="77777777" w:rsidR="00FC13EA" w:rsidRDefault="00FC13EA" w:rsidP="00C40A36">
      <w:pPr>
        <w:spacing w:after="0"/>
      </w:pPr>
      <w:r>
        <w:separator/>
      </w:r>
    </w:p>
  </w:footnote>
  <w:footnote w:type="continuationSeparator" w:id="0">
    <w:p w14:paraId="15CD7CDF" w14:textId="77777777" w:rsidR="00FC13EA" w:rsidRDefault="00FC13EA" w:rsidP="00C40A36">
      <w:pPr>
        <w:spacing w:after="0"/>
      </w:pPr>
      <w:r>
        <w:continuationSeparator/>
      </w:r>
    </w:p>
  </w:footnote>
  <w:footnote w:id="1">
    <w:p w14:paraId="11757967" w14:textId="77777777" w:rsidR="00FC13EA" w:rsidRDefault="00FC13EA">
      <w:pPr>
        <w:pStyle w:val="FootnoteText"/>
      </w:pPr>
      <w:r>
        <w:rPr>
          <w:rStyle w:val="FootnoteReference"/>
        </w:rPr>
        <w:footnoteRef/>
      </w:r>
      <w:r>
        <w:t xml:space="preserve"> </w:t>
      </w:r>
      <w:r w:rsidRPr="00460036">
        <w:t xml:space="preserve">The </w:t>
      </w:r>
      <w:r w:rsidRPr="00460036">
        <w:rPr>
          <w:b/>
        </w:rPr>
        <w:t>Black Triangle Scheme</w:t>
      </w:r>
      <w:r w:rsidRPr="00460036">
        <w:t xml:space="preserve"> provides a simple means for practitioners and patients to identify certain types of new prescription medicines, including those being used in new ways and to encourage the reporting of adverse events associated with their use. The Black Triangle does not denote that there are known safety problems, just that the TGA is encouraging adverse event reporting to help us build up the full picture of a medicine's safety profile.</w:t>
      </w:r>
    </w:p>
  </w:footnote>
  <w:footnote w:id="2">
    <w:p w14:paraId="1F77AED2" w14:textId="325ADA4E" w:rsidR="00FC13EA" w:rsidRPr="00467E78" w:rsidRDefault="00FC13EA">
      <w:pPr>
        <w:pStyle w:val="FootnoteText"/>
        <w:rPr>
          <w:lang w:val="en-US"/>
        </w:rPr>
      </w:pPr>
      <w:r>
        <w:rPr>
          <w:rStyle w:val="FootnoteReference"/>
        </w:rPr>
        <w:footnoteRef/>
      </w:r>
      <w:r>
        <w:t xml:space="preserve"> </w:t>
      </w:r>
      <w:r w:rsidRPr="00467E78">
        <w:t xml:space="preserve">Yu DT, van Tubergen A. Clinical manifestations of axial </w:t>
      </w:r>
      <w:proofErr w:type="spellStart"/>
      <w:r w:rsidRPr="00467E78">
        <w:t>spondyloarthritis</w:t>
      </w:r>
      <w:proofErr w:type="spellEnd"/>
      <w:r w:rsidRPr="00467E78">
        <w:t xml:space="preserve"> (ankylosing spondylitis and </w:t>
      </w:r>
      <w:proofErr w:type="spellStart"/>
      <w:r w:rsidRPr="00467E78">
        <w:t>nonradiographic</w:t>
      </w:r>
      <w:proofErr w:type="spellEnd"/>
      <w:r w:rsidRPr="00467E78">
        <w:t xml:space="preserve"> axial </w:t>
      </w:r>
      <w:proofErr w:type="spellStart"/>
      <w:r w:rsidRPr="00467E78">
        <w:t>spondyloarthritis</w:t>
      </w:r>
      <w:proofErr w:type="spellEnd"/>
      <w:r w:rsidRPr="00467E78">
        <w:t xml:space="preserve">) in adults. </w:t>
      </w:r>
      <w:proofErr w:type="spellStart"/>
      <w:r w:rsidRPr="00467E78">
        <w:t>UpToDate</w:t>
      </w:r>
      <w:proofErr w:type="spellEnd"/>
      <w:r w:rsidRPr="00467E78">
        <w:t>. Last updated January 2020, accessed 22 June 2020</w:t>
      </w:r>
    </w:p>
  </w:footnote>
  <w:footnote w:id="3">
    <w:p w14:paraId="4A61992A" w14:textId="77777777" w:rsidR="00FC13EA" w:rsidRDefault="00FC13EA" w:rsidP="005D274B">
      <w:pPr>
        <w:pStyle w:val="FootnoteText"/>
      </w:pPr>
      <w:r>
        <w:rPr>
          <w:rStyle w:val="FootnoteReference"/>
        </w:rPr>
        <w:footnoteRef/>
      </w:r>
      <w:r>
        <w:t xml:space="preserve"> </w:t>
      </w:r>
    </w:p>
    <w:p w14:paraId="02D8F34F" w14:textId="77777777" w:rsidR="00FC13EA" w:rsidRDefault="00FC13EA" w:rsidP="005D274B">
      <w:pPr>
        <w:pStyle w:val="FootnoteText"/>
      </w:pPr>
      <w:r>
        <w:t xml:space="preserve">The </w:t>
      </w:r>
      <w:r w:rsidRPr="002C0D08">
        <w:rPr>
          <w:b/>
        </w:rPr>
        <w:t>Bath Ankylosing Spondylitis Disease Activity Index</w:t>
      </w:r>
      <w:r>
        <w:t xml:space="preserve"> (</w:t>
      </w:r>
      <w:r w:rsidRPr="002C0D08">
        <w:rPr>
          <w:b/>
        </w:rPr>
        <w:t>BASDAI</w:t>
      </w:r>
      <w:r>
        <w:t>) is a validated diagnostic tool and is considered to be a gold standard for measuring and evaluating ankylosing spondylitis disease activity.</w:t>
      </w:r>
      <w:r w:rsidRPr="005613F9">
        <w:t xml:space="preserve"> </w:t>
      </w:r>
      <w:r>
        <w:t>The BASDAI is typically conducted by a rheumatologist or allied healthcare professional and can assess the effectiveness of current drug therapy or interventions and/or the need for additional or alternative interventions</w:t>
      </w:r>
      <w:r w:rsidRPr="005613F9">
        <w:t>.</w:t>
      </w:r>
    </w:p>
    <w:p w14:paraId="19EE04BF" w14:textId="4CBBC3AF" w:rsidR="00FC13EA" w:rsidRPr="003F2FF5" w:rsidRDefault="00FC13EA" w:rsidP="005D274B">
      <w:pPr>
        <w:pStyle w:val="FootnoteText"/>
      </w:pPr>
      <w:r>
        <w:t xml:space="preserve">The BASDAI consists of a 0 to 10 scale measuring discomfort, pain, and fatigue (0 being no problem and 10 being the worst problem) in response to six questions asked of the patient pertaining to the five major symptoms of ankylosing spondylitis: fatigue; spinal pain; arthralgia (joint pain) or swelling; </w:t>
      </w:r>
      <w:proofErr w:type="spellStart"/>
      <w:r>
        <w:t>enthesitis</w:t>
      </w:r>
      <w:proofErr w:type="spellEnd"/>
      <w:r>
        <w:t>, or inflammation of tendons and ligaments (areas of localised tenderness where connective tissues insert into bone); morning stiffness duration; and morning stiffness severity. To give each symptom equal weighting, the average of the two scores relating to morning stiffness is taken. The resulting 0 to 50 score is divided by 5 to give a final 0 to 10 BASDAI score. Scores of 4 or more suggest suboptimal control of disease, and those patients are usually good candidates for a change in their medical therapy, may benefit by treatment with biologic therapies, or may be candidates for enrolment in clinical trials evaluating new drug therapies directed at treating the disease process.</w:t>
      </w:r>
    </w:p>
  </w:footnote>
  <w:footnote w:id="4">
    <w:p w14:paraId="3F37DFAA" w14:textId="1A6C7057" w:rsidR="00FC13EA" w:rsidRPr="00C960F3" w:rsidRDefault="00FC13EA">
      <w:pPr>
        <w:pStyle w:val="FootnoteText"/>
        <w:rPr>
          <w:lang w:val="en-US"/>
        </w:rPr>
      </w:pPr>
      <w:r>
        <w:rPr>
          <w:rStyle w:val="FootnoteReference"/>
        </w:rPr>
        <w:footnoteRef/>
      </w:r>
      <w:r>
        <w:t xml:space="preserve"> </w:t>
      </w:r>
      <w:r w:rsidRPr="00C960F3">
        <w:t xml:space="preserve">The </w:t>
      </w:r>
      <w:r w:rsidRPr="002C0D08">
        <w:rPr>
          <w:b/>
        </w:rPr>
        <w:t>modified New York</w:t>
      </w:r>
      <w:r w:rsidRPr="00C960F3">
        <w:t xml:space="preserve"> (</w:t>
      </w:r>
      <w:proofErr w:type="spellStart"/>
      <w:r w:rsidRPr="002C0D08">
        <w:rPr>
          <w:b/>
        </w:rPr>
        <w:t>mNY</w:t>
      </w:r>
      <w:proofErr w:type="spellEnd"/>
      <w:r w:rsidRPr="00C960F3">
        <w:t xml:space="preserve">) </w:t>
      </w:r>
      <w:r w:rsidRPr="002C0D08">
        <w:rPr>
          <w:b/>
        </w:rPr>
        <w:t>criteria</w:t>
      </w:r>
      <w:r w:rsidRPr="00C960F3">
        <w:t xml:space="preserve"> (1984) for ankylosing spondylitis includes the clinical criteria of low back pain ≥ 3 months, improved by exercise and not relieved by rest; limitation of lumbar spine in sagittal and frontal planes; and limitation of chest expansion (relative to normal values corrected for age and sex); plus the radiologica</w:t>
      </w:r>
      <w:r>
        <w:t xml:space="preserve">l criteria of </w:t>
      </w:r>
      <w:r w:rsidRPr="00C960F3">
        <w:t xml:space="preserve">bilateral grade 2-4 </w:t>
      </w:r>
      <w:proofErr w:type="spellStart"/>
      <w:r w:rsidRPr="00C960F3">
        <w:t>sacroiliitis</w:t>
      </w:r>
      <w:proofErr w:type="spellEnd"/>
      <w:r w:rsidRPr="00C960F3">
        <w:t xml:space="preserve">, or; unilateral 3-4 </w:t>
      </w:r>
      <w:proofErr w:type="spellStart"/>
      <w:r w:rsidRPr="00C960F3">
        <w:t>sacroiliitis</w:t>
      </w:r>
      <w:proofErr w:type="spellEnd"/>
      <w:r>
        <w:t>.</w:t>
      </w:r>
    </w:p>
  </w:footnote>
  <w:footnote w:id="5">
    <w:p w14:paraId="05FB9CBB" w14:textId="2D3C42CC" w:rsidR="00FC13EA" w:rsidRPr="00505E17" w:rsidRDefault="00FC13EA">
      <w:pPr>
        <w:pStyle w:val="FootnoteText"/>
        <w:rPr>
          <w:lang w:val="en-US"/>
        </w:rPr>
      </w:pPr>
      <w:r>
        <w:rPr>
          <w:rStyle w:val="FootnoteReference"/>
        </w:rPr>
        <w:footnoteRef/>
      </w:r>
      <w:r>
        <w:t xml:space="preserve"> </w:t>
      </w:r>
      <w:r w:rsidRPr="00505E17">
        <w:t xml:space="preserve">A </w:t>
      </w:r>
      <w:r w:rsidRPr="002C0D08">
        <w:rPr>
          <w:b/>
        </w:rPr>
        <w:t>Visual Analogue Scale</w:t>
      </w:r>
      <w:r w:rsidRPr="00505E17">
        <w:t xml:space="preserve"> (</w:t>
      </w:r>
      <w:r w:rsidRPr="002C0D08">
        <w:rPr>
          <w:b/>
        </w:rPr>
        <w:t>VAS</w:t>
      </w:r>
      <w:r w:rsidRPr="00505E17">
        <w:t>) is a measurement instrument that tries to measure a characteristic or attitude that is believed to range across a continuum of values and cannot easily be directly measured. The pain VAS is a unidimensional measure of pain intensity, which has been widely used in diverse adult populations, including those with rheumatic diseases.</w:t>
      </w:r>
    </w:p>
  </w:footnote>
  <w:footnote w:id="6">
    <w:p w14:paraId="479C47A1" w14:textId="1AEACC15" w:rsidR="00FC13EA" w:rsidRPr="003D0750" w:rsidRDefault="00FC13EA">
      <w:pPr>
        <w:pStyle w:val="FootnoteText"/>
        <w:rPr>
          <w:lang w:val="en-US"/>
        </w:rPr>
      </w:pPr>
      <w:r>
        <w:rPr>
          <w:rStyle w:val="FootnoteReference"/>
        </w:rPr>
        <w:footnoteRef/>
      </w:r>
      <w:r>
        <w:t xml:space="preserve"> </w:t>
      </w:r>
      <w:r w:rsidRPr="003D0750">
        <w:t xml:space="preserve">The </w:t>
      </w:r>
      <w:r w:rsidRPr="002C0D08">
        <w:rPr>
          <w:b/>
        </w:rPr>
        <w:t xml:space="preserve">Assessment of </w:t>
      </w:r>
      <w:proofErr w:type="spellStart"/>
      <w:r w:rsidRPr="002C0D08">
        <w:rPr>
          <w:b/>
        </w:rPr>
        <w:t>SpondyloArthritis</w:t>
      </w:r>
      <w:proofErr w:type="spellEnd"/>
      <w:r w:rsidRPr="002C0D08">
        <w:rPr>
          <w:b/>
        </w:rPr>
        <w:t xml:space="preserve"> International Society </w:t>
      </w:r>
      <w:r>
        <w:rPr>
          <w:b/>
        </w:rPr>
        <w:t>5/6 response</w:t>
      </w:r>
      <w:r>
        <w:t xml:space="preserve"> (</w:t>
      </w:r>
      <w:r w:rsidRPr="002C0D08">
        <w:rPr>
          <w:b/>
        </w:rPr>
        <w:t>ASAS 5/6</w:t>
      </w:r>
      <w:r>
        <w:rPr>
          <w:b/>
        </w:rPr>
        <w:t>)</w:t>
      </w:r>
      <w:r w:rsidRPr="003D0750">
        <w:t xml:space="preserve"> improvement criteria include six domains: patient global, pain, function (assessed by BASFI), inflammation (mean of BASDAI questions 5 and 6), CRP, and spinal mobility (assessed</w:t>
      </w:r>
      <w:r>
        <w:t xml:space="preserve"> by lateral spinal flexion)</w:t>
      </w:r>
      <w:r w:rsidRPr="003D0750">
        <w:t>. In order to meet an ASAS 5/6 improvement, there should be an improvement of at least 20 % in at least five of these six domains.</w:t>
      </w:r>
    </w:p>
  </w:footnote>
  <w:footnote w:id="7">
    <w:p w14:paraId="3130411A" w14:textId="46346806" w:rsidR="00FC13EA" w:rsidRPr="00866B9B" w:rsidRDefault="00FC13EA">
      <w:pPr>
        <w:pStyle w:val="FootnoteText"/>
        <w:rPr>
          <w:lang w:val="en-US"/>
        </w:rPr>
      </w:pPr>
      <w:r>
        <w:rPr>
          <w:rStyle w:val="FootnoteReference"/>
        </w:rPr>
        <w:footnoteRef/>
      </w:r>
      <w:r>
        <w:t xml:space="preserve"> The </w:t>
      </w:r>
      <w:r w:rsidRPr="000270C4">
        <w:rPr>
          <w:b/>
        </w:rPr>
        <w:t>Bath Ankylosing Spondylitis Disease Activity Index</w:t>
      </w:r>
      <w:r>
        <w:rPr>
          <w:b/>
        </w:rPr>
        <w:t xml:space="preserve"> 50</w:t>
      </w:r>
      <w:r w:rsidRPr="000270C4">
        <w:t xml:space="preserve"> </w:t>
      </w:r>
      <w:r>
        <w:t>(</w:t>
      </w:r>
      <w:r w:rsidRPr="000270C4">
        <w:rPr>
          <w:b/>
        </w:rPr>
        <w:t>BASDAI 50</w:t>
      </w:r>
      <w:r>
        <w:t>)</w:t>
      </w:r>
      <w:r w:rsidRPr="00866B9B">
        <w:t xml:space="preserve"> is defined by improvement of at least 50 % in the BASDAI score or an absolute change of 2 units (on a 0 to 10 scale) after 3 months of treatment, together with an expert opinion compatible with improvement.</w:t>
      </w:r>
    </w:p>
  </w:footnote>
  <w:footnote w:id="8">
    <w:p w14:paraId="36552C6C" w14:textId="5DB5E026" w:rsidR="00FC13EA" w:rsidRPr="00866B9B" w:rsidRDefault="00FC13EA">
      <w:pPr>
        <w:pStyle w:val="FootnoteText"/>
        <w:rPr>
          <w:lang w:val="en-US"/>
        </w:rPr>
      </w:pPr>
      <w:r>
        <w:rPr>
          <w:rStyle w:val="FootnoteReference"/>
        </w:rPr>
        <w:footnoteRef/>
      </w:r>
      <w:r>
        <w:t xml:space="preserve"> The </w:t>
      </w:r>
      <w:r w:rsidRPr="000270C4">
        <w:rPr>
          <w:b/>
        </w:rPr>
        <w:t>Bath Ankylosing Spondylitis Functional Index</w:t>
      </w:r>
      <w:r>
        <w:t xml:space="preserve"> (</w:t>
      </w:r>
      <w:r w:rsidRPr="000270C4">
        <w:rPr>
          <w:b/>
        </w:rPr>
        <w:t>BASFI</w:t>
      </w:r>
      <w:r>
        <w:t>)</w:t>
      </w:r>
      <w:r w:rsidRPr="00866B9B">
        <w:t xml:space="preserve"> includes 10 questions; 8 of them refer to aspects of functional anatomy, and 2 pertain to the ability to cope with everyday life. All questions are completed </w:t>
      </w:r>
      <w:r>
        <w:t>on numerical rating scales</w:t>
      </w:r>
      <w:r w:rsidRPr="00866B9B">
        <w:t xml:space="preserve"> or on a 10 cm </w:t>
      </w:r>
      <w:r>
        <w:t>visual analogue scale (VAS) with ‘easy’ and ‘impossible’</w:t>
      </w:r>
      <w:r w:rsidRPr="00866B9B">
        <w:t xml:space="preserve"> as </w:t>
      </w:r>
      <w:r>
        <w:t>polar opposites</w:t>
      </w:r>
      <w:r w:rsidRPr="00866B9B">
        <w:t>. The total BASFI-score is the average of the 10 questions and ranges from 0 to 10.</w:t>
      </w:r>
    </w:p>
  </w:footnote>
  <w:footnote w:id="9">
    <w:p w14:paraId="5E6757D2" w14:textId="608D9089" w:rsidR="00FC13EA" w:rsidRPr="00D45577" w:rsidRDefault="00FC13EA">
      <w:pPr>
        <w:pStyle w:val="FootnoteText"/>
        <w:rPr>
          <w:lang w:val="en-US"/>
        </w:rPr>
      </w:pPr>
      <w:r>
        <w:rPr>
          <w:rStyle w:val="FootnoteReference"/>
        </w:rPr>
        <w:footnoteRef/>
      </w:r>
      <w:r>
        <w:t xml:space="preserve"> The </w:t>
      </w:r>
      <w:proofErr w:type="spellStart"/>
      <w:r w:rsidRPr="000270C4">
        <w:rPr>
          <w:b/>
        </w:rPr>
        <w:t>Spondyloarthritis</w:t>
      </w:r>
      <w:proofErr w:type="spellEnd"/>
      <w:r w:rsidRPr="000270C4">
        <w:rPr>
          <w:b/>
        </w:rPr>
        <w:t xml:space="preserve"> Research Consortium of Canada</w:t>
      </w:r>
      <w:r>
        <w:t xml:space="preserve"> (</w:t>
      </w:r>
      <w:r w:rsidRPr="000270C4">
        <w:rPr>
          <w:b/>
        </w:rPr>
        <w:t>SPARCC</w:t>
      </w:r>
      <w:r>
        <w:t xml:space="preserve">) methodology is designed as a </w:t>
      </w:r>
      <w:r w:rsidRPr="00D45577">
        <w:t>magnetic resonance imaging index for scoring inflammation in the spine</w:t>
      </w:r>
      <w:r>
        <w:t>.</w:t>
      </w:r>
    </w:p>
  </w:footnote>
  <w:footnote w:id="10">
    <w:p w14:paraId="4199B1A8" w14:textId="279C5412" w:rsidR="00FC13EA" w:rsidRPr="00D45577" w:rsidRDefault="00FC13EA">
      <w:pPr>
        <w:pStyle w:val="FootnoteText"/>
        <w:rPr>
          <w:lang w:val="en-US"/>
        </w:rPr>
      </w:pPr>
      <w:r>
        <w:rPr>
          <w:rStyle w:val="FootnoteReference"/>
        </w:rPr>
        <w:footnoteRef/>
      </w:r>
      <w:r>
        <w:t xml:space="preserve"> </w:t>
      </w:r>
      <w:r w:rsidRPr="00D45577">
        <w:t xml:space="preserve">The </w:t>
      </w:r>
      <w:r w:rsidRPr="000270C4">
        <w:rPr>
          <w:b/>
        </w:rPr>
        <w:t xml:space="preserve">Assessment of </w:t>
      </w:r>
      <w:proofErr w:type="spellStart"/>
      <w:r w:rsidRPr="000270C4">
        <w:rPr>
          <w:b/>
        </w:rPr>
        <w:t>SpondyloArthritis</w:t>
      </w:r>
      <w:proofErr w:type="spellEnd"/>
      <w:r w:rsidRPr="000270C4">
        <w:rPr>
          <w:b/>
        </w:rPr>
        <w:t xml:space="preserve"> International Society</w:t>
      </w:r>
      <w:r>
        <w:rPr>
          <w:b/>
        </w:rPr>
        <w:t xml:space="preserve"> 20 response</w:t>
      </w:r>
      <w:r>
        <w:t xml:space="preserve"> (</w:t>
      </w:r>
      <w:r>
        <w:rPr>
          <w:b/>
        </w:rPr>
        <w:t>ASAS</w:t>
      </w:r>
      <w:r w:rsidRPr="000270C4">
        <w:rPr>
          <w:b/>
        </w:rPr>
        <w:t>20</w:t>
      </w:r>
      <w:r>
        <w:t>) is defined as a &gt; 2</w:t>
      </w:r>
      <w:r w:rsidRPr="00D45577">
        <w:t>0% improvement and an absolute improvement from Baseline of &gt;2 units (range: 0 to 10) in at least three of four domains: back pain (10 cm VAS), patient global assessment of disease activity (10 cm VAS), physical function (Bath Ankylosing Spondylitis Functional Index (BASFI): range 0 to 10) and inflammation (mean score of items 5 and 6 of the BASDAI; both 10 cm VAS), without any worsening in the remaining domain</w:t>
      </w:r>
      <w:r>
        <w:t>.</w:t>
      </w:r>
    </w:p>
  </w:footnote>
  <w:footnote w:id="11">
    <w:p w14:paraId="4FA2BA53" w14:textId="3AA27FEC" w:rsidR="00FC13EA" w:rsidRPr="0038701A" w:rsidRDefault="00FC13EA">
      <w:pPr>
        <w:pStyle w:val="FootnoteText"/>
        <w:rPr>
          <w:lang w:val="en-US"/>
        </w:rPr>
      </w:pPr>
      <w:r>
        <w:rPr>
          <w:rStyle w:val="FootnoteReference"/>
        </w:rPr>
        <w:footnoteRef/>
      </w:r>
      <w:r>
        <w:t xml:space="preserve"> </w:t>
      </w:r>
      <w:r w:rsidRPr="0038701A">
        <w:t xml:space="preserve">The </w:t>
      </w:r>
      <w:r w:rsidRPr="000270C4">
        <w:rPr>
          <w:b/>
        </w:rPr>
        <w:t>Short Form 36</w:t>
      </w:r>
      <w:r w:rsidRPr="0038701A">
        <w:t xml:space="preserve"> (</w:t>
      </w:r>
      <w:r w:rsidRPr="000270C4">
        <w:rPr>
          <w:b/>
        </w:rPr>
        <w:t>SF-36</w:t>
      </w:r>
      <w:r w:rsidRPr="0038701A">
        <w:t>) is a standardised, self-reported measure of functional health and well-being. The SF-36 was designed to be a brief yet comprehensive measure of general health status. The SF-36 questionnaire consists of eight scales yielding two summary measures: physical and mental health.</w:t>
      </w:r>
    </w:p>
  </w:footnote>
  <w:footnote w:id="12">
    <w:p w14:paraId="3438B10F" w14:textId="798775C1" w:rsidR="00FC13EA" w:rsidRPr="0038701A" w:rsidRDefault="00FC13EA">
      <w:pPr>
        <w:pStyle w:val="FootnoteText"/>
        <w:rPr>
          <w:lang w:val="en-US"/>
        </w:rPr>
      </w:pPr>
      <w:r>
        <w:rPr>
          <w:rStyle w:val="FootnoteReference"/>
        </w:rPr>
        <w:footnoteRef/>
      </w:r>
      <w:r>
        <w:t xml:space="preserve"> </w:t>
      </w:r>
      <w:r>
        <w:rPr>
          <w:lang w:val="en-US"/>
        </w:rPr>
        <w:t xml:space="preserve">The </w:t>
      </w:r>
      <w:r w:rsidRPr="000270C4">
        <w:rPr>
          <w:b/>
          <w:lang w:val="en-US"/>
        </w:rPr>
        <w:t>Ankylosing Spondylitis Quality of Life</w:t>
      </w:r>
      <w:r>
        <w:rPr>
          <w:lang w:val="en-US"/>
        </w:rPr>
        <w:t xml:space="preserve"> (</w:t>
      </w:r>
      <w:proofErr w:type="spellStart"/>
      <w:r w:rsidRPr="000270C4">
        <w:rPr>
          <w:b/>
          <w:lang w:val="en-US"/>
        </w:rPr>
        <w:t>ASQoL</w:t>
      </w:r>
      <w:proofErr w:type="spellEnd"/>
      <w:r>
        <w:rPr>
          <w:lang w:val="en-US"/>
        </w:rPr>
        <w:t xml:space="preserve">) is </w:t>
      </w:r>
      <w:r w:rsidRPr="0038701A">
        <w:rPr>
          <w:lang w:val="en-US"/>
        </w:rPr>
        <w:t>a quality of life instrument specific to ankylosing spondylitis</w:t>
      </w:r>
      <w:r>
        <w:rPr>
          <w:lang w:val="en-US"/>
        </w:rPr>
        <w:t>.</w:t>
      </w:r>
    </w:p>
  </w:footnote>
  <w:footnote w:id="13">
    <w:p w14:paraId="3E347758" w14:textId="00123C20" w:rsidR="00FC13EA" w:rsidRPr="00260FC8" w:rsidRDefault="00FC13EA">
      <w:pPr>
        <w:pStyle w:val="FootnoteText"/>
        <w:rPr>
          <w:lang w:val="en-US"/>
        </w:rPr>
      </w:pPr>
      <w:r>
        <w:rPr>
          <w:rStyle w:val="FootnoteReference"/>
        </w:rPr>
        <w:footnoteRef/>
      </w:r>
      <w:r>
        <w:t xml:space="preserve"> </w:t>
      </w:r>
      <w:r w:rsidRPr="007D53B6">
        <w:t>The sponsor must still comply with routine product vigilance and risk minimisation requirements.</w:t>
      </w:r>
    </w:p>
  </w:footnote>
  <w:footnote w:id="14">
    <w:p w14:paraId="0E76716C" w14:textId="26659D91" w:rsidR="00FC13EA" w:rsidRDefault="00FC13EA">
      <w:pPr>
        <w:pStyle w:val="FootnoteText"/>
      </w:pPr>
      <w:r>
        <w:rPr>
          <w:rStyle w:val="FootnoteReference"/>
        </w:rPr>
        <w:footnoteRef/>
      </w:r>
      <w:r>
        <w:t xml:space="preserve"> Sponsor clarification: Refer to the sponsor’s response to the Delegate’s Questions for sponsor (specifically Question 2) on Page 23 for further clarification on </w:t>
      </w:r>
      <w:r w:rsidRPr="00994A19">
        <w:t>response rates in TNF-IR patients</w:t>
      </w:r>
      <w:r>
        <w:t>.</w:t>
      </w:r>
    </w:p>
  </w:footnote>
  <w:footnote w:id="15">
    <w:p w14:paraId="39E21E96" w14:textId="77777777" w:rsidR="00FC13EA" w:rsidRDefault="00FC13EA" w:rsidP="00F8450F">
      <w:pPr>
        <w:pStyle w:val="FootnoteText"/>
      </w:pPr>
      <w:r>
        <w:rPr>
          <w:rStyle w:val="FootnoteReference"/>
        </w:rPr>
        <w:footnoteRef/>
      </w:r>
      <w:r>
        <w:t xml:space="preserve"> The ACM provides independent medical and scientific advice to the Minister for Health and the Therapeutic Goods Administration (TGA) on issues relating to the safety, quality and efficacy of medicines supplied in Australia including issues relating to pre-market and post-market functions for medicines.</w:t>
      </w:r>
    </w:p>
    <w:p w14:paraId="32BC2D4B" w14:textId="77777777" w:rsidR="00FC13EA" w:rsidRPr="00456765" w:rsidRDefault="00FC13EA" w:rsidP="00F8450F">
      <w:pPr>
        <w:pStyle w:val="FootnoteText"/>
        <w:rPr>
          <w:lang w:val="en-US"/>
        </w:rPr>
      </w:pPr>
      <w:r>
        <w:t xml:space="preserve">The Committee is established under Regulation 35 of the Therapeutic Goods Regulations 1990. Members are appointed by the Minister. The ACM was established in January 2017 replacing </w:t>
      </w:r>
      <w:r w:rsidRPr="009E0C19">
        <w:t xml:space="preserve">Advisory Committee on Prescription Medicines (ACPM) </w:t>
      </w:r>
      <w:r>
        <w:t xml:space="preserve">which </w:t>
      </w:r>
      <w:r w:rsidRPr="009E0C19">
        <w:t>was formed in January 2010</w:t>
      </w:r>
      <w:r>
        <w:t>. ACM encompass pre and post-market advice for medicines, following the consolidation of the previous functions of the Advisory Committee on Prescription Medicines (ACPM), the Advisory Committee on the Safety of Medicines (ACSOM) and the Advisory Committee on Non-Prescription Medicines (ACNM). Membership comprises of professionals with specific scientific, medical or clinical expertise, as well as appropriate consumer health issues relating to medicines.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45605" w14:textId="77777777" w:rsidR="00FC13EA" w:rsidRDefault="00FC1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881BD" w14:textId="77777777" w:rsidR="00FC13EA" w:rsidRDefault="00FC13EA" w:rsidP="00E45619">
    <w:pPr>
      <w:pStyle w:val="Header"/>
    </w:pPr>
    <w:r>
      <w:t>Therapeutic Goods Administration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3C12A" w14:textId="77777777" w:rsidR="00FC13EA" w:rsidRDefault="00FC13EA">
    <w:pPr>
      <w:rPr>
        <w:noProof/>
        <w:lang w:eastAsia="en-AU"/>
      </w:rPr>
    </w:pPr>
    <w:r w:rsidRPr="00347824">
      <w:rPr>
        <w:noProof/>
        <w:lang w:eastAsia="en-AU"/>
      </w:rPr>
      <w:drawing>
        <wp:anchor distT="0" distB="0" distL="114300" distR="114300" simplePos="0" relativeHeight="251659264" behindDoc="1" locked="0" layoutInCell="1" allowOverlap="1" wp14:anchorId="445917A9" wp14:editId="28ED7E1F">
          <wp:simplePos x="0" y="0"/>
          <wp:positionH relativeFrom="column">
            <wp:posOffset>-1089660</wp:posOffset>
          </wp:positionH>
          <wp:positionV relativeFrom="paragraph">
            <wp:posOffset>-585470</wp:posOffset>
          </wp:positionV>
          <wp:extent cx="7572375" cy="10706100"/>
          <wp:effectExtent l="19050" t="0" r="0" b="0"/>
          <wp:wrapNone/>
          <wp:docPr id="2"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69565AE5" w14:textId="09C28370" w:rsidR="00FC13EA" w:rsidRDefault="00FC13EA" w:rsidP="00593AD1">
    <w:pPr>
      <w:pStyle w:val="HeaderNoLi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CD151" w14:textId="77777777" w:rsidR="00FC13EA" w:rsidRDefault="00FC13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ECB40" w14:textId="77777777" w:rsidR="00FC13EA" w:rsidRDefault="00FC13EA">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53FCF" w14:textId="77777777" w:rsidR="00FC13EA" w:rsidRDefault="00FC13EA">
    <w:pPr>
      <w:pStyle w:val="Header"/>
    </w:pPr>
    <w:r>
      <w:t>Therapeutic Goods Administration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D835" w14:textId="77777777" w:rsidR="00FC13EA" w:rsidRDefault="00FC13E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FCDDD" w14:textId="77777777" w:rsidR="00FC13EA" w:rsidRDefault="00FC13EA" w:rsidP="004C239D">
    <w:pPr>
      <w:pStyle w:val="HeaderNoLin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0794E" w14:textId="77777777" w:rsidR="00FC13EA" w:rsidRDefault="00FC13EA" w:rsidP="006E08B3">
    <w:r>
      <w:t>Therapeutic Goods Administration</w:t>
    </w:r>
  </w:p>
  <w:p w14:paraId="6A2A4447" w14:textId="77777777" w:rsidR="00FC13EA" w:rsidRDefault="00FC13EA" w:rsidP="006D03E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B8320B0A"/>
    <w:lvl w:ilvl="0">
      <w:numFmt w:val="bullet"/>
      <w:lvlText w:val="*"/>
      <w:lvlJc w:val="left"/>
    </w:lvl>
  </w:abstractNum>
  <w:abstractNum w:abstractNumId="4" w15:restartNumberingAfterBreak="0">
    <w:nsid w:val="080017AB"/>
    <w:multiLevelType w:val="hybridMultilevel"/>
    <w:tmpl w:val="7FB83D2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15:restartNumberingAfterBreak="0">
    <w:nsid w:val="11F3578D"/>
    <w:multiLevelType w:val="hybridMultilevel"/>
    <w:tmpl w:val="1D92B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8F13E9"/>
    <w:multiLevelType w:val="multilevel"/>
    <w:tmpl w:val="1EAAB56A"/>
    <w:styleLink w:val="ListBullets"/>
    <w:lvl w:ilvl="0">
      <w:start w:val="1"/>
      <w:numFmt w:val="bullet"/>
      <w:pStyle w:val="ListBullet"/>
      <w:lvlText w:val="•"/>
      <w:lvlJc w:val="left"/>
      <w:pPr>
        <w:ind w:left="360" w:hanging="360"/>
      </w:pPr>
      <w:rPr>
        <w:rFonts w:ascii="Arial" w:hAnsi="Aria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3A2F5CDC"/>
    <w:multiLevelType w:val="hybridMultilevel"/>
    <w:tmpl w:val="CB4A66D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B41F2F"/>
    <w:multiLevelType w:val="hybridMultilevel"/>
    <w:tmpl w:val="E79C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7279CB"/>
    <w:multiLevelType w:val="hybridMultilevel"/>
    <w:tmpl w:val="324839D4"/>
    <w:lvl w:ilvl="0" w:tplc="E5EACD22">
      <w:numFmt w:val="bullet"/>
      <w:lvlText w:val="•"/>
      <w:lvlJc w:val="left"/>
      <w:pPr>
        <w:ind w:left="720" w:hanging="72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7606DC0"/>
    <w:multiLevelType w:val="hybridMultilevel"/>
    <w:tmpl w:val="8780E0A6"/>
    <w:lvl w:ilvl="0" w:tplc="4224B92E">
      <w:numFmt w:val="bullet"/>
      <w:lvlText w:val="•"/>
      <w:lvlJc w:val="left"/>
      <w:pPr>
        <w:ind w:left="360" w:hanging="36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7"/>
  </w:num>
  <w:num w:numId="4">
    <w:abstractNumId w:val="7"/>
  </w:num>
  <w:num w:numId="5">
    <w:abstractNumId w:val="0"/>
  </w:num>
  <w:num w:numId="6">
    <w:abstractNumId w:val="7"/>
  </w:num>
  <w:num w:numId="7">
    <w:abstractNumId w:val="7"/>
  </w:num>
  <w:num w:numId="8">
    <w:abstractNumId w:val="5"/>
  </w:num>
  <w:num w:numId="9">
    <w:abstractNumId w:val="5"/>
  </w:num>
  <w:num w:numId="10">
    <w:abstractNumId w:val="5"/>
  </w:num>
  <w:num w:numId="11">
    <w:abstractNumId w:val="5"/>
  </w:num>
  <w:num w:numId="12">
    <w:abstractNumId w:val="3"/>
    <w:lvlOverride w:ilvl="0">
      <w:lvl w:ilvl="0">
        <w:numFmt w:val="bullet"/>
        <w:lvlText w:val="•"/>
        <w:legacy w:legacy="1" w:legacySpace="0" w:legacyIndent="0"/>
        <w:lvlJc w:val="left"/>
        <w:rPr>
          <w:rFonts w:ascii="Helv" w:hAnsi="Helv" w:hint="default"/>
        </w:rPr>
      </w:lvl>
    </w:lvlOverride>
  </w:num>
  <w:num w:numId="13">
    <w:abstractNumId w:val="7"/>
  </w:num>
  <w:num w:numId="14">
    <w:abstractNumId w:val="7"/>
  </w:num>
  <w:num w:numId="15">
    <w:abstractNumId w:val="7"/>
  </w:num>
  <w:num w:numId="16">
    <w:abstractNumId w:val="5"/>
  </w:num>
  <w:num w:numId="17">
    <w:abstractNumId w:val="5"/>
  </w:num>
  <w:num w:numId="18">
    <w:abstractNumId w:val="5"/>
  </w:num>
  <w:num w:numId="19">
    <w:abstractNumId w:val="7"/>
  </w:num>
  <w:num w:numId="20">
    <w:abstractNumId w:val="7"/>
  </w:num>
  <w:num w:numId="21">
    <w:abstractNumId w:val="7"/>
  </w:num>
  <w:num w:numId="22">
    <w:abstractNumId w:val="5"/>
  </w:num>
  <w:num w:numId="23">
    <w:abstractNumId w:val="5"/>
  </w:num>
  <w:num w:numId="24">
    <w:abstractNumId w:val="5"/>
  </w:num>
  <w:num w:numId="25">
    <w:abstractNumId w:val="5"/>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5"/>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9"/>
  </w:num>
  <w:num w:numId="28">
    <w:abstractNumId w:val="11"/>
  </w:num>
  <w:num w:numId="29">
    <w:abstractNumId w:val="6"/>
  </w:num>
  <w:num w:numId="30">
    <w:abstractNumId w:val="8"/>
  </w:num>
  <w:num w:numId="31">
    <w:abstractNumId w:val="4"/>
  </w:num>
  <w:num w:numId="32">
    <w:abstractNumId w:val="10"/>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76E"/>
    <w:rsid w:val="00002031"/>
    <w:rsid w:val="00004734"/>
    <w:rsid w:val="00006B22"/>
    <w:rsid w:val="00006FAB"/>
    <w:rsid w:val="0001276A"/>
    <w:rsid w:val="00013E98"/>
    <w:rsid w:val="0001559D"/>
    <w:rsid w:val="000246AE"/>
    <w:rsid w:val="00025C67"/>
    <w:rsid w:val="000270C4"/>
    <w:rsid w:val="00041877"/>
    <w:rsid w:val="00044772"/>
    <w:rsid w:val="0004541C"/>
    <w:rsid w:val="0005105D"/>
    <w:rsid w:val="00054DAD"/>
    <w:rsid w:val="0005559E"/>
    <w:rsid w:val="000604D6"/>
    <w:rsid w:val="000734D8"/>
    <w:rsid w:val="00077775"/>
    <w:rsid w:val="00090471"/>
    <w:rsid w:val="00096AA7"/>
    <w:rsid w:val="000A0423"/>
    <w:rsid w:val="000A3AED"/>
    <w:rsid w:val="000B3532"/>
    <w:rsid w:val="000B3A75"/>
    <w:rsid w:val="000C00C2"/>
    <w:rsid w:val="000C690F"/>
    <w:rsid w:val="000D0FE6"/>
    <w:rsid w:val="000D1295"/>
    <w:rsid w:val="000D391B"/>
    <w:rsid w:val="000D3D6D"/>
    <w:rsid w:val="000D4FC7"/>
    <w:rsid w:val="000D7D44"/>
    <w:rsid w:val="000E6196"/>
    <w:rsid w:val="000F3E6B"/>
    <w:rsid w:val="000F4869"/>
    <w:rsid w:val="000F5B42"/>
    <w:rsid w:val="000F6E6F"/>
    <w:rsid w:val="001010D3"/>
    <w:rsid w:val="0010601F"/>
    <w:rsid w:val="0010788A"/>
    <w:rsid w:val="00107A31"/>
    <w:rsid w:val="00110EA5"/>
    <w:rsid w:val="00112F56"/>
    <w:rsid w:val="00115915"/>
    <w:rsid w:val="00122089"/>
    <w:rsid w:val="00122C2E"/>
    <w:rsid w:val="00124ACD"/>
    <w:rsid w:val="00125318"/>
    <w:rsid w:val="001305A2"/>
    <w:rsid w:val="00133238"/>
    <w:rsid w:val="00133A1B"/>
    <w:rsid w:val="0014197B"/>
    <w:rsid w:val="001447CD"/>
    <w:rsid w:val="00146FAC"/>
    <w:rsid w:val="0015052A"/>
    <w:rsid w:val="001516B1"/>
    <w:rsid w:val="00154EBB"/>
    <w:rsid w:val="0015606B"/>
    <w:rsid w:val="00156316"/>
    <w:rsid w:val="00160107"/>
    <w:rsid w:val="00161181"/>
    <w:rsid w:val="00162D14"/>
    <w:rsid w:val="00163780"/>
    <w:rsid w:val="00165389"/>
    <w:rsid w:val="001734BD"/>
    <w:rsid w:val="0017693F"/>
    <w:rsid w:val="0018110E"/>
    <w:rsid w:val="00181684"/>
    <w:rsid w:val="001843C6"/>
    <w:rsid w:val="001850E0"/>
    <w:rsid w:val="00186AA5"/>
    <w:rsid w:val="00197A3A"/>
    <w:rsid w:val="001A03AF"/>
    <w:rsid w:val="001A2158"/>
    <w:rsid w:val="001A3F1E"/>
    <w:rsid w:val="001A46C4"/>
    <w:rsid w:val="001A525F"/>
    <w:rsid w:val="001B069C"/>
    <w:rsid w:val="001B09F9"/>
    <w:rsid w:val="001B5C90"/>
    <w:rsid w:val="001B6448"/>
    <w:rsid w:val="001C32CD"/>
    <w:rsid w:val="001D2984"/>
    <w:rsid w:val="001E07CF"/>
    <w:rsid w:val="001E59F1"/>
    <w:rsid w:val="001F2CEE"/>
    <w:rsid w:val="001F2D8A"/>
    <w:rsid w:val="001F49EB"/>
    <w:rsid w:val="001F6CBA"/>
    <w:rsid w:val="00201D4E"/>
    <w:rsid w:val="002076C9"/>
    <w:rsid w:val="00220B8A"/>
    <w:rsid w:val="002257F3"/>
    <w:rsid w:val="002332EF"/>
    <w:rsid w:val="00233456"/>
    <w:rsid w:val="002339A5"/>
    <w:rsid w:val="00235BD8"/>
    <w:rsid w:val="00250271"/>
    <w:rsid w:val="00257848"/>
    <w:rsid w:val="002578E8"/>
    <w:rsid w:val="00260FC8"/>
    <w:rsid w:val="0027084A"/>
    <w:rsid w:val="00270E4A"/>
    <w:rsid w:val="00272CFF"/>
    <w:rsid w:val="00280265"/>
    <w:rsid w:val="00286434"/>
    <w:rsid w:val="00286C59"/>
    <w:rsid w:val="00291957"/>
    <w:rsid w:val="002942D1"/>
    <w:rsid w:val="0029501A"/>
    <w:rsid w:val="002A3721"/>
    <w:rsid w:val="002B1638"/>
    <w:rsid w:val="002B3624"/>
    <w:rsid w:val="002C0D08"/>
    <w:rsid w:val="002C67B8"/>
    <w:rsid w:val="002D0952"/>
    <w:rsid w:val="002E40B3"/>
    <w:rsid w:val="002E4C9A"/>
    <w:rsid w:val="002F11F8"/>
    <w:rsid w:val="002F1833"/>
    <w:rsid w:val="002F3F56"/>
    <w:rsid w:val="002F44B5"/>
    <w:rsid w:val="002F5122"/>
    <w:rsid w:val="0030512C"/>
    <w:rsid w:val="00311AC0"/>
    <w:rsid w:val="003176FC"/>
    <w:rsid w:val="00324E45"/>
    <w:rsid w:val="0032583B"/>
    <w:rsid w:val="00327883"/>
    <w:rsid w:val="00335504"/>
    <w:rsid w:val="003362E1"/>
    <w:rsid w:val="00340C18"/>
    <w:rsid w:val="00342FD6"/>
    <w:rsid w:val="003442FD"/>
    <w:rsid w:val="00347824"/>
    <w:rsid w:val="00350567"/>
    <w:rsid w:val="003521E8"/>
    <w:rsid w:val="00370CE3"/>
    <w:rsid w:val="003728F3"/>
    <w:rsid w:val="003735BC"/>
    <w:rsid w:val="0037496E"/>
    <w:rsid w:val="00383221"/>
    <w:rsid w:val="00386150"/>
    <w:rsid w:val="00386C43"/>
    <w:rsid w:val="0038701A"/>
    <w:rsid w:val="003874CE"/>
    <w:rsid w:val="00390900"/>
    <w:rsid w:val="003A4EC8"/>
    <w:rsid w:val="003A59A1"/>
    <w:rsid w:val="003A7F6C"/>
    <w:rsid w:val="003B4D60"/>
    <w:rsid w:val="003B7E39"/>
    <w:rsid w:val="003C1042"/>
    <w:rsid w:val="003C2E5E"/>
    <w:rsid w:val="003C58DC"/>
    <w:rsid w:val="003D072C"/>
    <w:rsid w:val="003D0750"/>
    <w:rsid w:val="003D1E62"/>
    <w:rsid w:val="003E079D"/>
    <w:rsid w:val="003E0B99"/>
    <w:rsid w:val="003E2486"/>
    <w:rsid w:val="003E3208"/>
    <w:rsid w:val="003F0B04"/>
    <w:rsid w:val="003F2FF5"/>
    <w:rsid w:val="003F51D9"/>
    <w:rsid w:val="00400459"/>
    <w:rsid w:val="0040134E"/>
    <w:rsid w:val="004102CB"/>
    <w:rsid w:val="004334C7"/>
    <w:rsid w:val="004408A4"/>
    <w:rsid w:val="00440A2D"/>
    <w:rsid w:val="00441C3F"/>
    <w:rsid w:val="00444D1A"/>
    <w:rsid w:val="0045186A"/>
    <w:rsid w:val="00456306"/>
    <w:rsid w:val="004564A7"/>
    <w:rsid w:val="00456765"/>
    <w:rsid w:val="00460036"/>
    <w:rsid w:val="004617BF"/>
    <w:rsid w:val="00461EF0"/>
    <w:rsid w:val="00463658"/>
    <w:rsid w:val="004637A0"/>
    <w:rsid w:val="00467E78"/>
    <w:rsid w:val="004722CC"/>
    <w:rsid w:val="00490483"/>
    <w:rsid w:val="004936E4"/>
    <w:rsid w:val="00494E60"/>
    <w:rsid w:val="00497487"/>
    <w:rsid w:val="004A2771"/>
    <w:rsid w:val="004A6189"/>
    <w:rsid w:val="004A7390"/>
    <w:rsid w:val="004B2446"/>
    <w:rsid w:val="004B7B76"/>
    <w:rsid w:val="004C239D"/>
    <w:rsid w:val="004C2DCA"/>
    <w:rsid w:val="004C4FBE"/>
    <w:rsid w:val="004C61D2"/>
    <w:rsid w:val="004F0C4A"/>
    <w:rsid w:val="004F0F38"/>
    <w:rsid w:val="004F47D6"/>
    <w:rsid w:val="00500337"/>
    <w:rsid w:val="00501921"/>
    <w:rsid w:val="005052B0"/>
    <w:rsid w:val="00505E17"/>
    <w:rsid w:val="00525083"/>
    <w:rsid w:val="00526DA4"/>
    <w:rsid w:val="00530354"/>
    <w:rsid w:val="0053625B"/>
    <w:rsid w:val="005434C6"/>
    <w:rsid w:val="00543B39"/>
    <w:rsid w:val="00545A94"/>
    <w:rsid w:val="00546154"/>
    <w:rsid w:val="00550096"/>
    <w:rsid w:val="00555280"/>
    <w:rsid w:val="00557FF9"/>
    <w:rsid w:val="005613F9"/>
    <w:rsid w:val="00562327"/>
    <w:rsid w:val="00562DA5"/>
    <w:rsid w:val="005711D5"/>
    <w:rsid w:val="00575B83"/>
    <w:rsid w:val="00576378"/>
    <w:rsid w:val="00577130"/>
    <w:rsid w:val="00577945"/>
    <w:rsid w:val="00577E38"/>
    <w:rsid w:val="00585322"/>
    <w:rsid w:val="005857C6"/>
    <w:rsid w:val="00592F6E"/>
    <w:rsid w:val="00593AD1"/>
    <w:rsid w:val="00597474"/>
    <w:rsid w:val="005A2330"/>
    <w:rsid w:val="005A68B6"/>
    <w:rsid w:val="005C41F4"/>
    <w:rsid w:val="005C5570"/>
    <w:rsid w:val="005C5B66"/>
    <w:rsid w:val="005C79A4"/>
    <w:rsid w:val="005D274B"/>
    <w:rsid w:val="005D5442"/>
    <w:rsid w:val="005E3DAE"/>
    <w:rsid w:val="00603F32"/>
    <w:rsid w:val="00605AD4"/>
    <w:rsid w:val="006136D7"/>
    <w:rsid w:val="00616D96"/>
    <w:rsid w:val="00625A6E"/>
    <w:rsid w:val="0063026A"/>
    <w:rsid w:val="00632398"/>
    <w:rsid w:val="00637AA0"/>
    <w:rsid w:val="00637F71"/>
    <w:rsid w:val="00640FC3"/>
    <w:rsid w:val="00642020"/>
    <w:rsid w:val="006430EE"/>
    <w:rsid w:val="0065337B"/>
    <w:rsid w:val="0065419D"/>
    <w:rsid w:val="006603BC"/>
    <w:rsid w:val="006604D8"/>
    <w:rsid w:val="00664A5B"/>
    <w:rsid w:val="0066735C"/>
    <w:rsid w:val="006763D2"/>
    <w:rsid w:val="00680C08"/>
    <w:rsid w:val="006916A0"/>
    <w:rsid w:val="006931B1"/>
    <w:rsid w:val="006A15C0"/>
    <w:rsid w:val="006A4911"/>
    <w:rsid w:val="006A58A8"/>
    <w:rsid w:val="006B615C"/>
    <w:rsid w:val="006C3E2A"/>
    <w:rsid w:val="006C642F"/>
    <w:rsid w:val="006C6B2D"/>
    <w:rsid w:val="006D03E5"/>
    <w:rsid w:val="006D5D3E"/>
    <w:rsid w:val="006E08B3"/>
    <w:rsid w:val="006E48E9"/>
    <w:rsid w:val="006F17AC"/>
    <w:rsid w:val="006F25B8"/>
    <w:rsid w:val="006F572E"/>
    <w:rsid w:val="006F60F3"/>
    <w:rsid w:val="007046D6"/>
    <w:rsid w:val="00705DB0"/>
    <w:rsid w:val="00722B57"/>
    <w:rsid w:val="00730F8A"/>
    <w:rsid w:val="00735A8C"/>
    <w:rsid w:val="0074253D"/>
    <w:rsid w:val="00744121"/>
    <w:rsid w:val="0074429B"/>
    <w:rsid w:val="007560BA"/>
    <w:rsid w:val="007615BC"/>
    <w:rsid w:val="00762F05"/>
    <w:rsid w:val="007652FF"/>
    <w:rsid w:val="0076576E"/>
    <w:rsid w:val="00770CAC"/>
    <w:rsid w:val="00770EF1"/>
    <w:rsid w:val="00773EF7"/>
    <w:rsid w:val="00774E1D"/>
    <w:rsid w:val="007765D8"/>
    <w:rsid w:val="0077675A"/>
    <w:rsid w:val="007778EB"/>
    <w:rsid w:val="00780355"/>
    <w:rsid w:val="007819FD"/>
    <w:rsid w:val="00785717"/>
    <w:rsid w:val="00785721"/>
    <w:rsid w:val="00790343"/>
    <w:rsid w:val="00793A59"/>
    <w:rsid w:val="007A46F5"/>
    <w:rsid w:val="007A63CA"/>
    <w:rsid w:val="007A6505"/>
    <w:rsid w:val="007B6132"/>
    <w:rsid w:val="007B6E9F"/>
    <w:rsid w:val="007C1216"/>
    <w:rsid w:val="007C1AF7"/>
    <w:rsid w:val="007C65C7"/>
    <w:rsid w:val="007C6B9B"/>
    <w:rsid w:val="007D53B6"/>
    <w:rsid w:val="007D7C8B"/>
    <w:rsid w:val="007E0111"/>
    <w:rsid w:val="008007C2"/>
    <w:rsid w:val="00805D27"/>
    <w:rsid w:val="00806DCB"/>
    <w:rsid w:val="00821776"/>
    <w:rsid w:val="00826FAC"/>
    <w:rsid w:val="008321F5"/>
    <w:rsid w:val="00832369"/>
    <w:rsid w:val="00834660"/>
    <w:rsid w:val="00836BC2"/>
    <w:rsid w:val="00837F03"/>
    <w:rsid w:val="008453D2"/>
    <w:rsid w:val="00846579"/>
    <w:rsid w:val="0085156D"/>
    <w:rsid w:val="00852B28"/>
    <w:rsid w:val="0085641B"/>
    <w:rsid w:val="00857136"/>
    <w:rsid w:val="00864061"/>
    <w:rsid w:val="00866B9B"/>
    <w:rsid w:val="008746B6"/>
    <w:rsid w:val="00875A6B"/>
    <w:rsid w:val="008817E5"/>
    <w:rsid w:val="00885B11"/>
    <w:rsid w:val="00886D15"/>
    <w:rsid w:val="00887DD8"/>
    <w:rsid w:val="00891BA9"/>
    <w:rsid w:val="00896018"/>
    <w:rsid w:val="008960DD"/>
    <w:rsid w:val="0089635C"/>
    <w:rsid w:val="008A2B9D"/>
    <w:rsid w:val="008A3D9F"/>
    <w:rsid w:val="008A5E0B"/>
    <w:rsid w:val="008A6D59"/>
    <w:rsid w:val="008B4B03"/>
    <w:rsid w:val="008B596F"/>
    <w:rsid w:val="008C159F"/>
    <w:rsid w:val="008C1623"/>
    <w:rsid w:val="008C1850"/>
    <w:rsid w:val="008C51A9"/>
    <w:rsid w:val="008D2885"/>
    <w:rsid w:val="008E0D88"/>
    <w:rsid w:val="008E7846"/>
    <w:rsid w:val="008F02E5"/>
    <w:rsid w:val="008F1CCC"/>
    <w:rsid w:val="008F2803"/>
    <w:rsid w:val="008F2967"/>
    <w:rsid w:val="008F6943"/>
    <w:rsid w:val="00902A21"/>
    <w:rsid w:val="009105B1"/>
    <w:rsid w:val="0091523F"/>
    <w:rsid w:val="00915343"/>
    <w:rsid w:val="00920330"/>
    <w:rsid w:val="009219D7"/>
    <w:rsid w:val="00922197"/>
    <w:rsid w:val="00922D53"/>
    <w:rsid w:val="00923B70"/>
    <w:rsid w:val="00924482"/>
    <w:rsid w:val="00930237"/>
    <w:rsid w:val="009332F8"/>
    <w:rsid w:val="00937C17"/>
    <w:rsid w:val="00940A89"/>
    <w:rsid w:val="0094148C"/>
    <w:rsid w:val="00941F77"/>
    <w:rsid w:val="00946EA5"/>
    <w:rsid w:val="00960520"/>
    <w:rsid w:val="00963C08"/>
    <w:rsid w:val="009752A5"/>
    <w:rsid w:val="0098585A"/>
    <w:rsid w:val="009861B1"/>
    <w:rsid w:val="009906A9"/>
    <w:rsid w:val="00990FBB"/>
    <w:rsid w:val="00994A19"/>
    <w:rsid w:val="009A4CED"/>
    <w:rsid w:val="009A690D"/>
    <w:rsid w:val="009B10F1"/>
    <w:rsid w:val="009B1D12"/>
    <w:rsid w:val="009B416B"/>
    <w:rsid w:val="009C4BD5"/>
    <w:rsid w:val="009C6296"/>
    <w:rsid w:val="009C6E59"/>
    <w:rsid w:val="009C74D9"/>
    <w:rsid w:val="009D7B77"/>
    <w:rsid w:val="009E0BB0"/>
    <w:rsid w:val="009E3FBB"/>
    <w:rsid w:val="009F7353"/>
    <w:rsid w:val="00A04F85"/>
    <w:rsid w:val="00A05FA4"/>
    <w:rsid w:val="00A102E4"/>
    <w:rsid w:val="00A1219C"/>
    <w:rsid w:val="00A12C42"/>
    <w:rsid w:val="00A14DF7"/>
    <w:rsid w:val="00A159CA"/>
    <w:rsid w:val="00A22D57"/>
    <w:rsid w:val="00A2406D"/>
    <w:rsid w:val="00A3246D"/>
    <w:rsid w:val="00A36FA7"/>
    <w:rsid w:val="00A420B0"/>
    <w:rsid w:val="00A44DDB"/>
    <w:rsid w:val="00A475B7"/>
    <w:rsid w:val="00A47AF7"/>
    <w:rsid w:val="00A47C3E"/>
    <w:rsid w:val="00A50226"/>
    <w:rsid w:val="00A60BAD"/>
    <w:rsid w:val="00A77F87"/>
    <w:rsid w:val="00A80B5B"/>
    <w:rsid w:val="00A84E36"/>
    <w:rsid w:val="00A964D1"/>
    <w:rsid w:val="00AA0ED0"/>
    <w:rsid w:val="00AA4F84"/>
    <w:rsid w:val="00AB638B"/>
    <w:rsid w:val="00AC2B40"/>
    <w:rsid w:val="00AC2BB2"/>
    <w:rsid w:val="00AC2C3C"/>
    <w:rsid w:val="00AC512D"/>
    <w:rsid w:val="00AD0083"/>
    <w:rsid w:val="00AD3935"/>
    <w:rsid w:val="00AE65EB"/>
    <w:rsid w:val="00AE67A7"/>
    <w:rsid w:val="00AF1269"/>
    <w:rsid w:val="00AF1D94"/>
    <w:rsid w:val="00AF60C5"/>
    <w:rsid w:val="00B009C6"/>
    <w:rsid w:val="00B01548"/>
    <w:rsid w:val="00B130C5"/>
    <w:rsid w:val="00B13EBD"/>
    <w:rsid w:val="00B21D29"/>
    <w:rsid w:val="00B25034"/>
    <w:rsid w:val="00B33588"/>
    <w:rsid w:val="00B33863"/>
    <w:rsid w:val="00B37D17"/>
    <w:rsid w:val="00B4175E"/>
    <w:rsid w:val="00B41C85"/>
    <w:rsid w:val="00B452CE"/>
    <w:rsid w:val="00B54C25"/>
    <w:rsid w:val="00B567A3"/>
    <w:rsid w:val="00B7268C"/>
    <w:rsid w:val="00B76B91"/>
    <w:rsid w:val="00B77EB1"/>
    <w:rsid w:val="00B811C6"/>
    <w:rsid w:val="00B81FBF"/>
    <w:rsid w:val="00B84498"/>
    <w:rsid w:val="00B855B0"/>
    <w:rsid w:val="00B92E08"/>
    <w:rsid w:val="00B95A9E"/>
    <w:rsid w:val="00BA681D"/>
    <w:rsid w:val="00BB2617"/>
    <w:rsid w:val="00BB2F6A"/>
    <w:rsid w:val="00BB3445"/>
    <w:rsid w:val="00BC4120"/>
    <w:rsid w:val="00BC622A"/>
    <w:rsid w:val="00BD2549"/>
    <w:rsid w:val="00BD5938"/>
    <w:rsid w:val="00BD6FDA"/>
    <w:rsid w:val="00BE0A78"/>
    <w:rsid w:val="00BE6447"/>
    <w:rsid w:val="00BE79F0"/>
    <w:rsid w:val="00BF046D"/>
    <w:rsid w:val="00BF1190"/>
    <w:rsid w:val="00BF3774"/>
    <w:rsid w:val="00BF5D04"/>
    <w:rsid w:val="00BF6391"/>
    <w:rsid w:val="00C009AA"/>
    <w:rsid w:val="00C00C15"/>
    <w:rsid w:val="00C06821"/>
    <w:rsid w:val="00C1164D"/>
    <w:rsid w:val="00C165DD"/>
    <w:rsid w:val="00C16861"/>
    <w:rsid w:val="00C25433"/>
    <w:rsid w:val="00C346AB"/>
    <w:rsid w:val="00C404A6"/>
    <w:rsid w:val="00C40A36"/>
    <w:rsid w:val="00C44419"/>
    <w:rsid w:val="00C45E7B"/>
    <w:rsid w:val="00C471B1"/>
    <w:rsid w:val="00C47CBB"/>
    <w:rsid w:val="00C50C5F"/>
    <w:rsid w:val="00C525A2"/>
    <w:rsid w:val="00C52E24"/>
    <w:rsid w:val="00C6316B"/>
    <w:rsid w:val="00C634A9"/>
    <w:rsid w:val="00C64410"/>
    <w:rsid w:val="00C64586"/>
    <w:rsid w:val="00C64A3D"/>
    <w:rsid w:val="00C70A36"/>
    <w:rsid w:val="00C70D53"/>
    <w:rsid w:val="00C73D0B"/>
    <w:rsid w:val="00C74F5C"/>
    <w:rsid w:val="00C772FF"/>
    <w:rsid w:val="00C80137"/>
    <w:rsid w:val="00C801AF"/>
    <w:rsid w:val="00C80256"/>
    <w:rsid w:val="00C926CF"/>
    <w:rsid w:val="00C94CD4"/>
    <w:rsid w:val="00C960F3"/>
    <w:rsid w:val="00C9747E"/>
    <w:rsid w:val="00CB6BC0"/>
    <w:rsid w:val="00CB6D44"/>
    <w:rsid w:val="00CC1B7C"/>
    <w:rsid w:val="00CC727F"/>
    <w:rsid w:val="00CD60AD"/>
    <w:rsid w:val="00CE7197"/>
    <w:rsid w:val="00CF15C3"/>
    <w:rsid w:val="00CF2B6F"/>
    <w:rsid w:val="00CF2F3E"/>
    <w:rsid w:val="00CF58B6"/>
    <w:rsid w:val="00CF5DAD"/>
    <w:rsid w:val="00D0062D"/>
    <w:rsid w:val="00D017ED"/>
    <w:rsid w:val="00D040D3"/>
    <w:rsid w:val="00D04C65"/>
    <w:rsid w:val="00D07BE9"/>
    <w:rsid w:val="00D07C9E"/>
    <w:rsid w:val="00D153D8"/>
    <w:rsid w:val="00D201D2"/>
    <w:rsid w:val="00D224FE"/>
    <w:rsid w:val="00D23139"/>
    <w:rsid w:val="00D425BB"/>
    <w:rsid w:val="00D453FA"/>
    <w:rsid w:val="00D45577"/>
    <w:rsid w:val="00D53238"/>
    <w:rsid w:val="00D57BB7"/>
    <w:rsid w:val="00D6493E"/>
    <w:rsid w:val="00D6524D"/>
    <w:rsid w:val="00D7195D"/>
    <w:rsid w:val="00D7301E"/>
    <w:rsid w:val="00D81D43"/>
    <w:rsid w:val="00D83AE1"/>
    <w:rsid w:val="00D84570"/>
    <w:rsid w:val="00D855D4"/>
    <w:rsid w:val="00D902C9"/>
    <w:rsid w:val="00D90816"/>
    <w:rsid w:val="00D92EC5"/>
    <w:rsid w:val="00D93466"/>
    <w:rsid w:val="00DA1124"/>
    <w:rsid w:val="00DA64CB"/>
    <w:rsid w:val="00DB06B8"/>
    <w:rsid w:val="00DB6124"/>
    <w:rsid w:val="00DB6361"/>
    <w:rsid w:val="00DB750B"/>
    <w:rsid w:val="00DB75B7"/>
    <w:rsid w:val="00DC0A2F"/>
    <w:rsid w:val="00DC1948"/>
    <w:rsid w:val="00DC6E02"/>
    <w:rsid w:val="00DD28CD"/>
    <w:rsid w:val="00DE02AE"/>
    <w:rsid w:val="00DE39D1"/>
    <w:rsid w:val="00DE61FB"/>
    <w:rsid w:val="00DF1334"/>
    <w:rsid w:val="00DF1642"/>
    <w:rsid w:val="00DF1D7F"/>
    <w:rsid w:val="00DF4BE4"/>
    <w:rsid w:val="00DF57B2"/>
    <w:rsid w:val="00DF7E75"/>
    <w:rsid w:val="00E02382"/>
    <w:rsid w:val="00E02FB4"/>
    <w:rsid w:val="00E03118"/>
    <w:rsid w:val="00E04675"/>
    <w:rsid w:val="00E055B7"/>
    <w:rsid w:val="00E05659"/>
    <w:rsid w:val="00E1103D"/>
    <w:rsid w:val="00E13FC7"/>
    <w:rsid w:val="00E15155"/>
    <w:rsid w:val="00E20571"/>
    <w:rsid w:val="00E21886"/>
    <w:rsid w:val="00E235F7"/>
    <w:rsid w:val="00E23659"/>
    <w:rsid w:val="00E239D4"/>
    <w:rsid w:val="00E26130"/>
    <w:rsid w:val="00E26C52"/>
    <w:rsid w:val="00E33D42"/>
    <w:rsid w:val="00E40B22"/>
    <w:rsid w:val="00E43A60"/>
    <w:rsid w:val="00E44ED1"/>
    <w:rsid w:val="00E45619"/>
    <w:rsid w:val="00E4588F"/>
    <w:rsid w:val="00E46DA3"/>
    <w:rsid w:val="00E514FE"/>
    <w:rsid w:val="00E51BB1"/>
    <w:rsid w:val="00E553F2"/>
    <w:rsid w:val="00E55CB0"/>
    <w:rsid w:val="00E624A5"/>
    <w:rsid w:val="00E64BA4"/>
    <w:rsid w:val="00E7344E"/>
    <w:rsid w:val="00E7376E"/>
    <w:rsid w:val="00E82665"/>
    <w:rsid w:val="00E8710C"/>
    <w:rsid w:val="00E9139B"/>
    <w:rsid w:val="00EA48C9"/>
    <w:rsid w:val="00EB0798"/>
    <w:rsid w:val="00EB1728"/>
    <w:rsid w:val="00EB40AD"/>
    <w:rsid w:val="00EB586E"/>
    <w:rsid w:val="00EB5FC8"/>
    <w:rsid w:val="00EC463D"/>
    <w:rsid w:val="00EC7384"/>
    <w:rsid w:val="00EC756C"/>
    <w:rsid w:val="00EC7A85"/>
    <w:rsid w:val="00ED2922"/>
    <w:rsid w:val="00ED3CAD"/>
    <w:rsid w:val="00ED5A41"/>
    <w:rsid w:val="00ED7629"/>
    <w:rsid w:val="00EE0A48"/>
    <w:rsid w:val="00EE1DE8"/>
    <w:rsid w:val="00EE27C2"/>
    <w:rsid w:val="00EF4BAD"/>
    <w:rsid w:val="00EF59DC"/>
    <w:rsid w:val="00F003EC"/>
    <w:rsid w:val="00F033EC"/>
    <w:rsid w:val="00F04F68"/>
    <w:rsid w:val="00F12670"/>
    <w:rsid w:val="00F14532"/>
    <w:rsid w:val="00F14B27"/>
    <w:rsid w:val="00F3148D"/>
    <w:rsid w:val="00F325C5"/>
    <w:rsid w:val="00F32FE0"/>
    <w:rsid w:val="00F35298"/>
    <w:rsid w:val="00F47333"/>
    <w:rsid w:val="00F47E37"/>
    <w:rsid w:val="00F53C07"/>
    <w:rsid w:val="00F54B65"/>
    <w:rsid w:val="00F63DBF"/>
    <w:rsid w:val="00F640B6"/>
    <w:rsid w:val="00F66DF2"/>
    <w:rsid w:val="00F739A5"/>
    <w:rsid w:val="00F740FE"/>
    <w:rsid w:val="00F80E40"/>
    <w:rsid w:val="00F8450F"/>
    <w:rsid w:val="00F848D9"/>
    <w:rsid w:val="00F92CDB"/>
    <w:rsid w:val="00FA1341"/>
    <w:rsid w:val="00FA5069"/>
    <w:rsid w:val="00FA5B82"/>
    <w:rsid w:val="00FA639E"/>
    <w:rsid w:val="00FC13EA"/>
    <w:rsid w:val="00FC1FCA"/>
    <w:rsid w:val="00FC25E4"/>
    <w:rsid w:val="00FC4EF7"/>
    <w:rsid w:val="00FD0824"/>
    <w:rsid w:val="00FD119B"/>
    <w:rsid w:val="00FD1EDC"/>
    <w:rsid w:val="00FE1DEE"/>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41335C4"/>
  <w15:docId w15:val="{B628E8AD-9520-4EAE-ABB3-7B92EB6D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C74F5C"/>
    <w:pPr>
      <w:outlineLvl w:val="1"/>
    </w:pPr>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FC13E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C74F5C"/>
    <w:pPr>
      <w:spacing w:before="240"/>
      <w:outlineLvl w:val="1"/>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C74F5C"/>
    <w:pPr>
      <w:spacing w:after="480" w:line="240" w:lineRule="auto"/>
      <w:contextualSpacing/>
      <w:outlineLvl w:val="0"/>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C74F5C"/>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Default">
    <w:name w:val="Default"/>
    <w:rsid w:val="00846579"/>
    <w:pPr>
      <w:autoSpaceDE w:val="0"/>
      <w:autoSpaceDN w:val="0"/>
      <w:adjustRightInd w:val="0"/>
      <w:spacing w:after="0" w:line="240" w:lineRule="auto"/>
    </w:pPr>
    <w:rPr>
      <w:rFonts w:ascii="Cambria" w:hAnsi="Cambria" w:cs="Cambri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mailto:tga.copyright@tga.gov.au" TargetMode="External"/><Relationship Id="rId17" Type="http://schemas.openxmlformats.org/officeDocument/2006/relationships/header" Target="header3.xml"/><Relationship Id="rId25" Type="http://schemas.openxmlformats.org/officeDocument/2006/relationships/hyperlink" Target="https://www.tga.gov.au/product-information-pi" TargetMode="Externa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 TargetMode="External"/><Relationship Id="rId24" Type="http://schemas.openxmlformats.org/officeDocument/2006/relationships/image" Target="media/image6.emf"/><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emf"/><Relationship Id="rId28" Type="http://schemas.openxmlformats.org/officeDocument/2006/relationships/header" Target="header6.xm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tga.gov.au/product-information-pi" TargetMode="External"/><Relationship Id="rId31" Type="http://schemas.openxmlformats.org/officeDocument/2006/relationships/hyperlink" Target="https://www.tg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header" Target="header5.xml"/><Relationship Id="rId30" Type="http://schemas.openxmlformats.org/officeDocument/2006/relationships/hyperlink" Target="mailto:info@tga.gov.au" TargetMode="External"/><Relationship Id="rId35" Type="http://schemas.openxmlformats.org/officeDocument/2006/relationships/header" Target="header9.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YIN\AppData\Local\Hewlett-Packard\HP%20TRIM\TEMP\HPTRIM.1060\D19-5975236%20%20AusPAR%20-%20template%20-%20streamlined.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C8279887603A4CA759F2DF7CD936EC" ma:contentTypeVersion="9" ma:contentTypeDescription="Create a new document." ma:contentTypeScope="" ma:versionID="3ecd388e941fe47629e6248700e4b203">
  <xsd:schema xmlns:xsd="http://www.w3.org/2001/XMLSchema" xmlns:xs="http://www.w3.org/2001/XMLSchema" xmlns:p="http://schemas.microsoft.com/office/2006/metadata/properties" xmlns:ns3="fd37ed9c-b37a-4c0f-bec4-6f64d39883c9" targetNamespace="http://schemas.microsoft.com/office/2006/metadata/properties" ma:root="true" ma:fieldsID="08b2117e45c4f4f56b13622bac078cd3" ns3:_="">
    <xsd:import namespace="fd37ed9c-b37a-4c0f-bec4-6f64d39883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7ed9c-b37a-4c0f-bec4-6f64d3988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24E6B-E583-48DB-AA64-9A35CDAB5D07}">
  <ds:schemaRefs>
    <ds:schemaRef ds:uri="http://www.w3.org/XML/1998/namespace"/>
    <ds:schemaRef ds:uri="http://schemas.microsoft.com/office/infopath/2007/PartnerControls"/>
    <ds:schemaRef ds:uri="http://purl.org/dc/elements/1.1/"/>
    <ds:schemaRef ds:uri="fd37ed9c-b37a-4c0f-bec4-6f64d39883c9"/>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DA04579-4DE9-4852-9B9F-075706FE2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7ed9c-b37a-4c0f-bec4-6f64d39883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7E44A-599B-4D33-AE86-30B540E91F1C}">
  <ds:schemaRefs>
    <ds:schemaRef ds:uri="http://schemas.microsoft.com/sharepoint/v3/contenttype/forms"/>
  </ds:schemaRefs>
</ds:datastoreItem>
</file>

<file path=customXml/itemProps4.xml><?xml version="1.0" encoding="utf-8"?>
<ds:datastoreItem xmlns:ds="http://schemas.openxmlformats.org/officeDocument/2006/customXml" ds:itemID="{9E528E64-3B27-4AF4-93B1-1D2C4F4C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D19-5975236  AusPAR - template - streamlined.DOTX</Template>
  <TotalTime>15</TotalTime>
  <Pages>27</Pages>
  <Words>8433</Words>
  <Characters>48073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Australian public assessment report for Secukinumab</vt:lpstr>
    </vt:vector>
  </TitlesOfParts>
  <Company>Department of Health Therapeutic Goods Administration</Company>
  <LinksUpToDate>false</LinksUpToDate>
  <CharactersWithSpaces>56394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Secukinumab</dc:title>
  <dc:subject>prescription medicines</dc:subject>
  <dc:creator>Therapeutic Goods Administration</dc:creator>
  <cp:keywords/>
  <cp:lastPrinted>2019-08-14T04:30:00Z</cp:lastPrinted>
  <dcterms:created xsi:type="dcterms:W3CDTF">2021-02-02T05:03:00Z</dcterms:created>
  <dcterms:modified xsi:type="dcterms:W3CDTF">2021-02-02T05:21:00Z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2021-01-11T00:28:23Z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fba8322a-a425-4717-9e24-a5b8db1aefa7</vt:lpwstr>
  </property>
  <property fmtid="{D5CDD505-2E9C-101B-9397-08002B2CF9AE}" pid="8" name="MSIP_Label_4929bff8-5b33-42aa-95d2-28f72e792cb0_ContentBits">
    <vt:lpwstr>0</vt:lpwstr>
  </property>
  <property fmtid="{D5CDD505-2E9C-101B-9397-08002B2CF9AE}" pid="9" name="ContentTypeId">
    <vt:lpwstr>0x01010053C8279887603A4CA759F2DF7CD936EC</vt:lpwstr>
  </property>
</Properties>
</file>