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6B2" w:rsidRDefault="00E966B2" w:rsidP="00E966B2">
      <w:pPr>
        <w:pStyle w:val="Heading1"/>
        <w:pageBreakBefore w:val="0"/>
        <w:numPr>
          <w:ilvl w:val="0"/>
          <w:numId w:val="0"/>
        </w:numPr>
        <w:jc w:val="center"/>
      </w:pPr>
      <w:bookmarkStart w:id="0" w:name="_Toc314223295"/>
      <w:r>
        <w:t>PRODUCT INFORMATION</w:t>
      </w:r>
    </w:p>
    <w:p w:rsidR="00E966B2" w:rsidRPr="007B649A" w:rsidRDefault="00BB6388" w:rsidP="00E966B2">
      <w:pPr>
        <w:pStyle w:val="Heading1"/>
        <w:pageBreakBefore w:val="0"/>
        <w:numPr>
          <w:ilvl w:val="0"/>
          <w:numId w:val="0"/>
        </w:numPr>
        <w:jc w:val="center"/>
      </w:pPr>
      <w:r w:rsidRPr="007B649A">
        <w:t>RENVELA</w:t>
      </w:r>
    </w:p>
    <w:p w:rsidR="000E1B95" w:rsidRDefault="00BC52A5" w:rsidP="00BC52A5">
      <w:pPr>
        <w:pStyle w:val="Heading1"/>
        <w:pageBreakBefore w:val="0"/>
        <w:numPr>
          <w:ilvl w:val="0"/>
          <w:numId w:val="0"/>
        </w:numPr>
      </w:pPr>
      <w:r>
        <w:t>Name of medicine</w:t>
      </w:r>
      <w:bookmarkEnd w:id="0"/>
    </w:p>
    <w:p w:rsidR="006B17E4" w:rsidRDefault="006B17E4" w:rsidP="00F045B5">
      <w:pPr>
        <w:pStyle w:val="Heading2"/>
        <w:numPr>
          <w:ilvl w:val="0"/>
          <w:numId w:val="0"/>
        </w:numPr>
        <w:spacing w:before="360"/>
      </w:pPr>
      <w:bookmarkStart w:id="1" w:name="_Toc373911913"/>
      <w:bookmarkStart w:id="2" w:name="_Toc314223297"/>
      <w:r>
        <w:t>AUSTRALIAN APPrOVED NAME</w:t>
      </w:r>
      <w:bookmarkEnd w:id="1"/>
    </w:p>
    <w:p w:rsidR="006B17E4" w:rsidRPr="007B649A" w:rsidRDefault="006B17E4" w:rsidP="006B17E4">
      <w:pPr>
        <w:rPr>
          <w:color w:val="auto"/>
        </w:rPr>
      </w:pPr>
      <w:proofErr w:type="spellStart"/>
      <w:r w:rsidRPr="007B649A">
        <w:rPr>
          <w:color w:val="auto"/>
        </w:rPr>
        <w:t>Sevelamer</w:t>
      </w:r>
      <w:proofErr w:type="spellEnd"/>
      <w:r w:rsidRPr="007B649A">
        <w:rPr>
          <w:color w:val="auto"/>
        </w:rPr>
        <w:t xml:space="preserve"> carbonate </w:t>
      </w:r>
    </w:p>
    <w:p w:rsidR="006B17E4" w:rsidRDefault="006B17E4" w:rsidP="006B17E4">
      <w:pPr>
        <w:pStyle w:val="Heading2"/>
        <w:numPr>
          <w:ilvl w:val="0"/>
          <w:numId w:val="0"/>
        </w:numPr>
      </w:pPr>
      <w:bookmarkStart w:id="3" w:name="_Toc373911914"/>
      <w:bookmarkEnd w:id="2"/>
      <w:r>
        <w:t>CHEMICAL STRUCTURE</w:t>
      </w:r>
      <w:bookmarkEnd w:id="3"/>
    </w:p>
    <w:p w:rsidR="006B17E4" w:rsidRDefault="006B17E4" w:rsidP="009E6B7F">
      <w:pPr>
        <w:spacing w:before="120"/>
      </w:pPr>
      <w:r>
        <w:t xml:space="preserve">The structure is presented in </w:t>
      </w:r>
      <w:r w:rsidRPr="0025359E">
        <w:rPr>
          <w:color w:val="0000FF"/>
        </w:rPr>
        <w:fldChar w:fldCharType="begin"/>
      </w:r>
      <w:r w:rsidRPr="0025359E">
        <w:rPr>
          <w:color w:val="0000FF"/>
        </w:rPr>
        <w:instrText xml:space="preserve"> REF _Ref373914213 \h  \* MERGEFORMAT </w:instrText>
      </w:r>
      <w:r w:rsidRPr="0025359E">
        <w:rPr>
          <w:color w:val="0000FF"/>
        </w:rPr>
      </w:r>
      <w:r w:rsidRPr="0025359E">
        <w:rPr>
          <w:color w:val="0000FF"/>
        </w:rPr>
        <w:fldChar w:fldCharType="separate"/>
      </w:r>
      <w:r w:rsidR="00180A45">
        <w:t>Figure 1</w:t>
      </w:r>
      <w:r w:rsidRPr="0025359E">
        <w:rPr>
          <w:color w:val="0000FF"/>
        </w:rPr>
        <w:fldChar w:fldCharType="end"/>
      </w:r>
      <w:r>
        <w:t>.</w:t>
      </w:r>
    </w:p>
    <w:p w:rsidR="006B17E4" w:rsidRPr="0025359E" w:rsidRDefault="006B17E4" w:rsidP="006B17E4">
      <w:pPr>
        <w:pStyle w:val="Caption"/>
        <w:ind w:left="1440"/>
        <w:jc w:val="left"/>
      </w:pPr>
      <w:r>
        <w:lastRenderedPageBreak/>
        <w:t xml:space="preserve"> </w:t>
      </w:r>
      <w:bookmarkStart w:id="4" w:name="_Ref373914213"/>
      <w:r>
        <w:t>Figure </w:t>
      </w:r>
      <w:r>
        <w:fldChar w:fldCharType="begin"/>
      </w:r>
      <w:r>
        <w:instrText xml:space="preserve"> SEQ Figure \* ARABIC </w:instrText>
      </w:r>
      <w:r>
        <w:fldChar w:fldCharType="separate"/>
      </w:r>
      <w:r w:rsidR="00180A45">
        <w:rPr>
          <w:noProof/>
        </w:rPr>
        <w:t>1</w:t>
      </w:r>
      <w:r>
        <w:fldChar w:fldCharType="end"/>
      </w:r>
      <w:bookmarkEnd w:id="4"/>
      <w:r>
        <w:t xml:space="preserve"> ­ Structure of </w:t>
      </w:r>
      <w:proofErr w:type="spellStart"/>
      <w:r>
        <w:t>sevelamer</w:t>
      </w:r>
      <w:proofErr w:type="spellEnd"/>
      <w:r>
        <w:t xml:space="preserve"> carbonate</w:t>
      </w:r>
    </w:p>
    <w:p w:rsidR="006B17E4" w:rsidRPr="006B17E4" w:rsidRDefault="005D02D0" w:rsidP="006B17E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25pt;height:344.25pt">
            <v:imagedata r:id="rId9" o:title=""/>
          </v:shape>
        </w:pict>
      </w:r>
    </w:p>
    <w:p w:rsidR="00EB0A6A" w:rsidRPr="00AC6AA7" w:rsidRDefault="00EB0A6A" w:rsidP="00EB0A6A">
      <w:pPr>
        <w:spacing w:before="120"/>
        <w:jc w:val="both"/>
        <w:rPr>
          <w:color w:val="auto"/>
          <w:sz w:val="20"/>
          <w:szCs w:val="20"/>
        </w:rPr>
      </w:pPr>
      <w:r w:rsidRPr="003D790F">
        <w:rPr>
          <w:color w:val="auto"/>
        </w:rPr>
        <w:t>The primary amine groups shown in the structure are derived directly from poly (</w:t>
      </w:r>
      <w:proofErr w:type="spellStart"/>
      <w:r w:rsidRPr="003D790F">
        <w:rPr>
          <w:color w:val="auto"/>
        </w:rPr>
        <w:t>allylamine</w:t>
      </w:r>
      <w:proofErr w:type="spellEnd"/>
      <w:r w:rsidRPr="003D790F">
        <w:rPr>
          <w:color w:val="auto"/>
        </w:rPr>
        <w:t xml:space="preserve"> hydrochloride).  </w:t>
      </w:r>
      <w:r w:rsidRPr="00AC6AA7">
        <w:rPr>
          <w:color w:val="auto"/>
        </w:rPr>
        <w:t>The cross - linking groups consist of two secondary amine groups derived from poly (</w:t>
      </w:r>
      <w:proofErr w:type="spellStart"/>
      <w:r w:rsidRPr="00AC6AA7">
        <w:rPr>
          <w:color w:val="auto"/>
        </w:rPr>
        <w:t>allylamine</w:t>
      </w:r>
      <w:proofErr w:type="spellEnd"/>
      <w:r w:rsidRPr="00AC6AA7">
        <w:rPr>
          <w:color w:val="auto"/>
        </w:rPr>
        <w:t xml:space="preserve"> hydrochloride) and one molecule of</w:t>
      </w:r>
      <w:r w:rsidRPr="00A46B03">
        <w:rPr>
          <w:color w:val="auto"/>
          <w:lang w:val="en-AU"/>
        </w:rPr>
        <w:t xml:space="preserve"> </w:t>
      </w:r>
      <w:proofErr w:type="spellStart"/>
      <w:r w:rsidRPr="00A46B03">
        <w:rPr>
          <w:color w:val="auto"/>
          <w:lang w:val="en-AU"/>
        </w:rPr>
        <w:t>epichlorohydrin</w:t>
      </w:r>
      <w:proofErr w:type="spellEnd"/>
      <w:r w:rsidRPr="00AC6AA7">
        <w:rPr>
          <w:color w:val="auto"/>
          <w:sz w:val="20"/>
          <w:szCs w:val="20"/>
        </w:rPr>
        <w:t>.</w:t>
      </w:r>
    </w:p>
    <w:p w:rsidR="00F3432A" w:rsidRPr="00AC6AA7" w:rsidRDefault="006B17E4" w:rsidP="007B649A">
      <w:pPr>
        <w:spacing w:before="120"/>
        <w:jc w:val="both"/>
        <w:rPr>
          <w:color w:val="auto"/>
        </w:rPr>
      </w:pPr>
      <w:r w:rsidRPr="001749B6">
        <w:rPr>
          <w:color w:val="auto"/>
          <w:lang w:val="en-AU"/>
        </w:rPr>
        <w:t xml:space="preserve">Molecular Formula: </w:t>
      </w:r>
      <w:r w:rsidR="00F3432A" w:rsidRPr="001749B6">
        <w:rPr>
          <w:color w:val="auto"/>
          <w:lang w:val="en-AU"/>
        </w:rPr>
        <w:t>(C</w:t>
      </w:r>
      <w:r w:rsidR="00F3432A" w:rsidRPr="001749B6">
        <w:rPr>
          <w:color w:val="auto"/>
          <w:vertAlign w:val="subscript"/>
          <w:lang w:val="en-AU"/>
        </w:rPr>
        <w:t>3</w:t>
      </w:r>
      <w:r w:rsidR="00F3432A" w:rsidRPr="001749B6">
        <w:rPr>
          <w:color w:val="auto"/>
          <w:lang w:val="en-AU"/>
        </w:rPr>
        <w:t>H</w:t>
      </w:r>
      <w:r w:rsidR="00F3432A" w:rsidRPr="001749B6">
        <w:rPr>
          <w:color w:val="auto"/>
          <w:vertAlign w:val="subscript"/>
          <w:lang w:val="en-AU"/>
        </w:rPr>
        <w:t>7</w:t>
      </w:r>
      <w:r w:rsidR="00F3432A" w:rsidRPr="001749B6">
        <w:rPr>
          <w:color w:val="auto"/>
          <w:lang w:val="en-AU"/>
        </w:rPr>
        <w:t>N.nH</w:t>
      </w:r>
      <w:r w:rsidR="00F3432A" w:rsidRPr="001749B6">
        <w:rPr>
          <w:color w:val="auto"/>
          <w:vertAlign w:val="subscript"/>
          <w:lang w:val="en-AU"/>
        </w:rPr>
        <w:t>2</w:t>
      </w:r>
      <w:r w:rsidR="00F3432A" w:rsidRPr="001749B6">
        <w:rPr>
          <w:color w:val="auto"/>
          <w:lang w:val="en-AU"/>
        </w:rPr>
        <w:t>CO</w:t>
      </w:r>
      <w:r w:rsidR="00F3432A" w:rsidRPr="001749B6">
        <w:rPr>
          <w:color w:val="auto"/>
          <w:vertAlign w:val="subscript"/>
          <w:lang w:val="en-AU"/>
        </w:rPr>
        <w:t>3</w:t>
      </w:r>
      <w:r w:rsidR="00F3432A" w:rsidRPr="001749B6">
        <w:rPr>
          <w:color w:val="auto"/>
          <w:lang w:val="en-AU"/>
        </w:rPr>
        <w:t>)</w:t>
      </w:r>
      <w:r w:rsidR="00F3432A" w:rsidRPr="001749B6">
        <w:rPr>
          <w:color w:val="auto"/>
          <w:vertAlign w:val="subscript"/>
          <w:lang w:val="en-AU"/>
        </w:rPr>
        <w:t xml:space="preserve">810z </w:t>
      </w:r>
      <w:r w:rsidR="00F3432A" w:rsidRPr="001749B6">
        <w:rPr>
          <w:color w:val="auto"/>
          <w:lang w:val="en-AU"/>
        </w:rPr>
        <w:t>(C</w:t>
      </w:r>
      <w:r w:rsidR="00F3432A" w:rsidRPr="001749B6">
        <w:rPr>
          <w:color w:val="auto"/>
          <w:vertAlign w:val="subscript"/>
          <w:lang w:val="en-AU"/>
        </w:rPr>
        <w:t>9</w:t>
      </w:r>
      <w:r w:rsidR="00F3432A" w:rsidRPr="001749B6">
        <w:rPr>
          <w:color w:val="auto"/>
          <w:lang w:val="en-AU"/>
        </w:rPr>
        <w:t>H</w:t>
      </w:r>
      <w:r w:rsidR="00F3432A" w:rsidRPr="001749B6">
        <w:rPr>
          <w:color w:val="auto"/>
          <w:vertAlign w:val="subscript"/>
          <w:lang w:val="en-AU"/>
        </w:rPr>
        <w:t>18</w:t>
      </w:r>
      <w:r w:rsidR="00F3432A" w:rsidRPr="001749B6">
        <w:rPr>
          <w:color w:val="auto"/>
          <w:lang w:val="en-AU"/>
        </w:rPr>
        <w:t>N</w:t>
      </w:r>
      <w:r w:rsidR="00F3432A" w:rsidRPr="001749B6">
        <w:rPr>
          <w:color w:val="auto"/>
          <w:vertAlign w:val="subscript"/>
          <w:lang w:val="en-AU"/>
        </w:rPr>
        <w:t>2</w:t>
      </w:r>
      <w:r w:rsidR="00F3432A" w:rsidRPr="001749B6">
        <w:rPr>
          <w:color w:val="auto"/>
          <w:lang w:val="en-AU"/>
        </w:rPr>
        <w:t>O</w:t>
      </w:r>
      <w:r w:rsidR="00F01CE1" w:rsidRPr="001749B6">
        <w:rPr>
          <w:color w:val="auto"/>
          <w:lang w:val="en-AU"/>
        </w:rPr>
        <w:t>.</w:t>
      </w:r>
      <w:r w:rsidR="00F3432A" w:rsidRPr="001749B6">
        <w:rPr>
          <w:color w:val="auto"/>
          <w:lang w:val="en-AU"/>
        </w:rPr>
        <w:t>nH</w:t>
      </w:r>
      <w:r w:rsidR="00F3432A" w:rsidRPr="001749B6">
        <w:rPr>
          <w:color w:val="auto"/>
          <w:vertAlign w:val="subscript"/>
          <w:lang w:val="en-AU"/>
        </w:rPr>
        <w:t>2</w:t>
      </w:r>
      <w:r w:rsidR="00F3432A" w:rsidRPr="001749B6">
        <w:rPr>
          <w:color w:val="auto"/>
          <w:lang w:val="en-AU"/>
        </w:rPr>
        <w:t>CO</w:t>
      </w:r>
      <w:r w:rsidR="00F3432A" w:rsidRPr="001749B6">
        <w:rPr>
          <w:color w:val="auto"/>
          <w:vertAlign w:val="subscript"/>
          <w:lang w:val="en-AU"/>
        </w:rPr>
        <w:t>3</w:t>
      </w:r>
      <w:r w:rsidR="00F3432A" w:rsidRPr="001749B6">
        <w:rPr>
          <w:color w:val="auto"/>
          <w:lang w:val="en-AU"/>
        </w:rPr>
        <w:t>)</w:t>
      </w:r>
      <w:proofErr w:type="gramStart"/>
      <w:r w:rsidR="00F3432A" w:rsidRPr="001749B6">
        <w:rPr>
          <w:color w:val="auto"/>
          <w:vertAlign w:val="subscript"/>
          <w:lang w:val="en-AU"/>
        </w:rPr>
        <w:t>95z</w:t>
      </w:r>
      <w:r w:rsidR="00F3432A" w:rsidRPr="001749B6">
        <w:rPr>
          <w:color w:val="auto"/>
          <w:lang w:val="en-AU"/>
        </w:rPr>
        <w:t xml:space="preserve">  where</w:t>
      </w:r>
      <w:proofErr w:type="gramEnd"/>
      <w:r w:rsidR="00F3432A" w:rsidRPr="001749B6">
        <w:rPr>
          <w:color w:val="auto"/>
          <w:lang w:val="en-AU"/>
        </w:rPr>
        <w:t xml:space="preserve"> z</w:t>
      </w:r>
      <w:r w:rsidR="00F01CE1" w:rsidRPr="001749B6">
        <w:rPr>
          <w:color w:val="auto"/>
          <w:lang w:val="en-AU"/>
        </w:rPr>
        <w:t xml:space="preserve"> = a large number</w:t>
      </w:r>
    </w:p>
    <w:p w:rsidR="006B17E4" w:rsidRDefault="00F01CE1" w:rsidP="007B649A">
      <w:pPr>
        <w:spacing w:before="120"/>
        <w:jc w:val="both"/>
        <w:rPr>
          <w:color w:val="auto"/>
        </w:rPr>
      </w:pPr>
      <w:r w:rsidRPr="00AC6AA7">
        <w:rPr>
          <w:color w:val="auto"/>
        </w:rPr>
        <w:t xml:space="preserve">Chemical Name: </w:t>
      </w:r>
      <w:proofErr w:type="gramStart"/>
      <w:r w:rsidRPr="00AC6AA7">
        <w:rPr>
          <w:color w:val="auto"/>
        </w:rPr>
        <w:t>poly</w:t>
      </w:r>
      <w:r w:rsidR="006B17E4" w:rsidRPr="00AC6AA7">
        <w:rPr>
          <w:color w:val="auto"/>
        </w:rPr>
        <w:t>(</w:t>
      </w:r>
      <w:proofErr w:type="gramEnd"/>
      <w:r w:rsidR="006B17E4" w:rsidRPr="00AC6AA7">
        <w:rPr>
          <w:color w:val="auto"/>
        </w:rPr>
        <w:t>allylamine-</w:t>
      </w:r>
      <w:r w:rsidR="006B17E4" w:rsidRPr="00AC6AA7">
        <w:rPr>
          <w:i/>
          <w:color w:val="auto"/>
        </w:rPr>
        <w:t>co-N,N’</w:t>
      </w:r>
      <w:r w:rsidR="006B17E4" w:rsidRPr="00AC6AA7">
        <w:rPr>
          <w:color w:val="auto"/>
        </w:rPr>
        <w:t>-diallyl-1,3-diamino-2-hydroxypropane) carbonate</w:t>
      </w:r>
      <w:r w:rsidR="006B17E4" w:rsidRPr="007B649A">
        <w:rPr>
          <w:color w:val="auto"/>
        </w:rPr>
        <w:t xml:space="preserve"> salt.</w:t>
      </w:r>
    </w:p>
    <w:p w:rsidR="0019780F" w:rsidRPr="006B792B" w:rsidRDefault="0019780F" w:rsidP="0019780F">
      <w:pPr>
        <w:pStyle w:val="Heading2"/>
        <w:numPr>
          <w:ilvl w:val="0"/>
          <w:numId w:val="0"/>
        </w:numPr>
      </w:pPr>
      <w:bookmarkStart w:id="5" w:name="_Toc314223298"/>
      <w:r w:rsidRPr="006B792B">
        <w:t>CAS Registry Number</w:t>
      </w:r>
      <w:bookmarkEnd w:id="5"/>
    </w:p>
    <w:p w:rsidR="006B17E4" w:rsidRPr="007B649A" w:rsidRDefault="006B17E4" w:rsidP="007B649A">
      <w:pPr>
        <w:spacing w:before="120"/>
        <w:jc w:val="both"/>
        <w:rPr>
          <w:color w:val="auto"/>
        </w:rPr>
      </w:pPr>
      <w:bookmarkStart w:id="6" w:name="_Toc314223299"/>
      <w:r w:rsidRPr="007B649A">
        <w:rPr>
          <w:color w:val="auto"/>
        </w:rPr>
        <w:t>845273-93-0</w:t>
      </w:r>
    </w:p>
    <w:p w:rsidR="00BC52A5" w:rsidRDefault="00BC52A5" w:rsidP="00BC52A5">
      <w:pPr>
        <w:pStyle w:val="Heading1"/>
        <w:pageBreakBefore w:val="0"/>
        <w:numPr>
          <w:ilvl w:val="0"/>
          <w:numId w:val="0"/>
        </w:numPr>
      </w:pPr>
      <w:r>
        <w:t>description</w:t>
      </w:r>
      <w:bookmarkEnd w:id="6"/>
    </w:p>
    <w:p w:rsidR="006B17E4" w:rsidRPr="00AC6AA7" w:rsidRDefault="006B17E4" w:rsidP="00DD357D">
      <w:pPr>
        <w:autoSpaceDE w:val="0"/>
        <w:autoSpaceDN w:val="0"/>
        <w:adjustRightInd w:val="0"/>
        <w:rPr>
          <w:rFonts w:ascii="TimesNewRoman" w:hAnsi="TimesNewRoman" w:cs="TimesNewRoman"/>
          <w:strike/>
          <w:color w:val="auto"/>
          <w:lang w:eastAsia="ja-JP"/>
        </w:rPr>
      </w:pPr>
      <w:bookmarkStart w:id="7" w:name="_Toc314223300"/>
      <w:proofErr w:type="spellStart"/>
      <w:r w:rsidRPr="00AC6AA7">
        <w:rPr>
          <w:color w:val="auto"/>
        </w:rPr>
        <w:t>Renvela</w:t>
      </w:r>
      <w:proofErr w:type="spellEnd"/>
      <w:r w:rsidRPr="00AC6AA7">
        <w:rPr>
          <w:color w:val="auto"/>
        </w:rPr>
        <w:t xml:space="preserve"> contains </w:t>
      </w:r>
      <w:proofErr w:type="spellStart"/>
      <w:r w:rsidRPr="00AC6AA7">
        <w:rPr>
          <w:color w:val="auto"/>
        </w:rPr>
        <w:t>sevelamer</w:t>
      </w:r>
      <w:proofErr w:type="spellEnd"/>
      <w:r w:rsidRPr="00AC6AA7">
        <w:rPr>
          <w:color w:val="auto"/>
        </w:rPr>
        <w:t>, a non-absorbed phosphate binding cross-linked polymer</w:t>
      </w:r>
      <w:r w:rsidR="00FC0FE8" w:rsidRPr="00AC6AA7">
        <w:rPr>
          <w:color w:val="auto"/>
        </w:rPr>
        <w:t xml:space="preserve">, </w:t>
      </w:r>
      <w:r w:rsidRPr="00AC6AA7">
        <w:rPr>
          <w:color w:val="auto"/>
        </w:rPr>
        <w:t>free of metal and calcium.</w:t>
      </w:r>
      <w:r w:rsidR="00084CB1" w:rsidRPr="00AC6AA7">
        <w:rPr>
          <w:color w:val="auto"/>
        </w:rPr>
        <w:t xml:space="preserve"> </w:t>
      </w:r>
      <w:proofErr w:type="spellStart"/>
      <w:r w:rsidR="00084CB1" w:rsidRPr="00AC6AA7">
        <w:rPr>
          <w:color w:val="auto"/>
        </w:rPr>
        <w:t>Sevelamer</w:t>
      </w:r>
      <w:proofErr w:type="spellEnd"/>
      <w:r w:rsidR="00084CB1" w:rsidRPr="00AC6AA7">
        <w:rPr>
          <w:color w:val="auto"/>
        </w:rPr>
        <w:t xml:space="preserve"> </w:t>
      </w:r>
      <w:r w:rsidR="006E371A" w:rsidRPr="00AC6AA7">
        <w:rPr>
          <w:color w:val="auto"/>
        </w:rPr>
        <w:t>is a white to off-white powder</w:t>
      </w:r>
      <w:r w:rsidR="00084CB1" w:rsidRPr="00AC6AA7">
        <w:rPr>
          <w:color w:val="auto"/>
        </w:rPr>
        <w:t xml:space="preserve"> </w:t>
      </w:r>
      <w:r w:rsidR="006E371A" w:rsidRPr="00AC6AA7">
        <w:rPr>
          <w:color w:val="auto"/>
        </w:rPr>
        <w:t xml:space="preserve">comprising of </w:t>
      </w:r>
      <w:r w:rsidR="00084CB1" w:rsidRPr="00AC6AA7">
        <w:rPr>
          <w:color w:val="auto"/>
        </w:rPr>
        <w:t xml:space="preserve">a partial carbonate </w:t>
      </w:r>
      <w:r w:rsidR="006E371A" w:rsidRPr="00AC6AA7">
        <w:rPr>
          <w:color w:val="auto"/>
        </w:rPr>
        <w:t xml:space="preserve">salt with </w:t>
      </w:r>
      <w:r w:rsidR="00084CB1" w:rsidRPr="00AC6AA7">
        <w:rPr>
          <w:color w:val="auto"/>
        </w:rPr>
        <w:t xml:space="preserve">approximately 40 % amine carbonate and 60 % free base. </w:t>
      </w:r>
      <w:proofErr w:type="spellStart"/>
      <w:r w:rsidR="00084CB1" w:rsidRPr="00AC6AA7">
        <w:rPr>
          <w:color w:val="auto"/>
        </w:rPr>
        <w:t>Sevelamer</w:t>
      </w:r>
      <w:proofErr w:type="spellEnd"/>
      <w:r w:rsidR="00084CB1" w:rsidRPr="00AC6AA7">
        <w:rPr>
          <w:color w:val="auto"/>
        </w:rPr>
        <w:t xml:space="preserve"> carbonate is </w:t>
      </w:r>
      <w:r w:rsidR="00084CB1" w:rsidRPr="00AC6AA7">
        <w:rPr>
          <w:color w:val="auto"/>
        </w:rPr>
        <w:lastRenderedPageBreak/>
        <w:t>amorphous</w:t>
      </w:r>
      <w:r w:rsidR="006E371A" w:rsidRPr="00AC6AA7">
        <w:rPr>
          <w:color w:val="auto"/>
        </w:rPr>
        <w:t>,</w:t>
      </w:r>
      <w:r w:rsidR="00084CB1" w:rsidRPr="00AC6AA7">
        <w:rPr>
          <w:color w:val="auto"/>
        </w:rPr>
        <w:t xml:space="preserve"> hygroscopic</w:t>
      </w:r>
      <w:r w:rsidR="006E371A" w:rsidRPr="00AC6AA7">
        <w:rPr>
          <w:color w:val="auto"/>
        </w:rPr>
        <w:t xml:space="preserve"> and hydrophilic, but insoluble in water</w:t>
      </w:r>
      <w:r w:rsidR="00D03A8B" w:rsidRPr="00AC6AA7">
        <w:rPr>
          <w:color w:val="auto"/>
        </w:rPr>
        <w:t xml:space="preserve"> with a pH range of 8-10.5 as </w:t>
      </w:r>
      <w:proofErr w:type="gramStart"/>
      <w:r w:rsidR="00D03A8B" w:rsidRPr="00AC6AA7">
        <w:rPr>
          <w:color w:val="auto"/>
        </w:rPr>
        <w:t xml:space="preserve">a </w:t>
      </w:r>
      <w:r w:rsidR="006E371A" w:rsidRPr="00AC6AA7">
        <w:rPr>
          <w:color w:val="auto"/>
        </w:rPr>
        <w:t>1</w:t>
      </w:r>
      <w:proofErr w:type="gramEnd"/>
      <w:r w:rsidR="006E371A" w:rsidRPr="00AC6AA7">
        <w:rPr>
          <w:color w:val="auto"/>
        </w:rPr>
        <w:t>% aqueous slurry</w:t>
      </w:r>
      <w:r w:rsidR="00084CB1" w:rsidRPr="00AC6AA7">
        <w:rPr>
          <w:color w:val="auto"/>
        </w:rPr>
        <w:t xml:space="preserve">. </w:t>
      </w:r>
    </w:p>
    <w:p w:rsidR="00E32320" w:rsidRPr="00AC6AA7" w:rsidRDefault="006B17E4" w:rsidP="007B649A">
      <w:pPr>
        <w:jc w:val="both"/>
        <w:rPr>
          <w:color w:val="auto"/>
        </w:rPr>
      </w:pPr>
      <w:r w:rsidRPr="00AC6AA7">
        <w:rPr>
          <w:color w:val="auto"/>
        </w:rPr>
        <w:t xml:space="preserve">Each </w:t>
      </w:r>
      <w:proofErr w:type="spellStart"/>
      <w:r w:rsidRPr="00AC6AA7">
        <w:rPr>
          <w:color w:val="auto"/>
        </w:rPr>
        <w:t>Renvela</w:t>
      </w:r>
      <w:proofErr w:type="spellEnd"/>
      <w:r w:rsidRPr="00AC6AA7">
        <w:rPr>
          <w:color w:val="auto"/>
        </w:rPr>
        <w:t xml:space="preserve"> </w:t>
      </w:r>
      <w:r w:rsidR="007C764F" w:rsidRPr="00AC6AA7">
        <w:rPr>
          <w:color w:val="auto"/>
        </w:rPr>
        <w:t xml:space="preserve">film-coated </w:t>
      </w:r>
      <w:r w:rsidRPr="00AC6AA7">
        <w:rPr>
          <w:color w:val="auto"/>
        </w:rPr>
        <w:t xml:space="preserve">tablet contains 800 mg of </w:t>
      </w:r>
      <w:proofErr w:type="spellStart"/>
      <w:r w:rsidRPr="00AC6AA7">
        <w:rPr>
          <w:color w:val="auto"/>
        </w:rPr>
        <w:t>sevelamer</w:t>
      </w:r>
      <w:proofErr w:type="spellEnd"/>
      <w:r w:rsidRPr="00AC6AA7">
        <w:rPr>
          <w:color w:val="auto"/>
        </w:rPr>
        <w:t xml:space="preserve"> carbonate on an anhydrous basis. </w:t>
      </w:r>
      <w:proofErr w:type="spellStart"/>
      <w:r w:rsidR="00E32320" w:rsidRPr="00AC6AA7">
        <w:rPr>
          <w:color w:val="auto"/>
        </w:rPr>
        <w:t>Renvela</w:t>
      </w:r>
      <w:proofErr w:type="spellEnd"/>
      <w:r w:rsidR="00E32320" w:rsidRPr="00AC6AA7">
        <w:rPr>
          <w:color w:val="auto"/>
        </w:rPr>
        <w:t xml:space="preserve"> tablets contain the following excipients: microcrystalline cellulose, sodium chloride</w:t>
      </w:r>
      <w:r w:rsidR="00E806CB" w:rsidRPr="00AC6AA7">
        <w:rPr>
          <w:color w:val="auto"/>
        </w:rPr>
        <w:t>, purified water</w:t>
      </w:r>
      <w:r w:rsidR="00E32320" w:rsidRPr="00AC6AA7">
        <w:rPr>
          <w:color w:val="auto"/>
        </w:rPr>
        <w:t xml:space="preserve"> and zinc stearate. The tablet coating contains</w:t>
      </w:r>
      <w:r w:rsidR="00023760" w:rsidRPr="00AC6AA7">
        <w:rPr>
          <w:color w:val="auto"/>
        </w:rPr>
        <w:t xml:space="preserve">; </w:t>
      </w:r>
      <w:proofErr w:type="spellStart"/>
      <w:r w:rsidR="0039261B" w:rsidRPr="00AC6AA7">
        <w:rPr>
          <w:color w:val="auto"/>
        </w:rPr>
        <w:t>O</w:t>
      </w:r>
      <w:r w:rsidR="00023760" w:rsidRPr="00AC6AA7">
        <w:rPr>
          <w:color w:val="auto"/>
        </w:rPr>
        <w:t>padry</w:t>
      </w:r>
      <w:proofErr w:type="spellEnd"/>
      <w:r w:rsidR="00023760" w:rsidRPr="00AC6AA7">
        <w:rPr>
          <w:color w:val="auto"/>
        </w:rPr>
        <w:t xml:space="preserve"> complete film </w:t>
      </w:r>
      <w:r w:rsidR="0039261B" w:rsidRPr="00AC6AA7">
        <w:rPr>
          <w:color w:val="auto"/>
        </w:rPr>
        <w:t xml:space="preserve">coating system 06A29064 Clear (PI-11577), </w:t>
      </w:r>
      <w:proofErr w:type="spellStart"/>
      <w:r w:rsidR="0039261B" w:rsidRPr="00AC6AA7">
        <w:rPr>
          <w:color w:val="auto"/>
        </w:rPr>
        <w:t>O</w:t>
      </w:r>
      <w:r w:rsidR="00023760" w:rsidRPr="00AC6AA7">
        <w:rPr>
          <w:color w:val="auto"/>
        </w:rPr>
        <w:t>pacode</w:t>
      </w:r>
      <w:proofErr w:type="spellEnd"/>
      <w:r w:rsidR="00023760" w:rsidRPr="00AC6AA7">
        <w:rPr>
          <w:color w:val="auto"/>
        </w:rPr>
        <w:t xml:space="preserve"> WB monogramming ink NS-78-17715 </w:t>
      </w:r>
      <w:r w:rsidR="0039261B" w:rsidRPr="00AC6AA7">
        <w:rPr>
          <w:color w:val="auto"/>
        </w:rPr>
        <w:t>B</w:t>
      </w:r>
      <w:r w:rsidR="00023760" w:rsidRPr="00AC6AA7">
        <w:rPr>
          <w:color w:val="auto"/>
        </w:rPr>
        <w:t>lack</w:t>
      </w:r>
      <w:r w:rsidR="0039261B" w:rsidRPr="00AC6AA7">
        <w:rPr>
          <w:color w:val="auto"/>
        </w:rPr>
        <w:t xml:space="preserve"> (PI-4424)</w:t>
      </w:r>
      <w:r w:rsidR="00023760" w:rsidRPr="00AC6AA7">
        <w:rPr>
          <w:color w:val="auto"/>
        </w:rPr>
        <w:t>,</w:t>
      </w:r>
      <w:r w:rsidR="00E32320" w:rsidRPr="00AC6AA7">
        <w:rPr>
          <w:color w:val="auto"/>
        </w:rPr>
        <w:t xml:space="preserve"> </w:t>
      </w:r>
      <w:proofErr w:type="spellStart"/>
      <w:r w:rsidR="00E32320" w:rsidRPr="00AC6AA7">
        <w:rPr>
          <w:color w:val="auto"/>
        </w:rPr>
        <w:t>hypromellose</w:t>
      </w:r>
      <w:proofErr w:type="spellEnd"/>
      <w:r w:rsidR="00E32320" w:rsidRPr="00AC6AA7">
        <w:rPr>
          <w:color w:val="auto"/>
        </w:rPr>
        <w:t xml:space="preserve"> and </w:t>
      </w:r>
      <w:proofErr w:type="spellStart"/>
      <w:r w:rsidR="00E32320" w:rsidRPr="00AC6AA7">
        <w:rPr>
          <w:color w:val="auto"/>
        </w:rPr>
        <w:t>diacetylated</w:t>
      </w:r>
      <w:proofErr w:type="spellEnd"/>
      <w:r w:rsidR="00E32320" w:rsidRPr="00AC6AA7">
        <w:rPr>
          <w:color w:val="auto"/>
        </w:rPr>
        <w:t xml:space="preserve"> </w:t>
      </w:r>
      <w:proofErr w:type="spellStart"/>
      <w:r w:rsidR="00E32320" w:rsidRPr="00AC6AA7">
        <w:rPr>
          <w:color w:val="auto"/>
        </w:rPr>
        <w:t>monoglycerides</w:t>
      </w:r>
      <w:proofErr w:type="spellEnd"/>
      <w:r w:rsidR="00E32320" w:rsidRPr="00AC6AA7">
        <w:rPr>
          <w:color w:val="auto"/>
        </w:rPr>
        <w:t xml:space="preserve">. The tablet printing ink also contains </w:t>
      </w:r>
      <w:proofErr w:type="spellStart"/>
      <w:r w:rsidR="00E32320" w:rsidRPr="00AC6AA7">
        <w:rPr>
          <w:color w:val="auto"/>
        </w:rPr>
        <w:t>hypromellose</w:t>
      </w:r>
      <w:proofErr w:type="spellEnd"/>
      <w:r w:rsidR="00E32320" w:rsidRPr="00AC6AA7">
        <w:rPr>
          <w:color w:val="auto"/>
        </w:rPr>
        <w:t xml:space="preserve"> in addition to iron oxide black ink, propylene glycol, isopropyl alcohol.</w:t>
      </w:r>
    </w:p>
    <w:p w:rsidR="006B17E4" w:rsidRDefault="00D3578C" w:rsidP="007B649A">
      <w:pPr>
        <w:jc w:val="both"/>
      </w:pPr>
      <w:r>
        <w:t xml:space="preserve">Each </w:t>
      </w:r>
      <w:proofErr w:type="spellStart"/>
      <w:r>
        <w:t>Renvela</w:t>
      </w:r>
      <w:proofErr w:type="spellEnd"/>
      <w:r>
        <w:t xml:space="preserve"> sachet contains </w:t>
      </w:r>
      <w:r w:rsidR="006B17E4" w:rsidRPr="007B649A">
        <w:t xml:space="preserve">1.6 g or 2.4 g of </w:t>
      </w:r>
      <w:proofErr w:type="spellStart"/>
      <w:r w:rsidR="006B17E4" w:rsidRPr="007B649A">
        <w:t>sevelamer</w:t>
      </w:r>
      <w:proofErr w:type="spellEnd"/>
      <w:r w:rsidR="006B17E4" w:rsidRPr="007B649A">
        <w:t xml:space="preserve"> carbonate for oral suspension on an anhydrous basis.</w:t>
      </w:r>
      <w:r w:rsidR="00E32320" w:rsidRPr="007B649A">
        <w:t xml:space="preserve"> </w:t>
      </w:r>
      <w:r w:rsidR="006B17E4" w:rsidRPr="007B649A">
        <w:t xml:space="preserve">Each sachet of </w:t>
      </w:r>
      <w:proofErr w:type="spellStart"/>
      <w:r w:rsidR="006B17E4" w:rsidRPr="007B649A">
        <w:t>Renvela</w:t>
      </w:r>
      <w:proofErr w:type="spellEnd"/>
      <w:r w:rsidR="006B17E4" w:rsidRPr="007B649A">
        <w:t xml:space="preserve"> powder con</w:t>
      </w:r>
      <w:r w:rsidR="00AC6AA7">
        <w:t>tains the following excipients:</w:t>
      </w:r>
      <w:r w:rsidR="00AC6AA7" w:rsidRPr="00AC6AA7">
        <w:rPr>
          <w:color w:val="auto"/>
        </w:rPr>
        <w:t xml:space="preserve"> </w:t>
      </w:r>
      <w:r w:rsidR="00023760" w:rsidRPr="00AC6AA7">
        <w:rPr>
          <w:color w:val="auto"/>
        </w:rPr>
        <w:t xml:space="preserve">RB26 Genzyme N&amp;A citrus cream FL PWD </w:t>
      </w:r>
      <w:r w:rsidR="0039261B" w:rsidRPr="00AC6AA7">
        <w:rPr>
          <w:color w:val="auto"/>
        </w:rPr>
        <w:t>#</w:t>
      </w:r>
      <w:r w:rsidR="00023760" w:rsidRPr="00AC6AA7">
        <w:rPr>
          <w:color w:val="auto"/>
        </w:rPr>
        <w:t>24660</w:t>
      </w:r>
      <w:r w:rsidR="0039261B" w:rsidRPr="00AC6AA7">
        <w:rPr>
          <w:color w:val="auto"/>
        </w:rPr>
        <w:t xml:space="preserve"> (PI-109424)</w:t>
      </w:r>
      <w:r w:rsidR="00023760" w:rsidRPr="00AC6AA7">
        <w:rPr>
          <w:color w:val="auto"/>
        </w:rPr>
        <w:t>,</w:t>
      </w:r>
      <w:r w:rsidR="006B17E4" w:rsidRPr="00AC6AA7">
        <w:rPr>
          <w:color w:val="auto"/>
        </w:rPr>
        <w:t xml:space="preserve"> </w:t>
      </w:r>
      <w:r w:rsidR="006B17E4" w:rsidRPr="007B649A">
        <w:t xml:space="preserve">propylene glycol alginate, sodium chloride, sucralose, and </w:t>
      </w:r>
      <w:r w:rsidR="008D4FED">
        <w:t>iron oxide</w:t>
      </w:r>
      <w:r w:rsidR="006B17E4" w:rsidRPr="007B649A">
        <w:t xml:space="preserve"> yellow.</w:t>
      </w:r>
    </w:p>
    <w:p w:rsidR="00BC52A5" w:rsidRPr="00EF2041" w:rsidRDefault="00BC52A5" w:rsidP="00BC52A5">
      <w:pPr>
        <w:pStyle w:val="Heading1"/>
        <w:pageBreakBefore w:val="0"/>
        <w:numPr>
          <w:ilvl w:val="0"/>
          <w:numId w:val="0"/>
        </w:numPr>
        <w:rPr>
          <w:lang w:val="fr-FR"/>
        </w:rPr>
      </w:pPr>
      <w:r w:rsidRPr="00EF2041">
        <w:rPr>
          <w:lang w:val="fr-FR"/>
        </w:rPr>
        <w:t>pharmacology</w:t>
      </w:r>
      <w:bookmarkEnd w:id="7"/>
    </w:p>
    <w:p w:rsidR="00BC52A5" w:rsidRPr="00EF2041" w:rsidRDefault="00BC52A5" w:rsidP="00BC52A5">
      <w:pPr>
        <w:pStyle w:val="Heading2"/>
        <w:numPr>
          <w:ilvl w:val="0"/>
          <w:numId w:val="0"/>
        </w:numPr>
        <w:rPr>
          <w:lang w:val="fr-FR"/>
        </w:rPr>
      </w:pPr>
      <w:bookmarkStart w:id="8" w:name="_Toc314223301"/>
      <w:r w:rsidRPr="00EF2041">
        <w:rPr>
          <w:lang w:val="fr-FR"/>
        </w:rPr>
        <w:t>PHARMACODYNAMICS</w:t>
      </w:r>
      <w:bookmarkEnd w:id="8"/>
    </w:p>
    <w:p w:rsidR="00BC52A5" w:rsidRDefault="00BC52A5" w:rsidP="00BC52A5">
      <w:pPr>
        <w:pStyle w:val="Heading3"/>
        <w:numPr>
          <w:ilvl w:val="0"/>
          <w:numId w:val="0"/>
        </w:numPr>
      </w:pPr>
      <w:bookmarkStart w:id="9" w:name="_Toc314223302"/>
      <w:r>
        <w:t>Mechanism of Action</w:t>
      </w:r>
      <w:bookmarkEnd w:id="9"/>
    </w:p>
    <w:p w:rsidR="00B40C2B" w:rsidRPr="00B40C2B" w:rsidRDefault="00F2115B" w:rsidP="00B40C2B">
      <w:pPr>
        <w:pStyle w:val="ListAlphabeticalLevel2"/>
        <w:numPr>
          <w:ilvl w:val="0"/>
          <w:numId w:val="0"/>
        </w:numPr>
        <w:rPr>
          <w:b/>
          <w:color w:val="0000FF"/>
          <w:u w:val="double"/>
        </w:rPr>
      </w:pPr>
      <w:r>
        <w:t>Patients wi</w:t>
      </w:r>
      <w:r w:rsidR="007B649A">
        <w:t>th end-</w:t>
      </w:r>
      <w:r>
        <w:t xml:space="preserve">stage renal disease (ESRD) retain phosphorus and </w:t>
      </w:r>
      <w:r w:rsidR="007B649A">
        <w:t xml:space="preserve">can develop </w:t>
      </w:r>
      <w:proofErr w:type="spellStart"/>
      <w:r w:rsidR="007B649A">
        <w:t>hyperphosphataemia</w:t>
      </w:r>
      <w:proofErr w:type="spellEnd"/>
      <w:r w:rsidR="007B649A">
        <w:t xml:space="preserve">. </w:t>
      </w:r>
      <w:r w:rsidR="00B40C2B" w:rsidRPr="0009331B">
        <w:rPr>
          <w:color w:val="auto"/>
        </w:rPr>
        <w:t>High serum phosphorus can precipitate serum calcium resulting in ectopic calcifications. When the product of serum calcium and phosphorus concentrations (Ca x P) exceeds 4.46 (</w:t>
      </w:r>
      <w:proofErr w:type="spellStart"/>
      <w:r w:rsidR="00B40C2B" w:rsidRPr="0009331B">
        <w:rPr>
          <w:color w:val="auto"/>
        </w:rPr>
        <w:t>mmol</w:t>
      </w:r>
      <w:proofErr w:type="spellEnd"/>
      <w:r w:rsidR="00B40C2B" w:rsidRPr="0009331B">
        <w:rPr>
          <w:color w:val="auto"/>
        </w:rPr>
        <w:t>/L</w:t>
      </w:r>
      <w:proofErr w:type="gramStart"/>
      <w:r w:rsidR="00B40C2B" w:rsidRPr="0009331B">
        <w:rPr>
          <w:color w:val="auto"/>
        </w:rPr>
        <w:t>)</w:t>
      </w:r>
      <w:r w:rsidR="00B40C2B" w:rsidRPr="0009331B">
        <w:rPr>
          <w:color w:val="auto"/>
          <w:vertAlign w:val="superscript"/>
        </w:rPr>
        <w:t>2</w:t>
      </w:r>
      <w:proofErr w:type="gramEnd"/>
      <w:r w:rsidR="00B40C2B" w:rsidRPr="0009331B">
        <w:rPr>
          <w:color w:val="auto"/>
        </w:rPr>
        <w:t xml:space="preserve">, there is an increased risk that ectopic calcification will occur. </w:t>
      </w:r>
      <w:proofErr w:type="spellStart"/>
      <w:r w:rsidR="00B40C2B" w:rsidRPr="0009331B">
        <w:rPr>
          <w:color w:val="auto"/>
        </w:rPr>
        <w:t>Hyperphosphataemia</w:t>
      </w:r>
      <w:proofErr w:type="spellEnd"/>
      <w:r w:rsidR="00B40C2B" w:rsidRPr="0009331B">
        <w:rPr>
          <w:color w:val="auto"/>
        </w:rPr>
        <w:t xml:space="preserve"> plays a role in the development of secondary hyperparathyroidism in renal insufficiency. An increase in parathyroid hormone (PTH) levels is characteristic of patients with </w:t>
      </w:r>
      <w:proofErr w:type="gramStart"/>
      <w:r w:rsidR="00B40C2B" w:rsidRPr="0009331B">
        <w:rPr>
          <w:color w:val="auto"/>
        </w:rPr>
        <w:t>chronic</w:t>
      </w:r>
      <w:proofErr w:type="gramEnd"/>
      <w:r w:rsidR="00B40C2B" w:rsidRPr="0009331B">
        <w:rPr>
          <w:color w:val="auto"/>
        </w:rPr>
        <w:t xml:space="preserve"> renal failure. Increased levels of PTH can lead to the bone disease </w:t>
      </w:r>
      <w:proofErr w:type="spellStart"/>
      <w:r w:rsidR="00B40C2B" w:rsidRPr="0009331B">
        <w:rPr>
          <w:color w:val="auto"/>
        </w:rPr>
        <w:t>osteitis</w:t>
      </w:r>
      <w:proofErr w:type="spellEnd"/>
      <w:r w:rsidR="00B40C2B" w:rsidRPr="0009331B">
        <w:rPr>
          <w:color w:val="auto"/>
        </w:rPr>
        <w:t xml:space="preserve"> </w:t>
      </w:r>
      <w:proofErr w:type="spellStart"/>
      <w:r w:rsidR="00B40C2B" w:rsidRPr="0009331B">
        <w:rPr>
          <w:color w:val="auto"/>
        </w:rPr>
        <w:t>fibrosa</w:t>
      </w:r>
      <w:proofErr w:type="spellEnd"/>
      <w:r w:rsidR="00B40C2B" w:rsidRPr="0009331B">
        <w:rPr>
          <w:color w:val="auto"/>
        </w:rPr>
        <w:t>. A decrease in serum phosphorus may decrease serum PTH levels</w:t>
      </w:r>
      <w:r w:rsidR="00B40C2B" w:rsidRPr="0009331B">
        <w:rPr>
          <w:b/>
          <w:color w:val="auto"/>
        </w:rPr>
        <w:t>.</w:t>
      </w:r>
    </w:p>
    <w:p w:rsidR="00B40C2B" w:rsidRDefault="00B40C2B" w:rsidP="00400443">
      <w:pPr>
        <w:autoSpaceDE w:val="0"/>
        <w:autoSpaceDN w:val="0"/>
        <w:adjustRightInd w:val="0"/>
        <w:spacing w:before="0"/>
      </w:pPr>
    </w:p>
    <w:p w:rsidR="00400443" w:rsidRPr="00B87A69" w:rsidRDefault="00F045B5" w:rsidP="00400443">
      <w:pPr>
        <w:autoSpaceDE w:val="0"/>
        <w:autoSpaceDN w:val="0"/>
        <w:adjustRightInd w:val="0"/>
        <w:spacing w:before="0"/>
        <w:rPr>
          <w:strike/>
          <w:color w:val="FF0000"/>
        </w:rPr>
      </w:pPr>
      <w:proofErr w:type="spellStart"/>
      <w:r w:rsidRPr="007B649A">
        <w:t>Renvela</w:t>
      </w:r>
      <w:proofErr w:type="spellEnd"/>
      <w:r w:rsidR="00F2115B">
        <w:t xml:space="preserve"> contains multiple amines separated by one </w:t>
      </w:r>
      <w:r w:rsidR="007B649A">
        <w:t xml:space="preserve">carbon from the polymer backbone, </w:t>
      </w:r>
      <w:r w:rsidRPr="007B649A">
        <w:t>which</w:t>
      </w:r>
      <w:r>
        <w:t xml:space="preserve"> </w:t>
      </w:r>
      <w:r w:rsidR="00F2115B">
        <w:t>become partially protonated in the intestine and interact with phosphorus molecules through ionic and hydrogen bonding</w:t>
      </w:r>
      <w:r w:rsidR="0009331B">
        <w:t xml:space="preserve">.  By binding phosphorus in </w:t>
      </w:r>
      <w:r w:rsidR="0009331B" w:rsidRPr="0009331B">
        <w:rPr>
          <w:color w:val="auto"/>
        </w:rPr>
        <w:t>the</w:t>
      </w:r>
      <w:r w:rsidR="00B87A69" w:rsidRPr="0009331B">
        <w:rPr>
          <w:color w:val="auto"/>
        </w:rPr>
        <w:t xml:space="preserve"> gastrointestinal </w:t>
      </w:r>
      <w:r w:rsidR="00F2115B" w:rsidRPr="0009331B">
        <w:rPr>
          <w:color w:val="auto"/>
        </w:rPr>
        <w:t>tract</w:t>
      </w:r>
      <w:r w:rsidR="006B17E4" w:rsidRPr="0009331B">
        <w:rPr>
          <w:color w:val="auto"/>
        </w:rPr>
        <w:t xml:space="preserve"> and decreasing absorption</w:t>
      </w:r>
      <w:r w:rsidR="00F2115B" w:rsidRPr="0009331B">
        <w:rPr>
          <w:color w:val="auto"/>
        </w:rPr>
        <w:t xml:space="preserve">, </w:t>
      </w:r>
      <w:proofErr w:type="spellStart"/>
      <w:r w:rsidR="00F2115B" w:rsidRPr="0009331B">
        <w:rPr>
          <w:color w:val="auto"/>
        </w:rPr>
        <w:t>sevelamer</w:t>
      </w:r>
      <w:proofErr w:type="spellEnd"/>
      <w:r w:rsidR="00F2115B" w:rsidRPr="0009331B">
        <w:rPr>
          <w:color w:val="auto"/>
        </w:rPr>
        <w:t xml:space="preserve"> lowers the phosphorus concentratio</w:t>
      </w:r>
      <w:r w:rsidR="0009331B" w:rsidRPr="0009331B">
        <w:rPr>
          <w:color w:val="auto"/>
        </w:rPr>
        <w:t xml:space="preserve">n in the serum. </w:t>
      </w:r>
      <w:proofErr w:type="spellStart"/>
      <w:r w:rsidR="00B40C2B" w:rsidRPr="0009331B">
        <w:rPr>
          <w:color w:val="auto"/>
        </w:rPr>
        <w:t>Sevelamer</w:t>
      </w:r>
      <w:proofErr w:type="spellEnd"/>
      <w:r w:rsidR="00B40C2B">
        <w:rPr>
          <w:color w:val="auto"/>
        </w:rPr>
        <w:t xml:space="preserve"> </w:t>
      </w:r>
      <w:r w:rsidR="00F2115B" w:rsidRPr="00B40C2B">
        <w:rPr>
          <w:color w:val="auto"/>
        </w:rPr>
        <w:t xml:space="preserve">decreases the incidence of </w:t>
      </w:r>
      <w:proofErr w:type="spellStart"/>
      <w:r w:rsidR="00F2115B" w:rsidRPr="00B40C2B">
        <w:rPr>
          <w:color w:val="auto"/>
        </w:rPr>
        <w:t>hypercalcaemic</w:t>
      </w:r>
      <w:proofErr w:type="spellEnd"/>
      <w:r w:rsidR="00F2115B" w:rsidRPr="00B40C2B">
        <w:rPr>
          <w:color w:val="auto"/>
        </w:rPr>
        <w:t xml:space="preserve"> episodes as compared to patients using calcium based phosphate binders alone, probably because the product itself does not contain calcium. </w:t>
      </w:r>
    </w:p>
    <w:p w:rsidR="00CB3077" w:rsidRDefault="00CB3077" w:rsidP="00400443">
      <w:pPr>
        <w:autoSpaceDE w:val="0"/>
        <w:autoSpaceDN w:val="0"/>
        <w:adjustRightInd w:val="0"/>
        <w:spacing w:before="0"/>
      </w:pPr>
    </w:p>
    <w:p w:rsidR="00F2115B" w:rsidRPr="00B87A69" w:rsidRDefault="00400443" w:rsidP="00400443">
      <w:pPr>
        <w:autoSpaceDE w:val="0"/>
        <w:autoSpaceDN w:val="0"/>
        <w:adjustRightInd w:val="0"/>
        <w:spacing w:before="0"/>
        <w:rPr>
          <w:rFonts w:ascii="TimesNewRoman" w:hAnsi="TimesNewRoman" w:cs="TimesNewRoman"/>
          <w:strike/>
          <w:color w:val="FF0000"/>
          <w:lang w:eastAsia="ja-JP"/>
        </w:rPr>
      </w:pPr>
      <w:proofErr w:type="spellStart"/>
      <w:r w:rsidRPr="007B649A">
        <w:t>Renvela</w:t>
      </w:r>
      <w:proofErr w:type="spellEnd"/>
      <w:r w:rsidRPr="007B649A">
        <w:t xml:space="preserve"> (</w:t>
      </w:r>
      <w:proofErr w:type="spellStart"/>
      <w:r w:rsidRPr="007B649A">
        <w:t>sevelamer</w:t>
      </w:r>
      <w:proofErr w:type="spellEnd"/>
      <w:r w:rsidRPr="007B649A">
        <w:t xml:space="preserve"> carbonate) was developed as a pharmaceutical alternative to </w:t>
      </w:r>
      <w:proofErr w:type="spellStart"/>
      <w:r w:rsidRPr="007B649A">
        <w:t>sevelamer</w:t>
      </w:r>
      <w:proofErr w:type="spellEnd"/>
      <w:r w:rsidRPr="007B649A">
        <w:t xml:space="preserve"> hydrochloride (</w:t>
      </w:r>
      <w:proofErr w:type="spellStart"/>
      <w:r w:rsidRPr="007B649A">
        <w:t>Renagel</w:t>
      </w:r>
      <w:proofErr w:type="spellEnd"/>
      <w:r w:rsidRPr="007B649A">
        <w:t xml:space="preserve">). </w:t>
      </w:r>
      <w:proofErr w:type="spellStart"/>
      <w:r w:rsidRPr="007B649A">
        <w:t>Sevelamer</w:t>
      </w:r>
      <w:proofErr w:type="spellEnd"/>
      <w:r w:rsidRPr="007B649A">
        <w:t xml:space="preserve"> carbonate is an anion exchange resin with the same polymeric structure as </w:t>
      </w:r>
      <w:proofErr w:type="spellStart"/>
      <w:r w:rsidRPr="007B649A">
        <w:t>sevelamer</w:t>
      </w:r>
      <w:proofErr w:type="spellEnd"/>
      <w:r w:rsidRPr="007B649A">
        <w:t xml:space="preserve"> hydrochloride in which carbonate replaces chloride as the counter ion. </w:t>
      </w:r>
      <w:r w:rsidRPr="00400443">
        <w:t>While the counter ions differ for the two salts, the polymer itself, the active moiety, is the same.</w:t>
      </w:r>
      <w:r>
        <w:t xml:space="preserve"> </w:t>
      </w:r>
    </w:p>
    <w:p w:rsidR="00CC0F16" w:rsidRPr="00AC6AA7" w:rsidRDefault="00CA36A7" w:rsidP="00CC0F16">
      <w:pPr>
        <w:jc w:val="both"/>
        <w:rPr>
          <w:color w:val="auto"/>
        </w:rPr>
      </w:pPr>
      <w:proofErr w:type="spellStart"/>
      <w:r w:rsidRPr="00AC6AA7">
        <w:rPr>
          <w:color w:val="auto"/>
        </w:rPr>
        <w:lastRenderedPageBreak/>
        <w:t>Renvela</w:t>
      </w:r>
      <w:proofErr w:type="spellEnd"/>
      <w:r w:rsidR="00F2115B" w:rsidRPr="00AC6AA7">
        <w:rPr>
          <w:color w:val="auto"/>
        </w:rPr>
        <w:t xml:space="preserve"> treatment also results in a l</w:t>
      </w:r>
      <w:r w:rsidR="00755609" w:rsidRPr="00AC6AA7">
        <w:rPr>
          <w:color w:val="auto"/>
        </w:rPr>
        <w:t xml:space="preserve">owering of low </w:t>
      </w:r>
      <w:r w:rsidR="00F2115B" w:rsidRPr="00AC6AA7">
        <w:rPr>
          <w:color w:val="auto"/>
        </w:rPr>
        <w:t xml:space="preserve">density lipoprotein (LDL) and total serum cholesterol levels by increasing </w:t>
      </w:r>
      <w:proofErr w:type="spellStart"/>
      <w:r w:rsidR="00F2115B" w:rsidRPr="00AC6AA7">
        <w:rPr>
          <w:color w:val="auto"/>
        </w:rPr>
        <w:t>faecal</w:t>
      </w:r>
      <w:proofErr w:type="spellEnd"/>
      <w:r w:rsidR="00F2115B" w:rsidRPr="00AC6AA7">
        <w:rPr>
          <w:color w:val="auto"/>
        </w:rPr>
        <w:t xml:space="preserve"> excretion of bile acids.</w:t>
      </w:r>
      <w:r w:rsidR="00CC0F16" w:rsidRPr="00AC6AA7">
        <w:rPr>
          <w:color w:val="auto"/>
        </w:rPr>
        <w:t xml:space="preserve"> Because </w:t>
      </w:r>
      <w:proofErr w:type="spellStart"/>
      <w:r w:rsidR="00CC0F16" w:rsidRPr="00AC6AA7">
        <w:rPr>
          <w:color w:val="auto"/>
        </w:rPr>
        <w:t>sevelamer</w:t>
      </w:r>
      <w:proofErr w:type="spellEnd"/>
      <w:r w:rsidR="00CC0F16" w:rsidRPr="00AC6AA7">
        <w:rPr>
          <w:color w:val="auto"/>
        </w:rPr>
        <w:t xml:space="preserve"> binds bile acids, it may interfere with normal fat absorption and thus may reduce absorption of fat solub</w:t>
      </w:r>
      <w:r w:rsidR="003D549B" w:rsidRPr="00AC6AA7">
        <w:rPr>
          <w:color w:val="auto"/>
        </w:rPr>
        <w:t xml:space="preserve">le vitamins such as A, D and K. </w:t>
      </w:r>
      <w:r w:rsidR="003D549B" w:rsidRPr="00AC6AA7">
        <w:rPr>
          <w:rFonts w:ascii="TimesNewRoman" w:eastAsia="Times New Roman" w:hAnsi="TimesNewRoman" w:cs="TimesNewRoman"/>
          <w:color w:val="auto"/>
          <w:lang w:val="en-AU" w:eastAsia="en-AU"/>
        </w:rPr>
        <w:t xml:space="preserve">In clinical trials of </w:t>
      </w:r>
      <w:proofErr w:type="spellStart"/>
      <w:r w:rsidR="003D549B" w:rsidRPr="00AC6AA7">
        <w:rPr>
          <w:rFonts w:ascii="TimesNewRoman" w:eastAsia="Times New Roman" w:hAnsi="TimesNewRoman" w:cs="TimesNewRoman"/>
          <w:color w:val="auto"/>
          <w:lang w:val="en-AU" w:eastAsia="en-AU"/>
        </w:rPr>
        <w:t>sevelamer</w:t>
      </w:r>
      <w:proofErr w:type="spellEnd"/>
      <w:r w:rsidR="003D549B" w:rsidRPr="00AC6AA7">
        <w:rPr>
          <w:rFonts w:ascii="TimesNewRoman" w:eastAsia="Times New Roman" w:hAnsi="TimesNewRoman" w:cs="TimesNewRoman"/>
          <w:color w:val="auto"/>
          <w:lang w:val="en-AU" w:eastAsia="en-AU"/>
        </w:rPr>
        <w:t>, both the mean total-cholesterol and LDL-cholesterol declined by 15-39%.</w:t>
      </w:r>
      <w:r w:rsidR="003D549B" w:rsidRPr="00AC6AA7">
        <w:rPr>
          <w:color w:val="auto"/>
        </w:rPr>
        <w:t xml:space="preserve"> This effect is observed after 2 weeks. Triglycerides, HDL cholesterol and albumin did not change.</w:t>
      </w:r>
    </w:p>
    <w:p w:rsidR="00BC52A5" w:rsidRPr="007C2F83" w:rsidRDefault="00BC52A5" w:rsidP="00BC52A5">
      <w:pPr>
        <w:pStyle w:val="Heading2"/>
        <w:numPr>
          <w:ilvl w:val="0"/>
          <w:numId w:val="0"/>
        </w:numPr>
        <w:rPr>
          <w:lang w:val="fr-FR"/>
        </w:rPr>
      </w:pPr>
      <w:bookmarkStart w:id="10" w:name="_Toc314223303"/>
      <w:r w:rsidRPr="007C2F83">
        <w:rPr>
          <w:lang w:val="fr-FR"/>
        </w:rPr>
        <w:t>pharmacokinetics</w:t>
      </w:r>
      <w:bookmarkEnd w:id="10"/>
    </w:p>
    <w:p w:rsidR="00BC52A5" w:rsidRDefault="00BC52A5" w:rsidP="00BC52A5">
      <w:pPr>
        <w:pStyle w:val="Heading3"/>
        <w:numPr>
          <w:ilvl w:val="0"/>
          <w:numId w:val="0"/>
        </w:numPr>
      </w:pPr>
      <w:bookmarkStart w:id="11" w:name="_Toc314223304"/>
      <w:r w:rsidRPr="006B792B">
        <w:t>Absorption</w:t>
      </w:r>
      <w:bookmarkEnd w:id="11"/>
    </w:p>
    <w:p w:rsidR="00867032" w:rsidRDefault="001E1B55" w:rsidP="00867032">
      <w:pPr>
        <w:jc w:val="both"/>
        <w:rPr>
          <w:color w:val="auto"/>
        </w:rPr>
      </w:pPr>
      <w:r w:rsidRPr="00AC6AA7">
        <w:rPr>
          <w:color w:val="auto"/>
        </w:rPr>
        <w:t>Pharmacokinetic studies</w:t>
      </w:r>
      <w:r w:rsidR="002376EB" w:rsidRPr="00AC6AA7">
        <w:rPr>
          <w:color w:val="auto"/>
        </w:rPr>
        <w:t xml:space="preserve"> </w:t>
      </w:r>
      <w:r w:rsidRPr="00AC6AA7">
        <w:rPr>
          <w:color w:val="auto"/>
        </w:rPr>
        <w:t xml:space="preserve">have not been carried out with </w:t>
      </w:r>
      <w:proofErr w:type="spellStart"/>
      <w:r w:rsidRPr="00AC6AA7">
        <w:rPr>
          <w:color w:val="auto"/>
        </w:rPr>
        <w:t>sevelamer</w:t>
      </w:r>
      <w:proofErr w:type="spellEnd"/>
      <w:r w:rsidRPr="00AC6AA7">
        <w:rPr>
          <w:color w:val="auto"/>
        </w:rPr>
        <w:t xml:space="preserve"> carbonate in humans. </w:t>
      </w:r>
      <w:proofErr w:type="spellStart"/>
      <w:r w:rsidR="00CC0F16" w:rsidRPr="00AC6AA7">
        <w:rPr>
          <w:color w:val="auto"/>
        </w:rPr>
        <w:t>Sevelamer</w:t>
      </w:r>
      <w:proofErr w:type="spellEnd"/>
      <w:r w:rsidR="00CC0F16" w:rsidRPr="00AC6AA7">
        <w:rPr>
          <w:color w:val="auto"/>
        </w:rPr>
        <w:t xml:space="preserve"> hydrochloride, which contains the same active moiety as </w:t>
      </w:r>
      <w:proofErr w:type="spellStart"/>
      <w:r w:rsidR="00CC0F16" w:rsidRPr="00AC6AA7">
        <w:rPr>
          <w:color w:val="auto"/>
        </w:rPr>
        <w:t>sevelamer</w:t>
      </w:r>
      <w:proofErr w:type="spellEnd"/>
      <w:r w:rsidR="00CC0F16" w:rsidRPr="00AC6AA7">
        <w:rPr>
          <w:color w:val="auto"/>
        </w:rPr>
        <w:t xml:space="preserve"> carbonate, is not absorbed from the gastrointe</w:t>
      </w:r>
      <w:r w:rsidR="00867032" w:rsidRPr="00AC6AA7">
        <w:rPr>
          <w:color w:val="auto"/>
        </w:rPr>
        <w:t>stinal tract</w:t>
      </w:r>
      <w:r w:rsidR="00AC6AA7" w:rsidRPr="00AC6AA7">
        <w:rPr>
          <w:color w:val="auto"/>
        </w:rPr>
        <w:t>.</w:t>
      </w:r>
      <w:r w:rsidR="00867032" w:rsidRPr="00AC6AA7">
        <w:rPr>
          <w:color w:val="auto"/>
        </w:rPr>
        <w:t xml:space="preserve"> </w:t>
      </w:r>
      <w:r w:rsidR="001A4A63" w:rsidRPr="00AC6AA7">
        <w:rPr>
          <w:color w:val="auto"/>
        </w:rPr>
        <w:t xml:space="preserve">A </w:t>
      </w:r>
      <w:r w:rsidR="00867032" w:rsidRPr="00AC6AA7">
        <w:rPr>
          <w:color w:val="auto"/>
        </w:rPr>
        <w:t xml:space="preserve">mass balance study using </w:t>
      </w:r>
      <w:r w:rsidR="00867032" w:rsidRPr="00AC6AA7">
        <w:rPr>
          <w:color w:val="auto"/>
          <w:vertAlign w:val="superscript"/>
        </w:rPr>
        <w:t>14</w:t>
      </w:r>
      <w:r w:rsidR="00867032" w:rsidRPr="00AC6AA7">
        <w:rPr>
          <w:color w:val="auto"/>
        </w:rPr>
        <w:t xml:space="preserve">C - </w:t>
      </w:r>
      <w:proofErr w:type="spellStart"/>
      <w:r w:rsidR="00867032" w:rsidRPr="00AC6AA7">
        <w:rPr>
          <w:color w:val="auto"/>
        </w:rPr>
        <w:t>sevelamer</w:t>
      </w:r>
      <w:proofErr w:type="spellEnd"/>
      <w:r w:rsidR="00867032" w:rsidRPr="00AC6AA7">
        <w:rPr>
          <w:color w:val="auto"/>
        </w:rPr>
        <w:t xml:space="preserve"> hydrochloride in 16 healthy male and female volunteers showed that </w:t>
      </w:r>
      <w:proofErr w:type="spellStart"/>
      <w:r w:rsidR="00867032" w:rsidRPr="00AC6AA7">
        <w:rPr>
          <w:color w:val="auto"/>
        </w:rPr>
        <w:t>sevelamer</w:t>
      </w:r>
      <w:proofErr w:type="spellEnd"/>
      <w:r w:rsidR="00867032" w:rsidRPr="00AC6AA7">
        <w:rPr>
          <w:color w:val="auto"/>
        </w:rPr>
        <w:t xml:space="preserve"> is not systemically absorbed. No absorption studies have been performed in patients with renal disease.</w:t>
      </w:r>
      <w:r w:rsidR="004D5957" w:rsidRPr="00AC6AA7">
        <w:rPr>
          <w:color w:val="auto"/>
        </w:rPr>
        <w:t xml:space="preserve"> In dogs, &gt;94% of [</w:t>
      </w:r>
      <w:r w:rsidR="004D5957" w:rsidRPr="00AC6AA7">
        <w:rPr>
          <w:color w:val="auto"/>
          <w:vertAlign w:val="superscript"/>
        </w:rPr>
        <w:t>14</w:t>
      </w:r>
      <w:r w:rsidR="004D5957" w:rsidRPr="00AC6AA7">
        <w:rPr>
          <w:color w:val="auto"/>
        </w:rPr>
        <w:t>C-]-</w:t>
      </w:r>
      <w:proofErr w:type="spellStart"/>
      <w:r w:rsidR="004D5957" w:rsidRPr="00AC6AA7">
        <w:rPr>
          <w:color w:val="auto"/>
        </w:rPr>
        <w:t>sevelamer</w:t>
      </w:r>
      <w:proofErr w:type="spellEnd"/>
      <w:r w:rsidR="004D5957" w:rsidRPr="00AC6AA7">
        <w:rPr>
          <w:color w:val="auto"/>
        </w:rPr>
        <w:t xml:space="preserve"> carbonate was excreted in the </w:t>
      </w:r>
      <w:proofErr w:type="spellStart"/>
      <w:r w:rsidR="004D5957" w:rsidRPr="00AC6AA7">
        <w:rPr>
          <w:color w:val="auto"/>
        </w:rPr>
        <w:t>faeces</w:t>
      </w:r>
      <w:proofErr w:type="spellEnd"/>
      <w:r w:rsidR="004D5957" w:rsidRPr="00AC6AA7">
        <w:rPr>
          <w:color w:val="auto"/>
        </w:rPr>
        <w:t xml:space="preserve"> within 24 hours and ≤0.07% was recovered in urine.</w:t>
      </w:r>
    </w:p>
    <w:p w:rsidR="00BC52A5" w:rsidRDefault="00BC52A5" w:rsidP="00BC52A5">
      <w:pPr>
        <w:pStyle w:val="Heading1"/>
        <w:pageBreakBefore w:val="0"/>
        <w:numPr>
          <w:ilvl w:val="0"/>
          <w:numId w:val="0"/>
        </w:numPr>
      </w:pPr>
      <w:bookmarkStart w:id="12" w:name="_Toc314223312"/>
      <w:r w:rsidRPr="0050137B">
        <w:t>clinical trials</w:t>
      </w:r>
      <w:bookmarkEnd w:id="12"/>
    </w:p>
    <w:p w:rsidR="0048056C" w:rsidRPr="007B649A" w:rsidRDefault="0048056C" w:rsidP="00F06AAE">
      <w:pPr>
        <w:jc w:val="both"/>
      </w:pPr>
      <w:r w:rsidRPr="007B649A">
        <w:t xml:space="preserve">The ability of </w:t>
      </w:r>
      <w:proofErr w:type="spellStart"/>
      <w:r w:rsidRPr="007B649A">
        <w:t>sevelamer</w:t>
      </w:r>
      <w:proofErr w:type="spellEnd"/>
      <w:r w:rsidRPr="007B649A">
        <w:t xml:space="preserve"> to control serum phosphorus in CKD patients on dialysis was predominantly determined from the effects of the hydrochloride salt to bind phosphate. Six clinical trials used </w:t>
      </w:r>
      <w:proofErr w:type="spellStart"/>
      <w:r w:rsidR="00F045B5" w:rsidRPr="007B649A">
        <w:t>Renagel</w:t>
      </w:r>
      <w:proofErr w:type="spellEnd"/>
      <w:r w:rsidRPr="007B649A">
        <w:t xml:space="preserve"> and three clinical trials used </w:t>
      </w:r>
      <w:proofErr w:type="spellStart"/>
      <w:r w:rsidR="00F045B5" w:rsidRPr="007B649A">
        <w:t>Renvela</w:t>
      </w:r>
      <w:proofErr w:type="spellEnd"/>
      <w:r w:rsidRPr="007B649A">
        <w:t xml:space="preserve">. </w:t>
      </w:r>
    </w:p>
    <w:p w:rsidR="009A62BD" w:rsidRDefault="00D743A3" w:rsidP="00F06AAE">
      <w:pPr>
        <w:jc w:val="both"/>
      </w:pPr>
      <w:r w:rsidRPr="007B649A">
        <w:t xml:space="preserve">The </w:t>
      </w:r>
      <w:proofErr w:type="spellStart"/>
      <w:r w:rsidR="00F045B5" w:rsidRPr="007B649A">
        <w:t>Renagel</w:t>
      </w:r>
      <w:proofErr w:type="spellEnd"/>
      <w:r w:rsidRPr="007B649A">
        <w:t xml:space="preserve"> studies include one double-blind, placebo controlled 2-week study (</w:t>
      </w:r>
      <w:proofErr w:type="spellStart"/>
      <w:r w:rsidRPr="007B649A">
        <w:t>sevelamer</w:t>
      </w:r>
      <w:proofErr w:type="spellEnd"/>
      <w:r w:rsidRPr="007B649A">
        <w:t xml:space="preserve"> N=24); two open-label, uncontrolled, 8-week studies (</w:t>
      </w:r>
      <w:proofErr w:type="spellStart"/>
      <w:r w:rsidRPr="007B649A">
        <w:t>sevelamer</w:t>
      </w:r>
      <w:proofErr w:type="spellEnd"/>
      <w:r w:rsidRPr="007B649A">
        <w:t xml:space="preserve"> N=220) and three active-controlled open-label studies with treatment durations of 8 to 5</w:t>
      </w:r>
      <w:r w:rsidR="00F045B5" w:rsidRPr="007B649A">
        <w:t>2 weeks (</w:t>
      </w:r>
      <w:proofErr w:type="spellStart"/>
      <w:r w:rsidR="00F045B5" w:rsidRPr="007B649A">
        <w:t>sevelamer</w:t>
      </w:r>
      <w:proofErr w:type="spellEnd"/>
      <w:r w:rsidR="00F045B5" w:rsidRPr="007B649A">
        <w:t xml:space="preserve"> N=256). The </w:t>
      </w:r>
      <w:proofErr w:type="spellStart"/>
      <w:r w:rsidR="00F045B5" w:rsidRPr="007B649A">
        <w:t>Renvela</w:t>
      </w:r>
      <w:proofErr w:type="spellEnd"/>
      <w:r w:rsidR="00F045B5" w:rsidRPr="007B649A">
        <w:t xml:space="preserve"> </w:t>
      </w:r>
      <w:r w:rsidRPr="007B649A">
        <w:t xml:space="preserve">studies include one double-blind, active-controlled, cross-over study with two 8-week treatment periods using </w:t>
      </w:r>
      <w:proofErr w:type="spellStart"/>
      <w:r w:rsidRPr="007B649A">
        <w:t>sevelamer</w:t>
      </w:r>
      <w:proofErr w:type="spellEnd"/>
      <w:r w:rsidRPr="007B649A">
        <w:t xml:space="preserve"> carbonate tablets (N=79), one open-label, active-controlled, cross-over study with two 4-week treatment periods using </w:t>
      </w:r>
      <w:proofErr w:type="spellStart"/>
      <w:r w:rsidR="00F045B5" w:rsidRPr="007B649A">
        <w:t>Renvela</w:t>
      </w:r>
      <w:proofErr w:type="spellEnd"/>
      <w:r w:rsidRPr="007B649A">
        <w:t xml:space="preserve"> powder (N=31) and one randomized, parallel, open-label study using </w:t>
      </w:r>
      <w:proofErr w:type="spellStart"/>
      <w:r w:rsidR="00F045B5" w:rsidRPr="007B649A">
        <w:t>Renvela</w:t>
      </w:r>
      <w:proofErr w:type="spellEnd"/>
      <w:r w:rsidRPr="007B649A">
        <w:t xml:space="preserve"> powder (N=144) dosed once daily or </w:t>
      </w:r>
      <w:proofErr w:type="spellStart"/>
      <w:r w:rsidR="00F045B5" w:rsidRPr="007B649A">
        <w:t>Renagel</w:t>
      </w:r>
      <w:proofErr w:type="spellEnd"/>
      <w:r w:rsidRPr="007B649A">
        <w:t xml:space="preserve"> tablets (N=73) dosed three times daily for 24 weeks. </w:t>
      </w:r>
      <w:r w:rsidR="00AB1082" w:rsidRPr="007B649A">
        <w:t>Six</w:t>
      </w:r>
      <w:r w:rsidR="00C47A96" w:rsidRPr="007B649A">
        <w:t xml:space="preserve"> </w:t>
      </w:r>
      <w:r w:rsidRPr="007B649A">
        <w:t xml:space="preserve">of the active-controlled studies are described </w:t>
      </w:r>
      <w:r w:rsidR="00F045B5" w:rsidRPr="007B649A">
        <w:t xml:space="preserve">here (three </w:t>
      </w:r>
      <w:proofErr w:type="spellStart"/>
      <w:r w:rsidR="00F045B5" w:rsidRPr="007B649A">
        <w:t>Renagel</w:t>
      </w:r>
      <w:proofErr w:type="spellEnd"/>
      <w:r w:rsidRPr="007B649A">
        <w:t xml:space="preserve"> and three </w:t>
      </w:r>
      <w:proofErr w:type="spellStart"/>
      <w:r w:rsidR="00F045B5" w:rsidRPr="007B649A">
        <w:t>Renvela</w:t>
      </w:r>
      <w:proofErr w:type="spellEnd"/>
      <w:r w:rsidRPr="007B649A">
        <w:t xml:space="preserve"> studies)</w:t>
      </w:r>
      <w:r w:rsidR="003F04FF" w:rsidRPr="007B649A">
        <w:t xml:space="preserve">. In all clinical studies patients were instructed to take </w:t>
      </w:r>
      <w:proofErr w:type="spellStart"/>
      <w:r w:rsidR="003F04FF" w:rsidRPr="007B649A">
        <w:t>sevelamer</w:t>
      </w:r>
      <w:proofErr w:type="spellEnd"/>
      <w:r w:rsidR="003F04FF" w:rsidRPr="007B649A">
        <w:t xml:space="preserve"> with meals. </w:t>
      </w:r>
    </w:p>
    <w:p w:rsidR="009A62BD" w:rsidRPr="00C40C20" w:rsidRDefault="003F04FF" w:rsidP="009A62BD">
      <w:pPr>
        <w:pStyle w:val="Heading4"/>
        <w:numPr>
          <w:ilvl w:val="0"/>
          <w:numId w:val="0"/>
        </w:numPr>
      </w:pPr>
      <w:proofErr w:type="spellStart"/>
      <w:r w:rsidRPr="00C40C20">
        <w:t>Renagel</w:t>
      </w:r>
      <w:proofErr w:type="spellEnd"/>
      <w:r w:rsidRPr="00C40C20">
        <w:t xml:space="preserve"> v</w:t>
      </w:r>
      <w:r w:rsidR="009A62BD" w:rsidRPr="00C40C20">
        <w:t xml:space="preserve">ersus </w:t>
      </w:r>
      <w:r w:rsidR="00D12B5B" w:rsidRPr="00C40C20">
        <w:t>calcium acetate</w:t>
      </w:r>
      <w:r w:rsidR="000D4B46" w:rsidRPr="00C40C20">
        <w:t>,</w:t>
      </w:r>
      <w:r w:rsidR="009A62BD" w:rsidRPr="00C40C20">
        <w:t xml:space="preserve"> Cross-Over Study in </w:t>
      </w:r>
      <w:proofErr w:type="spellStart"/>
      <w:r w:rsidR="009A62BD" w:rsidRPr="00C40C20">
        <w:t>H</w:t>
      </w:r>
      <w:r w:rsidR="00A46B03" w:rsidRPr="00C40C20">
        <w:t>a</w:t>
      </w:r>
      <w:r w:rsidR="009A62BD" w:rsidRPr="00C40C20">
        <w:t>emodialysis</w:t>
      </w:r>
      <w:proofErr w:type="spellEnd"/>
      <w:r w:rsidR="009A62BD" w:rsidRPr="00C40C20">
        <w:t xml:space="preserve"> Patients</w:t>
      </w:r>
      <w:r w:rsidR="00192825" w:rsidRPr="00C40C20">
        <w:t xml:space="preserve"> </w:t>
      </w:r>
      <w:r w:rsidR="001C25DD" w:rsidRPr="00C40C20">
        <w:t>(GTC-36-301)</w:t>
      </w:r>
    </w:p>
    <w:p w:rsidR="00BC52A5" w:rsidRDefault="00F774FA" w:rsidP="00F06AAE">
      <w:pPr>
        <w:jc w:val="both"/>
      </w:pPr>
      <w:r>
        <w:t>In a cross-</w:t>
      </w:r>
      <w:r w:rsidR="00F2115B">
        <w:t xml:space="preserve">over study of </w:t>
      </w:r>
      <w:proofErr w:type="spellStart"/>
      <w:r w:rsidR="00F2115B">
        <w:t>sevelamer</w:t>
      </w:r>
      <w:proofErr w:type="spellEnd"/>
      <w:r w:rsidR="00F2115B">
        <w:t xml:space="preserve"> and calcium acetate, 84 ESRD patients on </w:t>
      </w:r>
      <w:proofErr w:type="spellStart"/>
      <w:r w:rsidR="00F2115B">
        <w:t>haemodialysis</w:t>
      </w:r>
      <w:proofErr w:type="spellEnd"/>
      <w:r w:rsidR="00F2115B">
        <w:t xml:space="preserve"> who were </w:t>
      </w:r>
      <w:proofErr w:type="spellStart"/>
      <w:r w:rsidR="00F2115B">
        <w:t>hyperphosphataemic</w:t>
      </w:r>
      <w:proofErr w:type="spellEnd"/>
      <w:r w:rsidR="00F2115B">
        <w:t xml:space="preserve"> (serum phosphorus</w:t>
      </w:r>
      <w:r>
        <w:t xml:space="preserve"> &gt;</w:t>
      </w:r>
      <w:r w:rsidR="003F04FF">
        <w:t xml:space="preserve">1.94 </w:t>
      </w:r>
      <w:proofErr w:type="spellStart"/>
      <w:r w:rsidR="003F04FF">
        <w:t>mmol</w:t>
      </w:r>
      <w:proofErr w:type="spellEnd"/>
      <w:r w:rsidR="003F04FF">
        <w:t>/L) following a 2-</w:t>
      </w:r>
      <w:r w:rsidR="00F2115B">
        <w:t xml:space="preserve">week phosphate binder washout period were </w:t>
      </w:r>
      <w:proofErr w:type="spellStart"/>
      <w:r w:rsidR="00F2115B">
        <w:t>randomised</w:t>
      </w:r>
      <w:proofErr w:type="spellEnd"/>
      <w:r w:rsidR="00F2115B">
        <w:t xml:space="preserve"> to receive either </w:t>
      </w:r>
      <w:proofErr w:type="spellStart"/>
      <w:r w:rsidR="00AA7DA9">
        <w:t>Renagel</w:t>
      </w:r>
      <w:proofErr w:type="spellEnd"/>
      <w:r w:rsidR="00F2115B">
        <w:t xml:space="preserve"> for 8 weeks followed by </w:t>
      </w:r>
      <w:r w:rsidR="00F2115B">
        <w:lastRenderedPageBreak/>
        <w:t xml:space="preserve">calcium acetate for 8 weeks or calcium acetate for 8 weeks followed by </w:t>
      </w:r>
      <w:proofErr w:type="spellStart"/>
      <w:r w:rsidR="00AA7DA9">
        <w:t>Renagel</w:t>
      </w:r>
      <w:proofErr w:type="spellEnd"/>
      <w:r w:rsidR="00F2115B">
        <w:t xml:space="preserve"> for 8 weeks.  Treatmen</w:t>
      </w:r>
      <w:r w:rsidR="003F04FF">
        <w:t>t periods were separated by a 2-</w:t>
      </w:r>
      <w:r w:rsidR="00F2115B">
        <w:t xml:space="preserve">week phosphate binder washout period.  Patients started on </w:t>
      </w:r>
      <w:proofErr w:type="spellStart"/>
      <w:r w:rsidR="00AA7DA9">
        <w:t>Renagel</w:t>
      </w:r>
      <w:proofErr w:type="spellEnd"/>
      <w:r w:rsidR="00F2115B">
        <w:t xml:space="preserve"> </w:t>
      </w:r>
      <w:r w:rsidR="00F2115B" w:rsidRPr="000D4B46">
        <w:t>capsules</w:t>
      </w:r>
      <w:r w:rsidR="003F04FF">
        <w:t xml:space="preserve"> </w:t>
      </w:r>
      <w:r w:rsidR="00F2115B">
        <w:t>or calcium acetate tablets 3 times p</w:t>
      </w:r>
      <w:r w:rsidR="003F04FF">
        <w:t>er day with meals.  Over each 8-</w:t>
      </w:r>
      <w:r w:rsidR="00F2115B">
        <w:t xml:space="preserve">week treatment period, at three separate time points the dose of either agent could be titrated up one capsule or tablet per meal (3 per day) to control serum phosphorus.  </w:t>
      </w:r>
      <w:proofErr w:type="spellStart"/>
      <w:r w:rsidR="00AA7DA9" w:rsidRPr="00A46B03">
        <w:rPr>
          <w:lang w:val="en-AU"/>
        </w:rPr>
        <w:t>Renagel</w:t>
      </w:r>
      <w:proofErr w:type="spellEnd"/>
      <w:r w:rsidR="00F2115B" w:rsidRPr="00A46B03">
        <w:rPr>
          <w:lang w:val="en-AU"/>
        </w:rPr>
        <w:t xml:space="preserve"> and calcium acetate both significantly decreased mean serum phosphorus </w:t>
      </w:r>
      <w:proofErr w:type="gramStart"/>
      <w:r w:rsidR="00F2115B" w:rsidRPr="00A46B03">
        <w:rPr>
          <w:lang w:val="en-AU"/>
        </w:rPr>
        <w:t xml:space="preserve">by about 0.65 </w:t>
      </w:r>
      <w:proofErr w:type="spellStart"/>
      <w:r w:rsidR="00F2115B" w:rsidRPr="00A46B03">
        <w:rPr>
          <w:lang w:val="en-AU"/>
        </w:rPr>
        <w:t>mmol</w:t>
      </w:r>
      <w:proofErr w:type="spellEnd"/>
      <w:r w:rsidR="00F2115B" w:rsidRPr="00A46B03">
        <w:rPr>
          <w:lang w:val="en-AU"/>
        </w:rPr>
        <w:t>/L (</w:t>
      </w:r>
      <w:r w:rsidR="00F2115B" w:rsidRPr="00A46B03">
        <w:rPr>
          <w:lang w:val="en-AU"/>
        </w:rPr>
        <w:softHyphen/>
      </w:r>
      <w:r w:rsidR="00F2115B" w:rsidRPr="00A46B03">
        <w:rPr>
          <w:color w:val="0000FF"/>
          <w:lang w:val="en-AU"/>
        </w:rPr>
        <w:fldChar w:fldCharType="begin"/>
      </w:r>
      <w:r w:rsidR="00F2115B" w:rsidRPr="00A46B03">
        <w:rPr>
          <w:color w:val="0000FF"/>
          <w:lang w:val="en-AU"/>
        </w:rPr>
        <w:instrText xml:space="preserve"> REF _Ref314224632 \h  \* MERGEFORMAT </w:instrText>
      </w:r>
      <w:r w:rsidR="00F2115B" w:rsidRPr="00A46B03">
        <w:rPr>
          <w:color w:val="0000FF"/>
          <w:lang w:val="en-AU"/>
        </w:rPr>
      </w:r>
      <w:r w:rsidR="00F2115B" w:rsidRPr="00A46B03">
        <w:rPr>
          <w:color w:val="0000FF"/>
          <w:lang w:val="en-AU"/>
        </w:rPr>
        <w:fldChar w:fldCharType="separate"/>
      </w:r>
      <w:r w:rsidR="00180A45" w:rsidRPr="00180A45">
        <w:rPr>
          <w:lang w:val="en-AU"/>
        </w:rPr>
        <w:t>Table 1</w:t>
      </w:r>
      <w:r w:rsidR="00F2115B" w:rsidRPr="00A46B03">
        <w:rPr>
          <w:color w:val="0000FF"/>
          <w:lang w:val="en-AU"/>
        </w:rPr>
        <w:fldChar w:fldCharType="end"/>
      </w:r>
      <w:r w:rsidR="00F2115B" w:rsidRPr="00A46B03">
        <w:rPr>
          <w:lang w:val="en-AU"/>
        </w:rPr>
        <w:t>)</w:t>
      </w:r>
      <w:proofErr w:type="gramEnd"/>
      <w:r w:rsidR="00F2115B" w:rsidRPr="00A46B03">
        <w:rPr>
          <w:lang w:val="en-AU"/>
        </w:rPr>
        <w:t>.</w:t>
      </w:r>
    </w:p>
    <w:p w:rsidR="00F2115B" w:rsidRDefault="00F2115B" w:rsidP="00F2115B">
      <w:pPr>
        <w:pStyle w:val="Caption"/>
      </w:pPr>
      <w:r>
        <w:t xml:space="preserve"> </w:t>
      </w:r>
      <w:bookmarkStart w:id="13" w:name="_Ref314224632"/>
      <w:r>
        <w:t>Table </w:t>
      </w:r>
      <w:r>
        <w:fldChar w:fldCharType="begin"/>
      </w:r>
      <w:r>
        <w:instrText xml:space="preserve"> SEQ Table \* ARABIC </w:instrText>
      </w:r>
      <w:r>
        <w:fldChar w:fldCharType="separate"/>
      </w:r>
      <w:r w:rsidR="00180A45">
        <w:rPr>
          <w:noProof/>
        </w:rPr>
        <w:t>1</w:t>
      </w:r>
      <w:r>
        <w:fldChar w:fldCharType="end"/>
      </w:r>
      <w:bookmarkEnd w:id="13"/>
      <w:r>
        <w:t xml:space="preserve"> ­ Mean serum phosphorus at baseline and endpoint</w:t>
      </w:r>
    </w:p>
    <w:tbl>
      <w:tblPr>
        <w:tblW w:w="0" w:type="auto"/>
        <w:jc w:val="center"/>
        <w:tblInd w:w="890" w:type="dxa"/>
        <w:tblBorders>
          <w:top w:val="single" w:sz="2" w:space="0" w:color="000000"/>
        </w:tblBorders>
        <w:tblLook w:val="0000" w:firstRow="0" w:lastRow="0" w:firstColumn="0" w:lastColumn="0" w:noHBand="0" w:noVBand="0"/>
      </w:tblPr>
      <w:tblGrid>
        <w:gridCol w:w="2714"/>
        <w:gridCol w:w="1283"/>
        <w:gridCol w:w="1283"/>
      </w:tblGrid>
      <w:tr w:rsidR="00F2115B" w:rsidRPr="00C47FC6" w:rsidTr="00F2115B">
        <w:trPr>
          <w:cantSplit/>
          <w:tblHeader/>
          <w:jc w:val="center"/>
        </w:trPr>
        <w:tc>
          <w:tcPr>
            <w:tcW w:w="0" w:type="auto"/>
            <w:tcBorders>
              <w:top w:val="single" w:sz="4" w:space="0" w:color="000000"/>
              <w:bottom w:val="single" w:sz="4" w:space="0" w:color="000000"/>
            </w:tcBorders>
            <w:shd w:val="clear" w:color="auto" w:fill="auto"/>
          </w:tcPr>
          <w:p w:rsidR="00F2115B" w:rsidRPr="00F2115B" w:rsidRDefault="00F2115B" w:rsidP="00F2115B">
            <w:pPr>
              <w:pStyle w:val="TblHeadingCenter"/>
              <w:rPr>
                <w:lang w:val="en-US"/>
              </w:rPr>
            </w:pPr>
          </w:p>
        </w:tc>
        <w:tc>
          <w:tcPr>
            <w:tcW w:w="0" w:type="auto"/>
            <w:tcBorders>
              <w:top w:val="single" w:sz="4" w:space="0" w:color="000000"/>
              <w:bottom w:val="single" w:sz="4" w:space="0" w:color="000000"/>
            </w:tcBorders>
            <w:shd w:val="clear" w:color="auto" w:fill="auto"/>
          </w:tcPr>
          <w:p w:rsidR="00F2115B" w:rsidRPr="00C47FC6" w:rsidRDefault="00AA7DA9" w:rsidP="00F2115B">
            <w:pPr>
              <w:pStyle w:val="TblHeadingCenter"/>
            </w:pPr>
            <w:r>
              <w:t>Renagel</w:t>
            </w:r>
            <w:r w:rsidR="00F2115B" w:rsidRPr="00C47FC6">
              <w:br/>
              <w:t>(n=81)</w:t>
            </w:r>
          </w:p>
        </w:tc>
        <w:tc>
          <w:tcPr>
            <w:tcW w:w="0" w:type="auto"/>
            <w:tcBorders>
              <w:top w:val="single" w:sz="4" w:space="0" w:color="000000"/>
              <w:bottom w:val="single" w:sz="4" w:space="0" w:color="000000"/>
            </w:tcBorders>
            <w:shd w:val="clear" w:color="auto" w:fill="auto"/>
          </w:tcPr>
          <w:p w:rsidR="00F2115B" w:rsidRPr="00C47FC6" w:rsidRDefault="00F2115B" w:rsidP="00F2115B">
            <w:pPr>
              <w:pStyle w:val="TblHeadingCenter"/>
              <w:rPr>
                <w:smallCaps/>
              </w:rPr>
            </w:pPr>
            <w:r w:rsidRPr="00C47FC6">
              <w:t>Ca Acetate</w:t>
            </w:r>
            <w:r w:rsidRPr="00C47FC6">
              <w:rPr>
                <w:smallCaps/>
              </w:rPr>
              <w:br/>
              <w:t>(n=83)</w:t>
            </w:r>
          </w:p>
        </w:tc>
      </w:tr>
      <w:tr w:rsidR="00F2115B" w:rsidRPr="00C47FC6" w:rsidTr="00F2115B">
        <w:trPr>
          <w:cantSplit/>
          <w:jc w:val="center"/>
        </w:trPr>
        <w:tc>
          <w:tcPr>
            <w:tcW w:w="0" w:type="auto"/>
            <w:tcBorders>
              <w:top w:val="single" w:sz="4" w:space="0" w:color="000000"/>
            </w:tcBorders>
            <w:shd w:val="clear" w:color="auto" w:fill="auto"/>
          </w:tcPr>
          <w:p w:rsidR="00F2115B" w:rsidRPr="00F2115B" w:rsidRDefault="00F2115B" w:rsidP="00F2115B">
            <w:pPr>
              <w:pStyle w:val="TblTextCenter"/>
            </w:pPr>
            <w:r w:rsidRPr="00F2115B">
              <w:t xml:space="preserve">Baseline at End of Washout </w:t>
            </w:r>
          </w:p>
        </w:tc>
        <w:tc>
          <w:tcPr>
            <w:tcW w:w="0" w:type="auto"/>
            <w:tcBorders>
              <w:top w:val="single" w:sz="4" w:space="0" w:color="000000"/>
            </w:tcBorders>
            <w:shd w:val="clear" w:color="auto" w:fill="auto"/>
          </w:tcPr>
          <w:p w:rsidR="00F2115B" w:rsidRPr="00F2115B" w:rsidRDefault="00F2115B" w:rsidP="00F2115B">
            <w:pPr>
              <w:pStyle w:val="TblTextCenter"/>
            </w:pPr>
            <w:r w:rsidRPr="00F2115B">
              <w:t xml:space="preserve">2.7 </w:t>
            </w:r>
            <w:proofErr w:type="spellStart"/>
            <w:r w:rsidRPr="00F2115B">
              <w:t>mmol</w:t>
            </w:r>
            <w:proofErr w:type="spellEnd"/>
            <w:r w:rsidRPr="00F2115B">
              <w:t>/L</w:t>
            </w:r>
          </w:p>
        </w:tc>
        <w:tc>
          <w:tcPr>
            <w:tcW w:w="0" w:type="auto"/>
            <w:tcBorders>
              <w:top w:val="single" w:sz="4" w:space="0" w:color="000000"/>
            </w:tcBorders>
            <w:shd w:val="clear" w:color="auto" w:fill="auto"/>
          </w:tcPr>
          <w:p w:rsidR="00F2115B" w:rsidRPr="00F2115B" w:rsidRDefault="00F2115B" w:rsidP="00F2115B">
            <w:pPr>
              <w:pStyle w:val="TblTextCenter"/>
            </w:pPr>
            <w:r w:rsidRPr="00F2115B" w:rsidDel="00C70A1D">
              <w:t xml:space="preserve"> </w:t>
            </w:r>
            <w:r w:rsidRPr="00F2115B">
              <w:t xml:space="preserve">2.6 </w:t>
            </w:r>
            <w:proofErr w:type="spellStart"/>
            <w:r w:rsidRPr="00F2115B">
              <w:t>mmol</w:t>
            </w:r>
            <w:proofErr w:type="spellEnd"/>
            <w:r w:rsidRPr="00F2115B">
              <w:t>/L</w:t>
            </w:r>
          </w:p>
        </w:tc>
      </w:tr>
      <w:tr w:rsidR="00F2115B" w:rsidRPr="00C47FC6" w:rsidTr="00F2115B">
        <w:trPr>
          <w:cantSplit/>
          <w:trHeight w:val="966"/>
          <w:jc w:val="center"/>
        </w:trPr>
        <w:tc>
          <w:tcPr>
            <w:tcW w:w="0" w:type="auto"/>
            <w:tcBorders>
              <w:bottom w:val="single" w:sz="12" w:space="0" w:color="auto"/>
            </w:tcBorders>
            <w:shd w:val="clear" w:color="auto" w:fill="auto"/>
          </w:tcPr>
          <w:p w:rsidR="00F2115B" w:rsidRPr="00F2115B" w:rsidRDefault="00F2115B" w:rsidP="00F2115B">
            <w:pPr>
              <w:pStyle w:val="TblTextCenter"/>
            </w:pPr>
            <w:r w:rsidRPr="00F2115B">
              <w:t>Change from Baseline at Endpoint</w:t>
            </w:r>
            <w:r w:rsidRPr="00F2115B">
              <w:br/>
              <w:t>(95% Confidence Interval)</w:t>
            </w:r>
          </w:p>
        </w:tc>
        <w:tc>
          <w:tcPr>
            <w:tcW w:w="0" w:type="auto"/>
            <w:tcBorders>
              <w:bottom w:val="single" w:sz="12" w:space="0" w:color="auto"/>
            </w:tcBorders>
            <w:shd w:val="clear" w:color="auto" w:fill="auto"/>
          </w:tcPr>
          <w:p w:rsidR="00F2115B" w:rsidRPr="00F2115B" w:rsidRDefault="00F2115B" w:rsidP="00F2115B">
            <w:pPr>
              <w:pStyle w:val="TblTextCenter"/>
            </w:pPr>
            <w:r w:rsidRPr="00F2115B">
              <w:t xml:space="preserve">- 0.65 </w:t>
            </w:r>
            <w:proofErr w:type="spellStart"/>
            <w:r w:rsidRPr="00F2115B">
              <w:t>mmol</w:t>
            </w:r>
            <w:proofErr w:type="spellEnd"/>
            <w:r w:rsidRPr="00F2115B">
              <w:t>/L*</w:t>
            </w:r>
            <w:r w:rsidRPr="00F2115B">
              <w:br/>
              <w:t>(-0.81, -0.48)</w:t>
            </w:r>
          </w:p>
        </w:tc>
        <w:tc>
          <w:tcPr>
            <w:tcW w:w="0" w:type="auto"/>
            <w:tcBorders>
              <w:bottom w:val="single" w:sz="12" w:space="0" w:color="auto"/>
            </w:tcBorders>
            <w:shd w:val="clear" w:color="auto" w:fill="auto"/>
          </w:tcPr>
          <w:p w:rsidR="00F2115B" w:rsidRPr="00F2115B" w:rsidRDefault="00F2115B" w:rsidP="00F2115B">
            <w:pPr>
              <w:pStyle w:val="TblTextCenter"/>
            </w:pPr>
            <w:r w:rsidRPr="00F2115B">
              <w:t xml:space="preserve">- 0.68 </w:t>
            </w:r>
            <w:proofErr w:type="spellStart"/>
            <w:r w:rsidRPr="00F2115B">
              <w:t>mmol</w:t>
            </w:r>
            <w:proofErr w:type="spellEnd"/>
            <w:r w:rsidRPr="00F2115B">
              <w:t>/L*</w:t>
            </w:r>
            <w:r w:rsidRPr="00F2115B">
              <w:br/>
              <w:t xml:space="preserve"> (-0.84, -0.55)</w:t>
            </w:r>
          </w:p>
        </w:tc>
      </w:tr>
      <w:tr w:rsidR="00F2115B" w:rsidRPr="00C47FC6" w:rsidTr="00F2115B">
        <w:trPr>
          <w:cantSplit/>
          <w:trHeight w:val="264"/>
          <w:jc w:val="center"/>
        </w:trPr>
        <w:tc>
          <w:tcPr>
            <w:tcW w:w="0" w:type="auto"/>
            <w:gridSpan w:val="3"/>
            <w:tcBorders>
              <w:top w:val="single" w:sz="12" w:space="0" w:color="auto"/>
            </w:tcBorders>
            <w:shd w:val="clear" w:color="auto" w:fill="auto"/>
          </w:tcPr>
          <w:p w:rsidR="00F2115B" w:rsidRDefault="00F2115B" w:rsidP="00F2115B">
            <w:pPr>
              <w:pStyle w:val="TblFigFootnote"/>
              <w:rPr>
                <w:szCs w:val="18"/>
              </w:rPr>
            </w:pPr>
            <w:r w:rsidRPr="00F2115B">
              <w:t>*p &lt; 0.0001, within treatment group comparison</w:t>
            </w:r>
          </w:p>
        </w:tc>
      </w:tr>
    </w:tbl>
    <w:p w:rsidR="00F2115B" w:rsidRDefault="00182E8B" w:rsidP="00F06AAE">
      <w:pPr>
        <w:jc w:val="both"/>
      </w:pPr>
      <w:r w:rsidRPr="00182E8B">
        <w:rPr>
          <w:color w:val="0000FF"/>
        </w:rPr>
        <w:fldChar w:fldCharType="begin"/>
      </w:r>
      <w:r w:rsidRPr="00182E8B">
        <w:rPr>
          <w:color w:val="0000FF"/>
        </w:rPr>
        <w:instrText xml:space="preserve"> REF _Ref314224776 \h  \* MERGEFORMAT </w:instrText>
      </w:r>
      <w:r w:rsidRPr="00182E8B">
        <w:rPr>
          <w:color w:val="0000FF"/>
        </w:rPr>
      </w:r>
      <w:r w:rsidRPr="00182E8B">
        <w:rPr>
          <w:color w:val="0000FF"/>
        </w:rPr>
        <w:fldChar w:fldCharType="separate"/>
      </w:r>
      <w:r w:rsidR="00180A45">
        <w:t>Figure 2</w:t>
      </w:r>
      <w:r w:rsidRPr="00182E8B">
        <w:rPr>
          <w:color w:val="0000FF"/>
        </w:rPr>
        <w:fldChar w:fldCharType="end"/>
      </w:r>
      <w:r>
        <w:rPr>
          <w:color w:val="0000FF"/>
        </w:rPr>
        <w:t xml:space="preserve"> </w:t>
      </w:r>
      <w:r w:rsidR="00F2115B" w:rsidRPr="00F2115B">
        <w:t xml:space="preserve">illustrates that the proportion of patients achieving a given level of serum phosphorus lowering is comparable between the two treatment groups.  For example, about half the patients in each group had a decrease </w:t>
      </w:r>
      <w:proofErr w:type="gramStart"/>
      <w:r w:rsidR="00F2115B" w:rsidRPr="00F2115B">
        <w:t xml:space="preserve">of at least 0.65 </w:t>
      </w:r>
      <w:proofErr w:type="spellStart"/>
      <w:r w:rsidR="00F2115B" w:rsidRPr="00F2115B">
        <w:t>mmol</w:t>
      </w:r>
      <w:proofErr w:type="spellEnd"/>
      <w:r w:rsidR="00F2115B" w:rsidRPr="00F2115B">
        <w:t>/L</w:t>
      </w:r>
      <w:proofErr w:type="gramEnd"/>
      <w:r w:rsidR="00F2115B" w:rsidRPr="00F2115B">
        <w:t xml:space="preserve"> at endpoint.  Successful control of serum phosphorus in chronic kidney disease patients is multifactorial including reduction of dietary phosphate intake, removal of phosphate with dialysis and inhibition of intestinal phosphate absorption with phosphate binders.  As seen in Figure 2, some of the patients in GTC</w:t>
      </w:r>
      <w:r w:rsidR="001749B6">
        <w:t>-</w:t>
      </w:r>
      <w:r w:rsidR="00F2115B" w:rsidRPr="00F2115B">
        <w:t xml:space="preserve">36-301 did not respond to </w:t>
      </w:r>
      <w:proofErr w:type="spellStart"/>
      <w:r w:rsidR="00F2115B" w:rsidRPr="00F2115B">
        <w:t>sevelamer</w:t>
      </w:r>
      <w:proofErr w:type="spellEnd"/>
      <w:r w:rsidR="00F2115B" w:rsidRPr="00F2115B">
        <w:t xml:space="preserve"> treatment.  Not all patients achieve phosphorus control with </w:t>
      </w:r>
      <w:proofErr w:type="spellStart"/>
      <w:r w:rsidR="00F2115B" w:rsidRPr="00F2115B">
        <w:t>sevelamer</w:t>
      </w:r>
      <w:proofErr w:type="spellEnd"/>
      <w:r w:rsidR="00F2115B" w:rsidRPr="00F2115B">
        <w:t xml:space="preserve"> alone, especially at the doses administered in this study (average actual daily dose 4.3 g/day).  Later studies which employed higher doses of </w:t>
      </w:r>
      <w:proofErr w:type="spellStart"/>
      <w:r w:rsidR="00F2115B" w:rsidRPr="00F2115B">
        <w:t>sevelamer</w:t>
      </w:r>
      <w:proofErr w:type="spellEnd"/>
      <w:r w:rsidR="00F2115B" w:rsidRPr="00F2115B">
        <w:t xml:space="preserve"> (i.e. GTC</w:t>
      </w:r>
      <w:r w:rsidR="001749B6">
        <w:t>-</w:t>
      </w:r>
      <w:r w:rsidR="00F2115B" w:rsidRPr="00F2115B">
        <w:t>49-301-average actual daily dose 6.5 g/day) had a better rate of phosphorus response.</w:t>
      </w:r>
    </w:p>
    <w:p w:rsidR="00F2115B" w:rsidRDefault="00F2115B" w:rsidP="00F2115B">
      <w:pPr>
        <w:pStyle w:val="Caption"/>
      </w:pPr>
      <w:r>
        <w:lastRenderedPageBreak/>
        <w:t xml:space="preserve"> </w:t>
      </w:r>
      <w:bookmarkStart w:id="14" w:name="_Ref314224776"/>
      <w:r>
        <w:t>Figure </w:t>
      </w:r>
      <w:r>
        <w:fldChar w:fldCharType="begin"/>
      </w:r>
      <w:r>
        <w:instrText xml:space="preserve"> SEQ Figure \* ARABIC </w:instrText>
      </w:r>
      <w:r>
        <w:fldChar w:fldCharType="separate"/>
      </w:r>
      <w:r w:rsidR="00180A45">
        <w:rPr>
          <w:noProof/>
        </w:rPr>
        <w:t>2</w:t>
      </w:r>
      <w:r>
        <w:fldChar w:fldCharType="end"/>
      </w:r>
      <w:bookmarkEnd w:id="14"/>
      <w:r>
        <w:t xml:space="preserve"> ­ </w:t>
      </w:r>
      <w:r w:rsidR="00F62563">
        <w:t>C</w:t>
      </w:r>
      <w:r>
        <w:t xml:space="preserve">umulative percent of </w:t>
      </w:r>
      <w:r w:rsidR="00F62563">
        <w:t>patients</w:t>
      </w:r>
      <w:r>
        <w:t xml:space="preserve"> (y-axis) attaining a phosphorus change from baseline at least as great as the value of the x-axis. A shift to the </w:t>
      </w:r>
      <w:r w:rsidR="00F62563">
        <w:t>left of a curve indicates a better response.</w:t>
      </w:r>
    </w:p>
    <w:p w:rsidR="00F62563" w:rsidRDefault="00592D62" w:rsidP="00F62563">
      <w:pPr>
        <w:spacing w:before="0"/>
        <w:jc w:val="center"/>
      </w:pPr>
      <w:r>
        <w:pict>
          <v:shape id="_x0000_i1026" type="#_x0000_t75" style="width:316.5pt;height:230.25pt" o:allowoverlap="f">
            <v:imagedata r:id="rId10" o:title=""/>
          </v:shape>
        </w:pict>
      </w:r>
    </w:p>
    <w:p w:rsidR="00F62563" w:rsidRDefault="00F62563" w:rsidP="00F06AAE">
      <w:pPr>
        <w:jc w:val="both"/>
      </w:pPr>
      <w:r>
        <w:t xml:space="preserve">Average daily consumption at the end of treatment was 4.9 g </w:t>
      </w:r>
      <w:proofErr w:type="spellStart"/>
      <w:r>
        <w:t>sevelamer</w:t>
      </w:r>
      <w:proofErr w:type="spellEnd"/>
      <w:r>
        <w:t xml:space="preserve"> (range of 0.0 to 12.6 g) and 5.0 g of calcium acetate (range of 0.0 to 17.8 g).  During calcium acetate treatment, 22% of pa</w:t>
      </w:r>
      <w:r w:rsidR="00984A4B">
        <w:t>tients developed serum calcium ≥</w:t>
      </w:r>
      <w:r>
        <w:t xml:space="preserve"> 2.75 </w:t>
      </w:r>
      <w:proofErr w:type="spellStart"/>
      <w:r>
        <w:t>mmol</w:t>
      </w:r>
      <w:proofErr w:type="spellEnd"/>
      <w:r>
        <w:t xml:space="preserve">/L on at least one occasion versus 5% for </w:t>
      </w:r>
      <w:proofErr w:type="spellStart"/>
      <w:r>
        <w:t>sevelamer</w:t>
      </w:r>
      <w:proofErr w:type="spellEnd"/>
      <w:r>
        <w:t xml:space="preserve"> (p &lt; 0.05).  Thus the risk of developing </w:t>
      </w:r>
      <w:proofErr w:type="spellStart"/>
      <w:r>
        <w:t>hypercalcaemia</w:t>
      </w:r>
      <w:proofErr w:type="spellEnd"/>
      <w:r>
        <w:t xml:space="preserve"> is less with </w:t>
      </w:r>
      <w:proofErr w:type="spellStart"/>
      <w:r w:rsidR="00AA7DA9">
        <w:t>Renagel</w:t>
      </w:r>
      <w:proofErr w:type="spellEnd"/>
      <w:r>
        <w:t xml:space="preserve"> compared to calcium acetate.</w:t>
      </w:r>
    </w:p>
    <w:p w:rsidR="00F62563" w:rsidRDefault="00F62563" w:rsidP="00F06AAE">
      <w:pPr>
        <w:jc w:val="both"/>
      </w:pPr>
      <w:r>
        <w:t xml:space="preserve">Mean LDL cholesterol and mean total cholesterol declined significantly on </w:t>
      </w:r>
      <w:proofErr w:type="spellStart"/>
      <w:r w:rsidR="00AA7DA9">
        <w:t>Renagel</w:t>
      </w:r>
      <w:proofErr w:type="spellEnd"/>
      <w:r>
        <w:t xml:space="preserve"> capsules treatment (-24% and -15% respectively).  Neither LDL nor total cholesterol changed on calcium acetate treatment.  Triglycerides, high-density lipoprotein (HDL) cholesterol, and albumin did not change on either treatment.  </w:t>
      </w:r>
    </w:p>
    <w:p w:rsidR="00F62563" w:rsidRDefault="00F62563" w:rsidP="00F06AAE">
      <w:pPr>
        <w:jc w:val="both"/>
      </w:pPr>
      <w:r>
        <w:t>Similar reductions in serum phosphorus and LDL ch</w:t>
      </w:r>
      <w:r w:rsidR="00595ECB">
        <w:t>olesterol were observed in an 8-</w:t>
      </w:r>
      <w:r>
        <w:t>week open - label</w:t>
      </w:r>
      <w:r w:rsidR="00595ECB">
        <w:t>, uncontrolled study of 172 end</w:t>
      </w:r>
      <w:r>
        <w:t xml:space="preserve">-stage renal disease patients on </w:t>
      </w:r>
      <w:proofErr w:type="spellStart"/>
      <w:r>
        <w:t>haemodialysis</w:t>
      </w:r>
      <w:proofErr w:type="spellEnd"/>
      <w:r>
        <w:t>.</w:t>
      </w:r>
    </w:p>
    <w:p w:rsidR="009A62BD" w:rsidRPr="007B649A" w:rsidRDefault="000D4B46" w:rsidP="009A62BD">
      <w:pPr>
        <w:pStyle w:val="Heading4"/>
        <w:numPr>
          <w:ilvl w:val="0"/>
          <w:numId w:val="0"/>
        </w:numPr>
      </w:pPr>
      <w:proofErr w:type="spellStart"/>
      <w:r w:rsidRPr="007B649A">
        <w:t>Renagel</w:t>
      </w:r>
      <w:proofErr w:type="spellEnd"/>
      <w:r w:rsidR="009A62BD" w:rsidRPr="007B649A">
        <w:t xml:space="preserve"> </w:t>
      </w:r>
      <w:r w:rsidR="003F04FF" w:rsidRPr="007B649A">
        <w:t>v</w:t>
      </w:r>
      <w:r w:rsidR="009A62BD" w:rsidRPr="007B649A">
        <w:t xml:space="preserve">ersus </w:t>
      </w:r>
      <w:r w:rsidRPr="007B649A">
        <w:t>calciu</w:t>
      </w:r>
      <w:r w:rsidR="00FC74B3">
        <w:t>m</w:t>
      </w:r>
      <w:r w:rsidR="003F04FF" w:rsidRPr="007B649A">
        <w:t xml:space="preserve"> </w:t>
      </w:r>
      <w:r w:rsidR="009A62BD" w:rsidRPr="007B649A">
        <w:t xml:space="preserve">in </w:t>
      </w:r>
      <w:proofErr w:type="spellStart"/>
      <w:r w:rsidR="009A62BD" w:rsidRPr="00C40C20">
        <w:t>H</w:t>
      </w:r>
      <w:r w:rsidR="00A46B03" w:rsidRPr="00C40C20">
        <w:t>a</w:t>
      </w:r>
      <w:r w:rsidR="009A62BD" w:rsidRPr="00C40C20">
        <w:t>emodialysis</w:t>
      </w:r>
      <w:proofErr w:type="spellEnd"/>
      <w:r w:rsidR="009A62BD" w:rsidRPr="00C40C20">
        <w:t xml:space="preserve"> Patients</w:t>
      </w:r>
      <w:r w:rsidR="001C25DD" w:rsidRPr="00C40C20">
        <w:t xml:space="preserve"> (GTC-49-301)</w:t>
      </w:r>
    </w:p>
    <w:p w:rsidR="00F62563" w:rsidRDefault="00F62563" w:rsidP="00F06AAE">
      <w:pPr>
        <w:jc w:val="both"/>
      </w:pPr>
      <w:r>
        <w:t xml:space="preserve">In a parallel study of </w:t>
      </w:r>
      <w:proofErr w:type="spellStart"/>
      <w:r w:rsidR="00AA7DA9" w:rsidRPr="003F04FF">
        <w:t>Renagel</w:t>
      </w:r>
      <w:proofErr w:type="spellEnd"/>
      <w:r>
        <w:t xml:space="preserve"> and calcium acetate or calcium carbonate, two hundred ESRD patients on </w:t>
      </w:r>
      <w:proofErr w:type="spellStart"/>
      <w:r>
        <w:t>haemodialysis</w:t>
      </w:r>
      <w:proofErr w:type="spellEnd"/>
      <w:r>
        <w:t xml:space="preserve"> who were </w:t>
      </w:r>
      <w:proofErr w:type="spellStart"/>
      <w:r>
        <w:t>hyperph</w:t>
      </w:r>
      <w:r w:rsidR="00732C70">
        <w:t>osphataemic</w:t>
      </w:r>
      <w:proofErr w:type="spellEnd"/>
      <w:r w:rsidR="00732C70">
        <w:t xml:space="preserve"> (serum phosphorus &gt;1.78 </w:t>
      </w:r>
      <w:proofErr w:type="spellStart"/>
      <w:r w:rsidR="00732C70">
        <w:t>mmol</w:t>
      </w:r>
      <w:proofErr w:type="spellEnd"/>
      <w:r w:rsidR="00732C70">
        <w:t>/L) following a two-</w:t>
      </w:r>
      <w:r>
        <w:t xml:space="preserve">week phosphate binder washout period were </w:t>
      </w:r>
      <w:proofErr w:type="spellStart"/>
      <w:r>
        <w:t>randomised</w:t>
      </w:r>
      <w:proofErr w:type="spellEnd"/>
      <w:r>
        <w:t xml:space="preserve"> to receive </w:t>
      </w:r>
      <w:proofErr w:type="spellStart"/>
      <w:r w:rsidR="003C1C15" w:rsidRPr="003F04FF">
        <w:t>Renagel</w:t>
      </w:r>
      <w:proofErr w:type="spellEnd"/>
      <w:r w:rsidR="003C1C15" w:rsidRPr="003F04FF">
        <w:t xml:space="preserve"> </w:t>
      </w:r>
      <w:r>
        <w:t xml:space="preserve">800 mg tablets (N=99) or calcium, either calcium acetate (N=54) or calcium carbonate (N=47).  </w:t>
      </w:r>
      <w:r w:rsidR="007B649A">
        <w:t xml:space="preserve">Seventy </w:t>
      </w:r>
      <w:r w:rsidRPr="007B649A">
        <w:t>seven</w:t>
      </w:r>
      <w:r>
        <w:t xml:space="preserve"> percent of </w:t>
      </w:r>
      <w:proofErr w:type="spellStart"/>
      <w:r w:rsidR="003C1C15" w:rsidRPr="003F04FF">
        <w:t>Renagel</w:t>
      </w:r>
      <w:proofErr w:type="spellEnd"/>
      <w:r w:rsidR="003C1C15">
        <w:t xml:space="preserve"> </w:t>
      </w:r>
      <w:r>
        <w:t xml:space="preserve">patients (N=76) and 80% of the calcium patients (N=81) completed the full 52 weeks of treatment with the major reason for dropout in the </w:t>
      </w:r>
      <w:proofErr w:type="spellStart"/>
      <w:r w:rsidR="00AA7DA9">
        <w:t>Renagel</w:t>
      </w:r>
      <w:proofErr w:type="spellEnd"/>
      <w:r>
        <w:t xml:space="preserve"> group was gastrointestinal adverse events.  Calcium acetate and calcium carbonate produced comparable </w:t>
      </w:r>
      <w:r>
        <w:lastRenderedPageBreak/>
        <w:t xml:space="preserve">decreases in serum phosphorus. At week 52, using last observation carried - forward, </w:t>
      </w:r>
      <w:proofErr w:type="spellStart"/>
      <w:r w:rsidR="003C1C15" w:rsidRPr="003F04FF">
        <w:t>Renagel</w:t>
      </w:r>
      <w:proofErr w:type="spellEnd"/>
      <w:r w:rsidR="003C1C15">
        <w:t xml:space="preserve"> </w:t>
      </w:r>
      <w:r>
        <w:t>and calcium both significantly decreased mean serum phosphorus (</w:t>
      </w:r>
      <w:r w:rsidR="006B792B" w:rsidRPr="006B792B">
        <w:rPr>
          <w:color w:val="0000FF"/>
        </w:rPr>
        <w:fldChar w:fldCharType="begin"/>
      </w:r>
      <w:r w:rsidR="006B792B" w:rsidRPr="006B792B">
        <w:rPr>
          <w:color w:val="0000FF"/>
        </w:rPr>
        <w:instrText xml:space="preserve"> REF _Ref315766667 \h  \* MERGEFORMAT </w:instrText>
      </w:r>
      <w:r w:rsidR="006B792B" w:rsidRPr="006B792B">
        <w:rPr>
          <w:color w:val="0000FF"/>
        </w:rPr>
      </w:r>
      <w:r w:rsidR="006B792B" w:rsidRPr="006B792B">
        <w:rPr>
          <w:color w:val="0000FF"/>
        </w:rPr>
        <w:fldChar w:fldCharType="separate"/>
      </w:r>
      <w:r w:rsidR="00180A45">
        <w:t>Table 2</w:t>
      </w:r>
      <w:r w:rsidR="006B792B" w:rsidRPr="006B792B">
        <w:rPr>
          <w:color w:val="0000FF"/>
        </w:rPr>
        <w:fldChar w:fldCharType="end"/>
      </w:r>
      <w:r>
        <w:t>).</w:t>
      </w:r>
    </w:p>
    <w:p w:rsidR="00F62563" w:rsidRDefault="00F62563" w:rsidP="00F62563">
      <w:pPr>
        <w:pStyle w:val="Caption"/>
      </w:pPr>
      <w:r>
        <w:t xml:space="preserve"> </w:t>
      </w:r>
      <w:bookmarkStart w:id="15" w:name="_Ref315766667"/>
      <w:r>
        <w:t>Table </w:t>
      </w:r>
      <w:r>
        <w:fldChar w:fldCharType="begin"/>
      </w:r>
      <w:r>
        <w:instrText xml:space="preserve"> SEQ Table \* ARABIC </w:instrText>
      </w:r>
      <w:r>
        <w:fldChar w:fldCharType="separate"/>
      </w:r>
      <w:r w:rsidR="00180A45">
        <w:rPr>
          <w:noProof/>
        </w:rPr>
        <w:t>2</w:t>
      </w:r>
      <w:r>
        <w:fldChar w:fldCharType="end"/>
      </w:r>
      <w:bookmarkEnd w:id="15"/>
      <w:r>
        <w:t xml:space="preserve"> ­ mean serum phosphorus at baseline and end of treatment (52 weeks)</w:t>
      </w:r>
    </w:p>
    <w:tbl>
      <w:tblPr>
        <w:tblW w:w="0" w:type="auto"/>
        <w:jc w:val="center"/>
        <w:tblInd w:w="392" w:type="dxa"/>
        <w:tblBorders>
          <w:top w:val="single" w:sz="2" w:space="0" w:color="000000"/>
        </w:tblBorders>
        <w:tblLook w:val="01E0" w:firstRow="1" w:lastRow="1" w:firstColumn="1" w:lastColumn="1" w:noHBand="0" w:noVBand="0"/>
      </w:tblPr>
      <w:tblGrid>
        <w:gridCol w:w="3416"/>
        <w:gridCol w:w="1173"/>
        <w:gridCol w:w="1173"/>
      </w:tblGrid>
      <w:tr w:rsidR="00F62563" w:rsidRPr="00796711" w:rsidTr="00796711">
        <w:trPr>
          <w:cantSplit/>
          <w:tblHeader/>
          <w:jc w:val="center"/>
        </w:trPr>
        <w:tc>
          <w:tcPr>
            <w:tcW w:w="0" w:type="auto"/>
            <w:tcBorders>
              <w:top w:val="single" w:sz="4" w:space="0" w:color="000000"/>
              <w:bottom w:val="single" w:sz="4" w:space="0" w:color="000000"/>
            </w:tcBorders>
            <w:shd w:val="clear" w:color="auto" w:fill="auto"/>
          </w:tcPr>
          <w:p w:rsidR="00F62563" w:rsidRPr="00C47FC6" w:rsidRDefault="00F62563" w:rsidP="00F62563">
            <w:pPr>
              <w:pStyle w:val="TblHeadingCenter"/>
            </w:pPr>
            <w:r w:rsidRPr="00C47FC6">
              <w:t>Serum Phosphorus</w:t>
            </w:r>
          </w:p>
        </w:tc>
        <w:tc>
          <w:tcPr>
            <w:tcW w:w="0" w:type="auto"/>
            <w:tcBorders>
              <w:top w:val="single" w:sz="4" w:space="0" w:color="000000"/>
              <w:bottom w:val="single" w:sz="4" w:space="0" w:color="000000"/>
            </w:tcBorders>
            <w:shd w:val="clear" w:color="auto" w:fill="auto"/>
          </w:tcPr>
          <w:p w:rsidR="003C1C15" w:rsidRPr="006A1849" w:rsidRDefault="00AA7DA9" w:rsidP="00F62563">
            <w:pPr>
              <w:pStyle w:val="TblHeadingCenter"/>
            </w:pPr>
            <w:r w:rsidRPr="006A1849">
              <w:t>Renagel</w:t>
            </w:r>
          </w:p>
          <w:p w:rsidR="00F62563" w:rsidRPr="00C47FC6" w:rsidRDefault="006A1849" w:rsidP="00F62563">
            <w:pPr>
              <w:pStyle w:val="TblHeadingCenter"/>
            </w:pPr>
            <w:r w:rsidRPr="00C47FC6">
              <w:t xml:space="preserve"> </w:t>
            </w:r>
            <w:r w:rsidR="00F62563" w:rsidRPr="00C47FC6">
              <w:t>(N=76)</w:t>
            </w:r>
          </w:p>
        </w:tc>
        <w:tc>
          <w:tcPr>
            <w:tcW w:w="0" w:type="auto"/>
            <w:tcBorders>
              <w:top w:val="single" w:sz="4" w:space="0" w:color="000000"/>
              <w:bottom w:val="single" w:sz="4" w:space="0" w:color="000000"/>
            </w:tcBorders>
            <w:shd w:val="clear" w:color="auto" w:fill="auto"/>
          </w:tcPr>
          <w:p w:rsidR="00F62563" w:rsidRPr="00C47FC6" w:rsidRDefault="00F62563" w:rsidP="00F62563">
            <w:pPr>
              <w:pStyle w:val="TblHeadingCenter"/>
            </w:pPr>
            <w:r w:rsidRPr="00C47FC6">
              <w:t>Ca</w:t>
            </w:r>
            <w:r>
              <w:t>lcium</w:t>
            </w:r>
          </w:p>
          <w:p w:rsidR="00F62563" w:rsidRPr="00796711" w:rsidRDefault="00F62563" w:rsidP="00F62563">
            <w:pPr>
              <w:pStyle w:val="TblHeadingCenter"/>
              <w:rPr>
                <w:vertAlign w:val="superscript"/>
              </w:rPr>
            </w:pPr>
            <w:r w:rsidRPr="00C47FC6">
              <w:t>(N=81)</w:t>
            </w:r>
          </w:p>
        </w:tc>
      </w:tr>
      <w:tr w:rsidR="00F62563" w:rsidRPr="00796711" w:rsidTr="00796711">
        <w:trPr>
          <w:cantSplit/>
          <w:jc w:val="center"/>
        </w:trPr>
        <w:tc>
          <w:tcPr>
            <w:tcW w:w="0" w:type="auto"/>
            <w:tcBorders>
              <w:top w:val="single" w:sz="4" w:space="0" w:color="000000"/>
            </w:tcBorders>
            <w:shd w:val="clear" w:color="auto" w:fill="auto"/>
          </w:tcPr>
          <w:p w:rsidR="00F62563" w:rsidRPr="00F62563" w:rsidRDefault="00F62563" w:rsidP="00F62563">
            <w:pPr>
              <w:pStyle w:val="TblTextCenter"/>
            </w:pPr>
            <w:r w:rsidRPr="00F62563">
              <w:t xml:space="preserve">Baseline </w:t>
            </w:r>
          </w:p>
        </w:tc>
        <w:tc>
          <w:tcPr>
            <w:tcW w:w="0" w:type="auto"/>
            <w:tcBorders>
              <w:top w:val="single" w:sz="4" w:space="0" w:color="000000"/>
            </w:tcBorders>
            <w:shd w:val="clear" w:color="auto" w:fill="auto"/>
          </w:tcPr>
          <w:p w:rsidR="00F62563" w:rsidRPr="00F62563" w:rsidRDefault="00F62563" w:rsidP="00F62563">
            <w:pPr>
              <w:pStyle w:val="TblTextCenter"/>
            </w:pPr>
            <w:r w:rsidRPr="00F62563">
              <w:t xml:space="preserve">2.38 </w:t>
            </w:r>
            <w:proofErr w:type="spellStart"/>
            <w:r w:rsidRPr="00F62563">
              <w:t>mmol</w:t>
            </w:r>
            <w:proofErr w:type="spellEnd"/>
            <w:r w:rsidRPr="00F62563">
              <w:t>/L</w:t>
            </w:r>
          </w:p>
        </w:tc>
        <w:tc>
          <w:tcPr>
            <w:tcW w:w="0" w:type="auto"/>
            <w:tcBorders>
              <w:top w:val="single" w:sz="4" w:space="0" w:color="000000"/>
            </w:tcBorders>
            <w:shd w:val="clear" w:color="auto" w:fill="auto"/>
          </w:tcPr>
          <w:p w:rsidR="00F62563" w:rsidRPr="00F62563" w:rsidRDefault="00F62563" w:rsidP="00F62563">
            <w:pPr>
              <w:pStyle w:val="TblTextCenter"/>
            </w:pPr>
            <w:r w:rsidRPr="00F62563">
              <w:t xml:space="preserve">2.33 </w:t>
            </w:r>
            <w:proofErr w:type="spellStart"/>
            <w:r w:rsidRPr="00F62563">
              <w:t>mmol</w:t>
            </w:r>
            <w:proofErr w:type="spellEnd"/>
            <w:r w:rsidRPr="00F62563">
              <w:t>/L</w:t>
            </w:r>
          </w:p>
        </w:tc>
      </w:tr>
      <w:tr w:rsidR="00F62563" w:rsidRPr="00796711" w:rsidTr="00796711">
        <w:trPr>
          <w:cantSplit/>
          <w:jc w:val="center"/>
        </w:trPr>
        <w:tc>
          <w:tcPr>
            <w:tcW w:w="0" w:type="auto"/>
            <w:shd w:val="clear" w:color="auto" w:fill="auto"/>
          </w:tcPr>
          <w:p w:rsidR="00F62563" w:rsidRPr="00F62563" w:rsidRDefault="00F62563" w:rsidP="00F62563">
            <w:pPr>
              <w:pStyle w:val="TblTextCenter"/>
            </w:pPr>
            <w:r w:rsidRPr="00F62563">
              <w:t>Change from baseline at 52 weeks</w:t>
            </w:r>
          </w:p>
        </w:tc>
        <w:tc>
          <w:tcPr>
            <w:tcW w:w="0" w:type="auto"/>
            <w:shd w:val="clear" w:color="auto" w:fill="auto"/>
          </w:tcPr>
          <w:p w:rsidR="00F62563" w:rsidRPr="00F62563" w:rsidRDefault="00F62563" w:rsidP="00F62563">
            <w:pPr>
              <w:pStyle w:val="TblTextCenter"/>
            </w:pPr>
            <w:r w:rsidRPr="00F62563">
              <w:t xml:space="preserve">-0.72 </w:t>
            </w:r>
            <w:proofErr w:type="spellStart"/>
            <w:r w:rsidRPr="00F62563">
              <w:t>mmol</w:t>
            </w:r>
            <w:proofErr w:type="spellEnd"/>
            <w:r w:rsidRPr="00F62563">
              <w:t>/L</w:t>
            </w:r>
          </w:p>
        </w:tc>
        <w:tc>
          <w:tcPr>
            <w:tcW w:w="0" w:type="auto"/>
            <w:shd w:val="clear" w:color="auto" w:fill="auto"/>
          </w:tcPr>
          <w:p w:rsidR="00F62563" w:rsidRPr="00F62563" w:rsidRDefault="00F62563" w:rsidP="00F62563">
            <w:pPr>
              <w:pStyle w:val="TblTextCenter"/>
            </w:pPr>
            <w:r w:rsidRPr="00F62563">
              <w:t xml:space="preserve">-0.64 </w:t>
            </w:r>
            <w:proofErr w:type="spellStart"/>
            <w:r w:rsidRPr="00F62563">
              <w:t>mmol</w:t>
            </w:r>
            <w:proofErr w:type="spellEnd"/>
            <w:r w:rsidRPr="00F62563">
              <w:t>/L</w:t>
            </w:r>
          </w:p>
        </w:tc>
      </w:tr>
      <w:tr w:rsidR="00F62563" w:rsidRPr="00796711" w:rsidTr="00796711">
        <w:trPr>
          <w:cantSplit/>
          <w:jc w:val="center"/>
        </w:trPr>
        <w:tc>
          <w:tcPr>
            <w:tcW w:w="0" w:type="auto"/>
            <w:tcBorders>
              <w:bottom w:val="single" w:sz="12" w:space="0" w:color="auto"/>
            </w:tcBorders>
            <w:shd w:val="clear" w:color="auto" w:fill="auto"/>
          </w:tcPr>
          <w:p w:rsidR="00F62563" w:rsidRPr="00F62563" w:rsidRDefault="00F62563" w:rsidP="00F62563">
            <w:pPr>
              <w:pStyle w:val="TblTextCenter"/>
            </w:pPr>
            <w:r w:rsidRPr="00F62563">
              <w:t>Mean serum phosphorus levels at 52 weeks</w:t>
            </w:r>
          </w:p>
        </w:tc>
        <w:tc>
          <w:tcPr>
            <w:tcW w:w="0" w:type="auto"/>
            <w:tcBorders>
              <w:bottom w:val="single" w:sz="12" w:space="0" w:color="auto"/>
            </w:tcBorders>
            <w:shd w:val="clear" w:color="auto" w:fill="auto"/>
          </w:tcPr>
          <w:p w:rsidR="00F62563" w:rsidRPr="00F62563" w:rsidRDefault="00F62563" w:rsidP="00F62563">
            <w:pPr>
              <w:pStyle w:val="TblTextCenter"/>
            </w:pPr>
            <w:r w:rsidRPr="00F62563">
              <w:t xml:space="preserve">1.67 </w:t>
            </w:r>
            <w:proofErr w:type="spellStart"/>
            <w:r w:rsidRPr="00F62563">
              <w:t>mmol</w:t>
            </w:r>
            <w:proofErr w:type="spellEnd"/>
            <w:r w:rsidRPr="00F62563">
              <w:t>/L</w:t>
            </w:r>
          </w:p>
        </w:tc>
        <w:tc>
          <w:tcPr>
            <w:tcW w:w="0" w:type="auto"/>
            <w:tcBorders>
              <w:bottom w:val="single" w:sz="12" w:space="0" w:color="auto"/>
            </w:tcBorders>
            <w:shd w:val="clear" w:color="auto" w:fill="auto"/>
          </w:tcPr>
          <w:p w:rsidR="00F62563" w:rsidRPr="00F62563" w:rsidRDefault="00F62563" w:rsidP="00F62563">
            <w:pPr>
              <w:pStyle w:val="TblTextCenter"/>
            </w:pPr>
            <w:r w:rsidRPr="00F62563">
              <w:t xml:space="preserve">1.68 </w:t>
            </w:r>
            <w:proofErr w:type="spellStart"/>
            <w:r w:rsidRPr="00F62563">
              <w:t>mmol</w:t>
            </w:r>
            <w:proofErr w:type="spellEnd"/>
            <w:r w:rsidRPr="00F62563">
              <w:t>/L</w:t>
            </w:r>
          </w:p>
        </w:tc>
      </w:tr>
    </w:tbl>
    <w:p w:rsidR="00F62563" w:rsidRDefault="00F62563" w:rsidP="00F06AAE">
      <w:pPr>
        <w:jc w:val="both"/>
      </w:pPr>
      <w:r w:rsidRPr="00F62563">
        <w:rPr>
          <w:color w:val="0000FF"/>
        </w:rPr>
        <w:fldChar w:fldCharType="begin"/>
      </w:r>
      <w:r w:rsidRPr="00F62563">
        <w:rPr>
          <w:strike/>
          <w:color w:val="0000FF"/>
        </w:rPr>
        <w:instrText xml:space="preserve"> REF _Ref314224964 \h  \* MERGEFORMAT </w:instrText>
      </w:r>
      <w:r w:rsidRPr="00F62563">
        <w:rPr>
          <w:color w:val="0000FF"/>
        </w:rPr>
      </w:r>
      <w:r w:rsidRPr="00F62563">
        <w:rPr>
          <w:color w:val="0000FF"/>
        </w:rPr>
        <w:fldChar w:fldCharType="separate"/>
      </w:r>
      <w:r w:rsidR="00180A45">
        <w:t>Figure 3</w:t>
      </w:r>
      <w:r w:rsidRPr="00F62563">
        <w:rPr>
          <w:color w:val="0000FF"/>
        </w:rPr>
        <w:fldChar w:fldCharType="end"/>
      </w:r>
      <w:r w:rsidRPr="00F62563">
        <w:t>, a plot of the phosphorus change from baseline for the completers, illustrates the durability of response for patients who are able to remain on treatment.</w:t>
      </w:r>
    </w:p>
    <w:p w:rsidR="00F62563" w:rsidRDefault="00F62563" w:rsidP="00F62563">
      <w:pPr>
        <w:pStyle w:val="Caption"/>
      </w:pPr>
      <w:r>
        <w:t xml:space="preserve"> </w:t>
      </w:r>
      <w:bookmarkStart w:id="16" w:name="_Ref314224964"/>
      <w:r>
        <w:t>Figure </w:t>
      </w:r>
      <w:r>
        <w:fldChar w:fldCharType="begin"/>
      </w:r>
      <w:r>
        <w:instrText xml:space="preserve"> SEQ Figure \* ARABIC </w:instrText>
      </w:r>
      <w:r>
        <w:fldChar w:fldCharType="separate"/>
      </w:r>
      <w:r w:rsidR="00180A45">
        <w:rPr>
          <w:noProof/>
        </w:rPr>
        <w:t>3</w:t>
      </w:r>
      <w:r>
        <w:fldChar w:fldCharType="end"/>
      </w:r>
      <w:bookmarkEnd w:id="16"/>
      <w:r>
        <w:t xml:space="preserve"> ­ mean phosphorus change from baseline for patients who completed 52 weeks of treatment</w:t>
      </w:r>
    </w:p>
    <w:p w:rsidR="00F62563" w:rsidRDefault="005D02D0" w:rsidP="00F62563">
      <w:pPr>
        <w:spacing w:before="0"/>
        <w:jc w:val="center"/>
      </w:pPr>
      <w:r>
        <w:pict>
          <v:shape id="_x0000_i1027" type="#_x0000_t75" style="width:330pt;height:198pt" fillcolor="window">
            <v:imagedata r:id="rId11" o:title="CG$$TMP1"/>
          </v:shape>
        </w:pict>
      </w:r>
    </w:p>
    <w:p w:rsidR="00F62563" w:rsidRDefault="00F62563" w:rsidP="00F06AAE">
      <w:pPr>
        <w:jc w:val="both"/>
      </w:pPr>
      <w:r>
        <w:t xml:space="preserve">Average daily consumption at the end of the treatment was 6.5 g of </w:t>
      </w:r>
      <w:proofErr w:type="spellStart"/>
      <w:r>
        <w:t>sevelamer</w:t>
      </w:r>
      <w:proofErr w:type="spellEnd"/>
      <w:r>
        <w:t xml:space="preserve"> (range of 0.8 to 13 g) or approximately eight 800 mg tablets (range of 1 to 16 tablets), 4.6 g of calcium acetate (range of 0.7 to 9.5 g) and 3.9 g of calcium carbonate treatment, 34% of patients</w:t>
      </w:r>
      <w:r w:rsidR="00F96E13">
        <w:t xml:space="preserve"> </w:t>
      </w:r>
      <w:r w:rsidR="00F96E13" w:rsidRPr="00B45F45">
        <w:t>in the calcium group</w:t>
      </w:r>
      <w:r>
        <w:t xml:space="preserve"> developed serum calcium corrected for albumin ≥ 2.75 </w:t>
      </w:r>
      <w:proofErr w:type="spellStart"/>
      <w:r>
        <w:t>mmol</w:t>
      </w:r>
      <w:proofErr w:type="spellEnd"/>
      <w:r>
        <w:t xml:space="preserve">/L on at least one occasion versus 7% for </w:t>
      </w:r>
      <w:proofErr w:type="spellStart"/>
      <w:r w:rsidR="00AA7DA9" w:rsidRPr="00595ECB">
        <w:t>Renagel</w:t>
      </w:r>
      <w:proofErr w:type="spellEnd"/>
      <w:r w:rsidR="003C1C15" w:rsidRPr="00595ECB">
        <w:t xml:space="preserve"> </w:t>
      </w:r>
      <w:r>
        <w:t xml:space="preserve">(p&lt;0.05). Thus the risk of developing </w:t>
      </w:r>
      <w:proofErr w:type="spellStart"/>
      <w:r>
        <w:t>hypercalcaemia</w:t>
      </w:r>
      <w:proofErr w:type="spellEnd"/>
      <w:r>
        <w:t xml:space="preserve"> is less with </w:t>
      </w:r>
      <w:proofErr w:type="spellStart"/>
      <w:r w:rsidR="003C1C15" w:rsidRPr="00595ECB">
        <w:t>Renagel</w:t>
      </w:r>
      <w:proofErr w:type="spellEnd"/>
      <w:r w:rsidR="003C1C15" w:rsidRPr="00595ECB">
        <w:t xml:space="preserve"> </w:t>
      </w:r>
      <w:r>
        <w:t>compared to calcium salts.</w:t>
      </w:r>
    </w:p>
    <w:p w:rsidR="00F62563" w:rsidRDefault="00F62563" w:rsidP="00F06AAE">
      <w:pPr>
        <w:jc w:val="both"/>
      </w:pPr>
      <w:r>
        <w:t xml:space="preserve">Mean LDL cholesterol and mean total cholesterol declined significantly (p&lt;0.05) on </w:t>
      </w:r>
      <w:proofErr w:type="spellStart"/>
      <w:r w:rsidR="00AA7DA9">
        <w:t>Renagel</w:t>
      </w:r>
      <w:proofErr w:type="spellEnd"/>
      <w:r>
        <w:t xml:space="preserve"> treatment (-32% and -20%, respectively) compared to calcium (+0.2% and -2%, respectively) triglycerides, HDL cholesterol, and albumin did not change.</w:t>
      </w:r>
    </w:p>
    <w:p w:rsidR="00BD5A34" w:rsidRDefault="00BD5A34" w:rsidP="00F06AAE">
      <w:pPr>
        <w:jc w:val="both"/>
      </w:pPr>
    </w:p>
    <w:p w:rsidR="00C47A96" w:rsidRPr="007B649A" w:rsidRDefault="000D4B46" w:rsidP="00F06AAE">
      <w:pPr>
        <w:jc w:val="both"/>
        <w:rPr>
          <w:color w:val="auto"/>
        </w:rPr>
      </w:pPr>
      <w:proofErr w:type="spellStart"/>
      <w:r w:rsidRPr="007B649A">
        <w:rPr>
          <w:rFonts w:ascii="Arial" w:eastAsia="MS Gothic" w:hAnsi="Arial" w:cs="Arial"/>
          <w:b/>
          <w:i/>
          <w:color w:val="auto"/>
          <w:kern w:val="32"/>
          <w:sz w:val="22"/>
          <w:szCs w:val="28"/>
        </w:rPr>
        <w:lastRenderedPageBreak/>
        <w:t>Renagel</w:t>
      </w:r>
      <w:proofErr w:type="spellEnd"/>
      <w:r w:rsidR="00C47A96" w:rsidRPr="007B649A">
        <w:rPr>
          <w:rFonts w:ascii="Arial" w:eastAsia="MS Gothic" w:hAnsi="Arial" w:cs="Arial"/>
          <w:b/>
          <w:i/>
          <w:color w:val="auto"/>
          <w:kern w:val="32"/>
          <w:sz w:val="22"/>
          <w:szCs w:val="28"/>
        </w:rPr>
        <w:t xml:space="preserve"> </w:t>
      </w:r>
      <w:r w:rsidR="00595ECB" w:rsidRPr="007B649A">
        <w:rPr>
          <w:rFonts w:ascii="Arial" w:eastAsia="MS Gothic" w:hAnsi="Arial" w:cs="Arial"/>
          <w:b/>
          <w:i/>
          <w:color w:val="auto"/>
          <w:kern w:val="32"/>
          <w:sz w:val="22"/>
          <w:szCs w:val="28"/>
        </w:rPr>
        <w:t>v</w:t>
      </w:r>
      <w:r w:rsidR="00C47A96" w:rsidRPr="007B649A">
        <w:rPr>
          <w:rFonts w:ascii="Arial" w:eastAsia="MS Gothic" w:hAnsi="Arial" w:cs="Arial"/>
          <w:b/>
          <w:i/>
          <w:color w:val="auto"/>
          <w:kern w:val="32"/>
          <w:sz w:val="22"/>
          <w:szCs w:val="28"/>
        </w:rPr>
        <w:t>ersus calcium acetate in Peritoneal Dialysis Patients</w:t>
      </w:r>
      <w:r w:rsidR="008D6386">
        <w:rPr>
          <w:rFonts w:ascii="Arial" w:eastAsia="MS Gothic" w:hAnsi="Arial" w:cs="Arial"/>
          <w:b/>
          <w:i/>
          <w:color w:val="auto"/>
          <w:kern w:val="32"/>
          <w:sz w:val="22"/>
          <w:szCs w:val="28"/>
        </w:rPr>
        <w:t xml:space="preserve"> </w:t>
      </w:r>
      <w:r w:rsidR="008D6386" w:rsidRPr="00C40C20">
        <w:rPr>
          <w:rFonts w:ascii="Arial" w:eastAsia="MS Gothic" w:hAnsi="Arial" w:cs="Arial"/>
          <w:b/>
          <w:i/>
          <w:color w:val="auto"/>
          <w:kern w:val="32"/>
          <w:sz w:val="22"/>
          <w:szCs w:val="28"/>
        </w:rPr>
        <w:t>(REN-003-04)</w:t>
      </w:r>
    </w:p>
    <w:p w:rsidR="00F62563" w:rsidRPr="009B0651" w:rsidRDefault="00F62563" w:rsidP="00F06AAE">
      <w:pPr>
        <w:jc w:val="both"/>
        <w:rPr>
          <w:color w:val="auto"/>
        </w:rPr>
      </w:pPr>
      <w:r>
        <w:t xml:space="preserve">In a parallel study of </w:t>
      </w:r>
      <w:proofErr w:type="spellStart"/>
      <w:r>
        <w:t>sevelamer</w:t>
      </w:r>
      <w:proofErr w:type="spellEnd"/>
      <w:r>
        <w:t xml:space="preserve"> hydrochloride or calcium acetate in peritoneal dialysis patients, one hundred and forty </w:t>
      </w:r>
      <w:r w:rsidRPr="00E555F4">
        <w:t xml:space="preserve">three patients on peritoneal dialysis who were </w:t>
      </w:r>
      <w:proofErr w:type="spellStart"/>
      <w:r w:rsidRPr="00E555F4">
        <w:t>hyperphosphatemic</w:t>
      </w:r>
      <w:proofErr w:type="spellEnd"/>
      <w:r w:rsidRPr="00E555F4">
        <w:t xml:space="preserve"> (serum </w:t>
      </w:r>
      <w:r w:rsidRPr="009B0651">
        <w:rPr>
          <w:color w:val="auto"/>
        </w:rPr>
        <w:t xml:space="preserve">phosphorus </w:t>
      </w:r>
      <w:r w:rsidR="00BD5A34" w:rsidRPr="009B0651">
        <w:rPr>
          <w:color w:val="auto"/>
        </w:rPr>
        <w:t xml:space="preserve">≥ 1.78 </w:t>
      </w:r>
      <w:proofErr w:type="spellStart"/>
      <w:r w:rsidR="00BD5A34" w:rsidRPr="009B0651">
        <w:rPr>
          <w:color w:val="auto"/>
        </w:rPr>
        <w:t>mmol</w:t>
      </w:r>
      <w:proofErr w:type="spellEnd"/>
      <w:r w:rsidR="00BD5A34" w:rsidRPr="009B0651">
        <w:rPr>
          <w:color w:val="auto"/>
        </w:rPr>
        <w:t>/L</w:t>
      </w:r>
      <w:r w:rsidRPr="009B0651">
        <w:rPr>
          <w:color w:val="auto"/>
        </w:rPr>
        <w:t xml:space="preserve">) following a two-week phosphate binder washout period were randomized to receive </w:t>
      </w:r>
      <w:proofErr w:type="spellStart"/>
      <w:r w:rsidR="00AA7DA9" w:rsidRPr="009B0651">
        <w:rPr>
          <w:color w:val="auto"/>
        </w:rPr>
        <w:t>Renagel</w:t>
      </w:r>
      <w:proofErr w:type="spellEnd"/>
      <w:r w:rsidRPr="009B0651">
        <w:rPr>
          <w:color w:val="auto"/>
        </w:rPr>
        <w:t xml:space="preserve"> 800 mg tablets (N=97) or calcium acetate (N=46).  Treatment for 12 weeks with </w:t>
      </w:r>
      <w:proofErr w:type="spellStart"/>
      <w:r w:rsidR="00AA7DA9" w:rsidRPr="009B0651">
        <w:rPr>
          <w:color w:val="auto"/>
        </w:rPr>
        <w:t>Renagel</w:t>
      </w:r>
      <w:proofErr w:type="spellEnd"/>
      <w:r w:rsidRPr="009B0651">
        <w:rPr>
          <w:color w:val="auto"/>
        </w:rPr>
        <w:t xml:space="preserve"> was non-inferior to calcium acetate in reducing serum phosphorus.  There were statistically significant changes in serum phosphorus (p&lt; 0.001) from baseline for both the </w:t>
      </w:r>
      <w:proofErr w:type="spellStart"/>
      <w:r w:rsidR="00AA7DA9" w:rsidRPr="009B0651">
        <w:rPr>
          <w:color w:val="auto"/>
        </w:rPr>
        <w:t>Renagel</w:t>
      </w:r>
      <w:proofErr w:type="spellEnd"/>
      <w:r w:rsidRPr="009B0651">
        <w:rPr>
          <w:color w:val="auto"/>
        </w:rPr>
        <w:t xml:space="preserve"> (</w:t>
      </w:r>
      <w:r w:rsidR="00BD5A34" w:rsidRPr="009B0651">
        <w:rPr>
          <w:color w:val="auto"/>
        </w:rPr>
        <w:t xml:space="preserve">0.52 </w:t>
      </w:r>
      <w:proofErr w:type="spellStart"/>
      <w:r w:rsidR="00BD5A34" w:rsidRPr="009B0651">
        <w:rPr>
          <w:color w:val="auto"/>
        </w:rPr>
        <w:t>mmol</w:t>
      </w:r>
      <w:proofErr w:type="spellEnd"/>
      <w:r w:rsidR="00BD5A34" w:rsidRPr="009B0651">
        <w:rPr>
          <w:color w:val="auto"/>
        </w:rPr>
        <w:t>/L</w:t>
      </w:r>
      <w:r w:rsidRPr="009B0651">
        <w:rPr>
          <w:color w:val="auto"/>
        </w:rPr>
        <w:t xml:space="preserve"> from</w:t>
      </w:r>
      <w:r w:rsidR="00BD5A34" w:rsidRPr="009B0651">
        <w:rPr>
          <w:color w:val="auto"/>
        </w:rPr>
        <w:t xml:space="preserve"> 2.42 </w:t>
      </w:r>
      <w:proofErr w:type="spellStart"/>
      <w:r w:rsidR="00BD5A34" w:rsidRPr="009B0651">
        <w:rPr>
          <w:color w:val="auto"/>
        </w:rPr>
        <w:t>mmol</w:t>
      </w:r>
      <w:proofErr w:type="spellEnd"/>
      <w:r w:rsidR="00BD5A34" w:rsidRPr="009B0651">
        <w:rPr>
          <w:color w:val="auto"/>
        </w:rPr>
        <w:t>/L</w:t>
      </w:r>
      <w:r w:rsidRPr="009B0651">
        <w:rPr>
          <w:color w:val="auto"/>
        </w:rPr>
        <w:t>) and calcium acetate (</w:t>
      </w:r>
      <w:r w:rsidR="00BD5A34" w:rsidRPr="009B0651">
        <w:rPr>
          <w:color w:val="auto"/>
        </w:rPr>
        <w:t xml:space="preserve">-0.58 </w:t>
      </w:r>
      <w:proofErr w:type="spellStart"/>
      <w:r w:rsidR="00BD5A34" w:rsidRPr="009B0651">
        <w:rPr>
          <w:color w:val="auto"/>
        </w:rPr>
        <w:t>mmol</w:t>
      </w:r>
      <w:proofErr w:type="spellEnd"/>
      <w:r w:rsidR="00BD5A34" w:rsidRPr="009B0651">
        <w:rPr>
          <w:color w:val="auto"/>
        </w:rPr>
        <w:t xml:space="preserve">/L </w:t>
      </w:r>
      <w:r w:rsidRPr="009B0651">
        <w:rPr>
          <w:color w:val="auto"/>
        </w:rPr>
        <w:t xml:space="preserve">from </w:t>
      </w:r>
      <w:r w:rsidR="00BD5A34" w:rsidRPr="009B0651">
        <w:rPr>
          <w:color w:val="auto"/>
        </w:rPr>
        <w:t xml:space="preserve">2.35 </w:t>
      </w:r>
      <w:proofErr w:type="spellStart"/>
      <w:r w:rsidR="00BD5A34" w:rsidRPr="009B0651">
        <w:rPr>
          <w:color w:val="auto"/>
        </w:rPr>
        <w:t>mmol</w:t>
      </w:r>
      <w:proofErr w:type="spellEnd"/>
      <w:r w:rsidR="00BD5A34" w:rsidRPr="009B0651">
        <w:rPr>
          <w:color w:val="auto"/>
        </w:rPr>
        <w:t>/L</w:t>
      </w:r>
      <w:r w:rsidRPr="009B0651">
        <w:rPr>
          <w:color w:val="auto"/>
        </w:rPr>
        <w:t>) groups.</w:t>
      </w:r>
    </w:p>
    <w:p w:rsidR="00F62563" w:rsidRPr="009B0651" w:rsidRDefault="00F62563" w:rsidP="00F06AAE">
      <w:pPr>
        <w:jc w:val="both"/>
        <w:rPr>
          <w:color w:val="auto"/>
        </w:rPr>
      </w:pPr>
      <w:r w:rsidRPr="009B0651">
        <w:rPr>
          <w:color w:val="auto"/>
        </w:rPr>
        <w:t xml:space="preserve">Average daily consumption at the end of treatment was 5.9 g for </w:t>
      </w:r>
      <w:proofErr w:type="spellStart"/>
      <w:r w:rsidR="00AA7DA9" w:rsidRPr="009B0651">
        <w:rPr>
          <w:color w:val="auto"/>
        </w:rPr>
        <w:t>Renagel</w:t>
      </w:r>
      <w:proofErr w:type="spellEnd"/>
      <w:r w:rsidRPr="009B0651">
        <w:rPr>
          <w:color w:val="auto"/>
        </w:rPr>
        <w:t xml:space="preserve"> (range of 0.8 to 14.3 g) and 4.3 g for calcium acetate (range of 1.7 to 9.0 g).  During calcium acetate treatment, 18% of patients had a serum calcium corrected for albumin ≥ </w:t>
      </w:r>
      <w:r w:rsidR="00BD5A34" w:rsidRPr="009B0651">
        <w:rPr>
          <w:color w:val="auto"/>
        </w:rPr>
        <w:t xml:space="preserve">2.75 </w:t>
      </w:r>
      <w:proofErr w:type="spellStart"/>
      <w:r w:rsidR="00BD5A34" w:rsidRPr="009B0651">
        <w:rPr>
          <w:color w:val="auto"/>
        </w:rPr>
        <w:t>mmol</w:t>
      </w:r>
      <w:proofErr w:type="spellEnd"/>
      <w:r w:rsidR="00BD5A34" w:rsidRPr="009B0651">
        <w:rPr>
          <w:color w:val="auto"/>
        </w:rPr>
        <w:t xml:space="preserve">/L </w:t>
      </w:r>
      <w:r w:rsidRPr="009B0651">
        <w:rPr>
          <w:color w:val="auto"/>
        </w:rPr>
        <w:t xml:space="preserve">at the end of the study versus 2% for </w:t>
      </w:r>
      <w:proofErr w:type="spellStart"/>
      <w:r w:rsidR="00AA7DA9" w:rsidRPr="009B0651">
        <w:rPr>
          <w:color w:val="auto"/>
        </w:rPr>
        <w:t>Renagel</w:t>
      </w:r>
      <w:proofErr w:type="spellEnd"/>
      <w:r w:rsidRPr="009B0651">
        <w:rPr>
          <w:color w:val="auto"/>
        </w:rPr>
        <w:t xml:space="preserve"> (p=0.001).</w:t>
      </w:r>
    </w:p>
    <w:p w:rsidR="00F62563" w:rsidRDefault="00F62563" w:rsidP="00F06AAE">
      <w:pPr>
        <w:jc w:val="both"/>
      </w:pPr>
      <w:r>
        <w:t>There appeared to be a trend for a decrease from baseline for total, LDL, and non-HDL cholesterol levels</w:t>
      </w:r>
      <w:r w:rsidR="00F96E13">
        <w:t xml:space="preserve"> </w:t>
      </w:r>
      <w:r w:rsidR="00F96E13" w:rsidRPr="00B45F45">
        <w:t xml:space="preserve">in patients receiving </w:t>
      </w:r>
      <w:proofErr w:type="spellStart"/>
      <w:r w:rsidR="00F96E13" w:rsidRPr="00B45F45">
        <w:t>Renagel</w:t>
      </w:r>
      <w:proofErr w:type="spellEnd"/>
      <w:r>
        <w:t xml:space="preserve">.  The long term impact of </w:t>
      </w:r>
      <w:proofErr w:type="spellStart"/>
      <w:r w:rsidR="00984A4B">
        <w:t>Renagel</w:t>
      </w:r>
      <w:proofErr w:type="spellEnd"/>
      <w:r>
        <w:t xml:space="preserve"> on cardiovascular related morbidity and mortality is unclear.</w:t>
      </w:r>
    </w:p>
    <w:p w:rsidR="003F04FF" w:rsidRPr="007B649A" w:rsidRDefault="003F04FF" w:rsidP="003F04FF">
      <w:pPr>
        <w:pStyle w:val="Heading4"/>
        <w:numPr>
          <w:ilvl w:val="0"/>
          <w:numId w:val="0"/>
        </w:numPr>
      </w:pPr>
      <w:r w:rsidRPr="007B649A">
        <w:t xml:space="preserve">Cross-Over Study of </w:t>
      </w:r>
      <w:proofErr w:type="spellStart"/>
      <w:r w:rsidR="00595ECB" w:rsidRPr="007B649A">
        <w:t>Renvela</w:t>
      </w:r>
      <w:proofErr w:type="spellEnd"/>
      <w:r w:rsidRPr="007B649A">
        <w:t xml:space="preserve"> 800 mg Tablets and </w:t>
      </w:r>
      <w:proofErr w:type="spellStart"/>
      <w:r w:rsidR="00595ECB" w:rsidRPr="007B649A">
        <w:t>Renagel</w:t>
      </w:r>
      <w:proofErr w:type="spellEnd"/>
      <w:r w:rsidRPr="007B649A">
        <w:t xml:space="preserve"> 800 mg Tablets </w:t>
      </w:r>
      <w:r w:rsidR="00192825" w:rsidRPr="009B0651">
        <w:t>(GD3-163-201)</w:t>
      </w:r>
    </w:p>
    <w:p w:rsidR="003F04FF" w:rsidRDefault="003F04FF" w:rsidP="003F04FF">
      <w:pPr>
        <w:jc w:val="both"/>
        <w:rPr>
          <w:color w:val="auto"/>
          <w:sz w:val="23"/>
          <w:szCs w:val="23"/>
        </w:rPr>
      </w:pPr>
      <w:r w:rsidRPr="007B649A">
        <w:rPr>
          <w:color w:val="auto"/>
          <w:sz w:val="23"/>
          <w:szCs w:val="23"/>
        </w:rPr>
        <w:t xml:space="preserve">Stage 5 CKD patients on </w:t>
      </w:r>
      <w:proofErr w:type="spellStart"/>
      <w:r w:rsidRPr="007B649A">
        <w:rPr>
          <w:color w:val="auto"/>
          <w:sz w:val="23"/>
          <w:szCs w:val="23"/>
        </w:rPr>
        <w:t>h</w:t>
      </w:r>
      <w:r w:rsidR="00A46B03" w:rsidRPr="00C40C20">
        <w:rPr>
          <w:color w:val="auto"/>
          <w:sz w:val="23"/>
          <w:szCs w:val="23"/>
        </w:rPr>
        <w:t>a</w:t>
      </w:r>
      <w:r w:rsidRPr="007B649A">
        <w:rPr>
          <w:color w:val="auto"/>
          <w:sz w:val="23"/>
          <w:szCs w:val="23"/>
        </w:rPr>
        <w:t>emodialysis</w:t>
      </w:r>
      <w:proofErr w:type="spellEnd"/>
      <w:r w:rsidRPr="007B649A">
        <w:rPr>
          <w:color w:val="auto"/>
          <w:sz w:val="23"/>
          <w:szCs w:val="23"/>
        </w:rPr>
        <w:t xml:space="preserve"> were entered into a five-week </w:t>
      </w:r>
      <w:proofErr w:type="spellStart"/>
      <w:r w:rsidRPr="007B649A">
        <w:rPr>
          <w:color w:val="auto"/>
          <w:sz w:val="23"/>
          <w:szCs w:val="23"/>
        </w:rPr>
        <w:t>sevelamer</w:t>
      </w:r>
      <w:proofErr w:type="spellEnd"/>
      <w:r w:rsidRPr="007B649A">
        <w:rPr>
          <w:color w:val="auto"/>
          <w:sz w:val="20"/>
          <w:szCs w:val="20"/>
        </w:rPr>
        <w:t xml:space="preserve"> </w:t>
      </w:r>
      <w:r w:rsidRPr="007B649A">
        <w:rPr>
          <w:color w:val="auto"/>
          <w:sz w:val="23"/>
          <w:szCs w:val="23"/>
        </w:rPr>
        <w:t xml:space="preserve">hydrochloride run-in period and 79 patients received, in random order, </w:t>
      </w:r>
      <w:proofErr w:type="spellStart"/>
      <w:r w:rsidRPr="007B649A">
        <w:rPr>
          <w:color w:val="auto"/>
          <w:sz w:val="23"/>
          <w:szCs w:val="23"/>
        </w:rPr>
        <w:t>sevelamer</w:t>
      </w:r>
      <w:proofErr w:type="spellEnd"/>
      <w:r w:rsidRPr="007B649A">
        <w:rPr>
          <w:color w:val="auto"/>
          <w:sz w:val="20"/>
          <w:szCs w:val="20"/>
        </w:rPr>
        <w:t xml:space="preserve"> </w:t>
      </w:r>
      <w:r w:rsidRPr="007B649A">
        <w:rPr>
          <w:color w:val="auto"/>
          <w:sz w:val="23"/>
          <w:szCs w:val="23"/>
        </w:rPr>
        <w:t xml:space="preserve">carbonate 800 mg tablets and </w:t>
      </w:r>
      <w:proofErr w:type="spellStart"/>
      <w:r w:rsidRPr="007B649A">
        <w:rPr>
          <w:color w:val="auto"/>
          <w:sz w:val="23"/>
          <w:szCs w:val="23"/>
        </w:rPr>
        <w:t>sevelamer</w:t>
      </w:r>
      <w:proofErr w:type="spellEnd"/>
      <w:r w:rsidRPr="007B649A">
        <w:rPr>
          <w:color w:val="auto"/>
          <w:sz w:val="23"/>
          <w:szCs w:val="23"/>
        </w:rPr>
        <w:t xml:space="preserve"> hydrochloride 800 mg tablets for eight weeks each, with no intervening washout. Study dose during the cross-over period was</w:t>
      </w:r>
      <w:r w:rsidRPr="007B649A">
        <w:rPr>
          <w:color w:val="auto"/>
          <w:sz w:val="20"/>
          <w:szCs w:val="20"/>
        </w:rPr>
        <w:t xml:space="preserve"> </w:t>
      </w:r>
      <w:r w:rsidRPr="007B649A">
        <w:rPr>
          <w:color w:val="auto"/>
          <w:sz w:val="23"/>
          <w:szCs w:val="23"/>
        </w:rPr>
        <w:t xml:space="preserve">determined based on the </w:t>
      </w:r>
      <w:proofErr w:type="spellStart"/>
      <w:r w:rsidRPr="007B649A">
        <w:rPr>
          <w:color w:val="auto"/>
          <w:sz w:val="23"/>
          <w:szCs w:val="23"/>
        </w:rPr>
        <w:t>sevelamer</w:t>
      </w:r>
      <w:proofErr w:type="spellEnd"/>
      <w:r w:rsidRPr="007B649A">
        <w:rPr>
          <w:color w:val="auto"/>
          <w:sz w:val="23"/>
          <w:szCs w:val="23"/>
        </w:rPr>
        <w:t xml:space="preserve"> hydrochloride dose during the run-in period on a</w:t>
      </w:r>
      <w:r w:rsidRPr="007B649A">
        <w:rPr>
          <w:color w:val="auto"/>
          <w:sz w:val="20"/>
          <w:szCs w:val="20"/>
        </w:rPr>
        <w:t xml:space="preserve"> </w:t>
      </w:r>
      <w:r w:rsidRPr="007B649A">
        <w:rPr>
          <w:color w:val="auto"/>
          <w:sz w:val="23"/>
          <w:szCs w:val="23"/>
        </w:rPr>
        <w:t>gram per gram basis. The phosphorus levels at the end of each of the two cross-over</w:t>
      </w:r>
      <w:r w:rsidRPr="007B649A">
        <w:rPr>
          <w:color w:val="auto"/>
          <w:sz w:val="20"/>
          <w:szCs w:val="20"/>
        </w:rPr>
        <w:t xml:space="preserve"> </w:t>
      </w:r>
      <w:r w:rsidRPr="007B649A">
        <w:rPr>
          <w:color w:val="auto"/>
          <w:sz w:val="23"/>
          <w:szCs w:val="23"/>
        </w:rPr>
        <w:t>periods were similar. Average actual daily dose was 6 g/day divided among meals for</w:t>
      </w:r>
      <w:r w:rsidRPr="007B649A">
        <w:rPr>
          <w:color w:val="auto"/>
          <w:sz w:val="20"/>
          <w:szCs w:val="20"/>
        </w:rPr>
        <w:t xml:space="preserve"> </w:t>
      </w:r>
      <w:r w:rsidRPr="007B649A">
        <w:rPr>
          <w:color w:val="auto"/>
          <w:sz w:val="23"/>
          <w:szCs w:val="23"/>
        </w:rPr>
        <w:t>both treatments.</w:t>
      </w:r>
      <w:r w:rsidR="00743A5A">
        <w:rPr>
          <w:color w:val="auto"/>
          <w:sz w:val="23"/>
          <w:szCs w:val="23"/>
        </w:rPr>
        <w:t xml:space="preserve"> </w:t>
      </w:r>
      <w:r w:rsidR="00743A5A" w:rsidRPr="00184C15">
        <w:rPr>
          <w:color w:val="auto"/>
          <w:sz w:val="23"/>
          <w:szCs w:val="23"/>
        </w:rPr>
        <w:t>Forty</w:t>
      </w:r>
      <w:r w:rsidRPr="007B649A">
        <w:rPr>
          <w:color w:val="auto"/>
          <w:sz w:val="23"/>
          <w:szCs w:val="23"/>
        </w:rPr>
        <w:t xml:space="preserve"> of those completing the cross-over portion of the study were entered into a two-week washout period during which patients were instructed not to take</w:t>
      </w:r>
      <w:r w:rsidRPr="007B649A">
        <w:rPr>
          <w:color w:val="auto"/>
          <w:sz w:val="20"/>
          <w:szCs w:val="20"/>
        </w:rPr>
        <w:t xml:space="preserve"> </w:t>
      </w:r>
      <w:r w:rsidRPr="007B649A">
        <w:rPr>
          <w:color w:val="auto"/>
          <w:sz w:val="23"/>
          <w:szCs w:val="23"/>
        </w:rPr>
        <w:t xml:space="preserve">any phosphate binders; this confirmed the activity of </w:t>
      </w:r>
      <w:proofErr w:type="spellStart"/>
      <w:r w:rsidRPr="007B649A">
        <w:rPr>
          <w:color w:val="auto"/>
          <w:sz w:val="23"/>
          <w:szCs w:val="23"/>
        </w:rPr>
        <w:t>sevelamer</w:t>
      </w:r>
      <w:proofErr w:type="spellEnd"/>
      <w:r w:rsidRPr="007B649A">
        <w:rPr>
          <w:color w:val="auto"/>
          <w:sz w:val="23"/>
          <w:szCs w:val="23"/>
        </w:rPr>
        <w:t xml:space="preserve"> in this study.</w:t>
      </w:r>
    </w:p>
    <w:p w:rsidR="00CC3937" w:rsidRPr="009B0651" w:rsidRDefault="008A4A09" w:rsidP="008A4A09">
      <w:pPr>
        <w:pStyle w:val="Caption"/>
        <w:rPr>
          <w:sz w:val="23"/>
          <w:szCs w:val="23"/>
        </w:rPr>
      </w:pPr>
      <w:r w:rsidRPr="009B0651">
        <w:rPr>
          <w:sz w:val="23"/>
          <w:szCs w:val="23"/>
        </w:rPr>
        <w:t xml:space="preserve"> </w:t>
      </w:r>
      <w:r w:rsidRPr="009B0651">
        <w:t>Table </w:t>
      </w:r>
      <w:r w:rsidRPr="009B0651">
        <w:fldChar w:fldCharType="begin"/>
      </w:r>
      <w:r w:rsidRPr="009B0651">
        <w:instrText xml:space="preserve"> SEQ Table \* ARABIC </w:instrText>
      </w:r>
      <w:r w:rsidRPr="009B0651">
        <w:fldChar w:fldCharType="separate"/>
      </w:r>
      <w:r w:rsidR="00180A45">
        <w:rPr>
          <w:noProof/>
        </w:rPr>
        <w:t>3</w:t>
      </w:r>
      <w:r w:rsidRPr="009B0651">
        <w:fldChar w:fldCharType="end"/>
      </w:r>
      <w:r w:rsidRPr="009B0651">
        <w:t xml:space="preserve"> ­ </w:t>
      </w:r>
      <w:r w:rsidR="00654ADA" w:rsidRPr="009B0651">
        <w:t>M</w:t>
      </w:r>
      <w:r w:rsidRPr="009B0651">
        <w:t xml:space="preserve">ean </w:t>
      </w:r>
      <w:r w:rsidR="00474B04" w:rsidRPr="009B0651">
        <w:t>time w</w:t>
      </w:r>
      <w:r w:rsidR="00C42603" w:rsidRPr="009B0651">
        <w:t>eighted</w:t>
      </w:r>
      <w:r w:rsidR="00474B04" w:rsidRPr="009B0651">
        <w:t xml:space="preserve"> serum p</w:t>
      </w:r>
      <w:r w:rsidRPr="009B0651">
        <w:t xml:space="preserve">hosphorous </w:t>
      </w:r>
      <w:r w:rsidR="00474B04" w:rsidRPr="009B0651">
        <w:t>l</w:t>
      </w:r>
      <w:r w:rsidRPr="009B0651">
        <w:t>evels</w:t>
      </w:r>
    </w:p>
    <w:tbl>
      <w:tblPr>
        <w:tblW w:w="0" w:type="auto"/>
        <w:jc w:val="center"/>
        <w:tblBorders>
          <w:top w:val="single" w:sz="2" w:space="0" w:color="000000"/>
        </w:tblBorders>
        <w:tblLook w:val="0000" w:firstRow="0" w:lastRow="0" w:firstColumn="0" w:lastColumn="0" w:noHBand="0" w:noVBand="0"/>
      </w:tblPr>
      <w:tblGrid>
        <w:gridCol w:w="2660"/>
        <w:gridCol w:w="1843"/>
        <w:gridCol w:w="2294"/>
        <w:gridCol w:w="1816"/>
        <w:gridCol w:w="1072"/>
      </w:tblGrid>
      <w:tr w:rsidR="00445BFB" w:rsidRPr="009B0651" w:rsidTr="00445BFB">
        <w:trPr>
          <w:cantSplit/>
          <w:trHeight w:val="264"/>
          <w:tblHeader/>
          <w:jc w:val="center"/>
        </w:trPr>
        <w:tc>
          <w:tcPr>
            <w:tcW w:w="2660" w:type="dxa"/>
            <w:tcBorders>
              <w:top w:val="single" w:sz="4" w:space="0" w:color="000000"/>
              <w:bottom w:val="single" w:sz="4" w:space="0" w:color="000000"/>
            </w:tcBorders>
            <w:shd w:val="clear" w:color="auto" w:fill="auto"/>
          </w:tcPr>
          <w:p w:rsidR="00445BFB" w:rsidRPr="009B0651" w:rsidRDefault="00445BFB" w:rsidP="00445BFB">
            <w:pPr>
              <w:pStyle w:val="TblHeadingCenter"/>
              <w:jc w:val="left"/>
            </w:pPr>
            <w:r w:rsidRPr="009B0651">
              <w:t xml:space="preserve">Serum phosphorous </w:t>
            </w:r>
          </w:p>
        </w:tc>
        <w:tc>
          <w:tcPr>
            <w:tcW w:w="1843" w:type="dxa"/>
            <w:tcBorders>
              <w:top w:val="single" w:sz="4" w:space="0" w:color="000000"/>
              <w:bottom w:val="single" w:sz="4" w:space="0" w:color="000000"/>
            </w:tcBorders>
            <w:shd w:val="clear" w:color="auto" w:fill="auto"/>
          </w:tcPr>
          <w:p w:rsidR="00445BFB" w:rsidRPr="009B0651" w:rsidRDefault="00445BFB" w:rsidP="00445BFB">
            <w:pPr>
              <w:pStyle w:val="TblHeadingCenter"/>
              <w:jc w:val="left"/>
            </w:pPr>
            <w:r w:rsidRPr="009B0651">
              <w:t xml:space="preserve">Sevelamer carbonate (n=56) </w:t>
            </w:r>
          </w:p>
        </w:tc>
        <w:tc>
          <w:tcPr>
            <w:tcW w:w="2294" w:type="dxa"/>
            <w:tcBorders>
              <w:top w:val="single" w:sz="4" w:space="0" w:color="000000"/>
              <w:bottom w:val="single" w:sz="4" w:space="0" w:color="000000"/>
            </w:tcBorders>
            <w:shd w:val="clear" w:color="auto" w:fill="auto"/>
          </w:tcPr>
          <w:p w:rsidR="00445BFB" w:rsidRPr="009B0651" w:rsidRDefault="00445BFB" w:rsidP="00445BFB">
            <w:pPr>
              <w:pStyle w:val="TblHeadingCenter"/>
              <w:jc w:val="left"/>
            </w:pPr>
            <w:r w:rsidRPr="009B0651">
              <w:t xml:space="preserve">Sevelamer hydrochloride (n=56) </w:t>
            </w:r>
          </w:p>
        </w:tc>
        <w:tc>
          <w:tcPr>
            <w:tcW w:w="1816" w:type="dxa"/>
            <w:tcBorders>
              <w:top w:val="single" w:sz="4" w:space="0" w:color="000000"/>
              <w:bottom w:val="single" w:sz="4" w:space="0" w:color="000000"/>
            </w:tcBorders>
            <w:shd w:val="clear" w:color="auto" w:fill="auto"/>
          </w:tcPr>
          <w:p w:rsidR="00445BFB" w:rsidRPr="009B0651" w:rsidRDefault="00445BFB" w:rsidP="00445BFB">
            <w:pPr>
              <w:pStyle w:val="TblHeadingCenter"/>
              <w:jc w:val="left"/>
            </w:pPr>
            <w:r w:rsidRPr="009B0651">
              <w:t xml:space="preserve">Geometric LSM Ratio (Carb/HCl) </w:t>
            </w:r>
          </w:p>
        </w:tc>
        <w:tc>
          <w:tcPr>
            <w:tcW w:w="1072" w:type="dxa"/>
            <w:tcBorders>
              <w:top w:val="single" w:sz="4" w:space="0" w:color="000000"/>
              <w:bottom w:val="single" w:sz="4" w:space="0" w:color="000000"/>
            </w:tcBorders>
            <w:shd w:val="clear" w:color="auto" w:fill="auto"/>
          </w:tcPr>
          <w:p w:rsidR="00445BFB" w:rsidRPr="009B0651" w:rsidRDefault="00445BFB" w:rsidP="00445BFB">
            <w:pPr>
              <w:pStyle w:val="TblHeadingCenter"/>
              <w:jc w:val="left"/>
            </w:pPr>
            <w:r w:rsidRPr="009B0651">
              <w:t>90% CI ratio</w:t>
            </w:r>
          </w:p>
        </w:tc>
      </w:tr>
      <w:tr w:rsidR="00445BFB" w:rsidRPr="009B0651" w:rsidTr="00445BFB">
        <w:trPr>
          <w:cantSplit/>
          <w:trHeight w:val="114"/>
          <w:jc w:val="center"/>
        </w:trPr>
        <w:tc>
          <w:tcPr>
            <w:tcW w:w="2660" w:type="dxa"/>
            <w:tcBorders>
              <w:top w:val="single" w:sz="4" w:space="0" w:color="000000"/>
            </w:tcBorders>
            <w:shd w:val="clear" w:color="auto" w:fill="auto"/>
          </w:tcPr>
          <w:p w:rsidR="00445BFB" w:rsidRPr="009B0651" w:rsidRDefault="00445BFB" w:rsidP="00445BFB">
            <w:pPr>
              <w:pStyle w:val="TblTextCenter"/>
              <w:jc w:val="left"/>
            </w:pPr>
            <w:r w:rsidRPr="009B0651">
              <w:t xml:space="preserve">Arithmetic mean ± SD </w:t>
            </w:r>
            <w:proofErr w:type="spellStart"/>
            <w:r w:rsidRPr="009B0651">
              <w:t>mmol</w:t>
            </w:r>
            <w:proofErr w:type="spellEnd"/>
            <w:r w:rsidRPr="009B0651">
              <w:t xml:space="preserve">/L </w:t>
            </w:r>
          </w:p>
        </w:tc>
        <w:tc>
          <w:tcPr>
            <w:tcW w:w="1843" w:type="dxa"/>
            <w:tcBorders>
              <w:top w:val="single" w:sz="4" w:space="0" w:color="000000"/>
            </w:tcBorders>
            <w:shd w:val="clear" w:color="auto" w:fill="auto"/>
          </w:tcPr>
          <w:p w:rsidR="00445BFB" w:rsidRPr="009B0651" w:rsidRDefault="00445BFB" w:rsidP="00445BFB">
            <w:pPr>
              <w:pStyle w:val="TblTextCenter"/>
              <w:jc w:val="left"/>
            </w:pPr>
            <w:r w:rsidRPr="009B0651">
              <w:t xml:space="preserve">1.5 ± 0.3 </w:t>
            </w:r>
          </w:p>
        </w:tc>
        <w:tc>
          <w:tcPr>
            <w:tcW w:w="2294" w:type="dxa"/>
            <w:tcBorders>
              <w:top w:val="single" w:sz="4" w:space="0" w:color="000000"/>
            </w:tcBorders>
            <w:shd w:val="clear" w:color="auto" w:fill="auto"/>
          </w:tcPr>
          <w:p w:rsidR="00445BFB" w:rsidRPr="009B0651" w:rsidRDefault="00445BFB" w:rsidP="00445BFB">
            <w:pPr>
              <w:pStyle w:val="TblTextCenter"/>
              <w:jc w:val="left"/>
            </w:pPr>
            <w:r w:rsidRPr="009B0651">
              <w:t xml:space="preserve">1.5 ± 0.3 </w:t>
            </w:r>
          </w:p>
        </w:tc>
        <w:tc>
          <w:tcPr>
            <w:tcW w:w="1816" w:type="dxa"/>
            <w:tcBorders>
              <w:top w:val="single" w:sz="4" w:space="0" w:color="000000"/>
            </w:tcBorders>
            <w:shd w:val="clear" w:color="auto" w:fill="auto"/>
          </w:tcPr>
          <w:p w:rsidR="00445BFB" w:rsidRPr="009B0651" w:rsidRDefault="00445BFB" w:rsidP="00445BFB">
            <w:pPr>
              <w:pStyle w:val="TblTextCenter"/>
              <w:jc w:val="left"/>
            </w:pPr>
            <w:r w:rsidRPr="009B0651">
              <w:t xml:space="preserve">0.99 </w:t>
            </w:r>
          </w:p>
        </w:tc>
        <w:tc>
          <w:tcPr>
            <w:tcW w:w="1072" w:type="dxa"/>
            <w:tcBorders>
              <w:top w:val="single" w:sz="4" w:space="0" w:color="000000"/>
            </w:tcBorders>
            <w:shd w:val="clear" w:color="auto" w:fill="auto"/>
          </w:tcPr>
          <w:p w:rsidR="00445BFB" w:rsidRPr="009B0651" w:rsidRDefault="00445BFB" w:rsidP="00445BFB">
            <w:pPr>
              <w:pStyle w:val="TblTextCenter"/>
              <w:jc w:val="left"/>
            </w:pPr>
            <w:r w:rsidRPr="009B0651">
              <w:t xml:space="preserve">0.95, 1.03 </w:t>
            </w:r>
          </w:p>
        </w:tc>
      </w:tr>
      <w:tr w:rsidR="00445BFB" w:rsidRPr="009B0651" w:rsidTr="00445BFB">
        <w:trPr>
          <w:cantSplit/>
          <w:trHeight w:val="114"/>
          <w:jc w:val="center"/>
        </w:trPr>
        <w:tc>
          <w:tcPr>
            <w:tcW w:w="0" w:type="auto"/>
            <w:gridSpan w:val="5"/>
            <w:tcBorders>
              <w:top w:val="single" w:sz="12" w:space="0" w:color="auto"/>
            </w:tcBorders>
            <w:shd w:val="clear" w:color="auto" w:fill="auto"/>
          </w:tcPr>
          <w:p w:rsidR="00445BFB" w:rsidRPr="009B0651" w:rsidRDefault="00445BFB" w:rsidP="00445BFB">
            <w:pPr>
              <w:pStyle w:val="TblFigFootnote"/>
            </w:pPr>
          </w:p>
        </w:tc>
      </w:tr>
    </w:tbl>
    <w:p w:rsidR="003F04FF" w:rsidRPr="007B649A" w:rsidRDefault="003F04FF" w:rsidP="003F04FF">
      <w:pPr>
        <w:pStyle w:val="Heading4"/>
        <w:numPr>
          <w:ilvl w:val="0"/>
          <w:numId w:val="0"/>
        </w:numPr>
      </w:pPr>
      <w:r w:rsidRPr="007B649A">
        <w:t xml:space="preserve">Cross-Over Study of </w:t>
      </w:r>
      <w:proofErr w:type="spellStart"/>
      <w:r w:rsidR="00595ECB" w:rsidRPr="007B649A">
        <w:t>Renvela</w:t>
      </w:r>
      <w:proofErr w:type="spellEnd"/>
      <w:r w:rsidRPr="007B649A">
        <w:t xml:space="preserve"> Powder and </w:t>
      </w:r>
      <w:proofErr w:type="spellStart"/>
      <w:r w:rsidR="00595ECB" w:rsidRPr="007B649A">
        <w:t>Renagel</w:t>
      </w:r>
      <w:proofErr w:type="spellEnd"/>
      <w:r w:rsidRPr="007B649A">
        <w:t xml:space="preserve"> Tablets </w:t>
      </w:r>
      <w:r w:rsidR="001C25DD" w:rsidRPr="00C40C20">
        <w:t>(SVCARB00205)</w:t>
      </w:r>
    </w:p>
    <w:p w:rsidR="003F04FF" w:rsidRDefault="003F04FF" w:rsidP="003F04FF">
      <w:pPr>
        <w:jc w:val="both"/>
        <w:rPr>
          <w:color w:val="auto"/>
          <w:sz w:val="23"/>
          <w:szCs w:val="23"/>
        </w:rPr>
      </w:pPr>
      <w:r w:rsidRPr="007B649A">
        <w:rPr>
          <w:color w:val="auto"/>
          <w:sz w:val="23"/>
          <w:szCs w:val="23"/>
        </w:rPr>
        <w:t xml:space="preserve">Stage 5 CKD patients on </w:t>
      </w:r>
      <w:proofErr w:type="spellStart"/>
      <w:r w:rsidRPr="007B649A">
        <w:rPr>
          <w:color w:val="auto"/>
          <w:sz w:val="23"/>
          <w:szCs w:val="23"/>
        </w:rPr>
        <w:t>h</w:t>
      </w:r>
      <w:r w:rsidR="00A46B03" w:rsidRPr="00C40C20">
        <w:rPr>
          <w:color w:val="auto"/>
          <w:sz w:val="23"/>
          <w:szCs w:val="23"/>
        </w:rPr>
        <w:t>a</w:t>
      </w:r>
      <w:r w:rsidRPr="007B649A">
        <w:rPr>
          <w:color w:val="auto"/>
          <w:sz w:val="23"/>
          <w:szCs w:val="23"/>
        </w:rPr>
        <w:t>emodialysis</w:t>
      </w:r>
      <w:proofErr w:type="spellEnd"/>
      <w:r w:rsidRPr="007B649A">
        <w:rPr>
          <w:color w:val="auto"/>
          <w:sz w:val="23"/>
          <w:szCs w:val="23"/>
        </w:rPr>
        <w:t xml:space="preserve"> were entered into a four-week </w:t>
      </w:r>
      <w:proofErr w:type="spellStart"/>
      <w:r w:rsidRPr="007B649A">
        <w:rPr>
          <w:color w:val="auto"/>
          <w:sz w:val="23"/>
          <w:szCs w:val="23"/>
        </w:rPr>
        <w:t>sevelamer</w:t>
      </w:r>
      <w:proofErr w:type="spellEnd"/>
      <w:r w:rsidRPr="007B649A">
        <w:rPr>
          <w:color w:val="auto"/>
          <w:sz w:val="20"/>
          <w:szCs w:val="20"/>
        </w:rPr>
        <w:t xml:space="preserve"> </w:t>
      </w:r>
      <w:r w:rsidRPr="007B649A">
        <w:rPr>
          <w:color w:val="auto"/>
          <w:sz w:val="23"/>
          <w:szCs w:val="23"/>
        </w:rPr>
        <w:t xml:space="preserve">hydrochloride run-in period and 31 patients received, in random order, </w:t>
      </w:r>
      <w:proofErr w:type="spellStart"/>
      <w:r w:rsidRPr="007B649A">
        <w:rPr>
          <w:color w:val="auto"/>
          <w:sz w:val="23"/>
          <w:szCs w:val="23"/>
        </w:rPr>
        <w:t>sevelamer</w:t>
      </w:r>
      <w:proofErr w:type="spellEnd"/>
      <w:r w:rsidRPr="007B649A">
        <w:rPr>
          <w:color w:val="auto"/>
          <w:sz w:val="20"/>
          <w:szCs w:val="20"/>
        </w:rPr>
        <w:t xml:space="preserve"> </w:t>
      </w:r>
      <w:r w:rsidRPr="007B649A">
        <w:rPr>
          <w:color w:val="auto"/>
          <w:sz w:val="23"/>
          <w:szCs w:val="23"/>
        </w:rPr>
        <w:t xml:space="preserve">carbonate powder and </w:t>
      </w:r>
      <w:proofErr w:type="spellStart"/>
      <w:r w:rsidRPr="007B649A">
        <w:rPr>
          <w:color w:val="auto"/>
          <w:sz w:val="23"/>
          <w:szCs w:val="23"/>
        </w:rPr>
        <w:t>sevelamer</w:t>
      </w:r>
      <w:proofErr w:type="spellEnd"/>
      <w:r w:rsidRPr="007B649A">
        <w:rPr>
          <w:color w:val="auto"/>
          <w:sz w:val="23"/>
          <w:szCs w:val="23"/>
        </w:rPr>
        <w:t xml:space="preserve"> hydrochloride tablets for four weeks each with no intervening washout. Study dose during the cross-over period was determined based on</w:t>
      </w:r>
      <w:r w:rsidRPr="007B649A">
        <w:rPr>
          <w:color w:val="auto"/>
          <w:sz w:val="20"/>
          <w:szCs w:val="20"/>
        </w:rPr>
        <w:t xml:space="preserve"> </w:t>
      </w:r>
      <w:r w:rsidRPr="007B649A">
        <w:rPr>
          <w:color w:val="auto"/>
          <w:sz w:val="23"/>
          <w:szCs w:val="23"/>
        </w:rPr>
        <w:t xml:space="preserve">the </w:t>
      </w:r>
      <w:proofErr w:type="spellStart"/>
      <w:r w:rsidRPr="007B649A">
        <w:rPr>
          <w:color w:val="auto"/>
          <w:sz w:val="23"/>
          <w:szCs w:val="23"/>
        </w:rPr>
        <w:t>sevelamer</w:t>
      </w:r>
      <w:proofErr w:type="spellEnd"/>
      <w:r w:rsidRPr="007B649A">
        <w:rPr>
          <w:color w:val="auto"/>
          <w:sz w:val="23"/>
          <w:szCs w:val="23"/>
        </w:rPr>
        <w:t xml:space="preserve"> hydrochloride dose during the run-in period on a </w:t>
      </w:r>
      <w:r w:rsidRPr="007B649A">
        <w:rPr>
          <w:color w:val="auto"/>
          <w:sz w:val="23"/>
          <w:szCs w:val="23"/>
        </w:rPr>
        <w:lastRenderedPageBreak/>
        <w:t>gram per gram basis. The</w:t>
      </w:r>
      <w:r w:rsidRPr="007B649A">
        <w:rPr>
          <w:color w:val="auto"/>
          <w:sz w:val="20"/>
          <w:szCs w:val="20"/>
        </w:rPr>
        <w:t xml:space="preserve"> </w:t>
      </w:r>
      <w:r w:rsidRPr="007B649A">
        <w:rPr>
          <w:color w:val="auto"/>
          <w:sz w:val="23"/>
          <w:szCs w:val="23"/>
        </w:rPr>
        <w:t xml:space="preserve">phosphorus levels at the end of each of the two cross-over periods were similar. Average actual daily dose was 6.0 g/day divided among meals for </w:t>
      </w:r>
      <w:proofErr w:type="spellStart"/>
      <w:r w:rsidRPr="007B649A">
        <w:rPr>
          <w:color w:val="auto"/>
          <w:sz w:val="23"/>
          <w:szCs w:val="23"/>
        </w:rPr>
        <w:t>sevelamer</w:t>
      </w:r>
      <w:proofErr w:type="spellEnd"/>
      <w:r w:rsidRPr="007B649A">
        <w:rPr>
          <w:color w:val="auto"/>
          <w:sz w:val="23"/>
          <w:szCs w:val="23"/>
        </w:rPr>
        <w:t xml:space="preserve"> carbonate powder</w:t>
      </w:r>
      <w:r w:rsidRPr="007B649A">
        <w:rPr>
          <w:color w:val="auto"/>
          <w:sz w:val="20"/>
          <w:szCs w:val="20"/>
        </w:rPr>
        <w:t xml:space="preserve"> </w:t>
      </w:r>
      <w:r w:rsidRPr="007B649A">
        <w:rPr>
          <w:color w:val="auto"/>
          <w:sz w:val="23"/>
          <w:szCs w:val="23"/>
        </w:rPr>
        <w:t xml:space="preserve">and 6.4 g/day divided among meals for </w:t>
      </w:r>
      <w:proofErr w:type="spellStart"/>
      <w:r w:rsidRPr="007B649A">
        <w:rPr>
          <w:color w:val="auto"/>
          <w:sz w:val="23"/>
          <w:szCs w:val="23"/>
        </w:rPr>
        <w:t>sevelamer</w:t>
      </w:r>
      <w:proofErr w:type="spellEnd"/>
      <w:r w:rsidRPr="007B649A">
        <w:rPr>
          <w:color w:val="auto"/>
          <w:sz w:val="23"/>
          <w:szCs w:val="23"/>
        </w:rPr>
        <w:t xml:space="preserve"> hydrochloride tablets.</w:t>
      </w:r>
    </w:p>
    <w:p w:rsidR="00445BFB" w:rsidRPr="009B0651" w:rsidRDefault="00474B04" w:rsidP="00474B04">
      <w:pPr>
        <w:pStyle w:val="Caption"/>
        <w:rPr>
          <w:sz w:val="23"/>
          <w:szCs w:val="23"/>
        </w:rPr>
      </w:pPr>
      <w:r w:rsidRPr="009B0651">
        <w:rPr>
          <w:sz w:val="23"/>
          <w:szCs w:val="23"/>
        </w:rPr>
        <w:t xml:space="preserve"> </w:t>
      </w:r>
      <w:r w:rsidRPr="009B0651">
        <w:t>Table </w:t>
      </w:r>
      <w:r w:rsidRPr="009B0651">
        <w:fldChar w:fldCharType="begin"/>
      </w:r>
      <w:r w:rsidRPr="009B0651">
        <w:instrText xml:space="preserve"> SEQ Table \* ARABIC </w:instrText>
      </w:r>
      <w:r w:rsidRPr="009B0651">
        <w:fldChar w:fldCharType="separate"/>
      </w:r>
      <w:r w:rsidR="00180A45">
        <w:rPr>
          <w:noProof/>
        </w:rPr>
        <w:t>4</w:t>
      </w:r>
      <w:r w:rsidRPr="009B0651">
        <w:fldChar w:fldCharType="end"/>
      </w:r>
      <w:r w:rsidRPr="009B0651">
        <w:t xml:space="preserve"> ­ </w:t>
      </w:r>
      <w:r w:rsidR="00654ADA" w:rsidRPr="009B0651">
        <w:t>M</w:t>
      </w:r>
      <w:r w:rsidRPr="009B0651">
        <w:t>ean time weighted serum phosphorous levels</w:t>
      </w:r>
    </w:p>
    <w:tbl>
      <w:tblPr>
        <w:tblW w:w="0" w:type="auto"/>
        <w:jc w:val="center"/>
        <w:tblBorders>
          <w:top w:val="single" w:sz="2" w:space="0" w:color="000000"/>
        </w:tblBorders>
        <w:tblLook w:val="0000" w:firstRow="0" w:lastRow="0" w:firstColumn="0" w:lastColumn="0" w:noHBand="0" w:noVBand="0"/>
      </w:tblPr>
      <w:tblGrid>
        <w:gridCol w:w="2660"/>
        <w:gridCol w:w="1843"/>
        <w:gridCol w:w="2294"/>
        <w:gridCol w:w="1816"/>
        <w:gridCol w:w="1072"/>
      </w:tblGrid>
      <w:tr w:rsidR="00445BFB" w:rsidRPr="009B0651" w:rsidTr="008C646C">
        <w:trPr>
          <w:cantSplit/>
          <w:trHeight w:val="264"/>
          <w:tblHeader/>
          <w:jc w:val="center"/>
        </w:trPr>
        <w:tc>
          <w:tcPr>
            <w:tcW w:w="2660" w:type="dxa"/>
            <w:tcBorders>
              <w:top w:val="single" w:sz="4" w:space="0" w:color="000000"/>
              <w:bottom w:val="single" w:sz="4" w:space="0" w:color="000000"/>
            </w:tcBorders>
            <w:shd w:val="clear" w:color="auto" w:fill="auto"/>
          </w:tcPr>
          <w:p w:rsidR="00445BFB" w:rsidRPr="009B0651" w:rsidRDefault="00445BFB" w:rsidP="008C646C">
            <w:pPr>
              <w:pStyle w:val="TblHeadingCenter"/>
              <w:jc w:val="left"/>
            </w:pPr>
            <w:r w:rsidRPr="009B0651">
              <w:t xml:space="preserve">Serum phosphorous </w:t>
            </w:r>
          </w:p>
        </w:tc>
        <w:tc>
          <w:tcPr>
            <w:tcW w:w="1843" w:type="dxa"/>
            <w:tcBorders>
              <w:top w:val="single" w:sz="4" w:space="0" w:color="000000"/>
              <w:bottom w:val="single" w:sz="4" w:space="0" w:color="000000"/>
            </w:tcBorders>
            <w:shd w:val="clear" w:color="auto" w:fill="auto"/>
          </w:tcPr>
          <w:p w:rsidR="00445BFB" w:rsidRPr="009B0651" w:rsidRDefault="00445BFB" w:rsidP="008C646C">
            <w:pPr>
              <w:pStyle w:val="TblHeadingCenter"/>
              <w:jc w:val="left"/>
            </w:pPr>
            <w:r w:rsidRPr="009B0651">
              <w:t xml:space="preserve">Sevelamer carbonate (n=21) </w:t>
            </w:r>
          </w:p>
        </w:tc>
        <w:tc>
          <w:tcPr>
            <w:tcW w:w="2294" w:type="dxa"/>
            <w:tcBorders>
              <w:top w:val="single" w:sz="4" w:space="0" w:color="000000"/>
              <w:bottom w:val="single" w:sz="4" w:space="0" w:color="000000"/>
            </w:tcBorders>
            <w:shd w:val="clear" w:color="auto" w:fill="auto"/>
          </w:tcPr>
          <w:p w:rsidR="00445BFB" w:rsidRPr="009B0651" w:rsidRDefault="00445BFB" w:rsidP="008C646C">
            <w:pPr>
              <w:pStyle w:val="TblHeadingCenter"/>
              <w:jc w:val="left"/>
            </w:pPr>
            <w:r w:rsidRPr="009B0651">
              <w:t xml:space="preserve">Sevelamer hydrochloride (n=21) </w:t>
            </w:r>
          </w:p>
        </w:tc>
        <w:tc>
          <w:tcPr>
            <w:tcW w:w="1816" w:type="dxa"/>
            <w:tcBorders>
              <w:top w:val="single" w:sz="4" w:space="0" w:color="000000"/>
              <w:bottom w:val="single" w:sz="4" w:space="0" w:color="000000"/>
            </w:tcBorders>
            <w:shd w:val="clear" w:color="auto" w:fill="auto"/>
          </w:tcPr>
          <w:p w:rsidR="00445BFB" w:rsidRPr="009B0651" w:rsidRDefault="00445BFB" w:rsidP="008C646C">
            <w:pPr>
              <w:pStyle w:val="TblHeadingCenter"/>
              <w:jc w:val="left"/>
            </w:pPr>
            <w:r w:rsidRPr="009B0651">
              <w:t xml:space="preserve">Geometric LSM Ratio (Carb/HCl) </w:t>
            </w:r>
          </w:p>
        </w:tc>
        <w:tc>
          <w:tcPr>
            <w:tcW w:w="1072" w:type="dxa"/>
            <w:tcBorders>
              <w:top w:val="single" w:sz="4" w:space="0" w:color="000000"/>
              <w:bottom w:val="single" w:sz="4" w:space="0" w:color="000000"/>
            </w:tcBorders>
            <w:shd w:val="clear" w:color="auto" w:fill="auto"/>
          </w:tcPr>
          <w:p w:rsidR="00445BFB" w:rsidRPr="009B0651" w:rsidRDefault="00445BFB" w:rsidP="008C646C">
            <w:pPr>
              <w:pStyle w:val="TblHeadingCenter"/>
              <w:jc w:val="left"/>
            </w:pPr>
            <w:r w:rsidRPr="009B0651">
              <w:t>90% CI ratio</w:t>
            </w:r>
          </w:p>
        </w:tc>
      </w:tr>
      <w:tr w:rsidR="00445BFB" w:rsidRPr="009B0651" w:rsidTr="008C646C">
        <w:trPr>
          <w:cantSplit/>
          <w:trHeight w:val="114"/>
          <w:jc w:val="center"/>
        </w:trPr>
        <w:tc>
          <w:tcPr>
            <w:tcW w:w="2660" w:type="dxa"/>
            <w:tcBorders>
              <w:top w:val="single" w:sz="4" w:space="0" w:color="000000"/>
            </w:tcBorders>
            <w:shd w:val="clear" w:color="auto" w:fill="auto"/>
          </w:tcPr>
          <w:p w:rsidR="00445BFB" w:rsidRPr="009B0651" w:rsidRDefault="00445BFB" w:rsidP="008C646C">
            <w:pPr>
              <w:pStyle w:val="TblTextCenter"/>
              <w:jc w:val="left"/>
            </w:pPr>
            <w:r w:rsidRPr="009B0651">
              <w:t xml:space="preserve">Arithmetic mean ± SD </w:t>
            </w:r>
            <w:proofErr w:type="spellStart"/>
            <w:r w:rsidRPr="009B0651">
              <w:t>mmol</w:t>
            </w:r>
            <w:proofErr w:type="spellEnd"/>
            <w:r w:rsidRPr="009B0651">
              <w:t xml:space="preserve">/L </w:t>
            </w:r>
          </w:p>
        </w:tc>
        <w:tc>
          <w:tcPr>
            <w:tcW w:w="1843" w:type="dxa"/>
            <w:tcBorders>
              <w:top w:val="single" w:sz="4" w:space="0" w:color="000000"/>
            </w:tcBorders>
            <w:shd w:val="clear" w:color="auto" w:fill="auto"/>
          </w:tcPr>
          <w:p w:rsidR="00445BFB" w:rsidRPr="009B0651" w:rsidRDefault="00445BFB" w:rsidP="00445BFB">
            <w:pPr>
              <w:pStyle w:val="TblTextCenter"/>
              <w:jc w:val="left"/>
            </w:pPr>
            <w:r w:rsidRPr="009B0651">
              <w:t xml:space="preserve">1.6 ± 0.5 </w:t>
            </w:r>
          </w:p>
        </w:tc>
        <w:tc>
          <w:tcPr>
            <w:tcW w:w="2294" w:type="dxa"/>
            <w:tcBorders>
              <w:top w:val="single" w:sz="4" w:space="0" w:color="000000"/>
            </w:tcBorders>
            <w:shd w:val="clear" w:color="auto" w:fill="auto"/>
          </w:tcPr>
          <w:p w:rsidR="00445BFB" w:rsidRPr="009B0651" w:rsidRDefault="00445BFB" w:rsidP="00445BFB">
            <w:pPr>
              <w:pStyle w:val="TblTextCenter"/>
              <w:jc w:val="left"/>
            </w:pPr>
            <w:r w:rsidRPr="009B0651">
              <w:t xml:space="preserve">1.7 ± 0.4 </w:t>
            </w:r>
          </w:p>
        </w:tc>
        <w:tc>
          <w:tcPr>
            <w:tcW w:w="1816" w:type="dxa"/>
            <w:tcBorders>
              <w:top w:val="single" w:sz="4" w:space="0" w:color="000000"/>
            </w:tcBorders>
            <w:shd w:val="clear" w:color="auto" w:fill="auto"/>
          </w:tcPr>
          <w:p w:rsidR="00445BFB" w:rsidRPr="009B0651" w:rsidRDefault="00445BFB" w:rsidP="008C646C">
            <w:pPr>
              <w:pStyle w:val="TblTextCenter"/>
              <w:jc w:val="left"/>
            </w:pPr>
            <w:r w:rsidRPr="009B0651">
              <w:t xml:space="preserve">0.95 </w:t>
            </w:r>
          </w:p>
        </w:tc>
        <w:tc>
          <w:tcPr>
            <w:tcW w:w="1072" w:type="dxa"/>
            <w:tcBorders>
              <w:top w:val="single" w:sz="4" w:space="0" w:color="000000"/>
            </w:tcBorders>
            <w:shd w:val="clear" w:color="auto" w:fill="auto"/>
          </w:tcPr>
          <w:p w:rsidR="00445BFB" w:rsidRPr="009B0651" w:rsidRDefault="00445BFB" w:rsidP="008C646C">
            <w:pPr>
              <w:pStyle w:val="TblTextCenter"/>
              <w:jc w:val="left"/>
            </w:pPr>
            <w:r w:rsidRPr="009B0651">
              <w:t xml:space="preserve">0.87, 1.03 </w:t>
            </w:r>
          </w:p>
        </w:tc>
      </w:tr>
      <w:tr w:rsidR="00445BFB" w:rsidRPr="009B0651" w:rsidTr="008C646C">
        <w:trPr>
          <w:cantSplit/>
          <w:trHeight w:val="114"/>
          <w:jc w:val="center"/>
        </w:trPr>
        <w:tc>
          <w:tcPr>
            <w:tcW w:w="0" w:type="auto"/>
            <w:gridSpan w:val="5"/>
            <w:tcBorders>
              <w:top w:val="single" w:sz="12" w:space="0" w:color="auto"/>
            </w:tcBorders>
            <w:shd w:val="clear" w:color="auto" w:fill="auto"/>
          </w:tcPr>
          <w:p w:rsidR="00445BFB" w:rsidRPr="009B0651" w:rsidRDefault="00445BFB" w:rsidP="008C646C">
            <w:pPr>
              <w:pStyle w:val="TblFigFootnote"/>
              <w:rPr>
                <w:i/>
              </w:rPr>
            </w:pPr>
          </w:p>
        </w:tc>
      </w:tr>
    </w:tbl>
    <w:p w:rsidR="00AB1082" w:rsidRPr="007B649A" w:rsidRDefault="00595ECB" w:rsidP="00AB1082">
      <w:pPr>
        <w:jc w:val="both"/>
        <w:rPr>
          <w:rFonts w:ascii="Arial" w:eastAsia="MS Gothic" w:hAnsi="Arial" w:cs="Arial"/>
          <w:b/>
          <w:i/>
          <w:color w:val="auto"/>
          <w:kern w:val="32"/>
          <w:sz w:val="22"/>
          <w:szCs w:val="28"/>
        </w:rPr>
      </w:pPr>
      <w:proofErr w:type="spellStart"/>
      <w:r w:rsidRPr="008D6386">
        <w:rPr>
          <w:rFonts w:ascii="Arial" w:eastAsia="MS Gothic" w:hAnsi="Arial" w:cs="Arial"/>
          <w:b/>
          <w:i/>
          <w:color w:val="auto"/>
          <w:kern w:val="32"/>
          <w:sz w:val="22"/>
          <w:szCs w:val="28"/>
        </w:rPr>
        <w:t>Renvela</w:t>
      </w:r>
      <w:proofErr w:type="spellEnd"/>
      <w:r w:rsidRPr="008D6386">
        <w:rPr>
          <w:rFonts w:ascii="Arial" w:eastAsia="MS Gothic" w:hAnsi="Arial" w:cs="Arial"/>
          <w:b/>
          <w:i/>
          <w:color w:val="auto"/>
          <w:kern w:val="32"/>
          <w:sz w:val="22"/>
          <w:szCs w:val="28"/>
        </w:rPr>
        <w:t xml:space="preserve"> Powder Once a Day v</w:t>
      </w:r>
      <w:r w:rsidR="00AB1082" w:rsidRPr="008D6386">
        <w:rPr>
          <w:rFonts w:ascii="Arial" w:eastAsia="MS Gothic" w:hAnsi="Arial" w:cs="Arial"/>
          <w:b/>
          <w:i/>
          <w:color w:val="auto"/>
          <w:kern w:val="32"/>
          <w:sz w:val="22"/>
          <w:szCs w:val="28"/>
        </w:rPr>
        <w:t xml:space="preserve">ersus </w:t>
      </w:r>
      <w:proofErr w:type="spellStart"/>
      <w:r w:rsidRPr="008D6386">
        <w:rPr>
          <w:rFonts w:ascii="Arial" w:eastAsia="MS Gothic" w:hAnsi="Arial" w:cs="Arial"/>
          <w:b/>
          <w:i/>
          <w:color w:val="auto"/>
          <w:kern w:val="32"/>
          <w:sz w:val="22"/>
          <w:szCs w:val="28"/>
        </w:rPr>
        <w:t>Renagel</w:t>
      </w:r>
      <w:proofErr w:type="spellEnd"/>
      <w:r w:rsidRPr="008D6386">
        <w:rPr>
          <w:rFonts w:ascii="Arial" w:eastAsia="MS Gothic" w:hAnsi="Arial" w:cs="Arial"/>
          <w:b/>
          <w:i/>
          <w:color w:val="auto"/>
          <w:kern w:val="32"/>
          <w:sz w:val="22"/>
          <w:szCs w:val="28"/>
        </w:rPr>
        <w:t xml:space="preserve"> Tablet </w:t>
      </w:r>
      <w:r w:rsidR="00AB1082" w:rsidRPr="007B649A">
        <w:rPr>
          <w:rFonts w:ascii="Arial" w:eastAsia="MS Gothic" w:hAnsi="Arial" w:cs="Arial"/>
          <w:b/>
          <w:i/>
          <w:color w:val="auto"/>
          <w:kern w:val="32"/>
          <w:sz w:val="22"/>
          <w:szCs w:val="28"/>
        </w:rPr>
        <w:t>Three Times a Day Dosing</w:t>
      </w:r>
      <w:r w:rsidR="00AB1082" w:rsidRPr="009B0651">
        <w:rPr>
          <w:rFonts w:ascii="Arial" w:eastAsia="MS Gothic" w:hAnsi="Arial" w:cs="Arial"/>
          <w:b/>
          <w:i/>
          <w:color w:val="auto"/>
          <w:kern w:val="32"/>
          <w:sz w:val="22"/>
          <w:szCs w:val="28"/>
        </w:rPr>
        <w:t xml:space="preserve"> </w:t>
      </w:r>
      <w:r w:rsidR="00192825" w:rsidRPr="009B0651">
        <w:rPr>
          <w:rFonts w:ascii="Arial" w:eastAsia="MS Gothic" w:hAnsi="Arial" w:cs="Arial"/>
          <w:b/>
          <w:i/>
          <w:color w:val="auto"/>
          <w:kern w:val="32"/>
          <w:sz w:val="22"/>
          <w:szCs w:val="28"/>
        </w:rPr>
        <w:t>(GD3-199-301)</w:t>
      </w:r>
    </w:p>
    <w:p w:rsidR="00AB1082" w:rsidRPr="009B0651" w:rsidRDefault="00AB1082" w:rsidP="00AB1082">
      <w:pPr>
        <w:jc w:val="both"/>
        <w:rPr>
          <w:color w:val="auto"/>
          <w:sz w:val="23"/>
          <w:szCs w:val="23"/>
        </w:rPr>
      </w:pPr>
      <w:r w:rsidRPr="009B0651">
        <w:rPr>
          <w:color w:val="auto"/>
          <w:sz w:val="23"/>
          <w:szCs w:val="23"/>
        </w:rPr>
        <w:t xml:space="preserve">Stage 5 CKD patients on </w:t>
      </w:r>
      <w:proofErr w:type="spellStart"/>
      <w:r w:rsidRPr="009B0651">
        <w:rPr>
          <w:color w:val="auto"/>
          <w:sz w:val="23"/>
          <w:szCs w:val="23"/>
        </w:rPr>
        <w:t>h</w:t>
      </w:r>
      <w:r w:rsidR="00A46B03" w:rsidRPr="00C40C20">
        <w:rPr>
          <w:color w:val="auto"/>
          <w:sz w:val="23"/>
          <w:szCs w:val="23"/>
        </w:rPr>
        <w:t>a</w:t>
      </w:r>
      <w:r w:rsidRPr="009B0651">
        <w:rPr>
          <w:color w:val="auto"/>
          <w:sz w:val="23"/>
          <w:szCs w:val="23"/>
        </w:rPr>
        <w:t>emodialysis</w:t>
      </w:r>
      <w:proofErr w:type="spellEnd"/>
      <w:r w:rsidRPr="009B0651">
        <w:rPr>
          <w:color w:val="auto"/>
          <w:sz w:val="23"/>
          <w:szCs w:val="23"/>
        </w:rPr>
        <w:t xml:space="preserve"> with a seru</w:t>
      </w:r>
      <w:r w:rsidR="00690656" w:rsidRPr="009B0651">
        <w:rPr>
          <w:color w:val="auto"/>
          <w:sz w:val="23"/>
          <w:szCs w:val="23"/>
        </w:rPr>
        <w:t xml:space="preserve">m phosphate level of </w:t>
      </w:r>
      <w:r w:rsidR="00BD5A34" w:rsidRPr="009B0651">
        <w:rPr>
          <w:color w:val="auto"/>
        </w:rPr>
        <w:t xml:space="preserve">&gt; 1.78 </w:t>
      </w:r>
      <w:proofErr w:type="spellStart"/>
      <w:r w:rsidR="00BD5A34" w:rsidRPr="009B0651">
        <w:rPr>
          <w:color w:val="auto"/>
        </w:rPr>
        <w:t>mmol</w:t>
      </w:r>
      <w:proofErr w:type="spellEnd"/>
      <w:r w:rsidR="00BD5A34" w:rsidRPr="009B0651">
        <w:rPr>
          <w:color w:val="auto"/>
        </w:rPr>
        <w:t>/L</w:t>
      </w:r>
      <w:r w:rsidR="00BD5A34" w:rsidRPr="009B0651">
        <w:rPr>
          <w:color w:val="auto"/>
          <w:sz w:val="23"/>
          <w:szCs w:val="23"/>
        </w:rPr>
        <w:t xml:space="preserve"> </w:t>
      </w:r>
      <w:r w:rsidRPr="009B0651">
        <w:rPr>
          <w:color w:val="auto"/>
          <w:sz w:val="23"/>
          <w:szCs w:val="23"/>
        </w:rPr>
        <w:t>after</w:t>
      </w:r>
      <w:r w:rsidRPr="009B0651">
        <w:rPr>
          <w:color w:val="auto"/>
          <w:sz w:val="20"/>
          <w:szCs w:val="20"/>
        </w:rPr>
        <w:t xml:space="preserve"> </w:t>
      </w:r>
      <w:r w:rsidRPr="009B0651">
        <w:rPr>
          <w:color w:val="auto"/>
          <w:sz w:val="23"/>
          <w:szCs w:val="23"/>
        </w:rPr>
        <w:t>washout from baseline therapies were randomized in a 2:1 ratio to receive either</w:t>
      </w:r>
      <w:r w:rsidRPr="009B0651">
        <w:rPr>
          <w:color w:val="auto"/>
          <w:sz w:val="20"/>
          <w:szCs w:val="20"/>
        </w:rPr>
        <w:t xml:space="preserve"> </w:t>
      </w:r>
      <w:proofErr w:type="spellStart"/>
      <w:r w:rsidRPr="009B0651">
        <w:rPr>
          <w:color w:val="auto"/>
          <w:sz w:val="23"/>
          <w:szCs w:val="23"/>
        </w:rPr>
        <w:t>sevelamer</w:t>
      </w:r>
      <w:proofErr w:type="spellEnd"/>
      <w:r w:rsidRPr="009B0651">
        <w:rPr>
          <w:color w:val="auto"/>
          <w:sz w:val="23"/>
          <w:szCs w:val="23"/>
        </w:rPr>
        <w:t xml:space="preserve"> carbonate powder once-daily (N=144) or </w:t>
      </w:r>
      <w:proofErr w:type="spellStart"/>
      <w:r w:rsidRPr="009B0651">
        <w:rPr>
          <w:color w:val="auto"/>
          <w:sz w:val="23"/>
          <w:szCs w:val="23"/>
        </w:rPr>
        <w:t>sevelamer</w:t>
      </w:r>
      <w:proofErr w:type="spellEnd"/>
      <w:r w:rsidRPr="009B0651">
        <w:rPr>
          <w:color w:val="auto"/>
          <w:sz w:val="23"/>
          <w:szCs w:val="23"/>
        </w:rPr>
        <w:t xml:space="preserve"> hydrochloride as a tablet</w:t>
      </w:r>
      <w:r w:rsidRPr="009B0651">
        <w:rPr>
          <w:color w:val="auto"/>
          <w:sz w:val="20"/>
          <w:szCs w:val="20"/>
        </w:rPr>
        <w:t xml:space="preserve"> </w:t>
      </w:r>
      <w:r w:rsidRPr="009B0651">
        <w:rPr>
          <w:color w:val="auto"/>
          <w:sz w:val="23"/>
          <w:szCs w:val="23"/>
        </w:rPr>
        <w:t>with the dose divided three times per day (N=73) for 24 weeks. The initial dose for the two groups was 4.8 g/day. At the end of the study, the total daily dose was 6.2 g/day of</w:t>
      </w:r>
      <w:r w:rsidRPr="009B0651">
        <w:rPr>
          <w:color w:val="auto"/>
          <w:sz w:val="20"/>
          <w:szCs w:val="20"/>
        </w:rPr>
        <w:t xml:space="preserve"> </w:t>
      </w:r>
      <w:proofErr w:type="spellStart"/>
      <w:r w:rsidRPr="009B0651">
        <w:rPr>
          <w:color w:val="auto"/>
          <w:sz w:val="23"/>
          <w:szCs w:val="23"/>
        </w:rPr>
        <w:t>sevelamer</w:t>
      </w:r>
      <w:proofErr w:type="spellEnd"/>
      <w:r w:rsidRPr="009B0651">
        <w:rPr>
          <w:color w:val="auto"/>
          <w:sz w:val="23"/>
          <w:szCs w:val="23"/>
        </w:rPr>
        <w:t xml:space="preserve"> carbonate powder once daily and 6.7 g/day of </w:t>
      </w:r>
      <w:proofErr w:type="spellStart"/>
      <w:r w:rsidRPr="009B0651">
        <w:rPr>
          <w:color w:val="auto"/>
          <w:sz w:val="23"/>
          <w:szCs w:val="23"/>
        </w:rPr>
        <w:t>sevelamer</w:t>
      </w:r>
      <w:proofErr w:type="spellEnd"/>
      <w:r w:rsidRPr="009B0651">
        <w:rPr>
          <w:color w:val="auto"/>
          <w:sz w:val="23"/>
          <w:szCs w:val="23"/>
        </w:rPr>
        <w:t xml:space="preserve"> hydrochloride tablets</w:t>
      </w:r>
      <w:r w:rsidRPr="009B0651">
        <w:rPr>
          <w:color w:val="auto"/>
          <w:sz w:val="20"/>
          <w:szCs w:val="20"/>
        </w:rPr>
        <w:t xml:space="preserve"> </w:t>
      </w:r>
      <w:r w:rsidRPr="009B0651">
        <w:rPr>
          <w:color w:val="auto"/>
          <w:sz w:val="23"/>
          <w:szCs w:val="23"/>
        </w:rPr>
        <w:t xml:space="preserve">three times per day. </w:t>
      </w:r>
      <w:proofErr w:type="gramStart"/>
      <w:r w:rsidRPr="009B0651">
        <w:rPr>
          <w:color w:val="auto"/>
          <w:sz w:val="23"/>
          <w:szCs w:val="23"/>
        </w:rPr>
        <w:t>A greater percentage of subjects on the once daily dose than three times per day regimen discontinued therapy prematurely, 35% versus 15%.</w:t>
      </w:r>
      <w:proofErr w:type="gramEnd"/>
      <w:r w:rsidRPr="009B0651">
        <w:rPr>
          <w:color w:val="auto"/>
          <w:sz w:val="23"/>
          <w:szCs w:val="23"/>
        </w:rPr>
        <w:t xml:space="preserve"> The reasons</w:t>
      </w:r>
      <w:r w:rsidRPr="009B0651">
        <w:rPr>
          <w:color w:val="auto"/>
          <w:sz w:val="20"/>
          <w:szCs w:val="20"/>
        </w:rPr>
        <w:t xml:space="preserve"> </w:t>
      </w:r>
      <w:r w:rsidRPr="009B0651">
        <w:rPr>
          <w:color w:val="auto"/>
          <w:sz w:val="23"/>
          <w:szCs w:val="23"/>
        </w:rPr>
        <w:t>for discontinuation were largely driven by adverse events and withdrawal of consent in</w:t>
      </w:r>
      <w:r w:rsidRPr="009B0651">
        <w:rPr>
          <w:color w:val="auto"/>
          <w:sz w:val="20"/>
          <w:szCs w:val="20"/>
        </w:rPr>
        <w:t xml:space="preserve"> </w:t>
      </w:r>
      <w:r w:rsidRPr="009B0651">
        <w:rPr>
          <w:color w:val="auto"/>
          <w:sz w:val="23"/>
          <w:szCs w:val="23"/>
        </w:rPr>
        <w:t>the once daily dosing regimen. Serum phosphate levels and calcium-phosphate product</w:t>
      </w:r>
      <w:r w:rsidRPr="009B0651">
        <w:rPr>
          <w:color w:val="auto"/>
          <w:sz w:val="20"/>
          <w:szCs w:val="20"/>
        </w:rPr>
        <w:t xml:space="preserve"> </w:t>
      </w:r>
      <w:r w:rsidRPr="009B0651">
        <w:rPr>
          <w:color w:val="auto"/>
          <w:sz w:val="23"/>
          <w:szCs w:val="23"/>
        </w:rPr>
        <w:t>were better controlled on the three times per day regimen than on the once daily regimen. Mean serum phosphorus decreased</w:t>
      </w:r>
      <w:r w:rsidR="00BD5A34" w:rsidRPr="009B0651">
        <w:rPr>
          <w:color w:val="auto"/>
          <w:sz w:val="23"/>
          <w:szCs w:val="23"/>
        </w:rPr>
        <w:t xml:space="preserve"> </w:t>
      </w:r>
      <w:proofErr w:type="gramStart"/>
      <w:r w:rsidR="00A97647" w:rsidRPr="00184C15">
        <w:rPr>
          <w:color w:val="auto"/>
          <w:sz w:val="23"/>
          <w:szCs w:val="23"/>
        </w:rPr>
        <w:t>0.66</w:t>
      </w:r>
      <w:r w:rsidR="00184C15">
        <w:rPr>
          <w:color w:val="auto"/>
          <w:sz w:val="23"/>
          <w:szCs w:val="23"/>
        </w:rPr>
        <w:t xml:space="preserve"> </w:t>
      </w:r>
      <w:proofErr w:type="spellStart"/>
      <w:r w:rsidR="00BD5A34" w:rsidRPr="009B0651">
        <w:rPr>
          <w:color w:val="auto"/>
          <w:sz w:val="23"/>
          <w:szCs w:val="23"/>
        </w:rPr>
        <w:t>mmol</w:t>
      </w:r>
      <w:proofErr w:type="spellEnd"/>
      <w:r w:rsidR="00BD5A34" w:rsidRPr="009B0651">
        <w:rPr>
          <w:color w:val="auto"/>
          <w:sz w:val="23"/>
          <w:szCs w:val="23"/>
        </w:rPr>
        <w:t xml:space="preserve">/L </w:t>
      </w:r>
      <w:r w:rsidRPr="009B0651">
        <w:rPr>
          <w:color w:val="auto"/>
          <w:sz w:val="23"/>
          <w:szCs w:val="23"/>
        </w:rPr>
        <w:t xml:space="preserve">for </w:t>
      </w:r>
      <w:proofErr w:type="spellStart"/>
      <w:r w:rsidRPr="009B0651">
        <w:rPr>
          <w:color w:val="auto"/>
          <w:sz w:val="23"/>
          <w:szCs w:val="23"/>
        </w:rPr>
        <w:t>sevelamer</w:t>
      </w:r>
      <w:proofErr w:type="spellEnd"/>
      <w:r w:rsidRPr="009B0651">
        <w:rPr>
          <w:color w:val="auto"/>
          <w:sz w:val="23"/>
          <w:szCs w:val="23"/>
        </w:rPr>
        <w:t xml:space="preserve"> carbonate powder once</w:t>
      </w:r>
      <w:r w:rsidRPr="009B0651">
        <w:rPr>
          <w:color w:val="auto"/>
          <w:sz w:val="20"/>
          <w:szCs w:val="20"/>
        </w:rPr>
        <w:t xml:space="preserve"> </w:t>
      </w:r>
      <w:r w:rsidRPr="009B0651">
        <w:rPr>
          <w:color w:val="auto"/>
          <w:sz w:val="23"/>
          <w:szCs w:val="23"/>
        </w:rPr>
        <w:t>daily</w:t>
      </w:r>
      <w:proofErr w:type="gramEnd"/>
      <w:r w:rsidRPr="009B0651">
        <w:rPr>
          <w:color w:val="auto"/>
          <w:sz w:val="23"/>
          <w:szCs w:val="23"/>
        </w:rPr>
        <w:t xml:space="preserve"> and </w:t>
      </w:r>
      <w:r w:rsidR="00D408EA" w:rsidRPr="00184C15">
        <w:rPr>
          <w:color w:val="auto"/>
          <w:sz w:val="23"/>
          <w:szCs w:val="23"/>
        </w:rPr>
        <w:t>0.96</w:t>
      </w:r>
      <w:r w:rsidR="00BD5A34" w:rsidRPr="00184C15">
        <w:rPr>
          <w:color w:val="auto"/>
          <w:sz w:val="23"/>
          <w:szCs w:val="23"/>
        </w:rPr>
        <w:t xml:space="preserve"> </w:t>
      </w:r>
      <w:proofErr w:type="spellStart"/>
      <w:r w:rsidR="00BD5A34" w:rsidRPr="009B0651">
        <w:rPr>
          <w:color w:val="auto"/>
          <w:sz w:val="23"/>
          <w:szCs w:val="23"/>
        </w:rPr>
        <w:t>mmol</w:t>
      </w:r>
      <w:proofErr w:type="spellEnd"/>
      <w:r w:rsidR="00BD5A34" w:rsidRPr="009B0651">
        <w:rPr>
          <w:color w:val="auto"/>
          <w:sz w:val="23"/>
          <w:szCs w:val="23"/>
        </w:rPr>
        <w:t xml:space="preserve">/L </w:t>
      </w:r>
      <w:r w:rsidRPr="009B0651">
        <w:rPr>
          <w:color w:val="auto"/>
          <w:sz w:val="23"/>
          <w:szCs w:val="23"/>
        </w:rPr>
        <w:t xml:space="preserve">for </w:t>
      </w:r>
      <w:proofErr w:type="spellStart"/>
      <w:r w:rsidRPr="009B0651">
        <w:rPr>
          <w:color w:val="auto"/>
          <w:sz w:val="23"/>
          <w:szCs w:val="23"/>
        </w:rPr>
        <w:t>sevelamer</w:t>
      </w:r>
      <w:proofErr w:type="spellEnd"/>
      <w:r w:rsidRPr="009B0651">
        <w:rPr>
          <w:color w:val="auto"/>
          <w:sz w:val="23"/>
          <w:szCs w:val="23"/>
        </w:rPr>
        <w:t xml:space="preserve"> hydrochloride tablets three times per day.</w:t>
      </w:r>
    </w:p>
    <w:p w:rsidR="00BC52A5" w:rsidRDefault="00BC52A5" w:rsidP="00BC52A5">
      <w:pPr>
        <w:pStyle w:val="Heading1"/>
        <w:pageBreakBefore w:val="0"/>
        <w:numPr>
          <w:ilvl w:val="0"/>
          <w:numId w:val="0"/>
        </w:numPr>
      </w:pPr>
      <w:bookmarkStart w:id="17" w:name="_Toc314223313"/>
      <w:r>
        <w:t>indications</w:t>
      </w:r>
      <w:bookmarkEnd w:id="17"/>
    </w:p>
    <w:p w:rsidR="00BC52A5" w:rsidRDefault="00AA7DA9" w:rsidP="00F06AAE">
      <w:pPr>
        <w:jc w:val="both"/>
      </w:pPr>
      <w:proofErr w:type="spellStart"/>
      <w:r>
        <w:t>Ren</w:t>
      </w:r>
      <w:r w:rsidR="00CC0F16">
        <w:t>vela</w:t>
      </w:r>
      <w:proofErr w:type="spellEnd"/>
      <w:r w:rsidR="007C26D8" w:rsidRPr="007C26D8">
        <w:t xml:space="preserve"> is indicated for the management of </w:t>
      </w:r>
      <w:proofErr w:type="spellStart"/>
      <w:r w:rsidR="007C26D8" w:rsidRPr="007C26D8">
        <w:t>hyperphosphataemia</w:t>
      </w:r>
      <w:proofErr w:type="spellEnd"/>
      <w:r w:rsidR="007C26D8" w:rsidRPr="007C26D8">
        <w:t xml:space="preserve"> in adult patients with stage 4 and 5 chronic kidney disease</w:t>
      </w:r>
      <w:r w:rsidR="007C26D8">
        <w:t>.</w:t>
      </w:r>
    </w:p>
    <w:p w:rsidR="00BC52A5" w:rsidRDefault="00BC52A5" w:rsidP="00BC52A5">
      <w:pPr>
        <w:pStyle w:val="Heading1"/>
        <w:pageBreakBefore w:val="0"/>
        <w:numPr>
          <w:ilvl w:val="0"/>
          <w:numId w:val="0"/>
        </w:numPr>
      </w:pPr>
      <w:bookmarkStart w:id="18" w:name="_Toc314223314"/>
      <w:r>
        <w:t>contraindications</w:t>
      </w:r>
      <w:bookmarkEnd w:id="18"/>
    </w:p>
    <w:p w:rsidR="00A526BA" w:rsidRDefault="00CC0F16" w:rsidP="00F06AAE">
      <w:pPr>
        <w:jc w:val="both"/>
      </w:pPr>
      <w:proofErr w:type="spellStart"/>
      <w:r>
        <w:t>Renvela</w:t>
      </w:r>
      <w:proofErr w:type="spellEnd"/>
      <w:r w:rsidR="007C26D8" w:rsidRPr="007C26D8">
        <w:t xml:space="preserve"> is contraindicated in patients</w:t>
      </w:r>
      <w:r w:rsidR="00A526BA">
        <w:t>:</w:t>
      </w:r>
    </w:p>
    <w:p w:rsidR="00A526BA" w:rsidRDefault="00A526BA" w:rsidP="00A526BA">
      <w:pPr>
        <w:numPr>
          <w:ilvl w:val="0"/>
          <w:numId w:val="31"/>
        </w:numPr>
        <w:jc w:val="both"/>
      </w:pPr>
      <w:r>
        <w:t xml:space="preserve">known </w:t>
      </w:r>
      <w:r w:rsidRPr="007C26D8">
        <w:t xml:space="preserve">to be hypersensitive to </w:t>
      </w:r>
      <w:proofErr w:type="spellStart"/>
      <w:r w:rsidRPr="007C26D8">
        <w:t>sevelamer</w:t>
      </w:r>
      <w:proofErr w:type="spellEnd"/>
      <w:r>
        <w:t xml:space="preserve"> </w:t>
      </w:r>
      <w:r w:rsidR="000D4B46">
        <w:t>carbonate</w:t>
      </w:r>
      <w:r>
        <w:t xml:space="preserve"> </w:t>
      </w:r>
      <w:r w:rsidRPr="007C26D8">
        <w:t>or any of the</w:t>
      </w:r>
      <w:r w:rsidR="0043487D">
        <w:t xml:space="preserve"> other components of the tablet</w:t>
      </w:r>
    </w:p>
    <w:p w:rsidR="00B87A69" w:rsidRDefault="00A526BA" w:rsidP="00F06AAE">
      <w:pPr>
        <w:numPr>
          <w:ilvl w:val="0"/>
          <w:numId w:val="31"/>
        </w:numPr>
        <w:jc w:val="both"/>
      </w:pPr>
      <w:r>
        <w:t xml:space="preserve">with </w:t>
      </w:r>
      <w:proofErr w:type="spellStart"/>
      <w:r>
        <w:t>h</w:t>
      </w:r>
      <w:r w:rsidR="007C26D8" w:rsidRPr="007C26D8">
        <w:t>ypophosphataemia</w:t>
      </w:r>
      <w:proofErr w:type="spellEnd"/>
      <w:r w:rsidR="007C26D8" w:rsidRPr="007C26D8">
        <w:t xml:space="preserve"> </w:t>
      </w:r>
    </w:p>
    <w:p w:rsidR="00CC0F16" w:rsidRDefault="00B87A69" w:rsidP="00F06AAE">
      <w:pPr>
        <w:numPr>
          <w:ilvl w:val="0"/>
          <w:numId w:val="31"/>
        </w:numPr>
        <w:jc w:val="both"/>
      </w:pPr>
      <w:r w:rsidRPr="0009331B">
        <w:rPr>
          <w:color w:val="auto"/>
        </w:rPr>
        <w:t>with</w:t>
      </w:r>
      <w:r w:rsidR="0043487D" w:rsidRPr="0009331B">
        <w:rPr>
          <w:color w:val="auto"/>
        </w:rPr>
        <w:t xml:space="preserve"> </w:t>
      </w:r>
      <w:r w:rsidR="0043487D">
        <w:t>bowel obstruction</w:t>
      </w:r>
    </w:p>
    <w:p w:rsidR="00BC52A5" w:rsidRDefault="00BC52A5" w:rsidP="00BC52A5">
      <w:pPr>
        <w:pStyle w:val="Heading1"/>
        <w:pageBreakBefore w:val="0"/>
        <w:numPr>
          <w:ilvl w:val="0"/>
          <w:numId w:val="0"/>
        </w:numPr>
      </w:pPr>
      <w:bookmarkStart w:id="19" w:name="_Toc314223315"/>
      <w:r>
        <w:lastRenderedPageBreak/>
        <w:t>precautions</w:t>
      </w:r>
      <w:bookmarkEnd w:id="19"/>
    </w:p>
    <w:p w:rsidR="00182E8B" w:rsidRPr="006B792B" w:rsidRDefault="00182E8B" w:rsidP="00E34789">
      <w:pPr>
        <w:pStyle w:val="Heading2"/>
        <w:numPr>
          <w:ilvl w:val="0"/>
          <w:numId w:val="0"/>
        </w:numPr>
      </w:pPr>
      <w:r w:rsidRPr="006B792B">
        <w:t>General</w:t>
      </w:r>
    </w:p>
    <w:p w:rsidR="00B91770" w:rsidRPr="007B649A" w:rsidRDefault="00B91770" w:rsidP="00F06AAE">
      <w:pPr>
        <w:jc w:val="both"/>
        <w:rPr>
          <w:color w:val="auto"/>
        </w:rPr>
      </w:pPr>
      <w:r w:rsidRPr="007B649A">
        <w:rPr>
          <w:color w:val="auto"/>
        </w:rPr>
        <w:t xml:space="preserve">The safety and efficacy of </w:t>
      </w:r>
      <w:proofErr w:type="spellStart"/>
      <w:r w:rsidRPr="007B649A">
        <w:rPr>
          <w:color w:val="auto"/>
        </w:rPr>
        <w:t>Renvela</w:t>
      </w:r>
      <w:proofErr w:type="spellEnd"/>
      <w:r w:rsidRPr="007B649A">
        <w:rPr>
          <w:color w:val="auto"/>
        </w:rPr>
        <w:t xml:space="preserve"> have not been established in adult patients with chronic kidney disease not on dialysis with serum phosphorus &lt; 1.78 </w:t>
      </w:r>
      <w:proofErr w:type="spellStart"/>
      <w:r w:rsidRPr="007B649A">
        <w:rPr>
          <w:color w:val="auto"/>
        </w:rPr>
        <w:t>mmol</w:t>
      </w:r>
      <w:proofErr w:type="spellEnd"/>
      <w:r w:rsidRPr="007B649A">
        <w:rPr>
          <w:color w:val="auto"/>
        </w:rPr>
        <w:t>/L.</w:t>
      </w:r>
    </w:p>
    <w:p w:rsidR="00182E8B" w:rsidRDefault="00182E8B" w:rsidP="00F06AAE">
      <w:pPr>
        <w:jc w:val="both"/>
      </w:pPr>
      <w:r>
        <w:t xml:space="preserve">The safety and efficacy of </w:t>
      </w:r>
      <w:proofErr w:type="spellStart"/>
      <w:r w:rsidR="002A168F">
        <w:t>Renvela</w:t>
      </w:r>
      <w:proofErr w:type="spellEnd"/>
      <w:r>
        <w:t xml:space="preserve"> in patients with dysphagia, swallowing disorders, severe gastrointestinal (GI) motility disorders,</w:t>
      </w:r>
      <w:r w:rsidR="002A168F">
        <w:t xml:space="preserve"> severe constipation or major GI tract </w:t>
      </w:r>
      <w:r>
        <w:t xml:space="preserve">surgery have not been established. Consequently, caution should be exercised when </w:t>
      </w:r>
      <w:proofErr w:type="spellStart"/>
      <w:r w:rsidR="002A168F">
        <w:t>Renvela</w:t>
      </w:r>
      <w:proofErr w:type="spellEnd"/>
      <w:r>
        <w:t xml:space="preserve"> is used in patients with these GI disorders.</w:t>
      </w:r>
      <w:r w:rsidR="002A168F">
        <w:t xml:space="preserve"> </w:t>
      </w:r>
    </w:p>
    <w:p w:rsidR="00D057B2" w:rsidRPr="007B649A" w:rsidRDefault="00D057B2" w:rsidP="00D057B2">
      <w:pPr>
        <w:pStyle w:val="Heading3"/>
        <w:numPr>
          <w:ilvl w:val="0"/>
          <w:numId w:val="0"/>
        </w:numPr>
        <w:rPr>
          <w:lang w:val="fr-FR"/>
        </w:rPr>
      </w:pPr>
      <w:r w:rsidRPr="007B649A">
        <w:rPr>
          <w:lang w:val="fr-FR"/>
        </w:rPr>
        <w:t xml:space="preserve">Intestinal obstruction and </w:t>
      </w:r>
      <w:proofErr w:type="spellStart"/>
      <w:r w:rsidRPr="007B649A">
        <w:rPr>
          <w:lang w:val="fr-FR"/>
        </w:rPr>
        <w:t>ileus</w:t>
      </w:r>
      <w:proofErr w:type="spellEnd"/>
      <w:r w:rsidRPr="007B649A">
        <w:rPr>
          <w:lang w:val="fr-FR"/>
        </w:rPr>
        <w:t>/</w:t>
      </w:r>
      <w:proofErr w:type="spellStart"/>
      <w:r w:rsidRPr="007B649A">
        <w:rPr>
          <w:lang w:val="fr-FR"/>
        </w:rPr>
        <w:t>subileus</w:t>
      </w:r>
      <w:proofErr w:type="spellEnd"/>
    </w:p>
    <w:p w:rsidR="00D057B2" w:rsidRPr="007B649A" w:rsidRDefault="00D057B2" w:rsidP="00D057B2">
      <w:pPr>
        <w:rPr>
          <w:iCs/>
          <w:color w:val="auto"/>
          <w:szCs w:val="22"/>
        </w:rPr>
      </w:pPr>
      <w:r w:rsidRPr="007B649A">
        <w:rPr>
          <w:iCs/>
          <w:color w:val="auto"/>
          <w:szCs w:val="22"/>
        </w:rPr>
        <w:t>In very rare cases, intestinal obstruction and ileus/</w:t>
      </w:r>
      <w:proofErr w:type="spellStart"/>
      <w:r w:rsidRPr="007B649A">
        <w:rPr>
          <w:iCs/>
          <w:color w:val="auto"/>
          <w:szCs w:val="22"/>
        </w:rPr>
        <w:t>subileus</w:t>
      </w:r>
      <w:proofErr w:type="spellEnd"/>
      <w:r w:rsidRPr="007B649A">
        <w:rPr>
          <w:iCs/>
          <w:color w:val="auto"/>
          <w:szCs w:val="22"/>
        </w:rPr>
        <w:t xml:space="preserve"> have been observed in patients during treatment with </w:t>
      </w:r>
      <w:proofErr w:type="spellStart"/>
      <w:r w:rsidRPr="007B649A">
        <w:rPr>
          <w:iCs/>
          <w:color w:val="auto"/>
          <w:szCs w:val="22"/>
        </w:rPr>
        <w:t>sevelamer</w:t>
      </w:r>
      <w:proofErr w:type="spellEnd"/>
      <w:r w:rsidRPr="007B649A">
        <w:rPr>
          <w:iCs/>
          <w:color w:val="auto"/>
          <w:szCs w:val="22"/>
        </w:rPr>
        <w:t xml:space="preserve"> hydrochloride, which contains the same active moiety as </w:t>
      </w:r>
      <w:proofErr w:type="spellStart"/>
      <w:r w:rsidRPr="007B649A">
        <w:rPr>
          <w:iCs/>
          <w:color w:val="auto"/>
          <w:szCs w:val="22"/>
        </w:rPr>
        <w:t>sevelamer</w:t>
      </w:r>
      <w:proofErr w:type="spellEnd"/>
      <w:r w:rsidRPr="007B649A">
        <w:rPr>
          <w:iCs/>
          <w:color w:val="auto"/>
          <w:szCs w:val="22"/>
        </w:rPr>
        <w:t xml:space="preserve"> carbonate. Constipation may be a preceding symptom. Patients who are constipated should be monitored carefully while being treated with </w:t>
      </w:r>
      <w:proofErr w:type="spellStart"/>
      <w:r w:rsidRPr="007B649A">
        <w:rPr>
          <w:iCs/>
          <w:color w:val="auto"/>
          <w:szCs w:val="22"/>
        </w:rPr>
        <w:t>Renvela</w:t>
      </w:r>
      <w:proofErr w:type="spellEnd"/>
      <w:r w:rsidRPr="007B649A">
        <w:rPr>
          <w:iCs/>
          <w:color w:val="auto"/>
          <w:szCs w:val="22"/>
        </w:rPr>
        <w:t xml:space="preserve">. </w:t>
      </w:r>
      <w:proofErr w:type="spellStart"/>
      <w:r w:rsidRPr="007B649A">
        <w:rPr>
          <w:iCs/>
          <w:color w:val="auto"/>
          <w:szCs w:val="22"/>
        </w:rPr>
        <w:t>Renvela</w:t>
      </w:r>
      <w:proofErr w:type="spellEnd"/>
      <w:r w:rsidRPr="007B649A">
        <w:rPr>
          <w:iCs/>
          <w:color w:val="auto"/>
          <w:szCs w:val="22"/>
        </w:rPr>
        <w:t xml:space="preserve"> treatment should be re</w:t>
      </w:r>
      <w:r w:rsidRPr="007B649A">
        <w:rPr>
          <w:iCs/>
          <w:color w:val="auto"/>
          <w:szCs w:val="22"/>
        </w:rPr>
        <w:noBreakHyphen/>
        <w:t>evaluated in patients who develop severe constipation or other severe gastrointestinal symptoms.</w:t>
      </w:r>
    </w:p>
    <w:p w:rsidR="0088180E" w:rsidRPr="007B649A" w:rsidRDefault="0088180E" w:rsidP="0088180E">
      <w:pPr>
        <w:pStyle w:val="Heading3"/>
        <w:numPr>
          <w:ilvl w:val="0"/>
          <w:numId w:val="0"/>
        </w:numPr>
      </w:pPr>
      <w:r w:rsidRPr="007B649A">
        <w:t xml:space="preserve">Fat-soluble vitamins </w:t>
      </w:r>
    </w:p>
    <w:p w:rsidR="0088180E" w:rsidRPr="007B649A" w:rsidRDefault="0088180E" w:rsidP="0088180E">
      <w:pPr>
        <w:jc w:val="both"/>
        <w:rPr>
          <w:color w:val="auto"/>
        </w:rPr>
      </w:pPr>
      <w:r w:rsidRPr="007B649A">
        <w:rPr>
          <w:color w:val="auto"/>
        </w:rPr>
        <w:t>Depending on dietary intake and the nature of chronic kidney disease, dialysis patients may develop low vitamin A, D, E and K levels. It</w:t>
      </w:r>
      <w:r w:rsidRPr="007B649A">
        <w:rPr>
          <w:b/>
          <w:bCs/>
          <w:color w:val="auto"/>
        </w:rPr>
        <w:t xml:space="preserve"> </w:t>
      </w:r>
      <w:r w:rsidRPr="007B649A">
        <w:rPr>
          <w:color w:val="auto"/>
        </w:rPr>
        <w:t xml:space="preserve">cannot be excluded that </w:t>
      </w:r>
      <w:proofErr w:type="spellStart"/>
      <w:r w:rsidRPr="007B649A">
        <w:rPr>
          <w:color w:val="auto"/>
        </w:rPr>
        <w:t>Renvela</w:t>
      </w:r>
      <w:proofErr w:type="spellEnd"/>
      <w:r w:rsidRPr="007B649A">
        <w:rPr>
          <w:color w:val="auto"/>
        </w:rPr>
        <w:t xml:space="preserve"> can bind fat</w:t>
      </w:r>
      <w:r w:rsidRPr="007B649A">
        <w:rPr>
          <w:color w:val="auto"/>
        </w:rPr>
        <w:noBreakHyphen/>
        <w:t>soluble vitamins contained in ingested food</w:t>
      </w:r>
      <w:r w:rsidRPr="007B649A">
        <w:rPr>
          <w:b/>
          <w:bCs/>
          <w:color w:val="auto"/>
        </w:rPr>
        <w:t>.</w:t>
      </w:r>
      <w:r w:rsidRPr="007B649A">
        <w:rPr>
          <w:color w:val="auto"/>
        </w:rPr>
        <w:t xml:space="preserve"> Therefore, in patients not taking these vitamins, monitoring vitamin A, D and E levels and assessing vitamin K status through the measurement of thromboplastin time should be considered and these vitamins should be supplemented if necessary. In patients undergoing peritoneal dialysis additional monitoring of fat-soluble vitamins and folic acid is recommended, since vitamin A, D, E and K levels were not measured in a clinical study in these patients.</w:t>
      </w:r>
    </w:p>
    <w:p w:rsidR="0088180E" w:rsidRPr="007B649A" w:rsidRDefault="0088180E" w:rsidP="0088180E">
      <w:pPr>
        <w:jc w:val="both"/>
        <w:rPr>
          <w:color w:val="auto"/>
        </w:rPr>
      </w:pPr>
      <w:r w:rsidRPr="00F81D35">
        <w:t xml:space="preserve">In clinical trials, there was no evidence of reduction in serum levels of vitamins with the exception of a one year clinical trial in which </w:t>
      </w:r>
      <w:proofErr w:type="spellStart"/>
      <w:r>
        <w:t>Renagel</w:t>
      </w:r>
      <w:proofErr w:type="spellEnd"/>
      <w:r w:rsidRPr="00F81D35">
        <w:t xml:space="preserve"> treatment was associated with reduction of 25 - </w:t>
      </w:r>
      <w:proofErr w:type="spellStart"/>
      <w:r w:rsidRPr="00F81D35">
        <w:t>hydroxyvitamin</w:t>
      </w:r>
      <w:proofErr w:type="spellEnd"/>
      <w:r w:rsidRPr="00F81D35">
        <w:t xml:space="preserve"> D (normal range 10 to 55 µg/mL) from 39± 22 µg/mL to 34± 22 </w:t>
      </w:r>
      <w:proofErr w:type="spellStart"/>
      <w:r w:rsidRPr="00F81D35">
        <w:t>μg</w:t>
      </w:r>
      <w:proofErr w:type="spellEnd"/>
      <w:r w:rsidRPr="00F81D35">
        <w:t xml:space="preserve">/mL (p&lt;0.01).  Most patients in </w:t>
      </w:r>
      <w:proofErr w:type="spellStart"/>
      <w:r>
        <w:t>Renagel</w:t>
      </w:r>
      <w:proofErr w:type="spellEnd"/>
      <w:r w:rsidRPr="00F81D35">
        <w:t xml:space="preserve"> clinical trials received vitamin supplements, which is typical of patients on </w:t>
      </w:r>
      <w:proofErr w:type="spellStart"/>
      <w:r w:rsidRPr="00F81D35">
        <w:t>haemodialysis</w:t>
      </w:r>
      <w:proofErr w:type="spellEnd"/>
      <w:r w:rsidRPr="00F81D35">
        <w:t xml:space="preserve">.  Indirect evidence of a reduction in vitamin K levels (an increase in </w:t>
      </w:r>
      <w:proofErr w:type="spellStart"/>
      <w:r w:rsidRPr="007B649A">
        <w:rPr>
          <w:color w:val="auto"/>
        </w:rPr>
        <w:t>haemorrhage</w:t>
      </w:r>
      <w:proofErr w:type="spellEnd"/>
      <w:r w:rsidRPr="007B649A">
        <w:rPr>
          <w:color w:val="auto"/>
        </w:rPr>
        <w:t xml:space="preserve"> corrected by vitamin K supplementation) was also seen in animals. </w:t>
      </w:r>
    </w:p>
    <w:p w:rsidR="00E46603" w:rsidRPr="007B649A" w:rsidRDefault="00E46603" w:rsidP="00E46603">
      <w:pPr>
        <w:jc w:val="both"/>
        <w:rPr>
          <w:rFonts w:ascii="Arial" w:eastAsia="MS Gothic" w:hAnsi="Arial" w:cs="Arial"/>
          <w:b/>
          <w:color w:val="auto"/>
          <w:kern w:val="32"/>
          <w:sz w:val="22"/>
          <w:szCs w:val="26"/>
        </w:rPr>
      </w:pPr>
      <w:r w:rsidRPr="007B649A">
        <w:rPr>
          <w:rFonts w:ascii="Arial" w:eastAsia="MS Gothic" w:hAnsi="Arial" w:cs="Arial"/>
          <w:b/>
          <w:color w:val="auto"/>
          <w:kern w:val="32"/>
          <w:sz w:val="22"/>
          <w:szCs w:val="26"/>
        </w:rPr>
        <w:t>Folate deficiency</w:t>
      </w:r>
    </w:p>
    <w:p w:rsidR="00E46603" w:rsidRPr="007B649A" w:rsidRDefault="00E46603" w:rsidP="00E46603">
      <w:pPr>
        <w:jc w:val="both"/>
        <w:rPr>
          <w:color w:val="auto"/>
        </w:rPr>
      </w:pPr>
      <w:r w:rsidRPr="007B649A">
        <w:rPr>
          <w:color w:val="auto"/>
        </w:rPr>
        <w:t xml:space="preserve">There is at present insufficient data to exclude the possibility of folate deficiency during long term </w:t>
      </w:r>
      <w:proofErr w:type="spellStart"/>
      <w:r w:rsidRPr="007B649A">
        <w:rPr>
          <w:color w:val="auto"/>
        </w:rPr>
        <w:t>Renvela</w:t>
      </w:r>
      <w:proofErr w:type="spellEnd"/>
      <w:r w:rsidRPr="007B649A">
        <w:rPr>
          <w:color w:val="auto"/>
        </w:rPr>
        <w:t xml:space="preserve"> treatment.</w:t>
      </w:r>
    </w:p>
    <w:p w:rsidR="00D057B2" w:rsidRPr="007B649A" w:rsidRDefault="00D057B2" w:rsidP="00D057B2">
      <w:pPr>
        <w:pStyle w:val="Heading3"/>
        <w:numPr>
          <w:ilvl w:val="0"/>
          <w:numId w:val="0"/>
        </w:numPr>
      </w:pPr>
      <w:r w:rsidRPr="007B649A">
        <w:lastRenderedPageBreak/>
        <w:t xml:space="preserve">Swallowing and choking difficulties </w:t>
      </w:r>
    </w:p>
    <w:p w:rsidR="00984A4B" w:rsidRPr="007B649A" w:rsidRDefault="00984A4B" w:rsidP="00F06AAE">
      <w:pPr>
        <w:jc w:val="both"/>
        <w:rPr>
          <w:color w:val="auto"/>
        </w:rPr>
      </w:pPr>
      <w:r w:rsidRPr="007B649A">
        <w:rPr>
          <w:color w:val="auto"/>
        </w:rPr>
        <w:t xml:space="preserve">Uncommon case reports of </w:t>
      </w:r>
      <w:r w:rsidR="002A168F" w:rsidRPr="007B649A">
        <w:rPr>
          <w:color w:val="auto"/>
        </w:rPr>
        <w:t xml:space="preserve">difficulty swallowing the </w:t>
      </w:r>
      <w:proofErr w:type="spellStart"/>
      <w:r w:rsidR="002A168F" w:rsidRPr="007B649A">
        <w:rPr>
          <w:color w:val="auto"/>
        </w:rPr>
        <w:t>Renvela</w:t>
      </w:r>
      <w:proofErr w:type="spellEnd"/>
      <w:r w:rsidRPr="007B649A">
        <w:rPr>
          <w:color w:val="auto"/>
        </w:rPr>
        <w:t xml:space="preserve"> tablet have been reported. Many of these cases involved patients with contributing co-morbid conditions affecting the ability to swallow including swallowing disorders or </w:t>
      </w:r>
      <w:proofErr w:type="spellStart"/>
      <w:r w:rsidRPr="007B649A">
        <w:rPr>
          <w:color w:val="auto"/>
        </w:rPr>
        <w:t>oro</w:t>
      </w:r>
      <w:proofErr w:type="spellEnd"/>
      <w:r w:rsidR="00A526BA" w:rsidRPr="007B649A">
        <w:rPr>
          <w:color w:val="auto"/>
        </w:rPr>
        <w:t>-</w:t>
      </w:r>
      <w:r w:rsidRPr="007B649A">
        <w:rPr>
          <w:color w:val="auto"/>
        </w:rPr>
        <w:t xml:space="preserve">esophageal abnormalities. Caution </w:t>
      </w:r>
      <w:r w:rsidR="002A168F" w:rsidRPr="007B649A">
        <w:rPr>
          <w:color w:val="auto"/>
        </w:rPr>
        <w:t xml:space="preserve">should be exercised when </w:t>
      </w:r>
      <w:proofErr w:type="spellStart"/>
      <w:r w:rsidR="002A168F" w:rsidRPr="007B649A">
        <w:rPr>
          <w:color w:val="auto"/>
        </w:rPr>
        <w:t>Renvela</w:t>
      </w:r>
      <w:proofErr w:type="spellEnd"/>
      <w:r w:rsidRPr="007B649A">
        <w:rPr>
          <w:color w:val="auto"/>
        </w:rPr>
        <w:t xml:space="preserve"> tablets are used in these patients. </w:t>
      </w:r>
      <w:r w:rsidR="002A168F" w:rsidRPr="007B649A">
        <w:rPr>
          <w:color w:val="auto"/>
        </w:rPr>
        <w:t xml:space="preserve"> Consider using </w:t>
      </w:r>
      <w:proofErr w:type="spellStart"/>
      <w:r w:rsidR="002A168F" w:rsidRPr="007B649A">
        <w:rPr>
          <w:color w:val="auto"/>
        </w:rPr>
        <w:t>Renvela</w:t>
      </w:r>
      <w:proofErr w:type="spellEnd"/>
      <w:r w:rsidR="002A168F" w:rsidRPr="007B649A">
        <w:rPr>
          <w:color w:val="auto"/>
        </w:rPr>
        <w:t xml:space="preserve"> powder for oral suspension in patients with a history of difficulty swallowing.</w:t>
      </w:r>
    </w:p>
    <w:p w:rsidR="00D057B2" w:rsidRPr="007B649A" w:rsidRDefault="00D057B2" w:rsidP="00D057B2">
      <w:pPr>
        <w:pStyle w:val="Heading3"/>
        <w:numPr>
          <w:ilvl w:val="0"/>
          <w:numId w:val="0"/>
        </w:numPr>
      </w:pPr>
      <w:r w:rsidRPr="007B649A">
        <w:t>Hypocalcaemia/</w:t>
      </w:r>
      <w:proofErr w:type="spellStart"/>
      <w:r w:rsidRPr="007B649A">
        <w:t>hypercalcaemia</w:t>
      </w:r>
      <w:proofErr w:type="spellEnd"/>
    </w:p>
    <w:p w:rsidR="00182E8B" w:rsidRPr="007B649A" w:rsidRDefault="00182E8B" w:rsidP="00F06AAE">
      <w:pPr>
        <w:jc w:val="both"/>
        <w:rPr>
          <w:color w:val="auto"/>
        </w:rPr>
      </w:pPr>
      <w:r w:rsidRPr="007B649A">
        <w:rPr>
          <w:color w:val="auto"/>
        </w:rPr>
        <w:t xml:space="preserve">Patients with </w:t>
      </w:r>
      <w:r w:rsidR="00B33846" w:rsidRPr="007B649A">
        <w:rPr>
          <w:color w:val="auto"/>
        </w:rPr>
        <w:t>CKD</w:t>
      </w:r>
      <w:r w:rsidRPr="007B649A">
        <w:rPr>
          <w:color w:val="auto"/>
        </w:rPr>
        <w:t xml:space="preserve"> may develop hypocalcaemia or </w:t>
      </w:r>
      <w:proofErr w:type="spellStart"/>
      <w:r w:rsidRPr="007B649A">
        <w:rPr>
          <w:color w:val="auto"/>
        </w:rPr>
        <w:t>hypercalcaemia</w:t>
      </w:r>
      <w:proofErr w:type="spellEnd"/>
      <w:r w:rsidRPr="007B649A">
        <w:rPr>
          <w:color w:val="auto"/>
        </w:rPr>
        <w:t xml:space="preserve">. </w:t>
      </w:r>
      <w:proofErr w:type="spellStart"/>
      <w:r w:rsidR="002A168F" w:rsidRPr="007B649A">
        <w:rPr>
          <w:color w:val="auto"/>
        </w:rPr>
        <w:t>Renvela</w:t>
      </w:r>
      <w:proofErr w:type="spellEnd"/>
      <w:r w:rsidRPr="007B649A">
        <w:rPr>
          <w:color w:val="auto"/>
        </w:rPr>
        <w:t xml:space="preserve"> does not contain calcium. Serum calcium levels should be monitored</w:t>
      </w:r>
      <w:r w:rsidR="00FE5EE5" w:rsidRPr="007B649A">
        <w:rPr>
          <w:color w:val="auto"/>
        </w:rPr>
        <w:t xml:space="preserve"> and</w:t>
      </w:r>
      <w:r w:rsidRPr="007B649A">
        <w:rPr>
          <w:color w:val="auto"/>
        </w:rPr>
        <w:t xml:space="preserve"> </w:t>
      </w:r>
      <w:r w:rsidR="00FE5EE5" w:rsidRPr="007B649A">
        <w:rPr>
          <w:color w:val="auto"/>
        </w:rPr>
        <w:t>e</w:t>
      </w:r>
      <w:r w:rsidRPr="007B649A">
        <w:rPr>
          <w:color w:val="auto"/>
        </w:rPr>
        <w:t>lemental calcium should be given as a supplement in case of hypocalcaemia.</w:t>
      </w:r>
    </w:p>
    <w:p w:rsidR="00D057B2" w:rsidRPr="007B649A" w:rsidRDefault="00D057B2" w:rsidP="00D057B2">
      <w:pPr>
        <w:pStyle w:val="Heading3"/>
        <w:numPr>
          <w:ilvl w:val="0"/>
          <w:numId w:val="0"/>
        </w:numPr>
      </w:pPr>
      <w:r w:rsidRPr="007B649A">
        <w:t>Metabolic acidosis</w:t>
      </w:r>
    </w:p>
    <w:p w:rsidR="00DD4E63" w:rsidRPr="007B649A" w:rsidRDefault="00182E8B" w:rsidP="00F06AAE">
      <w:pPr>
        <w:jc w:val="both"/>
        <w:rPr>
          <w:color w:val="auto"/>
        </w:rPr>
      </w:pPr>
      <w:r w:rsidRPr="007B649A">
        <w:rPr>
          <w:color w:val="auto"/>
        </w:rPr>
        <w:t>Patients with chronic kidney disease are pre</w:t>
      </w:r>
      <w:r w:rsidR="00CD21FC">
        <w:rPr>
          <w:color w:val="auto"/>
        </w:rPr>
        <w:t xml:space="preserve">disposed to metabolic acidosis. </w:t>
      </w:r>
      <w:r w:rsidR="00FE5EE5" w:rsidRPr="007B649A">
        <w:rPr>
          <w:color w:val="auto"/>
        </w:rPr>
        <w:t>As part of good clinical practice, monitoring of serum bicarbonate levels is therefore recommended.</w:t>
      </w:r>
    </w:p>
    <w:p w:rsidR="0088180E" w:rsidRPr="007B649A" w:rsidRDefault="0088180E" w:rsidP="0088180E">
      <w:pPr>
        <w:jc w:val="both"/>
        <w:rPr>
          <w:color w:val="auto"/>
        </w:rPr>
      </w:pPr>
      <w:r w:rsidRPr="007B649A">
        <w:rPr>
          <w:rFonts w:ascii="Arial" w:eastAsia="MS Gothic" w:hAnsi="Arial" w:cs="Arial"/>
          <w:b/>
          <w:color w:val="auto"/>
          <w:kern w:val="32"/>
          <w:sz w:val="22"/>
          <w:szCs w:val="26"/>
        </w:rPr>
        <w:t>Peritonitis</w:t>
      </w:r>
    </w:p>
    <w:p w:rsidR="0088180E" w:rsidRPr="007B649A" w:rsidRDefault="0088180E" w:rsidP="0088180E">
      <w:pPr>
        <w:jc w:val="both"/>
        <w:rPr>
          <w:color w:val="auto"/>
        </w:rPr>
      </w:pPr>
      <w:r w:rsidRPr="007B649A">
        <w:rPr>
          <w:color w:val="auto"/>
        </w:rPr>
        <w:t xml:space="preserve">Patients receiving dialysis are subject to certain risks for infection specific to dialysis modality. Peritonitis is a known complication in patients receiving peritoneal dialysis and in a clinical study with </w:t>
      </w:r>
      <w:proofErr w:type="spellStart"/>
      <w:r w:rsidRPr="007B649A">
        <w:rPr>
          <w:color w:val="auto"/>
        </w:rPr>
        <w:t>sevelamer</w:t>
      </w:r>
      <w:proofErr w:type="spellEnd"/>
      <w:r w:rsidRPr="007B649A">
        <w:rPr>
          <w:color w:val="auto"/>
        </w:rPr>
        <w:t xml:space="preserve"> hydrochloride, a greater number of peritonitis cases were reported in the</w:t>
      </w:r>
      <w:r w:rsidRPr="0088180E">
        <w:rPr>
          <w:color w:val="0000FF"/>
          <w:u w:val="double"/>
        </w:rPr>
        <w:t xml:space="preserve"> </w:t>
      </w:r>
      <w:proofErr w:type="spellStart"/>
      <w:r w:rsidRPr="007B649A">
        <w:rPr>
          <w:color w:val="auto"/>
        </w:rPr>
        <w:t>sevelamer</w:t>
      </w:r>
      <w:proofErr w:type="spellEnd"/>
      <w:r w:rsidRPr="007B649A">
        <w:rPr>
          <w:color w:val="auto"/>
        </w:rPr>
        <w:t xml:space="preserve"> group than in the control group. Patients on peritoneal dialysis should be closely monitored to ensure the correct use of appropriate aseptic technique with the prompt recognition and management of any signs and symptoms associated with peritonitis.</w:t>
      </w:r>
    </w:p>
    <w:p w:rsidR="0088180E" w:rsidRPr="007B649A" w:rsidRDefault="0088180E" w:rsidP="0088180E">
      <w:pPr>
        <w:jc w:val="both"/>
        <w:rPr>
          <w:rFonts w:ascii="Arial" w:eastAsia="MS Gothic" w:hAnsi="Arial" w:cs="Arial"/>
          <w:b/>
          <w:color w:val="auto"/>
          <w:kern w:val="32"/>
          <w:sz w:val="22"/>
          <w:szCs w:val="26"/>
        </w:rPr>
      </w:pPr>
      <w:r w:rsidRPr="007B649A">
        <w:rPr>
          <w:rFonts w:ascii="Arial" w:eastAsia="MS Gothic" w:hAnsi="Arial" w:cs="Arial"/>
          <w:b/>
          <w:color w:val="auto"/>
          <w:kern w:val="32"/>
          <w:sz w:val="22"/>
          <w:szCs w:val="26"/>
        </w:rPr>
        <w:t>Anti</w:t>
      </w:r>
      <w:r w:rsidRPr="007B649A">
        <w:rPr>
          <w:rFonts w:ascii="Arial" w:eastAsia="MS Gothic" w:hAnsi="Arial" w:cs="Arial"/>
          <w:b/>
          <w:color w:val="auto"/>
          <w:kern w:val="32"/>
          <w:sz w:val="22"/>
          <w:szCs w:val="26"/>
        </w:rPr>
        <w:noBreakHyphen/>
        <w:t>arrhythmic and anti</w:t>
      </w:r>
      <w:r w:rsidRPr="007B649A">
        <w:rPr>
          <w:rFonts w:ascii="Arial" w:eastAsia="MS Gothic" w:hAnsi="Arial" w:cs="Arial"/>
          <w:b/>
          <w:color w:val="auto"/>
          <w:kern w:val="32"/>
          <w:sz w:val="22"/>
          <w:szCs w:val="26"/>
        </w:rPr>
        <w:noBreakHyphen/>
        <w:t>seizure medicinal products</w:t>
      </w:r>
    </w:p>
    <w:p w:rsidR="0088180E" w:rsidRPr="007B649A" w:rsidRDefault="0088180E" w:rsidP="0088180E">
      <w:pPr>
        <w:jc w:val="both"/>
        <w:rPr>
          <w:color w:val="auto"/>
        </w:rPr>
      </w:pPr>
      <w:r w:rsidRPr="007B649A">
        <w:rPr>
          <w:color w:val="auto"/>
        </w:rPr>
        <w:t xml:space="preserve">Caution should be exercised when prescribing </w:t>
      </w:r>
      <w:proofErr w:type="spellStart"/>
      <w:r w:rsidRPr="007B649A">
        <w:rPr>
          <w:color w:val="auto"/>
        </w:rPr>
        <w:t>Renve</w:t>
      </w:r>
      <w:r w:rsidR="00880989">
        <w:rPr>
          <w:color w:val="auto"/>
        </w:rPr>
        <w:t>la</w:t>
      </w:r>
      <w:proofErr w:type="spellEnd"/>
      <w:r w:rsidR="00880989">
        <w:rPr>
          <w:color w:val="auto"/>
        </w:rPr>
        <w:t xml:space="preserve"> to patients also taking anti</w:t>
      </w:r>
      <w:r w:rsidRPr="007B649A">
        <w:rPr>
          <w:color w:val="auto"/>
        </w:rPr>
        <w:t>arrhythmi</w:t>
      </w:r>
      <w:r w:rsidR="00F27484" w:rsidRPr="0009331B">
        <w:rPr>
          <w:color w:val="auto"/>
        </w:rPr>
        <w:t>c</w:t>
      </w:r>
      <w:r w:rsidRPr="0009331B">
        <w:rPr>
          <w:color w:val="auto"/>
        </w:rPr>
        <w:t xml:space="preserve"> </w:t>
      </w:r>
      <w:r w:rsidRPr="007B649A">
        <w:rPr>
          <w:color w:val="auto"/>
        </w:rPr>
        <w:t>and anti</w:t>
      </w:r>
      <w:r w:rsidRPr="007B649A">
        <w:rPr>
          <w:color w:val="auto"/>
        </w:rPr>
        <w:noBreakHyphen/>
        <w:t>seizure medicinal products (see INTERACTIONS WITH OTHER MEDICINES).</w:t>
      </w:r>
      <w:r w:rsidR="00F27484">
        <w:rPr>
          <w:color w:val="auto"/>
        </w:rPr>
        <w:t xml:space="preserve"> </w:t>
      </w:r>
    </w:p>
    <w:p w:rsidR="0088180E" w:rsidRPr="007B649A" w:rsidRDefault="0088180E" w:rsidP="0088180E">
      <w:pPr>
        <w:jc w:val="both"/>
        <w:rPr>
          <w:rFonts w:ascii="Arial" w:eastAsia="MS Gothic" w:hAnsi="Arial" w:cs="Arial"/>
          <w:b/>
          <w:color w:val="auto"/>
          <w:kern w:val="32"/>
          <w:sz w:val="22"/>
          <w:szCs w:val="26"/>
        </w:rPr>
      </w:pPr>
      <w:r w:rsidRPr="007B649A">
        <w:rPr>
          <w:rFonts w:ascii="Arial" w:eastAsia="MS Gothic" w:hAnsi="Arial" w:cs="Arial"/>
          <w:b/>
          <w:color w:val="auto"/>
          <w:kern w:val="32"/>
          <w:sz w:val="22"/>
          <w:szCs w:val="26"/>
        </w:rPr>
        <w:t>Hypothyroidism</w:t>
      </w:r>
    </w:p>
    <w:p w:rsidR="0088180E" w:rsidRPr="007B649A" w:rsidRDefault="0088180E" w:rsidP="0088180E">
      <w:pPr>
        <w:jc w:val="both"/>
        <w:rPr>
          <w:color w:val="auto"/>
        </w:rPr>
      </w:pPr>
      <w:r w:rsidRPr="007B649A">
        <w:rPr>
          <w:color w:val="auto"/>
        </w:rPr>
        <w:t xml:space="preserve">Closer monitoring of patients with hypothyroidism co-administered with </w:t>
      </w:r>
      <w:proofErr w:type="spellStart"/>
      <w:r w:rsidRPr="007B649A">
        <w:rPr>
          <w:color w:val="auto"/>
        </w:rPr>
        <w:t>sevelamer</w:t>
      </w:r>
      <w:proofErr w:type="spellEnd"/>
      <w:r w:rsidRPr="007B649A">
        <w:rPr>
          <w:color w:val="auto"/>
        </w:rPr>
        <w:t xml:space="preserve"> carbonate and </w:t>
      </w:r>
      <w:r w:rsidR="00AA33C2" w:rsidRPr="007B649A">
        <w:rPr>
          <w:color w:val="auto"/>
        </w:rPr>
        <w:t>levoth</w:t>
      </w:r>
      <w:r w:rsidRPr="007B649A">
        <w:rPr>
          <w:color w:val="auto"/>
        </w:rPr>
        <w:t>yroxine is recommended (see INTERACTIONS WITH OTHER MEDICINES).</w:t>
      </w:r>
    </w:p>
    <w:p w:rsidR="0088180E" w:rsidRPr="007B649A" w:rsidRDefault="0088180E" w:rsidP="0088180E">
      <w:pPr>
        <w:jc w:val="both"/>
        <w:rPr>
          <w:rFonts w:ascii="Arial" w:eastAsia="MS Gothic" w:hAnsi="Arial" w:cs="Arial"/>
          <w:b/>
          <w:color w:val="auto"/>
          <w:kern w:val="32"/>
          <w:sz w:val="22"/>
          <w:szCs w:val="26"/>
        </w:rPr>
      </w:pPr>
      <w:r w:rsidRPr="007B649A">
        <w:rPr>
          <w:rFonts w:ascii="Arial" w:eastAsia="MS Gothic" w:hAnsi="Arial" w:cs="Arial"/>
          <w:b/>
          <w:color w:val="auto"/>
          <w:kern w:val="32"/>
          <w:sz w:val="22"/>
          <w:szCs w:val="26"/>
        </w:rPr>
        <w:t>Hyperparathyroidism</w:t>
      </w:r>
    </w:p>
    <w:p w:rsidR="0088180E" w:rsidRPr="007B649A" w:rsidRDefault="0088180E" w:rsidP="0088180E">
      <w:pPr>
        <w:jc w:val="both"/>
        <w:rPr>
          <w:color w:val="auto"/>
        </w:rPr>
      </w:pPr>
      <w:proofErr w:type="spellStart"/>
      <w:r w:rsidRPr="007B649A">
        <w:rPr>
          <w:color w:val="auto"/>
        </w:rPr>
        <w:t>Renvela</w:t>
      </w:r>
      <w:proofErr w:type="spellEnd"/>
      <w:r w:rsidRPr="007B649A">
        <w:rPr>
          <w:color w:val="auto"/>
        </w:rPr>
        <w:t xml:space="preserve"> is not indicated for the control of hyperparathyroidism. In patients with secondary hyperparathyroidism </w:t>
      </w:r>
      <w:proofErr w:type="spellStart"/>
      <w:r w:rsidRPr="007B649A">
        <w:rPr>
          <w:color w:val="auto"/>
        </w:rPr>
        <w:t>Renvela</w:t>
      </w:r>
      <w:proofErr w:type="spellEnd"/>
      <w:r w:rsidRPr="007B649A">
        <w:rPr>
          <w:color w:val="auto"/>
        </w:rPr>
        <w:t xml:space="preserve"> should be used within the context of a multiple therapeutic approach, which could include calcium as supplements, 1,25 - </w:t>
      </w:r>
      <w:proofErr w:type="spellStart"/>
      <w:r w:rsidRPr="007B649A">
        <w:rPr>
          <w:color w:val="auto"/>
        </w:rPr>
        <w:t>dihydroxy</w:t>
      </w:r>
      <w:proofErr w:type="spellEnd"/>
      <w:r w:rsidRPr="007B649A">
        <w:rPr>
          <w:color w:val="auto"/>
        </w:rPr>
        <w:t xml:space="preserve"> Vitamin D3 or one of its analogues to lower the intact parathyroid hormone (</w:t>
      </w:r>
      <w:proofErr w:type="spellStart"/>
      <w:r w:rsidRPr="007B649A">
        <w:rPr>
          <w:color w:val="auto"/>
        </w:rPr>
        <w:t>iPTH</w:t>
      </w:r>
      <w:proofErr w:type="spellEnd"/>
      <w:r w:rsidRPr="007B649A">
        <w:rPr>
          <w:color w:val="auto"/>
        </w:rPr>
        <w:t>) levels.</w:t>
      </w:r>
    </w:p>
    <w:p w:rsidR="00BC52A5" w:rsidRPr="007B649A" w:rsidRDefault="00BC52A5" w:rsidP="00BC52A5">
      <w:pPr>
        <w:pStyle w:val="Heading2"/>
        <w:numPr>
          <w:ilvl w:val="0"/>
          <w:numId w:val="0"/>
        </w:numPr>
      </w:pPr>
      <w:bookmarkStart w:id="20" w:name="_Toc314223316"/>
      <w:r w:rsidRPr="007B649A">
        <w:lastRenderedPageBreak/>
        <w:t>Effects on Fertility</w:t>
      </w:r>
      <w:bookmarkEnd w:id="20"/>
    </w:p>
    <w:p w:rsidR="003020BF" w:rsidRDefault="00D73FB2" w:rsidP="00F06AAE">
      <w:pPr>
        <w:jc w:val="both"/>
        <w:rPr>
          <w:strike/>
          <w:color w:val="FF0000"/>
        </w:rPr>
      </w:pPr>
      <w:r w:rsidRPr="007B649A">
        <w:rPr>
          <w:color w:val="auto"/>
        </w:rPr>
        <w:t xml:space="preserve">There are </w:t>
      </w:r>
      <w:r w:rsidRPr="009B0651">
        <w:rPr>
          <w:color w:val="auto"/>
        </w:rPr>
        <w:t xml:space="preserve">no data from the effect of </w:t>
      </w:r>
      <w:proofErr w:type="spellStart"/>
      <w:r w:rsidRPr="009B0651">
        <w:rPr>
          <w:color w:val="auto"/>
        </w:rPr>
        <w:t>sevelamer</w:t>
      </w:r>
      <w:proofErr w:type="spellEnd"/>
      <w:r w:rsidRPr="009B0651">
        <w:rPr>
          <w:color w:val="auto"/>
        </w:rPr>
        <w:t xml:space="preserve"> on fertility in humans.</w:t>
      </w:r>
      <w:r w:rsidR="00855D09" w:rsidRPr="009B0651">
        <w:rPr>
          <w:color w:val="auto"/>
        </w:rPr>
        <w:t xml:space="preserve"> </w:t>
      </w:r>
      <w:proofErr w:type="spellStart"/>
      <w:r w:rsidR="00CB4322" w:rsidRPr="009B0651">
        <w:rPr>
          <w:color w:val="auto"/>
        </w:rPr>
        <w:t>Sevelamer</w:t>
      </w:r>
      <w:proofErr w:type="spellEnd"/>
      <w:r w:rsidR="00CB4322" w:rsidRPr="009B0651">
        <w:rPr>
          <w:color w:val="auto"/>
        </w:rPr>
        <w:t xml:space="preserve"> hydrochloride administered orally to male and female rats prior to and throughout mating, at doses up to 4.5 g/kg/day (more than 15 times the maximum tested human dose on a mg/kg basis for a 50 kg person) did not alter mating or fertility.</w:t>
      </w:r>
      <w:r w:rsidR="00CB4322">
        <w:rPr>
          <w:color w:val="auto"/>
        </w:rPr>
        <w:t xml:space="preserve"> </w:t>
      </w:r>
    </w:p>
    <w:p w:rsidR="005D066F" w:rsidRPr="005D066F" w:rsidRDefault="005D066F" w:rsidP="005D066F">
      <w:pPr>
        <w:rPr>
          <w:i/>
        </w:rPr>
      </w:pPr>
      <w:r w:rsidRPr="005D066F">
        <w:rPr>
          <w:i/>
          <w:color w:val="00B050"/>
        </w:rPr>
        <w:t>.</w:t>
      </w:r>
    </w:p>
    <w:p w:rsidR="00BC52A5" w:rsidRPr="007B649A" w:rsidRDefault="00BC52A5" w:rsidP="00BC52A5">
      <w:pPr>
        <w:pStyle w:val="Heading2"/>
        <w:numPr>
          <w:ilvl w:val="0"/>
          <w:numId w:val="0"/>
        </w:numPr>
      </w:pPr>
      <w:bookmarkStart w:id="21" w:name="_Toc314223317"/>
      <w:r w:rsidRPr="007B649A">
        <w:t xml:space="preserve">use in pregnancy (Category </w:t>
      </w:r>
      <w:r w:rsidR="00471BB9" w:rsidRPr="007B649A">
        <w:t>B3</w:t>
      </w:r>
      <w:r w:rsidRPr="007B649A">
        <w:t>)</w:t>
      </w:r>
      <w:bookmarkEnd w:id="21"/>
    </w:p>
    <w:p w:rsidR="00106A31" w:rsidRPr="007B649A" w:rsidRDefault="00106A31" w:rsidP="00106A31">
      <w:pPr>
        <w:rPr>
          <w:color w:val="auto"/>
        </w:rPr>
      </w:pPr>
      <w:r w:rsidRPr="007B649A">
        <w:rPr>
          <w:color w:val="auto"/>
        </w:rPr>
        <w:t xml:space="preserve">The safety of </w:t>
      </w:r>
      <w:proofErr w:type="spellStart"/>
      <w:r w:rsidRPr="007B649A">
        <w:rPr>
          <w:color w:val="auto"/>
        </w:rPr>
        <w:t>Renvela</w:t>
      </w:r>
      <w:proofErr w:type="spellEnd"/>
      <w:r w:rsidRPr="007B649A">
        <w:rPr>
          <w:color w:val="auto"/>
        </w:rPr>
        <w:t xml:space="preserve"> has not been established in pregnant or lactating women. </w:t>
      </w:r>
      <w:proofErr w:type="spellStart"/>
      <w:r w:rsidRPr="007B649A">
        <w:rPr>
          <w:color w:val="auto"/>
        </w:rPr>
        <w:t>Renvela</w:t>
      </w:r>
      <w:proofErr w:type="spellEnd"/>
      <w:r w:rsidRPr="007B649A">
        <w:rPr>
          <w:color w:val="auto"/>
        </w:rPr>
        <w:t xml:space="preserve"> should only be given to pregnant or lactating women if clearly needed and after careful risk/benefit analysis has been conducted for both the mother and </w:t>
      </w:r>
      <w:proofErr w:type="spellStart"/>
      <w:r w:rsidRPr="007B649A">
        <w:rPr>
          <w:color w:val="auto"/>
        </w:rPr>
        <w:t>f</w:t>
      </w:r>
      <w:r w:rsidR="00A526BA" w:rsidRPr="007B649A">
        <w:rPr>
          <w:color w:val="auto"/>
        </w:rPr>
        <w:t>o</w:t>
      </w:r>
      <w:r w:rsidRPr="007B649A">
        <w:rPr>
          <w:color w:val="auto"/>
        </w:rPr>
        <w:t>etus</w:t>
      </w:r>
      <w:proofErr w:type="spellEnd"/>
      <w:r w:rsidRPr="007B649A">
        <w:rPr>
          <w:color w:val="auto"/>
        </w:rPr>
        <w:t xml:space="preserve"> or infant.</w:t>
      </w:r>
    </w:p>
    <w:p w:rsidR="003753D3" w:rsidRPr="007B649A" w:rsidRDefault="003753D3" w:rsidP="00106A31">
      <w:pPr>
        <w:rPr>
          <w:color w:val="auto"/>
        </w:rPr>
      </w:pPr>
      <w:r w:rsidRPr="007B649A">
        <w:rPr>
          <w:color w:val="auto"/>
        </w:rPr>
        <w:t xml:space="preserve">Studies in animals have shown minimal reproductive toxicity when </w:t>
      </w:r>
      <w:proofErr w:type="spellStart"/>
      <w:r w:rsidRPr="007B649A">
        <w:rPr>
          <w:color w:val="auto"/>
        </w:rPr>
        <w:t>sevelamer</w:t>
      </w:r>
      <w:proofErr w:type="spellEnd"/>
      <w:r w:rsidRPr="007B649A">
        <w:rPr>
          <w:color w:val="auto"/>
        </w:rPr>
        <w:t xml:space="preserve"> was administered to rats at high doses. </w:t>
      </w:r>
    </w:p>
    <w:p w:rsidR="00471BB9" w:rsidRDefault="00471BB9" w:rsidP="00F06AAE">
      <w:pPr>
        <w:jc w:val="both"/>
      </w:pPr>
      <w:r>
        <w:t xml:space="preserve">There was no evidence of teratogenicity in rabbits or rats following oral administration of </w:t>
      </w:r>
      <w:proofErr w:type="spellStart"/>
      <w:r>
        <w:t>sevelamer</w:t>
      </w:r>
      <w:proofErr w:type="spellEnd"/>
      <w:r>
        <w:t xml:space="preserve"> hydrochloride during the period of organogenesis at respective doses 1.5 and 4.5 g/kg/day (5 and 15 times respectively on </w:t>
      </w:r>
      <w:proofErr w:type="gramStart"/>
      <w:r>
        <w:t>a</w:t>
      </w:r>
      <w:proofErr w:type="gramEnd"/>
      <w:r>
        <w:t xml:space="preserve"> mg/kg basis for a 50 kg human).  In rats receiving doses of 1.5 and 4.5 g/kg/day during organogenesis, there was reduced or irregu</w:t>
      </w:r>
      <w:r w:rsidR="00EE137C">
        <w:t xml:space="preserve">lar ossification of </w:t>
      </w:r>
      <w:proofErr w:type="spellStart"/>
      <w:r w:rsidR="00EE137C">
        <w:t>foetal</w:t>
      </w:r>
      <w:proofErr w:type="spellEnd"/>
      <w:r w:rsidR="00EE137C">
        <w:t xml:space="preserve"> bones</w:t>
      </w:r>
      <w:r>
        <w:t xml:space="preserve"> at exposures of 5 and 15 times the maximum tested human dose.  In rabbits receiving 1 g/kg/day during organogenesis, there was an increase in early resorptions leading to a reduction in the number of live </w:t>
      </w:r>
      <w:proofErr w:type="spellStart"/>
      <w:r>
        <w:t>foetuses</w:t>
      </w:r>
      <w:proofErr w:type="spellEnd"/>
      <w:r>
        <w:t xml:space="preserve"> per liter at an exposure 3.3 times the maximum recommended human dose.</w:t>
      </w:r>
    </w:p>
    <w:p w:rsidR="00471BB9" w:rsidRDefault="00471BB9" w:rsidP="00F06AAE">
      <w:pPr>
        <w:jc w:val="both"/>
      </w:pPr>
      <w:r>
        <w:t xml:space="preserve">Oral administration of </w:t>
      </w:r>
      <w:proofErr w:type="spellStart"/>
      <w:r>
        <w:t>sevelamer</w:t>
      </w:r>
      <w:proofErr w:type="spellEnd"/>
      <w:r>
        <w:t xml:space="preserve"> hydrochloride to female rats throughout gestation and lactation at doses of 0.1 - 1 g/kg/day (exposure 0.3 - 3.3 times the maximum recommended human dose) did not affect the birth or growth of their offspring or their postnatal development.</w:t>
      </w:r>
    </w:p>
    <w:p w:rsidR="00F81D35" w:rsidRDefault="00F81D35" w:rsidP="00F06AAE">
      <w:pPr>
        <w:jc w:val="both"/>
      </w:pPr>
      <w:r w:rsidRPr="00F81D35">
        <w:t xml:space="preserve">In pregnant rats given dietary doses of 0.5, 1.5 or 4.5 g/kg/day of </w:t>
      </w:r>
      <w:proofErr w:type="spellStart"/>
      <w:r w:rsidRPr="00F81D35">
        <w:t>sevelamer</w:t>
      </w:r>
      <w:proofErr w:type="spellEnd"/>
      <w:r w:rsidRPr="00F81D35">
        <w:t xml:space="preserve"> hydrochloride during organogenesis, reduced or irregular ossification of </w:t>
      </w:r>
      <w:proofErr w:type="spellStart"/>
      <w:r w:rsidRPr="00F81D35">
        <w:t>foetal</w:t>
      </w:r>
      <w:proofErr w:type="spellEnd"/>
      <w:r w:rsidRPr="00F81D35">
        <w:t xml:space="preserve"> bones, probably due to a reduced absorption of fat-soluble vitamin D, occurred in mid - and high - dose groups (human equivalent doses less than the maximum clinical trial dose of 13 g).  In pregnant rabbits given oral doses of 100, 500 or 1000 mg/kg/day of </w:t>
      </w:r>
      <w:proofErr w:type="spellStart"/>
      <w:r w:rsidRPr="00F81D35">
        <w:t>sevelamer</w:t>
      </w:r>
      <w:proofErr w:type="spellEnd"/>
      <w:r w:rsidRPr="00F81D35">
        <w:t xml:space="preserve"> hydrochloride by gavage during organogenesis, an increase of early resorptions occurred in the high - dose group (human equivalent dose twice t</w:t>
      </w:r>
      <w:r w:rsidR="00181745">
        <w:t>he maximum clinical trial dose).</w:t>
      </w:r>
    </w:p>
    <w:p w:rsidR="000279AC" w:rsidRPr="006B792B" w:rsidRDefault="000279AC" w:rsidP="000279AC">
      <w:pPr>
        <w:pStyle w:val="Heading2"/>
        <w:numPr>
          <w:ilvl w:val="0"/>
          <w:numId w:val="0"/>
        </w:numPr>
      </w:pPr>
      <w:bookmarkStart w:id="22" w:name="_Toc314223318"/>
      <w:r w:rsidRPr="006B792B">
        <w:t>use in lactation</w:t>
      </w:r>
    </w:p>
    <w:p w:rsidR="000279AC" w:rsidRPr="00D73FB2" w:rsidRDefault="000279AC" w:rsidP="00F06AAE">
      <w:pPr>
        <w:jc w:val="both"/>
        <w:rPr>
          <w:color w:val="auto"/>
        </w:rPr>
      </w:pPr>
      <w:r w:rsidRPr="00D73FB2">
        <w:rPr>
          <w:color w:val="auto"/>
        </w:rPr>
        <w:t xml:space="preserve">Oral administration of </w:t>
      </w:r>
      <w:proofErr w:type="spellStart"/>
      <w:r w:rsidRPr="00D73FB2">
        <w:rPr>
          <w:color w:val="auto"/>
        </w:rPr>
        <w:t>sevelamer</w:t>
      </w:r>
      <w:proofErr w:type="spellEnd"/>
      <w:r w:rsidRPr="00D73FB2">
        <w:rPr>
          <w:color w:val="auto"/>
        </w:rPr>
        <w:t xml:space="preserve"> hydrochloride to female rats throughout gestation and lactation did not have any adverse effects on offspring (see Use in Pregnancy).</w:t>
      </w:r>
    </w:p>
    <w:p w:rsidR="00E34789" w:rsidRDefault="000279AC" w:rsidP="002D691A">
      <w:pPr>
        <w:rPr>
          <w:color w:val="auto"/>
        </w:rPr>
      </w:pPr>
      <w:r w:rsidRPr="00D73FB2">
        <w:rPr>
          <w:color w:val="auto"/>
        </w:rPr>
        <w:lastRenderedPageBreak/>
        <w:t xml:space="preserve">No </w:t>
      </w:r>
      <w:r w:rsidRPr="007B649A">
        <w:rPr>
          <w:color w:val="auto"/>
        </w:rPr>
        <w:t xml:space="preserve">adequate and controlled studies have been conducted using </w:t>
      </w:r>
      <w:proofErr w:type="spellStart"/>
      <w:r w:rsidRPr="007B649A">
        <w:rPr>
          <w:color w:val="auto"/>
        </w:rPr>
        <w:t>sevelamer</w:t>
      </w:r>
      <w:proofErr w:type="spellEnd"/>
      <w:r w:rsidRPr="007B649A">
        <w:rPr>
          <w:color w:val="auto"/>
        </w:rPr>
        <w:t xml:space="preserve"> in nursing mothers. </w:t>
      </w:r>
      <w:r w:rsidR="002D691A" w:rsidRPr="007B649A">
        <w:rPr>
          <w:color w:val="auto"/>
        </w:rPr>
        <w:t xml:space="preserve">It is unknown whether </w:t>
      </w:r>
      <w:proofErr w:type="spellStart"/>
      <w:r w:rsidR="002D691A" w:rsidRPr="007B649A">
        <w:rPr>
          <w:color w:val="auto"/>
        </w:rPr>
        <w:t>sevelamer</w:t>
      </w:r>
      <w:proofErr w:type="spellEnd"/>
      <w:r w:rsidR="002D691A" w:rsidRPr="007B649A">
        <w:rPr>
          <w:color w:val="auto"/>
        </w:rPr>
        <w:t xml:space="preserve"> is excreted in human breast milk. The </w:t>
      </w:r>
      <w:proofErr w:type="spellStart"/>
      <w:r w:rsidR="002D691A" w:rsidRPr="007B649A">
        <w:rPr>
          <w:color w:val="auto"/>
        </w:rPr>
        <w:t>non absorbed</w:t>
      </w:r>
      <w:proofErr w:type="spellEnd"/>
      <w:r w:rsidR="002D691A" w:rsidRPr="007B649A">
        <w:rPr>
          <w:color w:val="auto"/>
        </w:rPr>
        <w:t xml:space="preserve"> nature of </w:t>
      </w:r>
      <w:proofErr w:type="spellStart"/>
      <w:r w:rsidR="002D691A" w:rsidRPr="007B649A">
        <w:rPr>
          <w:color w:val="auto"/>
        </w:rPr>
        <w:t>sevelamer</w:t>
      </w:r>
      <w:proofErr w:type="spellEnd"/>
      <w:r w:rsidR="002D691A" w:rsidRPr="007B649A">
        <w:rPr>
          <w:color w:val="auto"/>
        </w:rPr>
        <w:t xml:space="preserve"> indicates that excretion of </w:t>
      </w:r>
      <w:proofErr w:type="spellStart"/>
      <w:r w:rsidR="002D691A" w:rsidRPr="007B649A">
        <w:rPr>
          <w:color w:val="auto"/>
        </w:rPr>
        <w:t>sevelamer</w:t>
      </w:r>
      <w:proofErr w:type="spellEnd"/>
      <w:r w:rsidR="002D691A" w:rsidRPr="007B649A">
        <w:rPr>
          <w:color w:val="auto"/>
        </w:rPr>
        <w:t xml:space="preserve"> in breast milk is unlikely.</w:t>
      </w:r>
      <w:r w:rsidR="001747BA" w:rsidRPr="007B649A">
        <w:rPr>
          <w:color w:val="auto"/>
        </w:rPr>
        <w:t xml:space="preserve"> A decision on whether to continue/discontinue breast feeding or to continue/discontinue therapy with </w:t>
      </w:r>
      <w:proofErr w:type="spellStart"/>
      <w:r w:rsidR="001747BA" w:rsidRPr="007B649A">
        <w:rPr>
          <w:color w:val="auto"/>
        </w:rPr>
        <w:t>Renvela</w:t>
      </w:r>
      <w:proofErr w:type="spellEnd"/>
      <w:r w:rsidR="001747BA" w:rsidRPr="007B649A">
        <w:rPr>
          <w:color w:val="auto"/>
        </w:rPr>
        <w:t xml:space="preserve"> should be made taking into account the benefit of breast feeding to the child and the benefit of </w:t>
      </w:r>
      <w:proofErr w:type="spellStart"/>
      <w:r w:rsidR="001747BA" w:rsidRPr="007B649A">
        <w:rPr>
          <w:color w:val="auto"/>
        </w:rPr>
        <w:t>Renvela</w:t>
      </w:r>
      <w:proofErr w:type="spellEnd"/>
      <w:r w:rsidR="001747BA" w:rsidRPr="007B649A">
        <w:rPr>
          <w:color w:val="auto"/>
        </w:rPr>
        <w:t xml:space="preserve"> therapy to the woman</w:t>
      </w:r>
      <w:r w:rsidR="005B50D5" w:rsidRPr="007B649A">
        <w:rPr>
          <w:color w:val="auto"/>
        </w:rPr>
        <w:t>.</w:t>
      </w:r>
      <w:r w:rsidR="00E31201">
        <w:rPr>
          <w:color w:val="auto"/>
        </w:rPr>
        <w:t xml:space="preserve"> </w:t>
      </w:r>
    </w:p>
    <w:p w:rsidR="00E34789" w:rsidRPr="006B792B" w:rsidRDefault="00E34789" w:rsidP="006B792B">
      <w:pPr>
        <w:pStyle w:val="Heading2"/>
        <w:numPr>
          <w:ilvl w:val="0"/>
          <w:numId w:val="0"/>
        </w:numPr>
      </w:pPr>
      <w:r w:rsidRPr="006B792B">
        <w:t>paediatric use</w:t>
      </w:r>
    </w:p>
    <w:bookmarkEnd w:id="22"/>
    <w:p w:rsidR="003020BF" w:rsidRPr="00A526BA" w:rsidRDefault="00531D77" w:rsidP="003020BF">
      <w:pPr>
        <w:rPr>
          <w:color w:val="auto"/>
        </w:rPr>
      </w:pPr>
      <w:r w:rsidRPr="00A526BA">
        <w:rPr>
          <w:color w:val="auto"/>
        </w:rPr>
        <w:t xml:space="preserve">The safety and effectiveness of </w:t>
      </w:r>
      <w:proofErr w:type="spellStart"/>
      <w:r w:rsidR="00A526BA">
        <w:rPr>
          <w:color w:val="auto"/>
        </w:rPr>
        <w:t>Renvela</w:t>
      </w:r>
      <w:proofErr w:type="spellEnd"/>
      <w:r w:rsidRPr="00A526BA">
        <w:rPr>
          <w:color w:val="auto"/>
        </w:rPr>
        <w:t xml:space="preserve"> in patients </w:t>
      </w:r>
      <w:r w:rsidR="00E673C7" w:rsidRPr="007B649A">
        <w:rPr>
          <w:color w:val="auto"/>
        </w:rPr>
        <w:t xml:space="preserve">below the age of 18 years </w:t>
      </w:r>
      <w:r w:rsidRPr="007B649A">
        <w:rPr>
          <w:color w:val="auto"/>
        </w:rPr>
        <w:t>have</w:t>
      </w:r>
      <w:r w:rsidRPr="00A526BA">
        <w:rPr>
          <w:color w:val="auto"/>
        </w:rPr>
        <w:t xml:space="preserve"> not been established.</w:t>
      </w:r>
    </w:p>
    <w:p w:rsidR="003020BF" w:rsidRPr="006B792B" w:rsidRDefault="003020BF" w:rsidP="003020BF">
      <w:pPr>
        <w:pStyle w:val="Heading2"/>
        <w:numPr>
          <w:ilvl w:val="0"/>
          <w:numId w:val="0"/>
        </w:numPr>
      </w:pPr>
      <w:bookmarkStart w:id="23" w:name="_Toc314223320"/>
      <w:r w:rsidRPr="006B792B">
        <w:t>genotoxicity</w:t>
      </w:r>
      <w:bookmarkEnd w:id="23"/>
    </w:p>
    <w:p w:rsidR="003020BF" w:rsidRDefault="00471BB9" w:rsidP="00F06AAE">
      <w:pPr>
        <w:jc w:val="both"/>
      </w:pPr>
      <w:r w:rsidRPr="00471BB9">
        <w:t xml:space="preserve">In an </w:t>
      </w:r>
      <w:r w:rsidRPr="00471BB9">
        <w:rPr>
          <w:i/>
        </w:rPr>
        <w:t>in vitro</w:t>
      </w:r>
      <w:r w:rsidRPr="00471BB9">
        <w:t xml:space="preserve"> mammalian </w:t>
      </w:r>
      <w:proofErr w:type="spellStart"/>
      <w:r w:rsidRPr="00471BB9">
        <w:t>cytogenetics</w:t>
      </w:r>
      <w:proofErr w:type="spellEnd"/>
      <w:r w:rsidRPr="00471BB9">
        <w:t xml:space="preserve"> test with metabolic activation, </w:t>
      </w:r>
      <w:proofErr w:type="spellStart"/>
      <w:r w:rsidRPr="00471BB9">
        <w:t>sevelamer</w:t>
      </w:r>
      <w:proofErr w:type="spellEnd"/>
      <w:r w:rsidRPr="00471BB9">
        <w:t xml:space="preserve"> hydrochloride caused a statistically significant increase in the number of structural chromosome aberrations.  </w:t>
      </w:r>
      <w:proofErr w:type="spellStart"/>
      <w:r w:rsidRPr="00471BB9">
        <w:t>Sevelamer</w:t>
      </w:r>
      <w:proofErr w:type="spellEnd"/>
      <w:r w:rsidRPr="00471BB9">
        <w:t xml:space="preserve"> hydrochloride was not mutagenic in the </w:t>
      </w:r>
      <w:smartTag w:uri="urn:schemas-microsoft-com:office:smarttags" w:element="place">
        <w:smartTag w:uri="urn:schemas-microsoft-com:office:smarttags" w:element="City">
          <w:r w:rsidRPr="00471BB9">
            <w:t>Ames</w:t>
          </w:r>
        </w:smartTag>
      </w:smartTag>
      <w:r w:rsidRPr="00471BB9">
        <w:t xml:space="preserve"> bacterial mutation assay.  Based on the available evidence, </w:t>
      </w:r>
      <w:proofErr w:type="spellStart"/>
      <w:r w:rsidRPr="00471BB9">
        <w:t>sevelamer</w:t>
      </w:r>
      <w:proofErr w:type="spellEnd"/>
      <w:r w:rsidRPr="00471BB9">
        <w:t xml:space="preserve"> hydrochloride is considered unlikely to be </w:t>
      </w:r>
      <w:proofErr w:type="spellStart"/>
      <w:r w:rsidRPr="00471BB9">
        <w:t>genotoxic</w:t>
      </w:r>
      <w:proofErr w:type="spellEnd"/>
      <w:r w:rsidRPr="00471BB9">
        <w:t xml:space="preserve"> in vivo following oral administration.</w:t>
      </w:r>
    </w:p>
    <w:p w:rsidR="003020BF" w:rsidRPr="006B792B" w:rsidRDefault="003020BF" w:rsidP="003020BF">
      <w:pPr>
        <w:pStyle w:val="Heading2"/>
        <w:numPr>
          <w:ilvl w:val="0"/>
          <w:numId w:val="0"/>
        </w:numPr>
      </w:pPr>
      <w:bookmarkStart w:id="24" w:name="_Toc314223321"/>
      <w:r w:rsidRPr="006B792B">
        <w:t>carcinogenicity</w:t>
      </w:r>
      <w:bookmarkEnd w:id="24"/>
    </w:p>
    <w:p w:rsidR="003020BF" w:rsidRDefault="00471BB9" w:rsidP="00F06AAE">
      <w:pPr>
        <w:jc w:val="both"/>
        <w:rPr>
          <w:color w:val="008000"/>
        </w:rPr>
      </w:pPr>
      <w:proofErr w:type="spellStart"/>
      <w:r w:rsidRPr="00471BB9">
        <w:t>Sevelamer</w:t>
      </w:r>
      <w:proofErr w:type="spellEnd"/>
      <w:r w:rsidRPr="00471BB9">
        <w:t xml:space="preserve"> hydrochloride was administered in the diet to rats and mice for two years.  In mice and female rats, there was no increase in the incidence of </w:t>
      </w:r>
      <w:proofErr w:type="spellStart"/>
      <w:r w:rsidRPr="00471BB9">
        <w:t>tumours</w:t>
      </w:r>
      <w:proofErr w:type="spellEnd"/>
      <w:r w:rsidRPr="00471BB9">
        <w:t xml:space="preserve">.  In male rats, there was an increased incidence of transitional cell </w:t>
      </w:r>
      <w:proofErr w:type="spellStart"/>
      <w:r w:rsidRPr="00471BB9">
        <w:t>papillomas</w:t>
      </w:r>
      <w:proofErr w:type="spellEnd"/>
      <w:r w:rsidRPr="00471BB9">
        <w:t xml:space="preserve"> and transitional cell carcinomas in the urinary bladder at a dose of 3 g/kg/day, which is 10 times the maximum daily human dose (mg/kg basis) for a 50 kg perso</w:t>
      </w:r>
      <w:r w:rsidR="0045769F">
        <w:t xml:space="preserve">n examined in clinical trials. </w:t>
      </w:r>
    </w:p>
    <w:p w:rsidR="0045769F" w:rsidRDefault="0045769F" w:rsidP="00F06AAE">
      <w:pPr>
        <w:jc w:val="both"/>
        <w:rPr>
          <w:color w:val="auto"/>
        </w:rPr>
      </w:pPr>
      <w:r w:rsidRPr="007B649A">
        <w:rPr>
          <w:color w:val="auto"/>
        </w:rPr>
        <w:t xml:space="preserve">To investigate the mechanism of action of proliferative effects (development of urinary bladder transitional </w:t>
      </w:r>
      <w:r w:rsidRPr="009B0651">
        <w:rPr>
          <w:color w:val="auto"/>
        </w:rPr>
        <w:t>cell papilloma) noted previously in the rat study</w:t>
      </w:r>
      <w:r w:rsidR="00CB4322" w:rsidRPr="009B0651">
        <w:rPr>
          <w:color w:val="auto"/>
        </w:rPr>
        <w:t xml:space="preserve"> of </w:t>
      </w:r>
      <w:proofErr w:type="spellStart"/>
      <w:r w:rsidR="00CB4322" w:rsidRPr="009B0651">
        <w:rPr>
          <w:color w:val="auto"/>
        </w:rPr>
        <w:t>sevelamer</w:t>
      </w:r>
      <w:proofErr w:type="spellEnd"/>
      <w:r w:rsidR="00CB4322" w:rsidRPr="009B0651">
        <w:rPr>
          <w:color w:val="auto"/>
        </w:rPr>
        <w:t xml:space="preserve"> hydrochloride</w:t>
      </w:r>
      <w:r w:rsidRPr="009B0651">
        <w:rPr>
          <w:color w:val="auto"/>
        </w:rPr>
        <w:t xml:space="preserve">, </w:t>
      </w:r>
      <w:proofErr w:type="spellStart"/>
      <w:r w:rsidRPr="009B0651">
        <w:rPr>
          <w:color w:val="auto"/>
        </w:rPr>
        <w:t>sevelamer</w:t>
      </w:r>
      <w:proofErr w:type="spellEnd"/>
      <w:r w:rsidRPr="009B0651">
        <w:rPr>
          <w:color w:val="auto"/>
        </w:rPr>
        <w:t xml:space="preserve"> carbonate was administered to male rats by dietary admixture for a period of 13 weeks at nominal dose-levels of 250, 1000 or 4500 mg/kg/day followed by 6 week treatment free period. </w:t>
      </w:r>
      <w:proofErr w:type="spellStart"/>
      <w:r w:rsidRPr="009B0651">
        <w:rPr>
          <w:color w:val="auto"/>
        </w:rPr>
        <w:t>Sevelamer</w:t>
      </w:r>
      <w:proofErr w:type="spellEnd"/>
      <w:r w:rsidRPr="009B0651">
        <w:rPr>
          <w:color w:val="auto"/>
        </w:rPr>
        <w:t xml:space="preserve"> carbonate was well tolerated at all dose-levels. No treatment-related changes were seen in the macroscopic or microscopic examinations. The urine of the mid and high dose </w:t>
      </w:r>
      <w:proofErr w:type="spellStart"/>
      <w:r w:rsidRPr="009B0651">
        <w:rPr>
          <w:color w:val="auto"/>
        </w:rPr>
        <w:t>sevelamer</w:t>
      </w:r>
      <w:proofErr w:type="spellEnd"/>
      <w:r w:rsidRPr="009B0651">
        <w:rPr>
          <w:color w:val="auto"/>
        </w:rPr>
        <w:t xml:space="preserve"> carbonate groups contained significant levels of calcium oxalate crystals</w:t>
      </w:r>
      <w:r w:rsidR="00CB4322" w:rsidRPr="009B0651">
        <w:rPr>
          <w:color w:val="auto"/>
        </w:rPr>
        <w:t>.</w:t>
      </w:r>
      <w:r w:rsidRPr="009B0651">
        <w:rPr>
          <w:color w:val="auto"/>
        </w:rPr>
        <w:t xml:space="preserve"> </w:t>
      </w:r>
      <w:proofErr w:type="spellStart"/>
      <w:r w:rsidR="00A06CB7" w:rsidRPr="009B0651">
        <w:rPr>
          <w:color w:val="auto"/>
        </w:rPr>
        <w:t>I</w:t>
      </w:r>
      <w:r w:rsidR="00CB4322" w:rsidRPr="009B0651">
        <w:rPr>
          <w:color w:val="auto"/>
        </w:rPr>
        <w:t>mmunohistochemical</w:t>
      </w:r>
      <w:proofErr w:type="spellEnd"/>
      <w:r w:rsidR="00CB4322" w:rsidRPr="009B0651">
        <w:rPr>
          <w:color w:val="auto"/>
        </w:rPr>
        <w:t xml:space="preserve"> analyses did not identify increased cell proliferation in the urinary bladder or kidneys. This study did not replicate the proliferative changes observed in the urinary tract in a previous study of </w:t>
      </w:r>
      <w:proofErr w:type="spellStart"/>
      <w:r w:rsidR="00CB4322" w:rsidRPr="009B0651">
        <w:rPr>
          <w:color w:val="auto"/>
        </w:rPr>
        <w:t>sevelamer</w:t>
      </w:r>
      <w:proofErr w:type="spellEnd"/>
      <w:r w:rsidR="00CB4322" w:rsidRPr="009B0651">
        <w:rPr>
          <w:color w:val="auto"/>
        </w:rPr>
        <w:t xml:space="preserve"> hydrochloride.</w:t>
      </w:r>
    </w:p>
    <w:p w:rsidR="00561A6A" w:rsidRPr="00EF2041" w:rsidRDefault="00561A6A" w:rsidP="00340888">
      <w:pPr>
        <w:pStyle w:val="Heading2"/>
        <w:numPr>
          <w:ilvl w:val="0"/>
          <w:numId w:val="0"/>
        </w:numPr>
        <w:tabs>
          <w:tab w:val="left" w:pos="3675"/>
        </w:tabs>
        <w:rPr>
          <w:lang w:val="fr-FR"/>
        </w:rPr>
      </w:pPr>
      <w:r w:rsidRPr="00EF2041">
        <w:rPr>
          <w:lang w:val="fr-FR"/>
        </w:rPr>
        <w:lastRenderedPageBreak/>
        <w:t>instructions to patients</w:t>
      </w:r>
      <w:r w:rsidR="00340888">
        <w:rPr>
          <w:lang w:val="fr-FR"/>
        </w:rPr>
        <w:tab/>
      </w:r>
    </w:p>
    <w:p w:rsidR="00561A6A" w:rsidRDefault="0024000D" w:rsidP="00F06AAE">
      <w:pPr>
        <w:jc w:val="both"/>
      </w:pPr>
      <w:r>
        <w:t xml:space="preserve">The contents of </w:t>
      </w:r>
      <w:proofErr w:type="spellStart"/>
      <w:r>
        <w:t>Renvela</w:t>
      </w:r>
      <w:proofErr w:type="spellEnd"/>
      <w:r w:rsidR="00561A6A" w:rsidRPr="0024000D">
        <w:t xml:space="preserve"> expand in water thus </w:t>
      </w:r>
      <w:r w:rsidR="00450C49">
        <w:t>t</w:t>
      </w:r>
      <w:r w:rsidR="00561A6A" w:rsidRPr="0024000D">
        <w:t>ablets should be swallowed intact and should not be crushed, chewed or broken into</w:t>
      </w:r>
      <w:r w:rsidR="000D4B46">
        <w:t xml:space="preserve"> pieces prior to admi</w:t>
      </w:r>
      <w:r w:rsidR="000D4B46" w:rsidRPr="007B649A">
        <w:rPr>
          <w:color w:val="auto"/>
        </w:rPr>
        <w:t>nistration (see DOSAGE AND ADMINISTRATION).</w:t>
      </w:r>
    </w:p>
    <w:p w:rsidR="0024000D" w:rsidRPr="007B649A" w:rsidRDefault="0024000D" w:rsidP="0024000D">
      <w:pPr>
        <w:pStyle w:val="Heading2"/>
        <w:numPr>
          <w:ilvl w:val="0"/>
          <w:numId w:val="0"/>
        </w:numPr>
      </w:pPr>
      <w:bookmarkStart w:id="25" w:name="_Toc373911939"/>
      <w:r w:rsidRPr="007B649A">
        <w:t>effect on laboratory tests</w:t>
      </w:r>
      <w:bookmarkEnd w:id="25"/>
    </w:p>
    <w:p w:rsidR="00A526BA" w:rsidRPr="007B649A" w:rsidRDefault="00A526BA" w:rsidP="00A526BA">
      <w:pPr>
        <w:rPr>
          <w:color w:val="auto"/>
        </w:rPr>
      </w:pPr>
      <w:r w:rsidRPr="007B649A">
        <w:rPr>
          <w:color w:val="auto"/>
        </w:rPr>
        <w:t xml:space="preserve">No information available. </w:t>
      </w:r>
    </w:p>
    <w:p w:rsidR="0024000D" w:rsidRPr="007B649A" w:rsidRDefault="0024000D" w:rsidP="0024000D">
      <w:pPr>
        <w:pStyle w:val="Heading2"/>
        <w:numPr>
          <w:ilvl w:val="0"/>
          <w:numId w:val="0"/>
        </w:numPr>
      </w:pPr>
      <w:r w:rsidRPr="007B649A">
        <w:t xml:space="preserve">Effects on ability to drive and use machinery </w:t>
      </w:r>
    </w:p>
    <w:p w:rsidR="0024000D" w:rsidRDefault="0024000D" w:rsidP="0024000D">
      <w:pPr>
        <w:rPr>
          <w:color w:val="auto"/>
        </w:rPr>
      </w:pPr>
      <w:r w:rsidRPr="007B649A">
        <w:rPr>
          <w:color w:val="auto"/>
        </w:rPr>
        <w:t xml:space="preserve">No studies on the effects on ability to drive and use machines have been performed. </w:t>
      </w:r>
    </w:p>
    <w:p w:rsidR="003020BF" w:rsidRPr="006B792B" w:rsidRDefault="003020BF" w:rsidP="006B792B">
      <w:pPr>
        <w:pStyle w:val="Heading1"/>
        <w:pageBreakBefore w:val="0"/>
        <w:numPr>
          <w:ilvl w:val="0"/>
          <w:numId w:val="0"/>
        </w:numPr>
      </w:pPr>
      <w:bookmarkStart w:id="26" w:name="_Toc314223323"/>
      <w:r w:rsidRPr="006B792B">
        <w:t>interactions with other medicines</w:t>
      </w:r>
      <w:bookmarkEnd w:id="26"/>
    </w:p>
    <w:p w:rsidR="0006253C" w:rsidRPr="00AF04DA" w:rsidRDefault="0006253C" w:rsidP="00F06AAE">
      <w:pPr>
        <w:jc w:val="both"/>
        <w:rPr>
          <w:color w:val="auto"/>
        </w:rPr>
      </w:pPr>
      <w:r w:rsidRPr="00AF04DA">
        <w:rPr>
          <w:color w:val="auto"/>
        </w:rPr>
        <w:t>Interaction studies have not been conducted in patients on dialysis.</w:t>
      </w:r>
    </w:p>
    <w:p w:rsidR="00F11910" w:rsidRPr="007B649A" w:rsidRDefault="00F11910" w:rsidP="00F11910">
      <w:pPr>
        <w:jc w:val="both"/>
        <w:rPr>
          <w:color w:val="auto"/>
        </w:rPr>
      </w:pPr>
      <w:r w:rsidRPr="007B649A">
        <w:rPr>
          <w:color w:val="auto"/>
        </w:rPr>
        <w:t xml:space="preserve">In interaction studies in healthy volunteers, </w:t>
      </w:r>
      <w:proofErr w:type="spellStart"/>
      <w:r w:rsidRPr="007B649A">
        <w:rPr>
          <w:color w:val="auto"/>
        </w:rPr>
        <w:t>sevelamer</w:t>
      </w:r>
      <w:proofErr w:type="spellEnd"/>
      <w:r w:rsidRPr="007B649A">
        <w:rPr>
          <w:color w:val="auto"/>
        </w:rPr>
        <w:t xml:space="preserve"> hydrochloride, which contains the same active moiety as </w:t>
      </w:r>
      <w:proofErr w:type="spellStart"/>
      <w:r w:rsidRPr="007B649A">
        <w:rPr>
          <w:color w:val="auto"/>
        </w:rPr>
        <w:t>Renvela</w:t>
      </w:r>
      <w:proofErr w:type="spellEnd"/>
      <w:r w:rsidRPr="007B649A">
        <w:rPr>
          <w:color w:val="auto"/>
        </w:rPr>
        <w:t xml:space="preserve">, decreased the bioavailability of ciprofloxacin by approximately 50% when co-administered with </w:t>
      </w:r>
      <w:proofErr w:type="spellStart"/>
      <w:r w:rsidRPr="007B649A">
        <w:rPr>
          <w:color w:val="auto"/>
        </w:rPr>
        <w:t>sevelamer</w:t>
      </w:r>
      <w:proofErr w:type="spellEnd"/>
      <w:r w:rsidRPr="007B649A">
        <w:rPr>
          <w:color w:val="auto"/>
        </w:rPr>
        <w:t xml:space="preserve"> hydrochloride in a single dose study. Consequently, </w:t>
      </w:r>
      <w:proofErr w:type="spellStart"/>
      <w:r w:rsidRPr="007B649A">
        <w:rPr>
          <w:color w:val="auto"/>
        </w:rPr>
        <w:t>Renvela</w:t>
      </w:r>
      <w:proofErr w:type="spellEnd"/>
      <w:r w:rsidRPr="007B649A">
        <w:rPr>
          <w:color w:val="auto"/>
        </w:rPr>
        <w:t xml:space="preserve"> should not be taken simultaneously with ciprofloxacin.</w:t>
      </w:r>
    </w:p>
    <w:p w:rsidR="00F11910" w:rsidRDefault="00F11910" w:rsidP="00F11910">
      <w:pPr>
        <w:jc w:val="both"/>
        <w:rPr>
          <w:color w:val="auto"/>
        </w:rPr>
      </w:pPr>
      <w:r w:rsidRPr="007B649A">
        <w:rPr>
          <w:color w:val="auto"/>
        </w:rPr>
        <w:t xml:space="preserve">Reduced levels of </w:t>
      </w:r>
      <w:proofErr w:type="spellStart"/>
      <w:r w:rsidRPr="009B0651">
        <w:rPr>
          <w:color w:val="auto"/>
        </w:rPr>
        <w:t>c</w:t>
      </w:r>
      <w:r w:rsidR="00A070B9" w:rsidRPr="009B0651">
        <w:rPr>
          <w:color w:val="auto"/>
        </w:rPr>
        <w:t>y</w:t>
      </w:r>
      <w:r w:rsidRPr="009B0651">
        <w:rPr>
          <w:color w:val="auto"/>
        </w:rPr>
        <w:t>closporin</w:t>
      </w:r>
      <w:proofErr w:type="spellEnd"/>
      <w:r w:rsidRPr="009B0651">
        <w:rPr>
          <w:color w:val="auto"/>
        </w:rPr>
        <w:t xml:space="preserve">, </w:t>
      </w:r>
      <w:proofErr w:type="spellStart"/>
      <w:r w:rsidRPr="009B0651">
        <w:rPr>
          <w:color w:val="auto"/>
        </w:rPr>
        <w:t>mycophenolate</w:t>
      </w:r>
      <w:proofErr w:type="spellEnd"/>
      <w:r w:rsidRPr="009B0651">
        <w:rPr>
          <w:color w:val="auto"/>
        </w:rPr>
        <w:t xml:space="preserve"> </w:t>
      </w:r>
      <w:proofErr w:type="spellStart"/>
      <w:r w:rsidRPr="009B0651">
        <w:rPr>
          <w:color w:val="auto"/>
        </w:rPr>
        <w:t>mofetil</w:t>
      </w:r>
      <w:proofErr w:type="spellEnd"/>
      <w:r w:rsidRPr="009B0651">
        <w:rPr>
          <w:color w:val="auto"/>
        </w:rPr>
        <w:t xml:space="preserve"> and </w:t>
      </w:r>
      <w:proofErr w:type="spellStart"/>
      <w:r w:rsidRPr="009B0651">
        <w:rPr>
          <w:color w:val="auto"/>
        </w:rPr>
        <w:t>tacrolimus</w:t>
      </w:r>
      <w:proofErr w:type="spellEnd"/>
      <w:r w:rsidRPr="009B0651">
        <w:rPr>
          <w:color w:val="auto"/>
        </w:rPr>
        <w:t xml:space="preserve"> have been reported in transplant patients when co-administered with </w:t>
      </w:r>
      <w:proofErr w:type="spellStart"/>
      <w:r w:rsidRPr="009B0651">
        <w:rPr>
          <w:color w:val="auto"/>
        </w:rPr>
        <w:t>sevelamer</w:t>
      </w:r>
      <w:proofErr w:type="spellEnd"/>
      <w:r w:rsidRPr="009B0651">
        <w:rPr>
          <w:color w:val="auto"/>
        </w:rPr>
        <w:t xml:space="preserve"> hydrochloride without any clinical consequences (</w:t>
      </w:r>
      <w:proofErr w:type="spellStart"/>
      <w:r w:rsidRPr="009B0651">
        <w:rPr>
          <w:color w:val="auto"/>
        </w:rPr>
        <w:t>i.e</w:t>
      </w:r>
      <w:proofErr w:type="spellEnd"/>
      <w:r w:rsidRPr="009B0651">
        <w:rPr>
          <w:color w:val="auto"/>
        </w:rPr>
        <w:t xml:space="preserve"> graft rejection). The possibility of an interaction cannot be excluded and a close monitoring of blood concentrations of </w:t>
      </w:r>
      <w:proofErr w:type="spellStart"/>
      <w:r w:rsidR="00A070B9" w:rsidRPr="009B0651">
        <w:rPr>
          <w:color w:val="auto"/>
        </w:rPr>
        <w:t>cyclosporin</w:t>
      </w:r>
      <w:proofErr w:type="spellEnd"/>
      <w:r w:rsidRPr="009B0651">
        <w:rPr>
          <w:color w:val="auto"/>
        </w:rPr>
        <w:t xml:space="preserve">, </w:t>
      </w:r>
      <w:proofErr w:type="spellStart"/>
      <w:r w:rsidRPr="009B0651">
        <w:rPr>
          <w:color w:val="auto"/>
        </w:rPr>
        <w:t>mycophenolate</w:t>
      </w:r>
      <w:proofErr w:type="spellEnd"/>
      <w:r w:rsidRPr="009B0651">
        <w:rPr>
          <w:color w:val="auto"/>
        </w:rPr>
        <w:t xml:space="preserve"> </w:t>
      </w:r>
      <w:proofErr w:type="spellStart"/>
      <w:r w:rsidRPr="009B0651">
        <w:rPr>
          <w:color w:val="auto"/>
        </w:rPr>
        <w:t>mofetil</w:t>
      </w:r>
      <w:proofErr w:type="spellEnd"/>
      <w:r w:rsidRPr="009B0651">
        <w:rPr>
          <w:color w:val="auto"/>
        </w:rPr>
        <w:t xml:space="preserve"> and </w:t>
      </w:r>
      <w:proofErr w:type="spellStart"/>
      <w:r w:rsidRPr="009B0651">
        <w:rPr>
          <w:color w:val="auto"/>
        </w:rPr>
        <w:t>tacrolimus</w:t>
      </w:r>
      <w:proofErr w:type="spellEnd"/>
      <w:r w:rsidRPr="009B0651">
        <w:rPr>
          <w:color w:val="auto"/>
        </w:rPr>
        <w:t xml:space="preserve"> should be considered during the use of combination</w:t>
      </w:r>
      <w:r w:rsidRPr="007B649A">
        <w:rPr>
          <w:color w:val="auto"/>
        </w:rPr>
        <w:t xml:space="preserve"> and after its withdrawal. </w:t>
      </w:r>
    </w:p>
    <w:p w:rsidR="008031D0" w:rsidRPr="007B649A" w:rsidRDefault="008031D0" w:rsidP="008031D0">
      <w:pPr>
        <w:jc w:val="both"/>
        <w:rPr>
          <w:color w:val="auto"/>
        </w:rPr>
      </w:pPr>
      <w:r w:rsidRPr="007B649A">
        <w:rPr>
          <w:color w:val="auto"/>
        </w:rPr>
        <w:t xml:space="preserve">During post-marketing experience, very rare cases of increased TSH levels have been reported in patients co-administered </w:t>
      </w:r>
      <w:proofErr w:type="spellStart"/>
      <w:r w:rsidRPr="007B649A">
        <w:rPr>
          <w:color w:val="auto"/>
        </w:rPr>
        <w:t>sevelamer</w:t>
      </w:r>
      <w:proofErr w:type="spellEnd"/>
      <w:r w:rsidRPr="007B649A">
        <w:rPr>
          <w:color w:val="auto"/>
        </w:rPr>
        <w:t xml:space="preserve"> hydrochloride, which contains the same active moiety as </w:t>
      </w:r>
      <w:proofErr w:type="spellStart"/>
      <w:r w:rsidRPr="007B649A">
        <w:rPr>
          <w:color w:val="auto"/>
        </w:rPr>
        <w:t>sevelamer</w:t>
      </w:r>
      <w:proofErr w:type="spellEnd"/>
      <w:r w:rsidRPr="007B649A">
        <w:rPr>
          <w:color w:val="auto"/>
        </w:rPr>
        <w:t xml:space="preserve"> carbonate and levothyroxine. Closer monitoring of TSH levels is therefore recommended in patients receiving both medications.</w:t>
      </w:r>
    </w:p>
    <w:p w:rsidR="00F11910" w:rsidRPr="007B649A" w:rsidRDefault="00F11910" w:rsidP="00F11910">
      <w:pPr>
        <w:jc w:val="both"/>
        <w:rPr>
          <w:color w:val="auto"/>
        </w:rPr>
      </w:pPr>
      <w:r w:rsidRPr="007B649A">
        <w:rPr>
          <w:color w:val="auto"/>
        </w:rPr>
        <w:t xml:space="preserve">Patients taking anti-arrhythmic medications for the control of arrhythmias and anti-seizure medications for the control of seizure disorders were excluded from clinical trials. Special precautions should </w:t>
      </w:r>
      <w:r w:rsidR="00333C5D" w:rsidRPr="007B649A">
        <w:rPr>
          <w:color w:val="auto"/>
        </w:rPr>
        <w:t xml:space="preserve">be taken when prescribing </w:t>
      </w:r>
      <w:proofErr w:type="spellStart"/>
      <w:r w:rsidR="00333C5D" w:rsidRPr="007B649A">
        <w:rPr>
          <w:color w:val="auto"/>
        </w:rPr>
        <w:t>Renve</w:t>
      </w:r>
      <w:r w:rsidRPr="007B649A">
        <w:rPr>
          <w:color w:val="auto"/>
        </w:rPr>
        <w:t>l</w:t>
      </w:r>
      <w:r w:rsidR="00333C5D" w:rsidRPr="007B649A">
        <w:rPr>
          <w:color w:val="auto"/>
        </w:rPr>
        <w:t>a</w:t>
      </w:r>
      <w:proofErr w:type="spellEnd"/>
      <w:r w:rsidRPr="007B649A">
        <w:rPr>
          <w:color w:val="auto"/>
        </w:rPr>
        <w:t xml:space="preserve"> to patients also taking these medications.</w:t>
      </w:r>
    </w:p>
    <w:p w:rsidR="00F11910" w:rsidRDefault="00F11910" w:rsidP="00F11910">
      <w:pPr>
        <w:jc w:val="both"/>
        <w:rPr>
          <w:color w:val="auto"/>
        </w:rPr>
      </w:pPr>
      <w:r w:rsidRPr="007B649A">
        <w:rPr>
          <w:color w:val="auto"/>
        </w:rPr>
        <w:t xml:space="preserve">In interaction studies in healthy volunteers, </w:t>
      </w:r>
      <w:proofErr w:type="spellStart"/>
      <w:r w:rsidRPr="007B649A">
        <w:rPr>
          <w:color w:val="auto"/>
        </w:rPr>
        <w:t>sevelamer</w:t>
      </w:r>
      <w:proofErr w:type="spellEnd"/>
      <w:r w:rsidRPr="007B649A">
        <w:rPr>
          <w:color w:val="auto"/>
        </w:rPr>
        <w:t xml:space="preserve"> hydrochloride, which contains the same active moiety as </w:t>
      </w:r>
      <w:proofErr w:type="spellStart"/>
      <w:r w:rsidRPr="007B649A">
        <w:rPr>
          <w:color w:val="auto"/>
        </w:rPr>
        <w:t>Renvela</w:t>
      </w:r>
      <w:proofErr w:type="spellEnd"/>
      <w:r w:rsidRPr="007B649A">
        <w:rPr>
          <w:color w:val="auto"/>
        </w:rPr>
        <w:t xml:space="preserve">, had no effect on the bioavailability of digoxin, warfarin, </w:t>
      </w:r>
      <w:proofErr w:type="spellStart"/>
      <w:r w:rsidRPr="007B649A">
        <w:rPr>
          <w:color w:val="auto"/>
        </w:rPr>
        <w:t>enalapril</w:t>
      </w:r>
      <w:proofErr w:type="spellEnd"/>
      <w:r w:rsidRPr="007B649A">
        <w:rPr>
          <w:color w:val="auto"/>
        </w:rPr>
        <w:t xml:space="preserve"> or </w:t>
      </w:r>
      <w:proofErr w:type="spellStart"/>
      <w:r w:rsidRPr="007B649A">
        <w:rPr>
          <w:color w:val="auto"/>
        </w:rPr>
        <w:t>metoprolol</w:t>
      </w:r>
      <w:proofErr w:type="spellEnd"/>
      <w:r w:rsidRPr="007B649A">
        <w:rPr>
          <w:color w:val="auto"/>
        </w:rPr>
        <w:t>.</w:t>
      </w:r>
    </w:p>
    <w:p w:rsidR="009D0A75" w:rsidRPr="009B0651" w:rsidRDefault="009D0A75" w:rsidP="009D0A75">
      <w:pPr>
        <w:rPr>
          <w:color w:val="auto"/>
        </w:rPr>
      </w:pPr>
      <w:r w:rsidRPr="009B0651">
        <w:rPr>
          <w:color w:val="auto"/>
        </w:rPr>
        <w:lastRenderedPageBreak/>
        <w:t xml:space="preserve">In 14 healthy subjects receiving 2.4 g of </w:t>
      </w:r>
      <w:proofErr w:type="spellStart"/>
      <w:r w:rsidRPr="009B0651">
        <w:rPr>
          <w:color w:val="auto"/>
        </w:rPr>
        <w:t>sevelamer</w:t>
      </w:r>
      <w:proofErr w:type="spellEnd"/>
      <w:r w:rsidRPr="009B0651">
        <w:rPr>
          <w:color w:val="auto"/>
        </w:rPr>
        <w:t xml:space="preserve"> hydrochloride three times a day with meals for two days </w:t>
      </w:r>
      <w:proofErr w:type="spellStart"/>
      <w:r w:rsidRPr="009B0651">
        <w:rPr>
          <w:color w:val="auto"/>
        </w:rPr>
        <w:t>sevelamer</w:t>
      </w:r>
      <w:proofErr w:type="spellEnd"/>
      <w:r w:rsidRPr="009B0651">
        <w:rPr>
          <w:color w:val="auto"/>
        </w:rPr>
        <w:t xml:space="preserve"> did not alter the pharmacokinetics of a single dose of warfarin. In 14 healthy subjects receiving 9.6 grams of </w:t>
      </w:r>
      <w:proofErr w:type="spellStart"/>
      <w:r w:rsidRPr="009B0651">
        <w:rPr>
          <w:color w:val="auto"/>
        </w:rPr>
        <w:t>sevelamer</w:t>
      </w:r>
      <w:proofErr w:type="spellEnd"/>
      <w:r w:rsidRPr="009B0651">
        <w:rPr>
          <w:color w:val="auto"/>
        </w:rPr>
        <w:t xml:space="preserve"> carbonate once daily with a meal, </w:t>
      </w:r>
      <w:proofErr w:type="spellStart"/>
      <w:r w:rsidRPr="009B0651">
        <w:rPr>
          <w:color w:val="auto"/>
        </w:rPr>
        <w:t>sevelamer</w:t>
      </w:r>
      <w:proofErr w:type="spellEnd"/>
      <w:r w:rsidRPr="009B0651">
        <w:rPr>
          <w:color w:val="auto"/>
        </w:rPr>
        <w:t xml:space="preserve"> did not alter the pharmacokinetics of a single dose of warfarin.</w:t>
      </w:r>
    </w:p>
    <w:p w:rsidR="008D3279" w:rsidRPr="009B0651" w:rsidRDefault="008D3279" w:rsidP="008D3279">
      <w:pPr>
        <w:rPr>
          <w:color w:val="auto"/>
        </w:rPr>
      </w:pPr>
      <w:r w:rsidRPr="009B0651">
        <w:rPr>
          <w:color w:val="auto"/>
        </w:rPr>
        <w:t xml:space="preserve">In 19 healthy subjects receiving 2.4 grams of </w:t>
      </w:r>
      <w:proofErr w:type="spellStart"/>
      <w:r w:rsidRPr="009B0651">
        <w:rPr>
          <w:color w:val="auto"/>
        </w:rPr>
        <w:t>sevelamer</w:t>
      </w:r>
      <w:proofErr w:type="spellEnd"/>
      <w:r w:rsidRPr="009B0651">
        <w:rPr>
          <w:color w:val="auto"/>
        </w:rPr>
        <w:t xml:space="preserve"> hydrochloride three times a day with meals for 2 days, </w:t>
      </w:r>
      <w:proofErr w:type="spellStart"/>
      <w:r w:rsidRPr="009B0651">
        <w:rPr>
          <w:color w:val="auto"/>
        </w:rPr>
        <w:t>sevelamer</w:t>
      </w:r>
      <w:proofErr w:type="spellEnd"/>
      <w:r w:rsidRPr="009B0651">
        <w:rPr>
          <w:color w:val="auto"/>
        </w:rPr>
        <w:t xml:space="preserve"> did not alter the pharmacokinetics of a single dose of digoxin. In 18 healthy subjects receiving 9.6 grams of </w:t>
      </w:r>
      <w:proofErr w:type="spellStart"/>
      <w:r w:rsidRPr="009B0651">
        <w:rPr>
          <w:color w:val="auto"/>
        </w:rPr>
        <w:t>sevelamer</w:t>
      </w:r>
      <w:proofErr w:type="spellEnd"/>
      <w:r w:rsidRPr="009B0651">
        <w:rPr>
          <w:color w:val="auto"/>
        </w:rPr>
        <w:t xml:space="preserve"> carbonate once daily with a meal, </w:t>
      </w:r>
      <w:proofErr w:type="spellStart"/>
      <w:r w:rsidRPr="009B0651">
        <w:rPr>
          <w:color w:val="auto"/>
        </w:rPr>
        <w:t>sevelamer</w:t>
      </w:r>
      <w:proofErr w:type="spellEnd"/>
      <w:r w:rsidRPr="009B0651">
        <w:rPr>
          <w:color w:val="auto"/>
        </w:rPr>
        <w:t xml:space="preserve"> did not alter the pharmacokinetics of a single dose of digoxin.</w:t>
      </w:r>
    </w:p>
    <w:p w:rsidR="00F11910" w:rsidRDefault="00F11910" w:rsidP="00F11910">
      <w:pPr>
        <w:jc w:val="both"/>
        <w:rPr>
          <w:color w:val="auto"/>
        </w:rPr>
      </w:pPr>
      <w:proofErr w:type="spellStart"/>
      <w:r w:rsidRPr="007B649A">
        <w:rPr>
          <w:color w:val="auto"/>
        </w:rPr>
        <w:t>Renvela</w:t>
      </w:r>
      <w:proofErr w:type="spellEnd"/>
      <w:r w:rsidRPr="007B649A">
        <w:rPr>
          <w:color w:val="auto"/>
        </w:rPr>
        <w:t xml:space="preserve"> is not absorbed and may affect the bioavailability of other medicinal products. When administering any medicinal product where a reduction in the bioavailability could have</w:t>
      </w:r>
      <w:r w:rsidRPr="00F11910">
        <w:rPr>
          <w:color w:val="auto"/>
        </w:rPr>
        <w:t xml:space="preserve"> a clinically significant effect on safety or efficacy, the medicinal product should be administered at least one hour before or three hours after </w:t>
      </w:r>
      <w:proofErr w:type="spellStart"/>
      <w:r w:rsidRPr="00F11910">
        <w:rPr>
          <w:color w:val="auto"/>
        </w:rPr>
        <w:t>Renvela</w:t>
      </w:r>
      <w:proofErr w:type="spellEnd"/>
      <w:r w:rsidRPr="00F11910">
        <w:rPr>
          <w:color w:val="auto"/>
        </w:rPr>
        <w:t xml:space="preserve">, or the physician should consider monitoring blood levels. </w:t>
      </w:r>
    </w:p>
    <w:p w:rsidR="003020BF" w:rsidRDefault="003020BF" w:rsidP="003020BF">
      <w:pPr>
        <w:pStyle w:val="Heading1"/>
        <w:pageBreakBefore w:val="0"/>
        <w:numPr>
          <w:ilvl w:val="0"/>
          <w:numId w:val="0"/>
        </w:numPr>
      </w:pPr>
      <w:bookmarkStart w:id="27" w:name="_Toc314223324"/>
      <w:r>
        <w:t>adverse effects</w:t>
      </w:r>
      <w:bookmarkEnd w:id="27"/>
    </w:p>
    <w:p w:rsidR="00124AE8" w:rsidRPr="0009331B" w:rsidRDefault="00124AE8" w:rsidP="00124AE8">
      <w:pPr>
        <w:rPr>
          <w:color w:val="auto"/>
        </w:rPr>
      </w:pPr>
      <w:r w:rsidRPr="007B649A">
        <w:rPr>
          <w:color w:val="auto"/>
        </w:rPr>
        <w:t xml:space="preserve">The safety of </w:t>
      </w:r>
      <w:proofErr w:type="spellStart"/>
      <w:r w:rsidRPr="007B649A">
        <w:rPr>
          <w:color w:val="auto"/>
        </w:rPr>
        <w:t>sevelamer</w:t>
      </w:r>
      <w:proofErr w:type="spellEnd"/>
      <w:r w:rsidRPr="007B649A">
        <w:rPr>
          <w:color w:val="auto"/>
        </w:rPr>
        <w:t xml:space="preserve"> (as either carbonate and hydrochloride salts) has been investigated in numerous clinical trials involving a total of 969 </w:t>
      </w:r>
      <w:proofErr w:type="spellStart"/>
      <w:r w:rsidRPr="007B649A">
        <w:rPr>
          <w:color w:val="auto"/>
        </w:rPr>
        <w:t>haemodialysis</w:t>
      </w:r>
      <w:proofErr w:type="spellEnd"/>
      <w:r w:rsidRPr="007B649A">
        <w:rPr>
          <w:color w:val="auto"/>
        </w:rPr>
        <w:t xml:space="preserve"> patients with treatment duration of 4 to 50 weeks (724 patients treated with </w:t>
      </w:r>
      <w:proofErr w:type="spellStart"/>
      <w:r w:rsidRPr="007B649A">
        <w:rPr>
          <w:color w:val="auto"/>
        </w:rPr>
        <w:t>sevelamer</w:t>
      </w:r>
      <w:proofErr w:type="spellEnd"/>
      <w:r w:rsidRPr="007B649A">
        <w:rPr>
          <w:color w:val="auto"/>
        </w:rPr>
        <w:t xml:space="preserve"> hydrochloride and 245 with </w:t>
      </w:r>
      <w:proofErr w:type="spellStart"/>
      <w:r w:rsidRPr="007B649A">
        <w:rPr>
          <w:color w:val="auto"/>
        </w:rPr>
        <w:t>sevelamer</w:t>
      </w:r>
      <w:proofErr w:type="spellEnd"/>
      <w:r w:rsidRPr="007B649A">
        <w:rPr>
          <w:color w:val="auto"/>
        </w:rPr>
        <w:t xml:space="preserve"> carbonate), 97 peritoneal dialysis patients with treatment duration of 12 weeks (all treated with </w:t>
      </w:r>
      <w:proofErr w:type="spellStart"/>
      <w:r w:rsidRPr="007B649A">
        <w:rPr>
          <w:color w:val="auto"/>
        </w:rPr>
        <w:t>sevelamer</w:t>
      </w:r>
      <w:proofErr w:type="spellEnd"/>
      <w:r w:rsidRPr="007B649A">
        <w:rPr>
          <w:color w:val="auto"/>
        </w:rPr>
        <w:t xml:space="preserve"> hydrochloride) and 128 patients with CKD not on dialysis with treatment duration of 8 to 12 weeks (79 patients treatment with </w:t>
      </w:r>
      <w:proofErr w:type="spellStart"/>
      <w:r w:rsidRPr="007B649A">
        <w:rPr>
          <w:color w:val="auto"/>
        </w:rPr>
        <w:t>sevelamer</w:t>
      </w:r>
      <w:proofErr w:type="spellEnd"/>
      <w:r w:rsidRPr="007B649A">
        <w:rPr>
          <w:color w:val="auto"/>
        </w:rPr>
        <w:t xml:space="preserve"> hydrochloride and 49 with </w:t>
      </w:r>
      <w:proofErr w:type="spellStart"/>
      <w:r w:rsidRPr="007B649A">
        <w:rPr>
          <w:color w:val="auto"/>
        </w:rPr>
        <w:t>sevelamer</w:t>
      </w:r>
      <w:proofErr w:type="spellEnd"/>
      <w:r w:rsidRPr="007B649A">
        <w:rPr>
          <w:color w:val="auto"/>
        </w:rPr>
        <w:t xml:space="preserve"> carbonate</w:t>
      </w:r>
      <w:r w:rsidRPr="0009331B">
        <w:rPr>
          <w:color w:val="auto"/>
        </w:rPr>
        <w:t>).</w:t>
      </w:r>
      <w:r w:rsidR="000435F5" w:rsidRPr="0009331B">
        <w:rPr>
          <w:color w:val="auto"/>
        </w:rPr>
        <w:t xml:space="preserve"> </w:t>
      </w:r>
      <w:r w:rsidR="004B1268" w:rsidRPr="0009331B">
        <w:rPr>
          <w:color w:val="auto"/>
        </w:rPr>
        <w:t xml:space="preserve">The safety profile of </w:t>
      </w:r>
      <w:proofErr w:type="spellStart"/>
      <w:r w:rsidR="004B1268" w:rsidRPr="0009331B">
        <w:rPr>
          <w:color w:val="auto"/>
        </w:rPr>
        <w:t>sevelamer</w:t>
      </w:r>
      <w:proofErr w:type="spellEnd"/>
      <w:r w:rsidR="004B1268" w:rsidRPr="0009331B">
        <w:rPr>
          <w:color w:val="auto"/>
        </w:rPr>
        <w:t xml:space="preserve"> carbonate in patients not on dialysis was similar to the safety profile of the drug in patients on dialysis. </w:t>
      </w:r>
    </w:p>
    <w:p w:rsidR="00814AA4" w:rsidRPr="0009331B" w:rsidRDefault="00814AA4" w:rsidP="00124AE8">
      <w:pPr>
        <w:rPr>
          <w:color w:val="auto"/>
        </w:rPr>
      </w:pPr>
      <w:r w:rsidRPr="0009331B">
        <w:rPr>
          <w:color w:val="auto"/>
        </w:rPr>
        <w:t>There</w:t>
      </w:r>
      <w:r w:rsidR="00F91AD0" w:rsidRPr="0009331B">
        <w:rPr>
          <w:color w:val="auto"/>
        </w:rPr>
        <w:t xml:space="preserve"> are</w:t>
      </w:r>
      <w:r w:rsidRPr="0009331B">
        <w:rPr>
          <w:color w:val="auto"/>
        </w:rPr>
        <w:t xml:space="preserve"> limited data on the safety of </w:t>
      </w:r>
      <w:proofErr w:type="spellStart"/>
      <w:r w:rsidRPr="0009331B">
        <w:rPr>
          <w:color w:val="auto"/>
        </w:rPr>
        <w:t>sevelamer</w:t>
      </w:r>
      <w:proofErr w:type="spellEnd"/>
      <w:r w:rsidRPr="0009331B">
        <w:rPr>
          <w:color w:val="auto"/>
        </w:rPr>
        <w:t xml:space="preserve"> carbonate powder, however based on the fact that it contains the same active ingredient as the </w:t>
      </w:r>
      <w:proofErr w:type="spellStart"/>
      <w:r w:rsidR="00875FBD" w:rsidRPr="0009331B">
        <w:rPr>
          <w:color w:val="auto"/>
        </w:rPr>
        <w:t>sevelamer</w:t>
      </w:r>
      <w:proofErr w:type="spellEnd"/>
      <w:r w:rsidR="00875FBD" w:rsidRPr="0009331B">
        <w:rPr>
          <w:color w:val="auto"/>
        </w:rPr>
        <w:t xml:space="preserve"> carbonate tablet</w:t>
      </w:r>
      <w:r w:rsidRPr="0009331B">
        <w:rPr>
          <w:color w:val="auto"/>
        </w:rPr>
        <w:t xml:space="preserve">, the adverse event profiles of the two </w:t>
      </w:r>
      <w:r w:rsidR="00875FBD" w:rsidRPr="0009331B">
        <w:rPr>
          <w:color w:val="auto"/>
        </w:rPr>
        <w:t xml:space="preserve">formulations </w:t>
      </w:r>
      <w:r w:rsidRPr="0009331B">
        <w:rPr>
          <w:color w:val="auto"/>
        </w:rPr>
        <w:t xml:space="preserve">should be similar. </w:t>
      </w:r>
    </w:p>
    <w:p w:rsidR="00124AE8" w:rsidRDefault="00124AE8" w:rsidP="008A254F">
      <w:pPr>
        <w:rPr>
          <w:color w:val="auto"/>
        </w:rPr>
      </w:pPr>
      <w:r w:rsidRPr="007B649A">
        <w:rPr>
          <w:color w:val="auto"/>
        </w:rPr>
        <w:t xml:space="preserve">Data possibly or probably related to </w:t>
      </w:r>
      <w:proofErr w:type="spellStart"/>
      <w:r w:rsidRPr="007B649A">
        <w:rPr>
          <w:color w:val="auto"/>
        </w:rPr>
        <w:t>sevelamer</w:t>
      </w:r>
      <w:proofErr w:type="spellEnd"/>
      <w:r w:rsidRPr="007B649A">
        <w:rPr>
          <w:color w:val="auto"/>
        </w:rPr>
        <w:t xml:space="preserve"> from these studies are listed below by frequency. The reporting rate is classified as very common (≥</w:t>
      </w:r>
      <w:r w:rsidRPr="000B0474">
        <w:rPr>
          <w:color w:val="auto"/>
        </w:rPr>
        <w:t>1/</w:t>
      </w:r>
      <w:r w:rsidRPr="007B649A">
        <w:rPr>
          <w:color w:val="auto"/>
        </w:rPr>
        <w:t>10), common (≥1</w:t>
      </w:r>
      <w:r w:rsidRPr="000B0474">
        <w:rPr>
          <w:color w:val="auto"/>
        </w:rPr>
        <w:t>/100,</w:t>
      </w:r>
      <w:r w:rsidRPr="007B649A">
        <w:rPr>
          <w:color w:val="auto"/>
        </w:rPr>
        <w:t xml:space="preserve"> &lt;</w:t>
      </w:r>
      <w:r w:rsidRPr="000B0474">
        <w:rPr>
          <w:color w:val="auto"/>
        </w:rPr>
        <w:t>1/</w:t>
      </w:r>
      <w:r w:rsidRPr="007B649A">
        <w:rPr>
          <w:color w:val="auto"/>
        </w:rPr>
        <w:t>10),</w:t>
      </w:r>
      <w:r w:rsidR="008A254F">
        <w:rPr>
          <w:color w:val="auto"/>
        </w:rPr>
        <w:t xml:space="preserve"> </w:t>
      </w:r>
      <w:r w:rsidRPr="007B649A">
        <w:rPr>
          <w:color w:val="auto"/>
        </w:rPr>
        <w:t>uncommon (≥</w:t>
      </w:r>
      <w:r w:rsidR="0010717F" w:rsidRPr="000B0474">
        <w:rPr>
          <w:color w:val="auto"/>
        </w:rPr>
        <w:t>1</w:t>
      </w:r>
      <w:r w:rsidRPr="000B0474">
        <w:rPr>
          <w:color w:val="auto"/>
        </w:rPr>
        <w:t>/1,000,</w:t>
      </w:r>
      <w:r w:rsidRPr="007B649A">
        <w:rPr>
          <w:color w:val="auto"/>
        </w:rPr>
        <w:t xml:space="preserve"> &lt;1</w:t>
      </w:r>
      <w:r w:rsidRPr="000B0474">
        <w:rPr>
          <w:color w:val="auto"/>
        </w:rPr>
        <w:t>/100</w:t>
      </w:r>
      <w:r w:rsidRPr="007B649A">
        <w:rPr>
          <w:color w:val="auto"/>
        </w:rPr>
        <w:t>), rare (≥1</w:t>
      </w:r>
      <w:r w:rsidRPr="000B0474">
        <w:rPr>
          <w:color w:val="auto"/>
        </w:rPr>
        <w:t>/10,000,</w:t>
      </w:r>
      <w:r w:rsidRPr="007B649A">
        <w:rPr>
          <w:color w:val="auto"/>
        </w:rPr>
        <w:t xml:space="preserve"> &lt;</w:t>
      </w:r>
      <w:r w:rsidR="0010717F">
        <w:rPr>
          <w:color w:val="auto"/>
        </w:rPr>
        <w:t>0.</w:t>
      </w:r>
      <w:r w:rsidRPr="007B649A">
        <w:rPr>
          <w:color w:val="auto"/>
        </w:rPr>
        <w:t>1</w:t>
      </w:r>
      <w:r w:rsidRPr="000B0474">
        <w:rPr>
          <w:color w:val="auto"/>
        </w:rPr>
        <w:t>/1,000</w:t>
      </w:r>
      <w:r w:rsidRPr="007B649A">
        <w:rPr>
          <w:color w:val="auto"/>
        </w:rPr>
        <w:t>), very rare (&lt;1</w:t>
      </w:r>
      <w:r w:rsidRPr="000B0474">
        <w:rPr>
          <w:color w:val="auto"/>
        </w:rPr>
        <w:t>/10,000</w:t>
      </w:r>
      <w:r w:rsidRPr="007B649A">
        <w:rPr>
          <w:color w:val="auto"/>
        </w:rPr>
        <w:t>), not known (cannot be estimated from the available data).</w:t>
      </w:r>
    </w:p>
    <w:p w:rsidR="00374A17" w:rsidRDefault="00374A17" w:rsidP="008E6AD5">
      <w:pPr>
        <w:autoSpaceDE w:val="0"/>
        <w:autoSpaceDN w:val="0"/>
        <w:adjustRightInd w:val="0"/>
        <w:spacing w:before="0"/>
        <w:rPr>
          <w:rFonts w:eastAsia="Times New Roman"/>
          <w:color w:val="auto"/>
        </w:rPr>
      </w:pPr>
    </w:p>
    <w:p w:rsidR="00124AE8" w:rsidRPr="009B0651" w:rsidRDefault="00374A17" w:rsidP="008E6AD5">
      <w:pPr>
        <w:autoSpaceDE w:val="0"/>
        <w:autoSpaceDN w:val="0"/>
        <w:adjustRightInd w:val="0"/>
        <w:spacing w:before="0"/>
        <w:rPr>
          <w:color w:val="auto"/>
        </w:rPr>
      </w:pPr>
      <w:r w:rsidRPr="009B0651">
        <w:rPr>
          <w:rFonts w:eastAsia="Times New Roman"/>
          <w:color w:val="auto"/>
        </w:rPr>
        <w:fldChar w:fldCharType="begin"/>
      </w:r>
      <w:r w:rsidRPr="009B0651">
        <w:rPr>
          <w:rFonts w:eastAsia="Times New Roman"/>
          <w:color w:val="auto"/>
        </w:rPr>
        <w:instrText xml:space="preserve"> REF _Ref401936527 \h  \* MERGEFORMAT </w:instrText>
      </w:r>
      <w:r w:rsidRPr="009B0651">
        <w:rPr>
          <w:rFonts w:eastAsia="Times New Roman"/>
          <w:color w:val="auto"/>
        </w:rPr>
      </w:r>
      <w:r w:rsidRPr="009B0651">
        <w:rPr>
          <w:rFonts w:eastAsia="Times New Roman"/>
          <w:color w:val="auto"/>
        </w:rPr>
        <w:fldChar w:fldCharType="separate"/>
      </w:r>
      <w:r w:rsidR="00180A45" w:rsidRPr="00180A45">
        <w:rPr>
          <w:color w:val="auto"/>
        </w:rPr>
        <w:t>Table 5</w:t>
      </w:r>
      <w:r w:rsidRPr="009B0651">
        <w:rPr>
          <w:rFonts w:eastAsia="Times New Roman"/>
          <w:color w:val="auto"/>
        </w:rPr>
        <w:fldChar w:fldCharType="end"/>
      </w:r>
      <w:r w:rsidRPr="009B0651">
        <w:rPr>
          <w:rFonts w:eastAsia="Times New Roman"/>
          <w:color w:val="auto"/>
        </w:rPr>
        <w:t xml:space="preserve"> below pr</w:t>
      </w:r>
      <w:r w:rsidR="00192825" w:rsidRPr="009B0651">
        <w:rPr>
          <w:rFonts w:eastAsia="Times New Roman"/>
          <w:color w:val="auto"/>
        </w:rPr>
        <w:t xml:space="preserve">ovides a tabulated list of adverse reactions in </w:t>
      </w:r>
      <w:r w:rsidR="00124AE8" w:rsidRPr="009B0651">
        <w:rPr>
          <w:rFonts w:eastAsia="Times New Roman"/>
          <w:color w:val="auto"/>
        </w:rPr>
        <w:t>CKD patients on</w:t>
      </w:r>
      <w:r w:rsidR="00192825" w:rsidRPr="009B0651">
        <w:rPr>
          <w:rFonts w:eastAsia="Times New Roman"/>
          <w:color w:val="auto"/>
        </w:rPr>
        <w:t xml:space="preserve"> </w:t>
      </w:r>
      <w:proofErr w:type="spellStart"/>
      <w:r w:rsidR="00124AE8" w:rsidRPr="009B0651">
        <w:rPr>
          <w:rFonts w:eastAsia="Times New Roman"/>
          <w:color w:val="auto"/>
        </w:rPr>
        <w:t>haemodialysis</w:t>
      </w:r>
      <w:proofErr w:type="spellEnd"/>
      <w:r w:rsidR="00192825" w:rsidRPr="009B0651">
        <w:rPr>
          <w:rFonts w:eastAsia="Times New Roman"/>
          <w:color w:val="auto"/>
        </w:rPr>
        <w:t xml:space="preserve"> (Study</w:t>
      </w:r>
      <w:r w:rsidR="00192825" w:rsidRPr="009B0651">
        <w:rPr>
          <w:color w:val="auto"/>
        </w:rPr>
        <w:t xml:space="preserve"> GD3-163-201)</w:t>
      </w:r>
      <w:r w:rsidR="00192825" w:rsidRPr="009B0651">
        <w:rPr>
          <w:rFonts w:eastAsia="Times New Roman"/>
          <w:color w:val="auto"/>
        </w:rPr>
        <w:t xml:space="preserve">. </w:t>
      </w:r>
      <w:r w:rsidR="00124AE8" w:rsidRPr="009B0651">
        <w:rPr>
          <w:rFonts w:eastAsia="Times New Roman"/>
          <w:color w:val="auto"/>
        </w:rPr>
        <w:t xml:space="preserve"> </w:t>
      </w:r>
      <w:r w:rsidR="008E6AD5" w:rsidRPr="009B0651">
        <w:rPr>
          <w:rFonts w:eastAsia="Times New Roman"/>
          <w:color w:val="auto"/>
        </w:rPr>
        <w:t>P</w:t>
      </w:r>
      <w:r w:rsidR="008E6AD5" w:rsidRPr="009B0651">
        <w:rPr>
          <w:color w:val="auto"/>
          <w:sz w:val="23"/>
          <w:szCs w:val="23"/>
        </w:rPr>
        <w:t xml:space="preserve">atients received </w:t>
      </w:r>
      <w:proofErr w:type="spellStart"/>
      <w:r w:rsidR="008E6AD5" w:rsidRPr="009B0651">
        <w:rPr>
          <w:color w:val="auto"/>
          <w:sz w:val="23"/>
          <w:szCs w:val="23"/>
        </w:rPr>
        <w:t>sevelamer</w:t>
      </w:r>
      <w:proofErr w:type="spellEnd"/>
      <w:r w:rsidR="008E6AD5" w:rsidRPr="009B0651">
        <w:rPr>
          <w:color w:val="auto"/>
          <w:sz w:val="20"/>
          <w:szCs w:val="20"/>
        </w:rPr>
        <w:t xml:space="preserve"> </w:t>
      </w:r>
      <w:r w:rsidR="008E6AD5" w:rsidRPr="009B0651">
        <w:rPr>
          <w:color w:val="auto"/>
          <w:sz w:val="23"/>
          <w:szCs w:val="23"/>
        </w:rPr>
        <w:t xml:space="preserve">carbonate 800 mg tablets and </w:t>
      </w:r>
      <w:proofErr w:type="spellStart"/>
      <w:r w:rsidR="008E6AD5" w:rsidRPr="009B0651">
        <w:rPr>
          <w:color w:val="auto"/>
          <w:sz w:val="23"/>
          <w:szCs w:val="23"/>
        </w:rPr>
        <w:t>sevelamer</w:t>
      </w:r>
      <w:proofErr w:type="spellEnd"/>
      <w:r w:rsidR="008E6AD5" w:rsidRPr="009B0651">
        <w:rPr>
          <w:color w:val="auto"/>
          <w:sz w:val="23"/>
          <w:szCs w:val="23"/>
        </w:rPr>
        <w:t xml:space="preserve"> hydrochloride 800 mg tablets for eight weeks each</w:t>
      </w:r>
      <w:r w:rsidR="00124AE8" w:rsidRPr="009B0651">
        <w:rPr>
          <w:rFonts w:eastAsia="Times New Roman"/>
          <w:color w:val="auto"/>
        </w:rPr>
        <w:t xml:space="preserve"> with</w:t>
      </w:r>
      <w:r w:rsidR="00192825" w:rsidRPr="009B0651">
        <w:rPr>
          <w:rFonts w:eastAsia="Times New Roman"/>
          <w:color w:val="auto"/>
        </w:rPr>
        <w:t xml:space="preserve"> </w:t>
      </w:r>
      <w:r w:rsidR="00124AE8" w:rsidRPr="009B0651">
        <w:rPr>
          <w:rFonts w:eastAsia="Times New Roman"/>
          <w:color w:val="auto"/>
        </w:rPr>
        <w:t>meals</w:t>
      </w:r>
      <w:r w:rsidR="008E6AD5" w:rsidRPr="009B0651">
        <w:rPr>
          <w:rFonts w:eastAsia="Times New Roman"/>
          <w:color w:val="auto"/>
        </w:rPr>
        <w:t>. Adverse reactions occurring in ≥5% of patients are listed by Medical Dictionary for Regulatory Activities (</w:t>
      </w:r>
      <w:proofErr w:type="spellStart"/>
      <w:r w:rsidR="008E6AD5" w:rsidRPr="009B0651">
        <w:rPr>
          <w:rFonts w:eastAsia="Times New Roman"/>
          <w:color w:val="auto"/>
        </w:rPr>
        <w:t>MedDRA</w:t>
      </w:r>
      <w:proofErr w:type="spellEnd"/>
      <w:r w:rsidR="008E6AD5" w:rsidRPr="009B0651">
        <w:rPr>
          <w:rFonts w:eastAsia="Times New Roman"/>
          <w:color w:val="auto"/>
        </w:rPr>
        <w:t>) System Organ Class (SOC) and Preferred Term (PT).</w:t>
      </w:r>
    </w:p>
    <w:p w:rsidR="00124AE8" w:rsidRPr="009B0651" w:rsidRDefault="00374A17" w:rsidP="00374A17">
      <w:pPr>
        <w:pStyle w:val="Caption"/>
      </w:pPr>
      <w:bookmarkStart w:id="28" w:name="_Ref401936527"/>
      <w:r w:rsidRPr="009B0651">
        <w:lastRenderedPageBreak/>
        <w:t>Table </w:t>
      </w:r>
      <w:r w:rsidRPr="009B0651">
        <w:fldChar w:fldCharType="begin"/>
      </w:r>
      <w:r w:rsidRPr="009B0651">
        <w:instrText xml:space="preserve"> SEQ Table \* ARABIC </w:instrText>
      </w:r>
      <w:r w:rsidRPr="009B0651">
        <w:fldChar w:fldCharType="separate"/>
      </w:r>
      <w:r w:rsidR="00180A45">
        <w:rPr>
          <w:noProof/>
        </w:rPr>
        <w:t>5</w:t>
      </w:r>
      <w:r w:rsidRPr="009B0651">
        <w:fldChar w:fldCharType="end"/>
      </w:r>
      <w:bookmarkEnd w:id="28"/>
      <w:r w:rsidRPr="009B0651">
        <w:t xml:space="preserve"> ­ Treatment Emergent AEs (All Causality) Occurring in </w:t>
      </w:r>
      <w:r w:rsidRPr="009B0651">
        <w:sym w:font="Symbol" w:char="F0B3"/>
      </w:r>
      <w:r w:rsidRPr="009B0651">
        <w:t xml:space="preserve"> 5% of Patients during Either Treatment Regimen in Study GD3-163-201</w:t>
      </w:r>
    </w:p>
    <w:tbl>
      <w:tblPr>
        <w:tblW w:w="0" w:type="auto"/>
        <w:jc w:val="center"/>
        <w:tblInd w:w="37" w:type="dxa"/>
        <w:tblBorders>
          <w:top w:val="single" w:sz="4" w:space="0" w:color="auto"/>
          <w:bottom w:val="single" w:sz="4" w:space="0" w:color="auto"/>
        </w:tblBorders>
        <w:tblLook w:val="01E0" w:firstRow="1" w:lastRow="1" w:firstColumn="1" w:lastColumn="1" w:noHBand="0" w:noVBand="0"/>
      </w:tblPr>
      <w:tblGrid>
        <w:gridCol w:w="3692"/>
        <w:gridCol w:w="2635"/>
        <w:gridCol w:w="3321"/>
      </w:tblGrid>
      <w:tr w:rsidR="002A2BD3" w:rsidRPr="009B0651" w:rsidTr="00554F54">
        <w:trPr>
          <w:cantSplit/>
          <w:tblHeader/>
          <w:jc w:val="center"/>
        </w:trPr>
        <w:tc>
          <w:tcPr>
            <w:tcW w:w="0" w:type="auto"/>
            <w:tcBorders>
              <w:top w:val="single" w:sz="4" w:space="0" w:color="auto"/>
              <w:bottom w:val="single" w:sz="4" w:space="0" w:color="auto"/>
            </w:tcBorders>
            <w:shd w:val="clear" w:color="auto" w:fill="auto"/>
            <w:vAlign w:val="bottom"/>
          </w:tcPr>
          <w:p w:rsidR="00374A17" w:rsidRPr="009B0651" w:rsidRDefault="00374A17" w:rsidP="00A06CB7">
            <w:pPr>
              <w:pStyle w:val="TblHeadingCenter"/>
              <w:jc w:val="left"/>
            </w:pPr>
            <w:r w:rsidRPr="009B0651">
              <w:t xml:space="preserve">System Organ Class </w:t>
            </w:r>
          </w:p>
          <w:p w:rsidR="00124AE8" w:rsidRPr="009B0651" w:rsidRDefault="00374A17" w:rsidP="00A06CB7">
            <w:pPr>
              <w:pStyle w:val="TblHeadingCenter"/>
              <w:ind w:left="266"/>
              <w:jc w:val="left"/>
            </w:pPr>
            <w:r w:rsidRPr="009B0651">
              <w:t>Preferred Term</w:t>
            </w:r>
          </w:p>
        </w:tc>
        <w:tc>
          <w:tcPr>
            <w:tcW w:w="2635" w:type="dxa"/>
            <w:tcBorders>
              <w:top w:val="single" w:sz="4" w:space="0" w:color="auto"/>
              <w:bottom w:val="single" w:sz="4" w:space="0" w:color="auto"/>
            </w:tcBorders>
            <w:shd w:val="clear" w:color="auto" w:fill="auto"/>
          </w:tcPr>
          <w:p w:rsidR="00124AE8" w:rsidRPr="009B0651" w:rsidRDefault="00124AE8" w:rsidP="00374A17">
            <w:pPr>
              <w:pStyle w:val="TblHeadingCenter"/>
            </w:pPr>
            <w:r w:rsidRPr="009B0651">
              <w:t xml:space="preserve">Sevelamer Carbonate </w:t>
            </w:r>
            <w:r w:rsidRPr="009B0651">
              <w:br/>
              <w:t>Tablets TID (N=73)</w:t>
            </w:r>
          </w:p>
          <w:p w:rsidR="00374A17" w:rsidRPr="009B0651" w:rsidRDefault="00374A17" w:rsidP="00554F54">
            <w:pPr>
              <w:pStyle w:val="TblHeadingCenter"/>
            </w:pPr>
            <w:r w:rsidRPr="009B0651">
              <w:t>Patients %</w:t>
            </w:r>
          </w:p>
        </w:tc>
        <w:tc>
          <w:tcPr>
            <w:tcW w:w="3321" w:type="dxa"/>
            <w:tcBorders>
              <w:top w:val="single" w:sz="4" w:space="0" w:color="auto"/>
              <w:bottom w:val="single" w:sz="4" w:space="0" w:color="auto"/>
            </w:tcBorders>
            <w:shd w:val="clear" w:color="auto" w:fill="auto"/>
          </w:tcPr>
          <w:p w:rsidR="00124AE8" w:rsidRPr="009B0651" w:rsidRDefault="00124AE8" w:rsidP="00374A17">
            <w:pPr>
              <w:pStyle w:val="TblHeadingCenter"/>
            </w:pPr>
            <w:r w:rsidRPr="009B0651">
              <w:t>Sevelamer Hydrochloride Tablets TID (N=78)</w:t>
            </w:r>
          </w:p>
          <w:p w:rsidR="00374A17" w:rsidRPr="009B0651" w:rsidRDefault="00374A17" w:rsidP="00554F54">
            <w:pPr>
              <w:pStyle w:val="TblHeadingCenter"/>
            </w:pPr>
            <w:r w:rsidRPr="009B0651">
              <w:t>Patients %</w:t>
            </w:r>
          </w:p>
        </w:tc>
      </w:tr>
      <w:tr w:rsidR="002A2BD3" w:rsidRPr="009B0651" w:rsidTr="00554F54">
        <w:trPr>
          <w:cantSplit/>
          <w:jc w:val="center"/>
        </w:trPr>
        <w:tc>
          <w:tcPr>
            <w:tcW w:w="0" w:type="auto"/>
            <w:tcBorders>
              <w:top w:val="single" w:sz="4" w:space="0" w:color="auto"/>
            </w:tcBorders>
            <w:shd w:val="clear" w:color="auto" w:fill="auto"/>
          </w:tcPr>
          <w:p w:rsidR="00124AE8" w:rsidRPr="009B0651" w:rsidRDefault="00124AE8" w:rsidP="00A06CB7">
            <w:pPr>
              <w:pStyle w:val="TblTextCenter"/>
              <w:jc w:val="left"/>
              <w:rPr>
                <w:b/>
              </w:rPr>
            </w:pPr>
            <w:r w:rsidRPr="009B0651">
              <w:rPr>
                <w:b/>
              </w:rPr>
              <w:t>Gastrointestinal Disorders</w:t>
            </w:r>
          </w:p>
        </w:tc>
        <w:tc>
          <w:tcPr>
            <w:tcW w:w="2635" w:type="dxa"/>
            <w:tcBorders>
              <w:top w:val="single" w:sz="4" w:space="0" w:color="auto"/>
            </w:tcBorders>
            <w:shd w:val="clear" w:color="auto" w:fill="auto"/>
          </w:tcPr>
          <w:p w:rsidR="00124AE8" w:rsidRPr="009B0651" w:rsidRDefault="00124AE8" w:rsidP="00554F54">
            <w:pPr>
              <w:pStyle w:val="TblTextCenter"/>
            </w:pPr>
          </w:p>
        </w:tc>
        <w:tc>
          <w:tcPr>
            <w:tcW w:w="3321" w:type="dxa"/>
            <w:tcBorders>
              <w:top w:val="single" w:sz="4" w:space="0" w:color="auto"/>
            </w:tcBorders>
            <w:shd w:val="clear" w:color="auto" w:fill="auto"/>
          </w:tcPr>
          <w:p w:rsidR="00124AE8" w:rsidRPr="009B0651" w:rsidRDefault="00124AE8" w:rsidP="00554F54">
            <w:pPr>
              <w:pStyle w:val="TblTextCenter"/>
            </w:pPr>
          </w:p>
        </w:tc>
      </w:tr>
      <w:tr w:rsidR="002A2BD3" w:rsidRPr="009B0651" w:rsidTr="00554F54">
        <w:trPr>
          <w:cantSplit/>
          <w:jc w:val="center"/>
        </w:trPr>
        <w:tc>
          <w:tcPr>
            <w:tcW w:w="0" w:type="auto"/>
            <w:shd w:val="clear" w:color="auto" w:fill="auto"/>
          </w:tcPr>
          <w:p w:rsidR="00124AE8" w:rsidRPr="009B0651" w:rsidRDefault="00124AE8" w:rsidP="00A06CB7">
            <w:pPr>
              <w:pStyle w:val="TblTextCenter"/>
              <w:ind w:left="266"/>
              <w:jc w:val="left"/>
            </w:pPr>
            <w:r w:rsidRPr="009B0651">
              <w:t>Nausea</w:t>
            </w:r>
          </w:p>
        </w:tc>
        <w:tc>
          <w:tcPr>
            <w:tcW w:w="2635" w:type="dxa"/>
            <w:shd w:val="clear" w:color="auto" w:fill="auto"/>
          </w:tcPr>
          <w:p w:rsidR="00124AE8" w:rsidRPr="009B0651" w:rsidRDefault="00124AE8" w:rsidP="00554F54">
            <w:pPr>
              <w:pStyle w:val="TblTextCenter"/>
            </w:pPr>
            <w:r w:rsidRPr="009B0651">
              <w:t>9.6</w:t>
            </w:r>
          </w:p>
        </w:tc>
        <w:tc>
          <w:tcPr>
            <w:tcW w:w="3321" w:type="dxa"/>
            <w:shd w:val="clear" w:color="auto" w:fill="auto"/>
          </w:tcPr>
          <w:p w:rsidR="00124AE8" w:rsidRPr="009B0651" w:rsidRDefault="00124AE8" w:rsidP="00554F54">
            <w:pPr>
              <w:pStyle w:val="TblTextCenter"/>
            </w:pPr>
            <w:r w:rsidRPr="009B0651">
              <w:t>12.8</w:t>
            </w:r>
          </w:p>
        </w:tc>
      </w:tr>
      <w:tr w:rsidR="002A2BD3" w:rsidRPr="009B0651" w:rsidTr="00554F54">
        <w:trPr>
          <w:cantSplit/>
          <w:jc w:val="center"/>
        </w:trPr>
        <w:tc>
          <w:tcPr>
            <w:tcW w:w="0" w:type="auto"/>
            <w:shd w:val="clear" w:color="auto" w:fill="auto"/>
          </w:tcPr>
          <w:p w:rsidR="00124AE8" w:rsidRPr="009B0651" w:rsidRDefault="00124AE8" w:rsidP="00A06CB7">
            <w:pPr>
              <w:pStyle w:val="TblTextCenter"/>
              <w:ind w:left="266"/>
              <w:jc w:val="left"/>
            </w:pPr>
            <w:r w:rsidRPr="009B0651">
              <w:t>Vomiting</w:t>
            </w:r>
          </w:p>
        </w:tc>
        <w:tc>
          <w:tcPr>
            <w:tcW w:w="2635" w:type="dxa"/>
            <w:shd w:val="clear" w:color="auto" w:fill="auto"/>
          </w:tcPr>
          <w:p w:rsidR="00124AE8" w:rsidRPr="009B0651" w:rsidRDefault="00124AE8" w:rsidP="00554F54">
            <w:pPr>
              <w:pStyle w:val="TblTextCenter"/>
            </w:pPr>
            <w:r w:rsidRPr="009B0651">
              <w:t>8.2</w:t>
            </w:r>
          </w:p>
        </w:tc>
        <w:tc>
          <w:tcPr>
            <w:tcW w:w="3321" w:type="dxa"/>
            <w:shd w:val="clear" w:color="auto" w:fill="auto"/>
          </w:tcPr>
          <w:p w:rsidR="00124AE8" w:rsidRPr="009B0651" w:rsidRDefault="00124AE8" w:rsidP="00554F54">
            <w:pPr>
              <w:pStyle w:val="TblTextCenter"/>
            </w:pPr>
            <w:r w:rsidRPr="009B0651">
              <w:t>10.3</w:t>
            </w:r>
          </w:p>
        </w:tc>
      </w:tr>
      <w:tr w:rsidR="002A2BD3" w:rsidRPr="009B0651" w:rsidTr="00554F54">
        <w:trPr>
          <w:cantSplit/>
          <w:jc w:val="center"/>
        </w:trPr>
        <w:tc>
          <w:tcPr>
            <w:tcW w:w="0" w:type="auto"/>
            <w:shd w:val="clear" w:color="auto" w:fill="auto"/>
          </w:tcPr>
          <w:p w:rsidR="00124AE8" w:rsidRPr="009B0651" w:rsidRDefault="00124AE8" w:rsidP="00A06CB7">
            <w:pPr>
              <w:pStyle w:val="TblTextCenter"/>
              <w:ind w:left="266"/>
              <w:jc w:val="left"/>
            </w:pPr>
            <w:proofErr w:type="spellStart"/>
            <w:r w:rsidRPr="009B0651">
              <w:t>Diarrhoea</w:t>
            </w:r>
            <w:proofErr w:type="spellEnd"/>
          </w:p>
        </w:tc>
        <w:tc>
          <w:tcPr>
            <w:tcW w:w="2635" w:type="dxa"/>
            <w:shd w:val="clear" w:color="auto" w:fill="auto"/>
          </w:tcPr>
          <w:p w:rsidR="00124AE8" w:rsidRPr="009B0651" w:rsidRDefault="00124AE8" w:rsidP="00554F54">
            <w:pPr>
              <w:pStyle w:val="TblTextCenter"/>
            </w:pPr>
            <w:r w:rsidRPr="009B0651">
              <w:t>2.7</w:t>
            </w:r>
          </w:p>
        </w:tc>
        <w:tc>
          <w:tcPr>
            <w:tcW w:w="3321" w:type="dxa"/>
            <w:shd w:val="clear" w:color="auto" w:fill="auto"/>
          </w:tcPr>
          <w:p w:rsidR="00124AE8" w:rsidRPr="009B0651" w:rsidRDefault="00124AE8" w:rsidP="00554F54">
            <w:pPr>
              <w:pStyle w:val="TblTextCenter"/>
            </w:pPr>
            <w:r w:rsidRPr="009B0651">
              <w:t>6.4</w:t>
            </w:r>
          </w:p>
        </w:tc>
      </w:tr>
      <w:tr w:rsidR="002A2BD3" w:rsidRPr="009B0651" w:rsidTr="00554F54">
        <w:trPr>
          <w:cantSplit/>
          <w:jc w:val="center"/>
        </w:trPr>
        <w:tc>
          <w:tcPr>
            <w:tcW w:w="0" w:type="auto"/>
            <w:shd w:val="clear" w:color="auto" w:fill="auto"/>
          </w:tcPr>
          <w:p w:rsidR="00124AE8" w:rsidRPr="009B0651" w:rsidRDefault="00124AE8" w:rsidP="00A06CB7">
            <w:pPr>
              <w:pStyle w:val="TblTextCenter"/>
              <w:ind w:left="266"/>
              <w:jc w:val="left"/>
            </w:pPr>
            <w:r w:rsidRPr="009B0651">
              <w:t>Gastro-</w:t>
            </w:r>
            <w:proofErr w:type="spellStart"/>
            <w:r w:rsidRPr="009B0651">
              <w:t>oesophageal</w:t>
            </w:r>
            <w:proofErr w:type="spellEnd"/>
            <w:r w:rsidRPr="009B0651">
              <w:t xml:space="preserve"> reflux disease</w:t>
            </w:r>
          </w:p>
        </w:tc>
        <w:tc>
          <w:tcPr>
            <w:tcW w:w="2635" w:type="dxa"/>
            <w:shd w:val="clear" w:color="auto" w:fill="auto"/>
          </w:tcPr>
          <w:p w:rsidR="00124AE8" w:rsidRPr="009B0651" w:rsidRDefault="00124AE8" w:rsidP="00554F54">
            <w:pPr>
              <w:pStyle w:val="TblTextCenter"/>
            </w:pPr>
            <w:r w:rsidRPr="009B0651">
              <w:t>1.4</w:t>
            </w:r>
          </w:p>
        </w:tc>
        <w:tc>
          <w:tcPr>
            <w:tcW w:w="3321" w:type="dxa"/>
            <w:shd w:val="clear" w:color="auto" w:fill="auto"/>
          </w:tcPr>
          <w:p w:rsidR="00124AE8" w:rsidRPr="009B0651" w:rsidRDefault="00124AE8" w:rsidP="00554F54">
            <w:pPr>
              <w:pStyle w:val="TblTextCenter"/>
            </w:pPr>
            <w:r w:rsidRPr="009B0651">
              <w:t>5.1</w:t>
            </w:r>
          </w:p>
        </w:tc>
      </w:tr>
      <w:tr w:rsidR="002A2BD3" w:rsidRPr="009B0651" w:rsidTr="00554F54">
        <w:trPr>
          <w:cantSplit/>
          <w:trHeight w:val="909"/>
          <w:jc w:val="center"/>
        </w:trPr>
        <w:tc>
          <w:tcPr>
            <w:tcW w:w="0" w:type="auto"/>
            <w:shd w:val="clear" w:color="auto" w:fill="auto"/>
          </w:tcPr>
          <w:p w:rsidR="00124AE8" w:rsidRPr="009B0651" w:rsidRDefault="00124AE8" w:rsidP="00A06CB7">
            <w:pPr>
              <w:pStyle w:val="TblTextCenter"/>
              <w:jc w:val="left"/>
              <w:rPr>
                <w:b/>
              </w:rPr>
            </w:pPr>
            <w:r w:rsidRPr="009B0651">
              <w:rPr>
                <w:b/>
              </w:rPr>
              <w:t>General Disorders and Administration Site Conditions</w:t>
            </w:r>
          </w:p>
          <w:p w:rsidR="00124AE8" w:rsidRPr="009B0651" w:rsidRDefault="00124AE8" w:rsidP="00A06CB7">
            <w:pPr>
              <w:pStyle w:val="TblTextCenter"/>
              <w:ind w:left="266"/>
              <w:jc w:val="left"/>
            </w:pPr>
            <w:r w:rsidRPr="009B0651">
              <w:t>Fatigue</w:t>
            </w:r>
          </w:p>
        </w:tc>
        <w:tc>
          <w:tcPr>
            <w:tcW w:w="2635" w:type="dxa"/>
            <w:shd w:val="clear" w:color="auto" w:fill="auto"/>
          </w:tcPr>
          <w:p w:rsidR="00124AE8" w:rsidRPr="009B0651" w:rsidRDefault="00124AE8" w:rsidP="00554F54">
            <w:pPr>
              <w:pStyle w:val="TblTextCenter"/>
            </w:pPr>
          </w:p>
          <w:p w:rsidR="00124AE8" w:rsidRPr="009B0651" w:rsidRDefault="00124AE8" w:rsidP="00554F54">
            <w:pPr>
              <w:pStyle w:val="TblTextCenter"/>
            </w:pPr>
          </w:p>
          <w:p w:rsidR="00124AE8" w:rsidRPr="009B0651" w:rsidRDefault="00124AE8" w:rsidP="00554F54">
            <w:pPr>
              <w:pStyle w:val="TblTextCenter"/>
            </w:pPr>
            <w:r w:rsidRPr="009B0651">
              <w:t>1.4</w:t>
            </w:r>
          </w:p>
        </w:tc>
        <w:tc>
          <w:tcPr>
            <w:tcW w:w="3321" w:type="dxa"/>
            <w:shd w:val="clear" w:color="auto" w:fill="auto"/>
          </w:tcPr>
          <w:p w:rsidR="00124AE8" w:rsidRPr="009B0651" w:rsidRDefault="00124AE8" w:rsidP="00554F54">
            <w:pPr>
              <w:pStyle w:val="TblTextCenter"/>
            </w:pPr>
          </w:p>
          <w:p w:rsidR="00124AE8" w:rsidRPr="009B0651" w:rsidRDefault="00124AE8" w:rsidP="00554F54">
            <w:pPr>
              <w:pStyle w:val="TblTextCenter"/>
            </w:pPr>
          </w:p>
          <w:p w:rsidR="00124AE8" w:rsidRPr="009B0651" w:rsidRDefault="00124AE8" w:rsidP="00554F54">
            <w:pPr>
              <w:pStyle w:val="TblTextCenter"/>
            </w:pPr>
            <w:r w:rsidRPr="009B0651">
              <w:t>5.1</w:t>
            </w:r>
          </w:p>
        </w:tc>
      </w:tr>
      <w:tr w:rsidR="002A2BD3" w:rsidRPr="009B0651" w:rsidTr="00554F54">
        <w:trPr>
          <w:cantSplit/>
          <w:trHeight w:val="666"/>
          <w:jc w:val="center"/>
        </w:trPr>
        <w:tc>
          <w:tcPr>
            <w:tcW w:w="0" w:type="auto"/>
            <w:shd w:val="clear" w:color="auto" w:fill="auto"/>
          </w:tcPr>
          <w:p w:rsidR="00124AE8" w:rsidRPr="009B0651" w:rsidRDefault="00124AE8" w:rsidP="00A06CB7">
            <w:pPr>
              <w:pStyle w:val="TblTextCenter"/>
              <w:jc w:val="left"/>
              <w:rPr>
                <w:b/>
              </w:rPr>
            </w:pPr>
            <w:r w:rsidRPr="009B0651">
              <w:rPr>
                <w:b/>
              </w:rPr>
              <w:t>Infections and Infestations</w:t>
            </w:r>
          </w:p>
          <w:p w:rsidR="00124AE8" w:rsidRPr="009B0651" w:rsidRDefault="00124AE8" w:rsidP="00A06CB7">
            <w:pPr>
              <w:pStyle w:val="TblTextCenter"/>
              <w:ind w:left="266"/>
              <w:jc w:val="left"/>
            </w:pPr>
            <w:r w:rsidRPr="009B0651">
              <w:t>Urinary tract infection</w:t>
            </w:r>
          </w:p>
        </w:tc>
        <w:tc>
          <w:tcPr>
            <w:tcW w:w="2635" w:type="dxa"/>
            <w:shd w:val="clear" w:color="auto" w:fill="auto"/>
            <w:vAlign w:val="bottom"/>
          </w:tcPr>
          <w:p w:rsidR="00124AE8" w:rsidRPr="009B0651" w:rsidRDefault="00124AE8" w:rsidP="00554F54">
            <w:pPr>
              <w:pStyle w:val="TblTextCenter"/>
            </w:pPr>
            <w:r w:rsidRPr="009B0651">
              <w:t>8.2</w:t>
            </w:r>
          </w:p>
        </w:tc>
        <w:tc>
          <w:tcPr>
            <w:tcW w:w="3321" w:type="dxa"/>
            <w:shd w:val="clear" w:color="auto" w:fill="auto"/>
            <w:vAlign w:val="bottom"/>
          </w:tcPr>
          <w:p w:rsidR="00124AE8" w:rsidRPr="009B0651" w:rsidRDefault="00124AE8" w:rsidP="00554F54">
            <w:pPr>
              <w:pStyle w:val="TblTextCenter"/>
            </w:pPr>
            <w:r w:rsidRPr="009B0651">
              <w:t>1.3</w:t>
            </w:r>
          </w:p>
        </w:tc>
      </w:tr>
      <w:tr w:rsidR="002A2BD3" w:rsidRPr="009B0651" w:rsidTr="00554F54">
        <w:trPr>
          <w:cantSplit/>
          <w:trHeight w:val="287"/>
          <w:jc w:val="center"/>
        </w:trPr>
        <w:tc>
          <w:tcPr>
            <w:tcW w:w="0" w:type="auto"/>
            <w:shd w:val="clear" w:color="auto" w:fill="auto"/>
          </w:tcPr>
          <w:p w:rsidR="00124AE8" w:rsidRPr="009B0651" w:rsidRDefault="00124AE8" w:rsidP="00A06CB7">
            <w:pPr>
              <w:pStyle w:val="TblTextCenter"/>
              <w:jc w:val="left"/>
              <w:rPr>
                <w:b/>
              </w:rPr>
            </w:pPr>
            <w:r w:rsidRPr="009B0651">
              <w:rPr>
                <w:b/>
              </w:rPr>
              <w:t>Injury, Poisoning and Procedural Complications</w:t>
            </w:r>
          </w:p>
          <w:p w:rsidR="00124AE8" w:rsidRPr="009B0651" w:rsidRDefault="00124AE8" w:rsidP="00A06CB7">
            <w:pPr>
              <w:pStyle w:val="TblTextCenter"/>
              <w:ind w:left="266"/>
              <w:jc w:val="left"/>
            </w:pPr>
            <w:r w:rsidRPr="009B0651">
              <w:t>Arteriovenous fistula site complication</w:t>
            </w:r>
          </w:p>
          <w:p w:rsidR="00124AE8" w:rsidRPr="009B0651" w:rsidRDefault="00124AE8" w:rsidP="00A06CB7">
            <w:pPr>
              <w:pStyle w:val="TblTextCenter"/>
              <w:ind w:left="266"/>
              <w:jc w:val="left"/>
            </w:pPr>
            <w:r w:rsidRPr="009B0651">
              <w:t xml:space="preserve">Arteriovenous fistula site </w:t>
            </w:r>
            <w:proofErr w:type="spellStart"/>
            <w:r w:rsidRPr="009B0651">
              <w:t>haemorrhage</w:t>
            </w:r>
            <w:proofErr w:type="spellEnd"/>
          </w:p>
          <w:p w:rsidR="00124AE8" w:rsidRPr="009B0651" w:rsidRDefault="00124AE8" w:rsidP="00A06CB7">
            <w:pPr>
              <w:pStyle w:val="TblTextCenter"/>
              <w:ind w:left="266"/>
              <w:jc w:val="left"/>
            </w:pPr>
            <w:r w:rsidRPr="009B0651">
              <w:t>Arteriovenous fistula thrombosis</w:t>
            </w:r>
          </w:p>
        </w:tc>
        <w:tc>
          <w:tcPr>
            <w:tcW w:w="2635" w:type="dxa"/>
            <w:shd w:val="clear" w:color="auto" w:fill="auto"/>
          </w:tcPr>
          <w:p w:rsidR="00124AE8" w:rsidRPr="009B0651" w:rsidRDefault="00124AE8" w:rsidP="00554F54">
            <w:pPr>
              <w:pStyle w:val="TblTextCenter"/>
            </w:pPr>
          </w:p>
          <w:p w:rsidR="00124AE8" w:rsidRPr="009B0651" w:rsidRDefault="00124AE8" w:rsidP="00554F54">
            <w:pPr>
              <w:pStyle w:val="TblTextCenter"/>
            </w:pPr>
            <w:r w:rsidRPr="009B0651">
              <w:t>6.8</w:t>
            </w:r>
          </w:p>
          <w:p w:rsidR="00124AE8" w:rsidRPr="009B0651" w:rsidRDefault="00124AE8" w:rsidP="00554F54">
            <w:pPr>
              <w:pStyle w:val="TblTextCenter"/>
            </w:pPr>
            <w:r w:rsidRPr="009B0651">
              <w:t>5.5</w:t>
            </w:r>
          </w:p>
          <w:p w:rsidR="00124AE8" w:rsidRPr="009B0651" w:rsidRDefault="00124AE8" w:rsidP="00554F54">
            <w:pPr>
              <w:pStyle w:val="TblTextCenter"/>
            </w:pPr>
            <w:r w:rsidRPr="009B0651">
              <w:t>4.1</w:t>
            </w:r>
          </w:p>
        </w:tc>
        <w:tc>
          <w:tcPr>
            <w:tcW w:w="3321" w:type="dxa"/>
            <w:shd w:val="clear" w:color="auto" w:fill="auto"/>
          </w:tcPr>
          <w:p w:rsidR="00124AE8" w:rsidRPr="009B0651" w:rsidRDefault="00124AE8" w:rsidP="00554F54">
            <w:pPr>
              <w:pStyle w:val="TblTextCenter"/>
            </w:pPr>
          </w:p>
          <w:p w:rsidR="00124AE8" w:rsidRPr="009B0651" w:rsidRDefault="00124AE8" w:rsidP="00554F54">
            <w:pPr>
              <w:pStyle w:val="TblTextCenter"/>
            </w:pPr>
            <w:r w:rsidRPr="009B0651">
              <w:t>1.3</w:t>
            </w:r>
          </w:p>
          <w:p w:rsidR="00124AE8" w:rsidRPr="009B0651" w:rsidRDefault="00124AE8" w:rsidP="00554F54">
            <w:pPr>
              <w:pStyle w:val="TblTextCenter"/>
            </w:pPr>
            <w:r w:rsidRPr="009B0651">
              <w:t>2.6</w:t>
            </w:r>
          </w:p>
          <w:p w:rsidR="00124AE8" w:rsidRPr="009B0651" w:rsidRDefault="00124AE8" w:rsidP="00554F54">
            <w:pPr>
              <w:pStyle w:val="TblTextCenter"/>
            </w:pPr>
            <w:r w:rsidRPr="009B0651">
              <w:t>11.5</w:t>
            </w:r>
          </w:p>
        </w:tc>
      </w:tr>
      <w:tr w:rsidR="002A2BD3" w:rsidRPr="009B0651" w:rsidTr="00554F54">
        <w:trPr>
          <w:cantSplit/>
          <w:trHeight w:val="665"/>
          <w:jc w:val="center"/>
        </w:trPr>
        <w:tc>
          <w:tcPr>
            <w:tcW w:w="0" w:type="auto"/>
            <w:shd w:val="clear" w:color="auto" w:fill="auto"/>
          </w:tcPr>
          <w:p w:rsidR="00124AE8" w:rsidRPr="009B0651" w:rsidRDefault="00124AE8" w:rsidP="00A06CB7">
            <w:pPr>
              <w:pStyle w:val="TblTextCenter"/>
              <w:jc w:val="left"/>
              <w:rPr>
                <w:b/>
              </w:rPr>
            </w:pPr>
            <w:r w:rsidRPr="009B0651">
              <w:rPr>
                <w:b/>
              </w:rPr>
              <w:t>Investigations</w:t>
            </w:r>
          </w:p>
          <w:p w:rsidR="00124AE8" w:rsidRPr="009B0651" w:rsidRDefault="00124AE8" w:rsidP="00A06CB7">
            <w:pPr>
              <w:pStyle w:val="TblTextCenter"/>
              <w:ind w:left="266"/>
              <w:jc w:val="left"/>
            </w:pPr>
            <w:r w:rsidRPr="009B0651">
              <w:t>Carbon dioxide decreased</w:t>
            </w:r>
          </w:p>
        </w:tc>
        <w:tc>
          <w:tcPr>
            <w:tcW w:w="2635" w:type="dxa"/>
            <w:shd w:val="clear" w:color="auto" w:fill="auto"/>
          </w:tcPr>
          <w:p w:rsidR="00124AE8" w:rsidRPr="009B0651" w:rsidRDefault="00124AE8" w:rsidP="00554F54">
            <w:pPr>
              <w:pStyle w:val="TblTextCenter"/>
            </w:pPr>
          </w:p>
          <w:p w:rsidR="00124AE8" w:rsidRPr="009B0651" w:rsidRDefault="00124AE8" w:rsidP="00554F54">
            <w:pPr>
              <w:pStyle w:val="TblTextCenter"/>
            </w:pPr>
            <w:r w:rsidRPr="009B0651">
              <w:t>5.5</w:t>
            </w:r>
          </w:p>
        </w:tc>
        <w:tc>
          <w:tcPr>
            <w:tcW w:w="3321" w:type="dxa"/>
            <w:shd w:val="clear" w:color="auto" w:fill="auto"/>
          </w:tcPr>
          <w:p w:rsidR="00124AE8" w:rsidRPr="009B0651" w:rsidRDefault="00124AE8" w:rsidP="00554F54">
            <w:pPr>
              <w:pStyle w:val="TblTextCenter"/>
            </w:pPr>
          </w:p>
          <w:p w:rsidR="00124AE8" w:rsidRPr="009B0651" w:rsidRDefault="00124AE8" w:rsidP="00554F54">
            <w:pPr>
              <w:pStyle w:val="TblTextCenter"/>
            </w:pPr>
            <w:r w:rsidRPr="009B0651">
              <w:t>5.1</w:t>
            </w:r>
          </w:p>
        </w:tc>
      </w:tr>
      <w:tr w:rsidR="002A2BD3" w:rsidRPr="009B0651" w:rsidTr="00554F54">
        <w:trPr>
          <w:cantSplit/>
          <w:trHeight w:val="666"/>
          <w:jc w:val="center"/>
        </w:trPr>
        <w:tc>
          <w:tcPr>
            <w:tcW w:w="0" w:type="auto"/>
            <w:shd w:val="clear" w:color="auto" w:fill="auto"/>
          </w:tcPr>
          <w:p w:rsidR="00124AE8" w:rsidRPr="009B0651" w:rsidRDefault="00124AE8" w:rsidP="00A06CB7">
            <w:pPr>
              <w:pStyle w:val="TblTextCenter"/>
              <w:jc w:val="left"/>
              <w:rPr>
                <w:b/>
              </w:rPr>
            </w:pPr>
            <w:r w:rsidRPr="009B0651">
              <w:rPr>
                <w:b/>
              </w:rPr>
              <w:t>Metabolism and Nutrition Disorders</w:t>
            </w:r>
          </w:p>
          <w:p w:rsidR="00124AE8" w:rsidRPr="009B0651" w:rsidRDefault="00124AE8" w:rsidP="00A06CB7">
            <w:pPr>
              <w:pStyle w:val="TblTextCenter"/>
              <w:ind w:left="266"/>
              <w:jc w:val="left"/>
            </w:pPr>
            <w:proofErr w:type="spellStart"/>
            <w:r w:rsidRPr="009B0651">
              <w:t>Hypercalcaemia</w:t>
            </w:r>
            <w:proofErr w:type="spellEnd"/>
          </w:p>
        </w:tc>
        <w:tc>
          <w:tcPr>
            <w:tcW w:w="2635" w:type="dxa"/>
            <w:shd w:val="clear" w:color="auto" w:fill="auto"/>
          </w:tcPr>
          <w:p w:rsidR="00124AE8" w:rsidRPr="009B0651" w:rsidRDefault="00124AE8" w:rsidP="00554F54">
            <w:pPr>
              <w:pStyle w:val="TblTextCenter"/>
            </w:pPr>
          </w:p>
          <w:p w:rsidR="00124AE8" w:rsidRPr="009B0651" w:rsidRDefault="00124AE8" w:rsidP="00554F54">
            <w:pPr>
              <w:pStyle w:val="TblTextCenter"/>
            </w:pPr>
            <w:r w:rsidRPr="009B0651">
              <w:t>8.2</w:t>
            </w:r>
          </w:p>
        </w:tc>
        <w:tc>
          <w:tcPr>
            <w:tcW w:w="3321" w:type="dxa"/>
            <w:shd w:val="clear" w:color="auto" w:fill="auto"/>
          </w:tcPr>
          <w:p w:rsidR="00124AE8" w:rsidRPr="009B0651" w:rsidRDefault="00124AE8" w:rsidP="00554F54">
            <w:pPr>
              <w:pStyle w:val="TblTextCenter"/>
            </w:pPr>
          </w:p>
          <w:p w:rsidR="00124AE8" w:rsidRPr="009B0651" w:rsidRDefault="00124AE8" w:rsidP="00554F54">
            <w:pPr>
              <w:pStyle w:val="TblTextCenter"/>
            </w:pPr>
            <w:r w:rsidRPr="009B0651">
              <w:t>2.6</w:t>
            </w:r>
          </w:p>
        </w:tc>
      </w:tr>
      <w:tr w:rsidR="002A2BD3" w:rsidRPr="009B0651" w:rsidTr="00554F54">
        <w:trPr>
          <w:cantSplit/>
          <w:trHeight w:val="1025"/>
          <w:jc w:val="center"/>
        </w:trPr>
        <w:tc>
          <w:tcPr>
            <w:tcW w:w="0" w:type="auto"/>
            <w:shd w:val="clear" w:color="auto" w:fill="auto"/>
          </w:tcPr>
          <w:p w:rsidR="00124AE8" w:rsidRPr="009B0651" w:rsidRDefault="00124AE8" w:rsidP="00A06CB7">
            <w:pPr>
              <w:pStyle w:val="TblTextCenter"/>
              <w:jc w:val="left"/>
            </w:pPr>
            <w:r w:rsidRPr="009B0651">
              <w:rPr>
                <w:b/>
              </w:rPr>
              <w:t>Musculoskeletal and Connective Tissue Disorders</w:t>
            </w:r>
          </w:p>
          <w:p w:rsidR="00124AE8" w:rsidRPr="009B0651" w:rsidRDefault="00124AE8" w:rsidP="00A06CB7">
            <w:pPr>
              <w:pStyle w:val="TblTextCenter"/>
              <w:ind w:left="266"/>
              <w:jc w:val="left"/>
            </w:pPr>
            <w:r w:rsidRPr="009B0651">
              <w:t>Muscle spasms</w:t>
            </w:r>
          </w:p>
          <w:p w:rsidR="00124AE8" w:rsidRPr="009B0651" w:rsidRDefault="00124AE8" w:rsidP="00A06CB7">
            <w:pPr>
              <w:pStyle w:val="TblTextCenter"/>
              <w:ind w:left="266"/>
              <w:jc w:val="left"/>
            </w:pPr>
            <w:r w:rsidRPr="009B0651">
              <w:t>Pain in extremity</w:t>
            </w:r>
          </w:p>
        </w:tc>
        <w:tc>
          <w:tcPr>
            <w:tcW w:w="2635" w:type="dxa"/>
            <w:shd w:val="clear" w:color="auto" w:fill="auto"/>
          </w:tcPr>
          <w:p w:rsidR="00124AE8" w:rsidRPr="009B0651" w:rsidRDefault="00124AE8" w:rsidP="00554F54">
            <w:pPr>
              <w:pStyle w:val="TblTextCenter"/>
            </w:pPr>
          </w:p>
          <w:p w:rsidR="00124AE8" w:rsidRPr="009B0651" w:rsidRDefault="00124AE8" w:rsidP="00554F54">
            <w:pPr>
              <w:pStyle w:val="TblTextCenter"/>
            </w:pPr>
            <w:r w:rsidRPr="009B0651">
              <w:t>5.5</w:t>
            </w:r>
          </w:p>
          <w:p w:rsidR="00124AE8" w:rsidRPr="009B0651" w:rsidRDefault="00124AE8" w:rsidP="00554F54">
            <w:pPr>
              <w:pStyle w:val="TblTextCenter"/>
            </w:pPr>
            <w:r w:rsidRPr="009B0651">
              <w:t>4.1</w:t>
            </w:r>
          </w:p>
        </w:tc>
        <w:tc>
          <w:tcPr>
            <w:tcW w:w="3321" w:type="dxa"/>
            <w:shd w:val="clear" w:color="auto" w:fill="auto"/>
          </w:tcPr>
          <w:p w:rsidR="00124AE8" w:rsidRPr="009B0651" w:rsidRDefault="00124AE8" w:rsidP="00554F54">
            <w:pPr>
              <w:pStyle w:val="TblTextCenter"/>
            </w:pPr>
          </w:p>
          <w:p w:rsidR="00124AE8" w:rsidRPr="009B0651" w:rsidRDefault="00124AE8" w:rsidP="00554F54">
            <w:pPr>
              <w:pStyle w:val="TblTextCenter"/>
            </w:pPr>
            <w:r w:rsidRPr="009B0651">
              <w:t>3.8</w:t>
            </w:r>
          </w:p>
          <w:p w:rsidR="00124AE8" w:rsidRPr="009B0651" w:rsidRDefault="00124AE8" w:rsidP="00554F54">
            <w:pPr>
              <w:pStyle w:val="TblTextCenter"/>
            </w:pPr>
            <w:r w:rsidRPr="009B0651">
              <w:t>7.7</w:t>
            </w:r>
          </w:p>
        </w:tc>
      </w:tr>
      <w:tr w:rsidR="002A2BD3" w:rsidRPr="009B0651" w:rsidTr="00554F54">
        <w:trPr>
          <w:cantSplit/>
          <w:trHeight w:val="863"/>
          <w:jc w:val="center"/>
        </w:trPr>
        <w:tc>
          <w:tcPr>
            <w:tcW w:w="0" w:type="auto"/>
            <w:shd w:val="clear" w:color="auto" w:fill="auto"/>
          </w:tcPr>
          <w:p w:rsidR="00124AE8" w:rsidRPr="009B0651" w:rsidRDefault="00124AE8" w:rsidP="00A06CB7">
            <w:pPr>
              <w:pStyle w:val="TblTextCenter"/>
              <w:jc w:val="left"/>
              <w:rPr>
                <w:b/>
              </w:rPr>
            </w:pPr>
            <w:r w:rsidRPr="009B0651">
              <w:rPr>
                <w:b/>
              </w:rPr>
              <w:t>Nervous System Disorders</w:t>
            </w:r>
          </w:p>
          <w:p w:rsidR="00124AE8" w:rsidRPr="009B0651" w:rsidRDefault="00124AE8" w:rsidP="00A06CB7">
            <w:pPr>
              <w:pStyle w:val="TblTextCenter"/>
              <w:ind w:left="266"/>
              <w:jc w:val="left"/>
            </w:pPr>
            <w:r w:rsidRPr="009B0651">
              <w:t>Dizziness</w:t>
            </w:r>
          </w:p>
          <w:p w:rsidR="00124AE8" w:rsidRPr="009B0651" w:rsidRDefault="00124AE8" w:rsidP="00A06CB7">
            <w:pPr>
              <w:pStyle w:val="TblTextCenter"/>
              <w:ind w:left="266"/>
              <w:jc w:val="left"/>
            </w:pPr>
            <w:r w:rsidRPr="009B0651">
              <w:t>Headache</w:t>
            </w:r>
          </w:p>
        </w:tc>
        <w:tc>
          <w:tcPr>
            <w:tcW w:w="2635" w:type="dxa"/>
            <w:shd w:val="clear" w:color="auto" w:fill="auto"/>
          </w:tcPr>
          <w:p w:rsidR="00124AE8" w:rsidRPr="009B0651" w:rsidRDefault="00124AE8" w:rsidP="00554F54">
            <w:pPr>
              <w:pStyle w:val="TblTextCenter"/>
            </w:pPr>
          </w:p>
          <w:p w:rsidR="00124AE8" w:rsidRPr="009B0651" w:rsidRDefault="00124AE8" w:rsidP="00554F54">
            <w:pPr>
              <w:pStyle w:val="TblTextCenter"/>
            </w:pPr>
            <w:r w:rsidRPr="009B0651">
              <w:t>8.2</w:t>
            </w:r>
          </w:p>
          <w:p w:rsidR="00124AE8" w:rsidRPr="009B0651" w:rsidRDefault="00124AE8" w:rsidP="00554F54">
            <w:pPr>
              <w:pStyle w:val="TblTextCenter"/>
            </w:pPr>
            <w:r w:rsidRPr="009B0651">
              <w:t>4.1</w:t>
            </w:r>
          </w:p>
        </w:tc>
        <w:tc>
          <w:tcPr>
            <w:tcW w:w="3321" w:type="dxa"/>
            <w:shd w:val="clear" w:color="auto" w:fill="auto"/>
          </w:tcPr>
          <w:p w:rsidR="00124AE8" w:rsidRPr="009B0651" w:rsidRDefault="00124AE8" w:rsidP="00554F54">
            <w:pPr>
              <w:pStyle w:val="TblTextCenter"/>
            </w:pPr>
          </w:p>
          <w:p w:rsidR="00124AE8" w:rsidRPr="009B0651" w:rsidRDefault="00124AE8" w:rsidP="00554F54">
            <w:pPr>
              <w:pStyle w:val="TblTextCenter"/>
            </w:pPr>
            <w:r w:rsidRPr="009B0651">
              <w:t>3.8</w:t>
            </w:r>
          </w:p>
          <w:p w:rsidR="00124AE8" w:rsidRPr="009B0651" w:rsidRDefault="00124AE8" w:rsidP="00554F54">
            <w:pPr>
              <w:pStyle w:val="TblTextCenter"/>
            </w:pPr>
            <w:r w:rsidRPr="009B0651">
              <w:t>5.1</w:t>
            </w:r>
          </w:p>
        </w:tc>
      </w:tr>
      <w:tr w:rsidR="002A2BD3" w:rsidRPr="009B0651" w:rsidTr="00554F54">
        <w:trPr>
          <w:cantSplit/>
          <w:trHeight w:val="683"/>
          <w:jc w:val="center"/>
        </w:trPr>
        <w:tc>
          <w:tcPr>
            <w:tcW w:w="0" w:type="auto"/>
            <w:shd w:val="clear" w:color="auto" w:fill="auto"/>
          </w:tcPr>
          <w:p w:rsidR="00124AE8" w:rsidRPr="009B0651" w:rsidRDefault="00124AE8" w:rsidP="00A06CB7">
            <w:pPr>
              <w:pStyle w:val="TblTextCenter"/>
              <w:jc w:val="left"/>
              <w:rPr>
                <w:b/>
              </w:rPr>
            </w:pPr>
            <w:r w:rsidRPr="009B0651">
              <w:rPr>
                <w:b/>
              </w:rPr>
              <w:t>Respiratory, Thoracic and Mediastinal Disorders</w:t>
            </w:r>
          </w:p>
          <w:p w:rsidR="00124AE8" w:rsidRPr="009B0651" w:rsidRDefault="00124AE8" w:rsidP="005C564D">
            <w:pPr>
              <w:pStyle w:val="TblTextCenter"/>
              <w:ind w:left="266"/>
              <w:jc w:val="left"/>
            </w:pPr>
            <w:r w:rsidRPr="009B0651">
              <w:t>Cough</w:t>
            </w:r>
          </w:p>
        </w:tc>
        <w:tc>
          <w:tcPr>
            <w:tcW w:w="2635" w:type="dxa"/>
            <w:shd w:val="clear" w:color="auto" w:fill="auto"/>
          </w:tcPr>
          <w:p w:rsidR="00124AE8" w:rsidRPr="009B0651" w:rsidRDefault="00124AE8" w:rsidP="00554F54">
            <w:pPr>
              <w:pStyle w:val="TblTextCenter"/>
            </w:pPr>
          </w:p>
          <w:p w:rsidR="00124AE8" w:rsidRPr="009B0651" w:rsidRDefault="00124AE8" w:rsidP="00554F54">
            <w:pPr>
              <w:pStyle w:val="TblTextCenter"/>
            </w:pPr>
            <w:r w:rsidRPr="009B0651">
              <w:t>5.5</w:t>
            </w:r>
          </w:p>
        </w:tc>
        <w:tc>
          <w:tcPr>
            <w:tcW w:w="3321" w:type="dxa"/>
            <w:shd w:val="clear" w:color="auto" w:fill="auto"/>
          </w:tcPr>
          <w:p w:rsidR="00124AE8" w:rsidRPr="009B0651" w:rsidRDefault="00124AE8" w:rsidP="00554F54">
            <w:pPr>
              <w:pStyle w:val="TblTextCenter"/>
            </w:pPr>
          </w:p>
          <w:p w:rsidR="00124AE8" w:rsidRPr="009B0651" w:rsidRDefault="00124AE8" w:rsidP="00554F54">
            <w:pPr>
              <w:pStyle w:val="TblTextCenter"/>
            </w:pPr>
            <w:r w:rsidRPr="009B0651">
              <w:t>3.8</w:t>
            </w:r>
          </w:p>
        </w:tc>
      </w:tr>
    </w:tbl>
    <w:p w:rsidR="005C564D" w:rsidRPr="007B649A" w:rsidRDefault="005C564D" w:rsidP="005C564D">
      <w:pPr>
        <w:jc w:val="both"/>
        <w:rPr>
          <w:strike/>
          <w:color w:val="auto"/>
        </w:rPr>
      </w:pPr>
      <w:proofErr w:type="gramStart"/>
      <w:r w:rsidRPr="007B649A">
        <w:rPr>
          <w:color w:val="auto"/>
        </w:rPr>
        <w:lastRenderedPageBreak/>
        <w:t xml:space="preserve">The </w:t>
      </w:r>
      <w:r w:rsidRPr="009B0651">
        <w:rPr>
          <w:color w:val="auto"/>
        </w:rPr>
        <w:t xml:space="preserve">most frequently occurring (≥ 2% of patients) undesirable effects possibly or probably related to </w:t>
      </w:r>
      <w:proofErr w:type="spellStart"/>
      <w:r w:rsidRPr="009B0651">
        <w:rPr>
          <w:color w:val="auto"/>
        </w:rPr>
        <w:t>sevelamer</w:t>
      </w:r>
      <w:proofErr w:type="spellEnd"/>
      <w:r w:rsidRPr="009B0651">
        <w:rPr>
          <w:color w:val="auto"/>
        </w:rPr>
        <w:t xml:space="preserve"> were mainly in the gastrointestinal disorders system organ class (</w:t>
      </w:r>
      <w:r w:rsidRPr="009B0651">
        <w:rPr>
          <w:color w:val="auto"/>
        </w:rPr>
        <w:fldChar w:fldCharType="begin"/>
      </w:r>
      <w:r w:rsidRPr="009B0651">
        <w:rPr>
          <w:color w:val="auto"/>
        </w:rPr>
        <w:instrText xml:space="preserve"> REF _Ref402168329 \h  \* MERGEFORMAT </w:instrText>
      </w:r>
      <w:r w:rsidRPr="009B0651">
        <w:rPr>
          <w:color w:val="auto"/>
        </w:rPr>
      </w:r>
      <w:r w:rsidRPr="009B0651">
        <w:rPr>
          <w:color w:val="auto"/>
        </w:rPr>
        <w:fldChar w:fldCharType="separate"/>
      </w:r>
      <w:r w:rsidR="00180A45" w:rsidRPr="00180A45">
        <w:rPr>
          <w:color w:val="auto"/>
        </w:rPr>
        <w:t>Table 6</w:t>
      </w:r>
      <w:r w:rsidRPr="009B0651">
        <w:rPr>
          <w:color w:val="auto"/>
        </w:rPr>
        <w:fldChar w:fldCharType="end"/>
      </w:r>
      <w:r w:rsidRPr="009B0651">
        <w:rPr>
          <w:color w:val="auto"/>
        </w:rPr>
        <w:t>).</w:t>
      </w:r>
      <w:proofErr w:type="gramEnd"/>
      <w:r w:rsidRPr="009B0651">
        <w:rPr>
          <w:color w:val="auto"/>
        </w:rPr>
        <w:t xml:space="preserve"> Most of these adverse reactions were mild to moderate in intensity.</w:t>
      </w:r>
    </w:p>
    <w:p w:rsidR="00374A17" w:rsidRPr="009B0651" w:rsidRDefault="00374A17" w:rsidP="00374A17">
      <w:pPr>
        <w:pStyle w:val="Caption"/>
      </w:pPr>
      <w:bookmarkStart w:id="29" w:name="_Ref402168329"/>
      <w:r w:rsidRPr="009B0651">
        <w:t>Table </w:t>
      </w:r>
      <w:r w:rsidRPr="009B0651">
        <w:fldChar w:fldCharType="begin"/>
      </w:r>
      <w:r w:rsidRPr="009B0651">
        <w:instrText xml:space="preserve"> SEQ Table \* ARABIC </w:instrText>
      </w:r>
      <w:r w:rsidRPr="009B0651">
        <w:fldChar w:fldCharType="separate"/>
      </w:r>
      <w:r w:rsidR="00180A45">
        <w:rPr>
          <w:noProof/>
        </w:rPr>
        <w:t>6</w:t>
      </w:r>
      <w:r w:rsidRPr="009B0651">
        <w:fldChar w:fldCharType="end"/>
      </w:r>
      <w:bookmarkEnd w:id="29"/>
      <w:r w:rsidRPr="009B0651">
        <w:t xml:space="preserve"> ­ </w:t>
      </w:r>
      <w:r w:rsidR="000B0474" w:rsidRPr="009B0651">
        <w:t>Adverse Reactions</w:t>
      </w:r>
      <w:r w:rsidRPr="009B0651">
        <w:t xml:space="preserve"> in Studies GD3-163-201 (N=73), SVCARB00205 (N=31), and SVCARB00105 (N=49)</w:t>
      </w:r>
      <w:r w:rsidR="000B0474" w:rsidRPr="009B0651">
        <w:t xml:space="preserve"> in CIOMS format</w:t>
      </w:r>
    </w:p>
    <w:tbl>
      <w:tblPr>
        <w:tblW w:w="0" w:type="auto"/>
        <w:jc w:val="center"/>
        <w:tblBorders>
          <w:top w:val="single" w:sz="2" w:space="0" w:color="000000"/>
        </w:tblBorders>
        <w:tblLook w:val="04A0" w:firstRow="1" w:lastRow="0" w:firstColumn="1" w:lastColumn="0" w:noHBand="0" w:noVBand="1"/>
      </w:tblPr>
      <w:tblGrid>
        <w:gridCol w:w="2276"/>
        <w:gridCol w:w="2131"/>
      </w:tblGrid>
      <w:tr w:rsidR="000B0474" w:rsidRPr="009B0651" w:rsidTr="00554F54">
        <w:trPr>
          <w:cantSplit/>
          <w:tblHeader/>
          <w:jc w:val="center"/>
        </w:trPr>
        <w:tc>
          <w:tcPr>
            <w:tcW w:w="0" w:type="auto"/>
            <w:tcBorders>
              <w:top w:val="single" w:sz="4" w:space="0" w:color="000000"/>
              <w:bottom w:val="single" w:sz="4" w:space="0" w:color="000000"/>
            </w:tcBorders>
            <w:shd w:val="clear" w:color="auto" w:fill="auto"/>
          </w:tcPr>
          <w:p w:rsidR="000B0474" w:rsidRPr="009B0651" w:rsidRDefault="000B0474" w:rsidP="00554F54">
            <w:pPr>
              <w:pStyle w:val="TblHeadingCenter"/>
            </w:pPr>
            <w:r w:rsidRPr="009B0651">
              <w:t>System Organ Class</w:t>
            </w:r>
          </w:p>
        </w:tc>
        <w:tc>
          <w:tcPr>
            <w:tcW w:w="0" w:type="auto"/>
            <w:tcBorders>
              <w:top w:val="single" w:sz="4" w:space="0" w:color="000000"/>
              <w:bottom w:val="single" w:sz="4" w:space="0" w:color="000000"/>
            </w:tcBorders>
            <w:shd w:val="clear" w:color="auto" w:fill="auto"/>
          </w:tcPr>
          <w:p w:rsidR="000B0474" w:rsidRPr="009B0651" w:rsidRDefault="000B0474" w:rsidP="000B0474">
            <w:pPr>
              <w:pStyle w:val="TblHeadingCenter"/>
            </w:pPr>
            <w:r w:rsidRPr="009B0651">
              <w:t>Common</w:t>
            </w:r>
          </w:p>
          <w:p w:rsidR="000B0474" w:rsidRPr="009B0651" w:rsidRDefault="000B0474" w:rsidP="000B0474">
            <w:pPr>
              <w:pStyle w:val="TblHeadingCenter"/>
            </w:pPr>
            <w:r w:rsidRPr="009B0651">
              <w:t>(≥ 1/100  to &lt;1/10 )</w:t>
            </w:r>
          </w:p>
        </w:tc>
      </w:tr>
      <w:tr w:rsidR="000B0474" w:rsidRPr="009B0651" w:rsidTr="00554F54">
        <w:trPr>
          <w:cantSplit/>
          <w:jc w:val="center"/>
        </w:trPr>
        <w:tc>
          <w:tcPr>
            <w:tcW w:w="0" w:type="auto"/>
            <w:shd w:val="clear" w:color="auto" w:fill="auto"/>
          </w:tcPr>
          <w:p w:rsidR="000B0474" w:rsidRPr="009B0651" w:rsidRDefault="000B0474" w:rsidP="00554F54">
            <w:pPr>
              <w:pStyle w:val="TblTextCenter"/>
            </w:pPr>
          </w:p>
        </w:tc>
        <w:tc>
          <w:tcPr>
            <w:tcW w:w="0" w:type="auto"/>
            <w:shd w:val="clear" w:color="auto" w:fill="auto"/>
          </w:tcPr>
          <w:p w:rsidR="000B0474" w:rsidRPr="009B0651" w:rsidRDefault="000B0474" w:rsidP="005C564D">
            <w:pPr>
              <w:pStyle w:val="TblTextCenter"/>
              <w:jc w:val="left"/>
            </w:pPr>
            <w:r w:rsidRPr="009B0651">
              <w:t>Nausea</w:t>
            </w:r>
          </w:p>
        </w:tc>
      </w:tr>
      <w:tr w:rsidR="000B0474" w:rsidRPr="009B0651" w:rsidTr="00554F54">
        <w:trPr>
          <w:cantSplit/>
          <w:jc w:val="center"/>
        </w:trPr>
        <w:tc>
          <w:tcPr>
            <w:tcW w:w="0" w:type="auto"/>
            <w:shd w:val="clear" w:color="auto" w:fill="auto"/>
          </w:tcPr>
          <w:p w:rsidR="000B0474" w:rsidRPr="009B0651" w:rsidRDefault="000B0474" w:rsidP="00554F54">
            <w:pPr>
              <w:pStyle w:val="TblTextCenter"/>
            </w:pPr>
          </w:p>
        </w:tc>
        <w:tc>
          <w:tcPr>
            <w:tcW w:w="0" w:type="auto"/>
            <w:shd w:val="clear" w:color="auto" w:fill="auto"/>
          </w:tcPr>
          <w:p w:rsidR="000B0474" w:rsidRPr="009B0651" w:rsidRDefault="000B0474" w:rsidP="005C564D">
            <w:pPr>
              <w:pStyle w:val="TblTextCenter"/>
              <w:jc w:val="left"/>
            </w:pPr>
            <w:r w:rsidRPr="009B0651">
              <w:t>Constipation</w:t>
            </w:r>
          </w:p>
        </w:tc>
      </w:tr>
      <w:tr w:rsidR="000B0474" w:rsidRPr="009B0651" w:rsidTr="00554F54">
        <w:trPr>
          <w:cantSplit/>
          <w:jc w:val="center"/>
        </w:trPr>
        <w:tc>
          <w:tcPr>
            <w:tcW w:w="0" w:type="auto"/>
            <w:shd w:val="clear" w:color="auto" w:fill="auto"/>
          </w:tcPr>
          <w:p w:rsidR="000B0474" w:rsidRPr="009B0651" w:rsidRDefault="000B0474" w:rsidP="00554F54">
            <w:pPr>
              <w:pStyle w:val="TblTextCenter"/>
            </w:pPr>
          </w:p>
        </w:tc>
        <w:tc>
          <w:tcPr>
            <w:tcW w:w="0" w:type="auto"/>
            <w:shd w:val="clear" w:color="auto" w:fill="auto"/>
          </w:tcPr>
          <w:p w:rsidR="000B0474" w:rsidRPr="009B0651" w:rsidRDefault="000B0474" w:rsidP="005C564D">
            <w:pPr>
              <w:pStyle w:val="TblTextCenter"/>
              <w:jc w:val="left"/>
            </w:pPr>
            <w:r w:rsidRPr="009B0651">
              <w:t>Vomiting</w:t>
            </w:r>
          </w:p>
        </w:tc>
      </w:tr>
      <w:tr w:rsidR="000B0474" w:rsidRPr="009B0651" w:rsidTr="00554F54">
        <w:trPr>
          <w:cantSplit/>
          <w:jc w:val="center"/>
        </w:trPr>
        <w:tc>
          <w:tcPr>
            <w:tcW w:w="0" w:type="auto"/>
            <w:shd w:val="clear" w:color="auto" w:fill="auto"/>
          </w:tcPr>
          <w:p w:rsidR="000B0474" w:rsidRPr="009B0651" w:rsidRDefault="004F4CB7" w:rsidP="004F4CB7">
            <w:pPr>
              <w:pStyle w:val="TblTextCenter"/>
            </w:pPr>
            <w:r w:rsidRPr="009B0651">
              <w:rPr>
                <w:b/>
              </w:rPr>
              <w:t>Gastrointestinal Disorders</w:t>
            </w:r>
          </w:p>
        </w:tc>
        <w:tc>
          <w:tcPr>
            <w:tcW w:w="0" w:type="auto"/>
            <w:shd w:val="clear" w:color="auto" w:fill="auto"/>
          </w:tcPr>
          <w:p w:rsidR="000B0474" w:rsidRPr="009B0651" w:rsidRDefault="000B0474" w:rsidP="005C564D">
            <w:pPr>
              <w:pStyle w:val="TblTextCenter"/>
              <w:jc w:val="left"/>
            </w:pPr>
            <w:r w:rsidRPr="009B0651">
              <w:t>Abdominal pain upper</w:t>
            </w:r>
          </w:p>
        </w:tc>
      </w:tr>
      <w:tr w:rsidR="000B0474" w:rsidRPr="009B0651" w:rsidTr="00554F54">
        <w:trPr>
          <w:cantSplit/>
          <w:jc w:val="center"/>
        </w:trPr>
        <w:tc>
          <w:tcPr>
            <w:tcW w:w="0" w:type="auto"/>
            <w:shd w:val="clear" w:color="auto" w:fill="auto"/>
          </w:tcPr>
          <w:p w:rsidR="000B0474" w:rsidRPr="009B0651" w:rsidRDefault="000B0474" w:rsidP="00554F54">
            <w:pPr>
              <w:pStyle w:val="TblTextCenter"/>
            </w:pPr>
          </w:p>
        </w:tc>
        <w:tc>
          <w:tcPr>
            <w:tcW w:w="0" w:type="auto"/>
            <w:shd w:val="clear" w:color="auto" w:fill="auto"/>
          </w:tcPr>
          <w:p w:rsidR="000B0474" w:rsidRPr="009B0651" w:rsidRDefault="000B0474" w:rsidP="005C564D">
            <w:pPr>
              <w:pStyle w:val="TblTextCenter"/>
              <w:jc w:val="left"/>
            </w:pPr>
            <w:proofErr w:type="spellStart"/>
            <w:r w:rsidRPr="009B0651">
              <w:t>Diarrhoea</w:t>
            </w:r>
            <w:proofErr w:type="spellEnd"/>
          </w:p>
        </w:tc>
      </w:tr>
      <w:tr w:rsidR="000B0474" w:rsidRPr="009B0651" w:rsidTr="00554F54">
        <w:trPr>
          <w:cantSplit/>
          <w:jc w:val="center"/>
        </w:trPr>
        <w:tc>
          <w:tcPr>
            <w:tcW w:w="0" w:type="auto"/>
            <w:shd w:val="clear" w:color="auto" w:fill="auto"/>
          </w:tcPr>
          <w:p w:rsidR="000B0474" w:rsidRPr="009B0651" w:rsidRDefault="000B0474" w:rsidP="00554F54">
            <w:pPr>
              <w:pStyle w:val="TblTextCenter"/>
            </w:pPr>
          </w:p>
        </w:tc>
        <w:tc>
          <w:tcPr>
            <w:tcW w:w="0" w:type="auto"/>
            <w:shd w:val="clear" w:color="auto" w:fill="auto"/>
          </w:tcPr>
          <w:p w:rsidR="000B0474" w:rsidRPr="009B0651" w:rsidRDefault="000B0474" w:rsidP="005C564D">
            <w:pPr>
              <w:pStyle w:val="TblTextCenter"/>
              <w:jc w:val="left"/>
            </w:pPr>
            <w:r w:rsidRPr="009B0651">
              <w:t>Dyspepsia</w:t>
            </w:r>
          </w:p>
        </w:tc>
      </w:tr>
      <w:tr w:rsidR="000B0474" w:rsidRPr="009B0651" w:rsidTr="00554F54">
        <w:trPr>
          <w:cantSplit/>
          <w:jc w:val="center"/>
        </w:trPr>
        <w:tc>
          <w:tcPr>
            <w:tcW w:w="0" w:type="auto"/>
            <w:shd w:val="clear" w:color="auto" w:fill="auto"/>
          </w:tcPr>
          <w:p w:rsidR="000B0474" w:rsidRPr="009B0651" w:rsidRDefault="000B0474" w:rsidP="00554F54">
            <w:pPr>
              <w:pStyle w:val="TblTextCenter"/>
            </w:pPr>
          </w:p>
        </w:tc>
        <w:tc>
          <w:tcPr>
            <w:tcW w:w="0" w:type="auto"/>
            <w:shd w:val="clear" w:color="auto" w:fill="auto"/>
          </w:tcPr>
          <w:p w:rsidR="000B0474" w:rsidRPr="009B0651" w:rsidRDefault="000B0474" w:rsidP="005C564D">
            <w:pPr>
              <w:pStyle w:val="TblTextCenter"/>
              <w:jc w:val="left"/>
            </w:pPr>
            <w:r w:rsidRPr="009B0651">
              <w:t>Flatulence</w:t>
            </w:r>
          </w:p>
        </w:tc>
      </w:tr>
      <w:tr w:rsidR="000B0474" w:rsidRPr="009B0651" w:rsidTr="00554F54">
        <w:trPr>
          <w:cantSplit/>
          <w:jc w:val="center"/>
        </w:trPr>
        <w:tc>
          <w:tcPr>
            <w:tcW w:w="0" w:type="auto"/>
            <w:shd w:val="clear" w:color="auto" w:fill="auto"/>
          </w:tcPr>
          <w:p w:rsidR="000B0474" w:rsidRPr="009B0651" w:rsidRDefault="000B0474" w:rsidP="00554F54">
            <w:pPr>
              <w:pStyle w:val="TblTextCenter"/>
              <w:rPr>
                <w:b/>
              </w:rPr>
            </w:pPr>
          </w:p>
        </w:tc>
        <w:tc>
          <w:tcPr>
            <w:tcW w:w="0" w:type="auto"/>
            <w:shd w:val="clear" w:color="auto" w:fill="auto"/>
          </w:tcPr>
          <w:p w:rsidR="000B0474" w:rsidRPr="009B0651" w:rsidRDefault="000B0474" w:rsidP="00554F54">
            <w:pPr>
              <w:pStyle w:val="TblTextCenter"/>
            </w:pPr>
          </w:p>
        </w:tc>
      </w:tr>
      <w:tr w:rsidR="000B0474" w:rsidRPr="009B0651" w:rsidTr="00554F54">
        <w:trPr>
          <w:cantSplit/>
          <w:jc w:val="center"/>
        </w:trPr>
        <w:tc>
          <w:tcPr>
            <w:tcW w:w="0" w:type="auto"/>
            <w:tcBorders>
              <w:bottom w:val="single" w:sz="12" w:space="0" w:color="auto"/>
            </w:tcBorders>
            <w:shd w:val="clear" w:color="auto" w:fill="auto"/>
          </w:tcPr>
          <w:p w:rsidR="000B0474" w:rsidRPr="009B0651" w:rsidRDefault="004F4CB7" w:rsidP="002A2BD3">
            <w:pPr>
              <w:pStyle w:val="TblTextCenter"/>
            </w:pPr>
            <w:r w:rsidRPr="009B0651">
              <w:rPr>
                <w:b/>
              </w:rPr>
              <w:t>Investigations</w:t>
            </w:r>
          </w:p>
        </w:tc>
        <w:tc>
          <w:tcPr>
            <w:tcW w:w="0" w:type="auto"/>
            <w:tcBorders>
              <w:bottom w:val="single" w:sz="12" w:space="0" w:color="auto"/>
            </w:tcBorders>
            <w:shd w:val="clear" w:color="auto" w:fill="auto"/>
          </w:tcPr>
          <w:p w:rsidR="000B0474" w:rsidRPr="009B0651" w:rsidRDefault="000B0474" w:rsidP="005C564D">
            <w:pPr>
              <w:pStyle w:val="TblTextCenter"/>
              <w:jc w:val="left"/>
            </w:pPr>
            <w:r w:rsidRPr="009B0651">
              <w:t>Carbon dioxide decreased</w:t>
            </w:r>
          </w:p>
          <w:p w:rsidR="000B0474" w:rsidRPr="009B0651" w:rsidRDefault="000B0474" w:rsidP="00554F54">
            <w:pPr>
              <w:pStyle w:val="TblTextCenter"/>
            </w:pPr>
          </w:p>
        </w:tc>
      </w:tr>
    </w:tbl>
    <w:p w:rsidR="00E34789" w:rsidRPr="006B792B" w:rsidRDefault="00E34789" w:rsidP="00E34789">
      <w:pPr>
        <w:pStyle w:val="Heading2"/>
        <w:numPr>
          <w:ilvl w:val="0"/>
          <w:numId w:val="0"/>
        </w:numPr>
      </w:pPr>
      <w:r w:rsidRPr="006B792B">
        <w:t>Post-marketing experience</w:t>
      </w:r>
    </w:p>
    <w:p w:rsidR="008E6AD5" w:rsidRPr="009B0651" w:rsidRDefault="008E6AD5" w:rsidP="008E6AD5">
      <w:pPr>
        <w:rPr>
          <w:color w:val="auto"/>
        </w:rPr>
      </w:pPr>
      <w:r w:rsidRPr="009B0651">
        <w:rPr>
          <w:color w:val="auto"/>
        </w:rPr>
        <w:t>During post</w:t>
      </w:r>
      <w:r w:rsidRPr="009B0651">
        <w:rPr>
          <w:color w:val="auto"/>
        </w:rPr>
        <w:noBreakHyphen/>
        <w:t xml:space="preserve"> marketing experience, the adverse events </w:t>
      </w:r>
      <w:r w:rsidR="00FE6878" w:rsidRPr="009B0651">
        <w:rPr>
          <w:color w:val="auto"/>
        </w:rPr>
        <w:t>(</w:t>
      </w:r>
      <w:r w:rsidR="002E125F" w:rsidRPr="009B0651">
        <w:rPr>
          <w:color w:val="auto"/>
        </w:rPr>
        <w:t>listed</w:t>
      </w:r>
      <w:r w:rsidR="008A254F" w:rsidRPr="009B0651">
        <w:rPr>
          <w:color w:val="auto"/>
        </w:rPr>
        <w:t xml:space="preserve"> by frequency</w:t>
      </w:r>
      <w:r w:rsidR="00FE6878" w:rsidRPr="009B0651">
        <w:rPr>
          <w:color w:val="auto"/>
        </w:rPr>
        <w:t>)</w:t>
      </w:r>
      <w:r w:rsidR="008A254F" w:rsidRPr="009B0651">
        <w:rPr>
          <w:color w:val="auto"/>
        </w:rPr>
        <w:t xml:space="preserve"> </w:t>
      </w:r>
      <w:r w:rsidRPr="009B0651">
        <w:rPr>
          <w:color w:val="auto"/>
        </w:rPr>
        <w:t xml:space="preserve">in </w:t>
      </w:r>
      <w:r w:rsidR="002A2BD3" w:rsidRPr="009B0651">
        <w:rPr>
          <w:color w:val="auto"/>
        </w:rPr>
        <w:fldChar w:fldCharType="begin"/>
      </w:r>
      <w:r w:rsidR="002A2BD3" w:rsidRPr="009B0651">
        <w:rPr>
          <w:color w:val="auto"/>
        </w:rPr>
        <w:instrText xml:space="preserve"> REF _Ref401937068 \h  \* MERGEFORMAT </w:instrText>
      </w:r>
      <w:r w:rsidR="002A2BD3" w:rsidRPr="009B0651">
        <w:rPr>
          <w:color w:val="auto"/>
        </w:rPr>
      </w:r>
      <w:r w:rsidR="002A2BD3" w:rsidRPr="009B0651">
        <w:rPr>
          <w:color w:val="auto"/>
        </w:rPr>
        <w:fldChar w:fldCharType="separate"/>
      </w:r>
      <w:r w:rsidR="00180A45" w:rsidRPr="00180A45">
        <w:rPr>
          <w:color w:val="auto"/>
        </w:rPr>
        <w:t>Table 7</w:t>
      </w:r>
      <w:r w:rsidR="002A2BD3" w:rsidRPr="009B0651">
        <w:rPr>
          <w:color w:val="auto"/>
        </w:rPr>
        <w:fldChar w:fldCharType="end"/>
      </w:r>
      <w:r w:rsidR="002A2BD3" w:rsidRPr="009B0651">
        <w:rPr>
          <w:color w:val="auto"/>
        </w:rPr>
        <w:t xml:space="preserve"> </w:t>
      </w:r>
      <w:proofErr w:type="gramStart"/>
      <w:r w:rsidRPr="009B0651">
        <w:rPr>
          <w:color w:val="auto"/>
        </w:rPr>
        <w:t>have</w:t>
      </w:r>
      <w:proofErr w:type="gramEnd"/>
      <w:r w:rsidRPr="009B0651">
        <w:rPr>
          <w:color w:val="auto"/>
        </w:rPr>
        <w:t xml:space="preserve"> been reported in patients receiving </w:t>
      </w:r>
      <w:proofErr w:type="spellStart"/>
      <w:r w:rsidRPr="009B0651">
        <w:rPr>
          <w:color w:val="auto"/>
        </w:rPr>
        <w:t>Renvela</w:t>
      </w:r>
      <w:proofErr w:type="spellEnd"/>
      <w:r w:rsidRPr="009B0651">
        <w:rPr>
          <w:color w:val="auto"/>
        </w:rPr>
        <w:t xml:space="preserve"> although no direct relationship to </w:t>
      </w:r>
      <w:proofErr w:type="spellStart"/>
      <w:r w:rsidRPr="009B0651">
        <w:rPr>
          <w:color w:val="auto"/>
        </w:rPr>
        <w:t>Renvela</w:t>
      </w:r>
      <w:proofErr w:type="spellEnd"/>
      <w:r w:rsidRPr="009B0651">
        <w:rPr>
          <w:color w:val="auto"/>
        </w:rPr>
        <w:t xml:space="preserve"> could be established:</w:t>
      </w:r>
    </w:p>
    <w:p w:rsidR="008E6AD5" w:rsidRPr="009B0651" w:rsidRDefault="002A2BD3" w:rsidP="002A2BD3">
      <w:pPr>
        <w:pStyle w:val="Caption"/>
        <w:rPr>
          <w:sz w:val="22"/>
          <w:szCs w:val="22"/>
        </w:rPr>
      </w:pPr>
      <w:r w:rsidRPr="009B0651">
        <w:rPr>
          <w:sz w:val="22"/>
          <w:szCs w:val="22"/>
        </w:rPr>
        <w:t xml:space="preserve"> </w:t>
      </w:r>
      <w:bookmarkStart w:id="30" w:name="_Ref401937068"/>
      <w:r w:rsidRPr="009B0651">
        <w:t>Table </w:t>
      </w:r>
      <w:r w:rsidRPr="009B0651">
        <w:fldChar w:fldCharType="begin"/>
      </w:r>
      <w:r w:rsidRPr="009B0651">
        <w:instrText xml:space="preserve"> SEQ Table \* ARABIC </w:instrText>
      </w:r>
      <w:r w:rsidRPr="009B0651">
        <w:fldChar w:fldCharType="separate"/>
      </w:r>
      <w:r w:rsidR="00180A45">
        <w:rPr>
          <w:noProof/>
        </w:rPr>
        <w:t>7</w:t>
      </w:r>
      <w:r w:rsidRPr="009B0651">
        <w:fldChar w:fldCharType="end"/>
      </w:r>
      <w:bookmarkEnd w:id="30"/>
      <w:r w:rsidRPr="009B0651">
        <w:t xml:space="preserve"> ­ Summary of post-marketing adverse events </w:t>
      </w:r>
    </w:p>
    <w:tbl>
      <w:tblPr>
        <w:tblW w:w="0" w:type="auto"/>
        <w:jc w:val="center"/>
        <w:tblInd w:w="-1511" w:type="dxa"/>
        <w:tblBorders>
          <w:top w:val="single" w:sz="2" w:space="0" w:color="000000"/>
        </w:tblBorders>
        <w:tblLook w:val="04A0" w:firstRow="1" w:lastRow="0" w:firstColumn="1" w:lastColumn="0" w:noHBand="0" w:noVBand="1"/>
      </w:tblPr>
      <w:tblGrid>
        <w:gridCol w:w="3769"/>
        <w:gridCol w:w="3889"/>
      </w:tblGrid>
      <w:tr w:rsidR="002A2BD3" w:rsidRPr="009B0651" w:rsidTr="003807E2">
        <w:trPr>
          <w:cantSplit/>
          <w:tblHeader/>
          <w:jc w:val="center"/>
        </w:trPr>
        <w:tc>
          <w:tcPr>
            <w:tcW w:w="3769" w:type="dxa"/>
            <w:tcBorders>
              <w:top w:val="single" w:sz="4" w:space="0" w:color="000000"/>
              <w:bottom w:val="single" w:sz="4" w:space="0" w:color="000000"/>
            </w:tcBorders>
            <w:shd w:val="clear" w:color="auto" w:fill="auto"/>
          </w:tcPr>
          <w:p w:rsidR="002A2BD3" w:rsidRPr="009B0651" w:rsidRDefault="002A2BD3" w:rsidP="00554F54">
            <w:pPr>
              <w:pStyle w:val="TblHeadingCenter"/>
            </w:pPr>
            <w:r w:rsidRPr="009B0651">
              <w:t>System Organ Class</w:t>
            </w:r>
          </w:p>
        </w:tc>
        <w:tc>
          <w:tcPr>
            <w:tcW w:w="3889" w:type="dxa"/>
            <w:tcBorders>
              <w:top w:val="single" w:sz="4" w:space="0" w:color="000000"/>
              <w:bottom w:val="single" w:sz="4" w:space="0" w:color="000000"/>
            </w:tcBorders>
            <w:shd w:val="clear" w:color="auto" w:fill="auto"/>
          </w:tcPr>
          <w:p w:rsidR="002A2BD3" w:rsidRPr="009B0651" w:rsidRDefault="002A2BD3" w:rsidP="003807E2">
            <w:pPr>
              <w:pStyle w:val="TblHeadingCenter"/>
              <w:jc w:val="left"/>
            </w:pPr>
            <w:r w:rsidRPr="009B0651">
              <w:t xml:space="preserve">Preferred Term </w:t>
            </w:r>
          </w:p>
        </w:tc>
      </w:tr>
      <w:tr w:rsidR="00EE114A" w:rsidRPr="009B0651" w:rsidTr="003807E2">
        <w:trPr>
          <w:cantSplit/>
          <w:jc w:val="center"/>
        </w:trPr>
        <w:tc>
          <w:tcPr>
            <w:tcW w:w="3769" w:type="dxa"/>
            <w:shd w:val="clear" w:color="auto" w:fill="auto"/>
          </w:tcPr>
          <w:p w:rsidR="00EE114A" w:rsidRPr="009B0651" w:rsidRDefault="00EE114A" w:rsidP="00271802">
            <w:pPr>
              <w:pStyle w:val="TblTextCenter"/>
              <w:jc w:val="left"/>
              <w:rPr>
                <w:b/>
              </w:rPr>
            </w:pPr>
            <w:r w:rsidRPr="009B0651">
              <w:rPr>
                <w:b/>
              </w:rPr>
              <w:t>Gastrointestinal disorders</w:t>
            </w:r>
          </w:p>
        </w:tc>
        <w:tc>
          <w:tcPr>
            <w:tcW w:w="3889" w:type="dxa"/>
            <w:shd w:val="clear" w:color="auto" w:fill="auto"/>
          </w:tcPr>
          <w:p w:rsidR="00EE114A" w:rsidRPr="009B0651" w:rsidRDefault="008A254F" w:rsidP="008A254F">
            <w:pPr>
              <w:pStyle w:val="TblTextCenter"/>
              <w:ind w:left="38"/>
              <w:jc w:val="left"/>
            </w:pPr>
            <w:r w:rsidRPr="009B0651">
              <w:rPr>
                <w:i/>
              </w:rPr>
              <w:t>Not known:</w:t>
            </w:r>
            <w:r w:rsidRPr="009B0651">
              <w:t xml:space="preserve"> </w:t>
            </w:r>
            <w:r w:rsidR="00EE114A" w:rsidRPr="009B0651">
              <w:t>Abdominal pain, ileus, intestinal obstruction and intestinal perforation</w:t>
            </w:r>
          </w:p>
          <w:p w:rsidR="00EE114A" w:rsidRPr="009B0651" w:rsidRDefault="00EE114A" w:rsidP="008A254F">
            <w:pPr>
              <w:pStyle w:val="TblTextCenter"/>
              <w:ind w:left="38"/>
              <w:jc w:val="left"/>
            </w:pPr>
          </w:p>
        </w:tc>
      </w:tr>
      <w:tr w:rsidR="00EE114A" w:rsidRPr="009B0651" w:rsidTr="003807E2">
        <w:trPr>
          <w:cantSplit/>
          <w:jc w:val="center"/>
        </w:trPr>
        <w:tc>
          <w:tcPr>
            <w:tcW w:w="3769" w:type="dxa"/>
            <w:tcBorders>
              <w:bottom w:val="single" w:sz="12" w:space="0" w:color="auto"/>
            </w:tcBorders>
            <w:shd w:val="clear" w:color="auto" w:fill="auto"/>
          </w:tcPr>
          <w:p w:rsidR="00EE114A" w:rsidRPr="009B0651" w:rsidRDefault="00EE114A" w:rsidP="003807E2">
            <w:pPr>
              <w:pStyle w:val="TblTextCenter"/>
              <w:jc w:val="left"/>
              <w:rPr>
                <w:b/>
              </w:rPr>
            </w:pPr>
            <w:r w:rsidRPr="009B0651">
              <w:rPr>
                <w:b/>
              </w:rPr>
              <w:t>Skin and Subcutaneous Tissue Disorder</w:t>
            </w:r>
            <w:r w:rsidR="003807E2" w:rsidRPr="009B0651">
              <w:rPr>
                <w:b/>
              </w:rPr>
              <w:t>s</w:t>
            </w:r>
          </w:p>
        </w:tc>
        <w:tc>
          <w:tcPr>
            <w:tcW w:w="3889" w:type="dxa"/>
            <w:tcBorders>
              <w:bottom w:val="single" w:sz="12" w:space="0" w:color="auto"/>
            </w:tcBorders>
            <w:shd w:val="clear" w:color="auto" w:fill="auto"/>
          </w:tcPr>
          <w:p w:rsidR="00EE114A" w:rsidRPr="009B0651" w:rsidRDefault="008A254F" w:rsidP="008A254F">
            <w:pPr>
              <w:pStyle w:val="TblTextCenter"/>
              <w:ind w:left="38"/>
              <w:jc w:val="left"/>
            </w:pPr>
            <w:r w:rsidRPr="009B0651">
              <w:rPr>
                <w:i/>
              </w:rPr>
              <w:t>Not known</w:t>
            </w:r>
            <w:r w:rsidRPr="00327C21">
              <w:rPr>
                <w:i/>
              </w:rPr>
              <w:t>:</w:t>
            </w:r>
            <w:r w:rsidRPr="00327C21">
              <w:t xml:space="preserve"> </w:t>
            </w:r>
            <w:r w:rsidR="00085286" w:rsidRPr="00327C21">
              <w:t>Hypersensitivity,</w:t>
            </w:r>
            <w:r w:rsidR="00085286">
              <w:t xml:space="preserve"> </w:t>
            </w:r>
            <w:r w:rsidR="00EE114A" w:rsidRPr="009B0651">
              <w:t>Pruritus, rash</w:t>
            </w:r>
          </w:p>
          <w:p w:rsidR="00EE114A" w:rsidRPr="009B0651" w:rsidRDefault="00EE114A" w:rsidP="008A254F">
            <w:pPr>
              <w:pStyle w:val="TblTextCenter"/>
              <w:ind w:left="38"/>
              <w:jc w:val="left"/>
            </w:pPr>
          </w:p>
        </w:tc>
      </w:tr>
      <w:tr w:rsidR="00EE114A" w:rsidTr="003807E2">
        <w:trPr>
          <w:cantSplit/>
          <w:jc w:val="center"/>
        </w:trPr>
        <w:tc>
          <w:tcPr>
            <w:tcW w:w="7658" w:type="dxa"/>
            <w:gridSpan w:val="2"/>
            <w:tcBorders>
              <w:top w:val="single" w:sz="12" w:space="0" w:color="auto"/>
            </w:tcBorders>
            <w:shd w:val="clear" w:color="auto" w:fill="auto"/>
          </w:tcPr>
          <w:p w:rsidR="00EE114A" w:rsidRDefault="00EE114A" w:rsidP="00554F54">
            <w:pPr>
              <w:pStyle w:val="TblFigFootnote"/>
            </w:pPr>
          </w:p>
        </w:tc>
      </w:tr>
    </w:tbl>
    <w:p w:rsidR="003020BF" w:rsidRDefault="003020BF" w:rsidP="003020BF">
      <w:pPr>
        <w:pStyle w:val="Heading1"/>
        <w:pageBreakBefore w:val="0"/>
        <w:numPr>
          <w:ilvl w:val="0"/>
          <w:numId w:val="0"/>
        </w:numPr>
      </w:pPr>
      <w:bookmarkStart w:id="31" w:name="_Toc314223325"/>
      <w:r>
        <w:t>dosage and administration</w:t>
      </w:r>
      <w:bookmarkEnd w:id="31"/>
    </w:p>
    <w:p w:rsidR="007E590D" w:rsidRDefault="007E590D" w:rsidP="007E590D">
      <w:pPr>
        <w:rPr>
          <w:color w:val="auto"/>
        </w:rPr>
      </w:pPr>
      <w:proofErr w:type="spellStart"/>
      <w:r w:rsidRPr="007B649A">
        <w:rPr>
          <w:color w:val="auto"/>
        </w:rPr>
        <w:t>Renvela</w:t>
      </w:r>
      <w:proofErr w:type="spellEnd"/>
      <w:r w:rsidRPr="007B649A">
        <w:rPr>
          <w:color w:val="auto"/>
        </w:rPr>
        <w:t xml:space="preserve"> is available as tablets or powder for oral suspension.</w:t>
      </w:r>
    </w:p>
    <w:p w:rsidR="00F27484" w:rsidRPr="0009331B" w:rsidRDefault="00F27484" w:rsidP="007E590D">
      <w:pPr>
        <w:rPr>
          <w:color w:val="auto"/>
        </w:rPr>
      </w:pPr>
      <w:proofErr w:type="spellStart"/>
      <w:r w:rsidRPr="0009331B">
        <w:rPr>
          <w:color w:val="auto"/>
        </w:rPr>
        <w:lastRenderedPageBreak/>
        <w:t>Renvela</w:t>
      </w:r>
      <w:proofErr w:type="spellEnd"/>
      <w:r w:rsidRPr="0009331B">
        <w:rPr>
          <w:color w:val="auto"/>
        </w:rPr>
        <w:t xml:space="preserve"> should be taken in conjunction with a prescribed diet for the management of </w:t>
      </w:r>
      <w:proofErr w:type="spellStart"/>
      <w:r w:rsidRPr="0009331B">
        <w:rPr>
          <w:color w:val="auto"/>
        </w:rPr>
        <w:t>hyperphosphatemia</w:t>
      </w:r>
      <w:proofErr w:type="spellEnd"/>
      <w:r w:rsidRPr="0009331B">
        <w:rPr>
          <w:color w:val="auto"/>
        </w:rPr>
        <w:t xml:space="preserve">. </w:t>
      </w:r>
    </w:p>
    <w:p w:rsidR="00984463" w:rsidRPr="007B649A" w:rsidRDefault="00984463" w:rsidP="00984463">
      <w:pPr>
        <w:jc w:val="both"/>
        <w:rPr>
          <w:color w:val="auto"/>
        </w:rPr>
      </w:pPr>
      <w:proofErr w:type="spellStart"/>
      <w:r w:rsidRPr="007B649A">
        <w:rPr>
          <w:color w:val="auto"/>
        </w:rPr>
        <w:t>Renvela</w:t>
      </w:r>
      <w:proofErr w:type="spellEnd"/>
      <w:r w:rsidRPr="007B649A">
        <w:rPr>
          <w:color w:val="auto"/>
        </w:rPr>
        <w:t xml:space="preserve"> 800 mg tablets </w:t>
      </w:r>
      <w:r w:rsidR="00A321BC" w:rsidRPr="007B649A">
        <w:rPr>
          <w:color w:val="auto"/>
        </w:rPr>
        <w:t>must</w:t>
      </w:r>
      <w:r w:rsidRPr="007B649A">
        <w:rPr>
          <w:color w:val="auto"/>
        </w:rPr>
        <w:t xml:space="preserve"> be taken three times per day with meals at a dosage based on individual patient requirements to control phosphate levels. Tablets should be swallowed intact and should not be crushed, chewed, or broken into pieces prior to administration.</w:t>
      </w:r>
      <w:r w:rsidR="00164F72">
        <w:rPr>
          <w:color w:val="auto"/>
        </w:rPr>
        <w:t xml:space="preserve"> </w:t>
      </w:r>
      <w:r w:rsidR="00164F72" w:rsidRPr="007B649A">
        <w:rPr>
          <w:color w:val="auto"/>
        </w:rPr>
        <w:t>Patients should swallow the tablets whole with water.</w:t>
      </w:r>
    </w:p>
    <w:p w:rsidR="00984463" w:rsidRPr="007B649A" w:rsidRDefault="00BE771E" w:rsidP="00984463">
      <w:pPr>
        <w:jc w:val="both"/>
        <w:rPr>
          <w:color w:val="auto"/>
        </w:rPr>
      </w:pPr>
      <w:proofErr w:type="spellStart"/>
      <w:r>
        <w:rPr>
          <w:color w:val="auto"/>
        </w:rPr>
        <w:t>Renvela</w:t>
      </w:r>
      <w:proofErr w:type="spellEnd"/>
      <w:r>
        <w:rPr>
          <w:color w:val="auto"/>
        </w:rPr>
        <w:t xml:space="preserve"> </w:t>
      </w:r>
      <w:r w:rsidR="00984463" w:rsidRPr="007B649A">
        <w:rPr>
          <w:color w:val="auto"/>
        </w:rPr>
        <w:t xml:space="preserve">1.6 or 2.4 g powder sachet </w:t>
      </w:r>
      <w:r w:rsidR="00A321BC" w:rsidRPr="007B649A">
        <w:rPr>
          <w:color w:val="auto"/>
        </w:rPr>
        <w:t>must</w:t>
      </w:r>
      <w:r w:rsidR="00984463" w:rsidRPr="007B649A">
        <w:rPr>
          <w:color w:val="auto"/>
        </w:rPr>
        <w:t xml:space="preserve"> be taken three times per day with meals individually or in combination at a dosage based on individual patient requirements to control phosphate levels. The powder should be dispersed in water (40 ml for 1.6 g powder sachet and 60 ml for 2.4 g powder sachet) prior to administration. Multiple sachets may be mixed together, as long as the appropriate amount of water is used. Patients should drink the preparation within 30 minutes.</w:t>
      </w:r>
      <w:r w:rsidR="003234E6">
        <w:rPr>
          <w:color w:val="auto"/>
        </w:rPr>
        <w:t xml:space="preserve">  </w:t>
      </w:r>
    </w:p>
    <w:p w:rsidR="007E590D" w:rsidRDefault="007E590D" w:rsidP="007E590D">
      <w:pPr>
        <w:pStyle w:val="Heading3"/>
        <w:numPr>
          <w:ilvl w:val="0"/>
          <w:numId w:val="0"/>
        </w:numPr>
      </w:pPr>
      <w:r>
        <w:t>Starting dose</w:t>
      </w:r>
    </w:p>
    <w:p w:rsidR="00984463" w:rsidRPr="007B649A" w:rsidRDefault="00984463" w:rsidP="00984463">
      <w:pPr>
        <w:rPr>
          <w:color w:val="auto"/>
        </w:rPr>
      </w:pPr>
      <w:r w:rsidRPr="007B649A">
        <w:rPr>
          <w:color w:val="auto"/>
        </w:rPr>
        <w:t xml:space="preserve">The recommended starting dose of </w:t>
      </w:r>
      <w:proofErr w:type="spellStart"/>
      <w:r w:rsidRPr="007B649A">
        <w:rPr>
          <w:color w:val="auto"/>
        </w:rPr>
        <w:t>Renvela</w:t>
      </w:r>
      <w:proofErr w:type="spellEnd"/>
      <w:r w:rsidRPr="007B649A">
        <w:rPr>
          <w:color w:val="auto"/>
        </w:rPr>
        <w:t xml:space="preserve"> is 2.4 to 4.8 g per day based on clinical needs and phosphorus level</w:t>
      </w:r>
      <w:r w:rsidR="0087148E">
        <w:rPr>
          <w:color w:val="auto"/>
        </w:rPr>
        <w:t xml:space="preserve"> (</w:t>
      </w:r>
      <w:r w:rsidR="0087148E" w:rsidRPr="0087148E">
        <w:rPr>
          <w:color w:val="0000FF"/>
        </w:rPr>
        <w:fldChar w:fldCharType="begin"/>
      </w:r>
      <w:r w:rsidR="0087148E" w:rsidRPr="0087148E">
        <w:rPr>
          <w:color w:val="0000FF"/>
        </w:rPr>
        <w:instrText xml:space="preserve"> REF _Ref375210454 \h  \* MERGEFORMAT </w:instrText>
      </w:r>
      <w:r w:rsidR="0087148E" w:rsidRPr="0087148E">
        <w:rPr>
          <w:color w:val="0000FF"/>
        </w:rPr>
      </w:r>
      <w:r w:rsidR="0087148E" w:rsidRPr="0087148E">
        <w:rPr>
          <w:color w:val="0000FF"/>
        </w:rPr>
        <w:fldChar w:fldCharType="separate"/>
      </w:r>
      <w:r w:rsidR="00180A45" w:rsidRPr="00180A45">
        <w:rPr>
          <w:color w:val="0000FF"/>
        </w:rPr>
        <w:t>Table 8</w:t>
      </w:r>
      <w:r w:rsidR="0087148E" w:rsidRPr="0087148E">
        <w:rPr>
          <w:color w:val="0000FF"/>
        </w:rPr>
        <w:fldChar w:fldCharType="end"/>
      </w:r>
      <w:r w:rsidR="0087148E">
        <w:rPr>
          <w:color w:val="0000FF"/>
        </w:rPr>
        <w:t>)</w:t>
      </w:r>
      <w:r w:rsidRPr="007B649A">
        <w:rPr>
          <w:color w:val="auto"/>
        </w:rPr>
        <w:t xml:space="preserve">. </w:t>
      </w:r>
      <w:proofErr w:type="spellStart"/>
      <w:r w:rsidRPr="007B649A">
        <w:rPr>
          <w:color w:val="auto"/>
        </w:rPr>
        <w:t>Renvela</w:t>
      </w:r>
      <w:proofErr w:type="spellEnd"/>
      <w:r w:rsidRPr="007B649A">
        <w:rPr>
          <w:color w:val="auto"/>
        </w:rPr>
        <w:t xml:space="preserve"> must be taken three times per day with meals.</w:t>
      </w:r>
    </w:p>
    <w:p w:rsidR="00A02F28" w:rsidRPr="0087148E" w:rsidRDefault="00A02F28" w:rsidP="0087148E">
      <w:pPr>
        <w:pStyle w:val="Caption"/>
      </w:pPr>
      <w:bookmarkStart w:id="32" w:name="_Ref375210454"/>
      <w:r w:rsidRPr="007B649A">
        <w:t>Table </w:t>
      </w:r>
      <w:r w:rsidRPr="007B649A">
        <w:fldChar w:fldCharType="begin"/>
      </w:r>
      <w:r w:rsidRPr="007B649A">
        <w:instrText xml:space="preserve"> SEQ Table \* ARABIC </w:instrText>
      </w:r>
      <w:r w:rsidRPr="007B649A">
        <w:fldChar w:fldCharType="separate"/>
      </w:r>
      <w:r w:rsidR="00180A45">
        <w:rPr>
          <w:noProof/>
        </w:rPr>
        <w:t>8</w:t>
      </w:r>
      <w:r w:rsidRPr="007B649A">
        <w:fldChar w:fldCharType="end"/>
      </w:r>
      <w:bookmarkEnd w:id="32"/>
      <w:r w:rsidRPr="007B649A">
        <w:t xml:space="preserve"> ­ Starting dose for patients not taking a phosphate binder</w:t>
      </w:r>
    </w:p>
    <w:tbl>
      <w:tblPr>
        <w:tblW w:w="0" w:type="auto"/>
        <w:jc w:val="center"/>
        <w:tblInd w:w="-1946" w:type="dxa"/>
        <w:tblBorders>
          <w:top w:val="single" w:sz="2" w:space="0" w:color="000000"/>
        </w:tblBorders>
        <w:tblLook w:val="00A0" w:firstRow="1" w:lastRow="0" w:firstColumn="1" w:lastColumn="0" w:noHBand="0" w:noVBand="0"/>
      </w:tblPr>
      <w:tblGrid>
        <w:gridCol w:w="2836"/>
        <w:gridCol w:w="4828"/>
      </w:tblGrid>
      <w:tr w:rsidR="00A321BC" w:rsidRPr="00CF66A2" w:rsidTr="00CF66A2">
        <w:trPr>
          <w:cantSplit/>
          <w:tblHeader/>
          <w:jc w:val="center"/>
        </w:trPr>
        <w:tc>
          <w:tcPr>
            <w:tcW w:w="2836" w:type="dxa"/>
            <w:tcBorders>
              <w:top w:val="single" w:sz="4" w:space="0" w:color="000000"/>
              <w:bottom w:val="single" w:sz="4" w:space="0" w:color="000000"/>
            </w:tcBorders>
            <w:shd w:val="clear" w:color="auto" w:fill="auto"/>
          </w:tcPr>
          <w:p w:rsidR="00A321BC" w:rsidRPr="007B649A" w:rsidRDefault="00A321BC" w:rsidP="00697823">
            <w:pPr>
              <w:pStyle w:val="TblHeadingCenter"/>
            </w:pPr>
            <w:r w:rsidRPr="007B649A">
              <w:t xml:space="preserve">Serum Phosphorus  </w:t>
            </w:r>
          </w:p>
        </w:tc>
        <w:tc>
          <w:tcPr>
            <w:tcW w:w="4828" w:type="dxa"/>
            <w:tcBorders>
              <w:top w:val="single" w:sz="4" w:space="0" w:color="000000"/>
              <w:bottom w:val="single" w:sz="4" w:space="0" w:color="000000"/>
            </w:tcBorders>
          </w:tcPr>
          <w:p w:rsidR="00A321BC" w:rsidRPr="00CF66A2" w:rsidRDefault="00CF66A2" w:rsidP="00697823">
            <w:pPr>
              <w:pStyle w:val="TblHeadingCenter"/>
              <w:rPr>
                <w:lang w:val="en-US"/>
              </w:rPr>
            </w:pPr>
            <w:r w:rsidRPr="00CF66A2">
              <w:rPr>
                <w:lang w:val="en-US"/>
              </w:rPr>
              <w:t xml:space="preserve">Total daily dose taken over </w:t>
            </w:r>
            <w:r>
              <w:rPr>
                <w:lang w:val="en-US"/>
              </w:rPr>
              <w:t>three</w:t>
            </w:r>
            <w:r w:rsidRPr="00CF66A2">
              <w:rPr>
                <w:lang w:val="en-US"/>
              </w:rPr>
              <w:t xml:space="preserve"> meals per day</w:t>
            </w:r>
          </w:p>
        </w:tc>
      </w:tr>
      <w:tr w:rsidR="00A321BC" w:rsidRPr="007B649A" w:rsidTr="000742C4">
        <w:trPr>
          <w:cantSplit/>
          <w:jc w:val="center"/>
        </w:trPr>
        <w:tc>
          <w:tcPr>
            <w:tcW w:w="2836" w:type="dxa"/>
            <w:tcBorders>
              <w:top w:val="single" w:sz="4" w:space="0" w:color="000000"/>
              <w:bottom w:val="nil"/>
            </w:tcBorders>
            <w:shd w:val="clear" w:color="auto" w:fill="auto"/>
          </w:tcPr>
          <w:p w:rsidR="00A321BC" w:rsidRPr="007B649A" w:rsidRDefault="00A321BC" w:rsidP="00697823">
            <w:pPr>
              <w:pStyle w:val="TblTextCenter"/>
            </w:pPr>
            <w:r w:rsidRPr="007B649A">
              <w:t xml:space="preserve">&gt; 1.78 and &lt; 2.42 </w:t>
            </w:r>
            <w:proofErr w:type="spellStart"/>
            <w:r w:rsidRPr="007B649A">
              <w:t>mmol</w:t>
            </w:r>
            <w:proofErr w:type="spellEnd"/>
            <w:r w:rsidRPr="007B649A">
              <w:t>/L</w:t>
            </w:r>
          </w:p>
        </w:tc>
        <w:tc>
          <w:tcPr>
            <w:tcW w:w="4828" w:type="dxa"/>
            <w:tcBorders>
              <w:top w:val="single" w:sz="4" w:space="0" w:color="000000"/>
              <w:bottom w:val="nil"/>
            </w:tcBorders>
          </w:tcPr>
          <w:p w:rsidR="00A321BC" w:rsidRPr="007B649A" w:rsidRDefault="00A321BC" w:rsidP="00697823">
            <w:pPr>
              <w:pStyle w:val="TblTextCenter"/>
            </w:pPr>
            <w:r w:rsidRPr="007B649A">
              <w:t xml:space="preserve">2.4 g </w:t>
            </w:r>
          </w:p>
        </w:tc>
      </w:tr>
      <w:tr w:rsidR="00A321BC" w:rsidRPr="007B649A" w:rsidTr="000742C4">
        <w:trPr>
          <w:cantSplit/>
          <w:jc w:val="center"/>
        </w:trPr>
        <w:tc>
          <w:tcPr>
            <w:tcW w:w="2836" w:type="dxa"/>
            <w:tcBorders>
              <w:top w:val="nil"/>
              <w:bottom w:val="single" w:sz="4" w:space="0" w:color="auto"/>
            </w:tcBorders>
            <w:shd w:val="clear" w:color="auto" w:fill="auto"/>
          </w:tcPr>
          <w:p w:rsidR="00A321BC" w:rsidRPr="007B649A" w:rsidRDefault="00A321BC" w:rsidP="00697823">
            <w:pPr>
              <w:pStyle w:val="TblTextCenter"/>
            </w:pPr>
            <w:r w:rsidRPr="007B649A">
              <w:t xml:space="preserve"> </w:t>
            </w:r>
            <w:r w:rsidRPr="007B649A">
              <w:sym w:font="Symbol" w:char="F0B3"/>
            </w:r>
            <w:r w:rsidRPr="007B649A">
              <w:t xml:space="preserve"> 2.42 </w:t>
            </w:r>
          </w:p>
        </w:tc>
        <w:tc>
          <w:tcPr>
            <w:tcW w:w="4828" w:type="dxa"/>
            <w:tcBorders>
              <w:top w:val="nil"/>
              <w:bottom w:val="single" w:sz="4" w:space="0" w:color="auto"/>
            </w:tcBorders>
          </w:tcPr>
          <w:p w:rsidR="00A321BC" w:rsidRPr="007B649A" w:rsidRDefault="00A321BC" w:rsidP="00697823">
            <w:pPr>
              <w:pStyle w:val="TblTextCenter"/>
            </w:pPr>
            <w:r w:rsidRPr="007B649A">
              <w:t xml:space="preserve">4.8 g </w:t>
            </w:r>
          </w:p>
        </w:tc>
      </w:tr>
    </w:tbl>
    <w:p w:rsidR="00105BB6" w:rsidRPr="0009331B" w:rsidRDefault="000B1423" w:rsidP="00105BB6">
      <w:pPr>
        <w:rPr>
          <w:color w:val="auto"/>
        </w:rPr>
      </w:pPr>
      <w:r w:rsidRPr="0009331B">
        <w:rPr>
          <w:color w:val="auto"/>
        </w:rPr>
        <w:t xml:space="preserve">For patients previously on </w:t>
      </w:r>
      <w:r w:rsidR="007A02FC" w:rsidRPr="0009331B">
        <w:rPr>
          <w:color w:val="auto"/>
        </w:rPr>
        <w:t xml:space="preserve">calcium based </w:t>
      </w:r>
      <w:r w:rsidRPr="0009331B">
        <w:rPr>
          <w:color w:val="auto"/>
        </w:rPr>
        <w:t>phosphate binders</w:t>
      </w:r>
      <w:r w:rsidR="00D16C5E" w:rsidRPr="0009331B">
        <w:rPr>
          <w:color w:val="auto"/>
        </w:rPr>
        <w:t xml:space="preserve">, </w:t>
      </w:r>
      <w:r w:rsidR="00D16C5E" w:rsidRPr="0009331B">
        <w:rPr>
          <w:color w:val="auto"/>
        </w:rPr>
        <w:fldChar w:fldCharType="begin"/>
      </w:r>
      <w:r w:rsidR="00D16C5E" w:rsidRPr="0009331B">
        <w:rPr>
          <w:color w:val="auto"/>
        </w:rPr>
        <w:instrText xml:space="preserve"> REF _Ref375210466 \h  \* MERGEFORMAT </w:instrText>
      </w:r>
      <w:r w:rsidR="00D16C5E" w:rsidRPr="0009331B">
        <w:rPr>
          <w:color w:val="auto"/>
        </w:rPr>
      </w:r>
      <w:r w:rsidR="00D16C5E" w:rsidRPr="0009331B">
        <w:rPr>
          <w:color w:val="auto"/>
        </w:rPr>
        <w:fldChar w:fldCharType="separate"/>
      </w:r>
      <w:r w:rsidR="00180A45" w:rsidRPr="00180A45">
        <w:rPr>
          <w:color w:val="auto"/>
        </w:rPr>
        <w:t>Table 9</w:t>
      </w:r>
      <w:r w:rsidR="00D16C5E" w:rsidRPr="0009331B">
        <w:rPr>
          <w:color w:val="auto"/>
        </w:rPr>
        <w:fldChar w:fldCharType="end"/>
      </w:r>
      <w:r w:rsidR="00D16C5E" w:rsidRPr="0009331B">
        <w:rPr>
          <w:color w:val="auto"/>
        </w:rPr>
        <w:t xml:space="preserve"> below provides</w:t>
      </w:r>
      <w:r w:rsidR="004B1268" w:rsidRPr="0009331B">
        <w:rPr>
          <w:color w:val="auto"/>
        </w:rPr>
        <w:t xml:space="preserve"> guidance </w:t>
      </w:r>
      <w:r w:rsidR="00D16C5E" w:rsidRPr="0009331B">
        <w:rPr>
          <w:color w:val="auto"/>
        </w:rPr>
        <w:t xml:space="preserve">on switching to </w:t>
      </w:r>
      <w:proofErr w:type="spellStart"/>
      <w:r w:rsidR="00D16C5E" w:rsidRPr="0009331B">
        <w:rPr>
          <w:color w:val="auto"/>
        </w:rPr>
        <w:t>Renvela</w:t>
      </w:r>
      <w:proofErr w:type="spellEnd"/>
      <w:r w:rsidR="00D16C5E" w:rsidRPr="0009331B">
        <w:rPr>
          <w:color w:val="auto"/>
        </w:rPr>
        <w:t>. S</w:t>
      </w:r>
      <w:r w:rsidRPr="0009331B">
        <w:rPr>
          <w:color w:val="auto"/>
        </w:rPr>
        <w:t>erum phosphorus levels</w:t>
      </w:r>
      <w:r w:rsidR="00D16C5E" w:rsidRPr="0009331B">
        <w:rPr>
          <w:color w:val="auto"/>
        </w:rPr>
        <w:t xml:space="preserve"> should be monitored</w:t>
      </w:r>
      <w:r w:rsidRPr="0009331B">
        <w:rPr>
          <w:color w:val="auto"/>
        </w:rPr>
        <w:t xml:space="preserve"> to ensure optimal daily dose</w:t>
      </w:r>
      <w:r w:rsidR="0009331B" w:rsidRPr="0009331B">
        <w:rPr>
          <w:color w:val="auto"/>
        </w:rPr>
        <w:t>s.</w:t>
      </w:r>
      <w:r w:rsidR="00105BB6" w:rsidRPr="0009331B">
        <w:rPr>
          <w:color w:val="auto"/>
        </w:rPr>
        <w:t xml:space="preserve"> </w:t>
      </w:r>
    </w:p>
    <w:p w:rsidR="00A02F28" w:rsidRPr="00EA38F8" w:rsidRDefault="00A02F28" w:rsidP="00A02F28">
      <w:pPr>
        <w:pStyle w:val="Caption"/>
      </w:pPr>
      <w:bookmarkStart w:id="33" w:name="_Ref375210466"/>
      <w:r w:rsidRPr="00EA38F8">
        <w:t>Table </w:t>
      </w:r>
      <w:r w:rsidRPr="00EA38F8">
        <w:fldChar w:fldCharType="begin"/>
      </w:r>
      <w:r w:rsidRPr="00EA38F8">
        <w:instrText xml:space="preserve"> SEQ Table \* ARABIC </w:instrText>
      </w:r>
      <w:r w:rsidRPr="00EA38F8">
        <w:fldChar w:fldCharType="separate"/>
      </w:r>
      <w:r w:rsidR="00180A45">
        <w:rPr>
          <w:noProof/>
        </w:rPr>
        <w:t>9</w:t>
      </w:r>
      <w:r w:rsidRPr="00EA38F8">
        <w:fldChar w:fldCharType="end"/>
      </w:r>
      <w:bookmarkEnd w:id="33"/>
      <w:r w:rsidRPr="00EA38F8">
        <w:t xml:space="preserve"> ­ Starting dose for patients switching</w:t>
      </w:r>
      <w:r w:rsidR="0009331B">
        <w:t xml:space="preserve"> from calcium</w:t>
      </w:r>
      <w:r w:rsidR="008C5BB3">
        <w:t xml:space="preserve"> </w:t>
      </w:r>
      <w:r w:rsidR="008C5BB3" w:rsidRPr="0009331B">
        <w:t>carbonate</w:t>
      </w:r>
      <w:r w:rsidR="009025D7" w:rsidRPr="0009331B">
        <w:t xml:space="preserve"> to</w:t>
      </w:r>
      <w:r w:rsidR="009025D7" w:rsidRPr="00EA38F8">
        <w:t xml:space="preserve"> </w:t>
      </w:r>
      <w:proofErr w:type="spellStart"/>
      <w:r w:rsidR="009025D7" w:rsidRPr="00EA38F8">
        <w:t>Renvela</w:t>
      </w:r>
      <w:proofErr w:type="spellEnd"/>
    </w:p>
    <w:tbl>
      <w:tblPr>
        <w:tblW w:w="0" w:type="auto"/>
        <w:jc w:val="center"/>
        <w:tblInd w:w="768" w:type="dxa"/>
        <w:tblBorders>
          <w:top w:val="single" w:sz="2" w:space="0" w:color="000000"/>
        </w:tblBorders>
        <w:tblLook w:val="0000" w:firstRow="0" w:lastRow="0" w:firstColumn="0" w:lastColumn="0" w:noHBand="0" w:noVBand="0"/>
      </w:tblPr>
      <w:tblGrid>
        <w:gridCol w:w="2939"/>
        <w:gridCol w:w="2262"/>
        <w:gridCol w:w="1761"/>
      </w:tblGrid>
      <w:tr w:rsidR="00C26130" w:rsidRPr="00EA38F8" w:rsidTr="000435F5">
        <w:trPr>
          <w:cantSplit/>
          <w:tblHeader/>
          <w:jc w:val="center"/>
        </w:trPr>
        <w:tc>
          <w:tcPr>
            <w:tcW w:w="0" w:type="auto"/>
            <w:tcBorders>
              <w:top w:val="single" w:sz="4" w:space="0" w:color="000000"/>
              <w:bottom w:val="single" w:sz="4" w:space="0" w:color="000000"/>
            </w:tcBorders>
            <w:shd w:val="clear" w:color="auto" w:fill="auto"/>
          </w:tcPr>
          <w:p w:rsidR="00C26130" w:rsidRPr="00EA38F8" w:rsidRDefault="00C26130" w:rsidP="000435F5">
            <w:pPr>
              <w:pStyle w:val="TblHeadingCenter"/>
            </w:pPr>
            <w:r w:rsidRPr="00EA38F8">
              <w:t xml:space="preserve">Calcium </w:t>
            </w:r>
            <w:r w:rsidR="000435F5" w:rsidRPr="0009331B">
              <w:t>Carbonate (500mg*)</w:t>
            </w:r>
          </w:p>
          <w:p w:rsidR="00C26130" w:rsidRPr="00EA38F8" w:rsidRDefault="00C26130" w:rsidP="000435F5">
            <w:pPr>
              <w:pStyle w:val="TblHeadingCenter"/>
            </w:pPr>
            <w:r w:rsidRPr="00EA38F8">
              <w:t>(tablets per meal)</w:t>
            </w:r>
          </w:p>
        </w:tc>
        <w:tc>
          <w:tcPr>
            <w:tcW w:w="0" w:type="auto"/>
            <w:tcBorders>
              <w:top w:val="single" w:sz="4" w:space="0" w:color="000000"/>
              <w:bottom w:val="single" w:sz="4" w:space="0" w:color="000000"/>
            </w:tcBorders>
            <w:shd w:val="clear" w:color="auto" w:fill="auto"/>
          </w:tcPr>
          <w:p w:rsidR="00C26130" w:rsidRPr="00EA38F8" w:rsidRDefault="00C26130" w:rsidP="000435F5">
            <w:pPr>
              <w:pStyle w:val="TblHeadingCenter"/>
            </w:pPr>
            <w:r w:rsidRPr="00EA38F8">
              <w:t xml:space="preserve">Renvela 800mg tablet </w:t>
            </w:r>
          </w:p>
          <w:p w:rsidR="00C26130" w:rsidRPr="00EA38F8" w:rsidRDefault="00C26130" w:rsidP="000435F5">
            <w:pPr>
              <w:pStyle w:val="TblHeadingCenter"/>
            </w:pPr>
            <w:r w:rsidRPr="00EA38F8">
              <w:t>(tablets per meal)</w:t>
            </w:r>
          </w:p>
        </w:tc>
        <w:tc>
          <w:tcPr>
            <w:tcW w:w="0" w:type="auto"/>
            <w:tcBorders>
              <w:top w:val="single" w:sz="4" w:space="0" w:color="000000"/>
              <w:bottom w:val="single" w:sz="4" w:space="0" w:color="000000"/>
            </w:tcBorders>
            <w:shd w:val="clear" w:color="auto" w:fill="auto"/>
          </w:tcPr>
          <w:p w:rsidR="00C26130" w:rsidRPr="00EA38F8" w:rsidRDefault="00C26130" w:rsidP="000435F5">
            <w:pPr>
              <w:pStyle w:val="TblHeadingCenter"/>
            </w:pPr>
            <w:r w:rsidRPr="00EA38F8">
              <w:t>Renvela Powder</w:t>
            </w:r>
          </w:p>
          <w:p w:rsidR="00C26130" w:rsidRPr="00EA38F8" w:rsidRDefault="00C26130" w:rsidP="000435F5">
            <w:pPr>
              <w:pStyle w:val="TblHeadingCenter"/>
            </w:pPr>
            <w:r w:rsidRPr="00EA38F8">
              <w:t>(g per meal)</w:t>
            </w:r>
          </w:p>
        </w:tc>
      </w:tr>
      <w:tr w:rsidR="00C26130" w:rsidRPr="00EA38F8" w:rsidTr="000435F5">
        <w:trPr>
          <w:cantSplit/>
          <w:jc w:val="center"/>
        </w:trPr>
        <w:tc>
          <w:tcPr>
            <w:tcW w:w="0" w:type="auto"/>
            <w:tcBorders>
              <w:top w:val="single" w:sz="4" w:space="0" w:color="000000"/>
            </w:tcBorders>
            <w:shd w:val="clear" w:color="auto" w:fill="auto"/>
          </w:tcPr>
          <w:p w:rsidR="00C26130" w:rsidRPr="000435F5" w:rsidRDefault="00C26130" w:rsidP="000435F5">
            <w:pPr>
              <w:pStyle w:val="TblTextCenter"/>
            </w:pPr>
            <w:r w:rsidRPr="000435F5">
              <w:t>1 tablet</w:t>
            </w:r>
          </w:p>
        </w:tc>
        <w:tc>
          <w:tcPr>
            <w:tcW w:w="0" w:type="auto"/>
            <w:tcBorders>
              <w:top w:val="single" w:sz="4" w:space="0" w:color="000000"/>
            </w:tcBorders>
            <w:shd w:val="clear" w:color="auto" w:fill="auto"/>
          </w:tcPr>
          <w:p w:rsidR="00C26130" w:rsidRPr="000435F5" w:rsidRDefault="00C26130" w:rsidP="000435F5">
            <w:pPr>
              <w:pStyle w:val="TblTextCenter"/>
            </w:pPr>
            <w:r w:rsidRPr="000435F5">
              <w:t>1</w:t>
            </w:r>
          </w:p>
        </w:tc>
        <w:tc>
          <w:tcPr>
            <w:tcW w:w="0" w:type="auto"/>
            <w:tcBorders>
              <w:top w:val="single" w:sz="4" w:space="0" w:color="000000"/>
            </w:tcBorders>
            <w:shd w:val="clear" w:color="auto" w:fill="auto"/>
          </w:tcPr>
          <w:p w:rsidR="00C26130" w:rsidRPr="000435F5" w:rsidRDefault="003234E6" w:rsidP="000435F5">
            <w:pPr>
              <w:pStyle w:val="TblTextCenter"/>
            </w:pPr>
            <w:r w:rsidRPr="000435F5">
              <w:t xml:space="preserve"> –</w:t>
            </w:r>
          </w:p>
        </w:tc>
      </w:tr>
      <w:tr w:rsidR="00C26130" w:rsidRPr="00EA38F8" w:rsidTr="000435F5">
        <w:trPr>
          <w:cantSplit/>
          <w:jc w:val="center"/>
        </w:trPr>
        <w:tc>
          <w:tcPr>
            <w:tcW w:w="0" w:type="auto"/>
            <w:shd w:val="clear" w:color="auto" w:fill="auto"/>
          </w:tcPr>
          <w:p w:rsidR="00C26130" w:rsidRPr="000435F5" w:rsidRDefault="00C26130" w:rsidP="000435F5">
            <w:pPr>
              <w:pStyle w:val="TblTextCenter"/>
            </w:pPr>
            <w:r w:rsidRPr="000435F5">
              <w:t>2 tablets</w:t>
            </w:r>
          </w:p>
        </w:tc>
        <w:tc>
          <w:tcPr>
            <w:tcW w:w="0" w:type="auto"/>
            <w:shd w:val="clear" w:color="auto" w:fill="auto"/>
          </w:tcPr>
          <w:p w:rsidR="00C26130" w:rsidRPr="000435F5" w:rsidRDefault="00C26130" w:rsidP="000435F5">
            <w:pPr>
              <w:pStyle w:val="TblTextCenter"/>
            </w:pPr>
            <w:r w:rsidRPr="000435F5">
              <w:t>2</w:t>
            </w:r>
          </w:p>
        </w:tc>
        <w:tc>
          <w:tcPr>
            <w:tcW w:w="0" w:type="auto"/>
            <w:shd w:val="clear" w:color="auto" w:fill="auto"/>
          </w:tcPr>
          <w:p w:rsidR="00C26130" w:rsidRPr="000435F5" w:rsidRDefault="00C26130" w:rsidP="000435F5">
            <w:pPr>
              <w:pStyle w:val="TblTextCenter"/>
            </w:pPr>
            <w:r w:rsidRPr="000435F5">
              <w:t xml:space="preserve">1.6 </w:t>
            </w:r>
          </w:p>
        </w:tc>
      </w:tr>
      <w:tr w:rsidR="00C26130" w:rsidRPr="00EA38F8" w:rsidTr="000435F5">
        <w:trPr>
          <w:cantSplit/>
          <w:jc w:val="center"/>
        </w:trPr>
        <w:tc>
          <w:tcPr>
            <w:tcW w:w="0" w:type="auto"/>
            <w:tcBorders>
              <w:bottom w:val="single" w:sz="12" w:space="0" w:color="auto"/>
            </w:tcBorders>
            <w:shd w:val="clear" w:color="auto" w:fill="auto"/>
          </w:tcPr>
          <w:p w:rsidR="00C26130" w:rsidRPr="000435F5" w:rsidRDefault="00C26130" w:rsidP="000435F5">
            <w:pPr>
              <w:pStyle w:val="TblTextCenter"/>
            </w:pPr>
            <w:r w:rsidRPr="000435F5">
              <w:t>3 tablets</w:t>
            </w:r>
          </w:p>
        </w:tc>
        <w:tc>
          <w:tcPr>
            <w:tcW w:w="0" w:type="auto"/>
            <w:tcBorders>
              <w:bottom w:val="single" w:sz="12" w:space="0" w:color="auto"/>
            </w:tcBorders>
            <w:shd w:val="clear" w:color="auto" w:fill="auto"/>
          </w:tcPr>
          <w:p w:rsidR="00C26130" w:rsidRPr="000435F5" w:rsidRDefault="00C26130" w:rsidP="000435F5">
            <w:pPr>
              <w:pStyle w:val="TblTextCenter"/>
            </w:pPr>
            <w:r w:rsidRPr="000435F5">
              <w:t>3</w:t>
            </w:r>
          </w:p>
        </w:tc>
        <w:tc>
          <w:tcPr>
            <w:tcW w:w="0" w:type="auto"/>
            <w:tcBorders>
              <w:bottom w:val="single" w:sz="12" w:space="0" w:color="auto"/>
            </w:tcBorders>
            <w:shd w:val="clear" w:color="auto" w:fill="auto"/>
          </w:tcPr>
          <w:p w:rsidR="00C26130" w:rsidRPr="000435F5" w:rsidRDefault="00C26130" w:rsidP="000435F5">
            <w:pPr>
              <w:pStyle w:val="TblTextCenter"/>
            </w:pPr>
            <w:r w:rsidRPr="000435F5">
              <w:t xml:space="preserve">2.4 </w:t>
            </w:r>
          </w:p>
        </w:tc>
      </w:tr>
      <w:tr w:rsidR="000435F5" w:rsidRPr="00EA38F8" w:rsidTr="000435F5">
        <w:trPr>
          <w:cantSplit/>
          <w:jc w:val="center"/>
        </w:trPr>
        <w:tc>
          <w:tcPr>
            <w:tcW w:w="0" w:type="auto"/>
            <w:gridSpan w:val="3"/>
            <w:tcBorders>
              <w:top w:val="single" w:sz="12" w:space="0" w:color="auto"/>
            </w:tcBorders>
            <w:shd w:val="clear" w:color="auto" w:fill="auto"/>
          </w:tcPr>
          <w:p w:rsidR="000435F5" w:rsidRPr="0009331B" w:rsidRDefault="000435F5" w:rsidP="000435F5">
            <w:pPr>
              <w:pStyle w:val="TblFigFootnote"/>
            </w:pPr>
            <w:r w:rsidRPr="0009331B">
              <w:t>* elemental calcium of 200mg</w:t>
            </w:r>
          </w:p>
        </w:tc>
      </w:tr>
    </w:tbl>
    <w:p w:rsidR="00F347A9" w:rsidRPr="0009331B" w:rsidRDefault="006812D2" w:rsidP="00A02F28">
      <w:pPr>
        <w:jc w:val="both"/>
        <w:rPr>
          <w:bCs/>
          <w:color w:val="auto"/>
        </w:rPr>
      </w:pPr>
      <w:r w:rsidRPr="0009331B">
        <w:rPr>
          <w:bCs/>
          <w:color w:val="auto"/>
        </w:rPr>
        <w:t xml:space="preserve">It is recommended to </w:t>
      </w:r>
      <w:r w:rsidR="00DC047D" w:rsidRPr="0009331B">
        <w:rPr>
          <w:bCs/>
          <w:color w:val="auto"/>
        </w:rPr>
        <w:t xml:space="preserve">continue monitoring </w:t>
      </w:r>
      <w:r w:rsidRPr="0009331B">
        <w:rPr>
          <w:bCs/>
          <w:color w:val="auto"/>
        </w:rPr>
        <w:t xml:space="preserve">serum phosphorus levels in </w:t>
      </w:r>
      <w:r w:rsidR="00F347A9" w:rsidRPr="0009331B">
        <w:rPr>
          <w:bCs/>
          <w:color w:val="auto"/>
        </w:rPr>
        <w:t>patients</w:t>
      </w:r>
      <w:r w:rsidR="00DC047D" w:rsidRPr="0009331B">
        <w:rPr>
          <w:bCs/>
          <w:color w:val="auto"/>
        </w:rPr>
        <w:t xml:space="preserve"> when</w:t>
      </w:r>
      <w:r w:rsidR="00F347A9" w:rsidRPr="0009331B">
        <w:rPr>
          <w:bCs/>
          <w:color w:val="auto"/>
        </w:rPr>
        <w:t xml:space="preserve"> switching </w:t>
      </w:r>
      <w:r w:rsidRPr="0009331B">
        <w:rPr>
          <w:bCs/>
          <w:color w:val="auto"/>
        </w:rPr>
        <w:t>between</w:t>
      </w:r>
      <w:r w:rsidR="00F347A9" w:rsidRPr="0009331B">
        <w:rPr>
          <w:bCs/>
          <w:color w:val="auto"/>
        </w:rPr>
        <w:t xml:space="preserve"> </w:t>
      </w:r>
      <w:proofErr w:type="spellStart"/>
      <w:r w:rsidR="00F347A9" w:rsidRPr="0009331B">
        <w:rPr>
          <w:bCs/>
          <w:color w:val="auto"/>
        </w:rPr>
        <w:t>sevelamer</w:t>
      </w:r>
      <w:proofErr w:type="spellEnd"/>
      <w:r w:rsidR="00F347A9" w:rsidRPr="0009331B">
        <w:rPr>
          <w:bCs/>
          <w:color w:val="auto"/>
        </w:rPr>
        <w:t xml:space="preserve"> carbonate tablets and powder</w:t>
      </w:r>
      <w:r w:rsidRPr="0009331B">
        <w:rPr>
          <w:bCs/>
          <w:color w:val="auto"/>
        </w:rPr>
        <w:t xml:space="preserve">. </w:t>
      </w:r>
    </w:p>
    <w:p w:rsidR="007E590D" w:rsidRPr="007B649A" w:rsidRDefault="007E590D" w:rsidP="00592D62">
      <w:pPr>
        <w:keepNext/>
        <w:jc w:val="both"/>
        <w:rPr>
          <w:b/>
          <w:bCs/>
          <w:color w:val="auto"/>
        </w:rPr>
      </w:pPr>
      <w:r w:rsidRPr="007B649A">
        <w:rPr>
          <w:b/>
          <w:bCs/>
          <w:color w:val="auto"/>
        </w:rPr>
        <w:lastRenderedPageBreak/>
        <w:t xml:space="preserve">Titration and Maintenance </w:t>
      </w:r>
    </w:p>
    <w:p w:rsidR="00984463" w:rsidRPr="007B649A" w:rsidRDefault="00984463" w:rsidP="00984463">
      <w:pPr>
        <w:rPr>
          <w:color w:val="auto"/>
        </w:rPr>
      </w:pPr>
      <w:r w:rsidRPr="007B649A">
        <w:rPr>
          <w:color w:val="auto"/>
        </w:rPr>
        <w:t xml:space="preserve">Serum phosphorus levels must be monitored and the dose of </w:t>
      </w:r>
      <w:proofErr w:type="spellStart"/>
      <w:r w:rsidRPr="007B649A">
        <w:rPr>
          <w:color w:val="auto"/>
        </w:rPr>
        <w:t>sevelamer</w:t>
      </w:r>
      <w:proofErr w:type="spellEnd"/>
      <w:r w:rsidRPr="007B649A">
        <w:rPr>
          <w:color w:val="auto"/>
        </w:rPr>
        <w:t xml:space="preserve"> carbonate titrated every 2-4 weeks until an acceptable serum phosphorus level is reached, with regular monitoring thereafter.</w:t>
      </w:r>
      <w:r w:rsidR="00137420">
        <w:rPr>
          <w:color w:val="auto"/>
        </w:rPr>
        <w:t xml:space="preserve"> </w:t>
      </w:r>
      <w:r w:rsidR="00137420" w:rsidRPr="00C40C20">
        <w:rPr>
          <w:color w:val="auto"/>
        </w:rPr>
        <w:t>The dose may be increased or decreased by one tablet per meal at two week intervals as necessary (</w:t>
      </w:r>
      <w:r w:rsidR="00137420" w:rsidRPr="00C40C20">
        <w:rPr>
          <w:color w:val="auto"/>
        </w:rPr>
        <w:fldChar w:fldCharType="begin"/>
      </w:r>
      <w:r w:rsidR="00137420" w:rsidRPr="00C40C20">
        <w:rPr>
          <w:color w:val="auto"/>
        </w:rPr>
        <w:instrText xml:space="preserve"> REF _Ref409110539 \h  \* MERGEFORMAT </w:instrText>
      </w:r>
      <w:r w:rsidR="00137420" w:rsidRPr="00C40C20">
        <w:rPr>
          <w:color w:val="auto"/>
        </w:rPr>
      </w:r>
      <w:r w:rsidR="00137420" w:rsidRPr="00C40C20">
        <w:rPr>
          <w:color w:val="auto"/>
        </w:rPr>
        <w:fldChar w:fldCharType="separate"/>
      </w:r>
      <w:r w:rsidR="00180A45" w:rsidRPr="00180A45">
        <w:rPr>
          <w:color w:val="auto"/>
        </w:rPr>
        <w:t>Table 10</w:t>
      </w:r>
      <w:r w:rsidR="00137420" w:rsidRPr="00C40C20">
        <w:rPr>
          <w:color w:val="auto"/>
        </w:rPr>
        <w:fldChar w:fldCharType="end"/>
      </w:r>
      <w:r w:rsidR="00137420" w:rsidRPr="00C40C20">
        <w:rPr>
          <w:color w:val="auto"/>
        </w:rPr>
        <w:t>)</w:t>
      </w:r>
      <w:r w:rsidR="00137420" w:rsidRPr="00F347A9">
        <w:rPr>
          <w:color w:val="auto"/>
        </w:rPr>
        <w:t>.</w:t>
      </w:r>
      <w:r w:rsidR="00137420" w:rsidRPr="00F347A9">
        <w:rPr>
          <w:color w:val="0000FF"/>
        </w:rPr>
        <w:t xml:space="preserve"> </w:t>
      </w:r>
      <w:r w:rsidRPr="007B649A">
        <w:rPr>
          <w:color w:val="auto"/>
        </w:rPr>
        <w:t xml:space="preserve">Patients taking </w:t>
      </w:r>
      <w:proofErr w:type="spellStart"/>
      <w:r w:rsidRPr="007B649A">
        <w:rPr>
          <w:color w:val="auto"/>
        </w:rPr>
        <w:t>Renvela</w:t>
      </w:r>
      <w:proofErr w:type="spellEnd"/>
      <w:r w:rsidRPr="007B649A">
        <w:rPr>
          <w:color w:val="auto"/>
        </w:rPr>
        <w:t xml:space="preserve"> should adhere to their prescribed diets.</w:t>
      </w:r>
    </w:p>
    <w:p w:rsidR="00CD21FC" w:rsidRPr="00C40C20" w:rsidRDefault="00472348" w:rsidP="00472348">
      <w:pPr>
        <w:pStyle w:val="Caption"/>
      </w:pPr>
      <w:bookmarkStart w:id="34" w:name="_Ref409110539"/>
      <w:r w:rsidRPr="00C40C20">
        <w:t>Table </w:t>
      </w:r>
      <w:r w:rsidRPr="00C40C20">
        <w:fldChar w:fldCharType="begin"/>
      </w:r>
      <w:r w:rsidRPr="00C40C20">
        <w:instrText xml:space="preserve"> SEQ Table \* ARABIC </w:instrText>
      </w:r>
      <w:r w:rsidRPr="00C40C20">
        <w:fldChar w:fldCharType="separate"/>
      </w:r>
      <w:r w:rsidR="00180A45">
        <w:rPr>
          <w:noProof/>
        </w:rPr>
        <w:t>10</w:t>
      </w:r>
      <w:r w:rsidRPr="00C40C20">
        <w:fldChar w:fldCharType="end"/>
      </w:r>
      <w:bookmarkEnd w:id="34"/>
      <w:r w:rsidRPr="00C40C20">
        <w:t xml:space="preserve"> ­ Dose titration guideline 800mg tablets</w:t>
      </w:r>
    </w:p>
    <w:tbl>
      <w:tblPr>
        <w:tblW w:w="0" w:type="auto"/>
        <w:jc w:val="center"/>
        <w:tblInd w:w="564" w:type="dxa"/>
        <w:tblBorders>
          <w:top w:val="single" w:sz="2" w:space="0" w:color="000000"/>
        </w:tblBorders>
        <w:tblLook w:val="01E0" w:firstRow="1" w:lastRow="1" w:firstColumn="1" w:lastColumn="1" w:noHBand="0" w:noVBand="0"/>
      </w:tblPr>
      <w:tblGrid>
        <w:gridCol w:w="2061"/>
        <w:gridCol w:w="3516"/>
      </w:tblGrid>
      <w:tr w:rsidR="00137420" w:rsidRPr="00C40C20" w:rsidTr="006029BC">
        <w:trPr>
          <w:cantSplit/>
          <w:tblHeader/>
          <w:jc w:val="center"/>
        </w:trPr>
        <w:tc>
          <w:tcPr>
            <w:tcW w:w="0" w:type="auto"/>
            <w:tcBorders>
              <w:top w:val="single" w:sz="4" w:space="0" w:color="000000"/>
              <w:bottom w:val="single" w:sz="4" w:space="0" w:color="000000"/>
            </w:tcBorders>
            <w:shd w:val="clear" w:color="auto" w:fill="auto"/>
          </w:tcPr>
          <w:p w:rsidR="00CD21FC" w:rsidRPr="00C40C20" w:rsidRDefault="00CD21FC" w:rsidP="006029BC">
            <w:pPr>
              <w:pStyle w:val="TblHeadingCenter"/>
            </w:pPr>
            <w:r w:rsidRPr="00C40C20">
              <w:t>Serum Phosphorus</w:t>
            </w:r>
          </w:p>
        </w:tc>
        <w:tc>
          <w:tcPr>
            <w:tcW w:w="0" w:type="auto"/>
            <w:tcBorders>
              <w:top w:val="single" w:sz="4" w:space="0" w:color="000000"/>
              <w:bottom w:val="single" w:sz="4" w:space="0" w:color="000000"/>
            </w:tcBorders>
            <w:shd w:val="clear" w:color="auto" w:fill="auto"/>
          </w:tcPr>
          <w:p w:rsidR="00CD21FC" w:rsidRPr="00C40C20" w:rsidRDefault="00CD21FC" w:rsidP="002231C8">
            <w:pPr>
              <w:pStyle w:val="TblHeadingCenter"/>
            </w:pPr>
            <w:r w:rsidRPr="00C40C20">
              <w:t>Ren</w:t>
            </w:r>
            <w:r w:rsidR="002231C8" w:rsidRPr="00C40C20">
              <w:t>vela</w:t>
            </w:r>
            <w:r w:rsidRPr="00C40C20">
              <w:t xml:space="preserve"> Dose</w:t>
            </w:r>
          </w:p>
        </w:tc>
      </w:tr>
      <w:tr w:rsidR="00137420" w:rsidRPr="00C40C20" w:rsidTr="006029BC">
        <w:trPr>
          <w:cantSplit/>
          <w:jc w:val="center"/>
        </w:trPr>
        <w:tc>
          <w:tcPr>
            <w:tcW w:w="0" w:type="auto"/>
            <w:tcBorders>
              <w:top w:val="single" w:sz="4" w:space="0" w:color="000000"/>
            </w:tcBorders>
            <w:shd w:val="clear" w:color="auto" w:fill="auto"/>
          </w:tcPr>
          <w:p w:rsidR="00CD21FC" w:rsidRPr="00C40C20" w:rsidRDefault="00CD21FC" w:rsidP="006029BC">
            <w:pPr>
              <w:pStyle w:val="TblTextCenter"/>
            </w:pPr>
            <w:r w:rsidRPr="00C40C20">
              <w:t xml:space="preserve">&gt; 1.78 </w:t>
            </w:r>
            <w:proofErr w:type="spellStart"/>
            <w:r w:rsidRPr="00C40C20">
              <w:t>mmol</w:t>
            </w:r>
            <w:proofErr w:type="spellEnd"/>
            <w:r w:rsidRPr="00C40C20">
              <w:t>/L</w:t>
            </w:r>
          </w:p>
        </w:tc>
        <w:tc>
          <w:tcPr>
            <w:tcW w:w="0" w:type="auto"/>
            <w:tcBorders>
              <w:top w:val="single" w:sz="4" w:space="0" w:color="000000"/>
            </w:tcBorders>
            <w:shd w:val="clear" w:color="auto" w:fill="auto"/>
          </w:tcPr>
          <w:p w:rsidR="00CD21FC" w:rsidRPr="00C40C20" w:rsidRDefault="00CD21FC" w:rsidP="006029BC">
            <w:pPr>
              <w:pStyle w:val="TblTextCenter"/>
            </w:pPr>
            <w:r w:rsidRPr="00C40C20">
              <w:t>Increase 1 tablet per meal at 2 week intervals</w:t>
            </w:r>
          </w:p>
        </w:tc>
      </w:tr>
      <w:tr w:rsidR="00137420" w:rsidRPr="00C40C20" w:rsidTr="006029BC">
        <w:trPr>
          <w:cantSplit/>
          <w:jc w:val="center"/>
        </w:trPr>
        <w:tc>
          <w:tcPr>
            <w:tcW w:w="0" w:type="auto"/>
            <w:shd w:val="clear" w:color="auto" w:fill="auto"/>
          </w:tcPr>
          <w:p w:rsidR="00CD21FC" w:rsidRPr="00C40C20" w:rsidRDefault="00CD21FC" w:rsidP="006029BC">
            <w:pPr>
              <w:pStyle w:val="TblTextCenter"/>
            </w:pPr>
            <w:r w:rsidRPr="00C40C20">
              <w:t xml:space="preserve">1.13 – 1.78 </w:t>
            </w:r>
            <w:proofErr w:type="spellStart"/>
            <w:r w:rsidRPr="00C40C20">
              <w:t>mmol</w:t>
            </w:r>
            <w:proofErr w:type="spellEnd"/>
            <w:r w:rsidRPr="00C40C20">
              <w:t>/L</w:t>
            </w:r>
          </w:p>
        </w:tc>
        <w:tc>
          <w:tcPr>
            <w:tcW w:w="0" w:type="auto"/>
            <w:shd w:val="clear" w:color="auto" w:fill="auto"/>
          </w:tcPr>
          <w:p w:rsidR="00CD21FC" w:rsidRPr="00C40C20" w:rsidRDefault="00CD21FC" w:rsidP="006029BC">
            <w:pPr>
              <w:pStyle w:val="TblTextCenter"/>
            </w:pPr>
            <w:r w:rsidRPr="00C40C20">
              <w:t>Maintain current dose</w:t>
            </w:r>
          </w:p>
        </w:tc>
      </w:tr>
      <w:tr w:rsidR="00137420" w:rsidRPr="00C40C20" w:rsidTr="006029BC">
        <w:trPr>
          <w:cantSplit/>
          <w:jc w:val="center"/>
        </w:trPr>
        <w:tc>
          <w:tcPr>
            <w:tcW w:w="0" w:type="auto"/>
            <w:tcBorders>
              <w:bottom w:val="single" w:sz="12" w:space="0" w:color="auto"/>
            </w:tcBorders>
            <w:shd w:val="clear" w:color="auto" w:fill="auto"/>
          </w:tcPr>
          <w:p w:rsidR="00CD21FC" w:rsidRPr="00C40C20" w:rsidRDefault="00CD21FC" w:rsidP="006029BC">
            <w:pPr>
              <w:pStyle w:val="TblTextCenter"/>
            </w:pPr>
            <w:r w:rsidRPr="00C40C20">
              <w:t xml:space="preserve">&lt; 1.13 </w:t>
            </w:r>
            <w:proofErr w:type="spellStart"/>
            <w:r w:rsidRPr="00C40C20">
              <w:t>mmol</w:t>
            </w:r>
            <w:proofErr w:type="spellEnd"/>
            <w:r w:rsidRPr="00C40C20">
              <w:t>/L</w:t>
            </w:r>
          </w:p>
        </w:tc>
        <w:tc>
          <w:tcPr>
            <w:tcW w:w="0" w:type="auto"/>
            <w:tcBorders>
              <w:bottom w:val="single" w:sz="12" w:space="0" w:color="auto"/>
            </w:tcBorders>
            <w:shd w:val="clear" w:color="auto" w:fill="auto"/>
          </w:tcPr>
          <w:p w:rsidR="00CD21FC" w:rsidRPr="00C40C20" w:rsidRDefault="00CD21FC" w:rsidP="006029BC">
            <w:pPr>
              <w:pStyle w:val="TblTextCenter"/>
            </w:pPr>
            <w:r w:rsidRPr="00C40C20">
              <w:t>Decrease 1 tablet per meal</w:t>
            </w:r>
          </w:p>
        </w:tc>
      </w:tr>
    </w:tbl>
    <w:p w:rsidR="00137420" w:rsidRDefault="00137420" w:rsidP="00137420">
      <w:pPr>
        <w:rPr>
          <w:color w:val="auto"/>
        </w:rPr>
      </w:pPr>
      <w:r w:rsidRPr="007B649A">
        <w:rPr>
          <w:color w:val="auto"/>
        </w:rPr>
        <w:t>In clinical practice, treatment will be continuous based on the need to control serum phosphorus levels and the daily dose is expected to be an average of approximately 6 g per day.</w:t>
      </w:r>
    </w:p>
    <w:p w:rsidR="003020BF" w:rsidRDefault="003020BF" w:rsidP="003020BF">
      <w:pPr>
        <w:pStyle w:val="Heading1"/>
        <w:pageBreakBefore w:val="0"/>
        <w:numPr>
          <w:ilvl w:val="0"/>
          <w:numId w:val="0"/>
        </w:numPr>
      </w:pPr>
      <w:bookmarkStart w:id="35" w:name="_Toc314223326"/>
      <w:r>
        <w:t>overdosage</w:t>
      </w:r>
      <w:bookmarkEnd w:id="35"/>
    </w:p>
    <w:p w:rsidR="006332E1" w:rsidRPr="007B649A" w:rsidRDefault="00521585" w:rsidP="00F06AAE">
      <w:pPr>
        <w:jc w:val="both"/>
        <w:rPr>
          <w:color w:val="auto"/>
        </w:rPr>
      </w:pPr>
      <w:r w:rsidRPr="007B649A">
        <w:rPr>
          <w:color w:val="auto"/>
        </w:rPr>
        <w:t xml:space="preserve">In CKD patients on dialysis, the maximum dose studied was 14.4 grams of </w:t>
      </w:r>
      <w:proofErr w:type="spellStart"/>
      <w:r w:rsidRPr="007B649A">
        <w:rPr>
          <w:color w:val="auto"/>
        </w:rPr>
        <w:t>sevelamer</w:t>
      </w:r>
      <w:proofErr w:type="spellEnd"/>
      <w:r w:rsidRPr="007B649A">
        <w:rPr>
          <w:color w:val="auto"/>
        </w:rPr>
        <w:t xml:space="preserve"> carbonate and 13 grams of </w:t>
      </w:r>
      <w:proofErr w:type="spellStart"/>
      <w:r w:rsidRPr="007B649A">
        <w:rPr>
          <w:color w:val="auto"/>
        </w:rPr>
        <w:t>sevelamer</w:t>
      </w:r>
      <w:proofErr w:type="spellEnd"/>
      <w:r w:rsidRPr="007B649A">
        <w:rPr>
          <w:color w:val="auto"/>
        </w:rPr>
        <w:t xml:space="preserve"> hydrochloride. </w:t>
      </w:r>
      <w:proofErr w:type="spellStart"/>
      <w:r w:rsidRPr="007B649A">
        <w:rPr>
          <w:color w:val="auto"/>
        </w:rPr>
        <w:t>Sevelamer</w:t>
      </w:r>
      <w:proofErr w:type="spellEnd"/>
      <w:r w:rsidRPr="007B649A">
        <w:rPr>
          <w:color w:val="auto"/>
        </w:rPr>
        <w:t xml:space="preserve"> hydrochloride, which contains the same active moiety as </w:t>
      </w:r>
      <w:proofErr w:type="spellStart"/>
      <w:r w:rsidRPr="007B649A">
        <w:rPr>
          <w:color w:val="auto"/>
        </w:rPr>
        <w:t>sevelamer</w:t>
      </w:r>
      <w:proofErr w:type="spellEnd"/>
      <w:r w:rsidRPr="007B649A">
        <w:rPr>
          <w:color w:val="auto"/>
        </w:rPr>
        <w:t xml:space="preserve"> carbonate,</w:t>
      </w:r>
      <w:r w:rsidR="00D83998" w:rsidRPr="007B649A">
        <w:rPr>
          <w:color w:val="auto"/>
        </w:rPr>
        <w:t xml:space="preserve"> has been given to normal healthy volunteers in doses of up to 14.4 grams per day for 8 days with no adverse effects.  </w:t>
      </w:r>
    </w:p>
    <w:p w:rsidR="00D83998" w:rsidRPr="007B649A" w:rsidRDefault="007B649A" w:rsidP="00F06AAE">
      <w:pPr>
        <w:jc w:val="both"/>
        <w:rPr>
          <w:color w:val="auto"/>
        </w:rPr>
      </w:pPr>
      <w:r w:rsidRPr="007B649A">
        <w:rPr>
          <w:color w:val="auto"/>
        </w:rPr>
        <w:t xml:space="preserve">There are no reported </w:t>
      </w:r>
      <w:r w:rsidR="00C33ECA">
        <w:rPr>
          <w:color w:val="auto"/>
        </w:rPr>
        <w:t>cases o</w:t>
      </w:r>
      <w:r w:rsidR="00CF66A2">
        <w:rPr>
          <w:color w:val="auto"/>
        </w:rPr>
        <w:t xml:space="preserve">f overdose </w:t>
      </w:r>
      <w:r w:rsidR="00521585" w:rsidRPr="007B649A">
        <w:rPr>
          <w:color w:val="auto"/>
        </w:rPr>
        <w:t xml:space="preserve">with </w:t>
      </w:r>
      <w:proofErr w:type="spellStart"/>
      <w:r w:rsidR="00521585" w:rsidRPr="007B649A">
        <w:rPr>
          <w:color w:val="auto"/>
        </w:rPr>
        <w:t>sevelamer</w:t>
      </w:r>
      <w:proofErr w:type="spellEnd"/>
      <w:r w:rsidR="00521585" w:rsidRPr="007B649A">
        <w:rPr>
          <w:color w:val="auto"/>
        </w:rPr>
        <w:t xml:space="preserve"> carbonate or </w:t>
      </w:r>
      <w:proofErr w:type="spellStart"/>
      <w:r w:rsidR="00521585" w:rsidRPr="007B649A">
        <w:rPr>
          <w:color w:val="auto"/>
        </w:rPr>
        <w:t>sevelamer</w:t>
      </w:r>
      <w:proofErr w:type="spellEnd"/>
      <w:r w:rsidR="00521585" w:rsidRPr="007B649A">
        <w:rPr>
          <w:color w:val="auto"/>
        </w:rPr>
        <w:t xml:space="preserve"> hydrochloride</w:t>
      </w:r>
      <w:r w:rsidR="00D83998" w:rsidRPr="007B649A">
        <w:rPr>
          <w:color w:val="auto"/>
        </w:rPr>
        <w:t xml:space="preserve"> in patients.  Since </w:t>
      </w:r>
      <w:proofErr w:type="spellStart"/>
      <w:r w:rsidR="006332E1" w:rsidRPr="007B649A">
        <w:rPr>
          <w:color w:val="auto"/>
        </w:rPr>
        <w:t>sevelamer</w:t>
      </w:r>
      <w:proofErr w:type="spellEnd"/>
      <w:r w:rsidR="00D83998" w:rsidRPr="007B649A">
        <w:rPr>
          <w:color w:val="auto"/>
        </w:rPr>
        <w:t xml:space="preserve"> is not absorbed, the risk of systemic toxicity is low.</w:t>
      </w:r>
    </w:p>
    <w:p w:rsidR="00D83998" w:rsidRDefault="00D83998" w:rsidP="00F06AAE">
      <w:pPr>
        <w:jc w:val="both"/>
        <w:rPr>
          <w:color w:val="auto"/>
        </w:rPr>
      </w:pPr>
      <w:r w:rsidRPr="007B649A">
        <w:rPr>
          <w:color w:val="auto"/>
        </w:rPr>
        <w:t>Contact the Australian Poisons Information Centre (telephone 13 11 26), or the New Zealand National Poisons Information Centre (telephone 0800 POISON or 0800 764 766) for advice on overdose management.</w:t>
      </w:r>
    </w:p>
    <w:p w:rsidR="003020BF" w:rsidRDefault="003020BF" w:rsidP="003020BF">
      <w:pPr>
        <w:pStyle w:val="Heading1"/>
        <w:pageBreakBefore w:val="0"/>
        <w:numPr>
          <w:ilvl w:val="0"/>
          <w:numId w:val="0"/>
        </w:numPr>
      </w:pPr>
      <w:bookmarkStart w:id="36" w:name="_Toc314223327"/>
      <w:r>
        <w:t>presentation and storage conditions</w:t>
      </w:r>
      <w:bookmarkEnd w:id="36"/>
    </w:p>
    <w:p w:rsidR="00DE4E13" w:rsidRPr="007B649A" w:rsidRDefault="00DE4E13" w:rsidP="00DE4E13">
      <w:pPr>
        <w:pStyle w:val="Heading3"/>
        <w:numPr>
          <w:ilvl w:val="0"/>
          <w:numId w:val="0"/>
        </w:numPr>
      </w:pPr>
      <w:r w:rsidRPr="007B649A">
        <w:t xml:space="preserve">Tablets </w:t>
      </w:r>
    </w:p>
    <w:p w:rsidR="00DE4E13" w:rsidRPr="007B649A" w:rsidRDefault="00DE4E13" w:rsidP="00DE4E13">
      <w:pPr>
        <w:rPr>
          <w:color w:val="auto"/>
        </w:rPr>
      </w:pPr>
      <w:proofErr w:type="spellStart"/>
      <w:r w:rsidRPr="007B649A">
        <w:rPr>
          <w:color w:val="auto"/>
        </w:rPr>
        <w:t>Renvela</w:t>
      </w:r>
      <w:proofErr w:type="spellEnd"/>
      <w:r w:rsidRPr="007B649A">
        <w:rPr>
          <w:color w:val="auto"/>
        </w:rPr>
        <w:t xml:space="preserve"> tablets are white oval film-coated tablets imprinted wit</w:t>
      </w:r>
      <w:r w:rsidR="00CF66A2">
        <w:rPr>
          <w:color w:val="auto"/>
        </w:rPr>
        <w:t>h “RENVELA 800” on one side and are</w:t>
      </w:r>
      <w:r w:rsidRPr="007B649A">
        <w:rPr>
          <w:color w:val="auto"/>
        </w:rPr>
        <w:t xml:space="preserve"> blank on the other side. </w:t>
      </w:r>
    </w:p>
    <w:p w:rsidR="00DE4E13" w:rsidRPr="007B649A" w:rsidRDefault="00DE4E13" w:rsidP="00DE4E13">
      <w:pPr>
        <w:rPr>
          <w:color w:val="auto"/>
        </w:rPr>
      </w:pPr>
      <w:proofErr w:type="spellStart"/>
      <w:r w:rsidRPr="007B649A">
        <w:rPr>
          <w:color w:val="auto"/>
        </w:rPr>
        <w:t>Renvela</w:t>
      </w:r>
      <w:proofErr w:type="spellEnd"/>
      <w:r w:rsidRPr="007B649A">
        <w:rPr>
          <w:color w:val="auto"/>
        </w:rPr>
        <w:t xml:space="preserve"> tablets are packaged in white high-density polyethylene bottles (HDPE), with a child resistant polypropylene cap and an induction seal.</w:t>
      </w:r>
    </w:p>
    <w:p w:rsidR="00DE4E13" w:rsidRDefault="00DE4E13" w:rsidP="00DE4E13">
      <w:pPr>
        <w:rPr>
          <w:color w:val="auto"/>
        </w:rPr>
      </w:pPr>
      <w:proofErr w:type="spellStart"/>
      <w:r w:rsidRPr="007B649A">
        <w:rPr>
          <w:color w:val="auto"/>
        </w:rPr>
        <w:t>Renvela</w:t>
      </w:r>
      <w:proofErr w:type="spellEnd"/>
      <w:r w:rsidRPr="007B649A">
        <w:rPr>
          <w:color w:val="auto"/>
        </w:rPr>
        <w:t xml:space="preserve"> tablets are available in pack sizes of 3</w:t>
      </w:r>
      <w:r w:rsidRPr="00B45F45">
        <w:rPr>
          <w:color w:val="auto"/>
        </w:rPr>
        <w:t>0</w:t>
      </w:r>
      <w:r w:rsidR="00FC471E" w:rsidRPr="00C40C20">
        <w:rPr>
          <w:color w:val="auto"/>
          <w:vertAlign w:val="superscript"/>
        </w:rPr>
        <w:t>§</w:t>
      </w:r>
      <w:r w:rsidR="003234E6" w:rsidRPr="00C40C20">
        <w:rPr>
          <w:color w:val="auto"/>
          <w:vertAlign w:val="superscript"/>
        </w:rPr>
        <w:t>*</w:t>
      </w:r>
      <w:r w:rsidRPr="00C40C20">
        <w:rPr>
          <w:color w:val="auto"/>
        </w:rPr>
        <w:t>, 180</w:t>
      </w:r>
      <w:r w:rsidR="003234E6" w:rsidRPr="00C40C20">
        <w:rPr>
          <w:color w:val="auto"/>
          <w:vertAlign w:val="superscript"/>
        </w:rPr>
        <w:t>*</w:t>
      </w:r>
      <w:r w:rsidRPr="00C40C20">
        <w:rPr>
          <w:color w:val="auto"/>
        </w:rPr>
        <w:t xml:space="preserve"> and 270</w:t>
      </w:r>
      <w:r w:rsidR="003234E6" w:rsidRPr="00C40C20">
        <w:rPr>
          <w:color w:val="auto"/>
          <w:vertAlign w:val="superscript"/>
        </w:rPr>
        <w:t>*</w:t>
      </w:r>
      <w:r w:rsidR="009C448E" w:rsidRPr="00C40C20">
        <w:rPr>
          <w:color w:val="auto"/>
        </w:rPr>
        <w:t>.</w:t>
      </w:r>
      <w:r w:rsidRPr="007B649A">
        <w:rPr>
          <w:color w:val="auto"/>
        </w:rPr>
        <w:t xml:space="preserve"> </w:t>
      </w:r>
    </w:p>
    <w:p w:rsidR="00DE4E13" w:rsidRPr="007B649A" w:rsidRDefault="00DE4E13" w:rsidP="00DE4E13">
      <w:pPr>
        <w:pStyle w:val="Heading3"/>
        <w:numPr>
          <w:ilvl w:val="0"/>
          <w:numId w:val="0"/>
        </w:numPr>
      </w:pPr>
      <w:r w:rsidRPr="007B649A">
        <w:lastRenderedPageBreak/>
        <w:t>Powder</w:t>
      </w:r>
    </w:p>
    <w:p w:rsidR="00DE4E13" w:rsidRDefault="00DE4E13" w:rsidP="00DE4E13">
      <w:pPr>
        <w:rPr>
          <w:color w:val="auto"/>
        </w:rPr>
      </w:pPr>
      <w:proofErr w:type="spellStart"/>
      <w:r w:rsidRPr="007B649A">
        <w:rPr>
          <w:color w:val="auto"/>
        </w:rPr>
        <w:t>Renvela</w:t>
      </w:r>
      <w:proofErr w:type="spellEnd"/>
      <w:r w:rsidRPr="007B649A">
        <w:rPr>
          <w:color w:val="auto"/>
        </w:rPr>
        <w:t xml:space="preserve"> sachets are supplied as p</w:t>
      </w:r>
      <w:r w:rsidR="00C9622C">
        <w:rPr>
          <w:color w:val="auto"/>
        </w:rPr>
        <w:t xml:space="preserve">owder for oral suspension: </w:t>
      </w:r>
      <w:r w:rsidRPr="007B649A">
        <w:rPr>
          <w:color w:val="auto"/>
        </w:rPr>
        <w:t>1.6 g or 2.4 g pale yellow powder</w:t>
      </w:r>
      <w:r w:rsidR="00084CB1">
        <w:rPr>
          <w:color w:val="auto"/>
        </w:rPr>
        <w:t xml:space="preserve"> </w:t>
      </w:r>
      <w:r w:rsidR="00084CB1" w:rsidRPr="009B0651">
        <w:rPr>
          <w:color w:val="auto"/>
        </w:rPr>
        <w:t>free from foreign particles</w:t>
      </w:r>
      <w:r w:rsidRPr="009B0651">
        <w:rPr>
          <w:color w:val="auto"/>
        </w:rPr>
        <w:t>.</w:t>
      </w:r>
    </w:p>
    <w:p w:rsidR="00DE4E13" w:rsidRPr="007B649A" w:rsidRDefault="00DE4E13" w:rsidP="00DE4E13">
      <w:pPr>
        <w:rPr>
          <w:color w:val="auto"/>
        </w:rPr>
      </w:pPr>
      <w:proofErr w:type="spellStart"/>
      <w:r w:rsidRPr="007B649A">
        <w:rPr>
          <w:color w:val="auto"/>
        </w:rPr>
        <w:t>Renvela</w:t>
      </w:r>
      <w:proofErr w:type="spellEnd"/>
      <w:r w:rsidRPr="007B649A">
        <w:rPr>
          <w:color w:val="auto"/>
        </w:rPr>
        <w:t xml:space="preserve"> powder is packaged in opaque, foil lined heat sealed sachets. </w:t>
      </w:r>
    </w:p>
    <w:p w:rsidR="00DE4E13" w:rsidRPr="00C40C20" w:rsidRDefault="00DE4E13" w:rsidP="00DE4E13">
      <w:pPr>
        <w:rPr>
          <w:color w:val="auto"/>
        </w:rPr>
      </w:pPr>
      <w:proofErr w:type="spellStart"/>
      <w:r w:rsidRPr="007B649A">
        <w:rPr>
          <w:color w:val="auto"/>
        </w:rPr>
        <w:t>Renvela</w:t>
      </w:r>
      <w:proofErr w:type="spellEnd"/>
      <w:r w:rsidRPr="007B649A">
        <w:rPr>
          <w:color w:val="auto"/>
        </w:rPr>
        <w:t xml:space="preserve"> </w:t>
      </w:r>
      <w:r w:rsidRPr="00B45F45">
        <w:rPr>
          <w:color w:val="auto"/>
        </w:rPr>
        <w:t xml:space="preserve">powder 1.6 g sachets are available in boxes of </w:t>
      </w:r>
      <w:r w:rsidR="008C099C" w:rsidRPr="00C40C20">
        <w:rPr>
          <w:color w:val="auto"/>
        </w:rPr>
        <w:t>15</w:t>
      </w:r>
      <w:r w:rsidR="00FC471E" w:rsidRPr="00C40C20">
        <w:rPr>
          <w:color w:val="auto"/>
          <w:vertAlign w:val="superscript"/>
        </w:rPr>
        <w:t>§</w:t>
      </w:r>
      <w:r w:rsidR="003234E6" w:rsidRPr="00C40C20">
        <w:rPr>
          <w:color w:val="auto"/>
          <w:vertAlign w:val="superscript"/>
        </w:rPr>
        <w:t>*</w:t>
      </w:r>
      <w:r w:rsidR="00FC471E" w:rsidRPr="00C40C20">
        <w:rPr>
          <w:color w:val="auto"/>
        </w:rPr>
        <w:t xml:space="preserve">, </w:t>
      </w:r>
      <w:r w:rsidRPr="00C40C20">
        <w:rPr>
          <w:color w:val="auto"/>
        </w:rPr>
        <w:t>60</w:t>
      </w:r>
      <w:r w:rsidR="003234E6" w:rsidRPr="00C40C20">
        <w:rPr>
          <w:color w:val="auto"/>
          <w:vertAlign w:val="superscript"/>
        </w:rPr>
        <w:t>*</w:t>
      </w:r>
      <w:r w:rsidRPr="00C40C20">
        <w:rPr>
          <w:color w:val="auto"/>
        </w:rPr>
        <w:t xml:space="preserve"> or 90</w:t>
      </w:r>
      <w:r w:rsidR="003234E6" w:rsidRPr="00C40C20">
        <w:rPr>
          <w:color w:val="auto"/>
          <w:vertAlign w:val="superscript"/>
        </w:rPr>
        <w:t>*</w:t>
      </w:r>
      <w:r w:rsidRPr="00C40C20">
        <w:rPr>
          <w:color w:val="auto"/>
        </w:rPr>
        <w:t xml:space="preserve"> count sachets.</w:t>
      </w:r>
    </w:p>
    <w:p w:rsidR="00DE4E13" w:rsidRPr="00B45F45" w:rsidRDefault="00DE4E13" w:rsidP="00DE4E13">
      <w:pPr>
        <w:jc w:val="both"/>
        <w:rPr>
          <w:color w:val="auto"/>
        </w:rPr>
      </w:pPr>
      <w:proofErr w:type="spellStart"/>
      <w:r w:rsidRPr="00C40C20">
        <w:rPr>
          <w:color w:val="auto"/>
        </w:rPr>
        <w:t>Renvela</w:t>
      </w:r>
      <w:proofErr w:type="spellEnd"/>
      <w:r w:rsidRPr="00C40C20">
        <w:rPr>
          <w:color w:val="auto"/>
        </w:rPr>
        <w:t xml:space="preserve"> powder 2.4 g sachets are available in boxes of </w:t>
      </w:r>
      <w:r w:rsidR="008C099C" w:rsidRPr="00C40C20">
        <w:rPr>
          <w:color w:val="auto"/>
        </w:rPr>
        <w:t>15</w:t>
      </w:r>
      <w:r w:rsidR="00FC471E" w:rsidRPr="00C40C20">
        <w:rPr>
          <w:color w:val="auto"/>
          <w:vertAlign w:val="superscript"/>
        </w:rPr>
        <w:t>§</w:t>
      </w:r>
      <w:r w:rsidR="003234E6" w:rsidRPr="00C40C20">
        <w:rPr>
          <w:color w:val="auto"/>
          <w:vertAlign w:val="superscript"/>
        </w:rPr>
        <w:t>*</w:t>
      </w:r>
      <w:r w:rsidR="00FC471E" w:rsidRPr="00C40C20">
        <w:rPr>
          <w:color w:val="auto"/>
        </w:rPr>
        <w:t xml:space="preserve">, </w:t>
      </w:r>
      <w:r w:rsidRPr="00C40C20">
        <w:rPr>
          <w:color w:val="auto"/>
        </w:rPr>
        <w:t>60</w:t>
      </w:r>
      <w:r w:rsidR="003234E6" w:rsidRPr="00C40C20">
        <w:rPr>
          <w:color w:val="auto"/>
          <w:vertAlign w:val="superscript"/>
        </w:rPr>
        <w:t>*</w:t>
      </w:r>
      <w:r w:rsidRPr="00C40C20">
        <w:rPr>
          <w:color w:val="auto"/>
        </w:rPr>
        <w:t xml:space="preserve"> or 90</w:t>
      </w:r>
      <w:r w:rsidR="003234E6" w:rsidRPr="00C40C20">
        <w:rPr>
          <w:color w:val="auto"/>
          <w:vertAlign w:val="superscript"/>
        </w:rPr>
        <w:t>*</w:t>
      </w:r>
      <w:r w:rsidRPr="00C40C20">
        <w:rPr>
          <w:color w:val="auto"/>
        </w:rPr>
        <w:t xml:space="preserve"> count</w:t>
      </w:r>
      <w:r w:rsidRPr="00B45F45">
        <w:rPr>
          <w:color w:val="auto"/>
        </w:rPr>
        <w:t xml:space="preserve"> sachets.</w:t>
      </w:r>
    </w:p>
    <w:p w:rsidR="00B86F79" w:rsidRPr="00B45F45" w:rsidRDefault="00B86F79" w:rsidP="00F06AAE">
      <w:pPr>
        <w:jc w:val="both"/>
        <w:rPr>
          <w:color w:val="auto"/>
        </w:rPr>
      </w:pPr>
      <w:r w:rsidRPr="00B45F45">
        <w:rPr>
          <w:color w:val="auto"/>
        </w:rPr>
        <w:t>Store below 25°C.  Do not refrigerate. Protect from moisture.  Keep the container tightly closed.</w:t>
      </w:r>
    </w:p>
    <w:p w:rsidR="00FC471E" w:rsidRPr="00B45F45" w:rsidRDefault="00FC471E" w:rsidP="00FC471E">
      <w:pPr>
        <w:rPr>
          <w:color w:val="auto"/>
        </w:rPr>
      </w:pPr>
      <w:r w:rsidRPr="00B45F45">
        <w:rPr>
          <w:color w:val="auto"/>
          <w:vertAlign w:val="superscript"/>
        </w:rPr>
        <w:t xml:space="preserve">§ </w:t>
      </w:r>
      <w:r w:rsidRPr="00B45F45">
        <w:rPr>
          <w:color w:val="auto"/>
        </w:rPr>
        <w:t>Starter pack</w:t>
      </w:r>
    </w:p>
    <w:p w:rsidR="00B86F79" w:rsidRDefault="00B86F79" w:rsidP="00B86F79">
      <w:pPr>
        <w:rPr>
          <w:color w:val="auto"/>
        </w:rPr>
      </w:pPr>
      <w:r w:rsidRPr="006B792B">
        <w:rPr>
          <w:color w:val="auto"/>
        </w:rPr>
        <w:t xml:space="preserve">* Presentations currently not-marketed. </w:t>
      </w:r>
    </w:p>
    <w:p w:rsidR="003020BF" w:rsidRDefault="003020BF" w:rsidP="003020BF">
      <w:pPr>
        <w:pStyle w:val="Heading1"/>
        <w:pageBreakBefore w:val="0"/>
        <w:numPr>
          <w:ilvl w:val="0"/>
          <w:numId w:val="0"/>
        </w:numPr>
      </w:pPr>
      <w:bookmarkStart w:id="37" w:name="_Toc314223328"/>
      <w:r>
        <w:t>name and address of the sponsor</w:t>
      </w:r>
      <w:bookmarkEnd w:id="37"/>
    </w:p>
    <w:p w:rsidR="0011155D" w:rsidRPr="0011155D" w:rsidRDefault="0011155D" w:rsidP="000073C5">
      <w:pPr>
        <w:rPr>
          <w:lang w:val="it-IT"/>
        </w:rPr>
      </w:pPr>
      <w:r w:rsidRPr="0011155D">
        <w:rPr>
          <w:lang w:val="it-IT"/>
        </w:rPr>
        <w:t>Australia</w:t>
      </w:r>
    </w:p>
    <w:p w:rsidR="000073C5" w:rsidRPr="007D682F" w:rsidRDefault="000073C5" w:rsidP="000073C5">
      <w:pPr>
        <w:spacing w:before="120"/>
      </w:pPr>
      <w:proofErr w:type="spellStart"/>
      <w:r w:rsidRPr="007D682F">
        <w:t>sanofi-aventis</w:t>
      </w:r>
      <w:proofErr w:type="spellEnd"/>
      <w:r w:rsidRPr="007D682F">
        <w:t xml:space="preserve"> </w:t>
      </w:r>
      <w:proofErr w:type="spellStart"/>
      <w:smartTag w:uri="urn:schemas-microsoft-com:office:smarttags" w:element="country-region">
        <w:r w:rsidR="009B5752">
          <w:t>australia</w:t>
        </w:r>
      </w:smartTag>
      <w:proofErr w:type="spellEnd"/>
      <w:r w:rsidR="009B5752">
        <w:t xml:space="preserve"> </w:t>
      </w:r>
      <w:proofErr w:type="spellStart"/>
      <w:r w:rsidRPr="007D682F">
        <w:t>pty</w:t>
      </w:r>
      <w:proofErr w:type="spellEnd"/>
      <w:r w:rsidRPr="007D682F">
        <w:t xml:space="preserve"> ltd</w:t>
      </w:r>
      <w:r w:rsidRPr="007D682F">
        <w:br/>
      </w:r>
      <w:smartTag w:uri="urn:schemas-microsoft-com:office:smarttags" w:element="Street">
        <w:smartTag w:uri="urn:schemas-microsoft-com:office:smarttags" w:element="address">
          <w:r w:rsidRPr="007D682F">
            <w:t>12-24 Talavera Road</w:t>
          </w:r>
        </w:smartTag>
      </w:smartTag>
      <w:r w:rsidRPr="007D682F">
        <w:br/>
      </w:r>
      <w:smartTag w:uri="urn:schemas-microsoft-com:office:smarttags" w:element="place">
        <w:r w:rsidRPr="007D682F">
          <w:t>Macquarie</w:t>
        </w:r>
      </w:smartTag>
      <w:r w:rsidRPr="007D682F">
        <w:t xml:space="preserve"> Park NSW 2113</w:t>
      </w:r>
    </w:p>
    <w:p w:rsidR="0011155D" w:rsidRPr="0011155D" w:rsidRDefault="0011155D" w:rsidP="0011155D">
      <w:pPr>
        <w:spacing w:before="0"/>
        <w:rPr>
          <w:lang w:val="it-IT"/>
        </w:rPr>
      </w:pPr>
      <w:r w:rsidRPr="0011155D">
        <w:rPr>
          <w:lang w:val="it-IT"/>
        </w:rPr>
        <w:t>AUSTRALIA</w:t>
      </w:r>
    </w:p>
    <w:p w:rsidR="001472F5" w:rsidRPr="006B792B" w:rsidRDefault="001472F5" w:rsidP="001472F5">
      <w:pPr>
        <w:spacing w:before="0"/>
        <w:rPr>
          <w:color w:val="auto"/>
          <w:lang w:eastAsia="ja-JP"/>
        </w:rPr>
      </w:pPr>
      <w:r w:rsidRPr="006B792B">
        <w:rPr>
          <w:color w:val="auto"/>
          <w:lang w:val="en-AU" w:eastAsia="ja-JP"/>
        </w:rPr>
        <w:t>Toll Free Number</w:t>
      </w:r>
      <w:r w:rsidR="00504156" w:rsidRPr="006B792B">
        <w:rPr>
          <w:color w:val="auto"/>
          <w:lang w:val="en-AU" w:eastAsia="ja-JP"/>
        </w:rPr>
        <w:t xml:space="preserve"> (medical information)</w:t>
      </w:r>
      <w:r w:rsidRPr="006B792B">
        <w:rPr>
          <w:color w:val="auto"/>
          <w:lang w:val="en-AU" w:eastAsia="ja-JP"/>
        </w:rPr>
        <w:t xml:space="preserve">: </w:t>
      </w:r>
      <w:r w:rsidRPr="006B792B">
        <w:rPr>
          <w:color w:val="auto"/>
          <w:lang w:eastAsia="ja-JP"/>
        </w:rPr>
        <w:t>1800 818 806</w:t>
      </w:r>
    </w:p>
    <w:p w:rsidR="001472F5" w:rsidRPr="006B792B" w:rsidRDefault="001472F5" w:rsidP="001472F5">
      <w:pPr>
        <w:spacing w:before="0"/>
        <w:rPr>
          <w:color w:val="auto"/>
          <w:lang w:val="de-DE" w:eastAsia="ja-JP"/>
        </w:rPr>
      </w:pPr>
      <w:r w:rsidRPr="006B792B">
        <w:rPr>
          <w:color w:val="auto"/>
          <w:lang w:val="de-DE" w:eastAsia="ja-JP"/>
        </w:rPr>
        <w:t xml:space="preserve">E-mail: </w:t>
      </w:r>
      <w:r w:rsidR="005D02D0">
        <w:fldChar w:fldCharType="begin"/>
      </w:r>
      <w:r w:rsidR="005D02D0">
        <w:instrText xml:space="preserve"> HYPERLINK "mailto:medinfo.australia@sanofi.com" </w:instrText>
      </w:r>
      <w:r w:rsidR="005D02D0">
        <w:fldChar w:fldCharType="separate"/>
      </w:r>
      <w:r w:rsidR="00DC0FA3" w:rsidRPr="006B792B">
        <w:rPr>
          <w:rStyle w:val="Hyperlink"/>
          <w:color w:val="auto"/>
          <w:u w:val="none"/>
          <w:lang w:val="de-DE" w:eastAsia="ja-JP"/>
        </w:rPr>
        <w:t>medinfo.australia@sanofi.com</w:t>
      </w:r>
      <w:r w:rsidR="005D02D0">
        <w:rPr>
          <w:rStyle w:val="Hyperlink"/>
          <w:color w:val="auto"/>
          <w:u w:val="none"/>
          <w:lang w:val="de-DE" w:eastAsia="ja-JP"/>
        </w:rPr>
        <w:fldChar w:fldCharType="end"/>
      </w:r>
    </w:p>
    <w:p w:rsidR="0011155D" w:rsidRPr="00DC0FA3" w:rsidRDefault="0011155D" w:rsidP="0011155D">
      <w:pPr>
        <w:spacing w:before="0"/>
        <w:rPr>
          <w:lang w:val="de-DE"/>
        </w:rPr>
      </w:pPr>
    </w:p>
    <w:p w:rsidR="0011155D" w:rsidRDefault="0011155D" w:rsidP="0011155D">
      <w:pPr>
        <w:spacing w:before="0"/>
        <w:rPr>
          <w:lang w:val="it-IT"/>
        </w:rPr>
      </w:pPr>
      <w:r w:rsidRPr="0011155D">
        <w:rPr>
          <w:lang w:val="it-IT"/>
        </w:rPr>
        <w:t>New Zealand</w:t>
      </w:r>
    </w:p>
    <w:p w:rsidR="000073C5" w:rsidRDefault="000073C5" w:rsidP="000073C5">
      <w:pPr>
        <w:spacing w:before="120"/>
        <w:rPr>
          <w:lang w:val="it-IT"/>
        </w:rPr>
      </w:pPr>
      <w:r>
        <w:rPr>
          <w:lang w:val="it-IT"/>
        </w:rPr>
        <w:t>sanofi-aventis new zealand limited</w:t>
      </w:r>
    </w:p>
    <w:p w:rsidR="000073C5" w:rsidRDefault="000073C5" w:rsidP="0011155D">
      <w:pPr>
        <w:spacing w:before="0"/>
        <w:rPr>
          <w:lang w:val="it-IT"/>
        </w:rPr>
      </w:pPr>
      <w:r>
        <w:rPr>
          <w:lang w:val="it-IT"/>
        </w:rPr>
        <w:t>Level 8, James and Wells Tower</w:t>
      </w:r>
    </w:p>
    <w:p w:rsidR="000073C5" w:rsidRDefault="000073C5" w:rsidP="0011155D">
      <w:pPr>
        <w:spacing w:before="0"/>
        <w:rPr>
          <w:lang w:val="it-IT"/>
        </w:rPr>
      </w:pPr>
      <w:r>
        <w:rPr>
          <w:lang w:val="it-IT"/>
        </w:rPr>
        <w:t>56 Cawley Street</w:t>
      </w:r>
    </w:p>
    <w:p w:rsidR="000073C5" w:rsidRPr="0011155D" w:rsidRDefault="000073C5" w:rsidP="0011155D">
      <w:pPr>
        <w:spacing w:before="0"/>
        <w:rPr>
          <w:lang w:val="it-IT"/>
        </w:rPr>
      </w:pPr>
      <w:r>
        <w:rPr>
          <w:lang w:val="it-IT"/>
        </w:rPr>
        <w:t>Ellerslie</w:t>
      </w:r>
    </w:p>
    <w:p w:rsidR="0011155D" w:rsidRPr="006B792B" w:rsidRDefault="0011155D" w:rsidP="0011155D">
      <w:pPr>
        <w:spacing w:before="0"/>
        <w:rPr>
          <w:color w:val="auto"/>
          <w:lang w:val="it-IT"/>
        </w:rPr>
      </w:pPr>
      <w:r w:rsidRPr="0011155D">
        <w:rPr>
          <w:lang w:val="it-IT"/>
        </w:rPr>
        <w:t>Auckland</w:t>
      </w:r>
    </w:p>
    <w:p w:rsidR="0011155D" w:rsidRPr="006B792B" w:rsidRDefault="0011155D" w:rsidP="0011155D">
      <w:pPr>
        <w:spacing w:before="0"/>
        <w:rPr>
          <w:color w:val="auto"/>
          <w:lang w:val="it-IT"/>
        </w:rPr>
      </w:pPr>
      <w:r w:rsidRPr="006B792B">
        <w:rPr>
          <w:color w:val="auto"/>
          <w:lang w:val="it-IT"/>
        </w:rPr>
        <w:t>New Zealand</w:t>
      </w:r>
    </w:p>
    <w:p w:rsidR="001472F5" w:rsidRPr="006B792B" w:rsidRDefault="001472F5" w:rsidP="00DC0FA3">
      <w:pPr>
        <w:spacing w:before="0"/>
        <w:rPr>
          <w:color w:val="auto"/>
          <w:lang w:val="it-IT"/>
        </w:rPr>
      </w:pPr>
      <w:r w:rsidRPr="006B792B">
        <w:rPr>
          <w:color w:val="auto"/>
          <w:lang w:val="it-IT"/>
        </w:rPr>
        <w:t>Toll Free Number</w:t>
      </w:r>
      <w:r w:rsidR="00504156" w:rsidRPr="006B792B">
        <w:rPr>
          <w:color w:val="auto"/>
          <w:lang w:val="it-IT"/>
        </w:rPr>
        <w:t xml:space="preserve"> (medical information)</w:t>
      </w:r>
      <w:r w:rsidRPr="006B792B">
        <w:rPr>
          <w:color w:val="auto"/>
          <w:lang w:val="it-IT"/>
        </w:rPr>
        <w:t xml:space="preserve">: </w:t>
      </w:r>
      <w:r w:rsidR="00DC0FA3" w:rsidRPr="006B792B">
        <w:rPr>
          <w:color w:val="auto"/>
          <w:lang w:val="it-IT"/>
        </w:rPr>
        <w:t>0800 283 684</w:t>
      </w:r>
    </w:p>
    <w:p w:rsidR="0011155D" w:rsidRPr="006B792B" w:rsidRDefault="0011155D" w:rsidP="006B792B">
      <w:pPr>
        <w:spacing w:before="0"/>
        <w:rPr>
          <w:color w:val="auto"/>
          <w:lang w:val="it-IT"/>
        </w:rPr>
      </w:pPr>
      <w:r w:rsidRPr="006B792B">
        <w:rPr>
          <w:color w:val="auto"/>
          <w:lang w:val="it-IT"/>
        </w:rPr>
        <w:t xml:space="preserve">Email: </w:t>
      </w:r>
      <w:r w:rsidR="00DC0FA3" w:rsidRPr="006B792B">
        <w:rPr>
          <w:color w:val="auto"/>
          <w:lang w:val="it-IT"/>
        </w:rPr>
        <w:t>medinfo.australia@sanofi.com</w:t>
      </w:r>
    </w:p>
    <w:p w:rsidR="003020BF" w:rsidRPr="006B792B" w:rsidRDefault="003020BF" w:rsidP="003020BF">
      <w:pPr>
        <w:pStyle w:val="Heading1"/>
        <w:pageBreakBefore w:val="0"/>
        <w:numPr>
          <w:ilvl w:val="0"/>
          <w:numId w:val="0"/>
        </w:numPr>
      </w:pPr>
      <w:bookmarkStart w:id="38" w:name="_Toc314223329"/>
      <w:r w:rsidRPr="006B792B">
        <w:t>poison schedule of the medicine</w:t>
      </w:r>
      <w:bookmarkEnd w:id="38"/>
    </w:p>
    <w:p w:rsidR="003020BF" w:rsidRDefault="003020BF" w:rsidP="003020BF">
      <w:r w:rsidRPr="006B792B">
        <w:rPr>
          <w:color w:val="auto"/>
        </w:rPr>
        <w:t>Schedule 4</w:t>
      </w:r>
      <w:r>
        <w:t xml:space="preserve"> (Prescription Only Medicine)</w:t>
      </w:r>
    </w:p>
    <w:p w:rsidR="003020BF" w:rsidRDefault="003020BF" w:rsidP="003020BF">
      <w:pPr>
        <w:pStyle w:val="Heading1"/>
        <w:pageBreakBefore w:val="0"/>
        <w:numPr>
          <w:ilvl w:val="0"/>
          <w:numId w:val="0"/>
        </w:numPr>
      </w:pPr>
      <w:bookmarkStart w:id="39" w:name="_Toc314223330"/>
      <w:r w:rsidRPr="006B792B">
        <w:lastRenderedPageBreak/>
        <w:t>date of first inclusion in the artg</w:t>
      </w:r>
      <w:bookmarkEnd w:id="39"/>
    </w:p>
    <w:p w:rsidR="00814CF2" w:rsidRPr="00814CF2" w:rsidRDefault="00814CF2" w:rsidP="00814CF2">
      <w:r>
        <w:t>20 April 2015</w:t>
      </w:r>
    </w:p>
    <w:p w:rsidR="003020BF" w:rsidRPr="003020BF" w:rsidRDefault="003020BF" w:rsidP="003020BF">
      <w:pPr>
        <w:pStyle w:val="Heading1"/>
        <w:pageBreakBefore w:val="0"/>
        <w:numPr>
          <w:ilvl w:val="0"/>
          <w:numId w:val="0"/>
        </w:numPr>
      </w:pPr>
      <w:bookmarkStart w:id="40" w:name="_Toc314223331"/>
      <w:r>
        <w:t>date of most recent amendment</w:t>
      </w:r>
      <w:bookmarkEnd w:id="40"/>
    </w:p>
    <w:p w:rsidR="00BC52A5" w:rsidRPr="00BC52A5" w:rsidRDefault="00DE4E13" w:rsidP="001D7C8E">
      <w:proofErr w:type="spellStart"/>
      <w:r>
        <w:t>Renvela</w:t>
      </w:r>
      <w:proofErr w:type="spellEnd"/>
      <w:r w:rsidR="002708F1">
        <w:t>® is a registered t</w:t>
      </w:r>
      <w:r>
        <w:t>rademark of Genzyme Corporation.</w:t>
      </w:r>
    </w:p>
    <w:sectPr w:rsidR="00BC52A5" w:rsidRPr="00BC52A5" w:rsidSect="00592D62">
      <w:headerReference w:type="even" r:id="rId12"/>
      <w:headerReference w:type="default" r:id="rId13"/>
      <w:footerReference w:type="even" r:id="rId14"/>
      <w:footerReference w:type="default" r:id="rId15"/>
      <w:headerReference w:type="first" r:id="rId16"/>
      <w:footerReference w:type="first" r:id="rId17"/>
      <w:pgSz w:w="11906" w:h="16838" w:code="9"/>
      <w:pgMar w:top="1814" w:right="850" w:bottom="2154" w:left="1587" w:header="709" w:footer="15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563" w:rsidRDefault="003D0563">
      <w:r>
        <w:separator/>
      </w:r>
    </w:p>
  </w:endnote>
  <w:endnote w:type="continuationSeparator" w:id="0">
    <w:p w:rsidR="003D0563" w:rsidRDefault="003D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99" w:rsidRDefault="00457D99" w:rsidP="009A61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0A45">
      <w:rPr>
        <w:rStyle w:val="PageNumber"/>
        <w:noProof/>
      </w:rPr>
      <w:t>3</w:t>
    </w:r>
    <w:r>
      <w:rPr>
        <w:rStyle w:val="PageNumber"/>
      </w:rPr>
      <w:fldChar w:fldCharType="end"/>
    </w:r>
  </w:p>
  <w:p w:rsidR="00457D99" w:rsidRDefault="00457D99" w:rsidP="00EE16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D99" w:rsidRDefault="00457D99" w:rsidP="009A61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02D0">
      <w:rPr>
        <w:rStyle w:val="PageNumber"/>
        <w:noProof/>
      </w:rPr>
      <w:t>1</w:t>
    </w:r>
    <w:r>
      <w:rPr>
        <w:rStyle w:val="PageNumber"/>
      </w:rPr>
      <w:fldChar w:fldCharType="end"/>
    </w:r>
  </w:p>
  <w:p w:rsidR="00457D99" w:rsidRDefault="002F6AE5" w:rsidP="008D26AC">
    <w:pPr>
      <w:pStyle w:val="Footer"/>
    </w:pPr>
    <w:proofErr w:type="gramStart"/>
    <w:r>
      <w:t>renvela-ccdsv</w:t>
    </w:r>
    <w:r w:rsidR="00546ACE">
      <w:t>3</w:t>
    </w:r>
    <w:r>
      <w:t>-</w:t>
    </w:r>
    <w:r w:rsidRPr="00327C21">
      <w:t>piv1</w:t>
    </w:r>
    <w:r w:rsidR="0009331B" w:rsidRPr="00327C21">
      <w:t>-</w:t>
    </w:r>
    <w:r w:rsidR="00814CF2">
      <w:t>20</w:t>
    </w:r>
    <w:r w:rsidR="00180A45">
      <w:t>apr15</w:t>
    </w:r>
    <w:proofErr w:type="gramEnd"/>
  </w:p>
  <w:p w:rsidR="00457D99" w:rsidRPr="00A35967" w:rsidRDefault="00457D99" w:rsidP="008D26AC">
    <w:pPr>
      <w:pStyle w:val="Footer"/>
    </w:pPr>
    <w:r>
      <w:t xml:space="preserve">Property of the </w:t>
    </w:r>
    <w:proofErr w:type="spellStart"/>
    <w:r>
      <w:t>sanofi-aventis</w:t>
    </w:r>
    <w:proofErr w:type="spellEnd"/>
    <w:r>
      <w:t xml:space="preserve"> group - str</w:t>
    </w:r>
    <w:bookmarkStart w:id="41" w:name="_GoBack"/>
    <w:bookmarkEnd w:id="41"/>
    <w:r>
      <w:t>ictly confidential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D0" w:rsidRDefault="005D0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563" w:rsidRDefault="003D0563">
      <w:r>
        <w:separator/>
      </w:r>
    </w:p>
  </w:footnote>
  <w:footnote w:type="continuationSeparator" w:id="0">
    <w:p w:rsidR="003D0563" w:rsidRDefault="003D0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D0" w:rsidRDefault="005D02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9685"/>
    </w:tblGrid>
    <w:tr w:rsidR="00592D62" w:rsidTr="00592D62">
      <w:tc>
        <w:tcPr>
          <w:tcW w:w="9685" w:type="dxa"/>
          <w:shd w:val="clear" w:color="auto" w:fill="E4F2E0"/>
        </w:tcPr>
        <w:p w:rsidR="00592D62" w:rsidRPr="00592D62" w:rsidRDefault="00592D62" w:rsidP="00592D62">
          <w:pPr>
            <w:spacing w:before="40" w:after="40"/>
            <w:rPr>
              <w:b/>
              <w:sz w:val="20"/>
              <w:szCs w:val="20"/>
            </w:rPr>
          </w:pPr>
          <w:r w:rsidRPr="00D361CA">
            <w:rPr>
              <w:b/>
              <w:sz w:val="20"/>
              <w:szCs w:val="20"/>
            </w:rPr>
            <w:t xml:space="preserve">Attachment 1: Product information for </w:t>
          </w:r>
          <w:proofErr w:type="spellStart"/>
          <w:r w:rsidRPr="00592D62">
            <w:rPr>
              <w:b/>
              <w:sz w:val="20"/>
              <w:szCs w:val="20"/>
            </w:rPr>
            <w:t>AusPAR</w:t>
          </w:r>
          <w:proofErr w:type="spellEnd"/>
          <w:r w:rsidRPr="00592D62">
            <w:rPr>
              <w:b/>
              <w:sz w:val="20"/>
              <w:szCs w:val="20"/>
            </w:rPr>
            <w:t xml:space="preserve"> </w:t>
          </w:r>
          <w:proofErr w:type="spellStart"/>
          <w:r w:rsidRPr="00592D62">
            <w:rPr>
              <w:b/>
              <w:sz w:val="20"/>
              <w:szCs w:val="20"/>
            </w:rPr>
            <w:t>Renvela</w:t>
          </w:r>
          <w:proofErr w:type="spellEnd"/>
          <w:r w:rsidRPr="00592D62">
            <w:rPr>
              <w:b/>
              <w:sz w:val="20"/>
              <w:szCs w:val="20"/>
            </w:rPr>
            <w:t xml:space="preserve"> / </w:t>
          </w:r>
          <w:proofErr w:type="spellStart"/>
          <w:r w:rsidRPr="00592D62">
            <w:rPr>
              <w:b/>
              <w:sz w:val="20"/>
              <w:szCs w:val="20"/>
            </w:rPr>
            <w:t>Sevelamer</w:t>
          </w:r>
          <w:proofErr w:type="spellEnd"/>
          <w:r w:rsidRPr="00592D62">
            <w:rPr>
              <w:b/>
              <w:sz w:val="20"/>
              <w:szCs w:val="20"/>
            </w:rPr>
            <w:t xml:space="preserve"> Carbonate Winthrop/ </w:t>
          </w:r>
          <w:proofErr w:type="spellStart"/>
          <w:r w:rsidRPr="00592D62">
            <w:rPr>
              <w:b/>
              <w:sz w:val="20"/>
              <w:szCs w:val="20"/>
            </w:rPr>
            <w:t>Sevelamer</w:t>
          </w:r>
          <w:proofErr w:type="spellEnd"/>
          <w:r w:rsidRPr="00592D62">
            <w:rPr>
              <w:b/>
              <w:sz w:val="20"/>
              <w:szCs w:val="20"/>
            </w:rPr>
            <w:t xml:space="preserve"> carbonate Sanofi, Sanofi Aventis Australia Pty Ltd PM-2013-04961-1-3 2 October 2015</w:t>
          </w:r>
          <w:r>
            <w:rPr>
              <w:b/>
              <w:sz w:val="20"/>
              <w:szCs w:val="20"/>
            </w:rPr>
            <w:t xml:space="preserve">. </w:t>
          </w:r>
          <w:r w:rsidRPr="00D361CA">
            <w:rPr>
              <w:b/>
              <w:sz w:val="20"/>
              <w:szCs w:val="20"/>
            </w:rPr>
            <w:t xml:space="preserve">This Product Information was approved at the time this </w:t>
          </w:r>
          <w:proofErr w:type="spellStart"/>
          <w:r w:rsidRPr="00D361CA">
            <w:rPr>
              <w:b/>
              <w:sz w:val="20"/>
              <w:szCs w:val="20"/>
            </w:rPr>
            <w:t>AusPAR</w:t>
          </w:r>
          <w:proofErr w:type="spellEnd"/>
          <w:r w:rsidRPr="00D361CA">
            <w:rPr>
              <w:b/>
              <w:sz w:val="20"/>
              <w:szCs w:val="20"/>
            </w:rPr>
            <w:t xml:space="preserve"> was published.</w:t>
          </w:r>
        </w:p>
      </w:tc>
    </w:tr>
  </w:tbl>
  <w:p w:rsidR="00592D62" w:rsidRDefault="00592D62">
    <w:pPr>
      <w:pStyle w:val="Header"/>
    </w:pPr>
  </w:p>
  <w:p w:rsidR="00457D99" w:rsidRDefault="005D02D0">
    <w:pPr>
      <w:pStyle w:val="Header"/>
    </w:pPr>
    <w:r>
      <w:fldChar w:fldCharType="begin"/>
    </w:r>
    <w:r>
      <w:instrText xml:space="preserve"> DOCPROPERTY "Document Type"  \* MERGEFORMAT </w:instrText>
    </w:r>
    <w:r>
      <w:fldChar w:fldCharType="separate"/>
    </w:r>
    <w:r w:rsidR="00180A45">
      <w:t>PRODUCT INFORMATION</w:t>
    </w:r>
    <w:r>
      <w:fldChar w:fldCharType="end"/>
    </w:r>
    <w:r w:rsidR="00457D99">
      <w:t xml:space="preserve"> </w:t>
    </w:r>
    <w:r w:rsidR="00457D99">
      <w:tab/>
    </w:r>
  </w:p>
  <w:p w:rsidR="00457D99" w:rsidRDefault="005D02D0">
    <w:pPr>
      <w:pStyle w:val="Header"/>
    </w:pPr>
    <w:r>
      <w:fldChar w:fldCharType="begin"/>
    </w:r>
    <w:r>
      <w:instrText xml:space="preserve"> DOCPROPERTY "Product Code"  \* MERGEFORMAT </w:instrText>
    </w:r>
    <w:r>
      <w:fldChar w:fldCharType="separate"/>
    </w:r>
    <w:proofErr w:type="spellStart"/>
    <w:r w:rsidR="00180A45">
      <w:t>Renvela</w:t>
    </w:r>
    <w:proofErr w:type="spellEnd"/>
    <w:r>
      <w:fldChar w:fldCharType="end"/>
    </w:r>
    <w:r w:rsidR="00457D99">
      <w:t xml:space="preserve"> - </w:t>
    </w:r>
    <w:r>
      <w:fldChar w:fldCharType="begin"/>
    </w:r>
    <w:r>
      <w:instrText xml:space="preserve"> DOCPROPERTY "INN"  \* MERGEFORMAT </w:instrText>
    </w:r>
    <w:r>
      <w:fldChar w:fldCharType="separate"/>
    </w:r>
    <w:proofErr w:type="spellStart"/>
    <w:r w:rsidR="00180A45">
      <w:t>sevelamer</w:t>
    </w:r>
    <w:proofErr w:type="spellEnd"/>
    <w:r w:rsidR="00180A45">
      <w:t xml:space="preserve"> carbonate</w:t>
    </w:r>
    <w:r>
      <w:fldChar w:fldCharType="end"/>
    </w:r>
  </w:p>
  <w:p w:rsidR="00457D99" w:rsidRPr="0050137B" w:rsidRDefault="00457D99" w:rsidP="009E6B7F">
    <w:pPr>
      <w:pStyle w:val="Header"/>
      <w:spacing w:after="120"/>
      <w:rPr>
        <w:color w:val="008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D0" w:rsidRDefault="005D0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06B9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73B5D"/>
    <w:multiLevelType w:val="hybridMultilevel"/>
    <w:tmpl w:val="F9F6FE58"/>
    <w:lvl w:ilvl="0" w:tplc="B720FB3C">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CB514C"/>
    <w:multiLevelType w:val="multilevel"/>
    <w:tmpl w:val="00A885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0268D4"/>
    <w:multiLevelType w:val="multilevel"/>
    <w:tmpl w:val="3788D4C0"/>
    <w:name w:val="LT_Heading"/>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4">
    <w:nsid w:val="0E563DE3"/>
    <w:multiLevelType w:val="multilevel"/>
    <w:tmpl w:val="EA961A4C"/>
    <w:lvl w:ilvl="0">
      <w:start w:val="1"/>
      <w:numFmt w:val="lowerLetter"/>
      <w:lvlRestart w:val="0"/>
      <w:pStyle w:val="ListAlphabeticalLevel2"/>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0"/>
        </w:tabs>
        <w:ind w:left="3600" w:hanging="357"/>
      </w:pPr>
    </w:lvl>
    <w:lvl w:ilvl="8">
      <w:start w:val="1"/>
      <w:numFmt w:val="lowerLetter"/>
      <w:lvlText w:val="%9)"/>
      <w:lvlJc w:val="left"/>
      <w:pPr>
        <w:tabs>
          <w:tab w:val="num" w:pos="3957"/>
        </w:tabs>
        <w:ind w:left="3957" w:hanging="357"/>
      </w:pPr>
    </w:lvl>
  </w:abstractNum>
  <w:abstractNum w:abstractNumId="5">
    <w:nsid w:val="13CF1C02"/>
    <w:multiLevelType w:val="multilevel"/>
    <w:tmpl w:val="EC448D7A"/>
    <w:lvl w:ilvl="0">
      <w:start w:val="1"/>
      <w:numFmt w:val="none"/>
      <w:pStyle w:val="Heading1NoNumbering"/>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4832C39"/>
    <w:multiLevelType w:val="multilevel"/>
    <w:tmpl w:val="08526A80"/>
    <w:name w:val="List_Alphabetical_Level_2"/>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6"/>
        </w:tabs>
        <w:ind w:left="3606" w:hanging="363"/>
      </w:pPr>
    </w:lvl>
    <w:lvl w:ilvl="8">
      <w:start w:val="1"/>
      <w:numFmt w:val="decimal"/>
      <w:lvlText w:val="%1.%2.%3.%4.%5.%6.%7.%8.%9"/>
      <w:lvlJc w:val="left"/>
      <w:pPr>
        <w:tabs>
          <w:tab w:val="num" w:pos="1584"/>
        </w:tabs>
        <w:ind w:left="1584" w:hanging="1584"/>
      </w:pPr>
    </w:lvl>
  </w:abstractNum>
  <w:abstractNum w:abstractNumId="7">
    <w:nsid w:val="150F27E3"/>
    <w:multiLevelType w:val="multilevel"/>
    <w:tmpl w:val="80E0916A"/>
    <w:name w:val="List_Alphabetical_Level_22"/>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6"/>
        </w:tabs>
        <w:ind w:left="3606" w:hanging="363"/>
      </w:pPr>
    </w:lvl>
    <w:lvl w:ilvl="8">
      <w:start w:val="1"/>
      <w:numFmt w:val="decimal"/>
      <w:lvlText w:val="%1.%2.%3.%4.%5.%6.%7.%8.%9"/>
      <w:lvlJc w:val="left"/>
      <w:pPr>
        <w:tabs>
          <w:tab w:val="num" w:pos="1584"/>
        </w:tabs>
        <w:ind w:left="1584" w:hanging="1584"/>
      </w:pPr>
    </w:lvl>
  </w:abstractNum>
  <w:abstractNum w:abstractNumId="8">
    <w:nsid w:val="1DC41614"/>
    <w:multiLevelType w:val="multilevel"/>
    <w:tmpl w:val="56767712"/>
    <w:lvl w:ilvl="0">
      <w:start w:val="1"/>
      <w:numFmt w:val="decimal"/>
      <w:lvlRestart w:val="0"/>
      <w:pStyle w:val="ListNumbered"/>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decimal"/>
      <w:lvlText w:val="%3."/>
      <w:lvlJc w:val="left"/>
      <w:pPr>
        <w:tabs>
          <w:tab w:val="num" w:pos="1440"/>
        </w:tabs>
        <w:ind w:left="1440" w:hanging="357"/>
      </w:pPr>
      <w:rPr>
        <w:rFonts w:hint="default"/>
      </w:rPr>
    </w:lvl>
    <w:lvl w:ilvl="3">
      <w:start w:val="1"/>
      <w:numFmt w:val="decimal"/>
      <w:lvlText w:val="%4."/>
      <w:lvlJc w:val="left"/>
      <w:pPr>
        <w:tabs>
          <w:tab w:val="num" w:pos="1803"/>
        </w:tabs>
        <w:ind w:left="1803" w:hanging="363"/>
      </w:pPr>
      <w:rPr>
        <w:rFonts w:hint="default"/>
      </w:rPr>
    </w:lvl>
    <w:lvl w:ilvl="4">
      <w:start w:val="1"/>
      <w:numFmt w:val="decimal"/>
      <w:lvlText w:val="%5."/>
      <w:lvlJc w:val="left"/>
      <w:pPr>
        <w:tabs>
          <w:tab w:val="num" w:pos="2160"/>
        </w:tabs>
        <w:ind w:left="2160" w:hanging="357"/>
      </w:pPr>
      <w:rPr>
        <w:rFonts w:hint="default"/>
      </w:rPr>
    </w:lvl>
    <w:lvl w:ilvl="5">
      <w:start w:val="1"/>
      <w:numFmt w:val="decimal"/>
      <w:lvlText w:val="%6."/>
      <w:lvlJc w:val="left"/>
      <w:pPr>
        <w:tabs>
          <w:tab w:val="num" w:pos="2523"/>
        </w:tabs>
        <w:ind w:left="2523" w:hanging="363"/>
      </w:pPr>
      <w:rPr>
        <w:rFonts w:hint="default"/>
      </w:rPr>
    </w:lvl>
    <w:lvl w:ilvl="6">
      <w:start w:val="1"/>
      <w:numFmt w:val="decimal"/>
      <w:lvlText w:val="%7."/>
      <w:lvlJc w:val="left"/>
      <w:pPr>
        <w:tabs>
          <w:tab w:val="num" w:pos="2880"/>
        </w:tabs>
        <w:ind w:left="2880" w:hanging="357"/>
      </w:pPr>
      <w:rPr>
        <w:rFonts w:hint="default"/>
      </w:rPr>
    </w:lvl>
    <w:lvl w:ilvl="7">
      <w:start w:val="1"/>
      <w:numFmt w:val="decimal"/>
      <w:lvlText w:val="%8."/>
      <w:lvlJc w:val="left"/>
      <w:pPr>
        <w:tabs>
          <w:tab w:val="num" w:pos="3243"/>
        </w:tabs>
        <w:ind w:left="3243" w:hanging="363"/>
      </w:pPr>
      <w:rPr>
        <w:rFonts w:hint="default"/>
      </w:rPr>
    </w:lvl>
    <w:lvl w:ilvl="8">
      <w:start w:val="1"/>
      <w:numFmt w:val="decimal"/>
      <w:lvlText w:val="%9."/>
      <w:lvlJc w:val="left"/>
      <w:pPr>
        <w:tabs>
          <w:tab w:val="num" w:pos="3600"/>
        </w:tabs>
        <w:ind w:left="3600" w:hanging="357"/>
      </w:pPr>
      <w:rPr>
        <w:rFonts w:hint="default"/>
      </w:rPr>
    </w:lvl>
  </w:abstractNum>
  <w:abstractNum w:abstractNumId="9">
    <w:nsid w:val="1E490405"/>
    <w:multiLevelType w:val="hybridMultilevel"/>
    <w:tmpl w:val="A674344E"/>
    <w:lvl w:ilvl="0" w:tplc="FE52599A">
      <w:start w:val="27"/>
      <w:numFmt w:val="bullet"/>
      <w:lvlText w:val="-"/>
      <w:lvlJc w:val="left"/>
      <w:pPr>
        <w:tabs>
          <w:tab w:val="num" w:pos="720"/>
        </w:tabs>
        <w:ind w:left="720" w:hanging="360"/>
      </w:pPr>
      <w:rPr>
        <w:rFonts w:ascii="Times New Roman" w:eastAsia="MS Mincho" w:hAnsi="Times New Roman" w:cs="Times New Roman"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4D086B"/>
    <w:multiLevelType w:val="multilevel"/>
    <w:tmpl w:val="98FEE14A"/>
    <w:lvl w:ilvl="0">
      <w:start w:val="1"/>
      <w:numFmt w:val="upperLetter"/>
      <w:lvlRestart w:val="0"/>
      <w:pStyle w:val="ListAlphabeticalLevel1"/>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upperLetter"/>
      <w:lvlText w:val="%8)"/>
      <w:lvlJc w:val="left"/>
      <w:pPr>
        <w:tabs>
          <w:tab w:val="num" w:pos="3600"/>
        </w:tabs>
        <w:ind w:left="3600" w:hanging="357"/>
      </w:pPr>
    </w:lvl>
  </w:abstractNum>
  <w:abstractNum w:abstractNumId="11">
    <w:nsid w:val="311E02EA"/>
    <w:multiLevelType w:val="multilevel"/>
    <w:tmpl w:val="2B7ED206"/>
    <w:name w:val="List_Bulleted_level_1"/>
    <w:lvl w:ilvl="0">
      <w:start w:val="1"/>
      <w:numFmt w:val="bullet"/>
      <w:lvlRestart w:val="0"/>
      <w:lvlText w:val=""/>
      <w:lvlJc w:val="left"/>
      <w:pPr>
        <w:tabs>
          <w:tab w:val="num" w:pos="720"/>
        </w:tabs>
        <w:ind w:left="720" w:hanging="357"/>
      </w:pPr>
      <w:rPr>
        <w:rFonts w:ascii="Symbol" w:hAnsi="Symbol" w:hint="default"/>
      </w:rPr>
    </w:lvl>
    <w:lvl w:ilvl="1">
      <w:start w:val="1"/>
      <w:numFmt w:val="decimal"/>
      <w:lvlText w:val=""/>
      <w:lvlJc w:val="left"/>
      <w:pPr>
        <w:tabs>
          <w:tab w:val="num" w:pos="1083"/>
        </w:tabs>
        <w:ind w:left="1083" w:hanging="363"/>
      </w:pPr>
      <w:rPr>
        <w:rFonts w:hint="default"/>
      </w:rPr>
    </w:lvl>
    <w:lvl w:ilvl="2">
      <w:start w:val="1"/>
      <w:numFmt w:val="decimal"/>
      <w:lvlText w:val=""/>
      <w:lvlJc w:val="left"/>
      <w:pPr>
        <w:tabs>
          <w:tab w:val="num" w:pos="1440"/>
        </w:tabs>
        <w:ind w:left="1440" w:hanging="357"/>
      </w:pPr>
      <w:rPr>
        <w:rFonts w:hint="default"/>
      </w:rPr>
    </w:lvl>
    <w:lvl w:ilvl="3">
      <w:start w:val="1"/>
      <w:numFmt w:val="decimal"/>
      <w:lvlText w:val=""/>
      <w:lvlJc w:val="left"/>
      <w:pPr>
        <w:tabs>
          <w:tab w:val="num" w:pos="1803"/>
        </w:tabs>
        <w:ind w:left="1803" w:hanging="363"/>
      </w:pPr>
      <w:rPr>
        <w:rFonts w:hint="default"/>
      </w:rPr>
    </w:lvl>
    <w:lvl w:ilvl="4">
      <w:start w:val="1"/>
      <w:numFmt w:val="decimal"/>
      <w:lvlText w:val=""/>
      <w:lvlJc w:val="left"/>
      <w:pPr>
        <w:tabs>
          <w:tab w:val="num" w:pos="2160"/>
        </w:tabs>
        <w:ind w:left="2160" w:hanging="357"/>
      </w:pPr>
      <w:rPr>
        <w:rFonts w:hint="default"/>
      </w:rPr>
    </w:lvl>
    <w:lvl w:ilvl="5">
      <w:start w:val="1"/>
      <w:numFmt w:val="decimal"/>
      <w:lvlText w:val=""/>
      <w:lvlJc w:val="left"/>
      <w:pPr>
        <w:tabs>
          <w:tab w:val="num" w:pos="2523"/>
        </w:tabs>
        <w:ind w:left="2523" w:hanging="363"/>
      </w:pPr>
      <w:rPr>
        <w:rFonts w:hint="default"/>
      </w:rPr>
    </w:lvl>
    <w:lvl w:ilvl="6">
      <w:start w:val="1"/>
      <w:numFmt w:val="decimal"/>
      <w:lvlText w:val=""/>
      <w:lvlJc w:val="left"/>
      <w:pPr>
        <w:tabs>
          <w:tab w:val="num" w:pos="2880"/>
        </w:tabs>
        <w:ind w:left="2880" w:hanging="357"/>
      </w:pPr>
      <w:rPr>
        <w:rFonts w:hint="default"/>
      </w:rPr>
    </w:lvl>
    <w:lvl w:ilvl="7">
      <w:start w:val="1"/>
      <w:numFmt w:val="decimal"/>
      <w:lvlText w:val=""/>
      <w:lvlJc w:val="left"/>
      <w:pPr>
        <w:tabs>
          <w:tab w:val="num" w:pos="3243"/>
        </w:tabs>
        <w:ind w:left="3243" w:hanging="363"/>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6A76F60"/>
    <w:multiLevelType w:val="multilevel"/>
    <w:tmpl w:val="C71ABB6C"/>
    <w:lvl w:ilvl="0">
      <w:start w:val="1"/>
      <w:numFmt w:val="bullet"/>
      <w:lvlRestart w:val="0"/>
      <w:pStyle w:val="ListBulletLevel2"/>
      <w:lvlText w:val="-"/>
      <w:lvlJc w:val="left"/>
      <w:pPr>
        <w:tabs>
          <w:tab w:val="num" w:pos="1083"/>
        </w:tabs>
        <w:ind w:left="1083" w:hanging="363"/>
      </w:pPr>
      <w:rPr>
        <w:rFonts w:ascii="Times New Roman" w:hAnsi="Times New Roman" w:cs="Times New Roman" w:hint="default"/>
      </w:rPr>
    </w:lvl>
    <w:lvl w:ilvl="1">
      <w:start w:val="1"/>
      <w:numFmt w:val="bullet"/>
      <w:lvlText w:val="-"/>
      <w:lvlJc w:val="left"/>
      <w:pPr>
        <w:tabs>
          <w:tab w:val="num" w:pos="1440"/>
        </w:tabs>
        <w:ind w:left="1440" w:hanging="357"/>
      </w:pPr>
      <w:rPr>
        <w:rFonts w:ascii="Times New Roman" w:hAnsi="Times New Roman" w:cs="Times New Roman" w:hint="default"/>
      </w:rPr>
    </w:lvl>
    <w:lvl w:ilvl="2">
      <w:start w:val="1"/>
      <w:numFmt w:val="bullet"/>
      <w:lvlText w:val="-"/>
      <w:lvlJc w:val="left"/>
      <w:pPr>
        <w:tabs>
          <w:tab w:val="num" w:pos="1803"/>
        </w:tabs>
        <w:ind w:left="1803" w:hanging="363"/>
      </w:pPr>
      <w:rPr>
        <w:rFonts w:ascii="Times New Roman" w:hAnsi="Times New Roman" w:cs="Times New Roman" w:hint="default"/>
      </w:rPr>
    </w:lvl>
    <w:lvl w:ilvl="3">
      <w:start w:val="1"/>
      <w:numFmt w:val="bullet"/>
      <w:lvlText w:val="-"/>
      <w:lvlJc w:val="left"/>
      <w:pPr>
        <w:tabs>
          <w:tab w:val="num" w:pos="2160"/>
        </w:tabs>
        <w:ind w:left="2160" w:hanging="357"/>
      </w:pPr>
      <w:rPr>
        <w:rFonts w:ascii="Times New Roman" w:hAnsi="Times New Roman" w:cs="Times New Roman" w:hint="default"/>
      </w:rPr>
    </w:lvl>
    <w:lvl w:ilvl="4">
      <w:start w:val="1"/>
      <w:numFmt w:val="bullet"/>
      <w:lvlText w:val="-"/>
      <w:lvlJc w:val="left"/>
      <w:pPr>
        <w:tabs>
          <w:tab w:val="num" w:pos="2523"/>
        </w:tabs>
        <w:ind w:left="2523" w:hanging="363"/>
      </w:pPr>
      <w:rPr>
        <w:rFonts w:ascii="Times New Roman" w:hAnsi="Times New Roman" w:cs="Times New Roman" w:hint="default"/>
      </w:rPr>
    </w:lvl>
    <w:lvl w:ilvl="5">
      <w:start w:val="1"/>
      <w:numFmt w:val="bullet"/>
      <w:lvlText w:val="-"/>
      <w:lvlJc w:val="left"/>
      <w:pPr>
        <w:tabs>
          <w:tab w:val="num" w:pos="2880"/>
        </w:tabs>
        <w:ind w:left="2880" w:hanging="357"/>
      </w:pPr>
      <w:rPr>
        <w:rFonts w:ascii="Times New Roman" w:hAnsi="Times New Roman" w:cs="Times New Roman" w:hint="default"/>
      </w:rPr>
    </w:lvl>
    <w:lvl w:ilvl="6">
      <w:start w:val="1"/>
      <w:numFmt w:val="bullet"/>
      <w:lvlText w:val="-"/>
      <w:lvlJc w:val="left"/>
      <w:pPr>
        <w:tabs>
          <w:tab w:val="num" w:pos="3243"/>
        </w:tabs>
        <w:ind w:left="3243" w:hanging="363"/>
      </w:pPr>
      <w:rPr>
        <w:rFonts w:ascii="Times New Roman" w:hAnsi="Times New Roman" w:cs="Times New Roman" w:hint="default"/>
      </w:rPr>
    </w:lvl>
    <w:lvl w:ilvl="7">
      <w:start w:val="1"/>
      <w:numFmt w:val="bullet"/>
      <w:lvlText w:val="-"/>
      <w:lvlJc w:val="left"/>
      <w:pPr>
        <w:tabs>
          <w:tab w:val="num" w:pos="3600"/>
        </w:tabs>
        <w:ind w:left="3600" w:hanging="357"/>
      </w:pPr>
      <w:rPr>
        <w:rFonts w:ascii="Times New Roman" w:hAnsi="Times New Roman" w:cs="Times New Roman" w:hint="default"/>
      </w:rPr>
    </w:lvl>
    <w:lvl w:ilvl="8">
      <w:start w:val="1"/>
      <w:numFmt w:val="bullet"/>
      <w:lvlText w:val="-"/>
      <w:lvlJc w:val="left"/>
      <w:pPr>
        <w:tabs>
          <w:tab w:val="num" w:pos="3957"/>
        </w:tabs>
        <w:ind w:left="3957" w:hanging="357"/>
      </w:pPr>
      <w:rPr>
        <w:rFonts w:ascii="Times New Roman" w:hAnsi="Times New Roman" w:cs="Times New Roman" w:hint="default"/>
      </w:rPr>
    </w:lvl>
  </w:abstractNum>
  <w:abstractNum w:abstractNumId="13">
    <w:nsid w:val="398B4D5B"/>
    <w:multiLevelType w:val="hybridMultilevel"/>
    <w:tmpl w:val="AC0E0E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4742C01"/>
    <w:multiLevelType w:val="multilevel"/>
    <w:tmpl w:val="1AB28D80"/>
    <w:name w:val="List_Bulleted_level_1"/>
    <w:lvl w:ilvl="0">
      <w:start w:val="1"/>
      <w:numFmt w:val="bullet"/>
      <w:lvlRestart w:val="0"/>
      <w:lvlText w:val=""/>
      <w:lvlJc w:val="left"/>
      <w:pPr>
        <w:tabs>
          <w:tab w:val="num" w:pos="357"/>
        </w:tabs>
        <w:ind w:left="357" w:hanging="357"/>
      </w:pPr>
      <w:rPr>
        <w:rFonts w:ascii="Symbol" w:hAnsi="Symbol" w:hint="default"/>
      </w:rPr>
    </w:lvl>
    <w:lvl w:ilvl="1">
      <w:start w:val="1"/>
      <w:numFmt w:val="bullet"/>
      <w:lvlText w:val=""/>
      <w:lvlJc w:val="left"/>
      <w:pPr>
        <w:tabs>
          <w:tab w:val="num" w:pos="794"/>
        </w:tabs>
        <w:ind w:left="794" w:hanging="437"/>
      </w:pPr>
      <w:rPr>
        <w:rFonts w:ascii="Symbol" w:hAnsi="Symbol" w:hint="default"/>
      </w:rPr>
    </w:lvl>
    <w:lvl w:ilvl="2">
      <w:start w:val="1"/>
      <w:numFmt w:val="bullet"/>
      <w:lvlText w:val=""/>
      <w:lvlJc w:val="left"/>
      <w:pPr>
        <w:tabs>
          <w:tab w:val="num" w:pos="1440"/>
        </w:tabs>
        <w:ind w:left="1225" w:hanging="505"/>
      </w:pPr>
      <w:rPr>
        <w:rFonts w:ascii="Symbol" w:hAnsi="Symbol" w:hint="default"/>
      </w:rPr>
    </w:lvl>
    <w:lvl w:ilvl="3">
      <w:start w:val="1"/>
      <w:numFmt w:val="bullet"/>
      <w:lvlText w:val=""/>
      <w:lvlJc w:val="left"/>
      <w:pPr>
        <w:tabs>
          <w:tab w:val="num" w:pos="1797"/>
        </w:tabs>
        <w:ind w:left="1729" w:hanging="652"/>
      </w:pPr>
      <w:rPr>
        <w:rFonts w:ascii="Symbol" w:hAnsi="Symbol" w:hint="default"/>
      </w:rPr>
    </w:lvl>
    <w:lvl w:ilvl="4">
      <w:start w:val="1"/>
      <w:numFmt w:val="bullet"/>
      <w:lvlText w:val=""/>
      <w:lvlJc w:val="left"/>
      <w:pPr>
        <w:tabs>
          <w:tab w:val="num" w:pos="2517"/>
        </w:tabs>
        <w:ind w:left="2234" w:hanging="794"/>
      </w:pPr>
      <w:rPr>
        <w:rFonts w:ascii="Symbol" w:hAnsi="Symbol" w:hint="default"/>
      </w:rPr>
    </w:lvl>
    <w:lvl w:ilvl="5">
      <w:start w:val="1"/>
      <w:numFmt w:val="bullet"/>
      <w:lvlText w:val=""/>
      <w:lvlJc w:val="left"/>
      <w:pPr>
        <w:tabs>
          <w:tab w:val="num" w:pos="2880"/>
        </w:tabs>
        <w:ind w:left="2738" w:hanging="941"/>
      </w:pPr>
      <w:rPr>
        <w:rFonts w:ascii="Symbol" w:hAnsi="Symbol" w:hint="default"/>
      </w:rPr>
    </w:lvl>
    <w:lvl w:ilvl="6">
      <w:start w:val="1"/>
      <w:numFmt w:val="bullet"/>
      <w:lvlText w:val=""/>
      <w:lvlJc w:val="left"/>
      <w:pPr>
        <w:tabs>
          <w:tab w:val="num" w:pos="3600"/>
        </w:tabs>
        <w:ind w:left="3237" w:hanging="1077"/>
      </w:pPr>
      <w:rPr>
        <w:rFonts w:ascii="Symbol" w:hAnsi="Symbol" w:hint="default"/>
      </w:rPr>
    </w:lvl>
    <w:lvl w:ilvl="7">
      <w:start w:val="1"/>
      <w:numFmt w:val="bullet"/>
      <w:lvlText w:val=""/>
      <w:lvlJc w:val="left"/>
      <w:pPr>
        <w:tabs>
          <w:tab w:val="num" w:pos="3957"/>
        </w:tabs>
        <w:ind w:left="3742" w:hanging="1225"/>
      </w:pPr>
      <w:rPr>
        <w:rFonts w:ascii="Symbol" w:hAnsi="Symbol" w:hint="default"/>
      </w:rPr>
    </w:lvl>
    <w:lvl w:ilvl="8">
      <w:start w:val="1"/>
      <w:numFmt w:val="bullet"/>
      <w:lvlText w:val=""/>
      <w:lvlJc w:val="left"/>
      <w:pPr>
        <w:tabs>
          <w:tab w:val="num" w:pos="4677"/>
        </w:tabs>
        <w:ind w:left="4320" w:hanging="1440"/>
      </w:pPr>
      <w:rPr>
        <w:rFonts w:ascii="Symbol" w:hAnsi="Symbol" w:hint="default"/>
      </w:rPr>
    </w:lvl>
  </w:abstractNum>
  <w:abstractNum w:abstractNumId="15">
    <w:nsid w:val="5C225032"/>
    <w:multiLevelType w:val="hybridMultilevel"/>
    <w:tmpl w:val="87D8CF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5E373643"/>
    <w:multiLevelType w:val="multilevel"/>
    <w:tmpl w:val="0EA8A688"/>
    <w:name w:val="List_Alphabetical_Level_23"/>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0"/>
        </w:tabs>
        <w:ind w:left="3600" w:hanging="357"/>
      </w:pPr>
    </w:lvl>
    <w:lvl w:ilvl="8">
      <w:start w:val="1"/>
      <w:numFmt w:val="lowerLetter"/>
      <w:lvlText w:val="%9)"/>
      <w:lvlJc w:val="left"/>
      <w:pPr>
        <w:tabs>
          <w:tab w:val="num" w:pos="3957"/>
        </w:tabs>
        <w:ind w:left="3957" w:hanging="357"/>
      </w:pPr>
    </w:lvl>
  </w:abstractNum>
  <w:abstractNum w:abstractNumId="17">
    <w:nsid w:val="60805D9E"/>
    <w:multiLevelType w:val="multilevel"/>
    <w:tmpl w:val="AE06BB0E"/>
    <w:name w:val="List_Alphabetical_Level_1"/>
    <w:lvl w:ilvl="0">
      <w:start w:val="1"/>
      <w:numFmt w:val="upperLetter"/>
      <w:lvlRestart w:val="0"/>
      <w:lvlText w:val="%1)"/>
      <w:lvlJc w:val="left"/>
      <w:pPr>
        <w:tabs>
          <w:tab w:val="num" w:pos="720"/>
        </w:tabs>
        <w:ind w:left="720" w:hanging="357"/>
      </w:pPr>
      <w:rPr>
        <w:rFonts w:hint="default"/>
      </w:rPr>
    </w:lvl>
    <w:lvl w:ilvl="1">
      <w:start w:val="1"/>
      <w:numFmt w:val="upperLetter"/>
      <w:lvlText w:val="%2)"/>
      <w:lvlJc w:val="left"/>
      <w:pPr>
        <w:tabs>
          <w:tab w:val="num" w:pos="1083"/>
        </w:tabs>
        <w:ind w:left="1083" w:hanging="363"/>
      </w:pPr>
      <w:rPr>
        <w:rFonts w:hint="default"/>
      </w:rPr>
    </w:lvl>
    <w:lvl w:ilvl="2">
      <w:start w:val="1"/>
      <w:numFmt w:val="upperLetter"/>
      <w:lvlText w:val="%3)"/>
      <w:lvlJc w:val="left"/>
      <w:pPr>
        <w:tabs>
          <w:tab w:val="num" w:pos="1440"/>
        </w:tabs>
        <w:ind w:left="1440" w:hanging="357"/>
      </w:pPr>
      <w:rPr>
        <w:rFonts w:hint="default"/>
      </w:rPr>
    </w:lvl>
    <w:lvl w:ilvl="3">
      <w:start w:val="1"/>
      <w:numFmt w:val="upperLetter"/>
      <w:lvlText w:val="%4)"/>
      <w:lvlJc w:val="left"/>
      <w:pPr>
        <w:tabs>
          <w:tab w:val="num" w:pos="1803"/>
        </w:tabs>
        <w:ind w:left="1803" w:hanging="363"/>
      </w:pPr>
      <w:rPr>
        <w:rFonts w:hint="default"/>
      </w:rPr>
    </w:lvl>
    <w:lvl w:ilvl="4">
      <w:start w:val="1"/>
      <w:numFmt w:val="upperLetter"/>
      <w:lvlText w:val="%5)"/>
      <w:lvlJc w:val="left"/>
      <w:pPr>
        <w:tabs>
          <w:tab w:val="num" w:pos="2160"/>
        </w:tabs>
        <w:ind w:left="2160" w:hanging="357"/>
      </w:pPr>
      <w:rPr>
        <w:rFonts w:hint="default"/>
      </w:rPr>
    </w:lvl>
    <w:lvl w:ilvl="5">
      <w:start w:val="1"/>
      <w:numFmt w:val="upperLetter"/>
      <w:lvlText w:val="%6)"/>
      <w:lvlJc w:val="left"/>
      <w:pPr>
        <w:tabs>
          <w:tab w:val="num" w:pos="2523"/>
        </w:tabs>
        <w:ind w:left="2523" w:hanging="363"/>
      </w:pPr>
      <w:rPr>
        <w:rFonts w:hint="default"/>
      </w:rPr>
    </w:lvl>
    <w:lvl w:ilvl="6">
      <w:start w:val="1"/>
      <w:numFmt w:val="upperLetter"/>
      <w:lvlText w:val="%7)"/>
      <w:lvlJc w:val="left"/>
      <w:pPr>
        <w:tabs>
          <w:tab w:val="num" w:pos="2880"/>
        </w:tabs>
        <w:ind w:left="2880" w:hanging="357"/>
      </w:pPr>
      <w:rPr>
        <w:rFonts w:hint="default"/>
      </w:rPr>
    </w:lvl>
    <w:lvl w:ilvl="7">
      <w:start w:val="1"/>
      <w:numFmt w:val="upperLetter"/>
      <w:lvlText w:val="%8)"/>
      <w:lvlJc w:val="left"/>
      <w:pPr>
        <w:tabs>
          <w:tab w:val="num" w:pos="3243"/>
        </w:tabs>
        <w:ind w:left="3243" w:hanging="363"/>
      </w:pPr>
      <w:rPr>
        <w:rFonts w:hint="default"/>
      </w:rPr>
    </w:lvl>
    <w:lvl w:ilvl="8">
      <w:start w:val="1"/>
      <w:numFmt w:val="lowerRoman"/>
      <w:lvlText w:val="%9."/>
      <w:lvlJc w:val="right"/>
      <w:pPr>
        <w:tabs>
          <w:tab w:val="num" w:pos="1584"/>
        </w:tabs>
        <w:ind w:left="1584" w:hanging="144"/>
      </w:pPr>
      <w:rPr>
        <w:rFonts w:hint="default"/>
      </w:rPr>
    </w:lvl>
  </w:abstractNum>
  <w:abstractNum w:abstractNumId="18">
    <w:nsid w:val="62331808"/>
    <w:multiLevelType w:val="multilevel"/>
    <w:tmpl w:val="F1BEA42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1CE414F"/>
    <w:multiLevelType w:val="hybridMultilevel"/>
    <w:tmpl w:val="99F61858"/>
    <w:lvl w:ilvl="0" w:tplc="ED465E08">
      <w:start w:val="1"/>
      <w:numFmt w:val="bullet"/>
      <w:pStyle w:val="TblTextbulletedlis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798121B3"/>
    <w:multiLevelType w:val="hybridMultilevel"/>
    <w:tmpl w:val="00A88530"/>
    <w:name w:val="LT_Heading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6C59A9"/>
    <w:multiLevelType w:val="multilevel"/>
    <w:tmpl w:val="5B240ADE"/>
    <w:lvl w:ilvl="0">
      <w:start w:val="1"/>
      <w:numFmt w:val="bullet"/>
      <w:lvlRestart w:val="0"/>
      <w:pStyle w:val="ListBulletLevel1"/>
      <w:lvlText w:val=""/>
      <w:lvlJc w:val="left"/>
      <w:pPr>
        <w:tabs>
          <w:tab w:val="num" w:pos="720"/>
        </w:tabs>
        <w:ind w:left="720" w:hanging="357"/>
      </w:pPr>
      <w:rPr>
        <w:rFonts w:ascii="Symbol" w:hAnsi="Symbol" w:hint="default"/>
        <w:sz w:val="24"/>
      </w:rPr>
    </w:lvl>
    <w:lvl w:ilvl="1">
      <w:start w:val="1"/>
      <w:numFmt w:val="bullet"/>
      <w:lvlText w:val=""/>
      <w:lvlJc w:val="left"/>
      <w:pPr>
        <w:tabs>
          <w:tab w:val="num" w:pos="1083"/>
        </w:tabs>
        <w:ind w:left="1083" w:hanging="363"/>
      </w:pPr>
      <w:rPr>
        <w:rFonts w:ascii="Symbol" w:hAnsi="Symbol" w:cs="Times New Roman" w:hint="default"/>
        <w:sz w:val="21"/>
      </w:rPr>
    </w:lvl>
    <w:lvl w:ilvl="2">
      <w:start w:val="1"/>
      <w:numFmt w:val="bullet"/>
      <w:lvlText w:val=""/>
      <w:lvlJc w:val="left"/>
      <w:pPr>
        <w:tabs>
          <w:tab w:val="num" w:pos="1440"/>
        </w:tabs>
        <w:ind w:left="1440" w:hanging="357"/>
      </w:pPr>
      <w:rPr>
        <w:rFonts w:ascii="Symbol" w:hAnsi="Symbol" w:cs="Times New Roman" w:hint="default"/>
        <w:sz w:val="21"/>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22">
    <w:nsid w:val="7FD14CA0"/>
    <w:multiLevelType w:val="multilevel"/>
    <w:tmpl w:val="BF20D5B6"/>
    <w:name w:val="List_Alphabetical_Level_12"/>
    <w:lvl w:ilvl="0">
      <w:start w:val="1"/>
      <w:numFmt w:val="upperLetter"/>
      <w:lvlRestart w:val="0"/>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lowerRoman"/>
      <w:lvlText w:val="%9."/>
      <w:lvlJc w:val="right"/>
      <w:pPr>
        <w:tabs>
          <w:tab w:val="num" w:pos="1584"/>
        </w:tabs>
        <w:ind w:left="1584" w:hanging="144"/>
      </w:pPr>
    </w:lvl>
  </w:abstractNum>
  <w:num w:numId="1">
    <w:abstractNumId w:val="5"/>
  </w:num>
  <w:num w:numId="2">
    <w:abstractNumId w:val="18"/>
  </w:num>
  <w:num w:numId="3">
    <w:abstractNumId w:val="10"/>
  </w:num>
  <w:num w:numId="4">
    <w:abstractNumId w:val="8"/>
  </w:num>
  <w:num w:numId="5">
    <w:abstractNumId w:val="4"/>
  </w:num>
  <w:num w:numId="6">
    <w:abstractNumId w:val="0"/>
  </w:num>
  <w:num w:numId="7">
    <w:abstractNumId w:val="21"/>
  </w:num>
  <w:num w:numId="8">
    <w:abstractNumId w:val="12"/>
  </w:num>
  <w:num w:numId="9">
    <w:abstractNumId w:val="19"/>
  </w:num>
  <w:num w:numId="10">
    <w:abstractNumId w:val="18"/>
  </w:num>
  <w:num w:numId="11">
    <w:abstractNumId w:val="18"/>
  </w:num>
  <w:num w:numId="12">
    <w:abstractNumId w:val="18"/>
  </w:num>
  <w:num w:numId="13">
    <w:abstractNumId w:val="5"/>
  </w:num>
  <w:num w:numId="14">
    <w:abstractNumId w:val="5"/>
  </w:num>
  <w:num w:numId="15">
    <w:abstractNumId w:val="21"/>
  </w:num>
  <w:num w:numId="16">
    <w:abstractNumId w:val="21"/>
  </w:num>
  <w:num w:numId="17">
    <w:abstractNumId w:val="13"/>
  </w:num>
  <w:num w:numId="18">
    <w:abstractNumId w:val="15"/>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20"/>
  </w:num>
  <w:num w:numId="29">
    <w:abstractNumId w:val="1"/>
  </w:num>
  <w:num w:numId="30">
    <w:abstractNumId w:val="2"/>
  </w:num>
  <w:num w:numId="31">
    <w:abstractNumId w:val="9"/>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en-Z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lagShowHiddenText" w:val="1"/>
  </w:docVars>
  <w:rsids>
    <w:rsidRoot w:val="004E23E5"/>
    <w:rsid w:val="000014B8"/>
    <w:rsid w:val="000047B6"/>
    <w:rsid w:val="000073C5"/>
    <w:rsid w:val="000123EC"/>
    <w:rsid w:val="0001355C"/>
    <w:rsid w:val="00015744"/>
    <w:rsid w:val="00016034"/>
    <w:rsid w:val="00023760"/>
    <w:rsid w:val="0002666F"/>
    <w:rsid w:val="000279AC"/>
    <w:rsid w:val="00027FBD"/>
    <w:rsid w:val="00034E6D"/>
    <w:rsid w:val="000435F5"/>
    <w:rsid w:val="00043E44"/>
    <w:rsid w:val="00044C0A"/>
    <w:rsid w:val="000509FB"/>
    <w:rsid w:val="0006253C"/>
    <w:rsid w:val="000643C9"/>
    <w:rsid w:val="000742C4"/>
    <w:rsid w:val="00077264"/>
    <w:rsid w:val="0008317C"/>
    <w:rsid w:val="00084CB1"/>
    <w:rsid w:val="00085286"/>
    <w:rsid w:val="00087C69"/>
    <w:rsid w:val="00087FF6"/>
    <w:rsid w:val="00090D97"/>
    <w:rsid w:val="0009175C"/>
    <w:rsid w:val="000924FC"/>
    <w:rsid w:val="0009331B"/>
    <w:rsid w:val="000A7518"/>
    <w:rsid w:val="000B0474"/>
    <w:rsid w:val="000B1423"/>
    <w:rsid w:val="000B2FFF"/>
    <w:rsid w:val="000B4C9A"/>
    <w:rsid w:val="000B4EBF"/>
    <w:rsid w:val="000B6B58"/>
    <w:rsid w:val="000C2265"/>
    <w:rsid w:val="000C7EC3"/>
    <w:rsid w:val="000D002C"/>
    <w:rsid w:val="000D3721"/>
    <w:rsid w:val="000D4B46"/>
    <w:rsid w:val="000E1B95"/>
    <w:rsid w:val="000F1996"/>
    <w:rsid w:val="000F2D15"/>
    <w:rsid w:val="001042CF"/>
    <w:rsid w:val="00105BB6"/>
    <w:rsid w:val="00106A31"/>
    <w:rsid w:val="0010717F"/>
    <w:rsid w:val="00107707"/>
    <w:rsid w:val="0011155D"/>
    <w:rsid w:val="001172F0"/>
    <w:rsid w:val="00124AE8"/>
    <w:rsid w:val="001276C5"/>
    <w:rsid w:val="00136406"/>
    <w:rsid w:val="00137420"/>
    <w:rsid w:val="00143447"/>
    <w:rsid w:val="001472F5"/>
    <w:rsid w:val="00152831"/>
    <w:rsid w:val="00156241"/>
    <w:rsid w:val="00157C3A"/>
    <w:rsid w:val="00164F72"/>
    <w:rsid w:val="001747BA"/>
    <w:rsid w:val="001749B6"/>
    <w:rsid w:val="00180A45"/>
    <w:rsid w:val="00181745"/>
    <w:rsid w:val="00182E8B"/>
    <w:rsid w:val="00184C15"/>
    <w:rsid w:val="00192825"/>
    <w:rsid w:val="0019780F"/>
    <w:rsid w:val="001A4A63"/>
    <w:rsid w:val="001B35B1"/>
    <w:rsid w:val="001B756B"/>
    <w:rsid w:val="001C101C"/>
    <w:rsid w:val="001C25DD"/>
    <w:rsid w:val="001C7785"/>
    <w:rsid w:val="001D1071"/>
    <w:rsid w:val="001D50A6"/>
    <w:rsid w:val="001D7BED"/>
    <w:rsid w:val="001D7C8E"/>
    <w:rsid w:val="001E1B55"/>
    <w:rsid w:val="0020360A"/>
    <w:rsid w:val="00203F20"/>
    <w:rsid w:val="00215947"/>
    <w:rsid w:val="00217714"/>
    <w:rsid w:val="002226C8"/>
    <w:rsid w:val="002231C8"/>
    <w:rsid w:val="002323AB"/>
    <w:rsid w:val="002376EB"/>
    <w:rsid w:val="00237928"/>
    <w:rsid w:val="0024000D"/>
    <w:rsid w:val="00247C17"/>
    <w:rsid w:val="0025140F"/>
    <w:rsid w:val="00253F70"/>
    <w:rsid w:val="00254CE5"/>
    <w:rsid w:val="0025654A"/>
    <w:rsid w:val="002708F1"/>
    <w:rsid w:val="00271802"/>
    <w:rsid w:val="002731E3"/>
    <w:rsid w:val="00281D0C"/>
    <w:rsid w:val="00286ED9"/>
    <w:rsid w:val="002A168F"/>
    <w:rsid w:val="002A2BD3"/>
    <w:rsid w:val="002A60A6"/>
    <w:rsid w:val="002D691A"/>
    <w:rsid w:val="002E07A4"/>
    <w:rsid w:val="002E125F"/>
    <w:rsid w:val="002E4F07"/>
    <w:rsid w:val="002F36EB"/>
    <w:rsid w:val="002F6AE5"/>
    <w:rsid w:val="003020BF"/>
    <w:rsid w:val="00305557"/>
    <w:rsid w:val="00305D6F"/>
    <w:rsid w:val="00306AFC"/>
    <w:rsid w:val="00314FEC"/>
    <w:rsid w:val="003173D8"/>
    <w:rsid w:val="00320971"/>
    <w:rsid w:val="003234E6"/>
    <w:rsid w:val="00327C21"/>
    <w:rsid w:val="00331A82"/>
    <w:rsid w:val="00333C5D"/>
    <w:rsid w:val="00340888"/>
    <w:rsid w:val="00341808"/>
    <w:rsid w:val="003435D8"/>
    <w:rsid w:val="0034385C"/>
    <w:rsid w:val="003522B8"/>
    <w:rsid w:val="003527D0"/>
    <w:rsid w:val="00355E7C"/>
    <w:rsid w:val="00363595"/>
    <w:rsid w:val="00366DA8"/>
    <w:rsid w:val="00370B2C"/>
    <w:rsid w:val="00372517"/>
    <w:rsid w:val="00374168"/>
    <w:rsid w:val="00374A17"/>
    <w:rsid w:val="003753D3"/>
    <w:rsid w:val="00377315"/>
    <w:rsid w:val="003807E2"/>
    <w:rsid w:val="00381C48"/>
    <w:rsid w:val="00383443"/>
    <w:rsid w:val="00386865"/>
    <w:rsid w:val="0039261B"/>
    <w:rsid w:val="003939FF"/>
    <w:rsid w:val="00394D7B"/>
    <w:rsid w:val="0039601C"/>
    <w:rsid w:val="00396195"/>
    <w:rsid w:val="003A3006"/>
    <w:rsid w:val="003A4E35"/>
    <w:rsid w:val="003A62B7"/>
    <w:rsid w:val="003B4B1F"/>
    <w:rsid w:val="003B7390"/>
    <w:rsid w:val="003C1557"/>
    <w:rsid w:val="003C1C15"/>
    <w:rsid w:val="003C31CF"/>
    <w:rsid w:val="003C6C92"/>
    <w:rsid w:val="003D0563"/>
    <w:rsid w:val="003D0C4B"/>
    <w:rsid w:val="003D37FD"/>
    <w:rsid w:val="003D549B"/>
    <w:rsid w:val="003D7567"/>
    <w:rsid w:val="003D790F"/>
    <w:rsid w:val="003D7987"/>
    <w:rsid w:val="003E0938"/>
    <w:rsid w:val="003E172D"/>
    <w:rsid w:val="003E7CED"/>
    <w:rsid w:val="003F04FF"/>
    <w:rsid w:val="003F591C"/>
    <w:rsid w:val="003F7766"/>
    <w:rsid w:val="00400443"/>
    <w:rsid w:val="00401A26"/>
    <w:rsid w:val="004061BA"/>
    <w:rsid w:val="00406EC1"/>
    <w:rsid w:val="00407CC3"/>
    <w:rsid w:val="004174CB"/>
    <w:rsid w:val="0043487D"/>
    <w:rsid w:val="00444D0A"/>
    <w:rsid w:val="00445BFB"/>
    <w:rsid w:val="00450C49"/>
    <w:rsid w:val="00455E14"/>
    <w:rsid w:val="0045769F"/>
    <w:rsid w:val="00457D99"/>
    <w:rsid w:val="00466EFF"/>
    <w:rsid w:val="00471BB9"/>
    <w:rsid w:val="00472348"/>
    <w:rsid w:val="0047347C"/>
    <w:rsid w:val="00474B04"/>
    <w:rsid w:val="00475600"/>
    <w:rsid w:val="00476F04"/>
    <w:rsid w:val="0048056C"/>
    <w:rsid w:val="004864A9"/>
    <w:rsid w:val="004955DD"/>
    <w:rsid w:val="004A49CE"/>
    <w:rsid w:val="004A781B"/>
    <w:rsid w:val="004B1268"/>
    <w:rsid w:val="004B146F"/>
    <w:rsid w:val="004C3BC3"/>
    <w:rsid w:val="004D3149"/>
    <w:rsid w:val="004D5957"/>
    <w:rsid w:val="004E172D"/>
    <w:rsid w:val="004E23E5"/>
    <w:rsid w:val="004E2A35"/>
    <w:rsid w:val="004E659C"/>
    <w:rsid w:val="004E7027"/>
    <w:rsid w:val="004F4CB7"/>
    <w:rsid w:val="0050137B"/>
    <w:rsid w:val="00504156"/>
    <w:rsid w:val="00504213"/>
    <w:rsid w:val="00504E60"/>
    <w:rsid w:val="0051081A"/>
    <w:rsid w:val="00521585"/>
    <w:rsid w:val="00523AB7"/>
    <w:rsid w:val="00531B26"/>
    <w:rsid w:val="00531D77"/>
    <w:rsid w:val="005325B4"/>
    <w:rsid w:val="00535028"/>
    <w:rsid w:val="00536301"/>
    <w:rsid w:val="00540B83"/>
    <w:rsid w:val="00546ACE"/>
    <w:rsid w:val="0054770A"/>
    <w:rsid w:val="00554F54"/>
    <w:rsid w:val="005572E4"/>
    <w:rsid w:val="0056197B"/>
    <w:rsid w:val="00561A6A"/>
    <w:rsid w:val="00571C35"/>
    <w:rsid w:val="00572D9D"/>
    <w:rsid w:val="005759E9"/>
    <w:rsid w:val="00586078"/>
    <w:rsid w:val="00592D62"/>
    <w:rsid w:val="00595ECB"/>
    <w:rsid w:val="005B1B96"/>
    <w:rsid w:val="005B50D5"/>
    <w:rsid w:val="005B7A53"/>
    <w:rsid w:val="005C3820"/>
    <w:rsid w:val="005C5425"/>
    <w:rsid w:val="005C564D"/>
    <w:rsid w:val="005D02D0"/>
    <w:rsid w:val="005D066F"/>
    <w:rsid w:val="005D3686"/>
    <w:rsid w:val="006029BC"/>
    <w:rsid w:val="00605587"/>
    <w:rsid w:val="006115B9"/>
    <w:rsid w:val="006214A3"/>
    <w:rsid w:val="0063132E"/>
    <w:rsid w:val="006332E1"/>
    <w:rsid w:val="00636E2A"/>
    <w:rsid w:val="0064404E"/>
    <w:rsid w:val="00644AA5"/>
    <w:rsid w:val="00647F42"/>
    <w:rsid w:val="00653D7F"/>
    <w:rsid w:val="00654ADA"/>
    <w:rsid w:val="006645A6"/>
    <w:rsid w:val="00674D8F"/>
    <w:rsid w:val="006801B8"/>
    <w:rsid w:val="006812D2"/>
    <w:rsid w:val="00682084"/>
    <w:rsid w:val="00684E18"/>
    <w:rsid w:val="00686EF3"/>
    <w:rsid w:val="00690656"/>
    <w:rsid w:val="006961A5"/>
    <w:rsid w:val="00697823"/>
    <w:rsid w:val="006A1849"/>
    <w:rsid w:val="006B17E4"/>
    <w:rsid w:val="006B1862"/>
    <w:rsid w:val="006B792B"/>
    <w:rsid w:val="006C0582"/>
    <w:rsid w:val="006C1500"/>
    <w:rsid w:val="006C7B94"/>
    <w:rsid w:val="006E371A"/>
    <w:rsid w:val="006F5D15"/>
    <w:rsid w:val="00700888"/>
    <w:rsid w:val="0071160D"/>
    <w:rsid w:val="0071348E"/>
    <w:rsid w:val="007217EF"/>
    <w:rsid w:val="0072183B"/>
    <w:rsid w:val="00723446"/>
    <w:rsid w:val="00725B36"/>
    <w:rsid w:val="0072653F"/>
    <w:rsid w:val="00732C70"/>
    <w:rsid w:val="0074100F"/>
    <w:rsid w:val="00743A5A"/>
    <w:rsid w:val="00744FEC"/>
    <w:rsid w:val="00750E22"/>
    <w:rsid w:val="007510BA"/>
    <w:rsid w:val="00754E57"/>
    <w:rsid w:val="00755609"/>
    <w:rsid w:val="00763A4B"/>
    <w:rsid w:val="00787662"/>
    <w:rsid w:val="00794A3F"/>
    <w:rsid w:val="00795DB0"/>
    <w:rsid w:val="00796711"/>
    <w:rsid w:val="007969F1"/>
    <w:rsid w:val="007A02FC"/>
    <w:rsid w:val="007B649A"/>
    <w:rsid w:val="007C26D8"/>
    <w:rsid w:val="007C2F83"/>
    <w:rsid w:val="007C65AC"/>
    <w:rsid w:val="007C764F"/>
    <w:rsid w:val="007D646B"/>
    <w:rsid w:val="007E590D"/>
    <w:rsid w:val="007F268A"/>
    <w:rsid w:val="008031D0"/>
    <w:rsid w:val="008045E5"/>
    <w:rsid w:val="008048CB"/>
    <w:rsid w:val="00812748"/>
    <w:rsid w:val="00814AA4"/>
    <w:rsid w:val="00814CF2"/>
    <w:rsid w:val="0081548C"/>
    <w:rsid w:val="00817D6F"/>
    <w:rsid w:val="0084760A"/>
    <w:rsid w:val="00855D09"/>
    <w:rsid w:val="00863E50"/>
    <w:rsid w:val="00866E21"/>
    <w:rsid w:val="00867032"/>
    <w:rsid w:val="0087148E"/>
    <w:rsid w:val="008758FC"/>
    <w:rsid w:val="00875FBD"/>
    <w:rsid w:val="00876F71"/>
    <w:rsid w:val="00880989"/>
    <w:rsid w:val="0088180E"/>
    <w:rsid w:val="008847F9"/>
    <w:rsid w:val="00895195"/>
    <w:rsid w:val="008A0700"/>
    <w:rsid w:val="008A254F"/>
    <w:rsid w:val="008A4A09"/>
    <w:rsid w:val="008B286A"/>
    <w:rsid w:val="008C099C"/>
    <w:rsid w:val="008C1FFB"/>
    <w:rsid w:val="008C27EF"/>
    <w:rsid w:val="008C5BB3"/>
    <w:rsid w:val="008C646C"/>
    <w:rsid w:val="008D26AC"/>
    <w:rsid w:val="008D3279"/>
    <w:rsid w:val="008D4FED"/>
    <w:rsid w:val="008D6386"/>
    <w:rsid w:val="008E6AD5"/>
    <w:rsid w:val="008F2344"/>
    <w:rsid w:val="008F5D09"/>
    <w:rsid w:val="00900A39"/>
    <w:rsid w:val="009025D7"/>
    <w:rsid w:val="009065A8"/>
    <w:rsid w:val="00913A3D"/>
    <w:rsid w:val="00920048"/>
    <w:rsid w:val="00921680"/>
    <w:rsid w:val="0092226C"/>
    <w:rsid w:val="0092316A"/>
    <w:rsid w:val="00923F8E"/>
    <w:rsid w:val="00926C88"/>
    <w:rsid w:val="0093793D"/>
    <w:rsid w:val="00944B08"/>
    <w:rsid w:val="0094585F"/>
    <w:rsid w:val="00950BB8"/>
    <w:rsid w:val="0095294B"/>
    <w:rsid w:val="00954FE4"/>
    <w:rsid w:val="00967ECF"/>
    <w:rsid w:val="00970542"/>
    <w:rsid w:val="00973300"/>
    <w:rsid w:val="0097456E"/>
    <w:rsid w:val="009748DE"/>
    <w:rsid w:val="00975BB0"/>
    <w:rsid w:val="00976613"/>
    <w:rsid w:val="009830E0"/>
    <w:rsid w:val="00984463"/>
    <w:rsid w:val="00984A4B"/>
    <w:rsid w:val="00993352"/>
    <w:rsid w:val="00997A67"/>
    <w:rsid w:val="009A34C2"/>
    <w:rsid w:val="009A3675"/>
    <w:rsid w:val="009A61A1"/>
    <w:rsid w:val="009A62BD"/>
    <w:rsid w:val="009B0651"/>
    <w:rsid w:val="009B264B"/>
    <w:rsid w:val="009B3EAC"/>
    <w:rsid w:val="009B53D0"/>
    <w:rsid w:val="009B5752"/>
    <w:rsid w:val="009B67D6"/>
    <w:rsid w:val="009C448E"/>
    <w:rsid w:val="009D0A75"/>
    <w:rsid w:val="009D39FC"/>
    <w:rsid w:val="009E4059"/>
    <w:rsid w:val="009E6B7F"/>
    <w:rsid w:val="009E7BCE"/>
    <w:rsid w:val="009F0E64"/>
    <w:rsid w:val="00A02F28"/>
    <w:rsid w:val="00A06CB7"/>
    <w:rsid w:val="00A070B9"/>
    <w:rsid w:val="00A152A7"/>
    <w:rsid w:val="00A17018"/>
    <w:rsid w:val="00A25A0C"/>
    <w:rsid w:val="00A31B49"/>
    <w:rsid w:val="00A321BC"/>
    <w:rsid w:val="00A35967"/>
    <w:rsid w:val="00A46B03"/>
    <w:rsid w:val="00A51CE2"/>
    <w:rsid w:val="00A526BA"/>
    <w:rsid w:val="00A5314D"/>
    <w:rsid w:val="00A555BF"/>
    <w:rsid w:val="00A64F7C"/>
    <w:rsid w:val="00A7114D"/>
    <w:rsid w:val="00A8502D"/>
    <w:rsid w:val="00A860B0"/>
    <w:rsid w:val="00A937ED"/>
    <w:rsid w:val="00A96ED5"/>
    <w:rsid w:val="00A97647"/>
    <w:rsid w:val="00AA33C2"/>
    <w:rsid w:val="00AA781D"/>
    <w:rsid w:val="00AA7DA9"/>
    <w:rsid w:val="00AB1082"/>
    <w:rsid w:val="00AB20E1"/>
    <w:rsid w:val="00AB5717"/>
    <w:rsid w:val="00AC6AA7"/>
    <w:rsid w:val="00AD15B9"/>
    <w:rsid w:val="00AD3144"/>
    <w:rsid w:val="00AF04DA"/>
    <w:rsid w:val="00AF1E97"/>
    <w:rsid w:val="00AF4562"/>
    <w:rsid w:val="00B02E69"/>
    <w:rsid w:val="00B04F60"/>
    <w:rsid w:val="00B07BBA"/>
    <w:rsid w:val="00B23E8B"/>
    <w:rsid w:val="00B2788A"/>
    <w:rsid w:val="00B32454"/>
    <w:rsid w:val="00B33846"/>
    <w:rsid w:val="00B40C2B"/>
    <w:rsid w:val="00B45F45"/>
    <w:rsid w:val="00B53B9C"/>
    <w:rsid w:val="00B554FD"/>
    <w:rsid w:val="00B6393D"/>
    <w:rsid w:val="00B650ED"/>
    <w:rsid w:val="00B8085A"/>
    <w:rsid w:val="00B86F79"/>
    <w:rsid w:val="00B87A69"/>
    <w:rsid w:val="00B91770"/>
    <w:rsid w:val="00B96A26"/>
    <w:rsid w:val="00B97FB5"/>
    <w:rsid w:val="00BA12A7"/>
    <w:rsid w:val="00BA1609"/>
    <w:rsid w:val="00BA3C48"/>
    <w:rsid w:val="00BA588B"/>
    <w:rsid w:val="00BB45D6"/>
    <w:rsid w:val="00BB58A3"/>
    <w:rsid w:val="00BB6388"/>
    <w:rsid w:val="00BC0CE0"/>
    <w:rsid w:val="00BC29DE"/>
    <w:rsid w:val="00BC52A5"/>
    <w:rsid w:val="00BC6941"/>
    <w:rsid w:val="00BD5350"/>
    <w:rsid w:val="00BD5A34"/>
    <w:rsid w:val="00BE771E"/>
    <w:rsid w:val="00BF465F"/>
    <w:rsid w:val="00C10C90"/>
    <w:rsid w:val="00C12B24"/>
    <w:rsid w:val="00C26130"/>
    <w:rsid w:val="00C33ECA"/>
    <w:rsid w:val="00C40C20"/>
    <w:rsid w:val="00C420A3"/>
    <w:rsid w:val="00C42603"/>
    <w:rsid w:val="00C43A4E"/>
    <w:rsid w:val="00C4567F"/>
    <w:rsid w:val="00C462A8"/>
    <w:rsid w:val="00C47A96"/>
    <w:rsid w:val="00C574F4"/>
    <w:rsid w:val="00C616E0"/>
    <w:rsid w:val="00C64F3F"/>
    <w:rsid w:val="00C65787"/>
    <w:rsid w:val="00C706D7"/>
    <w:rsid w:val="00C778D3"/>
    <w:rsid w:val="00C864FE"/>
    <w:rsid w:val="00C86AF9"/>
    <w:rsid w:val="00C9622C"/>
    <w:rsid w:val="00CA36A7"/>
    <w:rsid w:val="00CA4D77"/>
    <w:rsid w:val="00CA7E66"/>
    <w:rsid w:val="00CB3077"/>
    <w:rsid w:val="00CB3550"/>
    <w:rsid w:val="00CB4322"/>
    <w:rsid w:val="00CC0F16"/>
    <w:rsid w:val="00CC31C8"/>
    <w:rsid w:val="00CC333B"/>
    <w:rsid w:val="00CC3937"/>
    <w:rsid w:val="00CC39E4"/>
    <w:rsid w:val="00CD21FC"/>
    <w:rsid w:val="00CE10A5"/>
    <w:rsid w:val="00CF02FA"/>
    <w:rsid w:val="00CF66A2"/>
    <w:rsid w:val="00CF6BD3"/>
    <w:rsid w:val="00D0213A"/>
    <w:rsid w:val="00D03A8B"/>
    <w:rsid w:val="00D05106"/>
    <w:rsid w:val="00D057B2"/>
    <w:rsid w:val="00D07DF4"/>
    <w:rsid w:val="00D1269A"/>
    <w:rsid w:val="00D12B5B"/>
    <w:rsid w:val="00D16C5E"/>
    <w:rsid w:val="00D23D6E"/>
    <w:rsid w:val="00D2640F"/>
    <w:rsid w:val="00D3578C"/>
    <w:rsid w:val="00D408EA"/>
    <w:rsid w:val="00D430E1"/>
    <w:rsid w:val="00D43C16"/>
    <w:rsid w:val="00D463BC"/>
    <w:rsid w:val="00D52436"/>
    <w:rsid w:val="00D56ADF"/>
    <w:rsid w:val="00D60C73"/>
    <w:rsid w:val="00D61368"/>
    <w:rsid w:val="00D63539"/>
    <w:rsid w:val="00D73FB2"/>
    <w:rsid w:val="00D743A3"/>
    <w:rsid w:val="00D75C5F"/>
    <w:rsid w:val="00D76153"/>
    <w:rsid w:val="00D77314"/>
    <w:rsid w:val="00D800BF"/>
    <w:rsid w:val="00D8280F"/>
    <w:rsid w:val="00D83507"/>
    <w:rsid w:val="00D83998"/>
    <w:rsid w:val="00DB0BED"/>
    <w:rsid w:val="00DB3409"/>
    <w:rsid w:val="00DB617B"/>
    <w:rsid w:val="00DC047D"/>
    <w:rsid w:val="00DC0FA3"/>
    <w:rsid w:val="00DC4FA8"/>
    <w:rsid w:val="00DD0070"/>
    <w:rsid w:val="00DD357D"/>
    <w:rsid w:val="00DD4E63"/>
    <w:rsid w:val="00DD769B"/>
    <w:rsid w:val="00DE23E8"/>
    <w:rsid w:val="00DE33FD"/>
    <w:rsid w:val="00DE4E13"/>
    <w:rsid w:val="00DF36D8"/>
    <w:rsid w:val="00E01AA1"/>
    <w:rsid w:val="00E31201"/>
    <w:rsid w:val="00E32320"/>
    <w:rsid w:val="00E34789"/>
    <w:rsid w:val="00E37B02"/>
    <w:rsid w:val="00E40822"/>
    <w:rsid w:val="00E41FB4"/>
    <w:rsid w:val="00E44E61"/>
    <w:rsid w:val="00E45C09"/>
    <w:rsid w:val="00E4649A"/>
    <w:rsid w:val="00E46603"/>
    <w:rsid w:val="00E555F4"/>
    <w:rsid w:val="00E673C7"/>
    <w:rsid w:val="00E806CB"/>
    <w:rsid w:val="00E914CA"/>
    <w:rsid w:val="00E92973"/>
    <w:rsid w:val="00E966B2"/>
    <w:rsid w:val="00EA38F8"/>
    <w:rsid w:val="00EA40C0"/>
    <w:rsid w:val="00EB0A6A"/>
    <w:rsid w:val="00EB3C41"/>
    <w:rsid w:val="00EB42C3"/>
    <w:rsid w:val="00EB498F"/>
    <w:rsid w:val="00EC13B3"/>
    <w:rsid w:val="00EC67E4"/>
    <w:rsid w:val="00ED654C"/>
    <w:rsid w:val="00EE06AC"/>
    <w:rsid w:val="00EE114A"/>
    <w:rsid w:val="00EE137C"/>
    <w:rsid w:val="00EE1699"/>
    <w:rsid w:val="00EE6311"/>
    <w:rsid w:val="00EF0CAD"/>
    <w:rsid w:val="00EF2041"/>
    <w:rsid w:val="00EF79FC"/>
    <w:rsid w:val="00F01CE1"/>
    <w:rsid w:val="00F03C8A"/>
    <w:rsid w:val="00F045B5"/>
    <w:rsid w:val="00F06AAE"/>
    <w:rsid w:val="00F07817"/>
    <w:rsid w:val="00F11910"/>
    <w:rsid w:val="00F132DA"/>
    <w:rsid w:val="00F2115B"/>
    <w:rsid w:val="00F27484"/>
    <w:rsid w:val="00F3322A"/>
    <w:rsid w:val="00F3432A"/>
    <w:rsid w:val="00F347A9"/>
    <w:rsid w:val="00F34F12"/>
    <w:rsid w:val="00F35957"/>
    <w:rsid w:val="00F36EFD"/>
    <w:rsid w:val="00F62563"/>
    <w:rsid w:val="00F62653"/>
    <w:rsid w:val="00F774FA"/>
    <w:rsid w:val="00F77943"/>
    <w:rsid w:val="00F81D35"/>
    <w:rsid w:val="00F878A2"/>
    <w:rsid w:val="00F907CA"/>
    <w:rsid w:val="00F91AD0"/>
    <w:rsid w:val="00F962E8"/>
    <w:rsid w:val="00F96E13"/>
    <w:rsid w:val="00F97367"/>
    <w:rsid w:val="00FB336C"/>
    <w:rsid w:val="00FB41EC"/>
    <w:rsid w:val="00FC0FE8"/>
    <w:rsid w:val="00FC1F0F"/>
    <w:rsid w:val="00FC471E"/>
    <w:rsid w:val="00FC5B56"/>
    <w:rsid w:val="00FC74B3"/>
    <w:rsid w:val="00FC78A2"/>
    <w:rsid w:val="00FD1569"/>
    <w:rsid w:val="00FD73B1"/>
    <w:rsid w:val="00FE40D5"/>
    <w:rsid w:val="00FE5EE5"/>
    <w:rsid w:val="00FE6878"/>
    <w:rsid w:val="00FE7993"/>
    <w:rsid w:val="00FF4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087C69"/>
    <w:pPr>
      <w:spacing w:before="240"/>
    </w:pPr>
    <w:rPr>
      <w:rFonts w:eastAsia="MS Mincho"/>
      <w:color w:val="000000"/>
      <w:sz w:val="24"/>
      <w:szCs w:val="24"/>
      <w:lang w:val="en-US" w:eastAsia="en-US"/>
    </w:rPr>
  </w:style>
  <w:style w:type="paragraph" w:styleId="Heading1">
    <w:name w:val="heading 1"/>
    <w:next w:val="Normal"/>
    <w:qFormat/>
    <w:locked/>
    <w:rsid w:val="00180A45"/>
    <w:pPr>
      <w:keepNext/>
      <w:pageBreakBefore/>
      <w:numPr>
        <w:numId w:val="19"/>
      </w:numPr>
      <w:spacing w:before="480"/>
      <w:outlineLvl w:val="0"/>
    </w:pPr>
    <w:rPr>
      <w:rFonts w:ascii="Arial" w:eastAsia="MS Gothic" w:hAnsi="Arial" w:cs="Arial"/>
      <w:b/>
      <w:bCs/>
      <w:caps/>
      <w:kern w:val="32"/>
      <w:sz w:val="28"/>
      <w:szCs w:val="32"/>
      <w:lang w:val="en-US" w:eastAsia="en-US"/>
    </w:rPr>
  </w:style>
  <w:style w:type="paragraph" w:styleId="Heading2">
    <w:name w:val="heading 2"/>
    <w:basedOn w:val="Heading1"/>
    <w:next w:val="Normal"/>
    <w:qFormat/>
    <w:rsid w:val="00180A45"/>
    <w:pPr>
      <w:pageBreakBefore w:val="0"/>
      <w:numPr>
        <w:ilvl w:val="1"/>
      </w:numPr>
      <w:outlineLvl w:val="1"/>
    </w:pPr>
    <w:rPr>
      <w:bCs w:val="0"/>
      <w:iCs/>
      <w:sz w:val="22"/>
      <w:szCs w:val="28"/>
    </w:rPr>
  </w:style>
  <w:style w:type="paragraph" w:styleId="Heading3">
    <w:name w:val="heading 3"/>
    <w:basedOn w:val="Heading1"/>
    <w:next w:val="Normal"/>
    <w:qFormat/>
    <w:rsid w:val="00180A45"/>
    <w:pPr>
      <w:pageBreakBefore w:val="0"/>
      <w:numPr>
        <w:ilvl w:val="2"/>
      </w:numPr>
      <w:spacing w:before="360"/>
      <w:outlineLvl w:val="2"/>
    </w:pPr>
    <w:rPr>
      <w:bCs w:val="0"/>
      <w:caps w:val="0"/>
      <w:sz w:val="22"/>
      <w:szCs w:val="26"/>
    </w:rPr>
  </w:style>
  <w:style w:type="paragraph" w:styleId="Heading4">
    <w:name w:val="heading 4"/>
    <w:basedOn w:val="Heading1"/>
    <w:next w:val="Normal"/>
    <w:qFormat/>
    <w:rsid w:val="00180A45"/>
    <w:pPr>
      <w:pageBreakBefore w:val="0"/>
      <w:numPr>
        <w:ilvl w:val="3"/>
      </w:numPr>
      <w:spacing w:before="360"/>
      <w:outlineLvl w:val="3"/>
    </w:pPr>
    <w:rPr>
      <w:bCs w:val="0"/>
      <w:i/>
      <w:caps w:val="0"/>
      <w:sz w:val="22"/>
      <w:szCs w:val="28"/>
    </w:rPr>
  </w:style>
  <w:style w:type="paragraph" w:styleId="Heading5">
    <w:name w:val="heading 5"/>
    <w:basedOn w:val="Heading1"/>
    <w:next w:val="Normal"/>
    <w:qFormat/>
    <w:rsid w:val="00180A45"/>
    <w:pPr>
      <w:pageBreakBefore w:val="0"/>
      <w:numPr>
        <w:ilvl w:val="4"/>
      </w:numPr>
      <w:spacing w:before="360"/>
      <w:outlineLvl w:val="4"/>
    </w:pPr>
    <w:rPr>
      <w:b w:val="0"/>
      <w:bCs w:val="0"/>
      <w:i/>
      <w:iCs/>
      <w:caps w:val="0"/>
      <w:sz w:val="22"/>
      <w:szCs w:val="26"/>
    </w:rPr>
  </w:style>
  <w:style w:type="paragraph" w:styleId="Heading6">
    <w:name w:val="heading 6"/>
    <w:basedOn w:val="Heading1"/>
    <w:next w:val="Normal"/>
    <w:qFormat/>
    <w:rsid w:val="00180A45"/>
    <w:pPr>
      <w:pageBreakBefore w:val="0"/>
      <w:numPr>
        <w:ilvl w:val="5"/>
      </w:numPr>
      <w:spacing w:before="360"/>
      <w:outlineLvl w:val="5"/>
    </w:pPr>
    <w:rPr>
      <w:b w:val="0"/>
      <w:bCs w:val="0"/>
      <w:caps w:val="0"/>
      <w:sz w:val="22"/>
      <w:szCs w:val="22"/>
    </w:rPr>
  </w:style>
  <w:style w:type="paragraph" w:styleId="Heading7">
    <w:name w:val="heading 7"/>
    <w:basedOn w:val="Heading6"/>
    <w:next w:val="Normal"/>
    <w:qFormat/>
    <w:rsid w:val="00180A45"/>
    <w:pPr>
      <w:numPr>
        <w:ilvl w:val="6"/>
      </w:numPr>
      <w:outlineLvl w:val="6"/>
    </w:pPr>
  </w:style>
  <w:style w:type="paragraph" w:styleId="Heading8">
    <w:name w:val="heading 8"/>
    <w:basedOn w:val="Heading6"/>
    <w:next w:val="Normal"/>
    <w:qFormat/>
    <w:rsid w:val="00180A45"/>
    <w:pPr>
      <w:numPr>
        <w:ilvl w:val="7"/>
      </w:numPr>
      <w:outlineLvl w:val="7"/>
    </w:pPr>
    <w:rPr>
      <w:iCs/>
    </w:rPr>
  </w:style>
  <w:style w:type="paragraph" w:styleId="Heading9">
    <w:name w:val="heading 9"/>
    <w:basedOn w:val="Heading6"/>
    <w:next w:val="Normal"/>
    <w:qFormat/>
    <w:rsid w:val="00180A45"/>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087C69"/>
    <w:pPr>
      <w:tabs>
        <w:tab w:val="left" w:pos="4536"/>
        <w:tab w:val="right" w:pos="9480"/>
      </w:tabs>
    </w:pPr>
    <w:rPr>
      <w:rFonts w:ascii="Arial" w:eastAsia="MS Gothic" w:hAnsi="Arial"/>
      <w:sz w:val="18"/>
      <w:lang w:val="en-US" w:eastAsia="en-US"/>
    </w:rPr>
  </w:style>
  <w:style w:type="paragraph" w:styleId="Footer">
    <w:name w:val="footer"/>
    <w:rsid w:val="00087C69"/>
    <w:pPr>
      <w:tabs>
        <w:tab w:val="right" w:pos="9469"/>
      </w:tabs>
    </w:pPr>
    <w:rPr>
      <w:rFonts w:ascii="Arial" w:eastAsia="MS Gothic" w:hAnsi="Arial"/>
      <w:sz w:val="18"/>
      <w:lang w:val="en-US" w:eastAsia="en-US"/>
    </w:rPr>
  </w:style>
  <w:style w:type="paragraph" w:customStyle="1" w:styleId="Heading1NoTOC">
    <w:name w:val="Heading 1 NoTOC"/>
    <w:basedOn w:val="Heading1"/>
    <w:rsid w:val="00087C69"/>
    <w:pPr>
      <w:numPr>
        <w:numId w:val="0"/>
      </w:numPr>
      <w:outlineLvl w:val="9"/>
    </w:pPr>
  </w:style>
  <w:style w:type="paragraph" w:styleId="Title">
    <w:name w:val="Title"/>
    <w:next w:val="Normal"/>
    <w:qFormat/>
    <w:rsid w:val="00087C69"/>
    <w:pPr>
      <w:keepNext/>
      <w:spacing w:before="600" w:after="480"/>
      <w:jc w:val="center"/>
      <w:outlineLvl w:val="0"/>
    </w:pPr>
    <w:rPr>
      <w:rFonts w:ascii="Arial" w:eastAsia="MS Gothic" w:hAnsi="Arial" w:cs="Arial"/>
      <w:b/>
      <w:bCs/>
      <w:caps/>
      <w:sz w:val="22"/>
      <w:szCs w:val="32"/>
      <w:lang w:val="en-US" w:eastAsia="en-US"/>
    </w:rPr>
  </w:style>
  <w:style w:type="paragraph" w:customStyle="1" w:styleId="TitleNoToc">
    <w:name w:val="Title NoToc"/>
    <w:basedOn w:val="Title"/>
    <w:next w:val="Normal"/>
    <w:rsid w:val="00087C69"/>
    <w:pPr>
      <w:outlineLvl w:val="9"/>
    </w:pPr>
  </w:style>
  <w:style w:type="character" w:customStyle="1" w:styleId="InstructionsTextChar">
    <w:name w:val="Instructions Text Char"/>
    <w:link w:val="InstructionsText"/>
    <w:rsid w:val="00087C69"/>
    <w:rPr>
      <w:rFonts w:eastAsia="MS Mincho"/>
      <w:color w:val="000000"/>
      <w:sz w:val="24"/>
      <w:szCs w:val="24"/>
      <w:shd w:val="clear" w:color="auto" w:fill="FFCC66"/>
      <w:lang w:val="en-US" w:eastAsia="en-US"/>
    </w:rPr>
  </w:style>
  <w:style w:type="paragraph" w:customStyle="1" w:styleId="ListNumbered">
    <w:name w:val="List Numbered"/>
    <w:basedOn w:val="Normal"/>
    <w:rsid w:val="00087C69"/>
    <w:pPr>
      <w:numPr>
        <w:numId w:val="4"/>
      </w:numPr>
      <w:spacing w:before="120"/>
    </w:pPr>
  </w:style>
  <w:style w:type="paragraph" w:customStyle="1" w:styleId="ListBulletLevel1">
    <w:name w:val="List Bullet Level 1"/>
    <w:basedOn w:val="Normal"/>
    <w:rsid w:val="00087C69"/>
    <w:pPr>
      <w:numPr>
        <w:numId w:val="16"/>
      </w:numPr>
      <w:spacing w:before="120"/>
    </w:pPr>
  </w:style>
  <w:style w:type="paragraph" w:customStyle="1" w:styleId="ListAlphabeticalLevel1">
    <w:name w:val="List Alphabetical Level 1"/>
    <w:basedOn w:val="Normal"/>
    <w:rsid w:val="00087C69"/>
    <w:pPr>
      <w:numPr>
        <w:numId w:val="3"/>
      </w:numPr>
      <w:spacing w:before="120"/>
    </w:pPr>
  </w:style>
  <w:style w:type="paragraph" w:styleId="DocumentMap">
    <w:name w:val="Document Map"/>
    <w:basedOn w:val="Normal"/>
    <w:semiHidden/>
    <w:rsid w:val="00383443"/>
    <w:pPr>
      <w:shd w:val="clear" w:color="auto" w:fill="000080"/>
    </w:pPr>
    <w:rPr>
      <w:rFonts w:ascii="Tahoma" w:hAnsi="Tahoma" w:cs="Tahoma"/>
      <w:sz w:val="20"/>
      <w:szCs w:val="20"/>
    </w:rPr>
  </w:style>
  <w:style w:type="paragraph" w:customStyle="1" w:styleId="ListBulletLevel2">
    <w:name w:val="List Bullet Level 2"/>
    <w:basedOn w:val="Normal"/>
    <w:rsid w:val="00087C69"/>
    <w:pPr>
      <w:numPr>
        <w:numId w:val="8"/>
      </w:numPr>
      <w:spacing w:before="120"/>
    </w:pPr>
    <w:rPr>
      <w:szCs w:val="20"/>
    </w:rPr>
  </w:style>
  <w:style w:type="paragraph" w:styleId="Caption">
    <w:name w:val="caption"/>
    <w:next w:val="Normal"/>
    <w:qFormat/>
    <w:rsid w:val="00087C69"/>
    <w:pPr>
      <w:keepNext/>
      <w:spacing w:before="360" w:after="120"/>
      <w:jc w:val="center"/>
    </w:pPr>
    <w:rPr>
      <w:rFonts w:ascii="Arial" w:eastAsia="MS Gothic" w:hAnsi="Arial" w:cs="Arial"/>
      <w:b/>
      <w:bCs/>
      <w:lang w:val="en-US" w:eastAsia="en-US"/>
    </w:rPr>
  </w:style>
  <w:style w:type="paragraph" w:customStyle="1" w:styleId="InstructionsText">
    <w:name w:val="Instructions Text"/>
    <w:basedOn w:val="Normal"/>
    <w:next w:val="Normal"/>
    <w:link w:val="InstructionsTextChar"/>
    <w:rsid w:val="00087C69"/>
    <w:pPr>
      <w:shd w:val="clear" w:color="auto" w:fill="FFCC66"/>
      <w:spacing w:before="40" w:after="40"/>
    </w:pPr>
  </w:style>
  <w:style w:type="character" w:styleId="FootnoteReference">
    <w:name w:val="footnote reference"/>
    <w:rsid w:val="00087C69"/>
    <w:rPr>
      <w:rFonts w:ascii="Times New Roman" w:eastAsia="MS Mincho" w:hAnsi="Times New Roman"/>
      <w:color w:val="0000FF"/>
      <w:sz w:val="18"/>
      <w:vertAlign w:val="superscript"/>
    </w:rPr>
  </w:style>
  <w:style w:type="paragraph" w:styleId="FootnoteText">
    <w:name w:val="footnote text"/>
    <w:basedOn w:val="Normal"/>
    <w:rsid w:val="00087C69"/>
    <w:pPr>
      <w:spacing w:before="20"/>
      <w:ind w:left="113" w:hanging="113"/>
    </w:pPr>
    <w:rPr>
      <w:sz w:val="22"/>
      <w:szCs w:val="20"/>
    </w:rPr>
  </w:style>
  <w:style w:type="paragraph" w:customStyle="1" w:styleId="Heading1NoNumbering">
    <w:name w:val="Heading 1 NoNumbering"/>
    <w:basedOn w:val="Heading1"/>
    <w:next w:val="Normal"/>
    <w:rsid w:val="00087C69"/>
    <w:pPr>
      <w:numPr>
        <w:numId w:val="14"/>
      </w:numPr>
    </w:pPr>
  </w:style>
  <w:style w:type="paragraph" w:customStyle="1" w:styleId="TblTextCenter">
    <w:name w:val="Tbl Text Center"/>
    <w:basedOn w:val="TblTextLeft"/>
    <w:rsid w:val="00087C69"/>
    <w:pPr>
      <w:jc w:val="center"/>
    </w:pPr>
  </w:style>
  <w:style w:type="paragraph" w:customStyle="1" w:styleId="TblTextLeft">
    <w:name w:val="Tbl Text Left"/>
    <w:rsid w:val="00087C69"/>
    <w:pPr>
      <w:spacing w:before="60" w:after="60"/>
    </w:pPr>
    <w:rPr>
      <w:rFonts w:ascii="Arial Narrow" w:eastAsia="MS Gothic" w:hAnsi="Arial Narrow"/>
      <w:lang w:val="en-US" w:eastAsia="en-US"/>
    </w:rPr>
  </w:style>
  <w:style w:type="paragraph" w:customStyle="1" w:styleId="TblHeadingLeft">
    <w:name w:val="Tbl Heading Left"/>
    <w:rsid w:val="00087C69"/>
    <w:pPr>
      <w:spacing w:before="60" w:after="60"/>
    </w:pPr>
    <w:rPr>
      <w:rFonts w:ascii="Arial" w:eastAsia="MS Gothic" w:hAnsi="Arial" w:cs="Arial"/>
      <w:b/>
      <w:noProof/>
      <w:lang w:val="de-DE" w:eastAsia="en-US"/>
    </w:rPr>
  </w:style>
  <w:style w:type="paragraph" w:customStyle="1" w:styleId="TblFigFootnote">
    <w:name w:val="Tbl Fig Footnote"/>
    <w:rsid w:val="00087C69"/>
    <w:pPr>
      <w:keepLines/>
      <w:adjustRightInd w:val="0"/>
      <w:snapToGrid w:val="0"/>
      <w:spacing w:before="20" w:after="20"/>
    </w:pPr>
    <w:rPr>
      <w:rFonts w:ascii="Arial Narrow" w:eastAsia="MS Gothic" w:hAnsi="Arial Narrow"/>
      <w:sz w:val="18"/>
      <w:lang w:val="en-US" w:eastAsia="en-US"/>
    </w:rPr>
  </w:style>
  <w:style w:type="paragraph" w:customStyle="1" w:styleId="TblHeadingCenter">
    <w:name w:val="Tbl Heading Center"/>
    <w:basedOn w:val="TblHeadingLeft"/>
    <w:rsid w:val="00087C69"/>
    <w:pPr>
      <w:jc w:val="center"/>
    </w:pPr>
  </w:style>
  <w:style w:type="paragraph" w:customStyle="1" w:styleId="HeaderLandscape">
    <w:name w:val="Header Landscape"/>
    <w:basedOn w:val="Header"/>
    <w:rsid w:val="00087C69"/>
    <w:pPr>
      <w:tabs>
        <w:tab w:val="clear" w:pos="4536"/>
        <w:tab w:val="clear" w:pos="9480"/>
        <w:tab w:val="left" w:pos="6804"/>
        <w:tab w:val="right" w:pos="14118"/>
      </w:tabs>
    </w:pPr>
  </w:style>
  <w:style w:type="paragraph" w:customStyle="1" w:styleId="FooterLandscape">
    <w:name w:val="Footer Landscape"/>
    <w:basedOn w:val="Footer"/>
    <w:rsid w:val="00087C69"/>
    <w:pPr>
      <w:tabs>
        <w:tab w:val="clear" w:pos="9469"/>
        <w:tab w:val="right" w:pos="14118"/>
      </w:tabs>
    </w:pPr>
  </w:style>
  <w:style w:type="character" w:customStyle="1" w:styleId="TblFigFootnoteReference">
    <w:name w:val="Tbl Fig Footnote Reference"/>
    <w:rsid w:val="00087C69"/>
    <w:rPr>
      <w:rFonts w:ascii="Arial Narrow" w:eastAsia="MS Gothic" w:hAnsi="Arial Narrow"/>
      <w:i/>
      <w:dstrike w:val="0"/>
      <w:noProof w:val="0"/>
      <w:position w:val="6"/>
      <w:sz w:val="18"/>
      <w:vertAlign w:val="baseline"/>
      <w:lang w:val="en-US"/>
    </w:rPr>
  </w:style>
  <w:style w:type="paragraph" w:customStyle="1" w:styleId="xCover">
    <w:name w:val="xCover"/>
    <w:rsid w:val="00087C69"/>
    <w:pPr>
      <w:spacing w:before="120"/>
    </w:pPr>
    <w:rPr>
      <w:rFonts w:ascii="Arial" w:eastAsia="MS Gothic" w:hAnsi="Arial"/>
      <w:lang w:val="en-US" w:eastAsia="en-US"/>
    </w:rPr>
  </w:style>
  <w:style w:type="paragraph" w:customStyle="1" w:styleId="xCoverAddress">
    <w:name w:val="xCoverAddress"/>
    <w:basedOn w:val="xCover"/>
    <w:rsid w:val="00087C69"/>
    <w:pPr>
      <w:spacing w:before="0"/>
    </w:pPr>
  </w:style>
  <w:style w:type="paragraph" w:customStyle="1" w:styleId="xCoverDocType">
    <w:name w:val="xCoverDocType"/>
    <w:basedOn w:val="xCover"/>
    <w:rsid w:val="00087C69"/>
    <w:pPr>
      <w:spacing w:before="360"/>
      <w:jc w:val="center"/>
    </w:pPr>
    <w:rPr>
      <w:b/>
      <w:caps/>
      <w:sz w:val="28"/>
    </w:rPr>
  </w:style>
  <w:style w:type="paragraph" w:customStyle="1" w:styleId="xCoverDocTitle">
    <w:name w:val="xCoverDocTitle"/>
    <w:basedOn w:val="xCover"/>
    <w:rsid w:val="00087C69"/>
    <w:pPr>
      <w:spacing w:before="240"/>
      <w:jc w:val="center"/>
    </w:pPr>
    <w:rPr>
      <w:b/>
      <w:sz w:val="24"/>
    </w:rPr>
  </w:style>
  <w:style w:type="table" w:styleId="TableGrid">
    <w:name w:val="Table Grid"/>
    <w:basedOn w:val="TableNormal"/>
    <w:rsid w:val="00F62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087C69"/>
    <w:rPr>
      <w:sz w:val="22"/>
      <w:szCs w:val="20"/>
    </w:rPr>
  </w:style>
  <w:style w:type="character" w:styleId="EndnoteReference">
    <w:name w:val="endnote reference"/>
    <w:semiHidden/>
    <w:rsid w:val="00087C69"/>
    <w:rPr>
      <w:vertAlign w:val="superscript"/>
    </w:rPr>
  </w:style>
  <w:style w:type="paragraph" w:styleId="MacroText">
    <w:name w:val="macro"/>
    <w:semiHidden/>
    <w:rsid w:val="00087C6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TableofFigures">
    <w:name w:val="table of figures"/>
    <w:next w:val="Normal"/>
    <w:semiHidden/>
    <w:rsid w:val="00087C69"/>
    <w:pPr>
      <w:tabs>
        <w:tab w:val="right" w:leader="dot" w:pos="9468"/>
      </w:tabs>
      <w:spacing w:before="120"/>
    </w:pPr>
    <w:rPr>
      <w:rFonts w:ascii="Arial" w:hAnsi="Arial"/>
      <w:lang w:val="en-US" w:eastAsia="en-US"/>
    </w:rPr>
  </w:style>
  <w:style w:type="paragraph" w:styleId="TableofAuthorities">
    <w:name w:val="table of authorities"/>
    <w:basedOn w:val="Normal"/>
    <w:next w:val="Normal"/>
    <w:semiHidden/>
    <w:rsid w:val="00087C69"/>
    <w:pPr>
      <w:ind w:left="240" w:hanging="240"/>
    </w:pPr>
  </w:style>
  <w:style w:type="character" w:styleId="Hyperlink">
    <w:name w:val="Hyperlink"/>
    <w:rsid w:val="00087C69"/>
    <w:rPr>
      <w:color w:val="0000FF"/>
      <w:u w:val="single"/>
    </w:rPr>
  </w:style>
  <w:style w:type="paragraph" w:styleId="Bibliography">
    <w:name w:val="Bibliography"/>
    <w:basedOn w:val="Normal"/>
    <w:next w:val="Normal"/>
    <w:rsid w:val="00087C69"/>
    <w:pPr>
      <w:ind w:left="357" w:hanging="357"/>
    </w:pPr>
  </w:style>
  <w:style w:type="character" w:customStyle="1" w:styleId="ReplaceText">
    <w:name w:val="Replace Text"/>
    <w:rsid w:val="00087C69"/>
    <w:rPr>
      <w:color w:val="FF00FF"/>
    </w:rPr>
  </w:style>
  <w:style w:type="paragraph" w:styleId="TOC1">
    <w:name w:val="toc 1"/>
    <w:next w:val="Normal"/>
    <w:semiHidden/>
    <w:rsid w:val="00087C69"/>
    <w:pPr>
      <w:tabs>
        <w:tab w:val="right" w:leader="dot" w:pos="9468"/>
      </w:tabs>
      <w:spacing w:before="240"/>
      <w:ind w:left="851" w:right="567" w:hanging="851"/>
    </w:pPr>
    <w:rPr>
      <w:rFonts w:ascii="Arial" w:hAnsi="Arial"/>
      <w:b/>
      <w:caps/>
      <w:lang w:val="en-US" w:eastAsia="en-US"/>
    </w:rPr>
  </w:style>
  <w:style w:type="paragraph" w:customStyle="1" w:styleId="ListAlphabeticalLevel2">
    <w:name w:val="List Alphabetical Level 2"/>
    <w:basedOn w:val="ListNumbered"/>
    <w:rsid w:val="00087C69"/>
    <w:pPr>
      <w:numPr>
        <w:numId w:val="5"/>
      </w:numPr>
    </w:pPr>
  </w:style>
  <w:style w:type="paragraph" w:styleId="Index1">
    <w:name w:val="index 1"/>
    <w:basedOn w:val="Normal"/>
    <w:next w:val="Normal"/>
    <w:semiHidden/>
    <w:rsid w:val="00087C69"/>
    <w:pPr>
      <w:tabs>
        <w:tab w:val="left" w:pos="1701"/>
        <w:tab w:val="left" w:pos="3402"/>
        <w:tab w:val="left" w:pos="5103"/>
      </w:tabs>
      <w:spacing w:before="0"/>
      <w:ind w:left="1701" w:hanging="1701"/>
    </w:pPr>
  </w:style>
  <w:style w:type="paragraph" w:styleId="TOAHeading">
    <w:name w:val="toa heading"/>
    <w:basedOn w:val="Normal"/>
    <w:next w:val="Normal"/>
    <w:semiHidden/>
    <w:rsid w:val="00087C69"/>
    <w:pPr>
      <w:spacing w:before="120"/>
    </w:pPr>
    <w:rPr>
      <w:rFonts w:ascii="Arial" w:hAnsi="Arial" w:cs="Arial"/>
      <w:b/>
      <w:bCs/>
    </w:rPr>
  </w:style>
  <w:style w:type="character" w:customStyle="1" w:styleId="Reference">
    <w:name w:val="Reference"/>
    <w:rsid w:val="00087C69"/>
    <w:rPr>
      <w:color w:val="0000FF"/>
    </w:rPr>
  </w:style>
  <w:style w:type="paragraph" w:customStyle="1" w:styleId="TblTextbulletedlist">
    <w:name w:val="Tbl Text bulleted list"/>
    <w:basedOn w:val="TblTextLeft"/>
    <w:rsid w:val="00087C69"/>
    <w:pPr>
      <w:numPr>
        <w:numId w:val="9"/>
      </w:numPr>
      <w:tabs>
        <w:tab w:val="clear" w:pos="360"/>
        <w:tab w:val="left" w:pos="216"/>
      </w:tabs>
      <w:spacing w:before="0" w:after="0"/>
      <w:ind w:left="216" w:hanging="216"/>
    </w:pPr>
  </w:style>
  <w:style w:type="paragraph" w:styleId="TOC2">
    <w:name w:val="toc 2"/>
    <w:basedOn w:val="TOC1"/>
    <w:next w:val="Normal"/>
    <w:semiHidden/>
    <w:rsid w:val="00087C69"/>
    <w:rPr>
      <w:b w:val="0"/>
    </w:rPr>
  </w:style>
  <w:style w:type="character" w:styleId="PageNumber">
    <w:name w:val="page number"/>
    <w:rsid w:val="00087C69"/>
  </w:style>
  <w:style w:type="paragraph" w:styleId="ListBullet">
    <w:name w:val="List Bullet"/>
    <w:basedOn w:val="Normal"/>
    <w:rsid w:val="00087C69"/>
    <w:pPr>
      <w:numPr>
        <w:numId w:val="6"/>
      </w:numPr>
    </w:pPr>
  </w:style>
  <w:style w:type="paragraph" w:styleId="TOC3">
    <w:name w:val="toc 3"/>
    <w:basedOn w:val="TOC1"/>
    <w:next w:val="Normal"/>
    <w:semiHidden/>
    <w:rsid w:val="00087C69"/>
    <w:pPr>
      <w:spacing w:before="120"/>
    </w:pPr>
    <w:rPr>
      <w:b w:val="0"/>
      <w:caps w:val="0"/>
    </w:rPr>
  </w:style>
  <w:style w:type="paragraph" w:styleId="TOC4">
    <w:name w:val="toc 4"/>
    <w:basedOn w:val="TOC1"/>
    <w:next w:val="Normal"/>
    <w:semiHidden/>
    <w:rsid w:val="00087C69"/>
    <w:pPr>
      <w:spacing w:before="40"/>
    </w:pPr>
    <w:rPr>
      <w:b w:val="0"/>
      <w:caps w:val="0"/>
      <w:szCs w:val="22"/>
    </w:rPr>
  </w:style>
  <w:style w:type="paragraph" w:styleId="TOC5">
    <w:name w:val="toc 5"/>
    <w:basedOn w:val="TOC1"/>
    <w:next w:val="Normal"/>
    <w:semiHidden/>
    <w:rsid w:val="00087C69"/>
    <w:pPr>
      <w:spacing w:before="0"/>
    </w:pPr>
    <w:rPr>
      <w:b w:val="0"/>
      <w:caps w:val="0"/>
    </w:rPr>
  </w:style>
  <w:style w:type="paragraph" w:styleId="TOC6">
    <w:name w:val="toc 6"/>
    <w:basedOn w:val="TOC1"/>
    <w:next w:val="Normal"/>
    <w:semiHidden/>
    <w:rsid w:val="00087C69"/>
    <w:pPr>
      <w:spacing w:before="0"/>
    </w:pPr>
    <w:rPr>
      <w:b w:val="0"/>
      <w:caps w:val="0"/>
    </w:rPr>
  </w:style>
  <w:style w:type="paragraph" w:styleId="TOC7">
    <w:name w:val="toc 7"/>
    <w:basedOn w:val="TOC6"/>
    <w:next w:val="Normal"/>
    <w:semiHidden/>
    <w:rsid w:val="00087C69"/>
  </w:style>
  <w:style w:type="paragraph" w:styleId="TOC8">
    <w:name w:val="toc 8"/>
    <w:basedOn w:val="TOC6"/>
    <w:next w:val="Normal"/>
    <w:semiHidden/>
    <w:rsid w:val="00087C69"/>
  </w:style>
  <w:style w:type="paragraph" w:styleId="TOC9">
    <w:name w:val="toc 9"/>
    <w:basedOn w:val="TOC6"/>
    <w:next w:val="Normal"/>
    <w:semiHidden/>
    <w:rsid w:val="00087C69"/>
  </w:style>
  <w:style w:type="character" w:customStyle="1" w:styleId="TblFigFootnoteChar">
    <w:name w:val="Tbl Fig Footnote Char"/>
    <w:rsid w:val="00087C69"/>
    <w:rPr>
      <w:rFonts w:ascii="Arial Narrow" w:eastAsia="MS Gothic" w:hAnsi="Arial Narrow"/>
      <w:sz w:val="18"/>
      <w:lang w:val="en-US" w:eastAsia="en-US" w:bidi="ar-SA"/>
    </w:rPr>
  </w:style>
  <w:style w:type="character" w:styleId="FollowedHyperlink">
    <w:name w:val="FollowedHyperlink"/>
    <w:rsid w:val="00087C69"/>
    <w:rPr>
      <w:color w:val="800080"/>
      <w:u w:val="single"/>
    </w:rPr>
  </w:style>
  <w:style w:type="paragraph" w:customStyle="1" w:styleId="TableText">
    <w:name w:val="Table Text"/>
    <w:basedOn w:val="BodyText"/>
    <w:link w:val="TableTextChar"/>
    <w:rsid w:val="00D60C73"/>
    <w:pPr>
      <w:overflowPunct w:val="0"/>
      <w:autoSpaceDE w:val="0"/>
      <w:autoSpaceDN w:val="0"/>
      <w:adjustRightInd w:val="0"/>
      <w:spacing w:before="20" w:after="20"/>
      <w:textAlignment w:val="baseline"/>
    </w:pPr>
    <w:rPr>
      <w:rFonts w:eastAsia="Times New Roman"/>
      <w:color w:val="auto"/>
      <w:sz w:val="22"/>
      <w:szCs w:val="20"/>
      <w:lang w:eastAsia="ja-JP"/>
    </w:rPr>
  </w:style>
  <w:style w:type="paragraph" w:styleId="BodyText">
    <w:name w:val="Body Text"/>
    <w:basedOn w:val="Normal"/>
    <w:rsid w:val="00D60C73"/>
    <w:pPr>
      <w:spacing w:after="120"/>
    </w:pPr>
  </w:style>
  <w:style w:type="paragraph" w:styleId="BalloonText">
    <w:name w:val="Balloon Text"/>
    <w:basedOn w:val="Normal"/>
    <w:semiHidden/>
    <w:rsid w:val="002A60A6"/>
    <w:rPr>
      <w:rFonts w:ascii="Tahoma" w:hAnsi="Tahoma" w:cs="Tahoma"/>
      <w:sz w:val="16"/>
      <w:szCs w:val="16"/>
    </w:rPr>
  </w:style>
  <w:style w:type="paragraph" w:styleId="BodyText3">
    <w:name w:val="Body Text 3"/>
    <w:basedOn w:val="Normal"/>
    <w:rsid w:val="00750E22"/>
    <w:pPr>
      <w:spacing w:after="120"/>
    </w:pPr>
    <w:rPr>
      <w:sz w:val="16"/>
      <w:szCs w:val="16"/>
    </w:rPr>
  </w:style>
  <w:style w:type="paragraph" w:customStyle="1" w:styleId="CM45">
    <w:name w:val="CM45"/>
    <w:basedOn w:val="Normal"/>
    <w:next w:val="Normal"/>
    <w:rsid w:val="00D12B5B"/>
    <w:pPr>
      <w:autoSpaceDE w:val="0"/>
      <w:autoSpaceDN w:val="0"/>
      <w:adjustRightInd w:val="0"/>
      <w:spacing w:before="0"/>
    </w:pPr>
    <w:rPr>
      <w:color w:val="auto"/>
      <w:lang w:eastAsia="ja-JP"/>
    </w:rPr>
  </w:style>
  <w:style w:type="paragraph" w:styleId="BodyTextIndent3">
    <w:name w:val="Body Text Indent 3"/>
    <w:basedOn w:val="Normal"/>
    <w:rsid w:val="00D057B2"/>
    <w:pPr>
      <w:spacing w:after="120"/>
      <w:ind w:left="283"/>
    </w:pPr>
    <w:rPr>
      <w:sz w:val="16"/>
      <w:szCs w:val="16"/>
    </w:rPr>
  </w:style>
  <w:style w:type="character" w:styleId="CommentReference">
    <w:name w:val="annotation reference"/>
    <w:rsid w:val="00684E18"/>
    <w:rPr>
      <w:sz w:val="16"/>
      <w:szCs w:val="16"/>
    </w:rPr>
  </w:style>
  <w:style w:type="paragraph" w:styleId="CommentText">
    <w:name w:val="annotation text"/>
    <w:basedOn w:val="Normal"/>
    <w:link w:val="CommentTextChar"/>
    <w:rsid w:val="00684E18"/>
    <w:rPr>
      <w:sz w:val="20"/>
      <w:szCs w:val="20"/>
    </w:rPr>
  </w:style>
  <w:style w:type="character" w:customStyle="1" w:styleId="CommentTextChar">
    <w:name w:val="Comment Text Char"/>
    <w:link w:val="CommentText"/>
    <w:rsid w:val="00684E18"/>
    <w:rPr>
      <w:rFonts w:eastAsia="MS Mincho"/>
      <w:color w:val="000000"/>
    </w:rPr>
  </w:style>
  <w:style w:type="paragraph" w:styleId="CommentSubject">
    <w:name w:val="annotation subject"/>
    <w:basedOn w:val="CommentText"/>
    <w:next w:val="CommentText"/>
    <w:link w:val="CommentSubjectChar"/>
    <w:rsid w:val="00684E18"/>
    <w:rPr>
      <w:b/>
      <w:bCs/>
    </w:rPr>
  </w:style>
  <w:style w:type="character" w:customStyle="1" w:styleId="CommentSubjectChar">
    <w:name w:val="Comment Subject Char"/>
    <w:link w:val="CommentSubject"/>
    <w:rsid w:val="00684E18"/>
    <w:rPr>
      <w:rFonts w:eastAsia="MS Mincho"/>
      <w:b/>
      <w:bCs/>
      <w:color w:val="000000"/>
    </w:rPr>
  </w:style>
  <w:style w:type="paragraph" w:customStyle="1" w:styleId="Default">
    <w:name w:val="Default"/>
    <w:rsid w:val="00445BFB"/>
    <w:pPr>
      <w:autoSpaceDE w:val="0"/>
      <w:autoSpaceDN w:val="0"/>
      <w:adjustRightInd w:val="0"/>
    </w:pPr>
    <w:rPr>
      <w:rFonts w:ascii="Calibri" w:hAnsi="Calibri" w:cs="Calibri"/>
      <w:color w:val="000000"/>
      <w:sz w:val="24"/>
      <w:szCs w:val="24"/>
      <w:lang w:val="en-US" w:eastAsia="en-US"/>
    </w:rPr>
  </w:style>
  <w:style w:type="character" w:customStyle="1" w:styleId="TableTextChar">
    <w:name w:val="Table Text Char"/>
    <w:link w:val="TableText"/>
    <w:rsid w:val="00124AE8"/>
    <w:rPr>
      <w:sz w:val="22"/>
      <w:lang w:eastAsia="ja-JP"/>
    </w:rPr>
  </w:style>
  <w:style w:type="paragraph" w:customStyle="1" w:styleId="DecimalAligned">
    <w:name w:val="Decimal Aligned"/>
    <w:basedOn w:val="Normal"/>
    <w:uiPriority w:val="40"/>
    <w:qFormat/>
    <w:rsid w:val="008E6AD5"/>
    <w:pPr>
      <w:tabs>
        <w:tab w:val="decimal" w:pos="360"/>
      </w:tabs>
      <w:spacing w:before="0" w:after="200" w:line="276" w:lineRule="auto"/>
    </w:pPr>
    <w:rPr>
      <w:rFonts w:ascii="Calibri" w:eastAsia="Calibri" w:hAnsi="Calibri"/>
      <w:color w:val="auto"/>
      <w:sz w:val="22"/>
      <w:szCs w:val="22"/>
      <w:lang w:eastAsia="ja-JP"/>
    </w:rPr>
  </w:style>
  <w:style w:type="table" w:styleId="LightShading-Accent1">
    <w:name w:val="Light Shading Accent 1"/>
    <w:basedOn w:val="TableNormal"/>
    <w:uiPriority w:val="60"/>
    <w:rsid w:val="008E6AD5"/>
    <w:rPr>
      <w:rFonts w:ascii="Calibri" w:hAnsi="Calibri"/>
      <w:color w:val="365F91"/>
      <w:sz w:val="22"/>
      <w:szCs w:val="22"/>
      <w:lang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69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0143229\Desktop\domasys\DOMASYS_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73236-A505-49FE-A470-F72C2805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DOMASYS_Standard</Template>
  <TotalTime>6</TotalTime>
  <Pages>21</Pages>
  <Words>5625</Words>
  <Characters>33028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DOMASYS Standard</vt:lpstr>
    </vt:vector>
  </TitlesOfParts>
  <Manager>Fernando Arbe</Manager>
  <Company>sanofi-aventis</Company>
  <LinksUpToDate>false</LinksUpToDate>
  <CharactersWithSpaces>38576</CharactersWithSpaces>
  <SharedDoc>false</SharedDoc>
  <HLinks>
    <vt:vector size="6" baseType="variant">
      <vt:variant>
        <vt:i4>3997763</vt:i4>
      </vt:variant>
      <vt:variant>
        <vt:i4>72</vt:i4>
      </vt:variant>
      <vt:variant>
        <vt:i4>0</vt:i4>
      </vt:variant>
      <vt:variant>
        <vt:i4>5</vt:i4>
      </vt:variant>
      <vt:variant>
        <vt:lpwstr>mailto:medinfo.australia@sanofi.com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Renvela</dc:title>
  <dc:subject>Prescription medicines</dc:subject>
  <dc:creator>Sanofi Aventis Australia</dc:creator>
  <cp:keywords>AusPARs</cp:keywords>
  <cp:lastModifiedBy>Schilg, Cassie</cp:lastModifiedBy>
  <cp:revision>4</cp:revision>
  <cp:lastPrinted>2015-03-09T05:16:00Z</cp:lastPrinted>
  <dcterms:created xsi:type="dcterms:W3CDTF">2015-10-02T02:12:00Z</dcterms:created>
  <dcterms:modified xsi:type="dcterms:W3CDTF">2015-10-26T07:24:00Z</dcterms:modified>
  <cp:category>Version 1.0 / 17-Oct-2007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PRODUCT INFORMATION</vt:lpwstr>
  </property>
  <property fmtid="{D5CDD505-2E9C-101B-9397-08002B2CF9AE}" pid="3" name="INN">
    <vt:lpwstr>sevelamer carbonate</vt:lpwstr>
  </property>
  <property fmtid="{D5CDD505-2E9C-101B-9397-08002B2CF9AE}" pid="4" name="Date">
    <vt:lpwstr>Mar-2014</vt:lpwstr>
  </property>
  <property fmtid="{D5CDD505-2E9C-101B-9397-08002B2CF9AE}" pid="5" name="Product Code">
    <vt:lpwstr>Renvela</vt:lpwstr>
  </property>
  <property fmtid="{D5CDD505-2E9C-101B-9397-08002B2CF9AE}" pid="6" name="LastRefNum">
    <vt:i4>0</vt:i4>
  </property>
  <property fmtid="{D5CDD505-2E9C-101B-9397-08002B2CF9AE}" pid="7" name="Custom1">
    <vt:lpwstr/>
  </property>
  <property fmtid="{D5CDD505-2E9C-101B-9397-08002B2CF9AE}" pid="8" name="Custom2">
    <vt:lpwstr/>
  </property>
  <property fmtid="{D5CDD505-2E9C-101B-9397-08002B2CF9AE}" pid="9" name="Custom3">
    <vt:lpwstr/>
  </property>
  <property fmtid="{D5CDD505-2E9C-101B-9397-08002B2CF9AE}" pid="10" name="Custom4">
    <vt:lpwstr/>
  </property>
  <property fmtid="{D5CDD505-2E9C-101B-9397-08002B2CF9AE}" pid="11" name="REFLIST_SORT">
    <vt:bool>false</vt:bool>
  </property>
  <property fmtid="{D5CDD505-2E9C-101B-9397-08002B2CF9AE}" pid="12" name="_AdHocReviewCycleID">
    <vt:i4>-8210111</vt:i4>
  </property>
  <property fmtid="{D5CDD505-2E9C-101B-9397-08002B2CF9AE}" pid="13" name="_NewReviewCycle">
    <vt:lpwstr/>
  </property>
  <property fmtid="{D5CDD505-2E9C-101B-9397-08002B2CF9AE}" pid="14" name="_EmailSubject">
    <vt:lpwstr>Final AusPAR for Renvela (PM-2013-04961-1-3) [SEC=UNCLASSIFIED]</vt:lpwstr>
  </property>
  <property fmtid="{D5CDD505-2E9C-101B-9397-08002B2CF9AE}" pid="15" name="_AuthorEmail">
    <vt:lpwstr>RegulatoryAffairsAU@sanofi.com</vt:lpwstr>
  </property>
  <property fmtid="{D5CDD505-2E9C-101B-9397-08002B2CF9AE}" pid="16" name="_AuthorEmailDisplayName">
    <vt:lpwstr>Regulatory Affairs AU PH/AU</vt:lpwstr>
  </property>
  <property fmtid="{D5CDD505-2E9C-101B-9397-08002B2CF9AE}" pid="17" name="_ReviewingToolsShownOnce">
    <vt:lpwstr/>
  </property>
</Properties>
</file>