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14307" w14:textId="77777777" w:rsidR="00A77C0D" w:rsidRDefault="00A77C0D"/>
    <w:tbl>
      <w:tblPr>
        <w:tblpPr w:leftFromText="180" w:rightFromText="180" w:vertAnchor="text" w:horzAnchor="margin" w:tblpY="9863"/>
        <w:tblOverlap w:val="never"/>
        <w:tblW w:w="7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6"/>
      </w:tblGrid>
      <w:tr w:rsidR="008E7846" w:rsidRPr="00487162" w14:paraId="42A71B45" w14:textId="77777777" w:rsidTr="00AE1580">
        <w:trPr>
          <w:trHeight w:val="1849"/>
        </w:trPr>
        <w:tc>
          <w:tcPr>
            <w:tcW w:w="7846" w:type="dxa"/>
            <w:tcBorders>
              <w:top w:val="nil"/>
              <w:left w:val="nil"/>
              <w:bottom w:val="nil"/>
              <w:right w:val="nil"/>
            </w:tcBorders>
          </w:tcPr>
          <w:p w14:paraId="2F451812" w14:textId="77777777" w:rsidR="008E7846" w:rsidRDefault="00AE1580" w:rsidP="00AE1580">
            <w:pPr>
              <w:rPr>
                <w:rFonts w:ascii="Arial" w:hAnsi="Arial" w:cs="Arial"/>
                <w:b/>
                <w:color w:val="002C47"/>
                <w:sz w:val="36"/>
                <w:szCs w:val="36"/>
              </w:rPr>
            </w:pPr>
            <w:r>
              <w:rPr>
                <w:rFonts w:ascii="Arial" w:hAnsi="Arial" w:cs="Arial"/>
                <w:b/>
                <w:color w:val="002C47"/>
                <w:sz w:val="36"/>
                <w:szCs w:val="36"/>
              </w:rPr>
              <w:t xml:space="preserve">First Round </w:t>
            </w:r>
            <w:r w:rsidR="0017078F">
              <w:rPr>
                <w:rFonts w:ascii="Arial" w:hAnsi="Arial" w:cs="Arial"/>
                <w:b/>
                <w:color w:val="002C47"/>
                <w:sz w:val="36"/>
                <w:szCs w:val="36"/>
              </w:rPr>
              <w:t>CER</w:t>
            </w:r>
            <w:r>
              <w:rPr>
                <w:rFonts w:ascii="Arial" w:hAnsi="Arial" w:cs="Arial"/>
                <w:b/>
                <w:color w:val="002C47"/>
                <w:sz w:val="36"/>
                <w:szCs w:val="36"/>
              </w:rPr>
              <w:t xml:space="preserve"> 10 December 2013</w:t>
            </w:r>
          </w:p>
          <w:p w14:paraId="08B92AAE" w14:textId="77777777" w:rsidR="00AE1580" w:rsidRPr="0017078F" w:rsidRDefault="00AE1580" w:rsidP="00AE1580">
            <w:pPr>
              <w:rPr>
                <w:rFonts w:ascii="Arial" w:hAnsi="Arial" w:cs="Arial"/>
                <w:b/>
                <w:color w:val="002C47"/>
                <w:sz w:val="36"/>
                <w:szCs w:val="36"/>
              </w:rPr>
            </w:pPr>
            <w:r>
              <w:rPr>
                <w:rFonts w:ascii="Arial" w:hAnsi="Arial" w:cs="Arial"/>
                <w:b/>
                <w:color w:val="002C47"/>
                <w:sz w:val="36"/>
                <w:szCs w:val="36"/>
              </w:rPr>
              <w:t>Second Round CER 14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BEAE3F2" w14:textId="77777777" w:rsidTr="00E07F15">
        <w:trPr>
          <w:trHeight w:val="1548"/>
        </w:trPr>
        <w:tc>
          <w:tcPr>
            <w:tcW w:w="9079" w:type="dxa"/>
          </w:tcPr>
          <w:p w14:paraId="1FCDF98A"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1901D9E6" w14:textId="77777777" w:rsidTr="00E07F15">
        <w:trPr>
          <w:trHeight w:val="868"/>
        </w:trPr>
        <w:tc>
          <w:tcPr>
            <w:tcW w:w="9079" w:type="dxa"/>
          </w:tcPr>
          <w:p w14:paraId="3D379953"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00B26706">
              <w:rPr>
                <w:color w:val="FFFFFF" w:themeColor="background1"/>
              </w:rPr>
              <w:t xml:space="preserve">for </w:t>
            </w:r>
            <w:r w:rsidR="00AE1580" w:rsidRPr="00AE1580">
              <w:rPr>
                <w:rFonts w:cs="Arial"/>
                <w:color w:val="FFFFFF" w:themeColor="background1"/>
              </w:rPr>
              <w:t>Simoctocog Alfa</w:t>
            </w:r>
            <w:r w:rsidR="00490974">
              <w:rPr>
                <w:rFonts w:cs="Arial"/>
                <w:color w:val="FFFFFF" w:themeColor="background1"/>
              </w:rPr>
              <w:t xml:space="preserve"> (rhu)</w:t>
            </w:r>
          </w:p>
        </w:tc>
      </w:tr>
      <w:tr w:rsidR="00E07F15" w:rsidRPr="00B64760" w14:paraId="64BC07BD" w14:textId="77777777" w:rsidTr="00E07F15">
        <w:tc>
          <w:tcPr>
            <w:tcW w:w="9079" w:type="dxa"/>
          </w:tcPr>
          <w:p w14:paraId="771110BD" w14:textId="77777777" w:rsidR="00E07F15" w:rsidRPr="008E7846" w:rsidRDefault="00E07F15" w:rsidP="00AE1580">
            <w:pPr>
              <w:pStyle w:val="Subtitle"/>
              <w:rPr>
                <w:color w:val="FFFFFF" w:themeColor="background1"/>
              </w:rPr>
            </w:pPr>
            <w:r w:rsidRPr="008E7846">
              <w:rPr>
                <w:color w:val="FFFFFF" w:themeColor="background1"/>
              </w:rPr>
              <w:t xml:space="preserve">Proprietary Product Name: </w:t>
            </w:r>
            <w:r w:rsidR="00AE1580">
              <w:rPr>
                <w:color w:val="FFFFFF" w:themeColor="background1"/>
              </w:rPr>
              <w:t>Nuwiq</w:t>
            </w:r>
          </w:p>
        </w:tc>
      </w:tr>
      <w:tr w:rsidR="00E07F15" w:rsidRPr="00B64760" w14:paraId="379D38D8" w14:textId="77777777" w:rsidTr="00E07F15">
        <w:trPr>
          <w:trHeight w:val="486"/>
        </w:trPr>
        <w:tc>
          <w:tcPr>
            <w:tcW w:w="9079" w:type="dxa"/>
          </w:tcPr>
          <w:p w14:paraId="1C81B8DA" w14:textId="77777777" w:rsidR="00E07F15" w:rsidRPr="008E7846" w:rsidRDefault="00E07F15" w:rsidP="00AE1580">
            <w:pPr>
              <w:pStyle w:val="Subtitle"/>
              <w:rPr>
                <w:color w:val="FFFFFF" w:themeColor="background1"/>
              </w:rPr>
            </w:pPr>
            <w:r w:rsidRPr="008E7846">
              <w:rPr>
                <w:color w:val="FFFFFF" w:themeColor="background1"/>
              </w:rPr>
              <w:t xml:space="preserve">Sponsor: </w:t>
            </w:r>
            <w:r w:rsidR="00AE1580">
              <w:rPr>
                <w:color w:val="FFFFFF" w:themeColor="background1"/>
              </w:rPr>
              <w:t>Octapharma Australia Pty Ltd</w:t>
            </w:r>
            <w:r w:rsidRPr="008E7846">
              <w:rPr>
                <w:color w:val="FFFFFF" w:themeColor="background1"/>
              </w:rPr>
              <w:t xml:space="preserve"> </w:t>
            </w:r>
          </w:p>
        </w:tc>
      </w:tr>
    </w:tbl>
    <w:p w14:paraId="259A9268" w14:textId="77777777" w:rsidR="008E7846" w:rsidRDefault="008E7846" w:rsidP="008E7846">
      <w:pPr>
        <w:pStyle w:val="NonTOCHeading2"/>
      </w:pPr>
      <w:r>
        <w:br w:type="page"/>
      </w:r>
    </w:p>
    <w:p w14:paraId="35EF74C0" w14:textId="77777777" w:rsidR="008E7846" w:rsidRPr="001F6CBA" w:rsidRDefault="008E7846" w:rsidP="008E7846">
      <w:pPr>
        <w:pStyle w:val="NonTOCHeading2"/>
      </w:pPr>
      <w:r w:rsidRPr="001F6CBA">
        <w:lastRenderedPageBreak/>
        <w:t>About the Therapeutic Goods Administration (TGA)</w:t>
      </w:r>
    </w:p>
    <w:p w14:paraId="3E5EC2D7" w14:textId="77777777" w:rsidR="008E7846" w:rsidRDefault="008E7846" w:rsidP="0090509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4658AD2" w14:textId="77777777" w:rsidR="008E7846" w:rsidRDefault="00C811C0" w:rsidP="009050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68B7686" w14:textId="77777777" w:rsidR="008E7846" w:rsidRDefault="008E7846" w:rsidP="009050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F4EE386" w14:textId="77777777" w:rsidR="008E7846" w:rsidRDefault="008E7846" w:rsidP="009050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07B5449" w14:textId="77777777" w:rsidR="008E7846" w:rsidRDefault="008E7846" w:rsidP="0090509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14:paraId="265D4EB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4A25072"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1F51090" w14:textId="77777777" w:rsidR="003D0A3B" w:rsidRDefault="003D0A3B" w:rsidP="003D0A3B">
      <w:pPr>
        <w:pStyle w:val="ListBullet"/>
      </w:pPr>
      <w:r w:rsidRPr="003D0A3B">
        <w:t>The words [Information redacted], where they appear in this document, indicate that confidential information has been deleted.</w:t>
      </w:r>
    </w:p>
    <w:p w14:paraId="71893468"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14:paraId="37AC80A7" w14:textId="77777777" w:rsidR="00924482" w:rsidRPr="00DF1D7F" w:rsidRDefault="00924482" w:rsidP="00EC2B65">
      <w:pPr>
        <w:pStyle w:val="LegalSubheading"/>
        <w:spacing w:before="3840"/>
      </w:pPr>
      <w:r w:rsidRPr="00DF1D7F">
        <w:t>Copyright</w:t>
      </w:r>
    </w:p>
    <w:p w14:paraId="6FD05EB5" w14:textId="77777777" w:rsidR="00924482" w:rsidRDefault="00924482" w:rsidP="00924482">
      <w:pPr>
        <w:pStyle w:val="LegalCopy"/>
      </w:pPr>
      <w:r w:rsidRPr="00191B3B">
        <w:rPr>
          <w:rFonts w:cs="Arial"/>
          <w:lang w:val="en-GB"/>
        </w:rPr>
        <w:t>© Comm</w:t>
      </w:r>
      <w:r>
        <w:rPr>
          <w:rFonts w:cs="Arial"/>
          <w:lang w:val="en-GB"/>
        </w:rPr>
        <w:t>onwealth of Australia 201</w:t>
      </w:r>
      <w:r w:rsidR="00EC2B65">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27CE3001"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C145FB8" w14:textId="77777777" w:rsidR="0089635C" w:rsidRPr="0089635C" w:rsidRDefault="0089635C" w:rsidP="0010788A">
          <w:pPr>
            <w:pStyle w:val="Contents"/>
          </w:pPr>
          <w:r w:rsidRPr="0010788A">
            <w:t>Con</w:t>
          </w:r>
          <w:bookmarkStart w:id="2" w:name="_GoBack"/>
          <w:bookmarkEnd w:id="2"/>
          <w:r w:rsidRPr="0010788A">
            <w:t>tents</w:t>
          </w:r>
        </w:p>
        <w:p w14:paraId="2E9DAD4E" w14:textId="77777777" w:rsidR="001B6BBC" w:rsidRDefault="00A84DF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3765944" w:history="1">
            <w:r w:rsidR="001B6BBC" w:rsidRPr="00A6482B">
              <w:rPr>
                <w:rStyle w:val="Hyperlink"/>
                <w:noProof/>
              </w:rPr>
              <w:t>List of abbreviations</w:t>
            </w:r>
            <w:r w:rsidR="001B6BBC">
              <w:rPr>
                <w:noProof/>
                <w:webHidden/>
              </w:rPr>
              <w:tab/>
            </w:r>
            <w:r w:rsidR="001B6BBC">
              <w:rPr>
                <w:noProof/>
                <w:webHidden/>
              </w:rPr>
              <w:fldChar w:fldCharType="begin"/>
            </w:r>
            <w:r w:rsidR="001B6BBC">
              <w:rPr>
                <w:noProof/>
                <w:webHidden/>
              </w:rPr>
              <w:instrText xml:space="preserve"> PAGEREF _Toc453765944 \h </w:instrText>
            </w:r>
            <w:r w:rsidR="001B6BBC">
              <w:rPr>
                <w:noProof/>
                <w:webHidden/>
              </w:rPr>
            </w:r>
            <w:r w:rsidR="001B6BBC">
              <w:rPr>
                <w:noProof/>
                <w:webHidden/>
              </w:rPr>
              <w:fldChar w:fldCharType="separate"/>
            </w:r>
            <w:r w:rsidR="001B6BBC">
              <w:rPr>
                <w:noProof/>
                <w:webHidden/>
              </w:rPr>
              <w:t>5</w:t>
            </w:r>
            <w:r w:rsidR="001B6BBC">
              <w:rPr>
                <w:noProof/>
                <w:webHidden/>
              </w:rPr>
              <w:fldChar w:fldCharType="end"/>
            </w:r>
          </w:hyperlink>
        </w:p>
        <w:p w14:paraId="720E456D"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45" w:history="1">
            <w:r w:rsidRPr="00A6482B">
              <w:rPr>
                <w:rStyle w:val="Hyperlink"/>
                <w:noProof/>
              </w:rPr>
              <w:t>1.</w:t>
            </w:r>
            <w:r>
              <w:rPr>
                <w:rFonts w:asciiTheme="minorHAnsi" w:eastAsiaTheme="minorEastAsia" w:hAnsiTheme="minorHAnsi" w:cstheme="minorBidi"/>
                <w:b w:val="0"/>
                <w:noProof/>
                <w:sz w:val="22"/>
                <w:lang w:eastAsia="en-AU"/>
              </w:rPr>
              <w:tab/>
            </w:r>
            <w:r w:rsidRPr="00A6482B">
              <w:rPr>
                <w:rStyle w:val="Hyperlink"/>
                <w:noProof/>
              </w:rPr>
              <w:t>Clinical rationale</w:t>
            </w:r>
            <w:r>
              <w:rPr>
                <w:noProof/>
                <w:webHidden/>
              </w:rPr>
              <w:tab/>
            </w:r>
            <w:r>
              <w:rPr>
                <w:noProof/>
                <w:webHidden/>
              </w:rPr>
              <w:fldChar w:fldCharType="begin"/>
            </w:r>
            <w:r>
              <w:rPr>
                <w:noProof/>
                <w:webHidden/>
              </w:rPr>
              <w:instrText xml:space="preserve"> PAGEREF _Toc453765945 \h </w:instrText>
            </w:r>
            <w:r>
              <w:rPr>
                <w:noProof/>
                <w:webHidden/>
              </w:rPr>
            </w:r>
            <w:r>
              <w:rPr>
                <w:noProof/>
                <w:webHidden/>
              </w:rPr>
              <w:fldChar w:fldCharType="separate"/>
            </w:r>
            <w:r>
              <w:rPr>
                <w:noProof/>
                <w:webHidden/>
              </w:rPr>
              <w:t>8</w:t>
            </w:r>
            <w:r>
              <w:rPr>
                <w:noProof/>
                <w:webHidden/>
              </w:rPr>
              <w:fldChar w:fldCharType="end"/>
            </w:r>
          </w:hyperlink>
        </w:p>
        <w:p w14:paraId="288A5A5D"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46" w:history="1">
            <w:r w:rsidRPr="00A6482B">
              <w:rPr>
                <w:rStyle w:val="Hyperlink"/>
                <w:noProof/>
              </w:rPr>
              <w:t>2.</w:t>
            </w:r>
            <w:r>
              <w:rPr>
                <w:rFonts w:asciiTheme="minorHAnsi" w:eastAsiaTheme="minorEastAsia" w:hAnsiTheme="minorHAnsi" w:cstheme="minorBidi"/>
                <w:b w:val="0"/>
                <w:noProof/>
                <w:sz w:val="22"/>
                <w:lang w:eastAsia="en-AU"/>
              </w:rPr>
              <w:tab/>
            </w:r>
            <w:r w:rsidRPr="00A6482B">
              <w:rPr>
                <w:rStyle w:val="Hyperlink"/>
                <w:noProof/>
              </w:rPr>
              <w:t>Contents of the clinical dossier</w:t>
            </w:r>
            <w:r>
              <w:rPr>
                <w:noProof/>
                <w:webHidden/>
              </w:rPr>
              <w:tab/>
            </w:r>
            <w:r>
              <w:rPr>
                <w:noProof/>
                <w:webHidden/>
              </w:rPr>
              <w:fldChar w:fldCharType="begin"/>
            </w:r>
            <w:r>
              <w:rPr>
                <w:noProof/>
                <w:webHidden/>
              </w:rPr>
              <w:instrText xml:space="preserve"> PAGEREF _Toc453765946 \h </w:instrText>
            </w:r>
            <w:r>
              <w:rPr>
                <w:noProof/>
                <w:webHidden/>
              </w:rPr>
            </w:r>
            <w:r>
              <w:rPr>
                <w:noProof/>
                <w:webHidden/>
              </w:rPr>
              <w:fldChar w:fldCharType="separate"/>
            </w:r>
            <w:r>
              <w:rPr>
                <w:noProof/>
                <w:webHidden/>
              </w:rPr>
              <w:t>8</w:t>
            </w:r>
            <w:r>
              <w:rPr>
                <w:noProof/>
                <w:webHidden/>
              </w:rPr>
              <w:fldChar w:fldCharType="end"/>
            </w:r>
          </w:hyperlink>
        </w:p>
        <w:p w14:paraId="5EB96DB0"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47" w:history="1">
            <w:r w:rsidRPr="00A6482B">
              <w:rPr>
                <w:rStyle w:val="Hyperlink"/>
                <w:noProof/>
              </w:rPr>
              <w:t>2.1.</w:t>
            </w:r>
            <w:r>
              <w:rPr>
                <w:rFonts w:asciiTheme="minorHAnsi" w:eastAsiaTheme="minorEastAsia" w:hAnsiTheme="minorHAnsi" w:cstheme="minorBidi"/>
                <w:noProof/>
                <w:lang w:eastAsia="en-AU"/>
              </w:rPr>
              <w:tab/>
            </w:r>
            <w:r w:rsidRPr="00A6482B">
              <w:rPr>
                <w:rStyle w:val="Hyperlink"/>
                <w:noProof/>
              </w:rPr>
              <w:t>Scope of the clinical dossier</w:t>
            </w:r>
            <w:r>
              <w:rPr>
                <w:noProof/>
                <w:webHidden/>
              </w:rPr>
              <w:tab/>
            </w:r>
            <w:r>
              <w:rPr>
                <w:noProof/>
                <w:webHidden/>
              </w:rPr>
              <w:fldChar w:fldCharType="begin"/>
            </w:r>
            <w:r>
              <w:rPr>
                <w:noProof/>
                <w:webHidden/>
              </w:rPr>
              <w:instrText xml:space="preserve"> PAGEREF _Toc453765947 \h </w:instrText>
            </w:r>
            <w:r>
              <w:rPr>
                <w:noProof/>
                <w:webHidden/>
              </w:rPr>
            </w:r>
            <w:r>
              <w:rPr>
                <w:noProof/>
                <w:webHidden/>
              </w:rPr>
              <w:fldChar w:fldCharType="separate"/>
            </w:r>
            <w:r>
              <w:rPr>
                <w:noProof/>
                <w:webHidden/>
              </w:rPr>
              <w:t>8</w:t>
            </w:r>
            <w:r>
              <w:rPr>
                <w:noProof/>
                <w:webHidden/>
              </w:rPr>
              <w:fldChar w:fldCharType="end"/>
            </w:r>
          </w:hyperlink>
        </w:p>
        <w:p w14:paraId="0AB1D2DB"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48" w:history="1">
            <w:r w:rsidRPr="00A6482B">
              <w:rPr>
                <w:rStyle w:val="Hyperlink"/>
                <w:noProof/>
              </w:rPr>
              <w:t>2.2.</w:t>
            </w:r>
            <w:r>
              <w:rPr>
                <w:rFonts w:asciiTheme="minorHAnsi" w:eastAsiaTheme="minorEastAsia" w:hAnsiTheme="minorHAnsi" w:cstheme="minorBidi"/>
                <w:noProof/>
                <w:lang w:eastAsia="en-AU"/>
              </w:rPr>
              <w:tab/>
            </w:r>
            <w:r w:rsidRPr="00A6482B">
              <w:rPr>
                <w:rStyle w:val="Hyperlink"/>
                <w:noProof/>
              </w:rPr>
              <w:t>Paediatric data</w:t>
            </w:r>
            <w:r>
              <w:rPr>
                <w:noProof/>
                <w:webHidden/>
              </w:rPr>
              <w:tab/>
            </w:r>
            <w:r>
              <w:rPr>
                <w:noProof/>
                <w:webHidden/>
              </w:rPr>
              <w:fldChar w:fldCharType="begin"/>
            </w:r>
            <w:r>
              <w:rPr>
                <w:noProof/>
                <w:webHidden/>
              </w:rPr>
              <w:instrText xml:space="preserve"> PAGEREF _Toc453765948 \h </w:instrText>
            </w:r>
            <w:r>
              <w:rPr>
                <w:noProof/>
                <w:webHidden/>
              </w:rPr>
            </w:r>
            <w:r>
              <w:rPr>
                <w:noProof/>
                <w:webHidden/>
              </w:rPr>
              <w:fldChar w:fldCharType="separate"/>
            </w:r>
            <w:r>
              <w:rPr>
                <w:noProof/>
                <w:webHidden/>
              </w:rPr>
              <w:t>9</w:t>
            </w:r>
            <w:r>
              <w:rPr>
                <w:noProof/>
                <w:webHidden/>
              </w:rPr>
              <w:fldChar w:fldCharType="end"/>
            </w:r>
          </w:hyperlink>
        </w:p>
        <w:p w14:paraId="62F2CDD5"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49" w:history="1">
            <w:r w:rsidRPr="00A6482B">
              <w:rPr>
                <w:rStyle w:val="Hyperlink"/>
                <w:noProof/>
              </w:rPr>
              <w:t>2.3.</w:t>
            </w:r>
            <w:r>
              <w:rPr>
                <w:rFonts w:asciiTheme="minorHAnsi" w:eastAsiaTheme="minorEastAsia" w:hAnsiTheme="minorHAnsi" w:cstheme="minorBidi"/>
                <w:noProof/>
                <w:lang w:eastAsia="en-AU"/>
              </w:rPr>
              <w:tab/>
            </w:r>
            <w:r w:rsidRPr="00A6482B">
              <w:rPr>
                <w:rStyle w:val="Hyperlink"/>
                <w:noProof/>
              </w:rPr>
              <w:t>Good clinical practice</w:t>
            </w:r>
            <w:r>
              <w:rPr>
                <w:noProof/>
                <w:webHidden/>
              </w:rPr>
              <w:tab/>
            </w:r>
            <w:r>
              <w:rPr>
                <w:noProof/>
                <w:webHidden/>
              </w:rPr>
              <w:fldChar w:fldCharType="begin"/>
            </w:r>
            <w:r>
              <w:rPr>
                <w:noProof/>
                <w:webHidden/>
              </w:rPr>
              <w:instrText xml:space="preserve"> PAGEREF _Toc453765949 \h </w:instrText>
            </w:r>
            <w:r>
              <w:rPr>
                <w:noProof/>
                <w:webHidden/>
              </w:rPr>
            </w:r>
            <w:r>
              <w:rPr>
                <w:noProof/>
                <w:webHidden/>
              </w:rPr>
              <w:fldChar w:fldCharType="separate"/>
            </w:r>
            <w:r>
              <w:rPr>
                <w:noProof/>
                <w:webHidden/>
              </w:rPr>
              <w:t>9</w:t>
            </w:r>
            <w:r>
              <w:rPr>
                <w:noProof/>
                <w:webHidden/>
              </w:rPr>
              <w:fldChar w:fldCharType="end"/>
            </w:r>
          </w:hyperlink>
        </w:p>
        <w:p w14:paraId="17CF6003"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50" w:history="1">
            <w:r w:rsidRPr="00A6482B">
              <w:rPr>
                <w:rStyle w:val="Hyperlink"/>
                <w:noProof/>
              </w:rPr>
              <w:t>3.</w:t>
            </w:r>
            <w:r>
              <w:rPr>
                <w:rFonts w:asciiTheme="minorHAnsi" w:eastAsiaTheme="minorEastAsia" w:hAnsiTheme="minorHAnsi" w:cstheme="minorBidi"/>
                <w:b w:val="0"/>
                <w:noProof/>
                <w:sz w:val="22"/>
                <w:lang w:eastAsia="en-AU"/>
              </w:rPr>
              <w:tab/>
            </w:r>
            <w:r w:rsidRPr="00A6482B">
              <w:rPr>
                <w:rStyle w:val="Hyperlink"/>
                <w:noProof/>
              </w:rPr>
              <w:t>Pharmacokinetics</w:t>
            </w:r>
            <w:r>
              <w:rPr>
                <w:noProof/>
                <w:webHidden/>
              </w:rPr>
              <w:tab/>
            </w:r>
            <w:r>
              <w:rPr>
                <w:noProof/>
                <w:webHidden/>
              </w:rPr>
              <w:fldChar w:fldCharType="begin"/>
            </w:r>
            <w:r>
              <w:rPr>
                <w:noProof/>
                <w:webHidden/>
              </w:rPr>
              <w:instrText xml:space="preserve"> PAGEREF _Toc453765950 \h </w:instrText>
            </w:r>
            <w:r>
              <w:rPr>
                <w:noProof/>
                <w:webHidden/>
              </w:rPr>
            </w:r>
            <w:r>
              <w:rPr>
                <w:noProof/>
                <w:webHidden/>
              </w:rPr>
              <w:fldChar w:fldCharType="separate"/>
            </w:r>
            <w:r>
              <w:rPr>
                <w:noProof/>
                <w:webHidden/>
              </w:rPr>
              <w:t>9</w:t>
            </w:r>
            <w:r>
              <w:rPr>
                <w:noProof/>
                <w:webHidden/>
              </w:rPr>
              <w:fldChar w:fldCharType="end"/>
            </w:r>
          </w:hyperlink>
        </w:p>
        <w:p w14:paraId="09A321B1"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1" w:history="1">
            <w:r w:rsidRPr="00A6482B">
              <w:rPr>
                <w:rStyle w:val="Hyperlink"/>
                <w:noProof/>
              </w:rPr>
              <w:t>3.1.</w:t>
            </w:r>
            <w:r>
              <w:rPr>
                <w:rFonts w:asciiTheme="minorHAnsi" w:eastAsiaTheme="minorEastAsia" w:hAnsiTheme="minorHAnsi" w:cstheme="minorBidi"/>
                <w:noProof/>
                <w:lang w:eastAsia="en-AU"/>
              </w:rPr>
              <w:tab/>
            </w:r>
            <w:r w:rsidRPr="00A6482B">
              <w:rPr>
                <w:rStyle w:val="Hyperlink"/>
                <w:noProof/>
              </w:rPr>
              <w:t>Studies providing pharmacokinetic data</w:t>
            </w:r>
            <w:r>
              <w:rPr>
                <w:noProof/>
                <w:webHidden/>
              </w:rPr>
              <w:tab/>
            </w:r>
            <w:r>
              <w:rPr>
                <w:noProof/>
                <w:webHidden/>
              </w:rPr>
              <w:fldChar w:fldCharType="begin"/>
            </w:r>
            <w:r>
              <w:rPr>
                <w:noProof/>
                <w:webHidden/>
              </w:rPr>
              <w:instrText xml:space="preserve"> PAGEREF _Toc453765951 \h </w:instrText>
            </w:r>
            <w:r>
              <w:rPr>
                <w:noProof/>
                <w:webHidden/>
              </w:rPr>
            </w:r>
            <w:r>
              <w:rPr>
                <w:noProof/>
                <w:webHidden/>
              </w:rPr>
              <w:fldChar w:fldCharType="separate"/>
            </w:r>
            <w:r>
              <w:rPr>
                <w:noProof/>
                <w:webHidden/>
              </w:rPr>
              <w:t>9</w:t>
            </w:r>
            <w:r>
              <w:rPr>
                <w:noProof/>
                <w:webHidden/>
              </w:rPr>
              <w:fldChar w:fldCharType="end"/>
            </w:r>
          </w:hyperlink>
        </w:p>
        <w:p w14:paraId="52504B88"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2" w:history="1">
            <w:r w:rsidRPr="00A6482B">
              <w:rPr>
                <w:rStyle w:val="Hyperlink"/>
                <w:noProof/>
              </w:rPr>
              <w:t>3.2.</w:t>
            </w:r>
            <w:r>
              <w:rPr>
                <w:rFonts w:asciiTheme="minorHAnsi" w:eastAsiaTheme="minorEastAsia" w:hAnsiTheme="minorHAnsi" w:cstheme="minorBidi"/>
                <w:noProof/>
                <w:lang w:eastAsia="en-AU"/>
              </w:rPr>
              <w:tab/>
            </w:r>
            <w:r w:rsidRPr="00A6482B">
              <w:rPr>
                <w:rStyle w:val="Hyperlink"/>
                <w:noProof/>
              </w:rPr>
              <w:t>Summary of pharmacokinetics</w:t>
            </w:r>
            <w:r>
              <w:rPr>
                <w:noProof/>
                <w:webHidden/>
              </w:rPr>
              <w:tab/>
            </w:r>
            <w:r>
              <w:rPr>
                <w:noProof/>
                <w:webHidden/>
              </w:rPr>
              <w:fldChar w:fldCharType="begin"/>
            </w:r>
            <w:r>
              <w:rPr>
                <w:noProof/>
                <w:webHidden/>
              </w:rPr>
              <w:instrText xml:space="preserve"> PAGEREF _Toc453765952 \h </w:instrText>
            </w:r>
            <w:r>
              <w:rPr>
                <w:noProof/>
                <w:webHidden/>
              </w:rPr>
            </w:r>
            <w:r>
              <w:rPr>
                <w:noProof/>
                <w:webHidden/>
              </w:rPr>
              <w:fldChar w:fldCharType="separate"/>
            </w:r>
            <w:r>
              <w:rPr>
                <w:noProof/>
                <w:webHidden/>
              </w:rPr>
              <w:t>10</w:t>
            </w:r>
            <w:r>
              <w:rPr>
                <w:noProof/>
                <w:webHidden/>
              </w:rPr>
              <w:fldChar w:fldCharType="end"/>
            </w:r>
          </w:hyperlink>
        </w:p>
        <w:p w14:paraId="6D6E7E24"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3" w:history="1">
            <w:r w:rsidRPr="00A6482B">
              <w:rPr>
                <w:rStyle w:val="Hyperlink"/>
                <w:noProof/>
              </w:rPr>
              <w:t>3.3.</w:t>
            </w:r>
            <w:r>
              <w:rPr>
                <w:rFonts w:asciiTheme="minorHAnsi" w:eastAsiaTheme="minorEastAsia" w:hAnsiTheme="minorHAnsi" w:cstheme="minorBidi"/>
                <w:noProof/>
                <w:lang w:eastAsia="en-AU"/>
              </w:rPr>
              <w:tab/>
            </w:r>
            <w:r w:rsidRPr="00A6482B">
              <w:rPr>
                <w:rStyle w:val="Hyperlink"/>
                <w:noProof/>
              </w:rPr>
              <w:t>Assessment of FVIII:C plasma levels and determination of PK parameters</w:t>
            </w:r>
            <w:r>
              <w:rPr>
                <w:noProof/>
                <w:webHidden/>
              </w:rPr>
              <w:tab/>
            </w:r>
            <w:r>
              <w:rPr>
                <w:noProof/>
                <w:webHidden/>
              </w:rPr>
              <w:fldChar w:fldCharType="begin"/>
            </w:r>
            <w:r>
              <w:rPr>
                <w:noProof/>
                <w:webHidden/>
              </w:rPr>
              <w:instrText xml:space="preserve"> PAGEREF _Toc453765953 \h </w:instrText>
            </w:r>
            <w:r>
              <w:rPr>
                <w:noProof/>
                <w:webHidden/>
              </w:rPr>
            </w:r>
            <w:r>
              <w:rPr>
                <w:noProof/>
                <w:webHidden/>
              </w:rPr>
              <w:fldChar w:fldCharType="separate"/>
            </w:r>
            <w:r>
              <w:rPr>
                <w:noProof/>
                <w:webHidden/>
              </w:rPr>
              <w:t>11</w:t>
            </w:r>
            <w:r>
              <w:rPr>
                <w:noProof/>
                <w:webHidden/>
              </w:rPr>
              <w:fldChar w:fldCharType="end"/>
            </w:r>
          </w:hyperlink>
        </w:p>
        <w:p w14:paraId="42EA0DD5"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4" w:history="1">
            <w:r w:rsidRPr="00A6482B">
              <w:rPr>
                <w:rStyle w:val="Hyperlink"/>
                <w:noProof/>
              </w:rPr>
              <w:t>3.4.</w:t>
            </w:r>
            <w:r>
              <w:rPr>
                <w:rFonts w:asciiTheme="minorHAnsi" w:eastAsiaTheme="minorEastAsia" w:hAnsiTheme="minorHAnsi" w:cstheme="minorBidi"/>
                <w:noProof/>
                <w:lang w:eastAsia="en-AU"/>
              </w:rPr>
              <w:tab/>
            </w:r>
            <w:r w:rsidRPr="00A6482B">
              <w:rPr>
                <w:rStyle w:val="Hyperlink"/>
                <w:noProof/>
              </w:rPr>
              <w:t>Primary pharmacokinetics studies in patients with haemophilia A</w:t>
            </w:r>
            <w:r>
              <w:rPr>
                <w:noProof/>
                <w:webHidden/>
              </w:rPr>
              <w:tab/>
            </w:r>
            <w:r>
              <w:rPr>
                <w:noProof/>
                <w:webHidden/>
              </w:rPr>
              <w:fldChar w:fldCharType="begin"/>
            </w:r>
            <w:r>
              <w:rPr>
                <w:noProof/>
                <w:webHidden/>
              </w:rPr>
              <w:instrText xml:space="preserve"> PAGEREF _Toc453765954 \h </w:instrText>
            </w:r>
            <w:r>
              <w:rPr>
                <w:noProof/>
                <w:webHidden/>
              </w:rPr>
            </w:r>
            <w:r>
              <w:rPr>
                <w:noProof/>
                <w:webHidden/>
              </w:rPr>
              <w:fldChar w:fldCharType="separate"/>
            </w:r>
            <w:r>
              <w:rPr>
                <w:noProof/>
                <w:webHidden/>
              </w:rPr>
              <w:t>11</w:t>
            </w:r>
            <w:r>
              <w:rPr>
                <w:noProof/>
                <w:webHidden/>
              </w:rPr>
              <w:fldChar w:fldCharType="end"/>
            </w:r>
          </w:hyperlink>
        </w:p>
        <w:p w14:paraId="28218DA8"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5" w:history="1">
            <w:r w:rsidRPr="00A6482B">
              <w:rPr>
                <w:rStyle w:val="Hyperlink"/>
                <w:noProof/>
              </w:rPr>
              <w:t>3.5.</w:t>
            </w:r>
            <w:r>
              <w:rPr>
                <w:rFonts w:asciiTheme="minorHAnsi" w:eastAsiaTheme="minorEastAsia" w:hAnsiTheme="minorHAnsi" w:cstheme="minorBidi"/>
                <w:noProof/>
                <w:lang w:eastAsia="en-AU"/>
              </w:rPr>
              <w:tab/>
            </w:r>
            <w:r w:rsidRPr="00A6482B">
              <w:rPr>
                <w:rStyle w:val="Hyperlink"/>
                <w:noProof/>
              </w:rPr>
              <w:t>Comparison of PK results across studies</w:t>
            </w:r>
            <w:r>
              <w:rPr>
                <w:noProof/>
                <w:webHidden/>
              </w:rPr>
              <w:tab/>
            </w:r>
            <w:r>
              <w:rPr>
                <w:noProof/>
                <w:webHidden/>
              </w:rPr>
              <w:fldChar w:fldCharType="begin"/>
            </w:r>
            <w:r>
              <w:rPr>
                <w:noProof/>
                <w:webHidden/>
              </w:rPr>
              <w:instrText xml:space="preserve"> PAGEREF _Toc453765955 \h </w:instrText>
            </w:r>
            <w:r>
              <w:rPr>
                <w:noProof/>
                <w:webHidden/>
              </w:rPr>
            </w:r>
            <w:r>
              <w:rPr>
                <w:noProof/>
                <w:webHidden/>
              </w:rPr>
              <w:fldChar w:fldCharType="separate"/>
            </w:r>
            <w:r>
              <w:rPr>
                <w:noProof/>
                <w:webHidden/>
              </w:rPr>
              <w:t>37</w:t>
            </w:r>
            <w:r>
              <w:rPr>
                <w:noProof/>
                <w:webHidden/>
              </w:rPr>
              <w:fldChar w:fldCharType="end"/>
            </w:r>
          </w:hyperlink>
        </w:p>
        <w:p w14:paraId="2A442160"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56" w:history="1">
            <w:r w:rsidRPr="00A6482B">
              <w:rPr>
                <w:rStyle w:val="Hyperlink"/>
                <w:noProof/>
              </w:rPr>
              <w:t>3.6.</w:t>
            </w:r>
            <w:r>
              <w:rPr>
                <w:rFonts w:asciiTheme="minorHAnsi" w:eastAsiaTheme="minorEastAsia" w:hAnsiTheme="minorHAnsi" w:cstheme="minorBidi"/>
                <w:noProof/>
                <w:lang w:eastAsia="en-AU"/>
              </w:rPr>
              <w:tab/>
            </w:r>
            <w:r w:rsidRPr="00A6482B">
              <w:rPr>
                <w:rStyle w:val="Hyperlink"/>
                <w:noProof/>
              </w:rPr>
              <w:t>Evaluator's overall conclusions on pharmacokinetics</w:t>
            </w:r>
            <w:r>
              <w:rPr>
                <w:noProof/>
                <w:webHidden/>
              </w:rPr>
              <w:tab/>
            </w:r>
            <w:r>
              <w:rPr>
                <w:noProof/>
                <w:webHidden/>
              </w:rPr>
              <w:fldChar w:fldCharType="begin"/>
            </w:r>
            <w:r>
              <w:rPr>
                <w:noProof/>
                <w:webHidden/>
              </w:rPr>
              <w:instrText xml:space="preserve"> PAGEREF _Toc453765956 \h </w:instrText>
            </w:r>
            <w:r>
              <w:rPr>
                <w:noProof/>
                <w:webHidden/>
              </w:rPr>
            </w:r>
            <w:r>
              <w:rPr>
                <w:noProof/>
                <w:webHidden/>
              </w:rPr>
              <w:fldChar w:fldCharType="separate"/>
            </w:r>
            <w:r>
              <w:rPr>
                <w:noProof/>
                <w:webHidden/>
              </w:rPr>
              <w:t>37</w:t>
            </w:r>
            <w:r>
              <w:rPr>
                <w:noProof/>
                <w:webHidden/>
              </w:rPr>
              <w:fldChar w:fldCharType="end"/>
            </w:r>
          </w:hyperlink>
        </w:p>
        <w:p w14:paraId="12C13453"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57" w:history="1">
            <w:r w:rsidRPr="00A6482B">
              <w:rPr>
                <w:rStyle w:val="Hyperlink"/>
                <w:noProof/>
              </w:rPr>
              <w:t>4.</w:t>
            </w:r>
            <w:r>
              <w:rPr>
                <w:rFonts w:asciiTheme="minorHAnsi" w:eastAsiaTheme="minorEastAsia" w:hAnsiTheme="minorHAnsi" w:cstheme="minorBidi"/>
                <w:b w:val="0"/>
                <w:noProof/>
                <w:sz w:val="22"/>
                <w:lang w:eastAsia="en-AU"/>
              </w:rPr>
              <w:tab/>
            </w:r>
            <w:r w:rsidRPr="00A6482B">
              <w:rPr>
                <w:rStyle w:val="Hyperlink"/>
                <w:noProof/>
              </w:rPr>
              <w:t>Pharmacodynamics</w:t>
            </w:r>
            <w:r>
              <w:rPr>
                <w:noProof/>
                <w:webHidden/>
              </w:rPr>
              <w:tab/>
            </w:r>
            <w:r>
              <w:rPr>
                <w:noProof/>
                <w:webHidden/>
              </w:rPr>
              <w:fldChar w:fldCharType="begin"/>
            </w:r>
            <w:r>
              <w:rPr>
                <w:noProof/>
                <w:webHidden/>
              </w:rPr>
              <w:instrText xml:space="preserve"> PAGEREF _Toc453765957 \h </w:instrText>
            </w:r>
            <w:r>
              <w:rPr>
                <w:noProof/>
                <w:webHidden/>
              </w:rPr>
            </w:r>
            <w:r>
              <w:rPr>
                <w:noProof/>
                <w:webHidden/>
              </w:rPr>
              <w:fldChar w:fldCharType="separate"/>
            </w:r>
            <w:r>
              <w:rPr>
                <w:noProof/>
                <w:webHidden/>
              </w:rPr>
              <w:t>39</w:t>
            </w:r>
            <w:r>
              <w:rPr>
                <w:noProof/>
                <w:webHidden/>
              </w:rPr>
              <w:fldChar w:fldCharType="end"/>
            </w:r>
          </w:hyperlink>
        </w:p>
        <w:p w14:paraId="1900FC77"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58" w:history="1">
            <w:r w:rsidRPr="00A6482B">
              <w:rPr>
                <w:rStyle w:val="Hyperlink"/>
                <w:noProof/>
              </w:rPr>
              <w:t>5.</w:t>
            </w:r>
            <w:r>
              <w:rPr>
                <w:rFonts w:asciiTheme="minorHAnsi" w:eastAsiaTheme="minorEastAsia" w:hAnsiTheme="minorHAnsi" w:cstheme="minorBidi"/>
                <w:b w:val="0"/>
                <w:noProof/>
                <w:sz w:val="22"/>
                <w:lang w:eastAsia="en-AU"/>
              </w:rPr>
              <w:tab/>
            </w:r>
            <w:r w:rsidRPr="00A6482B">
              <w:rPr>
                <w:rStyle w:val="Hyperlink"/>
                <w:noProof/>
              </w:rPr>
              <w:t>Dosage selection for the pivotal studies</w:t>
            </w:r>
            <w:r>
              <w:rPr>
                <w:noProof/>
                <w:webHidden/>
              </w:rPr>
              <w:tab/>
            </w:r>
            <w:r>
              <w:rPr>
                <w:noProof/>
                <w:webHidden/>
              </w:rPr>
              <w:fldChar w:fldCharType="begin"/>
            </w:r>
            <w:r>
              <w:rPr>
                <w:noProof/>
                <w:webHidden/>
              </w:rPr>
              <w:instrText xml:space="preserve"> PAGEREF _Toc453765958 \h </w:instrText>
            </w:r>
            <w:r>
              <w:rPr>
                <w:noProof/>
                <w:webHidden/>
              </w:rPr>
            </w:r>
            <w:r>
              <w:rPr>
                <w:noProof/>
                <w:webHidden/>
              </w:rPr>
              <w:fldChar w:fldCharType="separate"/>
            </w:r>
            <w:r>
              <w:rPr>
                <w:noProof/>
                <w:webHidden/>
              </w:rPr>
              <w:t>39</w:t>
            </w:r>
            <w:r>
              <w:rPr>
                <w:noProof/>
                <w:webHidden/>
              </w:rPr>
              <w:fldChar w:fldCharType="end"/>
            </w:r>
          </w:hyperlink>
        </w:p>
        <w:p w14:paraId="55E2306E"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59" w:history="1">
            <w:r w:rsidRPr="00A6482B">
              <w:rPr>
                <w:rStyle w:val="Hyperlink"/>
                <w:noProof/>
              </w:rPr>
              <w:t>6.</w:t>
            </w:r>
            <w:r>
              <w:rPr>
                <w:rFonts w:asciiTheme="minorHAnsi" w:eastAsiaTheme="minorEastAsia" w:hAnsiTheme="minorHAnsi" w:cstheme="minorBidi"/>
                <w:b w:val="0"/>
                <w:noProof/>
                <w:sz w:val="22"/>
                <w:lang w:eastAsia="en-AU"/>
              </w:rPr>
              <w:tab/>
            </w:r>
            <w:r w:rsidRPr="00A6482B">
              <w:rPr>
                <w:rStyle w:val="Hyperlink"/>
                <w:noProof/>
              </w:rPr>
              <w:t>Clinical efficacy</w:t>
            </w:r>
            <w:r>
              <w:rPr>
                <w:noProof/>
                <w:webHidden/>
              </w:rPr>
              <w:tab/>
            </w:r>
            <w:r>
              <w:rPr>
                <w:noProof/>
                <w:webHidden/>
              </w:rPr>
              <w:fldChar w:fldCharType="begin"/>
            </w:r>
            <w:r>
              <w:rPr>
                <w:noProof/>
                <w:webHidden/>
              </w:rPr>
              <w:instrText xml:space="preserve"> PAGEREF _Toc453765959 \h </w:instrText>
            </w:r>
            <w:r>
              <w:rPr>
                <w:noProof/>
                <w:webHidden/>
              </w:rPr>
            </w:r>
            <w:r>
              <w:rPr>
                <w:noProof/>
                <w:webHidden/>
              </w:rPr>
              <w:fldChar w:fldCharType="separate"/>
            </w:r>
            <w:r>
              <w:rPr>
                <w:noProof/>
                <w:webHidden/>
              </w:rPr>
              <w:t>40</w:t>
            </w:r>
            <w:r>
              <w:rPr>
                <w:noProof/>
                <w:webHidden/>
              </w:rPr>
              <w:fldChar w:fldCharType="end"/>
            </w:r>
          </w:hyperlink>
        </w:p>
        <w:p w14:paraId="6168C593"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0" w:history="1">
            <w:r w:rsidRPr="00A6482B">
              <w:rPr>
                <w:rStyle w:val="Hyperlink"/>
                <w:noProof/>
              </w:rPr>
              <w:t>6.1.</w:t>
            </w:r>
            <w:r>
              <w:rPr>
                <w:rFonts w:asciiTheme="minorHAnsi" w:eastAsiaTheme="minorEastAsia" w:hAnsiTheme="minorHAnsi" w:cstheme="minorBidi"/>
                <w:noProof/>
                <w:lang w:eastAsia="en-AU"/>
              </w:rPr>
              <w:tab/>
            </w:r>
            <w:r w:rsidRPr="00A6482B">
              <w:rPr>
                <w:rStyle w:val="Hyperlink"/>
                <w:noProof/>
              </w:rPr>
              <w:t>Studies providing clinical efficacy data</w:t>
            </w:r>
            <w:r>
              <w:rPr>
                <w:noProof/>
                <w:webHidden/>
              </w:rPr>
              <w:tab/>
            </w:r>
            <w:r>
              <w:rPr>
                <w:noProof/>
                <w:webHidden/>
              </w:rPr>
              <w:fldChar w:fldCharType="begin"/>
            </w:r>
            <w:r>
              <w:rPr>
                <w:noProof/>
                <w:webHidden/>
              </w:rPr>
              <w:instrText xml:space="preserve"> PAGEREF _Toc453765960 \h </w:instrText>
            </w:r>
            <w:r>
              <w:rPr>
                <w:noProof/>
                <w:webHidden/>
              </w:rPr>
            </w:r>
            <w:r>
              <w:rPr>
                <w:noProof/>
                <w:webHidden/>
              </w:rPr>
              <w:fldChar w:fldCharType="separate"/>
            </w:r>
            <w:r>
              <w:rPr>
                <w:noProof/>
                <w:webHidden/>
              </w:rPr>
              <w:t>40</w:t>
            </w:r>
            <w:r>
              <w:rPr>
                <w:noProof/>
                <w:webHidden/>
              </w:rPr>
              <w:fldChar w:fldCharType="end"/>
            </w:r>
          </w:hyperlink>
        </w:p>
        <w:p w14:paraId="0B707B89"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1" w:history="1">
            <w:r w:rsidRPr="00A6482B">
              <w:rPr>
                <w:rStyle w:val="Hyperlink"/>
                <w:noProof/>
              </w:rPr>
              <w:t>6.2.</w:t>
            </w:r>
            <w:r>
              <w:rPr>
                <w:rFonts w:asciiTheme="minorHAnsi" w:eastAsiaTheme="minorEastAsia" w:hAnsiTheme="minorHAnsi" w:cstheme="minorBidi"/>
                <w:noProof/>
                <w:lang w:eastAsia="en-AU"/>
              </w:rPr>
              <w:tab/>
            </w:r>
            <w:r w:rsidRPr="00A6482B">
              <w:rPr>
                <w:rStyle w:val="Hyperlink"/>
                <w:noProof/>
              </w:rPr>
              <w:t>Pivotal efficacy studies</w:t>
            </w:r>
            <w:r>
              <w:rPr>
                <w:noProof/>
                <w:webHidden/>
              </w:rPr>
              <w:tab/>
            </w:r>
            <w:r>
              <w:rPr>
                <w:noProof/>
                <w:webHidden/>
              </w:rPr>
              <w:fldChar w:fldCharType="begin"/>
            </w:r>
            <w:r>
              <w:rPr>
                <w:noProof/>
                <w:webHidden/>
              </w:rPr>
              <w:instrText xml:space="preserve"> PAGEREF _Toc453765961 \h </w:instrText>
            </w:r>
            <w:r>
              <w:rPr>
                <w:noProof/>
                <w:webHidden/>
              </w:rPr>
            </w:r>
            <w:r>
              <w:rPr>
                <w:noProof/>
                <w:webHidden/>
              </w:rPr>
              <w:fldChar w:fldCharType="separate"/>
            </w:r>
            <w:r>
              <w:rPr>
                <w:noProof/>
                <w:webHidden/>
              </w:rPr>
              <w:t>42</w:t>
            </w:r>
            <w:r>
              <w:rPr>
                <w:noProof/>
                <w:webHidden/>
              </w:rPr>
              <w:fldChar w:fldCharType="end"/>
            </w:r>
          </w:hyperlink>
        </w:p>
        <w:p w14:paraId="753FF628"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2" w:history="1">
            <w:r w:rsidRPr="00A6482B">
              <w:rPr>
                <w:rStyle w:val="Hyperlink"/>
                <w:noProof/>
              </w:rPr>
              <w:t>6.3.</w:t>
            </w:r>
            <w:r>
              <w:rPr>
                <w:rFonts w:asciiTheme="minorHAnsi" w:eastAsiaTheme="minorEastAsia" w:hAnsiTheme="minorHAnsi" w:cstheme="minorBidi"/>
                <w:noProof/>
                <w:lang w:eastAsia="en-AU"/>
              </w:rPr>
              <w:tab/>
            </w:r>
            <w:r w:rsidRPr="00A6482B">
              <w:rPr>
                <w:rStyle w:val="Hyperlink"/>
                <w:noProof/>
              </w:rPr>
              <w:t>Studies providing supportive efficacy data</w:t>
            </w:r>
            <w:r>
              <w:rPr>
                <w:noProof/>
                <w:webHidden/>
              </w:rPr>
              <w:tab/>
            </w:r>
            <w:r>
              <w:rPr>
                <w:noProof/>
                <w:webHidden/>
              </w:rPr>
              <w:fldChar w:fldCharType="begin"/>
            </w:r>
            <w:r>
              <w:rPr>
                <w:noProof/>
                <w:webHidden/>
              </w:rPr>
              <w:instrText xml:space="preserve"> PAGEREF _Toc453765962 \h </w:instrText>
            </w:r>
            <w:r>
              <w:rPr>
                <w:noProof/>
                <w:webHidden/>
              </w:rPr>
            </w:r>
            <w:r>
              <w:rPr>
                <w:noProof/>
                <w:webHidden/>
              </w:rPr>
              <w:fldChar w:fldCharType="separate"/>
            </w:r>
            <w:r>
              <w:rPr>
                <w:noProof/>
                <w:webHidden/>
              </w:rPr>
              <w:t>77</w:t>
            </w:r>
            <w:r>
              <w:rPr>
                <w:noProof/>
                <w:webHidden/>
              </w:rPr>
              <w:fldChar w:fldCharType="end"/>
            </w:r>
          </w:hyperlink>
        </w:p>
        <w:p w14:paraId="31D34FFF"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3" w:history="1">
            <w:r w:rsidRPr="00A6482B">
              <w:rPr>
                <w:rStyle w:val="Hyperlink"/>
                <w:noProof/>
              </w:rPr>
              <w:t>6.4.</w:t>
            </w:r>
            <w:r>
              <w:rPr>
                <w:rFonts w:asciiTheme="minorHAnsi" w:eastAsiaTheme="minorEastAsia" w:hAnsiTheme="minorHAnsi" w:cstheme="minorBidi"/>
                <w:noProof/>
                <w:lang w:eastAsia="en-AU"/>
              </w:rPr>
              <w:tab/>
            </w:r>
            <w:r w:rsidRPr="00A6482B">
              <w:rPr>
                <w:rStyle w:val="Hyperlink"/>
                <w:noProof/>
              </w:rPr>
              <w:t>Analysis performed across trials</w:t>
            </w:r>
            <w:r>
              <w:rPr>
                <w:noProof/>
                <w:webHidden/>
              </w:rPr>
              <w:tab/>
            </w:r>
            <w:r>
              <w:rPr>
                <w:noProof/>
                <w:webHidden/>
              </w:rPr>
              <w:fldChar w:fldCharType="begin"/>
            </w:r>
            <w:r>
              <w:rPr>
                <w:noProof/>
                <w:webHidden/>
              </w:rPr>
              <w:instrText xml:space="preserve"> PAGEREF _Toc453765963 \h </w:instrText>
            </w:r>
            <w:r>
              <w:rPr>
                <w:noProof/>
                <w:webHidden/>
              </w:rPr>
            </w:r>
            <w:r>
              <w:rPr>
                <w:noProof/>
                <w:webHidden/>
              </w:rPr>
              <w:fldChar w:fldCharType="separate"/>
            </w:r>
            <w:r>
              <w:rPr>
                <w:noProof/>
                <w:webHidden/>
              </w:rPr>
              <w:t>84</w:t>
            </w:r>
            <w:r>
              <w:rPr>
                <w:noProof/>
                <w:webHidden/>
              </w:rPr>
              <w:fldChar w:fldCharType="end"/>
            </w:r>
          </w:hyperlink>
        </w:p>
        <w:p w14:paraId="12B0C008"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4" w:history="1">
            <w:r w:rsidRPr="00A6482B">
              <w:rPr>
                <w:rStyle w:val="Hyperlink"/>
                <w:noProof/>
              </w:rPr>
              <w:t>6.5.</w:t>
            </w:r>
            <w:r>
              <w:rPr>
                <w:rFonts w:asciiTheme="minorHAnsi" w:eastAsiaTheme="minorEastAsia" w:hAnsiTheme="minorHAnsi" w:cstheme="minorBidi"/>
                <w:noProof/>
                <w:lang w:eastAsia="en-AU"/>
              </w:rPr>
              <w:tab/>
            </w:r>
            <w:r w:rsidRPr="00A6482B">
              <w:rPr>
                <w:rStyle w:val="Hyperlink"/>
                <w:noProof/>
              </w:rPr>
              <w:t>Evaluator's conclusions on clinical efficacy</w:t>
            </w:r>
            <w:r>
              <w:rPr>
                <w:noProof/>
                <w:webHidden/>
              </w:rPr>
              <w:tab/>
            </w:r>
            <w:r>
              <w:rPr>
                <w:noProof/>
                <w:webHidden/>
              </w:rPr>
              <w:fldChar w:fldCharType="begin"/>
            </w:r>
            <w:r>
              <w:rPr>
                <w:noProof/>
                <w:webHidden/>
              </w:rPr>
              <w:instrText xml:space="preserve"> PAGEREF _Toc453765964 \h </w:instrText>
            </w:r>
            <w:r>
              <w:rPr>
                <w:noProof/>
                <w:webHidden/>
              </w:rPr>
            </w:r>
            <w:r>
              <w:rPr>
                <w:noProof/>
                <w:webHidden/>
              </w:rPr>
              <w:fldChar w:fldCharType="separate"/>
            </w:r>
            <w:r>
              <w:rPr>
                <w:noProof/>
                <w:webHidden/>
              </w:rPr>
              <w:t>84</w:t>
            </w:r>
            <w:r>
              <w:rPr>
                <w:noProof/>
                <w:webHidden/>
              </w:rPr>
              <w:fldChar w:fldCharType="end"/>
            </w:r>
          </w:hyperlink>
        </w:p>
        <w:p w14:paraId="21C3B6F1"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65" w:history="1">
            <w:r w:rsidRPr="00A6482B">
              <w:rPr>
                <w:rStyle w:val="Hyperlink"/>
                <w:noProof/>
              </w:rPr>
              <w:t>7.</w:t>
            </w:r>
            <w:r>
              <w:rPr>
                <w:rFonts w:asciiTheme="minorHAnsi" w:eastAsiaTheme="minorEastAsia" w:hAnsiTheme="minorHAnsi" w:cstheme="minorBidi"/>
                <w:b w:val="0"/>
                <w:noProof/>
                <w:sz w:val="22"/>
                <w:lang w:eastAsia="en-AU"/>
              </w:rPr>
              <w:tab/>
            </w:r>
            <w:r w:rsidRPr="00A6482B">
              <w:rPr>
                <w:rStyle w:val="Hyperlink"/>
                <w:noProof/>
              </w:rPr>
              <w:t>Clinical safety</w:t>
            </w:r>
            <w:r>
              <w:rPr>
                <w:noProof/>
                <w:webHidden/>
              </w:rPr>
              <w:tab/>
            </w:r>
            <w:r>
              <w:rPr>
                <w:noProof/>
                <w:webHidden/>
              </w:rPr>
              <w:fldChar w:fldCharType="begin"/>
            </w:r>
            <w:r>
              <w:rPr>
                <w:noProof/>
                <w:webHidden/>
              </w:rPr>
              <w:instrText xml:space="preserve"> PAGEREF _Toc453765965 \h </w:instrText>
            </w:r>
            <w:r>
              <w:rPr>
                <w:noProof/>
                <w:webHidden/>
              </w:rPr>
            </w:r>
            <w:r>
              <w:rPr>
                <w:noProof/>
                <w:webHidden/>
              </w:rPr>
              <w:fldChar w:fldCharType="separate"/>
            </w:r>
            <w:r>
              <w:rPr>
                <w:noProof/>
                <w:webHidden/>
              </w:rPr>
              <w:t>93</w:t>
            </w:r>
            <w:r>
              <w:rPr>
                <w:noProof/>
                <w:webHidden/>
              </w:rPr>
              <w:fldChar w:fldCharType="end"/>
            </w:r>
          </w:hyperlink>
        </w:p>
        <w:p w14:paraId="6C4E12B1"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6" w:history="1">
            <w:r w:rsidRPr="00A6482B">
              <w:rPr>
                <w:rStyle w:val="Hyperlink"/>
                <w:noProof/>
              </w:rPr>
              <w:t>7.1.</w:t>
            </w:r>
            <w:r>
              <w:rPr>
                <w:rFonts w:asciiTheme="minorHAnsi" w:eastAsiaTheme="minorEastAsia" w:hAnsiTheme="minorHAnsi" w:cstheme="minorBidi"/>
                <w:noProof/>
                <w:lang w:eastAsia="en-AU"/>
              </w:rPr>
              <w:tab/>
            </w:r>
            <w:r w:rsidRPr="00A6482B">
              <w:rPr>
                <w:rStyle w:val="Hyperlink"/>
                <w:noProof/>
              </w:rPr>
              <w:t>Studies with clinical safety data</w:t>
            </w:r>
            <w:r>
              <w:rPr>
                <w:noProof/>
                <w:webHidden/>
              </w:rPr>
              <w:tab/>
            </w:r>
            <w:r>
              <w:rPr>
                <w:noProof/>
                <w:webHidden/>
              </w:rPr>
              <w:fldChar w:fldCharType="begin"/>
            </w:r>
            <w:r>
              <w:rPr>
                <w:noProof/>
                <w:webHidden/>
              </w:rPr>
              <w:instrText xml:space="preserve"> PAGEREF _Toc453765966 \h </w:instrText>
            </w:r>
            <w:r>
              <w:rPr>
                <w:noProof/>
                <w:webHidden/>
              </w:rPr>
            </w:r>
            <w:r>
              <w:rPr>
                <w:noProof/>
                <w:webHidden/>
              </w:rPr>
              <w:fldChar w:fldCharType="separate"/>
            </w:r>
            <w:r>
              <w:rPr>
                <w:noProof/>
                <w:webHidden/>
              </w:rPr>
              <w:t>93</w:t>
            </w:r>
            <w:r>
              <w:rPr>
                <w:noProof/>
                <w:webHidden/>
              </w:rPr>
              <w:fldChar w:fldCharType="end"/>
            </w:r>
          </w:hyperlink>
        </w:p>
        <w:p w14:paraId="0A2FF3A9"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7" w:history="1">
            <w:r w:rsidRPr="00A6482B">
              <w:rPr>
                <w:rStyle w:val="Hyperlink"/>
                <w:noProof/>
              </w:rPr>
              <w:t>7.2.</w:t>
            </w:r>
            <w:r>
              <w:rPr>
                <w:rFonts w:asciiTheme="minorHAnsi" w:eastAsiaTheme="minorEastAsia" w:hAnsiTheme="minorHAnsi" w:cstheme="minorBidi"/>
                <w:noProof/>
                <w:lang w:eastAsia="en-AU"/>
              </w:rPr>
              <w:tab/>
            </w:r>
            <w:r w:rsidRPr="00A6482B">
              <w:rPr>
                <w:rStyle w:val="Hyperlink"/>
                <w:noProof/>
              </w:rPr>
              <w:t>Integrated safety summary (total safety population)</w:t>
            </w:r>
            <w:r>
              <w:rPr>
                <w:noProof/>
                <w:webHidden/>
              </w:rPr>
              <w:tab/>
            </w:r>
            <w:r>
              <w:rPr>
                <w:noProof/>
                <w:webHidden/>
              </w:rPr>
              <w:fldChar w:fldCharType="begin"/>
            </w:r>
            <w:r>
              <w:rPr>
                <w:noProof/>
                <w:webHidden/>
              </w:rPr>
              <w:instrText xml:space="preserve"> PAGEREF _Toc453765967 \h </w:instrText>
            </w:r>
            <w:r>
              <w:rPr>
                <w:noProof/>
                <w:webHidden/>
              </w:rPr>
            </w:r>
            <w:r>
              <w:rPr>
                <w:noProof/>
                <w:webHidden/>
              </w:rPr>
              <w:fldChar w:fldCharType="separate"/>
            </w:r>
            <w:r>
              <w:rPr>
                <w:noProof/>
                <w:webHidden/>
              </w:rPr>
              <w:t>94</w:t>
            </w:r>
            <w:r>
              <w:rPr>
                <w:noProof/>
                <w:webHidden/>
              </w:rPr>
              <w:fldChar w:fldCharType="end"/>
            </w:r>
          </w:hyperlink>
        </w:p>
        <w:p w14:paraId="6CA34853"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8" w:history="1">
            <w:r w:rsidRPr="00A6482B">
              <w:rPr>
                <w:rStyle w:val="Hyperlink"/>
                <w:noProof/>
              </w:rPr>
              <w:t>7.3.</w:t>
            </w:r>
            <w:r>
              <w:rPr>
                <w:rFonts w:asciiTheme="minorHAnsi" w:eastAsiaTheme="minorEastAsia" w:hAnsiTheme="minorHAnsi" w:cstheme="minorBidi"/>
                <w:noProof/>
                <w:lang w:eastAsia="en-AU"/>
              </w:rPr>
              <w:tab/>
            </w:r>
            <w:r w:rsidRPr="00A6482B">
              <w:rPr>
                <w:rStyle w:val="Hyperlink"/>
                <w:noProof/>
              </w:rPr>
              <w:t>Adverse events</w:t>
            </w:r>
            <w:r>
              <w:rPr>
                <w:noProof/>
                <w:webHidden/>
              </w:rPr>
              <w:tab/>
            </w:r>
            <w:r>
              <w:rPr>
                <w:noProof/>
                <w:webHidden/>
              </w:rPr>
              <w:fldChar w:fldCharType="begin"/>
            </w:r>
            <w:r>
              <w:rPr>
                <w:noProof/>
                <w:webHidden/>
              </w:rPr>
              <w:instrText xml:space="preserve"> PAGEREF _Toc453765968 \h </w:instrText>
            </w:r>
            <w:r>
              <w:rPr>
                <w:noProof/>
                <w:webHidden/>
              </w:rPr>
            </w:r>
            <w:r>
              <w:rPr>
                <w:noProof/>
                <w:webHidden/>
              </w:rPr>
              <w:fldChar w:fldCharType="separate"/>
            </w:r>
            <w:r>
              <w:rPr>
                <w:noProof/>
                <w:webHidden/>
              </w:rPr>
              <w:t>95</w:t>
            </w:r>
            <w:r>
              <w:rPr>
                <w:noProof/>
                <w:webHidden/>
              </w:rPr>
              <w:fldChar w:fldCharType="end"/>
            </w:r>
          </w:hyperlink>
        </w:p>
        <w:p w14:paraId="4F1A7F41"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69" w:history="1">
            <w:r w:rsidRPr="00A6482B">
              <w:rPr>
                <w:rStyle w:val="Hyperlink"/>
                <w:noProof/>
              </w:rPr>
              <w:t>7.4.</w:t>
            </w:r>
            <w:r>
              <w:rPr>
                <w:rFonts w:asciiTheme="minorHAnsi" w:eastAsiaTheme="minorEastAsia" w:hAnsiTheme="minorHAnsi" w:cstheme="minorBidi"/>
                <w:noProof/>
                <w:lang w:eastAsia="en-AU"/>
              </w:rPr>
              <w:tab/>
            </w:r>
            <w:r w:rsidRPr="00A6482B">
              <w:rPr>
                <w:rStyle w:val="Hyperlink"/>
                <w:noProof/>
              </w:rPr>
              <w:t>Laboratory tests</w:t>
            </w:r>
            <w:r>
              <w:rPr>
                <w:noProof/>
                <w:webHidden/>
              </w:rPr>
              <w:tab/>
            </w:r>
            <w:r>
              <w:rPr>
                <w:noProof/>
                <w:webHidden/>
              </w:rPr>
              <w:fldChar w:fldCharType="begin"/>
            </w:r>
            <w:r>
              <w:rPr>
                <w:noProof/>
                <w:webHidden/>
              </w:rPr>
              <w:instrText xml:space="preserve"> PAGEREF _Toc453765969 \h </w:instrText>
            </w:r>
            <w:r>
              <w:rPr>
                <w:noProof/>
                <w:webHidden/>
              </w:rPr>
            </w:r>
            <w:r>
              <w:rPr>
                <w:noProof/>
                <w:webHidden/>
              </w:rPr>
              <w:fldChar w:fldCharType="separate"/>
            </w:r>
            <w:r>
              <w:rPr>
                <w:noProof/>
                <w:webHidden/>
              </w:rPr>
              <w:t>99</w:t>
            </w:r>
            <w:r>
              <w:rPr>
                <w:noProof/>
                <w:webHidden/>
              </w:rPr>
              <w:fldChar w:fldCharType="end"/>
            </w:r>
          </w:hyperlink>
        </w:p>
        <w:p w14:paraId="4690B80E"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0" w:history="1">
            <w:r w:rsidRPr="00A6482B">
              <w:rPr>
                <w:rStyle w:val="Hyperlink"/>
                <w:noProof/>
              </w:rPr>
              <w:t>7.5.</w:t>
            </w:r>
            <w:r>
              <w:rPr>
                <w:rFonts w:asciiTheme="minorHAnsi" w:eastAsiaTheme="minorEastAsia" w:hAnsiTheme="minorHAnsi" w:cstheme="minorBidi"/>
                <w:noProof/>
                <w:lang w:eastAsia="en-AU"/>
              </w:rPr>
              <w:tab/>
            </w:r>
            <w:r w:rsidRPr="00A6482B">
              <w:rPr>
                <w:rStyle w:val="Hyperlink"/>
                <w:noProof/>
              </w:rPr>
              <w:t>Vital signs</w:t>
            </w:r>
            <w:r>
              <w:rPr>
                <w:noProof/>
                <w:webHidden/>
              </w:rPr>
              <w:tab/>
            </w:r>
            <w:r>
              <w:rPr>
                <w:noProof/>
                <w:webHidden/>
              </w:rPr>
              <w:fldChar w:fldCharType="begin"/>
            </w:r>
            <w:r>
              <w:rPr>
                <w:noProof/>
                <w:webHidden/>
              </w:rPr>
              <w:instrText xml:space="preserve"> PAGEREF _Toc453765970 \h </w:instrText>
            </w:r>
            <w:r>
              <w:rPr>
                <w:noProof/>
                <w:webHidden/>
              </w:rPr>
            </w:r>
            <w:r>
              <w:rPr>
                <w:noProof/>
                <w:webHidden/>
              </w:rPr>
              <w:fldChar w:fldCharType="separate"/>
            </w:r>
            <w:r>
              <w:rPr>
                <w:noProof/>
                <w:webHidden/>
              </w:rPr>
              <w:t>101</w:t>
            </w:r>
            <w:r>
              <w:rPr>
                <w:noProof/>
                <w:webHidden/>
              </w:rPr>
              <w:fldChar w:fldCharType="end"/>
            </w:r>
          </w:hyperlink>
        </w:p>
        <w:p w14:paraId="38F1C9F4"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1" w:history="1">
            <w:r w:rsidRPr="00A6482B">
              <w:rPr>
                <w:rStyle w:val="Hyperlink"/>
                <w:noProof/>
              </w:rPr>
              <w:t>7.6.</w:t>
            </w:r>
            <w:r>
              <w:rPr>
                <w:rFonts w:asciiTheme="minorHAnsi" w:eastAsiaTheme="minorEastAsia" w:hAnsiTheme="minorHAnsi" w:cstheme="minorBidi"/>
                <w:noProof/>
                <w:lang w:eastAsia="en-AU"/>
              </w:rPr>
              <w:tab/>
            </w:r>
            <w:r w:rsidRPr="00A6482B">
              <w:rPr>
                <w:rStyle w:val="Hyperlink"/>
                <w:noProof/>
              </w:rPr>
              <w:t>GENA-03 (paediatric study)</w:t>
            </w:r>
            <w:r>
              <w:rPr>
                <w:noProof/>
                <w:webHidden/>
              </w:rPr>
              <w:tab/>
            </w:r>
            <w:r>
              <w:rPr>
                <w:noProof/>
                <w:webHidden/>
              </w:rPr>
              <w:fldChar w:fldCharType="begin"/>
            </w:r>
            <w:r>
              <w:rPr>
                <w:noProof/>
                <w:webHidden/>
              </w:rPr>
              <w:instrText xml:space="preserve"> PAGEREF _Toc453765971 \h </w:instrText>
            </w:r>
            <w:r>
              <w:rPr>
                <w:noProof/>
                <w:webHidden/>
              </w:rPr>
            </w:r>
            <w:r>
              <w:rPr>
                <w:noProof/>
                <w:webHidden/>
              </w:rPr>
              <w:fldChar w:fldCharType="separate"/>
            </w:r>
            <w:r>
              <w:rPr>
                <w:noProof/>
                <w:webHidden/>
              </w:rPr>
              <w:t>103</w:t>
            </w:r>
            <w:r>
              <w:rPr>
                <w:noProof/>
                <w:webHidden/>
              </w:rPr>
              <w:fldChar w:fldCharType="end"/>
            </w:r>
          </w:hyperlink>
        </w:p>
        <w:p w14:paraId="2EDD5974"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2" w:history="1">
            <w:r w:rsidRPr="00A6482B">
              <w:rPr>
                <w:rStyle w:val="Hyperlink"/>
                <w:noProof/>
              </w:rPr>
              <w:t>7.7.</w:t>
            </w:r>
            <w:r>
              <w:rPr>
                <w:rFonts w:asciiTheme="minorHAnsi" w:eastAsiaTheme="minorEastAsia" w:hAnsiTheme="minorHAnsi" w:cstheme="minorBidi"/>
                <w:noProof/>
                <w:lang w:eastAsia="en-AU"/>
              </w:rPr>
              <w:tab/>
            </w:r>
            <w:r w:rsidRPr="00A6482B">
              <w:rPr>
                <w:rStyle w:val="Hyperlink"/>
                <w:noProof/>
              </w:rPr>
              <w:t>Post-marketing experience</w:t>
            </w:r>
            <w:r>
              <w:rPr>
                <w:noProof/>
                <w:webHidden/>
              </w:rPr>
              <w:tab/>
            </w:r>
            <w:r>
              <w:rPr>
                <w:noProof/>
                <w:webHidden/>
              </w:rPr>
              <w:fldChar w:fldCharType="begin"/>
            </w:r>
            <w:r>
              <w:rPr>
                <w:noProof/>
                <w:webHidden/>
              </w:rPr>
              <w:instrText xml:space="preserve"> PAGEREF _Toc453765972 \h </w:instrText>
            </w:r>
            <w:r>
              <w:rPr>
                <w:noProof/>
                <w:webHidden/>
              </w:rPr>
            </w:r>
            <w:r>
              <w:rPr>
                <w:noProof/>
                <w:webHidden/>
              </w:rPr>
              <w:fldChar w:fldCharType="separate"/>
            </w:r>
            <w:r>
              <w:rPr>
                <w:noProof/>
                <w:webHidden/>
              </w:rPr>
              <w:t>106</w:t>
            </w:r>
            <w:r>
              <w:rPr>
                <w:noProof/>
                <w:webHidden/>
              </w:rPr>
              <w:fldChar w:fldCharType="end"/>
            </w:r>
          </w:hyperlink>
        </w:p>
        <w:p w14:paraId="7CBD7960"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3" w:history="1">
            <w:r w:rsidRPr="00A6482B">
              <w:rPr>
                <w:rStyle w:val="Hyperlink"/>
                <w:noProof/>
              </w:rPr>
              <w:t>7.8.</w:t>
            </w:r>
            <w:r>
              <w:rPr>
                <w:rFonts w:asciiTheme="minorHAnsi" w:eastAsiaTheme="minorEastAsia" w:hAnsiTheme="minorHAnsi" w:cstheme="minorBidi"/>
                <w:noProof/>
                <w:lang w:eastAsia="en-AU"/>
              </w:rPr>
              <w:tab/>
            </w:r>
            <w:r w:rsidRPr="00A6482B">
              <w:rPr>
                <w:rStyle w:val="Hyperlink"/>
                <w:noProof/>
              </w:rPr>
              <w:t>Evaluator's overall conclusions on safety</w:t>
            </w:r>
            <w:r>
              <w:rPr>
                <w:noProof/>
                <w:webHidden/>
              </w:rPr>
              <w:tab/>
            </w:r>
            <w:r>
              <w:rPr>
                <w:noProof/>
                <w:webHidden/>
              </w:rPr>
              <w:fldChar w:fldCharType="begin"/>
            </w:r>
            <w:r>
              <w:rPr>
                <w:noProof/>
                <w:webHidden/>
              </w:rPr>
              <w:instrText xml:space="preserve"> PAGEREF _Toc453765973 \h </w:instrText>
            </w:r>
            <w:r>
              <w:rPr>
                <w:noProof/>
                <w:webHidden/>
              </w:rPr>
            </w:r>
            <w:r>
              <w:rPr>
                <w:noProof/>
                <w:webHidden/>
              </w:rPr>
              <w:fldChar w:fldCharType="separate"/>
            </w:r>
            <w:r>
              <w:rPr>
                <w:noProof/>
                <w:webHidden/>
              </w:rPr>
              <w:t>106</w:t>
            </w:r>
            <w:r>
              <w:rPr>
                <w:noProof/>
                <w:webHidden/>
              </w:rPr>
              <w:fldChar w:fldCharType="end"/>
            </w:r>
          </w:hyperlink>
        </w:p>
        <w:p w14:paraId="0BE64799"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74" w:history="1">
            <w:r w:rsidRPr="00A6482B">
              <w:rPr>
                <w:rStyle w:val="Hyperlink"/>
                <w:noProof/>
              </w:rPr>
              <w:t>8.</w:t>
            </w:r>
            <w:r>
              <w:rPr>
                <w:rFonts w:asciiTheme="minorHAnsi" w:eastAsiaTheme="minorEastAsia" w:hAnsiTheme="minorHAnsi" w:cstheme="minorBidi"/>
                <w:b w:val="0"/>
                <w:noProof/>
                <w:sz w:val="22"/>
                <w:lang w:eastAsia="en-AU"/>
              </w:rPr>
              <w:tab/>
            </w:r>
            <w:r w:rsidRPr="00A6482B">
              <w:rPr>
                <w:rStyle w:val="Hyperlink"/>
                <w:noProof/>
              </w:rPr>
              <w:t>First round benefit-risk assessment</w:t>
            </w:r>
            <w:r>
              <w:rPr>
                <w:noProof/>
                <w:webHidden/>
              </w:rPr>
              <w:tab/>
            </w:r>
            <w:r>
              <w:rPr>
                <w:noProof/>
                <w:webHidden/>
              </w:rPr>
              <w:fldChar w:fldCharType="begin"/>
            </w:r>
            <w:r>
              <w:rPr>
                <w:noProof/>
                <w:webHidden/>
              </w:rPr>
              <w:instrText xml:space="preserve"> PAGEREF _Toc453765974 \h </w:instrText>
            </w:r>
            <w:r>
              <w:rPr>
                <w:noProof/>
                <w:webHidden/>
              </w:rPr>
            </w:r>
            <w:r>
              <w:rPr>
                <w:noProof/>
                <w:webHidden/>
              </w:rPr>
              <w:fldChar w:fldCharType="separate"/>
            </w:r>
            <w:r>
              <w:rPr>
                <w:noProof/>
                <w:webHidden/>
              </w:rPr>
              <w:t>108</w:t>
            </w:r>
            <w:r>
              <w:rPr>
                <w:noProof/>
                <w:webHidden/>
              </w:rPr>
              <w:fldChar w:fldCharType="end"/>
            </w:r>
          </w:hyperlink>
        </w:p>
        <w:p w14:paraId="1C556577"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5" w:history="1">
            <w:r w:rsidRPr="00A6482B">
              <w:rPr>
                <w:rStyle w:val="Hyperlink"/>
                <w:noProof/>
              </w:rPr>
              <w:t>8.1.</w:t>
            </w:r>
            <w:r>
              <w:rPr>
                <w:rFonts w:asciiTheme="minorHAnsi" w:eastAsiaTheme="minorEastAsia" w:hAnsiTheme="minorHAnsi" w:cstheme="minorBidi"/>
                <w:noProof/>
                <w:lang w:eastAsia="en-AU"/>
              </w:rPr>
              <w:tab/>
            </w:r>
            <w:r w:rsidRPr="00A6482B">
              <w:rPr>
                <w:rStyle w:val="Hyperlink"/>
                <w:noProof/>
              </w:rPr>
              <w:t>First round assessment of benefits</w:t>
            </w:r>
            <w:r>
              <w:rPr>
                <w:noProof/>
                <w:webHidden/>
              </w:rPr>
              <w:tab/>
            </w:r>
            <w:r>
              <w:rPr>
                <w:noProof/>
                <w:webHidden/>
              </w:rPr>
              <w:fldChar w:fldCharType="begin"/>
            </w:r>
            <w:r>
              <w:rPr>
                <w:noProof/>
                <w:webHidden/>
              </w:rPr>
              <w:instrText xml:space="preserve"> PAGEREF _Toc453765975 \h </w:instrText>
            </w:r>
            <w:r>
              <w:rPr>
                <w:noProof/>
                <w:webHidden/>
              </w:rPr>
            </w:r>
            <w:r>
              <w:rPr>
                <w:noProof/>
                <w:webHidden/>
              </w:rPr>
              <w:fldChar w:fldCharType="separate"/>
            </w:r>
            <w:r>
              <w:rPr>
                <w:noProof/>
                <w:webHidden/>
              </w:rPr>
              <w:t>108</w:t>
            </w:r>
            <w:r>
              <w:rPr>
                <w:noProof/>
                <w:webHidden/>
              </w:rPr>
              <w:fldChar w:fldCharType="end"/>
            </w:r>
          </w:hyperlink>
        </w:p>
        <w:p w14:paraId="13225881"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6" w:history="1">
            <w:r w:rsidRPr="00A6482B">
              <w:rPr>
                <w:rStyle w:val="Hyperlink"/>
                <w:noProof/>
              </w:rPr>
              <w:t>8.2.</w:t>
            </w:r>
            <w:r>
              <w:rPr>
                <w:rFonts w:asciiTheme="minorHAnsi" w:eastAsiaTheme="minorEastAsia" w:hAnsiTheme="minorHAnsi" w:cstheme="minorBidi"/>
                <w:noProof/>
                <w:lang w:eastAsia="en-AU"/>
              </w:rPr>
              <w:tab/>
            </w:r>
            <w:r w:rsidRPr="00A6482B">
              <w:rPr>
                <w:rStyle w:val="Hyperlink"/>
                <w:noProof/>
              </w:rPr>
              <w:t>First round assessment of risks</w:t>
            </w:r>
            <w:r>
              <w:rPr>
                <w:noProof/>
                <w:webHidden/>
              </w:rPr>
              <w:tab/>
            </w:r>
            <w:r>
              <w:rPr>
                <w:noProof/>
                <w:webHidden/>
              </w:rPr>
              <w:fldChar w:fldCharType="begin"/>
            </w:r>
            <w:r>
              <w:rPr>
                <w:noProof/>
                <w:webHidden/>
              </w:rPr>
              <w:instrText xml:space="preserve"> PAGEREF _Toc453765976 \h </w:instrText>
            </w:r>
            <w:r>
              <w:rPr>
                <w:noProof/>
                <w:webHidden/>
              </w:rPr>
            </w:r>
            <w:r>
              <w:rPr>
                <w:noProof/>
                <w:webHidden/>
              </w:rPr>
              <w:fldChar w:fldCharType="separate"/>
            </w:r>
            <w:r>
              <w:rPr>
                <w:noProof/>
                <w:webHidden/>
              </w:rPr>
              <w:t>110</w:t>
            </w:r>
            <w:r>
              <w:rPr>
                <w:noProof/>
                <w:webHidden/>
              </w:rPr>
              <w:fldChar w:fldCharType="end"/>
            </w:r>
          </w:hyperlink>
        </w:p>
        <w:p w14:paraId="27AA1146" w14:textId="77777777" w:rsidR="001B6BBC" w:rsidRDefault="001B6BBC">
          <w:pPr>
            <w:pStyle w:val="TOC3"/>
            <w:tabs>
              <w:tab w:val="left" w:pos="1575"/>
            </w:tabs>
            <w:rPr>
              <w:rFonts w:asciiTheme="minorHAnsi" w:eastAsiaTheme="minorEastAsia" w:hAnsiTheme="minorHAnsi" w:cstheme="minorBidi"/>
              <w:noProof/>
              <w:lang w:eastAsia="en-AU"/>
            </w:rPr>
          </w:pPr>
          <w:hyperlink w:anchor="_Toc453765977" w:history="1">
            <w:r w:rsidRPr="00A6482B">
              <w:rPr>
                <w:rStyle w:val="Hyperlink"/>
                <w:noProof/>
              </w:rPr>
              <w:t>8.3.</w:t>
            </w:r>
            <w:r>
              <w:rPr>
                <w:rFonts w:asciiTheme="minorHAnsi" w:eastAsiaTheme="minorEastAsia" w:hAnsiTheme="minorHAnsi" w:cstheme="minorBidi"/>
                <w:noProof/>
                <w:lang w:eastAsia="en-AU"/>
              </w:rPr>
              <w:tab/>
            </w:r>
            <w:r w:rsidRPr="00A6482B">
              <w:rPr>
                <w:rStyle w:val="Hyperlink"/>
                <w:noProof/>
              </w:rPr>
              <w:t>First round assessment of benefit-risk balance</w:t>
            </w:r>
            <w:r>
              <w:rPr>
                <w:noProof/>
                <w:webHidden/>
              </w:rPr>
              <w:tab/>
            </w:r>
            <w:r>
              <w:rPr>
                <w:noProof/>
                <w:webHidden/>
              </w:rPr>
              <w:fldChar w:fldCharType="begin"/>
            </w:r>
            <w:r>
              <w:rPr>
                <w:noProof/>
                <w:webHidden/>
              </w:rPr>
              <w:instrText xml:space="preserve"> PAGEREF _Toc453765977 \h </w:instrText>
            </w:r>
            <w:r>
              <w:rPr>
                <w:noProof/>
                <w:webHidden/>
              </w:rPr>
            </w:r>
            <w:r>
              <w:rPr>
                <w:noProof/>
                <w:webHidden/>
              </w:rPr>
              <w:fldChar w:fldCharType="separate"/>
            </w:r>
            <w:r>
              <w:rPr>
                <w:noProof/>
                <w:webHidden/>
              </w:rPr>
              <w:t>111</w:t>
            </w:r>
            <w:r>
              <w:rPr>
                <w:noProof/>
                <w:webHidden/>
              </w:rPr>
              <w:fldChar w:fldCharType="end"/>
            </w:r>
          </w:hyperlink>
        </w:p>
        <w:p w14:paraId="42657E0D"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78" w:history="1">
            <w:r w:rsidRPr="00A6482B">
              <w:rPr>
                <w:rStyle w:val="Hyperlink"/>
                <w:noProof/>
              </w:rPr>
              <w:t>9.</w:t>
            </w:r>
            <w:r>
              <w:rPr>
                <w:rFonts w:asciiTheme="minorHAnsi" w:eastAsiaTheme="minorEastAsia" w:hAnsiTheme="minorHAnsi" w:cstheme="minorBidi"/>
                <w:b w:val="0"/>
                <w:noProof/>
                <w:sz w:val="22"/>
                <w:lang w:eastAsia="en-AU"/>
              </w:rPr>
              <w:tab/>
            </w:r>
            <w:r w:rsidRPr="00A6482B">
              <w:rPr>
                <w:rStyle w:val="Hyperlink"/>
                <w:noProof/>
              </w:rPr>
              <w:t>First round recommendation regarding authorisation</w:t>
            </w:r>
            <w:r>
              <w:rPr>
                <w:noProof/>
                <w:webHidden/>
              </w:rPr>
              <w:tab/>
            </w:r>
            <w:r>
              <w:rPr>
                <w:noProof/>
                <w:webHidden/>
              </w:rPr>
              <w:fldChar w:fldCharType="begin"/>
            </w:r>
            <w:r>
              <w:rPr>
                <w:noProof/>
                <w:webHidden/>
              </w:rPr>
              <w:instrText xml:space="preserve"> PAGEREF _Toc453765978 \h </w:instrText>
            </w:r>
            <w:r>
              <w:rPr>
                <w:noProof/>
                <w:webHidden/>
              </w:rPr>
            </w:r>
            <w:r>
              <w:rPr>
                <w:noProof/>
                <w:webHidden/>
              </w:rPr>
              <w:fldChar w:fldCharType="separate"/>
            </w:r>
            <w:r>
              <w:rPr>
                <w:noProof/>
                <w:webHidden/>
              </w:rPr>
              <w:t>111</w:t>
            </w:r>
            <w:r>
              <w:rPr>
                <w:noProof/>
                <w:webHidden/>
              </w:rPr>
              <w:fldChar w:fldCharType="end"/>
            </w:r>
          </w:hyperlink>
        </w:p>
        <w:p w14:paraId="4AA18779"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79" w:history="1">
            <w:r w:rsidRPr="00A6482B">
              <w:rPr>
                <w:rStyle w:val="Hyperlink"/>
                <w:noProof/>
              </w:rPr>
              <w:t>10.</w:t>
            </w:r>
            <w:r>
              <w:rPr>
                <w:rFonts w:asciiTheme="minorHAnsi" w:eastAsiaTheme="minorEastAsia" w:hAnsiTheme="minorHAnsi" w:cstheme="minorBidi"/>
                <w:b w:val="0"/>
                <w:noProof/>
                <w:sz w:val="22"/>
                <w:lang w:eastAsia="en-AU"/>
              </w:rPr>
              <w:tab/>
            </w:r>
            <w:r w:rsidRPr="00A6482B">
              <w:rPr>
                <w:rStyle w:val="Hyperlink"/>
                <w:noProof/>
              </w:rPr>
              <w:t>Clinical questions</w:t>
            </w:r>
            <w:r>
              <w:rPr>
                <w:noProof/>
                <w:webHidden/>
              </w:rPr>
              <w:tab/>
            </w:r>
            <w:r>
              <w:rPr>
                <w:noProof/>
                <w:webHidden/>
              </w:rPr>
              <w:fldChar w:fldCharType="begin"/>
            </w:r>
            <w:r>
              <w:rPr>
                <w:noProof/>
                <w:webHidden/>
              </w:rPr>
              <w:instrText xml:space="preserve"> PAGEREF _Toc453765979 \h </w:instrText>
            </w:r>
            <w:r>
              <w:rPr>
                <w:noProof/>
                <w:webHidden/>
              </w:rPr>
            </w:r>
            <w:r>
              <w:rPr>
                <w:noProof/>
                <w:webHidden/>
              </w:rPr>
              <w:fldChar w:fldCharType="separate"/>
            </w:r>
            <w:r>
              <w:rPr>
                <w:noProof/>
                <w:webHidden/>
              </w:rPr>
              <w:t>112</w:t>
            </w:r>
            <w:r>
              <w:rPr>
                <w:noProof/>
                <w:webHidden/>
              </w:rPr>
              <w:fldChar w:fldCharType="end"/>
            </w:r>
          </w:hyperlink>
        </w:p>
        <w:p w14:paraId="31D70320"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0" w:history="1">
            <w:r w:rsidRPr="00A6482B">
              <w:rPr>
                <w:rStyle w:val="Hyperlink"/>
                <w:noProof/>
              </w:rPr>
              <w:t>10.1.</w:t>
            </w:r>
            <w:r>
              <w:rPr>
                <w:rFonts w:asciiTheme="minorHAnsi" w:eastAsiaTheme="minorEastAsia" w:hAnsiTheme="minorHAnsi" w:cstheme="minorBidi"/>
                <w:noProof/>
                <w:lang w:eastAsia="en-AU"/>
              </w:rPr>
              <w:tab/>
            </w:r>
            <w:r w:rsidRPr="00A6482B">
              <w:rPr>
                <w:rStyle w:val="Hyperlink"/>
                <w:noProof/>
              </w:rPr>
              <w:t>Pharmacokinetics</w:t>
            </w:r>
            <w:r>
              <w:rPr>
                <w:noProof/>
                <w:webHidden/>
              </w:rPr>
              <w:tab/>
            </w:r>
            <w:r>
              <w:rPr>
                <w:noProof/>
                <w:webHidden/>
              </w:rPr>
              <w:fldChar w:fldCharType="begin"/>
            </w:r>
            <w:r>
              <w:rPr>
                <w:noProof/>
                <w:webHidden/>
              </w:rPr>
              <w:instrText xml:space="preserve"> PAGEREF _Toc453765980 \h </w:instrText>
            </w:r>
            <w:r>
              <w:rPr>
                <w:noProof/>
                <w:webHidden/>
              </w:rPr>
            </w:r>
            <w:r>
              <w:rPr>
                <w:noProof/>
                <w:webHidden/>
              </w:rPr>
              <w:fldChar w:fldCharType="separate"/>
            </w:r>
            <w:r>
              <w:rPr>
                <w:noProof/>
                <w:webHidden/>
              </w:rPr>
              <w:t>112</w:t>
            </w:r>
            <w:r>
              <w:rPr>
                <w:noProof/>
                <w:webHidden/>
              </w:rPr>
              <w:fldChar w:fldCharType="end"/>
            </w:r>
          </w:hyperlink>
        </w:p>
        <w:p w14:paraId="209FB81F"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1" w:history="1">
            <w:r w:rsidRPr="00A6482B">
              <w:rPr>
                <w:rStyle w:val="Hyperlink"/>
                <w:noProof/>
              </w:rPr>
              <w:t>10.2.</w:t>
            </w:r>
            <w:r>
              <w:rPr>
                <w:rFonts w:asciiTheme="minorHAnsi" w:eastAsiaTheme="minorEastAsia" w:hAnsiTheme="minorHAnsi" w:cstheme="minorBidi"/>
                <w:noProof/>
                <w:lang w:eastAsia="en-AU"/>
              </w:rPr>
              <w:tab/>
            </w:r>
            <w:r w:rsidRPr="00A6482B">
              <w:rPr>
                <w:rStyle w:val="Hyperlink"/>
                <w:noProof/>
              </w:rPr>
              <w:t>Pharmacodynamics</w:t>
            </w:r>
            <w:r>
              <w:rPr>
                <w:noProof/>
                <w:webHidden/>
              </w:rPr>
              <w:tab/>
            </w:r>
            <w:r>
              <w:rPr>
                <w:noProof/>
                <w:webHidden/>
              </w:rPr>
              <w:fldChar w:fldCharType="begin"/>
            </w:r>
            <w:r>
              <w:rPr>
                <w:noProof/>
                <w:webHidden/>
              </w:rPr>
              <w:instrText xml:space="preserve"> PAGEREF _Toc453765981 \h </w:instrText>
            </w:r>
            <w:r>
              <w:rPr>
                <w:noProof/>
                <w:webHidden/>
              </w:rPr>
            </w:r>
            <w:r>
              <w:rPr>
                <w:noProof/>
                <w:webHidden/>
              </w:rPr>
              <w:fldChar w:fldCharType="separate"/>
            </w:r>
            <w:r>
              <w:rPr>
                <w:noProof/>
                <w:webHidden/>
              </w:rPr>
              <w:t>112</w:t>
            </w:r>
            <w:r>
              <w:rPr>
                <w:noProof/>
                <w:webHidden/>
              </w:rPr>
              <w:fldChar w:fldCharType="end"/>
            </w:r>
          </w:hyperlink>
        </w:p>
        <w:p w14:paraId="2A673A68"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2" w:history="1">
            <w:r w:rsidRPr="00A6482B">
              <w:rPr>
                <w:rStyle w:val="Hyperlink"/>
                <w:noProof/>
              </w:rPr>
              <w:t>10.3.</w:t>
            </w:r>
            <w:r>
              <w:rPr>
                <w:rFonts w:asciiTheme="minorHAnsi" w:eastAsiaTheme="minorEastAsia" w:hAnsiTheme="minorHAnsi" w:cstheme="minorBidi"/>
                <w:noProof/>
                <w:lang w:eastAsia="en-AU"/>
              </w:rPr>
              <w:tab/>
            </w:r>
            <w:r w:rsidRPr="00A6482B">
              <w:rPr>
                <w:rStyle w:val="Hyperlink"/>
                <w:noProof/>
              </w:rPr>
              <w:t>Efficacy</w:t>
            </w:r>
            <w:r>
              <w:rPr>
                <w:noProof/>
                <w:webHidden/>
              </w:rPr>
              <w:tab/>
            </w:r>
            <w:r>
              <w:rPr>
                <w:noProof/>
                <w:webHidden/>
              </w:rPr>
              <w:fldChar w:fldCharType="begin"/>
            </w:r>
            <w:r>
              <w:rPr>
                <w:noProof/>
                <w:webHidden/>
              </w:rPr>
              <w:instrText xml:space="preserve"> PAGEREF _Toc453765982 \h </w:instrText>
            </w:r>
            <w:r>
              <w:rPr>
                <w:noProof/>
                <w:webHidden/>
              </w:rPr>
            </w:r>
            <w:r>
              <w:rPr>
                <w:noProof/>
                <w:webHidden/>
              </w:rPr>
              <w:fldChar w:fldCharType="separate"/>
            </w:r>
            <w:r>
              <w:rPr>
                <w:noProof/>
                <w:webHidden/>
              </w:rPr>
              <w:t>112</w:t>
            </w:r>
            <w:r>
              <w:rPr>
                <w:noProof/>
                <w:webHidden/>
              </w:rPr>
              <w:fldChar w:fldCharType="end"/>
            </w:r>
          </w:hyperlink>
        </w:p>
        <w:p w14:paraId="553863A6"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3" w:history="1">
            <w:r w:rsidRPr="00A6482B">
              <w:rPr>
                <w:rStyle w:val="Hyperlink"/>
                <w:noProof/>
              </w:rPr>
              <w:t>10.4.</w:t>
            </w:r>
            <w:r>
              <w:rPr>
                <w:rFonts w:asciiTheme="minorHAnsi" w:eastAsiaTheme="minorEastAsia" w:hAnsiTheme="minorHAnsi" w:cstheme="minorBidi"/>
                <w:noProof/>
                <w:lang w:eastAsia="en-AU"/>
              </w:rPr>
              <w:tab/>
            </w:r>
            <w:r w:rsidRPr="00A6482B">
              <w:rPr>
                <w:rStyle w:val="Hyperlink"/>
                <w:noProof/>
              </w:rPr>
              <w:t>Safety</w:t>
            </w:r>
            <w:r>
              <w:rPr>
                <w:noProof/>
                <w:webHidden/>
              </w:rPr>
              <w:tab/>
            </w:r>
            <w:r>
              <w:rPr>
                <w:noProof/>
                <w:webHidden/>
              </w:rPr>
              <w:fldChar w:fldCharType="begin"/>
            </w:r>
            <w:r>
              <w:rPr>
                <w:noProof/>
                <w:webHidden/>
              </w:rPr>
              <w:instrText xml:space="preserve"> PAGEREF _Toc453765983 \h </w:instrText>
            </w:r>
            <w:r>
              <w:rPr>
                <w:noProof/>
                <w:webHidden/>
              </w:rPr>
            </w:r>
            <w:r>
              <w:rPr>
                <w:noProof/>
                <w:webHidden/>
              </w:rPr>
              <w:fldChar w:fldCharType="separate"/>
            </w:r>
            <w:r>
              <w:rPr>
                <w:noProof/>
                <w:webHidden/>
              </w:rPr>
              <w:t>112</w:t>
            </w:r>
            <w:r>
              <w:rPr>
                <w:noProof/>
                <w:webHidden/>
              </w:rPr>
              <w:fldChar w:fldCharType="end"/>
            </w:r>
          </w:hyperlink>
        </w:p>
        <w:p w14:paraId="6F53B629"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84" w:history="1">
            <w:r w:rsidRPr="00A6482B">
              <w:rPr>
                <w:rStyle w:val="Hyperlink"/>
                <w:noProof/>
              </w:rPr>
              <w:t>11.</w:t>
            </w:r>
            <w:r>
              <w:rPr>
                <w:rFonts w:asciiTheme="minorHAnsi" w:eastAsiaTheme="minorEastAsia" w:hAnsiTheme="minorHAnsi" w:cstheme="minorBidi"/>
                <w:b w:val="0"/>
                <w:noProof/>
                <w:sz w:val="22"/>
                <w:lang w:eastAsia="en-AU"/>
              </w:rPr>
              <w:tab/>
            </w:r>
            <w:r w:rsidRPr="00A6482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_Toc453765984 \h </w:instrText>
            </w:r>
            <w:r>
              <w:rPr>
                <w:noProof/>
                <w:webHidden/>
              </w:rPr>
            </w:r>
            <w:r>
              <w:rPr>
                <w:noProof/>
                <w:webHidden/>
              </w:rPr>
              <w:fldChar w:fldCharType="separate"/>
            </w:r>
            <w:r>
              <w:rPr>
                <w:noProof/>
                <w:webHidden/>
              </w:rPr>
              <w:t>113</w:t>
            </w:r>
            <w:r>
              <w:rPr>
                <w:noProof/>
                <w:webHidden/>
              </w:rPr>
              <w:fldChar w:fldCharType="end"/>
            </w:r>
          </w:hyperlink>
        </w:p>
        <w:p w14:paraId="79804172"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5" w:history="1">
            <w:r w:rsidRPr="00A6482B">
              <w:rPr>
                <w:rStyle w:val="Hyperlink"/>
                <w:noProof/>
              </w:rPr>
              <w:t>11.1.</w:t>
            </w:r>
            <w:r>
              <w:rPr>
                <w:rFonts w:asciiTheme="minorHAnsi" w:eastAsiaTheme="minorEastAsia" w:hAnsiTheme="minorHAnsi" w:cstheme="minorBidi"/>
                <w:noProof/>
                <w:lang w:eastAsia="en-AU"/>
              </w:rPr>
              <w:tab/>
            </w:r>
            <w:r w:rsidRPr="00A6482B">
              <w:rPr>
                <w:rStyle w:val="Hyperlink"/>
                <w:noProof/>
              </w:rPr>
              <w:t>Clinical questions</w:t>
            </w:r>
            <w:r>
              <w:rPr>
                <w:noProof/>
                <w:webHidden/>
              </w:rPr>
              <w:tab/>
            </w:r>
            <w:r>
              <w:rPr>
                <w:noProof/>
                <w:webHidden/>
              </w:rPr>
              <w:fldChar w:fldCharType="begin"/>
            </w:r>
            <w:r>
              <w:rPr>
                <w:noProof/>
                <w:webHidden/>
              </w:rPr>
              <w:instrText xml:space="preserve"> PAGEREF _Toc453765985 \h </w:instrText>
            </w:r>
            <w:r>
              <w:rPr>
                <w:noProof/>
                <w:webHidden/>
              </w:rPr>
            </w:r>
            <w:r>
              <w:rPr>
                <w:noProof/>
                <w:webHidden/>
              </w:rPr>
              <w:fldChar w:fldCharType="separate"/>
            </w:r>
            <w:r>
              <w:rPr>
                <w:noProof/>
                <w:webHidden/>
              </w:rPr>
              <w:t>113</w:t>
            </w:r>
            <w:r>
              <w:rPr>
                <w:noProof/>
                <w:webHidden/>
              </w:rPr>
              <w:fldChar w:fldCharType="end"/>
            </w:r>
          </w:hyperlink>
        </w:p>
        <w:p w14:paraId="485BAAAC"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86" w:history="1">
            <w:r w:rsidRPr="00A6482B">
              <w:rPr>
                <w:rStyle w:val="Hyperlink"/>
                <w:noProof/>
              </w:rPr>
              <w:t>12.</w:t>
            </w:r>
            <w:r>
              <w:rPr>
                <w:rFonts w:asciiTheme="minorHAnsi" w:eastAsiaTheme="minorEastAsia" w:hAnsiTheme="minorHAnsi" w:cstheme="minorBidi"/>
                <w:b w:val="0"/>
                <w:noProof/>
                <w:sz w:val="22"/>
                <w:lang w:eastAsia="en-AU"/>
              </w:rPr>
              <w:tab/>
            </w:r>
            <w:r w:rsidRPr="00A6482B">
              <w:rPr>
                <w:rStyle w:val="Hyperlink"/>
                <w:noProof/>
              </w:rPr>
              <w:t>Second round benefit-risk assessment</w:t>
            </w:r>
            <w:r>
              <w:rPr>
                <w:noProof/>
                <w:webHidden/>
              </w:rPr>
              <w:tab/>
            </w:r>
            <w:r>
              <w:rPr>
                <w:noProof/>
                <w:webHidden/>
              </w:rPr>
              <w:fldChar w:fldCharType="begin"/>
            </w:r>
            <w:r>
              <w:rPr>
                <w:noProof/>
                <w:webHidden/>
              </w:rPr>
              <w:instrText xml:space="preserve"> PAGEREF _Toc453765986 \h </w:instrText>
            </w:r>
            <w:r>
              <w:rPr>
                <w:noProof/>
                <w:webHidden/>
              </w:rPr>
            </w:r>
            <w:r>
              <w:rPr>
                <w:noProof/>
                <w:webHidden/>
              </w:rPr>
              <w:fldChar w:fldCharType="separate"/>
            </w:r>
            <w:r>
              <w:rPr>
                <w:noProof/>
                <w:webHidden/>
              </w:rPr>
              <w:t>122</w:t>
            </w:r>
            <w:r>
              <w:rPr>
                <w:noProof/>
                <w:webHidden/>
              </w:rPr>
              <w:fldChar w:fldCharType="end"/>
            </w:r>
          </w:hyperlink>
        </w:p>
        <w:p w14:paraId="7FAF76DA"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7" w:history="1">
            <w:r w:rsidRPr="00A6482B">
              <w:rPr>
                <w:rStyle w:val="Hyperlink"/>
                <w:noProof/>
              </w:rPr>
              <w:t>12.1.</w:t>
            </w:r>
            <w:r>
              <w:rPr>
                <w:rFonts w:asciiTheme="minorHAnsi" w:eastAsiaTheme="minorEastAsia" w:hAnsiTheme="minorHAnsi" w:cstheme="minorBidi"/>
                <w:noProof/>
                <w:lang w:eastAsia="en-AU"/>
              </w:rPr>
              <w:tab/>
            </w:r>
            <w:r w:rsidRPr="00A6482B">
              <w:rPr>
                <w:rStyle w:val="Hyperlink"/>
                <w:noProof/>
              </w:rPr>
              <w:t>Second round assessment of benefits</w:t>
            </w:r>
            <w:r>
              <w:rPr>
                <w:noProof/>
                <w:webHidden/>
              </w:rPr>
              <w:tab/>
            </w:r>
            <w:r>
              <w:rPr>
                <w:noProof/>
                <w:webHidden/>
              </w:rPr>
              <w:fldChar w:fldCharType="begin"/>
            </w:r>
            <w:r>
              <w:rPr>
                <w:noProof/>
                <w:webHidden/>
              </w:rPr>
              <w:instrText xml:space="preserve"> PAGEREF _Toc453765987 \h </w:instrText>
            </w:r>
            <w:r>
              <w:rPr>
                <w:noProof/>
                <w:webHidden/>
              </w:rPr>
            </w:r>
            <w:r>
              <w:rPr>
                <w:noProof/>
                <w:webHidden/>
              </w:rPr>
              <w:fldChar w:fldCharType="separate"/>
            </w:r>
            <w:r>
              <w:rPr>
                <w:noProof/>
                <w:webHidden/>
              </w:rPr>
              <w:t>122</w:t>
            </w:r>
            <w:r>
              <w:rPr>
                <w:noProof/>
                <w:webHidden/>
              </w:rPr>
              <w:fldChar w:fldCharType="end"/>
            </w:r>
          </w:hyperlink>
        </w:p>
        <w:p w14:paraId="096F7864"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8" w:history="1">
            <w:r w:rsidRPr="00A6482B">
              <w:rPr>
                <w:rStyle w:val="Hyperlink"/>
                <w:noProof/>
              </w:rPr>
              <w:t>12.2.</w:t>
            </w:r>
            <w:r>
              <w:rPr>
                <w:rFonts w:asciiTheme="minorHAnsi" w:eastAsiaTheme="minorEastAsia" w:hAnsiTheme="minorHAnsi" w:cstheme="minorBidi"/>
                <w:noProof/>
                <w:lang w:eastAsia="en-AU"/>
              </w:rPr>
              <w:tab/>
            </w:r>
            <w:r w:rsidRPr="00A6482B">
              <w:rPr>
                <w:rStyle w:val="Hyperlink"/>
                <w:noProof/>
              </w:rPr>
              <w:t>Second round assessment of risks</w:t>
            </w:r>
            <w:r>
              <w:rPr>
                <w:noProof/>
                <w:webHidden/>
              </w:rPr>
              <w:tab/>
            </w:r>
            <w:r>
              <w:rPr>
                <w:noProof/>
                <w:webHidden/>
              </w:rPr>
              <w:fldChar w:fldCharType="begin"/>
            </w:r>
            <w:r>
              <w:rPr>
                <w:noProof/>
                <w:webHidden/>
              </w:rPr>
              <w:instrText xml:space="preserve"> PAGEREF _Toc453765988 \h </w:instrText>
            </w:r>
            <w:r>
              <w:rPr>
                <w:noProof/>
                <w:webHidden/>
              </w:rPr>
            </w:r>
            <w:r>
              <w:rPr>
                <w:noProof/>
                <w:webHidden/>
              </w:rPr>
              <w:fldChar w:fldCharType="separate"/>
            </w:r>
            <w:r>
              <w:rPr>
                <w:noProof/>
                <w:webHidden/>
              </w:rPr>
              <w:t>122</w:t>
            </w:r>
            <w:r>
              <w:rPr>
                <w:noProof/>
                <w:webHidden/>
              </w:rPr>
              <w:fldChar w:fldCharType="end"/>
            </w:r>
          </w:hyperlink>
        </w:p>
        <w:p w14:paraId="146A5D16" w14:textId="77777777" w:rsidR="001B6BBC" w:rsidRDefault="001B6BBC">
          <w:pPr>
            <w:pStyle w:val="TOC3"/>
            <w:tabs>
              <w:tab w:val="left" w:pos="1697"/>
            </w:tabs>
            <w:rPr>
              <w:rFonts w:asciiTheme="minorHAnsi" w:eastAsiaTheme="minorEastAsia" w:hAnsiTheme="minorHAnsi" w:cstheme="minorBidi"/>
              <w:noProof/>
              <w:lang w:eastAsia="en-AU"/>
            </w:rPr>
          </w:pPr>
          <w:hyperlink w:anchor="_Toc453765989" w:history="1">
            <w:r w:rsidRPr="00A6482B">
              <w:rPr>
                <w:rStyle w:val="Hyperlink"/>
                <w:noProof/>
              </w:rPr>
              <w:t>12.3.</w:t>
            </w:r>
            <w:r>
              <w:rPr>
                <w:rFonts w:asciiTheme="minorHAnsi" w:eastAsiaTheme="minorEastAsia" w:hAnsiTheme="minorHAnsi" w:cstheme="minorBidi"/>
                <w:noProof/>
                <w:lang w:eastAsia="en-AU"/>
              </w:rPr>
              <w:tab/>
            </w:r>
            <w:r w:rsidRPr="00A6482B">
              <w:rPr>
                <w:rStyle w:val="Hyperlink"/>
                <w:noProof/>
              </w:rPr>
              <w:t>Second round assessment of benefit-risk balance</w:t>
            </w:r>
            <w:r>
              <w:rPr>
                <w:noProof/>
                <w:webHidden/>
              </w:rPr>
              <w:tab/>
            </w:r>
            <w:r>
              <w:rPr>
                <w:noProof/>
                <w:webHidden/>
              </w:rPr>
              <w:fldChar w:fldCharType="begin"/>
            </w:r>
            <w:r>
              <w:rPr>
                <w:noProof/>
                <w:webHidden/>
              </w:rPr>
              <w:instrText xml:space="preserve"> PAGEREF _Toc453765989 \h </w:instrText>
            </w:r>
            <w:r>
              <w:rPr>
                <w:noProof/>
                <w:webHidden/>
              </w:rPr>
            </w:r>
            <w:r>
              <w:rPr>
                <w:noProof/>
                <w:webHidden/>
              </w:rPr>
              <w:fldChar w:fldCharType="separate"/>
            </w:r>
            <w:r>
              <w:rPr>
                <w:noProof/>
                <w:webHidden/>
              </w:rPr>
              <w:t>122</w:t>
            </w:r>
            <w:r>
              <w:rPr>
                <w:noProof/>
                <w:webHidden/>
              </w:rPr>
              <w:fldChar w:fldCharType="end"/>
            </w:r>
          </w:hyperlink>
        </w:p>
        <w:p w14:paraId="4F81D6C7"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90" w:history="1">
            <w:r w:rsidRPr="00A6482B">
              <w:rPr>
                <w:rStyle w:val="Hyperlink"/>
                <w:noProof/>
              </w:rPr>
              <w:t>13.</w:t>
            </w:r>
            <w:r>
              <w:rPr>
                <w:rFonts w:asciiTheme="minorHAnsi" w:eastAsiaTheme="minorEastAsia" w:hAnsiTheme="minorHAnsi" w:cstheme="minorBidi"/>
                <w:b w:val="0"/>
                <w:noProof/>
                <w:sz w:val="22"/>
                <w:lang w:eastAsia="en-AU"/>
              </w:rPr>
              <w:tab/>
            </w:r>
            <w:r w:rsidRPr="00A6482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_Toc453765990 \h </w:instrText>
            </w:r>
            <w:r>
              <w:rPr>
                <w:noProof/>
                <w:webHidden/>
              </w:rPr>
            </w:r>
            <w:r>
              <w:rPr>
                <w:noProof/>
                <w:webHidden/>
              </w:rPr>
              <w:fldChar w:fldCharType="separate"/>
            </w:r>
            <w:r>
              <w:rPr>
                <w:noProof/>
                <w:webHidden/>
              </w:rPr>
              <w:t>122</w:t>
            </w:r>
            <w:r>
              <w:rPr>
                <w:noProof/>
                <w:webHidden/>
              </w:rPr>
              <w:fldChar w:fldCharType="end"/>
            </w:r>
          </w:hyperlink>
        </w:p>
        <w:p w14:paraId="43197C91" w14:textId="77777777" w:rsidR="001B6BBC" w:rsidRDefault="001B6BBC">
          <w:pPr>
            <w:pStyle w:val="TOC2"/>
            <w:tabs>
              <w:tab w:val="left" w:pos="1247"/>
            </w:tabs>
            <w:rPr>
              <w:rFonts w:asciiTheme="minorHAnsi" w:eastAsiaTheme="minorEastAsia" w:hAnsiTheme="minorHAnsi" w:cstheme="minorBidi"/>
              <w:b w:val="0"/>
              <w:noProof/>
              <w:sz w:val="22"/>
              <w:lang w:eastAsia="en-AU"/>
            </w:rPr>
          </w:pPr>
          <w:hyperlink w:anchor="_Toc453765991" w:history="1">
            <w:r w:rsidRPr="00A6482B">
              <w:rPr>
                <w:rStyle w:val="Hyperlink"/>
                <w:noProof/>
              </w:rPr>
              <w:t>14.</w:t>
            </w:r>
            <w:r>
              <w:rPr>
                <w:rFonts w:asciiTheme="minorHAnsi" w:eastAsiaTheme="minorEastAsia" w:hAnsiTheme="minorHAnsi" w:cstheme="minorBidi"/>
                <w:b w:val="0"/>
                <w:noProof/>
                <w:sz w:val="22"/>
                <w:lang w:eastAsia="en-AU"/>
              </w:rPr>
              <w:tab/>
            </w:r>
            <w:r w:rsidRPr="00A6482B">
              <w:rPr>
                <w:rStyle w:val="Hyperlink"/>
                <w:noProof/>
              </w:rPr>
              <w:t>References</w:t>
            </w:r>
            <w:r>
              <w:rPr>
                <w:noProof/>
                <w:webHidden/>
              </w:rPr>
              <w:tab/>
            </w:r>
            <w:r>
              <w:rPr>
                <w:noProof/>
                <w:webHidden/>
              </w:rPr>
              <w:fldChar w:fldCharType="begin"/>
            </w:r>
            <w:r>
              <w:rPr>
                <w:noProof/>
                <w:webHidden/>
              </w:rPr>
              <w:instrText xml:space="preserve"> PAGEREF _Toc453765991 \h </w:instrText>
            </w:r>
            <w:r>
              <w:rPr>
                <w:noProof/>
                <w:webHidden/>
              </w:rPr>
            </w:r>
            <w:r>
              <w:rPr>
                <w:noProof/>
                <w:webHidden/>
              </w:rPr>
              <w:fldChar w:fldCharType="separate"/>
            </w:r>
            <w:r>
              <w:rPr>
                <w:noProof/>
                <w:webHidden/>
              </w:rPr>
              <w:t>123</w:t>
            </w:r>
            <w:r>
              <w:rPr>
                <w:noProof/>
                <w:webHidden/>
              </w:rPr>
              <w:fldChar w:fldCharType="end"/>
            </w:r>
          </w:hyperlink>
        </w:p>
        <w:p w14:paraId="2B4D7DD7" w14:textId="77777777" w:rsidR="003A7F6C" w:rsidRPr="00B811C6" w:rsidRDefault="00A84DFC" w:rsidP="00B811C6">
          <w:pPr>
            <w:pStyle w:val="TOC2"/>
          </w:pPr>
          <w:r>
            <w:fldChar w:fldCharType="end"/>
          </w:r>
        </w:p>
      </w:sdtContent>
    </w:sdt>
    <w:bookmarkStart w:id="3" w:name="_Toc314842482" w:displacedByCustomXml="prev"/>
    <w:p w14:paraId="56E177DF" w14:textId="77777777" w:rsidR="009026F4" w:rsidRDefault="009026F4">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22C08CE4" w14:textId="77777777" w:rsidR="00586F98" w:rsidRDefault="00586F98" w:rsidP="00586F98">
      <w:pPr>
        <w:pStyle w:val="Heading2"/>
        <w:numPr>
          <w:ilvl w:val="0"/>
          <w:numId w:val="0"/>
        </w:numPr>
      </w:pPr>
      <w:bookmarkStart w:id="7" w:name="_Toc45376594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C8405D" w:rsidRPr="00892653" w14:paraId="4C7FC7E1" w14:textId="77777777" w:rsidTr="00C840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6DEDA03" w14:textId="77777777" w:rsidR="00C8405D" w:rsidRPr="00892653" w:rsidRDefault="00C8405D" w:rsidP="00C8405D">
            <w:pPr>
              <w:spacing w:before="80" w:after="80" w:line="240" w:lineRule="auto"/>
              <w:ind w:left="57" w:right="57"/>
              <w:rPr>
                <w:szCs w:val="22"/>
                <w:lang w:eastAsia="en-US"/>
              </w:rPr>
            </w:pPr>
            <w:r w:rsidRPr="00892653">
              <w:rPr>
                <w:szCs w:val="22"/>
                <w:lang w:eastAsia="en-US"/>
              </w:rPr>
              <w:t>Abbreviation</w:t>
            </w:r>
          </w:p>
        </w:tc>
        <w:tc>
          <w:tcPr>
            <w:tcW w:w="6911" w:type="dxa"/>
          </w:tcPr>
          <w:p w14:paraId="3E5E8E24" w14:textId="77777777" w:rsidR="00C8405D" w:rsidRPr="00892653" w:rsidRDefault="00C8405D" w:rsidP="00C8405D">
            <w:pPr>
              <w:spacing w:before="80" w:after="80" w:line="240" w:lineRule="auto"/>
              <w:ind w:left="57" w:right="57"/>
              <w:cnfStyle w:val="100000000000" w:firstRow="1" w:lastRow="0" w:firstColumn="0" w:lastColumn="0" w:oddVBand="0" w:evenVBand="0" w:oddHBand="0" w:evenHBand="0" w:firstRowFirstColumn="0" w:firstRowLastColumn="0" w:lastRowFirstColumn="0" w:lastRowLastColumn="0"/>
              <w:rPr>
                <w:szCs w:val="22"/>
                <w:lang w:eastAsia="en-US"/>
              </w:rPr>
            </w:pPr>
            <w:r w:rsidRPr="00892653">
              <w:rPr>
                <w:szCs w:val="22"/>
                <w:lang w:eastAsia="en-US"/>
              </w:rPr>
              <w:t>Meaning</w:t>
            </w:r>
          </w:p>
        </w:tc>
      </w:tr>
      <w:tr w:rsidR="00C8405D" w:rsidRPr="00892653" w14:paraId="76D678E8"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5D23E38B" w14:textId="77777777" w:rsidR="00C8405D" w:rsidRPr="00892653" w:rsidRDefault="00C8405D" w:rsidP="00C8405D">
            <w:pPr>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ADR</w:t>
            </w:r>
          </w:p>
        </w:tc>
        <w:tc>
          <w:tcPr>
            <w:tcW w:w="6911" w:type="dxa"/>
          </w:tcPr>
          <w:p w14:paraId="44DD3F69" w14:textId="77777777" w:rsidR="00C8405D" w:rsidRPr="00892653" w:rsidRDefault="00C8405D"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Adverse drug reaction</w:t>
            </w:r>
          </w:p>
        </w:tc>
      </w:tr>
      <w:tr w:rsidR="00C8405D" w:rsidRPr="00892653" w14:paraId="3B4D083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CE94D5A" w14:textId="048A29FB" w:rsidR="00C8405D" w:rsidRPr="00892653" w:rsidRDefault="000F04AF" w:rsidP="00C8405D">
            <w:pPr>
              <w:spacing w:before="80" w:after="80" w:line="240" w:lineRule="auto"/>
              <w:ind w:left="57" w:right="57"/>
              <w:rPr>
                <w:rFonts w:asciiTheme="minorHAnsi" w:hAnsiTheme="minorHAnsi"/>
                <w:sz w:val="20"/>
                <w:szCs w:val="20"/>
              </w:rPr>
            </w:pPr>
            <w:r>
              <w:rPr>
                <w:rFonts w:asciiTheme="minorHAnsi" w:eastAsia="Times New Roman" w:hAnsiTheme="minorHAnsi" w:cs="O¯ø÷◊"/>
                <w:sz w:val="20"/>
                <w:szCs w:val="20"/>
              </w:rPr>
              <w:t>AE</w:t>
            </w:r>
          </w:p>
        </w:tc>
        <w:tc>
          <w:tcPr>
            <w:tcW w:w="6911" w:type="dxa"/>
          </w:tcPr>
          <w:p w14:paraId="3D492CEB" w14:textId="77777777" w:rsidR="00C8405D" w:rsidRPr="00892653" w:rsidRDefault="00C8405D"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92653">
              <w:rPr>
                <w:rFonts w:asciiTheme="minorHAnsi" w:eastAsia="Times New Roman" w:hAnsiTheme="minorHAnsi" w:cs="O¯ø÷◊"/>
                <w:sz w:val="20"/>
                <w:szCs w:val="20"/>
              </w:rPr>
              <w:t>Adverse event</w:t>
            </w:r>
          </w:p>
        </w:tc>
      </w:tr>
      <w:tr w:rsidR="00C8405D" w:rsidRPr="00892653" w14:paraId="3F89B01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5400AF5" w14:textId="1E652B0A"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ALT</w:t>
            </w:r>
          </w:p>
        </w:tc>
        <w:tc>
          <w:tcPr>
            <w:tcW w:w="6911" w:type="dxa"/>
          </w:tcPr>
          <w:p w14:paraId="54F11399"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Alanine aminotransferase</w:t>
            </w:r>
          </w:p>
        </w:tc>
      </w:tr>
      <w:tr w:rsidR="00C8405D" w:rsidRPr="00892653" w14:paraId="3FB4E82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0347410"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600779">
              <w:rPr>
                <w:rFonts w:asciiTheme="minorHAnsi" w:eastAsia="Times New Roman" w:hAnsiTheme="minorHAnsi" w:cs="O¯ø÷◊"/>
                <w:sz w:val="20"/>
                <w:szCs w:val="20"/>
              </w:rPr>
              <w:t>AHDCO</w:t>
            </w:r>
          </w:p>
        </w:tc>
        <w:tc>
          <w:tcPr>
            <w:tcW w:w="6911" w:type="dxa"/>
          </w:tcPr>
          <w:p w14:paraId="17555545"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600779">
              <w:rPr>
                <w:rFonts w:asciiTheme="minorHAnsi" w:eastAsia="Times New Roman" w:hAnsiTheme="minorHAnsi" w:cs="O¯ø÷◊"/>
                <w:sz w:val="20"/>
                <w:szCs w:val="20"/>
              </w:rPr>
              <w:t>Australian Heal</w:t>
            </w:r>
            <w:r>
              <w:rPr>
                <w:rFonts w:asciiTheme="minorHAnsi" w:eastAsia="Times New Roman" w:hAnsiTheme="minorHAnsi" w:cs="O¯ø÷◊"/>
                <w:sz w:val="20"/>
                <w:szCs w:val="20"/>
              </w:rPr>
              <w:t>th Minister's Advisory Council</w:t>
            </w:r>
          </w:p>
        </w:tc>
      </w:tr>
      <w:tr w:rsidR="00C8405D" w:rsidRPr="00892653" w14:paraId="7FE15430"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A3BAAFD" w14:textId="310FCA48"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AST</w:t>
            </w:r>
          </w:p>
        </w:tc>
        <w:tc>
          <w:tcPr>
            <w:tcW w:w="6911" w:type="dxa"/>
          </w:tcPr>
          <w:p w14:paraId="7E1B7EED"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Aspartate aminotransferase</w:t>
            </w:r>
          </w:p>
        </w:tc>
      </w:tr>
      <w:tr w:rsidR="00C8405D" w:rsidRPr="00892653" w14:paraId="52B97BA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267ACA7" w14:textId="55555DE8"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AUC</w:t>
            </w:r>
          </w:p>
        </w:tc>
        <w:tc>
          <w:tcPr>
            <w:tcW w:w="6911" w:type="dxa"/>
          </w:tcPr>
          <w:p w14:paraId="5E5735D8"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Area under the curve (from baseline to infinity)</w:t>
            </w:r>
          </w:p>
        </w:tc>
      </w:tr>
      <w:tr w:rsidR="00C8405D" w:rsidRPr="00892653" w14:paraId="2F5E04D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0C8D05E" w14:textId="77777777" w:rsidR="00C8405D" w:rsidRPr="00892653" w:rsidRDefault="00C8405D" w:rsidP="00C8405D">
            <w:pPr>
              <w:spacing w:before="80" w:after="80" w:line="240" w:lineRule="auto"/>
              <w:ind w:left="57" w:right="57"/>
              <w:rPr>
                <w:rFonts w:asciiTheme="minorHAnsi" w:hAnsiTheme="minorHAnsi"/>
                <w:sz w:val="20"/>
                <w:szCs w:val="20"/>
              </w:rPr>
            </w:pPr>
            <w:r w:rsidRPr="00892653">
              <w:rPr>
                <w:rFonts w:asciiTheme="minorHAnsi" w:eastAsia="Times New Roman" w:hAnsiTheme="minorHAnsi" w:cs="O¯ø÷◊"/>
                <w:sz w:val="20"/>
                <w:szCs w:val="20"/>
              </w:rPr>
              <w:t>AUC</w:t>
            </w:r>
            <w:r w:rsidRPr="00823757">
              <w:rPr>
                <w:rFonts w:asciiTheme="minorHAnsi" w:eastAsia="Times New Roman" w:hAnsiTheme="minorHAnsi" w:cs="O¯ø÷◊"/>
                <w:sz w:val="20"/>
                <w:szCs w:val="20"/>
                <w:vertAlign w:val="subscript"/>
              </w:rPr>
              <w:t>norm</w:t>
            </w:r>
          </w:p>
        </w:tc>
        <w:tc>
          <w:tcPr>
            <w:tcW w:w="6911" w:type="dxa"/>
          </w:tcPr>
          <w:p w14:paraId="22EE69D0" w14:textId="77777777" w:rsidR="00C8405D" w:rsidRPr="00892653" w:rsidRDefault="00C8405D"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92653">
              <w:rPr>
                <w:rFonts w:asciiTheme="minorHAnsi" w:eastAsia="Times New Roman" w:hAnsiTheme="minorHAnsi" w:cs="O¯ø÷◊"/>
                <w:sz w:val="20"/>
                <w:szCs w:val="20"/>
              </w:rPr>
              <w:t>Area under the curve normalised to the dose administered</w:t>
            </w:r>
          </w:p>
        </w:tc>
      </w:tr>
      <w:tr w:rsidR="00C8405D" w:rsidRPr="00892653" w14:paraId="26B09207"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4ED63E2"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BDD</w:t>
            </w:r>
          </w:p>
        </w:tc>
        <w:tc>
          <w:tcPr>
            <w:tcW w:w="6911" w:type="dxa"/>
          </w:tcPr>
          <w:p w14:paraId="621DA785"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B-domain-deleted</w:t>
            </w:r>
          </w:p>
        </w:tc>
      </w:tr>
      <w:tr w:rsidR="00C8405D" w:rsidRPr="00892653" w14:paraId="0A5FCEE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5EDEE1EB"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BE</w:t>
            </w:r>
          </w:p>
        </w:tc>
        <w:tc>
          <w:tcPr>
            <w:tcW w:w="6911" w:type="dxa"/>
          </w:tcPr>
          <w:p w14:paraId="278DEA3C"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Bleeding episode</w:t>
            </w:r>
          </w:p>
        </w:tc>
      </w:tr>
      <w:tr w:rsidR="00C8405D" w:rsidRPr="00892653" w14:paraId="19CC06CA"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8920662" w14:textId="77BCE832"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BLEED</w:t>
            </w:r>
          </w:p>
        </w:tc>
        <w:tc>
          <w:tcPr>
            <w:tcW w:w="6911" w:type="dxa"/>
          </w:tcPr>
          <w:p w14:paraId="350B9E7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 xml:space="preserve">Study population of </w:t>
            </w:r>
            <w:r>
              <w:rPr>
                <w:rFonts w:asciiTheme="minorHAnsi" w:eastAsia="Times New Roman" w:hAnsiTheme="minorHAnsi" w:cs="O¯ø÷◊"/>
                <w:sz w:val="20"/>
                <w:szCs w:val="20"/>
              </w:rPr>
              <w:t>bleed</w:t>
            </w:r>
            <w:r w:rsidRPr="00892653">
              <w:rPr>
                <w:rFonts w:asciiTheme="minorHAnsi" w:eastAsia="Times New Roman" w:hAnsiTheme="minorHAnsi" w:cs="O¯ø÷◊"/>
                <w:sz w:val="20"/>
                <w:szCs w:val="20"/>
              </w:rPr>
              <w:t xml:space="preserve">s treated with </w:t>
            </w:r>
            <w:r w:rsidRPr="001C02A6">
              <w:rPr>
                <w:sz w:val="20"/>
                <w:szCs w:val="20"/>
              </w:rPr>
              <w:t>simoctocog alfa</w:t>
            </w:r>
          </w:p>
        </w:tc>
      </w:tr>
      <w:tr w:rsidR="00C8405D" w:rsidRPr="00892653" w14:paraId="451B6314"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32D4401" w14:textId="0C9ECF8F"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BU</w:t>
            </w:r>
          </w:p>
        </w:tc>
        <w:tc>
          <w:tcPr>
            <w:tcW w:w="6911" w:type="dxa"/>
          </w:tcPr>
          <w:p w14:paraId="3A96C549"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Bethesda unit</w:t>
            </w:r>
            <w:r>
              <w:rPr>
                <w:rFonts w:asciiTheme="minorHAnsi" w:eastAsia="Times New Roman" w:hAnsiTheme="minorHAnsi" w:cs="O¯ø÷◊"/>
                <w:sz w:val="20"/>
                <w:szCs w:val="20"/>
              </w:rPr>
              <w:t>s</w:t>
            </w:r>
          </w:p>
        </w:tc>
      </w:tr>
      <w:tr w:rsidR="00C8405D" w:rsidRPr="00892653" w14:paraId="7F9E2947"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6B4BCC6"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BW</w:t>
            </w:r>
          </w:p>
        </w:tc>
        <w:tc>
          <w:tcPr>
            <w:tcW w:w="6911" w:type="dxa"/>
          </w:tcPr>
          <w:p w14:paraId="1EBACED9"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Body weight</w:t>
            </w:r>
          </w:p>
        </w:tc>
      </w:tr>
      <w:tr w:rsidR="00C8405D" w:rsidRPr="00892653" w14:paraId="71E4C3F4"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1A28FD0"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892653">
              <w:rPr>
                <w:rFonts w:asciiTheme="minorHAnsi" w:eastAsia="Times New Roman" w:hAnsiTheme="minorHAnsi" w:cs="O¯ø÷◊"/>
                <w:sz w:val="20"/>
                <w:szCs w:val="20"/>
              </w:rPr>
              <w:t>CER</w:t>
            </w:r>
          </w:p>
        </w:tc>
        <w:tc>
          <w:tcPr>
            <w:tcW w:w="6911" w:type="dxa"/>
          </w:tcPr>
          <w:p w14:paraId="047404B2"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Clinical evaluation report</w:t>
            </w:r>
          </w:p>
        </w:tc>
      </w:tr>
      <w:tr w:rsidR="00C8405D" w:rsidRPr="00892653" w14:paraId="16AF945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03E56AF" w14:textId="22063316"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CHMP</w:t>
            </w:r>
          </w:p>
        </w:tc>
        <w:tc>
          <w:tcPr>
            <w:tcW w:w="6911" w:type="dxa"/>
          </w:tcPr>
          <w:p w14:paraId="229058E8"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Committee for Medicinal Products for Human Use</w:t>
            </w:r>
          </w:p>
        </w:tc>
      </w:tr>
      <w:tr w:rsidR="00C8405D" w:rsidRPr="00892653" w14:paraId="5548DD57"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8D9F809" w14:textId="2C7A9FA6"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CHR</w:t>
            </w:r>
          </w:p>
        </w:tc>
        <w:tc>
          <w:tcPr>
            <w:tcW w:w="6911" w:type="dxa"/>
          </w:tcPr>
          <w:p w14:paraId="0D0D60D7"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Chromogenic</w:t>
            </w:r>
          </w:p>
        </w:tc>
      </w:tr>
      <w:tr w:rsidR="00C8405D" w:rsidRPr="00892653" w14:paraId="351ADD9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7602626" w14:textId="22FC096C"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CI</w:t>
            </w:r>
          </w:p>
        </w:tc>
        <w:tc>
          <w:tcPr>
            <w:tcW w:w="6911" w:type="dxa"/>
          </w:tcPr>
          <w:p w14:paraId="6EA46DF2"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Confidence interval</w:t>
            </w:r>
          </w:p>
        </w:tc>
      </w:tr>
      <w:tr w:rsidR="00C8405D" w:rsidRPr="00892653" w14:paraId="063D484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2B2D8DE" w14:textId="018BEDD8"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CL</w:t>
            </w:r>
          </w:p>
        </w:tc>
        <w:tc>
          <w:tcPr>
            <w:tcW w:w="6911" w:type="dxa"/>
          </w:tcPr>
          <w:p w14:paraId="0236AAA6"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Clearance</w:t>
            </w:r>
          </w:p>
        </w:tc>
      </w:tr>
      <w:tr w:rsidR="00C8405D" w:rsidRPr="00892653" w14:paraId="2605E07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80B429B" w14:textId="70301B0F"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892653">
              <w:rPr>
                <w:rFonts w:asciiTheme="minorHAnsi" w:eastAsia="Times New Roman" w:hAnsiTheme="minorHAnsi" w:cs="O¯ø÷◊"/>
                <w:sz w:val="20"/>
                <w:szCs w:val="20"/>
              </w:rPr>
              <w:t>C</w:t>
            </w:r>
            <w:r w:rsidRPr="00823757">
              <w:rPr>
                <w:rFonts w:asciiTheme="minorHAnsi" w:eastAsia="Times New Roman" w:hAnsiTheme="minorHAnsi" w:cs="O¯ø÷◊"/>
                <w:sz w:val="20"/>
                <w:szCs w:val="20"/>
                <w:vertAlign w:val="subscript"/>
              </w:rPr>
              <w:t>max</w:t>
            </w:r>
          </w:p>
        </w:tc>
        <w:tc>
          <w:tcPr>
            <w:tcW w:w="6911" w:type="dxa"/>
          </w:tcPr>
          <w:p w14:paraId="6307319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Maximum plasma concentration</w:t>
            </w:r>
          </w:p>
        </w:tc>
      </w:tr>
      <w:tr w:rsidR="00C8405D" w:rsidRPr="00892653" w14:paraId="2B3DFAAB"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A803B8C" w14:textId="008AF302"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892653">
              <w:rPr>
                <w:rFonts w:asciiTheme="minorHAnsi" w:eastAsia="Times New Roman" w:hAnsiTheme="minorHAnsi" w:cs="O¯ø÷◊"/>
                <w:sz w:val="20"/>
                <w:szCs w:val="20"/>
              </w:rPr>
              <w:t>C</w:t>
            </w:r>
            <w:r w:rsidRPr="00823757">
              <w:rPr>
                <w:rFonts w:asciiTheme="minorHAnsi" w:eastAsia="Times New Roman" w:hAnsiTheme="minorHAnsi" w:cs="O¯ø÷◊"/>
                <w:sz w:val="20"/>
                <w:szCs w:val="20"/>
                <w:vertAlign w:val="subscript"/>
              </w:rPr>
              <w:t>max</w:t>
            </w:r>
            <w:r>
              <w:rPr>
                <w:rFonts w:asciiTheme="minorHAnsi" w:eastAsia="Times New Roman" w:hAnsiTheme="minorHAnsi" w:cs="O¯ø÷◊"/>
                <w:sz w:val="20"/>
                <w:szCs w:val="20"/>
                <w:vertAlign w:val="subscript"/>
              </w:rPr>
              <w:t>.</w:t>
            </w:r>
            <w:r w:rsidRPr="00823757">
              <w:rPr>
                <w:rFonts w:asciiTheme="minorHAnsi" w:eastAsia="Times New Roman" w:hAnsiTheme="minorHAnsi" w:cs="O¯ø÷◊"/>
                <w:sz w:val="20"/>
                <w:szCs w:val="20"/>
                <w:vertAlign w:val="subscript"/>
              </w:rPr>
              <w:t>norm</w:t>
            </w:r>
          </w:p>
        </w:tc>
        <w:tc>
          <w:tcPr>
            <w:tcW w:w="6911" w:type="dxa"/>
          </w:tcPr>
          <w:p w14:paraId="3479444D"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Maximum plasma concentration normalised to the dose administered</w:t>
            </w:r>
          </w:p>
        </w:tc>
      </w:tr>
      <w:tr w:rsidR="00C8405D" w:rsidRPr="00892653" w14:paraId="0E7853CA"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3C62A8C" w14:textId="2CA9636D"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CRF</w:t>
            </w:r>
          </w:p>
        </w:tc>
        <w:tc>
          <w:tcPr>
            <w:tcW w:w="6911" w:type="dxa"/>
          </w:tcPr>
          <w:p w14:paraId="645AE7B7"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 xml:space="preserve">Case </w:t>
            </w:r>
            <w:r>
              <w:rPr>
                <w:rFonts w:asciiTheme="minorHAnsi" w:eastAsia="Times New Roman" w:hAnsiTheme="minorHAnsi" w:cs="O¯ø÷◊"/>
                <w:sz w:val="20"/>
                <w:szCs w:val="20"/>
              </w:rPr>
              <w:t>report</w:t>
            </w:r>
            <w:r w:rsidRPr="00892653">
              <w:rPr>
                <w:rFonts w:asciiTheme="minorHAnsi" w:eastAsia="Times New Roman" w:hAnsiTheme="minorHAnsi" w:cs="O¯ø÷◊"/>
                <w:sz w:val="20"/>
                <w:szCs w:val="20"/>
              </w:rPr>
              <w:t xml:space="preserve"> form</w:t>
            </w:r>
          </w:p>
        </w:tc>
      </w:tr>
      <w:tr w:rsidR="00C8405D" w:rsidRPr="00892653" w14:paraId="70C45F79"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9332CF9"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CSR</w:t>
            </w:r>
          </w:p>
        </w:tc>
        <w:tc>
          <w:tcPr>
            <w:tcW w:w="6911" w:type="dxa"/>
          </w:tcPr>
          <w:p w14:paraId="7B5115F5"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Clinical Study Report</w:t>
            </w:r>
          </w:p>
        </w:tc>
      </w:tr>
      <w:tr w:rsidR="00C8405D" w:rsidRPr="00892653" w14:paraId="5E88A02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88F8E62"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DNA</w:t>
            </w:r>
          </w:p>
        </w:tc>
        <w:tc>
          <w:tcPr>
            <w:tcW w:w="6911" w:type="dxa"/>
          </w:tcPr>
          <w:p w14:paraId="76560EF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Deoxyribonucleic acid</w:t>
            </w:r>
          </w:p>
        </w:tc>
      </w:tr>
      <w:tr w:rsidR="00C8405D" w:rsidRPr="00892653" w14:paraId="4C3E2F8E"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A75A9CD"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ECG</w:t>
            </w:r>
          </w:p>
        </w:tc>
        <w:tc>
          <w:tcPr>
            <w:tcW w:w="6911" w:type="dxa"/>
          </w:tcPr>
          <w:p w14:paraId="4EFFF3F0"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Electrocardiogram</w:t>
            </w:r>
          </w:p>
        </w:tc>
      </w:tr>
      <w:tr w:rsidR="00C8405D" w:rsidRPr="00892653" w14:paraId="03888B69"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8B32D9C" w14:textId="795820BD" w:rsidR="00C8405D" w:rsidRPr="00892653" w:rsidRDefault="00C8405D" w:rsidP="000F04AF">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892653">
              <w:rPr>
                <w:rFonts w:asciiTheme="minorHAnsi" w:eastAsia="Times New Roman" w:hAnsiTheme="minorHAnsi" w:cs="O¯ø÷◊"/>
                <w:sz w:val="20"/>
                <w:szCs w:val="20"/>
              </w:rPr>
              <w:t>ED</w:t>
            </w:r>
          </w:p>
        </w:tc>
        <w:tc>
          <w:tcPr>
            <w:tcW w:w="6911" w:type="dxa"/>
          </w:tcPr>
          <w:p w14:paraId="5CE97709"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Exposure day</w:t>
            </w:r>
          </w:p>
        </w:tc>
      </w:tr>
      <w:tr w:rsidR="00C8405D" w:rsidRPr="00892653" w14:paraId="187FC16E"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858E747" w14:textId="5113FB1F"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ELISA</w:t>
            </w:r>
          </w:p>
        </w:tc>
        <w:tc>
          <w:tcPr>
            <w:tcW w:w="6911" w:type="dxa"/>
          </w:tcPr>
          <w:p w14:paraId="75AD681B"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Enzyme-linked immunosorbent assay</w:t>
            </w:r>
          </w:p>
        </w:tc>
      </w:tr>
      <w:tr w:rsidR="00C8405D" w:rsidRPr="00892653" w14:paraId="4D206F6A"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82C68E8" w14:textId="3702D018"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EMA</w:t>
            </w:r>
          </w:p>
        </w:tc>
        <w:tc>
          <w:tcPr>
            <w:tcW w:w="6911" w:type="dxa"/>
          </w:tcPr>
          <w:p w14:paraId="5AC18537"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European Medicines Agency</w:t>
            </w:r>
          </w:p>
        </w:tc>
      </w:tr>
      <w:tr w:rsidR="00C8405D" w:rsidRPr="00892653" w14:paraId="0904E9A0"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05F0694" w14:textId="52B0BD72"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FDA</w:t>
            </w:r>
          </w:p>
        </w:tc>
        <w:tc>
          <w:tcPr>
            <w:tcW w:w="6911" w:type="dxa"/>
          </w:tcPr>
          <w:p w14:paraId="088C4A2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Food and Drug Administration</w:t>
            </w:r>
          </w:p>
        </w:tc>
      </w:tr>
      <w:tr w:rsidR="00C8405D" w:rsidRPr="00892653" w14:paraId="28B0428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C83487D" w14:textId="50454F3B"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FVIII</w:t>
            </w:r>
          </w:p>
        </w:tc>
        <w:tc>
          <w:tcPr>
            <w:tcW w:w="6911" w:type="dxa"/>
          </w:tcPr>
          <w:p w14:paraId="7380A113"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Coagulation factor VIII</w:t>
            </w:r>
          </w:p>
        </w:tc>
      </w:tr>
      <w:tr w:rsidR="00C8405D" w:rsidRPr="00892653" w14:paraId="20E410F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CF5DD63"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sidRPr="00892653">
              <w:rPr>
                <w:rFonts w:asciiTheme="minorHAnsi" w:eastAsia="Times New Roman" w:hAnsiTheme="minorHAnsi" w:cs="O¯ø÷◊"/>
                <w:sz w:val="20"/>
                <w:szCs w:val="20"/>
              </w:rPr>
              <w:t>FVIII:C</w:t>
            </w:r>
          </w:p>
        </w:tc>
        <w:tc>
          <w:tcPr>
            <w:tcW w:w="6911" w:type="dxa"/>
          </w:tcPr>
          <w:p w14:paraId="4F3AE15A"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FVIII coagulant activity</w:t>
            </w:r>
          </w:p>
        </w:tc>
      </w:tr>
      <w:tr w:rsidR="00C8405D" w:rsidRPr="00892653" w14:paraId="3FACFE6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86C84D6" w14:textId="77777777" w:rsidR="00C8405D"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GCP</w:t>
            </w:r>
          </w:p>
        </w:tc>
        <w:tc>
          <w:tcPr>
            <w:tcW w:w="6911" w:type="dxa"/>
          </w:tcPr>
          <w:p w14:paraId="2630F829" w14:textId="77777777" w:rsidR="00C8405D"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Good clinical practice</w:t>
            </w:r>
          </w:p>
        </w:tc>
      </w:tr>
      <w:tr w:rsidR="00C8405D" w:rsidRPr="00892653" w14:paraId="2B63BB60"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AA7C5FF"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Hb</w:t>
            </w:r>
          </w:p>
        </w:tc>
        <w:tc>
          <w:tcPr>
            <w:tcW w:w="6911" w:type="dxa"/>
          </w:tcPr>
          <w:p w14:paraId="4163C405"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Haemoglobin</w:t>
            </w:r>
          </w:p>
        </w:tc>
      </w:tr>
      <w:tr w:rsidR="00C8405D" w:rsidRPr="00892653" w14:paraId="64870E68"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C181743" w14:textId="4BF9EEBE"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lastRenderedPageBreak/>
              <w:t>HBV</w:t>
            </w:r>
          </w:p>
        </w:tc>
        <w:tc>
          <w:tcPr>
            <w:tcW w:w="6911" w:type="dxa"/>
          </w:tcPr>
          <w:p w14:paraId="33412076"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Hepatitis B virus</w:t>
            </w:r>
          </w:p>
        </w:tc>
      </w:tr>
      <w:tr w:rsidR="00C8405D" w:rsidRPr="00892653" w14:paraId="682B77F6"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C4086D2"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Hct</w:t>
            </w:r>
          </w:p>
        </w:tc>
        <w:tc>
          <w:tcPr>
            <w:tcW w:w="6911" w:type="dxa"/>
          </w:tcPr>
          <w:p w14:paraId="4280F45D"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Haematocrit</w:t>
            </w:r>
          </w:p>
        </w:tc>
      </w:tr>
      <w:tr w:rsidR="00C8405D" w:rsidRPr="00892653" w14:paraId="6EAE9BB4"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6A612F3" w14:textId="5754AEB8"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HCV</w:t>
            </w:r>
          </w:p>
        </w:tc>
        <w:tc>
          <w:tcPr>
            <w:tcW w:w="6911" w:type="dxa"/>
          </w:tcPr>
          <w:p w14:paraId="0C31D46A"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Hepatitis C virus</w:t>
            </w:r>
          </w:p>
        </w:tc>
      </w:tr>
      <w:tr w:rsidR="00C8405D" w:rsidRPr="00892653" w14:paraId="6E75320E"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B98473F"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HLGT</w:t>
            </w:r>
          </w:p>
        </w:tc>
        <w:tc>
          <w:tcPr>
            <w:tcW w:w="6911" w:type="dxa"/>
          </w:tcPr>
          <w:p w14:paraId="5BF2034B"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cs="O¯ø÷◊"/>
                <w:sz w:val="20"/>
                <w:szCs w:val="20"/>
              </w:rPr>
              <w:t>High-level group term</w:t>
            </w:r>
          </w:p>
        </w:tc>
      </w:tr>
      <w:tr w:rsidR="00C8405D" w:rsidRPr="00892653" w14:paraId="3D69CCA6"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10E2CD0" w14:textId="6035AC3A"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HIV</w:t>
            </w:r>
          </w:p>
        </w:tc>
        <w:tc>
          <w:tcPr>
            <w:tcW w:w="6911" w:type="dxa"/>
          </w:tcPr>
          <w:p w14:paraId="37D9E66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Human immunodeficiency virus</w:t>
            </w:r>
          </w:p>
        </w:tc>
      </w:tr>
      <w:tr w:rsidR="00C8405D" w:rsidRPr="00892653" w14:paraId="261107F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EDCC91C" w14:textId="27283612" w:rsidR="00C8405D" w:rsidRPr="00892653" w:rsidRDefault="000F04AF" w:rsidP="00C8405D">
            <w:pPr>
              <w:spacing w:before="80" w:after="80" w:line="240" w:lineRule="auto"/>
              <w:ind w:left="57" w:right="57"/>
              <w:rPr>
                <w:rFonts w:asciiTheme="minorHAnsi" w:eastAsia="Times New Roman" w:hAnsiTheme="minorHAnsi" w:cs="O¯ø÷◊"/>
                <w:sz w:val="20"/>
                <w:szCs w:val="20"/>
              </w:rPr>
            </w:pPr>
            <w:r>
              <w:rPr>
                <w:rFonts w:asciiTheme="minorHAnsi" w:eastAsia="Times New Roman" w:hAnsiTheme="minorHAnsi" w:cs="O¯ø÷◊"/>
                <w:sz w:val="20"/>
                <w:szCs w:val="20"/>
              </w:rPr>
              <w:t>HJHS</w:t>
            </w:r>
          </w:p>
        </w:tc>
        <w:tc>
          <w:tcPr>
            <w:tcW w:w="6911" w:type="dxa"/>
          </w:tcPr>
          <w:p w14:paraId="171BF19E" w14:textId="77777777" w:rsidR="00C8405D" w:rsidRPr="00892653" w:rsidRDefault="00C8405D"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cs="O¯ø÷◊"/>
                <w:sz w:val="20"/>
                <w:szCs w:val="20"/>
              </w:rPr>
              <w:t>Haemophilia joint health score</w:t>
            </w:r>
          </w:p>
        </w:tc>
      </w:tr>
      <w:tr w:rsidR="00C8405D" w:rsidRPr="00892653" w14:paraId="59B5E79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66ACF0A" w14:textId="749DF811" w:rsidR="00C8405D" w:rsidRPr="00892653" w:rsidRDefault="000F04AF" w:rsidP="00C8405D">
            <w:pPr>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IDMC</w:t>
            </w:r>
          </w:p>
        </w:tc>
        <w:tc>
          <w:tcPr>
            <w:tcW w:w="6911" w:type="dxa"/>
          </w:tcPr>
          <w:p w14:paraId="7A95A3B2" w14:textId="77777777" w:rsidR="00C8405D" w:rsidRPr="00892653" w:rsidRDefault="00C8405D"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sidRPr="00892653">
              <w:rPr>
                <w:rFonts w:asciiTheme="minorHAnsi" w:eastAsia="Times New Roman" w:hAnsiTheme="minorHAnsi"/>
                <w:sz w:val="20"/>
                <w:szCs w:val="20"/>
              </w:rPr>
              <w:t>Independent Data Monitoring Committee</w:t>
            </w:r>
          </w:p>
        </w:tc>
      </w:tr>
      <w:tr w:rsidR="00C8405D" w:rsidRPr="00892653" w14:paraId="7BE832F6"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28346EE"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ICH</w:t>
            </w:r>
          </w:p>
        </w:tc>
        <w:tc>
          <w:tcPr>
            <w:tcW w:w="6911" w:type="dxa"/>
          </w:tcPr>
          <w:p w14:paraId="7144EA9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286C70">
              <w:rPr>
                <w:rFonts w:asciiTheme="minorHAnsi" w:eastAsia="Times New Roman" w:hAnsiTheme="minorHAnsi"/>
                <w:sz w:val="20"/>
                <w:szCs w:val="20"/>
              </w:rPr>
              <w:t>International Committee for Harmonization</w:t>
            </w:r>
          </w:p>
        </w:tc>
      </w:tr>
      <w:tr w:rsidR="00C8405D" w:rsidRPr="00892653" w14:paraId="42CDBD5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5F809AC" w14:textId="740E0CFC"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IMP</w:t>
            </w:r>
          </w:p>
        </w:tc>
        <w:tc>
          <w:tcPr>
            <w:tcW w:w="6911" w:type="dxa"/>
          </w:tcPr>
          <w:p w14:paraId="6797BA2A"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Investigational medicinal product</w:t>
            </w:r>
          </w:p>
        </w:tc>
      </w:tr>
      <w:tr w:rsidR="00C8405D" w:rsidRPr="00892653" w14:paraId="029657E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9E4A105" w14:textId="77F9D449"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ITT</w:t>
            </w:r>
          </w:p>
        </w:tc>
        <w:tc>
          <w:tcPr>
            <w:tcW w:w="6911" w:type="dxa"/>
          </w:tcPr>
          <w:p w14:paraId="0302196F"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Intention-to-treat</w:t>
            </w:r>
          </w:p>
        </w:tc>
      </w:tr>
      <w:tr w:rsidR="00C8405D" w:rsidRPr="00892653" w14:paraId="4DD7D0C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5CB7ACBC" w14:textId="513A4DF9"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IU</w:t>
            </w:r>
          </w:p>
        </w:tc>
        <w:tc>
          <w:tcPr>
            <w:tcW w:w="6911" w:type="dxa"/>
          </w:tcPr>
          <w:p w14:paraId="0D6A9B63"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International units</w:t>
            </w:r>
          </w:p>
        </w:tc>
      </w:tr>
      <w:tr w:rsidR="00C8405D" w:rsidRPr="00892653" w14:paraId="5D37C93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B7205E9"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IV</w:t>
            </w:r>
          </w:p>
        </w:tc>
        <w:tc>
          <w:tcPr>
            <w:tcW w:w="6911" w:type="dxa"/>
          </w:tcPr>
          <w:p w14:paraId="1059B9C1"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Intravenous</w:t>
            </w:r>
          </w:p>
        </w:tc>
      </w:tr>
      <w:tr w:rsidR="00C8405D" w:rsidRPr="00892653" w14:paraId="1D7FBBBB"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02E8A2F" w14:textId="3488BCA2"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IVR</w:t>
            </w:r>
          </w:p>
        </w:tc>
        <w:tc>
          <w:tcPr>
            <w:tcW w:w="6911" w:type="dxa"/>
          </w:tcPr>
          <w:p w14:paraId="5478130D"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In vivo recovery</w:t>
            </w:r>
          </w:p>
        </w:tc>
      </w:tr>
      <w:tr w:rsidR="00C8405D" w:rsidRPr="00892653" w14:paraId="5522638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851BEE3" w14:textId="707D349E"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MedDRA</w:t>
            </w:r>
          </w:p>
        </w:tc>
        <w:tc>
          <w:tcPr>
            <w:tcW w:w="6911" w:type="dxa"/>
          </w:tcPr>
          <w:p w14:paraId="0314EF06"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Medical dictionary for regulatory activities</w:t>
            </w:r>
          </w:p>
        </w:tc>
      </w:tr>
      <w:tr w:rsidR="00C8405D" w:rsidRPr="00892653" w14:paraId="4448DA7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3508A7C" w14:textId="741EF1FC"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MRT</w:t>
            </w:r>
          </w:p>
        </w:tc>
        <w:tc>
          <w:tcPr>
            <w:tcW w:w="6911" w:type="dxa"/>
          </w:tcPr>
          <w:p w14:paraId="63DD851F"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Mean residence time</w:t>
            </w:r>
          </w:p>
        </w:tc>
      </w:tr>
      <w:tr w:rsidR="00C8405D" w:rsidRPr="00892653" w14:paraId="12BED818"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9F0F545" w14:textId="59B8FC6E"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N/A</w:t>
            </w:r>
          </w:p>
        </w:tc>
        <w:tc>
          <w:tcPr>
            <w:tcW w:w="6911" w:type="dxa"/>
          </w:tcPr>
          <w:p w14:paraId="6BFE3832"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Not available</w:t>
            </w:r>
          </w:p>
        </w:tc>
      </w:tr>
      <w:tr w:rsidR="00C8405D" w:rsidRPr="00892653" w14:paraId="0B42E3E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E74C2FF" w14:textId="56E97096"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OS</w:t>
            </w:r>
          </w:p>
        </w:tc>
        <w:tc>
          <w:tcPr>
            <w:tcW w:w="6911" w:type="dxa"/>
          </w:tcPr>
          <w:p w14:paraId="206985E8"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One-stage</w:t>
            </w:r>
          </w:p>
        </w:tc>
      </w:tr>
      <w:tr w:rsidR="00C8405D" w:rsidRPr="00892653" w14:paraId="752220CA"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02D1D56" w14:textId="5965EDCD"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PCR</w:t>
            </w:r>
          </w:p>
        </w:tc>
        <w:tc>
          <w:tcPr>
            <w:tcW w:w="6911" w:type="dxa"/>
          </w:tcPr>
          <w:p w14:paraId="7DCB239C"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Polymerase chain reaction</w:t>
            </w:r>
          </w:p>
        </w:tc>
      </w:tr>
      <w:tr w:rsidR="00C8405D" w:rsidRPr="00892653" w14:paraId="5527AEC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950CECF" w14:textId="3784779F"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pdFVIII</w:t>
            </w:r>
          </w:p>
        </w:tc>
        <w:tc>
          <w:tcPr>
            <w:tcW w:w="6911" w:type="dxa"/>
          </w:tcPr>
          <w:p w14:paraId="6C1AA48D"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Plasma-derived coagulation factor VIII</w:t>
            </w:r>
          </w:p>
        </w:tc>
      </w:tr>
      <w:tr w:rsidR="00C8405D" w:rsidRPr="00892653" w14:paraId="618CE09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E6813ED"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PI</w:t>
            </w:r>
          </w:p>
        </w:tc>
        <w:tc>
          <w:tcPr>
            <w:tcW w:w="6911" w:type="dxa"/>
          </w:tcPr>
          <w:p w14:paraId="29D167E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Product Information</w:t>
            </w:r>
          </w:p>
        </w:tc>
      </w:tr>
      <w:tr w:rsidR="00C8405D" w:rsidRPr="00892653" w14:paraId="2AEBA870"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491C7FD" w14:textId="12D0A6D7"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PIP</w:t>
            </w:r>
          </w:p>
        </w:tc>
        <w:tc>
          <w:tcPr>
            <w:tcW w:w="6911" w:type="dxa"/>
          </w:tcPr>
          <w:p w14:paraId="17B236C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Paediatric investigational plan</w:t>
            </w:r>
          </w:p>
        </w:tc>
      </w:tr>
      <w:tr w:rsidR="00C8405D" w:rsidRPr="00892653" w14:paraId="2B6F28B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DA9A31C" w14:textId="4F5ADEF0"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PK</w:t>
            </w:r>
          </w:p>
        </w:tc>
        <w:tc>
          <w:tcPr>
            <w:tcW w:w="6911" w:type="dxa"/>
          </w:tcPr>
          <w:p w14:paraId="5FE33B84"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Pharmacokinetic</w:t>
            </w:r>
          </w:p>
        </w:tc>
      </w:tr>
      <w:tr w:rsidR="00C8405D" w:rsidRPr="00892653" w14:paraId="6BE0183F"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2790429" w14:textId="4380BD06"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PP</w:t>
            </w:r>
          </w:p>
        </w:tc>
        <w:tc>
          <w:tcPr>
            <w:tcW w:w="6911" w:type="dxa"/>
          </w:tcPr>
          <w:p w14:paraId="57A18E62"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Per-protocol</w:t>
            </w:r>
          </w:p>
        </w:tc>
      </w:tr>
      <w:tr w:rsidR="00C8405D" w:rsidRPr="00892653" w14:paraId="03A8CD16"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F0F1024" w14:textId="05B152F2"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PROPH</w:t>
            </w:r>
          </w:p>
        </w:tc>
        <w:tc>
          <w:tcPr>
            <w:tcW w:w="6911" w:type="dxa"/>
          </w:tcPr>
          <w:p w14:paraId="4FEAF43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Study population of patients receiving prophylaxis</w:t>
            </w:r>
            <w:r>
              <w:rPr>
                <w:rFonts w:asciiTheme="minorHAnsi" w:eastAsia="Times New Roman" w:hAnsiTheme="minorHAnsi"/>
                <w:sz w:val="20"/>
                <w:szCs w:val="20"/>
              </w:rPr>
              <w:t xml:space="preserve"> with simoctocog alfa</w:t>
            </w:r>
          </w:p>
        </w:tc>
      </w:tr>
      <w:tr w:rsidR="00C8405D" w:rsidRPr="00892653" w14:paraId="15708A3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DD0814E"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PT</w:t>
            </w:r>
          </w:p>
        </w:tc>
        <w:tc>
          <w:tcPr>
            <w:tcW w:w="6911" w:type="dxa"/>
          </w:tcPr>
          <w:p w14:paraId="42FD9601"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Preferred term</w:t>
            </w:r>
          </w:p>
        </w:tc>
      </w:tr>
      <w:tr w:rsidR="00C8405D" w:rsidRPr="00892653" w14:paraId="2886730F"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19724DDF" w14:textId="4E254417"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PTP</w:t>
            </w:r>
          </w:p>
        </w:tc>
        <w:tc>
          <w:tcPr>
            <w:tcW w:w="6911" w:type="dxa"/>
          </w:tcPr>
          <w:p w14:paraId="51223635"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Previously treated patient</w:t>
            </w:r>
          </w:p>
        </w:tc>
      </w:tr>
      <w:tr w:rsidR="00C8405D" w:rsidRPr="00892653" w14:paraId="1855B40A"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48F8DE31" w14:textId="74C15B37"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PUP</w:t>
            </w:r>
          </w:p>
        </w:tc>
        <w:tc>
          <w:tcPr>
            <w:tcW w:w="6911" w:type="dxa"/>
          </w:tcPr>
          <w:p w14:paraId="0E70CC2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Previously untreated patient</w:t>
            </w:r>
          </w:p>
        </w:tc>
      </w:tr>
      <w:tr w:rsidR="00C8405D" w:rsidRPr="00892653" w14:paraId="0196A02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AE8A75F" w14:textId="66C8BACE"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rFVIII</w:t>
            </w:r>
          </w:p>
        </w:tc>
        <w:tc>
          <w:tcPr>
            <w:tcW w:w="6911" w:type="dxa"/>
          </w:tcPr>
          <w:p w14:paraId="3A69A2C8"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Recombinant coagulation factor VIII</w:t>
            </w:r>
          </w:p>
        </w:tc>
      </w:tr>
      <w:tr w:rsidR="00C8405D" w:rsidRPr="00892653" w14:paraId="155F2C2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A8A0B27" w14:textId="2766456B"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SAE</w:t>
            </w:r>
          </w:p>
        </w:tc>
        <w:tc>
          <w:tcPr>
            <w:tcW w:w="6911" w:type="dxa"/>
          </w:tcPr>
          <w:p w14:paraId="6CDA7FA1"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Serious adverse event</w:t>
            </w:r>
          </w:p>
        </w:tc>
      </w:tr>
      <w:tr w:rsidR="00C8405D" w:rsidRPr="00892653" w14:paraId="1CF7ED47"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F2CA7C1" w14:textId="28D705A5"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SD</w:t>
            </w:r>
          </w:p>
        </w:tc>
        <w:tc>
          <w:tcPr>
            <w:tcW w:w="6911" w:type="dxa"/>
          </w:tcPr>
          <w:p w14:paraId="6F2C9909"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Standard deviation</w:t>
            </w:r>
          </w:p>
        </w:tc>
      </w:tr>
      <w:tr w:rsidR="00C8405D" w:rsidRPr="00892653" w14:paraId="0C8FD2C3"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E566BC5"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sidRPr="00892653">
              <w:rPr>
                <w:rFonts w:asciiTheme="minorHAnsi" w:eastAsia="Times New Roman" w:hAnsiTheme="minorHAnsi"/>
                <w:sz w:val="20"/>
                <w:szCs w:val="20"/>
              </w:rPr>
              <w:t>S</w:t>
            </w:r>
            <w:r>
              <w:rPr>
                <w:rFonts w:asciiTheme="minorHAnsi" w:eastAsia="Times New Roman" w:hAnsiTheme="minorHAnsi"/>
                <w:sz w:val="20"/>
                <w:szCs w:val="20"/>
              </w:rPr>
              <w:t>m</w:t>
            </w:r>
            <w:r w:rsidRPr="00892653">
              <w:rPr>
                <w:rFonts w:asciiTheme="minorHAnsi" w:eastAsia="Times New Roman" w:hAnsiTheme="minorHAnsi"/>
                <w:sz w:val="20"/>
                <w:szCs w:val="20"/>
              </w:rPr>
              <w:t>PC</w:t>
            </w:r>
          </w:p>
        </w:tc>
        <w:tc>
          <w:tcPr>
            <w:tcW w:w="6911" w:type="dxa"/>
          </w:tcPr>
          <w:p w14:paraId="04716080"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Summary of Product Characteristics</w:t>
            </w:r>
          </w:p>
        </w:tc>
      </w:tr>
      <w:tr w:rsidR="00C8405D" w:rsidRPr="00892653" w14:paraId="605B82E7"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4954887"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SMQ</w:t>
            </w:r>
          </w:p>
        </w:tc>
        <w:tc>
          <w:tcPr>
            <w:tcW w:w="6911" w:type="dxa"/>
          </w:tcPr>
          <w:p w14:paraId="6E0C13AB"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Standardised MedDRA queries</w:t>
            </w:r>
          </w:p>
        </w:tc>
      </w:tr>
      <w:tr w:rsidR="00C8405D" w:rsidRPr="00892653" w14:paraId="64823C42"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1B9B475" w14:textId="14529369"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lastRenderedPageBreak/>
              <w:t>SOC</w:t>
            </w:r>
          </w:p>
        </w:tc>
        <w:tc>
          <w:tcPr>
            <w:tcW w:w="6911" w:type="dxa"/>
          </w:tcPr>
          <w:p w14:paraId="3C4CAC7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System organ class</w:t>
            </w:r>
          </w:p>
        </w:tc>
      </w:tr>
      <w:tr w:rsidR="00C8405D" w:rsidRPr="00892653" w14:paraId="070D6651"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734E8BB0" w14:textId="482C6275" w:rsidR="00C8405D" w:rsidRPr="00892653" w:rsidRDefault="000F04AF"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SURG</w:t>
            </w:r>
          </w:p>
        </w:tc>
        <w:tc>
          <w:tcPr>
            <w:tcW w:w="6911" w:type="dxa"/>
          </w:tcPr>
          <w:p w14:paraId="2751C55E"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 xml:space="preserve">Study population of surgeries treated with </w:t>
            </w:r>
            <w:r w:rsidRPr="001C02A6">
              <w:rPr>
                <w:rFonts w:asciiTheme="minorHAnsi" w:eastAsia="Times New Roman" w:hAnsiTheme="minorHAnsi"/>
                <w:sz w:val="20"/>
                <w:szCs w:val="20"/>
              </w:rPr>
              <w:t>simoctocog alfa</w:t>
            </w:r>
          </w:p>
        </w:tc>
      </w:tr>
      <w:tr w:rsidR="00C8405D" w:rsidRPr="00892653" w14:paraId="1C9DE05C"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281AE9A0"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sidRPr="00892653">
              <w:rPr>
                <w:rFonts w:asciiTheme="minorHAnsi" w:eastAsia="Times New Roman" w:hAnsiTheme="minorHAnsi"/>
                <w:sz w:val="20"/>
                <w:szCs w:val="20"/>
              </w:rPr>
              <w:t>T</w:t>
            </w:r>
            <w:r w:rsidRPr="00823757">
              <w:rPr>
                <w:rFonts w:asciiTheme="minorHAnsi" w:eastAsia="Times New Roman" w:hAnsiTheme="minorHAnsi"/>
                <w:sz w:val="20"/>
                <w:szCs w:val="20"/>
                <w:vertAlign w:val="subscript"/>
              </w:rPr>
              <w:t xml:space="preserve">1/2 </w:t>
            </w:r>
          </w:p>
        </w:tc>
        <w:tc>
          <w:tcPr>
            <w:tcW w:w="6911" w:type="dxa"/>
          </w:tcPr>
          <w:p w14:paraId="2B815B72"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Half-life</w:t>
            </w:r>
          </w:p>
        </w:tc>
      </w:tr>
      <w:tr w:rsidR="00C8405D" w:rsidRPr="00892653" w14:paraId="4B87FA1E"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FB4E8E2" w14:textId="77777777"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TGA</w:t>
            </w:r>
          </w:p>
        </w:tc>
        <w:tc>
          <w:tcPr>
            <w:tcW w:w="6911" w:type="dxa"/>
          </w:tcPr>
          <w:p w14:paraId="0A57208A"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Therapeutic Goods Administration</w:t>
            </w:r>
          </w:p>
        </w:tc>
      </w:tr>
      <w:tr w:rsidR="00C8405D" w:rsidRPr="00892653" w14:paraId="6ADBCF5E"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3A931C47" w14:textId="69C9ECD5"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sidRPr="00892653">
              <w:rPr>
                <w:rFonts w:asciiTheme="minorHAnsi" w:eastAsia="Times New Roman" w:hAnsiTheme="minorHAnsi"/>
                <w:sz w:val="20"/>
                <w:szCs w:val="20"/>
              </w:rPr>
              <w:t>T</w:t>
            </w:r>
            <w:r w:rsidRPr="00823757">
              <w:rPr>
                <w:rFonts w:asciiTheme="minorHAnsi" w:eastAsia="Times New Roman" w:hAnsiTheme="minorHAnsi"/>
                <w:sz w:val="20"/>
                <w:szCs w:val="20"/>
                <w:vertAlign w:val="subscript"/>
              </w:rPr>
              <w:t>max</w:t>
            </w:r>
          </w:p>
        </w:tc>
        <w:tc>
          <w:tcPr>
            <w:tcW w:w="6911" w:type="dxa"/>
          </w:tcPr>
          <w:p w14:paraId="38B09F4B"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Time to maximum plasma concentration</w:t>
            </w:r>
          </w:p>
        </w:tc>
      </w:tr>
      <w:tr w:rsidR="00C8405D" w:rsidRPr="00892653" w14:paraId="1F5DC0E8"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0DAF4229" w14:textId="028F886A"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sidRPr="00892653">
              <w:rPr>
                <w:rFonts w:asciiTheme="minorHAnsi" w:eastAsia="Times New Roman" w:hAnsiTheme="minorHAnsi"/>
                <w:sz w:val="20"/>
                <w:szCs w:val="20"/>
              </w:rPr>
              <w:t>V</w:t>
            </w:r>
            <w:r w:rsidRPr="00823757">
              <w:rPr>
                <w:rFonts w:asciiTheme="minorHAnsi" w:eastAsia="Times New Roman" w:hAnsiTheme="minorHAnsi"/>
                <w:sz w:val="20"/>
                <w:szCs w:val="20"/>
                <w:vertAlign w:val="subscript"/>
              </w:rPr>
              <w:t>ss</w:t>
            </w:r>
          </w:p>
        </w:tc>
        <w:tc>
          <w:tcPr>
            <w:tcW w:w="6911" w:type="dxa"/>
          </w:tcPr>
          <w:p w14:paraId="1789DFDC" w14:textId="77777777" w:rsidR="00C8405D" w:rsidRPr="00892653" w:rsidRDefault="00C8405D"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892653">
              <w:rPr>
                <w:rFonts w:asciiTheme="minorHAnsi" w:eastAsia="Times New Roman" w:hAnsiTheme="minorHAnsi"/>
                <w:sz w:val="20"/>
                <w:szCs w:val="20"/>
              </w:rPr>
              <w:t>Volume of distribution at steady state</w:t>
            </w:r>
          </w:p>
        </w:tc>
      </w:tr>
      <w:tr w:rsidR="00C8405D" w:rsidRPr="00892653" w14:paraId="57F4B5AD"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ABE50C8" w14:textId="26170F5A" w:rsidR="00C8405D" w:rsidRPr="00892653" w:rsidRDefault="00C8405D" w:rsidP="00C8405D">
            <w:pPr>
              <w:widowControl w:val="0"/>
              <w:autoSpaceDE w:val="0"/>
              <w:autoSpaceDN w:val="0"/>
              <w:adjustRightInd w:val="0"/>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v</w:t>
            </w:r>
            <w:r w:rsidR="000F04AF">
              <w:rPr>
                <w:rFonts w:asciiTheme="minorHAnsi" w:eastAsia="Times New Roman" w:hAnsiTheme="minorHAnsi"/>
                <w:sz w:val="20"/>
                <w:szCs w:val="20"/>
              </w:rPr>
              <w:t>WD</w:t>
            </w:r>
          </w:p>
        </w:tc>
        <w:tc>
          <w:tcPr>
            <w:tcW w:w="6911" w:type="dxa"/>
          </w:tcPr>
          <w:p w14:paraId="222DF3F5" w14:textId="26E36D88" w:rsidR="00C8405D" w:rsidRPr="00892653" w:rsidRDefault="00586CDA" w:rsidP="00C8405D">
            <w:pPr>
              <w:widowControl w:val="0"/>
              <w:autoSpaceDE w:val="0"/>
              <w:autoSpaceDN w:val="0"/>
              <w:adjustRightInd w:val="0"/>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v</w:t>
            </w:r>
            <w:r w:rsidRPr="00892653">
              <w:rPr>
                <w:rFonts w:asciiTheme="minorHAnsi" w:eastAsia="Times New Roman" w:hAnsiTheme="minorHAnsi"/>
                <w:sz w:val="20"/>
                <w:szCs w:val="20"/>
              </w:rPr>
              <w:t xml:space="preserve">on </w:t>
            </w:r>
            <w:r w:rsidR="00C8405D" w:rsidRPr="00892653">
              <w:rPr>
                <w:rFonts w:asciiTheme="minorHAnsi" w:eastAsia="Times New Roman" w:hAnsiTheme="minorHAnsi"/>
                <w:sz w:val="20"/>
                <w:szCs w:val="20"/>
              </w:rPr>
              <w:t>Willebrand</w:t>
            </w:r>
            <w:r w:rsidR="00C8405D">
              <w:rPr>
                <w:rFonts w:asciiTheme="minorHAnsi" w:eastAsia="Times New Roman" w:hAnsiTheme="minorHAnsi"/>
                <w:sz w:val="20"/>
                <w:szCs w:val="20"/>
              </w:rPr>
              <w:t>’s</w:t>
            </w:r>
            <w:r w:rsidR="00C8405D" w:rsidRPr="00892653">
              <w:rPr>
                <w:rFonts w:asciiTheme="minorHAnsi" w:eastAsia="Times New Roman" w:hAnsiTheme="minorHAnsi"/>
                <w:sz w:val="20"/>
                <w:szCs w:val="20"/>
              </w:rPr>
              <w:t xml:space="preserve"> disease</w:t>
            </w:r>
          </w:p>
        </w:tc>
      </w:tr>
      <w:tr w:rsidR="00C8405D" w:rsidRPr="00892653" w14:paraId="7DAF565B" w14:textId="77777777" w:rsidTr="00C8405D">
        <w:tc>
          <w:tcPr>
            <w:cnfStyle w:val="001000000000" w:firstRow="0" w:lastRow="0" w:firstColumn="1" w:lastColumn="0" w:oddVBand="0" w:evenVBand="0" w:oddHBand="0" w:evenHBand="0" w:firstRowFirstColumn="0" w:firstRowLastColumn="0" w:lastRowFirstColumn="0" w:lastRowLastColumn="0"/>
            <w:tcW w:w="1809" w:type="dxa"/>
          </w:tcPr>
          <w:p w14:paraId="61EA861D" w14:textId="773D9122" w:rsidR="00C8405D" w:rsidRPr="00892653" w:rsidRDefault="00C8405D" w:rsidP="00C8405D">
            <w:pPr>
              <w:spacing w:before="80" w:after="80" w:line="240" w:lineRule="auto"/>
              <w:ind w:left="57" w:right="57"/>
              <w:rPr>
                <w:rFonts w:asciiTheme="minorHAnsi" w:eastAsia="Times New Roman" w:hAnsiTheme="minorHAnsi"/>
                <w:sz w:val="20"/>
                <w:szCs w:val="20"/>
              </w:rPr>
            </w:pPr>
            <w:r>
              <w:rPr>
                <w:rFonts w:asciiTheme="minorHAnsi" w:eastAsia="Times New Roman" w:hAnsiTheme="minorHAnsi"/>
                <w:sz w:val="20"/>
                <w:szCs w:val="20"/>
              </w:rPr>
              <w:t>v</w:t>
            </w:r>
            <w:r w:rsidR="000F04AF">
              <w:rPr>
                <w:rFonts w:asciiTheme="minorHAnsi" w:eastAsia="Times New Roman" w:hAnsiTheme="minorHAnsi"/>
                <w:sz w:val="20"/>
                <w:szCs w:val="20"/>
              </w:rPr>
              <w:t>WF</w:t>
            </w:r>
          </w:p>
        </w:tc>
        <w:tc>
          <w:tcPr>
            <w:tcW w:w="6911" w:type="dxa"/>
          </w:tcPr>
          <w:p w14:paraId="7D27DF52" w14:textId="7DEDC7BB" w:rsidR="00C8405D" w:rsidRPr="00892653" w:rsidRDefault="00586CDA" w:rsidP="00C8405D">
            <w:pPr>
              <w:spacing w:before="80" w:after="80" w:line="240" w:lineRule="auto"/>
              <w:ind w:left="57" w:right="57"/>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O¯ø÷◊"/>
                <w:sz w:val="20"/>
                <w:szCs w:val="20"/>
              </w:rPr>
            </w:pPr>
            <w:r>
              <w:rPr>
                <w:rFonts w:asciiTheme="minorHAnsi" w:eastAsia="Times New Roman" w:hAnsiTheme="minorHAnsi"/>
                <w:sz w:val="20"/>
                <w:szCs w:val="20"/>
              </w:rPr>
              <w:t>v</w:t>
            </w:r>
            <w:r w:rsidRPr="00892653">
              <w:rPr>
                <w:rFonts w:asciiTheme="minorHAnsi" w:eastAsia="Times New Roman" w:hAnsiTheme="minorHAnsi"/>
                <w:sz w:val="20"/>
                <w:szCs w:val="20"/>
              </w:rPr>
              <w:t xml:space="preserve">on </w:t>
            </w:r>
            <w:r w:rsidR="00C8405D" w:rsidRPr="00892653">
              <w:rPr>
                <w:rFonts w:asciiTheme="minorHAnsi" w:eastAsia="Times New Roman" w:hAnsiTheme="minorHAnsi"/>
                <w:sz w:val="20"/>
                <w:szCs w:val="20"/>
              </w:rPr>
              <w:t>Willebrand factor</w:t>
            </w:r>
          </w:p>
        </w:tc>
      </w:tr>
    </w:tbl>
    <w:p w14:paraId="4A90CDC7" w14:textId="77777777" w:rsidR="00C8405D" w:rsidRDefault="00C8405D" w:rsidP="000F04AF">
      <w:bookmarkStart w:id="8" w:name="_Toc351718900"/>
      <w:bookmarkStart w:id="9" w:name="_Toc355338635"/>
    </w:p>
    <w:p w14:paraId="30333AB6" w14:textId="77777777" w:rsidR="00C8405D" w:rsidRDefault="00C8405D">
      <w:pPr>
        <w:spacing w:before="0" w:after="200" w:line="0" w:lineRule="auto"/>
        <w:rPr>
          <w:rFonts w:ascii="Arial" w:eastAsia="Times New Roman" w:hAnsi="Arial"/>
          <w:b/>
          <w:bCs/>
          <w:sz w:val="32"/>
          <w:szCs w:val="26"/>
          <w:lang w:eastAsia="ja-JP"/>
        </w:rPr>
      </w:pPr>
      <w:r>
        <w:br w:type="page"/>
      </w:r>
    </w:p>
    <w:p w14:paraId="386035C7" w14:textId="77777777" w:rsidR="00586F98" w:rsidRPr="00FF204B" w:rsidRDefault="00586F98" w:rsidP="00FF204B">
      <w:pPr>
        <w:pStyle w:val="Heading2"/>
      </w:pPr>
      <w:bookmarkStart w:id="10" w:name="_Toc453765945"/>
      <w:r w:rsidRPr="00FF204B">
        <w:lastRenderedPageBreak/>
        <w:t>Clinical rationale</w:t>
      </w:r>
      <w:bookmarkEnd w:id="10"/>
    </w:p>
    <w:p w14:paraId="055C0DC6" w14:textId="77777777" w:rsidR="000F04AF" w:rsidRDefault="00AE1580" w:rsidP="00AE1580">
      <w:pPr>
        <w:rPr>
          <w:rFonts w:cs="Ä‹Ùøf€"/>
        </w:rPr>
      </w:pPr>
      <w:r w:rsidRPr="004F3B08">
        <w:t xml:space="preserve">The following rationale for the submission to register simoctocog alfa </w:t>
      </w:r>
      <w:r w:rsidRPr="004F3B08">
        <w:rPr>
          <w:rFonts w:cs="Ä‹Ùøf€"/>
        </w:rPr>
        <w:t>was provided in the Clinical Overview and is considered to be acceptable:</w:t>
      </w:r>
    </w:p>
    <w:p w14:paraId="21ED1A48" w14:textId="77777777" w:rsidR="000F04AF" w:rsidRDefault="00AE1580" w:rsidP="00AE1580">
      <w:pPr>
        <w:widowControl w:val="0"/>
        <w:autoSpaceDE w:val="0"/>
        <w:autoSpaceDN w:val="0"/>
        <w:adjustRightInd w:val="0"/>
        <w:rPr>
          <w:rFonts w:asciiTheme="minorHAnsi" w:hAnsiTheme="minorHAnsi" w:cs="œÙøf€"/>
        </w:rPr>
      </w:pPr>
      <w:r w:rsidRPr="00192C5F">
        <w:rPr>
          <w:rFonts w:asciiTheme="minorHAnsi" w:hAnsiTheme="minorHAnsi" w:cs="œÙøf€"/>
        </w:rPr>
        <w:t>Haemophilia A is an inherited sex-linked disorder of blood coagulation in which affected males do not produce functional coagulation FVIII in sufficient quantities to achieve satisfactory haemostasis.</w:t>
      </w:r>
      <w:r w:rsidRPr="00192C5F">
        <w:rPr>
          <w:rFonts w:asciiTheme="minorHAnsi" w:hAnsiTheme="minorHAnsi" w:cs="œÙøf€"/>
          <w:vertAlign w:val="superscript"/>
        </w:rPr>
        <w:t>1,2</w:t>
      </w:r>
      <w:r w:rsidRPr="00192C5F">
        <w:rPr>
          <w:rFonts w:asciiTheme="minorHAnsi" w:hAnsiTheme="minorHAnsi" w:cs="œÙøf€"/>
        </w:rPr>
        <w:t xml:space="preserve"> The incidence of congenital haemophilia A is approximately 1 in 10,000 births. Disease severity is classified according to the level of FVIII activity (% of normal) as mild (&gt;5% to &lt;40%), moderate (1% to 5%) or </w:t>
      </w:r>
      <w:r w:rsidRPr="00FF204B">
        <w:rPr>
          <w:rFonts w:asciiTheme="minorHAnsi" w:hAnsiTheme="minorHAnsi" w:cs="œÙøf€"/>
        </w:rPr>
        <w:t>severe (&lt;1%).</w:t>
      </w:r>
      <w:r w:rsidRPr="00FF204B">
        <w:rPr>
          <w:rFonts w:asciiTheme="minorHAnsi" w:hAnsiTheme="minorHAnsi" w:cs="œÙøf€"/>
          <w:vertAlign w:val="superscript"/>
        </w:rPr>
        <w:t>3</w:t>
      </w:r>
    </w:p>
    <w:p w14:paraId="683897B9" w14:textId="37891B67" w:rsidR="00AE1580" w:rsidRPr="00192C5F" w:rsidRDefault="00AE1580" w:rsidP="00AE1580">
      <w:pPr>
        <w:widowControl w:val="0"/>
        <w:autoSpaceDE w:val="0"/>
        <w:autoSpaceDN w:val="0"/>
        <w:adjustRightInd w:val="0"/>
        <w:rPr>
          <w:rFonts w:asciiTheme="minorHAnsi" w:hAnsiTheme="minorHAnsi" w:cs="œÙøf€"/>
        </w:rPr>
      </w:pPr>
      <w:r w:rsidRPr="00192C5F">
        <w:rPr>
          <w:rFonts w:asciiTheme="minorHAnsi" w:hAnsiTheme="minorHAnsi" w:cs="Ä‹Ùøf€"/>
        </w:rPr>
        <w:t xml:space="preserve">Due to deficiencies in FVIII, patients with haemophilia </w:t>
      </w:r>
      <w:proofErr w:type="gramStart"/>
      <w:r w:rsidRPr="00192C5F">
        <w:rPr>
          <w:rFonts w:asciiTheme="minorHAnsi" w:hAnsiTheme="minorHAnsi" w:cs="Ä‹Ùøf€"/>
        </w:rPr>
        <w:t>A</w:t>
      </w:r>
      <w:proofErr w:type="gramEnd"/>
      <w:r w:rsidRPr="00192C5F">
        <w:rPr>
          <w:rFonts w:asciiTheme="minorHAnsi" w:hAnsiTheme="minorHAnsi" w:cs="Ä‹Ùøf€"/>
        </w:rPr>
        <w:t xml:space="preserve"> are predisposed to recurrent</w:t>
      </w:r>
      <w:r w:rsidRPr="00192C5F">
        <w:rPr>
          <w:rFonts w:asciiTheme="minorHAnsi" w:hAnsiTheme="minorHAnsi" w:cs="œÙøf€"/>
        </w:rPr>
        <w:t xml:space="preserve"> </w:t>
      </w:r>
      <w:r w:rsidRPr="00192C5F">
        <w:rPr>
          <w:rFonts w:asciiTheme="minorHAnsi" w:hAnsiTheme="minorHAnsi" w:cs="Ä‹Ùøf€"/>
        </w:rPr>
        <w:t>bleeding epi</w:t>
      </w:r>
      <w:r>
        <w:rPr>
          <w:rFonts w:asciiTheme="minorHAnsi" w:hAnsiTheme="minorHAnsi" w:cs="Ä‹Ùøf€"/>
        </w:rPr>
        <w:t xml:space="preserve">sodes (BEs). </w:t>
      </w:r>
      <w:r w:rsidRPr="00192C5F">
        <w:rPr>
          <w:rFonts w:asciiTheme="minorHAnsi" w:hAnsiTheme="minorHAnsi" w:cs="Ä‹Ùøf€"/>
        </w:rPr>
        <w:t xml:space="preserve">Most BEs </w:t>
      </w:r>
      <w:proofErr w:type="gramStart"/>
      <w:r w:rsidRPr="00192C5F">
        <w:rPr>
          <w:rFonts w:asciiTheme="minorHAnsi" w:hAnsiTheme="minorHAnsi" w:cs="Ä‹Ùøf€"/>
        </w:rPr>
        <w:t>occur</w:t>
      </w:r>
      <w:proofErr w:type="gramEnd"/>
      <w:r w:rsidRPr="00192C5F">
        <w:rPr>
          <w:rFonts w:asciiTheme="minorHAnsi" w:hAnsiTheme="minorHAnsi" w:cs="Ä‹Ùøf€"/>
        </w:rPr>
        <w:t xml:space="preserve"> in joints and muscles. Without adequate</w:t>
      </w:r>
      <w:r w:rsidRPr="00192C5F">
        <w:rPr>
          <w:rFonts w:asciiTheme="minorHAnsi" w:hAnsiTheme="minorHAnsi" w:cs="œÙøf€"/>
        </w:rPr>
        <w:t xml:space="preserve"> </w:t>
      </w:r>
      <w:r w:rsidRPr="00192C5F">
        <w:rPr>
          <w:rFonts w:asciiTheme="minorHAnsi" w:hAnsiTheme="minorHAnsi" w:cs="Ä‹Ùøf€"/>
        </w:rPr>
        <w:t>treatment these repeated haemarthroses and haematomas lead to long-term sequelae with</w:t>
      </w:r>
      <w:r w:rsidRPr="00192C5F">
        <w:rPr>
          <w:rFonts w:asciiTheme="minorHAnsi" w:hAnsiTheme="minorHAnsi" w:cs="œÙøf€"/>
        </w:rPr>
        <w:t xml:space="preserve"> </w:t>
      </w:r>
      <w:r w:rsidRPr="00192C5F">
        <w:rPr>
          <w:rFonts w:asciiTheme="minorHAnsi" w:hAnsiTheme="minorHAnsi" w:cs="Ä‹Ùøf€"/>
        </w:rPr>
        <w:t xml:space="preserve">severe disability. Other less frequent, </w:t>
      </w:r>
      <w:r>
        <w:rPr>
          <w:rFonts w:asciiTheme="minorHAnsi" w:hAnsiTheme="minorHAnsi" w:cs="Ä‹Ùøf€"/>
        </w:rPr>
        <w:t xml:space="preserve">but more severe bleeding sites </w:t>
      </w:r>
      <w:r w:rsidRPr="00192C5F">
        <w:rPr>
          <w:rFonts w:asciiTheme="minorHAnsi" w:hAnsiTheme="minorHAnsi" w:cs="Ä‹Ùøf€"/>
        </w:rPr>
        <w:t>are the central</w:t>
      </w:r>
      <w:r w:rsidRPr="00192C5F">
        <w:rPr>
          <w:rFonts w:asciiTheme="minorHAnsi" w:hAnsiTheme="minorHAnsi" w:cs="œÙøf€"/>
        </w:rPr>
        <w:t xml:space="preserve"> </w:t>
      </w:r>
      <w:r w:rsidRPr="00192C5F">
        <w:rPr>
          <w:rFonts w:asciiTheme="minorHAnsi" w:hAnsiTheme="minorHAnsi" w:cs="Ä‹Ùøf€"/>
        </w:rPr>
        <w:t>nervous system, the urinary or gastrointestinal tract, eyes and the retro-peritoneum.</w:t>
      </w:r>
      <w:r w:rsidRPr="00192C5F">
        <w:rPr>
          <w:rFonts w:asciiTheme="minorHAnsi" w:hAnsiTheme="minorHAnsi" w:cs="œÙøf€"/>
        </w:rPr>
        <w:t xml:space="preserve"> </w:t>
      </w:r>
      <w:r w:rsidRPr="00192C5F">
        <w:rPr>
          <w:rFonts w:asciiTheme="minorHAnsi" w:hAnsiTheme="minorHAnsi" w:cs="Ä‹Ùøf€"/>
        </w:rPr>
        <w:t xml:space="preserve">Patients with haemophilia </w:t>
      </w:r>
      <w:proofErr w:type="gramStart"/>
      <w:r w:rsidRPr="00192C5F">
        <w:rPr>
          <w:rFonts w:asciiTheme="minorHAnsi" w:hAnsiTheme="minorHAnsi" w:cs="Ä‹Ùøf€"/>
        </w:rPr>
        <w:t>A</w:t>
      </w:r>
      <w:proofErr w:type="gramEnd"/>
      <w:r w:rsidRPr="00192C5F">
        <w:rPr>
          <w:rFonts w:asciiTheme="minorHAnsi" w:hAnsiTheme="minorHAnsi" w:cs="Ä‹Ùøf€"/>
        </w:rPr>
        <w:t xml:space="preserve"> are at high risk of developing major and life-threatening</w:t>
      </w:r>
      <w:r w:rsidRPr="00192C5F">
        <w:rPr>
          <w:rFonts w:asciiTheme="minorHAnsi" w:hAnsiTheme="minorHAnsi" w:cs="œÙøf€"/>
        </w:rPr>
        <w:t xml:space="preserve"> </w:t>
      </w:r>
      <w:r w:rsidRPr="00192C5F">
        <w:rPr>
          <w:rFonts w:asciiTheme="minorHAnsi" w:hAnsiTheme="minorHAnsi" w:cs="Ä‹Ùøf€"/>
        </w:rPr>
        <w:t>bleeds after surgical procedures, even after minor procedures such as tooth extraction.</w:t>
      </w:r>
    </w:p>
    <w:p w14:paraId="5E219289" w14:textId="77777777" w:rsidR="00AE1580" w:rsidRPr="00192C5F" w:rsidRDefault="00AE1580" w:rsidP="00AE1580">
      <w:pPr>
        <w:widowControl w:val="0"/>
        <w:autoSpaceDE w:val="0"/>
        <w:autoSpaceDN w:val="0"/>
        <w:adjustRightInd w:val="0"/>
        <w:rPr>
          <w:rFonts w:asciiTheme="minorHAnsi" w:hAnsiTheme="minorHAnsi" w:cs="œÙøf€"/>
        </w:rPr>
      </w:pPr>
      <w:r w:rsidRPr="00192C5F">
        <w:rPr>
          <w:rFonts w:asciiTheme="minorHAnsi" w:hAnsiTheme="minorHAnsi" w:cs="œÙøf€"/>
        </w:rPr>
        <w:t xml:space="preserve">The development of cryoprecipitate and subsequently FVIII concentrates, obtained by fractionation of human plasma, provided replacement FVIII and greatly improved clinical management and life expectancy of patients with haemophilia A. Concerns about virus transmission have largely been ameliorated by the development of FVIII products using recombinant deoxyribonucleic acid (DNA) technology, and full-length and modified rFVIII products produced in hamster cell lines (Chinese hamster ovary [CHO] cells or baby hamster kidney [BHK] cells) are now </w:t>
      </w:r>
      <w:r w:rsidRPr="00192C5F">
        <w:rPr>
          <w:rFonts w:asciiTheme="minorHAnsi" w:hAnsiTheme="minorHAnsi" w:cs="Ä‹Ùøf€"/>
        </w:rPr>
        <w:t xml:space="preserve">commercially available for clinical use. As the B-domain is dispensable for FVIII coagulation activity, </w:t>
      </w:r>
      <w:r w:rsidR="00C8405D">
        <w:rPr>
          <w:rFonts w:asciiTheme="minorHAnsi" w:hAnsiTheme="minorHAnsi" w:cs="Ä‹Ùøf€"/>
        </w:rPr>
        <w:t xml:space="preserve">B-domain deleted </w:t>
      </w:r>
      <w:r w:rsidRPr="00192C5F">
        <w:rPr>
          <w:rFonts w:asciiTheme="minorHAnsi" w:hAnsiTheme="minorHAnsi" w:cs="Ä‹Ùøf€"/>
        </w:rPr>
        <w:t xml:space="preserve">BDD FVIII products have been used successfully to treat and prevent BEs in haemophilia </w:t>
      </w:r>
      <w:proofErr w:type="gramStart"/>
      <w:r w:rsidRPr="00192C5F">
        <w:rPr>
          <w:rFonts w:asciiTheme="minorHAnsi" w:hAnsiTheme="minorHAnsi" w:cs="Ä‹Ùøf€"/>
        </w:rPr>
        <w:t>A</w:t>
      </w:r>
      <w:proofErr w:type="gramEnd"/>
      <w:r w:rsidRPr="00192C5F">
        <w:rPr>
          <w:rFonts w:asciiTheme="minorHAnsi" w:hAnsiTheme="minorHAnsi" w:cs="Ä‹Ùøf€"/>
        </w:rPr>
        <w:t xml:space="preserve"> patients. Whilst the introduction of rFVIII products was a major advance in the management of haemophilia </w:t>
      </w:r>
      <w:proofErr w:type="gramStart"/>
      <w:r w:rsidRPr="00192C5F">
        <w:rPr>
          <w:rFonts w:asciiTheme="minorHAnsi" w:hAnsiTheme="minorHAnsi" w:cs="Ä‹Ùøf€"/>
        </w:rPr>
        <w:t>A</w:t>
      </w:r>
      <w:proofErr w:type="gramEnd"/>
      <w:r w:rsidRPr="00192C5F">
        <w:rPr>
          <w:rFonts w:asciiTheme="minorHAnsi" w:hAnsiTheme="minorHAnsi" w:cs="Ä‹Ùøf€"/>
        </w:rPr>
        <w:t xml:space="preserve">, inhibitors to FVIII have emerged as the major complication of haemophilia A treatment. </w:t>
      </w:r>
      <w:r w:rsidR="00C8405D">
        <w:rPr>
          <w:rFonts w:asciiTheme="minorHAnsi" w:hAnsiTheme="minorHAnsi" w:cs="Ä‹Ùøf€"/>
        </w:rPr>
        <w:t>Simoctocog alfa</w:t>
      </w:r>
      <w:r>
        <w:rPr>
          <w:rFonts w:asciiTheme="minorHAnsi" w:hAnsiTheme="minorHAnsi" w:cs="Ä‹Ùøf€"/>
        </w:rPr>
        <w:t xml:space="preserve"> </w:t>
      </w:r>
      <w:r w:rsidRPr="00192C5F">
        <w:rPr>
          <w:rFonts w:asciiTheme="minorHAnsi" w:hAnsiTheme="minorHAnsi" w:cs="Ä‹Ùøf€"/>
        </w:rPr>
        <w:t>was developed with the intention to provide a new rFVIII from a human cell line that is potentially less immunogenic</w:t>
      </w:r>
      <w:r w:rsidR="00ED655E">
        <w:rPr>
          <w:rFonts w:asciiTheme="minorHAnsi" w:hAnsiTheme="minorHAnsi" w:cs="Ä‹Ùøf€"/>
        </w:rPr>
        <w:t>.</w:t>
      </w:r>
    </w:p>
    <w:p w14:paraId="48FF750D" w14:textId="77777777" w:rsidR="00586F98" w:rsidRDefault="00586F98" w:rsidP="00FF204B">
      <w:pPr>
        <w:pStyle w:val="Heading2"/>
      </w:pPr>
      <w:bookmarkStart w:id="11" w:name="_Toc453765946"/>
      <w:r w:rsidRPr="00FF204B">
        <w:t>Contents of the clinical dossier</w:t>
      </w:r>
      <w:bookmarkEnd w:id="8"/>
      <w:bookmarkEnd w:id="9"/>
      <w:bookmarkEnd w:id="11"/>
    </w:p>
    <w:p w14:paraId="56CB26D7" w14:textId="39773DF3" w:rsidR="00586CDA" w:rsidRPr="00586CDA" w:rsidRDefault="00586CDA" w:rsidP="00586CDA">
      <w:pPr>
        <w:rPr>
          <w:lang w:eastAsia="ja-JP"/>
        </w:rPr>
      </w:pPr>
      <w:r>
        <w:t>A</w:t>
      </w:r>
      <w:r w:rsidRPr="00523C88">
        <w:t xml:space="preserve">ll trade names of comparator products </w:t>
      </w:r>
      <w:r>
        <w:t xml:space="preserve">have been </w:t>
      </w:r>
      <w:r w:rsidRPr="00523C88">
        <w:t>replaced by general terms</w:t>
      </w:r>
      <w:r>
        <w:t xml:space="preserve"> in this document.</w:t>
      </w:r>
    </w:p>
    <w:p w14:paraId="0B3A410D" w14:textId="77777777" w:rsidR="00586F98" w:rsidRPr="00FF204B" w:rsidRDefault="00586F98" w:rsidP="00FF204B">
      <w:pPr>
        <w:pStyle w:val="Heading3"/>
      </w:pPr>
      <w:bookmarkStart w:id="12" w:name="_Toc453765947"/>
      <w:r w:rsidRPr="00FF204B">
        <w:t>Scope of the clinical dossier</w:t>
      </w:r>
      <w:bookmarkEnd w:id="12"/>
    </w:p>
    <w:p w14:paraId="4550F095" w14:textId="77777777" w:rsidR="000F04AF" w:rsidRDefault="00AE1580" w:rsidP="00AE1580">
      <w:pPr>
        <w:rPr>
          <w:rFonts w:ascii="œÙøf€" w:hAnsi="œÙøf€" w:cs="œÙøf€"/>
          <w:color w:val="000000"/>
        </w:rPr>
      </w:pPr>
      <w:r>
        <w:rPr>
          <w:rFonts w:ascii="œÙøf€" w:hAnsi="œÙøf€" w:cs="œÙøf€"/>
          <w:color w:val="000000"/>
        </w:rPr>
        <w:t>The dossier included a comprehensive data package supporting approval of simoctocog alfa for the treatment of severe haemophilia A in previously treated adults and children aged 2 years and above. There were no clinical data in the submission supporting approval of simoctocog alfa for the treatment of previously treated children aged less than 2 years of age (including newborns). There were no clinical data in the submission supporting approval of simoctocog alfa for the treatment of previously untreated patients with severe haemophilia A.</w:t>
      </w:r>
    </w:p>
    <w:p w14:paraId="6A86C5BE" w14:textId="2BC1E5D3" w:rsidR="000F04AF" w:rsidRDefault="00AE1580" w:rsidP="00AE1580">
      <w:pPr>
        <w:rPr>
          <w:rFonts w:ascii="œÙøf€" w:hAnsi="œÙøf€" w:cs="œÙøf€"/>
          <w:color w:val="000000"/>
        </w:rPr>
      </w:pPr>
      <w:r>
        <w:rPr>
          <w:rFonts w:ascii="œÙøf€" w:hAnsi="œÙøf€" w:cs="œÙøf€"/>
          <w:color w:val="000000"/>
        </w:rPr>
        <w:t>The relevant clinical information provided in t</w:t>
      </w:r>
      <w:r w:rsidR="000F04AF">
        <w:rPr>
          <w:rFonts w:ascii="œÙøf€" w:hAnsi="œÙøf€" w:cs="œÙøf€"/>
          <w:color w:val="000000"/>
        </w:rPr>
        <w:t>he dossier is summarised below:</w:t>
      </w:r>
    </w:p>
    <w:p w14:paraId="3BCEEDBD" w14:textId="77777777" w:rsidR="000F04AF" w:rsidRDefault="00AE1580" w:rsidP="00AE1580">
      <w:pPr>
        <w:pStyle w:val="ListBullet"/>
      </w:pPr>
      <w:r>
        <w:t xml:space="preserve">Five clinical studies each including pharmacokinetic (PK), efficacy and safety data (GENA-01, -03, -08, -09, </w:t>
      </w:r>
      <w:proofErr w:type="gramStart"/>
      <w:r>
        <w:t>-04</w:t>
      </w:r>
      <w:proofErr w:type="gramEnd"/>
      <w:r>
        <w:t>); one of the five studies included data in children aged 2 to 12 years (GENA-03).</w:t>
      </w:r>
    </w:p>
    <w:p w14:paraId="234A6E75" w14:textId="77777777" w:rsidR="000F04AF" w:rsidRDefault="00AE1580" w:rsidP="00AE1580">
      <w:pPr>
        <w:pStyle w:val="ListBullet"/>
      </w:pPr>
      <w:r>
        <w:t>Literature references</w:t>
      </w:r>
    </w:p>
    <w:p w14:paraId="2078BDD1" w14:textId="0C834713" w:rsidR="00AE1580" w:rsidRDefault="00AE1580" w:rsidP="009B59A9">
      <w:pPr>
        <w:pStyle w:val="ListBullet"/>
      </w:pPr>
      <w:r>
        <w:t xml:space="preserve">Clinical Overview; Clinical Summary containing Summary of Biopharmaceutic Studies and Associated Analytical Methods, Summary of Clinical Pharmacology Studies, Summary of </w:t>
      </w:r>
      <w:r>
        <w:lastRenderedPageBreak/>
        <w:t>Clinical Efficacy, Summary of Clinical Safety, Literature References, Synopsis of Individual Studies, and Appendices.</w:t>
      </w:r>
    </w:p>
    <w:p w14:paraId="5316AB67" w14:textId="77777777" w:rsidR="00586F98" w:rsidRPr="007621A0" w:rsidRDefault="00586F98" w:rsidP="007621A0">
      <w:pPr>
        <w:pStyle w:val="Heading3"/>
      </w:pPr>
      <w:bookmarkStart w:id="13" w:name="_Toc453765948"/>
      <w:r w:rsidRPr="007621A0">
        <w:t>Paediatric data</w:t>
      </w:r>
      <w:bookmarkEnd w:id="13"/>
    </w:p>
    <w:p w14:paraId="30CC2B5C" w14:textId="77777777" w:rsidR="000F04AF" w:rsidRDefault="00AE1580" w:rsidP="00AE1580">
      <w:r>
        <w:t xml:space="preserve">The submission included one clinical study (GENA-03) providing PK, efficacy and safety data in 59 previously treated male children between aged 2 to 12 years (29 aged 2-5 years; 30 aged 6-12 years). The submission included a statement concerning the </w:t>
      </w:r>
      <w:r>
        <w:rPr>
          <w:i/>
        </w:rPr>
        <w:t xml:space="preserve">Paediatric </w:t>
      </w:r>
      <w:r w:rsidR="00C8405D">
        <w:rPr>
          <w:i/>
        </w:rPr>
        <w:t>D</w:t>
      </w:r>
      <w:r>
        <w:rPr>
          <w:i/>
        </w:rPr>
        <w:t xml:space="preserve">evelopment </w:t>
      </w:r>
      <w:r w:rsidR="00C8405D">
        <w:rPr>
          <w:i/>
        </w:rPr>
        <w:t>P</w:t>
      </w:r>
      <w:r>
        <w:rPr>
          <w:i/>
        </w:rPr>
        <w:t>rogram</w:t>
      </w:r>
      <w:r w:rsidR="00C8405D">
        <w:rPr>
          <w:i/>
        </w:rPr>
        <w:t>me</w:t>
      </w:r>
      <w:r>
        <w:t>. The statement indicated that the sponsor has an agreed European Paediatric Investigation Plan (PIP) dated 22 February 2013.</w:t>
      </w:r>
    </w:p>
    <w:p w14:paraId="383DFB1F" w14:textId="797C4E13" w:rsidR="00586F98" w:rsidRPr="007621A0" w:rsidRDefault="00586F98" w:rsidP="007621A0">
      <w:pPr>
        <w:pStyle w:val="Heading3"/>
      </w:pPr>
      <w:bookmarkStart w:id="14" w:name="_Toc453765949"/>
      <w:r w:rsidRPr="007621A0">
        <w:t>Good clinical practice</w:t>
      </w:r>
      <w:bookmarkEnd w:id="14"/>
    </w:p>
    <w:p w14:paraId="3CD79380" w14:textId="77777777" w:rsidR="00AE1580" w:rsidRDefault="00AE1580" w:rsidP="00AE1580">
      <w:pPr>
        <w:widowControl w:val="0"/>
        <w:autoSpaceDE w:val="0"/>
        <w:autoSpaceDN w:val="0"/>
        <w:adjustRightInd w:val="0"/>
        <w:rPr>
          <w:rFonts w:ascii="Ä‹Ùøf€" w:hAnsi="Ä‹Ùøf€" w:cs="Ä‹Ùøf€"/>
        </w:rPr>
      </w:pPr>
      <w:r>
        <w:t xml:space="preserve">The sponsor stated that </w:t>
      </w:r>
      <w:r>
        <w:rPr>
          <w:rFonts w:ascii="Ä‹Ùøf€" w:hAnsi="Ä‹Ùøf€" w:cs="Ä‹Ùøf€"/>
        </w:rPr>
        <w:t>all clinical studies with simoctocog alfa were conducted in accordance with the regulations of the International Committee for Harmonization (ICH) on Good Clinical Practice (GCP).</w:t>
      </w:r>
    </w:p>
    <w:p w14:paraId="0753A96A" w14:textId="77777777" w:rsidR="000F04AF" w:rsidRDefault="00586F98" w:rsidP="007621A0">
      <w:pPr>
        <w:pStyle w:val="Heading2"/>
      </w:pPr>
      <w:bookmarkStart w:id="15" w:name="_Toc355338639"/>
      <w:bookmarkStart w:id="16" w:name="_Toc453765950"/>
      <w:r w:rsidRPr="007621A0">
        <w:t>Pharmacokinetics</w:t>
      </w:r>
      <w:bookmarkEnd w:id="15"/>
      <w:bookmarkEnd w:id="16"/>
    </w:p>
    <w:p w14:paraId="4EBCE07E" w14:textId="77777777" w:rsidR="000F04AF" w:rsidRDefault="00AE1580" w:rsidP="007621A0">
      <w:pPr>
        <w:pStyle w:val="Heading3"/>
      </w:pPr>
      <w:bookmarkStart w:id="17" w:name="_Toc266446422"/>
      <w:bookmarkStart w:id="18" w:name="_Toc453765951"/>
      <w:r w:rsidRPr="007621A0">
        <w:t>Studies providing pharmacokinetic data</w:t>
      </w:r>
      <w:bookmarkEnd w:id="17"/>
      <w:bookmarkEnd w:id="18"/>
    </w:p>
    <w:p w14:paraId="2B02BA21" w14:textId="2F96FEE2" w:rsidR="00AE1580" w:rsidRPr="007704D3" w:rsidRDefault="00AE1580" w:rsidP="00AE1580">
      <w:pPr>
        <w:widowControl w:val="0"/>
        <w:autoSpaceDE w:val="0"/>
        <w:autoSpaceDN w:val="0"/>
        <w:adjustRightInd w:val="0"/>
      </w:pPr>
      <w:r w:rsidRPr="007704D3">
        <w:rPr>
          <w:rFonts w:cs="Ä‹Ùøf€"/>
        </w:rPr>
        <w:t xml:space="preserve">FVIII is a normal constituent of human plasma and is predominantly produced in the liver, but also by other tissues such as the kidney, lymph nodes and spleen. FVIII circulates in the plasma non-covalently bound to </w:t>
      </w:r>
      <w:r w:rsidR="00ED655E">
        <w:rPr>
          <w:rFonts w:cs="Ä‹Ùøf€"/>
        </w:rPr>
        <w:t>v</w:t>
      </w:r>
      <w:r w:rsidR="00ED655E" w:rsidRPr="007704D3">
        <w:rPr>
          <w:rFonts w:cs="Ä‹Ùøf€"/>
        </w:rPr>
        <w:t xml:space="preserve">on </w:t>
      </w:r>
      <w:r w:rsidRPr="007704D3">
        <w:rPr>
          <w:rFonts w:cs="Ä‹Ùøf€"/>
        </w:rPr>
        <w:t xml:space="preserve">Willebrand </w:t>
      </w:r>
      <w:r w:rsidR="00ED655E">
        <w:rPr>
          <w:rFonts w:cs="Ä‹Ùøf€"/>
        </w:rPr>
        <w:t>factor</w:t>
      </w:r>
      <w:r w:rsidR="00ED655E" w:rsidRPr="007704D3">
        <w:rPr>
          <w:rFonts w:cs="Ä‹Ùøf€"/>
        </w:rPr>
        <w:t xml:space="preserve"> </w:t>
      </w:r>
      <w:r w:rsidRPr="007704D3">
        <w:rPr>
          <w:rFonts w:cs="Ä‹Ùøf€"/>
        </w:rPr>
        <w:t>(VWF). Each FVIII molecule can bind to a VWF monomer, but the actual r</w:t>
      </w:r>
      <w:r w:rsidR="00CD1AC8">
        <w:rPr>
          <w:rFonts w:cs="Ä‹Ùøf€"/>
        </w:rPr>
        <w:t>atio is 1:5</w:t>
      </w:r>
      <w:r w:rsidR="00CD1AC8" w:rsidRPr="00CD1AC8">
        <w:rPr>
          <w:rFonts w:cs="Ä‹Ùøf€"/>
        </w:rPr>
        <w:t>0</w:t>
      </w:r>
      <w:r w:rsidRPr="00CD1AC8">
        <w:rPr>
          <w:rFonts w:cs="Ä‹Ùøf€"/>
        </w:rPr>
        <w:t>.</w:t>
      </w:r>
      <w:r w:rsidRPr="007704D3">
        <w:rPr>
          <w:rFonts w:cs="Ä‹Ùøf€"/>
        </w:rPr>
        <w:t xml:space="preserve"> The sponsor states that it </w:t>
      </w:r>
      <w:r w:rsidRPr="007704D3">
        <w:t>is commonly acknowledged that appropriate PK data (incremental recovery, half-life [T1/2], area under the concentration curve [AUC], and clearance [CL]) are the most important (surrogate) endpoints for efficacy of a new FVIII product.</w:t>
      </w:r>
      <w:r w:rsidRPr="007704D3">
        <w:rPr>
          <w:vertAlign w:val="superscript"/>
        </w:rPr>
        <w:t>4</w:t>
      </w:r>
    </w:p>
    <w:p w14:paraId="11694D12" w14:textId="77777777" w:rsidR="000F04AF" w:rsidRDefault="00AE1580" w:rsidP="00AE1580">
      <w:pPr>
        <w:widowControl w:val="0"/>
        <w:autoSpaceDE w:val="0"/>
        <w:autoSpaceDN w:val="0"/>
        <w:adjustRightInd w:val="0"/>
        <w:rPr>
          <w:rFonts w:cs="Ä‹Ùøf€"/>
        </w:rPr>
      </w:pPr>
      <w:r w:rsidRPr="007704D3">
        <w:t xml:space="preserve">The primary pharmacokinetic (PK) data </w:t>
      </w:r>
      <w:r w:rsidRPr="007704D3">
        <w:rPr>
          <w:rFonts w:cs="Ä‹Ùøf€"/>
        </w:rPr>
        <w:t xml:space="preserve">were derived from 3 multinational, multicentre </w:t>
      </w:r>
      <w:r>
        <w:t xml:space="preserve">studies, including </w:t>
      </w:r>
      <w:r w:rsidRPr="007704D3">
        <w:rPr>
          <w:rFonts w:cs="Ä‹Ùøf€"/>
        </w:rPr>
        <w:t>GENA-01</w:t>
      </w:r>
      <w:r>
        <w:rPr>
          <w:rFonts w:cs="Ä‹Ùøf€"/>
        </w:rPr>
        <w:t xml:space="preserve"> and GENA-08 </w:t>
      </w:r>
      <w:r>
        <w:t xml:space="preserve">in adults and GENA-03 </w:t>
      </w:r>
      <w:r>
        <w:rPr>
          <w:rFonts w:cs="Ä‹Ùøf€"/>
        </w:rPr>
        <w:t>in children aged 2-12 years. The s</w:t>
      </w:r>
      <w:r w:rsidRPr="007704D3">
        <w:rPr>
          <w:rFonts w:cs="Ä‹Ùøf€"/>
        </w:rPr>
        <w:t>upportive PK data were provided by 2 studies</w:t>
      </w:r>
      <w:r>
        <w:rPr>
          <w:rFonts w:cs="Ä‹Ùøf€"/>
        </w:rPr>
        <w:t xml:space="preserve"> in adults</w:t>
      </w:r>
      <w:r w:rsidRPr="007704D3">
        <w:rPr>
          <w:rFonts w:cs="Ä‹Ùøf€"/>
        </w:rPr>
        <w:t xml:space="preserve">, GENA-09 (a single-centre study undertaken in Russia that enrolled adult patients with severely affected joints and </w:t>
      </w:r>
      <w:r>
        <w:rPr>
          <w:rFonts w:cs="Ä‹Ùøf€"/>
        </w:rPr>
        <w:t xml:space="preserve">high historical bleeding rates) </w:t>
      </w:r>
      <w:r w:rsidRPr="007704D3">
        <w:rPr>
          <w:rFonts w:cs="Ä‹Ùøf€"/>
        </w:rPr>
        <w:t xml:space="preserve">and GENA-04 (an extension study to GENA-09). </w:t>
      </w:r>
      <w:r w:rsidRPr="007704D3">
        <w:t xml:space="preserve">The determination of PK parameters was the primary objective of both GENA-01 and GENA-09. </w:t>
      </w:r>
      <w:r w:rsidRPr="007704D3">
        <w:rPr>
          <w:rFonts w:cs="Ä‹Ùøf€"/>
        </w:rPr>
        <w:t xml:space="preserve">In addition to PK data, all 5 clinical studies included efficacy and safety data. Consequently, data from these 5 studies have been evaluated in the </w:t>
      </w:r>
      <w:r w:rsidRPr="007704D3">
        <w:rPr>
          <w:rFonts w:cs="Ä‹Ùøf€"/>
          <w:i/>
        </w:rPr>
        <w:t>Pharmacokinetics</w:t>
      </w:r>
      <w:r w:rsidRPr="007704D3">
        <w:rPr>
          <w:rFonts w:cs="Ä‹Ùøf€"/>
        </w:rPr>
        <w:t xml:space="preserve">, </w:t>
      </w:r>
      <w:r w:rsidRPr="007704D3">
        <w:rPr>
          <w:rFonts w:cs="Ä‹Ùøf€"/>
          <w:i/>
        </w:rPr>
        <w:t>Efficacy</w:t>
      </w:r>
      <w:r w:rsidRPr="007704D3">
        <w:rPr>
          <w:rFonts w:cs="Ä‹Ùøf€"/>
        </w:rPr>
        <w:t xml:space="preserve">, and </w:t>
      </w:r>
      <w:r w:rsidRPr="007704D3">
        <w:rPr>
          <w:rFonts w:cs="Ä‹Ùøf€"/>
          <w:i/>
        </w:rPr>
        <w:t>Safety Sections</w:t>
      </w:r>
      <w:r w:rsidRPr="007704D3">
        <w:rPr>
          <w:rFonts w:cs="Ä‹Ùøf€"/>
        </w:rPr>
        <w:t xml:space="preserve"> of this CER.</w:t>
      </w:r>
    </w:p>
    <w:p w14:paraId="1480F770" w14:textId="77777777" w:rsidR="000F04AF" w:rsidRDefault="00AE1580" w:rsidP="00AE1580">
      <w:pPr>
        <w:widowControl w:val="0"/>
        <w:autoSpaceDE w:val="0"/>
        <w:autoSpaceDN w:val="0"/>
        <w:adjustRightInd w:val="0"/>
      </w:pPr>
      <w:r>
        <w:t>Three studies (</w:t>
      </w:r>
      <w:r w:rsidRPr="007704D3">
        <w:t>GENA-01, GENA-03 and GENA-09</w:t>
      </w:r>
      <w:r>
        <w:t>)</w:t>
      </w:r>
      <w:r w:rsidRPr="007704D3">
        <w:t xml:space="preserve"> included full analyses of all relevant </w:t>
      </w:r>
      <w:r>
        <w:t>PK parameters. Two of these s</w:t>
      </w:r>
      <w:r w:rsidRPr="007704D3">
        <w:t xml:space="preserve">tudies (GENA-01 and GENA-09) used a randomised cross-over design to compare the PK parameters </w:t>
      </w:r>
      <w:r>
        <w:t xml:space="preserve">of simoctocog alfa </w:t>
      </w:r>
      <w:r w:rsidRPr="007704D3">
        <w:t>with those of</w:t>
      </w:r>
      <w:r w:rsidR="00ED655E">
        <w:t xml:space="preserve"> a</w:t>
      </w:r>
      <w:r w:rsidRPr="007704D3">
        <w:t xml:space="preserve"> full-length rFVIII concentrate. </w:t>
      </w:r>
      <w:r>
        <w:t xml:space="preserve">In addition, GENA-01 </w:t>
      </w:r>
      <w:r w:rsidRPr="007704D3">
        <w:t xml:space="preserve">included </w:t>
      </w:r>
      <w:r>
        <w:t xml:space="preserve">a </w:t>
      </w:r>
      <w:r w:rsidRPr="007704D3">
        <w:t xml:space="preserve">formal bioequivalence </w:t>
      </w:r>
      <w:r>
        <w:t xml:space="preserve">analysis </w:t>
      </w:r>
      <w:r w:rsidRPr="007704D3">
        <w:t xml:space="preserve">comparing </w:t>
      </w:r>
      <w:r>
        <w:t xml:space="preserve">simoctocog alfa </w:t>
      </w:r>
      <w:r w:rsidRPr="007704D3">
        <w:t xml:space="preserve">with </w:t>
      </w:r>
      <w:r w:rsidR="00A95D01">
        <w:t>a full length rFVIII concentrate</w:t>
      </w:r>
      <w:r w:rsidR="00AC06F3">
        <w:t xml:space="preserve"> </w:t>
      </w:r>
      <w:r w:rsidR="00EC2B65">
        <w:t>[information redacted]</w:t>
      </w:r>
      <w:r w:rsidR="00AC06F3">
        <w:t>.</w:t>
      </w:r>
      <w:r w:rsidRPr="007704D3">
        <w:t xml:space="preserve"> </w:t>
      </w:r>
      <w:r>
        <w:t xml:space="preserve">In addition to initial bioequivalence testing and PK analysis, the PKs of simoctocog alfa were also assessed after 6 months treatment for on-demand bleeding in GENA-01 and for prophylaxis and on-demand treatment for breakthrough bleeding in GENA-09. </w:t>
      </w:r>
      <w:r w:rsidRPr="007704D3">
        <w:t>In accordance</w:t>
      </w:r>
      <w:r>
        <w:t xml:space="preserve"> with the EMA </w:t>
      </w:r>
      <w:r w:rsidRPr="007704D3">
        <w:rPr>
          <w:i/>
        </w:rPr>
        <w:t>Guideline on the clinical investigation of recombinant and human plasma-derived factor VIII products (EMEA/CHMP/BPWP/144533/2009)</w:t>
      </w:r>
      <w:r w:rsidRPr="007704D3">
        <w:t xml:space="preserve">, PK parameters in </w:t>
      </w:r>
      <w:r>
        <w:t>the paediatric study (</w:t>
      </w:r>
      <w:r w:rsidRPr="007704D3">
        <w:t>GENA-03</w:t>
      </w:r>
      <w:r>
        <w:t xml:space="preserve">) </w:t>
      </w:r>
      <w:r w:rsidRPr="007704D3">
        <w:t xml:space="preserve">were determined </w:t>
      </w:r>
      <w:r>
        <w:t xml:space="preserve">only </w:t>
      </w:r>
      <w:r w:rsidRPr="007704D3">
        <w:t xml:space="preserve">at </w:t>
      </w:r>
      <w:r>
        <w:t xml:space="preserve">the start of the study, </w:t>
      </w:r>
      <w:r w:rsidRPr="007704D3">
        <w:t xml:space="preserve">first for the previously used FVIII concentrate (pdFVIII or rFVIII) and subsequently for simoctocog alfa. In the remaining two studies, GENA-04 and GENA-08, only </w:t>
      </w:r>
      <w:r w:rsidRPr="007704D3">
        <w:rPr>
          <w:i/>
        </w:rPr>
        <w:t>in vivo</w:t>
      </w:r>
      <w:r w:rsidRPr="007704D3">
        <w:t xml:space="preserve"> recovery (IVR) data were collected. </w:t>
      </w:r>
      <w:r w:rsidRPr="007704D3">
        <w:rPr>
          <w:rFonts w:cs="Ä‹Ùøf€"/>
          <w:color w:val="000000"/>
        </w:rPr>
        <w:t xml:space="preserve">An overview of the studies providing </w:t>
      </w:r>
      <w:r w:rsidRPr="007704D3">
        <w:t xml:space="preserve">PK assessment of </w:t>
      </w:r>
      <w:r>
        <w:t xml:space="preserve">simoctocog alfa </w:t>
      </w:r>
      <w:r w:rsidRPr="007704D3">
        <w:t xml:space="preserve">is provided below in Table </w:t>
      </w:r>
      <w:r>
        <w:t>1</w:t>
      </w:r>
      <w:r w:rsidRPr="007704D3">
        <w:t>.</w:t>
      </w:r>
    </w:p>
    <w:p w14:paraId="5813B1F4" w14:textId="6C012B02" w:rsidR="00967185" w:rsidRPr="00892653" w:rsidRDefault="00967185" w:rsidP="00967185">
      <w:pPr>
        <w:pStyle w:val="Tabletitle"/>
        <w:rPr>
          <w:b w:val="0"/>
        </w:rPr>
      </w:pPr>
      <w:proofErr w:type="gramStart"/>
      <w:r w:rsidRPr="00892653">
        <w:lastRenderedPageBreak/>
        <w:t xml:space="preserve">Table </w:t>
      </w:r>
      <w:r w:rsidR="00A84DFC">
        <w:fldChar w:fldCharType="begin"/>
      </w:r>
      <w:r w:rsidR="00ED655E">
        <w:instrText xml:space="preserve"> SEQ Table \* ARABIC </w:instrText>
      </w:r>
      <w:r w:rsidR="00A84DFC">
        <w:fldChar w:fldCharType="separate"/>
      </w:r>
      <w:r w:rsidR="007553C1">
        <w:rPr>
          <w:noProof/>
        </w:rPr>
        <w:t>1</w:t>
      </w:r>
      <w:r w:rsidR="00A84DFC">
        <w:rPr>
          <w:noProof/>
        </w:rPr>
        <w:fldChar w:fldCharType="end"/>
      </w:r>
      <w:r w:rsidRPr="00892653">
        <w:t>: Overview of studies providing PK</w:t>
      </w:r>
      <w:r>
        <w:t>/IVR</w:t>
      </w:r>
      <w:r w:rsidRPr="00892653">
        <w:t xml:space="preserve"> data for simoctocog alfa</w:t>
      </w:r>
      <w:r w:rsidR="000F04AF">
        <w:t>.</w:t>
      </w:r>
      <w:proofErr w:type="gramEnd"/>
    </w:p>
    <w:tbl>
      <w:tblPr>
        <w:tblStyle w:val="TableTGAblue"/>
        <w:tblW w:w="8931" w:type="dxa"/>
        <w:tblLayout w:type="fixed"/>
        <w:tblLook w:val="04A0" w:firstRow="1" w:lastRow="0" w:firstColumn="1" w:lastColumn="0" w:noHBand="0" w:noVBand="1"/>
      </w:tblPr>
      <w:tblGrid>
        <w:gridCol w:w="1668"/>
        <w:gridCol w:w="1451"/>
        <w:gridCol w:w="1417"/>
        <w:gridCol w:w="1560"/>
        <w:gridCol w:w="1417"/>
        <w:gridCol w:w="1418"/>
      </w:tblGrid>
      <w:tr w:rsidR="00967185" w:rsidRPr="00892653" w14:paraId="13095381" w14:textId="77777777" w:rsidTr="000F0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69EAFD7" w14:textId="77777777" w:rsidR="00967185" w:rsidRPr="0022554B" w:rsidRDefault="00967185" w:rsidP="000F04AF"/>
        </w:tc>
        <w:tc>
          <w:tcPr>
            <w:tcW w:w="1451" w:type="dxa"/>
          </w:tcPr>
          <w:p w14:paraId="10CC888D" w14:textId="26E87BC8" w:rsidR="00967185" w:rsidRPr="0022554B" w:rsidRDefault="00967185" w:rsidP="000F04AF">
            <w:pPr>
              <w:cnfStyle w:val="100000000000" w:firstRow="1" w:lastRow="0" w:firstColumn="0" w:lastColumn="0" w:oddVBand="0" w:evenVBand="0" w:oddHBand="0" w:evenHBand="0" w:firstRowFirstColumn="0" w:firstRowLastColumn="0" w:lastRowFirstColumn="0" w:lastRowLastColumn="0"/>
            </w:pPr>
            <w:r w:rsidRPr="0022554B">
              <w:t>GENA-01</w:t>
            </w:r>
            <w:r w:rsidR="000F04AF">
              <w:t xml:space="preserve"> </w:t>
            </w:r>
            <w:r w:rsidRPr="0022554B">
              <w:t>Pivotal</w:t>
            </w:r>
          </w:p>
        </w:tc>
        <w:tc>
          <w:tcPr>
            <w:tcW w:w="1417" w:type="dxa"/>
          </w:tcPr>
          <w:p w14:paraId="119F3A9B" w14:textId="4677363C" w:rsidR="00967185" w:rsidRPr="0022554B" w:rsidRDefault="00967185" w:rsidP="000F04AF">
            <w:pPr>
              <w:cnfStyle w:val="100000000000" w:firstRow="1" w:lastRow="0" w:firstColumn="0" w:lastColumn="0" w:oddVBand="0" w:evenVBand="0" w:oddHBand="0" w:evenHBand="0" w:firstRowFirstColumn="0" w:firstRowLastColumn="0" w:lastRowFirstColumn="0" w:lastRowLastColumn="0"/>
            </w:pPr>
            <w:r w:rsidRPr="0022554B">
              <w:t>GENA-08</w:t>
            </w:r>
            <w:r w:rsidR="000F04AF">
              <w:t xml:space="preserve"> </w:t>
            </w:r>
            <w:r w:rsidRPr="0022554B">
              <w:t>Pivotal</w:t>
            </w:r>
          </w:p>
        </w:tc>
        <w:tc>
          <w:tcPr>
            <w:tcW w:w="1560" w:type="dxa"/>
          </w:tcPr>
          <w:p w14:paraId="2497F453" w14:textId="50FCD9CF" w:rsidR="00967185" w:rsidRPr="0022554B" w:rsidRDefault="00967185" w:rsidP="000F04AF">
            <w:pPr>
              <w:cnfStyle w:val="100000000000" w:firstRow="1" w:lastRow="0" w:firstColumn="0" w:lastColumn="0" w:oddVBand="0" w:evenVBand="0" w:oddHBand="0" w:evenHBand="0" w:firstRowFirstColumn="0" w:firstRowLastColumn="0" w:lastRowFirstColumn="0" w:lastRowLastColumn="0"/>
            </w:pPr>
            <w:r w:rsidRPr="0022554B">
              <w:t>GENA-03</w:t>
            </w:r>
            <w:r w:rsidR="000F04AF">
              <w:t xml:space="preserve"> </w:t>
            </w:r>
            <w:r w:rsidRPr="0022554B">
              <w:t>Pivotal</w:t>
            </w:r>
          </w:p>
        </w:tc>
        <w:tc>
          <w:tcPr>
            <w:tcW w:w="1417" w:type="dxa"/>
          </w:tcPr>
          <w:p w14:paraId="7484C77A" w14:textId="267A9951" w:rsidR="00967185" w:rsidRPr="0022554B" w:rsidRDefault="00967185" w:rsidP="000F04AF">
            <w:pPr>
              <w:cnfStyle w:val="100000000000" w:firstRow="1" w:lastRow="0" w:firstColumn="0" w:lastColumn="0" w:oddVBand="0" w:evenVBand="0" w:oddHBand="0" w:evenHBand="0" w:firstRowFirstColumn="0" w:firstRowLastColumn="0" w:lastRowFirstColumn="0" w:lastRowLastColumn="0"/>
            </w:pPr>
            <w:r w:rsidRPr="0022554B">
              <w:t>GENA-09</w:t>
            </w:r>
            <w:r w:rsidR="000F04AF">
              <w:t xml:space="preserve"> </w:t>
            </w:r>
            <w:r w:rsidRPr="0022554B">
              <w:t>Supportive</w:t>
            </w:r>
          </w:p>
        </w:tc>
        <w:tc>
          <w:tcPr>
            <w:tcW w:w="1418" w:type="dxa"/>
          </w:tcPr>
          <w:p w14:paraId="24E57D6C" w14:textId="0504D983" w:rsidR="00967185" w:rsidRPr="0022554B" w:rsidRDefault="00967185" w:rsidP="000F04AF">
            <w:pPr>
              <w:cnfStyle w:val="100000000000" w:firstRow="1" w:lastRow="0" w:firstColumn="0" w:lastColumn="0" w:oddVBand="0" w:evenVBand="0" w:oddHBand="0" w:evenHBand="0" w:firstRowFirstColumn="0" w:firstRowLastColumn="0" w:lastRowFirstColumn="0" w:lastRowLastColumn="0"/>
            </w:pPr>
            <w:r w:rsidRPr="0022554B">
              <w:t>GENA-04</w:t>
            </w:r>
            <w:r w:rsidR="000F04AF">
              <w:t xml:space="preserve"> </w:t>
            </w:r>
            <w:r w:rsidRPr="0022554B">
              <w:t>Supportive</w:t>
            </w:r>
          </w:p>
        </w:tc>
      </w:tr>
      <w:tr w:rsidR="00967185" w:rsidRPr="00892653" w14:paraId="47748D14" w14:textId="77777777" w:rsidTr="000F04AF">
        <w:tc>
          <w:tcPr>
            <w:cnfStyle w:val="001000000000" w:firstRow="0" w:lastRow="0" w:firstColumn="1" w:lastColumn="0" w:oddVBand="0" w:evenVBand="0" w:oddHBand="0" w:evenHBand="0" w:firstRowFirstColumn="0" w:firstRowLastColumn="0" w:lastRowFirstColumn="0" w:lastRowLastColumn="0"/>
            <w:tcW w:w="1668" w:type="dxa"/>
          </w:tcPr>
          <w:p w14:paraId="67D54956" w14:textId="77777777" w:rsidR="00967185" w:rsidRPr="0022554B" w:rsidRDefault="00967185" w:rsidP="000F04AF">
            <w:r w:rsidRPr="0022554B">
              <w:t>Patients*</w:t>
            </w:r>
          </w:p>
        </w:tc>
        <w:tc>
          <w:tcPr>
            <w:tcW w:w="1451" w:type="dxa"/>
          </w:tcPr>
          <w:p w14:paraId="7C6B6166" w14:textId="312FE02A"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22 PTPs</w:t>
            </w:r>
            <w:r w:rsidR="000F04AF">
              <w:t xml:space="preserve"> </w:t>
            </w:r>
            <w:r w:rsidRPr="0022554B">
              <w:t>12</w:t>
            </w:r>
            <w:r>
              <w:t>–</w:t>
            </w:r>
            <w:r w:rsidRPr="0022554B">
              <w:t>65 y</w:t>
            </w:r>
            <w:r>
              <w:t>ea</w:t>
            </w:r>
            <w:r w:rsidRPr="0022554B">
              <w:t>rs</w:t>
            </w:r>
          </w:p>
        </w:tc>
        <w:tc>
          <w:tcPr>
            <w:tcW w:w="1417" w:type="dxa"/>
          </w:tcPr>
          <w:p w14:paraId="3E847B3E" w14:textId="14B77870"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32 PTPs 18</w:t>
            </w:r>
            <w:r>
              <w:t>–</w:t>
            </w:r>
            <w:r w:rsidRPr="0022554B">
              <w:t>75 y</w:t>
            </w:r>
            <w:r>
              <w:t>ear</w:t>
            </w:r>
            <w:r w:rsidRPr="0022554B">
              <w:t>s</w:t>
            </w:r>
          </w:p>
        </w:tc>
        <w:tc>
          <w:tcPr>
            <w:tcW w:w="1560" w:type="dxa"/>
          </w:tcPr>
          <w:p w14:paraId="7B78D6A8" w14:textId="0826D9C0"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59 PTPs</w:t>
            </w:r>
            <w:r w:rsidR="000F04AF">
              <w:t xml:space="preserve"> </w:t>
            </w:r>
            <w:r w:rsidRPr="0022554B">
              <w:t>(26 for PK)</w:t>
            </w:r>
            <w:r w:rsidR="000F04AF">
              <w:t xml:space="preserve"> </w:t>
            </w:r>
            <w:r w:rsidRPr="0022554B">
              <w:t>2</w:t>
            </w:r>
            <w:r>
              <w:t>–</w:t>
            </w:r>
            <w:r w:rsidRPr="0022554B">
              <w:t>12 y</w:t>
            </w:r>
            <w:r>
              <w:t>ea</w:t>
            </w:r>
            <w:r w:rsidRPr="0022554B">
              <w:t>rs</w:t>
            </w:r>
          </w:p>
        </w:tc>
        <w:tc>
          <w:tcPr>
            <w:tcW w:w="1417" w:type="dxa"/>
          </w:tcPr>
          <w:p w14:paraId="65CFE2C4" w14:textId="1F2D7D96"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 xml:space="preserve">22 PTPs </w:t>
            </w:r>
            <w:r w:rsidR="000F04AF">
              <w:t xml:space="preserve"> </w:t>
            </w:r>
            <w:r w:rsidRPr="0022554B">
              <w:t>18</w:t>
            </w:r>
            <w:r>
              <w:t>–</w:t>
            </w:r>
            <w:r w:rsidRPr="0022554B">
              <w:t>62 y</w:t>
            </w:r>
            <w:r>
              <w:t>ea</w:t>
            </w:r>
            <w:r w:rsidRPr="0022554B">
              <w:t>rs</w:t>
            </w:r>
          </w:p>
        </w:tc>
        <w:tc>
          <w:tcPr>
            <w:tcW w:w="1418" w:type="dxa"/>
          </w:tcPr>
          <w:p w14:paraId="733B5D3B" w14:textId="2F37A774"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18 PTPs who completed GENA-09</w:t>
            </w:r>
          </w:p>
        </w:tc>
      </w:tr>
      <w:tr w:rsidR="00967185" w:rsidRPr="00892653" w14:paraId="0FC1DB4F" w14:textId="77777777" w:rsidTr="000F04AF">
        <w:tc>
          <w:tcPr>
            <w:cnfStyle w:val="001000000000" w:firstRow="0" w:lastRow="0" w:firstColumn="1" w:lastColumn="0" w:oddVBand="0" w:evenVBand="0" w:oddHBand="0" w:evenHBand="0" w:firstRowFirstColumn="0" w:firstRowLastColumn="0" w:lastRowFirstColumn="0" w:lastRowLastColumn="0"/>
            <w:tcW w:w="1668" w:type="dxa"/>
          </w:tcPr>
          <w:p w14:paraId="5D5520CA" w14:textId="77777777" w:rsidR="00967185" w:rsidRPr="0022554B" w:rsidRDefault="00967185" w:rsidP="000F04AF">
            <w:r w:rsidRPr="0022554B">
              <w:t>PK assessment</w:t>
            </w:r>
            <w:r>
              <w:t xml:space="preserve"> (including IVR)</w:t>
            </w:r>
          </w:p>
        </w:tc>
        <w:tc>
          <w:tcPr>
            <w:tcW w:w="1451" w:type="dxa"/>
          </w:tcPr>
          <w:p w14:paraId="25D7CE22" w14:textId="7A934766" w:rsidR="00967185" w:rsidRPr="00967185" w:rsidRDefault="00967185" w:rsidP="000F04AF">
            <w:pPr>
              <w:cnfStyle w:val="000000000000" w:firstRow="0" w:lastRow="0" w:firstColumn="0" w:lastColumn="0" w:oddVBand="0" w:evenVBand="0" w:oddHBand="0" w:evenHBand="0" w:firstRowFirstColumn="0" w:firstRowLastColumn="0" w:lastRowFirstColumn="0" w:lastRowLastColumn="0"/>
            </w:pPr>
            <w:r w:rsidRPr="00967185">
              <w:t xml:space="preserve">Baseline (comparator: </w:t>
            </w:r>
            <w:r w:rsidR="002B6260">
              <w:t>a full-length rFVIII</w:t>
            </w:r>
            <w:r w:rsidR="00051AEE">
              <w:t xml:space="preserve"> BHK</w:t>
            </w:r>
            <w:r w:rsidRPr="00967185">
              <w:t>)</w:t>
            </w:r>
            <w:r w:rsidRPr="00967185">
              <w:br/>
              <w:t>6 months (only simoctocog alfa)</w:t>
            </w:r>
          </w:p>
        </w:tc>
        <w:tc>
          <w:tcPr>
            <w:tcW w:w="1417" w:type="dxa"/>
          </w:tcPr>
          <w:p w14:paraId="630BC5A4"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t>–</w:t>
            </w:r>
          </w:p>
        </w:tc>
        <w:tc>
          <w:tcPr>
            <w:tcW w:w="1560" w:type="dxa"/>
          </w:tcPr>
          <w:p w14:paraId="55AA15DE"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Baseline†</w:t>
            </w:r>
            <w:r>
              <w:t xml:space="preserve"> (comparator: previous FVIII concentrate)</w:t>
            </w:r>
          </w:p>
        </w:tc>
        <w:tc>
          <w:tcPr>
            <w:tcW w:w="1417" w:type="dxa"/>
          </w:tcPr>
          <w:p w14:paraId="7915D810" w14:textId="7F270B1D"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967185">
              <w:t xml:space="preserve">Baseline (comparator: </w:t>
            </w:r>
            <w:r w:rsidR="002B6260">
              <w:t>a full-length rFVIII</w:t>
            </w:r>
            <w:r w:rsidR="00051AEE">
              <w:t xml:space="preserve"> BHK</w:t>
            </w:r>
            <w:r w:rsidRPr="00967185">
              <w:t>)</w:t>
            </w:r>
            <w:r w:rsidRPr="00967185">
              <w:br/>
              <w:t>6 months (only simoctocog alfa)</w:t>
            </w:r>
          </w:p>
        </w:tc>
        <w:tc>
          <w:tcPr>
            <w:tcW w:w="1418" w:type="dxa"/>
          </w:tcPr>
          <w:p w14:paraId="560EC5A9"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t>–</w:t>
            </w:r>
          </w:p>
        </w:tc>
      </w:tr>
      <w:tr w:rsidR="00967185" w:rsidRPr="00892653" w14:paraId="6C4B797E" w14:textId="77777777" w:rsidTr="000F04AF">
        <w:tc>
          <w:tcPr>
            <w:cnfStyle w:val="001000000000" w:firstRow="0" w:lastRow="0" w:firstColumn="1" w:lastColumn="0" w:oddVBand="0" w:evenVBand="0" w:oddHBand="0" w:evenHBand="0" w:firstRowFirstColumn="0" w:firstRowLastColumn="0" w:lastRowFirstColumn="0" w:lastRowLastColumn="0"/>
            <w:tcW w:w="1668" w:type="dxa"/>
          </w:tcPr>
          <w:p w14:paraId="1B07234B" w14:textId="77777777" w:rsidR="00967185" w:rsidRPr="0022554B" w:rsidRDefault="00967185" w:rsidP="000F04AF">
            <w:r w:rsidRPr="0022554B">
              <w:t>IVR assessment</w:t>
            </w:r>
            <w:r>
              <w:t xml:space="preserve"> only</w:t>
            </w:r>
          </w:p>
        </w:tc>
        <w:tc>
          <w:tcPr>
            <w:tcW w:w="1451" w:type="dxa"/>
          </w:tcPr>
          <w:p w14:paraId="7BE1B38F"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3 months</w:t>
            </w:r>
          </w:p>
        </w:tc>
        <w:tc>
          <w:tcPr>
            <w:tcW w:w="1417" w:type="dxa"/>
          </w:tcPr>
          <w:p w14:paraId="1CB26173"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Baseline</w:t>
            </w:r>
            <w:r w:rsidRPr="0022554B">
              <w:br/>
              <w:t>3 months</w:t>
            </w:r>
            <w:r w:rsidRPr="0022554B">
              <w:br/>
              <w:t>6 months</w:t>
            </w:r>
          </w:p>
        </w:tc>
        <w:tc>
          <w:tcPr>
            <w:tcW w:w="1560" w:type="dxa"/>
          </w:tcPr>
          <w:p w14:paraId="02512CDB"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Baseline</w:t>
            </w:r>
            <w:r>
              <w:t>#</w:t>
            </w:r>
            <w:r w:rsidRPr="0022554B">
              <w:br/>
              <w:t>3 months*</w:t>
            </w:r>
            <w:r w:rsidRPr="0022554B">
              <w:br/>
              <w:t>6 months*</w:t>
            </w:r>
          </w:p>
        </w:tc>
        <w:tc>
          <w:tcPr>
            <w:tcW w:w="1417" w:type="dxa"/>
          </w:tcPr>
          <w:p w14:paraId="7F328A3F"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3 months</w:t>
            </w:r>
          </w:p>
        </w:tc>
        <w:tc>
          <w:tcPr>
            <w:tcW w:w="1418" w:type="dxa"/>
          </w:tcPr>
          <w:p w14:paraId="50EE9809" w14:textId="327A2D8A"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3 months</w:t>
            </w:r>
            <w:r>
              <w:t xml:space="preserve"> and then</w:t>
            </w:r>
            <w:r w:rsidR="000F04AF">
              <w:t xml:space="preserve"> </w:t>
            </w:r>
            <w:r w:rsidRPr="0022554B">
              <w:t>3</w:t>
            </w:r>
            <w:r>
              <w:t>-</w:t>
            </w:r>
            <w:r w:rsidRPr="0022554B">
              <w:t>monthly until study end</w:t>
            </w:r>
          </w:p>
        </w:tc>
      </w:tr>
      <w:tr w:rsidR="00967185" w:rsidRPr="00892653" w14:paraId="57023BA4" w14:textId="77777777" w:rsidTr="000F04AF">
        <w:tc>
          <w:tcPr>
            <w:cnfStyle w:val="001000000000" w:firstRow="0" w:lastRow="0" w:firstColumn="1" w:lastColumn="0" w:oddVBand="0" w:evenVBand="0" w:oddHBand="0" w:evenHBand="0" w:firstRowFirstColumn="0" w:firstRowLastColumn="0" w:lastRowFirstColumn="0" w:lastRowLastColumn="0"/>
            <w:tcW w:w="1668" w:type="dxa"/>
          </w:tcPr>
          <w:p w14:paraId="2680CA04" w14:textId="77777777" w:rsidR="00967185" w:rsidRPr="0022554B" w:rsidRDefault="00967185" w:rsidP="000F04AF">
            <w:r w:rsidRPr="0022554B">
              <w:t>Immunogenicity</w:t>
            </w:r>
          </w:p>
        </w:tc>
        <w:tc>
          <w:tcPr>
            <w:tcW w:w="1451" w:type="dxa"/>
          </w:tcPr>
          <w:p w14:paraId="35D2BD04"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7" w:type="dxa"/>
          </w:tcPr>
          <w:p w14:paraId="70AA19D1"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560" w:type="dxa"/>
          </w:tcPr>
          <w:p w14:paraId="48AD5F2F"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7" w:type="dxa"/>
          </w:tcPr>
          <w:p w14:paraId="3E297C72"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8" w:type="dxa"/>
          </w:tcPr>
          <w:p w14:paraId="5897EA3E"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r>
      <w:tr w:rsidR="00967185" w:rsidRPr="00892653" w14:paraId="7FD7DC32" w14:textId="77777777" w:rsidTr="000F04AF">
        <w:tc>
          <w:tcPr>
            <w:cnfStyle w:val="001000000000" w:firstRow="0" w:lastRow="0" w:firstColumn="1" w:lastColumn="0" w:oddVBand="0" w:evenVBand="0" w:oddHBand="0" w:evenHBand="0" w:firstRowFirstColumn="0" w:firstRowLastColumn="0" w:lastRowFirstColumn="0" w:lastRowLastColumn="0"/>
            <w:tcW w:w="1668" w:type="dxa"/>
          </w:tcPr>
          <w:p w14:paraId="0BB6EABB" w14:textId="77777777" w:rsidR="00967185" w:rsidRPr="0022554B" w:rsidRDefault="00967185" w:rsidP="000F04AF">
            <w:r w:rsidRPr="0022554B">
              <w:t>Efficacy</w:t>
            </w:r>
          </w:p>
        </w:tc>
        <w:tc>
          <w:tcPr>
            <w:tcW w:w="1451" w:type="dxa"/>
          </w:tcPr>
          <w:p w14:paraId="0357CDD9"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7" w:type="dxa"/>
          </w:tcPr>
          <w:p w14:paraId="5A809D00"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560" w:type="dxa"/>
          </w:tcPr>
          <w:p w14:paraId="1313F86C"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7" w:type="dxa"/>
          </w:tcPr>
          <w:p w14:paraId="002DFE89"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c>
          <w:tcPr>
            <w:tcW w:w="1418" w:type="dxa"/>
          </w:tcPr>
          <w:p w14:paraId="7F8A8331" w14:textId="77777777" w:rsidR="00967185" w:rsidRPr="0022554B" w:rsidRDefault="00967185" w:rsidP="000F04AF">
            <w:pPr>
              <w:cnfStyle w:val="000000000000" w:firstRow="0" w:lastRow="0" w:firstColumn="0" w:lastColumn="0" w:oddVBand="0" w:evenVBand="0" w:oddHBand="0" w:evenHBand="0" w:firstRowFirstColumn="0" w:firstRowLastColumn="0" w:lastRowFirstColumn="0" w:lastRowLastColumn="0"/>
            </w:pPr>
            <w:r w:rsidRPr="0022554B">
              <w:t>Yes</w:t>
            </w:r>
          </w:p>
        </w:tc>
      </w:tr>
    </w:tbl>
    <w:p w14:paraId="172759E3" w14:textId="77777777" w:rsidR="00967185" w:rsidRPr="00343959" w:rsidRDefault="00967185" w:rsidP="000F04AF">
      <w:pPr>
        <w:pStyle w:val="TableDescription"/>
      </w:pPr>
      <w:r>
        <w:t>* All patients;</w:t>
      </w:r>
      <w:r w:rsidRPr="00343959">
        <w:t xml:space="preserve"> </w:t>
      </w:r>
      <w:r>
        <w:t xml:space="preserve"># </w:t>
      </w:r>
      <w:r w:rsidRPr="00343959">
        <w:t xml:space="preserve">Patients </w:t>
      </w:r>
      <w:r>
        <w:t xml:space="preserve">not </w:t>
      </w:r>
      <w:r w:rsidRPr="00343959">
        <w:t>participati</w:t>
      </w:r>
      <w:r>
        <w:t>ng in the PK phase of the study.</w:t>
      </w:r>
      <w:r w:rsidRPr="00343959">
        <w:br/>
        <w:t>AUC = area under the curve; AUC</w:t>
      </w:r>
      <w:r w:rsidRPr="00343959">
        <w:rPr>
          <w:vertAlign w:val="subscript"/>
        </w:rPr>
        <w:t>norm</w:t>
      </w:r>
      <w:r w:rsidRPr="00343959">
        <w:t xml:space="preserve"> = area under the curve normalised to the dose administered; CL = clearance; C</w:t>
      </w:r>
      <w:r w:rsidRPr="00343959">
        <w:rPr>
          <w:vertAlign w:val="subscript"/>
        </w:rPr>
        <w:t xml:space="preserve">max </w:t>
      </w:r>
      <w:r w:rsidRPr="00343959">
        <w:t>= maximum plasma concentration; C</w:t>
      </w:r>
      <w:r w:rsidRPr="00343959">
        <w:rPr>
          <w:vertAlign w:val="subscript"/>
        </w:rPr>
        <w:t>max.norm</w:t>
      </w:r>
      <w:r w:rsidRPr="00343959">
        <w:t xml:space="preserve"> = maximum plasma concentration normalised to the dose administered; IVR = in vivo recovery; MRT = mean residence time; PK = pharmacokinetic; PTP = previously treated patient; T</w:t>
      </w:r>
      <w:r w:rsidRPr="00343959">
        <w:rPr>
          <w:vertAlign w:val="subscript"/>
        </w:rPr>
        <w:t>1/2</w:t>
      </w:r>
      <w:r w:rsidRPr="00343959">
        <w:t xml:space="preserve"> = half-life; T</w:t>
      </w:r>
      <w:r w:rsidRPr="00343959">
        <w:rPr>
          <w:vertAlign w:val="subscript"/>
        </w:rPr>
        <w:t>max</w:t>
      </w:r>
      <w:r w:rsidRPr="00343959">
        <w:t xml:space="preserve"> = time to maximum plasma concentration; V</w:t>
      </w:r>
      <w:r w:rsidRPr="00343959">
        <w:rPr>
          <w:vertAlign w:val="subscript"/>
        </w:rPr>
        <w:t>ss</w:t>
      </w:r>
      <w:r w:rsidRPr="00343959">
        <w:t xml:space="preserve"> = volume of distribution at steady state.</w:t>
      </w:r>
    </w:p>
    <w:p w14:paraId="5BB00658" w14:textId="77777777" w:rsidR="00AE1580" w:rsidRPr="00FF14A2" w:rsidRDefault="00AE1580" w:rsidP="009B59A9">
      <w:pPr>
        <w:pStyle w:val="Heading3"/>
      </w:pPr>
      <w:bookmarkStart w:id="19" w:name="_Toc266446423"/>
      <w:bookmarkStart w:id="20" w:name="_Toc453765952"/>
      <w:r>
        <w:t>Summary of pharmacokinetics</w:t>
      </w:r>
      <w:bookmarkEnd w:id="19"/>
      <w:bookmarkEnd w:id="20"/>
    </w:p>
    <w:p w14:paraId="0AF0569B" w14:textId="77777777" w:rsidR="00AE1580" w:rsidRDefault="00AE1580" w:rsidP="009B59A9">
      <w:pPr>
        <w:pStyle w:val="Heading4"/>
      </w:pPr>
      <w:bookmarkStart w:id="21" w:name="_Toc266446424"/>
      <w:r>
        <w:t>Physicochemical characteristics of the active substances</w:t>
      </w:r>
      <w:bookmarkEnd w:id="21"/>
    </w:p>
    <w:p w14:paraId="71F5A814" w14:textId="77777777" w:rsidR="000F04AF" w:rsidRDefault="00AE1580" w:rsidP="00AE1580">
      <w:pPr>
        <w:widowControl w:val="0"/>
        <w:autoSpaceDE w:val="0"/>
        <w:autoSpaceDN w:val="0"/>
        <w:adjustRightInd w:val="0"/>
      </w:pPr>
      <w:r>
        <w:t xml:space="preserve">The following information has been summarised </w:t>
      </w:r>
      <w:r w:rsidRPr="00EC2B65">
        <w:t xml:space="preserve">from </w:t>
      </w:r>
      <w:r w:rsidR="00EC2B65" w:rsidRPr="00EC2B65">
        <w:t xml:space="preserve">the sponsor’s </w:t>
      </w:r>
      <w:r w:rsidRPr="00EC2B65">
        <w:t>Clinical Overview:</w:t>
      </w:r>
    </w:p>
    <w:p w14:paraId="7F213276" w14:textId="32A152E3" w:rsidR="00AE1580" w:rsidRDefault="00C8405D" w:rsidP="00EC2B65">
      <w:pPr>
        <w:widowControl w:val="0"/>
        <w:autoSpaceDE w:val="0"/>
        <w:autoSpaceDN w:val="0"/>
        <w:adjustRightInd w:val="0"/>
        <w:ind w:left="113"/>
        <w:rPr>
          <w:rFonts w:asciiTheme="minorHAnsi" w:hAnsiTheme="minorHAnsi" w:cs="Ä¨˙ø¶’"/>
        </w:rPr>
      </w:pPr>
      <w:r>
        <w:rPr>
          <w:rFonts w:asciiTheme="minorHAnsi" w:hAnsiTheme="minorHAnsi" w:cs="Ä¨˙ø¶’"/>
        </w:rPr>
        <w:lastRenderedPageBreak/>
        <w:t>Simoctocog alfa</w:t>
      </w:r>
      <w:r w:rsidR="00AE1580" w:rsidRPr="00477902">
        <w:rPr>
          <w:rFonts w:asciiTheme="minorHAnsi" w:hAnsiTheme="minorHAnsi" w:cs="Ä¨˙ø¶’"/>
        </w:rPr>
        <w:t xml:space="preserve"> is a B-domain-deleted (BDD) fully-sulphated glycoprotein with complex-, hybrid- and high mannose-type glycosylation present at the same sites as in native human pdFVIII. The types of </w:t>
      </w:r>
      <w:r w:rsidR="00AE1580" w:rsidRPr="00477902">
        <w:rPr>
          <w:rFonts w:asciiTheme="minorHAnsi" w:hAnsiTheme="minorHAnsi" w:cs="Ä¨˙ø¶’"/>
          <w:i/>
        </w:rPr>
        <w:t>N</w:t>
      </w:r>
      <w:r w:rsidR="00AE1580" w:rsidRPr="00477902">
        <w:rPr>
          <w:rFonts w:asciiTheme="minorHAnsi" w:hAnsiTheme="minorHAnsi" w:cs="Ä¨˙ø¶’"/>
        </w:rPr>
        <w:t xml:space="preserve">-glycans at the respective </w:t>
      </w:r>
      <w:r w:rsidR="00AE1580" w:rsidRPr="00477902">
        <w:rPr>
          <w:rFonts w:asciiTheme="minorHAnsi" w:hAnsiTheme="minorHAnsi" w:cs="Ä¨˙ø¶’"/>
          <w:i/>
        </w:rPr>
        <w:t>N</w:t>
      </w:r>
      <w:r w:rsidR="00AE1580" w:rsidRPr="00477902">
        <w:rPr>
          <w:rFonts w:asciiTheme="minorHAnsi" w:hAnsiTheme="minorHAnsi" w:cs="Ä¨˙ø¶’"/>
        </w:rPr>
        <w:t xml:space="preserve">-glycosylation sites for </w:t>
      </w:r>
      <w:r w:rsidR="00AE1580">
        <w:rPr>
          <w:rFonts w:asciiTheme="minorHAnsi" w:hAnsiTheme="minorHAnsi" w:cs="Ä¨˙ø¶’"/>
        </w:rPr>
        <w:t xml:space="preserve">simoctocog alfa </w:t>
      </w:r>
      <w:r w:rsidR="00AE1580" w:rsidRPr="00477902">
        <w:rPr>
          <w:rFonts w:asciiTheme="minorHAnsi" w:hAnsiTheme="minorHAnsi" w:cs="Ä¨˙ø¶’"/>
        </w:rPr>
        <w:t xml:space="preserve">are identical to those found in pdFVIII. The oligosaccharide structures are highly similar with mainly small, quantitative differences of certain glycosylation features. In functional studies, </w:t>
      </w:r>
      <w:r w:rsidR="00AE1580">
        <w:rPr>
          <w:rFonts w:asciiTheme="minorHAnsi" w:hAnsiTheme="minorHAnsi" w:cs="Ä¨˙ø¶’"/>
        </w:rPr>
        <w:t xml:space="preserve">simoctocog alfa </w:t>
      </w:r>
      <w:r w:rsidR="00AE1580" w:rsidRPr="00477902">
        <w:rPr>
          <w:rFonts w:asciiTheme="minorHAnsi" w:hAnsiTheme="minorHAnsi" w:cs="Ä¨˙ø¶’"/>
        </w:rPr>
        <w:t xml:space="preserve">was shown to have high specific FVIII activity and characteristics similar to full-length rFVIII products and exhibited physiological thrombin generation, a normal rate of inactivation by activated protein C and high binding capacity with VWF. Expression in a human cell line avoids the potential for incorporation of non-human glycan epitopes, such as the carbohydrate epitopes </w:t>
      </w:r>
      <w:r w:rsidR="002B6260">
        <w:rPr>
          <w:rFonts w:asciiTheme="minorHAnsi" w:hAnsiTheme="minorHAnsi" w:cs="Ä¨˙ø¶’"/>
        </w:rPr>
        <w:t>α</w:t>
      </w:r>
      <w:r w:rsidR="00AE1580" w:rsidRPr="00477902">
        <w:rPr>
          <w:rFonts w:asciiTheme="minorHAnsi" w:hAnsiTheme="minorHAnsi" w:cs="Ä¨˙ø¶’"/>
        </w:rPr>
        <w:t>-Gal and Neu5Gc, which have been shown to be immunogenic. The human-like glycosylation pattern with the absence of immunogenic epitopes seen in rFVIII products produced from hamster cells may provide a less immunogenic product.</w:t>
      </w:r>
    </w:p>
    <w:p w14:paraId="7A560A84" w14:textId="77777777" w:rsidR="000F04AF" w:rsidRDefault="00AE1580" w:rsidP="00582987">
      <w:pPr>
        <w:pStyle w:val="Heading3"/>
      </w:pPr>
      <w:bookmarkStart w:id="22" w:name="_Toc266446425"/>
      <w:bookmarkStart w:id="23" w:name="_Toc453765953"/>
      <w:r w:rsidRPr="00582987">
        <w:t>Assessment of FVIII</w:t>
      </w:r>
      <w:proofErr w:type="gramStart"/>
      <w:r w:rsidRPr="00582987">
        <w:t>:C</w:t>
      </w:r>
      <w:proofErr w:type="gramEnd"/>
      <w:r w:rsidRPr="00582987">
        <w:t xml:space="preserve"> plasma levels and determination of PK parameters</w:t>
      </w:r>
      <w:bookmarkEnd w:id="22"/>
      <w:bookmarkEnd w:id="23"/>
    </w:p>
    <w:p w14:paraId="5BC0DC1B" w14:textId="77777777" w:rsidR="000F04AF" w:rsidRDefault="00AE1580" w:rsidP="00AE1580">
      <w:pPr>
        <w:widowControl w:val="0"/>
        <w:autoSpaceDE w:val="0"/>
        <w:autoSpaceDN w:val="0"/>
        <w:adjustRightInd w:val="0"/>
        <w:rPr>
          <w:rFonts w:eastAsia="Times New Roman"/>
          <w:lang w:eastAsia="en-AU"/>
        </w:rPr>
      </w:pPr>
      <w:r w:rsidRPr="00481542">
        <w:rPr>
          <w:rFonts w:eastAsia="Times New Roman"/>
          <w:lang w:eastAsia="en-AU"/>
        </w:rPr>
        <w:t xml:space="preserve">In all studies, </w:t>
      </w:r>
      <w:r>
        <w:rPr>
          <w:rFonts w:eastAsia="Times New Roman"/>
          <w:lang w:eastAsia="en-AU"/>
        </w:rPr>
        <w:t xml:space="preserve">PK assessments for simoctocog alfa were undertaken following a </w:t>
      </w:r>
      <w:r w:rsidRPr="00481542">
        <w:rPr>
          <w:rFonts w:eastAsia="Times New Roman"/>
          <w:lang w:eastAsia="en-AU"/>
        </w:rPr>
        <w:t>dose of 50 IU FVIII/kg ac</w:t>
      </w:r>
      <w:r>
        <w:rPr>
          <w:rFonts w:eastAsia="Times New Roman"/>
          <w:lang w:eastAsia="en-AU"/>
        </w:rPr>
        <w:t xml:space="preserve">cording to the labelled potency, but the PK parameters were calculated using actual potency determined a central laboratory located in the USA. </w:t>
      </w:r>
      <w:r>
        <w:t>F</w:t>
      </w:r>
      <w:r w:rsidRPr="009A7493">
        <w:t>VI</w:t>
      </w:r>
      <w:r>
        <w:t>II coagulant activity (</w:t>
      </w:r>
      <w:r w:rsidRPr="00481542">
        <w:rPr>
          <w:rFonts w:eastAsia="Times New Roman"/>
          <w:lang w:eastAsia="en-AU"/>
        </w:rPr>
        <w:t>FVIII</w:t>
      </w:r>
      <w:proofErr w:type="gramStart"/>
      <w:r w:rsidRPr="00481542">
        <w:rPr>
          <w:rFonts w:eastAsia="Times New Roman"/>
          <w:lang w:eastAsia="en-AU"/>
        </w:rPr>
        <w:t>:C</w:t>
      </w:r>
      <w:proofErr w:type="gramEnd"/>
      <w:r>
        <w:rPr>
          <w:rFonts w:eastAsia="Times New Roman"/>
          <w:lang w:eastAsia="en-AU"/>
        </w:rPr>
        <w:t>)</w:t>
      </w:r>
      <w:r w:rsidRPr="00481542">
        <w:rPr>
          <w:rFonts w:eastAsia="Times New Roman"/>
          <w:lang w:eastAsia="en-AU"/>
        </w:rPr>
        <w:t xml:space="preserve"> </w:t>
      </w:r>
      <w:r>
        <w:rPr>
          <w:rFonts w:eastAsia="Times New Roman"/>
          <w:lang w:eastAsia="en-AU"/>
        </w:rPr>
        <w:t xml:space="preserve">in </w:t>
      </w:r>
      <w:r w:rsidRPr="00481542">
        <w:rPr>
          <w:rFonts w:eastAsia="Times New Roman"/>
          <w:lang w:eastAsia="en-AU"/>
        </w:rPr>
        <w:t xml:space="preserve">plasma </w:t>
      </w:r>
      <w:r>
        <w:rPr>
          <w:rFonts w:eastAsia="Times New Roman"/>
          <w:lang w:eastAsia="en-AU"/>
        </w:rPr>
        <w:t xml:space="preserve">was </w:t>
      </w:r>
      <w:r w:rsidRPr="00481542">
        <w:rPr>
          <w:rFonts w:eastAsia="Times New Roman"/>
          <w:lang w:eastAsia="en-AU"/>
        </w:rPr>
        <w:t>determined both by the chromogenic (CHR) and one-stage (OS) assays by the same central laboratory</w:t>
      </w:r>
      <w:r>
        <w:rPr>
          <w:rFonts w:eastAsia="Times New Roman"/>
          <w:lang w:eastAsia="en-AU"/>
        </w:rPr>
        <w:t xml:space="preserve"> for all studies. It was stated that the central laboratory established acceptable intra- and inter-assay precision for both assays.</w:t>
      </w:r>
    </w:p>
    <w:p w14:paraId="050B28DE" w14:textId="77777777" w:rsidR="000F04AF" w:rsidRDefault="00AE1580" w:rsidP="00AE1580">
      <w:pPr>
        <w:widowControl w:val="0"/>
        <w:autoSpaceDE w:val="0"/>
        <w:autoSpaceDN w:val="0"/>
        <w:adjustRightInd w:val="0"/>
      </w:pPr>
      <w:r w:rsidRPr="00481542">
        <w:t xml:space="preserve">The PK parameters were calculated using standard non-compartmental analysis (NCA) with standard PK software packages. The </w:t>
      </w:r>
      <w:r>
        <w:t>provided</w:t>
      </w:r>
      <w:r w:rsidRPr="00481542">
        <w:t xml:space="preserve"> PK parameters were consistent with those outlined in the relevant TG</w:t>
      </w:r>
      <w:r>
        <w:t xml:space="preserve">A adopted EU guidance document. </w:t>
      </w:r>
      <w:r w:rsidRPr="00481542">
        <w:t xml:space="preserve">The tabulated summary </w:t>
      </w:r>
      <w:r>
        <w:t>is</w:t>
      </w:r>
      <w:r w:rsidRPr="00481542">
        <w:t xml:space="preserve"> from GENA-03, but is applicable to all studies with PK data included in the submission.</w:t>
      </w:r>
    </w:p>
    <w:p w14:paraId="55AE9684" w14:textId="77777777" w:rsidR="000F04AF" w:rsidRDefault="00AE1580" w:rsidP="00E31D73">
      <w:pPr>
        <w:pStyle w:val="Heading3"/>
      </w:pPr>
      <w:bookmarkStart w:id="24" w:name="_Toc266446426"/>
      <w:bookmarkStart w:id="25" w:name="_Toc453765954"/>
      <w:r w:rsidRPr="00E31D73">
        <w:t>Primary pharmacokinetics studies in patients with haemophilia A</w:t>
      </w:r>
      <w:bookmarkEnd w:id="24"/>
      <w:bookmarkEnd w:id="25"/>
    </w:p>
    <w:p w14:paraId="625EA4AF" w14:textId="77777777" w:rsidR="000F04AF" w:rsidRDefault="00AE1580" w:rsidP="00E31D73">
      <w:pPr>
        <w:pStyle w:val="Heading4"/>
      </w:pPr>
      <w:bookmarkStart w:id="26" w:name="_Toc266446427"/>
      <w:r w:rsidRPr="00E31D73">
        <w:t>GENA-01 - previously treated adolescent and adults (aged 12 to 65 years)</w:t>
      </w:r>
      <w:bookmarkEnd w:id="26"/>
    </w:p>
    <w:p w14:paraId="3F941BE0" w14:textId="33225804" w:rsidR="000F04AF" w:rsidRPr="000F04AF" w:rsidRDefault="00AE1580" w:rsidP="00EA445D">
      <w:pPr>
        <w:pStyle w:val="Numberbullet2"/>
      </w:pPr>
      <w:r w:rsidRPr="000F04AF">
        <w:t>Title</w:t>
      </w:r>
    </w:p>
    <w:p w14:paraId="451AD807" w14:textId="77777777" w:rsidR="000F04AF" w:rsidRDefault="00AE1580" w:rsidP="00AE1580">
      <w:pPr>
        <w:widowControl w:val="0"/>
        <w:autoSpaceDE w:val="0"/>
        <w:autoSpaceDN w:val="0"/>
        <w:adjustRightInd w:val="0"/>
        <w:rPr>
          <w:rFonts w:eastAsia="Times New Roman"/>
          <w:lang w:eastAsia="en-AU"/>
        </w:rPr>
      </w:pPr>
      <w:r w:rsidRPr="00AD27B0">
        <w:rPr>
          <w:rFonts w:eastAsia="Times New Roman"/>
          <w:lang w:eastAsia="en-AU"/>
        </w:rPr>
        <w:t xml:space="preserve">Clinical Study </w:t>
      </w:r>
      <w:proofErr w:type="gramStart"/>
      <w:r w:rsidR="00632197">
        <w:rPr>
          <w:rFonts w:eastAsia="Times New Roman"/>
          <w:lang w:eastAsia="en-AU"/>
        </w:rPr>
        <w:t>T</w:t>
      </w:r>
      <w:r w:rsidRPr="00AD27B0">
        <w:rPr>
          <w:rFonts w:eastAsia="Times New Roman"/>
          <w:lang w:eastAsia="en-AU"/>
        </w:rPr>
        <w:t>o Investigate The</w:t>
      </w:r>
      <w:proofErr w:type="gramEnd"/>
      <w:r w:rsidRPr="00AD27B0">
        <w:rPr>
          <w:rFonts w:eastAsia="Times New Roman"/>
          <w:lang w:eastAsia="en-AU"/>
        </w:rPr>
        <w:t xml:space="preserve"> Pharmacokinetics, Efficacy, Safety And Immunogenicity Of </w:t>
      </w:r>
      <w:r w:rsidR="00C8405D">
        <w:rPr>
          <w:rFonts w:eastAsia="Times New Roman"/>
          <w:lang w:eastAsia="en-AU"/>
        </w:rPr>
        <w:t>Simoctocog alfa</w:t>
      </w:r>
      <w:r w:rsidRPr="00AD27B0">
        <w:rPr>
          <w:rFonts w:eastAsia="Times New Roman"/>
          <w:lang w:eastAsia="en-AU"/>
        </w:rPr>
        <w:t>, A Newly Developed Human Cell-Line Derived Recombinant FVIII Concentrate In Previously Treated Patients With Severe Haemophilia A.</w:t>
      </w:r>
    </w:p>
    <w:p w14:paraId="38622399" w14:textId="7E61BA8D" w:rsidR="000F04AF" w:rsidRPr="000F04AF" w:rsidRDefault="00AE1580" w:rsidP="00EA445D">
      <w:pPr>
        <w:pStyle w:val="Numberbullet2"/>
      </w:pPr>
      <w:r w:rsidRPr="000F04AF">
        <w:t>Location</w:t>
      </w:r>
    </w:p>
    <w:p w14:paraId="7DD6B57A" w14:textId="31DE4DF9" w:rsidR="00AE1580" w:rsidRPr="001174CF" w:rsidRDefault="00AE1580" w:rsidP="00AE1580">
      <w:pPr>
        <w:widowControl w:val="0"/>
        <w:autoSpaceDE w:val="0"/>
        <w:autoSpaceDN w:val="0"/>
        <w:adjustRightInd w:val="0"/>
      </w:pPr>
      <w:r w:rsidRPr="009A7493">
        <w:t>The study was undertaken in Bulgaria (1 site), Germany (1 site) and the USA (7 sites), between 27 May 2010 and 18 September 2012. The CSR was dated</w:t>
      </w:r>
      <w:r>
        <w:t xml:space="preserve"> 15 February 2013. The study was conducted in accordance with standard ethical requirements.</w:t>
      </w:r>
    </w:p>
    <w:p w14:paraId="30FD021B" w14:textId="6E9C30A2" w:rsidR="00AE1580" w:rsidRPr="000F04AF" w:rsidRDefault="00AE1580" w:rsidP="00EA445D">
      <w:pPr>
        <w:pStyle w:val="Numberbullet2"/>
      </w:pPr>
      <w:r w:rsidRPr="000F04AF">
        <w:t>Objectives</w:t>
      </w:r>
    </w:p>
    <w:p w14:paraId="19BF071C" w14:textId="77777777" w:rsidR="000F04AF" w:rsidRDefault="00AE1580" w:rsidP="00AE1580">
      <w:pPr>
        <w:widowControl w:val="0"/>
        <w:autoSpaceDE w:val="0"/>
        <w:autoSpaceDN w:val="0"/>
        <w:adjustRightInd w:val="0"/>
      </w:pPr>
      <w:r w:rsidRPr="009A7493">
        <w:t>The primary objective of this study was to determine the pharmacokinetics (PK</w:t>
      </w:r>
      <w:r>
        <w:t>s</w:t>
      </w:r>
      <w:r w:rsidRPr="009A7493">
        <w:t xml:space="preserve">) of </w:t>
      </w:r>
      <w:r>
        <w:t xml:space="preserve">simoctocog alfa </w:t>
      </w:r>
      <w:r w:rsidRPr="009A7493">
        <w:t xml:space="preserve">based </w:t>
      </w:r>
      <w:r>
        <w:t>on F</w:t>
      </w:r>
      <w:r w:rsidRPr="009A7493">
        <w:t>VI</w:t>
      </w:r>
      <w:r>
        <w:t>II coagulant activity (FVIII</w:t>
      </w:r>
      <w:proofErr w:type="gramStart"/>
      <w:r>
        <w:t>:C</w:t>
      </w:r>
      <w:proofErr w:type="gramEnd"/>
      <w:r>
        <w:t xml:space="preserve">) </w:t>
      </w:r>
      <w:r w:rsidRPr="009A7493">
        <w:t xml:space="preserve">and </w:t>
      </w:r>
      <w:r>
        <w:t xml:space="preserve">to compare them </w:t>
      </w:r>
      <w:r w:rsidRPr="009A7493">
        <w:t xml:space="preserve">with the </w:t>
      </w:r>
      <w:r>
        <w:t xml:space="preserve">PKs of </w:t>
      </w:r>
      <w:r w:rsidR="002B6260">
        <w:t>a full-length r</w:t>
      </w:r>
      <w:r w:rsidRPr="009A7493">
        <w:t xml:space="preserve">FVIII </w:t>
      </w:r>
      <w:r w:rsidR="00051AEE">
        <w:t>BHK</w:t>
      </w:r>
      <w:r w:rsidRPr="009A7493">
        <w:t>concentrate in previously treated patients (PTPs) suffering from severe haemophilia A. The comparator was chosen by the sponsor in consu</w:t>
      </w:r>
      <w:r>
        <w:t>l</w:t>
      </w:r>
      <w:r w:rsidRPr="009A7493">
        <w:t xml:space="preserve">tation with the FDA. </w:t>
      </w:r>
      <w:r>
        <w:t>The sponsor states that the</w:t>
      </w:r>
      <w:r w:rsidR="002B6260" w:rsidRPr="002B6260">
        <w:t xml:space="preserve"> </w:t>
      </w:r>
      <w:r w:rsidR="002B6260">
        <w:t>full-length r</w:t>
      </w:r>
      <w:r w:rsidR="002B6260" w:rsidRPr="009A7493">
        <w:t>FVIII</w:t>
      </w:r>
      <w:r w:rsidR="00051AEE">
        <w:t xml:space="preserve"> BHK</w:t>
      </w:r>
      <w:r>
        <w:t xml:space="preserve"> product was purchased in the USA for the USA study centres, and in Germany for the German and Bulgarian study centres. </w:t>
      </w:r>
      <w:r w:rsidRPr="009A7493">
        <w:t>The study also included secondary objectives assessing the incremental recovery of FVIII</w:t>
      </w:r>
      <w:proofErr w:type="gramStart"/>
      <w:r w:rsidRPr="009A7493">
        <w:t>:C</w:t>
      </w:r>
      <w:proofErr w:type="gramEnd"/>
      <w:r w:rsidRPr="009A7493">
        <w:t xml:space="preserve"> for </w:t>
      </w:r>
      <w:r>
        <w:t>simoctocog alfa</w:t>
      </w:r>
      <w:r w:rsidRPr="009A7493">
        <w:t xml:space="preserve">, the immunogenic potential of </w:t>
      </w:r>
      <w:r>
        <w:t>simoctocog alfa</w:t>
      </w:r>
      <w:r w:rsidRPr="009A7493">
        <w:t xml:space="preserve">, and the efficacy and safety of </w:t>
      </w:r>
      <w:r>
        <w:t xml:space="preserve">simoctocog alfa </w:t>
      </w:r>
      <w:r w:rsidRPr="009A7493">
        <w:t>for the treatment of bleeding episodes (BEs) and for surgical prophylaxis.</w:t>
      </w:r>
    </w:p>
    <w:p w14:paraId="6EAA1138" w14:textId="7A6D512E" w:rsidR="000F04AF" w:rsidRDefault="00AE1580" w:rsidP="00EA445D">
      <w:pPr>
        <w:pStyle w:val="Numberbullet2"/>
      </w:pPr>
      <w:r w:rsidRPr="00551ECC">
        <w:t>Design</w:t>
      </w:r>
    </w:p>
    <w:p w14:paraId="3CE53B49" w14:textId="77777777" w:rsidR="000F04AF" w:rsidRDefault="00AE1580" w:rsidP="00AE1580">
      <w:pPr>
        <w:widowControl w:val="0"/>
        <w:autoSpaceDE w:val="0"/>
        <w:autoSpaceDN w:val="0"/>
        <w:adjustRightInd w:val="0"/>
      </w:pPr>
      <w:r w:rsidRPr="009A7493">
        <w:t xml:space="preserve">GENA-01 was designed as </w:t>
      </w:r>
      <w:r>
        <w:t xml:space="preserve">a </w:t>
      </w:r>
      <w:r w:rsidRPr="009A7493">
        <w:t>pr</w:t>
      </w:r>
      <w:r>
        <w:t>ospective, randomised, actively-</w:t>
      </w:r>
      <w:r w:rsidRPr="009A7493">
        <w:t>controlled, open-label, cross-</w:t>
      </w:r>
      <w:r w:rsidRPr="009A7493">
        <w:lastRenderedPageBreak/>
        <w:t>over, multicentre Phase II study in previously treated patients (PTPs) with sever</w:t>
      </w:r>
      <w:r>
        <w:t xml:space="preserve">e haemophilia A (FVIII:C ≤ 1%). </w:t>
      </w:r>
      <w:r w:rsidRPr="009A7493">
        <w:t xml:space="preserve">The study included two parts. In Part I (PK phase), the PK properties of </w:t>
      </w:r>
      <w:r>
        <w:t xml:space="preserve">simoctocog alfa </w:t>
      </w:r>
      <w:r w:rsidRPr="009A7493">
        <w:t>and</w:t>
      </w:r>
      <w:r w:rsidR="002B6260" w:rsidRPr="002B6260">
        <w:t xml:space="preserve"> </w:t>
      </w:r>
      <w:r w:rsidR="002B6260">
        <w:t>a full-length r</w:t>
      </w:r>
      <w:r w:rsidR="002B6260" w:rsidRPr="009A7493">
        <w:t>FVIII</w:t>
      </w:r>
      <w:r w:rsidRPr="009A7493">
        <w:t xml:space="preserve"> were studied. In Part II, subjects who completed Part I were treated for at least 6 months or until 50 exposure days (EDs) were reached, whichever came last. During Part II, </w:t>
      </w:r>
      <w:r>
        <w:t xml:space="preserve">the effects of </w:t>
      </w:r>
      <w:r w:rsidRPr="009A7493">
        <w:t xml:space="preserve">on-demand treatment with </w:t>
      </w:r>
      <w:r>
        <w:t xml:space="preserve">simoctocog alfa on BEs </w:t>
      </w:r>
      <w:r w:rsidRPr="009A7493">
        <w:t>was</w:t>
      </w:r>
      <w:r>
        <w:t xml:space="preserve"> documented, and the PKs of simoctocog alfa were assessed at 6 months in those subjects with PK data from the start of the study (</w:t>
      </w:r>
      <w:r w:rsidR="001A2E59">
        <w:t>that is,</w:t>
      </w:r>
      <w:r>
        <w:t xml:space="preserve"> from Part I).</w:t>
      </w:r>
    </w:p>
    <w:p w14:paraId="0C6AAE6A" w14:textId="77777777" w:rsidR="000F04AF" w:rsidRDefault="00AE1580" w:rsidP="00AE1580">
      <w:pPr>
        <w:widowControl w:val="0"/>
        <w:autoSpaceDE w:val="0"/>
        <w:autoSpaceDN w:val="0"/>
        <w:adjustRightInd w:val="0"/>
      </w:pPr>
      <w:r>
        <w:t>In Part 1 of the study, the</w:t>
      </w:r>
      <w:r w:rsidRPr="009A7493">
        <w:t xml:space="preserve"> visit for PK Cycle 1 was scheduled </w:t>
      </w:r>
      <w:r>
        <w:t xml:space="preserve">no later than </w:t>
      </w:r>
      <w:r w:rsidRPr="009A7493">
        <w:t>4 weeks after the screening vi</w:t>
      </w:r>
      <w:r>
        <w:t>sit, but may have been postponed</w:t>
      </w:r>
      <w:r w:rsidRPr="009A7493">
        <w:t xml:space="preserve"> in </w:t>
      </w:r>
      <w:r>
        <w:t>patients with</w:t>
      </w:r>
      <w:r w:rsidRPr="009A7493">
        <w:t xml:space="preserve"> </w:t>
      </w:r>
      <w:r>
        <w:t xml:space="preserve">BEs. </w:t>
      </w:r>
      <w:r w:rsidRPr="009A7493">
        <w:t xml:space="preserve">Patients were randomised to receive 50 international units (IU) FVIII/kg BW (labelled potency) of either </w:t>
      </w:r>
      <w:r>
        <w:t xml:space="preserve">simoctocog alfa </w:t>
      </w:r>
      <w:r w:rsidRPr="009A7493">
        <w:t xml:space="preserve">or </w:t>
      </w:r>
      <w:r w:rsidR="002B6260">
        <w:t>a full-length r</w:t>
      </w:r>
      <w:r w:rsidR="002B6260" w:rsidRPr="009A7493">
        <w:t>FVIII</w:t>
      </w:r>
      <w:r w:rsidRPr="009A7493">
        <w:t xml:space="preserve"> in Cycle 1 and the alternative</w:t>
      </w:r>
      <w:r>
        <w:t xml:space="preserve"> product in Cycle 2, </w:t>
      </w:r>
      <w:r w:rsidRPr="009A7493">
        <w:t xml:space="preserve">after a wash-out period of at least 96 hours. The time period between PK Cycle1 and start of PK Cycle 2 was to be no longer than 4 weeks, </w:t>
      </w:r>
      <w:r>
        <w:t>but</w:t>
      </w:r>
      <w:r w:rsidRPr="009A7493">
        <w:t xml:space="preserve"> may have been postponed </w:t>
      </w:r>
      <w:r>
        <w:t xml:space="preserve">in patients with </w:t>
      </w:r>
      <w:r w:rsidRPr="009A7493">
        <w:t>BE</w:t>
      </w:r>
      <w:r>
        <w:t>s</w:t>
      </w:r>
      <w:r w:rsidRPr="009A7493">
        <w:t xml:space="preserve">. The </w:t>
      </w:r>
      <w:r>
        <w:t xml:space="preserve">FVIII </w:t>
      </w:r>
      <w:r w:rsidRPr="009A7493">
        <w:t xml:space="preserve">products were administered by </w:t>
      </w:r>
      <w:proofErr w:type="gramStart"/>
      <w:r w:rsidRPr="009A7493">
        <w:t>iv</w:t>
      </w:r>
      <w:proofErr w:type="gramEnd"/>
      <w:r w:rsidRPr="009A7493">
        <w:t xml:space="preserve"> bolus injection at a maximum speed of 4 mL/minute.</w:t>
      </w:r>
    </w:p>
    <w:p w14:paraId="66B1221A" w14:textId="41203A55" w:rsidR="00AE1580" w:rsidRDefault="00AE1580" w:rsidP="00AE1580">
      <w:pPr>
        <w:widowControl w:val="0"/>
        <w:autoSpaceDE w:val="0"/>
        <w:autoSpaceDN w:val="0"/>
        <w:adjustRightInd w:val="0"/>
      </w:pPr>
      <w:r>
        <w:t xml:space="preserve">Actual body weight </w:t>
      </w:r>
      <w:r w:rsidRPr="009A7493">
        <w:t>was to be documented</w:t>
      </w:r>
      <w:r w:rsidRPr="00A521F1">
        <w:t xml:space="preserve"> </w:t>
      </w:r>
      <w:r>
        <w:t>b</w:t>
      </w:r>
      <w:r w:rsidRPr="009A7493">
        <w:t xml:space="preserve">efore administration of </w:t>
      </w:r>
      <w:r>
        <w:t xml:space="preserve">the FVIII products. </w:t>
      </w:r>
      <w:r w:rsidRPr="009A7493">
        <w:t xml:space="preserve">Vital signs were to be analysed before, and at 1, 24 and 48 hours after FVIII </w:t>
      </w:r>
      <w:r>
        <w:t>administration</w:t>
      </w:r>
      <w:r w:rsidRPr="009A7493">
        <w:t xml:space="preserve">, and safety laboratory assessments </w:t>
      </w:r>
      <w:r>
        <w:t xml:space="preserve">were to be undertaken </w:t>
      </w:r>
      <w:r w:rsidRPr="009A7493">
        <w:t>before, and at 24 hours (excluding urinalysis) and 48 hours after FVIII</w:t>
      </w:r>
      <w:r>
        <w:t xml:space="preserve"> administration</w:t>
      </w:r>
      <w:r w:rsidRPr="009A7493">
        <w:t>. Blood samples</w:t>
      </w:r>
      <w:r>
        <w:t xml:space="preserve"> for the determination of FVIII</w:t>
      </w:r>
      <w:proofErr w:type="gramStart"/>
      <w:r>
        <w:t>:C</w:t>
      </w:r>
      <w:proofErr w:type="gramEnd"/>
      <w:r>
        <w:t xml:space="preserve"> levels </w:t>
      </w:r>
      <w:r w:rsidRPr="009A7493">
        <w:t xml:space="preserve">were to be taken before and at 0.25, 0.5, 0.75, 1, 3, 6, 9, 12, 24, 30 and 48 hours after the end of the </w:t>
      </w:r>
      <w:r>
        <w:t>FVIII injection</w:t>
      </w:r>
      <w:r w:rsidRPr="009A7493">
        <w:t>. Actual time-points were to be documented.</w:t>
      </w:r>
    </w:p>
    <w:p w14:paraId="0A524D09" w14:textId="1E7BEEC2" w:rsidR="000F04AF" w:rsidRPr="000F04AF" w:rsidRDefault="00AE1580" w:rsidP="00EA445D">
      <w:pPr>
        <w:pStyle w:val="Numberbullet2"/>
      </w:pPr>
      <w:r w:rsidRPr="000F04AF">
        <w:t>Pharmacokinetic assessments and statistical methods</w:t>
      </w:r>
    </w:p>
    <w:p w14:paraId="580CE4D4" w14:textId="77777777" w:rsidR="000F04AF" w:rsidRDefault="00AE1580" w:rsidP="00AE1580">
      <w:pPr>
        <w:widowControl w:val="0"/>
        <w:autoSpaceDE w:val="0"/>
        <w:autoSpaceDN w:val="0"/>
        <w:adjustRightInd w:val="0"/>
      </w:pPr>
      <w:r w:rsidRPr="00DE6FB6">
        <w:rPr>
          <w:b/>
          <w:i/>
        </w:rPr>
        <w:t>The primary PK endpoint</w:t>
      </w:r>
      <w:r w:rsidRPr="009A7493">
        <w:t xml:space="preserve"> was the AUC</w:t>
      </w:r>
      <w:r w:rsidRPr="005B1F0A">
        <w:rPr>
          <w:vertAlign w:val="subscript"/>
        </w:rPr>
        <w:t>inf</w:t>
      </w:r>
      <w:r w:rsidRPr="009A7493">
        <w:t xml:space="preserve"> of </w:t>
      </w:r>
      <w:r>
        <w:t xml:space="preserve">simoctocog alfa </w:t>
      </w:r>
      <w:r w:rsidRPr="009A7493">
        <w:t>normalised to the dose administered (AUC</w:t>
      </w:r>
      <w:r w:rsidRPr="005B1F0A">
        <w:rPr>
          <w:vertAlign w:val="subscript"/>
        </w:rPr>
        <w:t>norm</w:t>
      </w:r>
      <w:r w:rsidRPr="009A7493">
        <w:t xml:space="preserve">) compared </w:t>
      </w:r>
      <w:r>
        <w:t xml:space="preserve">with </w:t>
      </w:r>
      <w:r w:rsidR="002B6260">
        <w:t>a full-length r</w:t>
      </w:r>
      <w:r w:rsidR="002B6260" w:rsidRPr="009A7493">
        <w:t>FVIII</w:t>
      </w:r>
      <w:r w:rsidRPr="009A7493">
        <w:t xml:space="preserve"> </w:t>
      </w:r>
      <w:r>
        <w:t>calculated for FVIII</w:t>
      </w:r>
      <w:proofErr w:type="gramStart"/>
      <w:r>
        <w:t>:C</w:t>
      </w:r>
      <w:proofErr w:type="gramEnd"/>
      <w:r>
        <w:t xml:space="preserve">. </w:t>
      </w:r>
      <w:r w:rsidRPr="009A7493">
        <w:t>In Part I, descriptive statistics were provided for AUC</w:t>
      </w:r>
      <w:r w:rsidRPr="005B1F0A">
        <w:rPr>
          <w:vertAlign w:val="subscript"/>
        </w:rPr>
        <w:t>norm</w:t>
      </w:r>
      <w:r w:rsidRPr="009A7493">
        <w:t xml:space="preserve"> per treatment as well as </w:t>
      </w:r>
      <w:r>
        <w:t xml:space="preserve">for </w:t>
      </w:r>
      <w:r w:rsidRPr="009A7493">
        <w:t>the estimated Ratio</w:t>
      </w:r>
      <w:r>
        <w:t xml:space="preserve"> AUC</w:t>
      </w:r>
      <w:r w:rsidRPr="005B1F0A">
        <w:rPr>
          <w:vertAlign w:val="subscript"/>
        </w:rPr>
        <w:t xml:space="preserve">norm </w:t>
      </w:r>
      <w:r w:rsidRPr="009A7493">
        <w:t>with 90% confidence intervals (CIs).</w:t>
      </w:r>
    </w:p>
    <w:p w14:paraId="60605E27" w14:textId="77777777" w:rsidR="000F04AF" w:rsidRDefault="00AE1580" w:rsidP="00AE1580">
      <w:pPr>
        <w:widowControl w:val="0"/>
        <w:autoSpaceDE w:val="0"/>
        <w:autoSpaceDN w:val="0"/>
        <w:adjustRightInd w:val="0"/>
      </w:pPr>
      <w:r w:rsidRPr="009A7493">
        <w:t>As an additional analysis of the primary efficacy endpoint, a formal statistical test was per</w:t>
      </w:r>
      <w:r>
        <w:t>formed to determine whether the Ratio AUC</w:t>
      </w:r>
      <w:r w:rsidRPr="005B1F0A">
        <w:rPr>
          <w:vertAlign w:val="subscript"/>
        </w:rPr>
        <w:t xml:space="preserve">norm </w:t>
      </w:r>
      <w:r>
        <w:t xml:space="preserve">for the two FVIII products </w:t>
      </w:r>
      <w:r w:rsidRPr="009A7493">
        <w:t>was between 80% and 125%</w:t>
      </w:r>
      <w:r>
        <w:t xml:space="preserve"> (</w:t>
      </w:r>
      <w:r w:rsidR="001A2E59">
        <w:t>that is,</w:t>
      </w:r>
      <w:r>
        <w:t xml:space="preserve"> the standard bioequivalence interval)</w:t>
      </w:r>
      <w:r w:rsidRPr="009A7493">
        <w:t>. The null hypothesis (H0) was Ratio</w:t>
      </w:r>
      <w:r>
        <w:t xml:space="preserve"> AUC</w:t>
      </w:r>
      <w:r>
        <w:rPr>
          <w:vertAlign w:val="subscript"/>
        </w:rPr>
        <w:t xml:space="preserve"> </w:t>
      </w:r>
      <w:r w:rsidRPr="009A7493">
        <w:rPr>
          <w:vertAlign w:val="subscript"/>
        </w:rPr>
        <w:t>norm</w:t>
      </w:r>
      <w:r w:rsidRPr="009A7493">
        <w:t xml:space="preserve"> &lt; 0.8 or Ratio</w:t>
      </w:r>
      <w:r>
        <w:t xml:space="preserve"> AUC</w:t>
      </w:r>
      <w:r w:rsidRPr="001B54FF">
        <w:rPr>
          <w:vertAlign w:val="subscript"/>
        </w:rPr>
        <w:t>norm</w:t>
      </w:r>
      <w:r w:rsidRPr="009A7493">
        <w:t xml:space="preserve"> &gt; 1.25, and the alternative hypothesis (H1) </w:t>
      </w:r>
      <w:proofErr w:type="gramStart"/>
      <w:r w:rsidRPr="009A7493">
        <w:t>was  0.8</w:t>
      </w:r>
      <w:proofErr w:type="gramEnd"/>
      <w:r w:rsidRPr="009A7493">
        <w:t xml:space="preserve"> ≤ Ratio</w:t>
      </w:r>
      <w:r>
        <w:t xml:space="preserve"> AUC</w:t>
      </w:r>
      <w:r w:rsidRPr="009A7493">
        <w:rPr>
          <w:vertAlign w:val="subscript"/>
        </w:rPr>
        <w:t>norm</w:t>
      </w:r>
      <w:r w:rsidRPr="009A7493">
        <w:t xml:space="preserve"> ≤ 1.25.  </w:t>
      </w:r>
      <w:r>
        <w:t>The 90% CI of the Ratio AUC</w:t>
      </w:r>
      <w:r w:rsidRPr="00116C67">
        <w:rPr>
          <w:vertAlign w:val="subscript"/>
        </w:rPr>
        <w:t>norm</w:t>
      </w:r>
      <w:r>
        <w:t xml:space="preserve"> was calculated using standard statistical methods for the determination of bioequivalence, and the two products were deemed to be bioequivalent if the 90% CI was completely enclosed within the range 80% to 125% (</w:t>
      </w:r>
      <w:r w:rsidR="001A2E59">
        <w:t>that is,</w:t>
      </w:r>
      <w:r>
        <w:t xml:space="preserve"> null hypothesis was rejected).</w:t>
      </w:r>
    </w:p>
    <w:p w14:paraId="2F6CB2B0" w14:textId="77777777" w:rsidR="000F04AF" w:rsidRDefault="00AE1580" w:rsidP="00AE1580">
      <w:pPr>
        <w:widowControl w:val="0"/>
        <w:autoSpaceDE w:val="0"/>
        <w:autoSpaceDN w:val="0"/>
        <w:adjustRightInd w:val="0"/>
      </w:pPr>
      <w:r w:rsidRPr="009A7493">
        <w:t xml:space="preserve">The sample size of 20 enrolled patients in </w:t>
      </w:r>
      <w:r>
        <w:t>Part 1 (</w:t>
      </w:r>
      <w:r w:rsidRPr="009A7493">
        <w:t>PK phase</w:t>
      </w:r>
      <w:r>
        <w:t xml:space="preserve">) </w:t>
      </w:r>
      <w:r w:rsidRPr="009A7493">
        <w:t>of the study was chosen by the sponsor in consultation with the FDA. The power to have a significant test under the alternative hypotheses (at least for Ratio</w:t>
      </w:r>
      <w:r>
        <w:t>AUC</w:t>
      </w:r>
      <w:r w:rsidRPr="00FE305A">
        <w:rPr>
          <w:vertAlign w:val="subscript"/>
        </w:rPr>
        <w:t>norm</w:t>
      </w:r>
      <w:r>
        <w:t xml:space="preserve">= 0.8, 1 and 1.25) </w:t>
      </w:r>
      <w:r w:rsidRPr="009A7493">
        <w:t xml:space="preserve">was calculated retrospectively with the estimated treatment effect and the empirical standard deviations found in the data. </w:t>
      </w:r>
      <w:proofErr w:type="gramStart"/>
      <w:r w:rsidRPr="009A7493">
        <w:t xml:space="preserve">Based on these data, the </w:t>
      </w:r>
      <w:r>
        <w:t xml:space="preserve">retrospective </w:t>
      </w:r>
      <w:r w:rsidRPr="009A7493">
        <w:t xml:space="preserve">power of the test to show that the </w:t>
      </w:r>
      <w:r>
        <w:t xml:space="preserve">geometric mean </w:t>
      </w:r>
      <w:r w:rsidRPr="009A7493">
        <w:t>ratio of AUC</w:t>
      </w:r>
      <w:r w:rsidRPr="00FE305A">
        <w:rPr>
          <w:vertAlign w:val="subscript"/>
        </w:rPr>
        <w:t>norm</w:t>
      </w:r>
      <w:r w:rsidRPr="009A7493">
        <w:t xml:space="preserve"> </w:t>
      </w:r>
      <w:r>
        <w:t>for</w:t>
      </w:r>
      <w:r w:rsidRPr="009A7493">
        <w:t xml:space="preserve"> </w:t>
      </w:r>
      <w:r>
        <w:t xml:space="preserve">simoctocog alfa </w:t>
      </w:r>
      <w:r w:rsidRPr="009A7493">
        <w:t xml:space="preserve">over </w:t>
      </w:r>
      <w:r w:rsidR="00051AEE">
        <w:t>full-length rFVIII BHK</w:t>
      </w:r>
      <w:r>
        <w:t>was</w:t>
      </w:r>
      <w:r w:rsidRPr="009A7493">
        <w:t xml:space="preserve"> within the range 0.</w:t>
      </w:r>
      <w:r>
        <w:t>8 to</w:t>
      </w:r>
      <w:r w:rsidRPr="009A7493">
        <w:t xml:space="preserve"> 1.25 was 81% for the CHR assay and 77% for the OS assay</w:t>
      </w:r>
      <w:r>
        <w:t>.</w:t>
      </w:r>
      <w:proofErr w:type="gramEnd"/>
    </w:p>
    <w:p w14:paraId="148B1C01" w14:textId="77777777" w:rsidR="000F04AF" w:rsidRDefault="00AE1580" w:rsidP="00AE1580">
      <w:pPr>
        <w:widowControl w:val="0"/>
        <w:autoSpaceDE w:val="0"/>
        <w:autoSpaceDN w:val="0"/>
        <w:adjustRightInd w:val="0"/>
      </w:pPr>
      <w:r w:rsidRPr="009A7493">
        <w:t>The primary tests were in the PK-</w:t>
      </w:r>
      <w:r>
        <w:t xml:space="preserve">PP population for the CHR assay, </w:t>
      </w:r>
      <w:r w:rsidRPr="009A7493">
        <w:t xml:space="preserve">and were repeated as a secondary analysis for the intention-to-treat (ITT) population and the OS assay. The PK-PP population consisted of all randomised subjects who completed Part 1 (PK phase) of the study </w:t>
      </w:r>
      <w:r>
        <w:t xml:space="preserve">and had </w:t>
      </w:r>
      <w:r w:rsidRPr="009A7493">
        <w:t>receiv</w:t>
      </w:r>
      <w:r>
        <w:t>ed</w:t>
      </w:r>
      <w:r w:rsidRPr="009A7493">
        <w:t xml:space="preserve"> both treatments without significantly violating the inclusion/exclusion criteria or other aspects of the protocol considered to potentially affect the PK results.</w:t>
      </w:r>
    </w:p>
    <w:p w14:paraId="0F12A4DE" w14:textId="77777777" w:rsidR="000F04AF" w:rsidRDefault="00AE1580" w:rsidP="00AE1580">
      <w:pPr>
        <w:widowControl w:val="0"/>
        <w:autoSpaceDE w:val="0"/>
        <w:autoSpaceDN w:val="0"/>
        <w:adjustRightInd w:val="0"/>
      </w:pPr>
      <w:r w:rsidRPr="009A7493">
        <w:rPr>
          <w:b/>
          <w:i/>
        </w:rPr>
        <w:t>The secondary PK endpoints</w:t>
      </w:r>
      <w:r w:rsidRPr="009A7493">
        <w:t xml:space="preserve"> were calculated for FVIII</w:t>
      </w:r>
      <w:proofErr w:type="gramStart"/>
      <w:r w:rsidRPr="009A7493">
        <w:t>:C</w:t>
      </w:r>
      <w:proofErr w:type="gramEnd"/>
      <w:r w:rsidRPr="009A7493">
        <w:t xml:space="preserve"> using both the CHR and the OS assays and t</w:t>
      </w:r>
      <w:r>
        <w:t xml:space="preserve">he actual potency of the drugs. The secondary PK endpoints were </w:t>
      </w:r>
      <w:r w:rsidRPr="009A7493">
        <w:t>T</w:t>
      </w:r>
      <w:r w:rsidRPr="009A7493">
        <w:rPr>
          <w:vertAlign w:val="subscript"/>
        </w:rPr>
        <w:t>1/2</w:t>
      </w:r>
      <w:r w:rsidRPr="009A7493">
        <w:t>, maximum plasma concentration (C</w:t>
      </w:r>
      <w:r w:rsidRPr="009A7493">
        <w:rPr>
          <w:vertAlign w:val="subscript"/>
        </w:rPr>
        <w:t>max</w:t>
      </w:r>
      <w:r w:rsidRPr="009A7493">
        <w:t>), maximum plasma concentration normalised to dose (C</w:t>
      </w:r>
      <w:r w:rsidRPr="009A7493">
        <w:rPr>
          <w:vertAlign w:val="subscript"/>
        </w:rPr>
        <w:t>max</w:t>
      </w:r>
      <w:r>
        <w:rPr>
          <w:vertAlign w:val="subscript"/>
        </w:rPr>
        <w:t>.</w:t>
      </w:r>
      <w:r w:rsidRPr="009A7493">
        <w:rPr>
          <w:vertAlign w:val="subscript"/>
        </w:rPr>
        <w:t>norm</w:t>
      </w:r>
      <w:r w:rsidRPr="009A7493">
        <w:t>), time at maximum concentration (T</w:t>
      </w:r>
      <w:r w:rsidRPr="009A7493">
        <w:rPr>
          <w:vertAlign w:val="subscript"/>
        </w:rPr>
        <w:t>max</w:t>
      </w:r>
      <w:r w:rsidRPr="009A7493">
        <w:t>), mean residence time (MRT), volume of distribution at steady state (V</w:t>
      </w:r>
      <w:r w:rsidRPr="009A7493">
        <w:rPr>
          <w:vertAlign w:val="subscript"/>
        </w:rPr>
        <w:t>ss</w:t>
      </w:r>
      <w:r w:rsidRPr="009A7493">
        <w:t xml:space="preserve">), and </w:t>
      </w:r>
      <w:r>
        <w:t>clearance (</w:t>
      </w:r>
      <w:r w:rsidRPr="009A7493">
        <w:t>CL</w:t>
      </w:r>
      <w:r>
        <w:t>)</w:t>
      </w:r>
      <w:r w:rsidRPr="009A7493">
        <w:t xml:space="preserve">. </w:t>
      </w:r>
      <w:r>
        <w:t xml:space="preserve">The same statistical methods were </w:t>
      </w:r>
      <w:r w:rsidRPr="009A7493">
        <w:t xml:space="preserve">used to </w:t>
      </w:r>
      <w:r w:rsidR="004D5C3B" w:rsidRPr="009A7493">
        <w:t>analy</w:t>
      </w:r>
      <w:r w:rsidR="004D5C3B">
        <w:t>s</w:t>
      </w:r>
      <w:r w:rsidR="004D5C3B" w:rsidRPr="009A7493">
        <w:t>e</w:t>
      </w:r>
      <w:r w:rsidRPr="009A7493">
        <w:t xml:space="preserve"> the </w:t>
      </w:r>
      <w:r>
        <w:t xml:space="preserve">primary </w:t>
      </w:r>
      <w:r>
        <w:lastRenderedPageBreak/>
        <w:t>and secondary PK endpoints.</w:t>
      </w:r>
    </w:p>
    <w:p w14:paraId="4467E0FC" w14:textId="77777777" w:rsidR="000F04AF" w:rsidRDefault="00AE1580" w:rsidP="00AE1580">
      <w:pPr>
        <w:widowControl w:val="0"/>
        <w:autoSpaceDE w:val="0"/>
        <w:autoSpaceDN w:val="0"/>
        <w:adjustRightInd w:val="0"/>
      </w:pPr>
      <w:r w:rsidRPr="009A7493">
        <w:rPr>
          <w:b/>
          <w:i/>
        </w:rPr>
        <w:t>In vivo incremental recovery (IVR)</w:t>
      </w:r>
      <w:r w:rsidRPr="009A7493">
        <w:t xml:space="preserve"> of FVIII</w:t>
      </w:r>
      <w:proofErr w:type="gramStart"/>
      <w:r w:rsidRPr="009A7493">
        <w:t>:C</w:t>
      </w:r>
      <w:proofErr w:type="gramEnd"/>
      <w:r w:rsidRPr="009A7493">
        <w:t xml:space="preserve"> (CHR and OS assays) was assessed during the PK </w:t>
      </w:r>
      <w:r>
        <w:t xml:space="preserve">Phase in </w:t>
      </w:r>
      <w:r w:rsidRPr="009A7493">
        <w:t xml:space="preserve">Cycles 1 and 2 for </w:t>
      </w:r>
      <w:r>
        <w:t xml:space="preserve">simoctocog alfa </w:t>
      </w:r>
      <w:r w:rsidRPr="009A7493">
        <w:t xml:space="preserve">and </w:t>
      </w:r>
      <w:r w:rsidR="00157186">
        <w:t>a full-length r</w:t>
      </w:r>
      <w:r w:rsidR="00157186" w:rsidRPr="009A7493">
        <w:t>FVIII</w:t>
      </w:r>
      <w:r w:rsidR="00051AEE">
        <w:t xml:space="preserve"> BHK</w:t>
      </w:r>
      <w:r w:rsidRPr="009A7493">
        <w:t xml:space="preserve">, and </w:t>
      </w:r>
      <w:r>
        <w:t xml:space="preserve">at </w:t>
      </w:r>
      <w:r w:rsidRPr="009A7493">
        <w:t xml:space="preserve">3 and 6 months after the start of the open phase for </w:t>
      </w:r>
      <w:r>
        <w:t>simoctocog alfa. Incremental recovery was</w:t>
      </w:r>
      <w:r w:rsidRPr="009A7493">
        <w:t xml:space="preserve"> calculated from the </w:t>
      </w:r>
      <w:r>
        <w:t>FVIII</w:t>
      </w:r>
      <w:proofErr w:type="gramStart"/>
      <w:r>
        <w:t>:C</w:t>
      </w:r>
      <w:proofErr w:type="gramEnd"/>
      <w:r>
        <w:t xml:space="preserve"> </w:t>
      </w:r>
      <w:r w:rsidRPr="009A7493">
        <w:t xml:space="preserve">level before infusion and the peak </w:t>
      </w:r>
      <w:r>
        <w:t xml:space="preserve">FVIII:C </w:t>
      </w:r>
      <w:r w:rsidRPr="009A7493">
        <w:t xml:space="preserve">level </w:t>
      </w:r>
      <w:r>
        <w:t xml:space="preserve">after infusion </w:t>
      </w:r>
      <w:r w:rsidRPr="009A7493">
        <w:t>obtained in the 0.25, 0.5, 0.75, o</w:t>
      </w:r>
      <w:r>
        <w:t xml:space="preserve">r 1 hour post-infusion samples. </w:t>
      </w:r>
      <w:r w:rsidRPr="009A7493">
        <w:t xml:space="preserve">For the calculation of recovery, the actual potency of </w:t>
      </w:r>
      <w:r>
        <w:t xml:space="preserve">simoctocog alfa </w:t>
      </w:r>
      <w:r w:rsidRPr="009A7493">
        <w:t xml:space="preserve">was used, and </w:t>
      </w:r>
      <w:r>
        <w:t xml:space="preserve">the results were summarised using </w:t>
      </w:r>
      <w:r w:rsidRPr="009A7493">
        <w:t>descriptive statistics</w:t>
      </w:r>
      <w:r>
        <w:t>.</w:t>
      </w:r>
      <w:r w:rsidRPr="009A7493">
        <w:t xml:space="preserve"> The following formula was </w:t>
      </w:r>
      <w:r>
        <w:t>used to calculate recovery:</w:t>
      </w:r>
    </w:p>
    <w:p w14:paraId="048ADE59" w14:textId="77777777" w:rsidR="000F04AF" w:rsidRDefault="00AE1580" w:rsidP="00AE1580">
      <w:pPr>
        <w:widowControl w:val="0"/>
        <w:autoSpaceDE w:val="0"/>
        <w:autoSpaceDN w:val="0"/>
        <w:adjustRightInd w:val="0"/>
      </w:pPr>
      <w:r w:rsidRPr="009A7493">
        <w:t>Recovery = (</w:t>
      </w:r>
      <w:r>
        <w:t>C</w:t>
      </w:r>
      <w:r w:rsidRPr="005426C4">
        <w:rPr>
          <w:vertAlign w:val="subscript"/>
        </w:rPr>
        <w:t>max</w:t>
      </w:r>
      <w:r>
        <w:t xml:space="preserve"> -</w:t>
      </w:r>
      <w:r w:rsidRPr="009A7493">
        <w:t xml:space="preserve"> </w:t>
      </w:r>
      <w:r>
        <w:t xml:space="preserve">plasma concentration at </w:t>
      </w:r>
      <w:r w:rsidRPr="009A7493">
        <w:t>baseline) * BW/dose</w:t>
      </w:r>
      <w:r>
        <w:t xml:space="preserve">; </w:t>
      </w:r>
      <w:r w:rsidRPr="009A7493">
        <w:t>and results we</w:t>
      </w:r>
      <w:r>
        <w:t>re reported as (IU/dL)</w:t>
      </w:r>
      <w:proofErr w:type="gramStart"/>
      <w:r>
        <w:t>/(</w:t>
      </w:r>
      <w:proofErr w:type="gramEnd"/>
      <w:r>
        <w:t>IU/kg) (</w:t>
      </w:r>
      <w:r w:rsidR="001A2E59">
        <w:t>that is,</w:t>
      </w:r>
      <w:r>
        <w:t xml:space="preserve"> % per IU/kg).</w:t>
      </w:r>
    </w:p>
    <w:p w14:paraId="0C0D510B" w14:textId="2268DFCE" w:rsidR="000F04AF" w:rsidRPr="000F04AF" w:rsidRDefault="00AE1580" w:rsidP="00EA445D">
      <w:pPr>
        <w:pStyle w:val="Numberbullet2"/>
      </w:pPr>
      <w:r w:rsidRPr="000F04AF">
        <w:t>Chromogenic (CHR) and one-stage (OS) assays</w:t>
      </w:r>
    </w:p>
    <w:p w14:paraId="38CC3A84" w14:textId="5E80BE31" w:rsidR="00AE1580" w:rsidRPr="009A7493" w:rsidRDefault="00AE1580" w:rsidP="00AE1580">
      <w:pPr>
        <w:widowControl w:val="0"/>
        <w:autoSpaceDE w:val="0"/>
        <w:autoSpaceDN w:val="0"/>
        <w:adjustRightInd w:val="0"/>
      </w:pPr>
      <w:r w:rsidRPr="009A7493">
        <w:t xml:space="preserve">The PK characteristics of </w:t>
      </w:r>
      <w:r>
        <w:t xml:space="preserve">simoctocog alfa </w:t>
      </w:r>
      <w:r w:rsidRPr="009A7493">
        <w:t xml:space="preserve">and </w:t>
      </w:r>
      <w:r w:rsidR="00157186">
        <w:t>a full-length r</w:t>
      </w:r>
      <w:r w:rsidR="00157186" w:rsidRPr="009A7493">
        <w:t>FVIII</w:t>
      </w:r>
      <w:r w:rsidR="00051AEE">
        <w:t xml:space="preserve"> BHK</w:t>
      </w:r>
      <w:r w:rsidRPr="009A7493">
        <w:t xml:space="preserve"> were compared using both CHR and the OS assays. FVIII</w:t>
      </w:r>
      <w:proofErr w:type="gramStart"/>
      <w:r w:rsidRPr="009A7493">
        <w:t>:C</w:t>
      </w:r>
      <w:proofErr w:type="gramEnd"/>
      <w:r w:rsidRPr="009A7493">
        <w:t xml:space="preserve"> </w:t>
      </w:r>
      <w:r>
        <w:t xml:space="preserve">levels </w:t>
      </w:r>
      <w:r w:rsidRPr="009A7493">
        <w:t xml:space="preserve">were </w:t>
      </w:r>
      <w:r>
        <w:t>calculated</w:t>
      </w:r>
      <w:r w:rsidRPr="009A7493">
        <w:t xml:space="preserve"> using validated methods for OS and CHR assay</w:t>
      </w:r>
      <w:r>
        <w:t>s</w:t>
      </w:r>
      <w:r w:rsidRPr="009A7493">
        <w:t xml:space="preserve"> in a central laboratory, which also assigned the actual drug potency by means of the same assays. </w:t>
      </w:r>
      <w:r>
        <w:t xml:space="preserve">In addition to measuring FVIII:C levels and potencies of the FVIII products using CHR and OS assays the central laboratory also measured FVIII inhibitor levels </w:t>
      </w:r>
      <w:r w:rsidRPr="009A7493">
        <w:t>and anti-recombina</w:t>
      </w:r>
      <w:r>
        <w:t>nt FVIII (rFVIII) antibody levels</w:t>
      </w:r>
      <w:r w:rsidRPr="009A7493">
        <w:t>. Local laboratories did all other tests. In case of surgery, FVIII</w:t>
      </w:r>
      <w:proofErr w:type="gramStart"/>
      <w:r w:rsidRPr="009A7493">
        <w:t>:C</w:t>
      </w:r>
      <w:proofErr w:type="gramEnd"/>
      <w:r w:rsidRPr="009A7493">
        <w:t xml:space="preserve"> could also have been measured locally.</w:t>
      </w:r>
    </w:p>
    <w:p w14:paraId="4CE38993" w14:textId="32B1B743" w:rsidR="000F04AF" w:rsidRPr="000F04AF" w:rsidRDefault="00AE1580" w:rsidP="00EA445D">
      <w:pPr>
        <w:pStyle w:val="Numberbullet2"/>
      </w:pPr>
      <w:r w:rsidRPr="000F04AF">
        <w:t>Demographics of the PK study population</w:t>
      </w:r>
    </w:p>
    <w:p w14:paraId="35FEE9AE" w14:textId="77777777" w:rsidR="000F04AF" w:rsidRDefault="00AE1580" w:rsidP="00AE1580">
      <w:pPr>
        <w:widowControl w:val="0"/>
        <w:autoSpaceDE w:val="0"/>
        <w:autoSpaceDN w:val="0"/>
        <w:adjustRightInd w:val="0"/>
      </w:pPr>
      <w:r w:rsidRPr="009A7493">
        <w:t xml:space="preserve">A total of 22 patients were enrolled and included in the safety (SAF) and the </w:t>
      </w:r>
      <w:r>
        <w:t>ITT populations. All</w:t>
      </w:r>
      <w:r w:rsidRPr="009A7493">
        <w:t xml:space="preserve"> 22 </w:t>
      </w:r>
      <w:r>
        <w:t xml:space="preserve">enrolled patients </w:t>
      </w:r>
      <w:r w:rsidRPr="009A7493">
        <w:t xml:space="preserve">were included into the PK-PP primary analysis population (Part I) and 21 </w:t>
      </w:r>
      <w:r>
        <w:t xml:space="preserve">of the 22 enrolled patients were included </w:t>
      </w:r>
      <w:r w:rsidRPr="009A7493">
        <w:t>in the PK-6m-PP population (</w:t>
      </w:r>
      <w:r w:rsidR="001A2E59">
        <w:t>that is,</w:t>
      </w:r>
      <w:r w:rsidRPr="009A7493">
        <w:t xml:space="preserve"> all </w:t>
      </w:r>
      <w:r>
        <w:t xml:space="preserve">enrolled subjects </w:t>
      </w:r>
      <w:r w:rsidRPr="009A7493">
        <w:t xml:space="preserve">who completed the PK </w:t>
      </w:r>
      <w:r>
        <w:t xml:space="preserve">assessment </w:t>
      </w:r>
      <w:r w:rsidRPr="009A7493">
        <w:t xml:space="preserve">6 months after </w:t>
      </w:r>
      <w:r>
        <w:t xml:space="preserve">the </w:t>
      </w:r>
      <w:r w:rsidRPr="009A7493">
        <w:t xml:space="preserve">start </w:t>
      </w:r>
      <w:r>
        <w:t xml:space="preserve">of the study </w:t>
      </w:r>
      <w:r w:rsidRPr="009A7493">
        <w:t xml:space="preserve">without significantly violating the inclusion/exclusion criteria or other aspects of the protocol considered to potentially affect the PK results). </w:t>
      </w:r>
      <w:r w:rsidR="00003645">
        <w:t xml:space="preserve">One (1) enrolled patient was </w:t>
      </w:r>
      <w:r w:rsidRPr="009A7493">
        <w:t>excluded from the PK-6m-PP population because of an implausible concentration time profile after the 6-month PK infusion.</w:t>
      </w:r>
    </w:p>
    <w:p w14:paraId="4F9092DB" w14:textId="5021A68A" w:rsidR="00AE1580" w:rsidRPr="009A7493" w:rsidRDefault="00AE1580" w:rsidP="00AE1580">
      <w:pPr>
        <w:widowControl w:val="0"/>
        <w:autoSpaceDE w:val="0"/>
        <w:autoSpaceDN w:val="0"/>
        <w:adjustRightInd w:val="0"/>
      </w:pPr>
      <w:r w:rsidRPr="009A7493">
        <w:t>The 22 patients were between 12 and 65 years of age, with a median age of 39.6 years. The total Haemophilia Joint Health Score (HJHS) at baseline ranged from 0 to 84, with a mean score of 38.4. The majority (n=18,</w:t>
      </w:r>
      <w:r>
        <w:t xml:space="preserve"> 81.8%) of patients were white. </w:t>
      </w:r>
      <w:r w:rsidRPr="009A7493">
        <w:t xml:space="preserve">A family history of haemophilia was documented in 14 (63.6%) patients and 2 (9.1%) patients had a family history of inhibitors. FVIII inhibitor levels were less than 0.6 BU in 16 patients at screening, as measured by both the Bethesda and the Nijmegen assays, and in 6 (27.3%) patients FVIII inhibitors </w:t>
      </w:r>
      <w:r>
        <w:t xml:space="preserve">at screening </w:t>
      </w:r>
      <w:r w:rsidRPr="009A7493">
        <w:t xml:space="preserve">could not be determined due to the remaining </w:t>
      </w:r>
      <w:r>
        <w:t xml:space="preserve">pre-study </w:t>
      </w:r>
      <w:r w:rsidRPr="009A7493">
        <w:t xml:space="preserve">FVIII </w:t>
      </w:r>
      <w:r>
        <w:t xml:space="preserve">plasma </w:t>
      </w:r>
      <w:r w:rsidRPr="009A7493">
        <w:t>levels being too high for the test to give reliable result</w:t>
      </w:r>
      <w:r>
        <w:t>s</w:t>
      </w:r>
      <w:r w:rsidRPr="009A7493">
        <w:t xml:space="preserve">. However, all 6 patients </w:t>
      </w:r>
      <w:r>
        <w:t xml:space="preserve">were </w:t>
      </w:r>
      <w:r w:rsidRPr="009A7493">
        <w:t xml:space="preserve">negative </w:t>
      </w:r>
      <w:r>
        <w:t xml:space="preserve">for FVIII </w:t>
      </w:r>
      <w:r w:rsidRPr="009A7493">
        <w:t>inhibitor</w:t>
      </w:r>
      <w:r>
        <w:t>s</w:t>
      </w:r>
      <w:r w:rsidRPr="009A7493">
        <w:t xml:space="preserve"> pre-infusion at PK Cycle 1.</w:t>
      </w:r>
    </w:p>
    <w:p w14:paraId="2B012BA0" w14:textId="3C0A6BAB" w:rsidR="000F04AF" w:rsidRPr="000F04AF" w:rsidRDefault="00AE1580" w:rsidP="00EA445D">
      <w:pPr>
        <w:pStyle w:val="Numberbullet2"/>
      </w:pPr>
      <w:r w:rsidRPr="000F04AF">
        <w:t xml:space="preserve">Pharmacokinetic results for simoctocog alfa and </w:t>
      </w:r>
      <w:r w:rsidR="00051AEE" w:rsidRPr="000F04AF">
        <w:t>full-length rFVIII BHK</w:t>
      </w:r>
      <w:r w:rsidRPr="000F04AF">
        <w:t xml:space="preserve"> FS - Part 1 (cycle 1)</w:t>
      </w:r>
    </w:p>
    <w:p w14:paraId="470CDE3B" w14:textId="77777777" w:rsidR="000F04AF" w:rsidRDefault="00AE1580" w:rsidP="00AE1580">
      <w:pPr>
        <w:widowControl w:val="0"/>
        <w:autoSpaceDE w:val="0"/>
        <w:autoSpaceDN w:val="0"/>
        <w:adjustRightInd w:val="0"/>
      </w:pPr>
      <w:r w:rsidRPr="009A7493">
        <w:t xml:space="preserve">The actual doses administered for the PK assessment (Cycle 1) were 58.3±3.7 IU/kg for </w:t>
      </w:r>
      <w:r>
        <w:t xml:space="preserve">simoctocog alfa </w:t>
      </w:r>
      <w:r w:rsidRPr="009A7493">
        <w:t xml:space="preserve">and 55.8±2.9 IU/kg for </w:t>
      </w:r>
      <w:r w:rsidR="00051AEE">
        <w:t>full-length rFVIII BHK</w:t>
      </w:r>
      <w:r w:rsidRPr="009A7493">
        <w:t xml:space="preserve"> FS as determined by the CHR assay, and 48.6±3.3 IU/kg and 64.3±5.6 IU/kg, respectively, for the OS assay. The mean FVIII</w:t>
      </w:r>
      <w:proofErr w:type="gramStart"/>
      <w:r w:rsidRPr="009A7493">
        <w:t>:C</w:t>
      </w:r>
      <w:proofErr w:type="gramEnd"/>
      <w:r w:rsidRPr="009A7493">
        <w:t xml:space="preserve"> </w:t>
      </w:r>
      <w:r>
        <w:t xml:space="preserve">concentrations </w:t>
      </w:r>
      <w:r w:rsidRPr="009A7493">
        <w:t>over time</w:t>
      </w:r>
      <w:r>
        <w:t xml:space="preserve"> profiles through to 48 hours</w:t>
      </w:r>
      <w:r w:rsidRPr="009A7493">
        <w:t>, after standardising for actual dose</w:t>
      </w:r>
      <w:r>
        <w:t>s</w:t>
      </w:r>
      <w:r w:rsidRPr="009A7493">
        <w:t xml:space="preserve"> and according to both assays, are shown below in Figure </w:t>
      </w:r>
      <w:r>
        <w:t>1</w:t>
      </w:r>
      <w:r w:rsidR="000F04AF">
        <w:t>.</w:t>
      </w:r>
    </w:p>
    <w:p w14:paraId="083EA630" w14:textId="2F32B314" w:rsidR="000F04AF" w:rsidRDefault="00AE1580" w:rsidP="000F04AF">
      <w:pPr>
        <w:pStyle w:val="FigureTitle"/>
      </w:pPr>
      <w:bookmarkStart w:id="27" w:name="_Toc248202606"/>
      <w:r>
        <w:lastRenderedPageBreak/>
        <w:t xml:space="preserve">Figure </w:t>
      </w:r>
      <w:r w:rsidR="00A84DFC">
        <w:fldChar w:fldCharType="begin"/>
      </w:r>
      <w:r w:rsidR="00ED655E">
        <w:instrText xml:space="preserve"> SEQ Figure \* ARABIC </w:instrText>
      </w:r>
      <w:r w:rsidR="00A84DFC">
        <w:fldChar w:fldCharType="separate"/>
      </w:r>
      <w:r w:rsidR="007553C1">
        <w:rPr>
          <w:noProof/>
        </w:rPr>
        <w:t>1</w:t>
      </w:r>
      <w:r w:rsidR="00A84DFC">
        <w:rPr>
          <w:noProof/>
        </w:rPr>
        <w:fldChar w:fldCharType="end"/>
      </w:r>
      <w:r>
        <w:t>: GENA-01 - FVIII</w:t>
      </w:r>
      <w:proofErr w:type="gramStart"/>
      <w:r>
        <w:t>:C</w:t>
      </w:r>
      <w:proofErr w:type="gramEnd"/>
      <w:r>
        <w:t xml:space="preserve"> levels (IU/mL, mean±SD) standardised to 50 IU/kg for both assays; PK-PP population, n=22.</w:t>
      </w:r>
      <w:bookmarkEnd w:id="27"/>
    </w:p>
    <w:p w14:paraId="1EFE504A" w14:textId="08B7A4EC" w:rsidR="00AE1580" w:rsidRDefault="00BE3AD8" w:rsidP="00AE1580">
      <w:pPr>
        <w:widowControl w:val="0"/>
        <w:tabs>
          <w:tab w:val="left" w:pos="608"/>
        </w:tabs>
        <w:autoSpaceDE w:val="0"/>
        <w:autoSpaceDN w:val="0"/>
        <w:adjustRightInd w:val="0"/>
        <w:rPr>
          <w:rFonts w:ascii="Times New Roman" w:hAnsi="Times New Roman"/>
          <w:sz w:val="21"/>
          <w:szCs w:val="21"/>
        </w:rPr>
      </w:pPr>
      <w:r w:rsidRPr="00BB0CD1">
        <w:rPr>
          <w:noProof/>
          <w:lang w:eastAsia="en-AU"/>
        </w:rPr>
        <w:drawing>
          <wp:inline distT="0" distB="0" distL="0" distR="0" wp14:anchorId="46C55269" wp14:editId="1AF76CA6">
            <wp:extent cx="5286375" cy="3381375"/>
            <wp:effectExtent l="0" t="0" r="0" b="0"/>
            <wp:docPr id="10" name="Picture 5" descr="The mean FVIII:C concentrations over time profiles through to 48 hours, after standardising for actual doses and according to both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375" cy="3381375"/>
                    </a:xfrm>
                    <a:prstGeom prst="rect">
                      <a:avLst/>
                    </a:prstGeom>
                    <a:noFill/>
                    <a:ln>
                      <a:noFill/>
                    </a:ln>
                  </pic:spPr>
                </pic:pic>
              </a:graphicData>
            </a:graphic>
          </wp:inline>
        </w:drawing>
      </w:r>
    </w:p>
    <w:p w14:paraId="79DA82D9" w14:textId="77777777" w:rsidR="000F04AF" w:rsidRDefault="00AE1580" w:rsidP="00AE1580">
      <w:pPr>
        <w:widowControl w:val="0"/>
        <w:autoSpaceDE w:val="0"/>
        <w:autoSpaceDN w:val="0"/>
        <w:adjustRightInd w:val="0"/>
      </w:pPr>
      <w:r w:rsidRPr="001C6DC4">
        <w:t>The mean values for the AUC</w:t>
      </w:r>
      <w:r w:rsidRPr="001C6DC4">
        <w:rPr>
          <w:vertAlign w:val="subscript"/>
        </w:rPr>
        <w:t>norm</w:t>
      </w:r>
      <w:r w:rsidRPr="001C6DC4">
        <w:t xml:space="preserve"> (primary PK efficacy endpoint) </w:t>
      </w:r>
      <w:r>
        <w:t>for the two FVIII products</w:t>
      </w:r>
      <w:proofErr w:type="gramStart"/>
      <w:r>
        <w:t>,</w:t>
      </w:r>
      <w:r w:rsidR="00157186">
        <w:t>,</w:t>
      </w:r>
      <w:proofErr w:type="gramEnd"/>
      <w:r>
        <w:t xml:space="preserve"> </w:t>
      </w:r>
      <w:r w:rsidRPr="001C6DC4">
        <w:t xml:space="preserve">as </w:t>
      </w:r>
      <w:r>
        <w:t xml:space="preserve">determined by the CHR and OS assays, </w:t>
      </w:r>
      <w:r w:rsidRPr="001C6DC4">
        <w:t xml:space="preserve">are summarised below in Table </w:t>
      </w:r>
      <w:r>
        <w:t xml:space="preserve">2. </w:t>
      </w:r>
      <w:r w:rsidRPr="001C6DC4">
        <w:t xml:space="preserve">The mean values for the secondary PK parameters during Part I of the study are summarised below in Table </w:t>
      </w:r>
      <w:r>
        <w:t>3</w:t>
      </w:r>
      <w:r w:rsidRPr="001C6DC4">
        <w:t xml:space="preserve">. </w:t>
      </w:r>
      <w:r>
        <w:t>The geometric mean ratios and 90% CIs of</w:t>
      </w:r>
      <w:r w:rsidR="004F1275">
        <w:t xml:space="preserve"> the secondary PK parameters were provided.</w:t>
      </w:r>
    </w:p>
    <w:p w14:paraId="7E1561B6" w14:textId="667A389B" w:rsidR="00A1453F" w:rsidRPr="00A1453F" w:rsidRDefault="00AE1580" w:rsidP="00326EE9">
      <w:pPr>
        <w:pStyle w:val="Tabletitle"/>
      </w:pPr>
      <w:bookmarkStart w:id="28" w:name="_Toc248202520"/>
      <w:r>
        <w:t xml:space="preserve">Table </w:t>
      </w:r>
      <w:r w:rsidR="00A84DFC">
        <w:fldChar w:fldCharType="begin"/>
      </w:r>
      <w:r w:rsidR="00ED655E">
        <w:instrText xml:space="preserve"> SEQ Table \* ARABIC </w:instrText>
      </w:r>
      <w:r w:rsidR="00A84DFC">
        <w:fldChar w:fldCharType="separate"/>
      </w:r>
      <w:r w:rsidR="007553C1">
        <w:rPr>
          <w:noProof/>
        </w:rPr>
        <w:t>2</w:t>
      </w:r>
      <w:r w:rsidR="00A84DFC">
        <w:rPr>
          <w:noProof/>
        </w:rPr>
        <w:fldChar w:fldCharType="end"/>
      </w:r>
      <w:r>
        <w:t>: GENA-01 - Comparative ANOVA results for AUCnorm (h•IU/mL</w:t>
      </w:r>
      <w:proofErr w:type="gramStart"/>
      <w:r>
        <w:t>/[</w:t>
      </w:r>
      <w:proofErr w:type="gramEnd"/>
      <w:r>
        <w:t>IU/kg]); PK-PP population, n=22.</w:t>
      </w:r>
      <w:bookmarkEnd w:id="28"/>
    </w:p>
    <w:tbl>
      <w:tblPr>
        <w:tblStyle w:val="TableTGAblue"/>
        <w:tblW w:w="0" w:type="auto"/>
        <w:tblLook w:val="04A0" w:firstRow="1" w:lastRow="0" w:firstColumn="1" w:lastColumn="0" w:noHBand="0" w:noVBand="1"/>
      </w:tblPr>
      <w:tblGrid>
        <w:gridCol w:w="1516"/>
        <w:gridCol w:w="1639"/>
        <w:gridCol w:w="1512"/>
        <w:gridCol w:w="1488"/>
        <w:gridCol w:w="1550"/>
        <w:gridCol w:w="1537"/>
      </w:tblGrid>
      <w:tr w:rsidR="00AE1580" w:rsidRPr="0011575F" w14:paraId="10854402" w14:textId="77777777" w:rsidTr="00607D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tcPr>
          <w:p w14:paraId="155284BF" w14:textId="77777777" w:rsidR="00AE1580" w:rsidRPr="00481542" w:rsidRDefault="00AE1580" w:rsidP="00607D26">
            <w:r w:rsidRPr="00481542">
              <w:t>Assay</w:t>
            </w:r>
          </w:p>
        </w:tc>
        <w:tc>
          <w:tcPr>
            <w:tcW w:w="1591" w:type="dxa"/>
          </w:tcPr>
          <w:p w14:paraId="19BB5028"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Treatment</w:t>
            </w:r>
          </w:p>
        </w:tc>
        <w:tc>
          <w:tcPr>
            <w:tcW w:w="1591" w:type="dxa"/>
          </w:tcPr>
          <w:p w14:paraId="41FECDEC"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Mean</w:t>
            </w:r>
          </w:p>
        </w:tc>
        <w:tc>
          <w:tcPr>
            <w:tcW w:w="1591" w:type="dxa"/>
          </w:tcPr>
          <w:p w14:paraId="672EA3D5"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SD</w:t>
            </w:r>
          </w:p>
        </w:tc>
        <w:tc>
          <w:tcPr>
            <w:tcW w:w="1592" w:type="dxa"/>
          </w:tcPr>
          <w:p w14:paraId="03501F10" w14:textId="1E01203A"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Ratio of gmeans</w:t>
            </w:r>
          </w:p>
        </w:tc>
        <w:tc>
          <w:tcPr>
            <w:tcW w:w="1592" w:type="dxa"/>
          </w:tcPr>
          <w:p w14:paraId="33C465E1" w14:textId="29D0D57F"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90% CI</w:t>
            </w:r>
          </w:p>
        </w:tc>
      </w:tr>
      <w:tr w:rsidR="00AE1580" w:rsidRPr="0011575F" w14:paraId="050F34EA" w14:textId="77777777" w:rsidTr="00232C15">
        <w:tc>
          <w:tcPr>
            <w:cnfStyle w:val="001000000000" w:firstRow="0" w:lastRow="0" w:firstColumn="1" w:lastColumn="0" w:oddVBand="0" w:evenVBand="0" w:oddHBand="0" w:evenHBand="0" w:firstRowFirstColumn="0" w:firstRowLastColumn="0" w:lastRowFirstColumn="0" w:lastRowLastColumn="0"/>
            <w:tcW w:w="1591" w:type="dxa"/>
          </w:tcPr>
          <w:p w14:paraId="638EADFB" w14:textId="77777777" w:rsidR="00AE1580" w:rsidRPr="00481542" w:rsidRDefault="00AE1580" w:rsidP="00607D26">
            <w:r w:rsidRPr="00481542">
              <w:t>CHR</w:t>
            </w:r>
          </w:p>
        </w:tc>
        <w:tc>
          <w:tcPr>
            <w:tcW w:w="1591" w:type="dxa"/>
          </w:tcPr>
          <w:p w14:paraId="73B56B4B"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Simoctocog alfa</w:t>
            </w:r>
          </w:p>
        </w:tc>
        <w:tc>
          <w:tcPr>
            <w:tcW w:w="1591" w:type="dxa"/>
          </w:tcPr>
          <w:p w14:paraId="11E218C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0.39</w:t>
            </w:r>
          </w:p>
        </w:tc>
        <w:tc>
          <w:tcPr>
            <w:tcW w:w="1591" w:type="dxa"/>
          </w:tcPr>
          <w:p w14:paraId="29DD5FF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0.14</w:t>
            </w:r>
          </w:p>
        </w:tc>
        <w:tc>
          <w:tcPr>
            <w:tcW w:w="1592" w:type="dxa"/>
          </w:tcPr>
          <w:p w14:paraId="2CB64544" w14:textId="64B104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0.98</w:t>
            </w:r>
          </w:p>
        </w:tc>
        <w:tc>
          <w:tcPr>
            <w:tcW w:w="1592" w:type="dxa"/>
          </w:tcPr>
          <w:p w14:paraId="678C1BB1" w14:textId="2C3E14CF"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0.8741, 1.107</w:t>
            </w:r>
          </w:p>
        </w:tc>
      </w:tr>
      <w:tr w:rsidR="00AE1580" w:rsidRPr="0011575F" w14:paraId="5D722A70" w14:textId="77777777" w:rsidTr="00232C15">
        <w:tc>
          <w:tcPr>
            <w:cnfStyle w:val="001000000000" w:firstRow="0" w:lastRow="0" w:firstColumn="1" w:lastColumn="0" w:oddVBand="0" w:evenVBand="0" w:oddHBand="0" w:evenHBand="0" w:firstRowFirstColumn="0" w:firstRowLastColumn="0" w:lastRowFirstColumn="0" w:lastRowLastColumn="0"/>
            <w:tcW w:w="1591" w:type="dxa"/>
          </w:tcPr>
          <w:p w14:paraId="336D9FCB" w14:textId="77777777" w:rsidR="00AE1580" w:rsidRPr="00481542" w:rsidRDefault="00AE1580" w:rsidP="00607D26"/>
        </w:tc>
        <w:tc>
          <w:tcPr>
            <w:tcW w:w="1591" w:type="dxa"/>
          </w:tcPr>
          <w:p w14:paraId="0F97FDB9" w14:textId="7B7634C1" w:rsidR="00AE1580" w:rsidRPr="00AC06F3" w:rsidRDefault="00051AEE" w:rsidP="00607D26">
            <w:pPr>
              <w:cnfStyle w:val="000000000000" w:firstRow="0" w:lastRow="0" w:firstColumn="0" w:lastColumn="0" w:oddVBand="0" w:evenVBand="0" w:oddHBand="0" w:evenHBand="0" w:firstRowFirstColumn="0" w:firstRowLastColumn="0" w:lastRowFirstColumn="0" w:lastRowLastColumn="0"/>
              <w:rPr>
                <w:sz w:val="20"/>
                <w:szCs w:val="20"/>
              </w:rPr>
            </w:pPr>
            <w:r w:rsidRPr="00AC06F3">
              <w:rPr>
                <w:sz w:val="20"/>
                <w:szCs w:val="20"/>
              </w:rPr>
              <w:t>full-length rFVIII BHK</w:t>
            </w:r>
          </w:p>
        </w:tc>
        <w:tc>
          <w:tcPr>
            <w:tcW w:w="1591" w:type="dxa"/>
          </w:tcPr>
          <w:p w14:paraId="54ED66E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0.38</w:t>
            </w:r>
          </w:p>
        </w:tc>
        <w:tc>
          <w:tcPr>
            <w:tcW w:w="1591" w:type="dxa"/>
          </w:tcPr>
          <w:p w14:paraId="32920E8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0.09</w:t>
            </w:r>
          </w:p>
        </w:tc>
        <w:tc>
          <w:tcPr>
            <w:tcW w:w="1592" w:type="dxa"/>
          </w:tcPr>
          <w:p w14:paraId="2843292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p>
        </w:tc>
        <w:tc>
          <w:tcPr>
            <w:tcW w:w="1592" w:type="dxa"/>
          </w:tcPr>
          <w:p w14:paraId="338DAEA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p>
        </w:tc>
      </w:tr>
      <w:tr w:rsidR="00AE1580" w:rsidRPr="0011575F" w14:paraId="512B88DB" w14:textId="77777777" w:rsidTr="00232C15">
        <w:tc>
          <w:tcPr>
            <w:cnfStyle w:val="001000000000" w:firstRow="0" w:lastRow="0" w:firstColumn="1" w:lastColumn="0" w:oddVBand="0" w:evenVBand="0" w:oddHBand="0" w:evenHBand="0" w:firstRowFirstColumn="0" w:firstRowLastColumn="0" w:lastRowFirstColumn="0" w:lastRowLastColumn="0"/>
            <w:tcW w:w="1591" w:type="dxa"/>
          </w:tcPr>
          <w:p w14:paraId="7FD2E87F" w14:textId="77777777" w:rsidR="00AE1580" w:rsidRPr="00481542" w:rsidRDefault="00AE1580" w:rsidP="00607D26">
            <w:r w:rsidRPr="00481542">
              <w:t>OS</w:t>
            </w:r>
          </w:p>
        </w:tc>
        <w:tc>
          <w:tcPr>
            <w:tcW w:w="1591" w:type="dxa"/>
          </w:tcPr>
          <w:p w14:paraId="592E39DC" w14:textId="77777777" w:rsidR="00AE1580" w:rsidRPr="00AC06F3" w:rsidRDefault="00AE1580" w:rsidP="00607D26">
            <w:pPr>
              <w:cnfStyle w:val="000000000000" w:firstRow="0" w:lastRow="0" w:firstColumn="0" w:lastColumn="0" w:oddVBand="0" w:evenVBand="0" w:oddHBand="0" w:evenHBand="0" w:firstRowFirstColumn="0" w:firstRowLastColumn="0" w:lastRowFirstColumn="0" w:lastRowLastColumn="0"/>
              <w:rPr>
                <w:sz w:val="20"/>
                <w:szCs w:val="20"/>
              </w:rPr>
            </w:pPr>
            <w:r w:rsidRPr="00AC06F3">
              <w:rPr>
                <w:sz w:val="20"/>
                <w:szCs w:val="20"/>
              </w:rPr>
              <w:t>Simoctocog alfa</w:t>
            </w:r>
          </w:p>
        </w:tc>
        <w:tc>
          <w:tcPr>
            <w:tcW w:w="1591" w:type="dxa"/>
          </w:tcPr>
          <w:p w14:paraId="5D6E922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0.37</w:t>
            </w:r>
          </w:p>
        </w:tc>
        <w:tc>
          <w:tcPr>
            <w:tcW w:w="1591" w:type="dxa"/>
          </w:tcPr>
          <w:p w14:paraId="75E9A4D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0.11</w:t>
            </w:r>
          </w:p>
        </w:tc>
        <w:tc>
          <w:tcPr>
            <w:tcW w:w="1592" w:type="dxa"/>
          </w:tcPr>
          <w:p w14:paraId="1F66325D" w14:textId="4204AE56"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0.97</w:t>
            </w:r>
          </w:p>
        </w:tc>
        <w:tc>
          <w:tcPr>
            <w:tcW w:w="1592" w:type="dxa"/>
          </w:tcPr>
          <w:p w14:paraId="2EA6D44E" w14:textId="76053D11"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0.859, 1.088</w:t>
            </w:r>
          </w:p>
        </w:tc>
      </w:tr>
      <w:tr w:rsidR="00AE1580" w:rsidRPr="0011575F" w14:paraId="6D89C4B4" w14:textId="77777777" w:rsidTr="00232C15">
        <w:tc>
          <w:tcPr>
            <w:cnfStyle w:val="001000000000" w:firstRow="0" w:lastRow="0" w:firstColumn="1" w:lastColumn="0" w:oddVBand="0" w:evenVBand="0" w:oddHBand="0" w:evenHBand="0" w:firstRowFirstColumn="0" w:firstRowLastColumn="0" w:lastRowFirstColumn="0" w:lastRowLastColumn="0"/>
            <w:tcW w:w="1591" w:type="dxa"/>
          </w:tcPr>
          <w:p w14:paraId="0E2E0F34" w14:textId="77777777" w:rsidR="00AE1580" w:rsidRPr="00481542" w:rsidRDefault="00AE1580" w:rsidP="00607D26"/>
        </w:tc>
        <w:tc>
          <w:tcPr>
            <w:tcW w:w="1591" w:type="dxa"/>
          </w:tcPr>
          <w:p w14:paraId="180A08F9" w14:textId="00D2BE30" w:rsidR="00AE1580" w:rsidRPr="00AC06F3" w:rsidRDefault="00051AEE" w:rsidP="00607D26">
            <w:pPr>
              <w:cnfStyle w:val="000000000000" w:firstRow="0" w:lastRow="0" w:firstColumn="0" w:lastColumn="0" w:oddVBand="0" w:evenVBand="0" w:oddHBand="0" w:evenHBand="0" w:firstRowFirstColumn="0" w:firstRowLastColumn="0" w:lastRowFirstColumn="0" w:lastRowLastColumn="0"/>
              <w:rPr>
                <w:sz w:val="20"/>
                <w:szCs w:val="20"/>
              </w:rPr>
            </w:pPr>
            <w:r w:rsidRPr="00AC06F3">
              <w:rPr>
                <w:sz w:val="20"/>
                <w:szCs w:val="20"/>
              </w:rPr>
              <w:t>full-length rFVIII BHK</w:t>
            </w:r>
          </w:p>
        </w:tc>
        <w:tc>
          <w:tcPr>
            <w:tcW w:w="1591" w:type="dxa"/>
          </w:tcPr>
          <w:p w14:paraId="5406EC15"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0.38</w:t>
            </w:r>
          </w:p>
        </w:tc>
        <w:tc>
          <w:tcPr>
            <w:tcW w:w="1591" w:type="dxa"/>
          </w:tcPr>
          <w:p w14:paraId="289BC13D"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0.11</w:t>
            </w:r>
          </w:p>
        </w:tc>
        <w:tc>
          <w:tcPr>
            <w:tcW w:w="1592" w:type="dxa"/>
          </w:tcPr>
          <w:p w14:paraId="7A51124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p>
        </w:tc>
        <w:tc>
          <w:tcPr>
            <w:tcW w:w="1592" w:type="dxa"/>
          </w:tcPr>
          <w:p w14:paraId="13382FAD"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p>
        </w:tc>
      </w:tr>
    </w:tbl>
    <w:p w14:paraId="594C2AD2" w14:textId="13F41068" w:rsidR="00AE1580" w:rsidRPr="0083723D" w:rsidRDefault="00AE1580" w:rsidP="00607D26">
      <w:pPr>
        <w:pStyle w:val="Tabletitle"/>
        <w:pageBreakBefore/>
      </w:pPr>
      <w:bookmarkStart w:id="29" w:name="_Toc248202521"/>
      <w:r>
        <w:lastRenderedPageBreak/>
        <w:t xml:space="preserve">Table </w:t>
      </w:r>
      <w:r w:rsidR="00A84DFC">
        <w:fldChar w:fldCharType="begin"/>
      </w:r>
      <w:r w:rsidR="00ED655E">
        <w:instrText xml:space="preserve"> SEQ Table \* ARABIC </w:instrText>
      </w:r>
      <w:r w:rsidR="00A84DFC">
        <w:fldChar w:fldCharType="separate"/>
      </w:r>
      <w:r w:rsidR="007553C1">
        <w:rPr>
          <w:noProof/>
        </w:rPr>
        <w:t>3</w:t>
      </w:r>
      <w:r w:rsidR="00A84DFC">
        <w:rPr>
          <w:noProof/>
        </w:rPr>
        <w:fldChar w:fldCharType="end"/>
      </w:r>
      <w:r>
        <w:t>: GENA-01 - Secondary PK parameters for the two products measured by the CHR and OS assays during Part 1 (PK phase); PK-PP population, n=22.</w:t>
      </w:r>
      <w:bookmarkEnd w:id="29"/>
    </w:p>
    <w:tbl>
      <w:tblPr>
        <w:tblStyle w:val="TableTGAblue"/>
        <w:tblW w:w="0" w:type="auto"/>
        <w:tblLook w:val="04A0" w:firstRow="1" w:lastRow="0" w:firstColumn="1" w:lastColumn="0" w:noHBand="0" w:noVBand="1"/>
      </w:tblPr>
      <w:tblGrid>
        <w:gridCol w:w="2443"/>
        <w:gridCol w:w="1711"/>
        <w:gridCol w:w="1657"/>
        <w:gridCol w:w="1776"/>
        <w:gridCol w:w="1655"/>
      </w:tblGrid>
      <w:tr w:rsidR="00AE1580" w:rsidRPr="00481542" w14:paraId="082C662E" w14:textId="77777777" w:rsidTr="00607D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5A1396D3" w14:textId="77777777" w:rsidR="00AE1580" w:rsidRPr="00481542" w:rsidRDefault="00AE1580" w:rsidP="00607D26">
            <w:pPr>
              <w:rPr>
                <w:b w:val="0"/>
                <w:color w:val="auto"/>
                <w:lang w:eastAsia="en-US"/>
              </w:rPr>
            </w:pPr>
            <w:r w:rsidRPr="00481542">
              <w:t xml:space="preserve">Parameter </w:t>
            </w:r>
          </w:p>
        </w:tc>
        <w:tc>
          <w:tcPr>
            <w:tcW w:w="1509" w:type="dxa"/>
          </w:tcPr>
          <w:p w14:paraId="3C8E0301"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rPr>
                <w:b w:val="0"/>
                <w:color w:val="auto"/>
                <w:lang w:eastAsia="en-US"/>
              </w:rPr>
            </w:pPr>
            <w:r>
              <w:t xml:space="preserve">Simoctocog alfa </w:t>
            </w:r>
            <w:r w:rsidRPr="00481542">
              <w:t xml:space="preserve">[CHR] </w:t>
            </w:r>
          </w:p>
        </w:tc>
        <w:tc>
          <w:tcPr>
            <w:tcW w:w="1793" w:type="dxa"/>
          </w:tcPr>
          <w:p w14:paraId="7E372F8A" w14:textId="439C6597" w:rsidR="00AE1580" w:rsidRPr="00481542" w:rsidRDefault="00051AEE" w:rsidP="00607D26">
            <w:pPr>
              <w:cnfStyle w:val="100000000000" w:firstRow="1" w:lastRow="0" w:firstColumn="0" w:lastColumn="0" w:oddVBand="0" w:evenVBand="0" w:oddHBand="0" w:evenHBand="0" w:firstRowFirstColumn="0" w:firstRowLastColumn="0" w:lastRowFirstColumn="0" w:lastRowLastColumn="0"/>
              <w:rPr>
                <w:b w:val="0"/>
                <w:color w:val="auto"/>
                <w:lang w:eastAsia="en-US"/>
              </w:rPr>
            </w:pPr>
            <w:r w:rsidRPr="00AC06F3">
              <w:rPr>
                <w:sz w:val="20"/>
                <w:szCs w:val="20"/>
              </w:rPr>
              <w:t>full-length rFVIII BHK</w:t>
            </w:r>
            <w:r w:rsidR="00607D26">
              <w:rPr>
                <w:sz w:val="20"/>
                <w:szCs w:val="20"/>
              </w:rPr>
              <w:t xml:space="preserve"> </w:t>
            </w:r>
            <w:r w:rsidR="00AE1580" w:rsidRPr="00481542">
              <w:t xml:space="preserve">[CHR] </w:t>
            </w:r>
          </w:p>
        </w:tc>
        <w:tc>
          <w:tcPr>
            <w:tcW w:w="1793" w:type="dxa"/>
          </w:tcPr>
          <w:p w14:paraId="6013BC43" w14:textId="21583641"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rPr>
                <w:b w:val="0"/>
                <w:color w:val="auto"/>
                <w:lang w:eastAsia="en-US"/>
              </w:rPr>
            </w:pPr>
            <w:r>
              <w:t>Simoctocog alfa</w:t>
            </w:r>
            <w:r w:rsidR="00607D26">
              <w:t xml:space="preserve"> </w:t>
            </w:r>
            <w:r w:rsidRPr="00481542">
              <w:t xml:space="preserve">[OS] </w:t>
            </w:r>
          </w:p>
        </w:tc>
        <w:tc>
          <w:tcPr>
            <w:tcW w:w="1793" w:type="dxa"/>
          </w:tcPr>
          <w:p w14:paraId="1E3C3E3D" w14:textId="29DAECEC" w:rsidR="00AE1580" w:rsidRPr="00481542" w:rsidRDefault="00051AEE" w:rsidP="00607D26">
            <w:pPr>
              <w:cnfStyle w:val="100000000000" w:firstRow="1" w:lastRow="0" w:firstColumn="0" w:lastColumn="0" w:oddVBand="0" w:evenVBand="0" w:oddHBand="0" w:evenHBand="0" w:firstRowFirstColumn="0" w:firstRowLastColumn="0" w:lastRowFirstColumn="0" w:lastRowLastColumn="0"/>
              <w:rPr>
                <w:b w:val="0"/>
                <w:color w:val="auto"/>
                <w:lang w:eastAsia="en-US"/>
              </w:rPr>
            </w:pPr>
            <w:r w:rsidRPr="00AC06F3">
              <w:rPr>
                <w:sz w:val="20"/>
                <w:szCs w:val="20"/>
              </w:rPr>
              <w:t>full-length rFVIII BHK</w:t>
            </w:r>
            <w:r w:rsidRPr="00AC06F3" w:rsidDel="00051AEE">
              <w:rPr>
                <w:sz w:val="20"/>
                <w:szCs w:val="20"/>
              </w:rPr>
              <w:t xml:space="preserve"> </w:t>
            </w:r>
            <w:r w:rsidR="00AE1580" w:rsidRPr="00481542">
              <w:t>[OS]</w:t>
            </w:r>
          </w:p>
        </w:tc>
      </w:tr>
      <w:tr w:rsidR="00AE1580" w:rsidRPr="00481542" w14:paraId="5D2C0EA4"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2A58B925" w14:textId="77777777" w:rsidR="00AE1580" w:rsidRPr="00481542" w:rsidRDefault="00AE1580" w:rsidP="00607D26">
            <w:pPr>
              <w:rPr>
                <w:color w:val="auto"/>
                <w:lang w:eastAsia="en-US"/>
              </w:rPr>
            </w:pPr>
            <w:r w:rsidRPr="00481542">
              <w:t>AUC (h·IU/mL)</w:t>
            </w:r>
          </w:p>
        </w:tc>
        <w:tc>
          <w:tcPr>
            <w:tcW w:w="1509" w:type="dxa"/>
          </w:tcPr>
          <w:p w14:paraId="28C3906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rPr>
                <w:color w:val="auto"/>
                <w:kern w:val="24"/>
                <w:lang w:val="en-US" w:eastAsia="ja-JP"/>
              </w:rPr>
            </w:pPr>
            <w:r w:rsidRPr="00481542">
              <w:t xml:space="preserve">22.5 </w:t>
            </w:r>
            <w:r w:rsidRPr="00481542">
              <w:rPr>
                <w:rFonts w:cs="ÄÂ'FAøF÷"/>
              </w:rPr>
              <w:t xml:space="preserve">± </w:t>
            </w:r>
            <w:r w:rsidRPr="00481542">
              <w:t xml:space="preserve"> 7.8 </w:t>
            </w:r>
          </w:p>
        </w:tc>
        <w:tc>
          <w:tcPr>
            <w:tcW w:w="1793" w:type="dxa"/>
          </w:tcPr>
          <w:p w14:paraId="71871EE5"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rPr>
                <w:color w:val="auto"/>
                <w:kern w:val="24"/>
                <w:lang w:val="en-US" w:eastAsia="ja-JP"/>
              </w:rPr>
            </w:pPr>
            <w:r w:rsidRPr="00481542">
              <w:t xml:space="preserve">21.3 </w:t>
            </w:r>
            <w:r w:rsidRPr="00481542">
              <w:rPr>
                <w:rFonts w:cs="ÄÂ'FAøF÷"/>
              </w:rPr>
              <w:t xml:space="preserve">± </w:t>
            </w:r>
            <w:r w:rsidRPr="00481542">
              <w:t xml:space="preserve"> 4.7</w:t>
            </w:r>
          </w:p>
        </w:tc>
        <w:tc>
          <w:tcPr>
            <w:tcW w:w="1793" w:type="dxa"/>
          </w:tcPr>
          <w:p w14:paraId="67B93DD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rPr>
                <w:color w:val="auto"/>
                <w:kern w:val="24"/>
                <w:lang w:val="en-US" w:eastAsia="ja-JP"/>
              </w:rPr>
            </w:pPr>
            <w:r w:rsidRPr="00481542">
              <w:t xml:space="preserve">18.0 </w:t>
            </w:r>
            <w:r w:rsidRPr="00481542">
              <w:rPr>
                <w:rFonts w:cs="ÄÂ'FAøF÷"/>
              </w:rPr>
              <w:t xml:space="preserve">± </w:t>
            </w:r>
            <w:r w:rsidRPr="00481542">
              <w:t xml:space="preserve"> 5.6 </w:t>
            </w:r>
          </w:p>
        </w:tc>
        <w:tc>
          <w:tcPr>
            <w:tcW w:w="1793" w:type="dxa"/>
          </w:tcPr>
          <w:p w14:paraId="4886245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rPr>
                <w:color w:val="auto"/>
                <w:kern w:val="24"/>
                <w:lang w:val="en-US" w:eastAsia="ja-JP"/>
              </w:rPr>
            </w:pPr>
            <w:r w:rsidRPr="00481542">
              <w:t xml:space="preserve">24.2 </w:t>
            </w:r>
            <w:r w:rsidRPr="00481542">
              <w:rPr>
                <w:rFonts w:cs="ÄÂ'FAøF÷"/>
              </w:rPr>
              <w:t xml:space="preserve">± </w:t>
            </w:r>
            <w:r w:rsidRPr="00481542">
              <w:t xml:space="preserve"> 6.0</w:t>
            </w:r>
          </w:p>
        </w:tc>
      </w:tr>
      <w:tr w:rsidR="00AE1580" w:rsidRPr="00481542" w14:paraId="6E3E52E2"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7E3A93E6" w14:textId="77777777" w:rsidR="00AE1580" w:rsidRPr="00481542" w:rsidRDefault="00AE1580" w:rsidP="00607D26">
            <w:r w:rsidRPr="00481542">
              <w:t>Cmax  (IU/mL)</w:t>
            </w:r>
          </w:p>
        </w:tc>
        <w:tc>
          <w:tcPr>
            <w:tcW w:w="1509" w:type="dxa"/>
          </w:tcPr>
          <w:p w14:paraId="2848D51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1.46 </w:t>
            </w:r>
            <w:r w:rsidRPr="00481542">
              <w:rPr>
                <w:rFonts w:cs="ÄÂ'FAøF÷"/>
              </w:rPr>
              <w:t xml:space="preserve">± </w:t>
            </w:r>
            <w:r w:rsidRPr="00481542">
              <w:t xml:space="preserve"> 0.22 </w:t>
            </w:r>
          </w:p>
        </w:tc>
        <w:tc>
          <w:tcPr>
            <w:tcW w:w="1793" w:type="dxa"/>
          </w:tcPr>
          <w:p w14:paraId="0D23BAFC"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1.39 </w:t>
            </w:r>
            <w:r w:rsidRPr="00481542">
              <w:rPr>
                <w:rFonts w:cs="ÄÂ'FAøF÷"/>
              </w:rPr>
              <w:t xml:space="preserve">± </w:t>
            </w:r>
            <w:r w:rsidRPr="00481542">
              <w:t xml:space="preserve"> 0.20</w:t>
            </w:r>
          </w:p>
        </w:tc>
        <w:tc>
          <w:tcPr>
            <w:tcW w:w="1793" w:type="dxa"/>
          </w:tcPr>
          <w:p w14:paraId="2EC9110B"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1.05 </w:t>
            </w:r>
            <w:r w:rsidRPr="00481542">
              <w:rPr>
                <w:rFonts w:cs="ÄÂ'FAøF÷"/>
              </w:rPr>
              <w:t xml:space="preserve">± </w:t>
            </w:r>
            <w:r w:rsidRPr="00481542">
              <w:t xml:space="preserve"> 0.15 </w:t>
            </w:r>
          </w:p>
        </w:tc>
        <w:tc>
          <w:tcPr>
            <w:tcW w:w="1793" w:type="dxa"/>
          </w:tcPr>
          <w:p w14:paraId="729F8F03"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1.31 </w:t>
            </w:r>
            <w:r w:rsidRPr="00481542">
              <w:rPr>
                <w:rFonts w:cs="ÄÂ'FAøF÷"/>
              </w:rPr>
              <w:t xml:space="preserve">± </w:t>
            </w:r>
            <w:r w:rsidRPr="00481542">
              <w:t xml:space="preserve"> 0.18</w:t>
            </w:r>
          </w:p>
        </w:tc>
      </w:tr>
      <w:tr w:rsidR="00AE1580" w:rsidRPr="00481542" w14:paraId="0CA164F0"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67FE9E69" w14:textId="77777777" w:rsidR="00AE1580" w:rsidRPr="00481542" w:rsidRDefault="00AE1580" w:rsidP="00607D26">
            <w:r w:rsidRPr="00481542">
              <w:t>Cmax.norm (IU/mL per IU/kg)</w:t>
            </w:r>
          </w:p>
        </w:tc>
        <w:tc>
          <w:tcPr>
            <w:tcW w:w="1509" w:type="dxa"/>
          </w:tcPr>
          <w:p w14:paraId="2E101B2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0.025 </w:t>
            </w:r>
            <w:r w:rsidRPr="00481542">
              <w:rPr>
                <w:rFonts w:cs="ÄÂ'FAøF÷"/>
              </w:rPr>
              <w:t xml:space="preserve">± </w:t>
            </w:r>
            <w:r w:rsidRPr="00481542">
              <w:t xml:space="preserve"> 0.004 </w:t>
            </w:r>
          </w:p>
        </w:tc>
        <w:tc>
          <w:tcPr>
            <w:tcW w:w="1793" w:type="dxa"/>
          </w:tcPr>
          <w:p w14:paraId="3AEE8E6B"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0.025 </w:t>
            </w:r>
            <w:r w:rsidRPr="00481542">
              <w:rPr>
                <w:rFonts w:cs="ÄÂ'FAøF÷"/>
              </w:rPr>
              <w:t xml:space="preserve">± </w:t>
            </w:r>
            <w:r w:rsidRPr="00481542">
              <w:t xml:space="preserve"> 0.003</w:t>
            </w:r>
          </w:p>
        </w:tc>
        <w:tc>
          <w:tcPr>
            <w:tcW w:w="1793" w:type="dxa"/>
          </w:tcPr>
          <w:p w14:paraId="6CDA843F"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0.022 </w:t>
            </w:r>
            <w:r w:rsidRPr="00481542">
              <w:rPr>
                <w:rFonts w:cs="ÄÂ'FAøF÷"/>
              </w:rPr>
              <w:t xml:space="preserve">± </w:t>
            </w:r>
            <w:r w:rsidRPr="00481542">
              <w:t xml:space="preserve"> 0.003 </w:t>
            </w:r>
          </w:p>
        </w:tc>
        <w:tc>
          <w:tcPr>
            <w:tcW w:w="1793" w:type="dxa"/>
          </w:tcPr>
          <w:p w14:paraId="16105BE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0.021 </w:t>
            </w:r>
            <w:r w:rsidRPr="00481542">
              <w:rPr>
                <w:rFonts w:cs="ÄÂ'FAøF÷"/>
              </w:rPr>
              <w:t xml:space="preserve">± </w:t>
            </w:r>
            <w:r w:rsidRPr="00481542">
              <w:t xml:space="preserve"> 0.003</w:t>
            </w:r>
          </w:p>
        </w:tc>
      </w:tr>
      <w:tr w:rsidR="00AE1580" w:rsidRPr="00481542" w14:paraId="62727BC0"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26AA0662" w14:textId="77777777" w:rsidR="00AE1580" w:rsidRPr="00481542" w:rsidRDefault="00AE1580" w:rsidP="00607D26">
            <w:r w:rsidRPr="00481542">
              <w:t>IVR (% per IU/kg)</w:t>
            </w:r>
          </w:p>
        </w:tc>
        <w:tc>
          <w:tcPr>
            <w:tcW w:w="1509" w:type="dxa"/>
          </w:tcPr>
          <w:p w14:paraId="63C3A41B"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2.50 </w:t>
            </w:r>
            <w:r w:rsidRPr="00481542">
              <w:rPr>
                <w:rFonts w:cs="ÄÂ'FAøF÷"/>
              </w:rPr>
              <w:t xml:space="preserve">± </w:t>
            </w:r>
            <w:r w:rsidRPr="00481542">
              <w:t xml:space="preserve"> 0.37 </w:t>
            </w:r>
          </w:p>
        </w:tc>
        <w:tc>
          <w:tcPr>
            <w:tcW w:w="1793" w:type="dxa"/>
          </w:tcPr>
          <w:p w14:paraId="637B9D1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2.49 </w:t>
            </w:r>
            <w:r w:rsidRPr="00481542">
              <w:rPr>
                <w:rFonts w:cs="ÄÂ'FAøF÷"/>
              </w:rPr>
              <w:t xml:space="preserve">± </w:t>
            </w:r>
            <w:r w:rsidRPr="00481542">
              <w:t xml:space="preserve"> 0.32</w:t>
            </w:r>
          </w:p>
        </w:tc>
        <w:tc>
          <w:tcPr>
            <w:tcW w:w="1793" w:type="dxa"/>
          </w:tcPr>
          <w:p w14:paraId="184649CF"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2.14 </w:t>
            </w:r>
            <w:r w:rsidRPr="00481542">
              <w:rPr>
                <w:rFonts w:cs="ÄÂ'FAøF÷"/>
              </w:rPr>
              <w:t xml:space="preserve">± </w:t>
            </w:r>
            <w:r w:rsidRPr="00481542">
              <w:t xml:space="preserve"> 0.27 </w:t>
            </w:r>
          </w:p>
        </w:tc>
        <w:tc>
          <w:tcPr>
            <w:tcW w:w="1793" w:type="dxa"/>
          </w:tcPr>
          <w:p w14:paraId="5B8A447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2.03 </w:t>
            </w:r>
            <w:r w:rsidRPr="00481542">
              <w:rPr>
                <w:rFonts w:cs="ÄÂ'FAøF÷"/>
              </w:rPr>
              <w:t xml:space="preserve">± </w:t>
            </w:r>
            <w:r w:rsidRPr="00481542">
              <w:t xml:space="preserve"> 0.28</w:t>
            </w:r>
          </w:p>
        </w:tc>
      </w:tr>
      <w:tr w:rsidR="00AE1580" w:rsidRPr="00481542" w14:paraId="3F62179A"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5D0256C1" w14:textId="77777777" w:rsidR="00AE1580" w:rsidRPr="00481542" w:rsidRDefault="00AE1580" w:rsidP="00607D26">
            <w:r w:rsidRPr="00481542">
              <w:t>Tmax  (h)</w:t>
            </w:r>
          </w:p>
        </w:tc>
        <w:tc>
          <w:tcPr>
            <w:tcW w:w="1509" w:type="dxa"/>
          </w:tcPr>
          <w:p w14:paraId="3DC71A6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0.35 </w:t>
            </w:r>
            <w:r w:rsidRPr="00481542">
              <w:rPr>
                <w:rFonts w:cs="ÄÂ'FAøF÷"/>
              </w:rPr>
              <w:t xml:space="preserve">± </w:t>
            </w:r>
            <w:r w:rsidRPr="00481542">
              <w:t xml:space="preserve"> 0.23 </w:t>
            </w:r>
          </w:p>
        </w:tc>
        <w:tc>
          <w:tcPr>
            <w:tcW w:w="1793" w:type="dxa"/>
          </w:tcPr>
          <w:p w14:paraId="1A4DD28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0.34 </w:t>
            </w:r>
            <w:r w:rsidRPr="00481542">
              <w:rPr>
                <w:rFonts w:cs="ÄÂ'FAøF÷"/>
              </w:rPr>
              <w:t xml:space="preserve">± </w:t>
            </w:r>
            <w:r w:rsidRPr="00481542">
              <w:t xml:space="preserve"> 0.20</w:t>
            </w:r>
          </w:p>
        </w:tc>
        <w:tc>
          <w:tcPr>
            <w:tcW w:w="1793" w:type="dxa"/>
          </w:tcPr>
          <w:p w14:paraId="3691E2A7"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0.43 </w:t>
            </w:r>
            <w:r w:rsidRPr="00481542">
              <w:rPr>
                <w:rFonts w:cs="ÄÂ'FAøF÷"/>
              </w:rPr>
              <w:t xml:space="preserve">± </w:t>
            </w:r>
            <w:r w:rsidRPr="00481542">
              <w:t xml:space="preserve"> 0.28 </w:t>
            </w:r>
          </w:p>
        </w:tc>
        <w:tc>
          <w:tcPr>
            <w:tcW w:w="1793" w:type="dxa"/>
          </w:tcPr>
          <w:p w14:paraId="15B0EC33"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0.41 </w:t>
            </w:r>
            <w:r w:rsidRPr="00481542">
              <w:rPr>
                <w:rFonts w:cs="ÄÂ'FAøF÷"/>
              </w:rPr>
              <w:t xml:space="preserve">± </w:t>
            </w:r>
            <w:r w:rsidRPr="00481542">
              <w:t xml:space="preserve"> 0.27</w:t>
            </w:r>
          </w:p>
        </w:tc>
      </w:tr>
      <w:tr w:rsidR="00AE1580" w:rsidRPr="00481542" w14:paraId="5110D3C2"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313035D4" w14:textId="77777777" w:rsidR="00AE1580" w:rsidRPr="00481542" w:rsidRDefault="00AE1580" w:rsidP="00607D26">
            <w:r w:rsidRPr="00481542">
              <w:t>T1/2  (h)</w:t>
            </w:r>
          </w:p>
        </w:tc>
        <w:tc>
          <w:tcPr>
            <w:tcW w:w="1509" w:type="dxa"/>
          </w:tcPr>
          <w:p w14:paraId="218DD96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14.7 </w:t>
            </w:r>
            <w:r w:rsidRPr="00481542">
              <w:rPr>
                <w:rFonts w:cs="ÄÂ'FAøF÷"/>
              </w:rPr>
              <w:t xml:space="preserve">± </w:t>
            </w:r>
            <w:r w:rsidRPr="00481542">
              <w:t xml:space="preserve"> 10.0 </w:t>
            </w:r>
          </w:p>
        </w:tc>
        <w:tc>
          <w:tcPr>
            <w:tcW w:w="1793" w:type="dxa"/>
          </w:tcPr>
          <w:p w14:paraId="59DA715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16.1 </w:t>
            </w:r>
            <w:r w:rsidRPr="00481542">
              <w:rPr>
                <w:rFonts w:cs="ÄÂ'FAøF÷"/>
              </w:rPr>
              <w:t xml:space="preserve">± </w:t>
            </w:r>
            <w:r w:rsidRPr="00481542">
              <w:t xml:space="preserve"> 5.9</w:t>
            </w:r>
          </w:p>
        </w:tc>
        <w:tc>
          <w:tcPr>
            <w:tcW w:w="1793" w:type="dxa"/>
          </w:tcPr>
          <w:p w14:paraId="2C3B6C3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17.1 </w:t>
            </w:r>
            <w:r w:rsidRPr="00481542">
              <w:rPr>
                <w:rFonts w:cs="ÄÂ'FAøF÷"/>
              </w:rPr>
              <w:t xml:space="preserve">± </w:t>
            </w:r>
            <w:r w:rsidRPr="00481542">
              <w:t xml:space="preserve"> 11.2 </w:t>
            </w:r>
          </w:p>
        </w:tc>
        <w:tc>
          <w:tcPr>
            <w:tcW w:w="1793" w:type="dxa"/>
          </w:tcPr>
          <w:p w14:paraId="7EB3C17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18.8 </w:t>
            </w:r>
            <w:r w:rsidRPr="00481542">
              <w:rPr>
                <w:rFonts w:cs="ÄÂ'FAøF÷"/>
              </w:rPr>
              <w:t xml:space="preserve">± </w:t>
            </w:r>
            <w:r w:rsidRPr="00481542">
              <w:t xml:space="preserve"> 5.9</w:t>
            </w:r>
          </w:p>
        </w:tc>
      </w:tr>
      <w:tr w:rsidR="00AE1580" w:rsidRPr="00481542" w14:paraId="5F7F590A"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0D988CE0" w14:textId="77777777" w:rsidR="00AE1580" w:rsidRPr="00481542" w:rsidRDefault="00AE1580" w:rsidP="00607D26">
            <w:r w:rsidRPr="00481542">
              <w:t>MRT (h)</w:t>
            </w:r>
          </w:p>
        </w:tc>
        <w:tc>
          <w:tcPr>
            <w:tcW w:w="1509" w:type="dxa"/>
          </w:tcPr>
          <w:p w14:paraId="30612739"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19.5 </w:t>
            </w:r>
            <w:r w:rsidRPr="00481542">
              <w:rPr>
                <w:rFonts w:cs="ÄÂ'FAøF÷"/>
              </w:rPr>
              <w:t xml:space="preserve">± </w:t>
            </w:r>
            <w:r w:rsidRPr="00481542">
              <w:t xml:space="preserve"> 12.0 </w:t>
            </w:r>
          </w:p>
        </w:tc>
        <w:tc>
          <w:tcPr>
            <w:tcW w:w="1793" w:type="dxa"/>
          </w:tcPr>
          <w:p w14:paraId="1A2A71E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20.0 </w:t>
            </w:r>
            <w:r w:rsidRPr="00481542">
              <w:rPr>
                <w:rFonts w:cs="ÄÂ'FAøF÷"/>
              </w:rPr>
              <w:t xml:space="preserve">± </w:t>
            </w:r>
            <w:r w:rsidRPr="00481542">
              <w:t xml:space="preserve"> 5.6</w:t>
            </w:r>
          </w:p>
        </w:tc>
        <w:tc>
          <w:tcPr>
            <w:tcW w:w="1793" w:type="dxa"/>
          </w:tcPr>
          <w:p w14:paraId="695F72B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22.5 </w:t>
            </w:r>
            <w:r w:rsidRPr="00481542">
              <w:rPr>
                <w:rFonts w:cs="ÄÂ'FAøF÷"/>
              </w:rPr>
              <w:t xml:space="preserve">± </w:t>
            </w:r>
            <w:r w:rsidRPr="00481542">
              <w:t xml:space="preserve"> 14.2 </w:t>
            </w:r>
          </w:p>
        </w:tc>
        <w:tc>
          <w:tcPr>
            <w:tcW w:w="1793" w:type="dxa"/>
          </w:tcPr>
          <w:p w14:paraId="0DC1D119"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24.2 </w:t>
            </w:r>
            <w:r w:rsidRPr="00481542">
              <w:rPr>
                <w:rFonts w:cs="ÄÂ'FAøF÷"/>
              </w:rPr>
              <w:t xml:space="preserve">± </w:t>
            </w:r>
            <w:r w:rsidRPr="00481542">
              <w:t xml:space="preserve"> 6.8</w:t>
            </w:r>
          </w:p>
        </w:tc>
      </w:tr>
      <w:tr w:rsidR="00AE1580" w:rsidRPr="00481542" w14:paraId="306BA9AA"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3387ADE0" w14:textId="77777777" w:rsidR="00AE1580" w:rsidRPr="00481542" w:rsidRDefault="00AE1580" w:rsidP="00607D26">
            <w:r w:rsidRPr="00481542">
              <w:t>CL (mL/h/kg)</w:t>
            </w:r>
          </w:p>
        </w:tc>
        <w:tc>
          <w:tcPr>
            <w:tcW w:w="1509" w:type="dxa"/>
          </w:tcPr>
          <w:p w14:paraId="77262AA9"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2.94 </w:t>
            </w:r>
            <w:r w:rsidRPr="00481542">
              <w:rPr>
                <w:rFonts w:cs="ÄÂ'FAøF÷"/>
              </w:rPr>
              <w:t xml:space="preserve">± </w:t>
            </w:r>
            <w:r w:rsidRPr="00481542">
              <w:t xml:space="preserve"> 1.18 </w:t>
            </w:r>
          </w:p>
        </w:tc>
        <w:tc>
          <w:tcPr>
            <w:tcW w:w="1793" w:type="dxa"/>
          </w:tcPr>
          <w:p w14:paraId="0E3F8FC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2.75 </w:t>
            </w:r>
            <w:r w:rsidRPr="00481542">
              <w:rPr>
                <w:rFonts w:cs="ÄÂ'FAøF÷"/>
              </w:rPr>
              <w:t xml:space="preserve">± </w:t>
            </w:r>
            <w:r w:rsidRPr="00481542">
              <w:t xml:space="preserve"> 0.64</w:t>
            </w:r>
          </w:p>
        </w:tc>
        <w:tc>
          <w:tcPr>
            <w:tcW w:w="1793" w:type="dxa"/>
          </w:tcPr>
          <w:p w14:paraId="377AAA6B"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2.96 </w:t>
            </w:r>
            <w:r w:rsidRPr="00481542">
              <w:rPr>
                <w:rFonts w:cs="ÄÂ'FAøF÷"/>
              </w:rPr>
              <w:t xml:space="preserve">± </w:t>
            </w:r>
            <w:r w:rsidRPr="00481542">
              <w:t xml:space="preserve"> 0.97 </w:t>
            </w:r>
          </w:p>
        </w:tc>
        <w:tc>
          <w:tcPr>
            <w:tcW w:w="1793" w:type="dxa"/>
          </w:tcPr>
          <w:p w14:paraId="77E8936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2.82 </w:t>
            </w:r>
            <w:r w:rsidRPr="00481542">
              <w:rPr>
                <w:rFonts w:cs="ÄÂ'FAøF÷"/>
              </w:rPr>
              <w:t xml:space="preserve">± </w:t>
            </w:r>
            <w:r w:rsidRPr="00481542">
              <w:t xml:space="preserve"> 0.72</w:t>
            </w:r>
          </w:p>
        </w:tc>
      </w:tr>
      <w:tr w:rsidR="00AE1580" w:rsidRPr="00481542" w14:paraId="091B1402" w14:textId="77777777" w:rsidTr="00607D26">
        <w:tc>
          <w:tcPr>
            <w:cnfStyle w:val="001000000000" w:firstRow="0" w:lastRow="0" w:firstColumn="1" w:lastColumn="0" w:oddVBand="0" w:evenVBand="0" w:oddHBand="0" w:evenHBand="0" w:firstRowFirstColumn="0" w:firstRowLastColumn="0" w:lastRowFirstColumn="0" w:lastRowLastColumn="0"/>
            <w:tcW w:w="2660" w:type="dxa"/>
          </w:tcPr>
          <w:p w14:paraId="2D58B11B" w14:textId="77777777" w:rsidR="00AE1580" w:rsidRPr="00481542" w:rsidRDefault="00AE1580" w:rsidP="00607D26">
            <w:r w:rsidRPr="00481542">
              <w:t>Vss  (mL/kg)</w:t>
            </w:r>
          </w:p>
        </w:tc>
        <w:tc>
          <w:tcPr>
            <w:tcW w:w="1509" w:type="dxa"/>
          </w:tcPr>
          <w:p w14:paraId="3E8F243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49.6 </w:t>
            </w:r>
            <w:r w:rsidRPr="00481542">
              <w:rPr>
                <w:rFonts w:cs="ÄÂ'FAøF÷"/>
              </w:rPr>
              <w:t xml:space="preserve">± </w:t>
            </w:r>
            <w:r w:rsidRPr="00481542">
              <w:t xml:space="preserve"> 17.3 </w:t>
            </w:r>
          </w:p>
        </w:tc>
        <w:tc>
          <w:tcPr>
            <w:tcW w:w="1793" w:type="dxa"/>
          </w:tcPr>
          <w:p w14:paraId="146C14F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53.3 </w:t>
            </w:r>
            <w:r w:rsidRPr="00481542">
              <w:rPr>
                <w:rFonts w:cs="ÄÂ'FAøF÷"/>
              </w:rPr>
              <w:t xml:space="preserve">± </w:t>
            </w:r>
            <w:r w:rsidRPr="00481542">
              <w:t xml:space="preserve"> 13.6</w:t>
            </w:r>
          </w:p>
        </w:tc>
        <w:tc>
          <w:tcPr>
            <w:tcW w:w="1793" w:type="dxa"/>
          </w:tcPr>
          <w:p w14:paraId="116C0A5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59.8 </w:t>
            </w:r>
            <w:r w:rsidRPr="00481542">
              <w:rPr>
                <w:rFonts w:cs="ÄÂ'FAøF÷"/>
              </w:rPr>
              <w:t xml:space="preserve">± </w:t>
            </w:r>
            <w:r w:rsidRPr="00481542">
              <w:t xml:space="preserve"> 19.8 </w:t>
            </w:r>
          </w:p>
        </w:tc>
        <w:tc>
          <w:tcPr>
            <w:tcW w:w="1793" w:type="dxa"/>
          </w:tcPr>
          <w:p w14:paraId="78D471B5"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64.8 </w:t>
            </w:r>
            <w:r w:rsidRPr="00481542">
              <w:rPr>
                <w:rFonts w:cs="ÄÂ'FAøF÷"/>
              </w:rPr>
              <w:t xml:space="preserve">± </w:t>
            </w:r>
            <w:r w:rsidRPr="00481542">
              <w:t xml:space="preserve"> 12.8</w:t>
            </w:r>
          </w:p>
        </w:tc>
      </w:tr>
    </w:tbl>
    <w:p w14:paraId="6B8F366A" w14:textId="77777777" w:rsidR="000F04AF" w:rsidRDefault="00AE1580" w:rsidP="00326EE9">
      <w:pPr>
        <w:ind w:left="1134" w:hanging="1134"/>
      </w:pPr>
      <w:r w:rsidRPr="00326EE9">
        <w:t>Comment:</w:t>
      </w:r>
      <w:r w:rsidRPr="00326EE9">
        <w:tab/>
        <w:t>FVIII</w:t>
      </w:r>
      <w:proofErr w:type="gramStart"/>
      <w:r w:rsidRPr="00326EE9">
        <w:t>:C</w:t>
      </w:r>
      <w:proofErr w:type="gramEnd"/>
      <w:r w:rsidRPr="00326EE9">
        <w:t xml:space="preserve"> levels over time were virtually identical for simoctocog alfa and </w:t>
      </w:r>
      <w:r w:rsidR="00051AEE">
        <w:t>full-length rFVIII BHK</w:t>
      </w:r>
      <w:r w:rsidRPr="00326EE9">
        <w:t>, as determined by both the CHR and OS assays. However, FVIII</w:t>
      </w:r>
      <w:proofErr w:type="gramStart"/>
      <w:r w:rsidRPr="00326EE9">
        <w:t>:C</w:t>
      </w:r>
      <w:proofErr w:type="gramEnd"/>
      <w:r w:rsidRPr="00326EE9">
        <w:t xml:space="preserve"> levels determined by the OS assay were generally lower at all time points compared with corresponding levels determined by the CHR assay. In Part 1 (PK), when measured by the OS assay the mean dosage of </w:t>
      </w:r>
      <w:r w:rsidR="00051AEE">
        <w:t>full-length rFVIII BHK</w:t>
      </w:r>
      <w:r w:rsidRPr="00326EE9">
        <w:t>was approximately 16 IU/kg higher than the mean dosage of simoctocog alfa, but when measured by the CHR assay it was approximately 2 IU/kg lower. The two products were bioequivalent based on the geometric mean ratios of the AUC</w:t>
      </w:r>
      <w:r w:rsidRPr="00326EE9">
        <w:rPr>
          <w:vertAlign w:val="subscript"/>
        </w:rPr>
        <w:t>norm</w:t>
      </w:r>
      <w:r w:rsidRPr="00326EE9">
        <w:t xml:space="preserve"> determined by both the CHR and the OS assays. The results for the secondary PK endpoints were similar for the two products when determined by both the CHR and the OS assays. There were some differences in the results for the secondary PK parameters of simoctocog alfa when measured by the CHR and OS assays. However, these differences are unlikely to be clinically significant.</w:t>
      </w:r>
    </w:p>
    <w:p w14:paraId="6E94BC63" w14:textId="5023D940" w:rsidR="00AE1580" w:rsidRPr="00607D26" w:rsidRDefault="00AE1580" w:rsidP="00EA445D">
      <w:pPr>
        <w:pStyle w:val="Numberbullet2"/>
      </w:pPr>
      <w:r w:rsidRPr="00607D26">
        <w:t>Pharmacokinetic parameters for simoctocog alfa - 6 months after initiation of treatment</w:t>
      </w:r>
    </w:p>
    <w:p w14:paraId="35F4BE20" w14:textId="77777777" w:rsidR="000F04AF" w:rsidRDefault="00AE1580" w:rsidP="00607D26">
      <w:r w:rsidRPr="00E6220F">
        <w:t xml:space="preserve">The PK parameters following </w:t>
      </w:r>
      <w:r>
        <w:t xml:space="preserve">simoctocog alfa </w:t>
      </w:r>
      <w:r w:rsidRPr="00E6220F">
        <w:t xml:space="preserve">administration were also assessed 6 months after the study start in 21 patients (PK-6m-PP). For this PK assessment, the mean±SD actual </w:t>
      </w:r>
      <w:r>
        <w:t xml:space="preserve">simoctocog alfa </w:t>
      </w:r>
      <w:r w:rsidRPr="00E6220F">
        <w:t xml:space="preserve">dose </w:t>
      </w:r>
      <w:r>
        <w:t xml:space="preserve">was 58.5±4.8 IU/kg as determined by the CHR assay, </w:t>
      </w:r>
      <w:r w:rsidRPr="00E6220F">
        <w:t xml:space="preserve">and 49.8±4.0 IU/kg as </w:t>
      </w:r>
      <w:r>
        <w:t>determined</w:t>
      </w:r>
      <w:r w:rsidRPr="00E6220F">
        <w:t xml:space="preserve"> by the OS assay. FVIII</w:t>
      </w:r>
      <w:r w:rsidR="00CB4053">
        <w:t>:</w:t>
      </w:r>
      <w:r w:rsidRPr="00E6220F">
        <w:t xml:space="preserve">C </w:t>
      </w:r>
      <w:r>
        <w:t xml:space="preserve">levels (mean±SD) versus time profiles through to 48 hours and standardised to 50 IU/kg for simoctocog alfa </w:t>
      </w:r>
      <w:r w:rsidRPr="00E6220F">
        <w:t xml:space="preserve">were similar at study entry and month 6, as measured by both </w:t>
      </w:r>
      <w:r>
        <w:t xml:space="preserve">CHR and OS </w:t>
      </w:r>
      <w:r w:rsidRPr="00E6220F">
        <w:t xml:space="preserve">assays (see Figure </w:t>
      </w:r>
      <w:r>
        <w:t>2</w:t>
      </w:r>
      <w:r w:rsidRPr="00E6220F">
        <w:t>, below).</w:t>
      </w:r>
    </w:p>
    <w:p w14:paraId="5FEA7517" w14:textId="77777777" w:rsidR="000F04AF" w:rsidRDefault="00AE1580" w:rsidP="00334590">
      <w:pPr>
        <w:pStyle w:val="FigureTitle"/>
      </w:pPr>
      <w:bookmarkStart w:id="30" w:name="_Toc248202607"/>
      <w:r>
        <w:lastRenderedPageBreak/>
        <w:t xml:space="preserve">Figure </w:t>
      </w:r>
      <w:r w:rsidR="00334590">
        <w:t>2</w:t>
      </w:r>
      <w:r>
        <w:t>: GENA-01 - FVIII</w:t>
      </w:r>
      <w:proofErr w:type="gramStart"/>
      <w:r>
        <w:t>:C</w:t>
      </w:r>
      <w:proofErr w:type="gramEnd"/>
      <w:r>
        <w:t xml:space="preserve"> levels (IU/mL, mean</w:t>
      </w:r>
      <w:r w:rsidRPr="00BE65E3">
        <w:t>±</w:t>
      </w:r>
      <w:r>
        <w:t>SD) at study entry and at month 6, standardised to 50 IU/kg for both the CHR and the OS assays; PK-6m-PK population, n=21.</w:t>
      </w:r>
      <w:bookmarkEnd w:id="30"/>
    </w:p>
    <w:p w14:paraId="40DADA5E" w14:textId="092EB535" w:rsidR="00AE1580" w:rsidRDefault="00AE1580" w:rsidP="00607D26">
      <w:r>
        <w:rPr>
          <w:noProof/>
          <w:lang w:eastAsia="en-AU"/>
        </w:rPr>
        <w:drawing>
          <wp:inline distT="0" distB="0" distL="0" distR="0" wp14:anchorId="210FE25D" wp14:editId="796BDD41">
            <wp:extent cx="5280025" cy="3571875"/>
            <wp:effectExtent l="0" t="0" r="0" b="0"/>
            <wp:docPr id="13" name="Picture 8" descr="Figure 2: GENA-01 - FVIII:C levels (IU/mL, mean±SD) at study entry and at month 6, standardised to 50 IU/kg for both the CHR and the OS assays; PK-6m-PK population, n=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0025" cy="3571875"/>
                    </a:xfrm>
                    <a:prstGeom prst="rect">
                      <a:avLst/>
                    </a:prstGeom>
                    <a:noFill/>
                    <a:ln>
                      <a:noFill/>
                    </a:ln>
                  </pic:spPr>
                </pic:pic>
              </a:graphicData>
            </a:graphic>
          </wp:inline>
        </w:drawing>
      </w:r>
    </w:p>
    <w:p w14:paraId="0DE1474A" w14:textId="77777777" w:rsidR="000F04AF" w:rsidRDefault="00AE1580" w:rsidP="00AE1580">
      <w:pPr>
        <w:widowControl w:val="0"/>
        <w:autoSpaceDE w:val="0"/>
        <w:autoSpaceDN w:val="0"/>
        <w:adjustRightInd w:val="0"/>
      </w:pPr>
      <w:r w:rsidRPr="001C49E8">
        <w:t xml:space="preserve">The PK parameters </w:t>
      </w:r>
      <w:r>
        <w:t>for</w:t>
      </w:r>
      <w:r w:rsidRPr="001C49E8">
        <w:t xml:space="preserve"> </w:t>
      </w:r>
      <w:r>
        <w:t xml:space="preserve">simoctocog alfa </w:t>
      </w:r>
      <w:r w:rsidRPr="001C49E8">
        <w:t xml:space="preserve">at 6 months after the study start in 21 patients (PK-6m-PP) are summarised below in Table </w:t>
      </w:r>
      <w:r>
        <w:t xml:space="preserve">4, </w:t>
      </w:r>
      <w:r w:rsidRPr="001C49E8">
        <w:t xml:space="preserve">as are geometric mean ratios (90% CI) for month 6 relative to Cycle 1 </w:t>
      </w:r>
      <w:r>
        <w:t>(study start) in</w:t>
      </w:r>
      <w:r w:rsidRPr="001C49E8">
        <w:t xml:space="preserve"> the 21 patients in the PP-PK with data at both time-points.</w:t>
      </w:r>
    </w:p>
    <w:p w14:paraId="16E3C81B" w14:textId="6F369F1D" w:rsidR="00AE1580" w:rsidRDefault="00AE1580" w:rsidP="002E6DC5">
      <w:pPr>
        <w:pStyle w:val="Tabletitle"/>
      </w:pPr>
      <w:bookmarkStart w:id="31" w:name="_Toc248202522"/>
      <w:r>
        <w:t xml:space="preserve">Table </w:t>
      </w:r>
      <w:r w:rsidR="00A84DFC">
        <w:fldChar w:fldCharType="begin"/>
      </w:r>
      <w:r w:rsidR="00ED655E">
        <w:instrText xml:space="preserve"> SEQ Table \* ARABIC </w:instrText>
      </w:r>
      <w:r w:rsidR="00A84DFC">
        <w:fldChar w:fldCharType="separate"/>
      </w:r>
      <w:r w:rsidR="007553C1">
        <w:rPr>
          <w:noProof/>
        </w:rPr>
        <w:t>4</w:t>
      </w:r>
      <w:r w:rsidR="00A84DFC">
        <w:rPr>
          <w:noProof/>
        </w:rPr>
        <w:fldChar w:fldCharType="end"/>
      </w:r>
      <w:r>
        <w:t>: GENA-01 - PK parameters for simoctocog alfa measured by both assays at month 6 (PK-6m-PP; n=21), and geometric mean (Gmean [90% CI]) ratios at 6 months relative to study start (PK-PP; n=21).</w:t>
      </w:r>
      <w:bookmarkEnd w:id="31"/>
    </w:p>
    <w:tbl>
      <w:tblPr>
        <w:tblStyle w:val="TableTGAblue"/>
        <w:tblW w:w="0" w:type="auto"/>
        <w:tblLook w:val="04A0" w:firstRow="1" w:lastRow="0" w:firstColumn="1" w:lastColumn="0" w:noHBand="0" w:noVBand="1"/>
      </w:tblPr>
      <w:tblGrid>
        <w:gridCol w:w="2490"/>
        <w:gridCol w:w="1584"/>
        <w:gridCol w:w="1584"/>
        <w:gridCol w:w="1792"/>
        <w:gridCol w:w="1792"/>
      </w:tblGrid>
      <w:tr w:rsidR="00AE1580" w:rsidRPr="00481542" w14:paraId="72EEFB62" w14:textId="77777777" w:rsidTr="00326E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3B8062A4" w14:textId="77777777" w:rsidR="00AE1580" w:rsidRPr="00481542" w:rsidRDefault="00AE1580" w:rsidP="00607D26">
            <w:r w:rsidRPr="00481542">
              <w:t xml:space="preserve">Parameter </w:t>
            </w:r>
          </w:p>
        </w:tc>
        <w:tc>
          <w:tcPr>
            <w:tcW w:w="1630" w:type="dxa"/>
          </w:tcPr>
          <w:p w14:paraId="4754F536"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CHR - 6 months</w:t>
            </w:r>
          </w:p>
        </w:tc>
        <w:tc>
          <w:tcPr>
            <w:tcW w:w="1630" w:type="dxa"/>
          </w:tcPr>
          <w:p w14:paraId="214FE4F9"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OS - 6 months</w:t>
            </w:r>
          </w:p>
        </w:tc>
        <w:tc>
          <w:tcPr>
            <w:tcW w:w="1885" w:type="dxa"/>
          </w:tcPr>
          <w:p w14:paraId="110FDB75"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 xml:space="preserve">Gmean Ratio (CHR)  </w:t>
            </w:r>
          </w:p>
        </w:tc>
        <w:tc>
          <w:tcPr>
            <w:tcW w:w="1885" w:type="dxa"/>
          </w:tcPr>
          <w:p w14:paraId="2862D76B" w14:textId="77777777" w:rsidR="00AE1580" w:rsidRPr="00481542" w:rsidRDefault="00AE1580" w:rsidP="00607D26">
            <w:pPr>
              <w:cnfStyle w:val="100000000000" w:firstRow="1" w:lastRow="0" w:firstColumn="0" w:lastColumn="0" w:oddVBand="0" w:evenVBand="0" w:oddHBand="0" w:evenHBand="0" w:firstRowFirstColumn="0" w:firstRowLastColumn="0" w:lastRowFirstColumn="0" w:lastRowLastColumn="0"/>
            </w:pPr>
            <w:r w:rsidRPr="00481542">
              <w:t>Gmean Ratio (OS)</w:t>
            </w:r>
          </w:p>
        </w:tc>
      </w:tr>
      <w:tr w:rsidR="00AE1580" w:rsidRPr="00481542" w14:paraId="0D6B5DE3"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552EE4CC" w14:textId="77777777" w:rsidR="00AE1580" w:rsidRPr="00481542" w:rsidRDefault="00AE1580" w:rsidP="00607D26">
            <w:r w:rsidRPr="00481542">
              <w:t>AUC (h·IU/mL)</w:t>
            </w:r>
          </w:p>
        </w:tc>
        <w:tc>
          <w:tcPr>
            <w:tcW w:w="1630" w:type="dxa"/>
          </w:tcPr>
          <w:p w14:paraId="030C4C3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21.24 </w:t>
            </w:r>
            <w:r w:rsidRPr="00481542">
              <w:rPr>
                <w:rFonts w:cs="ÄÂ'FAøF÷"/>
              </w:rPr>
              <w:t xml:space="preserve">± </w:t>
            </w:r>
            <w:r w:rsidRPr="00481542">
              <w:t xml:space="preserve"> 8.81</w:t>
            </w:r>
          </w:p>
        </w:tc>
        <w:tc>
          <w:tcPr>
            <w:tcW w:w="1630" w:type="dxa"/>
          </w:tcPr>
          <w:p w14:paraId="09D589B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16.86 </w:t>
            </w:r>
            <w:r w:rsidRPr="00481542">
              <w:rPr>
                <w:rFonts w:cs="ÄÂ'FAøF÷"/>
              </w:rPr>
              <w:t xml:space="preserve">± </w:t>
            </w:r>
            <w:r w:rsidRPr="00481542">
              <w:t xml:space="preserve"> 6.12</w:t>
            </w:r>
          </w:p>
        </w:tc>
        <w:tc>
          <w:tcPr>
            <w:tcW w:w="1885" w:type="dxa"/>
          </w:tcPr>
          <w:p w14:paraId="6011FFBC"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w:t>
            </w:r>
          </w:p>
        </w:tc>
        <w:tc>
          <w:tcPr>
            <w:tcW w:w="1885" w:type="dxa"/>
          </w:tcPr>
          <w:p w14:paraId="2D8CCB9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w:t>
            </w:r>
          </w:p>
        </w:tc>
      </w:tr>
      <w:tr w:rsidR="00AE1580" w:rsidRPr="00481542" w14:paraId="23D2950D"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6AFD94DF" w14:textId="77777777" w:rsidR="00AE1580" w:rsidRPr="00FA6DF5" w:rsidRDefault="00A84DFC" w:rsidP="00607D26">
            <w:pPr>
              <w:rPr>
                <w:lang w:val="de-CH"/>
              </w:rPr>
            </w:pPr>
            <w:r w:rsidRPr="00232C15">
              <w:t>AUCnorm (h·IU/mL/[IU/kg])</w:t>
            </w:r>
          </w:p>
        </w:tc>
        <w:tc>
          <w:tcPr>
            <w:tcW w:w="1630" w:type="dxa"/>
          </w:tcPr>
          <w:p w14:paraId="1D450CD3"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0.36 </w:t>
            </w:r>
            <w:r w:rsidRPr="00481542">
              <w:rPr>
                <w:rFonts w:cs="ÄÂ'FAøF÷"/>
              </w:rPr>
              <w:t xml:space="preserve">± </w:t>
            </w:r>
            <w:r w:rsidRPr="00481542">
              <w:t xml:space="preserve"> 0.13</w:t>
            </w:r>
          </w:p>
        </w:tc>
        <w:tc>
          <w:tcPr>
            <w:tcW w:w="1630" w:type="dxa"/>
          </w:tcPr>
          <w:p w14:paraId="7D09BE02"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0.34 </w:t>
            </w:r>
            <w:r w:rsidRPr="00481542">
              <w:rPr>
                <w:rFonts w:cs="ÄÂ'FAøF÷"/>
              </w:rPr>
              <w:t xml:space="preserve">± </w:t>
            </w:r>
            <w:r w:rsidRPr="00481542">
              <w:t xml:space="preserve"> 0.11</w:t>
            </w:r>
          </w:p>
        </w:tc>
        <w:tc>
          <w:tcPr>
            <w:tcW w:w="1885" w:type="dxa"/>
          </w:tcPr>
          <w:p w14:paraId="79CB5E3D"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0.90 [0.808, 1.009]</w:t>
            </w:r>
          </w:p>
        </w:tc>
        <w:tc>
          <w:tcPr>
            <w:tcW w:w="1885" w:type="dxa"/>
          </w:tcPr>
          <w:p w14:paraId="09EB52C2"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0.88 [0.795, 0.970]</w:t>
            </w:r>
          </w:p>
        </w:tc>
      </w:tr>
      <w:tr w:rsidR="00AE1580" w:rsidRPr="00481542" w14:paraId="2BA06FF7"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60ACCC84" w14:textId="77777777" w:rsidR="00AE1580" w:rsidRPr="00481542" w:rsidRDefault="00AE1580" w:rsidP="00607D26">
            <w:r w:rsidRPr="00481542">
              <w:t>Cmax  (IU/mL)</w:t>
            </w:r>
          </w:p>
        </w:tc>
        <w:tc>
          <w:tcPr>
            <w:tcW w:w="1630" w:type="dxa"/>
          </w:tcPr>
          <w:p w14:paraId="602ED80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1.42 </w:t>
            </w:r>
            <w:r w:rsidRPr="00481542">
              <w:rPr>
                <w:rFonts w:cs="ÄÂ'FAøF÷"/>
              </w:rPr>
              <w:t xml:space="preserve">± </w:t>
            </w:r>
            <w:r w:rsidRPr="00481542">
              <w:t xml:space="preserve"> 0.39</w:t>
            </w:r>
          </w:p>
        </w:tc>
        <w:tc>
          <w:tcPr>
            <w:tcW w:w="1630" w:type="dxa"/>
          </w:tcPr>
          <w:p w14:paraId="0021F92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1.04 </w:t>
            </w:r>
            <w:r w:rsidRPr="00481542">
              <w:rPr>
                <w:rFonts w:cs="ÄÂ'FAøF÷"/>
              </w:rPr>
              <w:t xml:space="preserve">± </w:t>
            </w:r>
            <w:r w:rsidRPr="00481542">
              <w:t xml:space="preserve"> 0.20</w:t>
            </w:r>
          </w:p>
        </w:tc>
        <w:tc>
          <w:tcPr>
            <w:tcW w:w="1885" w:type="dxa"/>
          </w:tcPr>
          <w:p w14:paraId="326035F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w:t>
            </w:r>
          </w:p>
        </w:tc>
        <w:tc>
          <w:tcPr>
            <w:tcW w:w="1885" w:type="dxa"/>
          </w:tcPr>
          <w:p w14:paraId="30042F89"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w:t>
            </w:r>
          </w:p>
        </w:tc>
      </w:tr>
      <w:tr w:rsidR="00AE1580" w:rsidRPr="00481542" w14:paraId="6342A1E7"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44F41E5D" w14:textId="77777777" w:rsidR="00AE1580" w:rsidRPr="00481542" w:rsidRDefault="00AE1580" w:rsidP="00607D26">
            <w:r w:rsidRPr="00481542">
              <w:t>Cmax</w:t>
            </w:r>
            <w:r>
              <w:t>.</w:t>
            </w:r>
            <w:r w:rsidRPr="00481542">
              <w:t>norm (IU/mL/[IU/kg])</w:t>
            </w:r>
          </w:p>
        </w:tc>
        <w:tc>
          <w:tcPr>
            <w:tcW w:w="1630" w:type="dxa"/>
          </w:tcPr>
          <w:p w14:paraId="643DA223"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0.024 </w:t>
            </w:r>
            <w:r w:rsidRPr="00481542">
              <w:rPr>
                <w:rFonts w:cs="ÄÂ'FAøF÷"/>
              </w:rPr>
              <w:t xml:space="preserve">± </w:t>
            </w:r>
            <w:r w:rsidRPr="00481542">
              <w:t xml:space="preserve"> 0.005</w:t>
            </w:r>
          </w:p>
        </w:tc>
        <w:tc>
          <w:tcPr>
            <w:tcW w:w="1630" w:type="dxa"/>
          </w:tcPr>
          <w:p w14:paraId="2B81F61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0.021 </w:t>
            </w:r>
            <w:r w:rsidRPr="00481542">
              <w:rPr>
                <w:rFonts w:cs="ÄÂ'FAøF÷"/>
              </w:rPr>
              <w:t xml:space="preserve">± </w:t>
            </w:r>
            <w:r w:rsidRPr="00481542">
              <w:t xml:space="preserve"> 0.003</w:t>
            </w:r>
          </w:p>
        </w:tc>
        <w:tc>
          <w:tcPr>
            <w:tcW w:w="1885" w:type="dxa"/>
          </w:tcPr>
          <w:p w14:paraId="33CA1D2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0.94 [0.868, 1.027]</w:t>
            </w:r>
          </w:p>
        </w:tc>
        <w:tc>
          <w:tcPr>
            <w:tcW w:w="1885" w:type="dxa"/>
          </w:tcPr>
          <w:p w14:paraId="6BCE453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0.95 [0.880, 1.019]</w:t>
            </w:r>
          </w:p>
        </w:tc>
      </w:tr>
      <w:tr w:rsidR="00AE1580" w:rsidRPr="00481542" w14:paraId="66F0E143"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0E4A010C" w14:textId="77777777" w:rsidR="00AE1580" w:rsidRPr="00481542" w:rsidRDefault="00AE1580" w:rsidP="00607D26">
            <w:r w:rsidRPr="00481542">
              <w:t>IVR (% per IU/kg)</w:t>
            </w:r>
          </w:p>
        </w:tc>
        <w:tc>
          <w:tcPr>
            <w:tcW w:w="1630" w:type="dxa"/>
          </w:tcPr>
          <w:p w14:paraId="4816F2F0"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2.37 </w:t>
            </w:r>
            <w:r w:rsidRPr="00481542">
              <w:rPr>
                <w:rFonts w:cs="ÄÂ'FAøF÷"/>
              </w:rPr>
              <w:t xml:space="preserve">± </w:t>
            </w:r>
            <w:r w:rsidRPr="00481542">
              <w:t xml:space="preserve"> 0.49</w:t>
            </w:r>
          </w:p>
        </w:tc>
        <w:tc>
          <w:tcPr>
            <w:tcW w:w="1630" w:type="dxa"/>
          </w:tcPr>
          <w:p w14:paraId="3372C94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2.05 </w:t>
            </w:r>
            <w:r w:rsidRPr="00481542">
              <w:rPr>
                <w:rFonts w:cs="ÄÂ'FAøF÷"/>
              </w:rPr>
              <w:t xml:space="preserve">± </w:t>
            </w:r>
            <w:r w:rsidRPr="00481542">
              <w:t xml:space="preserve"> 0.31</w:t>
            </w:r>
          </w:p>
        </w:tc>
        <w:tc>
          <w:tcPr>
            <w:tcW w:w="1885" w:type="dxa"/>
          </w:tcPr>
          <w:p w14:paraId="559FF4A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0.94 [0.867, 1.023]</w:t>
            </w:r>
          </w:p>
        </w:tc>
        <w:tc>
          <w:tcPr>
            <w:tcW w:w="1885" w:type="dxa"/>
          </w:tcPr>
          <w:p w14:paraId="7479279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0.94 [0.879, 1.015]</w:t>
            </w:r>
          </w:p>
        </w:tc>
      </w:tr>
      <w:tr w:rsidR="00AE1580" w:rsidRPr="00481542" w14:paraId="77AB173B"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41FEA8AC" w14:textId="0A5248A4" w:rsidR="00AE1580" w:rsidRPr="00481542" w:rsidRDefault="00AE1580" w:rsidP="00607D26">
            <w:r w:rsidRPr="00481542">
              <w:t>Tmax (h)</w:t>
            </w:r>
          </w:p>
        </w:tc>
        <w:tc>
          <w:tcPr>
            <w:tcW w:w="1630" w:type="dxa"/>
          </w:tcPr>
          <w:p w14:paraId="6199A673" w14:textId="11B96DA2"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0.32 </w:t>
            </w:r>
            <w:r w:rsidRPr="00481542">
              <w:rPr>
                <w:rFonts w:cs="ÄÂ'FAøF÷"/>
              </w:rPr>
              <w:t xml:space="preserve">± </w:t>
            </w:r>
            <w:r w:rsidRPr="00481542">
              <w:lastRenderedPageBreak/>
              <w:t>0.18</w:t>
            </w:r>
          </w:p>
        </w:tc>
        <w:tc>
          <w:tcPr>
            <w:tcW w:w="1630" w:type="dxa"/>
          </w:tcPr>
          <w:p w14:paraId="5E936D0E" w14:textId="11AFA038"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lastRenderedPageBreak/>
              <w:t xml:space="preserve">0.57 </w:t>
            </w:r>
            <w:r w:rsidRPr="00481542">
              <w:rPr>
                <w:rFonts w:cs="ÄÂ'FAøF÷"/>
              </w:rPr>
              <w:t xml:space="preserve">± </w:t>
            </w:r>
            <w:r w:rsidRPr="00481542">
              <w:lastRenderedPageBreak/>
              <w:t>0.35</w:t>
            </w:r>
          </w:p>
        </w:tc>
        <w:tc>
          <w:tcPr>
            <w:tcW w:w="1885" w:type="dxa"/>
          </w:tcPr>
          <w:p w14:paraId="58CBA5C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lastRenderedPageBreak/>
              <w:t>-</w:t>
            </w:r>
          </w:p>
        </w:tc>
        <w:tc>
          <w:tcPr>
            <w:tcW w:w="1885" w:type="dxa"/>
          </w:tcPr>
          <w:p w14:paraId="17A38828" w14:textId="7F6F6304" w:rsidR="00AE1580" w:rsidRPr="00481542" w:rsidRDefault="00607D26" w:rsidP="00607D26">
            <w:pPr>
              <w:cnfStyle w:val="000000000000" w:firstRow="0" w:lastRow="0" w:firstColumn="0" w:lastColumn="0" w:oddVBand="0" w:evenVBand="0" w:oddHBand="0" w:evenHBand="0" w:firstRowFirstColumn="0" w:firstRowLastColumn="0" w:lastRowFirstColumn="0" w:lastRowLastColumn="0"/>
            </w:pPr>
            <w:r>
              <w:t>-</w:t>
            </w:r>
          </w:p>
        </w:tc>
      </w:tr>
      <w:tr w:rsidR="00AE1580" w:rsidRPr="00481542" w14:paraId="3BA1944C"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79A7352E" w14:textId="77777777" w:rsidR="00AE1580" w:rsidRPr="00481542" w:rsidRDefault="00AE1580" w:rsidP="00607D26">
            <w:r w:rsidRPr="00481542">
              <w:lastRenderedPageBreak/>
              <w:t>T1/2  (h)</w:t>
            </w:r>
          </w:p>
        </w:tc>
        <w:tc>
          <w:tcPr>
            <w:tcW w:w="1630" w:type="dxa"/>
          </w:tcPr>
          <w:p w14:paraId="1EB0249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12.7 </w:t>
            </w:r>
            <w:r w:rsidRPr="00481542">
              <w:rPr>
                <w:rFonts w:cs="ÄÂ'FAøF÷"/>
              </w:rPr>
              <w:t xml:space="preserve">± </w:t>
            </w:r>
            <w:r w:rsidRPr="00481542">
              <w:t xml:space="preserve"> 4.1</w:t>
            </w:r>
          </w:p>
        </w:tc>
        <w:tc>
          <w:tcPr>
            <w:tcW w:w="1630" w:type="dxa"/>
          </w:tcPr>
          <w:p w14:paraId="66779615"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14.1 </w:t>
            </w:r>
            <w:r w:rsidRPr="00481542">
              <w:rPr>
                <w:rFonts w:cs="ÄÂ'FAøF÷"/>
              </w:rPr>
              <w:t xml:space="preserve">± </w:t>
            </w:r>
            <w:r w:rsidRPr="00481542">
              <w:t xml:space="preserve"> 4.7</w:t>
            </w:r>
          </w:p>
        </w:tc>
        <w:tc>
          <w:tcPr>
            <w:tcW w:w="1885" w:type="dxa"/>
          </w:tcPr>
          <w:p w14:paraId="14C58171"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0.92 [0.790, 1.078]</w:t>
            </w:r>
          </w:p>
        </w:tc>
        <w:tc>
          <w:tcPr>
            <w:tcW w:w="1885" w:type="dxa"/>
          </w:tcPr>
          <w:p w14:paraId="78038F69"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0.87 [0.746, 1.023]</w:t>
            </w:r>
          </w:p>
        </w:tc>
      </w:tr>
      <w:tr w:rsidR="00AE1580" w:rsidRPr="00481542" w14:paraId="62DC0610"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40C309D7" w14:textId="77777777" w:rsidR="00AE1580" w:rsidRPr="00481542" w:rsidRDefault="00AE1580" w:rsidP="00607D26">
            <w:r w:rsidRPr="00481542">
              <w:t>MRT (h)</w:t>
            </w:r>
          </w:p>
        </w:tc>
        <w:tc>
          <w:tcPr>
            <w:tcW w:w="1630" w:type="dxa"/>
          </w:tcPr>
          <w:p w14:paraId="155D5BF8"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16.8 </w:t>
            </w:r>
            <w:r w:rsidRPr="00481542">
              <w:rPr>
                <w:rFonts w:cs="ÄÂ'FAøF÷"/>
              </w:rPr>
              <w:t xml:space="preserve">± </w:t>
            </w:r>
            <w:r w:rsidRPr="00481542">
              <w:t xml:space="preserve"> 5.9</w:t>
            </w:r>
          </w:p>
        </w:tc>
        <w:tc>
          <w:tcPr>
            <w:tcW w:w="1630" w:type="dxa"/>
          </w:tcPr>
          <w:p w14:paraId="399DEAEC"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18.8 </w:t>
            </w:r>
            <w:r w:rsidRPr="00481542">
              <w:rPr>
                <w:rFonts w:cs="ÄÂ'FAøF÷"/>
              </w:rPr>
              <w:t xml:space="preserve">± </w:t>
            </w:r>
            <w:r w:rsidRPr="00481542">
              <w:t xml:space="preserve"> 6.8</w:t>
            </w:r>
          </w:p>
        </w:tc>
        <w:tc>
          <w:tcPr>
            <w:tcW w:w="1885" w:type="dxa"/>
          </w:tcPr>
          <w:p w14:paraId="7A4A318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0.91 [0.794, 1.037]</w:t>
            </w:r>
          </w:p>
        </w:tc>
        <w:tc>
          <w:tcPr>
            <w:tcW w:w="1885" w:type="dxa"/>
          </w:tcPr>
          <w:p w14:paraId="0B5BFBE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0.87 [0.756, 1.001]</w:t>
            </w:r>
          </w:p>
        </w:tc>
      </w:tr>
      <w:tr w:rsidR="00AE1580" w:rsidRPr="00481542" w14:paraId="14A8B5AA"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2DE18DA6" w14:textId="77777777" w:rsidR="00AE1580" w:rsidRPr="00481542" w:rsidRDefault="00AE1580" w:rsidP="00607D26">
            <w:r w:rsidRPr="00481542">
              <w:t>CL (mL/h/kg)</w:t>
            </w:r>
          </w:p>
        </w:tc>
        <w:tc>
          <w:tcPr>
            <w:tcW w:w="1630" w:type="dxa"/>
          </w:tcPr>
          <w:p w14:paraId="4103DA1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3.33 </w:t>
            </w:r>
            <w:r w:rsidRPr="00481542">
              <w:rPr>
                <w:rFonts w:cs="ÄÂ'FAøF÷"/>
              </w:rPr>
              <w:t xml:space="preserve">± </w:t>
            </w:r>
            <w:r w:rsidRPr="00481542">
              <w:t xml:space="preserve"> 1.80</w:t>
            </w:r>
          </w:p>
        </w:tc>
        <w:tc>
          <w:tcPr>
            <w:tcW w:w="1630" w:type="dxa"/>
          </w:tcPr>
          <w:p w14:paraId="4BD38F4F"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3.39 </w:t>
            </w:r>
            <w:r w:rsidRPr="00481542">
              <w:rPr>
                <w:rFonts w:cs="ÄÂ'FAøF÷"/>
              </w:rPr>
              <w:t xml:space="preserve">± </w:t>
            </w:r>
            <w:r w:rsidRPr="00481542">
              <w:t xml:space="preserve"> 1.42</w:t>
            </w:r>
          </w:p>
        </w:tc>
        <w:tc>
          <w:tcPr>
            <w:tcW w:w="1885" w:type="dxa"/>
          </w:tcPr>
          <w:p w14:paraId="0E2D9E72"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1.11 [0.991, 1.237]</w:t>
            </w:r>
          </w:p>
        </w:tc>
        <w:tc>
          <w:tcPr>
            <w:tcW w:w="1885" w:type="dxa"/>
          </w:tcPr>
          <w:p w14:paraId="07243F9A"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1.14 [1.031, 1.259]</w:t>
            </w:r>
          </w:p>
        </w:tc>
      </w:tr>
      <w:tr w:rsidR="00AE1580" w:rsidRPr="00481542" w14:paraId="4F97B79D" w14:textId="77777777" w:rsidTr="002E6DC5">
        <w:tc>
          <w:tcPr>
            <w:cnfStyle w:val="001000000000" w:firstRow="0" w:lastRow="0" w:firstColumn="1" w:lastColumn="0" w:oddVBand="0" w:evenVBand="0" w:oddHBand="0" w:evenHBand="0" w:firstRowFirstColumn="0" w:firstRowLastColumn="0" w:lastRowFirstColumn="0" w:lastRowLastColumn="0"/>
            <w:tcW w:w="2518" w:type="dxa"/>
          </w:tcPr>
          <w:p w14:paraId="274DEF82" w14:textId="77777777" w:rsidR="00AE1580" w:rsidRPr="00481542" w:rsidRDefault="00AE1580" w:rsidP="00607D26">
            <w:r w:rsidRPr="00481542">
              <w:t>Vss  (mL/kg)</w:t>
            </w:r>
          </w:p>
        </w:tc>
        <w:tc>
          <w:tcPr>
            <w:tcW w:w="1630" w:type="dxa"/>
          </w:tcPr>
          <w:p w14:paraId="73EA2344"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48.9 </w:t>
            </w:r>
            <w:r w:rsidRPr="00481542">
              <w:rPr>
                <w:rFonts w:cs="ÄÂ'FAøF÷"/>
              </w:rPr>
              <w:t xml:space="preserve">± </w:t>
            </w:r>
            <w:r w:rsidRPr="00481542">
              <w:t xml:space="preserve"> 10.7</w:t>
            </w:r>
          </w:p>
        </w:tc>
        <w:tc>
          <w:tcPr>
            <w:tcW w:w="1630" w:type="dxa"/>
          </w:tcPr>
          <w:p w14:paraId="7857EE1F"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 xml:space="preserve">56.9 </w:t>
            </w:r>
            <w:r w:rsidRPr="00481542">
              <w:rPr>
                <w:rFonts w:cs="ÄÂ'FAøF÷"/>
              </w:rPr>
              <w:t xml:space="preserve">± </w:t>
            </w:r>
            <w:r w:rsidRPr="00481542">
              <w:t xml:space="preserve"> 9.1</w:t>
            </w:r>
          </w:p>
        </w:tc>
        <w:tc>
          <w:tcPr>
            <w:tcW w:w="1885" w:type="dxa"/>
          </w:tcPr>
          <w:p w14:paraId="6057165E"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1.01 [0.906, 1.115]</w:t>
            </w:r>
          </w:p>
        </w:tc>
        <w:tc>
          <w:tcPr>
            <w:tcW w:w="1885" w:type="dxa"/>
          </w:tcPr>
          <w:p w14:paraId="0801FEC6" w14:textId="77777777" w:rsidR="00AE1580" w:rsidRPr="00481542" w:rsidRDefault="00AE1580" w:rsidP="00607D26">
            <w:pPr>
              <w:cnfStyle w:val="000000000000" w:firstRow="0" w:lastRow="0" w:firstColumn="0" w:lastColumn="0" w:oddVBand="0" w:evenVBand="0" w:oddHBand="0" w:evenHBand="0" w:firstRowFirstColumn="0" w:firstRowLastColumn="0" w:lastRowFirstColumn="0" w:lastRowLastColumn="0"/>
            </w:pPr>
            <w:r w:rsidRPr="00481542">
              <w:t>0.99 [0.888, 1.106]</w:t>
            </w:r>
          </w:p>
        </w:tc>
      </w:tr>
    </w:tbl>
    <w:p w14:paraId="294C1003" w14:textId="77777777" w:rsidR="000F04AF" w:rsidRDefault="00AE1580" w:rsidP="00326EE9">
      <w:pPr>
        <w:ind w:left="1134" w:hanging="1134"/>
      </w:pPr>
      <w:r w:rsidRPr="00326EE9">
        <w:t>Comment:</w:t>
      </w:r>
      <w:r w:rsidRPr="00326EE9">
        <w:tab/>
        <w:t>When measured by the CHR assay, most PK parameters for simoctocog alfa were similar at 6 months and at study start, with the exception of T</w:t>
      </w:r>
      <w:r w:rsidRPr="00326EE9">
        <w:rPr>
          <w:vertAlign w:val="subscript"/>
        </w:rPr>
        <w:t xml:space="preserve">1/2 </w:t>
      </w:r>
      <w:r w:rsidRPr="00326EE9">
        <w:t xml:space="preserve">and MRT, which were both shorter at 6 months than </w:t>
      </w:r>
      <w:proofErr w:type="gramStart"/>
      <w:r w:rsidRPr="00326EE9">
        <w:t>at</w:t>
      </w:r>
      <w:proofErr w:type="gramEnd"/>
      <w:r w:rsidRPr="00326EE9">
        <w:t xml:space="preserve"> study start. When measured by the OS assay, the mean AUC</w:t>
      </w:r>
      <w:r w:rsidRPr="00326EE9">
        <w:rPr>
          <w:vertAlign w:val="subscript"/>
        </w:rPr>
        <w:t>norm</w:t>
      </w:r>
      <w:r w:rsidRPr="00326EE9">
        <w:t xml:space="preserve"> was lower, and both the mean T</w:t>
      </w:r>
      <w:r w:rsidRPr="00326EE9">
        <w:rPr>
          <w:vertAlign w:val="subscript"/>
        </w:rPr>
        <w:t xml:space="preserve">1/2 </w:t>
      </w:r>
      <w:r w:rsidRPr="00326EE9">
        <w:t>and MRT were shorter at month 6 than at study start, while the mean CL was higher at month 6 than at study start. The differences between the T</w:t>
      </w:r>
      <w:r w:rsidRPr="00326EE9">
        <w:rPr>
          <w:vertAlign w:val="subscript"/>
        </w:rPr>
        <w:t xml:space="preserve">1/2 </w:t>
      </w:r>
      <w:r w:rsidRPr="00326EE9">
        <w:t>and MRT at 6 months and study start in the 21 patients in the PK-PP population may have been due to</w:t>
      </w:r>
      <w:r w:rsidR="002E6DC5" w:rsidRPr="00326EE9">
        <w:t xml:space="preserve"> </w:t>
      </w:r>
      <w:r w:rsidR="004514BC" w:rsidRPr="00326EE9">
        <w:t>one patient</w:t>
      </w:r>
      <w:r w:rsidR="002E6DC5" w:rsidRPr="00326EE9">
        <w:t xml:space="preserve"> </w:t>
      </w:r>
      <w:r w:rsidRPr="00326EE9">
        <w:t>from the Bulgarian centre having an unusually long T</w:t>
      </w:r>
      <w:r w:rsidRPr="00326EE9">
        <w:rPr>
          <w:vertAlign w:val="subscript"/>
        </w:rPr>
        <w:t xml:space="preserve">1/2 </w:t>
      </w:r>
      <w:r w:rsidRPr="00326EE9">
        <w:t>at study entry (55.6 h by CHR assay and 64.8 h by OS assay). In addition, 3 patients from the Bulgarian centre had unusually low AUC</w:t>
      </w:r>
      <w:r w:rsidRPr="00326EE9">
        <w:rPr>
          <w:vertAlign w:val="subscript"/>
        </w:rPr>
        <w:t>norm</w:t>
      </w:r>
      <w:r w:rsidRPr="00326EE9">
        <w:t xml:space="preserve"> ratios (6 months vs initial PK) for simoctocog alfa. In view of the anomalous results from the Bulgarian centre the sponsor undertook </w:t>
      </w:r>
      <w:proofErr w:type="gramStart"/>
      <w:r w:rsidRPr="00326EE9">
        <w:t>an exploratory analyses</w:t>
      </w:r>
      <w:proofErr w:type="gramEnd"/>
      <w:r w:rsidRPr="00326EE9">
        <w:t xml:space="preserve"> of the PK parameters for simoctocog alfa at 6 months (CHR and OS assays) excluding the 6 patients from this centre. In these exploratory analyses, the PK parameters for simoctocog alfa at 6 months and at study start were similar. The PK results at 6 months in the both the total 21 PK-6M-PP and </w:t>
      </w:r>
      <w:proofErr w:type="gramStart"/>
      <w:r w:rsidRPr="00326EE9">
        <w:t>the 15</w:t>
      </w:r>
      <w:r w:rsidR="00326EE9">
        <w:t xml:space="preserve"> </w:t>
      </w:r>
      <w:r w:rsidRPr="00326EE9">
        <w:t>PK-6m-PP</w:t>
      </w:r>
      <w:r w:rsidR="00326EE9">
        <w:t xml:space="preserve"> </w:t>
      </w:r>
      <w:r w:rsidRPr="00326EE9">
        <w:t>(exc</w:t>
      </w:r>
      <w:r w:rsidR="004025E6" w:rsidRPr="00326EE9">
        <w:t>luding the Bulgarian centre)</w:t>
      </w:r>
      <w:proofErr w:type="gramEnd"/>
      <w:r w:rsidR="004025E6" w:rsidRPr="00326EE9">
        <w:t xml:space="preserve"> were provided.</w:t>
      </w:r>
    </w:p>
    <w:p w14:paraId="6A23C72B" w14:textId="77B001AE" w:rsidR="000F04AF" w:rsidRPr="00607D26" w:rsidRDefault="00AE1580" w:rsidP="00EA445D">
      <w:pPr>
        <w:pStyle w:val="Numberbullet2"/>
      </w:pPr>
      <w:r w:rsidRPr="00607D26">
        <w:t>In vivo recovery (IVR) results over time</w:t>
      </w:r>
    </w:p>
    <w:p w14:paraId="3384D7E8" w14:textId="660F0AF2" w:rsidR="00AE1580" w:rsidRPr="00111841" w:rsidRDefault="00AE1580" w:rsidP="00AE1580">
      <w:pPr>
        <w:widowControl w:val="0"/>
        <w:autoSpaceDE w:val="0"/>
        <w:autoSpaceDN w:val="0"/>
        <w:adjustRightInd w:val="0"/>
      </w:pPr>
      <w:r w:rsidRPr="00111841">
        <w:t xml:space="preserve">All 22 patients in the ITT population underwent IVR analysis at study entry (Part I) and </w:t>
      </w:r>
      <w:r>
        <w:t xml:space="preserve">at </w:t>
      </w:r>
      <w:r w:rsidRPr="00111841">
        <w:t xml:space="preserve">3 </w:t>
      </w:r>
      <w:r>
        <w:t xml:space="preserve">months </w:t>
      </w:r>
      <w:r w:rsidRPr="00111841">
        <w:t xml:space="preserve">and 6 months after start of on-demand treatment. For IVR analysis, patients received 50 IU/kg of </w:t>
      </w:r>
      <w:r>
        <w:t xml:space="preserve">simoctocog alfa </w:t>
      </w:r>
      <w:r w:rsidRPr="00111841">
        <w:t>(labelled potency) after a wash</w:t>
      </w:r>
      <w:r>
        <w:t>-</w:t>
      </w:r>
      <w:r w:rsidRPr="00111841">
        <w:t>out period of at lea</w:t>
      </w:r>
      <w:r>
        <w:t xml:space="preserve">st 96 hours for the first and 6 </w:t>
      </w:r>
      <w:r w:rsidRPr="00111841">
        <w:t>month visi</w:t>
      </w:r>
      <w:r>
        <w:t xml:space="preserve">ts and 72 hours for the 3 month </w:t>
      </w:r>
      <w:r w:rsidRPr="00111841">
        <w:t>visit.</w:t>
      </w:r>
      <w:r>
        <w:t xml:space="preserve"> </w:t>
      </w:r>
      <w:r w:rsidRPr="00111841">
        <w:t xml:space="preserve">The mean doses administered for </w:t>
      </w:r>
      <w:r>
        <w:t xml:space="preserve">the </w:t>
      </w:r>
      <w:r w:rsidRPr="00111841">
        <w:t xml:space="preserve">IVR analysis </w:t>
      </w:r>
      <w:r>
        <w:t>determined by</w:t>
      </w:r>
      <w:r w:rsidRPr="00111841">
        <w:t xml:space="preserve"> the CHR assay were 58.3±3.7 IU/kg, 59.0±5.2 IU/kg and 58.7±4.8 IU/kg at study start, 3 months and 6 months, respectively. Corresponding doses </w:t>
      </w:r>
      <w:r>
        <w:t xml:space="preserve">determined by </w:t>
      </w:r>
      <w:r w:rsidRPr="00111841">
        <w:t xml:space="preserve">the OS assay were 48.6±3.3 IU/kg, 50.3±4.2 IU/kg and 50.0±4.0 IU/kg. The results are summarised below in Table </w:t>
      </w:r>
      <w:r>
        <w:t>5</w:t>
      </w:r>
      <w:r w:rsidRPr="00111841">
        <w:t>.</w:t>
      </w:r>
    </w:p>
    <w:p w14:paraId="0A5B9F46" w14:textId="77777777" w:rsidR="00AE1580" w:rsidRPr="00A4423A" w:rsidRDefault="00AE1580" w:rsidP="00607D26">
      <w:pPr>
        <w:pStyle w:val="Tabletitle"/>
        <w:pageBreakBefore/>
      </w:pPr>
      <w:bookmarkStart w:id="32" w:name="_Toc248202523"/>
      <w:r>
        <w:lastRenderedPageBreak/>
        <w:t xml:space="preserve">Table </w:t>
      </w:r>
      <w:r w:rsidR="00A84DFC">
        <w:fldChar w:fldCharType="begin"/>
      </w:r>
      <w:r w:rsidR="00ED655E">
        <w:instrText xml:space="preserve"> SEQ Table \* ARABIC </w:instrText>
      </w:r>
      <w:r w:rsidR="00A84DFC">
        <w:fldChar w:fldCharType="separate"/>
      </w:r>
      <w:r w:rsidR="007553C1">
        <w:rPr>
          <w:noProof/>
        </w:rPr>
        <w:t>5</w:t>
      </w:r>
      <w:r w:rsidR="00A84DFC">
        <w:rPr>
          <w:noProof/>
        </w:rPr>
        <w:fldChar w:fldCharType="end"/>
      </w:r>
      <w:r>
        <w:t>: GENA - 01 - In vivo recovery (IVR; % per IU/kg) for simoctocog alfa at study entry, and 3 and 6 months after the start of on-demand treatment; ITT population n=22.</w:t>
      </w:r>
      <w:bookmarkEnd w:id="32"/>
    </w:p>
    <w:tbl>
      <w:tblPr>
        <w:tblStyle w:val="TableTGAblue"/>
        <w:tblW w:w="0" w:type="auto"/>
        <w:tblLook w:val="04A0" w:firstRow="1" w:lastRow="0" w:firstColumn="1" w:lastColumn="0" w:noHBand="0" w:noVBand="1"/>
      </w:tblPr>
      <w:tblGrid>
        <w:gridCol w:w="1744"/>
        <w:gridCol w:w="1498"/>
        <w:gridCol w:w="1496"/>
        <w:gridCol w:w="1479"/>
        <w:gridCol w:w="1520"/>
        <w:gridCol w:w="1505"/>
      </w:tblGrid>
      <w:tr w:rsidR="00AE1580" w:rsidRPr="00A83C90" w14:paraId="5FF6E37A" w14:textId="77777777" w:rsidTr="00607D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7F9F88C" w14:textId="77777777" w:rsidR="00AE1580" w:rsidRPr="00A83C90" w:rsidRDefault="00AE1580" w:rsidP="00607D26">
            <w:r w:rsidRPr="00A83C90">
              <w:t xml:space="preserve">Time point </w:t>
            </w:r>
          </w:p>
        </w:tc>
        <w:tc>
          <w:tcPr>
            <w:tcW w:w="1547" w:type="dxa"/>
          </w:tcPr>
          <w:p w14:paraId="4BC114EF" w14:textId="77777777" w:rsidR="00AE1580" w:rsidRPr="00A83C90" w:rsidRDefault="00AE1580" w:rsidP="00607D26">
            <w:pPr>
              <w:cnfStyle w:val="100000000000" w:firstRow="1" w:lastRow="0" w:firstColumn="0" w:lastColumn="0" w:oddVBand="0" w:evenVBand="0" w:oddHBand="0" w:evenHBand="0" w:firstRowFirstColumn="0" w:firstRowLastColumn="0" w:lastRowFirstColumn="0" w:lastRowLastColumn="0"/>
            </w:pPr>
            <w:r w:rsidRPr="00A83C90">
              <w:t xml:space="preserve">Assay </w:t>
            </w:r>
          </w:p>
        </w:tc>
        <w:tc>
          <w:tcPr>
            <w:tcW w:w="1548" w:type="dxa"/>
          </w:tcPr>
          <w:p w14:paraId="494CFB40" w14:textId="77777777" w:rsidR="00AE1580" w:rsidRPr="00A83C90" w:rsidRDefault="00AE1580" w:rsidP="00607D26">
            <w:pPr>
              <w:cnfStyle w:val="100000000000" w:firstRow="1" w:lastRow="0" w:firstColumn="0" w:lastColumn="0" w:oddVBand="0" w:evenVBand="0" w:oddHBand="0" w:evenHBand="0" w:firstRowFirstColumn="0" w:firstRowLastColumn="0" w:lastRowFirstColumn="0" w:lastRowLastColumn="0"/>
            </w:pPr>
            <w:r w:rsidRPr="00A83C90">
              <w:t>Mean</w:t>
            </w:r>
          </w:p>
        </w:tc>
        <w:tc>
          <w:tcPr>
            <w:tcW w:w="1548" w:type="dxa"/>
          </w:tcPr>
          <w:p w14:paraId="294FABB4" w14:textId="77777777" w:rsidR="00AE1580" w:rsidRPr="00A83C90" w:rsidRDefault="00AE1580" w:rsidP="00607D26">
            <w:pPr>
              <w:cnfStyle w:val="100000000000" w:firstRow="1" w:lastRow="0" w:firstColumn="0" w:lastColumn="0" w:oddVBand="0" w:evenVBand="0" w:oddHBand="0" w:evenHBand="0" w:firstRowFirstColumn="0" w:firstRowLastColumn="0" w:lastRowFirstColumn="0" w:lastRowLastColumn="0"/>
            </w:pPr>
            <w:r w:rsidRPr="00A83C90">
              <w:t>SD</w:t>
            </w:r>
          </w:p>
        </w:tc>
        <w:tc>
          <w:tcPr>
            <w:tcW w:w="1548" w:type="dxa"/>
          </w:tcPr>
          <w:p w14:paraId="707AEFFB" w14:textId="77777777" w:rsidR="00AE1580" w:rsidRPr="00A83C90" w:rsidRDefault="00AE1580" w:rsidP="00607D26">
            <w:pPr>
              <w:cnfStyle w:val="100000000000" w:firstRow="1" w:lastRow="0" w:firstColumn="0" w:lastColumn="0" w:oddVBand="0" w:evenVBand="0" w:oddHBand="0" w:evenHBand="0" w:firstRowFirstColumn="0" w:firstRowLastColumn="0" w:lastRowFirstColumn="0" w:lastRowLastColumn="0"/>
            </w:pPr>
            <w:r w:rsidRPr="00A83C90">
              <w:t>Median</w:t>
            </w:r>
          </w:p>
        </w:tc>
        <w:tc>
          <w:tcPr>
            <w:tcW w:w="1548" w:type="dxa"/>
          </w:tcPr>
          <w:p w14:paraId="375556FC" w14:textId="77777777" w:rsidR="00AE1580" w:rsidRPr="00A83C90" w:rsidRDefault="00AE1580" w:rsidP="00607D26">
            <w:pPr>
              <w:cnfStyle w:val="100000000000" w:firstRow="1" w:lastRow="0" w:firstColumn="0" w:lastColumn="0" w:oddVBand="0" w:evenVBand="0" w:oddHBand="0" w:evenHBand="0" w:firstRowFirstColumn="0" w:firstRowLastColumn="0" w:lastRowFirstColumn="0" w:lastRowLastColumn="0"/>
            </w:pPr>
            <w:r w:rsidRPr="00A83C90">
              <w:t>Range</w:t>
            </w:r>
          </w:p>
        </w:tc>
      </w:tr>
      <w:tr w:rsidR="00AE1580" w:rsidRPr="00A83C90" w14:paraId="0C49F6FD"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1D81A8AC" w14:textId="77777777" w:rsidR="00AE1580" w:rsidRPr="00A83C90" w:rsidRDefault="00AE1580" w:rsidP="00607D26">
            <w:r w:rsidRPr="00A83C90">
              <w:t xml:space="preserve">Study entry (Part 1) </w:t>
            </w:r>
          </w:p>
        </w:tc>
        <w:tc>
          <w:tcPr>
            <w:tcW w:w="1547" w:type="dxa"/>
          </w:tcPr>
          <w:p w14:paraId="123090CD"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CHR assay </w:t>
            </w:r>
          </w:p>
        </w:tc>
        <w:tc>
          <w:tcPr>
            <w:tcW w:w="1548" w:type="dxa"/>
          </w:tcPr>
          <w:p w14:paraId="6C2FB26E"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2.50</w:t>
            </w:r>
          </w:p>
        </w:tc>
        <w:tc>
          <w:tcPr>
            <w:tcW w:w="1548" w:type="dxa"/>
          </w:tcPr>
          <w:p w14:paraId="7CDD1B5F"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0.37</w:t>
            </w:r>
          </w:p>
        </w:tc>
        <w:tc>
          <w:tcPr>
            <w:tcW w:w="1548" w:type="dxa"/>
          </w:tcPr>
          <w:p w14:paraId="496FFDA1"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2.46</w:t>
            </w:r>
          </w:p>
        </w:tc>
        <w:tc>
          <w:tcPr>
            <w:tcW w:w="1548" w:type="dxa"/>
          </w:tcPr>
          <w:p w14:paraId="6861D58A"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1.668 - 3.150</w:t>
            </w:r>
          </w:p>
        </w:tc>
      </w:tr>
      <w:tr w:rsidR="00AE1580" w:rsidRPr="00A83C90" w14:paraId="39654562"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0C94F1F3" w14:textId="77777777" w:rsidR="00AE1580" w:rsidRPr="00A83C90" w:rsidRDefault="00AE1580" w:rsidP="00607D26"/>
        </w:tc>
        <w:tc>
          <w:tcPr>
            <w:tcW w:w="1547" w:type="dxa"/>
          </w:tcPr>
          <w:p w14:paraId="4912A6EE"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OS assay </w:t>
            </w:r>
          </w:p>
        </w:tc>
        <w:tc>
          <w:tcPr>
            <w:tcW w:w="1548" w:type="dxa"/>
          </w:tcPr>
          <w:p w14:paraId="6B9AE661"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2.14</w:t>
            </w:r>
          </w:p>
        </w:tc>
        <w:tc>
          <w:tcPr>
            <w:tcW w:w="1548" w:type="dxa"/>
          </w:tcPr>
          <w:p w14:paraId="308502FD"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0.27</w:t>
            </w:r>
          </w:p>
        </w:tc>
        <w:tc>
          <w:tcPr>
            <w:tcW w:w="1548" w:type="dxa"/>
          </w:tcPr>
          <w:p w14:paraId="79D05F2D"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2.13</w:t>
            </w:r>
          </w:p>
        </w:tc>
        <w:tc>
          <w:tcPr>
            <w:tcW w:w="1548" w:type="dxa"/>
          </w:tcPr>
          <w:p w14:paraId="49E03530"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1.713 - 2.787</w:t>
            </w:r>
          </w:p>
        </w:tc>
      </w:tr>
      <w:tr w:rsidR="00AE1580" w:rsidRPr="00A83C90" w14:paraId="61480AAC"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7D239D5C" w14:textId="77777777" w:rsidR="00AE1580" w:rsidRPr="00A83C90" w:rsidRDefault="00AE1580" w:rsidP="00607D26">
            <w:r w:rsidRPr="00A83C90">
              <w:t xml:space="preserve">3 months </w:t>
            </w:r>
          </w:p>
        </w:tc>
        <w:tc>
          <w:tcPr>
            <w:tcW w:w="1547" w:type="dxa"/>
          </w:tcPr>
          <w:p w14:paraId="5A58CDAD"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CHR assay </w:t>
            </w:r>
          </w:p>
        </w:tc>
        <w:tc>
          <w:tcPr>
            <w:tcW w:w="1548" w:type="dxa"/>
          </w:tcPr>
          <w:p w14:paraId="1BD75E69"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2.44</w:t>
            </w:r>
          </w:p>
        </w:tc>
        <w:tc>
          <w:tcPr>
            <w:tcW w:w="1548" w:type="dxa"/>
          </w:tcPr>
          <w:p w14:paraId="304D9F96"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0.56</w:t>
            </w:r>
          </w:p>
        </w:tc>
        <w:tc>
          <w:tcPr>
            <w:tcW w:w="1548" w:type="dxa"/>
          </w:tcPr>
          <w:p w14:paraId="2CF0153C"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2.49</w:t>
            </w:r>
          </w:p>
        </w:tc>
        <w:tc>
          <w:tcPr>
            <w:tcW w:w="1548" w:type="dxa"/>
          </w:tcPr>
          <w:p w14:paraId="116B6D2D"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1.607 - 3.629</w:t>
            </w:r>
          </w:p>
        </w:tc>
      </w:tr>
      <w:tr w:rsidR="00AE1580" w:rsidRPr="00A83C90" w14:paraId="2E90D3DF"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23CE5296" w14:textId="77777777" w:rsidR="00AE1580" w:rsidRPr="00A83C90" w:rsidRDefault="00AE1580" w:rsidP="00607D26"/>
        </w:tc>
        <w:tc>
          <w:tcPr>
            <w:tcW w:w="1547" w:type="dxa"/>
          </w:tcPr>
          <w:p w14:paraId="3D42FFC3"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OS assay </w:t>
            </w:r>
          </w:p>
        </w:tc>
        <w:tc>
          <w:tcPr>
            <w:tcW w:w="1548" w:type="dxa"/>
          </w:tcPr>
          <w:p w14:paraId="4E5AA951"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2.06</w:t>
            </w:r>
          </w:p>
        </w:tc>
        <w:tc>
          <w:tcPr>
            <w:tcW w:w="1548" w:type="dxa"/>
          </w:tcPr>
          <w:p w14:paraId="071E5B3A"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0.39</w:t>
            </w:r>
          </w:p>
        </w:tc>
        <w:tc>
          <w:tcPr>
            <w:tcW w:w="1548" w:type="dxa"/>
          </w:tcPr>
          <w:p w14:paraId="329E6888"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2.05</w:t>
            </w:r>
          </w:p>
        </w:tc>
        <w:tc>
          <w:tcPr>
            <w:tcW w:w="1548" w:type="dxa"/>
          </w:tcPr>
          <w:p w14:paraId="021D068C"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1.482 - 3.106</w:t>
            </w:r>
          </w:p>
        </w:tc>
      </w:tr>
      <w:tr w:rsidR="00AE1580" w:rsidRPr="00A83C90" w14:paraId="0187B282"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051CCF89" w14:textId="77777777" w:rsidR="00AE1580" w:rsidRPr="00A83C90" w:rsidRDefault="00AE1580" w:rsidP="00607D26">
            <w:r w:rsidRPr="00A83C90">
              <w:t xml:space="preserve">6 months </w:t>
            </w:r>
          </w:p>
        </w:tc>
        <w:tc>
          <w:tcPr>
            <w:tcW w:w="1547" w:type="dxa"/>
          </w:tcPr>
          <w:p w14:paraId="3D5263C1"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CHR assay </w:t>
            </w:r>
          </w:p>
        </w:tc>
        <w:tc>
          <w:tcPr>
            <w:tcW w:w="1548" w:type="dxa"/>
          </w:tcPr>
          <w:p w14:paraId="1CC9CAAB"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2.34</w:t>
            </w:r>
          </w:p>
        </w:tc>
        <w:tc>
          <w:tcPr>
            <w:tcW w:w="1548" w:type="dxa"/>
          </w:tcPr>
          <w:p w14:paraId="0470B6A6"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0.50</w:t>
            </w:r>
          </w:p>
        </w:tc>
        <w:tc>
          <w:tcPr>
            <w:tcW w:w="1548" w:type="dxa"/>
          </w:tcPr>
          <w:p w14:paraId="731BBE71"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2.41</w:t>
            </w:r>
          </w:p>
        </w:tc>
        <w:tc>
          <w:tcPr>
            <w:tcW w:w="1548" w:type="dxa"/>
          </w:tcPr>
          <w:p w14:paraId="0A65E17A"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1.338 - 3.785</w:t>
            </w:r>
          </w:p>
        </w:tc>
      </w:tr>
      <w:tr w:rsidR="00AE1580" w:rsidRPr="00A83C90" w14:paraId="431823EE" w14:textId="77777777" w:rsidTr="00607D26">
        <w:tc>
          <w:tcPr>
            <w:cnfStyle w:val="001000000000" w:firstRow="0" w:lastRow="0" w:firstColumn="1" w:lastColumn="0" w:oddVBand="0" w:evenVBand="0" w:oddHBand="0" w:evenHBand="0" w:firstRowFirstColumn="0" w:firstRowLastColumn="0" w:lastRowFirstColumn="0" w:lastRowLastColumn="0"/>
            <w:tcW w:w="1809" w:type="dxa"/>
          </w:tcPr>
          <w:p w14:paraId="4DD7C6A5" w14:textId="77777777" w:rsidR="00AE1580" w:rsidRPr="00A83C90" w:rsidRDefault="00AE1580" w:rsidP="00607D26"/>
        </w:tc>
        <w:tc>
          <w:tcPr>
            <w:tcW w:w="1547" w:type="dxa"/>
          </w:tcPr>
          <w:p w14:paraId="69EC823B"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 xml:space="preserve">OS assay </w:t>
            </w:r>
          </w:p>
        </w:tc>
        <w:tc>
          <w:tcPr>
            <w:tcW w:w="1548" w:type="dxa"/>
          </w:tcPr>
          <w:p w14:paraId="314CF204"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2.01</w:t>
            </w:r>
          </w:p>
        </w:tc>
        <w:tc>
          <w:tcPr>
            <w:tcW w:w="1548" w:type="dxa"/>
          </w:tcPr>
          <w:p w14:paraId="6FED6276"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0.33</w:t>
            </w:r>
          </w:p>
        </w:tc>
        <w:tc>
          <w:tcPr>
            <w:tcW w:w="1548" w:type="dxa"/>
          </w:tcPr>
          <w:p w14:paraId="00E72F00"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1.98</w:t>
            </w:r>
          </w:p>
        </w:tc>
        <w:tc>
          <w:tcPr>
            <w:tcW w:w="1548" w:type="dxa"/>
          </w:tcPr>
          <w:p w14:paraId="4002B64B" w14:textId="77777777" w:rsidR="00AE1580" w:rsidRPr="00A83C90" w:rsidRDefault="00AE1580" w:rsidP="00607D26">
            <w:pPr>
              <w:cnfStyle w:val="000000000000" w:firstRow="0" w:lastRow="0" w:firstColumn="0" w:lastColumn="0" w:oddVBand="0" w:evenVBand="0" w:oddHBand="0" w:evenHBand="0" w:firstRowFirstColumn="0" w:firstRowLastColumn="0" w:lastRowFirstColumn="0" w:lastRowLastColumn="0"/>
            </w:pPr>
            <w:r w:rsidRPr="00A83C90">
              <w:t>1.375 - 2.680</w:t>
            </w:r>
          </w:p>
        </w:tc>
      </w:tr>
    </w:tbl>
    <w:p w14:paraId="102727BF" w14:textId="77777777" w:rsidR="00AE1580" w:rsidRPr="00326EE9" w:rsidRDefault="00AE1580" w:rsidP="00326EE9">
      <w:pPr>
        <w:widowControl w:val="0"/>
        <w:autoSpaceDE w:val="0"/>
        <w:autoSpaceDN w:val="0"/>
        <w:adjustRightInd w:val="0"/>
        <w:ind w:left="1134" w:hanging="1134"/>
        <w:rPr>
          <w:rFonts w:asciiTheme="minorHAnsi" w:eastAsia="Times New Roman" w:hAnsiTheme="minorHAnsi"/>
          <w:lang w:eastAsia="en-AU"/>
        </w:rPr>
      </w:pPr>
      <w:r w:rsidRPr="00326EE9">
        <w:rPr>
          <w:rFonts w:asciiTheme="minorHAnsi" w:hAnsiTheme="minorHAnsi"/>
        </w:rPr>
        <w:t>Comment:</w:t>
      </w:r>
      <w:r w:rsidRPr="00326EE9">
        <w:rPr>
          <w:rFonts w:asciiTheme="minorHAnsi" w:hAnsiTheme="minorHAnsi"/>
        </w:rPr>
        <w:tab/>
        <w:t xml:space="preserve">The mean IVR values were within the range of 2.0% to 2.5% per IU/kg, which is line with expected values. </w:t>
      </w:r>
      <w:r w:rsidRPr="00326EE9">
        <w:rPr>
          <w:rFonts w:asciiTheme="minorHAnsi" w:eastAsia="Times New Roman" w:hAnsiTheme="minorHAnsi"/>
          <w:lang w:eastAsia="en-AU"/>
        </w:rPr>
        <w:t xml:space="preserve">All except 3 individual values for IVR were higher than 1.5% per IU/kg, and these 3 individual values were lower than 1.5% when measured by one or other of the two assays but not by both.  Overall, IVR </w:t>
      </w:r>
      <w:r w:rsidRPr="00326EE9">
        <w:rPr>
          <w:rFonts w:asciiTheme="minorHAnsi" w:hAnsiTheme="minorHAnsi"/>
        </w:rPr>
        <w:t>values obtained with the OS assay were generally lower than those obtained with the CHR assay. Mean recoveries at 3 months and at 6 months were slightly lower than those at study entry. The geometric mean ratio for IVR for simoctocog alfa at 6 months relative to study start in the ITT population was 0.93 (90% CI: 0.850, 1.007) as determined by the CHR assay, and 0.94 (90% CI: 0.870, 1.010) as determined by the OS assay.</w:t>
      </w:r>
    </w:p>
    <w:p w14:paraId="492C8C66" w14:textId="1C989758" w:rsidR="00AE1580" w:rsidRPr="00607D26" w:rsidRDefault="00AE1580" w:rsidP="00EA445D">
      <w:pPr>
        <w:pStyle w:val="Numberbullet2"/>
      </w:pPr>
      <w:r w:rsidRPr="00607D26">
        <w:t>Conclusions relating to the PK data from study GENA-0</w:t>
      </w:r>
      <w:r w:rsidR="004D7AC6" w:rsidRPr="00607D26">
        <w:t>1</w:t>
      </w:r>
    </w:p>
    <w:p w14:paraId="0BB18B97" w14:textId="77777777" w:rsidR="000F04AF" w:rsidRDefault="00AE1580" w:rsidP="00AE1580">
      <w:pPr>
        <w:widowControl w:val="0"/>
        <w:autoSpaceDE w:val="0"/>
        <w:autoSpaceDN w:val="0"/>
        <w:adjustRightInd w:val="0"/>
      </w:pPr>
      <w:r w:rsidRPr="006C7047">
        <w:t xml:space="preserve">In this study the PKs of </w:t>
      </w:r>
      <w:r>
        <w:t xml:space="preserve">simoctocog alfa </w:t>
      </w:r>
      <w:r w:rsidRPr="006C7047">
        <w:t xml:space="preserve">were assessed in 22 patients. The study planned to recruit patients at least 12 years of </w:t>
      </w:r>
      <w:proofErr w:type="gramStart"/>
      <w:r w:rsidRPr="006C7047">
        <w:t>age,</w:t>
      </w:r>
      <w:proofErr w:type="gramEnd"/>
      <w:r w:rsidRPr="006C7047">
        <w:t xml:space="preserve"> however, only 2 patients were aged less than 18 years. The median age of patients in the study was 39.6 years and 81.8% were</w:t>
      </w:r>
      <w:r>
        <w:t xml:space="preserve"> "w</w:t>
      </w:r>
      <w:r w:rsidRPr="006C7047">
        <w:t>hite".</w:t>
      </w:r>
    </w:p>
    <w:p w14:paraId="2A7DCBCC" w14:textId="77777777" w:rsidR="000F04AF" w:rsidRDefault="00FA6DF5" w:rsidP="00AE1580">
      <w:pPr>
        <w:widowControl w:val="0"/>
        <w:autoSpaceDE w:val="0"/>
        <w:autoSpaceDN w:val="0"/>
        <w:adjustRightInd w:val="0"/>
      </w:pPr>
      <w:r w:rsidRPr="00892653">
        <w:t>.</w:t>
      </w:r>
      <w:r w:rsidR="00AE1580" w:rsidRPr="006C7047">
        <w:t xml:space="preserve">The FVIII:C levels (IU/mL) versus time profiles to 48 hours post-administration were similar for </w:t>
      </w:r>
      <w:r w:rsidR="00AE1580">
        <w:t xml:space="preserve">simoctocog alfa </w:t>
      </w:r>
      <w:r w:rsidR="00AE1580" w:rsidRPr="006C7047">
        <w:t xml:space="preserve">and </w:t>
      </w:r>
      <w:r w:rsidR="00051AEE">
        <w:t>full-length rFVIII BHK</w:t>
      </w:r>
      <w:r w:rsidR="00AE1580" w:rsidRPr="006C7047">
        <w:t>, as determined</w:t>
      </w:r>
      <w:r w:rsidR="00AE1580">
        <w:t xml:space="preserve"> by both the CHR and OS assays. </w:t>
      </w:r>
      <w:r w:rsidR="00AE1580" w:rsidRPr="006C7047">
        <w:t xml:space="preserve">The study demonstrated that </w:t>
      </w:r>
      <w:r w:rsidR="00AE1580">
        <w:t xml:space="preserve">simoctocog alfa </w:t>
      </w:r>
      <w:r w:rsidR="00AE1580" w:rsidRPr="006C7047">
        <w:t xml:space="preserve">was bioequivalent to </w:t>
      </w:r>
      <w:r w:rsidR="00051AEE">
        <w:t>full-length rFVIII BHK</w:t>
      </w:r>
      <w:r w:rsidR="00AE1580">
        <w:t xml:space="preserve">, based on the AUCnorm (primary PK endpoint) calculated using data from both the CHR an OS assays. </w:t>
      </w:r>
      <w:r w:rsidR="00AE1580" w:rsidRPr="006C7047">
        <w:t xml:space="preserve">The ratio of geometric means (90% CI]) for </w:t>
      </w:r>
      <w:r w:rsidR="00AE1580">
        <w:t xml:space="preserve">simoctocog alfa </w:t>
      </w:r>
      <w:r w:rsidR="00AE1580" w:rsidRPr="006C7047">
        <w:t xml:space="preserve">relative to </w:t>
      </w:r>
      <w:r w:rsidR="00051AEE">
        <w:t>full-length rFVIII BHK</w:t>
      </w:r>
      <w:r w:rsidR="00AE1580" w:rsidRPr="006C7047">
        <w:t>for the AUC</w:t>
      </w:r>
      <w:r w:rsidR="00AE1580" w:rsidRPr="00AC06F3">
        <w:rPr>
          <w:vertAlign w:val="subscript"/>
        </w:rPr>
        <w:t>norm</w:t>
      </w:r>
      <w:r w:rsidR="00AE1580">
        <w:t xml:space="preserve"> </w:t>
      </w:r>
      <w:r w:rsidR="00AE1580" w:rsidRPr="006C7047">
        <w:t>was 0.98 (90% CI: 0.874, 1.107) as determined by the CHR assay, and 0.97 (90% CI: 0.859, 1.088) as determined by the OS assay.</w:t>
      </w:r>
    </w:p>
    <w:p w14:paraId="1F5C2041" w14:textId="3544C672" w:rsidR="00AE1580" w:rsidRDefault="00AE1580" w:rsidP="00AE1580">
      <w:pPr>
        <w:widowControl w:val="0"/>
        <w:autoSpaceDE w:val="0"/>
        <w:autoSpaceDN w:val="0"/>
        <w:adjustRightInd w:val="0"/>
      </w:pPr>
      <w:r w:rsidRPr="006C7047">
        <w:t xml:space="preserve">In the PK-PP population, the results for the secondary PKs parameters for </w:t>
      </w:r>
      <w:r>
        <w:t xml:space="preserve">simoctocog alfa </w:t>
      </w:r>
      <w:r w:rsidRPr="006C7047">
        <w:t>were similar to the corres</w:t>
      </w:r>
      <w:r>
        <w:t xml:space="preserve">ponding results for </w:t>
      </w:r>
      <w:r w:rsidR="00051AEE">
        <w:t>full-length rFVIII BHK</w:t>
      </w:r>
      <w:r>
        <w:t xml:space="preserve"> </w:t>
      </w:r>
      <w:r w:rsidRPr="006C7047">
        <w:t xml:space="preserve">as determined by both the CHR and OS assays. The 90% CIs of the ratios of </w:t>
      </w:r>
      <w:r>
        <w:t xml:space="preserve">simoctocog alfa </w:t>
      </w:r>
      <w:r w:rsidRPr="006C7047">
        <w:t xml:space="preserve">relative to </w:t>
      </w:r>
      <w:r w:rsidR="00051AEE">
        <w:t>full-length rFVIII BHK</w:t>
      </w:r>
      <w:r w:rsidRPr="006C7047">
        <w:t xml:space="preserve"> were enclosed within the BE limits of 0.80 to 1.25 for </w:t>
      </w:r>
      <w:r>
        <w:t xml:space="preserve">the </w:t>
      </w:r>
      <w:r w:rsidRPr="006C7047">
        <w:t>secondary PK endpoints of C</w:t>
      </w:r>
      <w:r w:rsidRPr="00BF2923">
        <w:rPr>
          <w:vertAlign w:val="subscript"/>
        </w:rPr>
        <w:t>max.norm</w:t>
      </w:r>
      <w:r w:rsidRPr="006C7047">
        <w:t>, IVR, CL and V</w:t>
      </w:r>
      <w:r w:rsidRPr="00BF2923">
        <w:rPr>
          <w:vertAlign w:val="subscript"/>
        </w:rPr>
        <w:t>ss</w:t>
      </w:r>
      <w:r w:rsidRPr="006C7047">
        <w:t xml:space="preserve"> as determined by the CHR and OS assays. However, the T</w:t>
      </w:r>
      <w:r w:rsidRPr="00CF458F">
        <w:rPr>
          <w:vertAlign w:val="subscript"/>
        </w:rPr>
        <w:t xml:space="preserve">1/2 </w:t>
      </w:r>
      <w:r w:rsidRPr="006C7047">
        <w:t xml:space="preserve">and MRT values for </w:t>
      </w:r>
      <w:r w:rsidR="00051AEE">
        <w:t>full-length rFVIII BHK</w:t>
      </w:r>
      <w:r w:rsidRPr="006C7047">
        <w:t xml:space="preserve">were longer than for </w:t>
      </w:r>
      <w:r>
        <w:t xml:space="preserve">simoctocog alfa </w:t>
      </w:r>
      <w:r w:rsidRPr="006C7047">
        <w:t>as determined by both the CHR and OS assays, and the 90% CI</w:t>
      </w:r>
      <w:r>
        <w:t>s</w:t>
      </w:r>
      <w:r w:rsidRPr="006C7047">
        <w:t xml:space="preserve"> of the ratios for the two parameters were outside the BE limits of 0.80 to 1.25 (lower limits being &lt; 0.80). According to the CHR assay, the mean T</w:t>
      </w:r>
      <w:r w:rsidRPr="00CF458F">
        <w:rPr>
          <w:vertAlign w:val="subscript"/>
        </w:rPr>
        <w:t xml:space="preserve">1/2 </w:t>
      </w:r>
      <w:r w:rsidRPr="006C7047">
        <w:t xml:space="preserve">for </w:t>
      </w:r>
      <w:r>
        <w:lastRenderedPageBreak/>
        <w:t xml:space="preserve">simoctocog alfa </w:t>
      </w:r>
      <w:r w:rsidRPr="006C7047">
        <w:t xml:space="preserve">was 14.73 hours compared with 16.14 hours for </w:t>
      </w:r>
      <w:r w:rsidR="00051AEE">
        <w:t>full-length rFVIII BHK</w:t>
      </w:r>
      <w:r w:rsidRPr="006C7047">
        <w:t>, and the results for MRT were 19.45 and 20.00 hours, respectively. According to the OS assay, the mean T</w:t>
      </w:r>
      <w:r w:rsidRPr="00CF458F">
        <w:rPr>
          <w:vertAlign w:val="subscript"/>
        </w:rPr>
        <w:t>1/2</w:t>
      </w:r>
      <w:r w:rsidRPr="006C7047">
        <w:rPr>
          <w:vertAlign w:val="subscript"/>
        </w:rPr>
        <w:t xml:space="preserve"> </w:t>
      </w:r>
      <w:r w:rsidRPr="006C7047">
        <w:t xml:space="preserve">for </w:t>
      </w:r>
      <w:r>
        <w:t xml:space="preserve">simoctocog alfa </w:t>
      </w:r>
      <w:r w:rsidRPr="006C7047">
        <w:t xml:space="preserve">was 17.05 hours compared with 18.75 hours for </w:t>
      </w:r>
      <w:r w:rsidR="00051AEE">
        <w:t>full-length rFVIII BHK</w:t>
      </w:r>
      <w:r w:rsidRPr="006C7047">
        <w:t>, and the results for MRT were 22.47 and 24.18 hours, respectively.</w:t>
      </w:r>
    </w:p>
    <w:p w14:paraId="1968E163" w14:textId="77777777" w:rsidR="000F04AF" w:rsidRDefault="00AE1580" w:rsidP="00AE1580">
      <w:pPr>
        <w:widowControl w:val="0"/>
        <w:autoSpaceDE w:val="0"/>
        <w:autoSpaceDN w:val="0"/>
        <w:adjustRightInd w:val="0"/>
      </w:pPr>
      <w:r w:rsidRPr="006C7047">
        <w:t xml:space="preserve">The mean IVR values were </w:t>
      </w:r>
      <w:r>
        <w:t xml:space="preserve">consistent over time and were </w:t>
      </w:r>
      <w:r w:rsidRPr="006C7047">
        <w:t>within the range 2.0</w:t>
      </w:r>
      <w:r>
        <w:t>% to 2.5</w:t>
      </w:r>
      <w:r w:rsidRPr="006C7047">
        <w:t xml:space="preserve">% per IU/kg </w:t>
      </w:r>
      <w:r>
        <w:t xml:space="preserve">at </w:t>
      </w:r>
      <w:r w:rsidRPr="006C7047">
        <w:t xml:space="preserve">study start, 3 months, </w:t>
      </w:r>
      <w:r>
        <w:t>and 6 months</w:t>
      </w:r>
      <w:r w:rsidRPr="006C7047">
        <w:t>, as determined by both the CHR and the OS assays. However, the mean IVR values at each time-point were about 14% to 16% lower as determined by the OS ass</w:t>
      </w:r>
      <w:r>
        <w:t xml:space="preserve">ay compared with the CHR assay. </w:t>
      </w:r>
      <w:r w:rsidRPr="006C7047">
        <w:t>The sponsor states that theunderestimation of FVIII activity by OS assay has been identified for other B-domain deleted products.</w:t>
      </w:r>
      <w:r w:rsidRPr="006C7047">
        <w:rPr>
          <w:vertAlign w:val="superscript"/>
        </w:rPr>
        <w:t>5</w:t>
      </w:r>
      <w:proofErr w:type="gramStart"/>
      <w:r w:rsidRPr="006C7047">
        <w:rPr>
          <w:vertAlign w:val="superscript"/>
        </w:rPr>
        <w:t>,6</w:t>
      </w:r>
      <w:proofErr w:type="gramEnd"/>
      <w:r w:rsidRPr="006C7047">
        <w:t xml:space="preserve"> In Morfini et al (2003),</w:t>
      </w:r>
      <w:r w:rsidRPr="006C7047">
        <w:rPr>
          <w:vertAlign w:val="superscript"/>
        </w:rPr>
        <w:t xml:space="preserve">5 </w:t>
      </w:r>
      <w:r w:rsidRPr="006C7047">
        <w:t>it was reported that plasma levels of FVIII were underestimated by 40</w:t>
      </w:r>
      <w:r>
        <w:t xml:space="preserve">% to </w:t>
      </w:r>
      <w:r w:rsidRPr="006C7047">
        <w:t xml:space="preserve">50% </w:t>
      </w:r>
      <w:r>
        <w:t xml:space="preserve">when measured by the OS assay </w:t>
      </w:r>
      <w:r w:rsidRPr="006C7047">
        <w:t xml:space="preserve">compared with </w:t>
      </w:r>
      <w:r>
        <w:t xml:space="preserve">the </w:t>
      </w:r>
      <w:r w:rsidRPr="006C7047">
        <w:t xml:space="preserve">CHR </w:t>
      </w:r>
      <w:r>
        <w:t>assay</w:t>
      </w:r>
      <w:r w:rsidRPr="006C7047">
        <w:t xml:space="preserve"> after infusion of B-domain deleted recombinant FVIII. In Lippi et al (2009)</w:t>
      </w:r>
      <w:proofErr w:type="gramStart"/>
      <w:r w:rsidRPr="006C7047">
        <w:t>,</w:t>
      </w:r>
      <w:r w:rsidRPr="006C7047">
        <w:rPr>
          <w:vertAlign w:val="superscript"/>
        </w:rPr>
        <w:t>6</w:t>
      </w:r>
      <w:proofErr w:type="gramEnd"/>
      <w:r w:rsidRPr="006C7047">
        <w:t xml:space="preserve"> it was reported that plasma levels of FVIII were underestimated by 20</w:t>
      </w:r>
      <w:r>
        <w:t xml:space="preserve">% to </w:t>
      </w:r>
      <w:r w:rsidRPr="006C7047">
        <w:t xml:space="preserve">50% </w:t>
      </w:r>
      <w:r>
        <w:t xml:space="preserve">when measured by the OS assay </w:t>
      </w:r>
      <w:r w:rsidRPr="006C7047">
        <w:t xml:space="preserve">compared with </w:t>
      </w:r>
      <w:r>
        <w:t xml:space="preserve">the CHR </w:t>
      </w:r>
      <w:r w:rsidRPr="006C7047">
        <w:t>after infusion of B-domain deleted recombinant FVIII in patients with severe haemophilia A.</w:t>
      </w:r>
    </w:p>
    <w:p w14:paraId="4D5712CA" w14:textId="77777777" w:rsidR="000F04AF" w:rsidRDefault="00AE1580" w:rsidP="00C050FC">
      <w:pPr>
        <w:pStyle w:val="Heading4"/>
      </w:pPr>
      <w:bookmarkStart w:id="33" w:name="_Toc266446428"/>
      <w:r w:rsidRPr="00263CB4">
        <w:t>GENA-03 - previously treated children aged 2 to 12 years</w:t>
      </w:r>
      <w:bookmarkEnd w:id="33"/>
    </w:p>
    <w:p w14:paraId="19865494" w14:textId="679B569F" w:rsidR="00AE1580" w:rsidRPr="00263CB4" w:rsidRDefault="00AE1580" w:rsidP="00EA445D">
      <w:pPr>
        <w:pStyle w:val="Numberbullet2"/>
      </w:pPr>
      <w:r w:rsidRPr="00607D26">
        <w:t>a.</w:t>
      </w:r>
      <w:r w:rsidRPr="00263CB4">
        <w:tab/>
      </w:r>
      <w:r w:rsidRPr="00607D26">
        <w:t>Title</w:t>
      </w:r>
    </w:p>
    <w:p w14:paraId="4EC48F9B" w14:textId="77777777" w:rsidR="000F04AF" w:rsidRDefault="00AE1580" w:rsidP="00C050FC">
      <w:pPr>
        <w:keepNext/>
        <w:widowControl w:val="0"/>
        <w:autoSpaceDE w:val="0"/>
        <w:autoSpaceDN w:val="0"/>
        <w:adjustRightInd w:val="0"/>
      </w:pPr>
      <w:r w:rsidRPr="00476D3A">
        <w:t xml:space="preserve">Prospective Clinical Study in Children with Severe Haemophilia A to Investigate Clinical Efficacy, Immunogenicity, Pharmacokinetics, and </w:t>
      </w:r>
      <w:r w:rsidR="005D76C0">
        <w:t>S</w:t>
      </w:r>
      <w:r w:rsidRPr="00476D3A">
        <w:t xml:space="preserve">afety of </w:t>
      </w:r>
      <w:r w:rsidR="00C8405D">
        <w:t>Simoctocog alfa</w:t>
      </w:r>
      <w:r w:rsidRPr="00476D3A">
        <w:t>.</w:t>
      </w:r>
    </w:p>
    <w:p w14:paraId="77ED9B68" w14:textId="77777777" w:rsidR="000F04AF" w:rsidRPr="00607D26" w:rsidRDefault="00AE1580" w:rsidP="00EA445D">
      <w:pPr>
        <w:pStyle w:val="Numberbullet2"/>
      </w:pPr>
      <w:r w:rsidRPr="00607D26">
        <w:t>b.</w:t>
      </w:r>
      <w:r w:rsidRPr="00263CB4">
        <w:tab/>
      </w:r>
      <w:r w:rsidRPr="00607D26">
        <w:t>Location and study dates</w:t>
      </w:r>
    </w:p>
    <w:p w14:paraId="6B23BB23" w14:textId="77777777" w:rsidR="000F04AF" w:rsidRDefault="00AE1580" w:rsidP="00AE1580">
      <w:pPr>
        <w:widowControl w:val="0"/>
        <w:autoSpaceDE w:val="0"/>
        <w:autoSpaceDN w:val="0"/>
        <w:adjustRightInd w:val="0"/>
      </w:pPr>
      <w:r>
        <w:t xml:space="preserve">The study </w:t>
      </w:r>
      <w:r w:rsidRPr="00DE7CEB">
        <w:t>was conducted at 15 investigational centres in the UK, Czech Republic, Poland, Russia, Turkey, France and Romania. The Co-ordinating Investigator was located at the Great Ormond Street Hospital for Children</w:t>
      </w:r>
      <w:r>
        <w:t xml:space="preserve">, NHS Trust Haemophilia Centre, </w:t>
      </w:r>
      <w:proofErr w:type="gramStart"/>
      <w:r w:rsidRPr="00DE7CEB">
        <w:t>London</w:t>
      </w:r>
      <w:proofErr w:type="gramEnd"/>
      <w:r w:rsidRPr="00DE7CEB">
        <w:t xml:space="preserve">, UK. </w:t>
      </w:r>
      <w:r>
        <w:t xml:space="preserve">The study </w:t>
      </w:r>
      <w:r w:rsidRPr="00DE7CEB">
        <w:t xml:space="preserve">was conducted from 17 December 2010 to 6 November 2012, and the CSR was dated 13 February2013. </w:t>
      </w:r>
      <w:r>
        <w:t>The study was conducted in accordance with standard ethical requirements.</w:t>
      </w:r>
    </w:p>
    <w:p w14:paraId="2B1BA261" w14:textId="77777777" w:rsidR="000F04AF" w:rsidRPr="00607D26" w:rsidRDefault="00AE1580" w:rsidP="00EA445D">
      <w:pPr>
        <w:pStyle w:val="Numberbullet2"/>
      </w:pPr>
      <w:r w:rsidRPr="00607D26">
        <w:t>c.</w:t>
      </w:r>
      <w:r w:rsidRPr="00607D26">
        <w:tab/>
        <w:t>Objectives</w:t>
      </w:r>
    </w:p>
    <w:p w14:paraId="1E7782AD" w14:textId="77777777" w:rsidR="000F04AF" w:rsidRDefault="00AE1580" w:rsidP="00AE1580">
      <w:r w:rsidRPr="00FB110A">
        <w:t xml:space="preserve">The </w:t>
      </w:r>
      <w:r w:rsidRPr="00B173A5">
        <w:rPr>
          <w:i/>
        </w:rPr>
        <w:t>primary objective</w:t>
      </w:r>
      <w:r w:rsidRPr="00FB110A">
        <w:t xml:space="preserve"> </w:t>
      </w:r>
      <w:r>
        <w:t xml:space="preserve">of the study </w:t>
      </w:r>
      <w:r w:rsidRPr="00FB110A">
        <w:t xml:space="preserve">was to assess </w:t>
      </w:r>
      <w:r>
        <w:t xml:space="preserve">the </w:t>
      </w:r>
      <w:r w:rsidRPr="00FB110A">
        <w:t xml:space="preserve">clinical efficacy of </w:t>
      </w:r>
      <w:r>
        <w:t xml:space="preserve">simoctocog alfa </w:t>
      </w:r>
      <w:r w:rsidRPr="00FB110A">
        <w:t xml:space="preserve">in terms </w:t>
      </w:r>
      <w:r>
        <w:t>of prevention and treatment of breakthrough BEs in patients receiving prophylaxis.</w:t>
      </w:r>
    </w:p>
    <w:p w14:paraId="3D6A862B" w14:textId="5E312579" w:rsidR="00AE1580" w:rsidRPr="00FB110A" w:rsidRDefault="00AE1580" w:rsidP="00AE1580">
      <w:r w:rsidRPr="00FB110A">
        <w:t xml:space="preserve">The </w:t>
      </w:r>
      <w:r w:rsidRPr="00B173A5">
        <w:rPr>
          <w:i/>
        </w:rPr>
        <w:t>secondary objectives</w:t>
      </w:r>
      <w:r w:rsidRPr="00FB110A">
        <w:t xml:space="preserve"> </w:t>
      </w:r>
      <w:r>
        <w:t xml:space="preserve">of the study </w:t>
      </w:r>
      <w:r w:rsidRPr="00FB110A">
        <w:t xml:space="preserve">were to: determine </w:t>
      </w:r>
      <w:r>
        <w:t xml:space="preserve">the </w:t>
      </w:r>
      <w:r w:rsidRPr="00FB110A">
        <w:t xml:space="preserve">pharmacokinetics (PK) of </w:t>
      </w:r>
      <w:r>
        <w:t xml:space="preserve">simoctocog alfa in up to 13 patients (12 evaluable) in </w:t>
      </w:r>
      <w:r w:rsidRPr="00FB110A">
        <w:t xml:space="preserve">each age </w:t>
      </w:r>
      <w:r>
        <w:t>group (2 to 5 and 6 to 12 years)</w:t>
      </w:r>
      <w:r w:rsidRPr="00FB110A">
        <w:t xml:space="preserve">; to compare the PK results for </w:t>
      </w:r>
      <w:r>
        <w:t xml:space="preserve">simoctocog alfa </w:t>
      </w:r>
      <w:r w:rsidRPr="00FB110A">
        <w:t xml:space="preserve">with the PK results of previously used FVIII concentrate; to determine the incremental recovery of </w:t>
      </w:r>
      <w:r>
        <w:t xml:space="preserve">simoctocog alfa </w:t>
      </w:r>
      <w:r w:rsidRPr="00FB110A">
        <w:t xml:space="preserve">over time; to investigate the immunogenic potential of </w:t>
      </w:r>
      <w:r>
        <w:t xml:space="preserve">simoctocog alfa </w:t>
      </w:r>
      <w:r w:rsidRPr="00FB110A">
        <w:t xml:space="preserve">by assessing the inhibitor titre; </w:t>
      </w:r>
      <w:r w:rsidRPr="00FB110A">
        <w:rPr>
          <w:rFonts w:cs="ÄÏ˚øf‘"/>
        </w:rPr>
        <w:t>to</w:t>
      </w:r>
      <w:r w:rsidRPr="00FB110A">
        <w:t xml:space="preserve"> assess efficacy of </w:t>
      </w:r>
      <w:r>
        <w:t xml:space="preserve">simoctocog alfa </w:t>
      </w:r>
      <w:r w:rsidRPr="00FB110A">
        <w:t xml:space="preserve">in surgeries; and to assess safety of </w:t>
      </w:r>
      <w:r>
        <w:t xml:space="preserve">simoctocog alfa </w:t>
      </w:r>
      <w:r w:rsidRPr="00FB110A">
        <w:t>in terms of adverse event (AE) monitoring.</w:t>
      </w:r>
    </w:p>
    <w:p w14:paraId="5D705D1E" w14:textId="77777777" w:rsidR="000F04AF" w:rsidRPr="00607D26" w:rsidRDefault="00AE1580" w:rsidP="00EA445D">
      <w:pPr>
        <w:pStyle w:val="Numberbullet2"/>
      </w:pPr>
      <w:r w:rsidRPr="00607D26">
        <w:t>d.</w:t>
      </w:r>
      <w:r w:rsidRPr="00607D26">
        <w:tab/>
        <w:t>Design</w:t>
      </w:r>
    </w:p>
    <w:p w14:paraId="3B8FDCFE" w14:textId="77777777" w:rsidR="000F04AF" w:rsidRDefault="00AE1580" w:rsidP="00AE1580">
      <w:r w:rsidRPr="006A325D">
        <w:t xml:space="preserve">GENA-03 was designed as a prospective, non-controlled, open-label, multicentre, Phase III study in 59 previously treated children with haemophilia </w:t>
      </w:r>
      <w:proofErr w:type="gramStart"/>
      <w:r w:rsidRPr="006A325D">
        <w:t>A</w:t>
      </w:r>
      <w:proofErr w:type="gramEnd"/>
      <w:r w:rsidRPr="006A325D">
        <w:t xml:space="preserve"> aged 2 to 12 years</w:t>
      </w:r>
      <w:r>
        <w:t xml:space="preserve">. </w:t>
      </w:r>
      <w:r w:rsidRPr="006A325D">
        <w:t>All children in the study population had previously experienced at least 50 exposure days (EDs) to FVIII concentrates.</w:t>
      </w:r>
    </w:p>
    <w:p w14:paraId="27899545" w14:textId="77777777" w:rsidR="000F04AF" w:rsidRDefault="00AE1580" w:rsidP="00AE1580">
      <w:r w:rsidRPr="006A325D">
        <w:t xml:space="preserve">The study included two phases. In Phase I, the PKs of simoctocog alfa and the previously used licensed FVIII concentrate (recombinant or plasma derived) were investigated in a subset of 27 patients in a non-randomised, cross-over design. In Phase II, patients who </w:t>
      </w:r>
      <w:r>
        <w:t xml:space="preserve">had </w:t>
      </w:r>
      <w:r w:rsidRPr="006A325D">
        <w:t>completed Phase I plus an additional 32 enrolled patients were treated with prophylactic and on-demand simoctocog alfa and followed up for a period of at least 6 months and at least 50 EDs.</w:t>
      </w:r>
    </w:p>
    <w:p w14:paraId="2BD46DB0" w14:textId="77777777" w:rsidR="000F04AF" w:rsidRDefault="00AE1580" w:rsidP="00AE1580">
      <w:pPr>
        <w:widowControl w:val="0"/>
        <w:autoSpaceDE w:val="0"/>
        <w:autoSpaceDN w:val="0"/>
        <w:adjustRightInd w:val="0"/>
      </w:pPr>
      <w:r w:rsidRPr="006A325D">
        <w:rPr>
          <w:rFonts w:eastAsia="Times New Roman"/>
          <w:lang w:eastAsia="en-AU"/>
        </w:rPr>
        <w:t xml:space="preserve">In Part I of the study, the PK characteristics of the previously used FVIII concentrate (PK Cycle 1) and simoctocog alfa (PK Cycle 2) were analysed in 26 patients in the PK-PP population (13 patients aged 2–5 years; 13 patients aged 6–12 years). PK Cycle 1 was to take place no later than </w:t>
      </w:r>
      <w:r w:rsidRPr="006A325D">
        <w:rPr>
          <w:rFonts w:eastAsia="Times New Roman"/>
          <w:lang w:eastAsia="en-AU"/>
        </w:rPr>
        <w:lastRenderedPageBreak/>
        <w:t>4 weeks after the screening visit. The previous FVIII concentrate (PK Cycle 1) was to be administered</w:t>
      </w:r>
      <w:r>
        <w:rPr>
          <w:rFonts w:eastAsia="Times New Roman"/>
          <w:lang w:eastAsia="en-AU"/>
        </w:rPr>
        <w:t xml:space="preserve"> after a 72 hour wash-out, and </w:t>
      </w:r>
      <w:r w:rsidRPr="006A325D">
        <w:rPr>
          <w:rFonts w:eastAsia="Times New Roman"/>
          <w:lang w:eastAsia="en-AU"/>
        </w:rPr>
        <w:t xml:space="preserve">the wash-out period between PK Cycle 1 and PK Cycle 2 was to be at least 72 hours. </w:t>
      </w:r>
      <w:r>
        <w:rPr>
          <w:rFonts w:eastAsia="Times New Roman"/>
          <w:lang w:eastAsia="en-AU"/>
        </w:rPr>
        <w:t xml:space="preserve">Both the </w:t>
      </w:r>
      <w:r w:rsidRPr="006A325D">
        <w:rPr>
          <w:rFonts w:eastAsia="Times New Roman"/>
          <w:lang w:eastAsia="en-AU"/>
        </w:rPr>
        <w:t xml:space="preserve">previous FVIII product </w:t>
      </w:r>
      <w:r>
        <w:rPr>
          <w:rFonts w:eastAsia="Times New Roman"/>
          <w:lang w:eastAsia="en-AU"/>
        </w:rPr>
        <w:t xml:space="preserve">and simoctocog alfa were </w:t>
      </w:r>
      <w:r w:rsidRPr="006A325D">
        <w:rPr>
          <w:rFonts w:eastAsia="Times New Roman"/>
          <w:lang w:eastAsia="en-AU"/>
        </w:rPr>
        <w:t xml:space="preserve">administered at a dose of 50 IU FVIII/kg </w:t>
      </w:r>
      <w:r>
        <w:rPr>
          <w:rFonts w:eastAsia="Times New Roman"/>
          <w:lang w:eastAsia="en-AU"/>
        </w:rPr>
        <w:t xml:space="preserve">(labelled potency). </w:t>
      </w:r>
      <w:r w:rsidRPr="006A325D">
        <w:t>When possible, both PK cycles were performed one after the other (</w:t>
      </w:r>
      <w:r w:rsidR="001A2E59">
        <w:t>that is,</w:t>
      </w:r>
      <w:r w:rsidRPr="006A325D">
        <w:t xml:space="preserve"> within 1 week, including wash-out period). Where this was not possible the two PK cycles were to be performed within a maximum of 4 weeks.</w:t>
      </w:r>
    </w:p>
    <w:p w14:paraId="1E4FCFC2" w14:textId="64304BAF" w:rsidR="00AE1580" w:rsidRDefault="00AE1580" w:rsidP="00AE1580">
      <w:pPr>
        <w:widowControl w:val="0"/>
        <w:autoSpaceDE w:val="0"/>
        <w:autoSpaceDN w:val="0"/>
        <w:adjustRightInd w:val="0"/>
        <w:rPr>
          <w:lang w:eastAsia="en-AU"/>
        </w:rPr>
      </w:pPr>
      <w:r w:rsidRPr="006A325D">
        <w:rPr>
          <w:lang w:eastAsia="en-AU"/>
        </w:rPr>
        <w:t>Prior to administration of the previous FVIII concentrate</w:t>
      </w:r>
      <w:r>
        <w:rPr>
          <w:lang w:eastAsia="en-AU"/>
        </w:rPr>
        <w:t xml:space="preserve"> </w:t>
      </w:r>
      <w:r w:rsidRPr="006A325D">
        <w:rPr>
          <w:lang w:eastAsia="en-AU"/>
        </w:rPr>
        <w:t>(PK Cycle 1)</w:t>
      </w:r>
      <w:r>
        <w:rPr>
          <w:lang w:eastAsia="en-AU"/>
        </w:rPr>
        <w:t xml:space="preserve">, actual BW </w:t>
      </w:r>
      <w:r w:rsidRPr="006A325D">
        <w:rPr>
          <w:lang w:eastAsia="en-AU"/>
        </w:rPr>
        <w:t xml:space="preserve">was </w:t>
      </w:r>
      <w:r>
        <w:rPr>
          <w:lang w:eastAsia="en-AU"/>
        </w:rPr>
        <w:t xml:space="preserve">documented and </w:t>
      </w:r>
      <w:r w:rsidRPr="006A325D">
        <w:rPr>
          <w:lang w:eastAsia="en-AU"/>
        </w:rPr>
        <w:t xml:space="preserve">baseline </w:t>
      </w:r>
      <w:r>
        <w:rPr>
          <w:lang w:eastAsia="en-AU"/>
        </w:rPr>
        <w:t xml:space="preserve">assessments were undertaken </w:t>
      </w:r>
      <w:r w:rsidRPr="006A325D">
        <w:rPr>
          <w:lang w:eastAsia="en-AU"/>
        </w:rPr>
        <w:t>for FVIII</w:t>
      </w:r>
      <w:proofErr w:type="gramStart"/>
      <w:r w:rsidRPr="006A325D">
        <w:rPr>
          <w:lang w:eastAsia="en-AU"/>
        </w:rPr>
        <w:t>:C</w:t>
      </w:r>
      <w:proofErr w:type="gramEnd"/>
      <w:r>
        <w:rPr>
          <w:lang w:eastAsia="en-AU"/>
        </w:rPr>
        <w:t xml:space="preserve"> level</w:t>
      </w:r>
      <w:r w:rsidRPr="006A325D">
        <w:rPr>
          <w:lang w:eastAsia="en-AU"/>
        </w:rPr>
        <w:t xml:space="preserve">, </w:t>
      </w:r>
      <w:r>
        <w:rPr>
          <w:lang w:eastAsia="en-AU"/>
        </w:rPr>
        <w:t xml:space="preserve">FVIII </w:t>
      </w:r>
      <w:r w:rsidRPr="006A325D">
        <w:rPr>
          <w:lang w:eastAsia="en-AU"/>
        </w:rPr>
        <w:t>inhibitors, anti-</w:t>
      </w:r>
      <w:r>
        <w:rPr>
          <w:lang w:eastAsia="en-AU"/>
        </w:rPr>
        <w:t xml:space="preserve">rhFVIII </w:t>
      </w:r>
      <w:r w:rsidRPr="006A325D">
        <w:rPr>
          <w:lang w:eastAsia="en-AU"/>
        </w:rPr>
        <w:t xml:space="preserve">antibodies, safety laboratory </w:t>
      </w:r>
      <w:r>
        <w:rPr>
          <w:lang w:eastAsia="en-AU"/>
        </w:rPr>
        <w:t xml:space="preserve">tests and </w:t>
      </w:r>
      <w:r w:rsidRPr="006A325D">
        <w:rPr>
          <w:lang w:eastAsia="en-AU"/>
        </w:rPr>
        <w:t>vital signs</w:t>
      </w:r>
      <w:r>
        <w:rPr>
          <w:lang w:eastAsia="en-AU"/>
        </w:rPr>
        <w:t xml:space="preserve">. In addition, at 48±2 hours after the end of the infusion in both PK Cycles 1 and 2 assessments were undertaken for </w:t>
      </w:r>
      <w:r w:rsidRPr="006A325D">
        <w:rPr>
          <w:lang w:eastAsia="en-AU"/>
        </w:rPr>
        <w:t>FVIII</w:t>
      </w:r>
      <w:proofErr w:type="gramStart"/>
      <w:r w:rsidRPr="006A325D">
        <w:rPr>
          <w:lang w:eastAsia="en-AU"/>
        </w:rPr>
        <w:t>:C</w:t>
      </w:r>
      <w:proofErr w:type="gramEnd"/>
      <w:r>
        <w:rPr>
          <w:lang w:eastAsia="en-AU"/>
        </w:rPr>
        <w:t xml:space="preserve"> level</w:t>
      </w:r>
      <w:r w:rsidRPr="006A325D">
        <w:rPr>
          <w:lang w:eastAsia="en-AU"/>
        </w:rPr>
        <w:t xml:space="preserve">, </w:t>
      </w:r>
      <w:r>
        <w:rPr>
          <w:lang w:eastAsia="en-AU"/>
        </w:rPr>
        <w:t xml:space="preserve">FVIII </w:t>
      </w:r>
      <w:r w:rsidRPr="006A325D">
        <w:rPr>
          <w:lang w:eastAsia="en-AU"/>
        </w:rPr>
        <w:t xml:space="preserve">inhibitors, safety laboratory </w:t>
      </w:r>
      <w:r>
        <w:rPr>
          <w:lang w:eastAsia="en-AU"/>
        </w:rPr>
        <w:t xml:space="preserve">tests and </w:t>
      </w:r>
      <w:r w:rsidRPr="006A325D">
        <w:rPr>
          <w:lang w:eastAsia="en-AU"/>
        </w:rPr>
        <w:t>vital signs</w:t>
      </w:r>
      <w:r>
        <w:rPr>
          <w:lang w:eastAsia="en-AU"/>
        </w:rPr>
        <w:t>. AE monitoring was undertaken throughout the whole period in both PK Cycle 1 and 2.</w:t>
      </w:r>
    </w:p>
    <w:p w14:paraId="76E211FA" w14:textId="77777777" w:rsidR="00AE1580" w:rsidRPr="00607D26" w:rsidRDefault="00AE1580" w:rsidP="00EA445D">
      <w:pPr>
        <w:pStyle w:val="Numberbullet2"/>
      </w:pPr>
      <w:r w:rsidRPr="00607D26">
        <w:t>e.</w:t>
      </w:r>
      <w:r w:rsidRPr="00607D26">
        <w:tab/>
        <w:t>Pharmacokinetic assessments and statistical methods</w:t>
      </w:r>
    </w:p>
    <w:p w14:paraId="5B96144D" w14:textId="77777777" w:rsidR="000F04AF" w:rsidRDefault="00AE1580" w:rsidP="00607D26">
      <w:pPr>
        <w:rPr>
          <w:lang w:eastAsia="en-AU"/>
        </w:rPr>
      </w:pPr>
      <w:r w:rsidRPr="00806766">
        <w:t xml:space="preserve">In Phase I of the study, PK analysis </w:t>
      </w:r>
      <w:r>
        <w:t xml:space="preserve">was undertaken with the previously used </w:t>
      </w:r>
      <w:r w:rsidRPr="00806766">
        <w:t>FVIII concentrate</w:t>
      </w:r>
      <w:r>
        <w:t xml:space="preserve">, and with simoctocog alfa. </w:t>
      </w:r>
      <w:r w:rsidRPr="00806766">
        <w:rPr>
          <w:lang w:eastAsia="en-AU"/>
        </w:rPr>
        <w:t xml:space="preserve">The following PK parameters were calculated for both products by </w:t>
      </w:r>
      <w:r>
        <w:rPr>
          <w:lang w:eastAsia="en-AU"/>
        </w:rPr>
        <w:t xml:space="preserve">NCA </w:t>
      </w:r>
      <w:r w:rsidRPr="00806766">
        <w:rPr>
          <w:lang w:eastAsia="en-AU"/>
        </w:rPr>
        <w:t xml:space="preserve">based on both the CHR and OS assays and the actual potency of both FVIII concentrates: </w:t>
      </w:r>
      <w:r>
        <w:rPr>
          <w:lang w:eastAsia="en-AU"/>
        </w:rPr>
        <w:t xml:space="preserve">AUC </w:t>
      </w:r>
      <w:r w:rsidRPr="00806766">
        <w:rPr>
          <w:lang w:eastAsia="en-AU"/>
        </w:rPr>
        <w:t>and AUC</w:t>
      </w:r>
      <w:r>
        <w:rPr>
          <w:vertAlign w:val="subscript"/>
          <w:lang w:eastAsia="en-AU"/>
        </w:rPr>
        <w:t xml:space="preserve"> </w:t>
      </w:r>
      <w:r w:rsidRPr="00806766">
        <w:rPr>
          <w:lang w:eastAsia="en-AU"/>
        </w:rPr>
        <w:t>normalised by the dose (AUC</w:t>
      </w:r>
      <w:r w:rsidRPr="003C029A">
        <w:rPr>
          <w:vertAlign w:val="subscript"/>
          <w:lang w:eastAsia="en-AU"/>
        </w:rPr>
        <w:t>norm</w:t>
      </w:r>
      <w:r w:rsidRPr="00806766">
        <w:rPr>
          <w:lang w:eastAsia="en-AU"/>
        </w:rPr>
        <w:t>), T</w:t>
      </w:r>
      <w:r w:rsidRPr="00806766">
        <w:rPr>
          <w:vertAlign w:val="subscript"/>
          <w:lang w:eastAsia="en-AU"/>
        </w:rPr>
        <w:t>1/2</w:t>
      </w:r>
      <w:r w:rsidRPr="00806766">
        <w:rPr>
          <w:lang w:eastAsia="en-AU"/>
        </w:rPr>
        <w:t>, C</w:t>
      </w:r>
      <w:r w:rsidRPr="00806766">
        <w:rPr>
          <w:vertAlign w:val="subscript"/>
          <w:lang w:eastAsia="en-AU"/>
        </w:rPr>
        <w:t>max</w:t>
      </w:r>
      <w:r w:rsidRPr="00806766">
        <w:rPr>
          <w:lang w:eastAsia="en-AU"/>
        </w:rPr>
        <w:t>, T</w:t>
      </w:r>
      <w:r w:rsidRPr="00806766">
        <w:rPr>
          <w:vertAlign w:val="subscript"/>
          <w:lang w:eastAsia="en-AU"/>
        </w:rPr>
        <w:t>max</w:t>
      </w:r>
      <w:r w:rsidRPr="00806766">
        <w:rPr>
          <w:lang w:eastAsia="en-AU"/>
        </w:rPr>
        <w:t>, MRT, V</w:t>
      </w:r>
      <w:r w:rsidRPr="00806766">
        <w:rPr>
          <w:vertAlign w:val="subscript"/>
          <w:lang w:eastAsia="en-AU"/>
        </w:rPr>
        <w:t>ss</w:t>
      </w:r>
      <w:r w:rsidRPr="00806766">
        <w:rPr>
          <w:lang w:eastAsia="en-AU"/>
        </w:rPr>
        <w:t xml:space="preserve">, and CL. </w:t>
      </w:r>
      <w:r>
        <w:rPr>
          <w:lang w:eastAsia="en-AU"/>
        </w:rPr>
        <w:t>The PK analyses were based on FVIII</w:t>
      </w:r>
      <w:proofErr w:type="gramStart"/>
      <w:r>
        <w:rPr>
          <w:lang w:eastAsia="en-AU"/>
        </w:rPr>
        <w:t>:C</w:t>
      </w:r>
      <w:proofErr w:type="gramEnd"/>
      <w:r>
        <w:rPr>
          <w:lang w:eastAsia="en-AU"/>
        </w:rPr>
        <w:t xml:space="preserve"> </w:t>
      </w:r>
      <w:r w:rsidRPr="00806766">
        <w:rPr>
          <w:lang w:eastAsia="en-AU"/>
        </w:rPr>
        <w:t>plasma level</w:t>
      </w:r>
      <w:r>
        <w:rPr>
          <w:lang w:eastAsia="en-AU"/>
        </w:rPr>
        <w:t>s</w:t>
      </w:r>
      <w:r w:rsidRPr="00806766">
        <w:rPr>
          <w:lang w:eastAsia="en-AU"/>
        </w:rPr>
        <w:t xml:space="preserve"> measured before and 30 minutes, 2, 5, 10,</w:t>
      </w:r>
      <w:r w:rsidRPr="00806766">
        <w:t xml:space="preserve"> </w:t>
      </w:r>
      <w:r w:rsidRPr="00806766">
        <w:rPr>
          <w:lang w:eastAsia="en-AU"/>
        </w:rPr>
        <w:t xml:space="preserve">24, and 48 hours after the end of injection. </w:t>
      </w:r>
      <w:r>
        <w:rPr>
          <w:lang w:eastAsia="en-AU"/>
        </w:rPr>
        <w:t>Descriptive parameters were provided for all PK parameters. I</w:t>
      </w:r>
      <w:r w:rsidRPr="00806766">
        <w:rPr>
          <w:lang w:eastAsia="en-AU"/>
        </w:rPr>
        <w:t>ndividual comparison</w:t>
      </w:r>
      <w:r>
        <w:rPr>
          <w:lang w:eastAsia="en-AU"/>
        </w:rPr>
        <w:t>s</w:t>
      </w:r>
      <w:r w:rsidRPr="00806766">
        <w:rPr>
          <w:lang w:eastAsia="en-AU"/>
        </w:rPr>
        <w:t xml:space="preserve"> of the PK </w:t>
      </w:r>
      <w:r>
        <w:rPr>
          <w:lang w:eastAsia="en-AU"/>
        </w:rPr>
        <w:t>ratios</w:t>
      </w:r>
      <w:r w:rsidRPr="00806766">
        <w:rPr>
          <w:lang w:eastAsia="en-AU"/>
        </w:rPr>
        <w:t xml:space="preserve"> of </w:t>
      </w:r>
      <w:r>
        <w:rPr>
          <w:lang w:eastAsia="en-AU"/>
        </w:rPr>
        <w:t xml:space="preserve">simoctocog alfa </w:t>
      </w:r>
      <w:r w:rsidRPr="00806766">
        <w:rPr>
          <w:lang w:eastAsia="en-AU"/>
        </w:rPr>
        <w:t xml:space="preserve">with previously used FVIII concentrate </w:t>
      </w:r>
      <w:r>
        <w:rPr>
          <w:lang w:eastAsia="en-AU"/>
        </w:rPr>
        <w:t>were calculated. All calculations (except T</w:t>
      </w:r>
      <w:r w:rsidRPr="003C029A">
        <w:rPr>
          <w:vertAlign w:val="subscript"/>
          <w:lang w:eastAsia="en-AU"/>
        </w:rPr>
        <w:t>max</w:t>
      </w:r>
      <w:r>
        <w:rPr>
          <w:lang w:eastAsia="en-AU"/>
        </w:rPr>
        <w:t>) were based on actual sampling times rather than on nominal time points. FVIII</w:t>
      </w:r>
      <w:proofErr w:type="gramStart"/>
      <w:r>
        <w:rPr>
          <w:lang w:eastAsia="en-AU"/>
        </w:rPr>
        <w:t>:C</w:t>
      </w:r>
      <w:proofErr w:type="gramEnd"/>
      <w:r>
        <w:rPr>
          <w:lang w:eastAsia="en-AU"/>
        </w:rPr>
        <w:t xml:space="preserve"> values below the limit of quantification were set to zero for PK calculations.</w:t>
      </w:r>
    </w:p>
    <w:p w14:paraId="34C6778D" w14:textId="77777777" w:rsidR="000F04AF" w:rsidRDefault="00AE1580" w:rsidP="00AE1580">
      <w:pPr>
        <w:rPr>
          <w:rFonts w:eastAsia="Times New Roman"/>
          <w:lang w:eastAsia="en-AU"/>
        </w:rPr>
      </w:pPr>
      <w:r w:rsidRPr="00806766">
        <w:rPr>
          <w:rFonts w:eastAsia="Times New Roman"/>
          <w:lang w:eastAsia="en-AU"/>
        </w:rPr>
        <w:t xml:space="preserve">The IVR was calculated at study entry </w:t>
      </w:r>
      <w:r>
        <w:rPr>
          <w:rFonts w:eastAsia="Times New Roman"/>
          <w:lang w:eastAsia="en-AU"/>
        </w:rPr>
        <w:t xml:space="preserve">for all patients </w:t>
      </w:r>
      <w:r w:rsidRPr="00806766">
        <w:rPr>
          <w:rFonts w:eastAsia="Times New Roman"/>
          <w:lang w:eastAsia="en-AU"/>
        </w:rPr>
        <w:t>and after 3 and 6 months of treatment from the FVIII</w:t>
      </w:r>
      <w:proofErr w:type="gramStart"/>
      <w:r>
        <w:rPr>
          <w:rFonts w:eastAsia="Times New Roman"/>
          <w:lang w:eastAsia="en-AU"/>
        </w:rPr>
        <w:t>:C</w:t>
      </w:r>
      <w:proofErr w:type="gramEnd"/>
      <w:r w:rsidRPr="00806766">
        <w:rPr>
          <w:rFonts w:eastAsia="Times New Roman"/>
          <w:lang w:eastAsia="en-AU"/>
        </w:rPr>
        <w:t xml:space="preserve"> plasma level before and peak levels obtained 30 minutes and 2 hours post-infusion. For the calculation of recovery, the actual potency of </w:t>
      </w:r>
      <w:r>
        <w:rPr>
          <w:rFonts w:eastAsia="Times New Roman"/>
          <w:lang w:eastAsia="en-AU"/>
        </w:rPr>
        <w:t xml:space="preserve">simoctocog alfa </w:t>
      </w:r>
      <w:r w:rsidRPr="00806766">
        <w:rPr>
          <w:rFonts w:eastAsia="Times New Roman"/>
          <w:lang w:eastAsia="en-AU"/>
        </w:rPr>
        <w:t>and the previously used FVIII concentrate was used. The IVR was calculated using the same formula as that employed in GENA-01.</w:t>
      </w:r>
    </w:p>
    <w:p w14:paraId="41186CD2" w14:textId="77777777" w:rsidR="000F04AF" w:rsidRDefault="00AE1580" w:rsidP="00AE1580">
      <w:pPr>
        <w:rPr>
          <w:rFonts w:eastAsia="Times New Roman"/>
          <w:lang w:eastAsia="en-AU"/>
        </w:rPr>
      </w:pPr>
      <w:r w:rsidRPr="003C029A">
        <w:rPr>
          <w:rFonts w:eastAsia="Times New Roman"/>
          <w:lang w:eastAsia="en-AU"/>
        </w:rPr>
        <w:t>No formal sample size calculation was performed for this study, but the sample size was chosen to satisfy CHMP criteria (EMEA/CHMP/BPWP/144533/2009; London, 23 July 2009).</w:t>
      </w:r>
    </w:p>
    <w:p w14:paraId="450CC77F" w14:textId="77777777" w:rsidR="000F04AF" w:rsidRDefault="00AE1580" w:rsidP="00AE1580">
      <w:pPr>
        <w:widowControl w:val="0"/>
        <w:autoSpaceDE w:val="0"/>
        <w:autoSpaceDN w:val="0"/>
        <w:adjustRightInd w:val="0"/>
      </w:pPr>
      <w:r w:rsidRPr="003C029A">
        <w:rPr>
          <w:rFonts w:eastAsia="Times New Roman"/>
          <w:lang w:eastAsia="en-AU"/>
        </w:rPr>
        <w:t xml:space="preserve">The primary analysis population for the PK data (Phase I) was the PK per protocol (PK-PP) analysis population. The PK-PP </w:t>
      </w:r>
      <w:r>
        <w:rPr>
          <w:rFonts w:eastAsia="Times New Roman"/>
          <w:lang w:eastAsia="en-AU"/>
        </w:rPr>
        <w:t xml:space="preserve">analysis </w:t>
      </w:r>
      <w:r w:rsidRPr="003C029A">
        <w:rPr>
          <w:rFonts w:eastAsia="Times New Roman"/>
          <w:lang w:eastAsia="en-AU"/>
        </w:rPr>
        <w:t xml:space="preserve">population included </w:t>
      </w:r>
      <w:r w:rsidRPr="003C029A">
        <w:t>all patients who completed the PK-phase of the trial and received both FVIII treatments without significantly violating the inclusion/exclusion criteria or other aspects of the protocol considered to potentially affect the PK results.</w:t>
      </w:r>
    </w:p>
    <w:p w14:paraId="7EA5E9A5" w14:textId="6113861C" w:rsidR="00AE1580" w:rsidRPr="00607D26" w:rsidRDefault="00AE1580" w:rsidP="00EA445D">
      <w:pPr>
        <w:pStyle w:val="Numberbullet2"/>
        <w:rPr>
          <w:lang w:eastAsia="en-AU"/>
        </w:rPr>
      </w:pPr>
      <w:r w:rsidRPr="00607D26">
        <w:rPr>
          <w:lang w:eastAsia="en-AU"/>
        </w:rPr>
        <w:t xml:space="preserve">f. </w:t>
      </w:r>
      <w:r w:rsidRPr="00607D26">
        <w:rPr>
          <w:lang w:eastAsia="en-AU"/>
        </w:rPr>
        <w:tab/>
        <w:t>Chromogenic (CHR) and one-stage (OS) assays</w:t>
      </w:r>
    </w:p>
    <w:p w14:paraId="52E6448C" w14:textId="77777777" w:rsidR="000F04AF" w:rsidRDefault="00AE1580" w:rsidP="00AE1580">
      <w:pPr>
        <w:widowControl w:val="0"/>
        <w:autoSpaceDE w:val="0"/>
        <w:autoSpaceDN w:val="0"/>
        <w:adjustRightInd w:val="0"/>
      </w:pPr>
      <w:r w:rsidRPr="003C029A">
        <w:t>FVIII</w:t>
      </w:r>
      <w:proofErr w:type="gramStart"/>
      <w:r w:rsidRPr="003C029A">
        <w:t>:C</w:t>
      </w:r>
      <w:proofErr w:type="gramEnd"/>
      <w:r w:rsidRPr="003C029A">
        <w:t xml:space="preserve"> </w:t>
      </w:r>
      <w:r>
        <w:t xml:space="preserve">levels </w:t>
      </w:r>
      <w:r w:rsidRPr="003C029A">
        <w:t xml:space="preserve">for </w:t>
      </w:r>
      <w:r>
        <w:t xml:space="preserve">calculation of </w:t>
      </w:r>
      <w:r w:rsidRPr="003C029A">
        <w:t>IVR and PK were performed using validated methods for OS and CHR assay</w:t>
      </w:r>
      <w:r>
        <w:t>s</w:t>
      </w:r>
      <w:r w:rsidRPr="003C029A">
        <w:t xml:space="preserve"> in </w:t>
      </w:r>
      <w:r>
        <w:t xml:space="preserve">the </w:t>
      </w:r>
      <w:r w:rsidRPr="003C029A">
        <w:t xml:space="preserve">central laboratory, which also assigned the actual drug potency by means of the same assays. </w:t>
      </w:r>
      <w:r>
        <w:t xml:space="preserve">In addition, </w:t>
      </w:r>
      <w:r w:rsidRPr="003C029A">
        <w:t xml:space="preserve">FVIII inhibitory and non-inhibitory antibodies </w:t>
      </w:r>
      <w:r>
        <w:t xml:space="preserve">against simoctocog alfa </w:t>
      </w:r>
      <w:r w:rsidRPr="003C029A">
        <w:t xml:space="preserve">were </w:t>
      </w:r>
      <w:r>
        <w:t xml:space="preserve">also </w:t>
      </w:r>
      <w:r w:rsidRPr="003C029A">
        <w:t xml:space="preserve">measured by validated methods in </w:t>
      </w:r>
      <w:r>
        <w:t xml:space="preserve">the </w:t>
      </w:r>
      <w:r w:rsidRPr="003C029A">
        <w:t>central laboratory.</w:t>
      </w:r>
    </w:p>
    <w:p w14:paraId="5186CE91" w14:textId="77777777" w:rsidR="000F04AF" w:rsidRPr="00607D26" w:rsidRDefault="00AE1580" w:rsidP="00EA445D">
      <w:pPr>
        <w:pStyle w:val="Numberbullet2"/>
      </w:pPr>
      <w:r w:rsidRPr="00607D26">
        <w:t>g.</w:t>
      </w:r>
      <w:r w:rsidRPr="00607D26">
        <w:tab/>
        <w:t>Demographics of the PK study population</w:t>
      </w:r>
    </w:p>
    <w:p w14:paraId="3E40E639" w14:textId="66E09A28" w:rsidR="00AE1580" w:rsidRPr="003C029A" w:rsidRDefault="00AE1580" w:rsidP="00AE1580">
      <w:pPr>
        <w:widowControl w:val="0"/>
        <w:autoSpaceDE w:val="0"/>
        <w:autoSpaceDN w:val="0"/>
        <w:adjustRightInd w:val="0"/>
      </w:pPr>
      <w:r w:rsidRPr="003C029A">
        <w:t xml:space="preserve">PK analysis was undertaken in 27 patients (45.7% of the total population) using their previous FVIII concentrate and </w:t>
      </w:r>
      <w:r>
        <w:t>simoctocog alfa</w:t>
      </w:r>
      <w:r w:rsidRPr="003C029A">
        <w:t xml:space="preserve">. However, the PK-PP </w:t>
      </w:r>
      <w:r>
        <w:t xml:space="preserve">analysis population </w:t>
      </w:r>
      <w:r w:rsidRPr="003C029A">
        <w:t xml:space="preserve">included 26 patients as one of the 27 studied patients was </w:t>
      </w:r>
      <w:r>
        <w:t xml:space="preserve">subsequently </w:t>
      </w:r>
      <w:r w:rsidRPr="003C029A">
        <w:t xml:space="preserve">excluded due to a diagnosis of </w:t>
      </w:r>
      <w:r w:rsidR="005D76C0">
        <w:t>v</w:t>
      </w:r>
      <w:r w:rsidRPr="003C029A">
        <w:t xml:space="preserve">on Willebrand disease (VWD). Of the 26 patients in the PK-PP </w:t>
      </w:r>
      <w:r>
        <w:t xml:space="preserve">analysis </w:t>
      </w:r>
      <w:r w:rsidRPr="003C029A">
        <w:t>population, 13 were aged between 2 and 5 years and 13 were aged between 6 and 12 years.</w:t>
      </w:r>
    </w:p>
    <w:p w14:paraId="5ACCF47E" w14:textId="5AC99C58" w:rsidR="00AE1580" w:rsidRPr="00FA2F73" w:rsidRDefault="00AE1580" w:rsidP="00326EE9">
      <w:pPr>
        <w:widowControl w:val="0"/>
        <w:autoSpaceDE w:val="0"/>
        <w:autoSpaceDN w:val="0"/>
        <w:adjustRightInd w:val="0"/>
        <w:ind w:left="1134" w:hanging="1134"/>
        <w:rPr>
          <w:rFonts w:asciiTheme="minorHAnsi" w:hAnsiTheme="minorHAnsi"/>
          <w:i/>
        </w:rPr>
      </w:pPr>
      <w:r w:rsidRPr="00326EE9">
        <w:rPr>
          <w:rFonts w:asciiTheme="minorHAnsi" w:hAnsiTheme="minorHAnsi"/>
        </w:rPr>
        <w:t xml:space="preserve">Comment: No separate tabulated summary of the demographics of the 26 patients in the PK-PP population could be identified in the submission. The sponsor will be requested to </w:t>
      </w:r>
      <w:r w:rsidRPr="00326EE9">
        <w:rPr>
          <w:rFonts w:asciiTheme="minorHAnsi" w:hAnsiTheme="minorHAnsi"/>
        </w:rPr>
        <w:lastRenderedPageBreak/>
        <w:t xml:space="preserve">provide this information in its s31 response to the first round clinical evaluation. </w:t>
      </w:r>
      <w:r w:rsidR="00A84DFC" w:rsidRPr="00FA2F73">
        <w:rPr>
          <w:rFonts w:asciiTheme="minorHAnsi" w:hAnsiTheme="minorHAnsi"/>
          <w:i/>
        </w:rPr>
        <w:t>See Section 11.1.1.</w:t>
      </w:r>
    </w:p>
    <w:p w14:paraId="03CC732C" w14:textId="77777777" w:rsidR="00AE1580" w:rsidRPr="00607D26" w:rsidRDefault="00AE1580" w:rsidP="00EA445D">
      <w:pPr>
        <w:pStyle w:val="Numberbullet2"/>
      </w:pPr>
      <w:r w:rsidRPr="00607D26">
        <w:t>h.</w:t>
      </w:r>
      <w:r w:rsidRPr="00607D26">
        <w:tab/>
        <w:t>PK results - actual doses</w:t>
      </w:r>
    </w:p>
    <w:p w14:paraId="5359BE57" w14:textId="77777777" w:rsidR="000F04AF" w:rsidRDefault="00AE1580" w:rsidP="00AE1580">
      <w:pPr>
        <w:widowControl w:val="0"/>
        <w:autoSpaceDE w:val="0"/>
        <w:autoSpaceDN w:val="0"/>
        <w:adjustRightInd w:val="0"/>
      </w:pPr>
      <w:r w:rsidRPr="003C029A">
        <w:t>Patients received their previously used FVIII concentrate after at least a 72-hour wash</w:t>
      </w:r>
      <w:r>
        <w:t>-</w:t>
      </w:r>
      <w:r w:rsidRPr="003C029A">
        <w:t xml:space="preserve">out at a dose of 50 IU/kg BW (labelled potency) </w:t>
      </w:r>
      <w:r>
        <w:t xml:space="preserve">in PK </w:t>
      </w:r>
      <w:r w:rsidRPr="003C029A">
        <w:t>Cycle 1 followed by at least a 72-hour washout period</w:t>
      </w:r>
      <w:r>
        <w:t>,</w:t>
      </w:r>
      <w:r w:rsidRPr="003C029A">
        <w:t xml:space="preserve"> and </w:t>
      </w:r>
      <w:r>
        <w:t xml:space="preserve">simoctocog alfa </w:t>
      </w:r>
      <w:r w:rsidRPr="003C029A">
        <w:t>at the dose of 50 IU/</w:t>
      </w:r>
      <w:r>
        <w:t>kg BW (labelled potency) in PK Cycle 2. S</w:t>
      </w:r>
      <w:r w:rsidRPr="003C029A">
        <w:t>ome a</w:t>
      </w:r>
      <w:r>
        <w:t xml:space="preserve">ctual </w:t>
      </w:r>
      <w:proofErr w:type="gramStart"/>
      <w:r>
        <w:t>potencies</w:t>
      </w:r>
      <w:proofErr w:type="gramEnd"/>
      <w:r>
        <w:t xml:space="preserve"> for the previously used FVIII </w:t>
      </w:r>
      <w:r w:rsidRPr="003C029A">
        <w:t>products were not available</w:t>
      </w:r>
      <w:r>
        <w:t xml:space="preserve"> and in these cases </w:t>
      </w:r>
      <w:r w:rsidRPr="003C029A">
        <w:t xml:space="preserve">the certificates of analysis were obtained and used for </w:t>
      </w:r>
      <w:r>
        <w:t xml:space="preserve">the </w:t>
      </w:r>
      <w:r w:rsidRPr="003C029A">
        <w:t>PK evaluation. Furthermore, not all previous FV</w:t>
      </w:r>
      <w:r>
        <w:t>III concentrates were analysed and in these cases a</w:t>
      </w:r>
      <w:r w:rsidRPr="003C029A">
        <w:t xml:space="preserve">ctual potency was calculated from mean potency over identical product lots weighted by the administered amount per lot. The actual doses administered according to potencies measured with the CHR and OS assays are summarised below in Table </w:t>
      </w:r>
      <w:r>
        <w:t>6</w:t>
      </w:r>
      <w:r w:rsidRPr="003C029A">
        <w:t>.</w:t>
      </w:r>
    </w:p>
    <w:p w14:paraId="08CF7D9C" w14:textId="3BAF68F1" w:rsidR="00AE1580" w:rsidRDefault="00AE1580" w:rsidP="00517714">
      <w:pPr>
        <w:pStyle w:val="Tabletitle"/>
      </w:pPr>
      <w:bookmarkStart w:id="34" w:name="_Toc248202524"/>
      <w:r>
        <w:t xml:space="preserve">Table </w:t>
      </w:r>
      <w:r w:rsidR="00A84DFC">
        <w:fldChar w:fldCharType="begin"/>
      </w:r>
      <w:r w:rsidR="00ED655E">
        <w:instrText xml:space="preserve"> SEQ Table \* ARABIC </w:instrText>
      </w:r>
      <w:r w:rsidR="00A84DFC">
        <w:fldChar w:fldCharType="separate"/>
      </w:r>
      <w:r w:rsidR="007553C1">
        <w:rPr>
          <w:noProof/>
        </w:rPr>
        <w:t>6</w:t>
      </w:r>
      <w:r w:rsidR="00A84DFC">
        <w:rPr>
          <w:noProof/>
        </w:rPr>
        <w:fldChar w:fldCharType="end"/>
      </w:r>
      <w:r>
        <w:t>: GENA-03 - Actual dose (IU/kg) administered for PK analysis; PK-PP population (n=26).</w:t>
      </w:r>
      <w:bookmarkEnd w:id="34"/>
      <w:r>
        <w:t xml:space="preserve"> </w:t>
      </w:r>
    </w:p>
    <w:tbl>
      <w:tblPr>
        <w:tblStyle w:val="TableTGAblue"/>
        <w:tblW w:w="0" w:type="auto"/>
        <w:tblLook w:val="04A0" w:firstRow="1" w:lastRow="0" w:firstColumn="1" w:lastColumn="0" w:noHBand="0" w:noVBand="1"/>
      </w:tblPr>
      <w:tblGrid>
        <w:gridCol w:w="1313"/>
        <w:gridCol w:w="1249"/>
        <w:gridCol w:w="1441"/>
        <w:gridCol w:w="1309"/>
        <w:gridCol w:w="1276"/>
        <w:gridCol w:w="1335"/>
        <w:gridCol w:w="1319"/>
      </w:tblGrid>
      <w:tr w:rsidR="00232C15" w:rsidRPr="005849F7" w14:paraId="61CA47D5" w14:textId="77777777" w:rsidTr="00232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1B128697" w14:textId="77777777" w:rsidR="00AE1580" w:rsidRPr="005849F7" w:rsidRDefault="00AE1580" w:rsidP="00AE1580">
            <w:pPr>
              <w:widowControl w:val="0"/>
              <w:autoSpaceDE w:val="0"/>
              <w:autoSpaceDN w:val="0"/>
              <w:adjustRightInd w:val="0"/>
              <w:spacing w:after="40"/>
              <w:rPr>
                <w:rFonts w:asciiTheme="minorHAnsi" w:hAnsiTheme="minorHAnsi"/>
                <w:sz w:val="18"/>
                <w:szCs w:val="18"/>
              </w:rPr>
            </w:pPr>
            <w:r w:rsidRPr="005849F7">
              <w:rPr>
                <w:rFonts w:asciiTheme="minorHAnsi" w:hAnsiTheme="minorHAnsi"/>
                <w:sz w:val="18"/>
                <w:szCs w:val="18"/>
              </w:rPr>
              <w:t>Assay</w:t>
            </w:r>
          </w:p>
        </w:tc>
        <w:tc>
          <w:tcPr>
            <w:tcW w:w="1296" w:type="dxa"/>
          </w:tcPr>
          <w:p w14:paraId="30C21C2F"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Cycle</w:t>
            </w:r>
          </w:p>
        </w:tc>
        <w:tc>
          <w:tcPr>
            <w:tcW w:w="1432" w:type="dxa"/>
          </w:tcPr>
          <w:p w14:paraId="21BFFBEF"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FVIII product</w:t>
            </w:r>
          </w:p>
        </w:tc>
        <w:tc>
          <w:tcPr>
            <w:tcW w:w="1364" w:type="dxa"/>
          </w:tcPr>
          <w:p w14:paraId="5D30D6E4"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Mean </w:t>
            </w:r>
          </w:p>
        </w:tc>
        <w:tc>
          <w:tcPr>
            <w:tcW w:w="1364" w:type="dxa"/>
          </w:tcPr>
          <w:p w14:paraId="35B0C537"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SD</w:t>
            </w:r>
          </w:p>
        </w:tc>
        <w:tc>
          <w:tcPr>
            <w:tcW w:w="1364" w:type="dxa"/>
          </w:tcPr>
          <w:p w14:paraId="598AA765"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Median</w:t>
            </w:r>
          </w:p>
        </w:tc>
        <w:tc>
          <w:tcPr>
            <w:tcW w:w="1364" w:type="dxa"/>
          </w:tcPr>
          <w:p w14:paraId="3744B46B" w14:textId="77777777" w:rsidR="00AE1580" w:rsidRPr="005849F7" w:rsidRDefault="00AE1580" w:rsidP="00AE1580">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Range </w:t>
            </w:r>
          </w:p>
        </w:tc>
      </w:tr>
      <w:tr w:rsidR="00AE1580" w:rsidRPr="005849F7" w14:paraId="14EB8D9E" w14:textId="77777777" w:rsidTr="00232C15">
        <w:tc>
          <w:tcPr>
            <w:cnfStyle w:val="001000000000" w:firstRow="0" w:lastRow="0" w:firstColumn="1" w:lastColumn="0" w:oddVBand="0" w:evenVBand="0" w:oddHBand="0" w:evenHBand="0" w:firstRowFirstColumn="0" w:firstRowLastColumn="0" w:lastRowFirstColumn="0" w:lastRowLastColumn="0"/>
            <w:tcW w:w="1364" w:type="dxa"/>
          </w:tcPr>
          <w:p w14:paraId="2832A3DA" w14:textId="77777777" w:rsidR="00AE1580" w:rsidRPr="005849F7" w:rsidRDefault="00AE1580" w:rsidP="00AE1580">
            <w:pPr>
              <w:widowControl w:val="0"/>
              <w:autoSpaceDE w:val="0"/>
              <w:autoSpaceDN w:val="0"/>
              <w:adjustRightInd w:val="0"/>
              <w:spacing w:after="40"/>
              <w:rPr>
                <w:rFonts w:asciiTheme="minorHAnsi" w:hAnsiTheme="minorHAnsi"/>
                <w:sz w:val="18"/>
                <w:szCs w:val="18"/>
              </w:rPr>
            </w:pPr>
            <w:r w:rsidRPr="005849F7">
              <w:rPr>
                <w:rFonts w:asciiTheme="minorHAnsi" w:hAnsiTheme="minorHAnsi"/>
                <w:sz w:val="18"/>
                <w:szCs w:val="18"/>
              </w:rPr>
              <w:t>CHR assay</w:t>
            </w:r>
          </w:p>
        </w:tc>
        <w:tc>
          <w:tcPr>
            <w:tcW w:w="1296" w:type="dxa"/>
          </w:tcPr>
          <w:p w14:paraId="39C4A422"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Cycle 1</w:t>
            </w:r>
          </w:p>
        </w:tc>
        <w:tc>
          <w:tcPr>
            <w:tcW w:w="1432" w:type="dxa"/>
          </w:tcPr>
          <w:p w14:paraId="47D98032"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Previous FVII</w:t>
            </w:r>
            <w:r>
              <w:rPr>
                <w:rFonts w:asciiTheme="minorHAnsi" w:hAnsiTheme="minorHAnsi"/>
                <w:sz w:val="18"/>
                <w:szCs w:val="18"/>
              </w:rPr>
              <w:t>I</w:t>
            </w:r>
          </w:p>
        </w:tc>
        <w:tc>
          <w:tcPr>
            <w:tcW w:w="1364" w:type="dxa"/>
          </w:tcPr>
          <w:p w14:paraId="7E17E1D1"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43.8</w:t>
            </w:r>
          </w:p>
        </w:tc>
        <w:tc>
          <w:tcPr>
            <w:tcW w:w="1364" w:type="dxa"/>
          </w:tcPr>
          <w:p w14:paraId="753EFF17"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4.8</w:t>
            </w:r>
          </w:p>
        </w:tc>
        <w:tc>
          <w:tcPr>
            <w:tcW w:w="1364" w:type="dxa"/>
          </w:tcPr>
          <w:p w14:paraId="0CCD126A"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42.8</w:t>
            </w:r>
          </w:p>
        </w:tc>
        <w:tc>
          <w:tcPr>
            <w:tcW w:w="1364" w:type="dxa"/>
          </w:tcPr>
          <w:p w14:paraId="32482621"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35.7–53.8</w:t>
            </w:r>
          </w:p>
        </w:tc>
      </w:tr>
      <w:tr w:rsidR="00AE1580" w:rsidRPr="005849F7" w14:paraId="038F11B6" w14:textId="77777777" w:rsidTr="00232C15">
        <w:tc>
          <w:tcPr>
            <w:cnfStyle w:val="001000000000" w:firstRow="0" w:lastRow="0" w:firstColumn="1" w:lastColumn="0" w:oddVBand="0" w:evenVBand="0" w:oddHBand="0" w:evenHBand="0" w:firstRowFirstColumn="0" w:firstRowLastColumn="0" w:lastRowFirstColumn="0" w:lastRowLastColumn="0"/>
            <w:tcW w:w="1364" w:type="dxa"/>
          </w:tcPr>
          <w:p w14:paraId="2BA4A0C5" w14:textId="77313122" w:rsidR="00AE1580" w:rsidRPr="005849F7" w:rsidRDefault="00AE1580" w:rsidP="00AE1580">
            <w:pPr>
              <w:widowControl w:val="0"/>
              <w:autoSpaceDE w:val="0"/>
              <w:autoSpaceDN w:val="0"/>
              <w:adjustRightInd w:val="0"/>
              <w:spacing w:after="40"/>
              <w:rPr>
                <w:rFonts w:asciiTheme="minorHAnsi" w:hAnsiTheme="minorHAnsi"/>
                <w:sz w:val="18"/>
                <w:szCs w:val="18"/>
              </w:rPr>
            </w:pPr>
          </w:p>
        </w:tc>
        <w:tc>
          <w:tcPr>
            <w:tcW w:w="1296" w:type="dxa"/>
          </w:tcPr>
          <w:p w14:paraId="65B86C26"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Cycle 2 </w:t>
            </w:r>
          </w:p>
        </w:tc>
        <w:tc>
          <w:tcPr>
            <w:tcW w:w="1432" w:type="dxa"/>
          </w:tcPr>
          <w:p w14:paraId="6F19CBB0"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w:t>
            </w:r>
            <w:r w:rsidRPr="005849F7">
              <w:rPr>
                <w:rFonts w:asciiTheme="minorHAnsi" w:hAnsiTheme="minorHAnsi"/>
                <w:sz w:val="18"/>
                <w:szCs w:val="18"/>
              </w:rPr>
              <w:t>imoctocog alfa</w:t>
            </w:r>
          </w:p>
        </w:tc>
        <w:tc>
          <w:tcPr>
            <w:tcW w:w="1364" w:type="dxa"/>
          </w:tcPr>
          <w:p w14:paraId="4BA80FA1"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53.1</w:t>
            </w:r>
          </w:p>
        </w:tc>
        <w:tc>
          <w:tcPr>
            <w:tcW w:w="1364" w:type="dxa"/>
          </w:tcPr>
          <w:p w14:paraId="096C7486"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1.5</w:t>
            </w:r>
          </w:p>
        </w:tc>
        <w:tc>
          <w:tcPr>
            <w:tcW w:w="1364" w:type="dxa"/>
          </w:tcPr>
          <w:p w14:paraId="20BEF4C6"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53.8</w:t>
            </w:r>
          </w:p>
        </w:tc>
        <w:tc>
          <w:tcPr>
            <w:tcW w:w="1364" w:type="dxa"/>
          </w:tcPr>
          <w:p w14:paraId="58C11D54"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48.2–56.8</w:t>
            </w:r>
          </w:p>
        </w:tc>
      </w:tr>
      <w:tr w:rsidR="00AE1580" w:rsidRPr="005849F7" w14:paraId="62526705" w14:textId="77777777" w:rsidTr="00232C15">
        <w:tc>
          <w:tcPr>
            <w:cnfStyle w:val="001000000000" w:firstRow="0" w:lastRow="0" w:firstColumn="1" w:lastColumn="0" w:oddVBand="0" w:evenVBand="0" w:oddHBand="0" w:evenHBand="0" w:firstRowFirstColumn="0" w:firstRowLastColumn="0" w:lastRowFirstColumn="0" w:lastRowLastColumn="0"/>
            <w:tcW w:w="1364" w:type="dxa"/>
          </w:tcPr>
          <w:p w14:paraId="22A71FB4" w14:textId="77777777" w:rsidR="00AE1580" w:rsidRPr="005849F7" w:rsidRDefault="00AE1580" w:rsidP="00AE1580">
            <w:pPr>
              <w:widowControl w:val="0"/>
              <w:autoSpaceDE w:val="0"/>
              <w:autoSpaceDN w:val="0"/>
              <w:adjustRightInd w:val="0"/>
              <w:spacing w:after="40"/>
              <w:rPr>
                <w:rFonts w:asciiTheme="minorHAnsi" w:hAnsiTheme="minorHAnsi"/>
                <w:sz w:val="18"/>
                <w:szCs w:val="18"/>
              </w:rPr>
            </w:pPr>
            <w:r w:rsidRPr="005849F7">
              <w:rPr>
                <w:rFonts w:asciiTheme="minorHAnsi" w:hAnsiTheme="minorHAnsi"/>
                <w:sz w:val="18"/>
                <w:szCs w:val="18"/>
              </w:rPr>
              <w:t>OS assay</w:t>
            </w:r>
          </w:p>
        </w:tc>
        <w:tc>
          <w:tcPr>
            <w:tcW w:w="1296" w:type="dxa"/>
          </w:tcPr>
          <w:p w14:paraId="0077F2CB"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Cycle 1</w:t>
            </w:r>
          </w:p>
        </w:tc>
        <w:tc>
          <w:tcPr>
            <w:tcW w:w="1432" w:type="dxa"/>
          </w:tcPr>
          <w:p w14:paraId="14AA0448"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Previous FVII</w:t>
            </w:r>
            <w:r>
              <w:rPr>
                <w:rFonts w:asciiTheme="minorHAnsi" w:hAnsiTheme="minorHAnsi"/>
                <w:sz w:val="18"/>
                <w:szCs w:val="18"/>
              </w:rPr>
              <w:t>I</w:t>
            </w:r>
          </w:p>
        </w:tc>
        <w:tc>
          <w:tcPr>
            <w:tcW w:w="1364" w:type="dxa"/>
          </w:tcPr>
          <w:p w14:paraId="5972E9EA"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52.2 </w:t>
            </w:r>
          </w:p>
        </w:tc>
        <w:tc>
          <w:tcPr>
            <w:tcW w:w="1364" w:type="dxa"/>
          </w:tcPr>
          <w:p w14:paraId="28849E59"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4.2</w:t>
            </w:r>
          </w:p>
        </w:tc>
        <w:tc>
          <w:tcPr>
            <w:tcW w:w="1364" w:type="dxa"/>
          </w:tcPr>
          <w:p w14:paraId="02BB8085"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51.3</w:t>
            </w:r>
          </w:p>
        </w:tc>
        <w:tc>
          <w:tcPr>
            <w:tcW w:w="1364" w:type="dxa"/>
          </w:tcPr>
          <w:p w14:paraId="6E3E2D07"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46.7–64.7</w:t>
            </w:r>
          </w:p>
        </w:tc>
      </w:tr>
      <w:tr w:rsidR="00AE1580" w:rsidRPr="005849F7" w14:paraId="256AA251" w14:textId="77777777" w:rsidTr="00232C15">
        <w:tc>
          <w:tcPr>
            <w:cnfStyle w:val="001000000000" w:firstRow="0" w:lastRow="0" w:firstColumn="1" w:lastColumn="0" w:oddVBand="0" w:evenVBand="0" w:oddHBand="0" w:evenHBand="0" w:firstRowFirstColumn="0" w:firstRowLastColumn="0" w:lastRowFirstColumn="0" w:lastRowLastColumn="0"/>
            <w:tcW w:w="1364" w:type="dxa"/>
          </w:tcPr>
          <w:p w14:paraId="0E4716F1" w14:textId="3536EFD2" w:rsidR="00AE1580" w:rsidRPr="005849F7" w:rsidRDefault="00AE1580" w:rsidP="00AE1580">
            <w:pPr>
              <w:widowControl w:val="0"/>
              <w:autoSpaceDE w:val="0"/>
              <w:autoSpaceDN w:val="0"/>
              <w:adjustRightInd w:val="0"/>
              <w:spacing w:after="40"/>
              <w:rPr>
                <w:rFonts w:asciiTheme="minorHAnsi" w:hAnsiTheme="minorHAnsi"/>
                <w:sz w:val="18"/>
                <w:szCs w:val="18"/>
              </w:rPr>
            </w:pPr>
          </w:p>
        </w:tc>
        <w:tc>
          <w:tcPr>
            <w:tcW w:w="1296" w:type="dxa"/>
          </w:tcPr>
          <w:p w14:paraId="5847D325"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Cycle 2 </w:t>
            </w:r>
          </w:p>
        </w:tc>
        <w:tc>
          <w:tcPr>
            <w:tcW w:w="1432" w:type="dxa"/>
          </w:tcPr>
          <w:p w14:paraId="567C2A1A"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w:t>
            </w:r>
            <w:r w:rsidRPr="005849F7">
              <w:rPr>
                <w:rFonts w:asciiTheme="minorHAnsi" w:hAnsiTheme="minorHAnsi"/>
                <w:sz w:val="18"/>
                <w:szCs w:val="18"/>
              </w:rPr>
              <w:t>imoctocog alfa</w:t>
            </w:r>
          </w:p>
        </w:tc>
        <w:tc>
          <w:tcPr>
            <w:tcW w:w="1364" w:type="dxa"/>
          </w:tcPr>
          <w:p w14:paraId="7468045B"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 xml:space="preserve">45.4 </w:t>
            </w:r>
          </w:p>
        </w:tc>
        <w:tc>
          <w:tcPr>
            <w:tcW w:w="1364" w:type="dxa"/>
          </w:tcPr>
          <w:p w14:paraId="557BF9E3"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1.1</w:t>
            </w:r>
          </w:p>
        </w:tc>
        <w:tc>
          <w:tcPr>
            <w:tcW w:w="1364" w:type="dxa"/>
          </w:tcPr>
          <w:p w14:paraId="102E69C9"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45.2</w:t>
            </w:r>
          </w:p>
        </w:tc>
        <w:tc>
          <w:tcPr>
            <w:tcW w:w="1364" w:type="dxa"/>
          </w:tcPr>
          <w:p w14:paraId="5F9D0235" w14:textId="77777777" w:rsidR="00AE1580" w:rsidRPr="005849F7" w:rsidRDefault="00AE1580" w:rsidP="00AE1580">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849F7">
              <w:rPr>
                <w:rFonts w:asciiTheme="minorHAnsi" w:hAnsiTheme="minorHAnsi"/>
                <w:sz w:val="18"/>
                <w:szCs w:val="18"/>
              </w:rPr>
              <w:t>42.4–49.1</w:t>
            </w:r>
          </w:p>
        </w:tc>
      </w:tr>
    </w:tbl>
    <w:p w14:paraId="415ADBEC" w14:textId="77777777" w:rsidR="000F04AF" w:rsidRPr="002C746B" w:rsidRDefault="00AE1580" w:rsidP="00EA445D">
      <w:pPr>
        <w:pStyle w:val="Numberbullet2"/>
      </w:pPr>
      <w:r w:rsidRPr="002C746B">
        <w:t xml:space="preserve">i. </w:t>
      </w:r>
      <w:r w:rsidRPr="002C746B">
        <w:tab/>
        <w:t xml:space="preserve"> PK results - FVIII plasma concentrations</w:t>
      </w:r>
    </w:p>
    <w:p w14:paraId="16A919CF" w14:textId="77777777" w:rsidR="000F04AF" w:rsidRDefault="00AE1580" w:rsidP="00AE1580">
      <w:pPr>
        <w:widowControl w:val="0"/>
        <w:autoSpaceDE w:val="0"/>
        <w:autoSpaceDN w:val="0"/>
        <w:adjustRightInd w:val="0"/>
      </w:pPr>
      <w:r w:rsidRPr="00E6220F">
        <w:t>FVIII</w:t>
      </w:r>
      <w:r w:rsidR="00CB4053">
        <w:t>:</w:t>
      </w:r>
      <w:r w:rsidRPr="00E6220F">
        <w:t xml:space="preserve">C </w:t>
      </w:r>
      <w:r>
        <w:t xml:space="preserve">levels (mean±SD) versus time profiles through to 48 hours and dose standardised to 50 IU/kg, </w:t>
      </w:r>
      <w:r w:rsidRPr="00E6220F">
        <w:t xml:space="preserve">as </w:t>
      </w:r>
      <w:r>
        <w:t>determined</w:t>
      </w:r>
      <w:r w:rsidRPr="00E6220F">
        <w:t xml:space="preserve"> by both </w:t>
      </w:r>
      <w:r>
        <w:t xml:space="preserve">CHR and OS </w:t>
      </w:r>
      <w:r w:rsidRPr="00E6220F">
        <w:t>assays</w:t>
      </w:r>
      <w:r>
        <w:t xml:space="preserve">, for the total paediatric population (2 to 12 years of age) </w:t>
      </w:r>
      <w:r w:rsidRPr="003C029A">
        <w:t xml:space="preserve">are provided </w:t>
      </w:r>
      <w:r w:rsidRPr="006F09EA">
        <w:t xml:space="preserve">below in </w:t>
      </w:r>
      <w:r w:rsidR="006F09EA" w:rsidRPr="006F09EA">
        <w:t>Figure 3</w:t>
      </w:r>
      <w:r w:rsidRPr="006F09EA">
        <w:t xml:space="preserve"> and the corresponding</w:t>
      </w:r>
      <w:r w:rsidRPr="003C029A">
        <w:t xml:space="preserve"> results for the 2-5 and 6-12 age </w:t>
      </w:r>
      <w:r>
        <w:t>sub-</w:t>
      </w:r>
      <w:r w:rsidR="00944688">
        <w:t>groups were also</w:t>
      </w:r>
      <w:r w:rsidRPr="003C029A">
        <w:t xml:space="preserve"> provided</w:t>
      </w:r>
      <w:r w:rsidR="000F04AF">
        <w:t>.</w:t>
      </w:r>
    </w:p>
    <w:p w14:paraId="1EE976DA" w14:textId="53B660B6" w:rsidR="000F04AF" w:rsidRDefault="004D7AC6" w:rsidP="00326EE9">
      <w:pPr>
        <w:pStyle w:val="FigureTitle"/>
      </w:pPr>
      <w:bookmarkStart w:id="35" w:name="_Toc248202525"/>
      <w:r w:rsidRPr="007553C1">
        <w:lastRenderedPageBreak/>
        <w:t>Figure</w:t>
      </w:r>
      <w:r w:rsidR="00AE1580" w:rsidRPr="007553C1">
        <w:t xml:space="preserve"> </w:t>
      </w:r>
      <w:r w:rsidR="006F09EA" w:rsidRPr="007553C1">
        <w:t>3</w:t>
      </w:r>
      <w:r w:rsidR="00AE1580" w:rsidRPr="007553C1">
        <w:t>: GENA-03 - Mean±</w:t>
      </w:r>
      <w:r w:rsidR="007553C1">
        <w:t xml:space="preserve"> </w:t>
      </w:r>
      <w:r w:rsidR="00AE1580" w:rsidRPr="007553C1">
        <w:t>SD FVIII levels (IU/mL) during PK assessment (Phase I), standardised to 50 IU/kg; PK-PP population, n=26</w:t>
      </w:r>
      <w:bookmarkEnd w:id="35"/>
    </w:p>
    <w:p w14:paraId="14D0B9BD" w14:textId="745FEBE4" w:rsidR="00AE1580" w:rsidRPr="007553C1" w:rsidRDefault="00BE3AD8" w:rsidP="002C746B">
      <w:pPr>
        <w:rPr>
          <w:rFonts w:ascii="Times New Roman" w:hAnsi="Times New Roman"/>
        </w:rPr>
      </w:pPr>
      <w:r w:rsidRPr="007553C1">
        <w:rPr>
          <w:noProof/>
          <w:lang w:eastAsia="en-AU"/>
        </w:rPr>
        <w:drawing>
          <wp:inline distT="0" distB="0" distL="0" distR="0" wp14:anchorId="03A9EC5D" wp14:editId="6FEA0963">
            <wp:extent cx="5229225" cy="3425825"/>
            <wp:effectExtent l="0" t="0" r="0" b="0"/>
            <wp:docPr id="30" name="Picture 16" descr="FVIII-C levels (mean±SD) versus time profiles through to 48 hours and dose standardised to 50 IU/kg, as determined by both CHR and OS assays, for the total paediatric population (2 to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3425825"/>
                    </a:xfrm>
                    <a:prstGeom prst="rect">
                      <a:avLst/>
                    </a:prstGeom>
                    <a:noFill/>
                    <a:ln>
                      <a:noFill/>
                    </a:ln>
                  </pic:spPr>
                </pic:pic>
              </a:graphicData>
            </a:graphic>
          </wp:inline>
        </w:drawing>
      </w:r>
    </w:p>
    <w:p w14:paraId="63AAD104" w14:textId="77777777" w:rsidR="000F04AF" w:rsidRDefault="00AE1580" w:rsidP="00326EE9">
      <w:pPr>
        <w:ind w:left="1134" w:hanging="1134"/>
        <w:rPr>
          <w:rFonts w:asciiTheme="minorHAnsi" w:hAnsiTheme="minorHAnsi"/>
        </w:rPr>
      </w:pPr>
      <w:r w:rsidRPr="007553C1">
        <w:rPr>
          <w:rFonts w:asciiTheme="minorHAnsi" w:hAnsiTheme="minorHAnsi"/>
        </w:rPr>
        <w:t>Comment:</w:t>
      </w:r>
      <w:r w:rsidRPr="007553C1">
        <w:rPr>
          <w:rFonts w:asciiTheme="minorHAnsi" w:hAnsiTheme="minorHAnsi"/>
        </w:rPr>
        <w:tab/>
        <w:t>There were no marked differences between FVIII</w:t>
      </w:r>
      <w:proofErr w:type="gramStart"/>
      <w:r w:rsidRPr="007553C1">
        <w:rPr>
          <w:rFonts w:asciiTheme="minorHAnsi" w:hAnsiTheme="minorHAnsi"/>
        </w:rPr>
        <w:t>:C</w:t>
      </w:r>
      <w:proofErr w:type="gramEnd"/>
      <w:r w:rsidRPr="007553C1">
        <w:rPr>
          <w:rFonts w:asciiTheme="minorHAnsi" w:hAnsiTheme="minorHAnsi"/>
        </w:rPr>
        <w:t xml:space="preserve"> peak levels of rates of decrease for  previously used FVIII concentrates and simoctocog alfa in the total paediatric population, or the two sub-groups based on age.</w:t>
      </w:r>
    </w:p>
    <w:p w14:paraId="3AFC28F8" w14:textId="77777777" w:rsidR="000F04AF" w:rsidRPr="002C746B" w:rsidRDefault="00AE1580" w:rsidP="00EA445D">
      <w:pPr>
        <w:pStyle w:val="Numberbullet2"/>
      </w:pPr>
      <w:r w:rsidRPr="002C746B">
        <w:t>j.</w:t>
      </w:r>
      <w:r w:rsidRPr="002C746B">
        <w:tab/>
        <w:t>PK results (Cycles 1 and 2) for the total paediatric population aged 2 to 12 years</w:t>
      </w:r>
    </w:p>
    <w:p w14:paraId="2132CDAC" w14:textId="2B2163BE" w:rsidR="00AE1580" w:rsidRDefault="00AE1580" w:rsidP="00AE1580">
      <w:pPr>
        <w:widowControl w:val="0"/>
        <w:autoSpaceDE w:val="0"/>
        <w:autoSpaceDN w:val="0"/>
        <w:adjustRightInd w:val="0"/>
      </w:pPr>
      <w:r w:rsidRPr="003C029A">
        <w:t xml:space="preserve">The PK parameters </w:t>
      </w:r>
      <w:r>
        <w:t xml:space="preserve">(mean±SD) for previous </w:t>
      </w:r>
      <w:r w:rsidRPr="003C029A">
        <w:t>FVII</w:t>
      </w:r>
      <w:r>
        <w:t xml:space="preserve">I concentrates (PK Cycle 1) and simoctocog alfa (PK Cycle 2), as determined by the CHR and OS assays, </w:t>
      </w:r>
      <w:r w:rsidRPr="003C029A">
        <w:t xml:space="preserve">are shown below in Table </w:t>
      </w:r>
      <w:r w:rsidR="006F09EA">
        <w:t>7</w:t>
      </w:r>
      <w:r w:rsidRPr="003C029A">
        <w:t xml:space="preserve"> for the total paediatric population aged 2-12 years.</w:t>
      </w:r>
    </w:p>
    <w:p w14:paraId="350912CE" w14:textId="77777777" w:rsidR="00AE1580" w:rsidRDefault="00AE1580" w:rsidP="00047465">
      <w:pPr>
        <w:pStyle w:val="Tabletitle"/>
      </w:pPr>
      <w:bookmarkStart w:id="36" w:name="_Toc248202526"/>
      <w:r>
        <w:t xml:space="preserve">Table </w:t>
      </w:r>
      <w:r w:rsidR="006F09EA">
        <w:t>7</w:t>
      </w:r>
      <w:r>
        <w:t>: GENA-03 - PK parameters (mean±SD) for simoctocog alfa and previous FVIII concentrates measured by the CHR and OS assays; PK-PP population for the 2 - 12 years age group, n=26 (OS assay) and n=25 (CHR assay).</w:t>
      </w:r>
      <w:bookmarkEnd w:id="36"/>
    </w:p>
    <w:tbl>
      <w:tblPr>
        <w:tblStyle w:val="TableTGAblue"/>
        <w:tblW w:w="0" w:type="auto"/>
        <w:tblLook w:val="04A0" w:firstRow="1" w:lastRow="0" w:firstColumn="1" w:lastColumn="0" w:noHBand="0" w:noVBand="1"/>
      </w:tblPr>
      <w:tblGrid>
        <w:gridCol w:w="2065"/>
        <w:gridCol w:w="1841"/>
        <w:gridCol w:w="1763"/>
        <w:gridCol w:w="1770"/>
        <w:gridCol w:w="1567"/>
      </w:tblGrid>
      <w:tr w:rsidR="00AE1580" w:rsidRPr="00A04918" w14:paraId="365BA3FD" w14:textId="77777777" w:rsidTr="002C74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Pr>
          <w:p w14:paraId="38234214" w14:textId="77777777" w:rsidR="00AE1580" w:rsidRPr="005849F7" w:rsidRDefault="00AE1580" w:rsidP="002C746B">
            <w:r w:rsidRPr="005849F7">
              <w:t xml:space="preserve">Parameter </w:t>
            </w:r>
          </w:p>
        </w:tc>
        <w:tc>
          <w:tcPr>
            <w:tcW w:w="1841" w:type="dxa"/>
          </w:tcPr>
          <w:p w14:paraId="3BAAB98E" w14:textId="77777777" w:rsidR="00AE1580" w:rsidRPr="005849F7" w:rsidRDefault="00AE1580" w:rsidP="002C746B">
            <w:pPr>
              <w:cnfStyle w:val="100000000000" w:firstRow="1" w:lastRow="0" w:firstColumn="0" w:lastColumn="0" w:oddVBand="0" w:evenVBand="0" w:oddHBand="0" w:evenHBand="0" w:firstRowFirstColumn="0" w:firstRowLastColumn="0" w:lastRowFirstColumn="0" w:lastRowLastColumn="0"/>
            </w:pPr>
            <w:r>
              <w:t>S</w:t>
            </w:r>
            <w:r w:rsidRPr="005849F7">
              <w:t>imoctocog alfa</w:t>
            </w:r>
            <w:r>
              <w:t xml:space="preserve"> </w:t>
            </w:r>
            <w:r w:rsidRPr="005849F7">
              <w:t xml:space="preserve">[CHR] </w:t>
            </w:r>
          </w:p>
        </w:tc>
        <w:tc>
          <w:tcPr>
            <w:tcW w:w="1763" w:type="dxa"/>
          </w:tcPr>
          <w:p w14:paraId="1F9D5095" w14:textId="77777777" w:rsidR="00AE1580" w:rsidRPr="005849F7" w:rsidRDefault="00AE1580" w:rsidP="002C746B">
            <w:pPr>
              <w:cnfStyle w:val="100000000000" w:firstRow="1" w:lastRow="0" w:firstColumn="0" w:lastColumn="0" w:oddVBand="0" w:evenVBand="0" w:oddHBand="0" w:evenHBand="0" w:firstRowFirstColumn="0" w:firstRowLastColumn="0" w:lastRowFirstColumn="0" w:lastRowLastColumn="0"/>
            </w:pPr>
            <w:r w:rsidRPr="005849F7">
              <w:t xml:space="preserve">Previous FVIII [CHR] </w:t>
            </w:r>
          </w:p>
        </w:tc>
        <w:tc>
          <w:tcPr>
            <w:tcW w:w="1770" w:type="dxa"/>
          </w:tcPr>
          <w:p w14:paraId="71292F5B" w14:textId="77777777" w:rsidR="00AE1580" w:rsidRPr="005849F7" w:rsidRDefault="00AE1580" w:rsidP="002C746B">
            <w:pPr>
              <w:cnfStyle w:val="100000000000" w:firstRow="1" w:lastRow="0" w:firstColumn="0" w:lastColumn="0" w:oddVBand="0" w:evenVBand="0" w:oddHBand="0" w:evenHBand="0" w:firstRowFirstColumn="0" w:firstRowLastColumn="0" w:lastRowFirstColumn="0" w:lastRowLastColumn="0"/>
            </w:pPr>
            <w:r>
              <w:t>S</w:t>
            </w:r>
            <w:r w:rsidRPr="005849F7">
              <w:t>imoctocog alfa</w:t>
            </w:r>
            <w:r>
              <w:t xml:space="preserve"> </w:t>
            </w:r>
            <w:r w:rsidRPr="005849F7">
              <w:t xml:space="preserve">[OS] </w:t>
            </w:r>
          </w:p>
        </w:tc>
        <w:tc>
          <w:tcPr>
            <w:tcW w:w="1567" w:type="dxa"/>
          </w:tcPr>
          <w:p w14:paraId="540A9DFC" w14:textId="77777777" w:rsidR="00AE1580" w:rsidRPr="005849F7" w:rsidRDefault="00AE1580" w:rsidP="002C746B">
            <w:pPr>
              <w:cnfStyle w:val="100000000000" w:firstRow="1" w:lastRow="0" w:firstColumn="0" w:lastColumn="0" w:oddVBand="0" w:evenVBand="0" w:oddHBand="0" w:evenHBand="0" w:firstRowFirstColumn="0" w:firstRowLastColumn="0" w:lastRowFirstColumn="0" w:lastRowLastColumn="0"/>
            </w:pPr>
            <w:r w:rsidRPr="005849F7">
              <w:t>Previous FVIII [OS]</w:t>
            </w:r>
          </w:p>
        </w:tc>
      </w:tr>
      <w:tr w:rsidR="00AE1580" w:rsidRPr="00A04918" w14:paraId="56606D10"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74AEF9C6" w14:textId="77777777" w:rsidR="00AE1580" w:rsidRPr="005849F7" w:rsidRDefault="00AE1580" w:rsidP="002C746B">
            <w:r w:rsidRPr="005849F7">
              <w:t>AUC (h·IU/mL)</w:t>
            </w:r>
          </w:p>
        </w:tc>
        <w:tc>
          <w:tcPr>
            <w:tcW w:w="1841" w:type="dxa"/>
          </w:tcPr>
          <w:p w14:paraId="77B10B1A"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12.39 ± 4.47 </w:t>
            </w:r>
          </w:p>
        </w:tc>
        <w:tc>
          <w:tcPr>
            <w:tcW w:w="1763" w:type="dxa"/>
          </w:tcPr>
          <w:p w14:paraId="5E03CD1E"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10.77 ± 4.66</w:t>
            </w:r>
          </w:p>
        </w:tc>
        <w:tc>
          <w:tcPr>
            <w:tcW w:w="1770" w:type="dxa"/>
          </w:tcPr>
          <w:p w14:paraId="52E0EEA9"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10.92 ± 3.80 </w:t>
            </w:r>
          </w:p>
        </w:tc>
        <w:tc>
          <w:tcPr>
            <w:tcW w:w="1567" w:type="dxa"/>
          </w:tcPr>
          <w:p w14:paraId="1A309F6A"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13.22 ± 5.03</w:t>
            </w:r>
          </w:p>
        </w:tc>
      </w:tr>
      <w:tr w:rsidR="00AE1580" w:rsidRPr="00A04918" w14:paraId="482DA240"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4C44EA8F" w14:textId="77777777" w:rsidR="00AE1580" w:rsidRPr="00232C15" w:rsidRDefault="00A84DFC" w:rsidP="002C746B">
            <w:pPr>
              <w:rPr>
                <w:color w:val="auto"/>
                <w:lang w:eastAsia="en-US"/>
              </w:rPr>
            </w:pPr>
            <w:r w:rsidRPr="00232C15">
              <w:t>AUCnorm (h·IU/mL [IU/kg])</w:t>
            </w:r>
          </w:p>
        </w:tc>
        <w:tc>
          <w:tcPr>
            <w:tcW w:w="1841" w:type="dxa"/>
          </w:tcPr>
          <w:p w14:paraId="0AE7516F"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0.23 ± 0.08 </w:t>
            </w:r>
          </w:p>
        </w:tc>
        <w:tc>
          <w:tcPr>
            <w:tcW w:w="1763" w:type="dxa"/>
          </w:tcPr>
          <w:p w14:paraId="672BCEDD"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0.24 ± 0.09</w:t>
            </w:r>
          </w:p>
        </w:tc>
        <w:tc>
          <w:tcPr>
            <w:tcW w:w="1770" w:type="dxa"/>
          </w:tcPr>
          <w:p w14:paraId="16ABCF53"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0.24 ± 0.08 </w:t>
            </w:r>
          </w:p>
        </w:tc>
        <w:tc>
          <w:tcPr>
            <w:tcW w:w="1567" w:type="dxa"/>
          </w:tcPr>
          <w:p w14:paraId="583D713A"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0.25 ± 0.09</w:t>
            </w:r>
          </w:p>
        </w:tc>
      </w:tr>
      <w:tr w:rsidR="00AE1580" w:rsidRPr="00A04918" w14:paraId="36A88F87"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19B64579" w14:textId="77777777" w:rsidR="00AE1580" w:rsidRPr="005849F7" w:rsidRDefault="00AE1580" w:rsidP="002C746B">
            <w:r w:rsidRPr="005849F7">
              <w:t xml:space="preserve">Cmax </w:t>
            </w:r>
            <w:r w:rsidR="004D7AC6" w:rsidRPr="005849F7">
              <w:t xml:space="preserve">(IU/mL) </w:t>
            </w:r>
          </w:p>
        </w:tc>
        <w:tc>
          <w:tcPr>
            <w:tcW w:w="1841" w:type="dxa"/>
          </w:tcPr>
          <w:p w14:paraId="0093ECBB"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1.004 ± 0.186 </w:t>
            </w:r>
          </w:p>
        </w:tc>
        <w:tc>
          <w:tcPr>
            <w:tcW w:w="1763" w:type="dxa"/>
          </w:tcPr>
          <w:p w14:paraId="45ED7722"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0.828 ± 0.269</w:t>
            </w:r>
          </w:p>
        </w:tc>
        <w:tc>
          <w:tcPr>
            <w:tcW w:w="1770" w:type="dxa"/>
          </w:tcPr>
          <w:p w14:paraId="42002BD8"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0.753 ± 0.131 </w:t>
            </w:r>
          </w:p>
        </w:tc>
        <w:tc>
          <w:tcPr>
            <w:tcW w:w="1567" w:type="dxa"/>
          </w:tcPr>
          <w:p w14:paraId="1B9ED044"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0.854 ± 0.202</w:t>
            </w:r>
          </w:p>
        </w:tc>
      </w:tr>
      <w:tr w:rsidR="00AE1580" w:rsidRPr="00A04918" w14:paraId="5606C369"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7B970B2D" w14:textId="77777777" w:rsidR="00AE1580" w:rsidRPr="005849F7" w:rsidRDefault="00AE1580" w:rsidP="002C746B">
            <w:r w:rsidRPr="005849F7">
              <w:t xml:space="preserve">Cmax.norm </w:t>
            </w:r>
            <w:r w:rsidR="004D7AC6" w:rsidRPr="005849F7">
              <w:t>(IU/mL [IU/kg])</w:t>
            </w:r>
          </w:p>
        </w:tc>
        <w:tc>
          <w:tcPr>
            <w:tcW w:w="1841" w:type="dxa"/>
          </w:tcPr>
          <w:p w14:paraId="6C94B515"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0.019 ± 0.004 </w:t>
            </w:r>
          </w:p>
        </w:tc>
        <w:tc>
          <w:tcPr>
            <w:tcW w:w="1763" w:type="dxa"/>
          </w:tcPr>
          <w:p w14:paraId="1FF3CAA9"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0.019 ± 0.005</w:t>
            </w:r>
          </w:p>
        </w:tc>
        <w:tc>
          <w:tcPr>
            <w:tcW w:w="1770" w:type="dxa"/>
          </w:tcPr>
          <w:p w14:paraId="66B27BC0"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0.017 ± 0.003 </w:t>
            </w:r>
          </w:p>
        </w:tc>
        <w:tc>
          <w:tcPr>
            <w:tcW w:w="1567" w:type="dxa"/>
          </w:tcPr>
          <w:p w14:paraId="68426417"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0.016 ± 0.003</w:t>
            </w:r>
          </w:p>
        </w:tc>
      </w:tr>
      <w:tr w:rsidR="00AE1580" w:rsidRPr="00A04918" w14:paraId="7EB415B9"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5C83730D" w14:textId="77777777" w:rsidR="00AE1580" w:rsidRPr="005849F7" w:rsidRDefault="00AE1580" w:rsidP="002C746B">
            <w:r w:rsidRPr="005849F7">
              <w:lastRenderedPageBreak/>
              <w:t>IVR (% per IU/kg)</w:t>
            </w:r>
          </w:p>
        </w:tc>
        <w:tc>
          <w:tcPr>
            <w:tcW w:w="1841" w:type="dxa"/>
          </w:tcPr>
          <w:p w14:paraId="39E1A6BE"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1.876 ± 0.354 </w:t>
            </w:r>
          </w:p>
        </w:tc>
        <w:tc>
          <w:tcPr>
            <w:tcW w:w="1763" w:type="dxa"/>
          </w:tcPr>
          <w:p w14:paraId="20C6ABE1"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1.848 ± 0.457</w:t>
            </w:r>
          </w:p>
        </w:tc>
        <w:tc>
          <w:tcPr>
            <w:tcW w:w="1770" w:type="dxa"/>
          </w:tcPr>
          <w:p w14:paraId="00BC9CF3"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1.607 ± 0.288 </w:t>
            </w:r>
          </w:p>
        </w:tc>
        <w:tc>
          <w:tcPr>
            <w:tcW w:w="1567" w:type="dxa"/>
          </w:tcPr>
          <w:p w14:paraId="5EDDD152"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1.591 ± 0.301</w:t>
            </w:r>
          </w:p>
        </w:tc>
      </w:tr>
      <w:tr w:rsidR="00AE1580" w:rsidRPr="00A04918" w14:paraId="45D25687"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5DB244D4" w14:textId="77777777" w:rsidR="00AE1580" w:rsidRPr="005849F7" w:rsidRDefault="00AE1580" w:rsidP="002C746B">
            <w:r w:rsidRPr="005849F7">
              <w:t>Tmax  (h)</w:t>
            </w:r>
          </w:p>
        </w:tc>
        <w:tc>
          <w:tcPr>
            <w:tcW w:w="1841" w:type="dxa"/>
          </w:tcPr>
          <w:p w14:paraId="1B076524"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0.56 ± 0.30 </w:t>
            </w:r>
          </w:p>
        </w:tc>
        <w:tc>
          <w:tcPr>
            <w:tcW w:w="1763" w:type="dxa"/>
          </w:tcPr>
          <w:p w14:paraId="05BFCDAE"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0.74 ± 0.56</w:t>
            </w:r>
          </w:p>
        </w:tc>
        <w:tc>
          <w:tcPr>
            <w:tcW w:w="1770" w:type="dxa"/>
          </w:tcPr>
          <w:p w14:paraId="2A423726"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0.56 ± 0.29 </w:t>
            </w:r>
          </w:p>
        </w:tc>
        <w:tc>
          <w:tcPr>
            <w:tcW w:w="1567" w:type="dxa"/>
          </w:tcPr>
          <w:p w14:paraId="494A635A"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0.73 ± 0.55</w:t>
            </w:r>
          </w:p>
        </w:tc>
      </w:tr>
      <w:tr w:rsidR="00AE1580" w:rsidRPr="00A04918" w14:paraId="0242FD2A"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314E42EC" w14:textId="77777777" w:rsidR="00AE1580" w:rsidRPr="005849F7" w:rsidRDefault="00AE1580" w:rsidP="002C746B">
            <w:r w:rsidRPr="005849F7">
              <w:t>T1/2  (h)</w:t>
            </w:r>
          </w:p>
        </w:tc>
        <w:tc>
          <w:tcPr>
            <w:tcW w:w="1841" w:type="dxa"/>
          </w:tcPr>
          <w:p w14:paraId="226A3552"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9.73 ± 2.69 </w:t>
            </w:r>
          </w:p>
        </w:tc>
        <w:tc>
          <w:tcPr>
            <w:tcW w:w="1763" w:type="dxa"/>
          </w:tcPr>
          <w:p w14:paraId="5F8C5F9B"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11.04 ± 2.50</w:t>
            </w:r>
          </w:p>
        </w:tc>
        <w:tc>
          <w:tcPr>
            <w:tcW w:w="1770" w:type="dxa"/>
          </w:tcPr>
          <w:p w14:paraId="273CAED4"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12.50 ± 4.17 </w:t>
            </w:r>
          </w:p>
        </w:tc>
        <w:tc>
          <w:tcPr>
            <w:tcW w:w="1567" w:type="dxa"/>
          </w:tcPr>
          <w:p w14:paraId="5E0BB59C"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13.12 ± 3.03</w:t>
            </w:r>
          </w:p>
        </w:tc>
      </w:tr>
      <w:tr w:rsidR="00AE1580" w:rsidRPr="00A04918" w14:paraId="6813B9C2"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5EF6DF6A" w14:textId="77777777" w:rsidR="00AE1580" w:rsidRPr="005849F7" w:rsidRDefault="00AE1580" w:rsidP="002C746B">
            <w:r w:rsidRPr="005849F7">
              <w:t>MRT (h)</w:t>
            </w:r>
          </w:p>
        </w:tc>
        <w:tc>
          <w:tcPr>
            <w:tcW w:w="1841" w:type="dxa"/>
          </w:tcPr>
          <w:p w14:paraId="3FE5D754"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12.31 ± 3.85 </w:t>
            </w:r>
          </w:p>
        </w:tc>
        <w:tc>
          <w:tcPr>
            <w:tcW w:w="1763" w:type="dxa"/>
          </w:tcPr>
          <w:p w14:paraId="6F82789F"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13.70 ± 3.30</w:t>
            </w:r>
          </w:p>
        </w:tc>
        <w:tc>
          <w:tcPr>
            <w:tcW w:w="1770" w:type="dxa"/>
          </w:tcPr>
          <w:p w14:paraId="7B5A540F"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15.82 ± 5.51 </w:t>
            </w:r>
          </w:p>
        </w:tc>
        <w:tc>
          <w:tcPr>
            <w:tcW w:w="1567" w:type="dxa"/>
          </w:tcPr>
          <w:p w14:paraId="5357BDA8"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16.92 ± 4.24</w:t>
            </w:r>
          </w:p>
        </w:tc>
      </w:tr>
      <w:tr w:rsidR="00AE1580" w:rsidRPr="00A04918" w14:paraId="5E327969"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57CA3E9D" w14:textId="77777777" w:rsidR="00AE1580" w:rsidRPr="005849F7" w:rsidRDefault="00AE1580" w:rsidP="002C746B">
            <w:r w:rsidRPr="005849F7">
              <w:t>CL (mL/h/kg)</w:t>
            </w:r>
          </w:p>
        </w:tc>
        <w:tc>
          <w:tcPr>
            <w:tcW w:w="1841" w:type="dxa"/>
          </w:tcPr>
          <w:p w14:paraId="04D0DF89"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4.89 ± 1.95 </w:t>
            </w:r>
          </w:p>
        </w:tc>
        <w:tc>
          <w:tcPr>
            <w:tcW w:w="1763" w:type="dxa"/>
          </w:tcPr>
          <w:p w14:paraId="5C1C3DB8"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4.76 ± 1.90</w:t>
            </w:r>
          </w:p>
        </w:tc>
        <w:tc>
          <w:tcPr>
            <w:tcW w:w="1770" w:type="dxa"/>
          </w:tcPr>
          <w:p w14:paraId="4278A977"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4.73 ± 1.87 </w:t>
            </w:r>
          </w:p>
        </w:tc>
        <w:tc>
          <w:tcPr>
            <w:tcW w:w="1567" w:type="dxa"/>
          </w:tcPr>
          <w:p w14:paraId="2A0A0A1B"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4.46 ± 1.60</w:t>
            </w:r>
          </w:p>
        </w:tc>
      </w:tr>
      <w:tr w:rsidR="00AE1580" w:rsidRPr="00A04918" w14:paraId="54D08A1C" w14:textId="77777777" w:rsidTr="002C746B">
        <w:tc>
          <w:tcPr>
            <w:cnfStyle w:val="001000000000" w:firstRow="0" w:lastRow="0" w:firstColumn="1" w:lastColumn="0" w:oddVBand="0" w:evenVBand="0" w:oddHBand="0" w:evenHBand="0" w:firstRowFirstColumn="0" w:firstRowLastColumn="0" w:lastRowFirstColumn="0" w:lastRowLastColumn="0"/>
            <w:tcW w:w="2065" w:type="dxa"/>
          </w:tcPr>
          <w:p w14:paraId="5168958C" w14:textId="77777777" w:rsidR="00AE1580" w:rsidRPr="005849F7" w:rsidRDefault="00AE1580" w:rsidP="002C746B">
            <w:r w:rsidRPr="005849F7">
              <w:t>Vss  (mL/kg)</w:t>
            </w:r>
          </w:p>
        </w:tc>
        <w:tc>
          <w:tcPr>
            <w:tcW w:w="1841" w:type="dxa"/>
          </w:tcPr>
          <w:p w14:paraId="343E04FC"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54.90 ± 11.21 </w:t>
            </w:r>
          </w:p>
        </w:tc>
        <w:tc>
          <w:tcPr>
            <w:tcW w:w="1763" w:type="dxa"/>
          </w:tcPr>
          <w:p w14:paraId="4A520B51"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60.35 ± 13.79</w:t>
            </w:r>
          </w:p>
        </w:tc>
        <w:tc>
          <w:tcPr>
            <w:tcW w:w="1770" w:type="dxa"/>
          </w:tcPr>
          <w:p w14:paraId="4888FF1D"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 xml:space="preserve">67.18 ± 13.27 </w:t>
            </w:r>
          </w:p>
        </w:tc>
        <w:tc>
          <w:tcPr>
            <w:tcW w:w="1567" w:type="dxa"/>
          </w:tcPr>
          <w:p w14:paraId="4AAFC976" w14:textId="77777777" w:rsidR="00AE1580" w:rsidRPr="005849F7" w:rsidRDefault="00AE1580" w:rsidP="002C746B">
            <w:pPr>
              <w:cnfStyle w:val="000000000000" w:firstRow="0" w:lastRow="0" w:firstColumn="0" w:lastColumn="0" w:oddVBand="0" w:evenVBand="0" w:oddHBand="0" w:evenHBand="0" w:firstRowFirstColumn="0" w:firstRowLastColumn="0" w:lastRowFirstColumn="0" w:lastRowLastColumn="0"/>
            </w:pPr>
            <w:r w:rsidRPr="005849F7">
              <w:t>70.32 ± 15.78</w:t>
            </w:r>
          </w:p>
        </w:tc>
      </w:tr>
    </w:tbl>
    <w:p w14:paraId="5F4F30A2" w14:textId="77777777" w:rsidR="00AE1580" w:rsidRPr="00326EE9" w:rsidRDefault="00AE1580" w:rsidP="00326EE9">
      <w:pPr>
        <w:widowControl w:val="0"/>
        <w:autoSpaceDE w:val="0"/>
        <w:autoSpaceDN w:val="0"/>
        <w:adjustRightInd w:val="0"/>
        <w:ind w:left="1134" w:hanging="1134"/>
        <w:rPr>
          <w:rFonts w:asciiTheme="minorHAnsi" w:hAnsiTheme="minorHAnsi"/>
        </w:rPr>
      </w:pPr>
      <w:r w:rsidRPr="00326EE9">
        <w:rPr>
          <w:rFonts w:asciiTheme="minorHAnsi" w:hAnsiTheme="minorHAnsi"/>
        </w:rPr>
        <w:t>Comment:</w:t>
      </w:r>
      <w:r w:rsidRPr="00326EE9">
        <w:rPr>
          <w:rFonts w:asciiTheme="minorHAnsi" w:hAnsiTheme="minorHAnsi"/>
        </w:rPr>
        <w:tab/>
      </w:r>
      <w:r w:rsidRPr="00326EE9">
        <w:rPr>
          <w:rFonts w:asciiTheme="minorHAnsi" w:hAnsiTheme="minorHAnsi"/>
          <w:i/>
        </w:rPr>
        <w:t>Based on the CHR assay</w:t>
      </w:r>
      <w:r w:rsidRPr="00326EE9">
        <w:rPr>
          <w:rFonts w:asciiTheme="minorHAnsi" w:hAnsiTheme="minorHAnsi"/>
        </w:rPr>
        <w:t>, the mean AUC and C</w:t>
      </w:r>
      <w:r w:rsidRPr="00326EE9">
        <w:rPr>
          <w:rFonts w:asciiTheme="minorHAnsi" w:hAnsiTheme="minorHAnsi"/>
          <w:sz w:val="14"/>
          <w:szCs w:val="14"/>
        </w:rPr>
        <w:t xml:space="preserve">max </w:t>
      </w:r>
      <w:r w:rsidRPr="00326EE9">
        <w:rPr>
          <w:rFonts w:asciiTheme="minorHAnsi" w:hAnsiTheme="minorHAnsi"/>
        </w:rPr>
        <w:t>valued for simoctocog alfa were higher than the corresponding values for the previously used FVIII concentrates, but when corrected for dose the mean AUC</w:t>
      </w:r>
      <w:r w:rsidRPr="00326EE9">
        <w:rPr>
          <w:rFonts w:asciiTheme="minorHAnsi" w:hAnsiTheme="minorHAnsi"/>
          <w:sz w:val="14"/>
          <w:szCs w:val="14"/>
        </w:rPr>
        <w:t xml:space="preserve">norm </w:t>
      </w:r>
      <w:r w:rsidRPr="00326EE9">
        <w:rPr>
          <w:rFonts w:asciiTheme="minorHAnsi" w:hAnsiTheme="minorHAnsi"/>
        </w:rPr>
        <w:t>and C</w:t>
      </w:r>
      <w:r w:rsidRPr="00326EE9">
        <w:rPr>
          <w:rFonts w:asciiTheme="minorHAnsi" w:hAnsiTheme="minorHAnsi"/>
          <w:sz w:val="14"/>
          <w:szCs w:val="14"/>
        </w:rPr>
        <w:t>max.norm</w:t>
      </w:r>
      <w:r w:rsidRPr="00326EE9">
        <w:rPr>
          <w:rFonts w:asciiTheme="minorHAnsi" w:hAnsiTheme="minorHAnsi"/>
        </w:rPr>
        <w:t xml:space="preserve"> values were almost identical for the two treatments. The mean IVRs for both treatments were similar, while the mean T</w:t>
      </w:r>
      <w:r w:rsidRPr="00326EE9">
        <w:rPr>
          <w:rFonts w:asciiTheme="minorHAnsi" w:hAnsiTheme="minorHAnsi"/>
          <w:sz w:val="14"/>
          <w:szCs w:val="14"/>
        </w:rPr>
        <w:t>1/2</w:t>
      </w:r>
      <w:r w:rsidRPr="00326EE9">
        <w:rPr>
          <w:rFonts w:asciiTheme="minorHAnsi" w:hAnsiTheme="minorHAnsi"/>
        </w:rPr>
        <w:t>, MRT and V</w:t>
      </w:r>
      <w:r w:rsidRPr="00326EE9">
        <w:rPr>
          <w:rFonts w:asciiTheme="minorHAnsi" w:hAnsiTheme="minorHAnsi"/>
          <w:sz w:val="14"/>
          <w:szCs w:val="14"/>
        </w:rPr>
        <w:t xml:space="preserve">ss </w:t>
      </w:r>
      <w:r w:rsidRPr="00326EE9">
        <w:rPr>
          <w:rFonts w:asciiTheme="minorHAnsi" w:hAnsiTheme="minorHAnsi"/>
        </w:rPr>
        <w:t>were slightly lower and the CL slightly higher for simoctocog alfa than for the previously used FVIII concentrates. T</w:t>
      </w:r>
      <w:r w:rsidRPr="00326EE9">
        <w:rPr>
          <w:rFonts w:asciiTheme="minorHAnsi" w:hAnsiTheme="minorHAnsi"/>
          <w:vertAlign w:val="subscript"/>
        </w:rPr>
        <w:t xml:space="preserve">max </w:t>
      </w:r>
      <w:r w:rsidRPr="00326EE9">
        <w:rPr>
          <w:rFonts w:asciiTheme="minorHAnsi" w:hAnsiTheme="minorHAnsi"/>
        </w:rPr>
        <w:t>was reached within 30 minutes in 80.8% and 92.3% of patients after administration of previously used FVIII concentrates and simoctocog alfa, respectively. Previous pdFVIII concentrates had been used by 20 patients (19 with available CHR assay data), and previous rFVIII concentrates had been used by 6 patients (all full-length FVIII). The PK data varied according to the type of previously used FVIII concentrate. For example, for previously used rFVIII concentrates compared with previously used pdFVIII concentrates, higher values were obtained for AUC</w:t>
      </w:r>
      <w:r w:rsidRPr="00326EE9">
        <w:rPr>
          <w:rFonts w:asciiTheme="minorHAnsi" w:hAnsiTheme="minorHAnsi"/>
          <w:vertAlign w:val="subscript"/>
        </w:rPr>
        <w:t>norm</w:t>
      </w:r>
      <w:r w:rsidRPr="00326EE9">
        <w:rPr>
          <w:rFonts w:asciiTheme="minorHAnsi" w:hAnsiTheme="minorHAnsi"/>
        </w:rPr>
        <w:t xml:space="preserve"> (0.27 vs 0.23 h·IU/mL per IU/kg), IVR (2.224% vs 1.729% per IU/kg) and T</w:t>
      </w:r>
      <w:r w:rsidRPr="00326EE9">
        <w:rPr>
          <w:rFonts w:asciiTheme="minorHAnsi" w:hAnsiTheme="minorHAnsi"/>
          <w:vertAlign w:val="subscript"/>
        </w:rPr>
        <w:t xml:space="preserve">1/2 </w:t>
      </w:r>
      <w:r w:rsidRPr="00326EE9">
        <w:rPr>
          <w:rFonts w:asciiTheme="minorHAnsi" w:hAnsiTheme="minorHAnsi"/>
        </w:rPr>
        <w:t>(11.64 vs 10.85 h). Simoctocog alfa values for these parameters were more like those of previously used pdFVIII concentrates than those of previously used rFVIII concentrates.</w:t>
      </w:r>
    </w:p>
    <w:p w14:paraId="3A961E65" w14:textId="77777777" w:rsidR="000F04AF" w:rsidRDefault="00AE1580" w:rsidP="00326EE9">
      <w:pPr>
        <w:widowControl w:val="0"/>
        <w:autoSpaceDE w:val="0"/>
        <w:autoSpaceDN w:val="0"/>
        <w:adjustRightInd w:val="0"/>
        <w:ind w:left="1134"/>
        <w:rPr>
          <w:rFonts w:asciiTheme="minorHAnsi" w:hAnsiTheme="minorHAnsi"/>
        </w:rPr>
      </w:pPr>
      <w:r w:rsidRPr="00326EE9">
        <w:rPr>
          <w:rFonts w:asciiTheme="minorHAnsi" w:hAnsiTheme="minorHAnsi"/>
          <w:i/>
        </w:rPr>
        <w:t>Based on the OS assay</w:t>
      </w:r>
      <w:r w:rsidRPr="00326EE9">
        <w:rPr>
          <w:rFonts w:asciiTheme="minorHAnsi" w:hAnsiTheme="minorHAnsi"/>
        </w:rPr>
        <w:t>, PK values followed a similar pattern to those based on the CHR assay, with the exception of lower mean AUC and C</w:t>
      </w:r>
      <w:r w:rsidRPr="00326EE9">
        <w:rPr>
          <w:rFonts w:asciiTheme="minorHAnsi" w:hAnsiTheme="minorHAnsi"/>
          <w:vertAlign w:val="subscript"/>
        </w:rPr>
        <w:t>max</w:t>
      </w:r>
      <w:r w:rsidRPr="00326EE9">
        <w:rPr>
          <w:rFonts w:asciiTheme="minorHAnsi" w:hAnsiTheme="minorHAnsi"/>
        </w:rPr>
        <w:t xml:space="preserve"> values for simoctocog alfa compared with previously used FVIII concentrates. However, when corrected for dose the mean AUC</w:t>
      </w:r>
      <w:r w:rsidRPr="00326EE9">
        <w:rPr>
          <w:rFonts w:asciiTheme="minorHAnsi" w:hAnsiTheme="minorHAnsi"/>
          <w:vertAlign w:val="subscript"/>
        </w:rPr>
        <w:t>norm</w:t>
      </w:r>
      <w:r w:rsidRPr="00326EE9">
        <w:rPr>
          <w:rFonts w:asciiTheme="minorHAnsi" w:hAnsiTheme="minorHAnsi"/>
        </w:rPr>
        <w:t xml:space="preserve"> and C</w:t>
      </w:r>
      <w:r w:rsidRPr="00326EE9">
        <w:rPr>
          <w:rFonts w:asciiTheme="minorHAnsi" w:hAnsiTheme="minorHAnsi"/>
          <w:vertAlign w:val="subscript"/>
        </w:rPr>
        <w:t xml:space="preserve">max.norm </w:t>
      </w:r>
      <w:r w:rsidRPr="00326EE9">
        <w:rPr>
          <w:rFonts w:asciiTheme="minorHAnsi" w:hAnsiTheme="minorHAnsi"/>
        </w:rPr>
        <w:t>values were almost identical for simoctocog alfa and for previously used rFVIII concentrates. The T</w:t>
      </w:r>
      <w:r w:rsidRPr="00326EE9">
        <w:rPr>
          <w:rFonts w:asciiTheme="minorHAnsi" w:hAnsiTheme="minorHAnsi"/>
          <w:vertAlign w:val="subscript"/>
        </w:rPr>
        <w:t xml:space="preserve">max </w:t>
      </w:r>
      <w:r w:rsidRPr="00326EE9">
        <w:rPr>
          <w:rFonts w:asciiTheme="minorHAnsi" w:hAnsiTheme="minorHAnsi"/>
        </w:rPr>
        <w:t>was reached within 30 minutes in 84.6% and 96.2% of patients after administration of previously used FVIII concentrates and simoctocog alfa, respectively. PK data for the previously used FVIII concentrate also varied according to the type of product. For example, for previously used rFVIII concentrates compared with previously used pdFVIII concentrates, higher values were obtained for AUC</w:t>
      </w:r>
      <w:r w:rsidRPr="00326EE9">
        <w:rPr>
          <w:rFonts w:asciiTheme="minorHAnsi" w:hAnsiTheme="minorHAnsi"/>
          <w:vertAlign w:val="subscript"/>
        </w:rPr>
        <w:t>norm</w:t>
      </w:r>
      <w:r w:rsidRPr="00326EE9">
        <w:rPr>
          <w:rFonts w:asciiTheme="minorHAnsi" w:hAnsiTheme="minorHAnsi"/>
        </w:rPr>
        <w:t xml:space="preserve"> (0.28 vs 0.24 h·IU/mL per IU/kg), IVR (1.797% vs 1.529% per IU/kg) and T</w:t>
      </w:r>
      <w:r w:rsidRPr="00326EE9">
        <w:rPr>
          <w:rFonts w:asciiTheme="minorHAnsi" w:hAnsiTheme="minorHAnsi"/>
          <w:vertAlign w:val="subscript"/>
        </w:rPr>
        <w:t xml:space="preserve">1/2 </w:t>
      </w:r>
      <w:r w:rsidRPr="00326EE9">
        <w:rPr>
          <w:rFonts w:asciiTheme="minorHAnsi" w:hAnsiTheme="minorHAnsi"/>
        </w:rPr>
        <w:t>(14.18 vs 12.81 hours). The main PK parameters of simoctocog alfa were more like those of previously used pdFVIII concentrates than those of previously used rFVIII concentrates.</w:t>
      </w:r>
    </w:p>
    <w:p w14:paraId="4E533422" w14:textId="77777777" w:rsidR="000F04AF" w:rsidRPr="002C746B" w:rsidRDefault="00AE1580" w:rsidP="00EA445D">
      <w:pPr>
        <w:pStyle w:val="Numberbullet2"/>
      </w:pPr>
      <w:r w:rsidRPr="002C746B">
        <w:t>k.</w:t>
      </w:r>
      <w:r w:rsidRPr="002C746B">
        <w:tab/>
        <w:t>PK results (PK Cycles 1 and 2) - paediatric population subgroup aged 2-5 years</w:t>
      </w:r>
    </w:p>
    <w:p w14:paraId="129370C2" w14:textId="2C18CBE7" w:rsidR="00AE1580" w:rsidRPr="00C3582D" w:rsidRDefault="00AE1580" w:rsidP="00AE1580">
      <w:pPr>
        <w:widowControl w:val="0"/>
        <w:autoSpaceDE w:val="0"/>
        <w:autoSpaceDN w:val="0"/>
        <w:adjustRightInd w:val="0"/>
      </w:pPr>
      <w:r w:rsidRPr="003C029A">
        <w:lastRenderedPageBreak/>
        <w:t xml:space="preserve">The PK parameters </w:t>
      </w:r>
      <w:r>
        <w:t xml:space="preserve">(mean±SD) for previous </w:t>
      </w:r>
      <w:r w:rsidRPr="003C029A">
        <w:t>FVII</w:t>
      </w:r>
      <w:r>
        <w:t xml:space="preserve">I concentrates (PK Cycle 1) and simoctocog alfa (PK Cycle 2), as determined by the CHR and OS assays, </w:t>
      </w:r>
      <w:r w:rsidRPr="003C029A">
        <w:t xml:space="preserve">are shown below in Table </w:t>
      </w:r>
      <w:r w:rsidR="006F09EA">
        <w:t>8</w:t>
      </w:r>
      <w:r w:rsidRPr="003C029A">
        <w:t xml:space="preserve"> for </w:t>
      </w:r>
      <w:r>
        <w:t xml:space="preserve">the sub-group of children </w:t>
      </w:r>
      <w:r w:rsidRPr="003C029A">
        <w:t xml:space="preserve">aged </w:t>
      </w:r>
      <w:r>
        <w:t>2-5</w:t>
      </w:r>
      <w:r w:rsidRPr="003C029A">
        <w:t xml:space="preserve"> years.</w:t>
      </w:r>
    </w:p>
    <w:p w14:paraId="3D598610" w14:textId="345F4113" w:rsidR="00AE1580" w:rsidRDefault="00AE1580" w:rsidP="00326EE9">
      <w:pPr>
        <w:pStyle w:val="Tabletitle"/>
      </w:pPr>
      <w:bookmarkStart w:id="37" w:name="_Toc248202527"/>
      <w:r>
        <w:t>Table</w:t>
      </w:r>
      <w:r w:rsidR="006F09EA">
        <w:t xml:space="preserve"> 8</w:t>
      </w:r>
      <w:r>
        <w:t>: GENA-03 - PK parameters (mean±SD) for simoctocog alfa and previous FVIII concentrates measured by the CHR and OS assays; PK-PP population for the 2 - 5 years age group, n=13 and n=12 (CHR assay for previous FVIII product).</w:t>
      </w:r>
      <w:bookmarkEnd w:id="37"/>
      <w:r>
        <w:t xml:space="preserve"> </w:t>
      </w:r>
    </w:p>
    <w:tbl>
      <w:tblPr>
        <w:tblStyle w:val="TableTGAblue"/>
        <w:tblW w:w="0" w:type="auto"/>
        <w:tblLook w:val="04A0" w:firstRow="1" w:lastRow="0" w:firstColumn="1" w:lastColumn="0" w:noHBand="0" w:noVBand="1"/>
      </w:tblPr>
      <w:tblGrid>
        <w:gridCol w:w="2052"/>
        <w:gridCol w:w="1847"/>
        <w:gridCol w:w="1651"/>
        <w:gridCol w:w="1774"/>
        <w:gridCol w:w="1682"/>
      </w:tblGrid>
      <w:tr w:rsidR="00AE1580" w:rsidRPr="00B72CDA" w14:paraId="5DDD982C" w14:textId="77777777" w:rsidTr="002C74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tcPr>
          <w:p w14:paraId="2E78E782" w14:textId="77777777" w:rsidR="00AE1580" w:rsidRPr="00326EE9" w:rsidRDefault="00AE1580" w:rsidP="002C746B">
            <w:r w:rsidRPr="00326EE9">
              <w:t xml:space="preserve">Parameter </w:t>
            </w:r>
          </w:p>
        </w:tc>
        <w:tc>
          <w:tcPr>
            <w:tcW w:w="1847" w:type="dxa"/>
          </w:tcPr>
          <w:p w14:paraId="6F563BF1" w14:textId="77777777" w:rsidR="00AE1580" w:rsidRPr="00326EE9" w:rsidRDefault="00AE1580" w:rsidP="002C746B">
            <w:pPr>
              <w:cnfStyle w:val="100000000000" w:firstRow="1" w:lastRow="0" w:firstColumn="0" w:lastColumn="0" w:oddVBand="0" w:evenVBand="0" w:oddHBand="0" w:evenHBand="0" w:firstRowFirstColumn="0" w:firstRowLastColumn="0" w:lastRowFirstColumn="0" w:lastRowLastColumn="0"/>
            </w:pPr>
            <w:r w:rsidRPr="00326EE9">
              <w:t xml:space="preserve">Simoctocog alfa [CHR] </w:t>
            </w:r>
          </w:p>
        </w:tc>
        <w:tc>
          <w:tcPr>
            <w:tcW w:w="1651" w:type="dxa"/>
          </w:tcPr>
          <w:p w14:paraId="5A4684F6" w14:textId="77777777" w:rsidR="00AE1580" w:rsidRPr="00326EE9" w:rsidRDefault="00AE1580" w:rsidP="002C746B">
            <w:pPr>
              <w:cnfStyle w:val="100000000000" w:firstRow="1" w:lastRow="0" w:firstColumn="0" w:lastColumn="0" w:oddVBand="0" w:evenVBand="0" w:oddHBand="0" w:evenHBand="0" w:firstRowFirstColumn="0" w:firstRowLastColumn="0" w:lastRowFirstColumn="0" w:lastRowLastColumn="0"/>
            </w:pPr>
            <w:r w:rsidRPr="00326EE9">
              <w:t xml:space="preserve">Previous FVIII [CHR] </w:t>
            </w:r>
          </w:p>
        </w:tc>
        <w:tc>
          <w:tcPr>
            <w:tcW w:w="1774" w:type="dxa"/>
          </w:tcPr>
          <w:p w14:paraId="5E67A74F" w14:textId="77777777" w:rsidR="00AE1580" w:rsidRPr="00326EE9" w:rsidRDefault="00AE1580" w:rsidP="002C746B">
            <w:pPr>
              <w:cnfStyle w:val="100000000000" w:firstRow="1" w:lastRow="0" w:firstColumn="0" w:lastColumn="0" w:oddVBand="0" w:evenVBand="0" w:oddHBand="0" w:evenHBand="0" w:firstRowFirstColumn="0" w:firstRowLastColumn="0" w:lastRowFirstColumn="0" w:lastRowLastColumn="0"/>
            </w:pPr>
            <w:r w:rsidRPr="00326EE9">
              <w:t xml:space="preserve">Simoctocog alfa [OS] </w:t>
            </w:r>
          </w:p>
        </w:tc>
        <w:tc>
          <w:tcPr>
            <w:tcW w:w="1682" w:type="dxa"/>
          </w:tcPr>
          <w:p w14:paraId="498A68A7" w14:textId="77777777" w:rsidR="00AE1580" w:rsidRPr="00326EE9" w:rsidRDefault="00AE1580" w:rsidP="002C746B">
            <w:pPr>
              <w:cnfStyle w:val="100000000000" w:firstRow="1" w:lastRow="0" w:firstColumn="0" w:lastColumn="0" w:oddVBand="0" w:evenVBand="0" w:oddHBand="0" w:evenHBand="0" w:firstRowFirstColumn="0" w:firstRowLastColumn="0" w:lastRowFirstColumn="0" w:lastRowLastColumn="0"/>
            </w:pPr>
            <w:r w:rsidRPr="00326EE9">
              <w:t>Previous FVIII [OS]</w:t>
            </w:r>
          </w:p>
        </w:tc>
      </w:tr>
      <w:tr w:rsidR="00AE1580" w:rsidRPr="00B72CDA" w14:paraId="43409246"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1923B118" w14:textId="77777777" w:rsidR="00AE1580" w:rsidRPr="00326EE9" w:rsidRDefault="00AE1580" w:rsidP="002C746B">
            <w:r w:rsidRPr="00326EE9">
              <w:t>AUC (h·IU/mL)</w:t>
            </w:r>
          </w:p>
        </w:tc>
        <w:tc>
          <w:tcPr>
            <w:tcW w:w="1847" w:type="dxa"/>
          </w:tcPr>
          <w:p w14:paraId="094DA8C9"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11.69 ± 5.30 </w:t>
            </w:r>
          </w:p>
        </w:tc>
        <w:tc>
          <w:tcPr>
            <w:tcW w:w="1651" w:type="dxa"/>
          </w:tcPr>
          <w:p w14:paraId="0350C9F1"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8.68 ± 3.00</w:t>
            </w:r>
          </w:p>
        </w:tc>
        <w:tc>
          <w:tcPr>
            <w:tcW w:w="1774" w:type="dxa"/>
          </w:tcPr>
          <w:p w14:paraId="4D5FC864"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10.07 ± 4.60 </w:t>
            </w:r>
          </w:p>
        </w:tc>
        <w:tc>
          <w:tcPr>
            <w:tcW w:w="1682" w:type="dxa"/>
          </w:tcPr>
          <w:p w14:paraId="6E9773C0"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10.83 ± 3.41</w:t>
            </w:r>
          </w:p>
        </w:tc>
      </w:tr>
      <w:tr w:rsidR="00AE1580" w:rsidRPr="00B72CDA" w14:paraId="0DF8DCDB"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1F385548" w14:textId="77777777" w:rsidR="00AE1580" w:rsidRPr="00232C15" w:rsidRDefault="00A84DFC" w:rsidP="002C746B">
            <w:pPr>
              <w:rPr>
                <w:color w:val="auto"/>
                <w:lang w:eastAsia="en-US"/>
              </w:rPr>
            </w:pPr>
            <w:r w:rsidRPr="00232C15">
              <w:t>AUCnorm (h·IU/mL [IU/kg])</w:t>
            </w:r>
          </w:p>
        </w:tc>
        <w:tc>
          <w:tcPr>
            <w:tcW w:w="1847" w:type="dxa"/>
          </w:tcPr>
          <w:p w14:paraId="4F2C7A6E"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0.22 ± 0.10 </w:t>
            </w:r>
          </w:p>
        </w:tc>
        <w:tc>
          <w:tcPr>
            <w:tcW w:w="1651" w:type="dxa"/>
          </w:tcPr>
          <w:p w14:paraId="7861AE8A"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0.20 ± 0.06</w:t>
            </w:r>
          </w:p>
        </w:tc>
        <w:tc>
          <w:tcPr>
            <w:tcW w:w="1774" w:type="dxa"/>
          </w:tcPr>
          <w:p w14:paraId="5671E981"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0.22 ± 0.10 </w:t>
            </w:r>
          </w:p>
        </w:tc>
        <w:tc>
          <w:tcPr>
            <w:tcW w:w="1682" w:type="dxa"/>
          </w:tcPr>
          <w:p w14:paraId="6B17DFFD"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0.21 ± 0.06</w:t>
            </w:r>
          </w:p>
        </w:tc>
      </w:tr>
      <w:tr w:rsidR="00AE1580" w:rsidRPr="00B72CDA" w14:paraId="52106460"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1F3D7F6C" w14:textId="77777777" w:rsidR="00AE1580" w:rsidRPr="00326EE9" w:rsidRDefault="00AE1580" w:rsidP="002C746B">
            <w:r w:rsidRPr="00326EE9">
              <w:t xml:space="preserve">Cmax </w:t>
            </w:r>
            <w:r w:rsidR="004D7AC6" w:rsidRPr="00326EE9">
              <w:t>(IU/mL)</w:t>
            </w:r>
          </w:p>
        </w:tc>
        <w:tc>
          <w:tcPr>
            <w:tcW w:w="1847" w:type="dxa"/>
          </w:tcPr>
          <w:p w14:paraId="154E1F1D"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0.992 ± 0.148</w:t>
            </w:r>
          </w:p>
        </w:tc>
        <w:tc>
          <w:tcPr>
            <w:tcW w:w="1651" w:type="dxa"/>
          </w:tcPr>
          <w:p w14:paraId="710C5CF2"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0.746 ± 0.116</w:t>
            </w:r>
          </w:p>
        </w:tc>
        <w:tc>
          <w:tcPr>
            <w:tcW w:w="1774" w:type="dxa"/>
          </w:tcPr>
          <w:p w14:paraId="02569FB6"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0.729 ± 0.088 </w:t>
            </w:r>
          </w:p>
        </w:tc>
        <w:tc>
          <w:tcPr>
            <w:tcW w:w="1682" w:type="dxa"/>
          </w:tcPr>
          <w:p w14:paraId="5039BCE4"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0.797 ± 0.120</w:t>
            </w:r>
          </w:p>
        </w:tc>
      </w:tr>
      <w:tr w:rsidR="00AE1580" w:rsidRPr="00B72CDA" w14:paraId="62C07DD8"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59E796C8" w14:textId="77777777" w:rsidR="00AE1580" w:rsidRPr="00326EE9" w:rsidRDefault="00AE1580" w:rsidP="002C746B">
            <w:r w:rsidRPr="00326EE9">
              <w:t xml:space="preserve">Cmax.norm </w:t>
            </w:r>
            <w:r w:rsidR="004D7AC6" w:rsidRPr="00326EE9">
              <w:t xml:space="preserve">(IU/mL [IU/kg]) </w:t>
            </w:r>
          </w:p>
        </w:tc>
        <w:tc>
          <w:tcPr>
            <w:tcW w:w="1847" w:type="dxa"/>
          </w:tcPr>
          <w:p w14:paraId="249063AE"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0.019 ± 0.003 </w:t>
            </w:r>
          </w:p>
        </w:tc>
        <w:tc>
          <w:tcPr>
            <w:tcW w:w="1651" w:type="dxa"/>
          </w:tcPr>
          <w:p w14:paraId="524CC8B3"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0.017 ± 0.002</w:t>
            </w:r>
          </w:p>
        </w:tc>
        <w:tc>
          <w:tcPr>
            <w:tcW w:w="1774" w:type="dxa"/>
          </w:tcPr>
          <w:p w14:paraId="66BC6799"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0.016 ± 0.002 </w:t>
            </w:r>
          </w:p>
        </w:tc>
        <w:tc>
          <w:tcPr>
            <w:tcW w:w="1682" w:type="dxa"/>
          </w:tcPr>
          <w:p w14:paraId="64DF39FD"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0.015 ± 0.002</w:t>
            </w:r>
          </w:p>
        </w:tc>
      </w:tr>
      <w:tr w:rsidR="00AE1580" w:rsidRPr="00B72CDA" w14:paraId="1FFDDDA7"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0DA8A6A2" w14:textId="77777777" w:rsidR="00AE1580" w:rsidRPr="00326EE9" w:rsidRDefault="00AE1580" w:rsidP="002C746B">
            <w:r w:rsidRPr="00326EE9">
              <w:t>IVR (% per IU/kg)</w:t>
            </w:r>
          </w:p>
        </w:tc>
        <w:tc>
          <w:tcPr>
            <w:tcW w:w="1847" w:type="dxa"/>
          </w:tcPr>
          <w:p w14:paraId="1A0D3C31"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1.871 ± 0.270 </w:t>
            </w:r>
          </w:p>
        </w:tc>
        <w:tc>
          <w:tcPr>
            <w:tcW w:w="1651" w:type="dxa"/>
          </w:tcPr>
          <w:p w14:paraId="08CAE524"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1.683 ± 0.224</w:t>
            </w:r>
          </w:p>
        </w:tc>
        <w:tc>
          <w:tcPr>
            <w:tcW w:w="1774" w:type="dxa"/>
          </w:tcPr>
          <w:p w14:paraId="6AC5588A"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1.572 ± 0.167 </w:t>
            </w:r>
          </w:p>
        </w:tc>
        <w:tc>
          <w:tcPr>
            <w:tcW w:w="1682" w:type="dxa"/>
          </w:tcPr>
          <w:p w14:paraId="2FE28465"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1.513 ± 0.222</w:t>
            </w:r>
          </w:p>
        </w:tc>
      </w:tr>
      <w:tr w:rsidR="00AE1580" w:rsidRPr="00B72CDA" w14:paraId="4D48DEC1"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692D03AB" w14:textId="77777777" w:rsidR="00AE1580" w:rsidRPr="00326EE9" w:rsidRDefault="00AE1580" w:rsidP="002C746B">
            <w:r w:rsidRPr="00326EE9">
              <w:t>Tmax  (h)</w:t>
            </w:r>
          </w:p>
        </w:tc>
        <w:tc>
          <w:tcPr>
            <w:tcW w:w="1847" w:type="dxa"/>
          </w:tcPr>
          <w:p w14:paraId="7EF29334"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0.50 ± 0.00 </w:t>
            </w:r>
          </w:p>
        </w:tc>
        <w:tc>
          <w:tcPr>
            <w:tcW w:w="1651" w:type="dxa"/>
          </w:tcPr>
          <w:p w14:paraId="3B063B29"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0.75 ± 0.58</w:t>
            </w:r>
          </w:p>
        </w:tc>
        <w:tc>
          <w:tcPr>
            <w:tcW w:w="1774" w:type="dxa"/>
          </w:tcPr>
          <w:p w14:paraId="791864BD"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0.50 ± 0.00 </w:t>
            </w:r>
          </w:p>
        </w:tc>
        <w:tc>
          <w:tcPr>
            <w:tcW w:w="1682" w:type="dxa"/>
          </w:tcPr>
          <w:p w14:paraId="37DDA67D"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0.73 ± 0.56</w:t>
            </w:r>
          </w:p>
        </w:tc>
      </w:tr>
      <w:tr w:rsidR="00AE1580" w:rsidRPr="00B72CDA" w14:paraId="2B44806F"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7F9667AE" w14:textId="77777777" w:rsidR="00AE1580" w:rsidRPr="00326EE9" w:rsidRDefault="00AE1580" w:rsidP="002C746B">
            <w:r w:rsidRPr="00326EE9">
              <w:t>T1/2  (h)</w:t>
            </w:r>
          </w:p>
        </w:tc>
        <w:tc>
          <w:tcPr>
            <w:tcW w:w="1847" w:type="dxa"/>
          </w:tcPr>
          <w:p w14:paraId="481468AF"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9.49 ± 3.32 </w:t>
            </w:r>
          </w:p>
        </w:tc>
        <w:tc>
          <w:tcPr>
            <w:tcW w:w="1651" w:type="dxa"/>
          </w:tcPr>
          <w:p w14:paraId="5200DFC2"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10.07 ± 2.90</w:t>
            </w:r>
          </w:p>
        </w:tc>
        <w:tc>
          <w:tcPr>
            <w:tcW w:w="1774" w:type="dxa"/>
          </w:tcPr>
          <w:p w14:paraId="0694FBAF"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11.91 ± 5.36 </w:t>
            </w:r>
          </w:p>
        </w:tc>
        <w:tc>
          <w:tcPr>
            <w:tcW w:w="1682" w:type="dxa"/>
          </w:tcPr>
          <w:p w14:paraId="1C8812C3"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11.74 ± 3.03</w:t>
            </w:r>
          </w:p>
        </w:tc>
      </w:tr>
      <w:tr w:rsidR="00AE1580" w:rsidRPr="00B72CDA" w14:paraId="71AABB01"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7DFFE1A3" w14:textId="77777777" w:rsidR="00AE1580" w:rsidRPr="00326EE9" w:rsidRDefault="00AE1580" w:rsidP="002C746B">
            <w:r w:rsidRPr="00326EE9">
              <w:t>MRT (h)</w:t>
            </w:r>
          </w:p>
        </w:tc>
        <w:tc>
          <w:tcPr>
            <w:tcW w:w="1847" w:type="dxa"/>
          </w:tcPr>
          <w:p w14:paraId="5C8016B6"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11.92 ± 4.93</w:t>
            </w:r>
          </w:p>
        </w:tc>
        <w:tc>
          <w:tcPr>
            <w:tcW w:w="1651" w:type="dxa"/>
          </w:tcPr>
          <w:p w14:paraId="38F41E8E"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12.35 ± 3.68</w:t>
            </w:r>
          </w:p>
        </w:tc>
        <w:tc>
          <w:tcPr>
            <w:tcW w:w="1774" w:type="dxa"/>
          </w:tcPr>
          <w:p w14:paraId="084510A5"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15.11 ± 7.35 </w:t>
            </w:r>
          </w:p>
        </w:tc>
        <w:tc>
          <w:tcPr>
            <w:tcW w:w="1682" w:type="dxa"/>
          </w:tcPr>
          <w:p w14:paraId="5C9C425C"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15.03 ± 4.31</w:t>
            </w:r>
          </w:p>
        </w:tc>
      </w:tr>
      <w:tr w:rsidR="00AE1580" w:rsidRPr="00B72CDA" w14:paraId="62E0A87A"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3DD511AB" w14:textId="77777777" w:rsidR="00AE1580" w:rsidRPr="00326EE9" w:rsidRDefault="00AE1580" w:rsidP="002C746B">
            <w:r w:rsidRPr="00326EE9">
              <w:t>CL (mL/h/kg)</w:t>
            </w:r>
          </w:p>
        </w:tc>
        <w:tc>
          <w:tcPr>
            <w:tcW w:w="1847" w:type="dxa"/>
          </w:tcPr>
          <w:p w14:paraId="3213B426"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5.40 ± 2.37 </w:t>
            </w:r>
          </w:p>
        </w:tc>
        <w:tc>
          <w:tcPr>
            <w:tcW w:w="1651" w:type="dxa"/>
          </w:tcPr>
          <w:p w14:paraId="38F2E647"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5.65 ± 2.01</w:t>
            </w:r>
          </w:p>
        </w:tc>
        <w:tc>
          <w:tcPr>
            <w:tcW w:w="1774" w:type="dxa"/>
          </w:tcPr>
          <w:p w14:paraId="59790EC7"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5.41± 2.32 </w:t>
            </w:r>
          </w:p>
        </w:tc>
        <w:tc>
          <w:tcPr>
            <w:tcW w:w="1682" w:type="dxa"/>
          </w:tcPr>
          <w:p w14:paraId="1438D218"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5.23 ± 1.68</w:t>
            </w:r>
          </w:p>
        </w:tc>
      </w:tr>
      <w:tr w:rsidR="00AE1580" w:rsidRPr="00B72CDA" w14:paraId="7D8B8FD1" w14:textId="77777777" w:rsidTr="002C746B">
        <w:tc>
          <w:tcPr>
            <w:cnfStyle w:val="001000000000" w:firstRow="0" w:lastRow="0" w:firstColumn="1" w:lastColumn="0" w:oddVBand="0" w:evenVBand="0" w:oddHBand="0" w:evenHBand="0" w:firstRowFirstColumn="0" w:firstRowLastColumn="0" w:lastRowFirstColumn="0" w:lastRowLastColumn="0"/>
            <w:tcW w:w="2052" w:type="dxa"/>
          </w:tcPr>
          <w:p w14:paraId="5FAC2E47" w14:textId="77777777" w:rsidR="00AE1580" w:rsidRPr="00326EE9" w:rsidRDefault="00AE1580" w:rsidP="002C746B">
            <w:r w:rsidRPr="00326EE9">
              <w:t>Vss  (mL/kg)</w:t>
            </w:r>
          </w:p>
        </w:tc>
        <w:tc>
          <w:tcPr>
            <w:tcW w:w="1847" w:type="dxa"/>
          </w:tcPr>
          <w:p w14:paraId="6B785173"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55.32 ± 7.09 </w:t>
            </w:r>
          </w:p>
        </w:tc>
        <w:tc>
          <w:tcPr>
            <w:tcW w:w="1651" w:type="dxa"/>
          </w:tcPr>
          <w:p w14:paraId="01D9AC0E"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64.08 ± 9.60</w:t>
            </w:r>
          </w:p>
        </w:tc>
        <w:tc>
          <w:tcPr>
            <w:tcW w:w="1774" w:type="dxa"/>
          </w:tcPr>
          <w:p w14:paraId="16AA518E"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 xml:space="preserve">68.29 ± 10.42 </w:t>
            </w:r>
          </w:p>
        </w:tc>
        <w:tc>
          <w:tcPr>
            <w:tcW w:w="1682" w:type="dxa"/>
          </w:tcPr>
          <w:p w14:paraId="1F077E78" w14:textId="77777777" w:rsidR="00AE1580" w:rsidRPr="00326EE9" w:rsidRDefault="00AE1580" w:rsidP="002C746B">
            <w:pPr>
              <w:cnfStyle w:val="000000000000" w:firstRow="0" w:lastRow="0" w:firstColumn="0" w:lastColumn="0" w:oddVBand="0" w:evenVBand="0" w:oddHBand="0" w:evenHBand="0" w:firstRowFirstColumn="0" w:firstRowLastColumn="0" w:lastRowFirstColumn="0" w:lastRowLastColumn="0"/>
            </w:pPr>
            <w:r w:rsidRPr="00326EE9">
              <w:t>73.37 ± 16.53</w:t>
            </w:r>
          </w:p>
        </w:tc>
      </w:tr>
    </w:tbl>
    <w:p w14:paraId="55B54B05" w14:textId="77777777" w:rsidR="000F04AF" w:rsidRDefault="00AE1580" w:rsidP="00326EE9">
      <w:pPr>
        <w:widowControl w:val="0"/>
        <w:autoSpaceDE w:val="0"/>
        <w:autoSpaceDN w:val="0"/>
        <w:adjustRightInd w:val="0"/>
        <w:ind w:left="1134" w:hanging="1134"/>
        <w:rPr>
          <w:rFonts w:asciiTheme="minorHAnsi" w:hAnsiTheme="minorHAnsi"/>
        </w:rPr>
      </w:pPr>
      <w:r w:rsidRPr="00326EE9">
        <w:rPr>
          <w:rFonts w:asciiTheme="minorHAnsi" w:hAnsiTheme="minorHAnsi"/>
        </w:rPr>
        <w:t>Comment:</w:t>
      </w:r>
      <w:r w:rsidRPr="00326EE9">
        <w:rPr>
          <w:rFonts w:asciiTheme="minorHAnsi" w:hAnsiTheme="minorHAnsi"/>
        </w:rPr>
        <w:tab/>
      </w:r>
      <w:r w:rsidRPr="00326EE9">
        <w:rPr>
          <w:rFonts w:asciiTheme="minorHAnsi" w:hAnsiTheme="minorHAnsi"/>
          <w:i/>
        </w:rPr>
        <w:t>Based on the CHR assay</w:t>
      </w:r>
      <w:r w:rsidRPr="00326EE9">
        <w:rPr>
          <w:rFonts w:asciiTheme="minorHAnsi" w:hAnsiTheme="minorHAnsi"/>
        </w:rPr>
        <w:t>, the mean AUC, C</w:t>
      </w:r>
      <w:r w:rsidRPr="00326EE9">
        <w:rPr>
          <w:rFonts w:asciiTheme="minorHAnsi" w:hAnsiTheme="minorHAnsi"/>
          <w:vertAlign w:val="subscript"/>
        </w:rPr>
        <w:t xml:space="preserve">max </w:t>
      </w:r>
      <w:r w:rsidRPr="00326EE9">
        <w:rPr>
          <w:rFonts w:asciiTheme="minorHAnsi" w:hAnsiTheme="minorHAnsi"/>
        </w:rPr>
        <w:t>and IVR values after administration of simoctocog alfa in the 2-5 age group were higher than the corresponding values for previously used FVIII concentrates, and this difference was still apparent when the AUC and C</w:t>
      </w:r>
      <w:r w:rsidRPr="00326EE9">
        <w:rPr>
          <w:rFonts w:asciiTheme="minorHAnsi" w:hAnsiTheme="minorHAnsi"/>
          <w:vertAlign w:val="subscript"/>
        </w:rPr>
        <w:t xml:space="preserve">max </w:t>
      </w:r>
      <w:r w:rsidRPr="00326EE9">
        <w:rPr>
          <w:rFonts w:asciiTheme="minorHAnsi" w:hAnsiTheme="minorHAnsi"/>
        </w:rPr>
        <w:t>were normalised for dose. The mean T</w:t>
      </w:r>
      <w:r w:rsidRPr="00326EE9">
        <w:rPr>
          <w:rFonts w:asciiTheme="minorHAnsi" w:hAnsiTheme="minorHAnsi"/>
          <w:vertAlign w:val="subscript"/>
        </w:rPr>
        <w:t>1/2</w:t>
      </w:r>
      <w:r w:rsidRPr="00326EE9">
        <w:rPr>
          <w:rFonts w:asciiTheme="minorHAnsi" w:hAnsiTheme="minorHAnsi"/>
        </w:rPr>
        <w:t>, MRT, CL and V</w:t>
      </w:r>
      <w:r w:rsidRPr="00326EE9">
        <w:rPr>
          <w:rFonts w:asciiTheme="minorHAnsi" w:hAnsiTheme="minorHAnsi"/>
          <w:vertAlign w:val="subscript"/>
        </w:rPr>
        <w:t>ss</w:t>
      </w:r>
      <w:r w:rsidRPr="00326EE9">
        <w:rPr>
          <w:rFonts w:asciiTheme="minorHAnsi" w:hAnsiTheme="minorHAnsi"/>
        </w:rPr>
        <w:t xml:space="preserve"> were all lower for simoctocog alfa than for the previously used FVIII concentrates. T</w:t>
      </w:r>
      <w:r w:rsidRPr="00326EE9">
        <w:rPr>
          <w:rFonts w:asciiTheme="minorHAnsi" w:hAnsiTheme="minorHAnsi"/>
          <w:vertAlign w:val="subscript"/>
        </w:rPr>
        <w:t>max</w:t>
      </w:r>
      <w:r w:rsidRPr="00326EE9">
        <w:rPr>
          <w:rFonts w:asciiTheme="minorHAnsi" w:hAnsiTheme="minorHAnsi"/>
        </w:rPr>
        <w:t xml:space="preserve"> following previously used FVIII concentrates was reached within 30 minutes in 76.9% of patients compared with 100% of patients following simoctocog alfa.</w:t>
      </w:r>
    </w:p>
    <w:p w14:paraId="0E8E9F2B" w14:textId="77777777" w:rsidR="000F04AF" w:rsidRDefault="00AE1580" w:rsidP="00326EE9">
      <w:pPr>
        <w:widowControl w:val="0"/>
        <w:autoSpaceDE w:val="0"/>
        <w:autoSpaceDN w:val="0"/>
        <w:adjustRightInd w:val="0"/>
        <w:ind w:left="1134"/>
        <w:rPr>
          <w:rFonts w:asciiTheme="minorHAnsi" w:hAnsiTheme="minorHAnsi"/>
        </w:rPr>
      </w:pPr>
      <w:r w:rsidRPr="00326EE9">
        <w:rPr>
          <w:rFonts w:asciiTheme="minorHAnsi" w:hAnsiTheme="minorHAnsi"/>
          <w:i/>
        </w:rPr>
        <w:t>Based on the OS assay</w:t>
      </w:r>
      <w:r w:rsidRPr="00326EE9">
        <w:rPr>
          <w:rFonts w:asciiTheme="minorHAnsi" w:hAnsiTheme="minorHAnsi"/>
        </w:rPr>
        <w:t>, the mean AUC and C</w:t>
      </w:r>
      <w:r w:rsidRPr="00326EE9">
        <w:rPr>
          <w:rFonts w:asciiTheme="minorHAnsi" w:hAnsiTheme="minorHAnsi"/>
          <w:sz w:val="14"/>
          <w:szCs w:val="14"/>
        </w:rPr>
        <w:t xml:space="preserve">max </w:t>
      </w:r>
      <w:r w:rsidRPr="00326EE9">
        <w:rPr>
          <w:rFonts w:asciiTheme="minorHAnsi" w:hAnsiTheme="minorHAnsi"/>
        </w:rPr>
        <w:t>values after administration of simoctocog alfa were lower than those of the previously used FVIII concentrates, but the difference between the two treatment groups was not apparent when the two parameters were corrected for dose. The mean T</w:t>
      </w:r>
      <w:r w:rsidRPr="00326EE9">
        <w:rPr>
          <w:rFonts w:asciiTheme="minorHAnsi" w:hAnsiTheme="minorHAnsi"/>
          <w:sz w:val="14"/>
          <w:szCs w:val="14"/>
        </w:rPr>
        <w:t>1/2</w:t>
      </w:r>
      <w:r w:rsidRPr="00326EE9">
        <w:rPr>
          <w:rFonts w:asciiTheme="minorHAnsi" w:hAnsiTheme="minorHAnsi"/>
        </w:rPr>
        <w:t xml:space="preserve">, MRT, IVR and CL were </w:t>
      </w:r>
      <w:r w:rsidRPr="00326EE9">
        <w:rPr>
          <w:rFonts w:asciiTheme="minorHAnsi" w:hAnsiTheme="minorHAnsi"/>
        </w:rPr>
        <w:lastRenderedPageBreak/>
        <w:t>slightly higher and V</w:t>
      </w:r>
      <w:r w:rsidRPr="00326EE9">
        <w:rPr>
          <w:rFonts w:asciiTheme="minorHAnsi" w:hAnsiTheme="minorHAnsi"/>
          <w:sz w:val="14"/>
          <w:szCs w:val="14"/>
        </w:rPr>
        <w:t xml:space="preserve">ss </w:t>
      </w:r>
      <w:r w:rsidRPr="00326EE9">
        <w:rPr>
          <w:rFonts w:asciiTheme="minorHAnsi" w:hAnsiTheme="minorHAnsi"/>
        </w:rPr>
        <w:t>lower for simoctocog alfa than for the previously used FVIII concentrates. T</w:t>
      </w:r>
      <w:r w:rsidRPr="00326EE9">
        <w:rPr>
          <w:rFonts w:asciiTheme="minorHAnsi" w:hAnsiTheme="minorHAnsi"/>
          <w:sz w:val="14"/>
          <w:szCs w:val="14"/>
        </w:rPr>
        <w:t xml:space="preserve">max </w:t>
      </w:r>
      <w:r w:rsidRPr="00326EE9">
        <w:rPr>
          <w:rFonts w:asciiTheme="minorHAnsi" w:hAnsiTheme="minorHAnsi"/>
        </w:rPr>
        <w:t xml:space="preserve">following previously used FVIII concentrates was reached within 30 minutes in 84.6% compared with 100% of patients </w:t>
      </w:r>
      <w:proofErr w:type="gramStart"/>
      <w:r w:rsidRPr="00326EE9">
        <w:rPr>
          <w:rFonts w:asciiTheme="minorHAnsi" w:hAnsiTheme="minorHAnsi"/>
        </w:rPr>
        <w:t>following  simoctocog</w:t>
      </w:r>
      <w:proofErr w:type="gramEnd"/>
      <w:r w:rsidRPr="00326EE9">
        <w:rPr>
          <w:rFonts w:asciiTheme="minorHAnsi" w:hAnsiTheme="minorHAnsi"/>
        </w:rPr>
        <w:t xml:space="preserve"> alfa.</w:t>
      </w:r>
    </w:p>
    <w:p w14:paraId="2564BBC9" w14:textId="77777777" w:rsidR="000F04AF" w:rsidRPr="002C746B" w:rsidRDefault="00AE1580" w:rsidP="00EA445D">
      <w:pPr>
        <w:pStyle w:val="Numberbullet2"/>
      </w:pPr>
      <w:r w:rsidRPr="002C746B">
        <w:t>l.</w:t>
      </w:r>
      <w:r w:rsidRPr="002C746B">
        <w:tab/>
        <w:t>PK results (PK Cycles 1 and 2) - paediatric population subgroup aged 6-12 years</w:t>
      </w:r>
    </w:p>
    <w:p w14:paraId="431EC0E3" w14:textId="107CF8E2" w:rsidR="00AE1580" w:rsidRPr="00C3582D" w:rsidRDefault="00AE1580" w:rsidP="00AE1580">
      <w:pPr>
        <w:widowControl w:val="0"/>
        <w:autoSpaceDE w:val="0"/>
        <w:autoSpaceDN w:val="0"/>
        <w:adjustRightInd w:val="0"/>
      </w:pPr>
      <w:r w:rsidRPr="003C029A">
        <w:t xml:space="preserve">The PK parameters </w:t>
      </w:r>
      <w:r>
        <w:t xml:space="preserve">(mean±SD) for previous </w:t>
      </w:r>
      <w:r w:rsidRPr="003C029A">
        <w:t>FVII</w:t>
      </w:r>
      <w:r>
        <w:t xml:space="preserve">I concentrates (PK Cycle 1) and simoctocog alfa (PK Cycle 2), as determined by the CHR and OS assays, </w:t>
      </w:r>
      <w:r w:rsidRPr="003C029A">
        <w:t xml:space="preserve">are shown below in Table </w:t>
      </w:r>
      <w:r w:rsidR="006F09EA">
        <w:t>9</w:t>
      </w:r>
      <w:r w:rsidRPr="003C029A">
        <w:t xml:space="preserve"> for </w:t>
      </w:r>
      <w:r>
        <w:t xml:space="preserve">the sub-group of children </w:t>
      </w:r>
      <w:r w:rsidRPr="003C029A">
        <w:t xml:space="preserve">aged </w:t>
      </w:r>
      <w:r>
        <w:t>6-12</w:t>
      </w:r>
      <w:r w:rsidRPr="003C029A">
        <w:t xml:space="preserve"> years.</w:t>
      </w:r>
    </w:p>
    <w:p w14:paraId="0DDA965D" w14:textId="77777777" w:rsidR="00AE1580" w:rsidRDefault="00AE1580" w:rsidP="00B202EE">
      <w:pPr>
        <w:pStyle w:val="Tabletitle"/>
      </w:pPr>
      <w:bookmarkStart w:id="38" w:name="_Toc248202528"/>
      <w:r>
        <w:t>Table</w:t>
      </w:r>
      <w:r w:rsidR="006F09EA">
        <w:t xml:space="preserve"> 9</w:t>
      </w:r>
      <w:r>
        <w:t>: GENA-03 - PK parameters (mean±SD) for simoctocog alfa and previous FVIII concentrates measured by the CHR and OS assays; PK-PP population for the 6 - 12 years age group, n=13 and n=12 (for CHR assay for simoctocog alfa).</w:t>
      </w:r>
      <w:bookmarkEnd w:id="38"/>
      <w:r>
        <w:t xml:space="preserve"> </w:t>
      </w:r>
    </w:p>
    <w:tbl>
      <w:tblPr>
        <w:tblStyle w:val="TableTGAblue"/>
        <w:tblW w:w="0" w:type="auto"/>
        <w:tblLook w:val="04A0" w:firstRow="1" w:lastRow="0" w:firstColumn="1" w:lastColumn="0" w:noHBand="0" w:noVBand="1"/>
      </w:tblPr>
      <w:tblGrid>
        <w:gridCol w:w="2065"/>
        <w:gridCol w:w="1841"/>
        <w:gridCol w:w="1763"/>
        <w:gridCol w:w="1770"/>
        <w:gridCol w:w="1567"/>
      </w:tblGrid>
      <w:tr w:rsidR="00AE1580" w:rsidRPr="00C3582D" w14:paraId="16BA4D7E" w14:textId="77777777" w:rsidTr="002C74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Pr>
          <w:p w14:paraId="15C735B8" w14:textId="77777777" w:rsidR="00AE1580" w:rsidRPr="00B72CDA" w:rsidRDefault="00AE1580" w:rsidP="002C746B">
            <w:r w:rsidRPr="00B72CDA">
              <w:t xml:space="preserve">Parameter </w:t>
            </w:r>
          </w:p>
        </w:tc>
        <w:tc>
          <w:tcPr>
            <w:tcW w:w="1841" w:type="dxa"/>
          </w:tcPr>
          <w:p w14:paraId="166495B5" w14:textId="77777777" w:rsidR="00AE1580" w:rsidRPr="00B72CDA" w:rsidRDefault="00AE1580" w:rsidP="002C746B">
            <w:pPr>
              <w:cnfStyle w:val="100000000000" w:firstRow="1" w:lastRow="0" w:firstColumn="0" w:lastColumn="0" w:oddVBand="0" w:evenVBand="0" w:oddHBand="0" w:evenHBand="0" w:firstRowFirstColumn="0" w:firstRowLastColumn="0" w:lastRowFirstColumn="0" w:lastRowLastColumn="0"/>
            </w:pPr>
            <w:r w:rsidRPr="00B72CDA">
              <w:t>Simoctocog alfa</w:t>
            </w:r>
            <w:r>
              <w:t xml:space="preserve"> </w:t>
            </w:r>
            <w:r w:rsidRPr="00B72CDA">
              <w:t xml:space="preserve">[CHR] </w:t>
            </w:r>
          </w:p>
        </w:tc>
        <w:tc>
          <w:tcPr>
            <w:tcW w:w="1763" w:type="dxa"/>
          </w:tcPr>
          <w:p w14:paraId="2BD00DA2" w14:textId="77777777" w:rsidR="00AE1580" w:rsidRPr="00B72CDA" w:rsidRDefault="00AE1580" w:rsidP="002C746B">
            <w:pPr>
              <w:cnfStyle w:val="100000000000" w:firstRow="1" w:lastRow="0" w:firstColumn="0" w:lastColumn="0" w:oddVBand="0" w:evenVBand="0" w:oddHBand="0" w:evenHBand="0" w:firstRowFirstColumn="0" w:firstRowLastColumn="0" w:lastRowFirstColumn="0" w:lastRowLastColumn="0"/>
            </w:pPr>
            <w:r w:rsidRPr="00B72CDA">
              <w:t xml:space="preserve">Previous FVIII [CHR] </w:t>
            </w:r>
          </w:p>
        </w:tc>
        <w:tc>
          <w:tcPr>
            <w:tcW w:w="1770" w:type="dxa"/>
          </w:tcPr>
          <w:p w14:paraId="67A7C143" w14:textId="77777777" w:rsidR="00AE1580" w:rsidRPr="00B72CDA" w:rsidRDefault="00AE1580" w:rsidP="002C746B">
            <w:pPr>
              <w:cnfStyle w:val="100000000000" w:firstRow="1" w:lastRow="0" w:firstColumn="0" w:lastColumn="0" w:oddVBand="0" w:evenVBand="0" w:oddHBand="0" w:evenHBand="0" w:firstRowFirstColumn="0" w:firstRowLastColumn="0" w:lastRowFirstColumn="0" w:lastRowLastColumn="0"/>
            </w:pPr>
            <w:r w:rsidRPr="00B72CDA">
              <w:t>Simoctocog alfa</w:t>
            </w:r>
            <w:r>
              <w:t xml:space="preserve"> </w:t>
            </w:r>
            <w:r w:rsidRPr="00B72CDA">
              <w:t xml:space="preserve">[OS] </w:t>
            </w:r>
          </w:p>
        </w:tc>
        <w:tc>
          <w:tcPr>
            <w:tcW w:w="1567" w:type="dxa"/>
          </w:tcPr>
          <w:p w14:paraId="29AE1722" w14:textId="77777777" w:rsidR="00AE1580" w:rsidRPr="00B72CDA" w:rsidRDefault="00AE1580" w:rsidP="002C746B">
            <w:pPr>
              <w:cnfStyle w:val="100000000000" w:firstRow="1" w:lastRow="0" w:firstColumn="0" w:lastColumn="0" w:oddVBand="0" w:evenVBand="0" w:oddHBand="0" w:evenHBand="0" w:firstRowFirstColumn="0" w:firstRowLastColumn="0" w:lastRowFirstColumn="0" w:lastRowLastColumn="0"/>
            </w:pPr>
            <w:r w:rsidRPr="00B72CDA">
              <w:t>Previous FVIII [OS]</w:t>
            </w:r>
          </w:p>
        </w:tc>
      </w:tr>
      <w:tr w:rsidR="00AE1580" w:rsidRPr="00C3582D" w14:paraId="558462A6"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043BA1F6" w14:textId="77777777" w:rsidR="00AE1580" w:rsidRPr="00B72CDA" w:rsidRDefault="00AE1580" w:rsidP="002C746B">
            <w:r w:rsidRPr="00B72CDA">
              <w:t>AUC (h·IU/mL)</w:t>
            </w:r>
          </w:p>
        </w:tc>
        <w:tc>
          <w:tcPr>
            <w:tcW w:w="1841" w:type="dxa"/>
          </w:tcPr>
          <w:p w14:paraId="7EC0FCE8"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13.15 ± 3.43 </w:t>
            </w:r>
          </w:p>
        </w:tc>
        <w:tc>
          <w:tcPr>
            <w:tcW w:w="1763" w:type="dxa"/>
          </w:tcPr>
          <w:p w14:paraId="4CB3465E"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12.69 ± 5.18</w:t>
            </w:r>
          </w:p>
        </w:tc>
        <w:tc>
          <w:tcPr>
            <w:tcW w:w="1770" w:type="dxa"/>
          </w:tcPr>
          <w:p w14:paraId="149F682E"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11.77 ± 2.72 </w:t>
            </w:r>
          </w:p>
        </w:tc>
        <w:tc>
          <w:tcPr>
            <w:tcW w:w="1567" w:type="dxa"/>
          </w:tcPr>
          <w:p w14:paraId="426C72FE"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15.62 ± 5.35</w:t>
            </w:r>
          </w:p>
        </w:tc>
      </w:tr>
      <w:tr w:rsidR="00AE1580" w:rsidRPr="00C3582D" w14:paraId="1EE16D0B"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52C9551E" w14:textId="77777777" w:rsidR="00AE1580" w:rsidRPr="00232C15" w:rsidRDefault="00A84DFC" w:rsidP="002C746B">
            <w:pPr>
              <w:rPr>
                <w:color w:val="auto"/>
                <w:lang w:eastAsia="en-US"/>
              </w:rPr>
            </w:pPr>
            <w:r w:rsidRPr="00232C15">
              <w:t>AUCnorm (h·IU/mL [IU/kg])</w:t>
            </w:r>
          </w:p>
        </w:tc>
        <w:tc>
          <w:tcPr>
            <w:tcW w:w="1841" w:type="dxa"/>
          </w:tcPr>
          <w:p w14:paraId="10D33F6F"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0.25 ± 0.06 </w:t>
            </w:r>
          </w:p>
        </w:tc>
        <w:tc>
          <w:tcPr>
            <w:tcW w:w="1763" w:type="dxa"/>
          </w:tcPr>
          <w:p w14:paraId="13354F82"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0.28 ± 0.09</w:t>
            </w:r>
          </w:p>
        </w:tc>
        <w:tc>
          <w:tcPr>
            <w:tcW w:w="1770" w:type="dxa"/>
          </w:tcPr>
          <w:p w14:paraId="7F37DAF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0.26 ± 0.06 </w:t>
            </w:r>
          </w:p>
        </w:tc>
        <w:tc>
          <w:tcPr>
            <w:tcW w:w="1567" w:type="dxa"/>
          </w:tcPr>
          <w:p w14:paraId="1CD7D3B4"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0.29 ± 0.09</w:t>
            </w:r>
          </w:p>
        </w:tc>
      </w:tr>
      <w:tr w:rsidR="00AE1580" w:rsidRPr="00C3582D" w14:paraId="498ACCF9"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492111DE" w14:textId="77777777" w:rsidR="00AE1580" w:rsidRPr="00B72CDA" w:rsidRDefault="00AE1580" w:rsidP="002C746B">
            <w:r w:rsidRPr="00B72CDA">
              <w:t>Cmax (IU/mL [IU/kg])</w:t>
            </w:r>
          </w:p>
        </w:tc>
        <w:tc>
          <w:tcPr>
            <w:tcW w:w="1841" w:type="dxa"/>
          </w:tcPr>
          <w:p w14:paraId="14B74772"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1.017 ± 0.225 </w:t>
            </w:r>
          </w:p>
        </w:tc>
        <w:tc>
          <w:tcPr>
            <w:tcW w:w="1763" w:type="dxa"/>
          </w:tcPr>
          <w:p w14:paraId="563C9311"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0.903 ± 0.346</w:t>
            </w:r>
          </w:p>
        </w:tc>
        <w:tc>
          <w:tcPr>
            <w:tcW w:w="1770" w:type="dxa"/>
          </w:tcPr>
          <w:p w14:paraId="6CE2C4EC"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0.776 ± 0.164 </w:t>
            </w:r>
          </w:p>
        </w:tc>
        <w:tc>
          <w:tcPr>
            <w:tcW w:w="1567" w:type="dxa"/>
          </w:tcPr>
          <w:p w14:paraId="52A97217"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0.911 ± 0.253</w:t>
            </w:r>
          </w:p>
        </w:tc>
      </w:tr>
      <w:tr w:rsidR="00AE1580" w:rsidRPr="00C3582D" w14:paraId="3A51F249"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6CE64685" w14:textId="77777777" w:rsidR="00AE1580" w:rsidRPr="00B72CDA" w:rsidRDefault="00AE1580" w:rsidP="002C746B">
            <w:r w:rsidRPr="00B72CDA">
              <w:t>Cmax.norm (IU/mL)</w:t>
            </w:r>
          </w:p>
        </w:tc>
        <w:tc>
          <w:tcPr>
            <w:tcW w:w="1841" w:type="dxa"/>
          </w:tcPr>
          <w:p w14:paraId="592C42E4"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0.019 ± 0.004 </w:t>
            </w:r>
          </w:p>
        </w:tc>
        <w:tc>
          <w:tcPr>
            <w:tcW w:w="1763" w:type="dxa"/>
          </w:tcPr>
          <w:p w14:paraId="120F184C"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0.020 ± 0.006</w:t>
            </w:r>
          </w:p>
        </w:tc>
        <w:tc>
          <w:tcPr>
            <w:tcW w:w="1770" w:type="dxa"/>
          </w:tcPr>
          <w:p w14:paraId="6823CB90"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0.017 ± 0.004 </w:t>
            </w:r>
          </w:p>
        </w:tc>
        <w:tc>
          <w:tcPr>
            <w:tcW w:w="1567" w:type="dxa"/>
          </w:tcPr>
          <w:p w14:paraId="404536BE"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0.017 ± 0.004</w:t>
            </w:r>
          </w:p>
        </w:tc>
      </w:tr>
      <w:tr w:rsidR="00AE1580" w:rsidRPr="00C3582D" w14:paraId="52E260D6"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74C8BD7F" w14:textId="77777777" w:rsidR="00AE1580" w:rsidRPr="00B72CDA" w:rsidRDefault="00AE1580" w:rsidP="002C746B">
            <w:r w:rsidRPr="00B72CDA">
              <w:t>IVR (% per IU/kg)</w:t>
            </w:r>
          </w:p>
        </w:tc>
        <w:tc>
          <w:tcPr>
            <w:tcW w:w="1841" w:type="dxa"/>
          </w:tcPr>
          <w:p w14:paraId="541AAF51"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1.881 ± 0.440 </w:t>
            </w:r>
          </w:p>
        </w:tc>
        <w:tc>
          <w:tcPr>
            <w:tcW w:w="1763" w:type="dxa"/>
          </w:tcPr>
          <w:p w14:paraId="1EC48BC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2.000 ± 0.564</w:t>
            </w:r>
          </w:p>
        </w:tc>
        <w:tc>
          <w:tcPr>
            <w:tcW w:w="1770" w:type="dxa"/>
          </w:tcPr>
          <w:p w14:paraId="7532DA22"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1.641 ± 0.377 </w:t>
            </w:r>
          </w:p>
        </w:tc>
        <w:tc>
          <w:tcPr>
            <w:tcW w:w="1567" w:type="dxa"/>
          </w:tcPr>
          <w:p w14:paraId="3AE734D3"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1.669 ± 0.355</w:t>
            </w:r>
          </w:p>
        </w:tc>
      </w:tr>
      <w:tr w:rsidR="00AE1580" w:rsidRPr="00C3582D" w14:paraId="63CACD70"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51A9D7F2" w14:textId="77777777" w:rsidR="00AE1580" w:rsidRPr="00B72CDA" w:rsidRDefault="00AE1580" w:rsidP="002C746B">
            <w:r w:rsidRPr="00B72CDA">
              <w:t>Tmax  (h)</w:t>
            </w:r>
          </w:p>
        </w:tc>
        <w:tc>
          <w:tcPr>
            <w:tcW w:w="1841" w:type="dxa"/>
          </w:tcPr>
          <w:p w14:paraId="7BCE2F7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0.63 ± 0.43 </w:t>
            </w:r>
          </w:p>
        </w:tc>
        <w:tc>
          <w:tcPr>
            <w:tcW w:w="1763" w:type="dxa"/>
          </w:tcPr>
          <w:p w14:paraId="2FFFA5D3"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0.73 ± 0.56</w:t>
            </w:r>
          </w:p>
        </w:tc>
        <w:tc>
          <w:tcPr>
            <w:tcW w:w="1770" w:type="dxa"/>
          </w:tcPr>
          <w:p w14:paraId="7D894F1D"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0.62 ± 0.42 </w:t>
            </w:r>
          </w:p>
        </w:tc>
        <w:tc>
          <w:tcPr>
            <w:tcW w:w="1567" w:type="dxa"/>
          </w:tcPr>
          <w:p w14:paraId="17AD05F9"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0.73 ± 0.56</w:t>
            </w:r>
          </w:p>
        </w:tc>
      </w:tr>
      <w:tr w:rsidR="00AE1580" w:rsidRPr="00C3582D" w14:paraId="3B004458"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7638336D" w14:textId="77777777" w:rsidR="00AE1580" w:rsidRPr="00B72CDA" w:rsidRDefault="00AE1580" w:rsidP="002C746B">
            <w:r w:rsidRPr="00B72CDA">
              <w:t>T1/2  (h)</w:t>
            </w:r>
          </w:p>
        </w:tc>
        <w:tc>
          <w:tcPr>
            <w:tcW w:w="1841" w:type="dxa"/>
          </w:tcPr>
          <w:p w14:paraId="6519D27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9.99 ± 1.88 </w:t>
            </w:r>
          </w:p>
        </w:tc>
        <w:tc>
          <w:tcPr>
            <w:tcW w:w="1763" w:type="dxa"/>
          </w:tcPr>
          <w:p w14:paraId="2AABC811"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11.94 ± 1.73</w:t>
            </w:r>
          </w:p>
        </w:tc>
        <w:tc>
          <w:tcPr>
            <w:tcW w:w="1770" w:type="dxa"/>
          </w:tcPr>
          <w:p w14:paraId="1B270DCB"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13.08 ± 2.59 </w:t>
            </w:r>
          </w:p>
        </w:tc>
        <w:tc>
          <w:tcPr>
            <w:tcW w:w="1567" w:type="dxa"/>
          </w:tcPr>
          <w:p w14:paraId="4448E183"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14.51 ± 2.41</w:t>
            </w:r>
          </w:p>
        </w:tc>
      </w:tr>
      <w:tr w:rsidR="00AE1580" w:rsidRPr="00C3582D" w14:paraId="07BB438D"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144AB113" w14:textId="77777777" w:rsidR="00AE1580" w:rsidRPr="00B72CDA" w:rsidRDefault="00AE1580" w:rsidP="002C746B">
            <w:r w:rsidRPr="00B72CDA">
              <w:t>MRT (h)</w:t>
            </w:r>
          </w:p>
        </w:tc>
        <w:tc>
          <w:tcPr>
            <w:tcW w:w="1841" w:type="dxa"/>
          </w:tcPr>
          <w:p w14:paraId="1077D5DC"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12.74 ± 2.34 </w:t>
            </w:r>
          </w:p>
        </w:tc>
        <w:tc>
          <w:tcPr>
            <w:tcW w:w="1763" w:type="dxa"/>
          </w:tcPr>
          <w:p w14:paraId="605415FD"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14.95 ± 2.40</w:t>
            </w:r>
          </w:p>
        </w:tc>
        <w:tc>
          <w:tcPr>
            <w:tcW w:w="1770" w:type="dxa"/>
          </w:tcPr>
          <w:p w14:paraId="14DC662D"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16.53 ± 2.87 </w:t>
            </w:r>
          </w:p>
        </w:tc>
        <w:tc>
          <w:tcPr>
            <w:tcW w:w="1567" w:type="dxa"/>
          </w:tcPr>
          <w:p w14:paraId="664888F6"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18.82 ± 3.32</w:t>
            </w:r>
          </w:p>
        </w:tc>
      </w:tr>
      <w:tr w:rsidR="00AE1580" w:rsidRPr="00C3582D" w14:paraId="174D2F56"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361B2734" w14:textId="77777777" w:rsidR="00AE1580" w:rsidRPr="00B72CDA" w:rsidRDefault="00AE1580" w:rsidP="002C746B">
            <w:r w:rsidRPr="00B72CDA">
              <w:t>CL (mL/h/kg)</w:t>
            </w:r>
          </w:p>
        </w:tc>
        <w:tc>
          <w:tcPr>
            <w:tcW w:w="1841" w:type="dxa"/>
          </w:tcPr>
          <w:p w14:paraId="4ABBCB7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4.33 ± 1.21 </w:t>
            </w:r>
          </w:p>
        </w:tc>
        <w:tc>
          <w:tcPr>
            <w:tcW w:w="1763" w:type="dxa"/>
          </w:tcPr>
          <w:p w14:paraId="217931FB"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3.93 ± 1.41</w:t>
            </w:r>
          </w:p>
        </w:tc>
        <w:tc>
          <w:tcPr>
            <w:tcW w:w="1770" w:type="dxa"/>
          </w:tcPr>
          <w:p w14:paraId="417F21EE"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4.05 ± 0.92 </w:t>
            </w:r>
          </w:p>
        </w:tc>
        <w:tc>
          <w:tcPr>
            <w:tcW w:w="1567" w:type="dxa"/>
          </w:tcPr>
          <w:p w14:paraId="454586B2"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3.69 ± 1.09</w:t>
            </w:r>
          </w:p>
        </w:tc>
      </w:tr>
      <w:tr w:rsidR="00AE1580" w:rsidRPr="00C3582D" w14:paraId="13732E30" w14:textId="77777777" w:rsidTr="003118EA">
        <w:tc>
          <w:tcPr>
            <w:cnfStyle w:val="001000000000" w:firstRow="0" w:lastRow="0" w:firstColumn="1" w:lastColumn="0" w:oddVBand="0" w:evenVBand="0" w:oddHBand="0" w:evenHBand="0" w:firstRowFirstColumn="0" w:firstRowLastColumn="0" w:lastRowFirstColumn="0" w:lastRowLastColumn="0"/>
            <w:tcW w:w="2065" w:type="dxa"/>
          </w:tcPr>
          <w:p w14:paraId="071DB376" w14:textId="77777777" w:rsidR="00AE1580" w:rsidRPr="00B72CDA" w:rsidRDefault="00AE1580" w:rsidP="002C746B">
            <w:r w:rsidRPr="00B72CDA">
              <w:t>Vss  (mL/kg)</w:t>
            </w:r>
          </w:p>
        </w:tc>
        <w:tc>
          <w:tcPr>
            <w:tcW w:w="1841" w:type="dxa"/>
          </w:tcPr>
          <w:p w14:paraId="197A78B5"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54.45 ± 14.80 </w:t>
            </w:r>
          </w:p>
        </w:tc>
        <w:tc>
          <w:tcPr>
            <w:tcW w:w="1763" w:type="dxa"/>
          </w:tcPr>
          <w:p w14:paraId="0A756C22"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56.92 ± 16.42</w:t>
            </w:r>
          </w:p>
        </w:tc>
        <w:tc>
          <w:tcPr>
            <w:tcW w:w="1770" w:type="dxa"/>
          </w:tcPr>
          <w:p w14:paraId="55C2068D"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 xml:space="preserve">66.07 ± 15.99 </w:t>
            </w:r>
          </w:p>
        </w:tc>
        <w:tc>
          <w:tcPr>
            <w:tcW w:w="1567" w:type="dxa"/>
          </w:tcPr>
          <w:p w14:paraId="0F8243E4" w14:textId="77777777" w:rsidR="00AE1580" w:rsidRPr="00B72CDA" w:rsidRDefault="00AE1580" w:rsidP="002C746B">
            <w:pPr>
              <w:cnfStyle w:val="000000000000" w:firstRow="0" w:lastRow="0" w:firstColumn="0" w:lastColumn="0" w:oddVBand="0" w:evenVBand="0" w:oddHBand="0" w:evenHBand="0" w:firstRowFirstColumn="0" w:firstRowLastColumn="0" w:lastRowFirstColumn="0" w:lastRowLastColumn="0"/>
            </w:pPr>
            <w:r w:rsidRPr="00B72CDA">
              <w:t>67.28 ± 15.01</w:t>
            </w:r>
          </w:p>
        </w:tc>
      </w:tr>
    </w:tbl>
    <w:p w14:paraId="19527983" w14:textId="77777777" w:rsidR="000F04AF" w:rsidRDefault="00AE1580" w:rsidP="00326EE9">
      <w:pPr>
        <w:widowControl w:val="0"/>
        <w:autoSpaceDE w:val="0"/>
        <w:autoSpaceDN w:val="0"/>
        <w:adjustRightInd w:val="0"/>
        <w:ind w:left="1134" w:hanging="1134"/>
        <w:rPr>
          <w:rFonts w:asciiTheme="minorHAnsi" w:hAnsiTheme="minorHAnsi"/>
        </w:rPr>
      </w:pPr>
      <w:r w:rsidRPr="00326EE9">
        <w:rPr>
          <w:rFonts w:asciiTheme="minorHAnsi" w:hAnsiTheme="minorHAnsi"/>
        </w:rPr>
        <w:t xml:space="preserve">Comment: </w:t>
      </w:r>
      <w:r w:rsidRPr="00326EE9">
        <w:rPr>
          <w:rFonts w:asciiTheme="minorHAnsi" w:hAnsiTheme="minorHAnsi"/>
          <w:i/>
        </w:rPr>
        <w:t>Based on the CHR assay</w:t>
      </w:r>
      <w:r w:rsidRPr="00326EE9">
        <w:rPr>
          <w:rFonts w:asciiTheme="minorHAnsi" w:hAnsiTheme="minorHAnsi"/>
        </w:rPr>
        <w:t>, AUC and C</w:t>
      </w:r>
      <w:r w:rsidRPr="00326EE9">
        <w:rPr>
          <w:rFonts w:asciiTheme="minorHAnsi" w:hAnsiTheme="minorHAnsi"/>
          <w:vertAlign w:val="subscript"/>
        </w:rPr>
        <w:t>max</w:t>
      </w:r>
      <w:r w:rsidRPr="00326EE9">
        <w:rPr>
          <w:rFonts w:asciiTheme="minorHAnsi" w:hAnsiTheme="minorHAnsi"/>
        </w:rPr>
        <w:t xml:space="preserve"> values were slightly higher for simoctocog alfa compared with previously used FVIII concentrates, but this was reversed after standardisation of the two parameters for dose. T</w:t>
      </w:r>
      <w:r w:rsidRPr="00326EE9">
        <w:rPr>
          <w:rFonts w:asciiTheme="minorHAnsi" w:hAnsiTheme="minorHAnsi"/>
          <w:vertAlign w:val="subscript"/>
        </w:rPr>
        <w:t>1/2</w:t>
      </w:r>
      <w:r w:rsidRPr="00326EE9">
        <w:rPr>
          <w:rFonts w:asciiTheme="minorHAnsi" w:hAnsiTheme="minorHAnsi"/>
        </w:rPr>
        <w:t>, MRT and IVR were all slightly lower for simoctocog alfa compared with previously used FVIII concentrates, while CL was slightly higher for simoctocog alfa than for previously used FVIII concentrates. T</w:t>
      </w:r>
      <w:r w:rsidRPr="00326EE9">
        <w:rPr>
          <w:rFonts w:asciiTheme="minorHAnsi" w:hAnsiTheme="minorHAnsi"/>
          <w:vertAlign w:val="subscript"/>
        </w:rPr>
        <w:t>max</w:t>
      </w:r>
      <w:r w:rsidRPr="00326EE9">
        <w:rPr>
          <w:rFonts w:asciiTheme="minorHAnsi" w:hAnsiTheme="minorHAnsi"/>
        </w:rPr>
        <w:t xml:space="preserve"> was reached within 30 minutes following in 84.6% of patients both treatments.</w:t>
      </w:r>
    </w:p>
    <w:p w14:paraId="4EE9BB31" w14:textId="77777777" w:rsidR="000F04AF" w:rsidRDefault="00AE1580" w:rsidP="00326EE9">
      <w:pPr>
        <w:widowControl w:val="0"/>
        <w:autoSpaceDE w:val="0"/>
        <w:autoSpaceDN w:val="0"/>
        <w:adjustRightInd w:val="0"/>
        <w:ind w:left="1134"/>
        <w:rPr>
          <w:rFonts w:asciiTheme="minorHAnsi" w:hAnsiTheme="minorHAnsi"/>
        </w:rPr>
      </w:pPr>
      <w:r w:rsidRPr="00326EE9">
        <w:rPr>
          <w:rFonts w:asciiTheme="minorHAnsi" w:hAnsiTheme="minorHAnsi"/>
          <w:i/>
        </w:rPr>
        <w:lastRenderedPageBreak/>
        <w:t>Based on the OS assay</w:t>
      </w:r>
      <w:r w:rsidRPr="00326EE9">
        <w:rPr>
          <w:rFonts w:asciiTheme="minorHAnsi" w:hAnsiTheme="minorHAnsi"/>
        </w:rPr>
        <w:t>, AUC and AUC</w:t>
      </w:r>
      <w:r w:rsidRPr="00326EE9">
        <w:rPr>
          <w:rFonts w:asciiTheme="minorHAnsi" w:hAnsiTheme="minorHAnsi"/>
          <w:vertAlign w:val="subscript"/>
        </w:rPr>
        <w:t>norm</w:t>
      </w:r>
      <w:r w:rsidRPr="00326EE9">
        <w:rPr>
          <w:rFonts w:asciiTheme="minorHAnsi" w:hAnsiTheme="minorHAnsi"/>
        </w:rPr>
        <w:t xml:space="preserve"> values were higher for previously used FVIII concentrates compared with simoctocog alfa. C</w:t>
      </w:r>
      <w:r w:rsidRPr="00326EE9">
        <w:rPr>
          <w:rFonts w:asciiTheme="minorHAnsi" w:hAnsiTheme="minorHAnsi"/>
          <w:vertAlign w:val="subscript"/>
        </w:rPr>
        <w:t>max</w:t>
      </w:r>
      <w:r w:rsidRPr="00326EE9">
        <w:rPr>
          <w:rFonts w:asciiTheme="minorHAnsi" w:hAnsiTheme="minorHAnsi"/>
        </w:rPr>
        <w:t xml:space="preserve"> values were higher for previously used FVIII concentrates compared with simoctocog alfa, but values for this parameter were similar for the two treatments after standardisation for dose. T</w:t>
      </w:r>
      <w:r w:rsidRPr="00326EE9">
        <w:rPr>
          <w:rFonts w:asciiTheme="minorHAnsi" w:hAnsiTheme="minorHAnsi"/>
          <w:vertAlign w:val="subscript"/>
        </w:rPr>
        <w:t>1/2</w:t>
      </w:r>
      <w:r w:rsidRPr="00326EE9">
        <w:rPr>
          <w:rFonts w:asciiTheme="minorHAnsi" w:hAnsiTheme="minorHAnsi"/>
        </w:rPr>
        <w:t>, MRT, IVR and V</w:t>
      </w:r>
      <w:r w:rsidRPr="00326EE9">
        <w:rPr>
          <w:rFonts w:asciiTheme="minorHAnsi" w:hAnsiTheme="minorHAnsi"/>
          <w:vertAlign w:val="subscript"/>
        </w:rPr>
        <w:t>ss</w:t>
      </w:r>
      <w:r w:rsidRPr="00326EE9">
        <w:rPr>
          <w:rFonts w:asciiTheme="minorHAnsi" w:hAnsiTheme="minorHAnsi"/>
        </w:rPr>
        <w:t xml:space="preserve"> were all slightly lower and CL was higher for simoctocog alfa than for previously used FVIII concentrates. T</w:t>
      </w:r>
      <w:r w:rsidRPr="00326EE9">
        <w:rPr>
          <w:rFonts w:asciiTheme="minorHAnsi" w:hAnsiTheme="minorHAnsi"/>
          <w:vertAlign w:val="subscript"/>
        </w:rPr>
        <w:t>max</w:t>
      </w:r>
      <w:r w:rsidRPr="00326EE9">
        <w:rPr>
          <w:rFonts w:asciiTheme="minorHAnsi" w:hAnsiTheme="minorHAnsi"/>
        </w:rPr>
        <w:t xml:space="preserve"> was reached within 30 minutes in 84.6% of patients following previously used FVIII concentrates compared with 92.3% of patients following simoctocog alfa.</w:t>
      </w:r>
    </w:p>
    <w:p w14:paraId="7B063D3A" w14:textId="769CBEB9" w:rsidR="000F04AF" w:rsidRPr="002C746B" w:rsidRDefault="00AE1580" w:rsidP="00EA445D">
      <w:pPr>
        <w:pStyle w:val="Numberbullet2"/>
      </w:pPr>
      <w:r w:rsidRPr="002C746B">
        <w:t>m.</w:t>
      </w:r>
      <w:r w:rsidRPr="002C746B">
        <w:tab/>
        <w:t>In vivo recovery (IVR) results for simoct</w:t>
      </w:r>
      <w:r w:rsidR="002C746B">
        <w:t>ocog alfa over time - CHR assay</w:t>
      </w:r>
    </w:p>
    <w:p w14:paraId="62106B73" w14:textId="77777777" w:rsidR="000F04AF" w:rsidRDefault="00AE1580" w:rsidP="00AE1580">
      <w:pPr>
        <w:widowControl w:val="0"/>
        <w:autoSpaceDE w:val="0"/>
        <w:autoSpaceDN w:val="0"/>
        <w:adjustRightInd w:val="0"/>
      </w:pPr>
      <w:r>
        <w:t xml:space="preserve">Mean </w:t>
      </w:r>
      <w:r w:rsidRPr="00387A79">
        <w:t xml:space="preserve">IVRs according to the CHR assay for all patients </w:t>
      </w:r>
      <w:r>
        <w:t>continuing onto or beginning prophylactic treatment (Phase II) in the ITT population are summarised below in Table 1</w:t>
      </w:r>
      <w:r w:rsidR="006F09EA">
        <w:t>0</w:t>
      </w:r>
      <w:r>
        <w:t xml:space="preserve">. </w:t>
      </w:r>
      <w:r w:rsidRPr="00387A79">
        <w:t xml:space="preserve">Doses administered for IVR analyses in the ITT population according to the CHR assay were 53.1±1.5 IU/kg at the start of Phase I, 52.7±2.9 IU/kg at the start of Phase II, 52.2±4.3 IU/kg at 3 months and 51.6±3.1 IU/kg at 6 months. In the PK-PP </w:t>
      </w:r>
      <w:r>
        <w:t xml:space="preserve">analysis </w:t>
      </w:r>
      <w:r w:rsidRPr="00387A79">
        <w:t xml:space="preserve">population, according to the CHR assay, the </w:t>
      </w:r>
      <w:r>
        <w:t>mean</w:t>
      </w:r>
      <w:r w:rsidRPr="00387A79">
        <w:t>±</w:t>
      </w:r>
      <w:r>
        <w:t xml:space="preserve">SD </w:t>
      </w:r>
      <w:r w:rsidRPr="00387A79">
        <w:t xml:space="preserve">administered doses were 53.1±1.5 IU/kg at study start, 52.2±3.9 IU/kg at 3 months </w:t>
      </w:r>
      <w:r>
        <w:t>and 51.6±2.5 IU/kg at 6 months.</w:t>
      </w:r>
    </w:p>
    <w:p w14:paraId="253AC21B" w14:textId="3967E6DC" w:rsidR="00AE1580" w:rsidRPr="00387A79" w:rsidRDefault="00AE1580" w:rsidP="00421F60">
      <w:pPr>
        <w:pStyle w:val="Tabletitle"/>
        <w:rPr>
          <w:sz w:val="21"/>
          <w:szCs w:val="21"/>
        </w:rPr>
      </w:pPr>
      <w:bookmarkStart w:id="39" w:name="_Toc248202529"/>
      <w:r>
        <w:t xml:space="preserve">Table </w:t>
      </w:r>
      <w:r w:rsidR="006F09EA">
        <w:t>10</w:t>
      </w:r>
      <w:r>
        <w:t>: GENA-03 - IVR values (%/IU/kg) for simoctocog alfa (CHR assay) over time; ITT population</w:t>
      </w:r>
      <w:bookmarkEnd w:id="39"/>
      <w:r>
        <w:t xml:space="preserve"> </w:t>
      </w:r>
    </w:p>
    <w:tbl>
      <w:tblPr>
        <w:tblStyle w:val="TableTGAblue"/>
        <w:tblW w:w="0" w:type="auto"/>
        <w:tblLook w:val="04A0" w:firstRow="1" w:lastRow="0" w:firstColumn="1" w:lastColumn="0" w:noHBand="0" w:noVBand="1"/>
      </w:tblPr>
      <w:tblGrid>
        <w:gridCol w:w="1366"/>
        <w:gridCol w:w="1321"/>
        <w:gridCol w:w="962"/>
        <w:gridCol w:w="1388"/>
        <w:gridCol w:w="1384"/>
        <w:gridCol w:w="1419"/>
        <w:gridCol w:w="1402"/>
      </w:tblGrid>
      <w:tr w:rsidR="00AE1580" w:rsidRPr="00393CEC" w14:paraId="5090DCF0" w14:textId="77777777" w:rsidTr="002C746B">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384" w:type="dxa"/>
          </w:tcPr>
          <w:p w14:paraId="5A354E30" w14:textId="77777777" w:rsidR="00AE1580" w:rsidRPr="00393CEC" w:rsidRDefault="00AE1580" w:rsidP="002C746B">
            <w:r w:rsidRPr="00393CEC">
              <w:t>Time-point</w:t>
            </w:r>
          </w:p>
        </w:tc>
        <w:tc>
          <w:tcPr>
            <w:tcW w:w="1134" w:type="dxa"/>
          </w:tcPr>
          <w:p w14:paraId="4A05731C"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Group</w:t>
            </w:r>
          </w:p>
        </w:tc>
        <w:tc>
          <w:tcPr>
            <w:tcW w:w="992" w:type="dxa"/>
          </w:tcPr>
          <w:p w14:paraId="4E1DD3AF"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n</w:t>
            </w:r>
          </w:p>
        </w:tc>
        <w:tc>
          <w:tcPr>
            <w:tcW w:w="1440" w:type="dxa"/>
          </w:tcPr>
          <w:p w14:paraId="694ECA98"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 xml:space="preserve">Mean </w:t>
            </w:r>
          </w:p>
        </w:tc>
        <w:tc>
          <w:tcPr>
            <w:tcW w:w="1440" w:type="dxa"/>
          </w:tcPr>
          <w:p w14:paraId="0EBF2A40"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 xml:space="preserve">SD </w:t>
            </w:r>
          </w:p>
        </w:tc>
        <w:tc>
          <w:tcPr>
            <w:tcW w:w="1440" w:type="dxa"/>
          </w:tcPr>
          <w:p w14:paraId="56C4847C"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 xml:space="preserve">Median </w:t>
            </w:r>
          </w:p>
        </w:tc>
        <w:tc>
          <w:tcPr>
            <w:tcW w:w="1440" w:type="dxa"/>
          </w:tcPr>
          <w:p w14:paraId="4C1B5B78" w14:textId="77777777" w:rsidR="00AE1580" w:rsidRPr="00393CEC" w:rsidRDefault="00AE1580" w:rsidP="002C746B">
            <w:pPr>
              <w:cnfStyle w:val="100000000000" w:firstRow="1" w:lastRow="0" w:firstColumn="0" w:lastColumn="0" w:oddVBand="0" w:evenVBand="0" w:oddHBand="0" w:evenHBand="0" w:firstRowFirstColumn="0" w:firstRowLastColumn="0" w:lastRowFirstColumn="0" w:lastRowLastColumn="0"/>
            </w:pPr>
            <w:r w:rsidRPr="00393CEC">
              <w:t xml:space="preserve">Range </w:t>
            </w:r>
          </w:p>
        </w:tc>
      </w:tr>
      <w:tr w:rsidR="00AE1580" w:rsidRPr="00393CEC" w14:paraId="31355274"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6078D4ED" w14:textId="77777777" w:rsidR="00AE1580" w:rsidRPr="00393CEC" w:rsidRDefault="00AE1580" w:rsidP="002C746B">
            <w:r w:rsidRPr="00393CEC">
              <w:t>Start Phase I *</w:t>
            </w:r>
          </w:p>
        </w:tc>
        <w:tc>
          <w:tcPr>
            <w:tcW w:w="1134" w:type="dxa"/>
          </w:tcPr>
          <w:p w14:paraId="168D7DF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All patients</w:t>
            </w:r>
          </w:p>
        </w:tc>
        <w:tc>
          <w:tcPr>
            <w:tcW w:w="992" w:type="dxa"/>
          </w:tcPr>
          <w:p w14:paraId="4D26157E"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26 </w:t>
            </w:r>
            <w:r w:rsidRPr="00393CEC">
              <w:rPr>
                <w:vertAlign w:val="superscript"/>
              </w:rPr>
              <w:t>a</w:t>
            </w:r>
            <w:r w:rsidRPr="00393CEC">
              <w:t xml:space="preserve"> </w:t>
            </w:r>
          </w:p>
        </w:tc>
        <w:tc>
          <w:tcPr>
            <w:tcW w:w="1440" w:type="dxa"/>
          </w:tcPr>
          <w:p w14:paraId="4913556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1.834 </w:t>
            </w:r>
          </w:p>
        </w:tc>
        <w:tc>
          <w:tcPr>
            <w:tcW w:w="1440" w:type="dxa"/>
          </w:tcPr>
          <w:p w14:paraId="05C0D120"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0.409</w:t>
            </w:r>
          </w:p>
        </w:tc>
        <w:tc>
          <w:tcPr>
            <w:tcW w:w="1440" w:type="dxa"/>
          </w:tcPr>
          <w:p w14:paraId="512377A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1.845</w:t>
            </w:r>
          </w:p>
        </w:tc>
        <w:tc>
          <w:tcPr>
            <w:tcW w:w="1440" w:type="dxa"/>
          </w:tcPr>
          <w:p w14:paraId="58B19F33"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0.771–2.632</w:t>
            </w:r>
          </w:p>
        </w:tc>
      </w:tr>
      <w:tr w:rsidR="00AE1580" w:rsidRPr="00393CEC" w14:paraId="1E1ADA73"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65A8E755" w14:textId="77777777" w:rsidR="00AE1580" w:rsidRPr="00393CEC" w:rsidRDefault="00AE1580" w:rsidP="002C746B"/>
        </w:tc>
        <w:tc>
          <w:tcPr>
            <w:tcW w:w="1134" w:type="dxa"/>
          </w:tcPr>
          <w:p w14:paraId="1BBF94C1"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2-5</w:t>
            </w:r>
          </w:p>
        </w:tc>
        <w:tc>
          <w:tcPr>
            <w:tcW w:w="992" w:type="dxa"/>
          </w:tcPr>
          <w:p w14:paraId="1FBA60A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13</w:t>
            </w:r>
          </w:p>
        </w:tc>
        <w:tc>
          <w:tcPr>
            <w:tcW w:w="1440" w:type="dxa"/>
          </w:tcPr>
          <w:p w14:paraId="4C1B4E9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1.871 </w:t>
            </w:r>
          </w:p>
        </w:tc>
        <w:tc>
          <w:tcPr>
            <w:tcW w:w="1440" w:type="dxa"/>
          </w:tcPr>
          <w:p w14:paraId="4EA217B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0.270</w:t>
            </w:r>
          </w:p>
        </w:tc>
        <w:tc>
          <w:tcPr>
            <w:tcW w:w="1440" w:type="dxa"/>
          </w:tcPr>
          <w:p w14:paraId="3B73EDA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1.822</w:t>
            </w:r>
          </w:p>
        </w:tc>
        <w:tc>
          <w:tcPr>
            <w:tcW w:w="1440" w:type="dxa"/>
          </w:tcPr>
          <w:p w14:paraId="69708E95"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1.530–2.426</w:t>
            </w:r>
          </w:p>
        </w:tc>
      </w:tr>
      <w:tr w:rsidR="00AE1580" w:rsidRPr="00393CEC" w14:paraId="04DB6287"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073B2BF9" w14:textId="77777777" w:rsidR="00AE1580" w:rsidRPr="00393CEC" w:rsidRDefault="00AE1580" w:rsidP="002C746B"/>
        </w:tc>
        <w:tc>
          <w:tcPr>
            <w:tcW w:w="1134" w:type="dxa"/>
          </w:tcPr>
          <w:p w14:paraId="041299C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6-12</w:t>
            </w:r>
          </w:p>
        </w:tc>
        <w:tc>
          <w:tcPr>
            <w:tcW w:w="992" w:type="dxa"/>
          </w:tcPr>
          <w:p w14:paraId="58A2CC4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13 </w:t>
            </w:r>
            <w:r w:rsidRPr="00393CEC">
              <w:rPr>
                <w:vertAlign w:val="superscript"/>
              </w:rPr>
              <w:t>a</w:t>
            </w:r>
          </w:p>
        </w:tc>
        <w:tc>
          <w:tcPr>
            <w:tcW w:w="1440" w:type="dxa"/>
          </w:tcPr>
          <w:p w14:paraId="788376D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1.796 </w:t>
            </w:r>
          </w:p>
        </w:tc>
        <w:tc>
          <w:tcPr>
            <w:tcW w:w="1440" w:type="dxa"/>
          </w:tcPr>
          <w:p w14:paraId="6673E987"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0.521</w:t>
            </w:r>
          </w:p>
        </w:tc>
        <w:tc>
          <w:tcPr>
            <w:tcW w:w="1440" w:type="dxa"/>
          </w:tcPr>
          <w:p w14:paraId="07D2D9F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1.916</w:t>
            </w:r>
          </w:p>
        </w:tc>
        <w:tc>
          <w:tcPr>
            <w:tcW w:w="1440" w:type="dxa"/>
          </w:tcPr>
          <w:p w14:paraId="3F002D6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0.771–2.632</w:t>
            </w:r>
          </w:p>
        </w:tc>
      </w:tr>
      <w:tr w:rsidR="00AE1580" w:rsidRPr="00393CEC" w14:paraId="56F22011"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6F5F83CC" w14:textId="77777777" w:rsidR="00AE1580" w:rsidRPr="00393CEC" w:rsidRDefault="00AE1580" w:rsidP="002C746B">
            <w:r w:rsidRPr="00393CEC">
              <w:t>Start Phase II *</w:t>
            </w:r>
          </w:p>
        </w:tc>
        <w:tc>
          <w:tcPr>
            <w:tcW w:w="1134" w:type="dxa"/>
          </w:tcPr>
          <w:p w14:paraId="3E501023"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All patients</w:t>
            </w:r>
          </w:p>
        </w:tc>
        <w:tc>
          <w:tcPr>
            <w:tcW w:w="992" w:type="dxa"/>
          </w:tcPr>
          <w:p w14:paraId="2087DF4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30 </w:t>
            </w:r>
            <w:r w:rsidRPr="00393CEC">
              <w:rPr>
                <w:vertAlign w:val="superscript"/>
              </w:rPr>
              <w:t>b</w:t>
            </w:r>
          </w:p>
        </w:tc>
        <w:tc>
          <w:tcPr>
            <w:tcW w:w="1440" w:type="dxa"/>
          </w:tcPr>
          <w:p w14:paraId="178CF14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1.568 </w:t>
            </w:r>
          </w:p>
        </w:tc>
        <w:tc>
          <w:tcPr>
            <w:tcW w:w="1440" w:type="dxa"/>
          </w:tcPr>
          <w:p w14:paraId="1511AFE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0.509</w:t>
            </w:r>
          </w:p>
        </w:tc>
        <w:tc>
          <w:tcPr>
            <w:tcW w:w="1440" w:type="dxa"/>
          </w:tcPr>
          <w:p w14:paraId="6296DD3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1.586</w:t>
            </w:r>
          </w:p>
        </w:tc>
        <w:tc>
          <w:tcPr>
            <w:tcW w:w="1440" w:type="dxa"/>
          </w:tcPr>
          <w:p w14:paraId="50B1FADF"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0.496–2.539</w:t>
            </w:r>
          </w:p>
        </w:tc>
      </w:tr>
      <w:tr w:rsidR="00AE1580" w:rsidRPr="00393CEC" w14:paraId="6BFF7CA8"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21C50AF6" w14:textId="77777777" w:rsidR="00AE1580" w:rsidRPr="00393CEC" w:rsidRDefault="00AE1580" w:rsidP="002C746B"/>
        </w:tc>
        <w:tc>
          <w:tcPr>
            <w:tcW w:w="1134" w:type="dxa"/>
          </w:tcPr>
          <w:p w14:paraId="1F425097"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2-5</w:t>
            </w:r>
          </w:p>
        </w:tc>
        <w:tc>
          <w:tcPr>
            <w:tcW w:w="992" w:type="dxa"/>
          </w:tcPr>
          <w:p w14:paraId="4E1A86C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14 </w:t>
            </w:r>
            <w:r w:rsidRPr="00393CEC">
              <w:rPr>
                <w:vertAlign w:val="superscript"/>
              </w:rPr>
              <w:t>b</w:t>
            </w:r>
          </w:p>
        </w:tc>
        <w:tc>
          <w:tcPr>
            <w:tcW w:w="1440" w:type="dxa"/>
          </w:tcPr>
          <w:p w14:paraId="6AB2270F"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1.446 </w:t>
            </w:r>
          </w:p>
        </w:tc>
        <w:tc>
          <w:tcPr>
            <w:tcW w:w="1440" w:type="dxa"/>
          </w:tcPr>
          <w:p w14:paraId="4F915A51"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0.457</w:t>
            </w:r>
          </w:p>
        </w:tc>
        <w:tc>
          <w:tcPr>
            <w:tcW w:w="1440" w:type="dxa"/>
          </w:tcPr>
          <w:p w14:paraId="1642B689"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1.563</w:t>
            </w:r>
          </w:p>
        </w:tc>
        <w:tc>
          <w:tcPr>
            <w:tcW w:w="1440" w:type="dxa"/>
          </w:tcPr>
          <w:p w14:paraId="186168D5"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0.496–2.011</w:t>
            </w:r>
          </w:p>
        </w:tc>
      </w:tr>
      <w:tr w:rsidR="00AE1580" w:rsidRPr="00393CEC" w14:paraId="4C44337A"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435E2B99" w14:textId="77777777" w:rsidR="00AE1580" w:rsidRPr="00393CEC" w:rsidRDefault="00AE1580" w:rsidP="002C746B"/>
        </w:tc>
        <w:tc>
          <w:tcPr>
            <w:tcW w:w="1134" w:type="dxa"/>
          </w:tcPr>
          <w:p w14:paraId="0EBB5C1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6-12</w:t>
            </w:r>
          </w:p>
        </w:tc>
        <w:tc>
          <w:tcPr>
            <w:tcW w:w="992" w:type="dxa"/>
          </w:tcPr>
          <w:p w14:paraId="44C860C1"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16</w:t>
            </w:r>
          </w:p>
        </w:tc>
        <w:tc>
          <w:tcPr>
            <w:tcW w:w="1440" w:type="dxa"/>
          </w:tcPr>
          <w:p w14:paraId="56349EC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1.676 </w:t>
            </w:r>
          </w:p>
        </w:tc>
        <w:tc>
          <w:tcPr>
            <w:tcW w:w="1440" w:type="dxa"/>
          </w:tcPr>
          <w:p w14:paraId="3BBB5FBA"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0.542</w:t>
            </w:r>
          </w:p>
        </w:tc>
        <w:tc>
          <w:tcPr>
            <w:tcW w:w="1440" w:type="dxa"/>
          </w:tcPr>
          <w:p w14:paraId="1E5447F3"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1.602</w:t>
            </w:r>
          </w:p>
        </w:tc>
        <w:tc>
          <w:tcPr>
            <w:tcW w:w="1440" w:type="dxa"/>
          </w:tcPr>
          <w:p w14:paraId="225905E7"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0.808–2.539</w:t>
            </w:r>
          </w:p>
        </w:tc>
      </w:tr>
      <w:tr w:rsidR="00AE1580" w:rsidRPr="00393CEC" w14:paraId="0D2F4A93"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6F77B0E0" w14:textId="77777777" w:rsidR="00AE1580" w:rsidRPr="00393CEC" w:rsidRDefault="00AE1580" w:rsidP="002C746B">
            <w:r w:rsidRPr="00393CEC">
              <w:t>3 Months</w:t>
            </w:r>
          </w:p>
        </w:tc>
        <w:tc>
          <w:tcPr>
            <w:tcW w:w="1134" w:type="dxa"/>
          </w:tcPr>
          <w:p w14:paraId="5DC96E3F"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All patients</w:t>
            </w:r>
          </w:p>
        </w:tc>
        <w:tc>
          <w:tcPr>
            <w:tcW w:w="992" w:type="dxa"/>
          </w:tcPr>
          <w:p w14:paraId="13973DE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55 </w:t>
            </w:r>
            <w:r w:rsidRPr="00393CEC">
              <w:rPr>
                <w:vertAlign w:val="superscript"/>
              </w:rPr>
              <w:t>d</w:t>
            </w:r>
          </w:p>
        </w:tc>
        <w:tc>
          <w:tcPr>
            <w:tcW w:w="1440" w:type="dxa"/>
          </w:tcPr>
          <w:p w14:paraId="2C2DB628"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1.698 </w:t>
            </w:r>
          </w:p>
        </w:tc>
        <w:tc>
          <w:tcPr>
            <w:tcW w:w="1440" w:type="dxa"/>
          </w:tcPr>
          <w:p w14:paraId="70B1F911"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0.402</w:t>
            </w:r>
          </w:p>
        </w:tc>
        <w:tc>
          <w:tcPr>
            <w:tcW w:w="1440" w:type="dxa"/>
          </w:tcPr>
          <w:p w14:paraId="76ACE78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1.682</w:t>
            </w:r>
          </w:p>
        </w:tc>
        <w:tc>
          <w:tcPr>
            <w:tcW w:w="1440" w:type="dxa"/>
          </w:tcPr>
          <w:p w14:paraId="623B04A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0.880–2.811</w:t>
            </w:r>
          </w:p>
        </w:tc>
      </w:tr>
      <w:tr w:rsidR="00AE1580" w:rsidRPr="00393CEC" w14:paraId="76617A40"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6A4CA831" w14:textId="77777777" w:rsidR="00AE1580" w:rsidRPr="00393CEC" w:rsidRDefault="00AE1580" w:rsidP="002C746B"/>
        </w:tc>
        <w:tc>
          <w:tcPr>
            <w:tcW w:w="1134" w:type="dxa"/>
          </w:tcPr>
          <w:p w14:paraId="19DD41E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2-5</w:t>
            </w:r>
          </w:p>
        </w:tc>
        <w:tc>
          <w:tcPr>
            <w:tcW w:w="992" w:type="dxa"/>
          </w:tcPr>
          <w:p w14:paraId="58354C0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28</w:t>
            </w:r>
          </w:p>
        </w:tc>
        <w:tc>
          <w:tcPr>
            <w:tcW w:w="1440" w:type="dxa"/>
          </w:tcPr>
          <w:p w14:paraId="0FB2629E"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1.549 </w:t>
            </w:r>
          </w:p>
        </w:tc>
        <w:tc>
          <w:tcPr>
            <w:tcW w:w="1440" w:type="dxa"/>
          </w:tcPr>
          <w:p w14:paraId="497DF21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0.330</w:t>
            </w:r>
          </w:p>
        </w:tc>
        <w:tc>
          <w:tcPr>
            <w:tcW w:w="1440" w:type="dxa"/>
          </w:tcPr>
          <w:p w14:paraId="7FBDE42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1.604</w:t>
            </w:r>
          </w:p>
        </w:tc>
        <w:tc>
          <w:tcPr>
            <w:tcW w:w="1440" w:type="dxa"/>
          </w:tcPr>
          <w:p w14:paraId="32E7818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0.880–2.120</w:t>
            </w:r>
          </w:p>
        </w:tc>
      </w:tr>
      <w:tr w:rsidR="00AE1580" w:rsidRPr="00393CEC" w14:paraId="4D46CBEA"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149BD167" w14:textId="77777777" w:rsidR="00AE1580" w:rsidRPr="00393CEC" w:rsidRDefault="00AE1580" w:rsidP="002C746B"/>
        </w:tc>
        <w:tc>
          <w:tcPr>
            <w:tcW w:w="1134" w:type="dxa"/>
          </w:tcPr>
          <w:p w14:paraId="38BD227A"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6-12</w:t>
            </w:r>
          </w:p>
        </w:tc>
        <w:tc>
          <w:tcPr>
            <w:tcW w:w="992" w:type="dxa"/>
          </w:tcPr>
          <w:p w14:paraId="4AE075CA"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27 </w:t>
            </w:r>
            <w:r w:rsidRPr="00393CEC">
              <w:rPr>
                <w:vertAlign w:val="superscript"/>
              </w:rPr>
              <w:t>c</w:t>
            </w:r>
          </w:p>
        </w:tc>
        <w:tc>
          <w:tcPr>
            <w:tcW w:w="1440" w:type="dxa"/>
          </w:tcPr>
          <w:p w14:paraId="2013AD90"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1.852 </w:t>
            </w:r>
          </w:p>
        </w:tc>
        <w:tc>
          <w:tcPr>
            <w:tcW w:w="1440" w:type="dxa"/>
          </w:tcPr>
          <w:p w14:paraId="2DF6255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0.418</w:t>
            </w:r>
          </w:p>
        </w:tc>
        <w:tc>
          <w:tcPr>
            <w:tcW w:w="1440" w:type="dxa"/>
          </w:tcPr>
          <w:p w14:paraId="57040F2A"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1.805</w:t>
            </w:r>
          </w:p>
        </w:tc>
        <w:tc>
          <w:tcPr>
            <w:tcW w:w="1440" w:type="dxa"/>
          </w:tcPr>
          <w:p w14:paraId="51C6A8CE"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1.068–2.811</w:t>
            </w:r>
          </w:p>
        </w:tc>
      </w:tr>
      <w:tr w:rsidR="00AE1580" w:rsidRPr="00393CEC" w14:paraId="003D8DD8"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3009AB1F" w14:textId="77777777" w:rsidR="00AE1580" w:rsidRPr="00393CEC" w:rsidRDefault="00AE1580" w:rsidP="002C746B">
            <w:r w:rsidRPr="00393CEC">
              <w:lastRenderedPageBreak/>
              <w:t xml:space="preserve">6 months </w:t>
            </w:r>
          </w:p>
        </w:tc>
        <w:tc>
          <w:tcPr>
            <w:tcW w:w="1134" w:type="dxa"/>
          </w:tcPr>
          <w:p w14:paraId="7DF6994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All patients</w:t>
            </w:r>
          </w:p>
        </w:tc>
        <w:tc>
          <w:tcPr>
            <w:tcW w:w="992" w:type="dxa"/>
          </w:tcPr>
          <w:p w14:paraId="7864256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53 </w:t>
            </w:r>
            <w:r w:rsidRPr="00393CEC">
              <w:rPr>
                <w:vertAlign w:val="superscript"/>
              </w:rPr>
              <w:t>e</w:t>
            </w:r>
          </w:p>
        </w:tc>
        <w:tc>
          <w:tcPr>
            <w:tcW w:w="1440" w:type="dxa"/>
          </w:tcPr>
          <w:p w14:paraId="34FB6870"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1.765 </w:t>
            </w:r>
          </w:p>
        </w:tc>
        <w:tc>
          <w:tcPr>
            <w:tcW w:w="1440" w:type="dxa"/>
          </w:tcPr>
          <w:p w14:paraId="2BE254F3"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0.464</w:t>
            </w:r>
          </w:p>
        </w:tc>
        <w:tc>
          <w:tcPr>
            <w:tcW w:w="1440" w:type="dxa"/>
          </w:tcPr>
          <w:p w14:paraId="24E1B3F6"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1.760</w:t>
            </w:r>
          </w:p>
        </w:tc>
        <w:tc>
          <w:tcPr>
            <w:tcW w:w="1440" w:type="dxa"/>
          </w:tcPr>
          <w:p w14:paraId="01C1BB5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0.611–3.398</w:t>
            </w:r>
          </w:p>
        </w:tc>
      </w:tr>
      <w:tr w:rsidR="00AE1580" w:rsidRPr="00393CEC" w14:paraId="32ECC622"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54774DA5" w14:textId="77777777" w:rsidR="00AE1580" w:rsidRPr="00393CEC" w:rsidRDefault="00AE1580" w:rsidP="002C746B"/>
        </w:tc>
        <w:tc>
          <w:tcPr>
            <w:tcW w:w="1134" w:type="dxa"/>
          </w:tcPr>
          <w:p w14:paraId="7FEA89ED"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2-5</w:t>
            </w:r>
          </w:p>
        </w:tc>
        <w:tc>
          <w:tcPr>
            <w:tcW w:w="992" w:type="dxa"/>
          </w:tcPr>
          <w:p w14:paraId="63BA349E"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26 </w:t>
            </w:r>
            <w:r w:rsidRPr="00393CEC">
              <w:rPr>
                <w:vertAlign w:val="superscript"/>
              </w:rPr>
              <w:t>c</w:t>
            </w:r>
          </w:p>
        </w:tc>
        <w:tc>
          <w:tcPr>
            <w:tcW w:w="1440" w:type="dxa"/>
          </w:tcPr>
          <w:p w14:paraId="79818469"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1.672 </w:t>
            </w:r>
          </w:p>
        </w:tc>
        <w:tc>
          <w:tcPr>
            <w:tcW w:w="1440" w:type="dxa"/>
          </w:tcPr>
          <w:p w14:paraId="78C1A960"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0.396</w:t>
            </w:r>
          </w:p>
        </w:tc>
        <w:tc>
          <w:tcPr>
            <w:tcW w:w="1440" w:type="dxa"/>
          </w:tcPr>
          <w:p w14:paraId="388BC42F"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1.709</w:t>
            </w:r>
          </w:p>
        </w:tc>
        <w:tc>
          <w:tcPr>
            <w:tcW w:w="1440" w:type="dxa"/>
          </w:tcPr>
          <w:p w14:paraId="64F1FFBC"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0.611–2.535</w:t>
            </w:r>
          </w:p>
        </w:tc>
      </w:tr>
      <w:tr w:rsidR="00AE1580" w:rsidRPr="00393CEC" w14:paraId="70777915" w14:textId="77777777" w:rsidTr="00421F60">
        <w:tc>
          <w:tcPr>
            <w:cnfStyle w:val="001000000000" w:firstRow="0" w:lastRow="0" w:firstColumn="1" w:lastColumn="0" w:oddVBand="0" w:evenVBand="0" w:oddHBand="0" w:evenHBand="0" w:firstRowFirstColumn="0" w:firstRowLastColumn="0" w:lastRowFirstColumn="0" w:lastRowLastColumn="0"/>
            <w:tcW w:w="1384" w:type="dxa"/>
          </w:tcPr>
          <w:p w14:paraId="4079E356" w14:textId="77777777" w:rsidR="00AE1580" w:rsidRPr="00393CEC" w:rsidRDefault="00AE1580" w:rsidP="002C746B"/>
        </w:tc>
        <w:tc>
          <w:tcPr>
            <w:tcW w:w="1134" w:type="dxa"/>
          </w:tcPr>
          <w:p w14:paraId="1F13440B"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Aged 6-12</w:t>
            </w:r>
          </w:p>
        </w:tc>
        <w:tc>
          <w:tcPr>
            <w:tcW w:w="992" w:type="dxa"/>
          </w:tcPr>
          <w:p w14:paraId="41261FC1"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27 </w:t>
            </w:r>
            <w:r w:rsidRPr="00393CEC">
              <w:rPr>
                <w:vertAlign w:val="superscript"/>
              </w:rPr>
              <w:t>c</w:t>
            </w:r>
          </w:p>
        </w:tc>
        <w:tc>
          <w:tcPr>
            <w:tcW w:w="1440" w:type="dxa"/>
          </w:tcPr>
          <w:p w14:paraId="6E9D0D12"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 xml:space="preserve">1.854 </w:t>
            </w:r>
          </w:p>
        </w:tc>
        <w:tc>
          <w:tcPr>
            <w:tcW w:w="1440" w:type="dxa"/>
          </w:tcPr>
          <w:p w14:paraId="1A0B633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0.512</w:t>
            </w:r>
          </w:p>
        </w:tc>
        <w:tc>
          <w:tcPr>
            <w:tcW w:w="1440" w:type="dxa"/>
          </w:tcPr>
          <w:p w14:paraId="41E97883"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1.826</w:t>
            </w:r>
          </w:p>
        </w:tc>
        <w:tc>
          <w:tcPr>
            <w:tcW w:w="1440" w:type="dxa"/>
          </w:tcPr>
          <w:p w14:paraId="34C12364" w14:textId="77777777" w:rsidR="00AE1580" w:rsidRPr="00393CEC" w:rsidRDefault="00AE1580" w:rsidP="002C746B">
            <w:pPr>
              <w:cnfStyle w:val="000000000000" w:firstRow="0" w:lastRow="0" w:firstColumn="0" w:lastColumn="0" w:oddVBand="0" w:evenVBand="0" w:oddHBand="0" w:evenHBand="0" w:firstRowFirstColumn="0" w:firstRowLastColumn="0" w:lastRowFirstColumn="0" w:lastRowLastColumn="0"/>
            </w:pPr>
            <w:r w:rsidRPr="00393CEC">
              <w:t>1.149–3.398</w:t>
            </w:r>
          </w:p>
        </w:tc>
      </w:tr>
    </w:tbl>
    <w:p w14:paraId="326D1EF4" w14:textId="77777777" w:rsidR="00AE1580" w:rsidRPr="00387A79" w:rsidRDefault="00AE1580" w:rsidP="002C746B">
      <w:pPr>
        <w:pStyle w:val="TableDescription"/>
      </w:pPr>
      <w:r w:rsidRPr="00387A79">
        <w:t xml:space="preserve">Note: </w:t>
      </w:r>
      <w:r w:rsidRPr="00387A79">
        <w:rPr>
          <w:vertAlign w:val="superscript"/>
        </w:rPr>
        <w:t>a</w:t>
      </w:r>
      <w:r w:rsidRPr="00387A79">
        <w:t xml:space="preserve"> = data not available for 1 patient;</w:t>
      </w:r>
      <w:r w:rsidRPr="00387A79">
        <w:rPr>
          <w:vertAlign w:val="superscript"/>
        </w:rPr>
        <w:t xml:space="preserve"> b</w:t>
      </w:r>
      <w:r w:rsidRPr="00387A79">
        <w:t xml:space="preserve"> = data </w:t>
      </w:r>
      <w:r>
        <w:t>not</w:t>
      </w:r>
      <w:r w:rsidRPr="00387A79">
        <w:t xml:space="preserve"> available for 2 patients; </w:t>
      </w:r>
      <w:r w:rsidRPr="00387A79">
        <w:rPr>
          <w:vertAlign w:val="superscript"/>
        </w:rPr>
        <w:t>c</w:t>
      </w:r>
      <w:r w:rsidRPr="00387A79">
        <w:t xml:space="preserve"> = data not available for 3 patients; </w:t>
      </w:r>
      <w:r w:rsidRPr="00387A79">
        <w:rPr>
          <w:vertAlign w:val="superscript"/>
        </w:rPr>
        <w:t>d</w:t>
      </w:r>
      <w:r w:rsidRPr="00387A79">
        <w:t xml:space="preserve"> = data not available for 4 patients; </w:t>
      </w:r>
      <w:r w:rsidRPr="00387A79">
        <w:rPr>
          <w:vertAlign w:val="superscript"/>
        </w:rPr>
        <w:t>e</w:t>
      </w:r>
      <w:r w:rsidRPr="00387A79">
        <w:t xml:space="preserve"> = data not available for 6 patients; data were not available for 2 patients (6–12 years) at 3 and 6 months due to premature withdrawal from the study; other missing IVR values were not evaluable. * = Phase I includes all patients who underwent PK analysis in Cycles 1 and 2; Phase II specifies recovery at start of open treatment phase and therefore </w:t>
      </w:r>
      <w:r>
        <w:t xml:space="preserve">includes </w:t>
      </w:r>
      <w:r w:rsidRPr="00387A79">
        <w:t>only patients who did not undergo PK analysis.</w:t>
      </w:r>
    </w:p>
    <w:p w14:paraId="1F494817" w14:textId="565C08F2" w:rsidR="00AE1580" w:rsidRPr="00FA7210" w:rsidRDefault="00AE1580" w:rsidP="00FA7210">
      <w:pPr>
        <w:widowControl w:val="0"/>
        <w:autoSpaceDE w:val="0"/>
        <w:autoSpaceDN w:val="0"/>
        <w:adjustRightInd w:val="0"/>
        <w:ind w:left="1134" w:hanging="1134"/>
        <w:rPr>
          <w:rFonts w:asciiTheme="minorHAnsi" w:eastAsia="Times New Roman" w:hAnsiTheme="minorHAnsi"/>
          <w:lang w:eastAsia="en-AU"/>
        </w:rPr>
      </w:pPr>
      <w:r w:rsidRPr="00FA7210">
        <w:rPr>
          <w:rFonts w:asciiTheme="minorHAnsi" w:eastAsia="Times New Roman" w:hAnsiTheme="minorHAnsi"/>
          <w:lang w:eastAsia="en-AU"/>
        </w:rPr>
        <w:t>Comment:</w:t>
      </w:r>
      <w:r w:rsidRPr="00FA7210">
        <w:rPr>
          <w:rFonts w:asciiTheme="minorHAnsi" w:eastAsia="Times New Roman" w:hAnsiTheme="minorHAnsi"/>
          <w:lang w:eastAsia="en-AU"/>
        </w:rPr>
        <w:tab/>
        <w:t>In patients aged 2-12 years (ITT population), based on the CHR assay mean IVR values over time were above 1.5% per IU/kg, and ranged from 1.568% to 1.834% per IU/kg. The mean IVR values over time (ITT population) ranged from 1.446% to 1.871% per IU/kg in patients aged 2–5 years and from 1.676% to 1.854% per IU/kg in patients aged 6–12 years. In patients aged 2-12 years (PK-PP analysis population), based on the CHR assay mean IVR values over time ranged from 1.747% to 1.876% per IU/kg. The mean IVRs over time (PK-PP analysis population) ranged from 1.631% to 1.871% per IU/kg in patients aged 2–5 years, and from 1.772% to 1.885 % per IU/kg in patients aged 6–12 years. The mean IVR values over time for the PK-PP analysis population appeared to be more consistent compared with the corresponding values for the ITT population.</w:t>
      </w:r>
    </w:p>
    <w:p w14:paraId="5FC83AEC" w14:textId="65FFFD27" w:rsidR="000F04AF" w:rsidRPr="002C746B" w:rsidRDefault="00AE1580" w:rsidP="00EA445D">
      <w:pPr>
        <w:pStyle w:val="Numberbullet2"/>
      </w:pPr>
      <w:r w:rsidRPr="002C746B">
        <w:t>n.</w:t>
      </w:r>
      <w:r w:rsidRPr="002C746B">
        <w:tab/>
        <w:t>In vivo recovery (IVR) results for simoc</w:t>
      </w:r>
      <w:r w:rsidR="002C746B">
        <w:t>tocog alfa over time - OS assay</w:t>
      </w:r>
    </w:p>
    <w:p w14:paraId="721D2F75" w14:textId="77777777" w:rsidR="000F04AF" w:rsidRDefault="00AE1580" w:rsidP="00AE1580">
      <w:pPr>
        <w:widowControl w:val="0"/>
        <w:autoSpaceDE w:val="0"/>
        <w:autoSpaceDN w:val="0"/>
        <w:adjustRightInd w:val="0"/>
      </w:pPr>
      <w:r>
        <w:t xml:space="preserve">Mean </w:t>
      </w:r>
      <w:r w:rsidRPr="00387A79">
        <w:t xml:space="preserve">IVRs according to the </w:t>
      </w:r>
      <w:r>
        <w:t>OS</w:t>
      </w:r>
      <w:r w:rsidRPr="00387A79">
        <w:t xml:space="preserve"> assay for all patients </w:t>
      </w:r>
      <w:r>
        <w:t>in the ITT population are summarised below in Table 1</w:t>
      </w:r>
      <w:r w:rsidR="006F09EA">
        <w:t>1</w:t>
      </w:r>
      <w:r>
        <w:t xml:space="preserve">. </w:t>
      </w:r>
      <w:r w:rsidRPr="00387A79">
        <w:t xml:space="preserve">Doses administered for IVR analyses in the ITT population according to the </w:t>
      </w:r>
      <w:r>
        <w:t>OS</w:t>
      </w:r>
      <w:r w:rsidRPr="00387A79">
        <w:t xml:space="preserve"> assay were </w:t>
      </w:r>
      <w:r>
        <w:t>45.4</w:t>
      </w:r>
      <w:r w:rsidRPr="00387A79">
        <w:t>±</w:t>
      </w:r>
      <w:r>
        <w:t xml:space="preserve">1.1 </w:t>
      </w:r>
      <w:r w:rsidRPr="00387A79">
        <w:t>IU/kg at the start of Phase I</w:t>
      </w:r>
      <w:r>
        <w:t xml:space="preserve"> (n=27)</w:t>
      </w:r>
      <w:r w:rsidRPr="00387A79">
        <w:t xml:space="preserve">, </w:t>
      </w:r>
      <w:r>
        <w:t>45.0</w:t>
      </w:r>
      <w:r w:rsidRPr="00387A79">
        <w:t>±2.</w:t>
      </w:r>
      <w:r>
        <w:t>7</w:t>
      </w:r>
      <w:r w:rsidRPr="00387A79">
        <w:t xml:space="preserve"> IU/kg at the start of Phase II</w:t>
      </w:r>
      <w:r>
        <w:t xml:space="preserve"> (n=32)</w:t>
      </w:r>
      <w:r w:rsidRPr="00387A79">
        <w:t xml:space="preserve">, </w:t>
      </w:r>
      <w:r>
        <w:t>44.4</w:t>
      </w:r>
      <w:r w:rsidRPr="00387A79">
        <w:t>±4.</w:t>
      </w:r>
      <w:r>
        <w:t>0</w:t>
      </w:r>
      <w:r w:rsidRPr="00387A79">
        <w:t xml:space="preserve"> IU/kg at 3 months </w:t>
      </w:r>
      <w:r>
        <w:t xml:space="preserve">(n=57) </w:t>
      </w:r>
      <w:r w:rsidRPr="00387A79">
        <w:t xml:space="preserve">and </w:t>
      </w:r>
      <w:r>
        <w:t>43.9</w:t>
      </w:r>
      <w:r w:rsidRPr="00387A79">
        <w:t>±</w:t>
      </w:r>
      <w:r>
        <w:t>2.7</w:t>
      </w:r>
      <w:r w:rsidRPr="00387A79">
        <w:t xml:space="preserve"> IU/kg at 6 months</w:t>
      </w:r>
      <w:r>
        <w:t xml:space="preserve"> (n=57)</w:t>
      </w:r>
      <w:r w:rsidRPr="00387A79">
        <w:t xml:space="preserve">. In the PK-PP </w:t>
      </w:r>
      <w:r>
        <w:t xml:space="preserve">analysis </w:t>
      </w:r>
      <w:r w:rsidRPr="00387A79">
        <w:t xml:space="preserve">population, according to the </w:t>
      </w:r>
      <w:r>
        <w:t>OS</w:t>
      </w:r>
      <w:r w:rsidRPr="00387A79">
        <w:t xml:space="preserve"> assay, the </w:t>
      </w:r>
      <w:r>
        <w:t>mean</w:t>
      </w:r>
      <w:r w:rsidRPr="00387A79">
        <w:t>±</w:t>
      </w:r>
      <w:r>
        <w:t xml:space="preserve">SD </w:t>
      </w:r>
      <w:r w:rsidRPr="00387A79">
        <w:t>administered doses were</w:t>
      </w:r>
      <w:r>
        <w:t xml:space="preserve"> 45.4</w:t>
      </w:r>
      <w:r w:rsidRPr="00387A79">
        <w:t>±</w:t>
      </w:r>
      <w:r>
        <w:t xml:space="preserve">1.1 IU/kg </w:t>
      </w:r>
      <w:r w:rsidRPr="00387A79">
        <w:t xml:space="preserve">at study start, </w:t>
      </w:r>
      <w:r>
        <w:t>44.8</w:t>
      </w:r>
      <w:r w:rsidRPr="00387A79">
        <w:t>±</w:t>
      </w:r>
      <w:r>
        <w:t>3.5</w:t>
      </w:r>
      <w:r w:rsidRPr="00387A79">
        <w:t xml:space="preserve"> IU/kg at 3 months </w:t>
      </w:r>
      <w:r>
        <w:t>and 44.6±2.4 IU/kg at 6 months.</w:t>
      </w:r>
    </w:p>
    <w:p w14:paraId="6179CF4A" w14:textId="1F89520B" w:rsidR="00AE1580" w:rsidRPr="00387A79" w:rsidRDefault="00AE1580" w:rsidP="0029719D">
      <w:pPr>
        <w:pStyle w:val="Tabletitle"/>
        <w:rPr>
          <w:sz w:val="21"/>
          <w:szCs w:val="21"/>
        </w:rPr>
      </w:pPr>
      <w:bookmarkStart w:id="40" w:name="_Toc248202530"/>
      <w:r>
        <w:t xml:space="preserve">Table </w:t>
      </w:r>
      <w:r w:rsidR="006F09EA">
        <w:t>11</w:t>
      </w:r>
      <w:r>
        <w:t>: GENA-03 - IVR values (% per IU/kg) for simoctocog alfa</w:t>
      </w:r>
      <w:r w:rsidR="00FA7210">
        <w:t xml:space="preserve"> </w:t>
      </w:r>
      <w:r>
        <w:t>(OS assay) over time; ITT population</w:t>
      </w:r>
      <w:bookmarkEnd w:id="40"/>
      <w:r>
        <w:t xml:space="preserve"> </w:t>
      </w:r>
    </w:p>
    <w:tbl>
      <w:tblPr>
        <w:tblStyle w:val="TableTGAblue"/>
        <w:tblW w:w="0" w:type="auto"/>
        <w:tblLook w:val="04A0" w:firstRow="1" w:lastRow="0" w:firstColumn="1" w:lastColumn="0" w:noHBand="0" w:noVBand="1"/>
      </w:tblPr>
      <w:tblGrid>
        <w:gridCol w:w="1366"/>
        <w:gridCol w:w="1321"/>
        <w:gridCol w:w="962"/>
        <w:gridCol w:w="1388"/>
        <w:gridCol w:w="1384"/>
        <w:gridCol w:w="1419"/>
        <w:gridCol w:w="1402"/>
      </w:tblGrid>
      <w:tr w:rsidR="00AE1580" w:rsidRPr="00857080" w14:paraId="3E3C2A1D" w14:textId="77777777" w:rsidTr="002C746B">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384" w:type="dxa"/>
          </w:tcPr>
          <w:p w14:paraId="191246CA" w14:textId="77777777" w:rsidR="00AE1580" w:rsidRPr="00857080" w:rsidRDefault="00AE1580" w:rsidP="002C746B">
            <w:r w:rsidRPr="00857080">
              <w:t>Time-point</w:t>
            </w:r>
          </w:p>
        </w:tc>
        <w:tc>
          <w:tcPr>
            <w:tcW w:w="1134" w:type="dxa"/>
          </w:tcPr>
          <w:p w14:paraId="6D32855A"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Group</w:t>
            </w:r>
          </w:p>
        </w:tc>
        <w:tc>
          <w:tcPr>
            <w:tcW w:w="992" w:type="dxa"/>
          </w:tcPr>
          <w:p w14:paraId="4632C2F5"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n</w:t>
            </w:r>
          </w:p>
        </w:tc>
        <w:tc>
          <w:tcPr>
            <w:tcW w:w="1440" w:type="dxa"/>
          </w:tcPr>
          <w:p w14:paraId="246E152F"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 xml:space="preserve">Mean </w:t>
            </w:r>
          </w:p>
        </w:tc>
        <w:tc>
          <w:tcPr>
            <w:tcW w:w="1440" w:type="dxa"/>
          </w:tcPr>
          <w:p w14:paraId="2E2F804C"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 xml:space="preserve">SD </w:t>
            </w:r>
          </w:p>
        </w:tc>
        <w:tc>
          <w:tcPr>
            <w:tcW w:w="1440" w:type="dxa"/>
          </w:tcPr>
          <w:p w14:paraId="6F599D60"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 xml:space="preserve">Median </w:t>
            </w:r>
          </w:p>
        </w:tc>
        <w:tc>
          <w:tcPr>
            <w:tcW w:w="1440" w:type="dxa"/>
          </w:tcPr>
          <w:p w14:paraId="5BF76DCD" w14:textId="77777777" w:rsidR="00AE1580" w:rsidRPr="00857080" w:rsidRDefault="00AE1580" w:rsidP="002C746B">
            <w:pPr>
              <w:cnfStyle w:val="100000000000" w:firstRow="1" w:lastRow="0" w:firstColumn="0" w:lastColumn="0" w:oddVBand="0" w:evenVBand="0" w:oddHBand="0" w:evenHBand="0" w:firstRowFirstColumn="0" w:firstRowLastColumn="0" w:lastRowFirstColumn="0" w:lastRowLastColumn="0"/>
            </w:pPr>
            <w:r w:rsidRPr="00857080">
              <w:t xml:space="preserve">Range </w:t>
            </w:r>
          </w:p>
        </w:tc>
      </w:tr>
      <w:tr w:rsidR="00AE1580" w:rsidRPr="00857080" w14:paraId="0F6F24FA"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25286FCE" w14:textId="77777777" w:rsidR="00AE1580" w:rsidRPr="00857080" w:rsidRDefault="00AE1580" w:rsidP="002C746B">
            <w:r w:rsidRPr="00857080">
              <w:t>Start Phase I *</w:t>
            </w:r>
          </w:p>
        </w:tc>
        <w:tc>
          <w:tcPr>
            <w:tcW w:w="1134" w:type="dxa"/>
          </w:tcPr>
          <w:p w14:paraId="1B560070"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All patients</w:t>
            </w:r>
          </w:p>
        </w:tc>
        <w:tc>
          <w:tcPr>
            <w:tcW w:w="992" w:type="dxa"/>
          </w:tcPr>
          <w:p w14:paraId="4D5B90EB"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27</w:t>
            </w:r>
          </w:p>
        </w:tc>
        <w:tc>
          <w:tcPr>
            <w:tcW w:w="1440" w:type="dxa"/>
          </w:tcPr>
          <w:p w14:paraId="4CD3651B"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1.575 </w:t>
            </w:r>
          </w:p>
        </w:tc>
        <w:tc>
          <w:tcPr>
            <w:tcW w:w="1440" w:type="dxa"/>
          </w:tcPr>
          <w:p w14:paraId="64DA9F90"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0.327</w:t>
            </w:r>
          </w:p>
        </w:tc>
        <w:tc>
          <w:tcPr>
            <w:tcW w:w="1440" w:type="dxa"/>
          </w:tcPr>
          <w:p w14:paraId="3228409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1.594</w:t>
            </w:r>
          </w:p>
        </w:tc>
        <w:tc>
          <w:tcPr>
            <w:tcW w:w="1440" w:type="dxa"/>
          </w:tcPr>
          <w:p w14:paraId="4D429C33"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0.748 –2.239</w:t>
            </w:r>
          </w:p>
        </w:tc>
      </w:tr>
      <w:tr w:rsidR="00AE1580" w:rsidRPr="00857080" w14:paraId="31411819"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35EA3322" w14:textId="77777777" w:rsidR="00AE1580" w:rsidRPr="00857080" w:rsidRDefault="00AE1580" w:rsidP="002C746B"/>
        </w:tc>
        <w:tc>
          <w:tcPr>
            <w:tcW w:w="1134" w:type="dxa"/>
          </w:tcPr>
          <w:p w14:paraId="74B86E8C"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2-5</w:t>
            </w:r>
          </w:p>
        </w:tc>
        <w:tc>
          <w:tcPr>
            <w:tcW w:w="992" w:type="dxa"/>
          </w:tcPr>
          <w:p w14:paraId="6275F0D6"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13</w:t>
            </w:r>
          </w:p>
        </w:tc>
        <w:tc>
          <w:tcPr>
            <w:tcW w:w="1440" w:type="dxa"/>
          </w:tcPr>
          <w:p w14:paraId="61A524DF"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1.572 </w:t>
            </w:r>
          </w:p>
        </w:tc>
        <w:tc>
          <w:tcPr>
            <w:tcW w:w="1440" w:type="dxa"/>
          </w:tcPr>
          <w:p w14:paraId="178464C4"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0.167</w:t>
            </w:r>
          </w:p>
        </w:tc>
        <w:tc>
          <w:tcPr>
            <w:tcW w:w="1440" w:type="dxa"/>
          </w:tcPr>
          <w:p w14:paraId="4D1A804E"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1.602</w:t>
            </w:r>
          </w:p>
        </w:tc>
        <w:tc>
          <w:tcPr>
            <w:tcW w:w="1440" w:type="dxa"/>
          </w:tcPr>
          <w:p w14:paraId="0CB906A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1.215–1.874</w:t>
            </w:r>
          </w:p>
        </w:tc>
      </w:tr>
      <w:tr w:rsidR="00AE1580" w:rsidRPr="00857080" w14:paraId="43D77A4E"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29465259" w14:textId="77777777" w:rsidR="00AE1580" w:rsidRPr="00857080" w:rsidRDefault="00AE1580" w:rsidP="002C746B"/>
        </w:tc>
        <w:tc>
          <w:tcPr>
            <w:tcW w:w="1134" w:type="dxa"/>
          </w:tcPr>
          <w:p w14:paraId="09D1DCF4"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6-</w:t>
            </w:r>
            <w:r w:rsidRPr="00857080">
              <w:lastRenderedPageBreak/>
              <w:t>12</w:t>
            </w:r>
          </w:p>
        </w:tc>
        <w:tc>
          <w:tcPr>
            <w:tcW w:w="992" w:type="dxa"/>
          </w:tcPr>
          <w:p w14:paraId="53162E1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lastRenderedPageBreak/>
              <w:t>14</w:t>
            </w:r>
          </w:p>
        </w:tc>
        <w:tc>
          <w:tcPr>
            <w:tcW w:w="1440" w:type="dxa"/>
          </w:tcPr>
          <w:p w14:paraId="14F32411"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1.577 </w:t>
            </w:r>
          </w:p>
        </w:tc>
        <w:tc>
          <w:tcPr>
            <w:tcW w:w="1440" w:type="dxa"/>
          </w:tcPr>
          <w:p w14:paraId="4EBB4F61"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0.434</w:t>
            </w:r>
          </w:p>
        </w:tc>
        <w:tc>
          <w:tcPr>
            <w:tcW w:w="1440" w:type="dxa"/>
          </w:tcPr>
          <w:p w14:paraId="02E126B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1.519</w:t>
            </w:r>
          </w:p>
        </w:tc>
        <w:tc>
          <w:tcPr>
            <w:tcW w:w="1440" w:type="dxa"/>
          </w:tcPr>
          <w:p w14:paraId="1296F23B"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0.748–</w:t>
            </w:r>
            <w:r w:rsidRPr="00857080">
              <w:lastRenderedPageBreak/>
              <w:t>2.239</w:t>
            </w:r>
          </w:p>
        </w:tc>
      </w:tr>
      <w:tr w:rsidR="00AE1580" w:rsidRPr="00857080" w14:paraId="15517543"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3C7BEE02" w14:textId="77777777" w:rsidR="00AE1580" w:rsidRPr="00857080" w:rsidRDefault="00AE1580" w:rsidP="002C746B">
            <w:r w:rsidRPr="00857080">
              <w:lastRenderedPageBreak/>
              <w:t>Start Phase II *</w:t>
            </w:r>
          </w:p>
        </w:tc>
        <w:tc>
          <w:tcPr>
            <w:tcW w:w="1134" w:type="dxa"/>
          </w:tcPr>
          <w:p w14:paraId="79669D3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All patients</w:t>
            </w:r>
          </w:p>
        </w:tc>
        <w:tc>
          <w:tcPr>
            <w:tcW w:w="992" w:type="dxa"/>
          </w:tcPr>
          <w:p w14:paraId="70AB172E"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31 </w:t>
            </w:r>
            <w:r w:rsidRPr="00857080">
              <w:rPr>
                <w:vertAlign w:val="superscript"/>
              </w:rPr>
              <w:t>a</w:t>
            </w:r>
          </w:p>
        </w:tc>
        <w:tc>
          <w:tcPr>
            <w:tcW w:w="1440" w:type="dxa"/>
          </w:tcPr>
          <w:p w14:paraId="6EA540CF"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1.419 </w:t>
            </w:r>
          </w:p>
        </w:tc>
        <w:tc>
          <w:tcPr>
            <w:tcW w:w="1440" w:type="dxa"/>
          </w:tcPr>
          <w:p w14:paraId="54B44434"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0.357</w:t>
            </w:r>
          </w:p>
        </w:tc>
        <w:tc>
          <w:tcPr>
            <w:tcW w:w="1440" w:type="dxa"/>
          </w:tcPr>
          <w:p w14:paraId="22A9543C"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1.454</w:t>
            </w:r>
          </w:p>
        </w:tc>
        <w:tc>
          <w:tcPr>
            <w:tcW w:w="1440" w:type="dxa"/>
          </w:tcPr>
          <w:p w14:paraId="5511575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0.650–2.159</w:t>
            </w:r>
          </w:p>
        </w:tc>
      </w:tr>
      <w:tr w:rsidR="00AE1580" w:rsidRPr="00857080" w14:paraId="4E586E71"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710C4315" w14:textId="77777777" w:rsidR="00AE1580" w:rsidRPr="00857080" w:rsidRDefault="00AE1580" w:rsidP="002C746B"/>
        </w:tc>
        <w:tc>
          <w:tcPr>
            <w:tcW w:w="1134" w:type="dxa"/>
          </w:tcPr>
          <w:p w14:paraId="7E768239"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2-5</w:t>
            </w:r>
          </w:p>
        </w:tc>
        <w:tc>
          <w:tcPr>
            <w:tcW w:w="992" w:type="dxa"/>
          </w:tcPr>
          <w:p w14:paraId="236EBFD1"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16</w:t>
            </w:r>
          </w:p>
        </w:tc>
        <w:tc>
          <w:tcPr>
            <w:tcW w:w="1440" w:type="dxa"/>
          </w:tcPr>
          <w:p w14:paraId="6AC1792F"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1.321 </w:t>
            </w:r>
          </w:p>
        </w:tc>
        <w:tc>
          <w:tcPr>
            <w:tcW w:w="1440" w:type="dxa"/>
          </w:tcPr>
          <w:p w14:paraId="1B52EC20"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0.309</w:t>
            </w:r>
          </w:p>
        </w:tc>
        <w:tc>
          <w:tcPr>
            <w:tcW w:w="1440" w:type="dxa"/>
          </w:tcPr>
          <w:p w14:paraId="57393841"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1.408</w:t>
            </w:r>
          </w:p>
        </w:tc>
        <w:tc>
          <w:tcPr>
            <w:tcW w:w="1440" w:type="dxa"/>
          </w:tcPr>
          <w:p w14:paraId="492FEB0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0.650–1.732</w:t>
            </w:r>
          </w:p>
        </w:tc>
      </w:tr>
      <w:tr w:rsidR="00AE1580" w:rsidRPr="00857080" w14:paraId="52070044"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3191CB67" w14:textId="77777777" w:rsidR="00AE1580" w:rsidRPr="00857080" w:rsidRDefault="00AE1580" w:rsidP="002C746B"/>
        </w:tc>
        <w:tc>
          <w:tcPr>
            <w:tcW w:w="1134" w:type="dxa"/>
          </w:tcPr>
          <w:p w14:paraId="41350CE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6-12</w:t>
            </w:r>
          </w:p>
        </w:tc>
        <w:tc>
          <w:tcPr>
            <w:tcW w:w="992" w:type="dxa"/>
          </w:tcPr>
          <w:p w14:paraId="2B3CD5A2"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w:t>
            </w:r>
            <w:r w:rsidRPr="00857080">
              <w:rPr>
                <w:vertAlign w:val="superscript"/>
              </w:rPr>
              <w:t xml:space="preserve"> a</w:t>
            </w:r>
          </w:p>
        </w:tc>
        <w:tc>
          <w:tcPr>
            <w:tcW w:w="1440" w:type="dxa"/>
          </w:tcPr>
          <w:p w14:paraId="57DC67E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1.523 </w:t>
            </w:r>
          </w:p>
        </w:tc>
        <w:tc>
          <w:tcPr>
            <w:tcW w:w="1440" w:type="dxa"/>
          </w:tcPr>
          <w:p w14:paraId="3D8B6176"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0.385</w:t>
            </w:r>
          </w:p>
        </w:tc>
        <w:tc>
          <w:tcPr>
            <w:tcW w:w="1440" w:type="dxa"/>
          </w:tcPr>
          <w:p w14:paraId="2726C376"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1.528</w:t>
            </w:r>
          </w:p>
        </w:tc>
        <w:tc>
          <w:tcPr>
            <w:tcW w:w="1440" w:type="dxa"/>
          </w:tcPr>
          <w:p w14:paraId="1525464F"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0.666–2.159</w:t>
            </w:r>
          </w:p>
        </w:tc>
      </w:tr>
      <w:tr w:rsidR="00AE1580" w:rsidRPr="00857080" w14:paraId="39FC38DE"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71A21A0D" w14:textId="77777777" w:rsidR="00AE1580" w:rsidRPr="00857080" w:rsidRDefault="00AE1580" w:rsidP="002C746B">
            <w:r w:rsidRPr="00857080">
              <w:t>3 Months</w:t>
            </w:r>
          </w:p>
        </w:tc>
        <w:tc>
          <w:tcPr>
            <w:tcW w:w="1134" w:type="dxa"/>
          </w:tcPr>
          <w:p w14:paraId="72CE4D65"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All patients</w:t>
            </w:r>
          </w:p>
        </w:tc>
        <w:tc>
          <w:tcPr>
            <w:tcW w:w="992" w:type="dxa"/>
          </w:tcPr>
          <w:p w14:paraId="6F7C1273"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53 </w:t>
            </w:r>
            <w:r w:rsidRPr="00857080">
              <w:rPr>
                <w:vertAlign w:val="superscript"/>
              </w:rPr>
              <w:t>d</w:t>
            </w:r>
          </w:p>
        </w:tc>
        <w:tc>
          <w:tcPr>
            <w:tcW w:w="1440" w:type="dxa"/>
          </w:tcPr>
          <w:p w14:paraId="05DCC23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1.470 </w:t>
            </w:r>
          </w:p>
        </w:tc>
        <w:tc>
          <w:tcPr>
            <w:tcW w:w="1440" w:type="dxa"/>
          </w:tcPr>
          <w:p w14:paraId="0114466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0.359</w:t>
            </w:r>
          </w:p>
        </w:tc>
        <w:tc>
          <w:tcPr>
            <w:tcW w:w="1440" w:type="dxa"/>
          </w:tcPr>
          <w:p w14:paraId="01DD7F4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1.504</w:t>
            </w:r>
          </w:p>
        </w:tc>
        <w:tc>
          <w:tcPr>
            <w:tcW w:w="1440" w:type="dxa"/>
          </w:tcPr>
          <w:p w14:paraId="2968F142"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0.810–2.345</w:t>
            </w:r>
          </w:p>
        </w:tc>
      </w:tr>
      <w:tr w:rsidR="00AE1580" w:rsidRPr="00857080" w14:paraId="7885D7B4"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1C1E7D92" w14:textId="77777777" w:rsidR="00AE1580" w:rsidRPr="00857080" w:rsidRDefault="00AE1580" w:rsidP="002C746B"/>
        </w:tc>
        <w:tc>
          <w:tcPr>
            <w:tcW w:w="1134" w:type="dxa"/>
          </w:tcPr>
          <w:p w14:paraId="58C40ED2"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2-5</w:t>
            </w:r>
          </w:p>
        </w:tc>
        <w:tc>
          <w:tcPr>
            <w:tcW w:w="992" w:type="dxa"/>
          </w:tcPr>
          <w:p w14:paraId="747984BF"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29</w:t>
            </w:r>
          </w:p>
        </w:tc>
        <w:tc>
          <w:tcPr>
            <w:tcW w:w="1440" w:type="dxa"/>
          </w:tcPr>
          <w:p w14:paraId="74E69A41"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1.350 </w:t>
            </w:r>
          </w:p>
        </w:tc>
        <w:tc>
          <w:tcPr>
            <w:tcW w:w="1440" w:type="dxa"/>
          </w:tcPr>
          <w:p w14:paraId="4DB8AE04"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0.268</w:t>
            </w:r>
          </w:p>
        </w:tc>
        <w:tc>
          <w:tcPr>
            <w:tcW w:w="1440" w:type="dxa"/>
          </w:tcPr>
          <w:p w14:paraId="40F8B9C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1.388</w:t>
            </w:r>
          </w:p>
        </w:tc>
        <w:tc>
          <w:tcPr>
            <w:tcW w:w="1440" w:type="dxa"/>
          </w:tcPr>
          <w:p w14:paraId="20FBD77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0.810–1.747</w:t>
            </w:r>
          </w:p>
        </w:tc>
      </w:tr>
      <w:tr w:rsidR="00AE1580" w:rsidRPr="00857080" w14:paraId="6047B93A"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41B10EAC" w14:textId="77777777" w:rsidR="00AE1580" w:rsidRPr="00857080" w:rsidRDefault="00AE1580" w:rsidP="002C746B"/>
        </w:tc>
        <w:tc>
          <w:tcPr>
            <w:tcW w:w="1134" w:type="dxa"/>
          </w:tcPr>
          <w:p w14:paraId="408CC71C"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6-12</w:t>
            </w:r>
          </w:p>
        </w:tc>
        <w:tc>
          <w:tcPr>
            <w:tcW w:w="992" w:type="dxa"/>
          </w:tcPr>
          <w:p w14:paraId="73BF42D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24 </w:t>
            </w:r>
            <w:r w:rsidRPr="00857080">
              <w:rPr>
                <w:vertAlign w:val="superscript"/>
              </w:rPr>
              <w:t>d</w:t>
            </w:r>
          </w:p>
        </w:tc>
        <w:tc>
          <w:tcPr>
            <w:tcW w:w="1440" w:type="dxa"/>
          </w:tcPr>
          <w:p w14:paraId="0B74A28E"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1.615 </w:t>
            </w:r>
          </w:p>
        </w:tc>
        <w:tc>
          <w:tcPr>
            <w:tcW w:w="1440" w:type="dxa"/>
          </w:tcPr>
          <w:p w14:paraId="148CD0B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0.405</w:t>
            </w:r>
          </w:p>
        </w:tc>
        <w:tc>
          <w:tcPr>
            <w:tcW w:w="1440" w:type="dxa"/>
          </w:tcPr>
          <w:p w14:paraId="792FDFFB"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1.628</w:t>
            </w:r>
          </w:p>
        </w:tc>
        <w:tc>
          <w:tcPr>
            <w:tcW w:w="1440" w:type="dxa"/>
          </w:tcPr>
          <w:p w14:paraId="3CB0A8C7"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0.854–2.345</w:t>
            </w:r>
          </w:p>
        </w:tc>
      </w:tr>
      <w:tr w:rsidR="00AE1580" w:rsidRPr="00857080" w14:paraId="31A1A7EE"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3A99C53B" w14:textId="77777777" w:rsidR="00AE1580" w:rsidRPr="00857080" w:rsidRDefault="00AE1580" w:rsidP="002C746B">
            <w:r w:rsidRPr="00857080">
              <w:t xml:space="preserve">6 months </w:t>
            </w:r>
          </w:p>
        </w:tc>
        <w:tc>
          <w:tcPr>
            <w:tcW w:w="1134" w:type="dxa"/>
          </w:tcPr>
          <w:p w14:paraId="38303623"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All patients</w:t>
            </w:r>
          </w:p>
        </w:tc>
        <w:tc>
          <w:tcPr>
            <w:tcW w:w="992" w:type="dxa"/>
          </w:tcPr>
          <w:p w14:paraId="2C999E0E"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55 </w:t>
            </w:r>
            <w:r w:rsidRPr="00857080">
              <w:rPr>
                <w:vertAlign w:val="superscript"/>
              </w:rPr>
              <w:t>c</w:t>
            </w:r>
          </w:p>
        </w:tc>
        <w:tc>
          <w:tcPr>
            <w:tcW w:w="1440" w:type="dxa"/>
          </w:tcPr>
          <w:p w14:paraId="1C51418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1.525 </w:t>
            </w:r>
          </w:p>
        </w:tc>
        <w:tc>
          <w:tcPr>
            <w:tcW w:w="1440" w:type="dxa"/>
          </w:tcPr>
          <w:p w14:paraId="744C761E"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0.343</w:t>
            </w:r>
          </w:p>
        </w:tc>
        <w:tc>
          <w:tcPr>
            <w:tcW w:w="1440" w:type="dxa"/>
          </w:tcPr>
          <w:p w14:paraId="345C4A12"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1.501</w:t>
            </w:r>
          </w:p>
        </w:tc>
        <w:tc>
          <w:tcPr>
            <w:tcW w:w="1440" w:type="dxa"/>
          </w:tcPr>
          <w:p w14:paraId="5392610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0.823–2.580</w:t>
            </w:r>
          </w:p>
        </w:tc>
      </w:tr>
      <w:tr w:rsidR="00AE1580" w:rsidRPr="00857080" w14:paraId="1F3EA57E"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21B43380" w14:textId="77777777" w:rsidR="00AE1580" w:rsidRPr="00857080" w:rsidRDefault="00AE1580" w:rsidP="002C746B"/>
        </w:tc>
        <w:tc>
          <w:tcPr>
            <w:tcW w:w="1134" w:type="dxa"/>
          </w:tcPr>
          <w:p w14:paraId="19286768"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2-5</w:t>
            </w:r>
          </w:p>
        </w:tc>
        <w:tc>
          <w:tcPr>
            <w:tcW w:w="992" w:type="dxa"/>
          </w:tcPr>
          <w:p w14:paraId="3E13B335"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28 </w:t>
            </w:r>
            <w:r w:rsidRPr="00857080">
              <w:rPr>
                <w:vertAlign w:val="superscript"/>
              </w:rPr>
              <w:t>a</w:t>
            </w:r>
          </w:p>
        </w:tc>
        <w:tc>
          <w:tcPr>
            <w:tcW w:w="1440" w:type="dxa"/>
          </w:tcPr>
          <w:p w14:paraId="14CEDB76"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1.441 </w:t>
            </w:r>
          </w:p>
        </w:tc>
        <w:tc>
          <w:tcPr>
            <w:tcW w:w="1440" w:type="dxa"/>
          </w:tcPr>
          <w:p w14:paraId="5EC60439"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0.296</w:t>
            </w:r>
          </w:p>
        </w:tc>
        <w:tc>
          <w:tcPr>
            <w:tcW w:w="1440" w:type="dxa"/>
          </w:tcPr>
          <w:p w14:paraId="6D9CEE0C"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1.456</w:t>
            </w:r>
          </w:p>
        </w:tc>
        <w:tc>
          <w:tcPr>
            <w:tcW w:w="1440" w:type="dxa"/>
          </w:tcPr>
          <w:p w14:paraId="38653F6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0.823–2.096</w:t>
            </w:r>
          </w:p>
        </w:tc>
      </w:tr>
      <w:tr w:rsidR="00AE1580" w:rsidRPr="00857080" w14:paraId="68DEFF05" w14:textId="77777777" w:rsidTr="0029719D">
        <w:tc>
          <w:tcPr>
            <w:cnfStyle w:val="001000000000" w:firstRow="0" w:lastRow="0" w:firstColumn="1" w:lastColumn="0" w:oddVBand="0" w:evenVBand="0" w:oddHBand="0" w:evenHBand="0" w:firstRowFirstColumn="0" w:firstRowLastColumn="0" w:lastRowFirstColumn="0" w:lastRowLastColumn="0"/>
            <w:tcW w:w="1384" w:type="dxa"/>
          </w:tcPr>
          <w:p w14:paraId="415FA066" w14:textId="77777777" w:rsidR="00AE1580" w:rsidRPr="00857080" w:rsidRDefault="00AE1580" w:rsidP="002C746B"/>
        </w:tc>
        <w:tc>
          <w:tcPr>
            <w:tcW w:w="1134" w:type="dxa"/>
          </w:tcPr>
          <w:p w14:paraId="0C9949CA"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Aged 6-12</w:t>
            </w:r>
          </w:p>
        </w:tc>
        <w:tc>
          <w:tcPr>
            <w:tcW w:w="992" w:type="dxa"/>
          </w:tcPr>
          <w:p w14:paraId="6FB090F6"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27</w:t>
            </w:r>
            <w:r w:rsidRPr="00857080">
              <w:rPr>
                <w:vertAlign w:val="superscript"/>
              </w:rPr>
              <w:t xml:space="preserve"> b</w:t>
            </w:r>
          </w:p>
        </w:tc>
        <w:tc>
          <w:tcPr>
            <w:tcW w:w="1440" w:type="dxa"/>
          </w:tcPr>
          <w:p w14:paraId="63B6319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 xml:space="preserve">1.611 </w:t>
            </w:r>
          </w:p>
        </w:tc>
        <w:tc>
          <w:tcPr>
            <w:tcW w:w="1440" w:type="dxa"/>
          </w:tcPr>
          <w:p w14:paraId="5F9A44CD"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0.371</w:t>
            </w:r>
          </w:p>
        </w:tc>
        <w:tc>
          <w:tcPr>
            <w:tcW w:w="1440" w:type="dxa"/>
          </w:tcPr>
          <w:p w14:paraId="3C4E5479"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1.577</w:t>
            </w:r>
          </w:p>
        </w:tc>
        <w:tc>
          <w:tcPr>
            <w:tcW w:w="1440" w:type="dxa"/>
          </w:tcPr>
          <w:p w14:paraId="240B844B" w14:textId="77777777" w:rsidR="00AE1580" w:rsidRPr="00857080" w:rsidRDefault="00AE1580" w:rsidP="002C746B">
            <w:pPr>
              <w:cnfStyle w:val="000000000000" w:firstRow="0" w:lastRow="0" w:firstColumn="0" w:lastColumn="0" w:oddVBand="0" w:evenVBand="0" w:oddHBand="0" w:evenHBand="0" w:firstRowFirstColumn="0" w:firstRowLastColumn="0" w:lastRowFirstColumn="0" w:lastRowLastColumn="0"/>
            </w:pPr>
            <w:r w:rsidRPr="00857080">
              <w:t>1.109–2.580</w:t>
            </w:r>
          </w:p>
        </w:tc>
      </w:tr>
    </w:tbl>
    <w:p w14:paraId="4DEA517C" w14:textId="77777777" w:rsidR="00AE1580" w:rsidRPr="008D0923" w:rsidRDefault="00AE1580" w:rsidP="002C746B">
      <w:pPr>
        <w:pStyle w:val="TableDescription"/>
        <w:rPr>
          <w:vertAlign w:val="superscript"/>
        </w:rPr>
      </w:pPr>
      <w:r w:rsidRPr="00387A79">
        <w:t xml:space="preserve">Note: </w:t>
      </w:r>
      <w:r w:rsidRPr="00387A79">
        <w:rPr>
          <w:vertAlign w:val="superscript"/>
        </w:rPr>
        <w:t>a</w:t>
      </w:r>
      <w:r w:rsidRPr="00387A79">
        <w:t xml:space="preserve"> = data not available for 1 patient;</w:t>
      </w:r>
      <w:r w:rsidRPr="00387A79">
        <w:rPr>
          <w:vertAlign w:val="superscript"/>
        </w:rPr>
        <w:t xml:space="preserve"> </w:t>
      </w:r>
      <w:r>
        <w:rPr>
          <w:vertAlign w:val="superscript"/>
        </w:rPr>
        <w:t>b</w:t>
      </w:r>
      <w:r w:rsidRPr="00387A79">
        <w:t xml:space="preserve"> = data not available for 3 patients;</w:t>
      </w:r>
      <w:r w:rsidRPr="008D0923">
        <w:rPr>
          <w:vertAlign w:val="superscript"/>
        </w:rPr>
        <w:t xml:space="preserve"> </w:t>
      </w:r>
      <w:r>
        <w:rPr>
          <w:vertAlign w:val="superscript"/>
        </w:rPr>
        <w:t>c</w:t>
      </w:r>
      <w:r w:rsidRPr="00387A79">
        <w:t xml:space="preserve"> = data not available for 4 patients; </w:t>
      </w:r>
      <w:r>
        <w:rPr>
          <w:vertAlign w:val="superscript"/>
        </w:rPr>
        <w:t>d</w:t>
      </w:r>
      <w:r w:rsidRPr="00387A79">
        <w:t xml:space="preserve"> = data not available for 6 patients;</w:t>
      </w:r>
      <w:r>
        <w:rPr>
          <w:vertAlign w:val="superscript"/>
        </w:rPr>
        <w:t xml:space="preserve"> </w:t>
      </w:r>
      <w:r w:rsidRPr="00387A79">
        <w:t xml:space="preserve">data were not available for 2 patients (6–12 years) at 3 and 6 months due to premature withdrawal from the study; other missing IVR values were not evaluable. * = Phase I includes all patients who underwent PK analysis in Cycles 1 and 2; </w:t>
      </w:r>
      <w:r>
        <w:t xml:space="preserve">* </w:t>
      </w:r>
      <w:r w:rsidRPr="00387A79">
        <w:t xml:space="preserve">Phase II specifies recovery at start of open treatment phase and therefore </w:t>
      </w:r>
      <w:r>
        <w:t xml:space="preserve">includes </w:t>
      </w:r>
      <w:r w:rsidRPr="00387A79">
        <w:t>only patients who did not undergo PK analysis.</w:t>
      </w:r>
    </w:p>
    <w:p w14:paraId="322EEA63" w14:textId="77777777" w:rsidR="000F04AF" w:rsidRDefault="00AE1580" w:rsidP="00FA7210">
      <w:pPr>
        <w:widowControl w:val="0"/>
        <w:autoSpaceDE w:val="0"/>
        <w:autoSpaceDN w:val="0"/>
        <w:adjustRightInd w:val="0"/>
        <w:ind w:left="1134" w:hanging="1134"/>
        <w:rPr>
          <w:rFonts w:asciiTheme="minorHAnsi" w:hAnsiTheme="minorHAnsi"/>
        </w:rPr>
      </w:pPr>
      <w:r w:rsidRPr="00FA7210">
        <w:rPr>
          <w:rFonts w:asciiTheme="minorHAnsi" w:hAnsiTheme="minorHAnsi"/>
        </w:rPr>
        <w:t>Comment:</w:t>
      </w:r>
      <w:r w:rsidRPr="00FA7210">
        <w:rPr>
          <w:rFonts w:asciiTheme="minorHAnsi" w:hAnsiTheme="minorHAnsi"/>
        </w:rPr>
        <w:tab/>
        <w:t xml:space="preserve">In the ITT population, </w:t>
      </w:r>
      <w:r w:rsidRPr="00FA7210">
        <w:rPr>
          <w:rFonts w:asciiTheme="minorHAnsi" w:eastAsia="Times New Roman" w:hAnsiTheme="minorHAnsi"/>
          <w:lang w:eastAsia="en-AU"/>
        </w:rPr>
        <w:t>based on the OS assay the mean IVR over time ranged from 1.419% to 1.575% per IU/kg in patients aged 2-12 years, 1.321% to 1.572 % per IU/kg in patients aged 2-5 years, and 1.523% to 1.615 % per IU/kg in patients aged 6–12 years. In the PK-PP population, based on the OS assay the mean IVR values over time ranged from 1.466% to 1.607 % per IU/kg in patients aged 2-12 years, 1.368% to 1.572% per IU/kg in patients aged 2–5 years, and 1.546% to 1.641% per IU/kg in patients aged 6–12 years.</w:t>
      </w:r>
      <w:r w:rsidRPr="00FA7210">
        <w:rPr>
          <w:rFonts w:asciiTheme="minorHAnsi" w:hAnsiTheme="minorHAnsi"/>
        </w:rPr>
        <w:t xml:space="preserve"> The mean IVRs for simoctocog alfa in the ITT and the PK-PP populations according to the OS assay were lower than those according to the CHR assay.</w:t>
      </w:r>
    </w:p>
    <w:p w14:paraId="3B553263" w14:textId="64B295EF" w:rsidR="00AE1580" w:rsidRPr="002C746B" w:rsidRDefault="00AE1580" w:rsidP="00EA445D">
      <w:pPr>
        <w:pStyle w:val="Numberbullet2"/>
      </w:pPr>
      <w:r w:rsidRPr="002C746B">
        <w:t>o.</w:t>
      </w:r>
      <w:r w:rsidRPr="002C746B">
        <w:tab/>
        <w:t>Conclusions relating to the PK data from study GENA-03</w:t>
      </w:r>
    </w:p>
    <w:p w14:paraId="2B8A8E86" w14:textId="77777777" w:rsidR="000F04AF" w:rsidRDefault="00AE1580" w:rsidP="00AE1580">
      <w:pPr>
        <w:widowControl w:val="0"/>
        <w:autoSpaceDE w:val="0"/>
        <w:autoSpaceDN w:val="0"/>
        <w:adjustRightInd w:val="0"/>
      </w:pPr>
      <w:r w:rsidRPr="00857080">
        <w:t>PK analysis was performed in a subset of 26 patients (13 aged 2–5 years; 13 aged 6</w:t>
      </w:r>
      <w:r w:rsidRPr="00857080">
        <w:rPr>
          <w:rFonts w:cs="ÄÃıøÜ⁄"/>
        </w:rPr>
        <w:t>−</w:t>
      </w:r>
      <w:r w:rsidRPr="00857080">
        <w:t>12 years) who were treated per-protocol after administration of their previously used FVIII concentrate</w:t>
      </w:r>
      <w:r>
        <w:t>s</w:t>
      </w:r>
      <w:r w:rsidRPr="00857080">
        <w:t xml:space="preserve"> (6 received pdFVIII and 20 received full-length rFVIII) and simoctocog alfa. </w:t>
      </w:r>
      <w:r>
        <w:t xml:space="preserve">In the PK-PP analysis population, for patients aged 2-12 years </w:t>
      </w:r>
      <w:r w:rsidRPr="00857080">
        <w:t xml:space="preserve">and </w:t>
      </w:r>
      <w:r>
        <w:t xml:space="preserve">for patients in the two </w:t>
      </w:r>
      <w:r w:rsidRPr="00857080">
        <w:t>age sub</w:t>
      </w:r>
      <w:r>
        <w:t>-</w:t>
      </w:r>
      <w:r w:rsidRPr="00857080">
        <w:t xml:space="preserve">groups, </w:t>
      </w:r>
      <w:r w:rsidRPr="00857080">
        <w:lastRenderedPageBreak/>
        <w:t>mean FVIII:C (IU/mL) versus time post-infusion profiles were similar following previously used FVIII concentrates and simoctocog alfa</w:t>
      </w:r>
      <w:r>
        <w:t xml:space="preserve"> </w:t>
      </w:r>
      <w:r w:rsidRPr="00857080">
        <w:t>standardised to 50</w:t>
      </w:r>
      <w:r>
        <w:t xml:space="preserve"> IU/kg in the cross-over analyse</w:t>
      </w:r>
      <w:r w:rsidRPr="00857080">
        <w:t xml:space="preserve">s when assessed by both the CHR and the OS assays. The </w:t>
      </w:r>
      <w:r>
        <w:t xml:space="preserve">PK </w:t>
      </w:r>
      <w:r w:rsidRPr="00857080">
        <w:t xml:space="preserve">results described below relate to </w:t>
      </w:r>
      <w:r>
        <w:t xml:space="preserve">PK-PP analysis population using the CHR assay </w:t>
      </w:r>
      <w:r w:rsidRPr="00857080">
        <w:t>unless otherwise stated. The general pattern of the PK results as determined by the CHR assay was consistent with that determined by the OS assay.</w:t>
      </w:r>
    </w:p>
    <w:p w14:paraId="4452E7C6" w14:textId="77777777" w:rsidR="000F04AF" w:rsidRDefault="00AE1580" w:rsidP="00AE1580">
      <w:pPr>
        <w:widowControl w:val="0"/>
        <w:autoSpaceDE w:val="0"/>
        <w:autoSpaceDN w:val="0"/>
        <w:adjustRightInd w:val="0"/>
      </w:pPr>
      <w:r w:rsidRPr="00857080">
        <w:t xml:space="preserve">In </w:t>
      </w:r>
      <w:r>
        <w:t>children aged 2-12 years</w:t>
      </w:r>
      <w:r w:rsidRPr="00857080">
        <w:t>, the PK parameters for simoctocog alfa</w:t>
      </w:r>
      <w:r>
        <w:t xml:space="preserve"> </w:t>
      </w:r>
      <w:r w:rsidRPr="00857080">
        <w:t>and previously used FVIII concentrates were similar, and no marked differences between parameters were observed. The mean AUC</w:t>
      </w:r>
      <w:r w:rsidRPr="00857080">
        <w:rPr>
          <w:vertAlign w:val="subscript"/>
        </w:rPr>
        <w:t>norm</w:t>
      </w:r>
      <w:r w:rsidRPr="00857080">
        <w:t xml:space="preserve"> </w:t>
      </w:r>
      <w:r>
        <w:t xml:space="preserve">values </w:t>
      </w:r>
      <w:r w:rsidRPr="00857080">
        <w:t>simoctocog alfa</w:t>
      </w:r>
      <w:r>
        <w:t xml:space="preserve"> </w:t>
      </w:r>
      <w:r w:rsidRPr="00857080">
        <w:t xml:space="preserve">and previously used FVIII concentrates were </w:t>
      </w:r>
      <w:r>
        <w:t>similar (</w:t>
      </w:r>
      <w:r w:rsidRPr="00857080">
        <w:t>0.23 and 0.24 h•IU/mL per IU/kg</w:t>
      </w:r>
      <w:r>
        <w:t>, respectively)</w:t>
      </w:r>
      <w:r w:rsidRPr="00857080">
        <w:t>, while the mean C</w:t>
      </w:r>
      <w:r w:rsidRPr="00857080">
        <w:rPr>
          <w:vertAlign w:val="subscript"/>
        </w:rPr>
        <w:t xml:space="preserve">max.norm </w:t>
      </w:r>
      <w:r w:rsidRPr="00857080">
        <w:t xml:space="preserve">values for the two FVIII products were </w:t>
      </w:r>
      <w:r>
        <w:t>identical (both 0.019 IU/mL per IU/kg).</w:t>
      </w:r>
    </w:p>
    <w:p w14:paraId="7E6FAB0B" w14:textId="77777777" w:rsidR="000F04AF" w:rsidRDefault="00AE1580" w:rsidP="00AE1580">
      <w:pPr>
        <w:widowControl w:val="0"/>
        <w:autoSpaceDE w:val="0"/>
        <w:autoSpaceDN w:val="0"/>
        <w:adjustRightInd w:val="0"/>
      </w:pPr>
      <w:r>
        <w:t>In children aged 2-</w:t>
      </w:r>
      <w:r w:rsidRPr="00857080">
        <w:t>5 years</w:t>
      </w:r>
      <w:r>
        <w:t xml:space="preserve">, </w:t>
      </w:r>
      <w:r w:rsidRPr="00857080">
        <w:t>the mean AUC</w:t>
      </w:r>
      <w:r w:rsidRPr="00857080">
        <w:rPr>
          <w:vertAlign w:val="subscript"/>
        </w:rPr>
        <w:t>norm</w:t>
      </w:r>
      <w:r w:rsidRPr="00857080">
        <w:t xml:space="preserve"> values for simoctocog alfa</w:t>
      </w:r>
      <w:r>
        <w:t xml:space="preserve"> </w:t>
      </w:r>
      <w:r w:rsidRPr="00857080">
        <w:t>and previously used FVIII concentrates were similar (0.22 and 0.20 h•I</w:t>
      </w:r>
      <w:r>
        <w:t>U/mL per IU/kg, respectively), but for children aged 6-</w:t>
      </w:r>
      <w:r w:rsidRPr="00857080">
        <w:t>12 years mean AUC</w:t>
      </w:r>
      <w:r w:rsidRPr="00857080">
        <w:rPr>
          <w:vertAlign w:val="subscript"/>
        </w:rPr>
        <w:t>norm</w:t>
      </w:r>
      <w:r w:rsidRPr="00857080">
        <w:t xml:space="preserve"> values were higher for previously used FVIII concentrates than for simoctocog alfa</w:t>
      </w:r>
      <w:r>
        <w:t xml:space="preserve"> </w:t>
      </w:r>
      <w:r w:rsidRPr="00857080">
        <w:t>(0.28 vs 0.25 h•IU/mL per IU/kg, respectively).</w:t>
      </w:r>
      <w:r>
        <w:t xml:space="preserve"> T</w:t>
      </w:r>
      <w:r w:rsidRPr="00857080">
        <w:t>he mean C</w:t>
      </w:r>
      <w:r w:rsidRPr="00857080">
        <w:rPr>
          <w:vertAlign w:val="subscript"/>
        </w:rPr>
        <w:t xml:space="preserve">max.norm </w:t>
      </w:r>
      <w:r w:rsidRPr="00857080">
        <w:t>values were similar for both simoctocog alfa</w:t>
      </w:r>
      <w:r>
        <w:t xml:space="preserve"> </w:t>
      </w:r>
      <w:r w:rsidRPr="00857080">
        <w:t xml:space="preserve">and previously used FVIII concentrates </w:t>
      </w:r>
      <w:r>
        <w:t xml:space="preserve">in children aged 2-5 years </w:t>
      </w:r>
      <w:r w:rsidRPr="00857080">
        <w:t>(0.019 and 0.017 IU/mL per IU/kg, respectively), and in</w:t>
      </w:r>
      <w:r>
        <w:t xml:space="preserve"> children aged 6-</w:t>
      </w:r>
      <w:r w:rsidRPr="00857080">
        <w:t>12 years (0.019 and 0.020 IU/mL per IU/kg, respectively). The mean AUC</w:t>
      </w:r>
      <w:r w:rsidRPr="00857080">
        <w:rPr>
          <w:vertAlign w:val="subscript"/>
        </w:rPr>
        <w:t>norm</w:t>
      </w:r>
      <w:r w:rsidRPr="00857080">
        <w:t xml:space="preserve"> for simoctocog alfa</w:t>
      </w:r>
      <w:r>
        <w:t xml:space="preserve"> </w:t>
      </w:r>
      <w:r w:rsidRPr="00857080">
        <w:t>was slightly lower in children aged</w:t>
      </w:r>
      <w:r>
        <w:t xml:space="preserve"> 2-</w:t>
      </w:r>
      <w:r w:rsidRPr="00857080">
        <w:t xml:space="preserve">5 years compared with children aged </w:t>
      </w:r>
      <w:r>
        <w:t xml:space="preserve"> 6-</w:t>
      </w:r>
      <w:r w:rsidRPr="00857080">
        <w:t>12 years (0.22 vs 0.25 h•IU/mL per IU/kg, respectively), while the mean C</w:t>
      </w:r>
      <w:r w:rsidRPr="00857080">
        <w:rPr>
          <w:vertAlign w:val="subscript"/>
        </w:rPr>
        <w:t xml:space="preserve">max.norm </w:t>
      </w:r>
      <w:r>
        <w:t xml:space="preserve">for simoctocog alfa </w:t>
      </w:r>
      <w:r w:rsidRPr="00857080">
        <w:t>was identical for both age groups (0.019 IU/mL per IU/kg).</w:t>
      </w:r>
    </w:p>
    <w:p w14:paraId="657EA3B9" w14:textId="77777777" w:rsidR="000F04AF" w:rsidRDefault="00AE1580" w:rsidP="00AE1580">
      <w:pPr>
        <w:widowControl w:val="0"/>
        <w:autoSpaceDE w:val="0"/>
        <w:autoSpaceDN w:val="0"/>
        <w:adjustRightInd w:val="0"/>
      </w:pPr>
      <w:r>
        <w:t xml:space="preserve">In children aged 2-12 years, </w:t>
      </w:r>
      <w:r w:rsidRPr="00857080">
        <w:t>the mean T</w:t>
      </w:r>
      <w:r w:rsidRPr="00857080">
        <w:rPr>
          <w:vertAlign w:val="subscript"/>
        </w:rPr>
        <w:t>1/2</w:t>
      </w:r>
      <w:r w:rsidRPr="00857080">
        <w:t xml:space="preserve"> was shorter for simoctocog alfa</w:t>
      </w:r>
      <w:r>
        <w:t xml:space="preserve"> </w:t>
      </w:r>
      <w:r w:rsidRPr="00857080">
        <w:t xml:space="preserve">than for previously used FVIII concentrates (9.7 vs 11.0 hours, respectively), while the mean CL was similar for both treatments (4.89 vs 4.76 mL/h/kg, respectively).  In </w:t>
      </w:r>
      <w:r>
        <w:t>children aged 2-5 years</w:t>
      </w:r>
      <w:r w:rsidRPr="00857080">
        <w:t>, the mean T</w:t>
      </w:r>
      <w:r w:rsidRPr="00857080">
        <w:rPr>
          <w:vertAlign w:val="subscript"/>
        </w:rPr>
        <w:t xml:space="preserve">1/2 </w:t>
      </w:r>
      <w:r w:rsidRPr="00857080">
        <w:t>was similar for simoctocog alfa</w:t>
      </w:r>
      <w:r>
        <w:t xml:space="preserve"> </w:t>
      </w:r>
      <w:r w:rsidRPr="00857080">
        <w:t xml:space="preserve">and previously used FVIII concentrates (9.49 vs 10.07, respectively), as was the mean CL (5.40 vs 5.65 mL/min/kg, respectively). In </w:t>
      </w:r>
      <w:r>
        <w:t>children aged 6-</w:t>
      </w:r>
      <w:r w:rsidRPr="00857080">
        <w:t>12 years, the mean T</w:t>
      </w:r>
      <w:r w:rsidRPr="00857080">
        <w:rPr>
          <w:vertAlign w:val="subscript"/>
        </w:rPr>
        <w:t xml:space="preserve">1/2 </w:t>
      </w:r>
      <w:r w:rsidRPr="00857080">
        <w:t>was about 2 hours shorter for simoctocog alfa</w:t>
      </w:r>
      <w:r>
        <w:t xml:space="preserve"> </w:t>
      </w:r>
      <w:r w:rsidRPr="00857080">
        <w:t>than for previously used FVIII concentrates (9.99 vs 11.94 hours, respectively), while the mean CL was slightly higher (4.33 vs 3.93, respectively). The mean T</w:t>
      </w:r>
      <w:r w:rsidRPr="00857080">
        <w:rPr>
          <w:vertAlign w:val="subscript"/>
        </w:rPr>
        <w:t>1/2</w:t>
      </w:r>
      <w:r>
        <w:rPr>
          <w:vertAlign w:val="subscript"/>
        </w:rPr>
        <w:t xml:space="preserve"> </w:t>
      </w:r>
      <w:r>
        <w:t>for</w:t>
      </w:r>
      <w:r w:rsidRPr="00857080">
        <w:t xml:space="preserve"> simoctocog alfa</w:t>
      </w:r>
      <w:r>
        <w:t xml:space="preserve"> </w:t>
      </w:r>
      <w:r w:rsidRPr="00857080">
        <w:t>w</w:t>
      </w:r>
      <w:r>
        <w:t>as slightly shorter in the 2-</w:t>
      </w:r>
      <w:r w:rsidRPr="00857080">
        <w:t>5 years a</w:t>
      </w:r>
      <w:r>
        <w:t>ge group compared with the 6-</w:t>
      </w:r>
      <w:r w:rsidRPr="00857080">
        <w:t xml:space="preserve">12 years age group (9.49 vs 9.99 hours, respectively), while the mean CL </w:t>
      </w:r>
      <w:r>
        <w:t xml:space="preserve">for simoctocog alfa </w:t>
      </w:r>
      <w:r w:rsidRPr="00857080">
        <w:t>was higher (5.40 vs 4.33 mL/min/kg, respectively).</w:t>
      </w:r>
    </w:p>
    <w:p w14:paraId="4F006AE1" w14:textId="77777777" w:rsidR="000F04AF" w:rsidRDefault="00AE1580" w:rsidP="00AE1580">
      <w:pPr>
        <w:widowControl w:val="0"/>
        <w:autoSpaceDE w:val="0"/>
        <w:autoSpaceDN w:val="0"/>
        <w:adjustRightInd w:val="0"/>
      </w:pPr>
      <w:r w:rsidRPr="00857080">
        <w:t xml:space="preserve">In </w:t>
      </w:r>
      <w:r>
        <w:t xml:space="preserve">children aged 2-12 years, </w:t>
      </w:r>
      <w:r w:rsidRPr="00857080">
        <w:t>T</w:t>
      </w:r>
      <w:r w:rsidRPr="00857080">
        <w:rPr>
          <w:vertAlign w:val="subscript"/>
        </w:rPr>
        <w:t>max</w:t>
      </w:r>
      <w:r w:rsidRPr="00857080">
        <w:t xml:space="preserve"> was reached within 30 minutes in 80.8% of patients </w:t>
      </w:r>
      <w:r>
        <w:t>following</w:t>
      </w:r>
      <w:r w:rsidRPr="00857080">
        <w:t xml:space="preserve"> previously used FVIII concentrates and 92.3% of patients </w:t>
      </w:r>
      <w:r>
        <w:t xml:space="preserve">following </w:t>
      </w:r>
      <w:r w:rsidRPr="00857080">
        <w:t xml:space="preserve">simoctocog alfa. </w:t>
      </w:r>
      <w:r>
        <w:t>In children aged 2-</w:t>
      </w:r>
      <w:r w:rsidRPr="00857080">
        <w:t>5 years, T</w:t>
      </w:r>
      <w:r w:rsidRPr="00857080">
        <w:rPr>
          <w:vertAlign w:val="subscript"/>
        </w:rPr>
        <w:t>max</w:t>
      </w:r>
      <w:r w:rsidRPr="00857080">
        <w:t xml:space="preserve"> was reached within 30 minutes in 76.9% of patients </w:t>
      </w:r>
      <w:r>
        <w:t xml:space="preserve">following </w:t>
      </w:r>
      <w:r w:rsidRPr="00857080">
        <w:t xml:space="preserve">previously used FVIII concentrates and in 100% of patients </w:t>
      </w:r>
      <w:r>
        <w:t xml:space="preserve">following </w:t>
      </w:r>
      <w:r w:rsidRPr="00857080">
        <w:t>simoctocog alfa</w:t>
      </w:r>
      <w:r>
        <w:t>. In children aged 6-</w:t>
      </w:r>
      <w:r w:rsidRPr="00857080">
        <w:t>12 years, the percentage of patients reaching T</w:t>
      </w:r>
      <w:r w:rsidRPr="00857080">
        <w:rPr>
          <w:vertAlign w:val="subscript"/>
        </w:rPr>
        <w:t>max</w:t>
      </w:r>
      <w:r w:rsidRPr="00857080">
        <w:t xml:space="preserve"> within 30 minutes was identical </w:t>
      </w:r>
      <w:r>
        <w:t xml:space="preserve">following both previously used FVIII concentrates and simoctocog </w:t>
      </w:r>
      <w:proofErr w:type="gramStart"/>
      <w:r>
        <w:t>alfa</w:t>
      </w:r>
      <w:r w:rsidRPr="00857080">
        <w:t xml:space="preserve">  (</w:t>
      </w:r>
      <w:proofErr w:type="gramEnd"/>
      <w:r w:rsidR="001A2E59">
        <w:t>that is,</w:t>
      </w:r>
      <w:r w:rsidRPr="00857080">
        <w:t xml:space="preserve"> 84.6%).</w:t>
      </w:r>
    </w:p>
    <w:p w14:paraId="4F3A512C" w14:textId="77777777" w:rsidR="000F04AF" w:rsidRDefault="00AE1580" w:rsidP="00AE1580">
      <w:pPr>
        <w:widowControl w:val="0"/>
        <w:autoSpaceDE w:val="0"/>
        <w:autoSpaceDN w:val="0"/>
        <w:adjustRightInd w:val="0"/>
      </w:pPr>
      <w:r w:rsidRPr="00857080">
        <w:t xml:space="preserve">Recovery at baseline was evaluated in 27 patients participating in the PK analysis and </w:t>
      </w:r>
      <w:r>
        <w:t xml:space="preserve">for an </w:t>
      </w:r>
      <w:r w:rsidRPr="00857080">
        <w:t>additional</w:t>
      </w:r>
      <w:r>
        <w:t xml:space="preserve"> </w:t>
      </w:r>
      <w:r w:rsidRPr="00857080">
        <w:t xml:space="preserve">32 patients participating </w:t>
      </w:r>
      <w:r>
        <w:t xml:space="preserve">only in </w:t>
      </w:r>
      <w:r w:rsidRPr="00857080">
        <w:t xml:space="preserve">the prophylactic treatment </w:t>
      </w:r>
      <w:r>
        <w:t>efficacy analysis</w:t>
      </w:r>
      <w:r w:rsidRPr="00857080">
        <w:t xml:space="preserve"> (Phase II), </w:t>
      </w:r>
      <w:r>
        <w:t xml:space="preserve">and all 57 patients </w:t>
      </w:r>
      <w:r w:rsidRPr="00857080">
        <w:t>were evaluated at 3 months and at 6 m</w:t>
      </w:r>
      <w:r>
        <w:t xml:space="preserve">onths. The following results are based on the CHR assay unless otherwise stated. </w:t>
      </w:r>
      <w:r w:rsidRPr="00857080">
        <w:t xml:space="preserve">In </w:t>
      </w:r>
      <w:r>
        <w:t>children aged 2-12 years</w:t>
      </w:r>
      <w:r w:rsidRPr="00857080">
        <w:t>, mean IVRs were above 1.5% per IU/kg</w:t>
      </w:r>
      <w:r>
        <w:t xml:space="preserve"> at all time points (</w:t>
      </w:r>
      <w:r w:rsidRPr="00857080">
        <w:t>1.568</w:t>
      </w:r>
      <w:r>
        <w:t xml:space="preserve">% to </w:t>
      </w:r>
      <w:r w:rsidRPr="00857080">
        <w:t xml:space="preserve">1.834% per </w:t>
      </w:r>
      <w:r>
        <w:t>IU/kg) in the ITT population, and above 1.7 % per IU/kg) at all time points (</w:t>
      </w:r>
      <w:r w:rsidRPr="00857080">
        <w:t>1.747</w:t>
      </w:r>
      <w:r>
        <w:t xml:space="preserve">%  to 1.876% per IU/kg) in the PK-PP analysis population. </w:t>
      </w:r>
      <w:r w:rsidRPr="00857080">
        <w:t>In the ITT population, mean IVR values ranged from 1.446</w:t>
      </w:r>
      <w:r>
        <w:t>%</w:t>
      </w:r>
      <w:r w:rsidRPr="00857080">
        <w:t xml:space="preserve"> to 1.871 % per </w:t>
      </w:r>
      <w:r>
        <w:t>IU/kg over the time points in patients aged 2-</w:t>
      </w:r>
      <w:r w:rsidRPr="00857080">
        <w:t xml:space="preserve">5 years and from </w:t>
      </w:r>
      <w:r w:rsidRPr="00857080">
        <w:rPr>
          <w:rFonts w:eastAsia="Times New Roman"/>
          <w:lang w:eastAsia="en-AU"/>
        </w:rPr>
        <w:t>1.676</w:t>
      </w:r>
      <w:r>
        <w:rPr>
          <w:rFonts w:eastAsia="Times New Roman"/>
          <w:lang w:eastAsia="en-AU"/>
        </w:rPr>
        <w:t>%</w:t>
      </w:r>
      <w:r w:rsidRPr="00857080">
        <w:rPr>
          <w:rFonts w:eastAsia="Times New Roman"/>
          <w:lang w:eastAsia="en-AU"/>
        </w:rPr>
        <w:t xml:space="preserve"> to 1.854 %</w:t>
      </w:r>
      <w:r>
        <w:rPr>
          <w:rFonts w:eastAsia="Times New Roman"/>
          <w:lang w:eastAsia="en-AU"/>
        </w:rPr>
        <w:t xml:space="preserve"> </w:t>
      </w:r>
      <w:r w:rsidRPr="00857080">
        <w:t xml:space="preserve">per IU/kg </w:t>
      </w:r>
      <w:r>
        <w:t xml:space="preserve">over the time points </w:t>
      </w:r>
      <w:r w:rsidRPr="00857080">
        <w:t xml:space="preserve">in patients aged 6–12 years. In the PK-PP </w:t>
      </w:r>
      <w:r>
        <w:t xml:space="preserve">analysis population, </w:t>
      </w:r>
      <w:r w:rsidRPr="00857080">
        <w:t>mean IVR values ranged from 1.631</w:t>
      </w:r>
      <w:r>
        <w:t>%</w:t>
      </w:r>
      <w:r w:rsidRPr="00857080">
        <w:t xml:space="preserve"> to 1.871% </w:t>
      </w:r>
      <w:r>
        <w:t>per IU/kg over the time points in patients aged 2-</w:t>
      </w:r>
      <w:r w:rsidRPr="00857080">
        <w:t>5 years, and from 1.772</w:t>
      </w:r>
      <w:r>
        <w:t>% to 1.885</w:t>
      </w:r>
      <w:r w:rsidRPr="00857080">
        <w:t>% per IU/</w:t>
      </w:r>
      <w:r>
        <w:t>kg over the time points in patients aged 6–12 years. M</w:t>
      </w:r>
      <w:r w:rsidRPr="00857080">
        <w:t xml:space="preserve">ean IVRs according to the OS assay were marginally lower than </w:t>
      </w:r>
      <w:r>
        <w:t xml:space="preserve">corresponding </w:t>
      </w:r>
      <w:r w:rsidRPr="00857080">
        <w:t xml:space="preserve">mean IVRs according to the CHR assay in both the ITT and PK-PP </w:t>
      </w:r>
      <w:r>
        <w:t xml:space="preserve">analysis </w:t>
      </w:r>
      <w:r w:rsidRPr="00857080">
        <w:t>populations.</w:t>
      </w:r>
    </w:p>
    <w:p w14:paraId="3F69BEDF" w14:textId="5E110D5B" w:rsidR="00AE1580" w:rsidRPr="009C0C24" w:rsidRDefault="00AE1580" w:rsidP="009C0C24">
      <w:pPr>
        <w:pStyle w:val="Heading4"/>
      </w:pPr>
      <w:bookmarkStart w:id="41" w:name="_Toc266446429"/>
      <w:r w:rsidRPr="009C0C24">
        <w:lastRenderedPageBreak/>
        <w:t>GENA-08 - previously treated adult patients aged from 18 to 75 years</w:t>
      </w:r>
      <w:bookmarkEnd w:id="41"/>
    </w:p>
    <w:p w14:paraId="050C3CAA" w14:textId="77777777" w:rsidR="000F04AF" w:rsidRPr="002C746B" w:rsidRDefault="00AE1580" w:rsidP="00EA445D">
      <w:pPr>
        <w:pStyle w:val="Numberbullet2"/>
        <w:rPr>
          <w:lang w:eastAsia="en-AU"/>
        </w:rPr>
      </w:pPr>
      <w:r w:rsidRPr="002C746B">
        <w:rPr>
          <w:lang w:eastAsia="en-AU"/>
        </w:rPr>
        <w:t>a.</w:t>
      </w:r>
      <w:r w:rsidRPr="002C746B">
        <w:rPr>
          <w:lang w:eastAsia="en-AU"/>
        </w:rPr>
        <w:tab/>
        <w:t>Title</w:t>
      </w:r>
    </w:p>
    <w:p w14:paraId="76775DD4" w14:textId="0B48DB28" w:rsidR="00AE1580" w:rsidRDefault="00AE1580" w:rsidP="00FA7210">
      <w:r w:rsidRPr="00A81255">
        <w:t xml:space="preserve">Clinical Study </w:t>
      </w:r>
      <w:proofErr w:type="gramStart"/>
      <w:r w:rsidRPr="00A81255">
        <w:t>To Investigate The</w:t>
      </w:r>
      <w:proofErr w:type="gramEnd"/>
      <w:r w:rsidRPr="00A81255">
        <w:t xml:space="preserve"> Efficacy,</w:t>
      </w:r>
      <w:r>
        <w:t xml:space="preserve"> </w:t>
      </w:r>
      <w:r w:rsidRPr="00A81255">
        <w:t xml:space="preserve">Safety, And Immunogenicity Of </w:t>
      </w:r>
      <w:r w:rsidR="00C8405D">
        <w:t>Simoctocog alfa</w:t>
      </w:r>
      <w:r>
        <w:t xml:space="preserve"> In </w:t>
      </w:r>
      <w:r w:rsidRPr="00A81255">
        <w:t>Previously Treated Patients With</w:t>
      </w:r>
      <w:r>
        <w:t xml:space="preserve"> </w:t>
      </w:r>
      <w:r w:rsidRPr="00A81255">
        <w:t>Severe Haemophilia A</w:t>
      </w:r>
      <w:r>
        <w:t>.</w:t>
      </w:r>
    </w:p>
    <w:p w14:paraId="5C579329" w14:textId="77777777" w:rsidR="00AE1580" w:rsidRPr="002C746B" w:rsidRDefault="00AE1580" w:rsidP="00EA445D">
      <w:pPr>
        <w:pStyle w:val="Numberbullet2"/>
      </w:pPr>
      <w:r w:rsidRPr="002C746B">
        <w:t>b.</w:t>
      </w:r>
      <w:r w:rsidRPr="002C746B">
        <w:tab/>
        <w:t>Location</w:t>
      </w:r>
    </w:p>
    <w:p w14:paraId="66FC13C9" w14:textId="77777777" w:rsidR="000F04AF" w:rsidRDefault="00AE1580" w:rsidP="00FA7210">
      <w:pPr>
        <w:rPr>
          <w:color w:val="000000"/>
        </w:rPr>
      </w:pPr>
      <w:r>
        <w:t xml:space="preserve">The study was conducted at 10 investigational centres in Austria (1 centre), Bulgaria (1 centre), Germany (3 centres) and the UK (5 centres). </w:t>
      </w:r>
      <w:r w:rsidRPr="00E36072">
        <w:rPr>
          <w:color w:val="000000"/>
        </w:rPr>
        <w:t>The Co-ordinating Investigator was located at the Experimental Haematology and Transfusion Medicine, Bonn, Germany.</w:t>
      </w:r>
      <w:r w:rsidRPr="0042570B">
        <w:rPr>
          <w:color w:val="000000"/>
        </w:rPr>
        <w:t xml:space="preserve"> </w:t>
      </w:r>
      <w:r>
        <w:rPr>
          <w:color w:val="000000"/>
        </w:rPr>
        <w:t xml:space="preserve">The study was conducted from </w:t>
      </w:r>
      <w:r w:rsidRPr="00E36072">
        <w:rPr>
          <w:color w:val="000000"/>
        </w:rPr>
        <w:t xml:space="preserve">22 June 2010 </w:t>
      </w:r>
      <w:r>
        <w:rPr>
          <w:color w:val="000000"/>
        </w:rPr>
        <w:t>to</w:t>
      </w:r>
      <w:r w:rsidRPr="00E36072">
        <w:rPr>
          <w:color w:val="000000"/>
        </w:rPr>
        <w:t xml:space="preserve"> 31 January 2012</w:t>
      </w:r>
      <w:r>
        <w:rPr>
          <w:color w:val="000000"/>
        </w:rPr>
        <w:t xml:space="preserve">, and the CSR was </w:t>
      </w:r>
      <w:r w:rsidRPr="00E36072">
        <w:rPr>
          <w:color w:val="000000"/>
        </w:rPr>
        <w:t>date</w:t>
      </w:r>
      <w:r>
        <w:rPr>
          <w:color w:val="000000"/>
        </w:rPr>
        <w:t>d</w:t>
      </w:r>
      <w:r w:rsidRPr="00E36072">
        <w:rPr>
          <w:color w:val="000000"/>
        </w:rPr>
        <w:t xml:space="preserve"> 19 July 2012.</w:t>
      </w:r>
      <w:r>
        <w:rPr>
          <w:color w:val="000000"/>
        </w:rPr>
        <w:t xml:space="preserve"> The study was conducted in accordance with standard ethical requirements.</w:t>
      </w:r>
    </w:p>
    <w:p w14:paraId="1C84BB80" w14:textId="418002E6" w:rsidR="00AE1580" w:rsidRPr="002C746B" w:rsidRDefault="00AE1580" w:rsidP="00EA445D">
      <w:pPr>
        <w:pStyle w:val="Numberbullet2"/>
      </w:pPr>
      <w:r w:rsidRPr="002C746B">
        <w:t>c.</w:t>
      </w:r>
      <w:r w:rsidRPr="002C746B">
        <w:tab/>
        <w:t>Objectives</w:t>
      </w:r>
    </w:p>
    <w:p w14:paraId="7E4C63ED" w14:textId="77777777" w:rsidR="000F04AF" w:rsidRDefault="00AE1580" w:rsidP="00FA7210">
      <w:r w:rsidRPr="00E36072">
        <w:t xml:space="preserve">The </w:t>
      </w:r>
      <w:r w:rsidRPr="0042570B">
        <w:rPr>
          <w:i/>
        </w:rPr>
        <w:t>primary objective</w:t>
      </w:r>
      <w:r w:rsidRPr="00E36072">
        <w:rPr>
          <w:b/>
        </w:rPr>
        <w:t xml:space="preserve"> </w:t>
      </w:r>
      <w:r w:rsidRPr="00E36072">
        <w:t>of the study was to determine the efficacy of simoctocog alfa</w:t>
      </w:r>
      <w:r>
        <w:t xml:space="preserve"> </w:t>
      </w:r>
      <w:r w:rsidRPr="00E36072">
        <w:t xml:space="preserve">during prophylactic treatment, for the treatment of bleeding episodes (BEs), and for surgical prophylaxis, in </w:t>
      </w:r>
      <w:r>
        <w:t>PTPs</w:t>
      </w:r>
      <w:r w:rsidRPr="00E36072">
        <w:t xml:space="preserve"> with severe haemophilia A</w:t>
      </w:r>
      <w:r>
        <w:t>.</w:t>
      </w:r>
    </w:p>
    <w:p w14:paraId="1A30586E" w14:textId="77777777" w:rsidR="000F04AF" w:rsidRDefault="00AE1580" w:rsidP="00FA7210">
      <w:r w:rsidRPr="00E36072">
        <w:t xml:space="preserve">The </w:t>
      </w:r>
      <w:r w:rsidRPr="0042570B">
        <w:rPr>
          <w:i/>
        </w:rPr>
        <w:t>secondary objectives</w:t>
      </w:r>
      <w:r w:rsidRPr="00E36072">
        <w:t xml:space="preserve"> of the study were:</w:t>
      </w:r>
      <w:r>
        <w:t xml:space="preserve"> t</w:t>
      </w:r>
      <w:r w:rsidRPr="00E36072">
        <w:t>o calculate the incremental recovery of FVIII</w:t>
      </w:r>
      <w:proofErr w:type="gramStart"/>
      <w:r w:rsidRPr="00E36072">
        <w:t>:C</w:t>
      </w:r>
      <w:proofErr w:type="gramEnd"/>
      <w:r w:rsidRPr="00E36072">
        <w:t xml:space="preserve"> for simoctocog alfa;</w:t>
      </w:r>
      <w:r>
        <w:t xml:space="preserve"> to </w:t>
      </w:r>
      <w:r w:rsidRPr="00E36072">
        <w:t>investigate the immunogenic potential of simoctocog alfa;</w:t>
      </w:r>
      <w:r>
        <w:t xml:space="preserve"> and to </w:t>
      </w:r>
      <w:r w:rsidRPr="00E36072">
        <w:t>assess the safety of simoctocog alfa.</w:t>
      </w:r>
    </w:p>
    <w:p w14:paraId="35D20081" w14:textId="77777777" w:rsidR="000F04AF" w:rsidRPr="002C746B" w:rsidRDefault="00AE1580" w:rsidP="00EA445D">
      <w:pPr>
        <w:pStyle w:val="Numberbullet2"/>
      </w:pPr>
      <w:r w:rsidRPr="002C746B">
        <w:t>d.</w:t>
      </w:r>
      <w:r w:rsidRPr="002C746B">
        <w:tab/>
        <w:t>Design</w:t>
      </w:r>
    </w:p>
    <w:p w14:paraId="04F3CA94" w14:textId="77777777" w:rsidR="000F04AF" w:rsidRDefault="00AE1580" w:rsidP="00AE1580">
      <w:pPr>
        <w:widowControl w:val="0"/>
        <w:autoSpaceDE w:val="0"/>
        <w:autoSpaceDN w:val="0"/>
        <w:adjustRightInd w:val="0"/>
        <w:rPr>
          <w:color w:val="000000"/>
        </w:rPr>
      </w:pPr>
      <w:r>
        <w:rPr>
          <w:lang w:eastAsia="en-AU"/>
        </w:rPr>
        <w:t>GENA-08 was designed as a multi</w:t>
      </w:r>
      <w:r w:rsidRPr="00180D97">
        <w:rPr>
          <w:lang w:eastAsia="en-AU"/>
        </w:rPr>
        <w:t>national</w:t>
      </w:r>
      <w:r>
        <w:rPr>
          <w:lang w:eastAsia="en-AU"/>
        </w:rPr>
        <w:t>, multi</w:t>
      </w:r>
      <w:r w:rsidRPr="00180D97">
        <w:rPr>
          <w:lang w:eastAsia="en-AU"/>
        </w:rPr>
        <w:t xml:space="preserve">centre, Phase III study, to investigate the efficacy, safety and immunogenicity of </w:t>
      </w:r>
      <w:r>
        <w:rPr>
          <w:lang w:eastAsia="en-AU"/>
        </w:rPr>
        <w:t xml:space="preserve">simoctocog alfa </w:t>
      </w:r>
      <w:r w:rsidRPr="00180D97">
        <w:rPr>
          <w:lang w:eastAsia="en-AU"/>
        </w:rPr>
        <w:t>in previously treated adult male patients with severe haemophilia A (FVIII:C ≤ 1%)</w:t>
      </w:r>
      <w:r>
        <w:rPr>
          <w:lang w:eastAsia="en-AU"/>
        </w:rPr>
        <w:t xml:space="preserve">. </w:t>
      </w:r>
      <w:r w:rsidRPr="00E36072">
        <w:t xml:space="preserve">The </w:t>
      </w:r>
      <w:r w:rsidRPr="00416D45">
        <w:t>study enrolled</w:t>
      </w:r>
      <w:r>
        <w:rPr>
          <w:b/>
        </w:rPr>
        <w:t xml:space="preserve"> </w:t>
      </w:r>
      <w:r>
        <w:t>32 patients. A</w:t>
      </w:r>
      <w:r>
        <w:rPr>
          <w:color w:val="000000"/>
        </w:rPr>
        <w:t xml:space="preserve">fter the </w:t>
      </w:r>
      <w:r w:rsidRPr="00E36072">
        <w:rPr>
          <w:color w:val="000000"/>
        </w:rPr>
        <w:t>first IVR assessment, patients entered the open</w:t>
      </w:r>
      <w:r>
        <w:rPr>
          <w:color w:val="000000"/>
        </w:rPr>
        <w:t>-label, single-arm,</w:t>
      </w:r>
      <w:r w:rsidRPr="00E36072">
        <w:rPr>
          <w:color w:val="000000"/>
        </w:rPr>
        <w:t xml:space="preserve"> treatment phase </w:t>
      </w:r>
      <w:r>
        <w:rPr>
          <w:color w:val="000000"/>
        </w:rPr>
        <w:t xml:space="preserve">and treated with simoctocog alfa </w:t>
      </w:r>
      <w:r w:rsidRPr="00E36072">
        <w:rPr>
          <w:color w:val="000000"/>
        </w:rPr>
        <w:t>prophylactically (inclu</w:t>
      </w:r>
      <w:r>
        <w:rPr>
          <w:color w:val="000000"/>
        </w:rPr>
        <w:t>ding surgery prophylaxis if required</w:t>
      </w:r>
      <w:r w:rsidRPr="00E36072">
        <w:rPr>
          <w:color w:val="000000"/>
        </w:rPr>
        <w:t>) and on-demand (in case of breakthrough bleeds) for a period of 6 months and at least 50 EDs. Two additional IVR assessments were scheduled at 3 months and 6 months.</w:t>
      </w:r>
      <w:r>
        <w:rPr>
          <w:color w:val="000000"/>
        </w:rPr>
        <w:t xml:space="preserve"> No assessment of standard PK parameters was undertaken in this study.</w:t>
      </w:r>
    </w:p>
    <w:p w14:paraId="3C683407" w14:textId="77777777" w:rsidR="000F04AF" w:rsidRPr="002C746B" w:rsidRDefault="00AE1580" w:rsidP="00EA445D">
      <w:pPr>
        <w:pStyle w:val="Numberbullet2"/>
        <w:rPr>
          <w:lang w:eastAsia="en-AU"/>
        </w:rPr>
      </w:pPr>
      <w:r w:rsidRPr="002C746B">
        <w:rPr>
          <w:lang w:eastAsia="en-AU"/>
        </w:rPr>
        <w:t>e.</w:t>
      </w:r>
      <w:r w:rsidRPr="002C746B">
        <w:rPr>
          <w:lang w:eastAsia="en-AU"/>
        </w:rPr>
        <w:tab/>
        <w:t>IVR assessments and statistical methods</w:t>
      </w:r>
    </w:p>
    <w:p w14:paraId="28137CAE" w14:textId="77777777" w:rsidR="000F04AF" w:rsidRDefault="00AE1580" w:rsidP="00AE1580">
      <w:pPr>
        <w:widowControl w:val="0"/>
        <w:autoSpaceDE w:val="0"/>
        <w:autoSpaceDN w:val="0"/>
        <w:adjustRightInd w:val="0"/>
      </w:pPr>
      <w:r w:rsidRPr="00416D45">
        <w:rPr>
          <w:lang w:eastAsia="en-AU"/>
        </w:rPr>
        <w:t xml:space="preserve">For the IVR assessments, simoctocog alfa was administered at a dose of 50 IU FVIII/kg (exact amount according to labelled potency). </w:t>
      </w:r>
      <w:r w:rsidRPr="00416D45">
        <w:t>The IVR was calculated at study entry (Visit 1) and after 3 and 6 months of treatment from the FVIII levels pre-infusion and the peak levels obtained in the 15, 30, 45 or 60 minutes post-infusion samples. Recovery was calculated based on the actual potency of simoctocog alfa according to the CHR and the OS assay</w:t>
      </w:r>
      <w:r>
        <w:t>s. Recoveries</w:t>
      </w:r>
      <w:r w:rsidRPr="00416D45">
        <w:t xml:space="preserve"> over time were </w:t>
      </w:r>
      <w:r>
        <w:t>compared, and r</w:t>
      </w:r>
      <w:r w:rsidRPr="00416D45">
        <w:t>ecovery was calculated according to the formula used in GENA-01 and GENA-0</w:t>
      </w:r>
      <w:r>
        <w:t>3</w:t>
      </w:r>
      <w:r w:rsidRPr="00416D45">
        <w:t>.</w:t>
      </w:r>
    </w:p>
    <w:p w14:paraId="56BFA332" w14:textId="04A0CE35" w:rsidR="00AE1580" w:rsidRPr="002C746B" w:rsidRDefault="00AE1580" w:rsidP="00EA445D">
      <w:pPr>
        <w:pStyle w:val="Numberbullet2"/>
        <w:rPr>
          <w:lang w:eastAsia="en-AU"/>
        </w:rPr>
      </w:pPr>
      <w:r w:rsidRPr="002C746B">
        <w:rPr>
          <w:lang w:eastAsia="en-AU"/>
        </w:rPr>
        <w:t>f.</w:t>
      </w:r>
      <w:r w:rsidRPr="002C746B">
        <w:rPr>
          <w:lang w:eastAsia="en-AU"/>
        </w:rPr>
        <w:tab/>
        <w:t>Chromogenic (CHR) and one-stage assays (OS)</w:t>
      </w:r>
    </w:p>
    <w:p w14:paraId="10E486B0" w14:textId="77777777" w:rsidR="00AE1580" w:rsidRPr="00C06741" w:rsidRDefault="00AE1580" w:rsidP="009026F4">
      <w:pPr>
        <w:keepNext/>
        <w:widowControl w:val="0"/>
        <w:autoSpaceDE w:val="0"/>
        <w:autoSpaceDN w:val="0"/>
        <w:adjustRightInd w:val="0"/>
      </w:pPr>
      <w:r w:rsidRPr="00C06741">
        <w:rPr>
          <w:rFonts w:eastAsia="Times New Roman"/>
          <w:lang w:eastAsia="en-AU"/>
        </w:rPr>
        <w:t>FVIII</w:t>
      </w:r>
      <w:proofErr w:type="gramStart"/>
      <w:r w:rsidRPr="00C06741">
        <w:rPr>
          <w:rFonts w:eastAsia="Times New Roman"/>
          <w:lang w:eastAsia="en-AU"/>
        </w:rPr>
        <w:t>:C</w:t>
      </w:r>
      <w:proofErr w:type="gramEnd"/>
      <w:r w:rsidRPr="00C06741">
        <w:rPr>
          <w:rFonts w:eastAsia="Times New Roman"/>
          <w:lang w:eastAsia="en-AU"/>
        </w:rPr>
        <w:t xml:space="preserve"> measurements for determining IVR were performed using validated methods for the OS and CHR assays in the central laboratory, which also assigned the actual drug potency by means of the same assays. IVR was measured at the beginning of the study, after 3 months and at the end of the study (after 6 months). </w:t>
      </w:r>
      <w:r w:rsidRPr="00C06741">
        <w:t>FVIII inhibitory and non-inhibitory antibodies were measured by validated methods in the central laboratory.</w:t>
      </w:r>
    </w:p>
    <w:p w14:paraId="1A67B9DC" w14:textId="77777777" w:rsidR="000F04AF" w:rsidRDefault="00AE1580" w:rsidP="00AE1580">
      <w:pPr>
        <w:widowControl w:val="0"/>
        <w:autoSpaceDE w:val="0"/>
        <w:autoSpaceDN w:val="0"/>
        <w:adjustRightInd w:val="0"/>
        <w:rPr>
          <w:rFonts w:eastAsia="Times New Roman"/>
          <w:lang w:eastAsia="en-AU"/>
        </w:rPr>
      </w:pPr>
      <w:r w:rsidRPr="00C06741">
        <w:rPr>
          <w:rFonts w:eastAsia="Times New Roman"/>
          <w:lang w:eastAsia="en-AU"/>
        </w:rPr>
        <w:t>The statistical analysis of all endpoints was exploratory, and no confirmatory statistical analysis was planned. No formal sample size calculation was undertaken.</w:t>
      </w:r>
    </w:p>
    <w:p w14:paraId="3D13A7CC" w14:textId="0EA2E63F" w:rsidR="00AE1580" w:rsidRPr="002C746B" w:rsidRDefault="00AE1580" w:rsidP="00EA445D">
      <w:pPr>
        <w:pStyle w:val="Numberbullet2"/>
        <w:rPr>
          <w:lang w:eastAsia="en-AU"/>
        </w:rPr>
      </w:pPr>
      <w:r w:rsidRPr="002C746B">
        <w:rPr>
          <w:lang w:eastAsia="en-AU"/>
        </w:rPr>
        <w:t xml:space="preserve">g. </w:t>
      </w:r>
      <w:r w:rsidRPr="002C746B">
        <w:rPr>
          <w:lang w:eastAsia="en-AU"/>
        </w:rPr>
        <w:tab/>
      </w:r>
      <w:r w:rsidRPr="002C746B">
        <w:rPr>
          <w:lang w:eastAsia="en-AU"/>
        </w:rPr>
        <w:tab/>
        <w:t>Demographics</w:t>
      </w:r>
    </w:p>
    <w:p w14:paraId="3619081D" w14:textId="77777777" w:rsidR="00AE1580" w:rsidRPr="00C06741" w:rsidRDefault="00AE1580" w:rsidP="00AE1580">
      <w:pPr>
        <w:widowControl w:val="0"/>
        <w:autoSpaceDE w:val="0"/>
        <w:autoSpaceDN w:val="0"/>
        <w:adjustRightInd w:val="0"/>
        <w:rPr>
          <w:rFonts w:eastAsia="Times New Roman"/>
          <w:lang w:eastAsia="en-AU"/>
        </w:rPr>
      </w:pPr>
      <w:r w:rsidRPr="00C06741">
        <w:rPr>
          <w:rFonts w:eastAsia="Times New Roman"/>
          <w:lang w:eastAsia="en-AU"/>
        </w:rPr>
        <w:t>The study enrolled 32 patients. IVRs were assessed in all patients who underwent at least one IVR assessment and included 32 patients at Visit 1, 31 patients at 3 mont</w:t>
      </w:r>
      <w:r>
        <w:rPr>
          <w:rFonts w:eastAsia="Times New Roman"/>
          <w:lang w:eastAsia="en-AU"/>
        </w:rPr>
        <w:t xml:space="preserve">hs and 30 patients at 6 months. </w:t>
      </w:r>
      <w:r w:rsidRPr="00C06741">
        <w:rPr>
          <w:lang w:eastAsia="en-AU"/>
        </w:rPr>
        <w:t>The mean±SD age of patients in the study (n=32)</w:t>
      </w:r>
      <w:r>
        <w:rPr>
          <w:lang w:eastAsia="en-AU"/>
        </w:rPr>
        <w:t xml:space="preserve"> was 37.3</w:t>
      </w:r>
      <w:r w:rsidR="00FA7210">
        <w:rPr>
          <w:lang w:eastAsia="en-AU"/>
        </w:rPr>
        <w:t>±</w:t>
      </w:r>
      <w:r>
        <w:rPr>
          <w:lang w:eastAsia="en-AU"/>
        </w:rPr>
        <w:t xml:space="preserve">13.6 years (range: 18, </w:t>
      </w:r>
      <w:r w:rsidRPr="00C06741">
        <w:rPr>
          <w:lang w:eastAsia="en-AU"/>
        </w:rPr>
        <w:t xml:space="preserve">75 </w:t>
      </w:r>
      <w:r w:rsidRPr="00C06741">
        <w:rPr>
          <w:lang w:eastAsia="en-AU"/>
        </w:rPr>
        <w:lastRenderedPageBreak/>
        <w:t xml:space="preserve">years), </w:t>
      </w:r>
      <w:r w:rsidRPr="00C06741">
        <w:rPr>
          <w:rFonts w:eastAsia="Times New Roman"/>
          <w:lang w:eastAsia="en-AU"/>
        </w:rPr>
        <w:t>the mean heig</w:t>
      </w:r>
      <w:r>
        <w:rPr>
          <w:rFonts w:eastAsia="Times New Roman"/>
          <w:lang w:eastAsia="en-AU"/>
        </w:rPr>
        <w:t xml:space="preserve">ht was 178.4±7.9 cm (range: 158, </w:t>
      </w:r>
      <w:r w:rsidRPr="00C06741">
        <w:rPr>
          <w:rFonts w:eastAsia="Times New Roman"/>
          <w:lang w:eastAsia="en-AU"/>
        </w:rPr>
        <w:t xml:space="preserve">192), </w:t>
      </w:r>
      <w:r w:rsidRPr="00C06741">
        <w:rPr>
          <w:lang w:eastAsia="en-AU"/>
        </w:rPr>
        <w:t>the mean±SD wei</w:t>
      </w:r>
      <w:r>
        <w:rPr>
          <w:lang w:eastAsia="en-AU"/>
        </w:rPr>
        <w:t xml:space="preserve">ght was 82.5±18.0 kg (range: 47, </w:t>
      </w:r>
      <w:r w:rsidRPr="00C06741">
        <w:rPr>
          <w:lang w:eastAsia="en-AU"/>
        </w:rPr>
        <w:t>127), and 90.6% (n=29) of patients were white with the remaining 9.4% (n=3) of patients being Asian,</w:t>
      </w:r>
    </w:p>
    <w:p w14:paraId="17D29DF6" w14:textId="0F1B811E" w:rsidR="000F04AF" w:rsidRPr="002C746B" w:rsidRDefault="002C746B" w:rsidP="00EA445D">
      <w:pPr>
        <w:pStyle w:val="Numberbullet2"/>
        <w:rPr>
          <w:lang w:eastAsia="en-AU"/>
        </w:rPr>
      </w:pPr>
      <w:r w:rsidRPr="002C746B">
        <w:rPr>
          <w:lang w:eastAsia="en-AU"/>
        </w:rPr>
        <w:t>h.</w:t>
      </w:r>
      <w:r w:rsidRPr="002C746B">
        <w:rPr>
          <w:lang w:eastAsia="en-AU"/>
        </w:rPr>
        <w:tab/>
      </w:r>
      <w:r w:rsidR="00AE1580" w:rsidRPr="002C746B">
        <w:rPr>
          <w:lang w:eastAsia="en-AU"/>
        </w:rPr>
        <w:t>IVR results over time</w:t>
      </w:r>
    </w:p>
    <w:p w14:paraId="30B47886" w14:textId="77777777" w:rsidR="000F04AF" w:rsidRDefault="00AE1580" w:rsidP="00AE1580">
      <w:pPr>
        <w:rPr>
          <w:lang w:eastAsia="en-AU"/>
        </w:rPr>
      </w:pPr>
      <w:r w:rsidRPr="00180D97">
        <w:rPr>
          <w:lang w:eastAsia="en-AU"/>
        </w:rPr>
        <w:t xml:space="preserve">The </w:t>
      </w:r>
      <w:r>
        <w:rPr>
          <w:lang w:eastAsia="en-AU"/>
        </w:rPr>
        <w:t xml:space="preserve">mean±SD (range) </w:t>
      </w:r>
      <w:r w:rsidRPr="00180D97">
        <w:rPr>
          <w:lang w:eastAsia="en-AU"/>
        </w:rPr>
        <w:t xml:space="preserve">actual doses </w:t>
      </w:r>
      <w:r>
        <w:rPr>
          <w:lang w:eastAsia="en-AU"/>
        </w:rPr>
        <w:t xml:space="preserve">of simoctocog alfa </w:t>
      </w:r>
      <w:r w:rsidRPr="00180D97">
        <w:rPr>
          <w:lang w:eastAsia="en-AU"/>
        </w:rPr>
        <w:t>administered</w:t>
      </w:r>
      <w:r>
        <w:rPr>
          <w:lang w:eastAsia="en-AU"/>
        </w:rPr>
        <w:t xml:space="preserve"> for IVR determination according to the CHR and OS assays (respectively) in the ITT population were:</w:t>
      </w:r>
    </w:p>
    <w:p w14:paraId="3FDB7E46" w14:textId="0602B3B2" w:rsidR="00AE1580" w:rsidRPr="00FA7210" w:rsidRDefault="00AE1580" w:rsidP="00FA7210">
      <w:pPr>
        <w:pStyle w:val="ListBullet"/>
      </w:pPr>
      <w:r w:rsidRPr="00FA7210">
        <w:t>Visit 1 (n=32), 55.6±2.8 IU/kg (range: 49.2, 61.6) and 47.8±2.8 IU/kg (range: 43.2, 54.7);</w:t>
      </w:r>
    </w:p>
    <w:p w14:paraId="62881CE4" w14:textId="77777777" w:rsidR="00AE1580" w:rsidRPr="00FA7210" w:rsidRDefault="00AE1580" w:rsidP="00FA7210">
      <w:pPr>
        <w:pStyle w:val="ListBullet"/>
      </w:pPr>
      <w:r w:rsidRPr="00FA7210">
        <w:t>3 months (n=31), 53.5±4.6 IU/kg (range: 35.0, 59.2) and 45.1±4.2 IU/kg (range: 29.4, 51.7); and</w:t>
      </w:r>
    </w:p>
    <w:p w14:paraId="5B4B12C6" w14:textId="77777777" w:rsidR="000F04AF" w:rsidRDefault="00AE1580" w:rsidP="00FA7210">
      <w:pPr>
        <w:pStyle w:val="ListBullet"/>
        <w:rPr>
          <w:lang w:eastAsia="en-AU"/>
        </w:rPr>
      </w:pPr>
      <w:r w:rsidRPr="00FA7210">
        <w:t>6 months (n=30), 53</w:t>
      </w:r>
      <w:r w:rsidRPr="00180D97">
        <w:rPr>
          <w:lang w:eastAsia="en-AU"/>
        </w:rPr>
        <w:t xml:space="preserve">.6±2.3 </w:t>
      </w:r>
      <w:r>
        <w:rPr>
          <w:lang w:eastAsia="en-AU"/>
        </w:rPr>
        <w:t xml:space="preserve">IU/kg (range: 49.1, 57.7) </w:t>
      </w:r>
      <w:r w:rsidRPr="00180D97">
        <w:rPr>
          <w:lang w:eastAsia="en-AU"/>
        </w:rPr>
        <w:t>and 45.3±2.5</w:t>
      </w:r>
      <w:r>
        <w:rPr>
          <w:lang w:eastAsia="en-AU"/>
        </w:rPr>
        <w:t xml:space="preserve"> IU/kg (range: (40.7, 51.2).</w:t>
      </w:r>
    </w:p>
    <w:p w14:paraId="515F2CB2" w14:textId="77777777" w:rsidR="000F04AF" w:rsidRDefault="00AE1580" w:rsidP="00AE1580">
      <w:r>
        <w:t xml:space="preserve">The FVIII (mean±SD) (IU/L) concentrations over time as determined by the CHR and OS assays are summarised below in Figure </w:t>
      </w:r>
      <w:r w:rsidR="006F09EA">
        <w:t>4</w:t>
      </w:r>
      <w:r>
        <w:t xml:space="preserve">. </w:t>
      </w:r>
      <w:r w:rsidRPr="00180D97">
        <w:t>After the</w:t>
      </w:r>
      <w:r w:rsidRPr="00180D97">
        <w:rPr>
          <w:lang w:eastAsia="en-AU"/>
        </w:rPr>
        <w:t xml:space="preserve"> </w:t>
      </w:r>
      <w:r w:rsidRPr="00180D97">
        <w:t>wash-out period and before the admini</w:t>
      </w:r>
      <w:r>
        <w:t>stration of simoctocog alfa, FVIII:</w:t>
      </w:r>
      <w:r w:rsidR="00AC06F3">
        <w:t xml:space="preserve"> </w:t>
      </w:r>
      <w:r>
        <w:t>C levels</w:t>
      </w:r>
      <w:r w:rsidRPr="00180D97">
        <w:rPr>
          <w:lang w:eastAsia="en-AU"/>
        </w:rPr>
        <w:t xml:space="preserve"> </w:t>
      </w:r>
      <w:r w:rsidRPr="00180D97">
        <w:t xml:space="preserve">were low, as expected in this population. </w:t>
      </w:r>
      <w:r>
        <w:t>M</w:t>
      </w:r>
      <w:r w:rsidRPr="00180D97">
        <w:t>ean concentrations increased at</w:t>
      </w:r>
      <w:r>
        <w:rPr>
          <w:lang w:eastAsia="en-AU"/>
        </w:rPr>
        <w:t xml:space="preserve"> </w:t>
      </w:r>
      <w:r w:rsidRPr="00180D97">
        <w:t>15 minutes post-injection and remained elevated compared with baseline values at 60 minutes post injection, although a slight decrease in mean concentrations was observed between 15 and 60 minutes due to elimination of the infused FVIII. This pattern was consistently obs</w:t>
      </w:r>
      <w:r>
        <w:t xml:space="preserve">erved at all three time-point </w:t>
      </w:r>
      <w:r w:rsidRPr="00180D97">
        <w:t>assessments, and there were no marked differences in either peak concentrations or the rate of decrease in FVIII concentration between 15 and 60 minute</w:t>
      </w:r>
      <w:r>
        <w:t xml:space="preserve"> across the three time points</w:t>
      </w:r>
      <w:r w:rsidRPr="00180D97">
        <w:t>. The comparative profiles for the C</w:t>
      </w:r>
      <w:r w:rsidR="009B1737">
        <w:t>H</w:t>
      </w:r>
      <w:r w:rsidRPr="00180D97">
        <w:t>R and OS assays showed that</w:t>
      </w:r>
      <w:r>
        <w:t xml:space="preserve"> FVIII concentrations were higher when determined by the CHR assay compared with the OS assay during the elimination phase when standardised to actual dose of 50 IU/kg.</w:t>
      </w:r>
    </w:p>
    <w:p w14:paraId="51C07E98" w14:textId="77777777" w:rsidR="000F04AF" w:rsidRDefault="00AE1580" w:rsidP="00FA7210">
      <w:pPr>
        <w:pStyle w:val="FigureTitle"/>
        <w:rPr>
          <w:lang w:eastAsia="en-AU"/>
        </w:rPr>
      </w:pPr>
      <w:bookmarkStart w:id="42" w:name="_Toc248202608"/>
      <w:r>
        <w:t xml:space="preserve">Figure </w:t>
      </w:r>
      <w:r w:rsidR="006F09EA">
        <w:t>4</w:t>
      </w:r>
      <w:r>
        <w:t xml:space="preserve">: </w:t>
      </w:r>
      <w:r>
        <w:rPr>
          <w:lang w:eastAsia="en-AU"/>
        </w:rPr>
        <w:t>GENA-</w:t>
      </w:r>
      <w:r w:rsidR="00643EF8">
        <w:rPr>
          <w:lang w:eastAsia="en-AU"/>
        </w:rPr>
        <w:t xml:space="preserve">08 </w:t>
      </w:r>
      <w:r>
        <w:rPr>
          <w:lang w:eastAsia="en-AU"/>
        </w:rPr>
        <w:t>- FVIII (</w:t>
      </w:r>
      <w:r>
        <w:t>mean±SD</w:t>
      </w:r>
      <w:r>
        <w:rPr>
          <w:lang w:eastAsia="en-AU"/>
        </w:rPr>
        <w:t xml:space="preserve">) levels (IU/mL) during IVR assessment at Visits 1, 3 months and 6 months, standardised </w:t>
      </w:r>
      <w:r w:rsidR="00643EF8">
        <w:rPr>
          <w:lang w:eastAsia="en-AU"/>
        </w:rPr>
        <w:t xml:space="preserve">to </w:t>
      </w:r>
      <w:r>
        <w:rPr>
          <w:lang w:eastAsia="en-AU"/>
        </w:rPr>
        <w:t>actual 50 IU/kg dose; ITT population n=32.</w:t>
      </w:r>
      <w:bookmarkEnd w:id="42"/>
    </w:p>
    <w:p w14:paraId="7736C22F" w14:textId="4B4283A0" w:rsidR="009B1737" w:rsidRDefault="009B1737" w:rsidP="002C746B">
      <w:pPr>
        <w:rPr>
          <w:lang w:eastAsia="en-AU"/>
        </w:rPr>
      </w:pPr>
      <w:r>
        <w:rPr>
          <w:noProof/>
          <w:lang w:eastAsia="en-AU"/>
        </w:rPr>
        <w:drawing>
          <wp:inline distT="0" distB="0" distL="0" distR="0" wp14:anchorId="517F4949" wp14:editId="1B2B4D1D">
            <wp:extent cx="4924800" cy="3153600"/>
            <wp:effectExtent l="0" t="0" r="0" b="0"/>
            <wp:docPr id="53" name="Picture 53" descr="Figure 4: GENA-03 - FVIII (mean±SD) levels (IU/mL) during IVR assessment at Visits 1, 3 months and 6 months, standardised actual 50 IU/kg dose; ITT population n=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4800" cy="3153600"/>
                    </a:xfrm>
                    <a:prstGeom prst="rect">
                      <a:avLst/>
                    </a:prstGeom>
                  </pic:spPr>
                </pic:pic>
              </a:graphicData>
            </a:graphic>
          </wp:inline>
        </w:drawing>
      </w:r>
    </w:p>
    <w:p w14:paraId="0AC46B5B" w14:textId="2D35070F" w:rsidR="009B1737" w:rsidRPr="00744750" w:rsidRDefault="009B1737" w:rsidP="002C746B">
      <w:pPr>
        <w:pStyle w:val="FigureDescription"/>
        <w:ind w:right="379"/>
        <w:rPr>
          <w:lang w:eastAsia="en-AU"/>
        </w:rPr>
      </w:pPr>
      <w:r w:rsidRPr="00676B5A">
        <w:rPr>
          <w:lang w:eastAsia="en-AU"/>
        </w:rPr>
        <w:t>FVIII</w:t>
      </w:r>
      <w:proofErr w:type="gramStart"/>
      <w:r w:rsidRPr="00676B5A">
        <w:rPr>
          <w:lang w:eastAsia="en-AU"/>
        </w:rPr>
        <w:t>:C</w:t>
      </w:r>
      <w:proofErr w:type="gramEnd"/>
      <w:r w:rsidRPr="00676B5A">
        <w:rPr>
          <w:lang w:eastAsia="en-AU"/>
        </w:rPr>
        <w:t xml:space="preserve"> = FVIII coagulant activity;</w:t>
      </w:r>
      <w:r>
        <w:rPr>
          <w:lang w:eastAsia="en-AU"/>
        </w:rPr>
        <w:t xml:space="preserve"> ITT = intention-to-treat; </w:t>
      </w:r>
      <w:r w:rsidRPr="00676B5A">
        <w:rPr>
          <w:lang w:eastAsia="en-AU"/>
        </w:rPr>
        <w:t>IU = international units; IVR = in vivo recovery; SD = standard deviation.</w:t>
      </w:r>
    </w:p>
    <w:p w14:paraId="2C57334A" w14:textId="54C43A5E" w:rsidR="00AE1580" w:rsidRPr="00D72732" w:rsidRDefault="00AE1580" w:rsidP="00AE1580">
      <w:pPr>
        <w:rPr>
          <w:sz w:val="16"/>
          <w:szCs w:val="16"/>
          <w:lang w:eastAsia="en-AU"/>
        </w:rPr>
      </w:pPr>
      <w:r>
        <w:rPr>
          <w:lang w:eastAsia="en-AU"/>
        </w:rPr>
        <w:t>The results for the IVR and C</w:t>
      </w:r>
      <w:r w:rsidRPr="0051294C">
        <w:rPr>
          <w:vertAlign w:val="subscript"/>
          <w:lang w:eastAsia="en-AU"/>
        </w:rPr>
        <w:t>max.norm</w:t>
      </w:r>
      <w:r>
        <w:rPr>
          <w:lang w:eastAsia="en-AU"/>
        </w:rPr>
        <w:t xml:space="preserve"> at the three time-points are summarised below in Table 1</w:t>
      </w:r>
      <w:r w:rsidR="006F09EA">
        <w:rPr>
          <w:lang w:eastAsia="en-AU"/>
        </w:rPr>
        <w:t>2</w:t>
      </w:r>
      <w:r>
        <w:rPr>
          <w:lang w:eastAsia="en-AU"/>
        </w:rPr>
        <w:t xml:space="preserve">. IVR at Months 3 and 6 were similar, but recoveries at both of these time points were lower than Visit 1. As determined by the CHR assay, the Month 3 vs Visit 1 and Month 6 vs Visit 1 geometric </w:t>
      </w:r>
      <w:r>
        <w:rPr>
          <w:lang w:eastAsia="en-AU"/>
        </w:rPr>
        <w:lastRenderedPageBreak/>
        <w:t>mean (% of Visit 1 recovery) for individual simoctocog alfa recoveries in the ITT population (n=32) were 93% (90% CI: 88.3, 97.7 ) and 90% (90% CI: 84.9, 96.1), respectively. As determined by the OS assays, the Month 3 vs Visit 1 and Month 6 vs Visit 1 geometric mean (% of Visit 1 recovery) for individual simoctocog alfa recoveries in the ITT population (n=32) were 94% (90% CI: 88.3, 100.1) and 91% (90% CI: 85.6, 96.9 ), respectively.</w:t>
      </w:r>
    </w:p>
    <w:p w14:paraId="28575E53" w14:textId="665C95E6" w:rsidR="00AE1580" w:rsidRPr="0051294C" w:rsidRDefault="00AE1580" w:rsidP="004E5522">
      <w:pPr>
        <w:pStyle w:val="Tabletitle"/>
        <w:rPr>
          <w:lang w:eastAsia="en-AU"/>
        </w:rPr>
      </w:pPr>
      <w:bookmarkStart w:id="43" w:name="_Toc248202531"/>
      <w:proofErr w:type="gramStart"/>
      <w:r>
        <w:t xml:space="preserve">Table </w:t>
      </w:r>
      <w:r w:rsidR="006F09EA">
        <w:t>12</w:t>
      </w:r>
      <w:r>
        <w:t xml:space="preserve">: </w:t>
      </w:r>
      <w:r w:rsidRPr="0051294C">
        <w:rPr>
          <w:lang w:eastAsia="en-AU"/>
        </w:rPr>
        <w:t xml:space="preserve">GENA-08 - IVR and Cmax.norm parameters for </w:t>
      </w:r>
      <w:r>
        <w:rPr>
          <w:lang w:eastAsia="en-AU"/>
        </w:rPr>
        <w:t>simoctocog alfa</w:t>
      </w:r>
      <w:r w:rsidRPr="0051294C">
        <w:rPr>
          <w:lang w:eastAsia="en-AU"/>
        </w:rPr>
        <w:t>; ITT population.</w:t>
      </w:r>
      <w:bookmarkEnd w:id="43"/>
      <w:proofErr w:type="gramEnd"/>
    </w:p>
    <w:tbl>
      <w:tblPr>
        <w:tblStyle w:val="TableTGAblue"/>
        <w:tblW w:w="9782" w:type="dxa"/>
        <w:tblLayout w:type="fixed"/>
        <w:tblLook w:val="04A0" w:firstRow="1" w:lastRow="0" w:firstColumn="1" w:lastColumn="0" w:noHBand="0" w:noVBand="1"/>
      </w:tblPr>
      <w:tblGrid>
        <w:gridCol w:w="1101"/>
        <w:gridCol w:w="2502"/>
        <w:gridCol w:w="1544"/>
        <w:gridCol w:w="1545"/>
        <w:gridCol w:w="1545"/>
        <w:gridCol w:w="1545"/>
      </w:tblGrid>
      <w:tr w:rsidR="00AE1580" w14:paraId="305FD3BF" w14:textId="77777777" w:rsidTr="00FA72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14:paraId="3ACA51B9" w14:textId="77777777" w:rsidR="00AE1580" w:rsidRPr="00D72732" w:rsidRDefault="00AE1580" w:rsidP="002C746B">
            <w:r w:rsidRPr="00D72732">
              <w:t>Time</w:t>
            </w:r>
          </w:p>
        </w:tc>
        <w:tc>
          <w:tcPr>
            <w:tcW w:w="2502" w:type="dxa"/>
          </w:tcPr>
          <w:p w14:paraId="7EADE930" w14:textId="77777777" w:rsidR="00AE1580" w:rsidRPr="00D72732" w:rsidRDefault="00AE1580" w:rsidP="002C746B">
            <w:pPr>
              <w:cnfStyle w:val="100000000000" w:firstRow="1" w:lastRow="0" w:firstColumn="0" w:lastColumn="0" w:oddVBand="0" w:evenVBand="0" w:oddHBand="0" w:evenHBand="0" w:firstRowFirstColumn="0" w:firstRowLastColumn="0" w:lastRowFirstColumn="0" w:lastRowLastColumn="0"/>
            </w:pPr>
            <w:r w:rsidRPr="00D72732">
              <w:t xml:space="preserve">Parameter </w:t>
            </w:r>
          </w:p>
        </w:tc>
        <w:tc>
          <w:tcPr>
            <w:tcW w:w="1544" w:type="dxa"/>
          </w:tcPr>
          <w:p w14:paraId="70D7E579" w14:textId="77777777" w:rsidR="00AE1580" w:rsidRPr="00D72732" w:rsidRDefault="00AE1580" w:rsidP="002C746B">
            <w:pPr>
              <w:cnfStyle w:val="100000000000" w:firstRow="1" w:lastRow="0" w:firstColumn="0" w:lastColumn="0" w:oddVBand="0" w:evenVBand="0" w:oddHBand="0" w:evenHBand="0" w:firstRowFirstColumn="0" w:firstRowLastColumn="0" w:lastRowFirstColumn="0" w:lastRowLastColumn="0"/>
            </w:pPr>
            <w:r w:rsidRPr="00D72732">
              <w:t xml:space="preserve">Mean </w:t>
            </w:r>
          </w:p>
        </w:tc>
        <w:tc>
          <w:tcPr>
            <w:tcW w:w="1545" w:type="dxa"/>
          </w:tcPr>
          <w:p w14:paraId="258B49B8" w14:textId="77777777" w:rsidR="00AE1580" w:rsidRPr="00D72732" w:rsidRDefault="00AE1580" w:rsidP="002C746B">
            <w:pPr>
              <w:cnfStyle w:val="100000000000" w:firstRow="1" w:lastRow="0" w:firstColumn="0" w:lastColumn="0" w:oddVBand="0" w:evenVBand="0" w:oddHBand="0" w:evenHBand="0" w:firstRowFirstColumn="0" w:firstRowLastColumn="0" w:lastRowFirstColumn="0" w:lastRowLastColumn="0"/>
            </w:pPr>
            <w:r w:rsidRPr="00D72732">
              <w:t xml:space="preserve">SD </w:t>
            </w:r>
          </w:p>
        </w:tc>
        <w:tc>
          <w:tcPr>
            <w:tcW w:w="1545" w:type="dxa"/>
          </w:tcPr>
          <w:p w14:paraId="6B97EDEF" w14:textId="77777777" w:rsidR="00AE1580" w:rsidRPr="00D72732" w:rsidRDefault="00AE1580" w:rsidP="002C746B">
            <w:pPr>
              <w:cnfStyle w:val="100000000000" w:firstRow="1" w:lastRow="0" w:firstColumn="0" w:lastColumn="0" w:oddVBand="0" w:evenVBand="0" w:oddHBand="0" w:evenHBand="0" w:firstRowFirstColumn="0" w:firstRowLastColumn="0" w:lastRowFirstColumn="0" w:lastRowLastColumn="0"/>
            </w:pPr>
            <w:r w:rsidRPr="00D72732">
              <w:t xml:space="preserve">Median </w:t>
            </w:r>
          </w:p>
        </w:tc>
        <w:tc>
          <w:tcPr>
            <w:tcW w:w="1545" w:type="dxa"/>
          </w:tcPr>
          <w:p w14:paraId="3E8FDEB6" w14:textId="77777777" w:rsidR="00AE1580" w:rsidRPr="00D72732" w:rsidRDefault="00AE1580" w:rsidP="002C746B">
            <w:pPr>
              <w:cnfStyle w:val="100000000000" w:firstRow="1" w:lastRow="0" w:firstColumn="0" w:lastColumn="0" w:oddVBand="0" w:evenVBand="0" w:oddHBand="0" w:evenHBand="0" w:firstRowFirstColumn="0" w:firstRowLastColumn="0" w:lastRowFirstColumn="0" w:lastRowLastColumn="0"/>
            </w:pPr>
            <w:r w:rsidRPr="00D72732">
              <w:t xml:space="preserve">Range </w:t>
            </w:r>
          </w:p>
        </w:tc>
      </w:tr>
      <w:tr w:rsidR="00AE1580" w14:paraId="293F264F"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val="restart"/>
          </w:tcPr>
          <w:p w14:paraId="123A432A" w14:textId="77777777" w:rsidR="000F04AF" w:rsidRDefault="00AE1580" w:rsidP="002C746B">
            <w:r w:rsidRPr="00D72732">
              <w:t>Visit 1</w:t>
            </w:r>
          </w:p>
          <w:p w14:paraId="4393F71F" w14:textId="60C57584" w:rsidR="00AE1580" w:rsidRPr="00D72732" w:rsidRDefault="00AE1580" w:rsidP="002C746B">
            <w:r w:rsidRPr="00D72732">
              <w:t>(n=32)</w:t>
            </w:r>
          </w:p>
        </w:tc>
        <w:tc>
          <w:tcPr>
            <w:tcW w:w="2502" w:type="dxa"/>
          </w:tcPr>
          <w:p w14:paraId="1E7C26B2"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IVR (% per IU/kg), CHR assay</w:t>
            </w:r>
          </w:p>
        </w:tc>
        <w:tc>
          <w:tcPr>
            <w:tcW w:w="1544" w:type="dxa"/>
          </w:tcPr>
          <w:p w14:paraId="1BE54A9D"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2.57</w:t>
            </w:r>
          </w:p>
        </w:tc>
        <w:tc>
          <w:tcPr>
            <w:tcW w:w="1545" w:type="dxa"/>
          </w:tcPr>
          <w:p w14:paraId="466C3B9B"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0.54</w:t>
            </w:r>
          </w:p>
        </w:tc>
        <w:tc>
          <w:tcPr>
            <w:tcW w:w="1545" w:type="dxa"/>
          </w:tcPr>
          <w:p w14:paraId="4137899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2.61</w:t>
            </w:r>
          </w:p>
        </w:tc>
        <w:tc>
          <w:tcPr>
            <w:tcW w:w="1545" w:type="dxa"/>
          </w:tcPr>
          <w:p w14:paraId="0AA64F5C"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1.46 – 3.68</w:t>
            </w:r>
          </w:p>
        </w:tc>
      </w:tr>
      <w:tr w:rsidR="00AE1580" w14:paraId="06FDC6B1"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76AD6CC7" w14:textId="77777777" w:rsidR="00AE1580" w:rsidRPr="00D72732" w:rsidRDefault="00AE1580" w:rsidP="002C746B"/>
        </w:tc>
        <w:tc>
          <w:tcPr>
            <w:tcW w:w="2502" w:type="dxa"/>
          </w:tcPr>
          <w:p w14:paraId="76330474"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CHR assay </w:t>
            </w:r>
          </w:p>
        </w:tc>
        <w:tc>
          <w:tcPr>
            <w:tcW w:w="1544" w:type="dxa"/>
          </w:tcPr>
          <w:p w14:paraId="1E3EC13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0.026</w:t>
            </w:r>
          </w:p>
        </w:tc>
        <w:tc>
          <w:tcPr>
            <w:tcW w:w="1545" w:type="dxa"/>
          </w:tcPr>
          <w:p w14:paraId="6887242F"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0.005</w:t>
            </w:r>
          </w:p>
        </w:tc>
        <w:tc>
          <w:tcPr>
            <w:tcW w:w="1545" w:type="dxa"/>
          </w:tcPr>
          <w:p w14:paraId="23840AAC"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0.026</w:t>
            </w:r>
          </w:p>
        </w:tc>
        <w:tc>
          <w:tcPr>
            <w:tcW w:w="1545" w:type="dxa"/>
          </w:tcPr>
          <w:p w14:paraId="1B9A3C08"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0.015 – 0.037</w:t>
            </w:r>
          </w:p>
        </w:tc>
      </w:tr>
      <w:tr w:rsidR="00AE1580" w14:paraId="0F641B9C"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50BC283A" w14:textId="77777777" w:rsidR="00AE1580" w:rsidRPr="00D72732" w:rsidRDefault="00AE1580" w:rsidP="002C746B"/>
        </w:tc>
        <w:tc>
          <w:tcPr>
            <w:tcW w:w="2502" w:type="dxa"/>
          </w:tcPr>
          <w:p w14:paraId="5D600E30"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IVR (% per IU/kg), OS assay </w:t>
            </w:r>
          </w:p>
        </w:tc>
        <w:tc>
          <w:tcPr>
            <w:tcW w:w="1544" w:type="dxa"/>
          </w:tcPr>
          <w:p w14:paraId="490D2E7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2.20</w:t>
            </w:r>
          </w:p>
        </w:tc>
        <w:tc>
          <w:tcPr>
            <w:tcW w:w="1545" w:type="dxa"/>
          </w:tcPr>
          <w:p w14:paraId="19BC5BB5"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0.47</w:t>
            </w:r>
          </w:p>
        </w:tc>
        <w:tc>
          <w:tcPr>
            <w:tcW w:w="1545" w:type="dxa"/>
          </w:tcPr>
          <w:p w14:paraId="6A16E560"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2.17</w:t>
            </w:r>
          </w:p>
        </w:tc>
        <w:tc>
          <w:tcPr>
            <w:tcW w:w="1545" w:type="dxa"/>
          </w:tcPr>
          <w:p w14:paraId="0B6A7DAD"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1.33 – 3.25</w:t>
            </w:r>
          </w:p>
        </w:tc>
      </w:tr>
      <w:tr w:rsidR="00AE1580" w14:paraId="7EE8D7BF"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0E83E746" w14:textId="77777777" w:rsidR="00AE1580" w:rsidRPr="00D72732" w:rsidRDefault="00AE1580" w:rsidP="002C746B"/>
        </w:tc>
        <w:tc>
          <w:tcPr>
            <w:tcW w:w="2502" w:type="dxa"/>
          </w:tcPr>
          <w:p w14:paraId="754C135C"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OS   assay  </w:t>
            </w:r>
          </w:p>
        </w:tc>
        <w:tc>
          <w:tcPr>
            <w:tcW w:w="1544" w:type="dxa"/>
          </w:tcPr>
          <w:p w14:paraId="028FB3B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0.022</w:t>
            </w:r>
          </w:p>
        </w:tc>
        <w:tc>
          <w:tcPr>
            <w:tcW w:w="1545" w:type="dxa"/>
          </w:tcPr>
          <w:p w14:paraId="5DED967E"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0.005</w:t>
            </w:r>
          </w:p>
        </w:tc>
        <w:tc>
          <w:tcPr>
            <w:tcW w:w="1545" w:type="dxa"/>
          </w:tcPr>
          <w:p w14:paraId="7EB35004"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0.022</w:t>
            </w:r>
          </w:p>
        </w:tc>
        <w:tc>
          <w:tcPr>
            <w:tcW w:w="1545" w:type="dxa"/>
          </w:tcPr>
          <w:p w14:paraId="40119E0B"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0.013 – 0.033</w:t>
            </w:r>
          </w:p>
        </w:tc>
      </w:tr>
      <w:tr w:rsidR="00AE1580" w14:paraId="23C69E54"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val="restart"/>
          </w:tcPr>
          <w:p w14:paraId="45A9ACBA" w14:textId="77777777" w:rsidR="00AE1580" w:rsidRPr="00D72732" w:rsidRDefault="00AE1580" w:rsidP="002C746B">
            <w:r w:rsidRPr="00D72732">
              <w:t>3 months</w:t>
            </w:r>
          </w:p>
          <w:p w14:paraId="19543C9B" w14:textId="77777777" w:rsidR="00AE1580" w:rsidRPr="00D72732" w:rsidRDefault="00AE1580" w:rsidP="002C746B">
            <w:r w:rsidRPr="00D72732">
              <w:t xml:space="preserve">(n=31) </w:t>
            </w:r>
          </w:p>
        </w:tc>
        <w:tc>
          <w:tcPr>
            <w:tcW w:w="2502" w:type="dxa"/>
          </w:tcPr>
          <w:p w14:paraId="4FA5C26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IVR (% per IU/kg), CHR assay</w:t>
            </w:r>
          </w:p>
        </w:tc>
        <w:tc>
          <w:tcPr>
            <w:tcW w:w="1544" w:type="dxa"/>
          </w:tcPr>
          <w:p w14:paraId="251FB6D2"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2.37 </w:t>
            </w:r>
          </w:p>
        </w:tc>
        <w:tc>
          <w:tcPr>
            <w:tcW w:w="1545" w:type="dxa"/>
          </w:tcPr>
          <w:p w14:paraId="4CB5621E"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0.50</w:t>
            </w:r>
          </w:p>
        </w:tc>
        <w:tc>
          <w:tcPr>
            <w:tcW w:w="1545" w:type="dxa"/>
          </w:tcPr>
          <w:p w14:paraId="6581EBD8"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2.29</w:t>
            </w:r>
          </w:p>
        </w:tc>
        <w:tc>
          <w:tcPr>
            <w:tcW w:w="1545" w:type="dxa"/>
          </w:tcPr>
          <w:p w14:paraId="44419A3B"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1.36 – 3.54</w:t>
            </w:r>
          </w:p>
        </w:tc>
      </w:tr>
      <w:tr w:rsidR="00AE1580" w14:paraId="1493974D"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15B4CEA4" w14:textId="77777777" w:rsidR="00AE1580" w:rsidRPr="00D72732" w:rsidRDefault="00AE1580" w:rsidP="002C746B"/>
        </w:tc>
        <w:tc>
          <w:tcPr>
            <w:tcW w:w="2502" w:type="dxa"/>
          </w:tcPr>
          <w:p w14:paraId="5468200D"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CHR assay </w:t>
            </w:r>
          </w:p>
        </w:tc>
        <w:tc>
          <w:tcPr>
            <w:tcW w:w="1544" w:type="dxa"/>
          </w:tcPr>
          <w:p w14:paraId="39A26E96"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0.024 </w:t>
            </w:r>
          </w:p>
        </w:tc>
        <w:tc>
          <w:tcPr>
            <w:tcW w:w="1545" w:type="dxa"/>
          </w:tcPr>
          <w:p w14:paraId="27793E7F"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0.005</w:t>
            </w:r>
          </w:p>
        </w:tc>
        <w:tc>
          <w:tcPr>
            <w:tcW w:w="1545" w:type="dxa"/>
          </w:tcPr>
          <w:p w14:paraId="715F44FB"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0.024</w:t>
            </w:r>
          </w:p>
        </w:tc>
        <w:tc>
          <w:tcPr>
            <w:tcW w:w="1545" w:type="dxa"/>
          </w:tcPr>
          <w:p w14:paraId="6EE64FE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0.014 – 0.035</w:t>
            </w:r>
          </w:p>
        </w:tc>
      </w:tr>
      <w:tr w:rsidR="00AE1580" w14:paraId="361EBA8D"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7D2024BC" w14:textId="77777777" w:rsidR="00AE1580" w:rsidRPr="00D72732" w:rsidRDefault="00AE1580" w:rsidP="002C746B"/>
        </w:tc>
        <w:tc>
          <w:tcPr>
            <w:tcW w:w="2502" w:type="dxa"/>
          </w:tcPr>
          <w:p w14:paraId="552E303D"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IVR (% per IU/kg), OS assay </w:t>
            </w:r>
          </w:p>
        </w:tc>
        <w:tc>
          <w:tcPr>
            <w:tcW w:w="1544" w:type="dxa"/>
          </w:tcPr>
          <w:p w14:paraId="67FD7C62"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2.05 </w:t>
            </w:r>
          </w:p>
        </w:tc>
        <w:tc>
          <w:tcPr>
            <w:tcW w:w="1545" w:type="dxa"/>
          </w:tcPr>
          <w:p w14:paraId="0299AED8"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0.35</w:t>
            </w:r>
          </w:p>
        </w:tc>
        <w:tc>
          <w:tcPr>
            <w:tcW w:w="1545" w:type="dxa"/>
          </w:tcPr>
          <w:p w14:paraId="5CD555E1"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2.00</w:t>
            </w:r>
          </w:p>
        </w:tc>
        <w:tc>
          <w:tcPr>
            <w:tcW w:w="1545" w:type="dxa"/>
          </w:tcPr>
          <w:p w14:paraId="7F4C8888"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1.39 – 2.58</w:t>
            </w:r>
          </w:p>
        </w:tc>
      </w:tr>
      <w:tr w:rsidR="00AE1580" w14:paraId="1ED4E63F"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53E7717D" w14:textId="77777777" w:rsidR="00AE1580" w:rsidRPr="00D72732" w:rsidRDefault="00AE1580" w:rsidP="002C746B"/>
        </w:tc>
        <w:tc>
          <w:tcPr>
            <w:tcW w:w="2502" w:type="dxa"/>
          </w:tcPr>
          <w:p w14:paraId="70F9A01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OS   assay  </w:t>
            </w:r>
          </w:p>
        </w:tc>
        <w:tc>
          <w:tcPr>
            <w:tcW w:w="1544" w:type="dxa"/>
          </w:tcPr>
          <w:p w14:paraId="337EE6AC"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0.021 </w:t>
            </w:r>
          </w:p>
        </w:tc>
        <w:tc>
          <w:tcPr>
            <w:tcW w:w="1545" w:type="dxa"/>
          </w:tcPr>
          <w:p w14:paraId="2664325F"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0.003</w:t>
            </w:r>
          </w:p>
        </w:tc>
        <w:tc>
          <w:tcPr>
            <w:tcW w:w="1545" w:type="dxa"/>
          </w:tcPr>
          <w:p w14:paraId="6CED30D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0.022</w:t>
            </w:r>
          </w:p>
        </w:tc>
        <w:tc>
          <w:tcPr>
            <w:tcW w:w="1545" w:type="dxa"/>
          </w:tcPr>
          <w:p w14:paraId="6277892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0.016 – 0.026</w:t>
            </w:r>
          </w:p>
        </w:tc>
      </w:tr>
      <w:tr w:rsidR="00AE1580" w14:paraId="155F5361"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val="restart"/>
          </w:tcPr>
          <w:p w14:paraId="6891D341" w14:textId="77777777" w:rsidR="00AE1580" w:rsidRPr="00D72732" w:rsidRDefault="00AE1580" w:rsidP="002C746B">
            <w:r w:rsidRPr="00D72732">
              <w:t>6 months</w:t>
            </w:r>
          </w:p>
          <w:p w14:paraId="3D6252AF" w14:textId="77777777" w:rsidR="00AE1580" w:rsidRPr="00D72732" w:rsidRDefault="00AE1580" w:rsidP="002C746B">
            <w:r w:rsidRPr="00D72732">
              <w:t>(n=30)</w:t>
            </w:r>
          </w:p>
        </w:tc>
        <w:tc>
          <w:tcPr>
            <w:tcW w:w="2502" w:type="dxa"/>
          </w:tcPr>
          <w:p w14:paraId="000AD6E6"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IVR (% per IU/kg), CHR assay</w:t>
            </w:r>
          </w:p>
        </w:tc>
        <w:tc>
          <w:tcPr>
            <w:tcW w:w="1544" w:type="dxa"/>
          </w:tcPr>
          <w:p w14:paraId="3AE2E86E"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2.34 </w:t>
            </w:r>
          </w:p>
        </w:tc>
        <w:tc>
          <w:tcPr>
            <w:tcW w:w="1545" w:type="dxa"/>
          </w:tcPr>
          <w:p w14:paraId="2DFBAA9E"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0.40</w:t>
            </w:r>
          </w:p>
        </w:tc>
        <w:tc>
          <w:tcPr>
            <w:tcW w:w="1545" w:type="dxa"/>
          </w:tcPr>
          <w:p w14:paraId="2ACD2AAB"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2.35</w:t>
            </w:r>
          </w:p>
        </w:tc>
        <w:tc>
          <w:tcPr>
            <w:tcW w:w="1545" w:type="dxa"/>
          </w:tcPr>
          <w:p w14:paraId="1BEAAF99"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1.63 – 3.08</w:t>
            </w:r>
          </w:p>
        </w:tc>
      </w:tr>
      <w:tr w:rsidR="00AE1580" w14:paraId="79E86D91"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050E7F11" w14:textId="77777777" w:rsidR="00AE1580" w:rsidRPr="00D72732" w:rsidRDefault="00AE1580" w:rsidP="002C746B"/>
        </w:tc>
        <w:tc>
          <w:tcPr>
            <w:tcW w:w="2502" w:type="dxa"/>
          </w:tcPr>
          <w:p w14:paraId="182D65F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CHR assay </w:t>
            </w:r>
          </w:p>
        </w:tc>
        <w:tc>
          <w:tcPr>
            <w:tcW w:w="1544" w:type="dxa"/>
          </w:tcPr>
          <w:p w14:paraId="20ACECA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0.024 </w:t>
            </w:r>
          </w:p>
        </w:tc>
        <w:tc>
          <w:tcPr>
            <w:tcW w:w="1545" w:type="dxa"/>
          </w:tcPr>
          <w:p w14:paraId="24FF8030"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0.004</w:t>
            </w:r>
          </w:p>
        </w:tc>
        <w:tc>
          <w:tcPr>
            <w:tcW w:w="1545" w:type="dxa"/>
          </w:tcPr>
          <w:p w14:paraId="78E569C8"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0.024</w:t>
            </w:r>
          </w:p>
        </w:tc>
        <w:tc>
          <w:tcPr>
            <w:tcW w:w="1545" w:type="dxa"/>
          </w:tcPr>
          <w:p w14:paraId="14180E4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0.016 – 0.033</w:t>
            </w:r>
          </w:p>
        </w:tc>
      </w:tr>
      <w:tr w:rsidR="00AE1580" w14:paraId="0044A893"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64C04138" w14:textId="77777777" w:rsidR="00AE1580" w:rsidRPr="00D72732" w:rsidRDefault="00AE1580" w:rsidP="002C746B"/>
        </w:tc>
        <w:tc>
          <w:tcPr>
            <w:tcW w:w="2502" w:type="dxa"/>
          </w:tcPr>
          <w:p w14:paraId="3E92F0C3"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IVR (% per IU/kg), OS assay </w:t>
            </w:r>
          </w:p>
        </w:tc>
        <w:tc>
          <w:tcPr>
            <w:tcW w:w="1544" w:type="dxa"/>
          </w:tcPr>
          <w:p w14:paraId="262B4681"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2.01 </w:t>
            </w:r>
          </w:p>
        </w:tc>
        <w:tc>
          <w:tcPr>
            <w:tcW w:w="1545" w:type="dxa"/>
          </w:tcPr>
          <w:p w14:paraId="653C7849"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0.30</w:t>
            </w:r>
          </w:p>
        </w:tc>
        <w:tc>
          <w:tcPr>
            <w:tcW w:w="1545" w:type="dxa"/>
          </w:tcPr>
          <w:p w14:paraId="5BDF75EA"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1.93</w:t>
            </w:r>
          </w:p>
        </w:tc>
        <w:tc>
          <w:tcPr>
            <w:tcW w:w="1545" w:type="dxa"/>
          </w:tcPr>
          <w:p w14:paraId="26BB735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1.43 – 2.81</w:t>
            </w:r>
          </w:p>
        </w:tc>
      </w:tr>
      <w:tr w:rsidR="00AE1580" w14:paraId="0BD1CE76" w14:textId="77777777" w:rsidTr="004E5522">
        <w:tc>
          <w:tcPr>
            <w:cnfStyle w:val="001000000000" w:firstRow="0" w:lastRow="0" w:firstColumn="1" w:lastColumn="0" w:oddVBand="0" w:evenVBand="0" w:oddHBand="0" w:evenHBand="0" w:firstRowFirstColumn="0" w:firstRowLastColumn="0" w:lastRowFirstColumn="0" w:lastRowLastColumn="0"/>
            <w:tcW w:w="1101" w:type="dxa"/>
            <w:vMerge/>
          </w:tcPr>
          <w:p w14:paraId="6503CC51" w14:textId="77777777" w:rsidR="00AE1580" w:rsidRPr="00D72732" w:rsidRDefault="00AE1580" w:rsidP="002C746B"/>
        </w:tc>
        <w:tc>
          <w:tcPr>
            <w:tcW w:w="2502" w:type="dxa"/>
          </w:tcPr>
          <w:p w14:paraId="5DC2331D"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Cmax.norm (kg/mL), OS   assay  </w:t>
            </w:r>
          </w:p>
        </w:tc>
        <w:tc>
          <w:tcPr>
            <w:tcW w:w="1544" w:type="dxa"/>
          </w:tcPr>
          <w:p w14:paraId="7E2FD924"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 xml:space="preserve">0.021 </w:t>
            </w:r>
          </w:p>
        </w:tc>
        <w:tc>
          <w:tcPr>
            <w:tcW w:w="1545" w:type="dxa"/>
          </w:tcPr>
          <w:p w14:paraId="0CAA32B7"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0.003</w:t>
            </w:r>
          </w:p>
        </w:tc>
        <w:tc>
          <w:tcPr>
            <w:tcW w:w="1545" w:type="dxa"/>
          </w:tcPr>
          <w:p w14:paraId="78685B09"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0.020</w:t>
            </w:r>
          </w:p>
        </w:tc>
        <w:tc>
          <w:tcPr>
            <w:tcW w:w="1545" w:type="dxa"/>
          </w:tcPr>
          <w:p w14:paraId="56797030" w14:textId="77777777" w:rsidR="00AE1580" w:rsidRPr="00D72732" w:rsidRDefault="00AE1580" w:rsidP="002C746B">
            <w:pPr>
              <w:cnfStyle w:val="000000000000" w:firstRow="0" w:lastRow="0" w:firstColumn="0" w:lastColumn="0" w:oddVBand="0" w:evenVBand="0" w:oddHBand="0" w:evenHBand="0" w:firstRowFirstColumn="0" w:firstRowLastColumn="0" w:lastRowFirstColumn="0" w:lastRowLastColumn="0"/>
            </w:pPr>
            <w:r w:rsidRPr="00D72732">
              <w:t>0.016 – 0.028</w:t>
            </w:r>
          </w:p>
        </w:tc>
      </w:tr>
    </w:tbl>
    <w:p w14:paraId="14716E08" w14:textId="77777777" w:rsidR="000F04AF" w:rsidRDefault="00AE1580" w:rsidP="00FA7210">
      <w:pPr>
        <w:ind w:left="1134" w:hanging="1134"/>
        <w:rPr>
          <w:rFonts w:asciiTheme="minorHAnsi" w:hAnsiTheme="minorHAnsi"/>
          <w:lang w:eastAsia="en-AU"/>
        </w:rPr>
      </w:pPr>
      <w:r w:rsidRPr="00FA7210">
        <w:rPr>
          <w:rFonts w:asciiTheme="minorHAnsi" w:hAnsiTheme="minorHAnsi"/>
          <w:lang w:eastAsia="en-AU"/>
        </w:rPr>
        <w:t xml:space="preserve">Comment: The 90% CIs for the geometric mean recoveries of simoctocog alfa (Month 3 vs Visit 1 and Month 6 vs Visit 1) were enclosed with the standard </w:t>
      </w:r>
      <w:proofErr w:type="gramStart"/>
      <w:r w:rsidRPr="00FA7210">
        <w:rPr>
          <w:rFonts w:asciiTheme="minorHAnsi" w:hAnsiTheme="minorHAnsi"/>
          <w:lang w:eastAsia="en-AU"/>
        </w:rPr>
        <w:t>BE</w:t>
      </w:r>
      <w:proofErr w:type="gramEnd"/>
      <w:r w:rsidRPr="00FA7210">
        <w:rPr>
          <w:rFonts w:asciiTheme="minorHAnsi" w:hAnsiTheme="minorHAnsi"/>
          <w:lang w:eastAsia="en-AU"/>
        </w:rPr>
        <w:t xml:space="preserve"> limits of 80% to 125%, based on both the CHR and the OS assays. These results suggest that the lower IVR observed at Months 3 and 6 compared with Visit 1 are unlikely to be clinically significant.</w:t>
      </w:r>
    </w:p>
    <w:p w14:paraId="5C15D2D5" w14:textId="77777777" w:rsidR="000F04AF" w:rsidRDefault="00AE1580" w:rsidP="00066E9B">
      <w:pPr>
        <w:pStyle w:val="Heading4"/>
      </w:pPr>
      <w:bookmarkStart w:id="44" w:name="_Toc266446430"/>
      <w:r>
        <w:lastRenderedPageBreak/>
        <w:t>Supportive pharmacokinetics studies in patients with haemophilia A.</w:t>
      </w:r>
      <w:bookmarkEnd w:id="44"/>
    </w:p>
    <w:p w14:paraId="3A40A0CC" w14:textId="77777777" w:rsidR="000F04AF" w:rsidRDefault="00AE1580" w:rsidP="00066E9B">
      <w:pPr>
        <w:pStyle w:val="Heading5"/>
        <w:rPr>
          <w:lang w:eastAsia="en-AU"/>
        </w:rPr>
      </w:pPr>
      <w:bookmarkStart w:id="45" w:name="_Toc266446431"/>
      <w:r>
        <w:rPr>
          <w:lang w:eastAsia="en-AU"/>
        </w:rPr>
        <w:t>GENA-09 - adult patients aged 18 to 62 years</w:t>
      </w:r>
      <w:bookmarkEnd w:id="45"/>
    </w:p>
    <w:p w14:paraId="3C4CB6C1" w14:textId="77777777" w:rsidR="000F04AF" w:rsidRPr="002C746B" w:rsidRDefault="00AE1580" w:rsidP="00EA445D">
      <w:pPr>
        <w:pStyle w:val="Numberbullet2"/>
      </w:pPr>
      <w:r w:rsidRPr="002C746B">
        <w:t>a.</w:t>
      </w:r>
      <w:r w:rsidRPr="002C746B">
        <w:tab/>
        <w:t>Title</w:t>
      </w:r>
    </w:p>
    <w:p w14:paraId="0B9361CA" w14:textId="5C657BD6" w:rsidR="00AE1580" w:rsidRPr="00D72732" w:rsidRDefault="00AE1580" w:rsidP="00AE1580">
      <w:pPr>
        <w:widowControl w:val="0"/>
        <w:autoSpaceDE w:val="0"/>
        <w:autoSpaceDN w:val="0"/>
        <w:adjustRightInd w:val="0"/>
      </w:pPr>
      <w:proofErr w:type="gramStart"/>
      <w:r w:rsidRPr="00D72732">
        <w:t xml:space="preserve">Clinical Study to Investigate the Pharmacokinetics, Efficacy, Safety and Immunogenicity of </w:t>
      </w:r>
      <w:r w:rsidR="00C8405D">
        <w:t>Simoctocog alfa</w:t>
      </w:r>
      <w:r w:rsidRPr="00D72732">
        <w:t xml:space="preserve"> in Previously Treated Patients with Severe Haemophilia A.</w:t>
      </w:r>
      <w:proofErr w:type="gramEnd"/>
    </w:p>
    <w:p w14:paraId="71B073C0" w14:textId="77777777" w:rsidR="000F04AF" w:rsidRPr="00EA445D" w:rsidRDefault="00AE1580" w:rsidP="00EA445D">
      <w:pPr>
        <w:pStyle w:val="Numberbullet2"/>
      </w:pPr>
      <w:r w:rsidRPr="00EA445D">
        <w:t>b.</w:t>
      </w:r>
      <w:r w:rsidRPr="00EA445D">
        <w:tab/>
        <w:t>Location</w:t>
      </w:r>
    </w:p>
    <w:p w14:paraId="7E6CC815" w14:textId="77777777" w:rsidR="000F04AF" w:rsidRDefault="00AE1580" w:rsidP="00AE1580">
      <w:pPr>
        <w:widowControl w:val="0"/>
        <w:autoSpaceDE w:val="0"/>
        <w:autoSpaceDN w:val="0"/>
        <w:adjustRightInd w:val="0"/>
      </w:pPr>
      <w:r w:rsidRPr="00AE668B">
        <w:t>The study was conducted at 1 centre in Russia. The co-ordinating investigator was located at the Centre for Haematological Research, Russian Academy of Medical Science, Moscow, Russia. The study was conducted</w:t>
      </w:r>
      <w:r w:rsidRPr="00CC43D9">
        <w:t xml:space="preserve"> from 16 March to 26 May 2010</w:t>
      </w:r>
      <w:r>
        <w:t>, and the CSR was dated 14 December 2010. The study was conducted in accordance with standard ethical requirements.</w:t>
      </w:r>
    </w:p>
    <w:p w14:paraId="1ECA6AE0" w14:textId="77777777" w:rsidR="000F04AF" w:rsidRPr="00EA445D" w:rsidRDefault="00AE1580" w:rsidP="00EA445D">
      <w:pPr>
        <w:pStyle w:val="Numberbullet2"/>
        <w:rPr>
          <w:lang w:eastAsia="en-AU"/>
        </w:rPr>
      </w:pPr>
      <w:r w:rsidRPr="00EA445D">
        <w:rPr>
          <w:lang w:eastAsia="en-AU"/>
        </w:rPr>
        <w:t>c.</w:t>
      </w:r>
      <w:r w:rsidRPr="00EA445D">
        <w:rPr>
          <w:lang w:eastAsia="en-AU"/>
        </w:rPr>
        <w:tab/>
        <w:t>Objectives</w:t>
      </w:r>
    </w:p>
    <w:p w14:paraId="2D6B0875" w14:textId="2E44C1C5" w:rsidR="00AE1580" w:rsidRPr="00CC43D9" w:rsidRDefault="00AE1580" w:rsidP="00AE1580">
      <w:pPr>
        <w:widowControl w:val="0"/>
        <w:autoSpaceDE w:val="0"/>
        <w:autoSpaceDN w:val="0"/>
        <w:adjustRightInd w:val="0"/>
      </w:pPr>
      <w:r w:rsidRPr="00CC43D9">
        <w:rPr>
          <w:i/>
        </w:rPr>
        <w:t>The primary objective</w:t>
      </w:r>
      <w:r w:rsidRPr="00CC43D9">
        <w:t xml:space="preserve"> of the study was to determine the PK profile of </w:t>
      </w:r>
      <w:r>
        <w:t xml:space="preserve">simoctocog alfa </w:t>
      </w:r>
      <w:r w:rsidRPr="00CC43D9">
        <w:t>in terms of FVIII coagulant activity (FVIII</w:t>
      </w:r>
      <w:proofErr w:type="gramStart"/>
      <w:r w:rsidRPr="00CC43D9">
        <w:t>:C</w:t>
      </w:r>
      <w:proofErr w:type="gramEnd"/>
      <w:r w:rsidRPr="00CC43D9">
        <w:t xml:space="preserve">) and to compare it with the FVIII:C profile of </w:t>
      </w:r>
      <w:r w:rsidR="00643EF8">
        <w:t>a full-length r</w:t>
      </w:r>
      <w:r w:rsidR="004A6DBB">
        <w:t>F</w:t>
      </w:r>
      <w:r w:rsidR="00643EF8">
        <w:t>VIII</w:t>
      </w:r>
      <w:r w:rsidR="00643EF8" w:rsidRPr="00CC43D9">
        <w:t xml:space="preserve"> </w:t>
      </w:r>
      <w:r w:rsidRPr="00CC43D9">
        <w:t xml:space="preserve">in previously treated patients (PTPs) with severe haemophilia A (FVIII:C </w:t>
      </w:r>
      <w:r w:rsidRPr="00CC43D9">
        <w:rPr>
          <w:rFonts w:cs="ÄL˘ø÷÷"/>
        </w:rPr>
        <w:t>≤</w:t>
      </w:r>
      <w:r w:rsidRPr="00CC43D9">
        <w:t>1%).</w:t>
      </w:r>
    </w:p>
    <w:p w14:paraId="7E303044" w14:textId="77777777" w:rsidR="00AE1580" w:rsidRPr="00CC43D9" w:rsidRDefault="00AE1580" w:rsidP="00AE1580">
      <w:pPr>
        <w:widowControl w:val="0"/>
        <w:autoSpaceDE w:val="0"/>
        <w:autoSpaceDN w:val="0"/>
        <w:adjustRightInd w:val="0"/>
      </w:pPr>
      <w:r w:rsidRPr="00CC43D9">
        <w:rPr>
          <w:i/>
        </w:rPr>
        <w:t>The secondary objectives</w:t>
      </w:r>
      <w:r>
        <w:t xml:space="preserve"> of the study were: </w:t>
      </w:r>
      <w:r w:rsidRPr="00CC43D9">
        <w:t>to calculate the incremental recovery of FVIII</w:t>
      </w:r>
      <w:proofErr w:type="gramStart"/>
      <w:r w:rsidRPr="00CC43D9">
        <w:t>:C</w:t>
      </w:r>
      <w:proofErr w:type="gramEnd"/>
      <w:r w:rsidRPr="00CC43D9">
        <w:t xml:space="preserve"> for </w:t>
      </w:r>
      <w:r>
        <w:t xml:space="preserve">simoctocog alfa; </w:t>
      </w:r>
      <w:r w:rsidRPr="00CC43D9">
        <w:t xml:space="preserve">to investigate the immunogenic potential of </w:t>
      </w:r>
      <w:r>
        <w:t>simoctocog alfa</w:t>
      </w:r>
      <w:r w:rsidRPr="00CC43D9">
        <w:t xml:space="preserve">; to assess the clinical efficacy and safety of </w:t>
      </w:r>
      <w:r>
        <w:t xml:space="preserve">simoctocog alfa </w:t>
      </w:r>
      <w:r w:rsidRPr="00CC43D9">
        <w:t>during pr</w:t>
      </w:r>
      <w:r>
        <w:t xml:space="preserve">ophylactic treatment; </w:t>
      </w:r>
      <w:r w:rsidRPr="00CC43D9">
        <w:t xml:space="preserve">to assess the clinical efficacy and safety of </w:t>
      </w:r>
      <w:r>
        <w:t xml:space="preserve">simoctocog alfa </w:t>
      </w:r>
      <w:r w:rsidRPr="00CC43D9">
        <w:t>in the treatment of breakthrough BE</w:t>
      </w:r>
      <w:r>
        <w:t xml:space="preserve">s; and </w:t>
      </w:r>
      <w:r w:rsidRPr="00CC43D9">
        <w:t xml:space="preserve">to assess the clinical efficacy and safety of </w:t>
      </w:r>
      <w:r>
        <w:t xml:space="preserve">simoctocog alfa </w:t>
      </w:r>
      <w:r w:rsidRPr="00CC43D9">
        <w:t>in surgical prophylaxis.</w:t>
      </w:r>
    </w:p>
    <w:p w14:paraId="19B890A6" w14:textId="77777777" w:rsidR="00AE1580" w:rsidRPr="00EA445D" w:rsidRDefault="00AE1580" w:rsidP="00EA445D">
      <w:pPr>
        <w:pStyle w:val="Numberbullet2"/>
      </w:pPr>
      <w:r w:rsidRPr="00EA445D">
        <w:t>d.</w:t>
      </w:r>
      <w:r w:rsidRPr="00EA445D">
        <w:tab/>
        <w:t>Design</w:t>
      </w:r>
    </w:p>
    <w:p w14:paraId="0DE4381E" w14:textId="77777777" w:rsidR="000F04AF" w:rsidRDefault="00AE1580" w:rsidP="00AE1580">
      <w:pPr>
        <w:widowControl w:val="0"/>
        <w:autoSpaceDE w:val="0"/>
        <w:autoSpaceDN w:val="0"/>
        <w:adjustRightInd w:val="0"/>
      </w:pPr>
      <w:r w:rsidRPr="00D72732">
        <w:t xml:space="preserve">GENA-09 was the first clinical </w:t>
      </w:r>
      <w:r>
        <w:t>study</w:t>
      </w:r>
      <w:r w:rsidRPr="00D72732">
        <w:t xml:space="preserve"> </w:t>
      </w:r>
      <w:r>
        <w:t xml:space="preserve">designed </w:t>
      </w:r>
      <w:r w:rsidRPr="00D72732">
        <w:t>to investigate simoctocog alfa for the treatment of severe haemop</w:t>
      </w:r>
      <w:r>
        <w:t xml:space="preserve">hilia A. It </w:t>
      </w:r>
      <w:r w:rsidRPr="00CC43D9">
        <w:t xml:space="preserve">was designed as a prospective, open-label, single-centre, Phase II study in patients with </w:t>
      </w:r>
      <w:r>
        <w:t xml:space="preserve">severe </w:t>
      </w:r>
      <w:r w:rsidRPr="00CC43D9">
        <w:t>haemophilia A (FVIII</w:t>
      </w:r>
      <w:proofErr w:type="gramStart"/>
      <w:r w:rsidRPr="00CC43D9">
        <w:t>:C</w:t>
      </w:r>
      <w:proofErr w:type="gramEnd"/>
      <w:r w:rsidRPr="00CC43D9">
        <w:t xml:space="preserve"> </w:t>
      </w:r>
      <w:r w:rsidRPr="00CC43D9">
        <w:rPr>
          <w:rFonts w:cs="ÄL˘ø÷÷"/>
        </w:rPr>
        <w:t>≤</w:t>
      </w:r>
      <w:r>
        <w:t xml:space="preserve">1%). It included a </w:t>
      </w:r>
      <w:r w:rsidRPr="00CC43D9">
        <w:t>randomised cross</w:t>
      </w:r>
      <w:r>
        <w:t>-</w:t>
      </w:r>
      <w:r w:rsidRPr="00CC43D9">
        <w:t>over PK part (Part I) and an uncontrolled prophylaxis part (Part II).</w:t>
      </w:r>
    </w:p>
    <w:p w14:paraId="2DACDB43" w14:textId="77777777" w:rsidR="000F04AF" w:rsidRDefault="00AE1580" w:rsidP="00AE1580">
      <w:pPr>
        <w:widowControl w:val="0"/>
        <w:autoSpaceDE w:val="0"/>
        <w:autoSpaceDN w:val="0"/>
        <w:adjustRightInd w:val="0"/>
      </w:pPr>
      <w:r w:rsidRPr="005C419A">
        <w:t xml:space="preserve">In the PK phase (Part I, PK1), the PK properties of </w:t>
      </w:r>
      <w:r>
        <w:t xml:space="preserve">simoctocog alfa </w:t>
      </w:r>
      <w:r w:rsidRPr="005C419A">
        <w:t xml:space="preserve">and a licensed recombinant FVIII concentrate </w:t>
      </w:r>
      <w:proofErr w:type="gramStart"/>
      <w:r w:rsidR="00051AEE">
        <w:t xml:space="preserve">BHK </w:t>
      </w:r>
      <w:r w:rsidRPr="005C419A">
        <w:t xml:space="preserve"> were</w:t>
      </w:r>
      <w:proofErr w:type="gramEnd"/>
      <w:r w:rsidRPr="005C419A">
        <w:t xml:space="preserve"> studied. Two clinic visits were required for PK assessments (Cycle 1 and Cycle 2). Each cycle was preceded by a wash-out period of at least 96 hours in patients who were not actively bleeding. The second PK cycle was to follow within </w:t>
      </w:r>
      <w:r>
        <w:t xml:space="preserve">one </w:t>
      </w:r>
      <w:r w:rsidRPr="005C419A">
        <w:t xml:space="preserve">week of the first </w:t>
      </w:r>
      <w:r>
        <w:t xml:space="preserve">cycle </w:t>
      </w:r>
      <w:r w:rsidRPr="005C419A">
        <w:t xml:space="preserve">(including the 96-hour wash-out). Patients were randomised to receive either </w:t>
      </w:r>
      <w:r>
        <w:t xml:space="preserve">simoctocog alfa </w:t>
      </w:r>
      <w:r w:rsidRPr="005C419A">
        <w:t xml:space="preserve">or </w:t>
      </w:r>
      <w:r w:rsidR="00643EF8">
        <w:t>the rFVIII comparator</w:t>
      </w:r>
      <w:r w:rsidR="00643EF8" w:rsidRPr="005C419A">
        <w:t xml:space="preserve"> </w:t>
      </w:r>
      <w:r w:rsidRPr="005C419A">
        <w:t>in Cycl</w:t>
      </w:r>
      <w:r>
        <w:t xml:space="preserve">e 1 and </w:t>
      </w:r>
      <w:r w:rsidRPr="005C419A">
        <w:t xml:space="preserve">to receive the alternate treatment in Cycle 2. Samples were taken for FVIII inhibitor and anti-FVIII antibody analysis </w:t>
      </w:r>
      <w:r>
        <w:t xml:space="preserve">before administration of either </w:t>
      </w:r>
      <w:r w:rsidRPr="005C419A">
        <w:t>FVIII product.</w:t>
      </w:r>
    </w:p>
    <w:p w14:paraId="249277EA" w14:textId="07499A30" w:rsidR="00AE1580" w:rsidRDefault="00AE1580" w:rsidP="00AE1580">
      <w:pPr>
        <w:widowControl w:val="0"/>
        <w:autoSpaceDE w:val="0"/>
        <w:autoSpaceDN w:val="0"/>
        <w:adjustRightInd w:val="0"/>
      </w:pPr>
      <w:r w:rsidRPr="005C419A">
        <w:t>Patients were randomised to one of two treatment sequences (</w:t>
      </w:r>
      <w:r>
        <w:t xml:space="preserve">simoctocog alfa </w:t>
      </w:r>
      <w:r w:rsidRPr="005C419A">
        <w:t xml:space="preserve">followed by </w:t>
      </w:r>
      <w:r w:rsidR="00643EF8">
        <w:t>the rFVIII comparator</w:t>
      </w:r>
      <w:r w:rsidR="00643EF8" w:rsidRPr="005C419A" w:rsidDel="00643EF8">
        <w:t xml:space="preserve"> </w:t>
      </w:r>
      <w:r w:rsidRPr="005C419A">
        <w:t xml:space="preserve">or vice versa). The treatments consisted of 50 IU FVIII/kg (labelled potency) of </w:t>
      </w:r>
      <w:r>
        <w:t xml:space="preserve">simoctocog alfa </w:t>
      </w:r>
      <w:r w:rsidRPr="005C419A">
        <w:t xml:space="preserve">(Part 1 [PK] and recovery analysis [months 3 and 6]) and </w:t>
      </w:r>
      <w:r w:rsidR="008158B0">
        <w:t>the rFVIII comparator</w:t>
      </w:r>
      <w:r w:rsidR="008158B0" w:rsidRPr="005C419A" w:rsidDel="008158B0">
        <w:t xml:space="preserve"> </w:t>
      </w:r>
      <w:r w:rsidRPr="005C419A">
        <w:t xml:space="preserve">(Part 1 </w:t>
      </w:r>
      <w:r>
        <w:t xml:space="preserve">[PK] only). </w:t>
      </w:r>
      <w:r w:rsidRPr="005C419A">
        <w:t>The doses for the first PK investigation were administered within 4 weeks after the screening visit and were only postponed in case of a BE. The second PK dose was administered directly after the first one (i.e. within 1 week including the 96-hour washout period), unless a postponement was required due to a BE.</w:t>
      </w:r>
    </w:p>
    <w:p w14:paraId="432D1984" w14:textId="77777777" w:rsidR="000F04AF" w:rsidRDefault="00AE1580" w:rsidP="00AE1580">
      <w:pPr>
        <w:widowControl w:val="0"/>
        <w:autoSpaceDE w:val="0"/>
        <w:autoSpaceDN w:val="0"/>
        <w:adjustRightInd w:val="0"/>
      </w:pPr>
      <w:r w:rsidRPr="005C419A">
        <w:t xml:space="preserve">Patients who completed </w:t>
      </w:r>
      <w:r>
        <w:t xml:space="preserve">Part 1 of the study (PK phase) were then able to enter Part II of the study (efficacy and safety phase) </w:t>
      </w:r>
      <w:r w:rsidRPr="005C419A">
        <w:t>for a period of 6 months and at l</w:t>
      </w:r>
      <w:r>
        <w:t>east 50 EDs with simoctocog alfa as prophylaxis for BEs. In addition, patients were also treated with simoctocog alfa on-demand for breakthrough BEs and could receive simoctocog alfa prophylaxis for surgical procedures</w:t>
      </w:r>
      <w:r w:rsidR="000F04AF">
        <w:t>.</w:t>
      </w:r>
    </w:p>
    <w:p w14:paraId="37B923B3" w14:textId="704FDF0E" w:rsidR="00AE1580" w:rsidRPr="00FA7210" w:rsidRDefault="00AE1580" w:rsidP="00FA7210">
      <w:pPr>
        <w:widowControl w:val="0"/>
        <w:autoSpaceDE w:val="0"/>
        <w:autoSpaceDN w:val="0"/>
        <w:adjustRightInd w:val="0"/>
        <w:ind w:left="1134" w:hanging="1134"/>
        <w:rPr>
          <w:rFonts w:asciiTheme="minorHAnsi" w:eastAsia="Times New Roman" w:hAnsiTheme="minorHAnsi" w:cs="/˙øÖ'D6"/>
          <w:lang w:eastAsia="en-AU"/>
        </w:rPr>
      </w:pPr>
      <w:r w:rsidRPr="00FA7210">
        <w:rPr>
          <w:rFonts w:asciiTheme="minorHAnsi" w:hAnsiTheme="minorHAnsi"/>
        </w:rPr>
        <w:t>Comment:</w:t>
      </w:r>
      <w:r w:rsidRPr="00FA7210">
        <w:rPr>
          <w:rFonts w:asciiTheme="minorHAnsi" w:hAnsiTheme="minorHAnsi"/>
        </w:rPr>
        <w:tab/>
        <w:t xml:space="preserve">In this first clinical study, WFI for reconstitution of the freeze-dried powder was provided in vials as pre-filled syringes were not available for this study. </w:t>
      </w:r>
      <w:r w:rsidRPr="00FA7210">
        <w:rPr>
          <w:rFonts w:asciiTheme="minorHAnsi" w:eastAsia="Times New Roman" w:hAnsiTheme="minorHAnsi" w:cs="/˙øÖ'D6"/>
          <w:lang w:eastAsia="en-AU"/>
        </w:rPr>
        <w:t xml:space="preserve">From late 2009 onwards, sterilised WFI was provided for all further clinical studies in </w:t>
      </w:r>
      <w:r w:rsidRPr="00FA7210">
        <w:rPr>
          <w:rFonts w:asciiTheme="minorHAnsi" w:eastAsia="Times New Roman" w:hAnsiTheme="minorHAnsi" w:cs="/˙øÖ'D6"/>
          <w:lang w:eastAsia="en-AU"/>
        </w:rPr>
        <w:lastRenderedPageBreak/>
        <w:t>prefilled syringes</w:t>
      </w:r>
      <w:r w:rsidR="00FA7210">
        <w:rPr>
          <w:rFonts w:asciiTheme="minorHAnsi" w:eastAsia="Times New Roman" w:hAnsiTheme="minorHAnsi" w:cs="/˙øÖ'D6"/>
          <w:lang w:eastAsia="en-AU"/>
        </w:rPr>
        <w:t>.</w:t>
      </w:r>
    </w:p>
    <w:p w14:paraId="549B4D16" w14:textId="7BD41FF7" w:rsidR="00AE1580" w:rsidRPr="00000A64" w:rsidRDefault="00EA445D" w:rsidP="00EA445D">
      <w:pPr>
        <w:pStyle w:val="Numberbullet2"/>
      </w:pPr>
      <w:r>
        <w:t>e.</w:t>
      </w:r>
      <w:r>
        <w:tab/>
      </w:r>
      <w:r w:rsidR="00AE1580" w:rsidRPr="00000A64">
        <w:t>Pharmacokinetic assessments and associated statistical methods</w:t>
      </w:r>
    </w:p>
    <w:p w14:paraId="64E934A2" w14:textId="08022D78" w:rsidR="00AE1580" w:rsidRPr="00175F3F" w:rsidRDefault="00AE1580" w:rsidP="00232C15">
      <w:pPr>
        <w:widowControl w:val="0"/>
        <w:autoSpaceDE w:val="0"/>
        <w:autoSpaceDN w:val="0"/>
        <w:adjustRightInd w:val="0"/>
      </w:pPr>
      <w:r w:rsidRPr="00175F3F">
        <w:t xml:space="preserve">PK </w:t>
      </w:r>
      <w:r>
        <w:t xml:space="preserve">analysis for both </w:t>
      </w:r>
      <w:r w:rsidR="00051AEE">
        <w:t>full-length rFVIII BHK</w:t>
      </w:r>
      <w:r w:rsidRPr="00175F3F">
        <w:t xml:space="preserve"> and </w:t>
      </w:r>
      <w:r>
        <w:t xml:space="preserve">simoctocog alfa were undertaken in </w:t>
      </w:r>
      <w:r w:rsidRPr="00175F3F">
        <w:t>Cycle</w:t>
      </w:r>
      <w:r>
        <w:t>s</w:t>
      </w:r>
      <w:r w:rsidRPr="00175F3F">
        <w:t xml:space="preserve"> 1 and 2 of Part I</w:t>
      </w:r>
      <w:r>
        <w:t>.</w:t>
      </w:r>
      <w:r w:rsidRPr="00175F3F">
        <w:t xml:space="preserve"> Actual potency was used for calculating PK parameters to account for differences between lots.</w:t>
      </w:r>
      <w:r>
        <w:t xml:space="preserve"> </w:t>
      </w:r>
      <w:r w:rsidRPr="00175F3F">
        <w:t xml:space="preserve">All </w:t>
      </w:r>
      <w:r>
        <w:t xml:space="preserve">PK </w:t>
      </w:r>
      <w:r w:rsidRPr="00175F3F">
        <w:t>calculations (except T</w:t>
      </w:r>
      <w:r w:rsidRPr="0059731E">
        <w:rPr>
          <w:vertAlign w:val="subscript"/>
        </w:rPr>
        <w:t>max</w:t>
      </w:r>
      <w:r w:rsidRPr="00175F3F">
        <w:t xml:space="preserve">) were based on the actual sampling times and not on </w:t>
      </w:r>
      <w:r>
        <w:t xml:space="preserve">the </w:t>
      </w:r>
      <w:r w:rsidRPr="00175F3F">
        <w:t>nominal time points. FVIII</w:t>
      </w:r>
      <w:proofErr w:type="gramStart"/>
      <w:r w:rsidRPr="00175F3F">
        <w:t>:C</w:t>
      </w:r>
      <w:proofErr w:type="gramEnd"/>
      <w:r w:rsidRPr="00175F3F">
        <w:t xml:space="preserve"> values below the limit of quantification were set to 0 for PK calculations.</w:t>
      </w:r>
    </w:p>
    <w:p w14:paraId="3798B524" w14:textId="77777777" w:rsidR="000F04AF" w:rsidRDefault="00AE1580" w:rsidP="00232C15">
      <w:pPr>
        <w:rPr>
          <w:rFonts w:eastAsia="Times New Roman"/>
          <w:lang w:eastAsia="en-AU"/>
        </w:rPr>
      </w:pPr>
      <w:r w:rsidRPr="00175F3F">
        <w:rPr>
          <w:rFonts w:eastAsia="Times New Roman"/>
          <w:i/>
          <w:lang w:eastAsia="en-AU"/>
        </w:rPr>
        <w:t>The primary PK endpoint</w:t>
      </w:r>
      <w:r w:rsidRPr="00175F3F">
        <w:rPr>
          <w:rFonts w:eastAsia="Times New Roman"/>
          <w:lang w:eastAsia="en-AU"/>
        </w:rPr>
        <w:t xml:space="preserve"> was the comparison of AUC</w:t>
      </w:r>
      <w:r>
        <w:rPr>
          <w:rFonts w:eastAsia="Times New Roman"/>
          <w:vertAlign w:val="subscript"/>
          <w:lang w:eastAsia="en-AU"/>
        </w:rPr>
        <w:t xml:space="preserve"> </w:t>
      </w:r>
      <w:r w:rsidRPr="00175F3F">
        <w:rPr>
          <w:rFonts w:eastAsia="Times New Roman"/>
          <w:lang w:eastAsia="en-AU"/>
        </w:rPr>
        <w:t>for FVIII</w:t>
      </w:r>
      <w:proofErr w:type="gramStart"/>
      <w:r w:rsidRPr="00175F3F">
        <w:rPr>
          <w:rFonts w:eastAsia="Times New Roman"/>
          <w:lang w:eastAsia="en-AU"/>
        </w:rPr>
        <w:t>:C</w:t>
      </w:r>
      <w:proofErr w:type="gramEnd"/>
      <w:r w:rsidRPr="00175F3F">
        <w:rPr>
          <w:rFonts w:eastAsia="Times New Roman"/>
          <w:lang w:eastAsia="en-AU"/>
        </w:rPr>
        <w:t xml:space="preserve"> between </w:t>
      </w:r>
      <w:r>
        <w:rPr>
          <w:rFonts w:eastAsia="Times New Roman"/>
          <w:lang w:eastAsia="en-AU"/>
        </w:rPr>
        <w:t xml:space="preserve">simoctocog alfa </w:t>
      </w:r>
      <w:r w:rsidRPr="00175F3F">
        <w:rPr>
          <w:rFonts w:eastAsia="Times New Roman"/>
          <w:lang w:eastAsia="en-AU"/>
        </w:rPr>
        <w:t xml:space="preserve">and </w:t>
      </w:r>
      <w:r w:rsidR="00051AEE">
        <w:t>full-length rFVIII BHK</w:t>
      </w:r>
      <w:r w:rsidRPr="00175F3F">
        <w:rPr>
          <w:rFonts w:eastAsia="Times New Roman"/>
          <w:lang w:eastAsia="en-AU"/>
        </w:rPr>
        <w:t xml:space="preserve"> using both the CHR and the OS assay</w:t>
      </w:r>
      <w:r>
        <w:rPr>
          <w:rFonts w:eastAsia="Times New Roman"/>
          <w:lang w:eastAsia="en-AU"/>
        </w:rPr>
        <w:t>s</w:t>
      </w:r>
      <w:r w:rsidRPr="00175F3F">
        <w:rPr>
          <w:rFonts w:eastAsia="Times New Roman"/>
          <w:lang w:eastAsia="en-AU"/>
        </w:rPr>
        <w:t xml:space="preserve">. </w:t>
      </w:r>
      <w:r w:rsidRPr="00175F3F">
        <w:rPr>
          <w:rFonts w:eastAsia="Times New Roman"/>
          <w:i/>
          <w:lang w:eastAsia="en-AU"/>
        </w:rPr>
        <w:t>The secondary PK endpoints</w:t>
      </w:r>
      <w:r w:rsidRPr="00175F3F">
        <w:rPr>
          <w:rFonts w:eastAsia="Times New Roman"/>
          <w:lang w:eastAsia="en-AU"/>
        </w:rPr>
        <w:t xml:space="preserve"> were incremental IVR, T</w:t>
      </w:r>
      <w:r w:rsidRPr="00175F3F">
        <w:rPr>
          <w:rFonts w:eastAsia="Times New Roman"/>
          <w:vertAlign w:val="subscript"/>
          <w:lang w:eastAsia="en-AU"/>
        </w:rPr>
        <w:t>1/2</w:t>
      </w:r>
      <w:r w:rsidRPr="00175F3F">
        <w:rPr>
          <w:rFonts w:eastAsia="Times New Roman"/>
          <w:lang w:eastAsia="en-AU"/>
        </w:rPr>
        <w:t>, maximum plasma concentration (C</w:t>
      </w:r>
      <w:r w:rsidRPr="00175F3F">
        <w:rPr>
          <w:rFonts w:eastAsia="Times New Roman"/>
          <w:vertAlign w:val="subscript"/>
          <w:lang w:eastAsia="en-AU"/>
        </w:rPr>
        <w:t>max</w:t>
      </w:r>
      <w:r w:rsidRPr="00175F3F">
        <w:rPr>
          <w:rFonts w:eastAsia="Times New Roman"/>
          <w:lang w:eastAsia="en-AU"/>
        </w:rPr>
        <w:t>), time to C</w:t>
      </w:r>
      <w:r w:rsidRPr="00175F3F">
        <w:rPr>
          <w:rFonts w:eastAsia="Times New Roman"/>
          <w:vertAlign w:val="subscript"/>
          <w:lang w:eastAsia="en-AU"/>
        </w:rPr>
        <w:t>max</w:t>
      </w:r>
      <w:r w:rsidRPr="00175F3F">
        <w:rPr>
          <w:rFonts w:eastAsia="Times New Roman"/>
          <w:lang w:eastAsia="en-AU"/>
        </w:rPr>
        <w:t xml:space="preserve"> (T</w:t>
      </w:r>
      <w:r w:rsidRPr="00175F3F">
        <w:rPr>
          <w:rFonts w:eastAsia="Times New Roman"/>
          <w:vertAlign w:val="subscript"/>
          <w:lang w:eastAsia="en-AU"/>
        </w:rPr>
        <w:t>max</w:t>
      </w:r>
      <w:r w:rsidRPr="00175F3F">
        <w:rPr>
          <w:rFonts w:eastAsia="Times New Roman"/>
          <w:lang w:eastAsia="en-AU"/>
        </w:rPr>
        <w:t>), mean residence time (MRT), volume of distribution at steady state (V</w:t>
      </w:r>
      <w:r w:rsidRPr="00175F3F">
        <w:rPr>
          <w:rFonts w:eastAsia="Times New Roman"/>
          <w:vertAlign w:val="subscript"/>
          <w:lang w:eastAsia="en-AU"/>
        </w:rPr>
        <w:t>ss</w:t>
      </w:r>
      <w:r w:rsidRPr="00175F3F">
        <w:rPr>
          <w:rFonts w:eastAsia="Times New Roman"/>
          <w:lang w:eastAsia="en-AU"/>
        </w:rPr>
        <w:t>) and CL.</w:t>
      </w:r>
    </w:p>
    <w:p w14:paraId="3096614C" w14:textId="1C9C69EF" w:rsidR="00AE1580" w:rsidRPr="00175F3F" w:rsidRDefault="00AE1580" w:rsidP="00232C15">
      <w:pPr>
        <w:widowControl w:val="0"/>
        <w:autoSpaceDE w:val="0"/>
        <w:autoSpaceDN w:val="0"/>
        <w:adjustRightInd w:val="0"/>
      </w:pPr>
      <w:r w:rsidRPr="00175F3F">
        <w:rPr>
          <w:rFonts w:eastAsia="Times New Roman"/>
          <w:lang w:eastAsia="en-AU"/>
        </w:rPr>
        <w:t xml:space="preserve">The geometric mean ratio with 90% CI of </w:t>
      </w:r>
      <w:r>
        <w:rPr>
          <w:rFonts w:eastAsia="Times New Roman"/>
          <w:lang w:eastAsia="en-AU"/>
        </w:rPr>
        <w:t xml:space="preserve">simoctocog alfa </w:t>
      </w:r>
      <w:r w:rsidRPr="00175F3F">
        <w:rPr>
          <w:rFonts w:eastAsia="Times New Roman"/>
          <w:lang w:eastAsia="en-AU"/>
        </w:rPr>
        <w:t xml:space="preserve">over </w:t>
      </w:r>
      <w:r w:rsidR="00051AEE">
        <w:t>full-length rFVIII BHK</w:t>
      </w:r>
      <w:r w:rsidRPr="00175F3F">
        <w:rPr>
          <w:rFonts w:eastAsia="Times New Roman"/>
          <w:lang w:eastAsia="en-AU"/>
        </w:rPr>
        <w:t xml:space="preserve">was used to compare selected primary and secondary PK parameters. The ratios were calculated using standard methods. </w:t>
      </w:r>
      <w:r w:rsidRPr="00175F3F">
        <w:t>A supportive analysis of AUC and IVR using a standard cross</w:t>
      </w:r>
      <w:r>
        <w:t>-</w:t>
      </w:r>
      <w:r w:rsidRPr="00175F3F">
        <w:t>over ANOVA model was performed in order to provide estimates adjusted for possible patient, sequence and period effects.</w:t>
      </w:r>
    </w:p>
    <w:p w14:paraId="1297AE0F" w14:textId="77777777" w:rsidR="000F04AF" w:rsidRDefault="00AE1580" w:rsidP="00232C15">
      <w:pPr>
        <w:rPr>
          <w:rFonts w:eastAsia="Times New Roman"/>
          <w:lang w:eastAsia="en-AU"/>
        </w:rPr>
      </w:pPr>
      <w:r>
        <w:rPr>
          <w:rFonts w:eastAsia="Times New Roman"/>
          <w:lang w:eastAsia="en-AU"/>
        </w:rPr>
        <w:t>For the PK analysi</w:t>
      </w:r>
      <w:r w:rsidRPr="00175F3F">
        <w:rPr>
          <w:rFonts w:eastAsia="Times New Roman"/>
          <w:lang w:eastAsia="en-AU"/>
        </w:rPr>
        <w:t>s, FVIII levels were measured before and 0.25, 0.5, 0.75, 1, 3, 6, 9, 12, 24, 30 and 48 hours after the end of the infusion.</w:t>
      </w:r>
      <w:r>
        <w:rPr>
          <w:rFonts w:eastAsia="Times New Roman"/>
          <w:lang w:eastAsia="en-AU"/>
        </w:rPr>
        <w:t xml:space="preserve"> </w:t>
      </w:r>
      <w:r w:rsidRPr="00175F3F">
        <w:rPr>
          <w:rFonts w:eastAsia="Times New Roman"/>
          <w:lang w:eastAsia="en-AU"/>
        </w:rPr>
        <w:t>The incremental IVR was calculated from plasma FVIII</w:t>
      </w:r>
      <w:proofErr w:type="gramStart"/>
      <w:r w:rsidRPr="00175F3F">
        <w:rPr>
          <w:rFonts w:eastAsia="Times New Roman"/>
          <w:lang w:eastAsia="en-AU"/>
        </w:rPr>
        <w:t>:C</w:t>
      </w:r>
      <w:proofErr w:type="gramEnd"/>
      <w:r w:rsidRPr="00175F3F">
        <w:rPr>
          <w:rFonts w:eastAsia="Times New Roman"/>
          <w:lang w:eastAsia="en-AU"/>
        </w:rPr>
        <w:t xml:space="preserve"> levels before infusion and from peak plasma FVIII:C levels obtained in the 0.25, 0.5, 0.75, or 1 hour post-infusion samples. The same formula was used to calculate the IVR as used for GENA-01, GENA-03 and GENA-08.</w:t>
      </w:r>
    </w:p>
    <w:p w14:paraId="0F7C4DBD" w14:textId="77777777" w:rsidR="000F04AF" w:rsidRDefault="00AE1580" w:rsidP="00232C15">
      <w:pPr>
        <w:widowControl w:val="0"/>
        <w:autoSpaceDE w:val="0"/>
        <w:autoSpaceDN w:val="0"/>
        <w:adjustRightInd w:val="0"/>
      </w:pPr>
      <w:r>
        <w:t xml:space="preserve">For </w:t>
      </w:r>
      <w:r w:rsidRPr="00175F3F">
        <w:t xml:space="preserve">patients who entered Part II of the study (efficacy and safety phase), IVR for </w:t>
      </w:r>
      <w:r>
        <w:t xml:space="preserve">simoctocog alfa </w:t>
      </w:r>
      <w:r w:rsidRPr="00175F3F">
        <w:t>was measured at 3 months (PKREC-3M</w:t>
      </w:r>
      <w:r>
        <w:t xml:space="preserve"> population</w:t>
      </w:r>
      <w:r w:rsidRPr="00175F3F">
        <w:t xml:space="preserve">). </w:t>
      </w:r>
      <w:r>
        <w:t>F</w:t>
      </w:r>
      <w:r w:rsidRPr="00175F3F">
        <w:t xml:space="preserve">ull PK analysis for </w:t>
      </w:r>
      <w:r>
        <w:t xml:space="preserve">simoctocog alfa </w:t>
      </w:r>
      <w:r w:rsidRPr="00175F3F">
        <w:t>was performed in patients at 6 months (PK2-6M</w:t>
      </w:r>
      <w:r>
        <w:t xml:space="preserve"> population) who had undergone full PK analysis in Part I.</w:t>
      </w:r>
    </w:p>
    <w:p w14:paraId="6E66095F" w14:textId="77777777" w:rsidR="000F04AF" w:rsidRDefault="00AE1580" w:rsidP="00232C15">
      <w:r w:rsidRPr="00175F3F">
        <w:t>No formal</w:t>
      </w:r>
      <w:r>
        <w:t xml:space="preserve"> size calculation was performed. </w:t>
      </w:r>
      <w:r w:rsidRPr="00175F3F">
        <w:t>The sample size (n=22) was chosen to satisfy applicable CHMP and FDA recommendations.</w:t>
      </w:r>
    </w:p>
    <w:p w14:paraId="18E387FF" w14:textId="2EBEF266" w:rsidR="00AE1580" w:rsidRDefault="00AE1580" w:rsidP="00232C15">
      <w:r w:rsidRPr="00175F3F">
        <w:t xml:space="preserve">The primary analysis population for the PK data (Part 1) was the PK-PP population. The PK-PP population included all randomised patients who completed Part I of the study receiving both treatments without significantly violating the inclusion/exclusion criteria or other aspects of the protocol considered to potentially affect the PK results. PK data were </w:t>
      </w:r>
      <w:r>
        <w:t xml:space="preserve">also </w:t>
      </w:r>
      <w:r w:rsidRPr="00175F3F">
        <w:t xml:space="preserve">analysed in the PK-6 months PP population (PK-6m-PP) consisting of all patients admitted to the study who completed the </w:t>
      </w:r>
      <w:r>
        <w:t xml:space="preserve">PK analysis </w:t>
      </w:r>
      <w:r w:rsidRPr="00175F3F">
        <w:t>6 months after start without significantly violating the inclusion/exclusion criteria or other aspects of the protocol considered to potentially affect the PK results.</w:t>
      </w:r>
    </w:p>
    <w:p w14:paraId="6BE50080" w14:textId="7D17A600" w:rsidR="00AE1580" w:rsidRPr="00356189" w:rsidRDefault="00AE1580" w:rsidP="00EA445D">
      <w:pPr>
        <w:pStyle w:val="Numberbullet2"/>
      </w:pPr>
      <w:r w:rsidRPr="00356189">
        <w:t>f.</w:t>
      </w:r>
      <w:r w:rsidRPr="00356189">
        <w:tab/>
        <w:t>Chromogenic (CHR) and one-stage (OS) assays</w:t>
      </w:r>
    </w:p>
    <w:p w14:paraId="34674CE4" w14:textId="77777777" w:rsidR="000F04AF" w:rsidRDefault="00AE1580" w:rsidP="00232C15">
      <w:r w:rsidRPr="00D00E36">
        <w:t>FVIII</w:t>
      </w:r>
      <w:proofErr w:type="gramStart"/>
      <w:r w:rsidRPr="00D00E36">
        <w:t>:C</w:t>
      </w:r>
      <w:proofErr w:type="gramEnd"/>
      <w:r w:rsidRPr="00D00E36">
        <w:t xml:space="preserve"> measurements (OS and CHR) assays were undertaken in a central laboratory located in the USA (same laboratory as used for samples from GENA-01 and GENA-03). If required for pre-, intra- and post-surgery samples for FVIII</w:t>
      </w:r>
      <w:proofErr w:type="gramStart"/>
      <w:r w:rsidRPr="00D00E36">
        <w:t>:C</w:t>
      </w:r>
      <w:proofErr w:type="gramEnd"/>
      <w:r w:rsidRPr="00D00E36">
        <w:t xml:space="preserve"> were measured locally.</w:t>
      </w:r>
    </w:p>
    <w:p w14:paraId="0101492E" w14:textId="5B8264F1" w:rsidR="00AE1580" w:rsidRPr="00356189" w:rsidRDefault="00AE1580" w:rsidP="00EA445D">
      <w:pPr>
        <w:pStyle w:val="Numberbullet2"/>
      </w:pPr>
      <w:r w:rsidRPr="00356189">
        <w:t>g.</w:t>
      </w:r>
      <w:r w:rsidRPr="00356189">
        <w:tab/>
        <w:t>Demographic</w:t>
      </w:r>
    </w:p>
    <w:p w14:paraId="29610BBB" w14:textId="00664597" w:rsidR="00AE1580" w:rsidRPr="00D00E36" w:rsidRDefault="00AE1580" w:rsidP="00232C15">
      <w:pPr>
        <w:widowControl w:val="0"/>
        <w:autoSpaceDE w:val="0"/>
        <w:autoSpaceDN w:val="0"/>
        <w:adjustRightInd w:val="0"/>
      </w:pPr>
      <w:r w:rsidRPr="00D00E36">
        <w:t xml:space="preserve">A total of 22 patients were enrolled in this study. There were no premature discontinuations. All 22 patients were included the ITT population for PK assessments. The PP population in </w:t>
      </w:r>
      <w:r>
        <w:t xml:space="preserve">for the PK analysis in Part 1 </w:t>
      </w:r>
      <w:r w:rsidRPr="00D00E36">
        <w:t xml:space="preserve">included all 22 patients, and </w:t>
      </w:r>
      <w:r>
        <w:t xml:space="preserve">the </w:t>
      </w:r>
      <w:r w:rsidRPr="00D00E36">
        <w:t xml:space="preserve">PP populations at 3 and 6 months included 21 patients (data for one patient were excluded due to </w:t>
      </w:r>
      <w:r>
        <w:t xml:space="preserve">an </w:t>
      </w:r>
      <w:r w:rsidRPr="00D00E36">
        <w:t xml:space="preserve">implausible concentration-time profile after the 6-month PK infusion). In </w:t>
      </w:r>
      <w:r>
        <w:t xml:space="preserve">the </w:t>
      </w:r>
      <w:r w:rsidRPr="00D00E36">
        <w:t xml:space="preserve">submitted CSR, the PK data focused primarily on the CHR assay </w:t>
      </w:r>
      <w:r>
        <w:t xml:space="preserve">it was </w:t>
      </w:r>
      <w:r w:rsidRPr="00D00E36">
        <w:t>stated that this is the accepted measure in Europe and Russia.</w:t>
      </w:r>
    </w:p>
    <w:p w14:paraId="0EB3D835" w14:textId="77777777" w:rsidR="000F04AF" w:rsidRDefault="00AE1580" w:rsidP="00232C15">
      <w:pPr>
        <w:widowControl w:val="0"/>
        <w:autoSpaceDE w:val="0"/>
        <w:autoSpaceDN w:val="0"/>
        <w:adjustRightInd w:val="0"/>
      </w:pPr>
      <w:r>
        <w:t>The mean±</w:t>
      </w:r>
      <w:r w:rsidRPr="00D00E36">
        <w:t xml:space="preserve">SD age of the 22 male patients in the study at the time of the first treatment with </w:t>
      </w:r>
      <w:r>
        <w:lastRenderedPageBreak/>
        <w:t xml:space="preserve">simoctocog alfa </w:t>
      </w:r>
      <w:r w:rsidRPr="00D00E36">
        <w:t>was 24.5±9.77 years (range: 18, 62 years), the mean ± weight was 69.0±13.82 kg (range: 50, 105 kg), and all patients were white Caucasian.</w:t>
      </w:r>
    </w:p>
    <w:p w14:paraId="7B11CA96" w14:textId="77777777" w:rsidR="000F04AF" w:rsidRDefault="00AE1580" w:rsidP="00232C15">
      <w:pPr>
        <w:widowControl w:val="0"/>
        <w:autoSpaceDE w:val="0"/>
        <w:autoSpaceDN w:val="0"/>
        <w:adjustRightInd w:val="0"/>
        <w:ind w:left="1134" w:hanging="1134"/>
        <w:rPr>
          <w:rFonts w:asciiTheme="minorHAnsi" w:hAnsiTheme="minorHAnsi"/>
        </w:rPr>
      </w:pPr>
      <w:r w:rsidRPr="00FA7210">
        <w:rPr>
          <w:rFonts w:asciiTheme="minorHAnsi" w:hAnsiTheme="minorHAnsi"/>
        </w:rPr>
        <w:t>Comment:</w:t>
      </w:r>
      <w:r w:rsidRPr="00FA7210">
        <w:rPr>
          <w:rFonts w:asciiTheme="minorHAnsi" w:hAnsiTheme="minorHAnsi"/>
        </w:rPr>
        <w:tab/>
        <w:t>The sponsor commented that the adult patients in this study differed from the adult patients in the other two other clinical studies (GENA-01, GENA-08) in that the Russian patients had been "inadequately treated in the past, as evidenced by the high total HJHS at study start (mean 45.3, median 45.0)".</w:t>
      </w:r>
    </w:p>
    <w:p w14:paraId="3309F861" w14:textId="77777777" w:rsidR="000F04AF" w:rsidRDefault="00AE1580" w:rsidP="00EA445D">
      <w:pPr>
        <w:pStyle w:val="Numberbullet2"/>
      </w:pPr>
      <w:r w:rsidRPr="00356189">
        <w:t>h.</w:t>
      </w:r>
      <w:r w:rsidRPr="00356189">
        <w:tab/>
        <w:t>PK results - actual dose</w:t>
      </w:r>
    </w:p>
    <w:p w14:paraId="7A530EF0" w14:textId="77777777" w:rsidR="000F04AF" w:rsidRDefault="00AE1580" w:rsidP="00232C15">
      <w:pPr>
        <w:widowControl w:val="0"/>
        <w:autoSpaceDE w:val="0"/>
        <w:autoSpaceDN w:val="0"/>
        <w:adjustRightInd w:val="0"/>
        <w:rPr>
          <w:rFonts w:eastAsia="Times New Roman"/>
          <w:lang w:eastAsia="en-AU"/>
        </w:rPr>
      </w:pPr>
      <w:r w:rsidRPr="00D00E36">
        <w:rPr>
          <w:rFonts w:eastAsia="Times New Roman"/>
          <w:lang w:eastAsia="en-AU"/>
        </w:rPr>
        <w:t>The mean</w:t>
      </w:r>
      <w:r w:rsidRPr="00D00E36">
        <w:t xml:space="preserve">± SD </w:t>
      </w:r>
      <w:r w:rsidRPr="00D00E36">
        <w:rPr>
          <w:rFonts w:eastAsia="Times New Roman"/>
          <w:lang w:eastAsia="en-AU"/>
        </w:rPr>
        <w:t xml:space="preserve">actual doses </w:t>
      </w:r>
      <w:r>
        <w:rPr>
          <w:rFonts w:eastAsia="Times New Roman"/>
          <w:lang w:eastAsia="en-AU"/>
        </w:rPr>
        <w:t>(CHR assay) d</w:t>
      </w:r>
      <w:r w:rsidRPr="00D00E36">
        <w:rPr>
          <w:rFonts w:eastAsia="Times New Roman"/>
          <w:lang w:eastAsia="en-AU"/>
        </w:rPr>
        <w:t>uring the first PK assessment were 49.9</w:t>
      </w:r>
      <w:r w:rsidRPr="00D00E36">
        <w:t xml:space="preserve">±1.6 IU/kg for </w:t>
      </w:r>
      <w:r>
        <w:t xml:space="preserve">simoctocog alfa </w:t>
      </w:r>
      <w:r w:rsidRPr="00D00E36">
        <w:t xml:space="preserve">and 54.7±0.5 </w:t>
      </w:r>
      <w:r>
        <w:t xml:space="preserve">IU/kg </w:t>
      </w:r>
      <w:r w:rsidRPr="00D00E36">
        <w:t xml:space="preserve">for </w:t>
      </w:r>
      <w:r w:rsidR="00051AEE">
        <w:t>full-length rFVIII BHK</w:t>
      </w:r>
      <w:r>
        <w:t xml:space="preserve">. </w:t>
      </w:r>
      <w:r w:rsidRPr="00D00E36">
        <w:rPr>
          <w:rFonts w:eastAsia="Times New Roman"/>
          <w:lang w:eastAsia="en-AU"/>
        </w:rPr>
        <w:t xml:space="preserve">The </w:t>
      </w:r>
      <w:r>
        <w:rPr>
          <w:rFonts w:eastAsia="Times New Roman"/>
          <w:lang w:eastAsia="en-AU"/>
        </w:rPr>
        <w:t xml:space="preserve">actual </w:t>
      </w:r>
      <w:r w:rsidRPr="00D00E36">
        <w:rPr>
          <w:rFonts w:eastAsia="Times New Roman"/>
          <w:lang w:eastAsia="en-AU"/>
        </w:rPr>
        <w:t xml:space="preserve">dose (IU/kg) of </w:t>
      </w:r>
      <w:r>
        <w:rPr>
          <w:rFonts w:eastAsia="Times New Roman"/>
          <w:lang w:eastAsia="en-AU"/>
        </w:rPr>
        <w:t xml:space="preserve">simoctocog alfa </w:t>
      </w:r>
      <w:r w:rsidRPr="00D00E36">
        <w:rPr>
          <w:rFonts w:eastAsia="Times New Roman"/>
          <w:lang w:eastAsia="en-AU"/>
        </w:rPr>
        <w:t xml:space="preserve">was approximately </w:t>
      </w:r>
      <w:r>
        <w:rPr>
          <w:rFonts w:eastAsia="Times New Roman"/>
          <w:lang w:eastAsia="en-AU"/>
        </w:rPr>
        <w:t>9</w:t>
      </w:r>
      <w:r w:rsidRPr="00D00E36">
        <w:rPr>
          <w:rFonts w:eastAsia="Times New Roman"/>
          <w:lang w:eastAsia="en-AU"/>
        </w:rPr>
        <w:t xml:space="preserve">% lower than </w:t>
      </w:r>
      <w:r>
        <w:rPr>
          <w:rFonts w:eastAsia="Times New Roman"/>
          <w:lang w:eastAsia="en-AU"/>
        </w:rPr>
        <w:t xml:space="preserve">that of </w:t>
      </w:r>
      <w:r w:rsidR="00051AEE">
        <w:t>full-length rFVIII BHK</w:t>
      </w:r>
      <w:r w:rsidRPr="00D00E36">
        <w:rPr>
          <w:rFonts w:eastAsia="Times New Roman"/>
          <w:lang w:eastAsia="en-AU"/>
        </w:rPr>
        <w:t>.</w:t>
      </w:r>
    </w:p>
    <w:p w14:paraId="0BF0EB8C" w14:textId="77777777" w:rsidR="000F04AF" w:rsidRDefault="00AE1580" w:rsidP="00232C15">
      <w:pPr>
        <w:widowControl w:val="0"/>
        <w:autoSpaceDE w:val="0"/>
        <w:autoSpaceDN w:val="0"/>
        <w:adjustRightInd w:val="0"/>
        <w:rPr>
          <w:rFonts w:eastAsia="Times New Roman"/>
          <w:lang w:eastAsia="en-AU"/>
        </w:rPr>
      </w:pPr>
      <w:r w:rsidRPr="00D00E36">
        <w:rPr>
          <w:rFonts w:eastAsia="Times New Roman"/>
          <w:lang w:eastAsia="en-AU"/>
        </w:rPr>
        <w:t>The mean</w:t>
      </w:r>
      <w:r w:rsidRPr="00D00E36">
        <w:t xml:space="preserve">± SD </w:t>
      </w:r>
      <w:r w:rsidRPr="00D00E36">
        <w:rPr>
          <w:rFonts w:eastAsia="Times New Roman"/>
          <w:lang w:eastAsia="en-AU"/>
        </w:rPr>
        <w:t xml:space="preserve">actual doses </w:t>
      </w:r>
      <w:r>
        <w:rPr>
          <w:rFonts w:eastAsia="Times New Roman"/>
          <w:lang w:eastAsia="en-AU"/>
        </w:rPr>
        <w:t xml:space="preserve">(OS assay) </w:t>
      </w:r>
      <w:r w:rsidRPr="00D00E36">
        <w:rPr>
          <w:rFonts w:eastAsia="Times New Roman"/>
          <w:lang w:eastAsia="en-AU"/>
        </w:rPr>
        <w:t xml:space="preserve">during the first PK assessment were </w:t>
      </w:r>
      <w:r>
        <w:rPr>
          <w:rFonts w:eastAsia="Times New Roman"/>
          <w:lang w:eastAsia="en-AU"/>
        </w:rPr>
        <w:t>40.0</w:t>
      </w:r>
      <w:r w:rsidRPr="00D00E36">
        <w:t>±1.</w:t>
      </w:r>
      <w:r>
        <w:t>7 IU/kg for simoctocog alfa and 54.2</w:t>
      </w:r>
      <w:r w:rsidRPr="00D00E36">
        <w:t xml:space="preserve">±0.5 </w:t>
      </w:r>
      <w:r>
        <w:t xml:space="preserve">IU/kg </w:t>
      </w:r>
      <w:r w:rsidRPr="00D00E36">
        <w:t xml:space="preserve">for </w:t>
      </w:r>
      <w:r w:rsidR="00051AEE">
        <w:t>full-length rFVIII BHK</w:t>
      </w:r>
      <w:r>
        <w:t xml:space="preserve">. </w:t>
      </w:r>
      <w:r w:rsidRPr="00D00E36">
        <w:rPr>
          <w:rFonts w:eastAsia="Times New Roman"/>
          <w:lang w:eastAsia="en-AU"/>
        </w:rPr>
        <w:t xml:space="preserve">The </w:t>
      </w:r>
      <w:r>
        <w:rPr>
          <w:rFonts w:eastAsia="Times New Roman"/>
          <w:lang w:eastAsia="en-AU"/>
        </w:rPr>
        <w:t xml:space="preserve">actual </w:t>
      </w:r>
      <w:r w:rsidRPr="00D00E36">
        <w:rPr>
          <w:rFonts w:eastAsia="Times New Roman"/>
          <w:lang w:eastAsia="en-AU"/>
        </w:rPr>
        <w:t xml:space="preserve">dose (IU/kg) of </w:t>
      </w:r>
      <w:r>
        <w:rPr>
          <w:rFonts w:eastAsia="Times New Roman"/>
          <w:lang w:eastAsia="en-AU"/>
        </w:rPr>
        <w:t xml:space="preserve">simoctocog alfa </w:t>
      </w:r>
      <w:r w:rsidRPr="00D00E36">
        <w:rPr>
          <w:rFonts w:eastAsia="Times New Roman"/>
          <w:lang w:eastAsia="en-AU"/>
        </w:rPr>
        <w:t xml:space="preserve">was approximately </w:t>
      </w:r>
      <w:r>
        <w:rPr>
          <w:rFonts w:eastAsia="Times New Roman"/>
          <w:lang w:eastAsia="en-AU"/>
        </w:rPr>
        <w:t>26</w:t>
      </w:r>
      <w:r w:rsidRPr="00D00E36">
        <w:rPr>
          <w:rFonts w:eastAsia="Times New Roman"/>
          <w:lang w:eastAsia="en-AU"/>
        </w:rPr>
        <w:t xml:space="preserve">% lower than </w:t>
      </w:r>
      <w:r>
        <w:rPr>
          <w:rFonts w:eastAsia="Times New Roman"/>
          <w:lang w:eastAsia="en-AU"/>
        </w:rPr>
        <w:t xml:space="preserve">that of </w:t>
      </w:r>
      <w:r w:rsidR="00051AEE">
        <w:t>full-length rFVIII BHK</w:t>
      </w:r>
      <w:r w:rsidRPr="00D00E36">
        <w:rPr>
          <w:rFonts w:eastAsia="Times New Roman"/>
          <w:lang w:eastAsia="en-AU"/>
        </w:rPr>
        <w:t>.</w:t>
      </w:r>
    </w:p>
    <w:p w14:paraId="32A75608" w14:textId="5F70F842" w:rsidR="00AE1580" w:rsidRPr="007D323C" w:rsidRDefault="00AE1580" w:rsidP="00EA445D">
      <w:pPr>
        <w:pStyle w:val="Numberbullet2"/>
        <w:rPr>
          <w:lang w:eastAsia="en-AU"/>
        </w:rPr>
      </w:pPr>
      <w:r w:rsidRPr="007D323C">
        <w:rPr>
          <w:lang w:eastAsia="en-AU"/>
        </w:rPr>
        <w:t>i.</w:t>
      </w:r>
      <w:r w:rsidRPr="007D323C">
        <w:rPr>
          <w:lang w:eastAsia="en-AU"/>
        </w:rPr>
        <w:tab/>
        <w:t>PK results - FVIII plasma concentrations over time</w:t>
      </w:r>
    </w:p>
    <w:p w14:paraId="0B7AAF44" w14:textId="77777777" w:rsidR="000F04AF" w:rsidRDefault="00AE1580" w:rsidP="00232C15">
      <w:pPr>
        <w:widowControl w:val="0"/>
        <w:autoSpaceDE w:val="0"/>
        <w:autoSpaceDN w:val="0"/>
        <w:adjustRightInd w:val="0"/>
      </w:pPr>
      <w:r w:rsidRPr="00EE0131">
        <w:t xml:space="preserve">FVIII-C levels (IU/L, mean±SD) versus time profiles through to 48 hours and dose standardised to 50 IU/kg, as determined by both CHR and OS assays, for the PK1-PP population </w:t>
      </w:r>
      <w:r w:rsidR="00FA7210">
        <w:t>were</w:t>
      </w:r>
      <w:r w:rsidRPr="00EE0131">
        <w:t xml:space="preserve"> provided</w:t>
      </w:r>
      <w:r>
        <w:t>. The FVIII</w:t>
      </w:r>
      <w:proofErr w:type="gramStart"/>
      <w:r>
        <w:t>:C</w:t>
      </w:r>
      <w:proofErr w:type="gramEnd"/>
      <w:r>
        <w:t xml:space="preserve"> profiles for both simoctocog alfa and </w:t>
      </w:r>
      <w:r w:rsidR="00051AEE">
        <w:t>full-length rFVIII BHK</w:t>
      </w:r>
      <w:r>
        <w:t>, standardised to dose, were similar for the two products according to both the CHR and OS assays,</w:t>
      </w:r>
    </w:p>
    <w:p w14:paraId="7E231C1C" w14:textId="34891F18" w:rsidR="00AE1580" w:rsidRPr="007D323C" w:rsidRDefault="00AE1580" w:rsidP="00EA445D">
      <w:pPr>
        <w:pStyle w:val="Numberbullet2"/>
        <w:rPr>
          <w:lang w:eastAsia="en-AU"/>
        </w:rPr>
      </w:pPr>
      <w:r w:rsidRPr="007D323C">
        <w:rPr>
          <w:lang w:eastAsia="en-AU"/>
        </w:rPr>
        <w:t>j.</w:t>
      </w:r>
      <w:r w:rsidRPr="007D323C">
        <w:rPr>
          <w:lang w:eastAsia="en-AU"/>
        </w:rPr>
        <w:tab/>
        <w:t>PK results (PK1)</w:t>
      </w:r>
    </w:p>
    <w:p w14:paraId="02CDEE57" w14:textId="77777777" w:rsidR="000F04AF" w:rsidRDefault="00AE1580" w:rsidP="00AC06F3">
      <w:pPr>
        <w:rPr>
          <w:lang w:eastAsia="en-AU"/>
        </w:rPr>
      </w:pPr>
      <w:r>
        <w:rPr>
          <w:rFonts w:eastAsia="Times New Roman"/>
          <w:lang w:eastAsia="en-AU"/>
        </w:rPr>
        <w:t>M</w:t>
      </w:r>
      <w:r w:rsidRPr="00D00E36">
        <w:rPr>
          <w:lang w:eastAsia="en-AU"/>
        </w:rPr>
        <w:t xml:space="preserve">ean±SD primary and secondary PK parameters </w:t>
      </w:r>
      <w:r>
        <w:rPr>
          <w:lang w:eastAsia="en-AU"/>
        </w:rPr>
        <w:t xml:space="preserve">for simoctocog alfa and </w:t>
      </w:r>
      <w:r w:rsidR="00051AEE">
        <w:t>full-length rFVIII BHK</w:t>
      </w:r>
      <w:r>
        <w:rPr>
          <w:lang w:eastAsia="en-AU"/>
        </w:rPr>
        <w:t xml:space="preserve">, as determined by the CHR and OS assays, </w:t>
      </w:r>
      <w:r w:rsidRPr="00D00E36">
        <w:rPr>
          <w:lang w:eastAsia="en-AU"/>
        </w:rPr>
        <w:t xml:space="preserve">in the PK1-PP population are summarised below in Table </w:t>
      </w:r>
      <w:r>
        <w:rPr>
          <w:lang w:eastAsia="en-AU"/>
        </w:rPr>
        <w:t>1</w:t>
      </w:r>
      <w:r w:rsidR="006F09EA">
        <w:rPr>
          <w:lang w:eastAsia="en-AU"/>
        </w:rPr>
        <w:t>3</w:t>
      </w:r>
      <w:r w:rsidRPr="00D00E36">
        <w:rPr>
          <w:lang w:eastAsia="en-AU"/>
        </w:rPr>
        <w:t>.</w:t>
      </w:r>
    </w:p>
    <w:p w14:paraId="542EFB36" w14:textId="7CA28B7B" w:rsidR="00AE1580" w:rsidRDefault="00AE1580" w:rsidP="00232C15">
      <w:pPr>
        <w:pStyle w:val="Tabletitle"/>
        <w:rPr>
          <w:rFonts w:ascii="Times New Roman" w:hAnsi="Times New Roman"/>
          <w:i/>
          <w:lang w:eastAsia="en-AU"/>
        </w:rPr>
      </w:pPr>
      <w:bookmarkStart w:id="46" w:name="_Toc248202532"/>
      <w:r>
        <w:t xml:space="preserve">Table </w:t>
      </w:r>
      <w:r w:rsidR="006F09EA">
        <w:t>13</w:t>
      </w:r>
      <w:r>
        <w:t xml:space="preserve">: </w:t>
      </w:r>
      <w:r>
        <w:rPr>
          <w:lang w:eastAsia="en-AU"/>
        </w:rPr>
        <w:t xml:space="preserve">GENA-09 - Primary and secondary PK parameters (mean±SD) for simoctocog alfa and </w:t>
      </w:r>
      <w:r w:rsidR="00051AEE">
        <w:t>full-length rFVIII BHK</w:t>
      </w:r>
      <w:r>
        <w:rPr>
          <w:lang w:eastAsia="en-AU"/>
        </w:rPr>
        <w:t xml:space="preserve"> according to the CHR and OS assays: PK1-PP population; n=22.</w:t>
      </w:r>
      <w:bookmarkEnd w:id="46"/>
      <w:r>
        <w:rPr>
          <w:lang w:eastAsia="en-AU"/>
        </w:rPr>
        <w:t xml:space="preserve"> </w:t>
      </w:r>
    </w:p>
    <w:tbl>
      <w:tblPr>
        <w:tblStyle w:val="TableTGAblue"/>
        <w:tblW w:w="9784" w:type="dxa"/>
        <w:tblLook w:val="04A0" w:firstRow="1" w:lastRow="0" w:firstColumn="1" w:lastColumn="0" w:noHBand="0" w:noVBand="1"/>
      </w:tblPr>
      <w:tblGrid>
        <w:gridCol w:w="2518"/>
        <w:gridCol w:w="1887"/>
        <w:gridCol w:w="1793"/>
        <w:gridCol w:w="1793"/>
        <w:gridCol w:w="1793"/>
      </w:tblGrid>
      <w:tr w:rsidR="00AE1580" w:rsidRPr="00C4642A" w14:paraId="384012D0" w14:textId="2B3E8393" w:rsidTr="00EA44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296829AD" w14:textId="600BDBAC" w:rsidR="00AE1580" w:rsidRPr="00C4642A" w:rsidRDefault="00EA445D" w:rsidP="00EA445D">
            <w:r>
              <w:t>Parameter</w:t>
            </w:r>
          </w:p>
        </w:tc>
        <w:tc>
          <w:tcPr>
            <w:tcW w:w="1887" w:type="dxa"/>
          </w:tcPr>
          <w:p w14:paraId="1C138A45" w14:textId="46DBC6EA" w:rsidR="00AE1580" w:rsidRPr="00C4642A" w:rsidRDefault="00EA445D" w:rsidP="00EA445D">
            <w:pPr>
              <w:cnfStyle w:val="100000000000" w:firstRow="1" w:lastRow="0" w:firstColumn="0" w:lastColumn="0" w:oddVBand="0" w:evenVBand="0" w:oddHBand="0" w:evenHBand="0" w:firstRowFirstColumn="0" w:firstRowLastColumn="0" w:lastRowFirstColumn="0" w:lastRowLastColumn="0"/>
            </w:pPr>
            <w:r>
              <w:t>Simoctocog alfa [CHR]</w:t>
            </w:r>
          </w:p>
        </w:tc>
        <w:tc>
          <w:tcPr>
            <w:tcW w:w="1793" w:type="dxa"/>
          </w:tcPr>
          <w:p w14:paraId="34AC4A4A" w14:textId="35363834" w:rsidR="00AE1580" w:rsidRPr="00C4642A" w:rsidRDefault="00051AEE" w:rsidP="00EA445D">
            <w:pPr>
              <w:cnfStyle w:val="100000000000" w:firstRow="1" w:lastRow="0" w:firstColumn="0" w:lastColumn="0" w:oddVBand="0" w:evenVBand="0" w:oddHBand="0" w:evenHBand="0" w:firstRowFirstColumn="0" w:firstRowLastColumn="0" w:lastRowFirstColumn="0" w:lastRowLastColumn="0"/>
            </w:pPr>
            <w:r w:rsidRPr="00AC06F3">
              <w:rPr>
                <w:sz w:val="20"/>
                <w:szCs w:val="20"/>
              </w:rPr>
              <w:t>full-length rFVIII BHK</w:t>
            </w:r>
            <w:r w:rsidR="00EA445D">
              <w:t xml:space="preserve"> [CHR]</w:t>
            </w:r>
          </w:p>
        </w:tc>
        <w:tc>
          <w:tcPr>
            <w:tcW w:w="1793" w:type="dxa"/>
          </w:tcPr>
          <w:p w14:paraId="50AACED3" w14:textId="4B78A233" w:rsidR="00AE1580" w:rsidRPr="00C4642A" w:rsidRDefault="00AE1580" w:rsidP="00EA445D">
            <w:pPr>
              <w:cnfStyle w:val="100000000000" w:firstRow="1" w:lastRow="0" w:firstColumn="0" w:lastColumn="0" w:oddVBand="0" w:evenVBand="0" w:oddHBand="0" w:evenHBand="0" w:firstRowFirstColumn="0" w:firstRowLastColumn="0" w:lastRowFirstColumn="0" w:lastRowLastColumn="0"/>
            </w:pPr>
            <w:r w:rsidRPr="00C4642A">
              <w:t>Simoctocog alfa</w:t>
            </w:r>
            <w:r>
              <w:t xml:space="preserve"> </w:t>
            </w:r>
            <w:r w:rsidRPr="00C4642A">
              <w:t xml:space="preserve">[OS] </w:t>
            </w:r>
          </w:p>
        </w:tc>
        <w:tc>
          <w:tcPr>
            <w:tcW w:w="1793" w:type="dxa"/>
          </w:tcPr>
          <w:p w14:paraId="43CD5B9B" w14:textId="0A29A851" w:rsidR="00AE1580" w:rsidRPr="00C4642A" w:rsidRDefault="00051AEE" w:rsidP="00EA445D">
            <w:pPr>
              <w:cnfStyle w:val="100000000000" w:firstRow="1" w:lastRow="0" w:firstColumn="0" w:lastColumn="0" w:oddVBand="0" w:evenVBand="0" w:oddHBand="0" w:evenHBand="0" w:firstRowFirstColumn="0" w:firstRowLastColumn="0" w:lastRowFirstColumn="0" w:lastRowLastColumn="0"/>
            </w:pPr>
            <w:r w:rsidRPr="00AC06F3">
              <w:rPr>
                <w:sz w:val="20"/>
                <w:szCs w:val="20"/>
              </w:rPr>
              <w:t>full-length rFVIII BHK</w:t>
            </w:r>
            <w:r w:rsidR="00AE1580" w:rsidRPr="00C4642A">
              <w:t xml:space="preserve">  [OS]</w:t>
            </w:r>
          </w:p>
        </w:tc>
      </w:tr>
      <w:tr w:rsidR="00AE1580" w:rsidRPr="00C4642A" w14:paraId="01BA9529" w14:textId="08BF07D8" w:rsidTr="00EA445D">
        <w:tc>
          <w:tcPr>
            <w:cnfStyle w:val="001000000000" w:firstRow="0" w:lastRow="0" w:firstColumn="1" w:lastColumn="0" w:oddVBand="0" w:evenVBand="0" w:oddHBand="0" w:evenHBand="0" w:firstRowFirstColumn="0" w:firstRowLastColumn="0" w:lastRowFirstColumn="0" w:lastRowLastColumn="0"/>
            <w:tcW w:w="2518" w:type="dxa"/>
          </w:tcPr>
          <w:p w14:paraId="0D1E96AC" w14:textId="76CF2F6C" w:rsidR="00AE1580" w:rsidRPr="00C4642A" w:rsidRDefault="00AE1580" w:rsidP="00EA445D">
            <w:r w:rsidRPr="00C4642A">
              <w:t>AUC (h·IU/mL)</w:t>
            </w:r>
          </w:p>
        </w:tc>
        <w:tc>
          <w:tcPr>
            <w:tcW w:w="1887" w:type="dxa"/>
          </w:tcPr>
          <w:p w14:paraId="6987078B" w14:textId="6A118524"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14.73 </w:t>
            </w:r>
            <w:r w:rsidRPr="00C4642A">
              <w:rPr>
                <w:rFonts w:cs="ÄL˘ø÷÷"/>
              </w:rPr>
              <w:t xml:space="preserve">± </w:t>
            </w:r>
            <w:r w:rsidRPr="00C4642A">
              <w:t xml:space="preserve">5.97 </w:t>
            </w:r>
          </w:p>
        </w:tc>
        <w:tc>
          <w:tcPr>
            <w:tcW w:w="1793" w:type="dxa"/>
          </w:tcPr>
          <w:p w14:paraId="7C394F23" w14:textId="3D2DAFC3"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17.95 </w:t>
            </w:r>
            <w:r w:rsidRPr="00C4642A">
              <w:rPr>
                <w:rFonts w:cs="ÄL˘ø÷÷"/>
              </w:rPr>
              <w:t xml:space="preserve">± </w:t>
            </w:r>
            <w:r w:rsidRPr="00C4642A">
              <w:t>6.09</w:t>
            </w:r>
          </w:p>
        </w:tc>
        <w:tc>
          <w:tcPr>
            <w:tcW w:w="1793" w:type="dxa"/>
          </w:tcPr>
          <w:p w14:paraId="3D9DE448" w14:textId="6353E660"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11.75 </w:t>
            </w:r>
            <w:r w:rsidRPr="00C4642A">
              <w:rPr>
                <w:rFonts w:cs="ÄL˘ø÷÷"/>
              </w:rPr>
              <w:t xml:space="preserve">± </w:t>
            </w:r>
            <w:r w:rsidRPr="00C4642A">
              <w:t xml:space="preserve">5.22 </w:t>
            </w:r>
          </w:p>
        </w:tc>
        <w:tc>
          <w:tcPr>
            <w:tcW w:w="1793" w:type="dxa"/>
          </w:tcPr>
          <w:p w14:paraId="6D4B6DA7" w14:textId="24B9D8CD"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19.85 </w:t>
            </w:r>
            <w:r w:rsidRPr="00C4642A">
              <w:rPr>
                <w:rFonts w:cs="ÄL˘ø÷÷"/>
              </w:rPr>
              <w:t xml:space="preserve">± </w:t>
            </w:r>
            <w:r w:rsidRPr="00C4642A">
              <w:t>6.90</w:t>
            </w:r>
          </w:p>
        </w:tc>
      </w:tr>
      <w:tr w:rsidR="00AE1580" w:rsidRPr="00C4642A" w14:paraId="767819AB" w14:textId="1977D3F3" w:rsidTr="00EA445D">
        <w:tc>
          <w:tcPr>
            <w:cnfStyle w:val="001000000000" w:firstRow="0" w:lastRow="0" w:firstColumn="1" w:lastColumn="0" w:oddVBand="0" w:evenVBand="0" w:oddHBand="0" w:evenHBand="0" w:firstRowFirstColumn="0" w:firstRowLastColumn="0" w:lastRowFirstColumn="0" w:lastRowLastColumn="0"/>
            <w:tcW w:w="2518" w:type="dxa"/>
          </w:tcPr>
          <w:p w14:paraId="6DF8F22D" w14:textId="490D0F4B" w:rsidR="00AE1580" w:rsidRPr="00C4642A" w:rsidRDefault="00AE1580" w:rsidP="00EA445D">
            <w:r w:rsidRPr="00C4642A">
              <w:t>AUCnorm (h·IU/mL per IU/kg)</w:t>
            </w:r>
          </w:p>
        </w:tc>
        <w:tc>
          <w:tcPr>
            <w:tcW w:w="1887" w:type="dxa"/>
          </w:tcPr>
          <w:p w14:paraId="026F8F9B" w14:textId="7CBF44F5"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0.29 </w:t>
            </w:r>
            <w:r w:rsidRPr="00C4642A">
              <w:rPr>
                <w:rFonts w:cs="ÄL˘ø÷÷"/>
              </w:rPr>
              <w:t xml:space="preserve">± </w:t>
            </w:r>
            <w:r w:rsidRPr="00C4642A">
              <w:t xml:space="preserve">0.12 </w:t>
            </w:r>
          </w:p>
        </w:tc>
        <w:tc>
          <w:tcPr>
            <w:tcW w:w="1793" w:type="dxa"/>
          </w:tcPr>
          <w:p w14:paraId="0CE4DD0B" w14:textId="50C56B81"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0.33 </w:t>
            </w:r>
            <w:r w:rsidRPr="00C4642A">
              <w:rPr>
                <w:rFonts w:cs="ÄL˘ø÷÷"/>
              </w:rPr>
              <w:t xml:space="preserve">± </w:t>
            </w:r>
            <w:r w:rsidRPr="00C4642A">
              <w:t>0.11</w:t>
            </w:r>
          </w:p>
        </w:tc>
        <w:tc>
          <w:tcPr>
            <w:tcW w:w="1793" w:type="dxa"/>
          </w:tcPr>
          <w:p w14:paraId="43009729" w14:textId="1692D5A6"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0.29 </w:t>
            </w:r>
            <w:r w:rsidRPr="00C4642A">
              <w:rPr>
                <w:rFonts w:cs="ÄL˘ø÷÷"/>
              </w:rPr>
              <w:t xml:space="preserve">± </w:t>
            </w:r>
            <w:r w:rsidRPr="00C4642A">
              <w:t xml:space="preserve">0.13 </w:t>
            </w:r>
          </w:p>
        </w:tc>
        <w:tc>
          <w:tcPr>
            <w:tcW w:w="1793" w:type="dxa"/>
          </w:tcPr>
          <w:p w14:paraId="08B3D828" w14:textId="1A1B0412"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0.37 </w:t>
            </w:r>
            <w:r w:rsidRPr="00C4642A">
              <w:rPr>
                <w:rFonts w:cs="ÄL˘ø÷÷"/>
              </w:rPr>
              <w:t xml:space="preserve">± </w:t>
            </w:r>
            <w:r w:rsidRPr="00C4642A">
              <w:t>0.13</w:t>
            </w:r>
          </w:p>
        </w:tc>
      </w:tr>
      <w:tr w:rsidR="00AE1580" w:rsidRPr="00C4642A" w14:paraId="7E6130C9" w14:textId="2F4D01D4" w:rsidTr="00EA445D">
        <w:tc>
          <w:tcPr>
            <w:cnfStyle w:val="001000000000" w:firstRow="0" w:lastRow="0" w:firstColumn="1" w:lastColumn="0" w:oddVBand="0" w:evenVBand="0" w:oddHBand="0" w:evenHBand="0" w:firstRowFirstColumn="0" w:firstRowLastColumn="0" w:lastRowFirstColumn="0" w:lastRowLastColumn="0"/>
            <w:tcW w:w="2518" w:type="dxa"/>
          </w:tcPr>
          <w:p w14:paraId="787DBC97" w14:textId="29982CDF" w:rsidR="00AE1580" w:rsidRPr="00C4642A" w:rsidRDefault="00AE1580" w:rsidP="00EA445D">
            <w:r w:rsidRPr="00C4642A">
              <w:t>Cmax  (IU/mL)</w:t>
            </w:r>
          </w:p>
        </w:tc>
        <w:tc>
          <w:tcPr>
            <w:tcW w:w="1887" w:type="dxa"/>
          </w:tcPr>
          <w:p w14:paraId="0AB8D648" w14:textId="0C2DC621"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1.097 </w:t>
            </w:r>
            <w:r w:rsidRPr="00C4642A">
              <w:rPr>
                <w:rFonts w:cs="ÄL˘ø÷÷"/>
              </w:rPr>
              <w:t xml:space="preserve">± </w:t>
            </w:r>
            <w:r w:rsidRPr="00C4642A">
              <w:t xml:space="preserve">0.159 </w:t>
            </w:r>
          </w:p>
        </w:tc>
        <w:tc>
          <w:tcPr>
            <w:tcW w:w="1793" w:type="dxa"/>
          </w:tcPr>
          <w:p w14:paraId="70015182" w14:textId="531694F6"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1.199 </w:t>
            </w:r>
            <w:r w:rsidRPr="00C4642A">
              <w:rPr>
                <w:rFonts w:cs="ÄL˘ø÷÷"/>
              </w:rPr>
              <w:t xml:space="preserve">± </w:t>
            </w:r>
            <w:r w:rsidRPr="00C4642A">
              <w:t>0.216</w:t>
            </w:r>
          </w:p>
        </w:tc>
        <w:tc>
          <w:tcPr>
            <w:tcW w:w="1793" w:type="dxa"/>
          </w:tcPr>
          <w:p w14:paraId="7DA0E1C2" w14:textId="6208673A"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0.889 </w:t>
            </w:r>
            <w:r w:rsidRPr="00C4642A">
              <w:rPr>
                <w:rFonts w:cs="ÄL˘ø÷÷"/>
              </w:rPr>
              <w:t xml:space="preserve">± </w:t>
            </w:r>
            <w:r w:rsidRPr="00C4642A">
              <w:t xml:space="preserve">0.230 </w:t>
            </w:r>
          </w:p>
        </w:tc>
        <w:tc>
          <w:tcPr>
            <w:tcW w:w="1793" w:type="dxa"/>
          </w:tcPr>
          <w:p w14:paraId="2001C14B" w14:textId="776D1860"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1.159 </w:t>
            </w:r>
            <w:r w:rsidRPr="00C4642A">
              <w:rPr>
                <w:rFonts w:cs="ÄL˘ø÷÷"/>
              </w:rPr>
              <w:t xml:space="preserve">± </w:t>
            </w:r>
            <w:r w:rsidRPr="00C4642A">
              <w:t>0.198</w:t>
            </w:r>
          </w:p>
        </w:tc>
      </w:tr>
      <w:tr w:rsidR="00AE1580" w:rsidRPr="00C4642A" w14:paraId="7E0DF689" w14:textId="2CAA3C88" w:rsidTr="00EA445D">
        <w:tc>
          <w:tcPr>
            <w:cnfStyle w:val="001000000000" w:firstRow="0" w:lastRow="0" w:firstColumn="1" w:lastColumn="0" w:oddVBand="0" w:evenVBand="0" w:oddHBand="0" w:evenHBand="0" w:firstRowFirstColumn="0" w:firstRowLastColumn="0" w:lastRowFirstColumn="0" w:lastRowLastColumn="0"/>
            <w:tcW w:w="2518" w:type="dxa"/>
          </w:tcPr>
          <w:p w14:paraId="7199875A" w14:textId="4669A271" w:rsidR="00AE1580" w:rsidRPr="00C4642A" w:rsidRDefault="00AE1580" w:rsidP="00EA445D">
            <w:r w:rsidRPr="00C4642A">
              <w:t>Cmax.norm (IU/mL per IU/kg)</w:t>
            </w:r>
          </w:p>
        </w:tc>
        <w:tc>
          <w:tcPr>
            <w:tcW w:w="1887" w:type="dxa"/>
          </w:tcPr>
          <w:p w14:paraId="29EA7D1C" w14:textId="6B256F45"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0.022 </w:t>
            </w:r>
            <w:r w:rsidRPr="00C4642A">
              <w:rPr>
                <w:rFonts w:cs="ÄL˘ø÷÷"/>
              </w:rPr>
              <w:t xml:space="preserve">± </w:t>
            </w:r>
            <w:r w:rsidRPr="00C4642A">
              <w:t xml:space="preserve">0.003 </w:t>
            </w:r>
          </w:p>
        </w:tc>
        <w:tc>
          <w:tcPr>
            <w:tcW w:w="1793" w:type="dxa"/>
          </w:tcPr>
          <w:p w14:paraId="23CE66ED" w14:textId="162A9AFC"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0.022 </w:t>
            </w:r>
            <w:r w:rsidRPr="00C4642A">
              <w:rPr>
                <w:rFonts w:cs="ÄL˘ø÷÷"/>
              </w:rPr>
              <w:t xml:space="preserve">± </w:t>
            </w:r>
            <w:r w:rsidRPr="00C4642A">
              <w:t>0.004</w:t>
            </w:r>
          </w:p>
        </w:tc>
        <w:tc>
          <w:tcPr>
            <w:tcW w:w="1793" w:type="dxa"/>
          </w:tcPr>
          <w:p w14:paraId="404F5E13" w14:textId="01F184B4"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0.022 </w:t>
            </w:r>
            <w:r w:rsidRPr="00C4642A">
              <w:rPr>
                <w:rFonts w:cs="ÄL˘ø÷÷"/>
              </w:rPr>
              <w:t xml:space="preserve">± </w:t>
            </w:r>
            <w:r w:rsidRPr="00C4642A">
              <w:t xml:space="preserve">0.005 </w:t>
            </w:r>
          </w:p>
        </w:tc>
        <w:tc>
          <w:tcPr>
            <w:tcW w:w="1793" w:type="dxa"/>
          </w:tcPr>
          <w:p w14:paraId="3FD8DFC9" w14:textId="297C9D46"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0.021 </w:t>
            </w:r>
            <w:r w:rsidRPr="00C4642A">
              <w:rPr>
                <w:rFonts w:cs="ÄL˘ø÷÷"/>
              </w:rPr>
              <w:t xml:space="preserve">± </w:t>
            </w:r>
            <w:r w:rsidRPr="00C4642A">
              <w:t>0.004</w:t>
            </w:r>
          </w:p>
        </w:tc>
      </w:tr>
      <w:tr w:rsidR="00AE1580" w:rsidRPr="00C4642A" w14:paraId="684B3D55" w14:textId="739B08C8" w:rsidTr="00EA445D">
        <w:tc>
          <w:tcPr>
            <w:cnfStyle w:val="001000000000" w:firstRow="0" w:lastRow="0" w:firstColumn="1" w:lastColumn="0" w:oddVBand="0" w:evenVBand="0" w:oddHBand="0" w:evenHBand="0" w:firstRowFirstColumn="0" w:firstRowLastColumn="0" w:lastRowFirstColumn="0" w:lastRowLastColumn="0"/>
            <w:tcW w:w="2518" w:type="dxa"/>
          </w:tcPr>
          <w:p w14:paraId="78B7E1C6" w14:textId="67673E80" w:rsidR="00AE1580" w:rsidRPr="00C4642A" w:rsidRDefault="00AE1580" w:rsidP="00EA445D">
            <w:r w:rsidRPr="00C4642A">
              <w:t>IVR (% per IU/kg)</w:t>
            </w:r>
          </w:p>
        </w:tc>
        <w:tc>
          <w:tcPr>
            <w:tcW w:w="1887" w:type="dxa"/>
          </w:tcPr>
          <w:p w14:paraId="415D5A72" w14:textId="73829174"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2.172 </w:t>
            </w:r>
            <w:r w:rsidRPr="00C4642A">
              <w:rPr>
                <w:rFonts w:cs="ÄL˘ø÷÷"/>
              </w:rPr>
              <w:t xml:space="preserve">± </w:t>
            </w:r>
            <w:r w:rsidRPr="00C4642A">
              <w:t xml:space="preserve">0.281 </w:t>
            </w:r>
          </w:p>
        </w:tc>
        <w:tc>
          <w:tcPr>
            <w:tcW w:w="1793" w:type="dxa"/>
          </w:tcPr>
          <w:p w14:paraId="3563A872" w14:textId="7313030D"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2.166 </w:t>
            </w:r>
            <w:r w:rsidRPr="00C4642A">
              <w:rPr>
                <w:rFonts w:cs="ÄL˘ø÷÷"/>
              </w:rPr>
              <w:t xml:space="preserve">± </w:t>
            </w:r>
            <w:r w:rsidRPr="00C4642A">
              <w:t>0.393</w:t>
            </w:r>
          </w:p>
        </w:tc>
        <w:tc>
          <w:tcPr>
            <w:tcW w:w="1793" w:type="dxa"/>
          </w:tcPr>
          <w:p w14:paraId="4B41FFDF" w14:textId="4798FF1F"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2.190 </w:t>
            </w:r>
            <w:r w:rsidRPr="00C4642A">
              <w:rPr>
                <w:rFonts w:cs="ÄL˘ø÷÷"/>
              </w:rPr>
              <w:t xml:space="preserve">± </w:t>
            </w:r>
            <w:r w:rsidRPr="00C4642A">
              <w:t xml:space="preserve">0.555 </w:t>
            </w:r>
          </w:p>
        </w:tc>
        <w:tc>
          <w:tcPr>
            <w:tcW w:w="1793" w:type="dxa"/>
          </w:tcPr>
          <w:p w14:paraId="3E01DB6A" w14:textId="53801463"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2.111 </w:t>
            </w:r>
            <w:r w:rsidRPr="00C4642A">
              <w:rPr>
                <w:rFonts w:cs="ÄL˘ø÷÷"/>
              </w:rPr>
              <w:t xml:space="preserve">± </w:t>
            </w:r>
            <w:r w:rsidRPr="00C4642A">
              <w:t>0.386</w:t>
            </w:r>
          </w:p>
        </w:tc>
      </w:tr>
      <w:tr w:rsidR="00AE1580" w:rsidRPr="00C4642A" w14:paraId="317A570E" w14:textId="4569F6D4" w:rsidTr="00EA445D">
        <w:tc>
          <w:tcPr>
            <w:cnfStyle w:val="001000000000" w:firstRow="0" w:lastRow="0" w:firstColumn="1" w:lastColumn="0" w:oddVBand="0" w:evenVBand="0" w:oddHBand="0" w:evenHBand="0" w:firstRowFirstColumn="0" w:firstRowLastColumn="0" w:lastRowFirstColumn="0" w:lastRowLastColumn="0"/>
            <w:tcW w:w="2518" w:type="dxa"/>
          </w:tcPr>
          <w:p w14:paraId="297CDF31" w14:textId="0A32E128" w:rsidR="00AE1580" w:rsidRPr="00C4642A" w:rsidRDefault="00AE1580" w:rsidP="00EA445D">
            <w:r w:rsidRPr="00C4642A">
              <w:t>Tmax  (h)</w:t>
            </w:r>
          </w:p>
        </w:tc>
        <w:tc>
          <w:tcPr>
            <w:tcW w:w="1887" w:type="dxa"/>
          </w:tcPr>
          <w:p w14:paraId="368B1133" w14:textId="5A061159"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0.38 </w:t>
            </w:r>
            <w:r w:rsidRPr="00C4642A">
              <w:rPr>
                <w:rFonts w:cs="ÄL˘ø÷÷"/>
              </w:rPr>
              <w:t xml:space="preserve">± </w:t>
            </w:r>
            <w:r w:rsidRPr="00C4642A">
              <w:t xml:space="preserve">0.20 </w:t>
            </w:r>
          </w:p>
        </w:tc>
        <w:tc>
          <w:tcPr>
            <w:tcW w:w="1793" w:type="dxa"/>
          </w:tcPr>
          <w:p w14:paraId="101FA66D" w14:textId="35D46796"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0.49 </w:t>
            </w:r>
            <w:r w:rsidRPr="00C4642A">
              <w:rPr>
                <w:rFonts w:cs="ÄL˘ø÷÷"/>
              </w:rPr>
              <w:t xml:space="preserve">± </w:t>
            </w:r>
            <w:r w:rsidRPr="00C4642A">
              <w:t xml:space="preserve"> 0.26</w:t>
            </w:r>
          </w:p>
        </w:tc>
        <w:tc>
          <w:tcPr>
            <w:tcW w:w="1793" w:type="dxa"/>
          </w:tcPr>
          <w:p w14:paraId="29404F5C" w14:textId="790603E8"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0.38 </w:t>
            </w:r>
            <w:r w:rsidRPr="00C4642A">
              <w:rPr>
                <w:rFonts w:cs="ÄL˘ø÷÷"/>
              </w:rPr>
              <w:t xml:space="preserve">± </w:t>
            </w:r>
            <w:r w:rsidRPr="00C4642A">
              <w:t xml:space="preserve">0.21 </w:t>
            </w:r>
          </w:p>
        </w:tc>
        <w:tc>
          <w:tcPr>
            <w:tcW w:w="1793" w:type="dxa"/>
          </w:tcPr>
          <w:p w14:paraId="233132E6" w14:textId="76D0DAE2"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0.38 </w:t>
            </w:r>
            <w:r w:rsidRPr="00C4642A">
              <w:rPr>
                <w:rFonts w:cs="ÄL˘ø÷÷"/>
              </w:rPr>
              <w:t xml:space="preserve">± </w:t>
            </w:r>
            <w:r w:rsidRPr="00C4642A">
              <w:t>0.19</w:t>
            </w:r>
          </w:p>
        </w:tc>
      </w:tr>
      <w:tr w:rsidR="00AE1580" w:rsidRPr="00C4642A" w14:paraId="6E341A32" w14:textId="42DEB5CB" w:rsidTr="00EA445D">
        <w:tc>
          <w:tcPr>
            <w:cnfStyle w:val="001000000000" w:firstRow="0" w:lastRow="0" w:firstColumn="1" w:lastColumn="0" w:oddVBand="0" w:evenVBand="0" w:oddHBand="0" w:evenHBand="0" w:firstRowFirstColumn="0" w:firstRowLastColumn="0" w:lastRowFirstColumn="0" w:lastRowLastColumn="0"/>
            <w:tcW w:w="2518" w:type="dxa"/>
          </w:tcPr>
          <w:p w14:paraId="3D6A8216" w14:textId="5ED52D29" w:rsidR="00AE1580" w:rsidRPr="00C4642A" w:rsidRDefault="00AE1580" w:rsidP="00EA445D">
            <w:r w:rsidRPr="00C4642A">
              <w:t>T1/2  (h)</w:t>
            </w:r>
          </w:p>
        </w:tc>
        <w:tc>
          <w:tcPr>
            <w:tcW w:w="1887" w:type="dxa"/>
          </w:tcPr>
          <w:p w14:paraId="3A0D6334" w14:textId="11CB0E42"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11.11 </w:t>
            </w:r>
            <w:r w:rsidRPr="00C4642A">
              <w:rPr>
                <w:rFonts w:cs="ÄL˘ø÷÷"/>
              </w:rPr>
              <w:t xml:space="preserve">± </w:t>
            </w:r>
            <w:r w:rsidRPr="00C4642A">
              <w:t xml:space="preserve">2.98 </w:t>
            </w:r>
          </w:p>
        </w:tc>
        <w:tc>
          <w:tcPr>
            <w:tcW w:w="1793" w:type="dxa"/>
          </w:tcPr>
          <w:p w14:paraId="2EA39A3C" w14:textId="35EEAC1B"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13.45 </w:t>
            </w:r>
            <w:r w:rsidRPr="00C4642A">
              <w:rPr>
                <w:rFonts w:cs="ÄL˘ø÷÷"/>
              </w:rPr>
              <w:t xml:space="preserve">± </w:t>
            </w:r>
            <w:r w:rsidRPr="00C4642A">
              <w:t xml:space="preserve"> 3.39</w:t>
            </w:r>
          </w:p>
        </w:tc>
        <w:tc>
          <w:tcPr>
            <w:tcW w:w="1793" w:type="dxa"/>
          </w:tcPr>
          <w:p w14:paraId="5560A931" w14:textId="012A71C3"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11.43 </w:t>
            </w:r>
            <w:r w:rsidRPr="00C4642A">
              <w:rPr>
                <w:rFonts w:cs="ÄL˘ø÷÷"/>
              </w:rPr>
              <w:t xml:space="preserve">± </w:t>
            </w:r>
            <w:r w:rsidRPr="00C4642A">
              <w:t xml:space="preserve">3.94 </w:t>
            </w:r>
          </w:p>
        </w:tc>
        <w:tc>
          <w:tcPr>
            <w:tcW w:w="1793" w:type="dxa"/>
          </w:tcPr>
          <w:p w14:paraId="78479BE2" w14:textId="545B0514"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16.16 </w:t>
            </w:r>
            <w:r w:rsidRPr="00C4642A">
              <w:rPr>
                <w:rFonts w:cs="ÄL˘ø÷÷"/>
              </w:rPr>
              <w:t xml:space="preserve">± </w:t>
            </w:r>
            <w:r w:rsidRPr="00C4642A">
              <w:t>5.88</w:t>
            </w:r>
          </w:p>
        </w:tc>
      </w:tr>
      <w:tr w:rsidR="00AE1580" w:rsidRPr="00C4642A" w14:paraId="723924B7" w14:textId="4908276D" w:rsidTr="00EA445D">
        <w:tc>
          <w:tcPr>
            <w:cnfStyle w:val="001000000000" w:firstRow="0" w:lastRow="0" w:firstColumn="1" w:lastColumn="0" w:oddVBand="0" w:evenVBand="0" w:oddHBand="0" w:evenHBand="0" w:firstRowFirstColumn="0" w:firstRowLastColumn="0" w:lastRowFirstColumn="0" w:lastRowLastColumn="0"/>
            <w:tcW w:w="2518" w:type="dxa"/>
          </w:tcPr>
          <w:p w14:paraId="5FDDDBFC" w14:textId="60035E3A" w:rsidR="00AE1580" w:rsidRPr="00C4642A" w:rsidRDefault="00AE1580" w:rsidP="00EA445D">
            <w:r w:rsidRPr="00C4642A">
              <w:lastRenderedPageBreak/>
              <w:t>MRT (h)</w:t>
            </w:r>
          </w:p>
        </w:tc>
        <w:tc>
          <w:tcPr>
            <w:tcW w:w="1887" w:type="dxa"/>
          </w:tcPr>
          <w:p w14:paraId="5D4D3B12" w14:textId="4E3009CF"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14.68 </w:t>
            </w:r>
            <w:r w:rsidRPr="00C4642A">
              <w:rPr>
                <w:rFonts w:cs="ÄL˘ø÷÷"/>
              </w:rPr>
              <w:t xml:space="preserve">± </w:t>
            </w:r>
            <w:r w:rsidRPr="00C4642A">
              <w:t>4.10</w:t>
            </w:r>
          </w:p>
        </w:tc>
        <w:tc>
          <w:tcPr>
            <w:tcW w:w="1793" w:type="dxa"/>
          </w:tcPr>
          <w:p w14:paraId="76E00A49" w14:textId="23F530C7"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17.62 </w:t>
            </w:r>
            <w:r w:rsidRPr="00C4642A">
              <w:rPr>
                <w:rFonts w:cs="ÄL˘ø÷÷"/>
              </w:rPr>
              <w:t xml:space="preserve">± </w:t>
            </w:r>
            <w:r w:rsidRPr="00C4642A">
              <w:t>4.57</w:t>
            </w:r>
          </w:p>
        </w:tc>
        <w:tc>
          <w:tcPr>
            <w:tcW w:w="1793" w:type="dxa"/>
          </w:tcPr>
          <w:p w14:paraId="0BF7902E" w14:textId="7A05C597"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15.80 </w:t>
            </w:r>
            <w:r w:rsidRPr="00C4642A">
              <w:rPr>
                <w:rFonts w:cs="ÄL˘ø÷÷"/>
              </w:rPr>
              <w:t xml:space="preserve">± </w:t>
            </w:r>
            <w:r w:rsidRPr="00C4642A">
              <w:t xml:space="preserve">5.63 </w:t>
            </w:r>
          </w:p>
        </w:tc>
        <w:tc>
          <w:tcPr>
            <w:tcW w:w="1793" w:type="dxa"/>
          </w:tcPr>
          <w:p w14:paraId="3362D95A" w14:textId="4A7A186F"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21.52 </w:t>
            </w:r>
            <w:r w:rsidRPr="00C4642A">
              <w:rPr>
                <w:rFonts w:cs="ÄL˘ø÷÷"/>
              </w:rPr>
              <w:t xml:space="preserve">± </w:t>
            </w:r>
            <w:r w:rsidRPr="00C4642A">
              <w:t>7.56</w:t>
            </w:r>
          </w:p>
        </w:tc>
      </w:tr>
      <w:tr w:rsidR="00AE1580" w:rsidRPr="00C4642A" w14:paraId="573521F0" w14:textId="7B4ED445" w:rsidTr="00EA445D">
        <w:tc>
          <w:tcPr>
            <w:cnfStyle w:val="001000000000" w:firstRow="0" w:lastRow="0" w:firstColumn="1" w:lastColumn="0" w:oddVBand="0" w:evenVBand="0" w:oddHBand="0" w:evenHBand="0" w:firstRowFirstColumn="0" w:firstRowLastColumn="0" w:lastRowFirstColumn="0" w:lastRowLastColumn="0"/>
            <w:tcW w:w="2518" w:type="dxa"/>
          </w:tcPr>
          <w:p w14:paraId="15426437" w14:textId="3E5C3270" w:rsidR="00AE1580" w:rsidRPr="00C4642A" w:rsidRDefault="00AE1580" w:rsidP="00EA445D">
            <w:r w:rsidRPr="00C4642A">
              <w:t>CL (mL/h/kg)</w:t>
            </w:r>
          </w:p>
        </w:tc>
        <w:tc>
          <w:tcPr>
            <w:tcW w:w="1887" w:type="dxa"/>
          </w:tcPr>
          <w:p w14:paraId="2F0B3C77" w14:textId="4E0F85F6"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3.86 </w:t>
            </w:r>
            <w:r w:rsidRPr="00C4642A">
              <w:rPr>
                <w:rFonts w:cs="ÄL˘ø÷÷"/>
              </w:rPr>
              <w:t xml:space="preserve">± </w:t>
            </w:r>
            <w:r w:rsidRPr="00C4642A">
              <w:t xml:space="preserve">1.39 </w:t>
            </w:r>
          </w:p>
        </w:tc>
        <w:tc>
          <w:tcPr>
            <w:tcW w:w="1793" w:type="dxa"/>
          </w:tcPr>
          <w:p w14:paraId="5D1B7AB2" w14:textId="4492FFD0"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3.38 </w:t>
            </w:r>
            <w:r w:rsidRPr="00C4642A">
              <w:rPr>
                <w:rFonts w:cs="ÄL˘ø÷÷"/>
              </w:rPr>
              <w:t xml:space="preserve">± </w:t>
            </w:r>
            <w:r w:rsidRPr="00C4642A">
              <w:t>1.09</w:t>
            </w:r>
          </w:p>
        </w:tc>
        <w:tc>
          <w:tcPr>
            <w:tcW w:w="1793" w:type="dxa"/>
          </w:tcPr>
          <w:p w14:paraId="023ED3DD" w14:textId="776D1BA3"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3.94 </w:t>
            </w:r>
            <w:r w:rsidRPr="00C4642A">
              <w:rPr>
                <w:rFonts w:cs="ÄL˘ø÷÷"/>
              </w:rPr>
              <w:t xml:space="preserve">± </w:t>
            </w:r>
            <w:r w:rsidRPr="00C4642A">
              <w:t xml:space="preserve">1.44 </w:t>
            </w:r>
          </w:p>
        </w:tc>
        <w:tc>
          <w:tcPr>
            <w:tcW w:w="1793" w:type="dxa"/>
          </w:tcPr>
          <w:p w14:paraId="3F52668E" w14:textId="2FCA348D"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3.06 </w:t>
            </w:r>
            <w:r w:rsidRPr="00C4642A">
              <w:rPr>
                <w:rFonts w:cs="ÄL˘ø÷÷"/>
              </w:rPr>
              <w:t xml:space="preserve">± </w:t>
            </w:r>
            <w:r w:rsidRPr="00C4642A">
              <w:t>1.06</w:t>
            </w:r>
          </w:p>
        </w:tc>
      </w:tr>
      <w:tr w:rsidR="00AE1580" w:rsidRPr="00C4642A" w14:paraId="2E395A5E" w14:textId="26C022AC" w:rsidTr="00EA445D">
        <w:tc>
          <w:tcPr>
            <w:cnfStyle w:val="001000000000" w:firstRow="0" w:lastRow="0" w:firstColumn="1" w:lastColumn="0" w:oddVBand="0" w:evenVBand="0" w:oddHBand="0" w:evenHBand="0" w:firstRowFirstColumn="0" w:firstRowLastColumn="0" w:lastRowFirstColumn="0" w:lastRowLastColumn="0"/>
            <w:tcW w:w="2518" w:type="dxa"/>
          </w:tcPr>
          <w:p w14:paraId="2C63E88D" w14:textId="16C4F055" w:rsidR="00AE1580" w:rsidRPr="00C4642A" w:rsidRDefault="00AE1580" w:rsidP="00EA445D">
            <w:r w:rsidRPr="00C4642A">
              <w:t>Vss  (mL/kg)</w:t>
            </w:r>
          </w:p>
        </w:tc>
        <w:tc>
          <w:tcPr>
            <w:tcW w:w="1887" w:type="dxa"/>
          </w:tcPr>
          <w:p w14:paraId="0FDD4670" w14:textId="40A9694E"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52.25 </w:t>
            </w:r>
            <w:r w:rsidRPr="00C4642A">
              <w:rPr>
                <w:rFonts w:cs="ÄL˘ø÷÷"/>
              </w:rPr>
              <w:t xml:space="preserve">± </w:t>
            </w:r>
            <w:r w:rsidRPr="00C4642A">
              <w:t>10.72</w:t>
            </w:r>
          </w:p>
        </w:tc>
        <w:tc>
          <w:tcPr>
            <w:tcW w:w="1793" w:type="dxa"/>
          </w:tcPr>
          <w:p w14:paraId="36E3E8AA" w14:textId="3E39AAAE"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55.77 </w:t>
            </w:r>
            <w:r w:rsidRPr="00C4642A">
              <w:rPr>
                <w:rFonts w:cs="ÄL˘ø÷÷"/>
              </w:rPr>
              <w:t xml:space="preserve">± </w:t>
            </w:r>
            <w:r w:rsidRPr="00C4642A">
              <w:t>10.42</w:t>
            </w:r>
          </w:p>
        </w:tc>
        <w:tc>
          <w:tcPr>
            <w:tcW w:w="1793" w:type="dxa"/>
          </w:tcPr>
          <w:p w14:paraId="6061A184" w14:textId="4954F34C"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55.82 </w:t>
            </w:r>
            <w:r w:rsidRPr="00C4642A">
              <w:rPr>
                <w:rFonts w:cs="ÄL˘ø÷÷"/>
              </w:rPr>
              <w:t xml:space="preserve">± </w:t>
            </w:r>
            <w:r w:rsidRPr="00C4642A">
              <w:t>8.94</w:t>
            </w:r>
          </w:p>
        </w:tc>
        <w:tc>
          <w:tcPr>
            <w:tcW w:w="1793" w:type="dxa"/>
          </w:tcPr>
          <w:p w14:paraId="1C7E240A" w14:textId="5B069648" w:rsidR="00AE1580" w:rsidRPr="00C4642A" w:rsidRDefault="00AE1580" w:rsidP="00EA445D">
            <w:pPr>
              <w:cnfStyle w:val="000000000000" w:firstRow="0" w:lastRow="0" w:firstColumn="0" w:lastColumn="0" w:oddVBand="0" w:evenVBand="0" w:oddHBand="0" w:evenHBand="0" w:firstRowFirstColumn="0" w:firstRowLastColumn="0" w:lastRowFirstColumn="0" w:lastRowLastColumn="0"/>
            </w:pPr>
            <w:r w:rsidRPr="00C4642A">
              <w:t xml:space="preserve">59.41 </w:t>
            </w:r>
            <w:r w:rsidRPr="00C4642A">
              <w:rPr>
                <w:rFonts w:cs="ÄL˘ø÷÷"/>
              </w:rPr>
              <w:t xml:space="preserve">± </w:t>
            </w:r>
            <w:r w:rsidRPr="00C4642A">
              <w:t>9.62</w:t>
            </w:r>
          </w:p>
        </w:tc>
      </w:tr>
    </w:tbl>
    <w:p w14:paraId="132B4653" w14:textId="77777777" w:rsidR="000F04AF" w:rsidRDefault="00AE1580" w:rsidP="00232C15">
      <w:pPr>
        <w:widowControl w:val="0"/>
        <w:autoSpaceDE w:val="0"/>
        <w:autoSpaceDN w:val="0"/>
        <w:adjustRightInd w:val="0"/>
      </w:pPr>
      <w:r w:rsidRPr="00EB742A">
        <w:t>The geometric mean ratios for AUC</w:t>
      </w:r>
      <w:r w:rsidRPr="00EB742A">
        <w:rPr>
          <w:vertAlign w:val="subscript"/>
        </w:rPr>
        <w:t>norm</w:t>
      </w:r>
      <w:r w:rsidRPr="00EB742A">
        <w:t xml:space="preserve"> (h•IU/mL per IU/kg) for simoctocog alfa over </w:t>
      </w:r>
      <w:r w:rsidR="00051AEE">
        <w:t>full-length rFVIII BHK</w:t>
      </w:r>
      <w:r w:rsidRPr="00EB742A">
        <w:t xml:space="preserve"> were 88% (90% CI: 81.9, 95.6), according to the CHR assay, and 78% (90% CI: 72.7, 84.5), according to the OS assay, when calculated by ANOVA. The geometric mean ratios (90% CI</w:t>
      </w:r>
      <w:r w:rsidR="00EE0131">
        <w:t>) for selected PK parameters were provided.</w:t>
      </w:r>
    </w:p>
    <w:p w14:paraId="698DAEBC" w14:textId="77777777" w:rsidR="000F04AF" w:rsidRDefault="00AE1580" w:rsidP="00232C15">
      <w:pPr>
        <w:widowControl w:val="0"/>
        <w:autoSpaceDE w:val="0"/>
        <w:autoSpaceDN w:val="0"/>
        <w:adjustRightInd w:val="0"/>
        <w:ind w:left="1134" w:hanging="1134"/>
        <w:rPr>
          <w:rFonts w:asciiTheme="minorHAnsi" w:hAnsiTheme="minorHAnsi"/>
        </w:rPr>
      </w:pPr>
      <w:r w:rsidRPr="00FA7210">
        <w:rPr>
          <w:rFonts w:asciiTheme="minorHAnsi" w:hAnsiTheme="minorHAnsi"/>
        </w:rPr>
        <w:t>Comment: The mean values for AUC</w:t>
      </w:r>
      <w:r w:rsidRPr="00FA7210">
        <w:rPr>
          <w:rFonts w:asciiTheme="minorHAnsi" w:hAnsiTheme="minorHAnsi"/>
          <w:vertAlign w:val="subscript"/>
        </w:rPr>
        <w:t xml:space="preserve"> </w:t>
      </w:r>
      <w:r w:rsidRPr="00FA7210">
        <w:rPr>
          <w:rFonts w:asciiTheme="minorHAnsi" w:hAnsiTheme="minorHAnsi"/>
        </w:rPr>
        <w:t xml:space="preserve">were notably lower for simoctocog alfa than for </w:t>
      </w:r>
      <w:r w:rsidR="00051AEE">
        <w:t>full-length rFVIII BHK</w:t>
      </w:r>
      <w:r w:rsidRPr="00FA7210">
        <w:rPr>
          <w:rFonts w:asciiTheme="minorHAnsi" w:hAnsiTheme="minorHAnsi"/>
        </w:rPr>
        <w:t xml:space="preserve"> as determined by both the CHR and OS assays, and were particularly striking for the OS assay. The differences between the two products were reduced after the AUC was dose normalized, but are still noteworthy. In order to account for these findings, the sponsor states that GENA-09 was the first clinical study to be conducted with simoctocog alfa and at the beginning of the study only 500 IU vials were available. When assayed by the CHR method these 500 IU vials contained, on average 500 IU of simoctocog alfa, while when assayed by the OS method these 500 IU vials contained on average 400 IU of simoctocog alfa. As doses for the PK assessments were calculated based on nominal potency, patients received only around 40 IU/kg instead of the planned 50 IU/kg based on the OS actual potency. FVIII</w:t>
      </w:r>
      <w:proofErr w:type="gramStart"/>
      <w:r w:rsidRPr="00FA7210">
        <w:rPr>
          <w:rFonts w:asciiTheme="minorHAnsi" w:hAnsiTheme="minorHAnsi"/>
        </w:rPr>
        <w:t>:C</w:t>
      </w:r>
      <w:proofErr w:type="gramEnd"/>
      <w:r w:rsidRPr="00FA7210">
        <w:rPr>
          <w:rFonts w:asciiTheme="minorHAnsi" w:hAnsiTheme="minorHAnsi"/>
        </w:rPr>
        <w:t xml:space="preserve"> values assed by the OS assay in samples taken towards the end of the PK assessment were close to, or below, the detection limit. Several PK parameters depend on these late FVIII</w:t>
      </w:r>
      <w:proofErr w:type="gramStart"/>
      <w:r w:rsidRPr="00FA7210">
        <w:rPr>
          <w:rFonts w:asciiTheme="minorHAnsi" w:hAnsiTheme="minorHAnsi"/>
        </w:rPr>
        <w:t>:C</w:t>
      </w:r>
      <w:proofErr w:type="gramEnd"/>
      <w:r w:rsidRPr="00FA7210">
        <w:rPr>
          <w:rFonts w:asciiTheme="minorHAnsi" w:hAnsiTheme="minorHAnsi"/>
        </w:rPr>
        <w:t xml:space="preserve"> values for their calculation (</w:t>
      </w:r>
      <w:r w:rsidR="001A2E59">
        <w:rPr>
          <w:rFonts w:asciiTheme="minorHAnsi" w:hAnsiTheme="minorHAnsi"/>
        </w:rPr>
        <w:t>for example,</w:t>
      </w:r>
      <w:r w:rsidRPr="00FA7210">
        <w:rPr>
          <w:rFonts w:asciiTheme="minorHAnsi" w:hAnsiTheme="minorHAnsi"/>
        </w:rPr>
        <w:t xml:space="preserve"> T</w:t>
      </w:r>
      <w:r w:rsidRPr="00FA7210">
        <w:rPr>
          <w:rFonts w:asciiTheme="minorHAnsi" w:hAnsiTheme="minorHAnsi"/>
          <w:vertAlign w:val="subscript"/>
        </w:rPr>
        <w:t xml:space="preserve">1/2 </w:t>
      </w:r>
      <w:r w:rsidRPr="00FA7210">
        <w:rPr>
          <w:rFonts w:asciiTheme="minorHAnsi" w:hAnsiTheme="minorHAnsi"/>
        </w:rPr>
        <w:t xml:space="preserve">depends mainly on the elimination rate, which is determined by linear regression on the terminal phase of the FVIII:C measurement; and MRT, CL and Vss depend on AUC). Therefore, the sponsor comments that the determination of those parameters based on </w:t>
      </w:r>
      <w:proofErr w:type="gramStart"/>
      <w:r w:rsidRPr="00FA7210">
        <w:rPr>
          <w:rFonts w:asciiTheme="minorHAnsi" w:hAnsiTheme="minorHAnsi"/>
        </w:rPr>
        <w:t>late  FVIII:C</w:t>
      </w:r>
      <w:proofErr w:type="gramEnd"/>
      <w:r w:rsidRPr="00FA7210">
        <w:rPr>
          <w:rFonts w:asciiTheme="minorHAnsi" w:hAnsiTheme="minorHAnsi"/>
        </w:rPr>
        <w:t xml:space="preserve"> values determined by the OS assay "was probably compromised. It is noteworthy that, with the exception of Vss, these were precisely the parameters that were not within the bioequivalence range, whereas bioequivalence could be demonstrated for parameters depending on early FVIII</w:t>
      </w:r>
      <w:proofErr w:type="gramStart"/>
      <w:r w:rsidRPr="00FA7210">
        <w:rPr>
          <w:rFonts w:asciiTheme="minorHAnsi" w:hAnsiTheme="minorHAnsi"/>
        </w:rPr>
        <w:t>:C</w:t>
      </w:r>
      <w:proofErr w:type="gramEnd"/>
      <w:r w:rsidRPr="00FA7210">
        <w:rPr>
          <w:rFonts w:asciiTheme="minorHAnsi" w:hAnsiTheme="minorHAnsi"/>
        </w:rPr>
        <w:t xml:space="preserve"> measurements, such as IVR and C</w:t>
      </w:r>
      <w:r w:rsidRPr="00FA7210">
        <w:rPr>
          <w:rFonts w:asciiTheme="minorHAnsi" w:hAnsiTheme="minorHAnsi"/>
          <w:vertAlign w:val="subscript"/>
        </w:rPr>
        <w:t>max.norm</w:t>
      </w:r>
      <w:r w:rsidRPr="00FA7210">
        <w:rPr>
          <w:rFonts w:asciiTheme="minorHAnsi" w:hAnsiTheme="minorHAnsi"/>
        </w:rPr>
        <w:t>".</w:t>
      </w:r>
    </w:p>
    <w:p w14:paraId="5D90855D" w14:textId="77777777" w:rsidR="000F04AF" w:rsidRDefault="00AE1580" w:rsidP="00EA445D">
      <w:pPr>
        <w:pStyle w:val="Numberbullet2"/>
        <w:rPr>
          <w:lang w:eastAsia="en-AU"/>
        </w:rPr>
      </w:pPr>
      <w:r w:rsidRPr="00527805">
        <w:rPr>
          <w:lang w:eastAsia="en-AU"/>
        </w:rPr>
        <w:t>k.</w:t>
      </w:r>
      <w:r w:rsidRPr="00527805">
        <w:rPr>
          <w:lang w:eastAsia="en-AU"/>
        </w:rPr>
        <w:tab/>
        <w:t>PK results over time - study time vs 6 months</w:t>
      </w:r>
    </w:p>
    <w:p w14:paraId="7F2B1704" w14:textId="77777777" w:rsidR="000F04AF" w:rsidRDefault="00AE1580" w:rsidP="00D33BC5">
      <w:pPr>
        <w:keepNext/>
      </w:pPr>
      <w:r w:rsidRPr="0061454E">
        <w:t xml:space="preserve">For the second PK assessment at 6 months, the actual </w:t>
      </w:r>
      <w:r>
        <w:t xml:space="preserve">simoctocog alfa </w:t>
      </w:r>
      <w:r w:rsidRPr="0061454E">
        <w:t>dose administered</w:t>
      </w:r>
      <w:r>
        <w:t xml:space="preserve"> </w:t>
      </w:r>
      <w:r w:rsidRPr="0061454E">
        <w:t>was 49.0±1.0 IU/kg as measured by the CHR assay and 41.1±2.0 IU/kg as measured by the</w:t>
      </w:r>
      <w:r>
        <w:t xml:space="preserve"> </w:t>
      </w:r>
      <w:r w:rsidRPr="0061454E">
        <w:t xml:space="preserve">OS assay. </w:t>
      </w:r>
      <w:r>
        <w:t xml:space="preserve">Overall, the PK parameters for simoctocog alfa at 6 months were consistent with those at study start. </w:t>
      </w:r>
      <w:r w:rsidRPr="0061454E">
        <w:t>All 90% CIs for the ratios of geometric means for PK parameters</w:t>
      </w:r>
      <w:r>
        <w:t xml:space="preserve"> at 6 months </w:t>
      </w:r>
      <w:r w:rsidRPr="0061454E">
        <w:t xml:space="preserve">were </w:t>
      </w:r>
      <w:r>
        <w:t>enclosed</w:t>
      </w:r>
      <w:r w:rsidRPr="0061454E">
        <w:t xml:space="preserve"> within the accepted bioequivalence range of 80% to 125% for both assays,</w:t>
      </w:r>
      <w:r>
        <w:t xml:space="preserve"> </w:t>
      </w:r>
      <w:r w:rsidRPr="0061454E">
        <w:t>although some 90% CIs did not include 100% (</w:t>
      </w:r>
      <w:r w:rsidR="001A2E59">
        <w:t>that is,</w:t>
      </w:r>
      <w:r>
        <w:t xml:space="preserve"> </w:t>
      </w:r>
      <w:r w:rsidRPr="0061454E">
        <w:t>T</w:t>
      </w:r>
      <w:r w:rsidRPr="0061454E">
        <w:rPr>
          <w:vertAlign w:val="subscript"/>
        </w:rPr>
        <w:t xml:space="preserve">1/2 </w:t>
      </w:r>
      <w:r w:rsidRPr="0061454E">
        <w:t xml:space="preserve">and MRT for </w:t>
      </w:r>
      <w:proofErr w:type="gramStart"/>
      <w:r w:rsidRPr="0061454E">
        <w:t>both assays</w:t>
      </w:r>
      <w:proofErr w:type="gramEnd"/>
      <w:r w:rsidRPr="0061454E">
        <w:t xml:space="preserve"> and</w:t>
      </w:r>
      <w:r>
        <w:t xml:space="preserve"> </w:t>
      </w:r>
      <w:r w:rsidRPr="0061454E">
        <w:t>AUC, AUC</w:t>
      </w:r>
      <w:r w:rsidRPr="0061454E">
        <w:rPr>
          <w:vertAlign w:val="subscript"/>
        </w:rPr>
        <w:t>norm</w:t>
      </w:r>
      <w:r w:rsidRPr="0061454E">
        <w:t>, IVR and C</w:t>
      </w:r>
      <w:r w:rsidRPr="0061454E">
        <w:rPr>
          <w:vertAlign w:val="subscript"/>
        </w:rPr>
        <w:t xml:space="preserve">max.norm </w:t>
      </w:r>
      <w:r w:rsidRPr="0061454E">
        <w:t>for the OS assay).</w:t>
      </w:r>
      <w:r>
        <w:t xml:space="preserve"> The 90% CIs for the geometric mean ratios (6 months/start) for all key PK parameters for simoctocog alfa were enclosed within the limits of 80% to 125%</w:t>
      </w:r>
      <w:r w:rsidR="000F04AF">
        <w:t>.</w:t>
      </w:r>
    </w:p>
    <w:p w14:paraId="5AF2DAC1" w14:textId="3438B957" w:rsidR="000F04AF" w:rsidRDefault="00AE1580" w:rsidP="00EA445D">
      <w:pPr>
        <w:pStyle w:val="Numberbullet2"/>
      </w:pPr>
      <w:r w:rsidRPr="005C50B7">
        <w:t>l.</w:t>
      </w:r>
      <w:r w:rsidRPr="005C50B7">
        <w:tab/>
        <w:t>IVR values</w:t>
      </w:r>
    </w:p>
    <w:p w14:paraId="05832598" w14:textId="77777777" w:rsidR="000F04AF" w:rsidRDefault="00AE1580" w:rsidP="00AC06F3">
      <w:r w:rsidRPr="00843D08">
        <w:t xml:space="preserve">At the study start, </w:t>
      </w:r>
      <w:r>
        <w:t>t</w:t>
      </w:r>
      <w:r w:rsidRPr="00843D08">
        <w:t xml:space="preserve">he geometric mean ratios for </w:t>
      </w:r>
      <w:r>
        <w:t>IVR</w:t>
      </w:r>
      <w:r w:rsidRPr="00843D08">
        <w:t xml:space="preserve"> (</w:t>
      </w:r>
      <w:r>
        <w:t xml:space="preserve">% </w:t>
      </w:r>
      <w:r w:rsidRPr="00843D08">
        <w:t xml:space="preserve">per IU/kg) for </w:t>
      </w:r>
      <w:r>
        <w:t xml:space="preserve">simoctocog alfa </w:t>
      </w:r>
      <w:r w:rsidRPr="00843D08">
        <w:t xml:space="preserve">over </w:t>
      </w:r>
      <w:r w:rsidR="00051AEE">
        <w:t>full-length rFVIII BHK</w:t>
      </w:r>
      <w:r w:rsidRPr="00843D08">
        <w:t xml:space="preserve">were </w:t>
      </w:r>
      <w:r>
        <w:t>101% (90% CI: 93.5%, 109.6%)</w:t>
      </w:r>
      <w:r w:rsidRPr="00843D08">
        <w:t xml:space="preserve">, according to the CHR assay, and </w:t>
      </w:r>
      <w:r>
        <w:t>103</w:t>
      </w:r>
      <w:r w:rsidRPr="00843D08">
        <w:t xml:space="preserve">% (90% CI: </w:t>
      </w:r>
      <w:r>
        <w:t>93.2%, 113.0</w:t>
      </w:r>
      <w:r w:rsidRPr="00843D08">
        <w:t>%), according to the OS assay, when calculated by ANOVA.</w:t>
      </w:r>
      <w:r>
        <w:t xml:space="preserve"> The results for </w:t>
      </w:r>
      <w:r>
        <w:lastRenderedPageBreak/>
        <w:t>both assays showed that the 90% CI for the IVR ratios for both FVIII products were within the standard bioequivalence interval of 80% to 125%.</w:t>
      </w:r>
    </w:p>
    <w:p w14:paraId="7BA6A663" w14:textId="77777777" w:rsidR="000F04AF" w:rsidRDefault="00AE1580" w:rsidP="00AC06F3">
      <w:r w:rsidRPr="0061454E">
        <w:t>Mean</w:t>
      </w:r>
      <w:r>
        <w:t>±SD IVRs for simoctocog alfa were comparable for both the CHR and OS assays at study start (2.17±0.28% vs 2.19±0.56% per IU/kg, respectively). However, at both 3 and 6 months the IVR values were higher with the CHR assay than with the OS assay: 3 months (2.09±0.44% vs 1.73±0.32% per IU/kg, respectively), and 6 months (2.29±0.57% vs 1.97±0.50% per IU/kg, respectively). The geometric mean ratios for IVR (% per IU/kg) for simoctocog alfa at 6 months relative to study start were 107% (90% CI: 99.1%, 114.9%), according to the CHR assay, and  92% (90% CI: 85.3%, 99.1%), according to the OS assay. Overall, the results for IVR over time for simoctocog alfa suggest that the observed changes observed with both the CHR and OS assays are unlikely to be clinically significant.</w:t>
      </w:r>
    </w:p>
    <w:p w14:paraId="660ECF13" w14:textId="1345E674" w:rsidR="00AE1580" w:rsidRPr="0026486F" w:rsidRDefault="00AE1580" w:rsidP="0026486F">
      <w:pPr>
        <w:pStyle w:val="Heading4"/>
      </w:pPr>
      <w:bookmarkStart w:id="47" w:name="_Toc266446432"/>
      <w:r w:rsidRPr="0026486F">
        <w:t>GENA-04 (extension study of GENA-09)</w:t>
      </w:r>
      <w:bookmarkEnd w:id="47"/>
    </w:p>
    <w:p w14:paraId="478B0C89" w14:textId="77777777" w:rsidR="000F04AF" w:rsidRDefault="00AE1580" w:rsidP="00AE1580">
      <w:r w:rsidRPr="00EA4A4F">
        <w:t xml:space="preserve">GENA-04 was </w:t>
      </w:r>
      <w:r>
        <w:t xml:space="preserve">the extension study of GENA-09. </w:t>
      </w:r>
      <w:r w:rsidRPr="00EA4A4F">
        <w:t>Of the 22 patients</w:t>
      </w:r>
      <w:r>
        <w:t xml:space="preserve"> </w:t>
      </w:r>
      <w:r w:rsidRPr="00EA4A4F">
        <w:t xml:space="preserve">enrolled in the parent study, 18 enrolled in the extension study. </w:t>
      </w:r>
      <w:r>
        <w:t xml:space="preserve">In this study, the </w:t>
      </w:r>
      <w:r w:rsidRPr="00EA4A4F">
        <w:t>IVR was assessed at 3</w:t>
      </w:r>
      <w:r>
        <w:t xml:space="preserve"> </w:t>
      </w:r>
      <w:r w:rsidRPr="00EA4A4F">
        <w:t>months and subsequently every 3 months until study completion</w:t>
      </w:r>
      <w:r>
        <w:t xml:space="preserve"> (terminated after a mean of 226 EDs per patient)</w:t>
      </w:r>
      <w:r w:rsidRPr="00EA4A4F">
        <w:t xml:space="preserve">. </w:t>
      </w:r>
      <w:r>
        <w:t>No assessment of standard PK parameters was undertaken in this study</w:t>
      </w:r>
      <w:r w:rsidR="000F04AF">
        <w:t>.</w:t>
      </w:r>
    </w:p>
    <w:p w14:paraId="1579FF3D" w14:textId="331F018B" w:rsidR="000F04AF" w:rsidRDefault="00AE1580" w:rsidP="00AE1580">
      <w:r w:rsidRPr="00FC463A">
        <w:t>The IVR was calculated after a wash-out phase of at least 72 hours before the infusion. FVIII plasma level pre-infusion and the peak level obtained in the 30 or 60 minutes post-infusion samples were used for the calculation. All 18 patients underwent at least one IVR assessment and were included in the analysis comparing baseline data (</w:t>
      </w:r>
      <w:r w:rsidR="001A2E59">
        <w:t>that is,</w:t>
      </w:r>
      <w:r w:rsidRPr="00FC463A">
        <w:t xml:space="preserve"> end of GENA-09) with study completion data (</w:t>
      </w:r>
      <w:r w:rsidR="001A2E59">
        <w:t>that is,</w:t>
      </w:r>
      <w:r w:rsidRPr="00FC463A">
        <w:t xml:space="preserve"> end of GENA-04). The actual doses of simoctocog alfa</w:t>
      </w:r>
      <w:r>
        <w:t xml:space="preserve"> </w:t>
      </w:r>
      <w:r w:rsidRPr="00FC463A">
        <w:t>administered for IVR assessments at baseline and study completion according to the CHR assay were 48.93±1.0 IU/kg and 50.45±3.4 IU/kg, respectively, and the corresponding actual doses according to the OS assay were 40.89±2.1 IU/kg and 44.26±2.9 IU/kg, respectively.</w:t>
      </w:r>
    </w:p>
    <w:p w14:paraId="5DBFFFC2" w14:textId="77777777" w:rsidR="000F04AF" w:rsidRDefault="00AE1580" w:rsidP="00AE1580">
      <w:r>
        <w:t>At baseline (n=18), the mean±SD IVRs according to the CHR and OS assays were 2.024±0.680</w:t>
      </w:r>
      <w:proofErr w:type="gramStart"/>
      <w:r>
        <w:t>%  and</w:t>
      </w:r>
      <w:proofErr w:type="gramEnd"/>
      <w:r>
        <w:t xml:space="preserve"> 1.715±0.525% per IU/kg, respectively, and at completion (n=16), the corresponding results for the IVRs were 2.023±0.483% and 1.699±0.382% per IU/kg. The IVR was lower at each time point when determined by the OS assay compared with the CHR assay. However, IVR values were consistent from baseline through to at least 15 months.</w:t>
      </w:r>
    </w:p>
    <w:p w14:paraId="5054F177" w14:textId="77777777" w:rsidR="000F04AF" w:rsidRDefault="00AE1580" w:rsidP="00B9350B">
      <w:pPr>
        <w:pStyle w:val="Heading3"/>
      </w:pPr>
      <w:bookmarkStart w:id="48" w:name="_Toc266446433"/>
      <w:bookmarkStart w:id="49" w:name="_Toc453765955"/>
      <w:r>
        <w:t>Comparison of PK results across studies</w:t>
      </w:r>
      <w:bookmarkEnd w:id="48"/>
      <w:bookmarkEnd w:id="49"/>
    </w:p>
    <w:p w14:paraId="1BE423AB" w14:textId="77777777" w:rsidR="000F04AF" w:rsidRDefault="00AE1580" w:rsidP="00B929F1">
      <w:r w:rsidRPr="00B929F1">
        <w:t>The results for the key PK parameters for simoctocog alfa and comparator FV</w:t>
      </w:r>
      <w:r w:rsidR="00F60784">
        <w:t xml:space="preserve">III products across studies were </w:t>
      </w:r>
      <w:r w:rsidRPr="00B929F1">
        <w:t>summa</w:t>
      </w:r>
      <w:r w:rsidR="00F60784">
        <w:t>rised and provided.</w:t>
      </w:r>
    </w:p>
    <w:p w14:paraId="416E44B0" w14:textId="65C04356" w:rsidR="00AE1580" w:rsidRDefault="00AE1580" w:rsidP="0026486F">
      <w:pPr>
        <w:pStyle w:val="Heading3"/>
      </w:pPr>
      <w:bookmarkStart w:id="50" w:name="_Toc266446434"/>
      <w:bookmarkStart w:id="51" w:name="_Toc453765956"/>
      <w:r>
        <w:t>Evaluator's overall conclusions on pharmacokinetics</w:t>
      </w:r>
      <w:bookmarkEnd w:id="50"/>
      <w:bookmarkEnd w:id="51"/>
    </w:p>
    <w:p w14:paraId="14AD0137" w14:textId="77777777" w:rsidR="000F04AF" w:rsidRDefault="00AE1580" w:rsidP="00EA445D">
      <w:pPr>
        <w:widowControl w:val="0"/>
        <w:autoSpaceDE w:val="0"/>
        <w:autoSpaceDN w:val="0"/>
        <w:adjustRightInd w:val="0"/>
        <w:ind w:right="-330"/>
      </w:pPr>
      <w:r w:rsidRPr="00654C7A">
        <w:t xml:space="preserve">The PKs of </w:t>
      </w:r>
      <w:r>
        <w:t xml:space="preserve">simoctocog alfa </w:t>
      </w:r>
      <w:r w:rsidRPr="00654C7A">
        <w:t>have be</w:t>
      </w:r>
      <w:r>
        <w:t xml:space="preserve">en satisfactorily characterised </w:t>
      </w:r>
      <w:r w:rsidRPr="00654C7A">
        <w:t xml:space="preserve">in </w:t>
      </w:r>
      <w:r>
        <w:t xml:space="preserve">previously treated adults and </w:t>
      </w:r>
      <w:r w:rsidRPr="00654C7A">
        <w:t xml:space="preserve">children aged </w:t>
      </w:r>
      <w:r>
        <w:t xml:space="preserve">2-12 </w:t>
      </w:r>
      <w:r w:rsidRPr="00654C7A">
        <w:t>years with seve</w:t>
      </w:r>
      <w:r>
        <w:t>re haemophilia A (FVIII</w:t>
      </w:r>
      <w:proofErr w:type="gramStart"/>
      <w:r>
        <w:t>:C</w:t>
      </w:r>
      <w:proofErr w:type="gramEnd"/>
      <w:r>
        <w:t xml:space="preserve"> ≤ 1%). The submission included five clinical studies with PK data for simoctocog alfa. </w:t>
      </w:r>
      <w:r w:rsidRPr="00654C7A">
        <w:t xml:space="preserve">The primary PK </w:t>
      </w:r>
      <w:r>
        <w:t>data were provided in</w:t>
      </w:r>
      <w:r w:rsidRPr="00654C7A">
        <w:t xml:space="preserve"> GENA-01 (22 adult patients</w:t>
      </w:r>
      <w:r w:rsidR="00D33BC5">
        <w:rPr>
          <w:rStyle w:val="FootnoteReference"/>
        </w:rPr>
        <w:footnoteReference w:id="1"/>
      </w:r>
      <w:r w:rsidRPr="00654C7A">
        <w:t>), GENA-03 (26 children aged 2 to 12 years), and GENA-0</w:t>
      </w:r>
      <w:r w:rsidR="00D33BC5">
        <w:t>8</w:t>
      </w:r>
      <w:r w:rsidRPr="00654C7A">
        <w:t xml:space="preserve"> (32 adult patients). The </w:t>
      </w:r>
      <w:r>
        <w:t xml:space="preserve">supportive </w:t>
      </w:r>
      <w:r w:rsidRPr="00654C7A">
        <w:t xml:space="preserve">PK </w:t>
      </w:r>
      <w:r>
        <w:t xml:space="preserve">data were provided in two </w:t>
      </w:r>
      <w:r w:rsidRPr="00654C7A">
        <w:t>studies in adults, GENA-09 (n=22) and its extension GENA-04 (n=18). Studies GENA-01, GENA-03 and</w:t>
      </w:r>
      <w:r>
        <w:t xml:space="preserve"> GENA-09 included comprehensive </w:t>
      </w:r>
      <w:r w:rsidRPr="00654C7A">
        <w:t xml:space="preserve">PK </w:t>
      </w:r>
      <w:r>
        <w:t>data</w:t>
      </w:r>
      <w:r w:rsidRPr="00654C7A">
        <w:t>, while studies GENA-08 and GENA-04 provided data</w:t>
      </w:r>
      <w:r>
        <w:t xml:space="preserve"> relating to IVR. No </w:t>
      </w:r>
      <w:r w:rsidRPr="00654C7A">
        <w:rPr>
          <w:rFonts w:cs="Ä¨˙ø¶’"/>
        </w:rPr>
        <w:t xml:space="preserve">patients </w:t>
      </w:r>
      <w:r>
        <w:rPr>
          <w:rFonts w:cs="Ä¨˙ø¶’"/>
        </w:rPr>
        <w:t xml:space="preserve">in the five clinical studies </w:t>
      </w:r>
      <w:r w:rsidRPr="00654C7A">
        <w:rPr>
          <w:rFonts w:cs="Ä¨˙ø¶’"/>
        </w:rPr>
        <w:t xml:space="preserve">had </w:t>
      </w:r>
      <w:r>
        <w:rPr>
          <w:rFonts w:cs="Ä¨˙ø¶’"/>
        </w:rPr>
        <w:t xml:space="preserve">FVIII inhibitors at study entry. All patients in the five studies were males, and </w:t>
      </w:r>
      <w:r w:rsidRPr="00654C7A">
        <w:t xml:space="preserve">were predominantly "white". </w:t>
      </w:r>
      <w:r>
        <w:t>T</w:t>
      </w:r>
      <w:r w:rsidRPr="00654C7A">
        <w:t>here were no PK data in patients younger than 2 years of age.</w:t>
      </w:r>
      <w:r>
        <w:t xml:space="preserve"> There were no PK data in previously untreated patients. There were no PK studies specifically in adolescents aged &gt; 12 years to ≤ 18 years, or in patients aged ≥ 65 years.</w:t>
      </w:r>
    </w:p>
    <w:p w14:paraId="4F9EF1D8" w14:textId="6C97BFFB" w:rsidR="00AE1580" w:rsidRPr="00654C7A" w:rsidRDefault="00AE1580" w:rsidP="00AC06F3">
      <w:pPr>
        <w:autoSpaceDE w:val="0"/>
        <w:autoSpaceDN w:val="0"/>
        <w:adjustRightInd w:val="0"/>
        <w:spacing w:before="0" w:after="0" w:line="240" w:lineRule="auto"/>
      </w:pPr>
      <w:r w:rsidRPr="00654C7A">
        <w:lastRenderedPageBreak/>
        <w:t>In all studies, the FVIII products were administered at a dose of 50 IU/kg (labelled potency). FVIII</w:t>
      </w:r>
      <w:proofErr w:type="gramStart"/>
      <w:r w:rsidRPr="00654C7A">
        <w:t>:C</w:t>
      </w:r>
      <w:proofErr w:type="gramEnd"/>
      <w:r w:rsidRPr="00654C7A">
        <w:t xml:space="preserve"> plasma levels were determined by validated CHR and OS assays </w:t>
      </w:r>
      <w:r>
        <w:t>undertaken by</w:t>
      </w:r>
      <w:r w:rsidRPr="00654C7A">
        <w:t xml:space="preserve"> the same central</w:t>
      </w:r>
      <w:r>
        <w:t xml:space="preserve"> laboratory located in the USA. </w:t>
      </w:r>
      <w:r w:rsidRPr="00654C7A">
        <w:t>Actual potenc</w:t>
      </w:r>
      <w:r>
        <w:t>ies as determined by the CHR and OS assays were</w:t>
      </w:r>
      <w:r w:rsidRPr="00654C7A">
        <w:t xml:space="preserve"> used to calculate PK parameters. </w:t>
      </w:r>
      <w:r w:rsidRPr="00654C7A">
        <w:rPr>
          <w:rFonts w:cs="ü˙ø¶’"/>
        </w:rPr>
        <w:t xml:space="preserve">For </w:t>
      </w:r>
      <w:r>
        <w:rPr>
          <w:rFonts w:cs="ü˙ø¶’"/>
        </w:rPr>
        <w:t>simoctocog alfa</w:t>
      </w:r>
      <w:r w:rsidRPr="00654C7A">
        <w:rPr>
          <w:rFonts w:cs="ü˙ø¶’"/>
        </w:rPr>
        <w:t>, FVIII</w:t>
      </w:r>
      <w:proofErr w:type="gramStart"/>
      <w:r w:rsidRPr="00654C7A">
        <w:rPr>
          <w:rFonts w:cs="ü˙ø¶’"/>
        </w:rPr>
        <w:t>:C</w:t>
      </w:r>
      <w:proofErr w:type="gramEnd"/>
      <w:r w:rsidRPr="00654C7A">
        <w:rPr>
          <w:rFonts w:cs="ü˙ø¶’"/>
        </w:rPr>
        <w:t xml:space="preserve"> values obtained by the OS assay were about 15% lower than </w:t>
      </w:r>
      <w:r>
        <w:rPr>
          <w:rFonts w:cs="ü˙ø¶’"/>
        </w:rPr>
        <w:t>those obtained by the CHR assay</w:t>
      </w:r>
      <w:r w:rsidRPr="00654C7A">
        <w:rPr>
          <w:rFonts w:cs="ü˙ø¶’"/>
        </w:rPr>
        <w:t xml:space="preserve">. However, the OS assay results for full-length rFVIII products (5 lots of </w:t>
      </w:r>
      <w:r w:rsidR="00051AEE">
        <w:t>full-length rFVIII BHK</w:t>
      </w:r>
      <w:r w:rsidRPr="00654C7A">
        <w:rPr>
          <w:rFonts w:cs="ü˙ø¶’"/>
        </w:rPr>
        <w:t xml:space="preserve"> FS in GENA-01 and 3 lots in GENA-03, one lot </w:t>
      </w:r>
      <w:r w:rsidRPr="00AC06F3">
        <w:rPr>
          <w:rFonts w:cs="ü˙ø¶’"/>
        </w:rPr>
        <w:t xml:space="preserve">each of </w:t>
      </w:r>
      <w:r w:rsidR="001A2E59" w:rsidRPr="00AC06F3">
        <w:rPr>
          <w:rFonts w:eastAsiaTheme="minorHAnsi" w:cs="Cambria"/>
        </w:rPr>
        <w:t>third generation full-length rFVIII (CHO)</w:t>
      </w:r>
      <w:r w:rsidR="00AC06F3" w:rsidRPr="00AC06F3">
        <w:rPr>
          <w:rFonts w:eastAsiaTheme="minorHAnsi" w:cs="Cambria"/>
        </w:rPr>
        <w:t xml:space="preserve"> </w:t>
      </w:r>
      <w:r w:rsidR="001A2E59" w:rsidRPr="00AC06F3">
        <w:rPr>
          <w:rFonts w:eastAsiaTheme="minorHAnsi" w:cs="Cambria"/>
        </w:rPr>
        <w:t>and first-generation full-length rFVIII (CHO)</w:t>
      </w:r>
      <w:r w:rsidRPr="00AC06F3">
        <w:rPr>
          <w:rFonts w:cs="ü˙ø¶’"/>
        </w:rPr>
        <w:t xml:space="preserve"> in GE</w:t>
      </w:r>
      <w:r w:rsidRPr="00654C7A">
        <w:rPr>
          <w:rFonts w:cs="ü˙ø¶’"/>
        </w:rPr>
        <w:t xml:space="preserve">NA-03) were approximately 15% higher than the CHR assay results, except for one lot of </w:t>
      </w:r>
      <w:r w:rsidR="00051AEE">
        <w:t>full-length rFVIII BHK</w:t>
      </w:r>
      <w:r w:rsidRPr="00654C7A">
        <w:rPr>
          <w:rFonts w:cs="ü˙ø¶’"/>
        </w:rPr>
        <w:t xml:space="preserve"> in GENA-09, where there</w:t>
      </w:r>
      <w:r w:rsidRPr="00654C7A">
        <w:t xml:space="preserve"> </w:t>
      </w:r>
      <w:r w:rsidRPr="00654C7A">
        <w:rPr>
          <w:rFonts w:cs="ü˙ø¶’"/>
        </w:rPr>
        <w:t>was no difference between the OS and CHR assays.</w:t>
      </w:r>
    </w:p>
    <w:p w14:paraId="40D67E67" w14:textId="77777777" w:rsidR="000F04AF" w:rsidRDefault="00AE1580" w:rsidP="00AE1580">
      <w:r w:rsidRPr="00654C7A">
        <w:t>In GENA-01, the mean FVIII</w:t>
      </w:r>
      <w:proofErr w:type="gramStart"/>
      <w:r w:rsidRPr="00654C7A">
        <w:t>:C</w:t>
      </w:r>
      <w:proofErr w:type="gramEnd"/>
      <w:r w:rsidRPr="00654C7A">
        <w:t xml:space="preserve"> levels standardised to a dose of 50 IU/kg were comparable over time (to 48 hours) for </w:t>
      </w:r>
      <w:r>
        <w:t xml:space="preserve">simoctocog alfa and "licensed" FS </w:t>
      </w:r>
      <w:r w:rsidR="00051AEE">
        <w:t>full-length rFVIII BHK</w:t>
      </w:r>
      <w:r>
        <w:t xml:space="preserve">, </w:t>
      </w:r>
      <w:r w:rsidRPr="00654C7A">
        <w:t>as measured</w:t>
      </w:r>
      <w:r>
        <w:t xml:space="preserve"> by both the CHR and OS assays. In this study</w:t>
      </w:r>
      <w:r w:rsidRPr="00654C7A">
        <w:t xml:space="preserve">, </w:t>
      </w:r>
      <w:r>
        <w:t xml:space="preserve">simoctocog alfa </w:t>
      </w:r>
      <w:r w:rsidRPr="00654C7A">
        <w:t>and "licensed"</w:t>
      </w:r>
      <w:r>
        <w:t xml:space="preserve"> </w:t>
      </w:r>
      <w:r w:rsidR="00051AEE">
        <w:t>full-length rFVIII BHK</w:t>
      </w:r>
      <w:r>
        <w:t xml:space="preserve"> KS were bioequivalent </w:t>
      </w:r>
      <w:r w:rsidRPr="00654C7A">
        <w:t>based on the 90% CI for the geometric ratio of AUC</w:t>
      </w:r>
      <w:r w:rsidRPr="00654C7A">
        <w:rPr>
          <w:vertAlign w:val="subscript"/>
        </w:rPr>
        <w:t>norm</w:t>
      </w:r>
      <w:r w:rsidRPr="00654C7A">
        <w:t xml:space="preserve"> </w:t>
      </w:r>
      <w:r>
        <w:t xml:space="preserve">(CHR and OS assays) </w:t>
      </w:r>
      <w:r w:rsidRPr="00654C7A">
        <w:t xml:space="preserve">for the two products being within the standard bioequivalence limits of 0.80 to 1.25. Overall, the key PK parameters assessed in Part 1 (PK phase) of GENA-01 were similar for </w:t>
      </w:r>
      <w:r>
        <w:t xml:space="preserve">simoctocog alfa </w:t>
      </w:r>
      <w:r w:rsidRPr="00654C7A">
        <w:t xml:space="preserve">and "licensed" </w:t>
      </w:r>
      <w:r w:rsidR="00051AEE">
        <w:t>full-length rFVIII BHK</w:t>
      </w:r>
      <w:r>
        <w:t>,</w:t>
      </w:r>
      <w:r w:rsidRPr="00654C7A">
        <w:t xml:space="preserve"> as measured by both the CHR and OS assays. The main difference in the PK parameters between the two FVIII products was the shorter mean half-life observed with </w:t>
      </w:r>
      <w:r>
        <w:t xml:space="preserve">simoctocog alfa </w:t>
      </w:r>
      <w:r w:rsidRPr="00654C7A">
        <w:t xml:space="preserve">compared with "licensed" </w:t>
      </w:r>
      <w:r w:rsidR="00051AEE">
        <w:t>full-length rFVIII BHK</w:t>
      </w:r>
      <w:r>
        <w:t xml:space="preserve">observed with both assays </w:t>
      </w:r>
      <w:r w:rsidRPr="00654C7A">
        <w:t>(14.7 vs 16.1 hours [CHR assay]; 17.1 vs 18.8 hours [OS assay]).</w:t>
      </w:r>
    </w:p>
    <w:p w14:paraId="5A1E49EC" w14:textId="4C144637" w:rsidR="00AE1580" w:rsidRPr="00423DED" w:rsidRDefault="00AE1580" w:rsidP="00AE1580">
      <w:pPr>
        <w:rPr>
          <w:rFonts w:cs="Ä¨˙ø¶’"/>
        </w:rPr>
      </w:pPr>
      <w:r>
        <w:t xml:space="preserve">In GENA-09, </w:t>
      </w:r>
      <w:r w:rsidRPr="00654C7A">
        <w:t xml:space="preserve">supportive data for the bioequivalence of </w:t>
      </w:r>
      <w:r>
        <w:t xml:space="preserve">simoctocog alfa </w:t>
      </w:r>
      <w:r w:rsidRPr="00654C7A">
        <w:t xml:space="preserve">and </w:t>
      </w:r>
      <w:r w:rsidR="00051AEE">
        <w:t>full-length rFVIII BHK</w:t>
      </w:r>
      <w:r w:rsidRPr="00654C7A">
        <w:t xml:space="preserve"> were </w:t>
      </w:r>
      <w:r>
        <w:t>provided</w:t>
      </w:r>
      <w:r w:rsidRPr="00654C7A">
        <w:t xml:space="preserve"> based on the 90% CI of the </w:t>
      </w:r>
      <w:r>
        <w:t>geometric ratio for the AUC</w:t>
      </w:r>
      <w:r w:rsidRPr="00CD5282">
        <w:rPr>
          <w:vertAlign w:val="subscript"/>
        </w:rPr>
        <w:t>norm</w:t>
      </w:r>
      <w:r>
        <w:t xml:space="preserve"> (</w:t>
      </w:r>
      <w:r w:rsidRPr="00654C7A">
        <w:t>CHR assay</w:t>
      </w:r>
      <w:r>
        <w:t xml:space="preserve">) for the two products being within the standard bioequivalence limits. </w:t>
      </w:r>
      <w:r w:rsidRPr="00654C7A">
        <w:t>However, the 90% CI of the geometric ratio for the AUC</w:t>
      </w:r>
      <w:r w:rsidRPr="007A2DCB">
        <w:rPr>
          <w:vertAlign w:val="subscript"/>
        </w:rPr>
        <w:t xml:space="preserve">norm </w:t>
      </w:r>
      <w:r w:rsidRPr="00654C7A">
        <w:t>for the two products was not enclosed entirely within the standard bioequivalence limits of 0.80 to 1.25 when t</w:t>
      </w:r>
      <w:r>
        <w:t xml:space="preserve">he parameters were assessed by the OS assay. </w:t>
      </w:r>
      <w:r w:rsidRPr="00654C7A">
        <w:rPr>
          <w:rFonts w:cs="Ä¨˙ø¶’"/>
        </w:rPr>
        <w:t xml:space="preserve">The sponsor </w:t>
      </w:r>
      <w:r>
        <w:rPr>
          <w:rFonts w:cs="Ä¨˙ø¶’"/>
        </w:rPr>
        <w:t xml:space="preserve">comments that the potencies of the simoctocog alfa batches used in GENA-09 were approximately 20% lower than labelled when assessed by the OS assay. </w:t>
      </w:r>
      <w:r>
        <w:t xml:space="preserve">Consequently, </w:t>
      </w:r>
      <w:r w:rsidRPr="00654C7A">
        <w:rPr>
          <w:rFonts w:cs="Ä¨˙ø¶’"/>
        </w:rPr>
        <w:t xml:space="preserve">FVIII:C </w:t>
      </w:r>
      <w:r>
        <w:rPr>
          <w:rFonts w:cs="Ä¨˙ø¶’"/>
        </w:rPr>
        <w:t>levels</w:t>
      </w:r>
      <w:r w:rsidRPr="00654C7A">
        <w:rPr>
          <w:rFonts w:cs="Ä¨˙ø¶’"/>
        </w:rPr>
        <w:t xml:space="preserve"> </w:t>
      </w:r>
      <w:r>
        <w:rPr>
          <w:rFonts w:cs="Ä¨˙ø¶’"/>
        </w:rPr>
        <w:t xml:space="preserve">measured by the OS assay </w:t>
      </w:r>
      <w:r w:rsidRPr="00654C7A">
        <w:rPr>
          <w:rFonts w:cs="Ä¨˙ø¶’"/>
        </w:rPr>
        <w:t xml:space="preserve">in samples taken late </w:t>
      </w:r>
      <w:r>
        <w:rPr>
          <w:rFonts w:cs="Ä¨˙ø¶’"/>
        </w:rPr>
        <w:t xml:space="preserve">in the elimination phase were close to, or below, </w:t>
      </w:r>
      <w:r w:rsidRPr="00654C7A">
        <w:rPr>
          <w:rFonts w:cs="Ä¨˙ø¶’"/>
        </w:rPr>
        <w:t xml:space="preserve">the detection limit </w:t>
      </w:r>
      <w:r>
        <w:rPr>
          <w:rFonts w:cs="Ä¨˙ø¶’"/>
        </w:rPr>
        <w:t>resulting in imprecise assessment of those PK parameters which are dependent on accurate levels taken during this period (</w:t>
      </w:r>
      <w:r w:rsidR="001A2E59">
        <w:rPr>
          <w:rFonts w:cs="Ä¨˙ø¶’"/>
        </w:rPr>
        <w:t>for example,</w:t>
      </w:r>
      <w:r>
        <w:rPr>
          <w:rFonts w:cs="Ä¨˙ø¶’"/>
        </w:rPr>
        <w:t xml:space="preserve"> AUC, T</w:t>
      </w:r>
      <w:r w:rsidRPr="00CD5282">
        <w:rPr>
          <w:rFonts w:cs="Ä¨˙ø¶’"/>
          <w:vertAlign w:val="subscript"/>
        </w:rPr>
        <w:t>1/2</w:t>
      </w:r>
      <w:r>
        <w:rPr>
          <w:rFonts w:cs="Ä¨˙ø¶’"/>
        </w:rPr>
        <w:t xml:space="preserve">, and CL). </w:t>
      </w:r>
      <w:r w:rsidRPr="00654C7A">
        <w:rPr>
          <w:rFonts w:cs="Ä¨˙ø¶’"/>
        </w:rPr>
        <w:t xml:space="preserve">In addition, the sponsor states that the </w:t>
      </w:r>
      <w:r>
        <w:rPr>
          <w:rFonts w:cs="Ä¨˙ø¶’"/>
        </w:rPr>
        <w:t xml:space="preserve">adult </w:t>
      </w:r>
      <w:r w:rsidRPr="00654C7A">
        <w:rPr>
          <w:rFonts w:cs="Ä¨˙ø¶’"/>
        </w:rPr>
        <w:t>patient population in GENA-0</w:t>
      </w:r>
      <w:r>
        <w:rPr>
          <w:rFonts w:cs="Ä¨˙ø¶’"/>
        </w:rPr>
        <w:t xml:space="preserve">9 differed from that in GENA-01 </w:t>
      </w:r>
      <w:r w:rsidRPr="00654C7A">
        <w:rPr>
          <w:rFonts w:cs="Ä¨˙ø¶’"/>
        </w:rPr>
        <w:t xml:space="preserve">as </w:t>
      </w:r>
      <w:r>
        <w:rPr>
          <w:rFonts w:cs="Ä¨˙ø¶’"/>
        </w:rPr>
        <w:t xml:space="preserve">the patients </w:t>
      </w:r>
      <w:r w:rsidRPr="00654C7A">
        <w:rPr>
          <w:rFonts w:cs="Ä¨˙ø¶’"/>
        </w:rPr>
        <w:t>appeared to have been inadequately treated in the past as evidenced by the presence of severely affected joints and historically high bleeding rates. Furthermore, all patients included in GENA-09 were from a single Russian centre, while patients included in GENA-01 were from multiple centres predominantly in Western Europe.</w:t>
      </w:r>
    </w:p>
    <w:p w14:paraId="6B82B594" w14:textId="77777777" w:rsidR="000F04AF" w:rsidRDefault="00AE1580" w:rsidP="00AE1580">
      <w:r w:rsidRPr="00654C7A">
        <w:t xml:space="preserve">In both GENA-01 and GENA-09, PK parameters for </w:t>
      </w:r>
      <w:r>
        <w:t xml:space="preserve">simoctocog alfa </w:t>
      </w:r>
      <w:r w:rsidRPr="00654C7A">
        <w:t xml:space="preserve">at 6 months were assessed, and in general were consistent with </w:t>
      </w:r>
      <w:r>
        <w:t xml:space="preserve">the </w:t>
      </w:r>
      <w:r w:rsidRPr="00654C7A">
        <w:t>corresponding values obtained at the start of the study when measured by the CHR</w:t>
      </w:r>
      <w:r>
        <w:t xml:space="preserve"> assay</w:t>
      </w:r>
      <w:r w:rsidRPr="00654C7A">
        <w:t xml:space="preserve">. However, when measured by the OS assay the differences in the key PK parameters between month 6 relative to study start were more marked </w:t>
      </w:r>
      <w:r>
        <w:t xml:space="preserve">than when measured by </w:t>
      </w:r>
      <w:r w:rsidRPr="00654C7A">
        <w:t>the CHR a</w:t>
      </w:r>
      <w:r>
        <w:t xml:space="preserve">ssay (particularly in GENA-09). </w:t>
      </w:r>
      <w:r w:rsidRPr="00654C7A">
        <w:t>In GENA-01</w:t>
      </w:r>
      <w:r>
        <w:t xml:space="preserve"> (CHR assay)</w:t>
      </w:r>
      <w:r w:rsidRPr="00654C7A">
        <w:t xml:space="preserve">, the 90% CIs for the geometric ratios </w:t>
      </w:r>
      <w:r>
        <w:t xml:space="preserve">for the key PK parameters </w:t>
      </w:r>
      <w:r w:rsidRPr="00654C7A">
        <w:t>at month 6 relative to study start were within the standard bioequivalence interval of 0.80 to 1.25, apart from T</w:t>
      </w:r>
      <w:r w:rsidRPr="00D1012E">
        <w:rPr>
          <w:vertAlign w:val="subscript"/>
        </w:rPr>
        <w:t xml:space="preserve">1/2 </w:t>
      </w:r>
      <w:r w:rsidRPr="00654C7A">
        <w:t>an</w:t>
      </w:r>
      <w:r>
        <w:t xml:space="preserve">d MRT which were both </w:t>
      </w:r>
      <w:r w:rsidRPr="00654C7A">
        <w:t xml:space="preserve">shorter at </w:t>
      </w:r>
      <w:r>
        <w:t xml:space="preserve">month 6 </w:t>
      </w:r>
      <w:r w:rsidRPr="00654C7A">
        <w:t>than at study start</w:t>
      </w:r>
      <w:r>
        <w:t>.</w:t>
      </w:r>
      <w:r w:rsidRPr="00654C7A">
        <w:t xml:space="preserve"> </w:t>
      </w:r>
      <w:r>
        <w:t>In GENA-01 (OS), the 90% CIs for the geometric mean ratios for the key PK parameters at month 6 relative to study start were within the standard bioequivalence interval of 0.80 to 1.25, apart from AUC</w:t>
      </w:r>
      <w:r w:rsidRPr="00D1012E">
        <w:rPr>
          <w:vertAlign w:val="subscript"/>
        </w:rPr>
        <w:t>norm</w:t>
      </w:r>
      <w:r>
        <w:t xml:space="preserve"> (lower at month 6), and T</w:t>
      </w:r>
      <w:r w:rsidRPr="00DB51C0">
        <w:rPr>
          <w:vertAlign w:val="subscript"/>
        </w:rPr>
        <w:t xml:space="preserve">1/2 </w:t>
      </w:r>
      <w:r>
        <w:t>and MRT (both shorter at month 6).</w:t>
      </w:r>
    </w:p>
    <w:p w14:paraId="225BC3B1" w14:textId="77777777" w:rsidR="000F04AF" w:rsidRDefault="00AE1580" w:rsidP="00AE1580">
      <w:pPr>
        <w:widowControl w:val="0"/>
        <w:autoSpaceDE w:val="0"/>
        <w:autoSpaceDN w:val="0"/>
        <w:adjustRightInd w:val="0"/>
      </w:pPr>
      <w:r w:rsidRPr="00654C7A">
        <w:t xml:space="preserve">In GENA-03, the PKs of </w:t>
      </w:r>
      <w:r>
        <w:t xml:space="preserve">simoctocog alfa were compared with </w:t>
      </w:r>
      <w:r w:rsidRPr="00654C7A">
        <w:t xml:space="preserve">previously used FVIII concentrates (recombinant and </w:t>
      </w:r>
      <w:r w:rsidRPr="007A2DCB">
        <w:t>plasm</w:t>
      </w:r>
      <w:r>
        <w:t>a derived) in children aged 2-</w:t>
      </w:r>
      <w:r w:rsidRPr="007A2DCB">
        <w:t>12 years</w:t>
      </w:r>
      <w:r>
        <w:t xml:space="preserve">. </w:t>
      </w:r>
      <w:r w:rsidRPr="007A2DCB">
        <w:t xml:space="preserve">In </w:t>
      </w:r>
      <w:r>
        <w:t>children aged 2-12 years</w:t>
      </w:r>
      <w:r w:rsidRPr="007A2DCB">
        <w:t xml:space="preserve"> (n=25), the AUC</w:t>
      </w:r>
      <w:r w:rsidRPr="007A2DCB">
        <w:rPr>
          <w:vertAlign w:val="subscript"/>
        </w:rPr>
        <w:t xml:space="preserve">norm </w:t>
      </w:r>
      <w:r w:rsidRPr="007A2DCB">
        <w:t>and C</w:t>
      </w:r>
      <w:r w:rsidRPr="007A2DCB">
        <w:rPr>
          <w:vertAlign w:val="subscript"/>
        </w:rPr>
        <w:t xml:space="preserve">max.norm </w:t>
      </w:r>
      <w:r>
        <w:t>values</w:t>
      </w:r>
      <w:r w:rsidRPr="007A2DCB">
        <w:t xml:space="preserve"> were almost identical for </w:t>
      </w:r>
      <w:r>
        <w:t xml:space="preserve">simoctocog alfa </w:t>
      </w:r>
      <w:r w:rsidRPr="007A2DCB">
        <w:t xml:space="preserve">and previously used FVIII concentrates when measured by both the CHR and OS assays. </w:t>
      </w:r>
      <w:r>
        <w:t>However, the</w:t>
      </w:r>
      <w:r w:rsidRPr="007A2DCB">
        <w:t xml:space="preserve"> mean </w:t>
      </w:r>
      <w:r w:rsidRPr="007A2DCB">
        <w:lastRenderedPageBreak/>
        <w:t>AUC</w:t>
      </w:r>
      <w:r w:rsidRPr="007A2DCB">
        <w:rPr>
          <w:vertAlign w:val="subscript"/>
        </w:rPr>
        <w:t>norm</w:t>
      </w:r>
      <w:r w:rsidRPr="007A2DCB">
        <w:t xml:space="preserve"> (CHR assay) for </w:t>
      </w:r>
      <w:r>
        <w:t>simoctocog alfa was slightly lower in the 2-</w:t>
      </w:r>
      <w:r w:rsidRPr="007A2DCB">
        <w:t xml:space="preserve">5 years age </w:t>
      </w:r>
      <w:r>
        <w:t>cohort compared with the 6-</w:t>
      </w:r>
      <w:r w:rsidRPr="007A2DCB">
        <w:t xml:space="preserve">12 years age </w:t>
      </w:r>
      <w:r>
        <w:t>cohort</w:t>
      </w:r>
      <w:r w:rsidRPr="007A2DCB">
        <w:t xml:space="preserve"> (0.22 vs 0.25 h•IU/mL per IU/kg, respectively), while the mean C</w:t>
      </w:r>
      <w:r w:rsidRPr="007A2DCB">
        <w:rPr>
          <w:vertAlign w:val="subscript"/>
        </w:rPr>
        <w:t xml:space="preserve">max.norm </w:t>
      </w:r>
      <w:r w:rsidRPr="007A2DCB">
        <w:t xml:space="preserve">(CHR assay) was identical for both age </w:t>
      </w:r>
      <w:r>
        <w:t>cohorts</w:t>
      </w:r>
      <w:r w:rsidRPr="007A2DCB">
        <w:t xml:space="preserve"> (0.019 IU/mL per IU/kg). In addition, the mean T</w:t>
      </w:r>
      <w:r w:rsidRPr="007A2DCB">
        <w:rPr>
          <w:vertAlign w:val="subscript"/>
        </w:rPr>
        <w:t xml:space="preserve">1/2 </w:t>
      </w:r>
      <w:r w:rsidRPr="007A2DCB">
        <w:t xml:space="preserve">(CHR assay) for </w:t>
      </w:r>
      <w:r>
        <w:t xml:space="preserve">simoctocog alfa </w:t>
      </w:r>
      <w:r w:rsidRPr="007A2DCB">
        <w:t>w</w:t>
      </w:r>
      <w:r>
        <w:t>as slightly shorter in the 2-</w:t>
      </w:r>
      <w:r w:rsidRPr="007A2DCB">
        <w:t xml:space="preserve">5 years age </w:t>
      </w:r>
      <w:r>
        <w:t>cohort compared with the 6-</w:t>
      </w:r>
      <w:r w:rsidRPr="007A2DCB">
        <w:t xml:space="preserve">12 years age </w:t>
      </w:r>
      <w:r>
        <w:t>cohort</w:t>
      </w:r>
      <w:r w:rsidRPr="007A2DCB">
        <w:t xml:space="preserve"> (9.49 vs 9.99 hours, respectively), while the mean CL was higher (5.40 vs 4.33 mL/min/kg, respectively)</w:t>
      </w:r>
      <w:r>
        <w:t>.</w:t>
      </w:r>
    </w:p>
    <w:p w14:paraId="07FC7DF7" w14:textId="107CE4A2" w:rsidR="00AE1580" w:rsidRPr="00654C7A" w:rsidRDefault="00AE1580" w:rsidP="00AE1580">
      <w:r w:rsidRPr="00654C7A">
        <w:t xml:space="preserve">In </w:t>
      </w:r>
      <w:r>
        <w:t>children aged 2-</w:t>
      </w:r>
      <w:r w:rsidRPr="00654C7A">
        <w:t>12 years (n=25) in GENA-03, the mean AUC</w:t>
      </w:r>
      <w:r w:rsidRPr="007323F4">
        <w:rPr>
          <w:vertAlign w:val="subscript"/>
        </w:rPr>
        <w:t>norm</w:t>
      </w:r>
      <w:r w:rsidRPr="00654C7A">
        <w:t xml:space="preserve"> (CHR assay) at study start with </w:t>
      </w:r>
      <w:r>
        <w:t xml:space="preserve">simoctocog alfa </w:t>
      </w:r>
      <w:r w:rsidRPr="00654C7A">
        <w:t xml:space="preserve">was lower than in the adult population (n=22) in GENA-01 (0.23 vs 0.39 h•IU/mL per IU/kg, respectively), while the </w:t>
      </w:r>
      <w:r>
        <w:t xml:space="preserve">mean </w:t>
      </w:r>
      <w:r w:rsidRPr="00654C7A">
        <w:t>T</w:t>
      </w:r>
      <w:r w:rsidRPr="00654C7A">
        <w:rPr>
          <w:vertAlign w:val="subscript"/>
        </w:rPr>
        <w:t xml:space="preserve">1/2 </w:t>
      </w:r>
      <w:r w:rsidRPr="00654C7A">
        <w:t xml:space="preserve">was shorter (9.73 vs 14.73 hours, respectively) and </w:t>
      </w:r>
      <w:r>
        <w:t xml:space="preserve">the mean </w:t>
      </w:r>
      <w:r w:rsidRPr="00654C7A">
        <w:t xml:space="preserve">CL </w:t>
      </w:r>
      <w:r>
        <w:t xml:space="preserve">was </w:t>
      </w:r>
      <w:r w:rsidRPr="00654C7A">
        <w:t xml:space="preserve">higher (4.89 vs 2.94 mL/h/kg, respectively). </w:t>
      </w:r>
      <w:r>
        <w:t xml:space="preserve">The observed PK </w:t>
      </w:r>
      <w:r w:rsidRPr="00654C7A">
        <w:t xml:space="preserve">differences </w:t>
      </w:r>
      <w:r>
        <w:t xml:space="preserve">between children and adults were not unexpected, and the sponsor notes that these differences </w:t>
      </w:r>
      <w:r w:rsidRPr="00654C7A">
        <w:t xml:space="preserve">have been observed with other FVIII products. In </w:t>
      </w:r>
      <w:r w:rsidRPr="007323F4">
        <w:rPr>
          <w:i/>
        </w:rPr>
        <w:t>Bjorkman et al (2010)</w:t>
      </w:r>
      <w:r w:rsidRPr="00654C7A">
        <w:t>, IVR was lower, weight-adjusted clearance was higher and FVIII half-life was lower in children with severe haemophilia A (</w:t>
      </w:r>
      <w:r>
        <w:t xml:space="preserve">aged </w:t>
      </w:r>
      <w:r w:rsidRPr="00654C7A">
        <w:t>1-6 years of age) tha</w:t>
      </w:r>
      <w:r>
        <w:t>n in older patients (aged 10-</w:t>
      </w:r>
      <w:r w:rsidRPr="00654C7A">
        <w:t>65 years).</w:t>
      </w:r>
      <w:r w:rsidRPr="00654C7A">
        <w:rPr>
          <w:vertAlign w:val="superscript"/>
        </w:rPr>
        <w:t>7</w:t>
      </w:r>
    </w:p>
    <w:p w14:paraId="00DAD45B" w14:textId="77777777" w:rsidR="000F04AF" w:rsidRDefault="00AE1580" w:rsidP="00AE1580">
      <w:r w:rsidRPr="00654C7A">
        <w:t xml:space="preserve">The IVR was assessed in all studies and was generally consistent across the studies. In GENA-08 (CHR assay), the mean±SD IVR </w:t>
      </w:r>
      <w:r>
        <w:t xml:space="preserve">in adult patients </w:t>
      </w:r>
      <w:r w:rsidRPr="00654C7A">
        <w:t>at</w:t>
      </w:r>
      <w:r>
        <w:t xml:space="preserve"> visit 1 (n=32) was 2.57±0.54</w:t>
      </w:r>
      <w:r w:rsidRPr="00654C7A">
        <w:t xml:space="preserve">% per IU/kg, and this </w:t>
      </w:r>
      <w:r>
        <w:t xml:space="preserve">value was consistent with values </w:t>
      </w:r>
      <w:r w:rsidRPr="00654C7A">
        <w:t>at month 3 (n=31) and month 6 (n=30) of 2.37</w:t>
      </w:r>
      <w:r>
        <w:t>±0.50% per IU/kg and 2.34±0.40</w:t>
      </w:r>
      <w:r w:rsidRPr="00654C7A">
        <w:t>% per IU/kg</w:t>
      </w:r>
      <w:r>
        <w:t>, respectively</w:t>
      </w:r>
      <w:r w:rsidRPr="00654C7A">
        <w:t>. The IVR (CHR assay) was also generally consistent over time in adult patients in</w:t>
      </w:r>
      <w:r>
        <w:t xml:space="preserve"> GENA-01, GENA-09 and GENA-04. </w:t>
      </w:r>
      <w:r w:rsidRPr="00654C7A">
        <w:t xml:space="preserve">In GENA-03 (CHR assay), the mean±SD IVR at the start of the study in </w:t>
      </w:r>
      <w:r>
        <w:t>children</w:t>
      </w:r>
      <w:r w:rsidRPr="00654C7A">
        <w:t xml:space="preserve"> age</w:t>
      </w:r>
      <w:r>
        <w:t>d 2-</w:t>
      </w:r>
      <w:r w:rsidRPr="00654C7A">
        <w:t>12 years (n=25) was notably lower than in adult patients (n=22) in GENA-01 (CHR assay), with the respective values being 1.83±0.</w:t>
      </w:r>
      <w:r>
        <w:t>41% per IU/kg and 2.50±0.37</w:t>
      </w:r>
      <w:r w:rsidRPr="00654C7A">
        <w:t xml:space="preserve">% per IU/kg. The IVR (CHR assay) was consistent over time in the paediatric population aged </w:t>
      </w:r>
      <w:r>
        <w:t>2-</w:t>
      </w:r>
      <w:r w:rsidRPr="00654C7A">
        <w:t>12 years in GENA-03 (</w:t>
      </w:r>
      <w:r w:rsidR="001A2E59">
        <w:t>that is,</w:t>
      </w:r>
      <w:r w:rsidRPr="00654C7A">
        <w:t xml:space="preserve"> start, 3 months, 6 months). The sponsor comments that lower IVR values have been observed in children compared with ad</w:t>
      </w:r>
      <w:r>
        <w:t>ults with other FVIII products.</w:t>
      </w:r>
      <w:r w:rsidRPr="00654C7A">
        <w:rPr>
          <w:vertAlign w:val="superscript"/>
        </w:rPr>
        <w:t>7</w:t>
      </w:r>
      <w:r w:rsidRPr="0085598F">
        <w:t xml:space="preserve"> </w:t>
      </w:r>
      <w:r>
        <w:t>However, the lowed FVIII recovery in children compared with adults suggests that higher doses of simoctocog alfa might be required in children compared with adults to treat haemophilia and this was in fact observed in the clinical efficacy data.</w:t>
      </w:r>
    </w:p>
    <w:p w14:paraId="449416E1" w14:textId="77777777" w:rsidR="000F04AF" w:rsidRDefault="00AE1580" w:rsidP="00AE1580">
      <w:r>
        <w:t>There were no PK studies in humans relating to metabolism, excretion, hepatic impairment, renal impairment or drug-drug interactions. However, FVIII is a well characterised coagulation factor and a normal constituent of human plasma. Consequently, it can be reasonably anticipated that the metabolism, excretion, PKs in hepatic impairment, PKs in renal impairment and PK drug-drug interactions of simoctocog alfa is unlikely to differ from endogenous FVIII. There were no PK studies in females, in elderly patients (≥ 65 years of age), or in patients from different racial groups. However, the absence of PK data for simoctocog alfa in these patient groups is not considered to be a critical issue.</w:t>
      </w:r>
    </w:p>
    <w:p w14:paraId="46FD47CE" w14:textId="66116672" w:rsidR="00586F98" w:rsidRDefault="00586F98" w:rsidP="00B9350B">
      <w:pPr>
        <w:pStyle w:val="Heading2"/>
      </w:pPr>
      <w:bookmarkStart w:id="52" w:name="_Toc453765957"/>
      <w:r>
        <w:t>Pharmacodynamics</w:t>
      </w:r>
      <w:bookmarkEnd w:id="52"/>
    </w:p>
    <w:p w14:paraId="7C47A4BA" w14:textId="77777777" w:rsidR="000F04AF" w:rsidRDefault="002E2571" w:rsidP="002E2571">
      <w:r>
        <w:t xml:space="preserve">The pharmacodynamics of simoctocog alfa </w:t>
      </w:r>
      <w:proofErr w:type="gramStart"/>
      <w:r>
        <w:t>appear</w:t>
      </w:r>
      <w:proofErr w:type="gramEnd"/>
      <w:r>
        <w:t xml:space="preserve"> to have been extensively investigated in the preclinical data.</w:t>
      </w:r>
    </w:p>
    <w:p w14:paraId="299AC14A" w14:textId="003E9786" w:rsidR="00586F98" w:rsidRPr="00B9350B" w:rsidRDefault="00C22678" w:rsidP="00B9350B">
      <w:pPr>
        <w:pStyle w:val="Heading2"/>
      </w:pPr>
      <w:bookmarkStart w:id="53" w:name="_Toc453765958"/>
      <w:r w:rsidRPr="00B9350B">
        <w:t>Dosage selection for the pivotal studies</w:t>
      </w:r>
      <w:bookmarkEnd w:id="53"/>
    </w:p>
    <w:p w14:paraId="5C26ED4B" w14:textId="77777777" w:rsidR="000F04AF" w:rsidRDefault="006D35A0" w:rsidP="006D35A0">
      <w:r w:rsidRPr="00D66C87">
        <w:t>The simoctocog alfa dosage used in all five clinical studies for PK assessment was 50 IU FVIII/kg according to the labelled potency. This dose is in accordance with published guidelines for the design and analysis of pharmacokinetic studies of FVIII.</w:t>
      </w:r>
      <w:r w:rsidRPr="00D66C87">
        <w:rPr>
          <w:vertAlign w:val="superscript"/>
        </w:rPr>
        <w:t>4</w:t>
      </w:r>
      <w:r w:rsidRPr="00D66C87">
        <w:t xml:space="preserve"> In each of the clinical studies, assessment of efficacy and safety followed on from the PK assessment.</w:t>
      </w:r>
    </w:p>
    <w:p w14:paraId="74304637" w14:textId="77777777" w:rsidR="000F04AF" w:rsidRDefault="006D35A0" w:rsidP="006D35A0">
      <w:r w:rsidRPr="00D66C87">
        <w:t xml:space="preserve">In the two pivotal studies assessing simoctocog alfa for prophylaxis, the dose in adults was 30-40 IU FVIII/kg every day until 6 months and at least 50 days had been reached (GENA-08), and </w:t>
      </w:r>
      <w:r w:rsidRPr="00D66C87">
        <w:lastRenderedPageBreak/>
        <w:t>the dose in children was 30-40 IU FVIII/kg every other day or 3 times weekly, with two dose escalations of +5 IU/kg each allowed in case of inadequate response defined as ≥ BEs during one month.</w:t>
      </w:r>
    </w:p>
    <w:p w14:paraId="182C4540" w14:textId="5C6A46F0" w:rsidR="006D35A0" w:rsidRPr="00D66C87" w:rsidRDefault="006D35A0" w:rsidP="006D35A0">
      <w:r w:rsidRPr="00D66C87">
        <w:t xml:space="preserve">In the three pivotal studies (GENA-01, GENA-08, GENA-03), the simoctocog alfa dose for treating BEs depended on the severity of bleeding. For minor BEs, the dose was 20–30 IU FVIII/kg every 12–24 hours until BE resolution. For </w:t>
      </w:r>
      <w:proofErr w:type="gramStart"/>
      <w:r w:rsidRPr="00D66C87">
        <w:t>major</w:t>
      </w:r>
      <w:proofErr w:type="gramEnd"/>
      <w:r w:rsidRPr="00D66C87">
        <w:t xml:space="preserve"> BEs the dose was 30–40 IU FVIII/kg, repeated every 12–24 hours until BE resolution. Fo</w:t>
      </w:r>
      <w:r>
        <w:t>r</w:t>
      </w:r>
      <w:r w:rsidRPr="00D66C87">
        <w:t xml:space="preserve"> major to life-threatening BEs the initial dose was 50–60 IU FVIII/kg with subsequent doses of 20–25 IU FVIII/kg every 8–12 hours until BE resolution.</w:t>
      </w:r>
    </w:p>
    <w:p w14:paraId="75696FE1" w14:textId="77777777" w:rsidR="006D35A0" w:rsidRDefault="006D35A0" w:rsidP="006D35A0">
      <w:r w:rsidRPr="00D66C87">
        <w:t>In the three pivotal studies (GENA-01, GENA-08, GENA-03), the simoctocog alfa dose for prophylaxis during surgical procedures depended on whether the procedure was minor or major. For minor procedures (including tooth extraction), the dose was 25–30 IU FVIII/kg within 3 hours prior to surgery to achieve peak target level of ~50–6</w:t>
      </w:r>
      <w:r>
        <w:t xml:space="preserve">0%, repeated every 12–24 hours </w:t>
      </w:r>
      <w:r w:rsidRPr="00D66C87">
        <w:t xml:space="preserve">until healing is complete. </w:t>
      </w:r>
      <w:proofErr w:type="gramStart"/>
      <w:r w:rsidRPr="00D66C87">
        <w:t>Trough level to be maintaine</w:t>
      </w:r>
      <w:r>
        <w:t>d</w:t>
      </w:r>
      <w:r w:rsidRPr="00D66C87">
        <w:t xml:space="preserve"> at ~30%.</w:t>
      </w:r>
      <w:proofErr w:type="gramEnd"/>
      <w:r w:rsidRPr="00D66C87">
        <w:t xml:space="preserve"> For major surgical procedures, the dose was 50 IU FVIII/kg within 3 hours prior to surgery to achieve target peak level of ~100%, repeated if necessary after 6–12 hours initially and for ≥6 days until healing is complete. </w:t>
      </w:r>
      <w:proofErr w:type="gramStart"/>
      <w:r w:rsidRPr="00D66C87">
        <w:t>Trough level to b</w:t>
      </w:r>
      <w:r>
        <w:t>e</w:t>
      </w:r>
      <w:r w:rsidRPr="00D66C87">
        <w:t xml:space="preserve"> maintained at ~50%.</w:t>
      </w:r>
      <w:proofErr w:type="gramEnd"/>
    </w:p>
    <w:p w14:paraId="68F5FD74" w14:textId="77777777" w:rsidR="00C22678" w:rsidRDefault="00C22678" w:rsidP="00C22678">
      <w:pPr>
        <w:pStyle w:val="Heading2"/>
      </w:pPr>
      <w:bookmarkStart w:id="54" w:name="_Toc453765959"/>
      <w:r>
        <w:t>Clinical efficacy</w:t>
      </w:r>
      <w:bookmarkEnd w:id="54"/>
    </w:p>
    <w:p w14:paraId="31DEE9E0" w14:textId="77777777" w:rsidR="000F04AF" w:rsidRDefault="006D35A0" w:rsidP="008A40A4">
      <w:pPr>
        <w:pStyle w:val="Heading3"/>
      </w:pPr>
      <w:bookmarkStart w:id="55" w:name="_Toc266446438"/>
      <w:bookmarkStart w:id="56" w:name="_Toc453765960"/>
      <w:r>
        <w:t>Studies providing clinical efficacy data</w:t>
      </w:r>
      <w:bookmarkEnd w:id="55"/>
      <w:bookmarkEnd w:id="56"/>
    </w:p>
    <w:p w14:paraId="6DC737B4" w14:textId="77777777" w:rsidR="000F04AF" w:rsidRDefault="006D35A0" w:rsidP="006D35A0">
      <w:pPr>
        <w:widowControl w:val="0"/>
        <w:autoSpaceDE w:val="0"/>
        <w:autoSpaceDN w:val="0"/>
        <w:adjustRightInd w:val="0"/>
      </w:pPr>
      <w:r w:rsidRPr="00742305">
        <w:t>The sponsor nominated three, multicentre, multinational studies as providing primary efficacy data (GENA-01, GENA-08 and GENA-03), and two, single-centre studies as providing supportive efficacy data (GENA-09 and its extension GENA-04). The five studies have been fully evaluated and studies GENA-01, GENA-08 and GENA-03 are considered to be the pivotal efficacy and safety studies, while studies GENA-09 and GENA-04 are considered to the supportive efficacy and safety studies. The five studies are outlined below in Table 1</w:t>
      </w:r>
      <w:r w:rsidR="006F09EA">
        <w:t>4</w:t>
      </w:r>
      <w:r w:rsidRPr="00742305">
        <w:t>.</w:t>
      </w:r>
    </w:p>
    <w:p w14:paraId="08C8BFB4" w14:textId="4FBF0247" w:rsidR="006D35A0" w:rsidRPr="00A978BE" w:rsidRDefault="006D35A0" w:rsidP="00FD6653">
      <w:pPr>
        <w:pStyle w:val="Tabletitle"/>
      </w:pPr>
      <w:bookmarkStart w:id="57" w:name="_Toc248202533"/>
      <w:proofErr w:type="gramStart"/>
      <w:r>
        <w:t xml:space="preserve">Table </w:t>
      </w:r>
      <w:r w:rsidR="006F09EA">
        <w:t>14</w:t>
      </w:r>
      <w:r>
        <w:t xml:space="preserve">: </w:t>
      </w:r>
      <w:r w:rsidRPr="00A978BE">
        <w:t>Five studies providing efficacy data.</w:t>
      </w:r>
      <w:bookmarkEnd w:id="57"/>
      <w:proofErr w:type="gramEnd"/>
      <w:r w:rsidRPr="00A978BE">
        <w:t xml:space="preserve"> </w:t>
      </w:r>
    </w:p>
    <w:tbl>
      <w:tblPr>
        <w:tblStyle w:val="TableTGAblue"/>
        <w:tblW w:w="0" w:type="auto"/>
        <w:tblLook w:val="04A0" w:firstRow="1" w:lastRow="0" w:firstColumn="1" w:lastColumn="0" w:noHBand="0" w:noVBand="1"/>
      </w:tblPr>
      <w:tblGrid>
        <w:gridCol w:w="1593"/>
        <w:gridCol w:w="1885"/>
        <w:gridCol w:w="1830"/>
        <w:gridCol w:w="1851"/>
        <w:gridCol w:w="2083"/>
      </w:tblGrid>
      <w:tr w:rsidR="006D35A0" w14:paraId="1939B85C" w14:textId="77777777" w:rsidTr="006D26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1" w:type="dxa"/>
          </w:tcPr>
          <w:p w14:paraId="186F163D" w14:textId="77777777" w:rsidR="006D35A0" w:rsidRPr="00ED557E" w:rsidRDefault="006D35A0" w:rsidP="007A6386">
            <w:r>
              <w:t xml:space="preserve">Study </w:t>
            </w:r>
          </w:p>
        </w:tc>
        <w:tc>
          <w:tcPr>
            <w:tcW w:w="1916" w:type="dxa"/>
          </w:tcPr>
          <w:p w14:paraId="78B4DE53" w14:textId="77777777" w:rsidR="006D35A0" w:rsidRPr="00ED557E" w:rsidRDefault="006D35A0" w:rsidP="007A6386">
            <w:pPr>
              <w:cnfStyle w:val="100000000000" w:firstRow="1" w:lastRow="0" w:firstColumn="0" w:lastColumn="0" w:oddVBand="0" w:evenVBand="0" w:oddHBand="0" w:evenHBand="0" w:firstRowFirstColumn="0" w:firstRowLastColumn="0" w:lastRowFirstColumn="0" w:lastRowLastColumn="0"/>
            </w:pPr>
            <w:r w:rsidRPr="00ED557E">
              <w:t xml:space="preserve">Design </w:t>
            </w:r>
          </w:p>
        </w:tc>
        <w:tc>
          <w:tcPr>
            <w:tcW w:w="1894" w:type="dxa"/>
          </w:tcPr>
          <w:p w14:paraId="4DC210E2" w14:textId="77777777" w:rsidR="006D35A0" w:rsidRPr="00ED557E" w:rsidRDefault="006D35A0" w:rsidP="007A6386">
            <w:pPr>
              <w:cnfStyle w:val="100000000000" w:firstRow="1" w:lastRow="0" w:firstColumn="0" w:lastColumn="0" w:oddVBand="0" w:evenVBand="0" w:oddHBand="0" w:evenHBand="0" w:firstRowFirstColumn="0" w:firstRowLastColumn="0" w:lastRowFirstColumn="0" w:lastRowLastColumn="0"/>
            </w:pPr>
            <w:r w:rsidRPr="00ED557E">
              <w:t>Patients</w:t>
            </w:r>
          </w:p>
        </w:tc>
        <w:tc>
          <w:tcPr>
            <w:tcW w:w="1757" w:type="dxa"/>
          </w:tcPr>
          <w:p w14:paraId="290E9C53" w14:textId="77777777" w:rsidR="006D35A0" w:rsidRPr="00ED557E" w:rsidRDefault="006D35A0" w:rsidP="007A6386">
            <w:pPr>
              <w:cnfStyle w:val="100000000000" w:firstRow="1" w:lastRow="0" w:firstColumn="0" w:lastColumn="0" w:oddVBand="0" w:evenVBand="0" w:oddHBand="0" w:evenHBand="0" w:firstRowFirstColumn="0" w:firstRowLastColumn="0" w:lastRowFirstColumn="0" w:lastRowLastColumn="0"/>
            </w:pPr>
            <w:r>
              <w:t>Primary objectives</w:t>
            </w:r>
          </w:p>
        </w:tc>
        <w:tc>
          <w:tcPr>
            <w:tcW w:w="2364" w:type="dxa"/>
          </w:tcPr>
          <w:p w14:paraId="308FD70C" w14:textId="77777777" w:rsidR="006D35A0" w:rsidRPr="00ED557E" w:rsidRDefault="006D35A0" w:rsidP="007A6386">
            <w:pPr>
              <w:cnfStyle w:val="100000000000" w:firstRow="1" w:lastRow="0" w:firstColumn="0" w:lastColumn="0" w:oddVBand="0" w:evenVBand="0" w:oddHBand="0" w:evenHBand="0" w:firstRowFirstColumn="0" w:firstRowLastColumn="0" w:lastRowFirstColumn="0" w:lastRowLastColumn="0"/>
            </w:pPr>
            <w:r>
              <w:t>Secondary objectives</w:t>
            </w:r>
          </w:p>
        </w:tc>
      </w:tr>
      <w:tr w:rsidR="006D35A0" w14:paraId="77438904" w14:textId="77777777" w:rsidTr="006D2627">
        <w:tc>
          <w:tcPr>
            <w:cnfStyle w:val="001000000000" w:firstRow="0" w:lastRow="0" w:firstColumn="1" w:lastColumn="0" w:oddVBand="0" w:evenVBand="0" w:oddHBand="0" w:evenHBand="0" w:firstRowFirstColumn="0" w:firstRowLastColumn="0" w:lastRowFirstColumn="0" w:lastRowLastColumn="0"/>
            <w:tcW w:w="1311" w:type="dxa"/>
          </w:tcPr>
          <w:p w14:paraId="0F19E1AC" w14:textId="22E7CAF4" w:rsidR="006D35A0" w:rsidRPr="00ED557E" w:rsidRDefault="006D35A0" w:rsidP="007A6386">
            <w:r w:rsidRPr="00ED557E">
              <w:t>GENA-01</w:t>
            </w:r>
            <w:r w:rsidR="00EA445D">
              <w:t xml:space="preserve"> </w:t>
            </w:r>
            <w:r>
              <w:t>Phase II</w:t>
            </w:r>
            <w:r w:rsidR="00EA445D">
              <w:t xml:space="preserve"> </w:t>
            </w:r>
            <w:r>
              <w:t xml:space="preserve">Pivotal </w:t>
            </w:r>
          </w:p>
        </w:tc>
        <w:tc>
          <w:tcPr>
            <w:tcW w:w="1916" w:type="dxa"/>
          </w:tcPr>
          <w:p w14:paraId="35763F09" w14:textId="77777777" w:rsidR="000F04AF" w:rsidRDefault="006D35A0" w:rsidP="007A6386">
            <w:pPr>
              <w:cnfStyle w:val="000000000000" w:firstRow="0" w:lastRow="0" w:firstColumn="0" w:lastColumn="0" w:oddVBand="0" w:evenVBand="0" w:oddHBand="0" w:evenHBand="0" w:firstRowFirstColumn="0" w:firstRowLastColumn="0" w:lastRowFirstColumn="0" w:lastRowLastColumn="0"/>
            </w:pPr>
            <w:r w:rsidRPr="00ED557E">
              <w:t>Phase II, prospective, randomised, active-controlled, open-label, multi-centre.</w:t>
            </w:r>
          </w:p>
          <w:p w14:paraId="063C6E43" w14:textId="0EB0F366" w:rsidR="006D35A0" w:rsidRDefault="006D35A0" w:rsidP="007A6386">
            <w:pPr>
              <w:cnfStyle w:val="000000000000" w:firstRow="0" w:lastRow="0" w:firstColumn="0" w:lastColumn="0" w:oddVBand="0" w:evenVBand="0" w:oddHBand="0" w:evenHBand="0" w:firstRowFirstColumn="0" w:firstRowLastColumn="0" w:lastRowFirstColumn="0" w:lastRowLastColumn="0"/>
            </w:pPr>
            <w:r>
              <w:t>Start: 27/04/2012</w:t>
            </w:r>
          </w:p>
          <w:p w14:paraId="575EC400" w14:textId="3912A723" w:rsidR="006D35A0" w:rsidRPr="00ED557E" w:rsidRDefault="007A6386" w:rsidP="007A6386">
            <w:pPr>
              <w:cnfStyle w:val="000000000000" w:firstRow="0" w:lastRow="0" w:firstColumn="0" w:lastColumn="0" w:oddVBand="0" w:evenVBand="0" w:oddHBand="0" w:evenHBand="0" w:firstRowFirstColumn="0" w:firstRowLastColumn="0" w:lastRowFirstColumn="0" w:lastRowLastColumn="0"/>
            </w:pPr>
            <w:r>
              <w:t>End: 18/09/2012.</w:t>
            </w:r>
          </w:p>
        </w:tc>
        <w:tc>
          <w:tcPr>
            <w:tcW w:w="1894" w:type="dxa"/>
          </w:tcPr>
          <w:p w14:paraId="69920EA9" w14:textId="4BC80C31" w:rsidR="006D35A0" w:rsidRPr="00ED557E" w:rsidRDefault="006D35A0" w:rsidP="007A6386">
            <w:pPr>
              <w:cnfStyle w:val="000000000000" w:firstRow="0" w:lastRow="0" w:firstColumn="0" w:lastColumn="0" w:oddVBand="0" w:evenVBand="0" w:oddHBand="0" w:evenHBand="0" w:firstRowFirstColumn="0" w:firstRowLastColumn="0" w:lastRowFirstColumn="0" w:lastRowLastColumn="0"/>
            </w:pPr>
            <w:r>
              <w:t>22 adult PTPs enrolled: all 22 in ITT and SAF populatio</w:t>
            </w:r>
            <w:r w:rsidR="007A6386">
              <w:t>ns, and 14 in the PP population</w:t>
            </w:r>
          </w:p>
        </w:tc>
        <w:tc>
          <w:tcPr>
            <w:tcW w:w="1757" w:type="dxa"/>
          </w:tcPr>
          <w:p w14:paraId="2349615B" w14:textId="18A5787F" w:rsidR="006D35A0" w:rsidRPr="00ED557E"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 xml:space="preserve">Determine the PKs of simoctocog alfa and compare with PKs of </w:t>
            </w:r>
            <w:r w:rsidR="00502E91">
              <w:t>a full-length rFVIII</w:t>
            </w:r>
            <w:r w:rsidR="00051AEE">
              <w:t xml:space="preserve"> BHK</w:t>
            </w:r>
          </w:p>
        </w:tc>
        <w:tc>
          <w:tcPr>
            <w:tcW w:w="2364" w:type="dxa"/>
          </w:tcPr>
          <w:p w14:paraId="51822937" w14:textId="7D3DEFEF"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Calculate incremental recovery;</w:t>
            </w:r>
          </w:p>
          <w:p w14:paraId="425AAE97" w14:textId="26796133"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Investigate immunogenicity;</w:t>
            </w:r>
          </w:p>
          <w:p w14:paraId="2B6C5D49" w14:textId="455A0EAF" w:rsidR="006D35A0" w:rsidRPr="00ED557E"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clinical efficacy and safety in the treatment of B</w:t>
            </w:r>
            <w:r w:rsidR="007A6386">
              <w:t>Es and in surgical prophylaxis.</w:t>
            </w:r>
          </w:p>
        </w:tc>
      </w:tr>
      <w:tr w:rsidR="006D35A0" w14:paraId="12F65A27" w14:textId="77777777" w:rsidTr="006D2627">
        <w:tc>
          <w:tcPr>
            <w:cnfStyle w:val="001000000000" w:firstRow="0" w:lastRow="0" w:firstColumn="1" w:lastColumn="0" w:oddVBand="0" w:evenVBand="0" w:oddHBand="0" w:evenHBand="0" w:firstRowFirstColumn="0" w:firstRowLastColumn="0" w:lastRowFirstColumn="0" w:lastRowLastColumn="0"/>
            <w:tcW w:w="1311" w:type="dxa"/>
          </w:tcPr>
          <w:p w14:paraId="74EC53F0" w14:textId="77777777" w:rsidR="006D35A0" w:rsidRDefault="006D35A0" w:rsidP="007A6386">
            <w:r>
              <w:t>GENA-08</w:t>
            </w:r>
          </w:p>
          <w:p w14:paraId="295D1733" w14:textId="77777777" w:rsidR="006D35A0" w:rsidRDefault="006D35A0" w:rsidP="007A6386">
            <w:r>
              <w:lastRenderedPageBreak/>
              <w:t>Phase III</w:t>
            </w:r>
          </w:p>
          <w:p w14:paraId="734FC07D" w14:textId="77777777" w:rsidR="006D35A0" w:rsidRPr="00ED557E" w:rsidRDefault="006D35A0" w:rsidP="007A6386">
            <w:r>
              <w:t>Pivotal</w:t>
            </w:r>
          </w:p>
        </w:tc>
        <w:tc>
          <w:tcPr>
            <w:tcW w:w="1916" w:type="dxa"/>
          </w:tcPr>
          <w:p w14:paraId="18091743" w14:textId="77777777" w:rsidR="000F04AF" w:rsidRDefault="006D35A0" w:rsidP="007A6386">
            <w:pPr>
              <w:cnfStyle w:val="000000000000" w:firstRow="0" w:lastRow="0" w:firstColumn="0" w:lastColumn="0" w:oddVBand="0" w:evenVBand="0" w:oddHBand="0" w:evenHBand="0" w:firstRowFirstColumn="0" w:firstRowLastColumn="0" w:lastRowFirstColumn="0" w:lastRowLastColumn="0"/>
            </w:pPr>
            <w:r>
              <w:lastRenderedPageBreak/>
              <w:t xml:space="preserve">Phase III, prospective, </w:t>
            </w:r>
            <w:r>
              <w:lastRenderedPageBreak/>
              <w:t xml:space="preserve">multinational, multicentre, open-label, </w:t>
            </w:r>
            <w:proofErr w:type="gramStart"/>
            <w:r>
              <w:t>single</w:t>
            </w:r>
            <w:proofErr w:type="gramEnd"/>
            <w:r>
              <w:t>-arm.</w:t>
            </w:r>
          </w:p>
          <w:p w14:paraId="52D14A21" w14:textId="2BE8AB87" w:rsidR="006D35A0" w:rsidRDefault="006D35A0" w:rsidP="007A6386">
            <w:pPr>
              <w:cnfStyle w:val="000000000000" w:firstRow="0" w:lastRow="0" w:firstColumn="0" w:lastColumn="0" w:oddVBand="0" w:evenVBand="0" w:oddHBand="0" w:evenHBand="0" w:firstRowFirstColumn="0" w:firstRowLastColumn="0" w:lastRowFirstColumn="0" w:lastRowLastColumn="0"/>
            </w:pPr>
            <w:r>
              <w:t>Start: 22/07/2010.</w:t>
            </w:r>
          </w:p>
          <w:p w14:paraId="4215A6DC" w14:textId="7DF8B174" w:rsidR="006D35A0" w:rsidRPr="00ED557E" w:rsidRDefault="006D35A0" w:rsidP="007A6386">
            <w:pPr>
              <w:cnfStyle w:val="000000000000" w:firstRow="0" w:lastRow="0" w:firstColumn="0" w:lastColumn="0" w:oddVBand="0" w:evenVBand="0" w:oddHBand="0" w:evenHBand="0" w:firstRowFirstColumn="0" w:firstRowLastColumn="0" w:lastRowFirstColumn="0" w:lastRowLastColumn="0"/>
            </w:pPr>
            <w:r>
              <w:t>End:</w:t>
            </w:r>
            <w:r w:rsidR="009736B6">
              <w:t xml:space="preserve"> </w:t>
            </w:r>
            <w:r>
              <w:t>31/01/2012.</w:t>
            </w:r>
          </w:p>
        </w:tc>
        <w:tc>
          <w:tcPr>
            <w:tcW w:w="1894" w:type="dxa"/>
          </w:tcPr>
          <w:p w14:paraId="53AF1BB7"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lastRenderedPageBreak/>
              <w:t xml:space="preserve">32 adult PTPs </w:t>
            </w:r>
            <w:r>
              <w:lastRenderedPageBreak/>
              <w:t xml:space="preserve">enrolled: all 32 in ITT and SAF populations; </w:t>
            </w:r>
          </w:p>
        </w:tc>
        <w:tc>
          <w:tcPr>
            <w:tcW w:w="1757" w:type="dxa"/>
          </w:tcPr>
          <w:p w14:paraId="7FC7147E" w14:textId="59885B70"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Determine the efficacy </w:t>
            </w:r>
            <w:r>
              <w:lastRenderedPageBreak/>
              <w:t xml:space="preserve">of simoctocog alfa during prophylactic treatment, treatment of BEs and in surgical prophylaxis. </w:t>
            </w:r>
          </w:p>
        </w:tc>
        <w:tc>
          <w:tcPr>
            <w:tcW w:w="2364" w:type="dxa"/>
          </w:tcPr>
          <w:p w14:paraId="136A1DE3" w14:textId="79C151CB"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Calculate incremental </w:t>
            </w:r>
            <w:r>
              <w:lastRenderedPageBreak/>
              <w:t>recovery;</w:t>
            </w:r>
          </w:p>
          <w:p w14:paraId="12E82117" w14:textId="68630BF1"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Investigate immunogenicity;</w:t>
            </w:r>
          </w:p>
          <w:p w14:paraId="2CF63940" w14:textId="0E7528B8"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safety.</w:t>
            </w:r>
          </w:p>
          <w:p w14:paraId="340DDD7A" w14:textId="6E4A218E" w:rsidR="006D35A0" w:rsidRDefault="006D35A0" w:rsidP="007A6386">
            <w:pPr>
              <w:cnfStyle w:val="000000000000" w:firstRow="0" w:lastRow="0" w:firstColumn="0" w:lastColumn="0" w:oddVBand="0" w:evenVBand="0" w:oddHBand="0" w:evenHBand="0" w:firstRowFirstColumn="0" w:firstRowLastColumn="0" w:lastRowFirstColumn="0" w:lastRowLastColumn="0"/>
            </w:pPr>
          </w:p>
        </w:tc>
      </w:tr>
      <w:tr w:rsidR="006D35A0" w14:paraId="42C6E96F" w14:textId="77777777" w:rsidTr="006D2627">
        <w:tc>
          <w:tcPr>
            <w:cnfStyle w:val="001000000000" w:firstRow="0" w:lastRow="0" w:firstColumn="1" w:lastColumn="0" w:oddVBand="0" w:evenVBand="0" w:oddHBand="0" w:evenHBand="0" w:firstRowFirstColumn="0" w:firstRowLastColumn="0" w:lastRowFirstColumn="0" w:lastRowLastColumn="0"/>
            <w:tcW w:w="1311" w:type="dxa"/>
          </w:tcPr>
          <w:p w14:paraId="0FED52ED" w14:textId="77777777" w:rsidR="006D35A0" w:rsidRDefault="006D35A0" w:rsidP="007A6386">
            <w:r>
              <w:lastRenderedPageBreak/>
              <w:t>GENA-03</w:t>
            </w:r>
          </w:p>
          <w:p w14:paraId="1E930FE3" w14:textId="77777777" w:rsidR="006D35A0" w:rsidRDefault="006D35A0" w:rsidP="007A6386">
            <w:r>
              <w:t>Phase III</w:t>
            </w:r>
          </w:p>
          <w:p w14:paraId="0AD53D60" w14:textId="77777777" w:rsidR="006D35A0" w:rsidRDefault="006D35A0" w:rsidP="007A6386">
            <w:r>
              <w:t xml:space="preserve">Pivotal </w:t>
            </w:r>
          </w:p>
        </w:tc>
        <w:tc>
          <w:tcPr>
            <w:tcW w:w="1916" w:type="dxa"/>
          </w:tcPr>
          <w:p w14:paraId="31A05169"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Phase III, prospective, multinational, multicentre, open-label, non-controlled.</w:t>
            </w:r>
          </w:p>
          <w:p w14:paraId="6E5FF232"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Start: 27/12/2010.</w:t>
            </w:r>
          </w:p>
          <w:p w14:paraId="71DB6C2F" w14:textId="279BA437" w:rsidR="006D35A0" w:rsidRDefault="007A6386" w:rsidP="007A6386">
            <w:pPr>
              <w:cnfStyle w:val="000000000000" w:firstRow="0" w:lastRow="0" w:firstColumn="0" w:lastColumn="0" w:oddVBand="0" w:evenVBand="0" w:oddHBand="0" w:evenHBand="0" w:firstRowFirstColumn="0" w:firstRowLastColumn="0" w:lastRowFirstColumn="0" w:lastRowLastColumn="0"/>
            </w:pPr>
            <w:r>
              <w:t>End: 06/11/2012.</w:t>
            </w:r>
          </w:p>
        </w:tc>
        <w:tc>
          <w:tcPr>
            <w:tcW w:w="1894" w:type="dxa"/>
          </w:tcPr>
          <w:p w14:paraId="09D24961"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 xml:space="preserve">59 paediatric PTPs enrolled; all 59 patients were analysed for efficacy; patients aged from 2 to 12 years (inclusive). </w:t>
            </w:r>
          </w:p>
        </w:tc>
        <w:tc>
          <w:tcPr>
            <w:tcW w:w="1757" w:type="dxa"/>
          </w:tcPr>
          <w:p w14:paraId="6355BCEB" w14:textId="033269DD"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 xml:space="preserve">Assess clinical efficacy of simoctocog alfa in terms of prevention &amp; treatment of (breakthrough) BEs. </w:t>
            </w:r>
          </w:p>
        </w:tc>
        <w:tc>
          <w:tcPr>
            <w:tcW w:w="2364" w:type="dxa"/>
          </w:tcPr>
          <w:p w14:paraId="6B3D636D" w14:textId="1072FB48"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Determine PKs;</w:t>
            </w:r>
          </w:p>
          <w:p w14:paraId="6256DE2F" w14:textId="4C653BF7"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Determine incremental recovery;</w:t>
            </w:r>
          </w:p>
          <w:p w14:paraId="30F1EF46" w14:textId="0AB26859"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Investigate immunogenicity;</w:t>
            </w:r>
          </w:p>
          <w:p w14:paraId="4C751E5B" w14:textId="741B3D9D"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efficacy in surgical procedures;</w:t>
            </w:r>
          </w:p>
          <w:p w14:paraId="441A5F4D" w14:textId="16C85194" w:rsidR="006D35A0" w:rsidRDefault="007A6386" w:rsidP="007A6386">
            <w:pPr>
              <w:pStyle w:val="ListBullet"/>
              <w:cnfStyle w:val="000000000000" w:firstRow="0" w:lastRow="0" w:firstColumn="0" w:lastColumn="0" w:oddVBand="0" w:evenVBand="0" w:oddHBand="0" w:evenHBand="0" w:firstRowFirstColumn="0" w:firstRowLastColumn="0" w:lastRowFirstColumn="0" w:lastRowLastColumn="0"/>
            </w:pPr>
            <w:r>
              <w:t>Assess safety by AE monitoring.</w:t>
            </w:r>
          </w:p>
        </w:tc>
      </w:tr>
      <w:tr w:rsidR="006D35A0" w14:paraId="330E2545" w14:textId="77777777" w:rsidTr="006D2627">
        <w:tc>
          <w:tcPr>
            <w:cnfStyle w:val="001000000000" w:firstRow="0" w:lastRow="0" w:firstColumn="1" w:lastColumn="0" w:oddVBand="0" w:evenVBand="0" w:oddHBand="0" w:evenHBand="0" w:firstRowFirstColumn="0" w:firstRowLastColumn="0" w:lastRowFirstColumn="0" w:lastRowLastColumn="0"/>
            <w:tcW w:w="1311" w:type="dxa"/>
          </w:tcPr>
          <w:p w14:paraId="63F626B5" w14:textId="77777777" w:rsidR="006D35A0" w:rsidRDefault="006D35A0" w:rsidP="007A6386">
            <w:r>
              <w:t>GENA-09</w:t>
            </w:r>
          </w:p>
          <w:p w14:paraId="7537D05B" w14:textId="77777777" w:rsidR="006D35A0" w:rsidRDefault="006D35A0" w:rsidP="007A6386">
            <w:r>
              <w:t>Phase II</w:t>
            </w:r>
          </w:p>
          <w:p w14:paraId="794134C2" w14:textId="77777777" w:rsidR="006D35A0" w:rsidRDefault="006D35A0" w:rsidP="007A6386">
            <w:r>
              <w:t>Supportive</w:t>
            </w:r>
          </w:p>
        </w:tc>
        <w:tc>
          <w:tcPr>
            <w:tcW w:w="1916" w:type="dxa"/>
          </w:tcPr>
          <w:p w14:paraId="5FDA7EFD" w14:textId="77777777" w:rsidR="000F04AF" w:rsidRDefault="006D35A0" w:rsidP="007A6386">
            <w:pPr>
              <w:cnfStyle w:val="000000000000" w:firstRow="0" w:lastRow="0" w:firstColumn="0" w:lastColumn="0" w:oddVBand="0" w:evenVBand="0" w:oddHBand="0" w:evenHBand="0" w:firstRowFirstColumn="0" w:firstRowLastColumn="0" w:lastRowFirstColumn="0" w:lastRowLastColumn="0"/>
            </w:pPr>
            <w:r>
              <w:t>Phase II, prospective, single-centre, open-label, randomised cross-over PK part and uncontrolled efficacy part.</w:t>
            </w:r>
          </w:p>
          <w:p w14:paraId="585E693D" w14:textId="39968E36" w:rsidR="006D35A0" w:rsidRDefault="006D35A0" w:rsidP="007A6386">
            <w:pPr>
              <w:cnfStyle w:val="000000000000" w:firstRow="0" w:lastRow="0" w:firstColumn="0" w:lastColumn="0" w:oddVBand="0" w:evenVBand="0" w:oddHBand="0" w:evenHBand="0" w:firstRowFirstColumn="0" w:firstRowLastColumn="0" w:lastRowFirstColumn="0" w:lastRowLastColumn="0"/>
            </w:pPr>
            <w:r>
              <w:t>Start: 16/03/2009.</w:t>
            </w:r>
          </w:p>
          <w:p w14:paraId="38F821BA" w14:textId="7BC88B2E" w:rsidR="006D35A0" w:rsidRDefault="007A6386" w:rsidP="007A6386">
            <w:pPr>
              <w:cnfStyle w:val="000000000000" w:firstRow="0" w:lastRow="0" w:firstColumn="0" w:lastColumn="0" w:oddVBand="0" w:evenVBand="0" w:oddHBand="0" w:evenHBand="0" w:firstRowFirstColumn="0" w:firstRowLastColumn="0" w:lastRowFirstColumn="0" w:lastRowLastColumn="0"/>
            </w:pPr>
            <w:r>
              <w:t>End: 26/05/2010.</w:t>
            </w:r>
          </w:p>
        </w:tc>
        <w:tc>
          <w:tcPr>
            <w:tcW w:w="1894" w:type="dxa"/>
          </w:tcPr>
          <w:p w14:paraId="2232AADF"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 xml:space="preserve">22 adult PTPs enrolled: all 22 were included in the analyses (safety, ITT, PROPH populations). </w:t>
            </w:r>
          </w:p>
        </w:tc>
        <w:tc>
          <w:tcPr>
            <w:tcW w:w="1757" w:type="dxa"/>
          </w:tcPr>
          <w:p w14:paraId="0CD1FFBC" w14:textId="39F9B0F1"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 xml:space="preserve">Determine the PKs of simoctocog alfa and compare with previously used </w:t>
            </w:r>
            <w:r w:rsidR="00A66A24">
              <w:t>a full-length rFVIII</w:t>
            </w:r>
            <w:r w:rsidR="00051AEE">
              <w:t xml:space="preserve"> BHK</w:t>
            </w:r>
            <w:r>
              <w:t>.</w:t>
            </w:r>
          </w:p>
        </w:tc>
        <w:tc>
          <w:tcPr>
            <w:tcW w:w="2364" w:type="dxa"/>
          </w:tcPr>
          <w:p w14:paraId="6F4C9727" w14:textId="56E26CBE"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Calculate incremental recovery.</w:t>
            </w:r>
          </w:p>
          <w:p w14:paraId="684F946C" w14:textId="16A740F5"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Investigate immunogenicity.</w:t>
            </w:r>
          </w:p>
          <w:p w14:paraId="4FFDEABF" w14:textId="1069F792"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clinical efficacy and safety during prophylactic treatment.</w:t>
            </w:r>
          </w:p>
          <w:p w14:paraId="1AA08B18" w14:textId="051084DF"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clinical efficacy and safety for treatment of breakthrough BEs.</w:t>
            </w:r>
          </w:p>
          <w:p w14:paraId="799A647E" w14:textId="56D1B314"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 xml:space="preserve">Assess clinical </w:t>
            </w:r>
            <w:r>
              <w:lastRenderedPageBreak/>
              <w:t xml:space="preserve">efficacy and </w:t>
            </w:r>
            <w:r w:rsidR="007A6386">
              <w:t>safety in surgical prophylaxis.</w:t>
            </w:r>
          </w:p>
        </w:tc>
      </w:tr>
      <w:tr w:rsidR="006D35A0" w14:paraId="02D4ECD5" w14:textId="77777777" w:rsidTr="006D2627">
        <w:tc>
          <w:tcPr>
            <w:cnfStyle w:val="001000000000" w:firstRow="0" w:lastRow="0" w:firstColumn="1" w:lastColumn="0" w:oddVBand="0" w:evenVBand="0" w:oddHBand="0" w:evenHBand="0" w:firstRowFirstColumn="0" w:firstRowLastColumn="0" w:lastRowFirstColumn="0" w:lastRowLastColumn="0"/>
            <w:tcW w:w="1311" w:type="dxa"/>
          </w:tcPr>
          <w:p w14:paraId="40B88655" w14:textId="77777777" w:rsidR="006D35A0" w:rsidRDefault="006D35A0" w:rsidP="007A6386">
            <w:r>
              <w:lastRenderedPageBreak/>
              <w:t>GENA-04</w:t>
            </w:r>
          </w:p>
          <w:p w14:paraId="0206428D" w14:textId="77777777" w:rsidR="006D35A0" w:rsidRDefault="006D35A0" w:rsidP="007A6386">
            <w:r>
              <w:t>Phase IIIb</w:t>
            </w:r>
          </w:p>
          <w:p w14:paraId="4533BC44" w14:textId="77777777" w:rsidR="006D35A0" w:rsidRDefault="006D35A0" w:rsidP="007A6386">
            <w:r>
              <w:t xml:space="preserve">Supportive </w:t>
            </w:r>
          </w:p>
        </w:tc>
        <w:tc>
          <w:tcPr>
            <w:tcW w:w="1916" w:type="dxa"/>
          </w:tcPr>
          <w:p w14:paraId="6CCA5A83"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Phase IIIb extension study to GENA-09 to investigate long-term safety and efficacy.</w:t>
            </w:r>
          </w:p>
          <w:p w14:paraId="29FF5451" w14:textId="77777777" w:rsidR="006D35A0" w:rsidRDefault="006D35A0" w:rsidP="007A6386">
            <w:pPr>
              <w:cnfStyle w:val="000000000000" w:firstRow="0" w:lastRow="0" w:firstColumn="0" w:lastColumn="0" w:oddVBand="0" w:evenVBand="0" w:oddHBand="0" w:evenHBand="0" w:firstRowFirstColumn="0" w:firstRowLastColumn="0" w:lastRowFirstColumn="0" w:lastRowLastColumn="0"/>
            </w:pPr>
            <w:r>
              <w:t>Start: 21/11/2009.</w:t>
            </w:r>
          </w:p>
          <w:p w14:paraId="435283AA" w14:textId="6BBE20D7" w:rsidR="006D35A0" w:rsidRDefault="007A6386" w:rsidP="007A6386">
            <w:pPr>
              <w:cnfStyle w:val="000000000000" w:firstRow="0" w:lastRow="0" w:firstColumn="0" w:lastColumn="0" w:oddVBand="0" w:evenVBand="0" w:oddHBand="0" w:evenHBand="0" w:firstRowFirstColumn="0" w:firstRowLastColumn="0" w:lastRowFirstColumn="0" w:lastRowLastColumn="0"/>
            </w:pPr>
            <w:r>
              <w:t>End: 28/07/2011.</w:t>
            </w:r>
          </w:p>
        </w:tc>
        <w:tc>
          <w:tcPr>
            <w:tcW w:w="1894" w:type="dxa"/>
          </w:tcPr>
          <w:p w14:paraId="4F91DB3C" w14:textId="30467B3D" w:rsidR="006D35A0" w:rsidRDefault="006D35A0" w:rsidP="007A6386">
            <w:pPr>
              <w:cnfStyle w:val="000000000000" w:firstRow="0" w:lastRow="0" w:firstColumn="0" w:lastColumn="0" w:oddVBand="0" w:evenVBand="0" w:oddHBand="0" w:evenHBand="0" w:firstRowFirstColumn="0" w:firstRowLastColumn="0" w:lastRowFirstColumn="0" w:lastRowLastColumn="0"/>
            </w:pPr>
            <w:r>
              <w:t>18 adult patients who completed GENA-09; all 18 patients included in the ITT efficacy and the safety populatio</w:t>
            </w:r>
            <w:r w:rsidR="007A6386">
              <w:t>n, and 16 in the PP population.</w:t>
            </w:r>
          </w:p>
        </w:tc>
        <w:tc>
          <w:tcPr>
            <w:tcW w:w="1757" w:type="dxa"/>
          </w:tcPr>
          <w:p w14:paraId="025DE786" w14:textId="533BB0EB" w:rsidR="000F04AF"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Determine long-term immunogenic potential of simoctocog alfa.</w:t>
            </w:r>
          </w:p>
          <w:p w14:paraId="405CE86B" w14:textId="01175238"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Assess long-term tolerability of simoctocog alfa.</w:t>
            </w:r>
          </w:p>
        </w:tc>
        <w:tc>
          <w:tcPr>
            <w:tcW w:w="2364" w:type="dxa"/>
          </w:tcPr>
          <w:p w14:paraId="474D1F05" w14:textId="5C14614D"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Determine long-term efficacy of simoctocog alfa during prophylactic treatment, for treatment of breakthrough BEs, and for prophylaxis during surgical procedures.</w:t>
            </w:r>
          </w:p>
          <w:p w14:paraId="74ABEDF6" w14:textId="49DE0BA5" w:rsidR="006D35A0" w:rsidRDefault="006D35A0" w:rsidP="007A6386">
            <w:pPr>
              <w:pStyle w:val="ListBullet"/>
              <w:cnfStyle w:val="000000000000" w:firstRow="0" w:lastRow="0" w:firstColumn="0" w:lastColumn="0" w:oddVBand="0" w:evenVBand="0" w:oddHBand="0" w:evenHBand="0" w:firstRowFirstColumn="0" w:firstRowLastColumn="0" w:lastRowFirstColumn="0" w:lastRowLastColumn="0"/>
            </w:pPr>
            <w:r>
              <w:t>Calculate long-term</w:t>
            </w:r>
            <w:r w:rsidR="007A6386">
              <w:t xml:space="preserve"> incremental recovery of FVIII.</w:t>
            </w:r>
          </w:p>
        </w:tc>
      </w:tr>
    </w:tbl>
    <w:p w14:paraId="5DD98138" w14:textId="77777777" w:rsidR="000F04AF" w:rsidRDefault="006D35A0" w:rsidP="008A40A4">
      <w:pPr>
        <w:pStyle w:val="Heading3"/>
      </w:pPr>
      <w:bookmarkStart w:id="58" w:name="_Toc266446439"/>
      <w:bookmarkStart w:id="59" w:name="_Toc453765961"/>
      <w:r>
        <w:t>Pivotal efficacy studies</w:t>
      </w:r>
      <w:bookmarkEnd w:id="58"/>
      <w:bookmarkEnd w:id="59"/>
    </w:p>
    <w:p w14:paraId="1DE2B627" w14:textId="77777777" w:rsidR="000F04AF" w:rsidRDefault="006D35A0" w:rsidP="008A40A4">
      <w:pPr>
        <w:pStyle w:val="Heading4"/>
      </w:pPr>
      <w:bookmarkStart w:id="60" w:name="_Toc266446440"/>
      <w:r>
        <w:t>GENA-01 (Phase II study) - PTPs adolescent and adults (12-65 years)</w:t>
      </w:r>
      <w:bookmarkEnd w:id="60"/>
    </w:p>
    <w:p w14:paraId="532DAD40" w14:textId="77777777" w:rsidR="000F04AF" w:rsidRDefault="006D35A0" w:rsidP="008A40A4">
      <w:pPr>
        <w:pStyle w:val="Heading5"/>
      </w:pPr>
      <w:bookmarkStart w:id="61" w:name="_Toc266446441"/>
      <w:r>
        <w:t>Study design, objectives, locations and dates</w:t>
      </w:r>
      <w:bookmarkEnd w:id="61"/>
    </w:p>
    <w:p w14:paraId="62B29918" w14:textId="77777777" w:rsidR="000F04AF" w:rsidRDefault="006D35A0" w:rsidP="006D35A0">
      <w:pPr>
        <w:rPr>
          <w:rFonts w:eastAsia="Times New Roman"/>
          <w:lang w:eastAsia="en-AU"/>
        </w:rPr>
      </w:pPr>
      <w:r w:rsidRPr="00DF1BC5">
        <w:rPr>
          <w:b/>
        </w:rPr>
        <w:t>GENA-01 was designed</w:t>
      </w:r>
      <w:r w:rsidRPr="00DF1BC5">
        <w:t xml:space="preserve"> as a prospective, randomised, actively-controlled, open</w:t>
      </w:r>
      <w:r>
        <w:t xml:space="preserve">-label, cross-over, multicentre, </w:t>
      </w:r>
      <w:r w:rsidRPr="00DF1BC5">
        <w:t>Phase II study in previously treated patients (PTPs) with severe haemophilia A (FVIII:C ≤ 1%). The study was undertaken in Bulgaria (1 site</w:t>
      </w:r>
      <w:r w:rsidRPr="008638D9">
        <w:t>), Germany (</w:t>
      </w:r>
      <w:r w:rsidR="00DF2B34">
        <w:t>2</w:t>
      </w:r>
      <w:r w:rsidR="00DF2B34" w:rsidRPr="008638D9">
        <w:t xml:space="preserve"> </w:t>
      </w:r>
      <w:r w:rsidRPr="008638D9">
        <w:t>site) and the USA (</w:t>
      </w:r>
      <w:r w:rsidR="00A2235E">
        <w:t>6</w:t>
      </w:r>
      <w:r w:rsidR="00A2235E" w:rsidRPr="008638D9">
        <w:t xml:space="preserve"> </w:t>
      </w:r>
      <w:r w:rsidRPr="008638D9">
        <w:t>sites),</w:t>
      </w:r>
      <w:r w:rsidRPr="00DF1BC5">
        <w:t xml:space="preserve"> between 27 May 2010 and 18 September 2012. The CSR was dated 15 February 2013. </w:t>
      </w:r>
      <w:r>
        <w:t xml:space="preserve">The principal/co-ordinating investigator </w:t>
      </w:r>
      <w:r w:rsidRPr="00DF1BC5">
        <w:t xml:space="preserve">was located </w:t>
      </w:r>
      <w:r>
        <w:t xml:space="preserve">at </w:t>
      </w:r>
      <w:r w:rsidRPr="00DF1BC5">
        <w:t xml:space="preserve">the Hemophilia and Thrombosis Center, University of Colorado Denver, USA. </w:t>
      </w:r>
      <w:r w:rsidRPr="00DF1BC5">
        <w:rPr>
          <w:rFonts w:eastAsia="Times New Roman"/>
          <w:lang w:eastAsia="en-AU"/>
        </w:rPr>
        <w:t>The study was conducted in</w:t>
      </w:r>
      <w:r w:rsidRPr="00DF1BC5">
        <w:t xml:space="preserve"> </w:t>
      </w:r>
      <w:r w:rsidRPr="00DF1BC5">
        <w:rPr>
          <w:rFonts w:eastAsia="Times New Roman"/>
          <w:lang w:eastAsia="en-AU"/>
        </w:rPr>
        <w:t>accordance with the ethical principles of the</w:t>
      </w:r>
      <w:r w:rsidRPr="00DF1BC5">
        <w:t xml:space="preserve"> </w:t>
      </w:r>
      <w:r w:rsidRPr="00DF1BC5">
        <w:rPr>
          <w:rFonts w:eastAsia="Times New Roman"/>
          <w:lang w:eastAsia="en-AU"/>
        </w:rPr>
        <w:t>Declaration of Helsinki, and ICH-GCP (Note for</w:t>
      </w:r>
      <w:r w:rsidRPr="00DF1BC5">
        <w:t xml:space="preserve"> </w:t>
      </w:r>
      <w:r w:rsidRPr="00DF1BC5">
        <w:rPr>
          <w:rFonts w:eastAsia="Times New Roman"/>
          <w:lang w:eastAsia="en-AU"/>
        </w:rPr>
        <w:t>Guidance CPMP/ICH/135/95), and national</w:t>
      </w:r>
      <w:r w:rsidRPr="00DF1BC5">
        <w:t xml:space="preserve"> </w:t>
      </w:r>
      <w:r w:rsidRPr="00DF1BC5">
        <w:rPr>
          <w:rFonts w:eastAsia="Times New Roman"/>
          <w:lang w:eastAsia="en-AU"/>
        </w:rPr>
        <w:t>regulatory requirements. The study was sponsored by Octapharma AG, Switzerland.</w:t>
      </w:r>
    </w:p>
    <w:p w14:paraId="62A0FA53" w14:textId="77777777" w:rsidR="000F04AF" w:rsidRDefault="006D35A0" w:rsidP="006D35A0">
      <w:pPr>
        <w:widowControl w:val="0"/>
        <w:autoSpaceDE w:val="0"/>
        <w:autoSpaceDN w:val="0"/>
        <w:adjustRightInd w:val="0"/>
      </w:pPr>
      <w:r w:rsidRPr="009A7493">
        <w:t xml:space="preserve">The </w:t>
      </w:r>
      <w:r w:rsidRPr="00DF1BC5">
        <w:rPr>
          <w:b/>
        </w:rPr>
        <w:t>primary objective</w:t>
      </w:r>
      <w:r w:rsidRPr="009A7493">
        <w:t xml:space="preserve"> of </w:t>
      </w:r>
      <w:r>
        <w:t xml:space="preserve">the </w:t>
      </w:r>
      <w:r w:rsidRPr="009A7493">
        <w:t>study was to determine the pharmacokinetics (PK</w:t>
      </w:r>
      <w:r>
        <w:t>s</w:t>
      </w:r>
      <w:r w:rsidRPr="009A7493">
        <w:t xml:space="preserve">) of </w:t>
      </w:r>
      <w:r>
        <w:t xml:space="preserve">simoctocog alfa </w:t>
      </w:r>
      <w:r w:rsidRPr="009A7493">
        <w:t xml:space="preserve">based </w:t>
      </w:r>
      <w:r>
        <w:t>on F</w:t>
      </w:r>
      <w:r w:rsidRPr="009A7493">
        <w:t>VI</w:t>
      </w:r>
      <w:r>
        <w:t>II coagulant activity (FVIII</w:t>
      </w:r>
      <w:proofErr w:type="gramStart"/>
      <w:r>
        <w:t>:C</w:t>
      </w:r>
      <w:proofErr w:type="gramEnd"/>
      <w:r>
        <w:t xml:space="preserve">) </w:t>
      </w:r>
      <w:r w:rsidRPr="009A7493">
        <w:t xml:space="preserve">and </w:t>
      </w:r>
      <w:r>
        <w:t xml:space="preserve">to compare them </w:t>
      </w:r>
      <w:r w:rsidRPr="009A7493">
        <w:t xml:space="preserve">with the </w:t>
      </w:r>
      <w:r>
        <w:t xml:space="preserve">PKs of </w:t>
      </w:r>
      <w:r w:rsidR="00A66A24">
        <w:t>a full-length</w:t>
      </w:r>
      <w:r w:rsidRPr="009A7493">
        <w:t xml:space="preserve"> </w:t>
      </w:r>
      <w:r w:rsidR="00A66A24">
        <w:t>r</w:t>
      </w:r>
      <w:r w:rsidRPr="009A7493">
        <w:t xml:space="preserve">FVIII </w:t>
      </w:r>
      <w:r w:rsidR="00051AEE">
        <w:t xml:space="preserve">BHK </w:t>
      </w:r>
      <w:r w:rsidRPr="009A7493">
        <w:t xml:space="preserve">concentrate in </w:t>
      </w:r>
      <w:r>
        <w:t>PTPs</w:t>
      </w:r>
      <w:r w:rsidRPr="009A7493">
        <w:t xml:space="preserve"> </w:t>
      </w:r>
      <w:r>
        <w:t>with</w:t>
      </w:r>
      <w:r w:rsidRPr="009A7493">
        <w:t xml:space="preserve"> severe haemophilia A.</w:t>
      </w:r>
    </w:p>
    <w:p w14:paraId="05C992F2" w14:textId="77777777" w:rsidR="000F04AF" w:rsidRDefault="006D35A0" w:rsidP="006D35A0">
      <w:pPr>
        <w:widowControl w:val="0"/>
        <w:autoSpaceDE w:val="0"/>
        <w:autoSpaceDN w:val="0"/>
        <w:adjustRightInd w:val="0"/>
      </w:pPr>
      <w:r>
        <w:t xml:space="preserve">The </w:t>
      </w:r>
      <w:r w:rsidRPr="00DF1BC5">
        <w:rPr>
          <w:b/>
        </w:rPr>
        <w:t>secondary objectives</w:t>
      </w:r>
      <w:r>
        <w:t xml:space="preserve"> of the study were: to calculate </w:t>
      </w:r>
      <w:r w:rsidRPr="009A7493">
        <w:t xml:space="preserve">the incremental recovery of FVIII:C for </w:t>
      </w:r>
      <w:r>
        <w:t>simoctocog alfa; to investigate the immunogenic potential of simoctocog alfa; to asses</w:t>
      </w:r>
      <w:r w:rsidR="0048233D">
        <w:t>s</w:t>
      </w:r>
      <w:r>
        <w:t xml:space="preserve"> </w:t>
      </w:r>
      <w:r w:rsidRPr="009A7493">
        <w:t xml:space="preserve">efficacy and safety of </w:t>
      </w:r>
      <w:r>
        <w:t xml:space="preserve">simoctocog alfa </w:t>
      </w:r>
      <w:r w:rsidRPr="009A7493">
        <w:t>for the treat</w:t>
      </w:r>
      <w:r>
        <w:t>ment of bleeding episodes (BEs); and to assess clinical efficacy and safety of simoctocog alfa in surgical prophylaxis</w:t>
      </w:r>
    </w:p>
    <w:p w14:paraId="0AFEE69B" w14:textId="77777777" w:rsidR="000F04AF" w:rsidRDefault="006D35A0" w:rsidP="006D35A0">
      <w:pPr>
        <w:widowControl w:val="0"/>
        <w:autoSpaceDE w:val="0"/>
        <w:autoSpaceDN w:val="0"/>
        <w:adjustRightInd w:val="0"/>
      </w:pPr>
      <w:r w:rsidRPr="00283132">
        <w:rPr>
          <w:b/>
        </w:rPr>
        <w:t xml:space="preserve">The study included two parts and enrolled 22 PTPs. </w:t>
      </w:r>
      <w:r w:rsidRPr="00283132">
        <w:t xml:space="preserve">In Part I (PK phase), the PK properties of </w:t>
      </w:r>
      <w:r>
        <w:t xml:space="preserve">simoctocog alfa </w:t>
      </w:r>
      <w:r w:rsidRPr="00283132">
        <w:t xml:space="preserve">and the </w:t>
      </w:r>
      <w:r w:rsidR="00A66A24">
        <w:t>full-length r</w:t>
      </w:r>
      <w:r w:rsidRPr="00283132">
        <w:t>FVIII concentrate were studied. In Part II</w:t>
      </w:r>
      <w:r>
        <w:t xml:space="preserve"> (efficacy phase)</w:t>
      </w:r>
      <w:r w:rsidRPr="00283132">
        <w:t xml:space="preserve">, </w:t>
      </w:r>
      <w:r w:rsidRPr="00283132">
        <w:lastRenderedPageBreak/>
        <w:t xml:space="preserve">patients who completed Part I were followed up for at least 6 months or until 50 exposure days (EDs) were reached, whichever came last. </w:t>
      </w:r>
      <w:r w:rsidRPr="00283132">
        <w:rPr>
          <w:rFonts w:eastAsia="Times New Roman"/>
          <w:lang w:eastAsia="en-AU"/>
        </w:rPr>
        <w:t xml:space="preserve">Because there were 2 patients who had only infrequent bleeding, the protocol was amended to stipulate that the study would end by the end of September 2012 even if these </w:t>
      </w:r>
      <w:r>
        <w:rPr>
          <w:rFonts w:eastAsia="Times New Roman"/>
          <w:lang w:eastAsia="en-AU"/>
        </w:rPr>
        <w:t xml:space="preserve">two </w:t>
      </w:r>
      <w:r w:rsidRPr="00283132">
        <w:rPr>
          <w:rFonts w:eastAsia="Times New Roman"/>
          <w:lang w:eastAsia="en-AU"/>
        </w:rPr>
        <w:t xml:space="preserve">patients had not reached 50 EDs. </w:t>
      </w:r>
      <w:r w:rsidRPr="00283132">
        <w:t xml:space="preserve">During Part II, the effects of on-demand treatment with </w:t>
      </w:r>
      <w:r>
        <w:t xml:space="preserve">simoctocog alfa </w:t>
      </w:r>
      <w:r w:rsidRPr="00283132">
        <w:t xml:space="preserve">on bleeding episodes </w:t>
      </w:r>
      <w:r>
        <w:t xml:space="preserve">(BEs) </w:t>
      </w:r>
      <w:r w:rsidRPr="00283132">
        <w:t xml:space="preserve">was documented, and the PKs of </w:t>
      </w:r>
      <w:r>
        <w:t xml:space="preserve">simoctocog alfa </w:t>
      </w:r>
      <w:r w:rsidRPr="00283132">
        <w:t xml:space="preserve">were assessed at 6 months in those subjects with </w:t>
      </w:r>
      <w:r>
        <w:t xml:space="preserve">Part I </w:t>
      </w:r>
      <w:r w:rsidRPr="00283132">
        <w:t>PK data</w:t>
      </w:r>
      <w:r>
        <w:t>.</w:t>
      </w:r>
      <w:r w:rsidRPr="00283132">
        <w:t xml:space="preserve"> In subjects who underwent surgical </w:t>
      </w:r>
      <w:r>
        <w:t>procedures</w:t>
      </w:r>
      <w:r w:rsidRPr="00283132">
        <w:t>, all relevant treatm</w:t>
      </w:r>
      <w:r>
        <w:t>ent details were to be documented</w:t>
      </w:r>
      <w:r w:rsidRPr="00283132">
        <w:t>. Safety and immunogenicity were monitored throughout the study.</w:t>
      </w:r>
    </w:p>
    <w:p w14:paraId="0B4C3DBB" w14:textId="211703F1" w:rsidR="006D35A0" w:rsidRPr="00283132" w:rsidRDefault="006D35A0" w:rsidP="006D35A0">
      <w:pPr>
        <w:widowControl w:val="0"/>
        <w:autoSpaceDE w:val="0"/>
        <w:autoSpaceDN w:val="0"/>
        <w:adjustRightInd w:val="0"/>
      </w:pPr>
      <w:r w:rsidRPr="00283132">
        <w:t>During the screening visit, inclusion and exclusion criteria were checked, informed consent</w:t>
      </w:r>
      <w:r>
        <w:t xml:space="preserve"> </w:t>
      </w:r>
      <w:r w:rsidRPr="00283132">
        <w:t>was obtained, and demographic data and patient baseline characteristics, as well as results of</w:t>
      </w:r>
      <w:r>
        <w:t xml:space="preserve"> a general physical examination, </w:t>
      </w:r>
      <w:r w:rsidRPr="00283132">
        <w:t xml:space="preserve">including the assessment of the Haemophilia Joint Health Score (HJHS) according to </w:t>
      </w:r>
      <w:r w:rsidRPr="00671EF3">
        <w:rPr>
          <w:i/>
        </w:rPr>
        <w:t>Hilliard et al 2006</w:t>
      </w:r>
      <w:r w:rsidRPr="00671EF3">
        <w:rPr>
          <w:vertAlign w:val="superscript"/>
        </w:rPr>
        <w:t>11</w:t>
      </w:r>
      <w:r>
        <w:t xml:space="preserve"> </w:t>
      </w:r>
      <w:r w:rsidRPr="00283132">
        <w:t>were recorded</w:t>
      </w:r>
      <w:r>
        <w:t xml:space="preserve"> </w:t>
      </w:r>
      <w:r w:rsidRPr="007947D8">
        <w:rPr>
          <w:color w:val="000000"/>
        </w:rPr>
        <w:t>(range 0 [best] to 148 [worst])</w:t>
      </w:r>
      <w:r w:rsidRPr="00283132">
        <w:t xml:space="preserve">. </w:t>
      </w:r>
      <w:r>
        <w:t xml:space="preserve">In addition, </w:t>
      </w:r>
      <w:r w:rsidRPr="00283132">
        <w:t>medical history, vital signs, height and body weight (BW) were documented.</w:t>
      </w:r>
      <w:r>
        <w:t xml:space="preserve"> P</w:t>
      </w:r>
      <w:r w:rsidRPr="007D7929">
        <w:t xml:space="preserve">atients were </w:t>
      </w:r>
      <w:r>
        <w:t xml:space="preserve">also </w:t>
      </w:r>
      <w:r w:rsidRPr="007D7929">
        <w:t>instructed on how to document treatmen</w:t>
      </w:r>
      <w:r>
        <w:t xml:space="preserve">t details and record haemostatic efficacy, </w:t>
      </w:r>
      <w:r w:rsidRPr="007D7929">
        <w:t>adverse events (AEs) and concomitant medication in the patient diary provided.</w:t>
      </w:r>
      <w:r>
        <w:t xml:space="preserve"> </w:t>
      </w:r>
      <w:r w:rsidRPr="00283132">
        <w:t>FVIII:C (by CHR and OS assay), FVIII inhibitor level and anti-rh</w:t>
      </w:r>
      <w:r>
        <w:t>FVIII antibodies were measured at screening, and b</w:t>
      </w:r>
      <w:r w:rsidRPr="00283132">
        <w:t xml:space="preserve">lood samples for FVIII inhibitor and anti-rhFVIII antibody measurements were to be taken not less than 72 hours after the last FVIII administration. Safety laboratory tests (haematology, chemistry, electrolytes and urinalysis) were analysed </w:t>
      </w:r>
      <w:r>
        <w:t xml:space="preserve">at screening </w:t>
      </w:r>
      <w:r w:rsidRPr="00283132">
        <w:t xml:space="preserve">and CD4+T cells measured. </w:t>
      </w:r>
      <w:r>
        <w:t xml:space="preserve">Verification was also required establishing </w:t>
      </w:r>
      <w:r w:rsidRPr="00283132">
        <w:t xml:space="preserve">that patients were </w:t>
      </w:r>
      <w:r>
        <w:t xml:space="preserve">HIV </w:t>
      </w:r>
      <w:r w:rsidRPr="00283132">
        <w:t>negati</w:t>
      </w:r>
      <w:r w:rsidRPr="00283132">
        <w:rPr>
          <w:rFonts w:cs="`\˘øˆ÷"/>
        </w:rPr>
        <w:t>ve or, if positive, had a viral load of &lt;200 particles/μL or &lt;400,000</w:t>
      </w:r>
      <w:r w:rsidRPr="00283132">
        <w:t xml:space="preserve"> copies/mL.</w:t>
      </w:r>
    </w:p>
    <w:p w14:paraId="3A450973" w14:textId="77777777" w:rsidR="000F04AF" w:rsidRDefault="006D35A0" w:rsidP="006D35A0">
      <w:pPr>
        <w:widowControl w:val="0"/>
        <w:autoSpaceDE w:val="0"/>
        <w:autoSpaceDN w:val="0"/>
        <w:adjustRightInd w:val="0"/>
      </w:pPr>
      <w:r w:rsidRPr="00283132">
        <w:t xml:space="preserve">The </w:t>
      </w:r>
      <w:r>
        <w:t xml:space="preserve">PK analyses </w:t>
      </w:r>
      <w:r w:rsidRPr="00283132">
        <w:t xml:space="preserve">have been </w:t>
      </w:r>
      <w:r>
        <w:t>described</w:t>
      </w:r>
      <w:r w:rsidRPr="00283132">
        <w:t xml:space="preserve"> in the </w:t>
      </w:r>
      <w:r w:rsidRPr="00283132">
        <w:rPr>
          <w:i/>
        </w:rPr>
        <w:t xml:space="preserve">Pharmacokinetics </w:t>
      </w:r>
      <w:r w:rsidRPr="00283132">
        <w:t>section of this CER. All patients who completed Part I of the study continue</w:t>
      </w:r>
      <w:r>
        <w:t>d</w:t>
      </w:r>
      <w:r w:rsidRPr="00283132">
        <w:t xml:space="preserve"> with on-demand treatment with </w:t>
      </w:r>
      <w:r>
        <w:t>simoctocog alfa</w:t>
      </w:r>
      <w:r w:rsidRPr="00283132">
        <w:t xml:space="preserve">. The start of Part II </w:t>
      </w:r>
      <w:r>
        <w:t xml:space="preserve">(efficacy Phase) </w:t>
      </w:r>
      <w:r w:rsidRPr="00283132">
        <w:t>was defined as the first day after the last PK</w:t>
      </w:r>
      <w:r>
        <w:t xml:space="preserve"> </w:t>
      </w:r>
      <w:r w:rsidRPr="00283132">
        <w:t xml:space="preserve">sample </w:t>
      </w:r>
      <w:r>
        <w:t>had</w:t>
      </w:r>
      <w:r w:rsidRPr="00283132">
        <w:t xml:space="preserve"> been taken during PK Cycle 2. Patients receive</w:t>
      </w:r>
      <w:r>
        <w:t>d</w:t>
      </w:r>
      <w:r w:rsidRPr="00283132">
        <w:t xml:space="preserve"> a sufficient amount of </w:t>
      </w:r>
      <w:r>
        <w:t xml:space="preserve">simoctocog alfa </w:t>
      </w:r>
      <w:r w:rsidRPr="00283132">
        <w:t xml:space="preserve">for home treatment, to be used </w:t>
      </w:r>
      <w:r>
        <w:t xml:space="preserve">for on-demand </w:t>
      </w:r>
      <w:r w:rsidRPr="00283132">
        <w:t>treatment of BEs. However, short periods of prophylactic treatment were permitted</w:t>
      </w:r>
      <w:r>
        <w:t xml:space="preserve"> </w:t>
      </w:r>
      <w:r w:rsidRPr="00412393">
        <w:t>beyond the resolution of the acute phase to prevent recurrent h</w:t>
      </w:r>
      <w:r>
        <w:t>aemorrhage</w:t>
      </w:r>
      <w:r w:rsidRPr="00283132">
        <w:t xml:space="preserve">, for example following a major surgery or </w:t>
      </w:r>
      <w:r>
        <w:t xml:space="preserve">following certain major BEs, or </w:t>
      </w:r>
      <w:r w:rsidRPr="00283132">
        <w:t xml:space="preserve">iliopsoas bleeds or bleeding </w:t>
      </w:r>
      <w:r w:rsidRPr="00412393">
        <w:t>into target joints</w:t>
      </w:r>
      <w:r>
        <w:t>.</w:t>
      </w:r>
    </w:p>
    <w:p w14:paraId="583A9167" w14:textId="77777777" w:rsidR="000F04AF" w:rsidRDefault="006D35A0" w:rsidP="006D35A0">
      <w:pPr>
        <w:widowControl w:val="0"/>
        <w:autoSpaceDE w:val="0"/>
        <w:autoSpaceDN w:val="0"/>
        <w:adjustRightInd w:val="0"/>
      </w:pPr>
      <w:r w:rsidRPr="00412393">
        <w:t xml:space="preserve">The first visit (interim visit 1) in Part 2 of the study was to be undertaken when patients reached 10 to 15 EDs after the start of therapy with </w:t>
      </w:r>
      <w:r>
        <w:t>simoctocog alfa</w:t>
      </w:r>
      <w:r w:rsidRPr="00412393">
        <w:t xml:space="preserve">. Patients who reached 10 to 15 EDs before the scheduled 3-month visit were to have only inhibitor and anti-rhFVIII antibody testing at the 10 to 15 ED visit. </w:t>
      </w:r>
      <w:r>
        <w:t xml:space="preserve">If </w:t>
      </w:r>
      <w:r w:rsidRPr="00412393">
        <w:t xml:space="preserve">the ED 10 to 15 </w:t>
      </w:r>
      <w:proofErr w:type="gramStart"/>
      <w:r w:rsidRPr="00412393">
        <w:t>visit</w:t>
      </w:r>
      <w:proofErr w:type="gramEnd"/>
      <w:r w:rsidRPr="00412393">
        <w:t xml:space="preserve"> fell </w:t>
      </w:r>
      <w:r>
        <w:t>within</w:t>
      </w:r>
      <w:r w:rsidRPr="00412393">
        <w:t xml:space="preserve"> the 2-week period prior to the scheduled 3-month visit, the</w:t>
      </w:r>
      <w:r>
        <w:t>n the</w:t>
      </w:r>
      <w:r w:rsidRPr="00412393">
        <w:t xml:space="preserve"> ED 10 to 15 visit was omitted and only the 3-month visit procedures were performed. The 3-month (± 2 weeks) visit included measurement of BW, inhibitor and anti-rhFVIII antibody testing an</w:t>
      </w:r>
      <w:r>
        <w:t xml:space="preserve">d IVR </w:t>
      </w:r>
      <w:r w:rsidRPr="00412393">
        <w:t xml:space="preserve">analysis. This visit was to be </w:t>
      </w:r>
      <w:r>
        <w:t>undertaken</w:t>
      </w:r>
      <w:r w:rsidRPr="00412393">
        <w:t xml:space="preserve"> not less than 72 hours after the previous administration</w:t>
      </w:r>
      <w:r>
        <w:t xml:space="preserve"> of simoctocog alfa</w:t>
      </w:r>
      <w:r w:rsidRPr="00412393">
        <w:t xml:space="preserve">. </w:t>
      </w:r>
      <w:r>
        <w:t xml:space="preserve">At this visit, </w:t>
      </w:r>
      <w:r w:rsidRPr="00412393">
        <w:t xml:space="preserve">vital signs were to be analysed before and 1 hour after </w:t>
      </w:r>
      <w:r>
        <w:t>administration of simoctocog alfa</w:t>
      </w:r>
      <w:r w:rsidRPr="00412393">
        <w:t xml:space="preserve">, and safety laboratory measurements were to be carried out before </w:t>
      </w:r>
      <w:r>
        <w:t xml:space="preserve">simoctocog alfa </w:t>
      </w:r>
      <w:r w:rsidRPr="00412393">
        <w:t>administration.</w:t>
      </w:r>
    </w:p>
    <w:p w14:paraId="58561DFE" w14:textId="77777777" w:rsidR="000F04AF" w:rsidRDefault="006D35A0" w:rsidP="006D35A0">
      <w:pPr>
        <w:widowControl w:val="0"/>
        <w:autoSpaceDE w:val="0"/>
        <w:autoSpaceDN w:val="0"/>
        <w:adjustRightInd w:val="0"/>
      </w:pPr>
      <w:r w:rsidRPr="00412393">
        <w:t xml:space="preserve">The 6-month (+ 2 weeks) visit consisted of a full PK analysis with </w:t>
      </w:r>
      <w:r>
        <w:t xml:space="preserve">simoctocog alfa </w:t>
      </w:r>
      <w:r w:rsidRPr="00412393">
        <w:t xml:space="preserve">following </w:t>
      </w:r>
      <w:r>
        <w:t xml:space="preserve">a </w:t>
      </w:r>
      <w:r w:rsidRPr="00412393">
        <w:t xml:space="preserve">wash-out phase of at least 96 hours. FVIII inhibitor levels and anti-FVIII antibodies were measured before </w:t>
      </w:r>
      <w:r>
        <w:t xml:space="preserve">simoctocog alfa </w:t>
      </w:r>
      <w:r w:rsidRPr="00412393">
        <w:t xml:space="preserve">administration, vital signs </w:t>
      </w:r>
      <w:r>
        <w:t>were</w:t>
      </w:r>
      <w:r w:rsidRPr="00412393">
        <w:t xml:space="preserve"> </w:t>
      </w:r>
      <w:r>
        <w:t>recorded</w:t>
      </w:r>
      <w:r w:rsidRPr="00412393">
        <w:t xml:space="preserve"> before and 1, 24 and 48 hours after </w:t>
      </w:r>
      <w:r>
        <w:t xml:space="preserve">simoctocog alfa </w:t>
      </w:r>
      <w:r w:rsidRPr="00412393">
        <w:t xml:space="preserve">administration and safety laboratory measurements </w:t>
      </w:r>
      <w:r>
        <w:t>were</w:t>
      </w:r>
      <w:r w:rsidRPr="00412393">
        <w:t xml:space="preserve"> </w:t>
      </w:r>
      <w:r>
        <w:t>taken</w:t>
      </w:r>
      <w:r w:rsidRPr="00412393">
        <w:t xml:space="preserve"> before and 24 </w:t>
      </w:r>
      <w:r>
        <w:t xml:space="preserve">hours </w:t>
      </w:r>
      <w:r w:rsidRPr="00412393">
        <w:t xml:space="preserve">(excluding urinalysis) and 48 hours after </w:t>
      </w:r>
      <w:r>
        <w:t xml:space="preserve">simoctocog alfa </w:t>
      </w:r>
      <w:r w:rsidRPr="00412393">
        <w:t xml:space="preserve">administration. The 6-month visit was also the study completion visit for subjects who had at least 50 EDs documented for </w:t>
      </w:r>
      <w:r>
        <w:t xml:space="preserve">simoctocog alfa </w:t>
      </w:r>
      <w:r w:rsidRPr="00412393">
        <w:t>treatment. In this case a general physical examination and urinalysis were to be performed.</w:t>
      </w:r>
    </w:p>
    <w:p w14:paraId="24DFD283" w14:textId="59E8F043" w:rsidR="006D35A0" w:rsidRPr="00412393" w:rsidRDefault="006D35A0" w:rsidP="006D35A0">
      <w:pPr>
        <w:widowControl w:val="0"/>
        <w:autoSpaceDE w:val="0"/>
        <w:autoSpaceDN w:val="0"/>
        <w:adjustRightInd w:val="0"/>
      </w:pPr>
      <w:r w:rsidRPr="00412393">
        <w:t>Patients with less than 50 EDs at the 6-month visit point were to have additional visits every 3 months</w:t>
      </w:r>
      <w:r>
        <w:t xml:space="preserve"> </w:t>
      </w:r>
      <w:r w:rsidRPr="00412393">
        <w:t>until achievement of 50 EDs. These visits were for the purpose of inhibitor and anti-rhFVIII</w:t>
      </w:r>
      <w:r>
        <w:t xml:space="preserve"> </w:t>
      </w:r>
      <w:r w:rsidRPr="00412393">
        <w:t xml:space="preserve">antibody testing, </w:t>
      </w:r>
      <w:r>
        <w:t xml:space="preserve">and were to be undertaken </w:t>
      </w:r>
      <w:r w:rsidRPr="00412393">
        <w:t xml:space="preserve">not less than 72 hours after the last </w:t>
      </w:r>
      <w:r w:rsidRPr="00412393">
        <w:lastRenderedPageBreak/>
        <w:t>administration</w:t>
      </w:r>
      <w:r>
        <w:t xml:space="preserve"> of simoctocog alfa</w:t>
      </w:r>
      <w:r w:rsidRPr="00412393">
        <w:t xml:space="preserve">. Completion visits for these patients were to take place once 50 EDs </w:t>
      </w:r>
      <w:r>
        <w:t xml:space="preserve">had been reached </w:t>
      </w:r>
      <w:r w:rsidRPr="00412393">
        <w:t xml:space="preserve">or by the end of September 2012. The same assessments as for the 6- months visit (except PK assessment) took place at this time point. The investigations undertaken </w:t>
      </w:r>
      <w:r>
        <w:t>at the</w:t>
      </w:r>
      <w:r w:rsidRPr="00412393">
        <w:t xml:space="preserve"> 3- and 6-month visits</w:t>
      </w:r>
      <w:r w:rsidR="00907E91">
        <w:t xml:space="preserve"> and at the completion visit were</w:t>
      </w:r>
      <w:r w:rsidRPr="00412393">
        <w:t xml:space="preserve"> provided</w:t>
      </w:r>
      <w:r w:rsidR="00907E91">
        <w:t xml:space="preserve">. </w:t>
      </w:r>
      <w:r w:rsidRPr="00412393">
        <w:t>For patients undergoing surgical interventions, treatment details were documented for the</w:t>
      </w:r>
      <w:r>
        <w:t xml:space="preserve"> </w:t>
      </w:r>
      <w:r w:rsidRPr="00412393">
        <w:t>pre-, intra-, and post</w:t>
      </w:r>
      <w:r w:rsidR="00821CB6">
        <w:t>operative phase.</w:t>
      </w:r>
    </w:p>
    <w:p w14:paraId="399BA2BD" w14:textId="1AA03B98" w:rsidR="006D35A0" w:rsidRPr="00412393" w:rsidRDefault="006D35A0" w:rsidP="006D35A0">
      <w:pPr>
        <w:widowControl w:val="0"/>
        <w:autoSpaceDE w:val="0"/>
        <w:autoSpaceDN w:val="0"/>
        <w:adjustRightInd w:val="0"/>
      </w:pPr>
      <w:r w:rsidRPr="00412393">
        <w:t>If inhibitor development was suspected (</w:t>
      </w:r>
      <w:r w:rsidR="001A2E59">
        <w:t>for example,</w:t>
      </w:r>
      <w:r w:rsidRPr="00412393">
        <w:t xml:space="preserve"> unexplained need to increase dose, study product infusions non-efficacious, prolonged bleeds) additional FVIII inhibitor and anti-rFVIII antibody tests were performed. Other reasons for unscheduled visits were the occurrence of serious adverse events (SAEs) or hospitalisations because of severe BEs or because of a surgical intervention. AEs and use of concomitant medication were documented throughout the study. </w:t>
      </w:r>
      <w:r>
        <w:t xml:space="preserve">Patient </w:t>
      </w:r>
      <w:r w:rsidRPr="00412393">
        <w:t>diaries, including any BEs, treatment of BEs, concomitant medications and AEs, were reviewed and data transferred to the CRF.</w:t>
      </w:r>
    </w:p>
    <w:p w14:paraId="22BEFA83" w14:textId="77777777" w:rsidR="006D35A0" w:rsidRDefault="006D35A0" w:rsidP="006D35A0">
      <w:pPr>
        <w:widowControl w:val="0"/>
        <w:autoSpaceDE w:val="0"/>
        <w:autoSpaceDN w:val="0"/>
        <w:adjustRightInd w:val="0"/>
      </w:pPr>
      <w:r w:rsidRPr="00412393">
        <w:t>Efficacy and safety data (including inhibitor data) were monitored by an</w:t>
      </w:r>
      <w:r>
        <w:t xml:space="preserve"> </w:t>
      </w:r>
      <w:r w:rsidRPr="00412393">
        <w:t>Independent Data Monitoring Committee (IDMC). The IDMC was composed of</w:t>
      </w:r>
      <w:r>
        <w:t xml:space="preserve"> </w:t>
      </w:r>
      <w:r w:rsidRPr="00412393">
        <w:t>recognised experts in the field of haemophilia clinical care who were not actively</w:t>
      </w:r>
      <w:r>
        <w:t xml:space="preserve"> </w:t>
      </w:r>
      <w:r w:rsidRPr="00412393">
        <w:t>recruiting subjects.</w:t>
      </w:r>
    </w:p>
    <w:p w14:paraId="139D42DE" w14:textId="1DEE5FED" w:rsidR="006D35A0" w:rsidRPr="00E76132" w:rsidRDefault="006D35A0" w:rsidP="008A40A4">
      <w:pPr>
        <w:pStyle w:val="Heading5"/>
      </w:pPr>
      <w:bookmarkStart w:id="62" w:name="_Toc266446442"/>
      <w:r w:rsidRPr="00E76132">
        <w:t>Inclusion and exclusion criteria</w:t>
      </w:r>
      <w:bookmarkEnd w:id="62"/>
    </w:p>
    <w:p w14:paraId="131AF8DF" w14:textId="77777777" w:rsidR="006D35A0" w:rsidRPr="00673B1C" w:rsidRDefault="006D35A0" w:rsidP="006D35A0">
      <w:pPr>
        <w:widowControl w:val="0"/>
        <w:autoSpaceDE w:val="0"/>
        <w:autoSpaceDN w:val="0"/>
        <w:adjustRightInd w:val="0"/>
      </w:pPr>
      <w:r w:rsidRPr="00673B1C">
        <w:t xml:space="preserve">The </w:t>
      </w:r>
      <w:r w:rsidRPr="00673B1C">
        <w:rPr>
          <w:b/>
        </w:rPr>
        <w:t>inclusion criteria</w:t>
      </w:r>
      <w:r w:rsidRPr="00673B1C">
        <w:t xml:space="preserve"> were:</w:t>
      </w:r>
    </w:p>
    <w:p w14:paraId="0CCA3BA9" w14:textId="77777777" w:rsidR="006D35A0" w:rsidRPr="00673B1C" w:rsidRDefault="006D35A0" w:rsidP="00E76132">
      <w:pPr>
        <w:pStyle w:val="Numberbullet0"/>
      </w:pPr>
      <w:r w:rsidRPr="00673B1C">
        <w:t>Severe haemophilia A (FVIII</w:t>
      </w:r>
      <w:proofErr w:type="gramStart"/>
      <w:r w:rsidRPr="00673B1C">
        <w:t>:C</w:t>
      </w:r>
      <w:proofErr w:type="gramEnd"/>
      <w:r w:rsidRPr="00673B1C">
        <w:t xml:space="preserve"> </w:t>
      </w:r>
      <w:r w:rsidRPr="00673B1C">
        <w:rPr>
          <w:rFonts w:cs="ÄÏˆøVŸ"/>
        </w:rPr>
        <w:t>≤</w:t>
      </w:r>
      <w:r w:rsidRPr="00673B1C">
        <w:t>1%; historical value as documented in patient records).</w:t>
      </w:r>
    </w:p>
    <w:p w14:paraId="20AA8AAC" w14:textId="77777777" w:rsidR="000F04AF" w:rsidRDefault="006D35A0" w:rsidP="00E76132">
      <w:pPr>
        <w:pStyle w:val="Numberbullet0"/>
      </w:pPr>
      <w:r w:rsidRPr="00673B1C">
        <w:t xml:space="preserve">Male </w:t>
      </w:r>
      <w:proofErr w:type="gramStart"/>
      <w:r w:rsidRPr="00673B1C">
        <w:t>patients</w:t>
      </w:r>
      <w:proofErr w:type="gramEnd"/>
      <w:r w:rsidRPr="00673B1C">
        <w:t xml:space="preserve"> </w:t>
      </w:r>
      <w:r w:rsidRPr="00673B1C">
        <w:rPr>
          <w:rFonts w:cs="ÄÏˆøVŸ"/>
        </w:rPr>
        <w:t xml:space="preserve">≥ </w:t>
      </w:r>
      <w:r w:rsidRPr="00673B1C">
        <w:t xml:space="preserve">12 and </w:t>
      </w:r>
      <w:r w:rsidRPr="00673B1C">
        <w:rPr>
          <w:rFonts w:cs="ÄÏˆøVŸ"/>
        </w:rPr>
        <w:t xml:space="preserve">≤ </w:t>
      </w:r>
      <w:r w:rsidRPr="00673B1C">
        <w:t>65 years of age</w:t>
      </w:r>
      <w:r>
        <w:t>.</w:t>
      </w:r>
    </w:p>
    <w:p w14:paraId="31C77F98" w14:textId="77777777" w:rsidR="000F04AF" w:rsidRDefault="006D35A0" w:rsidP="00E76132">
      <w:pPr>
        <w:pStyle w:val="Numberbullet0"/>
      </w:pPr>
      <w:r w:rsidRPr="00673B1C">
        <w:t>Body weight 25 kg to 110 kg</w:t>
      </w:r>
      <w:r>
        <w:t>.</w:t>
      </w:r>
    </w:p>
    <w:p w14:paraId="5C24B4F8" w14:textId="77777777" w:rsidR="000F04AF" w:rsidRDefault="006D35A0" w:rsidP="00E76132">
      <w:pPr>
        <w:pStyle w:val="Numberbullet0"/>
      </w:pPr>
      <w:r w:rsidRPr="00673B1C">
        <w:t>Previously treated with FVIII concentrate, at least 150 EDs</w:t>
      </w:r>
      <w:r>
        <w:t>.</w:t>
      </w:r>
    </w:p>
    <w:p w14:paraId="2ABBDCDF" w14:textId="77777777" w:rsidR="000F04AF" w:rsidRDefault="006D35A0" w:rsidP="00E76132">
      <w:pPr>
        <w:pStyle w:val="Numberbullet0"/>
      </w:pPr>
      <w:r w:rsidRPr="00673B1C">
        <w:t>Immunocompetent (CD4+ count &gt;200/μL)</w:t>
      </w:r>
      <w:r>
        <w:t>.</w:t>
      </w:r>
    </w:p>
    <w:p w14:paraId="7E1D1B24" w14:textId="073F841C" w:rsidR="006D35A0" w:rsidRPr="00673B1C" w:rsidRDefault="006D35A0" w:rsidP="00E76132">
      <w:pPr>
        <w:pStyle w:val="Numberbullet0"/>
      </w:pPr>
      <w:r w:rsidRPr="00673B1C">
        <w:t>Negative for anti-HIV; if positive, viral load &lt; 200 particles/μL or &lt; 400,000 copies/mL</w:t>
      </w:r>
      <w:r>
        <w:t>.</w:t>
      </w:r>
    </w:p>
    <w:p w14:paraId="3DA71F00" w14:textId="77777777" w:rsidR="006D35A0" w:rsidRPr="00673B1C" w:rsidRDefault="006D35A0" w:rsidP="00E76132">
      <w:pPr>
        <w:pStyle w:val="Numberbullet0"/>
      </w:pPr>
      <w:r w:rsidRPr="00673B1C">
        <w:t>Freely given written informed consent</w:t>
      </w:r>
      <w:r>
        <w:t>.</w:t>
      </w:r>
    </w:p>
    <w:p w14:paraId="39AFC782" w14:textId="77777777" w:rsidR="000F04AF" w:rsidRDefault="006D35A0" w:rsidP="006D35A0">
      <w:pPr>
        <w:widowControl w:val="0"/>
        <w:autoSpaceDE w:val="0"/>
        <w:autoSpaceDN w:val="0"/>
        <w:adjustRightInd w:val="0"/>
      </w:pPr>
      <w:r w:rsidRPr="00673B1C">
        <w:t xml:space="preserve">The </w:t>
      </w:r>
      <w:r w:rsidRPr="00673B1C">
        <w:rPr>
          <w:b/>
        </w:rPr>
        <w:t xml:space="preserve">exclusion </w:t>
      </w:r>
      <w:r w:rsidRPr="00673B1C">
        <w:t>criteria were:</w:t>
      </w:r>
    </w:p>
    <w:p w14:paraId="4D06F616" w14:textId="77777777" w:rsidR="000F04AF" w:rsidRDefault="006D35A0" w:rsidP="00A54624">
      <w:pPr>
        <w:pStyle w:val="Numberbullet0"/>
        <w:numPr>
          <w:ilvl w:val="0"/>
          <w:numId w:val="44"/>
        </w:numPr>
      </w:pPr>
      <w:r w:rsidRPr="00673B1C">
        <w:t>Other coagulation disorder than haemophilia A</w:t>
      </w:r>
      <w:r>
        <w:t>.</w:t>
      </w:r>
    </w:p>
    <w:p w14:paraId="683EF14F" w14:textId="2785A490" w:rsidR="006D35A0" w:rsidRPr="00673B1C" w:rsidRDefault="006D35A0" w:rsidP="00A54624">
      <w:pPr>
        <w:pStyle w:val="Numberbullet0"/>
        <w:numPr>
          <w:ilvl w:val="0"/>
          <w:numId w:val="44"/>
        </w:numPr>
      </w:pPr>
      <w:r w:rsidRPr="00673B1C">
        <w:t>Present or past FVIII inhibitor activity (</w:t>
      </w:r>
      <w:r w:rsidRPr="00A54624">
        <w:rPr>
          <w:rFonts w:cs="ÄÏˆøVŸ"/>
        </w:rPr>
        <w:t xml:space="preserve">≥ </w:t>
      </w:r>
      <w:r w:rsidRPr="00673B1C">
        <w:t>0.6 Bethesda Units [BU])</w:t>
      </w:r>
      <w:r>
        <w:t>.</w:t>
      </w:r>
    </w:p>
    <w:p w14:paraId="00BC701A" w14:textId="77777777" w:rsidR="000F04AF" w:rsidRDefault="006D35A0" w:rsidP="00A54624">
      <w:pPr>
        <w:pStyle w:val="Numberbullet0"/>
        <w:numPr>
          <w:ilvl w:val="0"/>
          <w:numId w:val="44"/>
        </w:numPr>
      </w:pPr>
      <w:r w:rsidRPr="00673B1C">
        <w:t>Severe liver or kidney disease (</w:t>
      </w:r>
      <w:r>
        <w:t xml:space="preserve">ALT and AST </w:t>
      </w:r>
      <w:r w:rsidRPr="00673B1C">
        <w:t>levels &gt;</w:t>
      </w:r>
      <w:r>
        <w:t xml:space="preserve"> </w:t>
      </w:r>
      <w:r w:rsidRPr="00673B1C">
        <w:t xml:space="preserve">5 </w:t>
      </w:r>
      <w:r>
        <w:t xml:space="preserve">times of upper limit of normal; </w:t>
      </w:r>
      <w:r w:rsidRPr="00673B1C">
        <w:t>creatinine&gt;120 μmol/L)</w:t>
      </w:r>
      <w:r>
        <w:t>.</w:t>
      </w:r>
    </w:p>
    <w:p w14:paraId="41AAD99A" w14:textId="1F1B98AA" w:rsidR="006D35A0" w:rsidRPr="00673B1C" w:rsidRDefault="006D35A0" w:rsidP="00A54624">
      <w:pPr>
        <w:pStyle w:val="Numberbullet0"/>
        <w:numPr>
          <w:ilvl w:val="0"/>
          <w:numId w:val="44"/>
        </w:numPr>
      </w:pPr>
      <w:r w:rsidRPr="00673B1C">
        <w:t>Receiving or scheduled to receive immuno-modulating d</w:t>
      </w:r>
      <w:r>
        <w:t>r</w:t>
      </w:r>
      <w:r w:rsidR="00E9366B">
        <w:t xml:space="preserve">ugs (other than antiretroviral </w:t>
      </w:r>
      <w:r w:rsidRPr="00673B1C">
        <w:t>chemotherapy) such as alpha-interferon, prednisone (equivalent to</w:t>
      </w:r>
      <w:r>
        <w:t xml:space="preserve"> </w:t>
      </w:r>
      <w:r w:rsidR="00E9366B">
        <w:t xml:space="preserve">&gt;10 mg/day), or </w:t>
      </w:r>
      <w:r w:rsidRPr="00673B1C">
        <w:t>similar drugs</w:t>
      </w:r>
      <w:r>
        <w:t>.</w:t>
      </w:r>
    </w:p>
    <w:p w14:paraId="526ABA51" w14:textId="77777777" w:rsidR="006D35A0" w:rsidRPr="00673B1C" w:rsidRDefault="006D35A0" w:rsidP="00A54624">
      <w:pPr>
        <w:pStyle w:val="Numberbullet0"/>
        <w:numPr>
          <w:ilvl w:val="0"/>
          <w:numId w:val="44"/>
        </w:numPr>
      </w:pPr>
      <w:r w:rsidRPr="00673B1C">
        <w:t>Participation in another interventional clinical stu</w:t>
      </w:r>
      <w:r>
        <w:t xml:space="preserve">dy currently or during the past </w:t>
      </w:r>
      <w:r w:rsidRPr="00673B1C">
        <w:t>month</w:t>
      </w:r>
      <w:r>
        <w:t>.</w:t>
      </w:r>
    </w:p>
    <w:p w14:paraId="2A234F22" w14:textId="77777777" w:rsidR="000F04AF" w:rsidRDefault="006D35A0" w:rsidP="00A54624">
      <w:pPr>
        <w:pStyle w:val="Numberbullet0"/>
        <w:numPr>
          <w:ilvl w:val="0"/>
          <w:numId w:val="44"/>
        </w:numPr>
      </w:pPr>
      <w:r>
        <w:t>In addition to the inclusion and exclusion, the study included standard criteria relating to withdrawal from therapy or assessment with adequate procedures for follow-up.</w:t>
      </w:r>
    </w:p>
    <w:p w14:paraId="2F2FE167" w14:textId="77777777" w:rsidR="000F04AF" w:rsidRDefault="006D35A0" w:rsidP="008A40A4">
      <w:pPr>
        <w:pStyle w:val="Heading5"/>
      </w:pPr>
      <w:bookmarkStart w:id="63" w:name="_Toc266446443"/>
      <w:r w:rsidRPr="0099203A">
        <w:t>Treatment in the efficacy phase</w:t>
      </w:r>
      <w:bookmarkEnd w:id="63"/>
    </w:p>
    <w:p w14:paraId="68027086" w14:textId="77777777" w:rsidR="000F04AF" w:rsidRDefault="006D35A0" w:rsidP="000121A6">
      <w:pPr>
        <w:pStyle w:val="ListBullet"/>
        <w:rPr>
          <w:b/>
        </w:rPr>
      </w:pPr>
      <w:r w:rsidRPr="000121A6">
        <w:rPr>
          <w:b/>
        </w:rPr>
        <w:t>On-demand treatment</w:t>
      </w:r>
    </w:p>
    <w:p w14:paraId="61893487" w14:textId="77777777" w:rsidR="000F04AF" w:rsidRDefault="006D35A0" w:rsidP="006D35A0">
      <w:pPr>
        <w:widowControl w:val="0"/>
        <w:autoSpaceDE w:val="0"/>
        <w:autoSpaceDN w:val="0"/>
        <w:adjustRightInd w:val="0"/>
      </w:pPr>
      <w:r w:rsidRPr="00996F2B">
        <w:t xml:space="preserve">The dosage (and duration) of treatment of spontaneous or traumatic breakthrough BEs during the open </w:t>
      </w:r>
      <w:r>
        <w:t xml:space="preserve">label </w:t>
      </w:r>
      <w:r w:rsidRPr="00996F2B">
        <w:t xml:space="preserve">treatment period depended on the location and extent </w:t>
      </w:r>
      <w:r>
        <w:t xml:space="preserve">of bleeding and on the clinical situation. </w:t>
      </w:r>
      <w:r w:rsidRPr="00996F2B">
        <w:t>The required dosage was determined using the following formula:</w:t>
      </w:r>
    </w:p>
    <w:p w14:paraId="09BB3C88" w14:textId="40A3A8A2" w:rsidR="006D35A0" w:rsidRPr="00996F2B" w:rsidRDefault="006D35A0" w:rsidP="008A40A4">
      <w:pPr>
        <w:widowControl w:val="0"/>
        <w:autoSpaceDE w:val="0"/>
        <w:autoSpaceDN w:val="0"/>
        <w:adjustRightInd w:val="0"/>
        <w:ind w:left="720"/>
      </w:pPr>
      <w:r w:rsidRPr="00996F2B">
        <w:t>Required units = BW (kg) * desired FVIII rise (%) (IU/dL) * 0.5 (assuming that the recovery of FVIII is 2%</w:t>
      </w:r>
      <w:proofErr w:type="gramStart"/>
      <w:r w:rsidRPr="00996F2B">
        <w:t>/[</w:t>
      </w:r>
      <w:proofErr w:type="gramEnd"/>
      <w:r w:rsidRPr="00996F2B">
        <w:t>IU/kg])</w:t>
      </w:r>
    </w:p>
    <w:p w14:paraId="0E148793" w14:textId="77777777" w:rsidR="000F04AF" w:rsidRDefault="006D35A0" w:rsidP="006D35A0">
      <w:pPr>
        <w:widowControl w:val="0"/>
        <w:autoSpaceDE w:val="0"/>
        <w:autoSpaceDN w:val="0"/>
        <w:adjustRightInd w:val="0"/>
      </w:pPr>
      <w:r w:rsidRPr="00996F2B">
        <w:lastRenderedPageBreak/>
        <w:t>The required target peak levels were approximately:</w:t>
      </w:r>
    </w:p>
    <w:p w14:paraId="0E92AA82" w14:textId="77777777" w:rsidR="000F04AF" w:rsidRDefault="006D35A0" w:rsidP="002651AD">
      <w:pPr>
        <w:pStyle w:val="ListBullet"/>
      </w:pPr>
      <w:r w:rsidRPr="00996F2B">
        <w:t>40–60% in case of minor haemorrhage</w:t>
      </w:r>
      <w:r>
        <w:t>.</w:t>
      </w:r>
    </w:p>
    <w:p w14:paraId="4A0B69EF" w14:textId="77777777" w:rsidR="000F04AF" w:rsidRDefault="006D35A0" w:rsidP="002651AD">
      <w:pPr>
        <w:pStyle w:val="ListBullet"/>
      </w:pPr>
      <w:r w:rsidRPr="00996F2B">
        <w:t>60–80% in case of moderate to major haemorrhage</w:t>
      </w:r>
      <w:r>
        <w:t>.</w:t>
      </w:r>
    </w:p>
    <w:p w14:paraId="1D8187CD" w14:textId="77777777" w:rsidR="000F04AF" w:rsidRDefault="006D35A0" w:rsidP="002651AD">
      <w:pPr>
        <w:pStyle w:val="ListBullet"/>
      </w:pPr>
      <w:r w:rsidRPr="00996F2B">
        <w:t>100–120% in case of major to life threatening BEs</w:t>
      </w:r>
      <w:r>
        <w:t>.</w:t>
      </w:r>
    </w:p>
    <w:p w14:paraId="051470BE" w14:textId="32EBDCC7" w:rsidR="006D35A0" w:rsidRPr="001B06B8" w:rsidRDefault="006D35A0" w:rsidP="006D35A0">
      <w:pPr>
        <w:widowControl w:val="0"/>
        <w:autoSpaceDE w:val="0"/>
        <w:autoSpaceDN w:val="0"/>
        <w:adjustRightInd w:val="0"/>
      </w:pPr>
      <w:r w:rsidRPr="001B06B8">
        <w:t>The following dosages were recommended:</w:t>
      </w:r>
    </w:p>
    <w:p w14:paraId="714DED67" w14:textId="77777777" w:rsidR="000F04AF" w:rsidRDefault="006D35A0" w:rsidP="002651AD">
      <w:pPr>
        <w:pStyle w:val="ListBullet"/>
      </w:pPr>
      <w:r w:rsidRPr="001B06B8">
        <w:t>Minor haemorrhage (superficial muscle or soft tissue and oral bl</w:t>
      </w:r>
      <w:r w:rsidR="00E76132">
        <w:t xml:space="preserve">eeds): 20–30 IU FVIII/kg every </w:t>
      </w:r>
      <w:r w:rsidRPr="001B06B8">
        <w:t>12–24 hours until BE resolution.</w:t>
      </w:r>
    </w:p>
    <w:p w14:paraId="7B9FCA03" w14:textId="77777777" w:rsidR="000F04AF" w:rsidRDefault="006D35A0" w:rsidP="002651AD">
      <w:pPr>
        <w:pStyle w:val="ListBullet"/>
      </w:pPr>
      <w:r w:rsidRPr="001B06B8">
        <w:t xml:space="preserve">Moderate to major haemorrhage (haemorrhage </w:t>
      </w:r>
      <w:r w:rsidR="00E76132">
        <w:t xml:space="preserve">into muscles, into oral cavity; </w:t>
      </w:r>
      <w:r w:rsidRPr="001B06B8">
        <w:t>h</w:t>
      </w:r>
      <w:r w:rsidR="00E76132">
        <w:t xml:space="preserve">aemarthrosis; </w:t>
      </w:r>
      <w:r w:rsidRPr="001B06B8">
        <w:t>known trauma): 30–40 IU FVIII/kg, repeated every 12–24 hours until BE resolution.</w:t>
      </w:r>
    </w:p>
    <w:p w14:paraId="2B14E1E5" w14:textId="77777777" w:rsidR="000F04AF" w:rsidRDefault="006D35A0" w:rsidP="002651AD">
      <w:pPr>
        <w:pStyle w:val="ListBullet"/>
      </w:pPr>
      <w:r w:rsidRPr="001B06B8">
        <w:t>Major to life threatening BEs (intracranial, intra-abdominal, gastro-intestinal or intrathoracic bleeds, central nervous system bleeds, bleeding in retropharyngeal spaces or iliopsoas sheath, eyes/retina, fractures or head trauma): an initial dose of 50–60 IU FVIII/kg and subsequently a dose of 20–25 IU FVIII/kg every 8–12 hours until BE resolution</w:t>
      </w:r>
      <w:r>
        <w:t>.</w:t>
      </w:r>
    </w:p>
    <w:p w14:paraId="179E71E2" w14:textId="77777777" w:rsidR="000F04AF" w:rsidRDefault="006D35A0" w:rsidP="006D35A0">
      <w:r>
        <w:t>No continuous infusions of simoctocog alfa were used for on-demand treatment of BEs, and all treatments were administered by bolus injection.</w:t>
      </w:r>
    </w:p>
    <w:p w14:paraId="3AA92B72" w14:textId="04DF5FC1" w:rsidR="000F04AF" w:rsidRDefault="006D35A0" w:rsidP="000121A6">
      <w:pPr>
        <w:pStyle w:val="ListBullet"/>
        <w:rPr>
          <w:b/>
        </w:rPr>
      </w:pPr>
      <w:r w:rsidRPr="000121A6">
        <w:rPr>
          <w:b/>
        </w:rPr>
        <w:t xml:space="preserve">Surgical </w:t>
      </w:r>
      <w:r w:rsidR="007A6386">
        <w:rPr>
          <w:b/>
        </w:rPr>
        <w:t>p</w:t>
      </w:r>
      <w:r w:rsidRPr="000121A6">
        <w:rPr>
          <w:b/>
        </w:rPr>
        <w:t>rophylaxis</w:t>
      </w:r>
    </w:p>
    <w:p w14:paraId="3DBEC032" w14:textId="3483ADA4" w:rsidR="006D35A0" w:rsidRPr="006E37AA" w:rsidRDefault="006D35A0" w:rsidP="006D35A0">
      <w:pPr>
        <w:widowControl w:val="0"/>
        <w:autoSpaceDE w:val="0"/>
        <w:autoSpaceDN w:val="0"/>
        <w:adjustRightInd w:val="0"/>
        <w:rPr>
          <w:rFonts w:eastAsia="Times New Roman"/>
          <w:lang w:eastAsia="en-AU"/>
        </w:rPr>
      </w:pPr>
      <w:r w:rsidRPr="006E37AA">
        <w:rPr>
          <w:rFonts w:eastAsia="Times New Roman"/>
          <w:lang w:eastAsia="en-AU"/>
        </w:rPr>
        <w:t xml:space="preserve">The dosage and duration of treatment with </w:t>
      </w:r>
      <w:r>
        <w:rPr>
          <w:rFonts w:eastAsia="Times New Roman"/>
          <w:lang w:eastAsia="en-AU"/>
        </w:rPr>
        <w:t xml:space="preserve">simoctocog alfa </w:t>
      </w:r>
      <w:r w:rsidRPr="006E37AA">
        <w:rPr>
          <w:rFonts w:eastAsia="Times New Roman"/>
          <w:lang w:eastAsia="en-AU"/>
        </w:rPr>
        <w:t>depended on the type of surgery and the patient’s individual incremental recovery. The required dosage was determined using the following formula:</w:t>
      </w:r>
    </w:p>
    <w:p w14:paraId="59E012E8" w14:textId="77777777" w:rsidR="006D35A0" w:rsidRPr="006E37AA" w:rsidRDefault="006D35A0" w:rsidP="006D35A0">
      <w:pPr>
        <w:widowControl w:val="0"/>
        <w:autoSpaceDE w:val="0"/>
        <w:autoSpaceDN w:val="0"/>
        <w:adjustRightInd w:val="0"/>
        <w:rPr>
          <w:rFonts w:eastAsia="Times New Roman"/>
          <w:lang w:eastAsia="en-AU"/>
        </w:rPr>
      </w:pPr>
      <w:r>
        <w:rPr>
          <w:rFonts w:eastAsia="Times New Roman"/>
          <w:lang w:eastAsia="en-AU"/>
        </w:rPr>
        <w:tab/>
      </w:r>
      <w:r w:rsidRPr="006E37AA">
        <w:rPr>
          <w:rFonts w:eastAsia="Times New Roman"/>
          <w:lang w:eastAsia="en-AU"/>
        </w:rPr>
        <w:t>Dose = target increase of FVIII (IU/dL) * BW/actual IVR (IU/dL)</w:t>
      </w:r>
      <w:proofErr w:type="gramStart"/>
      <w:r w:rsidRPr="006E37AA">
        <w:rPr>
          <w:rFonts w:eastAsia="Times New Roman"/>
          <w:lang w:eastAsia="en-AU"/>
        </w:rPr>
        <w:t>/(</w:t>
      </w:r>
      <w:proofErr w:type="gramEnd"/>
      <w:r w:rsidRPr="006E37AA">
        <w:rPr>
          <w:rFonts w:eastAsia="Times New Roman"/>
          <w:lang w:eastAsia="en-AU"/>
        </w:rPr>
        <w:t>IU/kg).</w:t>
      </w:r>
    </w:p>
    <w:p w14:paraId="044238D5" w14:textId="77777777" w:rsidR="006D35A0" w:rsidRPr="006E37AA" w:rsidRDefault="006D35A0" w:rsidP="006D35A0">
      <w:pPr>
        <w:widowControl w:val="0"/>
        <w:autoSpaceDE w:val="0"/>
        <w:autoSpaceDN w:val="0"/>
        <w:adjustRightInd w:val="0"/>
        <w:rPr>
          <w:rFonts w:eastAsia="Times New Roman"/>
          <w:lang w:eastAsia="en-AU"/>
        </w:rPr>
      </w:pPr>
      <w:r w:rsidRPr="006E37AA">
        <w:rPr>
          <w:rFonts w:eastAsia="Times New Roman"/>
          <w:lang w:eastAsia="en-AU"/>
        </w:rPr>
        <w:t>Additionally the following dosages were recommended:</w:t>
      </w:r>
    </w:p>
    <w:p w14:paraId="7B8B0217" w14:textId="77777777" w:rsidR="006D35A0" w:rsidRPr="008A40A4" w:rsidRDefault="006D35A0" w:rsidP="008A40A4">
      <w:pPr>
        <w:pStyle w:val="ListBullet"/>
      </w:pPr>
      <w:r w:rsidRPr="008A40A4">
        <w:t>Minor surgeries including tooth extractions: 25–30 IU FVIII/kg within 3 hours prior to surgery to achieve an intended target peak level of about 50–60%, repeated every 12−</w:t>
      </w:r>
      <w:r w:rsidR="00E76132" w:rsidRPr="008A40A4">
        <w:t xml:space="preserve">24 hours until </w:t>
      </w:r>
      <w:r w:rsidRPr="008A40A4">
        <w:t>healing was complete. Troug</w:t>
      </w:r>
      <w:r w:rsidR="00E76132" w:rsidRPr="008A40A4">
        <w:t xml:space="preserve">h level was to be maintained at </w:t>
      </w:r>
      <w:r w:rsidRPr="008A40A4">
        <w:t>approximately 30% (samples ta</w:t>
      </w:r>
      <w:r w:rsidR="00E76132" w:rsidRPr="008A40A4">
        <w:t xml:space="preserve">ken </w:t>
      </w:r>
      <w:r w:rsidRPr="008A40A4">
        <w:t>prior to the next infusion of simoctocog alfa).</w:t>
      </w:r>
    </w:p>
    <w:p w14:paraId="1EDC2DD5" w14:textId="77777777" w:rsidR="006D35A0" w:rsidRPr="008A40A4" w:rsidRDefault="006D35A0" w:rsidP="008A40A4">
      <w:pPr>
        <w:pStyle w:val="ListBullet"/>
      </w:pPr>
      <w:r w:rsidRPr="008A40A4">
        <w:t>Major surgeries: 50 IU FVIII/kg within 3 hours prior to surgery</w:t>
      </w:r>
      <w:r w:rsidR="0099203A" w:rsidRPr="008A40A4">
        <w:t xml:space="preserve"> to achieve an intended target </w:t>
      </w:r>
      <w:r w:rsidRPr="008A40A4">
        <w:t xml:space="preserve">peak level of approximately 100%, repeated if necessary </w:t>
      </w:r>
      <w:r w:rsidR="0099203A" w:rsidRPr="008A40A4">
        <w:t xml:space="preserve">after 6–12 hours initially and </w:t>
      </w:r>
      <w:r w:rsidRPr="008A40A4">
        <w:t>subsequently for at least 6 days until healing was complete. Troug</w:t>
      </w:r>
      <w:r w:rsidR="0099203A" w:rsidRPr="008A40A4">
        <w:t xml:space="preserve">h levels were to be maintained </w:t>
      </w:r>
      <w:r w:rsidRPr="008A40A4">
        <w:t>at approximately 50% (samples taken prior to the next infusion of simoctocog alfa).</w:t>
      </w:r>
    </w:p>
    <w:p w14:paraId="6B89ED3F" w14:textId="77777777" w:rsidR="000F04AF" w:rsidRDefault="006D35A0" w:rsidP="006D35A0">
      <w:r>
        <w:t>No continuous infusions of simoctocog alfa were used for surgical prophylaxis, and all treatments were administered by bolus injection.</w:t>
      </w:r>
    </w:p>
    <w:p w14:paraId="588CFC37" w14:textId="77777777" w:rsidR="000F04AF" w:rsidRDefault="006D35A0" w:rsidP="000121A6">
      <w:pPr>
        <w:pStyle w:val="ListBullet"/>
        <w:rPr>
          <w:b/>
        </w:rPr>
      </w:pPr>
      <w:r w:rsidRPr="000121A6">
        <w:rPr>
          <w:b/>
        </w:rPr>
        <w:t>Prior and concomitant treatment</w:t>
      </w:r>
    </w:p>
    <w:p w14:paraId="33FAA117"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97295A">
        <w:rPr>
          <w:color w:val="000000"/>
        </w:rPr>
        <w:t xml:space="preserve">Treatment details concerning the FVIII concentrate used </w:t>
      </w:r>
      <w:r>
        <w:rPr>
          <w:color w:val="000000"/>
        </w:rPr>
        <w:t xml:space="preserve">for the 6 month period </w:t>
      </w:r>
      <w:r w:rsidRPr="0097295A">
        <w:rPr>
          <w:color w:val="000000"/>
        </w:rPr>
        <w:t xml:space="preserve">before study entry were </w:t>
      </w:r>
      <w:r>
        <w:rPr>
          <w:color w:val="000000"/>
        </w:rPr>
        <w:t xml:space="preserve">documented. </w:t>
      </w:r>
      <w:r w:rsidRPr="0097295A">
        <w:rPr>
          <w:color w:val="000000"/>
        </w:rPr>
        <w:t xml:space="preserve">Concomitant administration of therapies not interfering with the objectives of the study was permitted. No other FVIII concentrate was permitted, except for emergency situations and in case of treatment of bleedings occurring between screening and end of PK Cycle 2. Patients who switched to another FVIII product during </w:t>
      </w:r>
      <w:r>
        <w:rPr>
          <w:color w:val="000000"/>
        </w:rPr>
        <w:t>the study</w:t>
      </w:r>
      <w:r w:rsidRPr="0097295A">
        <w:rPr>
          <w:color w:val="000000"/>
        </w:rPr>
        <w:t xml:space="preserve"> were not considered treatment failures in the efficacy analyses if: (i) the use of another FVIII concentrate was due to an emergency; (ii) </w:t>
      </w:r>
      <w:r>
        <w:rPr>
          <w:color w:val="000000"/>
        </w:rPr>
        <w:t xml:space="preserve">simoctocog alfa </w:t>
      </w:r>
      <w:r w:rsidRPr="0097295A">
        <w:rPr>
          <w:color w:val="000000"/>
        </w:rPr>
        <w:t>was not available for the patient in time. Immunomodulating drugs other than antiretroviral chemotherapy, such as α-interferon, prednisone (equivalent to &gt;10 mg/day) or similar drugs were not permitted. Antifibrinolytics during surgery were not permitted unless it could not be avoided.</w:t>
      </w:r>
    </w:p>
    <w:p w14:paraId="1A164589" w14:textId="33B4A3BF" w:rsidR="006D35A0" w:rsidRPr="009B2236" w:rsidRDefault="006D35A0" w:rsidP="009B2236">
      <w:pPr>
        <w:pStyle w:val="ListBullet"/>
        <w:rPr>
          <w:b/>
        </w:rPr>
      </w:pPr>
      <w:r w:rsidRPr="009B2236">
        <w:rPr>
          <w:b/>
        </w:rPr>
        <w:lastRenderedPageBreak/>
        <w:t>Treatment compliance</w:t>
      </w:r>
    </w:p>
    <w:p w14:paraId="63765E73" w14:textId="77777777" w:rsidR="006D35A0"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97295A">
        <w:rPr>
          <w:color w:val="000000"/>
        </w:rPr>
        <w:t xml:space="preserve">Detailed procedures were </w:t>
      </w:r>
      <w:r>
        <w:rPr>
          <w:color w:val="000000"/>
        </w:rPr>
        <w:t>put into place in order to assess treatment compliance. These procedures have been examined and are considered to be satisfactory.</w:t>
      </w:r>
    </w:p>
    <w:p w14:paraId="537A2E80" w14:textId="77777777" w:rsidR="000F04AF" w:rsidRDefault="006D35A0" w:rsidP="008A40A4">
      <w:pPr>
        <w:pStyle w:val="Heading5"/>
      </w:pPr>
      <w:bookmarkStart w:id="64" w:name="_Toc266446444"/>
      <w:r w:rsidRPr="000121A6">
        <w:t>Efficacy variables and outcomes</w:t>
      </w:r>
      <w:bookmarkEnd w:id="64"/>
    </w:p>
    <w:p w14:paraId="463B9383" w14:textId="77777777" w:rsidR="000F04AF" w:rsidRDefault="006D35A0" w:rsidP="008A40A4">
      <w:pPr>
        <w:pStyle w:val="Heading6"/>
      </w:pPr>
      <w:bookmarkStart w:id="65" w:name="_Toc266446445"/>
      <w:r w:rsidRPr="000121A6">
        <w:t>Bleeding episodes (BEs)</w:t>
      </w:r>
      <w:bookmarkEnd w:id="65"/>
    </w:p>
    <w:p w14:paraId="163FBEB6" w14:textId="77777777" w:rsidR="000F04AF" w:rsidRDefault="006D35A0" w:rsidP="008A40A4">
      <w:pPr>
        <w:pStyle w:val="Heading7"/>
      </w:pPr>
      <w:r w:rsidRPr="000121A6">
        <w:t>Details of the BEs</w:t>
      </w:r>
    </w:p>
    <w:p w14:paraId="46A255CC" w14:textId="7696E799" w:rsidR="006D35A0" w:rsidRPr="00EC3540" w:rsidRDefault="006D35A0" w:rsidP="006D35A0">
      <w:r w:rsidRPr="00EC3540">
        <w:t>For all BEs occurring during the study the following data were documented</w:t>
      </w:r>
      <w:r>
        <w:t xml:space="preserve"> by </w:t>
      </w:r>
      <w:r w:rsidRPr="00EC3540">
        <w:t xml:space="preserve">the patient (together with the investigator in case of on-site treatments) in the </w:t>
      </w:r>
      <w:r>
        <w:t>patient</w:t>
      </w:r>
      <w:r w:rsidRPr="00EC3540">
        <w:t xml:space="preserve"> diary. Patients w</w:t>
      </w:r>
      <w:r>
        <w:t>ho experienced a major or life-</w:t>
      </w:r>
      <w:r w:rsidRPr="00EC3540">
        <w:t>threatening BE should preferably have been treated at the study site.</w:t>
      </w:r>
    </w:p>
    <w:p w14:paraId="3444159C" w14:textId="77777777" w:rsidR="000F04AF" w:rsidRDefault="006D35A0" w:rsidP="000121A6">
      <w:pPr>
        <w:pStyle w:val="ListBullet"/>
      </w:pPr>
      <w:r w:rsidRPr="0097295A">
        <w:t>Type of bleeding (spontaneous, traumatic, post-operative, other)</w:t>
      </w:r>
      <w:r>
        <w:t>.</w:t>
      </w:r>
    </w:p>
    <w:p w14:paraId="50F4B596" w14:textId="77777777" w:rsidR="000F04AF" w:rsidRDefault="006D35A0" w:rsidP="000121A6">
      <w:pPr>
        <w:pStyle w:val="ListBullet"/>
      </w:pPr>
      <w:r w:rsidRPr="0097295A">
        <w:t>Site of bleeding</w:t>
      </w:r>
      <w:r>
        <w:t>.</w:t>
      </w:r>
    </w:p>
    <w:p w14:paraId="7CD09107" w14:textId="77777777" w:rsidR="000F04AF" w:rsidRDefault="006D35A0" w:rsidP="000121A6">
      <w:pPr>
        <w:pStyle w:val="ListBullet"/>
      </w:pPr>
      <w:r w:rsidRPr="0097295A">
        <w:t>Start date and time of occurrence/of noticing the bleed</w:t>
      </w:r>
      <w:r>
        <w:t>.</w:t>
      </w:r>
    </w:p>
    <w:p w14:paraId="2CC3FE31" w14:textId="77777777" w:rsidR="000F04AF" w:rsidRDefault="006D35A0" w:rsidP="000121A6">
      <w:pPr>
        <w:pStyle w:val="ListBullet"/>
      </w:pPr>
      <w:r w:rsidRPr="0097295A">
        <w:t>Severity of the bleed (minor, moderate, major or life threatening)</w:t>
      </w:r>
      <w:r>
        <w:t>.</w:t>
      </w:r>
    </w:p>
    <w:p w14:paraId="02BF0F1E" w14:textId="6858ABCE" w:rsidR="006D35A0" w:rsidRPr="00EC3540" w:rsidRDefault="006D35A0" w:rsidP="000121A6">
      <w:pPr>
        <w:pStyle w:val="ListBullet"/>
      </w:pPr>
      <w:r>
        <w:t>End date and time of BE. If t</w:t>
      </w:r>
      <w:r w:rsidRPr="00EC3540">
        <w:t>he treatment of a BE at one site was interrupted for more than 48 hours, the events were</w:t>
      </w:r>
      <w:r>
        <w:t xml:space="preserve"> recorded as two separate BEs. I</w:t>
      </w:r>
      <w:r w:rsidRPr="00EC3540">
        <w:t xml:space="preserve">f another </w:t>
      </w:r>
      <w:r>
        <w:t xml:space="preserve">site </w:t>
      </w:r>
      <w:r w:rsidRPr="00EC3540">
        <w:t xml:space="preserve">than the original bleeding site was affected, the events were recorded as separate BEs at any time. If a </w:t>
      </w:r>
      <w:r>
        <w:t xml:space="preserve">patient </w:t>
      </w:r>
      <w:r w:rsidRPr="00EC3540">
        <w:t xml:space="preserve">experienced simultaneously BEs at several sites, each </w:t>
      </w:r>
      <w:r>
        <w:t xml:space="preserve">event was </w:t>
      </w:r>
      <w:r w:rsidRPr="00EC3540">
        <w:t xml:space="preserve">documented as </w:t>
      </w:r>
      <w:r>
        <w:t>a separate BE</w:t>
      </w:r>
      <w:r w:rsidRPr="00EC3540">
        <w:t>.</w:t>
      </w:r>
    </w:p>
    <w:p w14:paraId="46473882" w14:textId="77777777" w:rsidR="000F04AF" w:rsidRDefault="006D35A0" w:rsidP="000121A6">
      <w:pPr>
        <w:pStyle w:val="ListBullet"/>
      </w:pPr>
      <w:r w:rsidRPr="0097295A">
        <w:t xml:space="preserve">Efficacy response assessment after each infusion of </w:t>
      </w:r>
      <w:r>
        <w:t>simoctocog alfa.</w:t>
      </w:r>
    </w:p>
    <w:p w14:paraId="4B114978" w14:textId="77777777" w:rsidR="000F04AF" w:rsidRDefault="006D35A0" w:rsidP="000121A6">
      <w:pPr>
        <w:pStyle w:val="ListBullet"/>
      </w:pPr>
      <w:r w:rsidRPr="0097295A">
        <w:t xml:space="preserve">Efficacy </w:t>
      </w:r>
      <w:r>
        <w:t>assessment at the end of the BE.</w:t>
      </w:r>
    </w:p>
    <w:p w14:paraId="048412FC" w14:textId="354FA247" w:rsidR="006D35A0" w:rsidRPr="0097295A" w:rsidRDefault="006D35A0" w:rsidP="000121A6">
      <w:pPr>
        <w:pStyle w:val="ListBullet"/>
      </w:pPr>
      <w:r w:rsidRPr="0097295A">
        <w:t>Details of dose(s) an</w:t>
      </w:r>
      <w:r>
        <w:t xml:space="preserve">d batch number used to treat BE were documented including </w:t>
      </w:r>
      <w:r w:rsidRPr="0097295A">
        <w:t xml:space="preserve">increased and decreased doses of </w:t>
      </w:r>
      <w:r>
        <w:t xml:space="preserve">simoctocog alfa </w:t>
      </w:r>
      <w:r w:rsidRPr="0097295A">
        <w:t>used to treat individual BEs (frequency and relative magnitude of dose changes); changes in the doses per infusion and changes in the total dose used to treat subsequent BEs of the same type (</w:t>
      </w:r>
      <w:r w:rsidR="001A2E59">
        <w:t>for example,</w:t>
      </w:r>
      <w:r w:rsidRPr="0097295A">
        <w:t xml:space="preserve"> elbow, knee, etc.) in the same patient (frequency and relative magnitude of dose changes)</w:t>
      </w:r>
      <w:r>
        <w:t>.</w:t>
      </w:r>
    </w:p>
    <w:p w14:paraId="3606C7BC" w14:textId="77777777" w:rsidR="000F04AF" w:rsidRDefault="006D35A0" w:rsidP="000121A6">
      <w:pPr>
        <w:pStyle w:val="ListBullet"/>
      </w:pPr>
      <w:r w:rsidRPr="0097295A">
        <w:t>Dates and times of study product injections</w:t>
      </w:r>
      <w:r>
        <w:t>.</w:t>
      </w:r>
    </w:p>
    <w:p w14:paraId="74400736" w14:textId="77777777" w:rsidR="000F04AF" w:rsidRDefault="006D35A0" w:rsidP="008A40A4">
      <w:pPr>
        <w:pStyle w:val="Heading6"/>
      </w:pPr>
      <w:r w:rsidRPr="009B2236">
        <w:t>Efficacy assessment of the BE</w:t>
      </w:r>
    </w:p>
    <w:p w14:paraId="589059F2" w14:textId="77777777" w:rsidR="000F04AF" w:rsidRDefault="006D35A0" w:rsidP="006D35A0">
      <w:r w:rsidRPr="00D34680">
        <w:t>After each infusion of simoctocog alfa and at the end of a BE, the following efficacy assessment was made by the patient (together with the investigator in case of on-site treatment):</w:t>
      </w:r>
    </w:p>
    <w:p w14:paraId="4CE65368" w14:textId="77777777" w:rsidR="000F04AF" w:rsidRDefault="006D35A0" w:rsidP="009B2236">
      <w:pPr>
        <w:pStyle w:val="ListBullet"/>
      </w:pPr>
      <w:r w:rsidRPr="00D34680">
        <w:rPr>
          <w:b/>
          <w:i/>
        </w:rPr>
        <w:t>Excellent:</w:t>
      </w:r>
      <w:r w:rsidRPr="00D34680">
        <w:t xml:space="preserve"> Abrupt pain relief and/or unequivocal improvement in objective signs of bleeding within approximately 8 hours after a single infusion.</w:t>
      </w:r>
    </w:p>
    <w:p w14:paraId="08D7237E" w14:textId="77777777" w:rsidR="000F04AF" w:rsidRDefault="006D35A0" w:rsidP="009B2236">
      <w:pPr>
        <w:pStyle w:val="ListBullet"/>
      </w:pPr>
      <w:r w:rsidRPr="00D34680">
        <w:rPr>
          <w:b/>
          <w:i/>
        </w:rPr>
        <w:t>Good:</w:t>
      </w:r>
      <w:r w:rsidRPr="00D34680">
        <w:t xml:space="preserve"> Definite pain relief and/or improvement in signs of bleeding within approximately 8 to 12 hours after an infusion requiring up to 2 infusions for complete resolution.</w:t>
      </w:r>
    </w:p>
    <w:p w14:paraId="0B0CC6CB" w14:textId="77777777" w:rsidR="000F04AF" w:rsidRDefault="006D35A0" w:rsidP="009B2236">
      <w:pPr>
        <w:pStyle w:val="ListBullet"/>
      </w:pPr>
      <w:r w:rsidRPr="00D34680">
        <w:rPr>
          <w:b/>
          <w:i/>
        </w:rPr>
        <w:t>Moderate:</w:t>
      </w:r>
      <w:r w:rsidRPr="00D34680">
        <w:t xml:space="preserve"> Probable or slight beneficial effect within approximately 12 hours after the first infusion requiring more than two infusions for complete resolution.</w:t>
      </w:r>
    </w:p>
    <w:p w14:paraId="30EF8FA6" w14:textId="77777777" w:rsidR="000F04AF" w:rsidRDefault="006D35A0" w:rsidP="009B2236">
      <w:pPr>
        <w:pStyle w:val="ListBullet"/>
      </w:pPr>
      <w:r w:rsidRPr="00D34680">
        <w:rPr>
          <w:b/>
          <w:i/>
        </w:rPr>
        <w:t>None:</w:t>
      </w:r>
      <w:r w:rsidRPr="00D34680">
        <w:t xml:space="preserve"> </w:t>
      </w:r>
      <w:proofErr w:type="gramStart"/>
      <w:r w:rsidRPr="00D34680">
        <w:t>No</w:t>
      </w:r>
      <w:proofErr w:type="gramEnd"/>
      <w:r w:rsidRPr="00D34680">
        <w:t xml:space="preserve"> improvement within 12 hours, or worsening of symptoms, requiring more than 2 infusions for complete resolution</w:t>
      </w:r>
      <w:r w:rsidR="000F04AF">
        <w:t>.</w:t>
      </w:r>
    </w:p>
    <w:p w14:paraId="1A397175" w14:textId="3C6CB1D8"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34680">
        <w:rPr>
          <w:color w:val="000000"/>
        </w:rPr>
        <w:t>For certain major bleeding events it may have been necessary to continue treatment beyond the resolution of the acute phase for a brief period of prophylaxis to prevent recurrent haemorrhage. These additional infusions had to be recorded separately and were not evaluated for efficacy.</w:t>
      </w:r>
    </w:p>
    <w:p w14:paraId="7F4C36A2" w14:textId="416D53ED" w:rsidR="006D35A0" w:rsidRPr="00D34680"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34680">
        <w:rPr>
          <w:color w:val="000000"/>
        </w:rPr>
        <w:lastRenderedPageBreak/>
        <w:t>A formal statistical test was to be performed to determine whether the proportion of BEs with successful treatment (rated as good or excellent at the efficacy assessment at end of BE) was significantly higher than 70%</w:t>
      </w:r>
    </w:p>
    <w:p w14:paraId="43AF91BD" w14:textId="77777777" w:rsidR="000F04AF" w:rsidRDefault="006D35A0" w:rsidP="008A40A4">
      <w:pPr>
        <w:pStyle w:val="Heading6"/>
      </w:pPr>
      <w:bookmarkStart w:id="66" w:name="_Toc266446446"/>
      <w:r w:rsidRPr="009B2236">
        <w:t>Surgical prophylaxis</w:t>
      </w:r>
      <w:bookmarkEnd w:id="66"/>
    </w:p>
    <w:p w14:paraId="7DC47F44" w14:textId="28C25E7C" w:rsidR="006D35A0" w:rsidRPr="009B2236" w:rsidRDefault="006D35A0" w:rsidP="008A40A4">
      <w:pPr>
        <w:pStyle w:val="Heading7"/>
      </w:pPr>
      <w:r w:rsidRPr="009B2236">
        <w:t>Surgical procedures</w:t>
      </w:r>
    </w:p>
    <w:p w14:paraId="765344B1" w14:textId="77777777" w:rsidR="006D35A0" w:rsidRPr="00C548DA" w:rsidRDefault="006D35A0" w:rsidP="006D35A0">
      <w:r w:rsidRPr="00C548DA">
        <w:t>For all surgical procedures, the following data were documented:</w:t>
      </w:r>
    </w:p>
    <w:p w14:paraId="737F3734" w14:textId="77777777" w:rsidR="006D35A0" w:rsidRPr="00C548DA" w:rsidRDefault="006D35A0" w:rsidP="009B2236">
      <w:pPr>
        <w:pStyle w:val="ListBullet"/>
      </w:pPr>
      <w:r w:rsidRPr="00C548DA">
        <w:t>Location and type (planned or emergency) of surgery.</w:t>
      </w:r>
    </w:p>
    <w:p w14:paraId="7275BE4C" w14:textId="77777777" w:rsidR="006D35A0" w:rsidRPr="00C548DA" w:rsidRDefault="006D35A0" w:rsidP="009B2236">
      <w:pPr>
        <w:pStyle w:val="ListBullet"/>
      </w:pPr>
      <w:r w:rsidRPr="00C548DA">
        <w:t>Severity of surgery (minor - major, definitions see below).</w:t>
      </w:r>
    </w:p>
    <w:p w14:paraId="2A1265EB" w14:textId="77777777" w:rsidR="006D35A0" w:rsidRPr="00C548DA" w:rsidRDefault="006D35A0" w:rsidP="009B2236">
      <w:pPr>
        <w:pStyle w:val="ListBullet"/>
      </w:pPr>
      <w:r w:rsidRPr="00C548DA">
        <w:t>Expected duration of surgical procedure.</w:t>
      </w:r>
    </w:p>
    <w:p w14:paraId="1EDCA909" w14:textId="77777777" w:rsidR="006D35A0" w:rsidRPr="00C548DA" w:rsidRDefault="006D35A0" w:rsidP="009B2236">
      <w:pPr>
        <w:pStyle w:val="ListBullet"/>
      </w:pPr>
      <w:r w:rsidRPr="00C548DA">
        <w:t>Actual BW prior surgery (kg).</w:t>
      </w:r>
    </w:p>
    <w:p w14:paraId="124D8EBF" w14:textId="546849B3" w:rsidR="006D35A0" w:rsidRPr="00C548DA" w:rsidRDefault="006D35A0" w:rsidP="009B2236">
      <w:pPr>
        <w:pStyle w:val="ListBullet"/>
      </w:pPr>
      <w:r w:rsidRPr="00C548DA">
        <w:t>Actual duration of surgical procedure (</w:t>
      </w:r>
      <w:proofErr w:type="gramStart"/>
      <w:r w:rsidRPr="00C548DA">
        <w:t>start</w:t>
      </w:r>
      <w:proofErr w:type="gramEnd"/>
      <w:r w:rsidRPr="00C548DA">
        <w:t xml:space="preserve"> and end times, </w:t>
      </w:r>
      <w:r w:rsidR="001A2E59">
        <w:t>that is,</w:t>
      </w:r>
      <w:r w:rsidRPr="00C548DA">
        <w:t xml:space="preserve"> skin to skin).</w:t>
      </w:r>
    </w:p>
    <w:p w14:paraId="086BAAB3" w14:textId="77777777" w:rsidR="000F04AF" w:rsidRDefault="006D35A0" w:rsidP="009B2236">
      <w:pPr>
        <w:pStyle w:val="ListBullet"/>
      </w:pPr>
      <w:r w:rsidRPr="00C548DA">
        <w:t>Pre-, intra-, and post-operative FVIII plasma levels.</w:t>
      </w:r>
    </w:p>
    <w:p w14:paraId="2E8FF287" w14:textId="4176DF92" w:rsidR="006D35A0" w:rsidRPr="00C548DA" w:rsidRDefault="006D35A0" w:rsidP="009B2236">
      <w:pPr>
        <w:pStyle w:val="ListBullet"/>
      </w:pPr>
      <w:r w:rsidRPr="00C548DA">
        <w:t>Expected and actual blood loss.</w:t>
      </w:r>
    </w:p>
    <w:p w14:paraId="6357EACD" w14:textId="77777777" w:rsidR="006D35A0" w:rsidRPr="00C548DA" w:rsidRDefault="006D35A0" w:rsidP="009B2236">
      <w:pPr>
        <w:pStyle w:val="ListBullet"/>
      </w:pPr>
      <w:r w:rsidRPr="00C548DA">
        <w:t>All wound haematomas were to be captured, analysed, and reported noting whether they required surgical evacuation.</w:t>
      </w:r>
    </w:p>
    <w:p w14:paraId="3ED7986F" w14:textId="77777777" w:rsidR="006D35A0" w:rsidRPr="00C548DA" w:rsidRDefault="006D35A0" w:rsidP="009B2236">
      <w:pPr>
        <w:pStyle w:val="ListBullet"/>
      </w:pPr>
      <w:r w:rsidRPr="00C548DA">
        <w:t>FVIII inhibitor level and anti-rhFVIII antibodies pre-infusion.</w:t>
      </w:r>
    </w:p>
    <w:p w14:paraId="6FFFAB9E" w14:textId="77777777" w:rsidR="006D35A0" w:rsidRPr="00C548DA" w:rsidRDefault="006D35A0" w:rsidP="009B2236">
      <w:pPr>
        <w:pStyle w:val="ListBullet"/>
      </w:pPr>
      <w:r w:rsidRPr="00C548DA">
        <w:t>Laboratory tests (haematology, chemistry: before and 24 hours after end of surgery).</w:t>
      </w:r>
    </w:p>
    <w:p w14:paraId="3E67CFAC" w14:textId="77777777" w:rsidR="006D35A0" w:rsidRPr="00C548DA" w:rsidRDefault="006D35A0" w:rsidP="009B2236">
      <w:pPr>
        <w:pStyle w:val="ListBullet"/>
      </w:pPr>
      <w:r w:rsidRPr="00C548DA">
        <w:t>Details on concomitantly administered products including any blood/blood product transfusions but excluding drugs given for routine anaesthesia.</w:t>
      </w:r>
    </w:p>
    <w:p w14:paraId="2F96DC51" w14:textId="77777777" w:rsidR="006D35A0" w:rsidRPr="00C548DA" w:rsidRDefault="006D35A0" w:rsidP="009B2236">
      <w:pPr>
        <w:pStyle w:val="ListBullet"/>
      </w:pPr>
      <w:r w:rsidRPr="00C548DA">
        <w:t xml:space="preserve">Details of administered dose(s) of </w:t>
      </w:r>
      <w:r>
        <w:t>simoctocog alfa given pre-, intra- and/or post-</w:t>
      </w:r>
      <w:r w:rsidRPr="00C548DA">
        <w:t>operatively (definitions see below) including dates, times, and batch number</w:t>
      </w:r>
    </w:p>
    <w:p w14:paraId="498ED94E" w14:textId="77777777" w:rsidR="006D35A0" w:rsidRPr="00C548DA" w:rsidRDefault="006D35A0" w:rsidP="009B2236">
      <w:pPr>
        <w:pStyle w:val="ListBullet"/>
      </w:pPr>
      <w:r w:rsidRPr="00C548DA">
        <w:t>A brief narrative describing the outcome and efficacy of the intervention</w:t>
      </w:r>
    </w:p>
    <w:p w14:paraId="083362ED" w14:textId="77777777" w:rsidR="006D35A0" w:rsidRPr="00C548DA" w:rsidRDefault="006D35A0" w:rsidP="009B2236">
      <w:pPr>
        <w:pStyle w:val="ListBullet"/>
      </w:pPr>
      <w:r w:rsidRPr="00C548DA">
        <w:t xml:space="preserve">Overall efficacy assessment at the end of surgical prophylaxis by the surgeon and the </w:t>
      </w:r>
      <w:r w:rsidRPr="00C548DA">
        <w:tab/>
        <w:t>haematologist.</w:t>
      </w:r>
      <w:r w:rsidRPr="00C548DA">
        <w:tab/>
      </w:r>
    </w:p>
    <w:p w14:paraId="4710DB86" w14:textId="77777777" w:rsidR="000F04AF" w:rsidRDefault="006D35A0" w:rsidP="009B2236">
      <w:pPr>
        <w:pStyle w:val="ListBullet"/>
      </w:pPr>
      <w:r w:rsidRPr="00C548DA">
        <w:t>Monitoring of AEs</w:t>
      </w:r>
      <w:r>
        <w:t>.</w:t>
      </w:r>
    </w:p>
    <w:p w14:paraId="7D787BEC" w14:textId="77777777" w:rsidR="000F04AF" w:rsidRDefault="006D35A0" w:rsidP="00BE22E2">
      <w:pPr>
        <w:pStyle w:val="Heading6"/>
      </w:pPr>
      <w:r w:rsidRPr="00C53AA8">
        <w:t>Classification of surgeries</w:t>
      </w:r>
    </w:p>
    <w:p w14:paraId="65C71B9F" w14:textId="77777777" w:rsidR="000F04AF" w:rsidRDefault="006D35A0" w:rsidP="006D35A0">
      <w:r w:rsidRPr="00C548DA">
        <w:t>The classif</w:t>
      </w:r>
      <w:r>
        <w:t xml:space="preserve">ication of surgeries was made prospectively. </w:t>
      </w:r>
      <w:r w:rsidRPr="00C548DA">
        <w:t xml:space="preserve">Surgeries were defined as major if any of </w:t>
      </w:r>
      <w:r>
        <w:t xml:space="preserve">the following criteria were met (all other surgeries were defined as minor): (i) </w:t>
      </w:r>
      <w:r w:rsidRPr="00C548DA">
        <w:t>general or spinal anaesthesia</w:t>
      </w:r>
      <w:r>
        <w:t xml:space="preserve">; (ii) </w:t>
      </w:r>
      <w:r w:rsidRPr="00C548DA">
        <w:t>opening into the great body cavitie</w:t>
      </w:r>
      <w:r>
        <w:t xml:space="preserve">s in the course of which severe </w:t>
      </w:r>
      <w:r w:rsidRPr="00C548DA">
        <w:t>haemorrhage was possible</w:t>
      </w:r>
      <w:r>
        <w:t xml:space="preserve">; (iii) </w:t>
      </w:r>
      <w:r w:rsidRPr="00C548DA">
        <w:t>haemostatic therapy for at least 6 days</w:t>
      </w:r>
      <w:r>
        <w:t>; (iv) o</w:t>
      </w:r>
      <w:r w:rsidRPr="00C548DA">
        <w:t>rthopaedic interventions involving joints (ankle, knee, hip, wrist, elbow, shoulder)</w:t>
      </w:r>
      <w:r>
        <w:t xml:space="preserve">; (v) </w:t>
      </w:r>
      <w:r w:rsidRPr="00C548DA">
        <w:t>3rd molar extraction or extraction of 3 or more teeth</w:t>
      </w:r>
      <w:r>
        <w:t>; or (vi) life-threatening s</w:t>
      </w:r>
      <w:r w:rsidRPr="00C548DA">
        <w:t>urgeries/condition</w:t>
      </w:r>
      <w:r>
        <w:t>s.</w:t>
      </w:r>
    </w:p>
    <w:p w14:paraId="7D1A2DE2" w14:textId="12371256" w:rsidR="006D35A0" w:rsidRPr="00C53AA8" w:rsidRDefault="006D35A0" w:rsidP="00BE22E2">
      <w:pPr>
        <w:pStyle w:val="Heading6"/>
      </w:pPr>
      <w:r w:rsidRPr="00C53AA8">
        <w:t>FVIII plasma levels</w:t>
      </w:r>
    </w:p>
    <w:p w14:paraId="705F2EFC" w14:textId="77777777" w:rsidR="006D35A0" w:rsidRDefault="006D35A0" w:rsidP="006D35A0">
      <w:r w:rsidRPr="004F4B03">
        <w:t>FVIII plasma levels (</w:t>
      </w:r>
      <w:r>
        <w:t xml:space="preserve">CHR and OS </w:t>
      </w:r>
      <w:r w:rsidRPr="004F4B03">
        <w:t>assays, local and central lab</w:t>
      </w:r>
      <w:r>
        <w:t>oratory</w:t>
      </w:r>
      <w:r w:rsidRPr="004F4B03">
        <w:t>) were documented for the following time-points:</w:t>
      </w:r>
      <w:r>
        <w:t xml:space="preserve"> (i) i</w:t>
      </w:r>
      <w:r w:rsidRPr="004F4B03">
        <w:t>mmediately (&lt;30 minutes) before and 60±15 min after pre-operative injection of study product</w:t>
      </w:r>
      <w:r>
        <w:t>; (ii) i</w:t>
      </w:r>
      <w:r w:rsidRPr="004F4B03">
        <w:t>mmediately (&lt;30 minutes) before and 60±15 min after each intra-operative bolus dose (if any)</w:t>
      </w:r>
      <w:r>
        <w:t>; and (iii) i</w:t>
      </w:r>
      <w:r w:rsidRPr="004F4B03">
        <w:t>mmediately (&lt;30 minutes) before and 60±15 min after each post-operative dose (if any); in case of major surgery: mandatory for the first 3 post-operative doses</w:t>
      </w:r>
      <w:r>
        <w:t>.</w:t>
      </w:r>
    </w:p>
    <w:p w14:paraId="78E8F4C6" w14:textId="77777777" w:rsidR="000F04AF" w:rsidRDefault="006D35A0" w:rsidP="00BE22E2">
      <w:pPr>
        <w:pStyle w:val="Heading6"/>
      </w:pPr>
      <w:r w:rsidRPr="00C53AA8">
        <w:lastRenderedPageBreak/>
        <w:t>Estimation of blood loss</w:t>
      </w:r>
    </w:p>
    <w:p w14:paraId="5515A554" w14:textId="227B8D50" w:rsidR="006D35A0" w:rsidRPr="004F4B03" w:rsidRDefault="006D35A0" w:rsidP="006D35A0">
      <w:r w:rsidRPr="004F4B03">
        <w:rPr>
          <w:i/>
        </w:rPr>
        <w:t>Prior to surg</w:t>
      </w:r>
      <w:r w:rsidRPr="004F4B03">
        <w:t>ery, the surgeon was to provide wri</w:t>
      </w:r>
      <w:r>
        <w:t>tten estimates of the volume</w:t>
      </w:r>
      <w:r w:rsidRPr="004F4B03">
        <w:t xml:space="preserve"> (mL) of average </w:t>
      </w:r>
      <w:r>
        <w:t xml:space="preserve">and maximal </w:t>
      </w:r>
      <w:r w:rsidRPr="004F4B03">
        <w:t>expected blood loss for the planned surgical proc</w:t>
      </w:r>
      <w:r>
        <w:t xml:space="preserve">edure </w:t>
      </w:r>
      <w:r w:rsidRPr="004F4B03">
        <w:t>for the same procedure in a subject with normal haemostasis, of the same sex, age, and stature.</w:t>
      </w:r>
      <w:r>
        <w:t xml:space="preserve"> </w:t>
      </w:r>
      <w:r w:rsidRPr="004F4B03">
        <w:rPr>
          <w:i/>
        </w:rPr>
        <w:t>Following surgery</w:t>
      </w:r>
      <w:r w:rsidRPr="004F4B03">
        <w:t>, the actual blood loss was estimated by the surgeon.</w:t>
      </w:r>
    </w:p>
    <w:p w14:paraId="4656D7D3" w14:textId="77777777" w:rsidR="000F04AF" w:rsidRDefault="006D35A0" w:rsidP="00BE22E2">
      <w:pPr>
        <w:pStyle w:val="Heading6"/>
      </w:pPr>
      <w:r w:rsidRPr="00C53AA8">
        <w:t>Definitions of pre-, intra-, and post-operative blood loss</w:t>
      </w:r>
    </w:p>
    <w:p w14:paraId="1C99DF50" w14:textId="1C035169" w:rsidR="006D35A0" w:rsidRDefault="006D35A0" w:rsidP="006D35A0">
      <w:r>
        <w:t xml:space="preserve">(i) </w:t>
      </w:r>
      <w:r w:rsidRPr="00232ED0">
        <w:rPr>
          <w:i/>
        </w:rPr>
        <w:t>Pre-operative:</w:t>
      </w:r>
      <w:r w:rsidRPr="00232ED0">
        <w:t xml:space="preserve"> Any infusion given within 3 hours before start of surgery</w:t>
      </w:r>
      <w:r>
        <w:t xml:space="preserve">; (ii) </w:t>
      </w:r>
      <w:r w:rsidRPr="00232ED0">
        <w:rPr>
          <w:i/>
        </w:rPr>
        <w:t>Intra-operative:</w:t>
      </w:r>
      <w:r w:rsidRPr="00232ED0">
        <w:t xml:space="preserve"> Any infusion given during surgery</w:t>
      </w:r>
      <w:r>
        <w:t xml:space="preserve">; and (iii) </w:t>
      </w:r>
      <w:r w:rsidRPr="00232ED0">
        <w:rPr>
          <w:i/>
        </w:rPr>
        <w:t>Post-operative:</w:t>
      </w:r>
      <w:r w:rsidRPr="00232ED0">
        <w:t xml:space="preserve"> Any administration given following the final suture of the surgical incision until at least 2 days (minor surgery) or at least 6 days (major surgery) after surgery or until healing was complete, whichever occurred later, and the patient returned to his regular treatment</w:t>
      </w:r>
      <w:r>
        <w:t xml:space="preserve">. </w:t>
      </w:r>
      <w:r w:rsidRPr="00232ED0">
        <w:t>Short periods of prophylactic treatments were permitted following a major surgery.</w:t>
      </w:r>
    </w:p>
    <w:p w14:paraId="54EFAFB6" w14:textId="77777777" w:rsidR="000F04AF" w:rsidRDefault="006D35A0" w:rsidP="00BE22E2">
      <w:pPr>
        <w:pStyle w:val="Heading6"/>
      </w:pPr>
      <w:r w:rsidRPr="00C53AA8">
        <w:t>Efficacy assessments</w:t>
      </w:r>
    </w:p>
    <w:p w14:paraId="232C8DE5" w14:textId="77777777" w:rsidR="000F04AF" w:rsidRDefault="006D35A0" w:rsidP="006D35A0">
      <w:r w:rsidRPr="00232ED0">
        <w:t>Efficacy was to be assessed at the end of surgery by the surgeon and post</w:t>
      </w:r>
      <w:r>
        <w:t>-</w:t>
      </w:r>
      <w:r w:rsidRPr="00232ED0">
        <w:t xml:space="preserve">operatively by the surgeon and the haematologist using the following </w:t>
      </w:r>
      <w:r>
        <w:t>criteria.</w:t>
      </w:r>
    </w:p>
    <w:p w14:paraId="556B113F" w14:textId="0A34B5BB" w:rsidR="006D35A0" w:rsidRPr="00BE2685" w:rsidRDefault="006D35A0" w:rsidP="00C53AA8">
      <w:pPr>
        <w:pStyle w:val="ListBullet"/>
        <w:rPr>
          <w:b/>
          <w:i/>
        </w:rPr>
      </w:pPr>
      <w:r w:rsidRPr="00BE2685">
        <w:rPr>
          <w:b/>
          <w:i/>
        </w:rPr>
        <w:t>Intra-operative efficacy:</w:t>
      </w:r>
    </w:p>
    <w:p w14:paraId="07817914" w14:textId="77777777" w:rsidR="006D35A0" w:rsidRPr="00232ED0" w:rsidRDefault="006D35A0" w:rsidP="00C53AA8">
      <w:pPr>
        <w:pStyle w:val="ListBullet2"/>
      </w:pPr>
      <w:r w:rsidRPr="00232ED0">
        <w:rPr>
          <w:b/>
          <w:i/>
        </w:rPr>
        <w:t>Excellent:</w:t>
      </w:r>
      <w:r w:rsidRPr="00232ED0">
        <w:t xml:space="preserve"> Intra-operative blood loss was lower than or equal to the average expected blood loss for the type of procedure performed in a patient with normal haemostasis and of the same sex, age, and stature.</w:t>
      </w:r>
    </w:p>
    <w:p w14:paraId="0D0EA9EB" w14:textId="77777777" w:rsidR="006D35A0" w:rsidRPr="00232ED0" w:rsidRDefault="006D35A0" w:rsidP="00C53AA8">
      <w:pPr>
        <w:pStyle w:val="ListBullet2"/>
      </w:pPr>
      <w:r w:rsidRPr="00232ED0">
        <w:rPr>
          <w:b/>
          <w:i/>
        </w:rPr>
        <w:t>Good:</w:t>
      </w:r>
      <w:r w:rsidRPr="00232ED0">
        <w:t xml:space="preserve"> Intra-operative blood loss was higher than average expected blood loss but lower or equal to the maximal expected blood loss for the type of procedure in a patient with normal haemostasis.</w:t>
      </w:r>
    </w:p>
    <w:p w14:paraId="069951F3" w14:textId="77777777" w:rsidR="006D35A0" w:rsidRPr="00232ED0" w:rsidRDefault="006D35A0" w:rsidP="00C53AA8">
      <w:pPr>
        <w:pStyle w:val="ListBullet2"/>
      </w:pPr>
      <w:r w:rsidRPr="00232ED0">
        <w:rPr>
          <w:b/>
          <w:i/>
        </w:rPr>
        <w:t>Moderate:</w:t>
      </w:r>
      <w:r w:rsidRPr="00232ED0">
        <w:t xml:space="preserve"> Intra-operative blood loss was higher than maximal expected blood loss for the type of procedure performed in a patient with normal haemostasis, but haemostasis was controlled.</w:t>
      </w:r>
    </w:p>
    <w:p w14:paraId="42E985E2" w14:textId="77777777" w:rsidR="006D35A0" w:rsidRPr="00232ED0" w:rsidRDefault="006D35A0" w:rsidP="00C53AA8">
      <w:pPr>
        <w:pStyle w:val="ListBullet2"/>
      </w:pPr>
      <w:r w:rsidRPr="00232ED0">
        <w:rPr>
          <w:b/>
          <w:i/>
        </w:rPr>
        <w:t>None:</w:t>
      </w:r>
      <w:r w:rsidRPr="00232ED0">
        <w:t xml:space="preserve"> Haemostasis was uncontrolled necessitating a change in clotting factor replacement regimen.</w:t>
      </w:r>
    </w:p>
    <w:p w14:paraId="13C20832" w14:textId="77777777" w:rsidR="006D35A0" w:rsidRPr="00BE2685" w:rsidRDefault="006D35A0" w:rsidP="00BE2685">
      <w:pPr>
        <w:pStyle w:val="ListBullet"/>
        <w:rPr>
          <w:b/>
        </w:rPr>
      </w:pPr>
      <w:r w:rsidRPr="00BE2685">
        <w:rPr>
          <w:b/>
          <w:i/>
        </w:rPr>
        <w:t>Post-operative efficacy</w:t>
      </w:r>
      <w:r w:rsidRPr="00BE2685">
        <w:rPr>
          <w:b/>
        </w:rPr>
        <w:t>:</w:t>
      </w:r>
    </w:p>
    <w:p w14:paraId="15C11885" w14:textId="77777777" w:rsidR="006D35A0" w:rsidRPr="00232ED0" w:rsidRDefault="006D35A0" w:rsidP="00BE2685">
      <w:pPr>
        <w:pStyle w:val="ListBullet2"/>
      </w:pPr>
      <w:r w:rsidRPr="00232ED0">
        <w:rPr>
          <w:b/>
          <w:i/>
        </w:rPr>
        <w:t>Excellent:</w:t>
      </w:r>
      <w:r w:rsidRPr="00232ED0">
        <w:t xml:space="preserve"> No post</w:t>
      </w:r>
      <w:r>
        <w:t>-</w:t>
      </w:r>
      <w:r w:rsidRPr="00232ED0">
        <w:t xml:space="preserve">operative bleeding or oozing that was not due to complications of surgery. All postoperative bleeding (due to complications of surgery) was controlled with </w:t>
      </w:r>
      <w:r>
        <w:t>simoctocog alfa</w:t>
      </w:r>
      <w:r w:rsidRPr="00232ED0">
        <w:t xml:space="preserve"> as anticipated for the type of procedure.</w:t>
      </w:r>
    </w:p>
    <w:p w14:paraId="2BD65C31" w14:textId="77777777" w:rsidR="006D35A0" w:rsidRPr="00232ED0" w:rsidRDefault="006D35A0" w:rsidP="00BE2685">
      <w:pPr>
        <w:pStyle w:val="ListBullet2"/>
      </w:pPr>
      <w:r w:rsidRPr="00232ED0">
        <w:rPr>
          <w:b/>
          <w:i/>
        </w:rPr>
        <w:t>Good:</w:t>
      </w:r>
      <w:r w:rsidRPr="00232ED0">
        <w:t xml:space="preserve"> No post</w:t>
      </w:r>
      <w:r>
        <w:t>-</w:t>
      </w:r>
      <w:r w:rsidRPr="00232ED0">
        <w:t>operative bleeding or oozing that was not due to complications of surgery. Control of post</w:t>
      </w:r>
      <w:r>
        <w:t>-</w:t>
      </w:r>
      <w:r w:rsidRPr="00232ED0">
        <w:t xml:space="preserve">operative bleeding due to complications of surgery required increased dosing with </w:t>
      </w:r>
      <w:r>
        <w:t>simoctocog</w:t>
      </w:r>
      <w:r w:rsidRPr="00232ED0">
        <w:t xml:space="preserve"> </w:t>
      </w:r>
      <w:r w:rsidR="00A66A24">
        <w:t xml:space="preserve">alfa </w:t>
      </w:r>
      <w:r w:rsidRPr="00232ED0">
        <w:t>or additional infusions, not originally anticipated for the type of procedure.</w:t>
      </w:r>
    </w:p>
    <w:p w14:paraId="599B8E47" w14:textId="77777777" w:rsidR="006D35A0" w:rsidRPr="00232ED0" w:rsidRDefault="006D35A0" w:rsidP="00BE2685">
      <w:pPr>
        <w:pStyle w:val="ListBullet2"/>
      </w:pPr>
      <w:r w:rsidRPr="00232ED0">
        <w:rPr>
          <w:b/>
          <w:i/>
        </w:rPr>
        <w:t>Moderate:</w:t>
      </w:r>
      <w:r w:rsidRPr="00232ED0">
        <w:t xml:space="preserve"> Some post</w:t>
      </w:r>
      <w:r>
        <w:t>-</w:t>
      </w:r>
      <w:r w:rsidRPr="00232ED0">
        <w:t>operative bleeding and oozing that was not due to complications of surgery; control of post</w:t>
      </w:r>
      <w:r>
        <w:t>-</w:t>
      </w:r>
      <w:r w:rsidRPr="00232ED0">
        <w:t xml:space="preserve">operative bleeding required increased dosing with </w:t>
      </w:r>
      <w:r>
        <w:t>simoctocog alfa</w:t>
      </w:r>
      <w:r w:rsidRPr="00232ED0">
        <w:t xml:space="preserve"> or additional infusions, not originally anticipated for the type of procedure.</w:t>
      </w:r>
    </w:p>
    <w:p w14:paraId="3FAE28C3" w14:textId="77777777" w:rsidR="006D35A0" w:rsidRPr="00232ED0" w:rsidRDefault="006D35A0" w:rsidP="00BE2685">
      <w:pPr>
        <w:pStyle w:val="ListBullet2"/>
      </w:pPr>
      <w:r w:rsidRPr="00232ED0">
        <w:rPr>
          <w:b/>
          <w:i/>
        </w:rPr>
        <w:t xml:space="preserve">None: </w:t>
      </w:r>
      <w:r w:rsidRPr="00232ED0">
        <w:t>Extensive uncontrolled post</w:t>
      </w:r>
      <w:r>
        <w:t>-</w:t>
      </w:r>
      <w:r w:rsidRPr="00232ED0">
        <w:t>operative bleeding and oozing. Control of post</w:t>
      </w:r>
      <w:r>
        <w:t>-</w:t>
      </w:r>
      <w:r w:rsidRPr="00232ED0">
        <w:t>operative bleeding required use of an alternate FVIII concentrate.</w:t>
      </w:r>
    </w:p>
    <w:p w14:paraId="175E9B0E" w14:textId="77777777" w:rsidR="006D35A0" w:rsidRDefault="006D35A0" w:rsidP="00BE2685">
      <w:pPr>
        <w:pStyle w:val="ListBullet"/>
      </w:pPr>
      <w:r w:rsidRPr="00BE2685">
        <w:rPr>
          <w:b/>
          <w:i/>
        </w:rPr>
        <w:t>An overall efficacy assessment</w:t>
      </w:r>
      <w:r w:rsidRPr="0015742F">
        <w:t xml:space="preserve"> taking both the intra</w:t>
      </w:r>
      <w:r>
        <w:t>-</w:t>
      </w:r>
      <w:r w:rsidRPr="0015742F">
        <w:t xml:space="preserve"> and post-operative assessment into account was to be done by the surgeon and the haematologist. The conclusion of the post-operative phase of a major surgery was defined as the date of discharge or post-operative Day 6, whichever occurred later.</w:t>
      </w:r>
    </w:p>
    <w:p w14:paraId="236F363D" w14:textId="77777777" w:rsidR="006D35A0" w:rsidRDefault="006D35A0" w:rsidP="00BE22E2">
      <w:pPr>
        <w:pStyle w:val="Heading5"/>
      </w:pPr>
      <w:bookmarkStart w:id="67" w:name="_Toc266446447"/>
      <w:r>
        <w:lastRenderedPageBreak/>
        <w:t>Randomisation and blinding methods</w:t>
      </w:r>
      <w:bookmarkEnd w:id="67"/>
    </w:p>
    <w:p w14:paraId="2AFAB9E4" w14:textId="77777777" w:rsidR="000F04AF" w:rsidRDefault="006D35A0" w:rsidP="006D35A0">
      <w:r>
        <w:t>The efficacy phase of the study was open-label and all patients received simoctocog alfa for on-demand treatment of BEs and/or surgical prophylaxis.</w:t>
      </w:r>
    </w:p>
    <w:p w14:paraId="69C5C203" w14:textId="7F4C3E30" w:rsidR="006D35A0" w:rsidRPr="00BE2685" w:rsidRDefault="006D35A0" w:rsidP="00BE22E2">
      <w:pPr>
        <w:pStyle w:val="Heading5"/>
      </w:pPr>
      <w:bookmarkStart w:id="68" w:name="_Toc266446448"/>
      <w:r w:rsidRPr="00BE2685">
        <w:t>Analysis populations</w:t>
      </w:r>
      <w:bookmarkEnd w:id="68"/>
    </w:p>
    <w:p w14:paraId="51E2193B" w14:textId="77777777" w:rsidR="000F04AF" w:rsidRDefault="006D35A0" w:rsidP="006D35A0">
      <w:pPr>
        <w:rPr>
          <w:color w:val="000000"/>
        </w:rPr>
      </w:pPr>
      <w:r>
        <w:t>The Intention-to-Treat (ITT) population was considered to be the most relevant for the evaluation of efficacy</w:t>
      </w:r>
      <w:r>
        <w:rPr>
          <w:color w:val="000000"/>
        </w:rPr>
        <w:t>, and the Per-Protocol (PP) population was used to assess the robustness of the efficacy results in the ITT population.</w:t>
      </w:r>
    </w:p>
    <w:p w14:paraId="078CC4DD" w14:textId="77777777" w:rsidR="000F04AF" w:rsidRDefault="006D35A0" w:rsidP="006D35A0">
      <w:r w:rsidRPr="00895AAD">
        <w:t>The study included f</w:t>
      </w:r>
      <w:r>
        <w:t>our basic analysis populations and these are outlined below:</w:t>
      </w:r>
    </w:p>
    <w:p w14:paraId="608CFECD" w14:textId="77777777" w:rsidR="000F04AF" w:rsidRDefault="006D35A0" w:rsidP="00BE2685">
      <w:pPr>
        <w:pStyle w:val="ListBullet"/>
      </w:pPr>
      <w:r w:rsidRPr="00895AAD">
        <w:rPr>
          <w:b/>
          <w:i/>
        </w:rPr>
        <w:t>Safety analysis population (SAF):</w:t>
      </w:r>
      <w:r w:rsidRPr="00895AAD">
        <w:t xml:space="preserve"> All patients who received at least one dose of </w:t>
      </w:r>
      <w:r>
        <w:t>simoctocog alfa</w:t>
      </w:r>
      <w:r w:rsidRPr="00895AAD">
        <w:t>.</w:t>
      </w:r>
    </w:p>
    <w:p w14:paraId="26094080" w14:textId="3E691665" w:rsidR="006D35A0" w:rsidRPr="00895AAD" w:rsidRDefault="006D35A0" w:rsidP="00BE2685">
      <w:pPr>
        <w:pStyle w:val="ListBullet"/>
      </w:pPr>
      <w:r w:rsidRPr="009F2910">
        <w:rPr>
          <w:b/>
          <w:i/>
        </w:rPr>
        <w:t>Intention-to-Treat (ITT):</w:t>
      </w:r>
      <w:r w:rsidRPr="00895AAD">
        <w:rPr>
          <w:b/>
          <w:i/>
        </w:rPr>
        <w:t xml:space="preserve"> </w:t>
      </w:r>
      <w:r w:rsidRPr="00895AAD">
        <w:t>All patients in the safety analysis population for whom any data were collected p</w:t>
      </w:r>
      <w:r>
        <w:t>ost-treatment with simoctocog alfa.</w:t>
      </w:r>
    </w:p>
    <w:p w14:paraId="4BFC3036" w14:textId="77777777" w:rsidR="006D35A0" w:rsidRPr="00895AAD" w:rsidRDefault="006D35A0" w:rsidP="00BE2685">
      <w:pPr>
        <w:pStyle w:val="ListBullet"/>
      </w:pPr>
      <w:r w:rsidRPr="00895AAD">
        <w:rPr>
          <w:b/>
          <w:i/>
        </w:rPr>
        <w:t xml:space="preserve">Efficacy - Per-Protocol (PP): </w:t>
      </w:r>
      <w:r w:rsidRPr="00895AAD">
        <w:t>All patients in the ITT analysis population who completed the study without significantly violating the inclusion/exclusion criteria or other aspects of the protocol considered to potentially affect the efficacy results.</w:t>
      </w:r>
      <w:r w:rsidRPr="00895AAD">
        <w:rPr>
          <w:color w:val="000000"/>
        </w:rPr>
        <w:t xml:space="preserve"> Objective criteria for exclusion from the PP populations were defined prior to database lock</w:t>
      </w:r>
      <w:r w:rsidR="00A66A24">
        <w:rPr>
          <w:color w:val="000000"/>
        </w:rPr>
        <w:t>.</w:t>
      </w:r>
    </w:p>
    <w:p w14:paraId="5AA13D6C" w14:textId="77777777" w:rsidR="000F04AF" w:rsidRDefault="006D35A0" w:rsidP="00BE2685">
      <w:pPr>
        <w:pStyle w:val="ListBullet"/>
      </w:pPr>
      <w:r w:rsidRPr="00895AAD">
        <w:rPr>
          <w:b/>
          <w:i/>
        </w:rPr>
        <w:t>PK-PP population (PK-PP):</w:t>
      </w:r>
      <w:r w:rsidRPr="00895AAD">
        <w:t xml:space="preserve"> All randomised subjects who completed Phase I (PK phase; cross-over) of the trial receiving both treatments without significantly violating the inclusion/exclusion criteria or other aspects of the protocol considered to potentially affect the PK results.</w:t>
      </w:r>
    </w:p>
    <w:p w14:paraId="37A96364" w14:textId="1C17DDB6" w:rsidR="006D35A0" w:rsidRPr="00895AAD" w:rsidRDefault="006D35A0" w:rsidP="006D35A0">
      <w:r w:rsidRPr="00895AAD">
        <w:t>In addition to the four basic analysis populations, the f</w:t>
      </w:r>
      <w:r>
        <w:t xml:space="preserve">ollowing study populations were </w:t>
      </w:r>
      <w:r w:rsidRPr="00895AAD">
        <w:t>defined:</w:t>
      </w:r>
    </w:p>
    <w:p w14:paraId="7B0983C2" w14:textId="77777777" w:rsidR="000F04AF" w:rsidRDefault="006D35A0" w:rsidP="00350BD7">
      <w:pPr>
        <w:pStyle w:val="ListBullet"/>
      </w:pPr>
      <w:r w:rsidRPr="00895AAD">
        <w:rPr>
          <w:i/>
        </w:rPr>
        <w:t xml:space="preserve">PK-6 months PP population (PK-6m-PP): </w:t>
      </w:r>
      <w:r w:rsidRPr="00895AAD">
        <w:t xml:space="preserve">All subjects admitted to the study who completed the PK </w:t>
      </w:r>
      <w:r>
        <w:t xml:space="preserve">assessment </w:t>
      </w:r>
      <w:r w:rsidRPr="00895AAD">
        <w:t>6 months after start without significantly violating the inclusion/exclusion criteria or other aspects of the protocol considered to potentially affect the PK results.</w:t>
      </w:r>
    </w:p>
    <w:p w14:paraId="156CC869" w14:textId="77777777" w:rsidR="000F04AF" w:rsidRDefault="006D35A0" w:rsidP="00350BD7">
      <w:pPr>
        <w:pStyle w:val="ListBullet"/>
      </w:pPr>
      <w:r w:rsidRPr="00895AAD">
        <w:rPr>
          <w:i/>
        </w:rPr>
        <w:t>Population of BEs (BLEED</w:t>
      </w:r>
      <w:r>
        <w:rPr>
          <w:i/>
        </w:rPr>
        <w:t xml:space="preserve"> and BLEED-PP</w:t>
      </w:r>
      <w:r w:rsidRPr="00895AAD">
        <w:rPr>
          <w:i/>
        </w:rPr>
        <w:t xml:space="preserve">): </w:t>
      </w:r>
      <w:r w:rsidRPr="00895AAD">
        <w:t xml:space="preserve">All documented BEs of patients in the ITT population </w:t>
      </w:r>
      <w:r>
        <w:t xml:space="preserve">(BLEED) or PP population (BLEED-PP) </w:t>
      </w:r>
      <w:r w:rsidRPr="00895AAD">
        <w:t xml:space="preserve">for which any amount of treatment with </w:t>
      </w:r>
      <w:r>
        <w:t xml:space="preserve">simoctocog alfa </w:t>
      </w:r>
      <w:r w:rsidRPr="00895AAD">
        <w:t>was documented and which started between initiation of home treatment after PK Cycle 2 (</w:t>
      </w:r>
      <w:r w:rsidR="001A2E59">
        <w:t>that is,</w:t>
      </w:r>
      <w:r w:rsidRPr="00895AAD">
        <w:t xml:space="preserve"> one day after drawing of last blood sample for PK) and the completion visit.</w:t>
      </w:r>
    </w:p>
    <w:p w14:paraId="0654A854" w14:textId="77777777" w:rsidR="000F04AF" w:rsidRDefault="006D35A0" w:rsidP="00350BD7">
      <w:pPr>
        <w:pStyle w:val="ListBullet"/>
      </w:pPr>
      <w:r w:rsidRPr="00895AAD">
        <w:rPr>
          <w:i/>
        </w:rPr>
        <w:t>Surgery population (SURG</w:t>
      </w:r>
      <w:r>
        <w:rPr>
          <w:i/>
        </w:rPr>
        <w:t xml:space="preserve"> and SURG-PP</w:t>
      </w:r>
      <w:r w:rsidRPr="00895AAD">
        <w:rPr>
          <w:i/>
        </w:rPr>
        <w:t>):</w:t>
      </w:r>
      <w:r w:rsidRPr="00895AAD">
        <w:t xml:space="preserve"> All documented surgical interventions </w:t>
      </w:r>
      <w:r>
        <w:t>in</w:t>
      </w:r>
      <w:r w:rsidRPr="00895AAD">
        <w:t xml:space="preserve"> patients in the ITT population </w:t>
      </w:r>
      <w:r>
        <w:t xml:space="preserve">(SURG) or the PP population (SURG-PP) </w:t>
      </w:r>
      <w:r w:rsidRPr="00895AAD">
        <w:t xml:space="preserve">for which any amount of </w:t>
      </w:r>
      <w:r>
        <w:t xml:space="preserve">simoctocog alfa </w:t>
      </w:r>
      <w:r w:rsidRPr="00895AAD">
        <w:t>prior to, during or after surgery was documented and no other FVIII concentrate was documented within 24 hours prior to surgery</w:t>
      </w:r>
      <w:r w:rsidR="00A66A24">
        <w:t>.</w:t>
      </w:r>
    </w:p>
    <w:p w14:paraId="0214CD57" w14:textId="77777777" w:rsidR="000F04AF" w:rsidRDefault="006D35A0" w:rsidP="00350BD7">
      <w:pPr>
        <w:pStyle w:val="ListBullet"/>
      </w:pPr>
      <w:r w:rsidRPr="00895AAD">
        <w:rPr>
          <w:i/>
        </w:rPr>
        <w:t>Infusions analysis population (Safety-INF):</w:t>
      </w:r>
      <w:r w:rsidRPr="00895AAD">
        <w:t xml:space="preserve"> All documented infusions with </w:t>
      </w:r>
      <w:r>
        <w:t xml:space="preserve">simoctocog alfa </w:t>
      </w:r>
      <w:r w:rsidRPr="00895AAD">
        <w:t>to patients of the SAF population</w:t>
      </w:r>
      <w:r w:rsidR="00A66A24">
        <w:t>.</w:t>
      </w:r>
    </w:p>
    <w:p w14:paraId="0F03DE32" w14:textId="78CA4061" w:rsidR="006D35A0" w:rsidRPr="00462307" w:rsidRDefault="006D35A0" w:rsidP="00BE22E2">
      <w:pPr>
        <w:pStyle w:val="Heading5"/>
      </w:pPr>
      <w:bookmarkStart w:id="69" w:name="_Toc266446449"/>
      <w:r w:rsidRPr="00462307">
        <w:t>Sample size</w:t>
      </w:r>
      <w:bookmarkEnd w:id="69"/>
    </w:p>
    <w:p w14:paraId="377E85C9" w14:textId="77777777" w:rsidR="000F04AF" w:rsidRDefault="006D35A0" w:rsidP="006D35A0">
      <w:r w:rsidRPr="00690FAD">
        <w:t xml:space="preserve">The planned sample size </w:t>
      </w:r>
      <w:r>
        <w:t xml:space="preserve">chosen </w:t>
      </w:r>
      <w:r w:rsidRPr="00690FAD">
        <w:t xml:space="preserve">for this study </w:t>
      </w:r>
      <w:r>
        <w:t xml:space="preserve">was 20 to 25 patients. The sample size was selected </w:t>
      </w:r>
      <w:r w:rsidRPr="00690FAD">
        <w:t>to satisfy current FDA and CHMP recommendations relating to PK studies.</w:t>
      </w:r>
    </w:p>
    <w:p w14:paraId="0E60E2C6"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90FAD">
        <w:rPr>
          <w:color w:val="000000"/>
        </w:rPr>
        <w:t>For the secondary hypothesis relating to the proportion of BEs s</w:t>
      </w:r>
      <w:r>
        <w:rPr>
          <w:color w:val="000000"/>
        </w:rPr>
        <w:t>uccessfully treated with on-demand simoctocog alfa</w:t>
      </w:r>
      <w:r w:rsidRPr="00690FAD">
        <w:rPr>
          <w:color w:val="000000"/>
        </w:rPr>
        <w:t xml:space="preserve"> (see below under </w:t>
      </w:r>
      <w:r w:rsidRPr="00690FAD">
        <w:rPr>
          <w:i/>
          <w:color w:val="000000"/>
        </w:rPr>
        <w:t xml:space="preserve">Statistical </w:t>
      </w:r>
      <w:r w:rsidRPr="00690FAD">
        <w:rPr>
          <w:color w:val="000000"/>
        </w:rPr>
        <w:t>methods), assuming independent binomially distributed success within patients and centres, the expected 1000 bleeding events shows that the rate of successful treatments (haemostatic efficacy rated good or excellent) is above 70% (α=0.025, one sided) if the true success rate is 75% or better with a power of at least 94%.</w:t>
      </w:r>
    </w:p>
    <w:p w14:paraId="1E3FDA74" w14:textId="0BDF3E2C" w:rsidR="006D35A0" w:rsidRPr="00462307" w:rsidRDefault="006D35A0" w:rsidP="00BE22E2">
      <w:pPr>
        <w:pStyle w:val="Heading5"/>
      </w:pPr>
      <w:bookmarkStart w:id="70" w:name="_Toc266446450"/>
      <w:r w:rsidRPr="00462307">
        <w:lastRenderedPageBreak/>
        <w:t>Statistical methods</w:t>
      </w:r>
      <w:bookmarkEnd w:id="70"/>
    </w:p>
    <w:p w14:paraId="12AC44EC" w14:textId="77777777" w:rsidR="006D35A0" w:rsidRPr="00690FAD" w:rsidRDefault="006D35A0" w:rsidP="006D35A0">
      <w:r w:rsidRPr="00690FAD">
        <w:t xml:space="preserve">The statistical methods relating to the primary PK analysis </w:t>
      </w:r>
      <w:r>
        <w:t>have</w:t>
      </w:r>
      <w:r w:rsidRPr="00690FAD">
        <w:t xml:space="preserve"> been discussed in the </w:t>
      </w:r>
      <w:r w:rsidRPr="00831BE1">
        <w:rPr>
          <w:i/>
        </w:rPr>
        <w:t>Pharmacokinetics</w:t>
      </w:r>
      <w:r w:rsidRPr="00690FAD">
        <w:t xml:space="preserve"> section of this CER.</w:t>
      </w:r>
    </w:p>
    <w:p w14:paraId="75DCCEB9" w14:textId="77777777" w:rsidR="006D35A0" w:rsidRPr="00690FAD" w:rsidRDefault="006D35A0" w:rsidP="006D35A0">
      <w:r w:rsidRPr="00690FAD">
        <w:rPr>
          <w:color w:val="000000"/>
        </w:rPr>
        <w:t>The secondary efficacy analysis of on-demand treatment focused on the proportion of BEs with successful treatment (rated as good or excellent in the efficacy assessment at the end of the BE). An episode was considered as treatment failure if the efficacy assessment was moderate or none or if another FVIII product was used (except for emergency, in which case the episode was excluded from analysis). Unexplained blood transfusions also constituted a reason to consider an episode as treatment failure.</w:t>
      </w:r>
    </w:p>
    <w:p w14:paraId="32F389DE" w14:textId="77777777" w:rsidR="006D35A0" w:rsidRPr="00690FAD"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formal statistical test was </w:t>
      </w:r>
      <w:r w:rsidRPr="00690FAD">
        <w:rPr>
          <w:color w:val="000000"/>
        </w:rPr>
        <w:t xml:space="preserve">whether the proportion </w:t>
      </w:r>
      <w:r>
        <w:rPr>
          <w:color w:val="000000"/>
        </w:rPr>
        <w:t>of successfully treated BEs was</w:t>
      </w:r>
      <w:r w:rsidRPr="00690FAD">
        <w:rPr>
          <w:color w:val="000000"/>
        </w:rPr>
        <w:t xml:space="preserve"> significantly higher than 70%</w:t>
      </w:r>
      <w:r>
        <w:rPr>
          <w:color w:val="000000"/>
        </w:rPr>
        <w:t xml:space="preserve">. The null hypothesis was - </w:t>
      </w:r>
      <w:r w:rsidRPr="00690FAD">
        <w:rPr>
          <w:color w:val="000000"/>
        </w:rPr>
        <w:t>H</w:t>
      </w:r>
      <w:r w:rsidRPr="00690FAD">
        <w:rPr>
          <w:color w:val="000000"/>
          <w:position w:val="-2"/>
        </w:rPr>
        <w:t>0</w:t>
      </w:r>
      <w:r w:rsidRPr="00690FAD">
        <w:rPr>
          <w:color w:val="000000"/>
        </w:rPr>
        <w:t xml:space="preserve">: </w:t>
      </w:r>
      <w:r w:rsidRPr="00831BE1">
        <w:rPr>
          <w:i/>
          <w:color w:val="000000"/>
        </w:rPr>
        <w:t>p</w:t>
      </w:r>
      <w:r>
        <w:rPr>
          <w:color w:val="000000"/>
        </w:rPr>
        <w:t>success</w:t>
      </w:r>
      <w:r w:rsidRPr="00690FAD">
        <w:rPr>
          <w:color w:val="000000"/>
          <w:position w:val="-2"/>
        </w:rPr>
        <w:t xml:space="preserve"> </w:t>
      </w:r>
      <w:r>
        <w:rPr>
          <w:color w:val="000000"/>
        </w:rPr>
        <w:t>≤ 0.7; and the a</w:t>
      </w:r>
      <w:r w:rsidRPr="00690FAD">
        <w:rPr>
          <w:color w:val="000000"/>
        </w:rPr>
        <w:t>lternative hypothesis</w:t>
      </w:r>
      <w:r>
        <w:rPr>
          <w:color w:val="000000"/>
        </w:rPr>
        <w:t xml:space="preserve"> was -</w:t>
      </w:r>
      <w:r w:rsidRPr="00690FAD">
        <w:rPr>
          <w:color w:val="000000"/>
        </w:rPr>
        <w:t>H</w:t>
      </w:r>
      <w:r w:rsidRPr="00690FAD">
        <w:rPr>
          <w:color w:val="000000"/>
          <w:position w:val="-2"/>
        </w:rPr>
        <w:t>1</w:t>
      </w:r>
      <w:r w:rsidRPr="00690FAD">
        <w:rPr>
          <w:color w:val="000000"/>
        </w:rPr>
        <w:t xml:space="preserve">: </w:t>
      </w:r>
      <w:r w:rsidRPr="00831BE1">
        <w:rPr>
          <w:i/>
          <w:color w:val="000000"/>
        </w:rPr>
        <w:t>p</w:t>
      </w:r>
      <w:r>
        <w:rPr>
          <w:color w:val="000000"/>
        </w:rPr>
        <w:t>success</w:t>
      </w:r>
      <w:r w:rsidRPr="00690FAD">
        <w:rPr>
          <w:color w:val="000000"/>
          <w:position w:val="-2"/>
        </w:rPr>
        <w:t xml:space="preserve"> </w:t>
      </w:r>
      <w:r w:rsidRPr="00690FAD">
        <w:rPr>
          <w:color w:val="000000"/>
        </w:rPr>
        <w:t>&gt; 0.7, where</w:t>
      </w:r>
      <w:r>
        <w:rPr>
          <w:color w:val="000000"/>
        </w:rPr>
        <w:t xml:space="preserve"> </w:t>
      </w:r>
      <w:r w:rsidRPr="00831BE1">
        <w:rPr>
          <w:i/>
          <w:color w:val="000000"/>
        </w:rPr>
        <w:t>p</w:t>
      </w:r>
      <w:r w:rsidRPr="00831BE1">
        <w:rPr>
          <w:color w:val="000000"/>
        </w:rPr>
        <w:t>success</w:t>
      </w:r>
      <w:r>
        <w:rPr>
          <w:color w:val="000000"/>
        </w:rPr>
        <w:t xml:space="preserve"> </w:t>
      </w:r>
      <w:r w:rsidRPr="00690FAD">
        <w:rPr>
          <w:color w:val="000000"/>
        </w:rPr>
        <w:t>represents the overall proportion of successfully treated BEs.</w:t>
      </w:r>
    </w:p>
    <w:p w14:paraId="43FCCA76" w14:textId="77777777" w:rsidR="006D35A0" w:rsidRPr="00690FAD" w:rsidRDefault="006D35A0" w:rsidP="006D35A0">
      <w:pPr>
        <w:rPr>
          <w:color w:val="000000"/>
        </w:rPr>
      </w:pPr>
      <w:r w:rsidRPr="00690FAD">
        <w:rPr>
          <w:color w:val="000000"/>
        </w:rPr>
        <w:t xml:space="preserve">A 2-sided 95% Clopper-Pearson CI was calculated for the estimate of </w:t>
      </w:r>
      <w:r w:rsidRPr="00831BE1">
        <w:rPr>
          <w:i/>
          <w:color w:val="000000"/>
        </w:rPr>
        <w:t>p</w:t>
      </w:r>
      <w:r>
        <w:rPr>
          <w:color w:val="000000"/>
        </w:rPr>
        <w:t>success</w:t>
      </w:r>
      <w:r w:rsidRPr="00690FAD">
        <w:rPr>
          <w:color w:val="000000"/>
        </w:rPr>
        <w:t xml:space="preserve">. On-demand treatment was claimed </w:t>
      </w:r>
      <w:r>
        <w:rPr>
          <w:color w:val="000000"/>
        </w:rPr>
        <w:t xml:space="preserve">to be </w:t>
      </w:r>
      <w:r w:rsidRPr="00690FAD">
        <w:rPr>
          <w:color w:val="000000"/>
        </w:rPr>
        <w:t xml:space="preserve">efficient if the lower confidence limit </w:t>
      </w:r>
      <w:r>
        <w:rPr>
          <w:color w:val="000000"/>
        </w:rPr>
        <w:t xml:space="preserve">of the CI </w:t>
      </w:r>
      <w:r w:rsidRPr="00690FAD">
        <w:rPr>
          <w:color w:val="000000"/>
        </w:rPr>
        <w:t>was &gt; 0.7. In a secondary analysis, similar CIs were calculated for the different severity types of bleeding (minor, moderate, major).</w:t>
      </w:r>
    </w:p>
    <w:p w14:paraId="53EFEF47" w14:textId="77777777" w:rsidR="006D35A0" w:rsidRPr="00690FAD" w:rsidRDefault="006D35A0" w:rsidP="006D35A0">
      <w:r w:rsidRPr="00690FAD">
        <w:t>As a secon</w:t>
      </w:r>
      <w:r>
        <w:t>dary hypothesis, the proportion (</w:t>
      </w:r>
      <w:r w:rsidRPr="00690FAD">
        <w:rPr>
          <w:i/>
        </w:rPr>
        <w:t>p</w:t>
      </w:r>
      <w:r>
        <w:t xml:space="preserve">success1-2) </w:t>
      </w:r>
      <w:r w:rsidRPr="00690FAD">
        <w:t xml:space="preserve">of BEs that could be resolved with 1 or 2 infusions of </w:t>
      </w:r>
      <w:r>
        <w:rPr>
          <w:iCs/>
        </w:rPr>
        <w:t xml:space="preserve">simoctocog alfa </w:t>
      </w:r>
      <w:r w:rsidRPr="00690FAD">
        <w:t>wa</w:t>
      </w:r>
      <w:r>
        <w:t xml:space="preserve">s to be assessed, and a test of H0: </w:t>
      </w:r>
      <w:r w:rsidRPr="00690FAD">
        <w:rPr>
          <w:i/>
          <w:color w:val="000000"/>
        </w:rPr>
        <w:t>p</w:t>
      </w:r>
      <w:r>
        <w:rPr>
          <w:color w:val="000000"/>
        </w:rPr>
        <w:t xml:space="preserve">success1-2 ≤ 0.8 </w:t>
      </w:r>
      <w:r>
        <w:rPr>
          <w:position w:val="2"/>
        </w:rPr>
        <w:t xml:space="preserve">versus H1: </w:t>
      </w:r>
      <w:r w:rsidRPr="00690FAD">
        <w:rPr>
          <w:i/>
          <w:color w:val="000000"/>
        </w:rPr>
        <w:t>p</w:t>
      </w:r>
      <w:r>
        <w:rPr>
          <w:color w:val="000000"/>
        </w:rPr>
        <w:t xml:space="preserve">success1-2 &gt; 0.8 </w:t>
      </w:r>
      <w:r w:rsidRPr="00690FAD">
        <w:t xml:space="preserve">was performed, using a 2-sided 95% Clopper-Pearson CI. This test was considered as supportive evidence </w:t>
      </w:r>
      <w:r>
        <w:t>for</w:t>
      </w:r>
      <w:r w:rsidRPr="00690FAD">
        <w:t xml:space="preserve"> the primary hypothesis if the lower limit </w:t>
      </w:r>
      <w:r>
        <w:t xml:space="preserve">of the CI </w:t>
      </w:r>
      <w:r w:rsidRPr="00690FAD">
        <w:t>was &gt; 0.8.</w:t>
      </w:r>
    </w:p>
    <w:p w14:paraId="36BB4B8A" w14:textId="77777777" w:rsidR="006D35A0" w:rsidRPr="00690FAD" w:rsidRDefault="006D35A0" w:rsidP="006D35A0">
      <w:pPr>
        <w:rPr>
          <w:color w:val="000000"/>
        </w:rPr>
      </w:pPr>
      <w:r w:rsidRPr="00690FAD">
        <w:rPr>
          <w:color w:val="000000"/>
        </w:rPr>
        <w:t xml:space="preserve">The frequency of BEs, the number of infusions needed to treat a BE, the number of EDs and study drug consumption data (FVIII IU/kg per infusion, per BE, per month, per year) per subject and in total were evaluated. In addition, increased and decreased doses of </w:t>
      </w:r>
      <w:r>
        <w:rPr>
          <w:iCs/>
          <w:color w:val="000000"/>
        </w:rPr>
        <w:t xml:space="preserve">simoctocog alfa </w:t>
      </w:r>
      <w:r w:rsidRPr="00690FAD">
        <w:rPr>
          <w:color w:val="000000"/>
        </w:rPr>
        <w:t>used to treat individual BEs (frequency and relative magnitude of dose changes), changes in the doses per infusion and changes in the total dose used to treat subsequent BEs of the same type (e.g. elbow, knee, etc.) in the same subject (frequency and relative magnitude of dose changes) were evaluated.</w:t>
      </w:r>
    </w:p>
    <w:p w14:paraId="4A4DB151" w14:textId="77777777" w:rsidR="006D35A0" w:rsidRPr="00690FAD" w:rsidRDefault="006D35A0" w:rsidP="006D35A0">
      <w:pPr>
        <w:rPr>
          <w:color w:val="000000"/>
        </w:rPr>
      </w:pPr>
      <w:r w:rsidRPr="00690FAD">
        <w:rPr>
          <w:color w:val="000000"/>
        </w:rPr>
        <w:t xml:space="preserve">In general, missing values were not replaced. In the case of missing body weight, the last available weight measurement was used for calculation of recovery and the other PK parameters (last observation carried forward). If treatment efficacy evaluation for a BE was missing, the </w:t>
      </w:r>
      <w:r>
        <w:rPr>
          <w:color w:val="000000"/>
        </w:rPr>
        <w:t xml:space="preserve">event </w:t>
      </w:r>
      <w:r w:rsidRPr="00690FAD">
        <w:rPr>
          <w:color w:val="000000"/>
        </w:rPr>
        <w:t xml:space="preserve">was considered as not successfully </w:t>
      </w:r>
      <w:r>
        <w:rPr>
          <w:color w:val="000000"/>
        </w:rPr>
        <w:t xml:space="preserve">treated </w:t>
      </w:r>
      <w:r w:rsidRPr="00690FAD">
        <w:rPr>
          <w:color w:val="000000"/>
        </w:rPr>
        <w:t>in the ITT analysis and was excluded from the PP analysis.</w:t>
      </w:r>
    </w:p>
    <w:p w14:paraId="21985582" w14:textId="3C5BC394" w:rsidR="006D35A0" w:rsidRDefault="006D35A0" w:rsidP="006D35A0">
      <w:pPr>
        <w:rPr>
          <w:color w:val="000000"/>
        </w:rPr>
      </w:pPr>
      <w:r w:rsidRPr="00690FAD">
        <w:rPr>
          <w:color w:val="000000"/>
        </w:rPr>
        <w:t xml:space="preserve">An administrative interim analysis was performed after all subjects had completed the cross-over PK phase. In addition, </w:t>
      </w:r>
      <w:r>
        <w:rPr>
          <w:color w:val="000000"/>
        </w:rPr>
        <w:t xml:space="preserve">an </w:t>
      </w:r>
      <w:r w:rsidRPr="00690FAD">
        <w:rPr>
          <w:color w:val="000000"/>
        </w:rPr>
        <w:t>analysis of the efficacy data re</w:t>
      </w:r>
      <w:r>
        <w:rPr>
          <w:color w:val="000000"/>
        </w:rPr>
        <w:t xml:space="preserve">garding on-demand treatment was </w:t>
      </w:r>
      <w:r w:rsidRPr="00690FAD">
        <w:rPr>
          <w:color w:val="000000"/>
        </w:rPr>
        <w:t xml:space="preserve">provided, as well as a listing of AEs. The data from the interim analysis were reviewed at the </w:t>
      </w:r>
      <w:r>
        <w:rPr>
          <w:color w:val="000000"/>
        </w:rPr>
        <w:t>5</w:t>
      </w:r>
      <w:r w:rsidRPr="00690FAD">
        <w:rPr>
          <w:color w:val="000000"/>
          <w:vertAlign w:val="superscript"/>
        </w:rPr>
        <w:t xml:space="preserve">th </w:t>
      </w:r>
      <w:r w:rsidRPr="00690FAD">
        <w:rPr>
          <w:color w:val="000000"/>
        </w:rPr>
        <w:t>meeting of the IDMC for the GENA studies on 25 November 2011 and the interim data were sent to the FDA on 27 September 2012.</w:t>
      </w:r>
    </w:p>
    <w:p w14:paraId="6C1510F9" w14:textId="77777777" w:rsidR="006D35A0" w:rsidRPr="00462307" w:rsidRDefault="006D35A0" w:rsidP="00BE22E2">
      <w:pPr>
        <w:pStyle w:val="Heading5"/>
      </w:pPr>
      <w:bookmarkStart w:id="71" w:name="_Toc266446451"/>
      <w:r w:rsidRPr="00462307">
        <w:t>Participant flow</w:t>
      </w:r>
      <w:bookmarkEnd w:id="71"/>
    </w:p>
    <w:p w14:paraId="7F391BDC" w14:textId="77777777" w:rsidR="006D35A0" w:rsidRDefault="006D35A0" w:rsidP="006D35A0">
      <w:r>
        <w:t xml:space="preserve">The patient disposition is summarised </w:t>
      </w:r>
      <w:r w:rsidRPr="005A13C7">
        <w:t xml:space="preserve">below </w:t>
      </w:r>
      <w:r w:rsidR="005A13C7" w:rsidRPr="005A13C7">
        <w:t xml:space="preserve">in Figure </w:t>
      </w:r>
      <w:r w:rsidR="006F09EA">
        <w:t>5</w:t>
      </w:r>
      <w:r w:rsidRPr="005A13C7">
        <w:t>.</w:t>
      </w:r>
    </w:p>
    <w:p w14:paraId="3110AD44" w14:textId="77777777" w:rsidR="000F04AF" w:rsidRDefault="006D35A0" w:rsidP="00462307">
      <w:pPr>
        <w:pStyle w:val="FigureTitle"/>
      </w:pPr>
      <w:bookmarkStart w:id="72" w:name="_Toc248202609"/>
      <w:r w:rsidRPr="005A13C7">
        <w:lastRenderedPageBreak/>
        <w:t xml:space="preserve">Figure </w:t>
      </w:r>
      <w:r w:rsidR="006F09EA">
        <w:t>5</w:t>
      </w:r>
      <w:r w:rsidRPr="005A13C7">
        <w:t>:</w:t>
      </w:r>
      <w:r>
        <w:t xml:space="preserve"> GENA-01 - Patient disposition.</w:t>
      </w:r>
      <w:bookmarkEnd w:id="72"/>
    </w:p>
    <w:p w14:paraId="004B5D83" w14:textId="35E86FAA" w:rsidR="006D35A0" w:rsidRDefault="006D35A0" w:rsidP="006D35A0">
      <w:r>
        <w:rPr>
          <w:noProof/>
          <w:lang w:eastAsia="en-AU"/>
        </w:rPr>
        <w:drawing>
          <wp:inline distT="0" distB="0" distL="0" distR="0" wp14:anchorId="673A11F9" wp14:editId="39D05F64">
            <wp:extent cx="3717107" cy="2620256"/>
            <wp:effectExtent l="0" t="0" r="0" b="0"/>
            <wp:docPr id="37" name="Picture 1" descr="Figure 5: GENA-01 - Patien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0011" cy="2622303"/>
                    </a:xfrm>
                    <a:prstGeom prst="rect">
                      <a:avLst/>
                    </a:prstGeom>
                    <a:noFill/>
                    <a:ln>
                      <a:noFill/>
                    </a:ln>
                  </pic:spPr>
                </pic:pic>
              </a:graphicData>
            </a:graphic>
          </wp:inline>
        </w:drawing>
      </w:r>
    </w:p>
    <w:p w14:paraId="664F23AF" w14:textId="11027027" w:rsidR="006D35A0" w:rsidRPr="00A10774" w:rsidRDefault="006D35A0" w:rsidP="007A6386">
      <w:pPr>
        <w:pStyle w:val="FigureDescription"/>
        <w:rPr>
          <w:lang w:eastAsia="en-AU"/>
        </w:rPr>
      </w:pPr>
      <w:r w:rsidRPr="00AF4FB0">
        <w:rPr>
          <w:lang w:eastAsia="en-AU"/>
        </w:rPr>
        <w:t xml:space="preserve">BE = bleeding episode; BLEED = study population of BEs treated with </w:t>
      </w:r>
      <w:r>
        <w:rPr>
          <w:rFonts w:cs="Times"/>
          <w:iCs/>
          <w:lang w:eastAsia="en-AU"/>
        </w:rPr>
        <w:t>simoctocog alfa</w:t>
      </w:r>
      <w:r w:rsidRPr="00AF4FB0">
        <w:rPr>
          <w:lang w:eastAsia="en-AU"/>
        </w:rPr>
        <w:t xml:space="preserve">; ITT = intention-to-treat; PK = study population of patients undergoing PK analysis; PK-6m = study population of patients undergoing PK analysis at 6 months; PP = per-protocol; SAF = study population of patients in safety analysis; Safety-INF = study population of </w:t>
      </w:r>
      <w:r w:rsidR="0048233D">
        <w:rPr>
          <w:rFonts w:cs="Times"/>
          <w:iCs/>
          <w:lang w:eastAsia="en-AU"/>
        </w:rPr>
        <w:t>simoctocog alfa</w:t>
      </w:r>
      <w:r w:rsidRPr="00AF4FB0">
        <w:rPr>
          <w:rFonts w:cs="Times"/>
          <w:i/>
          <w:iCs/>
          <w:lang w:eastAsia="en-AU"/>
        </w:rPr>
        <w:t xml:space="preserve"> </w:t>
      </w:r>
      <w:r w:rsidRPr="00AF4FB0">
        <w:rPr>
          <w:lang w:eastAsia="en-AU"/>
        </w:rPr>
        <w:t xml:space="preserve">infusions; SURG = study population of surgeries treated with </w:t>
      </w:r>
      <w:r w:rsidR="0048233D">
        <w:rPr>
          <w:rFonts w:cs="Times"/>
          <w:iCs/>
          <w:lang w:eastAsia="en-AU"/>
        </w:rPr>
        <w:t>simoctocog alfa</w:t>
      </w:r>
      <w:r w:rsidRPr="00AF4FB0">
        <w:rPr>
          <w:lang w:eastAsia="en-AU"/>
        </w:rPr>
        <w:t>.</w:t>
      </w:r>
    </w:p>
    <w:p w14:paraId="46882046" w14:textId="77777777" w:rsidR="000F04AF" w:rsidRDefault="006D35A0" w:rsidP="00BE22E2">
      <w:pPr>
        <w:widowControl w:val="0"/>
        <w:autoSpaceDE w:val="0"/>
        <w:autoSpaceDN w:val="0"/>
        <w:adjustRightInd w:val="0"/>
        <w:ind w:left="1134" w:hanging="1134"/>
        <w:rPr>
          <w:rFonts w:asciiTheme="minorHAnsi" w:hAnsiTheme="minorHAnsi"/>
          <w:iCs/>
          <w:color w:val="000000"/>
        </w:rPr>
      </w:pPr>
      <w:r w:rsidRPr="00BE22E2">
        <w:rPr>
          <w:rFonts w:asciiTheme="minorHAnsi" w:hAnsiTheme="minorHAnsi"/>
        </w:rPr>
        <w:t>Comment:</w:t>
      </w:r>
      <w:r w:rsidRPr="00BE22E2">
        <w:rPr>
          <w:rFonts w:asciiTheme="minorHAnsi" w:hAnsiTheme="minorHAnsi"/>
        </w:rPr>
        <w:tab/>
      </w:r>
      <w:r w:rsidRPr="00BE22E2">
        <w:rPr>
          <w:rFonts w:asciiTheme="minorHAnsi" w:hAnsiTheme="minorHAnsi"/>
          <w:color w:val="000000"/>
        </w:rPr>
        <w:t xml:space="preserve">No patients discontinued the study due to AEs. One patient discontinued prematurely due to loss to follow-up. His last visit was 291 days after entering the study (9-month visit). Up to that point he had received 27 administrations (including PK analyses) and a total dose of 82,950 IU of </w:t>
      </w:r>
      <w:r w:rsidRPr="00BE22E2">
        <w:rPr>
          <w:rFonts w:asciiTheme="minorHAnsi" w:hAnsiTheme="minorHAnsi"/>
          <w:iCs/>
          <w:color w:val="000000"/>
        </w:rPr>
        <w:t>simoctocog alfa.</w:t>
      </w:r>
    </w:p>
    <w:p w14:paraId="277EC073" w14:textId="77777777" w:rsidR="000F04AF" w:rsidRDefault="006D35A0" w:rsidP="00BE22E2">
      <w:pPr>
        <w:pStyle w:val="Heading5"/>
      </w:pPr>
      <w:bookmarkStart w:id="73" w:name="_Toc266446452"/>
      <w:r w:rsidRPr="00462307">
        <w:t>Major protocol deviations</w:t>
      </w:r>
      <w:bookmarkEnd w:id="73"/>
    </w:p>
    <w:p w14:paraId="32BC804F" w14:textId="6F4AE6A2" w:rsidR="006D35A0" w:rsidRDefault="006D35A0" w:rsidP="006D35A0">
      <w:pPr>
        <w:rPr>
          <w:color w:val="000000"/>
        </w:rPr>
      </w:pPr>
      <w:r w:rsidRPr="00690FAD">
        <w:t xml:space="preserve">Of the 22 enrolled patients, 4 patients (18.2%) had major protocol deviations </w:t>
      </w:r>
      <w:r>
        <w:t xml:space="preserve">due to </w:t>
      </w:r>
      <w:r w:rsidRPr="00690FAD">
        <w:t xml:space="preserve">each of these patients </w:t>
      </w:r>
      <w:r>
        <w:t>using</w:t>
      </w:r>
      <w:r w:rsidRPr="00690FAD">
        <w:t xml:space="preserve"> other FVIII products after the start of on-demand treat</w:t>
      </w:r>
      <w:r>
        <w:t>ment</w:t>
      </w:r>
      <w:r w:rsidRPr="00690FAD">
        <w:t xml:space="preserve">. </w:t>
      </w:r>
      <w:r w:rsidRPr="00690FAD">
        <w:rPr>
          <w:color w:val="000000"/>
        </w:rPr>
        <w:t xml:space="preserve">Three (3) of these 4 patients treated a total of 6 BEs with other FVIII products during the study because </w:t>
      </w:r>
      <w:r>
        <w:rPr>
          <w:color w:val="000000"/>
        </w:rPr>
        <w:t xml:space="preserve">simoctocog alfa </w:t>
      </w:r>
      <w:r w:rsidRPr="00690FAD">
        <w:rPr>
          <w:color w:val="000000"/>
        </w:rPr>
        <w:t xml:space="preserve">was not available, and in </w:t>
      </w:r>
      <w:r>
        <w:rPr>
          <w:color w:val="000000"/>
        </w:rPr>
        <w:t xml:space="preserve">an additional </w:t>
      </w:r>
      <w:r w:rsidRPr="00690FAD">
        <w:rPr>
          <w:color w:val="000000"/>
        </w:rPr>
        <w:t xml:space="preserve">6 BEs </w:t>
      </w:r>
      <w:r w:rsidRPr="005A13C7">
        <w:rPr>
          <w:color w:val="000000"/>
        </w:rPr>
        <w:t>in 1 patient because he felt that it was inconvenient to administer 10 vials of simoctocog alfa. The fourth patient</w:t>
      </w:r>
      <w:r w:rsidRPr="00690FAD">
        <w:rPr>
          <w:color w:val="000000"/>
        </w:rPr>
        <w:t xml:space="preserve"> returned all used and unused </w:t>
      </w:r>
      <w:r>
        <w:rPr>
          <w:color w:val="000000"/>
        </w:rPr>
        <w:t xml:space="preserve">simoctocog alfa </w:t>
      </w:r>
      <w:r w:rsidRPr="00690FAD">
        <w:rPr>
          <w:color w:val="000000"/>
        </w:rPr>
        <w:t xml:space="preserve">and instead treated himself with </w:t>
      </w:r>
      <w:r w:rsidR="00A66A24">
        <w:rPr>
          <w:color w:val="000000"/>
        </w:rPr>
        <w:t>another rFVIII</w:t>
      </w:r>
      <w:r w:rsidR="00A66A24" w:rsidRPr="00690FAD">
        <w:rPr>
          <w:color w:val="000000"/>
        </w:rPr>
        <w:t xml:space="preserve"> </w:t>
      </w:r>
      <w:r w:rsidRPr="00690FAD">
        <w:rPr>
          <w:color w:val="000000"/>
        </w:rPr>
        <w:t>because he erroneously thought that he had completed the study, when in fact he still had to come back for the 6 month PK visit. None of these 4 patients were excluded from the PK-PP population as it was decided at the data review meeting that the deviations would have only minor potential to bias PK results. Eight (8) patients were excluded from the PP population</w:t>
      </w:r>
      <w:r>
        <w:rPr>
          <w:color w:val="000000"/>
        </w:rPr>
        <w:t xml:space="preserve"> evaluated for efficacy</w:t>
      </w:r>
      <w:r w:rsidRPr="00690FAD">
        <w:rPr>
          <w:color w:val="000000"/>
        </w:rPr>
        <w:t>. These include</w:t>
      </w:r>
      <w:r>
        <w:rPr>
          <w:color w:val="000000"/>
        </w:rPr>
        <w:t>d</w:t>
      </w:r>
      <w:r w:rsidRPr="00690FAD">
        <w:rPr>
          <w:color w:val="000000"/>
        </w:rPr>
        <w:t xml:space="preserve"> the 4 patients described above due to the use of other FVIII products; one of these 4 patients additionally had less than 50 EDs during the on-demand phase. A further 4 patients (including the one that was lost to follow-up) were excluded from the PP </w:t>
      </w:r>
      <w:r>
        <w:rPr>
          <w:color w:val="000000"/>
        </w:rPr>
        <w:t xml:space="preserve">efficacy </w:t>
      </w:r>
      <w:r w:rsidRPr="00690FAD">
        <w:rPr>
          <w:color w:val="000000"/>
        </w:rPr>
        <w:t>population for having less than 50 EDs during the on-demand phase</w:t>
      </w:r>
    </w:p>
    <w:p w14:paraId="04933543" w14:textId="77777777" w:rsidR="006D35A0" w:rsidRPr="00462307" w:rsidRDefault="006D35A0" w:rsidP="00BE22E2">
      <w:pPr>
        <w:pStyle w:val="Heading5"/>
      </w:pPr>
      <w:bookmarkStart w:id="74" w:name="_Toc266446453"/>
      <w:r w:rsidRPr="00462307">
        <w:t>Baseline data</w:t>
      </w:r>
      <w:bookmarkEnd w:id="74"/>
    </w:p>
    <w:p w14:paraId="1E6F07A9" w14:textId="77777777" w:rsidR="006D35A0" w:rsidRDefault="006D35A0" w:rsidP="006D35A0">
      <w:r>
        <w:t>The basic demographic characteristics of the 22 patients in the ITT/SAF are summarised below in Table 1</w:t>
      </w:r>
      <w:r w:rsidR="006F09EA">
        <w:t>5</w:t>
      </w:r>
      <w:r>
        <w:t>.</w:t>
      </w:r>
    </w:p>
    <w:p w14:paraId="41836AEF" w14:textId="77777777" w:rsidR="000F04AF" w:rsidRDefault="006D35A0" w:rsidP="00462307">
      <w:pPr>
        <w:pStyle w:val="Tabletitle"/>
      </w:pPr>
      <w:bookmarkStart w:id="75" w:name="_Toc248202534"/>
      <w:r>
        <w:lastRenderedPageBreak/>
        <w:t xml:space="preserve">Table </w:t>
      </w:r>
      <w:r w:rsidR="006F09EA">
        <w:t>15</w:t>
      </w:r>
      <w:r>
        <w:t>: GENA-01 - Demographic characteristics of the study population (ITT/SAF); n=22.</w:t>
      </w:r>
      <w:bookmarkEnd w:id="75"/>
    </w:p>
    <w:p w14:paraId="347EBB12" w14:textId="44A9CF53" w:rsidR="006D35A0" w:rsidRPr="009039E8" w:rsidRDefault="006D35A0" w:rsidP="006D35A0">
      <w:pPr>
        <w:spacing w:after="0"/>
        <w:rPr>
          <w:sz w:val="16"/>
          <w:szCs w:val="16"/>
        </w:rPr>
      </w:pPr>
      <w:r w:rsidRPr="009039E8">
        <w:rPr>
          <w:noProof/>
          <w:sz w:val="16"/>
          <w:szCs w:val="16"/>
          <w:lang w:eastAsia="en-AU"/>
        </w:rPr>
        <w:drawing>
          <wp:inline distT="0" distB="0" distL="0" distR="0" wp14:anchorId="09E84251" wp14:editId="2E44DFBD">
            <wp:extent cx="4987925" cy="1609090"/>
            <wp:effectExtent l="0" t="0" r="0" b="0"/>
            <wp:docPr id="38" name="Picture 2" descr="The basic demographic characteristics of the 22 patients in the ITT/SAF are summarised in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7925" cy="1609090"/>
                    </a:xfrm>
                    <a:prstGeom prst="rect">
                      <a:avLst/>
                    </a:prstGeom>
                    <a:noFill/>
                    <a:ln>
                      <a:noFill/>
                    </a:ln>
                  </pic:spPr>
                </pic:pic>
              </a:graphicData>
            </a:graphic>
          </wp:inline>
        </w:drawing>
      </w:r>
    </w:p>
    <w:p w14:paraId="7CDB759B" w14:textId="77777777" w:rsidR="006D35A0" w:rsidRDefault="006D35A0" w:rsidP="007A6386">
      <w:pPr>
        <w:pStyle w:val="TableDescription"/>
        <w:rPr>
          <w:lang w:eastAsia="en-AU"/>
        </w:rPr>
      </w:pPr>
      <w:r w:rsidRPr="009039E8">
        <w:rPr>
          <w:lang w:eastAsia="en-AU"/>
        </w:rPr>
        <w:t>HJHS = Haemophilia Joint Health Score; ITT = intention-to-treat; SAF = study population of patients in safety analysis; SD = standard deviation.</w:t>
      </w:r>
    </w:p>
    <w:p w14:paraId="0A3BB3DF" w14:textId="77777777" w:rsidR="006D35A0" w:rsidRPr="002B000F" w:rsidRDefault="006D35A0" w:rsidP="006D35A0">
      <w:pPr>
        <w:rPr>
          <w:lang w:eastAsia="en-AU"/>
        </w:rPr>
      </w:pPr>
      <w:r w:rsidRPr="002B000F">
        <w:rPr>
          <w:lang w:eastAsia="en-AU"/>
        </w:rPr>
        <w:t xml:space="preserve">The majority of patients (18/22; 81.8%) were white, with the remainder being black or African American (3/22; 13.6%) or American Indian or Alaska Native (1/22; 4.5%). </w:t>
      </w:r>
      <w:r w:rsidRPr="002B000F">
        <w:rPr>
          <w:color w:val="000000"/>
        </w:rPr>
        <w:t>Known FVIII gene defects were documented for 4 out of 22 patients and all were single occurrence (intron-22 inversion, inversion type II, large deletion/insertion, stop mutation). A family history of haemophilia was documented in more than half of the patients (14/22; 63.4%), and two patients (9.1%) had a family history of inhibitor activity.</w:t>
      </w:r>
    </w:p>
    <w:p w14:paraId="2F702F87" w14:textId="77777777" w:rsidR="006D35A0" w:rsidRPr="002B000F" w:rsidRDefault="006D35A0" w:rsidP="006D35A0">
      <w:pPr>
        <w:rPr>
          <w:color w:val="000000"/>
        </w:rPr>
      </w:pPr>
      <w:r w:rsidRPr="002B000F">
        <w:rPr>
          <w:color w:val="000000"/>
        </w:rPr>
        <w:t>FVIII inhibitor levels were less than 0.6 BU in 16 patients at screening, as measured by both the Bethesda and the Nijmegen assays and in 6 (27.3%) patients FVIII inhibitors could not be determined at screening due to the remaining FVIII levels in plasma being too high for the inhibitor test to give a reliable result. However, all 6 of these patients had negative inhibitor values pre-infusion at PK Cycle 1.</w:t>
      </w:r>
    </w:p>
    <w:p w14:paraId="7DDC2CC0" w14:textId="77777777" w:rsidR="006D35A0" w:rsidRPr="002B000F" w:rsidRDefault="006D35A0" w:rsidP="006D35A0">
      <w:pPr>
        <w:rPr>
          <w:color w:val="000000"/>
        </w:rPr>
      </w:pPr>
      <w:r>
        <w:rPr>
          <w:color w:val="000000"/>
        </w:rPr>
        <w:t>The m</w:t>
      </w:r>
      <w:r w:rsidRPr="002B000F">
        <w:rPr>
          <w:color w:val="000000"/>
        </w:rPr>
        <w:t>ain historical bleeding sites were the ankle (54.5% [12/22] of patients both sides, 9.1% [2/22] each for left and right ankle), the knee (45.5% [10/22] of patients both sides, 9.1% [2/22] and 22.7% [5/22] left and right knee, respectively) and the elbow (40.9% [9/22] of patients both sides, 13.6% [3/22] and 27.3% [6/22] left and right elbow, respectively).</w:t>
      </w:r>
    </w:p>
    <w:p w14:paraId="02ADB25F" w14:textId="77777777" w:rsidR="00BE22E2" w:rsidRDefault="006D35A0" w:rsidP="00BE22E2">
      <w:r w:rsidRPr="002B000F">
        <w:t xml:space="preserve">Full information on the total number of </w:t>
      </w:r>
      <w:r>
        <w:t>EDs</w:t>
      </w:r>
      <w:r w:rsidRPr="002B000F">
        <w:t xml:space="preserve"> for </w:t>
      </w:r>
      <w:r>
        <w:t xml:space="preserve">pre-study use of FVIII concentrate </w:t>
      </w:r>
      <w:r w:rsidRPr="002B000F">
        <w:t>was available for 11 patients: 4 had received pdFVIII concentrates with a mean of 26.0 EDs and 7 had received rFVIII concentrates with a mean of 17.9 EDs within 6</w:t>
      </w:r>
      <w:r w:rsidR="00BE22E2">
        <w:t xml:space="preserve"> months before the study start.</w:t>
      </w:r>
    </w:p>
    <w:p w14:paraId="409186A7" w14:textId="77777777" w:rsidR="000F04AF" w:rsidRDefault="006D35A0" w:rsidP="00BE22E2">
      <w:r w:rsidRPr="002B000F">
        <w:t>Six (6) patients were HIV-positive, all with CD4</w:t>
      </w:r>
      <w:r w:rsidRPr="002B000F">
        <w:rPr>
          <w:position w:val="10"/>
        </w:rPr>
        <w:t xml:space="preserve">+ </w:t>
      </w:r>
      <w:r w:rsidRPr="002B000F">
        <w:t xml:space="preserve">T cell counts higher than 200/μL and the HIV viral load as measured by PCR </w:t>
      </w:r>
      <w:proofErr w:type="gramStart"/>
      <w:r w:rsidRPr="002B000F">
        <w:t>well below 400,000 copies/mL</w:t>
      </w:r>
      <w:proofErr w:type="gramEnd"/>
      <w:r w:rsidRPr="002B000F">
        <w:t>.</w:t>
      </w:r>
    </w:p>
    <w:p w14:paraId="354CCC23" w14:textId="77777777" w:rsidR="000F04AF" w:rsidRDefault="006D35A0" w:rsidP="00BE22E2">
      <w:pPr>
        <w:pStyle w:val="Heading5"/>
      </w:pPr>
      <w:bookmarkStart w:id="76" w:name="_Toc266446454"/>
      <w:r w:rsidRPr="00462307">
        <w:t>Efficacy outcomes - bleeding episodes</w:t>
      </w:r>
      <w:bookmarkEnd w:id="76"/>
    </w:p>
    <w:p w14:paraId="60A5B7D3" w14:textId="77777777" w:rsidR="000F04AF" w:rsidRDefault="006D35A0" w:rsidP="00BE22E2">
      <w:pPr>
        <w:pStyle w:val="Heading6"/>
      </w:pPr>
      <w:r w:rsidRPr="00462307">
        <w:t>Frequency and sites of BEs</w:t>
      </w:r>
    </w:p>
    <w:p w14:paraId="5A0C5AE3" w14:textId="77777777" w:rsidR="000F04AF" w:rsidRDefault="006D35A0" w:rsidP="006D35A0">
      <w:pPr>
        <w:rPr>
          <w:color w:val="000000"/>
        </w:rPr>
      </w:pPr>
      <w:r w:rsidRPr="00425F97">
        <w:rPr>
          <w:color w:val="000000"/>
        </w:rPr>
        <w:t>In total</w:t>
      </w:r>
      <w:r>
        <w:rPr>
          <w:color w:val="000000"/>
        </w:rPr>
        <w:t xml:space="preserve">, </w:t>
      </w:r>
      <w:r w:rsidRPr="00425F97">
        <w:rPr>
          <w:color w:val="000000"/>
        </w:rPr>
        <w:t xml:space="preserve">997 BEs </w:t>
      </w:r>
      <w:r>
        <w:rPr>
          <w:color w:val="000000"/>
        </w:rPr>
        <w:t xml:space="preserve">occurred </w:t>
      </w:r>
      <w:r w:rsidRPr="00425F97">
        <w:rPr>
          <w:color w:val="000000"/>
        </w:rPr>
        <w:t xml:space="preserve">after </w:t>
      </w:r>
      <w:r>
        <w:rPr>
          <w:color w:val="000000"/>
        </w:rPr>
        <w:t xml:space="preserve">the start of home treatment. </w:t>
      </w:r>
      <w:r w:rsidRPr="00425F97">
        <w:rPr>
          <w:color w:val="000000"/>
        </w:rPr>
        <w:t>Of these, 986 B</w:t>
      </w:r>
      <w:r>
        <w:rPr>
          <w:color w:val="000000"/>
        </w:rPr>
        <w:t xml:space="preserve">Es occurred in </w:t>
      </w:r>
      <w:r w:rsidRPr="00425F97">
        <w:rPr>
          <w:color w:val="000000"/>
        </w:rPr>
        <w:t xml:space="preserve">patients in the ITT population for which </w:t>
      </w:r>
      <w:r>
        <w:rPr>
          <w:color w:val="000000"/>
        </w:rPr>
        <w:t xml:space="preserve">all </w:t>
      </w:r>
      <w:r w:rsidRPr="00425F97">
        <w:rPr>
          <w:color w:val="000000"/>
        </w:rPr>
        <w:t>treatment</w:t>
      </w:r>
      <w:r>
        <w:rPr>
          <w:color w:val="000000"/>
        </w:rPr>
        <w:t>s</w:t>
      </w:r>
      <w:r w:rsidRPr="00425F97">
        <w:rPr>
          <w:color w:val="000000"/>
        </w:rPr>
        <w:t xml:space="preserve"> with </w:t>
      </w:r>
      <w:r>
        <w:rPr>
          <w:iCs/>
          <w:color w:val="000000"/>
        </w:rPr>
        <w:t xml:space="preserve">simoctocog alfa </w:t>
      </w:r>
      <w:r>
        <w:rPr>
          <w:color w:val="000000"/>
        </w:rPr>
        <w:t xml:space="preserve">were </w:t>
      </w:r>
      <w:r w:rsidRPr="00425F97">
        <w:rPr>
          <w:color w:val="000000"/>
        </w:rPr>
        <w:t>documented and which started between initiation of home treatment after PK cycle 2 (</w:t>
      </w:r>
      <w:r w:rsidR="001A2E59">
        <w:rPr>
          <w:color w:val="000000"/>
        </w:rPr>
        <w:t>that is,</w:t>
      </w:r>
      <w:r w:rsidRPr="00425F97">
        <w:rPr>
          <w:color w:val="000000"/>
        </w:rPr>
        <w:t xml:space="preserve"> one day after drawing of last blood sample for PK) and the completion visit.</w:t>
      </w:r>
    </w:p>
    <w:p w14:paraId="6CAFDE89" w14:textId="77777777" w:rsidR="000F04AF" w:rsidRDefault="006D35A0" w:rsidP="006D35A0">
      <w:pPr>
        <w:rPr>
          <w:color w:val="000000"/>
        </w:rPr>
      </w:pPr>
      <w:r w:rsidRPr="00425F97">
        <w:rPr>
          <w:color w:val="000000"/>
        </w:rPr>
        <w:t>Of the 986 BEs</w:t>
      </w:r>
      <w:r>
        <w:rPr>
          <w:color w:val="000000"/>
        </w:rPr>
        <w:t xml:space="preserve"> with documented simoctocog alfa treatment</w:t>
      </w:r>
      <w:r w:rsidRPr="00425F97">
        <w:rPr>
          <w:color w:val="000000"/>
        </w:rPr>
        <w:t>, 642 (65.1%) were spontaneous, 341 (34.6%) were traumatic, and 3 (0.3%) were due to other causes. In total</w:t>
      </w:r>
      <w:r w:rsidR="00CD264B">
        <w:rPr>
          <w:color w:val="000000"/>
        </w:rPr>
        <w:t xml:space="preserve"> there were</w:t>
      </w:r>
      <w:r w:rsidRPr="00425F97">
        <w:rPr>
          <w:color w:val="000000"/>
        </w:rPr>
        <w:t xml:space="preserve"> 416 (42.2%) minor, 566 (57.4%) were moderate to major, 3 (0.3%) were major to life-threatening, and the severity for </w:t>
      </w:r>
      <w:r>
        <w:rPr>
          <w:color w:val="000000"/>
        </w:rPr>
        <w:t>1</w:t>
      </w:r>
      <w:r w:rsidRPr="00425F97">
        <w:rPr>
          <w:color w:val="000000"/>
        </w:rPr>
        <w:t xml:space="preserve"> BE was unknown.</w:t>
      </w:r>
    </w:p>
    <w:p w14:paraId="0C338A41" w14:textId="2707AE21" w:rsidR="006D35A0" w:rsidRPr="00425F97" w:rsidRDefault="006D35A0" w:rsidP="006D35A0">
      <w:pPr>
        <w:rPr>
          <w:color w:val="000000"/>
        </w:rPr>
      </w:pPr>
      <w:r w:rsidRPr="00425F97">
        <w:rPr>
          <w:color w:val="000000"/>
        </w:rPr>
        <w:t xml:space="preserve">The number of BEs treated with </w:t>
      </w:r>
      <w:r>
        <w:rPr>
          <w:iCs/>
          <w:color w:val="000000"/>
        </w:rPr>
        <w:t xml:space="preserve">simoctocog alfa </w:t>
      </w:r>
      <w:r w:rsidRPr="00425F97">
        <w:rPr>
          <w:color w:val="000000"/>
        </w:rPr>
        <w:t xml:space="preserve">per patient ranged from 15 to 93. The most common sites of bleeding were the knee (230 BEs 23.3%), the elbow (225 BEs, 22.8%), other sites (166 BEs, 16.8%) and the ankle (155 BEs, 15.7%). Less common sites of bleeding were the </w:t>
      </w:r>
      <w:r w:rsidRPr="00425F97">
        <w:rPr>
          <w:color w:val="000000"/>
        </w:rPr>
        <w:lastRenderedPageBreak/>
        <w:t>arm (99 BEs, 10.0%), the leg (71 BEs, 7.2%), the oral cavity (20 BEs, 2.0%), the nose (BEs, 1.5%), and the intestine (BEs 5, 0.5%).</w:t>
      </w:r>
    </w:p>
    <w:p w14:paraId="3AFEADE6" w14:textId="77777777" w:rsidR="000F04AF" w:rsidRDefault="006D35A0" w:rsidP="006D35A0">
      <w:pPr>
        <w:rPr>
          <w:color w:val="000000"/>
        </w:rPr>
      </w:pPr>
      <w:r w:rsidRPr="00425F97">
        <w:rPr>
          <w:color w:val="000000"/>
        </w:rPr>
        <w:t xml:space="preserve">Two (2) of the 3 major to life-threatening BEs were traumatic bleeds in the right elbow of one patient </w:t>
      </w:r>
      <w:r>
        <w:rPr>
          <w:color w:val="000000"/>
        </w:rPr>
        <w:t>occurring</w:t>
      </w:r>
      <w:r w:rsidRPr="00425F97">
        <w:rPr>
          <w:color w:val="000000"/>
        </w:rPr>
        <w:t xml:space="preserve"> within 5 days of each other. The first BE was treated with 3 infusions on 2 EDs with a total of 7000 IU (104.5 IU/kg) of </w:t>
      </w:r>
      <w:r>
        <w:rPr>
          <w:iCs/>
          <w:color w:val="000000"/>
        </w:rPr>
        <w:t xml:space="preserve">simoctocog alfa </w:t>
      </w:r>
      <w:r w:rsidRPr="00425F97">
        <w:rPr>
          <w:color w:val="000000"/>
        </w:rPr>
        <w:t xml:space="preserve">with moderate efficacy. The second BE was treated with 2 infusions over 2 EDs with 5500 IU (82.1 IU/kg) of </w:t>
      </w:r>
      <w:r>
        <w:rPr>
          <w:iCs/>
          <w:color w:val="000000"/>
        </w:rPr>
        <w:t xml:space="preserve">simoctocog alfa </w:t>
      </w:r>
      <w:r w:rsidRPr="00425F97">
        <w:rPr>
          <w:color w:val="000000"/>
        </w:rPr>
        <w:t xml:space="preserve">with good efficacy. The third major to life-threatening BE was a spontaneous right and left groin bleed in one patient. It required only 1 infusion of </w:t>
      </w:r>
      <w:r>
        <w:rPr>
          <w:iCs/>
          <w:color w:val="000000"/>
        </w:rPr>
        <w:t xml:space="preserve">simoctocog alfa </w:t>
      </w:r>
      <w:r w:rsidRPr="00425F97">
        <w:rPr>
          <w:color w:val="000000"/>
        </w:rPr>
        <w:t xml:space="preserve">(4000 IU; 45.5 IU/kg) </w:t>
      </w:r>
      <w:r>
        <w:rPr>
          <w:color w:val="000000"/>
        </w:rPr>
        <w:t xml:space="preserve">and efficacy </w:t>
      </w:r>
      <w:r w:rsidRPr="00425F97">
        <w:rPr>
          <w:color w:val="000000"/>
        </w:rPr>
        <w:t>was judged as good.</w:t>
      </w:r>
    </w:p>
    <w:p w14:paraId="6D9C43DE" w14:textId="77777777" w:rsidR="000F04AF" w:rsidRDefault="006D35A0" w:rsidP="00BE22E2">
      <w:pPr>
        <w:pStyle w:val="Heading6"/>
      </w:pPr>
      <w:r w:rsidRPr="00462307">
        <w:t>Treatment of bleeding episodes</w:t>
      </w:r>
    </w:p>
    <w:p w14:paraId="4116C492" w14:textId="77777777" w:rsidR="000F04AF" w:rsidRDefault="006D35A0" w:rsidP="006D35A0">
      <w:pPr>
        <w:rPr>
          <w:color w:val="000000"/>
        </w:rPr>
      </w:pPr>
      <w:r w:rsidRPr="00425F97">
        <w:rPr>
          <w:color w:val="000000"/>
        </w:rPr>
        <w:t>The mean</w:t>
      </w:r>
      <w:r>
        <w:rPr>
          <w:color w:val="000000"/>
        </w:rPr>
        <w:t>±SD</w:t>
      </w:r>
      <w:r w:rsidRPr="00425F97">
        <w:rPr>
          <w:color w:val="000000"/>
        </w:rPr>
        <w:t xml:space="preserve"> duration of treatment of </w:t>
      </w:r>
      <w:r>
        <w:rPr>
          <w:color w:val="000000"/>
        </w:rPr>
        <w:t xml:space="preserve">all </w:t>
      </w:r>
      <w:r w:rsidRPr="00425F97">
        <w:rPr>
          <w:color w:val="000000"/>
        </w:rPr>
        <w:t xml:space="preserve">BEs </w:t>
      </w:r>
      <w:r>
        <w:rPr>
          <w:color w:val="000000"/>
        </w:rPr>
        <w:t xml:space="preserve">was 1.1±0.75 days (range: 1, </w:t>
      </w:r>
      <w:r w:rsidRPr="00425F97">
        <w:rPr>
          <w:color w:val="000000"/>
        </w:rPr>
        <w:t>19 days). Minor BEs required a mean</w:t>
      </w:r>
      <w:r>
        <w:rPr>
          <w:color w:val="000000"/>
        </w:rPr>
        <w:t>±SD</w:t>
      </w:r>
      <w:r w:rsidRPr="00425F97">
        <w:rPr>
          <w:color w:val="000000"/>
        </w:rPr>
        <w:t xml:space="preserve"> of 1.0±0.17 days of treatment, moderate to </w:t>
      </w:r>
      <w:proofErr w:type="gramStart"/>
      <w:r w:rsidRPr="00425F97">
        <w:rPr>
          <w:color w:val="000000"/>
        </w:rPr>
        <w:t>major</w:t>
      </w:r>
      <w:proofErr w:type="gramEnd"/>
      <w:r w:rsidRPr="00425F97">
        <w:rPr>
          <w:color w:val="000000"/>
        </w:rPr>
        <w:t xml:space="preserve"> BEs </w:t>
      </w:r>
      <w:r>
        <w:rPr>
          <w:color w:val="000000"/>
        </w:rPr>
        <w:t xml:space="preserve">a mean±SD of </w:t>
      </w:r>
      <w:r w:rsidRPr="00425F97">
        <w:rPr>
          <w:color w:val="000000"/>
        </w:rPr>
        <w:t>1.2±0.96 days and major to life-threatening</w:t>
      </w:r>
      <w:r>
        <w:rPr>
          <w:color w:val="000000"/>
        </w:rPr>
        <w:t xml:space="preserve"> mean±SD of </w:t>
      </w:r>
      <w:r w:rsidRPr="00425F97">
        <w:rPr>
          <w:color w:val="000000"/>
        </w:rPr>
        <w:t>1.7±0.58 days. The one BE that was of unknown severity (spontaneous bleed in the right forearm in one patient) required 2 days of treatment.</w:t>
      </w:r>
    </w:p>
    <w:p w14:paraId="4124C021" w14:textId="77777777" w:rsidR="000F04AF" w:rsidRDefault="006D35A0" w:rsidP="006D35A0">
      <w:pPr>
        <w:rPr>
          <w:color w:val="000000"/>
        </w:rPr>
      </w:pPr>
      <w:r w:rsidRPr="00425F97">
        <w:rPr>
          <w:color w:val="000000"/>
        </w:rPr>
        <w:t xml:space="preserve">A total of 920 BEs were considered for the analysis of dose and number of infusions/EDs. All BEs in the BLEED population (n=986) were treated with at least one dose of </w:t>
      </w:r>
      <w:r>
        <w:rPr>
          <w:iCs/>
          <w:color w:val="000000"/>
        </w:rPr>
        <w:t>simoctocog alfa</w:t>
      </w:r>
      <w:r w:rsidRPr="00425F97">
        <w:rPr>
          <w:color w:val="000000"/>
        </w:rPr>
        <w:t>. However, in cases where several bleedings were treated with the same set of infusions simultaneously, the number of infusions and the dosages were included only once per severity or site and efficacy assessment.</w:t>
      </w:r>
    </w:p>
    <w:p w14:paraId="1D546AB2" w14:textId="77777777" w:rsidR="000F04AF" w:rsidRDefault="006D35A0" w:rsidP="006D35A0">
      <w:pPr>
        <w:rPr>
          <w:color w:val="000000"/>
        </w:rPr>
      </w:pPr>
      <w:r>
        <w:rPr>
          <w:color w:val="000000"/>
        </w:rPr>
        <w:t>The number of infusions/EDs and the dosage for simoctocog alfa in the BLEED population are summarised below in Table 1</w:t>
      </w:r>
      <w:r w:rsidR="006F09EA">
        <w:rPr>
          <w:color w:val="000000"/>
        </w:rPr>
        <w:t>6</w:t>
      </w:r>
      <w:r>
        <w:rPr>
          <w:color w:val="000000"/>
        </w:rPr>
        <w:t xml:space="preserve">. </w:t>
      </w:r>
      <w:r w:rsidRPr="00206272">
        <w:rPr>
          <w:color w:val="000000"/>
        </w:rPr>
        <w:t>The median number of infusions for BEs was</w:t>
      </w:r>
      <w:r>
        <w:rPr>
          <w:color w:val="000000"/>
        </w:rPr>
        <w:t xml:space="preserve"> 1.0 (mean±SD 1.1±0.59; range 1, </w:t>
      </w:r>
      <w:r w:rsidRPr="00206272">
        <w:rPr>
          <w:color w:val="000000"/>
        </w:rPr>
        <w:t xml:space="preserve">13). </w:t>
      </w:r>
      <w:r>
        <w:rPr>
          <w:color w:val="000000"/>
        </w:rPr>
        <w:t>The</w:t>
      </w:r>
      <w:r w:rsidRPr="00206272">
        <w:rPr>
          <w:color w:val="000000"/>
        </w:rPr>
        <w:t xml:space="preserve"> majority of BEs required only </w:t>
      </w:r>
      <w:r>
        <w:rPr>
          <w:color w:val="000000"/>
        </w:rPr>
        <w:t>1</w:t>
      </w:r>
      <w:r w:rsidRPr="00206272">
        <w:rPr>
          <w:color w:val="000000"/>
        </w:rPr>
        <w:t xml:space="preserve"> </w:t>
      </w:r>
      <w:r>
        <w:rPr>
          <w:iCs/>
          <w:color w:val="000000"/>
        </w:rPr>
        <w:t xml:space="preserve">simoctocog alfa </w:t>
      </w:r>
      <w:r>
        <w:rPr>
          <w:color w:val="000000"/>
        </w:rPr>
        <w:t xml:space="preserve">infusion (841/986, 91.4%), while </w:t>
      </w:r>
      <w:r w:rsidRPr="00206272">
        <w:rPr>
          <w:color w:val="000000"/>
        </w:rPr>
        <w:t xml:space="preserve">53 BEs (5.8%) required 2 infusions. Twenty (2.2%) BEs required 3 infusions, 3 (0.3%) BEs required 4 and 2 (0.2%) </w:t>
      </w:r>
      <w:r>
        <w:rPr>
          <w:color w:val="000000"/>
        </w:rPr>
        <w:t xml:space="preserve">BEs </w:t>
      </w:r>
      <w:r w:rsidRPr="00206272">
        <w:rPr>
          <w:color w:val="000000"/>
        </w:rPr>
        <w:t xml:space="preserve">required 5 </w:t>
      </w:r>
      <w:proofErr w:type="gramStart"/>
      <w:r w:rsidRPr="00206272">
        <w:rPr>
          <w:color w:val="000000"/>
        </w:rPr>
        <w:t>infusions</w:t>
      </w:r>
      <w:r>
        <w:rPr>
          <w:color w:val="000000"/>
        </w:rPr>
        <w:t>,</w:t>
      </w:r>
      <w:proofErr w:type="gramEnd"/>
      <w:r>
        <w:rPr>
          <w:color w:val="000000"/>
        </w:rPr>
        <w:t xml:space="preserve"> and 1 </w:t>
      </w:r>
      <w:r w:rsidRPr="00206272">
        <w:rPr>
          <w:color w:val="000000"/>
        </w:rPr>
        <w:t>(</w:t>
      </w:r>
      <w:r>
        <w:rPr>
          <w:color w:val="000000"/>
        </w:rPr>
        <w:t xml:space="preserve">0.1%) BE required 13 infusions. </w:t>
      </w:r>
      <w:r w:rsidRPr="00206272">
        <w:rPr>
          <w:color w:val="000000"/>
        </w:rPr>
        <w:t xml:space="preserve">The median dose of </w:t>
      </w:r>
      <w:r>
        <w:rPr>
          <w:color w:val="000000"/>
        </w:rPr>
        <w:t xml:space="preserve">simoctocog alfa </w:t>
      </w:r>
      <w:r w:rsidRPr="00206272">
        <w:rPr>
          <w:color w:val="000000"/>
        </w:rPr>
        <w:t>per infusion for treatment of BEs was 30.0 IU/kg</w:t>
      </w:r>
      <w:r>
        <w:rPr>
          <w:color w:val="000000"/>
        </w:rPr>
        <w:t xml:space="preserve"> (range: 7, </w:t>
      </w:r>
      <w:r w:rsidRPr="00206272">
        <w:rPr>
          <w:color w:val="000000"/>
        </w:rPr>
        <w:t>61) across all severities; 29.9 IU/kg for minor</w:t>
      </w:r>
      <w:r>
        <w:rPr>
          <w:color w:val="000000"/>
        </w:rPr>
        <w:t xml:space="preserve"> </w:t>
      </w:r>
      <w:r w:rsidRPr="00206272">
        <w:rPr>
          <w:color w:val="000000"/>
        </w:rPr>
        <w:t xml:space="preserve">BEs, 30.0 </w:t>
      </w:r>
      <w:r>
        <w:rPr>
          <w:color w:val="000000"/>
        </w:rPr>
        <w:t xml:space="preserve">IU/kg for moderate to major BEs, </w:t>
      </w:r>
      <w:r w:rsidRPr="00206272">
        <w:rPr>
          <w:color w:val="000000"/>
        </w:rPr>
        <w:t>and 33.9 IU/kg for major to life-threatening</w:t>
      </w:r>
      <w:r>
        <w:rPr>
          <w:color w:val="000000"/>
        </w:rPr>
        <w:t xml:space="preserve"> </w:t>
      </w:r>
      <w:r w:rsidRPr="00206272">
        <w:rPr>
          <w:color w:val="000000"/>
        </w:rPr>
        <w:t xml:space="preserve">BEs. The BE of unknown severity was treated with 53.5 IU/kg. The median total dose </w:t>
      </w:r>
      <w:r>
        <w:rPr>
          <w:color w:val="000000"/>
        </w:rPr>
        <w:t xml:space="preserve">of simoctocog alfa </w:t>
      </w:r>
      <w:r w:rsidRPr="00206272">
        <w:rPr>
          <w:color w:val="000000"/>
        </w:rPr>
        <w:t>used</w:t>
      </w:r>
      <w:r>
        <w:rPr>
          <w:color w:val="000000"/>
        </w:rPr>
        <w:t xml:space="preserve"> </w:t>
      </w:r>
      <w:r w:rsidRPr="00206272">
        <w:rPr>
          <w:color w:val="000000"/>
        </w:rPr>
        <w:t>for the treatment of a B</w:t>
      </w:r>
      <w:r>
        <w:rPr>
          <w:color w:val="000000"/>
        </w:rPr>
        <w:t>E was 30.9 IU/kg (range 8, 657).</w:t>
      </w:r>
    </w:p>
    <w:p w14:paraId="451737FA" w14:textId="77777777" w:rsidR="000F04AF" w:rsidRDefault="006D35A0" w:rsidP="00462307">
      <w:pPr>
        <w:pStyle w:val="Tabletitle"/>
      </w:pPr>
      <w:bookmarkStart w:id="77" w:name="_Toc248202535"/>
      <w:r>
        <w:t xml:space="preserve">Table </w:t>
      </w:r>
      <w:r w:rsidR="006F09EA">
        <w:t>16</w:t>
      </w:r>
      <w:r>
        <w:t>: GENA-01 - EDs and simoctocog alfa (</w:t>
      </w:r>
      <w:r w:rsidR="00C8405D">
        <w:rPr>
          <w:i/>
        </w:rPr>
        <w:t>Simoctocog alfa</w:t>
      </w:r>
      <w:r w:rsidR="00823902">
        <w:rPr>
          <w:i/>
        </w:rPr>
        <w:t>/</w:t>
      </w:r>
      <w:r w:rsidR="00A66A24">
        <w:rPr>
          <w:i/>
        </w:rPr>
        <w:t>Human-cl rhFVIII</w:t>
      </w:r>
      <w:r>
        <w:t>) dosage for treatment of BEs; BLEED population, n=986.</w:t>
      </w:r>
      <w:bookmarkEnd w:id="77"/>
    </w:p>
    <w:p w14:paraId="05ED81E6" w14:textId="4A8E0308" w:rsidR="006D35A0" w:rsidRDefault="006D35A0" w:rsidP="006D35A0">
      <w:pPr>
        <w:spacing w:after="0"/>
        <w:rPr>
          <w:color w:val="000000"/>
        </w:rPr>
      </w:pPr>
      <w:r>
        <w:rPr>
          <w:noProof/>
          <w:color w:val="000000"/>
          <w:lang w:eastAsia="en-AU"/>
        </w:rPr>
        <w:drawing>
          <wp:inline distT="0" distB="0" distL="0" distR="0" wp14:anchorId="234825FC" wp14:editId="21E60399">
            <wp:extent cx="5029200" cy="2291715"/>
            <wp:effectExtent l="0" t="0" r="0" b="0"/>
            <wp:docPr id="39" name="Picture 3" descr="Table 16: GENA-01 - EDs and simoctocog alfa (Human-cl rhFVIII) dosage for treatment of BEs; BLEED population, n=9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2291715"/>
                    </a:xfrm>
                    <a:prstGeom prst="rect">
                      <a:avLst/>
                    </a:prstGeom>
                    <a:noFill/>
                    <a:ln>
                      <a:noFill/>
                    </a:ln>
                  </pic:spPr>
                </pic:pic>
              </a:graphicData>
            </a:graphic>
          </wp:inline>
        </w:drawing>
      </w:r>
    </w:p>
    <w:p w14:paraId="039D1419" w14:textId="0000A9FA" w:rsidR="006D35A0" w:rsidRDefault="006D35A0" w:rsidP="007A6386">
      <w:pPr>
        <w:pStyle w:val="TableDescription"/>
        <w:rPr>
          <w:lang w:eastAsia="en-AU"/>
        </w:rPr>
      </w:pPr>
      <w:r>
        <w:rPr>
          <w:color w:val="000000"/>
        </w:rPr>
        <w:t xml:space="preserve">* </w:t>
      </w:r>
      <w:r w:rsidRPr="00206272">
        <w:rPr>
          <w:lang w:eastAsia="en-AU"/>
        </w:rPr>
        <w:t>Dosage used to treat several simultaneous bleedings are counted only once in this analysis.</w:t>
      </w:r>
      <w:r w:rsidRPr="00206272">
        <w:rPr>
          <w:rFonts w:ascii="MS Mincho" w:eastAsia="MS Mincho" w:hAnsi="MS Mincho" w:cs="MS Mincho" w:hint="eastAsia"/>
          <w:lang w:eastAsia="en-AU"/>
        </w:rPr>
        <w:t> </w:t>
      </w:r>
      <w:r w:rsidRPr="00206272">
        <w:rPr>
          <w:lang w:eastAsia="en-AU"/>
        </w:rPr>
        <w:t xml:space="preserve">BE = bleeding episode; BLEED = study population of BEs treated with </w:t>
      </w:r>
      <w:r w:rsidR="00A84DFC" w:rsidRPr="00823902">
        <w:rPr>
          <w:rFonts w:cs="Times"/>
          <w:iCs/>
          <w:lang w:eastAsia="en-AU"/>
        </w:rPr>
        <w:t xml:space="preserve">simoctocog </w:t>
      </w:r>
      <w:r w:rsidR="00A84DFC" w:rsidRPr="00DF2B34">
        <w:rPr>
          <w:rFonts w:cs="Times"/>
          <w:iCs/>
          <w:lang w:eastAsia="en-AU"/>
        </w:rPr>
        <w:t>alfa</w:t>
      </w:r>
      <w:r w:rsidRPr="00A66A24">
        <w:rPr>
          <w:lang w:eastAsia="en-AU"/>
        </w:rPr>
        <w:t>;</w:t>
      </w:r>
      <w:r w:rsidRPr="00206272">
        <w:rPr>
          <w:lang w:eastAsia="en-AU"/>
        </w:rPr>
        <w:t xml:space="preserve"> ED = exposure day; IU = international unit; SD = standard deviation.</w:t>
      </w:r>
    </w:p>
    <w:p w14:paraId="5F284F51" w14:textId="77777777" w:rsidR="000F04AF" w:rsidRDefault="006D35A0" w:rsidP="00BE22E2">
      <w:pPr>
        <w:pStyle w:val="Heading5"/>
      </w:pPr>
      <w:r w:rsidRPr="00462307">
        <w:lastRenderedPageBreak/>
        <w:t>On-demand efficacy outcomes</w:t>
      </w:r>
    </w:p>
    <w:p w14:paraId="149D7C43" w14:textId="77777777" w:rsidR="000F04AF" w:rsidRDefault="006D35A0" w:rsidP="006D35A0">
      <w:r>
        <w:t>Personal efficacy assessments were available for 985 BEs and missing for 1 BE. Overall, 94.4% (931/986) of all BEs were treated with excellent (60.3%, 595/986) or good (34.1%, 336/986) efficacy, while moderate efficacy was recorded for 5.5% (54/986) and for no BEs was efficacy reported as "none". Efficacy outcomes for BEs according to severity are summarised below in Table 1</w:t>
      </w:r>
      <w:r w:rsidR="006F09EA">
        <w:t>7</w:t>
      </w:r>
      <w:r>
        <w:t>.</w:t>
      </w:r>
    </w:p>
    <w:p w14:paraId="281B1467" w14:textId="18152459" w:rsidR="006D35A0" w:rsidRDefault="006D35A0" w:rsidP="00462307">
      <w:pPr>
        <w:pStyle w:val="Tabletitle"/>
      </w:pPr>
      <w:bookmarkStart w:id="78" w:name="_Toc248202536"/>
      <w:proofErr w:type="gramStart"/>
      <w:r>
        <w:t xml:space="preserve">Table </w:t>
      </w:r>
      <w:r w:rsidR="006F09EA">
        <w:t>17</w:t>
      </w:r>
      <w:r>
        <w:t>: GENA-01 - Efficacy rating - severity of BE (number of BEs).</w:t>
      </w:r>
      <w:bookmarkEnd w:id="78"/>
      <w:proofErr w:type="gramEnd"/>
    </w:p>
    <w:tbl>
      <w:tblPr>
        <w:tblStyle w:val="TableTGAblue"/>
        <w:tblW w:w="0" w:type="auto"/>
        <w:tblLook w:val="04A0" w:firstRow="1" w:lastRow="0" w:firstColumn="1" w:lastColumn="0" w:noHBand="0" w:noVBand="1"/>
      </w:tblPr>
      <w:tblGrid>
        <w:gridCol w:w="1462"/>
        <w:gridCol w:w="1418"/>
        <w:gridCol w:w="1417"/>
        <w:gridCol w:w="2401"/>
        <w:gridCol w:w="2544"/>
      </w:tblGrid>
      <w:tr w:rsidR="006D35A0" w:rsidRPr="00D5079E" w14:paraId="6223991F" w14:textId="77777777" w:rsidTr="007A6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31EA87A3" w14:textId="77777777" w:rsidR="006D35A0" w:rsidRPr="00D5079E" w:rsidRDefault="006D2627" w:rsidP="007A6386">
            <w:r>
              <w:t>Efficacy rating</w:t>
            </w:r>
          </w:p>
        </w:tc>
        <w:tc>
          <w:tcPr>
            <w:tcW w:w="1418" w:type="dxa"/>
          </w:tcPr>
          <w:p w14:paraId="0D62585A" w14:textId="77777777" w:rsidR="006D35A0" w:rsidRPr="00D5079E" w:rsidRDefault="006D35A0" w:rsidP="007A6386">
            <w:pPr>
              <w:cnfStyle w:val="100000000000" w:firstRow="1" w:lastRow="0" w:firstColumn="0" w:lastColumn="0" w:oddVBand="0" w:evenVBand="0" w:oddHBand="0" w:evenHBand="0" w:firstRowFirstColumn="0" w:firstRowLastColumn="0" w:lastRowFirstColumn="0" w:lastRowLastColumn="0"/>
            </w:pPr>
            <w:r w:rsidRPr="00D5079E">
              <w:t>Any (n=986)</w:t>
            </w:r>
            <w:r>
              <w:t xml:space="preserve"> *</w:t>
            </w:r>
          </w:p>
        </w:tc>
        <w:tc>
          <w:tcPr>
            <w:tcW w:w="1417" w:type="dxa"/>
          </w:tcPr>
          <w:p w14:paraId="10E429E6" w14:textId="77777777" w:rsidR="006D35A0" w:rsidRPr="00D5079E" w:rsidRDefault="006D35A0" w:rsidP="007A6386">
            <w:pPr>
              <w:cnfStyle w:val="100000000000" w:firstRow="1" w:lastRow="0" w:firstColumn="0" w:lastColumn="0" w:oddVBand="0" w:evenVBand="0" w:oddHBand="0" w:evenHBand="0" w:firstRowFirstColumn="0" w:firstRowLastColumn="0" w:lastRowFirstColumn="0" w:lastRowLastColumn="0"/>
            </w:pPr>
            <w:r w:rsidRPr="00D5079E">
              <w:t>Minor</w:t>
            </w:r>
            <w:r>
              <w:t xml:space="preserve"> (n=416)           </w:t>
            </w:r>
          </w:p>
        </w:tc>
        <w:tc>
          <w:tcPr>
            <w:tcW w:w="2410" w:type="dxa"/>
          </w:tcPr>
          <w:p w14:paraId="1C280EAF" w14:textId="77777777" w:rsidR="006D35A0" w:rsidRPr="00D5079E" w:rsidRDefault="006D35A0" w:rsidP="007A6386">
            <w:pPr>
              <w:cnfStyle w:val="100000000000" w:firstRow="1" w:lastRow="0" w:firstColumn="0" w:lastColumn="0" w:oddVBand="0" w:evenVBand="0" w:oddHBand="0" w:evenHBand="0" w:firstRowFirstColumn="0" w:firstRowLastColumn="0" w:lastRowFirstColumn="0" w:lastRowLastColumn="0"/>
            </w:pPr>
            <w:r>
              <w:t xml:space="preserve">Moderate  to </w:t>
            </w:r>
            <w:r w:rsidRPr="00D5079E">
              <w:t>Major</w:t>
            </w:r>
            <w:r>
              <w:t xml:space="preserve"> (n=566)</w:t>
            </w:r>
          </w:p>
        </w:tc>
        <w:tc>
          <w:tcPr>
            <w:tcW w:w="2552" w:type="dxa"/>
          </w:tcPr>
          <w:p w14:paraId="47C816E8" w14:textId="77777777" w:rsidR="006D35A0" w:rsidRPr="00D5079E" w:rsidRDefault="006D35A0" w:rsidP="007A6386">
            <w:pPr>
              <w:cnfStyle w:val="100000000000" w:firstRow="1" w:lastRow="0" w:firstColumn="0" w:lastColumn="0" w:oddVBand="0" w:evenVBand="0" w:oddHBand="0" w:evenHBand="0" w:firstRowFirstColumn="0" w:firstRowLastColumn="0" w:lastRowFirstColumn="0" w:lastRowLastColumn="0"/>
            </w:pPr>
            <w:r w:rsidRPr="00D5079E">
              <w:t>Major</w:t>
            </w:r>
            <w:r>
              <w:t xml:space="preserve"> to </w:t>
            </w:r>
            <w:r w:rsidRPr="00D5079E">
              <w:t>life-threatening</w:t>
            </w:r>
            <w:r>
              <w:t xml:space="preserve"> (n=3)</w:t>
            </w:r>
          </w:p>
        </w:tc>
      </w:tr>
      <w:tr w:rsidR="006D35A0" w:rsidRPr="00D5079E" w14:paraId="45037118" w14:textId="77777777" w:rsidTr="007A6386">
        <w:tc>
          <w:tcPr>
            <w:cnfStyle w:val="001000000000" w:firstRow="0" w:lastRow="0" w:firstColumn="1" w:lastColumn="0" w:oddVBand="0" w:evenVBand="0" w:oddHBand="0" w:evenHBand="0" w:firstRowFirstColumn="0" w:firstRowLastColumn="0" w:lastRowFirstColumn="0" w:lastRowLastColumn="0"/>
            <w:tcW w:w="1242" w:type="dxa"/>
          </w:tcPr>
          <w:p w14:paraId="0AB6281C" w14:textId="77777777" w:rsidR="006D35A0" w:rsidRPr="00D5079E" w:rsidRDefault="006D35A0" w:rsidP="007A6386">
            <w:r w:rsidRPr="00D5079E">
              <w:t>Excellent</w:t>
            </w:r>
          </w:p>
        </w:tc>
        <w:tc>
          <w:tcPr>
            <w:tcW w:w="1418" w:type="dxa"/>
          </w:tcPr>
          <w:p w14:paraId="092D7897"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rsidRPr="00D5079E">
              <w:rPr>
                <w:color w:val="000000"/>
              </w:rPr>
              <w:t>595 (60.3%)</w:t>
            </w:r>
          </w:p>
        </w:tc>
        <w:tc>
          <w:tcPr>
            <w:tcW w:w="1417" w:type="dxa"/>
          </w:tcPr>
          <w:p w14:paraId="3077F819"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312 (75.0%)</w:t>
            </w:r>
          </w:p>
        </w:tc>
        <w:tc>
          <w:tcPr>
            <w:tcW w:w="2410" w:type="dxa"/>
          </w:tcPr>
          <w:p w14:paraId="05759640"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283 (50.0%)</w:t>
            </w:r>
          </w:p>
        </w:tc>
        <w:tc>
          <w:tcPr>
            <w:tcW w:w="2552" w:type="dxa"/>
          </w:tcPr>
          <w:p w14:paraId="0B11CD73"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w:t>
            </w:r>
          </w:p>
        </w:tc>
      </w:tr>
      <w:tr w:rsidR="006D35A0" w:rsidRPr="00D5079E" w14:paraId="3BBF6C9A" w14:textId="77777777" w:rsidTr="007A6386">
        <w:tc>
          <w:tcPr>
            <w:cnfStyle w:val="001000000000" w:firstRow="0" w:lastRow="0" w:firstColumn="1" w:lastColumn="0" w:oddVBand="0" w:evenVBand="0" w:oddHBand="0" w:evenHBand="0" w:firstRowFirstColumn="0" w:firstRowLastColumn="0" w:lastRowFirstColumn="0" w:lastRowLastColumn="0"/>
            <w:tcW w:w="1242" w:type="dxa"/>
          </w:tcPr>
          <w:p w14:paraId="30168807" w14:textId="77777777" w:rsidR="006D35A0" w:rsidRPr="00D5079E" w:rsidRDefault="006D35A0" w:rsidP="007A6386">
            <w:r w:rsidRPr="00D5079E">
              <w:t>Good</w:t>
            </w:r>
          </w:p>
        </w:tc>
        <w:tc>
          <w:tcPr>
            <w:tcW w:w="1418" w:type="dxa"/>
          </w:tcPr>
          <w:p w14:paraId="6B6D3401"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rsidRPr="00D5079E">
              <w:rPr>
                <w:color w:val="000000"/>
              </w:rPr>
              <w:t>336 (34.1%)</w:t>
            </w:r>
          </w:p>
        </w:tc>
        <w:tc>
          <w:tcPr>
            <w:tcW w:w="1417" w:type="dxa"/>
          </w:tcPr>
          <w:p w14:paraId="577104CC"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98 (23.6%)</w:t>
            </w:r>
          </w:p>
        </w:tc>
        <w:tc>
          <w:tcPr>
            <w:tcW w:w="2410" w:type="dxa"/>
          </w:tcPr>
          <w:p w14:paraId="25D1D875"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236 (41.7%)</w:t>
            </w:r>
          </w:p>
        </w:tc>
        <w:tc>
          <w:tcPr>
            <w:tcW w:w="2552" w:type="dxa"/>
          </w:tcPr>
          <w:p w14:paraId="7E69CBE1"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2 (66.7%)</w:t>
            </w:r>
          </w:p>
        </w:tc>
      </w:tr>
      <w:tr w:rsidR="006D35A0" w:rsidRPr="00D5079E" w14:paraId="5895235F" w14:textId="77777777" w:rsidTr="007A6386">
        <w:tc>
          <w:tcPr>
            <w:cnfStyle w:val="001000000000" w:firstRow="0" w:lastRow="0" w:firstColumn="1" w:lastColumn="0" w:oddVBand="0" w:evenVBand="0" w:oddHBand="0" w:evenHBand="0" w:firstRowFirstColumn="0" w:firstRowLastColumn="0" w:lastRowFirstColumn="0" w:lastRowLastColumn="0"/>
            <w:tcW w:w="1242" w:type="dxa"/>
          </w:tcPr>
          <w:p w14:paraId="39B61F25" w14:textId="77777777" w:rsidR="006D35A0" w:rsidRPr="00D5079E" w:rsidRDefault="006D35A0" w:rsidP="007A6386">
            <w:r w:rsidRPr="00D5079E">
              <w:t>Moderate</w:t>
            </w:r>
          </w:p>
        </w:tc>
        <w:tc>
          <w:tcPr>
            <w:tcW w:w="1418" w:type="dxa"/>
          </w:tcPr>
          <w:p w14:paraId="1AD5A80F"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rsidRPr="00D5079E">
              <w:rPr>
                <w:color w:val="000000"/>
              </w:rPr>
              <w:t>54 (5.5%)</w:t>
            </w:r>
          </w:p>
        </w:tc>
        <w:tc>
          <w:tcPr>
            <w:tcW w:w="1417" w:type="dxa"/>
          </w:tcPr>
          <w:p w14:paraId="119D0438"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6 (1.4%)</w:t>
            </w:r>
          </w:p>
        </w:tc>
        <w:tc>
          <w:tcPr>
            <w:tcW w:w="2410" w:type="dxa"/>
          </w:tcPr>
          <w:p w14:paraId="4FB797BC"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47 (8.3%)</w:t>
            </w:r>
          </w:p>
        </w:tc>
        <w:tc>
          <w:tcPr>
            <w:tcW w:w="2552" w:type="dxa"/>
          </w:tcPr>
          <w:p w14:paraId="5144D466"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1 (33.3%)</w:t>
            </w:r>
          </w:p>
        </w:tc>
      </w:tr>
      <w:tr w:rsidR="006D35A0" w:rsidRPr="00D5079E" w14:paraId="20C03DC2" w14:textId="77777777" w:rsidTr="007A6386">
        <w:tc>
          <w:tcPr>
            <w:cnfStyle w:val="001000000000" w:firstRow="0" w:lastRow="0" w:firstColumn="1" w:lastColumn="0" w:oddVBand="0" w:evenVBand="0" w:oddHBand="0" w:evenHBand="0" w:firstRowFirstColumn="0" w:firstRowLastColumn="0" w:lastRowFirstColumn="0" w:lastRowLastColumn="0"/>
            <w:tcW w:w="1242" w:type="dxa"/>
          </w:tcPr>
          <w:p w14:paraId="6C7AD6F0" w14:textId="77777777" w:rsidR="006D35A0" w:rsidRPr="00D5079E" w:rsidRDefault="006D35A0" w:rsidP="007A6386">
            <w:r w:rsidRPr="00D5079E">
              <w:t>None</w:t>
            </w:r>
          </w:p>
        </w:tc>
        <w:tc>
          <w:tcPr>
            <w:tcW w:w="1418" w:type="dxa"/>
          </w:tcPr>
          <w:p w14:paraId="3F94B6D0"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rsidRPr="00D5079E">
              <w:rPr>
                <w:color w:val="000000"/>
              </w:rPr>
              <w:t>--</w:t>
            </w:r>
          </w:p>
        </w:tc>
        <w:tc>
          <w:tcPr>
            <w:tcW w:w="1417" w:type="dxa"/>
          </w:tcPr>
          <w:p w14:paraId="47362CB1"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w:t>
            </w:r>
          </w:p>
        </w:tc>
        <w:tc>
          <w:tcPr>
            <w:tcW w:w="2410" w:type="dxa"/>
          </w:tcPr>
          <w:p w14:paraId="045D680F" w14:textId="31B9D926" w:rsidR="006D35A0" w:rsidRPr="00D5079E" w:rsidRDefault="007A6386" w:rsidP="007A6386">
            <w:pPr>
              <w:cnfStyle w:val="000000000000" w:firstRow="0" w:lastRow="0" w:firstColumn="0" w:lastColumn="0" w:oddVBand="0" w:evenVBand="0" w:oddHBand="0" w:evenHBand="0" w:firstRowFirstColumn="0" w:firstRowLastColumn="0" w:lastRowFirstColumn="0" w:lastRowLastColumn="0"/>
            </w:pPr>
            <w:r>
              <w:t>-</w:t>
            </w:r>
          </w:p>
        </w:tc>
        <w:tc>
          <w:tcPr>
            <w:tcW w:w="2552" w:type="dxa"/>
          </w:tcPr>
          <w:p w14:paraId="0E6DAE31"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w:t>
            </w:r>
          </w:p>
        </w:tc>
      </w:tr>
      <w:tr w:rsidR="006D35A0" w:rsidRPr="00D5079E" w14:paraId="78B6D0FE" w14:textId="77777777" w:rsidTr="007A6386">
        <w:tc>
          <w:tcPr>
            <w:cnfStyle w:val="001000000000" w:firstRow="0" w:lastRow="0" w:firstColumn="1" w:lastColumn="0" w:oddVBand="0" w:evenVBand="0" w:oddHBand="0" w:evenHBand="0" w:firstRowFirstColumn="0" w:firstRowLastColumn="0" w:lastRowFirstColumn="0" w:lastRowLastColumn="0"/>
            <w:tcW w:w="1242" w:type="dxa"/>
          </w:tcPr>
          <w:p w14:paraId="0A0DF88C" w14:textId="77777777" w:rsidR="006D35A0" w:rsidRPr="00D5079E" w:rsidRDefault="006D35A0" w:rsidP="007A6386">
            <w:r w:rsidRPr="00D5079E">
              <w:t xml:space="preserve">Missing </w:t>
            </w:r>
          </w:p>
        </w:tc>
        <w:tc>
          <w:tcPr>
            <w:tcW w:w="1418" w:type="dxa"/>
          </w:tcPr>
          <w:p w14:paraId="5504C7C2"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rsidRPr="00D5079E">
              <w:rPr>
                <w:color w:val="000000"/>
              </w:rPr>
              <w:t>1 (0.1</w:t>
            </w:r>
            <w:r>
              <w:rPr>
                <w:color w:val="000000"/>
              </w:rPr>
              <w:t>%)</w:t>
            </w:r>
          </w:p>
        </w:tc>
        <w:tc>
          <w:tcPr>
            <w:tcW w:w="1417" w:type="dxa"/>
          </w:tcPr>
          <w:p w14:paraId="33704075" w14:textId="77777777" w:rsidR="006D35A0" w:rsidRPr="00D5079E" w:rsidRDefault="006D35A0" w:rsidP="007A6386">
            <w:pPr>
              <w:cnfStyle w:val="000000000000" w:firstRow="0" w:lastRow="0" w:firstColumn="0" w:lastColumn="0" w:oddVBand="0" w:evenVBand="0" w:oddHBand="0" w:evenHBand="0" w:firstRowFirstColumn="0" w:firstRowLastColumn="0" w:lastRowFirstColumn="0" w:lastRowLastColumn="0"/>
            </w:pPr>
            <w:r>
              <w:t>-</w:t>
            </w:r>
          </w:p>
        </w:tc>
        <w:tc>
          <w:tcPr>
            <w:tcW w:w="2410" w:type="dxa"/>
          </w:tcPr>
          <w:p w14:paraId="7465A051" w14:textId="5534D330" w:rsidR="006D35A0" w:rsidRPr="00D5079E" w:rsidRDefault="007A6386" w:rsidP="007A6386">
            <w:pPr>
              <w:cnfStyle w:val="000000000000" w:firstRow="0" w:lastRow="0" w:firstColumn="0" w:lastColumn="0" w:oddVBand="0" w:evenVBand="0" w:oddHBand="0" w:evenHBand="0" w:firstRowFirstColumn="0" w:firstRowLastColumn="0" w:lastRowFirstColumn="0" w:lastRowLastColumn="0"/>
            </w:pPr>
            <w:r>
              <w:t>-</w:t>
            </w:r>
          </w:p>
        </w:tc>
        <w:tc>
          <w:tcPr>
            <w:tcW w:w="2552" w:type="dxa"/>
          </w:tcPr>
          <w:p w14:paraId="79C43F21" w14:textId="3D7328C7" w:rsidR="006D35A0" w:rsidRPr="00D5079E" w:rsidRDefault="007A6386" w:rsidP="007A6386">
            <w:pPr>
              <w:cnfStyle w:val="000000000000" w:firstRow="0" w:lastRow="0" w:firstColumn="0" w:lastColumn="0" w:oddVBand="0" w:evenVBand="0" w:oddHBand="0" w:evenHBand="0" w:firstRowFirstColumn="0" w:firstRowLastColumn="0" w:lastRowFirstColumn="0" w:lastRowLastColumn="0"/>
            </w:pPr>
            <w:r>
              <w:t>-</w:t>
            </w:r>
          </w:p>
        </w:tc>
      </w:tr>
    </w:tbl>
    <w:p w14:paraId="4E3E5F9A" w14:textId="77777777" w:rsidR="000F04AF" w:rsidRDefault="006D35A0" w:rsidP="007A6386">
      <w:pPr>
        <w:pStyle w:val="TableDescription"/>
      </w:pPr>
      <w:r w:rsidRPr="00F60808">
        <w:t xml:space="preserve">* BEs </w:t>
      </w:r>
      <w:proofErr w:type="gramStart"/>
      <w:r w:rsidRPr="00F60808">
        <w:t>=  986</w:t>
      </w:r>
      <w:proofErr w:type="gramEnd"/>
      <w:r w:rsidRPr="00F60808">
        <w:t xml:space="preserve"> (severity rating for 1 event was missing).</w:t>
      </w:r>
    </w:p>
    <w:p w14:paraId="2825A4D5" w14:textId="77777777" w:rsidR="000F04AF" w:rsidRDefault="006D35A0" w:rsidP="006D35A0">
      <w:r>
        <w:t>T</w:t>
      </w:r>
      <w:r w:rsidRPr="00F60808">
        <w:t xml:space="preserve">he proportion of BEs with successful treatment (rated as “good” or “excellent”; efficacy assessment at end of BE) was 94.4% (931/986 BEs) with a 95% </w:t>
      </w:r>
      <w:r>
        <w:t>CI</w:t>
      </w:r>
      <w:r w:rsidRPr="00F60808">
        <w:t xml:space="preserve"> of 92.8</w:t>
      </w:r>
      <w:r>
        <w:t xml:space="preserve">% to </w:t>
      </w:r>
      <w:r w:rsidRPr="00F60808">
        <w:t>95.8</w:t>
      </w:r>
      <w:r>
        <w:t xml:space="preserve">%. The lower 95% CI </w:t>
      </w:r>
      <w:r w:rsidRPr="00F60808">
        <w:t>for the rate of su</w:t>
      </w:r>
      <w:r>
        <w:t xml:space="preserve">ccessfully treated BEs was &gt;70%, which meets the study's pre-specified primary criteria for treatment efficacy. </w:t>
      </w:r>
      <w:r w:rsidRPr="00F60808">
        <w:t>The rate of BEs succes</w:t>
      </w:r>
      <w:r>
        <w:t xml:space="preserve">sfully treated with </w:t>
      </w:r>
      <w:r w:rsidRPr="00F60808">
        <w:t xml:space="preserve">1 or 2 infusions was 96.8% (954/986 BEs) with a 95% </w:t>
      </w:r>
      <w:r>
        <w:t xml:space="preserve">of CI </w:t>
      </w:r>
      <w:r w:rsidRPr="00F60808">
        <w:t>95.4</w:t>
      </w:r>
      <w:r>
        <w:t xml:space="preserve">% to </w:t>
      </w:r>
      <w:r w:rsidRPr="00F60808">
        <w:t>97.8</w:t>
      </w:r>
      <w:r>
        <w:t>%. This result supports the primary hypothesis as t</w:t>
      </w:r>
      <w:r w:rsidRPr="00F60808">
        <w:t xml:space="preserve">he lower </w:t>
      </w:r>
      <w:r>
        <w:t xml:space="preserve">95% CI for the rate of BEs successfully treated with 1 or 2 infusions was </w:t>
      </w:r>
      <w:r w:rsidRPr="00F60808">
        <w:t>&gt;</w:t>
      </w:r>
      <w:r>
        <w:t xml:space="preserve"> 80% (</w:t>
      </w:r>
      <w:r w:rsidR="001A2E59">
        <w:t>that is,</w:t>
      </w:r>
      <w:r>
        <w:t xml:space="preserve"> pre-specified efficacy criteria).</w:t>
      </w:r>
    </w:p>
    <w:p w14:paraId="47EB710A" w14:textId="77777777" w:rsidR="000F04AF" w:rsidRDefault="006D35A0" w:rsidP="006D35A0">
      <w:r>
        <w:t xml:space="preserve">The highest success rate </w:t>
      </w:r>
      <w:r w:rsidRPr="0047590D">
        <w:t>was observed for minor BEs (98.6% [</w:t>
      </w:r>
      <w:r>
        <w:t xml:space="preserve">95% CI: </w:t>
      </w:r>
      <w:r w:rsidRPr="0047590D">
        <w:t xml:space="preserve">96.9, 99.5]), </w:t>
      </w:r>
      <w:r>
        <w:t xml:space="preserve">with a </w:t>
      </w:r>
      <w:r w:rsidRPr="0047590D">
        <w:t xml:space="preserve">slightly lower </w:t>
      </w:r>
      <w:r>
        <w:t xml:space="preserve">rate </w:t>
      </w:r>
      <w:r w:rsidRPr="0047590D">
        <w:t>for moderate to major BEs (91.7% [</w:t>
      </w:r>
      <w:r>
        <w:t xml:space="preserve">95% CI: </w:t>
      </w:r>
      <w:r w:rsidRPr="0047590D">
        <w:t xml:space="preserve">89.1, 93.8]) and </w:t>
      </w:r>
      <w:r>
        <w:t xml:space="preserve">the </w:t>
      </w:r>
      <w:r w:rsidRPr="0047590D">
        <w:t xml:space="preserve">lowest </w:t>
      </w:r>
      <w:r>
        <w:t xml:space="preserve">rate </w:t>
      </w:r>
      <w:r w:rsidRPr="0047590D">
        <w:t>for major to life-threatening BEs (66.7% [</w:t>
      </w:r>
      <w:r>
        <w:t xml:space="preserve">95% CI: 9.4, </w:t>
      </w:r>
      <w:r w:rsidRPr="0047590D">
        <w:t xml:space="preserve">99.2]) However, the number of major to life-threatening BEs (3 BEs) is too low </w:t>
      </w:r>
      <w:r>
        <w:t xml:space="preserve">to </w:t>
      </w:r>
      <w:r w:rsidRPr="0047590D">
        <w:t xml:space="preserve">draw </w:t>
      </w:r>
      <w:r>
        <w:t>f</w:t>
      </w:r>
      <w:r w:rsidRPr="0047590D">
        <w:t>irm conclusion</w:t>
      </w:r>
      <w:r>
        <w:t>s</w:t>
      </w:r>
      <w:r w:rsidRPr="0047590D">
        <w:t xml:space="preserve"> about </w:t>
      </w:r>
      <w:r>
        <w:t xml:space="preserve">the </w:t>
      </w:r>
      <w:r w:rsidRPr="0047590D">
        <w:t xml:space="preserve">efficacy </w:t>
      </w:r>
      <w:r>
        <w:t>of simoctocog alfa for the treatment of these bleeds.</w:t>
      </w:r>
    </w:p>
    <w:p w14:paraId="275B9E15" w14:textId="77777777" w:rsidR="000F04AF" w:rsidRDefault="006D35A0" w:rsidP="006D35A0">
      <w:r w:rsidRPr="0047590D">
        <w:t xml:space="preserve">The success rate for patients treated per-protocol (BLEED-PP population) </w:t>
      </w:r>
      <w:r>
        <w:t xml:space="preserve">supported the success rate for the primary analysis in the ITT population (BLEED population), demonstrating the robustness of the efficacy results for simoctocog alfa for the treatment of BEs. In the BLEED-PP population, the </w:t>
      </w:r>
      <w:r w:rsidRPr="0047590D">
        <w:t xml:space="preserve">overall success rate was 97.6% (653/669 BEs) with a 95% </w:t>
      </w:r>
      <w:r>
        <w:t>CI</w:t>
      </w:r>
      <w:r w:rsidRPr="0047590D">
        <w:t xml:space="preserve"> of 96.1</w:t>
      </w:r>
      <w:r>
        <w:t xml:space="preserve">% to </w:t>
      </w:r>
      <w:r w:rsidRPr="0047590D">
        <w:t>98.6</w:t>
      </w:r>
      <w:r>
        <w:t>%</w:t>
      </w:r>
      <w:r w:rsidRPr="0047590D">
        <w:t xml:space="preserve">. </w:t>
      </w:r>
      <w:r>
        <w:t>The s</w:t>
      </w:r>
      <w:r w:rsidRPr="0047590D">
        <w:t xml:space="preserve">uccess rate </w:t>
      </w:r>
      <w:r>
        <w:t xml:space="preserve">for </w:t>
      </w:r>
      <w:r w:rsidRPr="0047590D">
        <w:t xml:space="preserve">BEs treated with 1 or 2 infusions was 98.2% (657/669 BEs) with a 95% </w:t>
      </w:r>
      <w:r>
        <w:t xml:space="preserve">CI </w:t>
      </w:r>
      <w:r w:rsidRPr="0047590D">
        <w:t>of 96.9</w:t>
      </w:r>
      <w:r>
        <w:t xml:space="preserve">% to </w:t>
      </w:r>
      <w:r w:rsidRPr="0047590D">
        <w:t>99.1</w:t>
      </w:r>
      <w:r>
        <w:t>%.</w:t>
      </w:r>
    </w:p>
    <w:p w14:paraId="3A2FD75B" w14:textId="77777777" w:rsidR="000F04AF" w:rsidRDefault="006D35A0" w:rsidP="006D35A0">
      <w:r w:rsidRPr="00F12D09">
        <w:t xml:space="preserve">Efficacy assessments were </w:t>
      </w:r>
      <w:r>
        <w:t xml:space="preserve">also </w:t>
      </w:r>
      <w:r w:rsidRPr="00F12D09">
        <w:t xml:space="preserve">undertaken for each individual infusion and the results were similar to those for the personal efficacy assessments. </w:t>
      </w:r>
      <w:r>
        <w:t xml:space="preserve">The number of infusions assessed in the BLEED population was 1041, and </w:t>
      </w:r>
      <w:r w:rsidRPr="00F12D09">
        <w:t>90.4% (</w:t>
      </w:r>
      <w:r>
        <w:t xml:space="preserve">n=941) of these </w:t>
      </w:r>
      <w:r w:rsidRPr="00F12D09">
        <w:t>infusions were judged as having excellent or good efficacy</w:t>
      </w:r>
      <w:r>
        <w:t xml:space="preserve"> (48.2% excellent, 42.2% good), while </w:t>
      </w:r>
      <w:r w:rsidRPr="00F12D09">
        <w:t xml:space="preserve">efficacy was judged as moderate in </w:t>
      </w:r>
      <w:r>
        <w:t xml:space="preserve">8.5% (n=88) of </w:t>
      </w:r>
      <w:r w:rsidRPr="00F12D09">
        <w:t xml:space="preserve">infusions and as none in </w:t>
      </w:r>
      <w:r>
        <w:t>0.9%</w:t>
      </w:r>
      <w:r w:rsidRPr="00F12D09">
        <w:t xml:space="preserve"> </w:t>
      </w:r>
      <w:r>
        <w:t xml:space="preserve">(n=9) of </w:t>
      </w:r>
      <w:r w:rsidRPr="00F12D09">
        <w:t xml:space="preserve">infusions. Efficacy assessment was missing for 3 infusions. </w:t>
      </w:r>
      <w:r>
        <w:t xml:space="preserve">The 9 infusions </w:t>
      </w:r>
      <w:r w:rsidRPr="00F12D09">
        <w:t>judged as having no efficacy</w:t>
      </w:r>
      <w:r>
        <w:t xml:space="preserve"> </w:t>
      </w:r>
      <w:r w:rsidRPr="00F12D09">
        <w:t xml:space="preserve">were </w:t>
      </w:r>
      <w:r>
        <w:t xml:space="preserve">all </w:t>
      </w:r>
      <w:r w:rsidRPr="00F12D09">
        <w:t>administ</w:t>
      </w:r>
      <w:r>
        <w:t xml:space="preserve">ered for </w:t>
      </w:r>
      <w:r>
        <w:lastRenderedPageBreak/>
        <w:t xml:space="preserve">moderate to major BEs, and 6 of these </w:t>
      </w:r>
      <w:r w:rsidRPr="00F12D09">
        <w:t xml:space="preserve">infusions were </w:t>
      </w:r>
      <w:r>
        <w:t>administered</w:t>
      </w:r>
      <w:r w:rsidRPr="00F12D09">
        <w:t xml:space="preserve"> for 2 BEs in one patient</w:t>
      </w:r>
      <w:r>
        <w:t xml:space="preserve"> (</w:t>
      </w:r>
      <w:r w:rsidRPr="00F12D09">
        <w:t xml:space="preserve">both </w:t>
      </w:r>
      <w:r>
        <w:t xml:space="preserve">for trauma to the right knee) while </w:t>
      </w:r>
      <w:r w:rsidRPr="00F12D09">
        <w:t xml:space="preserve">3 were </w:t>
      </w:r>
      <w:r>
        <w:t xml:space="preserve">administered to one </w:t>
      </w:r>
      <w:r w:rsidRPr="00F12D09">
        <w:t xml:space="preserve">patient for a single BE </w:t>
      </w:r>
      <w:r>
        <w:t>(</w:t>
      </w:r>
      <w:r w:rsidRPr="00F12D09">
        <w:t>right side of the ribs</w:t>
      </w:r>
      <w:r w:rsidR="0066716D">
        <w:t>, unclear</w:t>
      </w:r>
      <w:r w:rsidRPr="00F12D09">
        <w:t xml:space="preserve"> whether the patient was treating the bleeding or the pain due to coughing).</w:t>
      </w:r>
    </w:p>
    <w:p w14:paraId="10648F71" w14:textId="00CC56F0" w:rsidR="006D35A0" w:rsidRPr="00EA66D2" w:rsidRDefault="006D35A0" w:rsidP="00BE22E2">
      <w:pPr>
        <w:pStyle w:val="Heading5"/>
      </w:pPr>
      <w:bookmarkStart w:id="79" w:name="_Toc266446455"/>
      <w:r w:rsidRPr="00EA66D2">
        <w:t>Efficacy outcomes - surgical prophylaxis</w:t>
      </w:r>
      <w:bookmarkEnd w:id="79"/>
    </w:p>
    <w:p w14:paraId="4B843B12" w14:textId="77777777" w:rsidR="000F04AF" w:rsidRDefault="006D35A0" w:rsidP="00BE22E2">
      <w:r w:rsidRPr="00BE22E2">
        <w:t>During the study, 2 patients underwent 2 surgical procedures, one major and one minor. The minor procedure was colonoscopy/oesophago-gastroduodenoscopy (51 minutes duration) and the patient was given 5 infusions for a total simoctocog alfa dose of 252.55 IU/kg with an overall efficacy rating of excellent and no bleeding being expected or observed. The major procedure was revision of right total knee (150 minutes duration) and the patient was given 15 infusions for a total simoctocog alfa dose of 746.88 IU/kg and there was no difference between the actual and expected blood loss. The dosages administered for the surgeries in the 2 patients in the SURG population are summarised below in Table 1</w:t>
      </w:r>
      <w:r w:rsidR="006F09EA">
        <w:t>8</w:t>
      </w:r>
      <w:r w:rsidRPr="00BE22E2">
        <w:t>.</w:t>
      </w:r>
    </w:p>
    <w:p w14:paraId="2907E740" w14:textId="05F0297F" w:rsidR="006D35A0" w:rsidRDefault="006D35A0" w:rsidP="00EA66D2">
      <w:pPr>
        <w:pStyle w:val="Tabletitle"/>
      </w:pPr>
      <w:bookmarkStart w:id="80" w:name="_Toc248202537"/>
      <w:r>
        <w:t xml:space="preserve">Table </w:t>
      </w:r>
      <w:r w:rsidR="006F09EA">
        <w:t>18</w:t>
      </w:r>
      <w:r>
        <w:t>: GENA-01 - Summary of simoctocog alfa dosages administered for surgeries: SURG population (n=2).</w:t>
      </w:r>
      <w:bookmarkEnd w:id="80"/>
    </w:p>
    <w:tbl>
      <w:tblPr>
        <w:tblStyle w:val="TableTGAblue"/>
        <w:tblW w:w="9322" w:type="dxa"/>
        <w:tblLook w:val="04A0" w:firstRow="1" w:lastRow="0" w:firstColumn="1" w:lastColumn="0" w:noHBand="0" w:noVBand="1"/>
      </w:tblPr>
      <w:tblGrid>
        <w:gridCol w:w="3067"/>
        <w:gridCol w:w="1415"/>
        <w:gridCol w:w="1555"/>
        <w:gridCol w:w="1310"/>
        <w:gridCol w:w="1975"/>
      </w:tblGrid>
      <w:tr w:rsidR="006D35A0" w14:paraId="22FBE0A3" w14:textId="77777777" w:rsidTr="007A6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14:paraId="2F3F4D68" w14:textId="77777777" w:rsidR="006D35A0" w:rsidRPr="00BE22E2" w:rsidRDefault="006D35A0" w:rsidP="007A6386">
            <w:r w:rsidRPr="00BE22E2">
              <w:t>Parameter</w:t>
            </w:r>
          </w:p>
        </w:tc>
        <w:tc>
          <w:tcPr>
            <w:tcW w:w="1418" w:type="dxa"/>
          </w:tcPr>
          <w:p w14:paraId="2A894960" w14:textId="77777777" w:rsidR="006D35A0" w:rsidRPr="00BE22E2" w:rsidRDefault="006D35A0" w:rsidP="007A6386">
            <w:pPr>
              <w:cnfStyle w:val="100000000000" w:firstRow="1" w:lastRow="0" w:firstColumn="0" w:lastColumn="0" w:oddVBand="0" w:evenVBand="0" w:oddHBand="0" w:evenHBand="0" w:firstRowFirstColumn="0" w:firstRowLastColumn="0" w:lastRowFirstColumn="0" w:lastRowLastColumn="0"/>
            </w:pPr>
            <w:r w:rsidRPr="00BE22E2">
              <w:t>Mean</w:t>
            </w:r>
          </w:p>
        </w:tc>
        <w:tc>
          <w:tcPr>
            <w:tcW w:w="1559" w:type="dxa"/>
          </w:tcPr>
          <w:p w14:paraId="6FD0C35C" w14:textId="77777777" w:rsidR="006D35A0" w:rsidRPr="00BE22E2" w:rsidRDefault="006D35A0" w:rsidP="007A6386">
            <w:pPr>
              <w:cnfStyle w:val="100000000000" w:firstRow="1" w:lastRow="0" w:firstColumn="0" w:lastColumn="0" w:oddVBand="0" w:evenVBand="0" w:oddHBand="0" w:evenHBand="0" w:firstRowFirstColumn="0" w:firstRowLastColumn="0" w:lastRowFirstColumn="0" w:lastRowLastColumn="0"/>
            </w:pPr>
            <w:r w:rsidRPr="00BE22E2">
              <w:t>SD</w:t>
            </w:r>
          </w:p>
        </w:tc>
        <w:tc>
          <w:tcPr>
            <w:tcW w:w="1276" w:type="dxa"/>
          </w:tcPr>
          <w:p w14:paraId="36E3984F" w14:textId="77777777" w:rsidR="006D35A0" w:rsidRPr="00BE22E2" w:rsidRDefault="006D35A0" w:rsidP="007A6386">
            <w:pPr>
              <w:cnfStyle w:val="100000000000" w:firstRow="1" w:lastRow="0" w:firstColumn="0" w:lastColumn="0" w:oddVBand="0" w:evenVBand="0" w:oddHBand="0" w:evenHBand="0" w:firstRowFirstColumn="0" w:firstRowLastColumn="0" w:lastRowFirstColumn="0" w:lastRowLastColumn="0"/>
            </w:pPr>
            <w:r w:rsidRPr="00BE22E2">
              <w:t>Median</w:t>
            </w:r>
          </w:p>
        </w:tc>
        <w:tc>
          <w:tcPr>
            <w:tcW w:w="1984" w:type="dxa"/>
          </w:tcPr>
          <w:p w14:paraId="5456DA27" w14:textId="77777777" w:rsidR="006D35A0" w:rsidRPr="00BE22E2" w:rsidRDefault="006D35A0" w:rsidP="007A6386">
            <w:pPr>
              <w:cnfStyle w:val="100000000000" w:firstRow="1" w:lastRow="0" w:firstColumn="0" w:lastColumn="0" w:oddVBand="0" w:evenVBand="0" w:oddHBand="0" w:evenHBand="0" w:firstRowFirstColumn="0" w:firstRowLastColumn="0" w:lastRowFirstColumn="0" w:lastRowLastColumn="0"/>
            </w:pPr>
            <w:r w:rsidRPr="00BE22E2">
              <w:t xml:space="preserve">Range </w:t>
            </w:r>
          </w:p>
        </w:tc>
      </w:tr>
      <w:tr w:rsidR="006D35A0" w14:paraId="2A12257E" w14:textId="77777777" w:rsidTr="007A6386">
        <w:trPr>
          <w:trHeight w:val="435"/>
        </w:trPr>
        <w:tc>
          <w:tcPr>
            <w:cnfStyle w:val="001000000000" w:firstRow="0" w:lastRow="0" w:firstColumn="1" w:lastColumn="0" w:oddVBand="0" w:evenVBand="0" w:oddHBand="0" w:evenHBand="0" w:firstRowFirstColumn="0" w:firstRowLastColumn="0" w:lastRowFirstColumn="0" w:lastRowLastColumn="0"/>
            <w:tcW w:w="3085" w:type="dxa"/>
          </w:tcPr>
          <w:p w14:paraId="33E59838" w14:textId="77777777" w:rsidR="006D35A0" w:rsidRPr="00CD496E" w:rsidRDefault="006D35A0" w:rsidP="007A6386">
            <w:pPr>
              <w:rPr>
                <w:color w:val="000000"/>
              </w:rPr>
            </w:pPr>
            <w:r w:rsidRPr="00CD496E">
              <w:rPr>
                <w:color w:val="000000"/>
              </w:rPr>
              <w:t>Total dose</w:t>
            </w:r>
            <w:r>
              <w:rPr>
                <w:color w:val="000000"/>
              </w:rPr>
              <w:t xml:space="preserve"> (IU)</w:t>
            </w:r>
          </w:p>
        </w:tc>
        <w:tc>
          <w:tcPr>
            <w:tcW w:w="1418" w:type="dxa"/>
          </w:tcPr>
          <w:p w14:paraId="0A0D6F5E"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 xml:space="preserve">42,750 </w:t>
            </w:r>
          </w:p>
        </w:tc>
        <w:tc>
          <w:tcPr>
            <w:tcW w:w="1559" w:type="dxa"/>
          </w:tcPr>
          <w:p w14:paraId="40762684"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25,102</w:t>
            </w:r>
          </w:p>
        </w:tc>
        <w:tc>
          <w:tcPr>
            <w:tcW w:w="1276" w:type="dxa"/>
          </w:tcPr>
          <w:p w14:paraId="0FB066BB"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 xml:space="preserve">42,750 </w:t>
            </w:r>
          </w:p>
        </w:tc>
        <w:tc>
          <w:tcPr>
            <w:tcW w:w="1984" w:type="dxa"/>
          </w:tcPr>
          <w:p w14:paraId="7D61C010"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 xml:space="preserve">25,000-60,500 </w:t>
            </w:r>
          </w:p>
        </w:tc>
      </w:tr>
      <w:tr w:rsidR="006D35A0" w14:paraId="18FEBD8F" w14:textId="77777777" w:rsidTr="007A6386">
        <w:tc>
          <w:tcPr>
            <w:cnfStyle w:val="001000000000" w:firstRow="0" w:lastRow="0" w:firstColumn="1" w:lastColumn="0" w:oddVBand="0" w:evenVBand="0" w:oddHBand="0" w:evenHBand="0" w:firstRowFirstColumn="0" w:firstRowLastColumn="0" w:lastRowFirstColumn="0" w:lastRowLastColumn="0"/>
            <w:tcW w:w="3085" w:type="dxa"/>
          </w:tcPr>
          <w:p w14:paraId="15351A08" w14:textId="77777777" w:rsidR="006D35A0" w:rsidRPr="00CD496E" w:rsidRDefault="006D35A0" w:rsidP="007A6386">
            <w:pPr>
              <w:rPr>
                <w:color w:val="000000"/>
              </w:rPr>
            </w:pPr>
            <w:r>
              <w:rPr>
                <w:color w:val="000000"/>
              </w:rPr>
              <w:t xml:space="preserve">Total dose (IU/kg) </w:t>
            </w:r>
          </w:p>
        </w:tc>
        <w:tc>
          <w:tcPr>
            <w:tcW w:w="1418" w:type="dxa"/>
          </w:tcPr>
          <w:p w14:paraId="313474C8"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499.72</w:t>
            </w:r>
          </w:p>
        </w:tc>
        <w:tc>
          <w:tcPr>
            <w:tcW w:w="1559" w:type="dxa"/>
          </w:tcPr>
          <w:p w14:paraId="4470E842"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349.59</w:t>
            </w:r>
          </w:p>
        </w:tc>
        <w:tc>
          <w:tcPr>
            <w:tcW w:w="1276" w:type="dxa"/>
          </w:tcPr>
          <w:p w14:paraId="3A8B1062"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499.72</w:t>
            </w:r>
          </w:p>
        </w:tc>
        <w:tc>
          <w:tcPr>
            <w:tcW w:w="1984" w:type="dxa"/>
          </w:tcPr>
          <w:p w14:paraId="0400425E"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252.5-746.9</w:t>
            </w:r>
          </w:p>
        </w:tc>
      </w:tr>
      <w:tr w:rsidR="006D35A0" w14:paraId="4C35565C" w14:textId="77777777" w:rsidTr="007A6386">
        <w:tc>
          <w:tcPr>
            <w:cnfStyle w:val="001000000000" w:firstRow="0" w:lastRow="0" w:firstColumn="1" w:lastColumn="0" w:oddVBand="0" w:evenVBand="0" w:oddHBand="0" w:evenHBand="0" w:firstRowFirstColumn="0" w:firstRowLastColumn="0" w:lastRowFirstColumn="0" w:lastRowLastColumn="0"/>
            <w:tcW w:w="3085" w:type="dxa"/>
          </w:tcPr>
          <w:p w14:paraId="7FBACD45" w14:textId="515993E9" w:rsidR="006D35A0" w:rsidRPr="00CD496E" w:rsidRDefault="006D35A0" w:rsidP="007A6386">
            <w:pPr>
              <w:rPr>
                <w:color w:val="000000"/>
              </w:rPr>
            </w:pPr>
            <w:r>
              <w:rPr>
                <w:color w:val="000000"/>
              </w:rPr>
              <w:t>Pre-operative loading dose (IU/kg)</w:t>
            </w:r>
          </w:p>
        </w:tc>
        <w:tc>
          <w:tcPr>
            <w:tcW w:w="1418" w:type="dxa"/>
          </w:tcPr>
          <w:p w14:paraId="3C61C45B" w14:textId="3A39D918"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53.03</w:t>
            </w:r>
          </w:p>
        </w:tc>
        <w:tc>
          <w:tcPr>
            <w:tcW w:w="1559" w:type="dxa"/>
          </w:tcPr>
          <w:p w14:paraId="0DB6AD4E" w14:textId="52CB29A2"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3.57</w:t>
            </w:r>
          </w:p>
        </w:tc>
        <w:tc>
          <w:tcPr>
            <w:tcW w:w="1276" w:type="dxa"/>
          </w:tcPr>
          <w:p w14:paraId="34233F6F" w14:textId="1062C685"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53.03</w:t>
            </w:r>
          </w:p>
        </w:tc>
        <w:tc>
          <w:tcPr>
            <w:tcW w:w="1984" w:type="dxa"/>
          </w:tcPr>
          <w:p w14:paraId="474564B5"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50.5-55.6</w:t>
            </w:r>
          </w:p>
        </w:tc>
      </w:tr>
      <w:tr w:rsidR="006D35A0" w14:paraId="1C86EE2A" w14:textId="77777777" w:rsidTr="007A6386">
        <w:tc>
          <w:tcPr>
            <w:cnfStyle w:val="001000000000" w:firstRow="0" w:lastRow="0" w:firstColumn="1" w:lastColumn="0" w:oddVBand="0" w:evenVBand="0" w:oddHBand="0" w:evenHBand="0" w:firstRowFirstColumn="0" w:firstRowLastColumn="0" w:lastRowFirstColumn="0" w:lastRowLastColumn="0"/>
            <w:tcW w:w="3085" w:type="dxa"/>
          </w:tcPr>
          <w:p w14:paraId="353EE2C3" w14:textId="3FC92D17" w:rsidR="006D35A0" w:rsidRPr="00CD496E" w:rsidRDefault="006D35A0" w:rsidP="007A6386">
            <w:pPr>
              <w:rPr>
                <w:color w:val="000000"/>
              </w:rPr>
            </w:pPr>
            <w:r>
              <w:rPr>
                <w:color w:val="000000"/>
              </w:rPr>
              <w:t>Infusions after end of surgery (IU/kg)</w:t>
            </w:r>
          </w:p>
        </w:tc>
        <w:tc>
          <w:tcPr>
            <w:tcW w:w="1418" w:type="dxa"/>
          </w:tcPr>
          <w:p w14:paraId="488E166D"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446.69</w:t>
            </w:r>
          </w:p>
        </w:tc>
        <w:tc>
          <w:tcPr>
            <w:tcW w:w="1559" w:type="dxa"/>
          </w:tcPr>
          <w:p w14:paraId="0DFF274C"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346.01</w:t>
            </w:r>
          </w:p>
        </w:tc>
        <w:tc>
          <w:tcPr>
            <w:tcW w:w="1276" w:type="dxa"/>
          </w:tcPr>
          <w:p w14:paraId="10933DF8"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446.69</w:t>
            </w:r>
          </w:p>
        </w:tc>
        <w:tc>
          <w:tcPr>
            <w:tcW w:w="1984" w:type="dxa"/>
          </w:tcPr>
          <w:p w14:paraId="7BBCFEC6" w14:textId="77777777" w:rsidR="006D35A0" w:rsidRPr="00CD496E" w:rsidRDefault="006D35A0" w:rsidP="007A6386">
            <w:pPr>
              <w:cnfStyle w:val="000000000000" w:firstRow="0" w:lastRow="0" w:firstColumn="0" w:lastColumn="0" w:oddVBand="0" w:evenVBand="0" w:oddHBand="0" w:evenHBand="0" w:firstRowFirstColumn="0" w:firstRowLastColumn="0" w:lastRowFirstColumn="0" w:lastRowLastColumn="0"/>
              <w:rPr>
                <w:color w:val="000000"/>
              </w:rPr>
            </w:pPr>
            <w:r w:rsidRPr="00CD496E">
              <w:rPr>
                <w:color w:val="000000"/>
              </w:rPr>
              <w:t>202.0-691.4</w:t>
            </w:r>
          </w:p>
        </w:tc>
      </w:tr>
    </w:tbl>
    <w:p w14:paraId="2F409A86" w14:textId="77777777" w:rsidR="000F04AF" w:rsidRDefault="006D35A0" w:rsidP="00BE22E2">
      <w:pPr>
        <w:pStyle w:val="Heading5"/>
      </w:pPr>
      <w:bookmarkStart w:id="81" w:name="_Toc266446456"/>
      <w:r w:rsidRPr="00EA66D2">
        <w:t>Concomitant treatments during the study</w:t>
      </w:r>
      <w:bookmarkEnd w:id="81"/>
    </w:p>
    <w:p w14:paraId="064434A1" w14:textId="77777777" w:rsidR="000F04AF" w:rsidRDefault="006D35A0" w:rsidP="006D35A0">
      <w:r w:rsidRPr="00A10774">
        <w:t>The majority of patients (</w:t>
      </w:r>
      <w:r>
        <w:t xml:space="preserve">78%; </w:t>
      </w:r>
      <w:r w:rsidRPr="00A10774">
        <w:t>25/32) received at least one concomitant medication during the study. The most frequently used medication</w:t>
      </w:r>
      <w:r>
        <w:t>s</w:t>
      </w:r>
      <w:r w:rsidRPr="00A10774">
        <w:t xml:space="preserve"> (except </w:t>
      </w:r>
      <w:r>
        <w:t xml:space="preserve">for </w:t>
      </w:r>
      <w:r w:rsidRPr="00A10774">
        <w:t>surgery) were analgesics in 14 patients and topical products for joint and muscular pain in 8 patients</w:t>
      </w:r>
      <w:r>
        <w:t>.</w:t>
      </w:r>
      <w:r w:rsidRPr="00A10774">
        <w:t xml:space="preserve"> The most frequently used medication</w:t>
      </w:r>
      <w:r>
        <w:t>s</w:t>
      </w:r>
      <w:r w:rsidRPr="00A10774">
        <w:t xml:space="preserve"> during surgery were analgesics, anaesthetics, psycholeptics and blood p</w:t>
      </w:r>
      <w:r>
        <w:t xml:space="preserve">roducts and electrolyte perfusion solutions. </w:t>
      </w:r>
      <w:r w:rsidRPr="00A10774">
        <w:t>No patient received any blood transfusions or any blood cell concentrates during the study</w:t>
      </w:r>
      <w:r>
        <w:t>.</w:t>
      </w:r>
    </w:p>
    <w:p w14:paraId="7F2903AB" w14:textId="77777777" w:rsidR="000F04AF" w:rsidRDefault="006D35A0" w:rsidP="006D35A0">
      <w:r w:rsidRPr="00A10774">
        <w:t xml:space="preserve">Five patients did not start any additional medication while receiving </w:t>
      </w:r>
      <w:r>
        <w:t xml:space="preserve">simoctocog alfa, but </w:t>
      </w:r>
      <w:r w:rsidRPr="00A10774">
        <w:t xml:space="preserve">continued to take medication received prior to </w:t>
      </w:r>
      <w:r>
        <w:t>treatment start. These medications included treatments for hypertension, diabetes, acid-related disorders, joint disorders, pain, topical products for muscle and joint disorders, allergens, and chronic obstructive airways disease.</w:t>
      </w:r>
    </w:p>
    <w:p w14:paraId="0F4328C1" w14:textId="77777777" w:rsidR="000F04AF" w:rsidRDefault="006D35A0" w:rsidP="00BE22E2">
      <w:pPr>
        <w:pStyle w:val="Heading4"/>
      </w:pPr>
      <w:bookmarkStart w:id="82" w:name="_Toc266446457"/>
      <w:r w:rsidRPr="00EA66D2">
        <w:t>GENA-08 (Phase III) - PTPs adults aged 18 to 75 years</w:t>
      </w:r>
      <w:bookmarkEnd w:id="82"/>
    </w:p>
    <w:p w14:paraId="01D9BEF7" w14:textId="637EB719" w:rsidR="006D35A0" w:rsidRPr="00EA66D2" w:rsidRDefault="006D35A0" w:rsidP="00BE22E2">
      <w:pPr>
        <w:pStyle w:val="Heading5"/>
      </w:pPr>
      <w:bookmarkStart w:id="83" w:name="_Toc266446458"/>
      <w:r w:rsidRPr="00EA66D2">
        <w:t>Study design, objectives, locations and dates</w:t>
      </w:r>
      <w:bookmarkEnd w:id="83"/>
    </w:p>
    <w:p w14:paraId="10BF6AC7" w14:textId="77777777" w:rsidR="000F04AF" w:rsidRDefault="006D35A0" w:rsidP="006D35A0">
      <w:pPr>
        <w:rPr>
          <w:color w:val="000000"/>
        </w:rPr>
      </w:pPr>
      <w:r w:rsidRPr="00E36072">
        <w:rPr>
          <w:b/>
        </w:rPr>
        <w:t>GENA-08 was designed</w:t>
      </w:r>
      <w:r w:rsidRPr="00E36072">
        <w:t xml:space="preserve"> as a prospective, open-label, single-arm, multinational, multicentre, Phase III study in previously treated patients with </w:t>
      </w:r>
      <w:r w:rsidR="00A66A24">
        <w:t xml:space="preserve">severe </w:t>
      </w:r>
      <w:r w:rsidRPr="00E36072">
        <w:t>haemophilia A (FVIII</w:t>
      </w:r>
      <w:proofErr w:type="gramStart"/>
      <w:r w:rsidRPr="00E36072">
        <w:t>:C</w:t>
      </w:r>
      <w:proofErr w:type="gramEnd"/>
      <w:r w:rsidRPr="00E36072">
        <w:t xml:space="preserve"> ≤ 1%). </w:t>
      </w:r>
      <w:r w:rsidRPr="00E36072">
        <w:rPr>
          <w:color w:val="000000"/>
        </w:rPr>
        <w:t>The study was conducted in 1</w:t>
      </w:r>
      <w:r>
        <w:rPr>
          <w:color w:val="000000"/>
        </w:rPr>
        <w:t>0</w:t>
      </w:r>
      <w:r w:rsidRPr="00E36072">
        <w:rPr>
          <w:color w:val="000000"/>
        </w:rPr>
        <w:t xml:space="preserve"> investigational centres in </w:t>
      </w:r>
      <w:r>
        <w:rPr>
          <w:color w:val="000000"/>
        </w:rPr>
        <w:t>Austria (1 centre), Bulgaria (1 centre</w:t>
      </w:r>
      <w:r w:rsidRPr="00E36072">
        <w:rPr>
          <w:color w:val="000000"/>
        </w:rPr>
        <w:t>), Germany (3 centres) and the UK (5 centres), between 22 June 2010 and 31 January 2012. The CSR was date</w:t>
      </w:r>
      <w:r>
        <w:rPr>
          <w:color w:val="000000"/>
        </w:rPr>
        <w:t>d</w:t>
      </w:r>
      <w:r w:rsidRPr="00E36072">
        <w:rPr>
          <w:color w:val="000000"/>
        </w:rPr>
        <w:t xml:space="preserve"> 19 July 2012. The Co-ordinating Investigator was located at the Experimental Haematology and Transfusion Medicine, Bonn, Germany. The study was conducted in accordance with the ethical principles of the Declaration of Helsinki, and ICH-GCP (Note for </w:t>
      </w:r>
      <w:r w:rsidRPr="00E36072">
        <w:rPr>
          <w:color w:val="000000"/>
        </w:rPr>
        <w:lastRenderedPageBreak/>
        <w:t>Guidance CPMP/ICH/135/95), and national regulatory requirements. The study was sponsored by Octapharma, Switzerland.</w:t>
      </w:r>
    </w:p>
    <w:p w14:paraId="594566F3" w14:textId="77777777" w:rsidR="000F04AF" w:rsidRDefault="006D35A0" w:rsidP="006D35A0">
      <w:r w:rsidRPr="00E36072">
        <w:t xml:space="preserve">The </w:t>
      </w:r>
      <w:r w:rsidRPr="00E36072">
        <w:rPr>
          <w:b/>
        </w:rPr>
        <w:t xml:space="preserve">primary objective </w:t>
      </w:r>
      <w:r w:rsidRPr="00E36072">
        <w:t>of the study was to determine the efficacy of simoctocog alfa</w:t>
      </w:r>
      <w:r>
        <w:t xml:space="preserve"> </w:t>
      </w:r>
      <w:r w:rsidRPr="00E36072">
        <w:t xml:space="preserve">during prophylactic treatment, for the treatment of bleeding episodes (BEs), and for surgical prophylaxis, in </w:t>
      </w:r>
      <w:r>
        <w:t>PTPs</w:t>
      </w:r>
      <w:r w:rsidRPr="00E36072">
        <w:t xml:space="preserve"> with severe haemophilia A</w:t>
      </w:r>
      <w:r>
        <w:t>.</w:t>
      </w:r>
    </w:p>
    <w:p w14:paraId="3BB4653B" w14:textId="77777777" w:rsidR="000F04AF" w:rsidRDefault="006D35A0" w:rsidP="006D35A0">
      <w:r w:rsidRPr="00E36072">
        <w:t xml:space="preserve">The </w:t>
      </w:r>
      <w:r w:rsidRPr="00E36072">
        <w:rPr>
          <w:b/>
        </w:rPr>
        <w:t>secondary objectives</w:t>
      </w:r>
      <w:r w:rsidRPr="00E36072">
        <w:t xml:space="preserve"> of the study were:</w:t>
      </w:r>
      <w:r>
        <w:t xml:space="preserve"> </w:t>
      </w:r>
      <w:r w:rsidRPr="00E36072">
        <w:t>to calculate the incremental recovery of FVIII</w:t>
      </w:r>
      <w:proofErr w:type="gramStart"/>
      <w:r w:rsidRPr="00E36072">
        <w:t>:C</w:t>
      </w:r>
      <w:proofErr w:type="gramEnd"/>
      <w:r w:rsidRPr="00E36072">
        <w:t xml:space="preserve"> for simoctocog alfa;</w:t>
      </w:r>
      <w:r>
        <w:t xml:space="preserve"> to</w:t>
      </w:r>
      <w:r w:rsidRPr="00E36072">
        <w:t xml:space="preserve"> investigate the immunogenic potential of simoctocog alfa;</w:t>
      </w:r>
      <w:r>
        <w:t xml:space="preserve"> and to </w:t>
      </w:r>
      <w:r w:rsidRPr="00E36072">
        <w:t>assess the safety of simoctocog alfa.</w:t>
      </w:r>
    </w:p>
    <w:p w14:paraId="15F6F7A5" w14:textId="77777777" w:rsidR="000F04AF" w:rsidRDefault="006D35A0" w:rsidP="006D35A0">
      <w:pPr>
        <w:rPr>
          <w:color w:val="000000"/>
        </w:rPr>
      </w:pPr>
      <w:r w:rsidRPr="00E36072">
        <w:t xml:space="preserve">The </w:t>
      </w:r>
      <w:r w:rsidRPr="00E36072">
        <w:rPr>
          <w:b/>
        </w:rPr>
        <w:t>study plan</w:t>
      </w:r>
      <w:r>
        <w:rPr>
          <w:b/>
        </w:rPr>
        <w:t xml:space="preserve">ned to enrol </w:t>
      </w:r>
      <w:r w:rsidRPr="00E36072">
        <w:t>32 patients</w:t>
      </w:r>
      <w:r>
        <w:t xml:space="preserve">. </w:t>
      </w:r>
      <w:r w:rsidRPr="00E36072">
        <w:rPr>
          <w:color w:val="000000"/>
        </w:rPr>
        <w:t xml:space="preserve">After </w:t>
      </w:r>
      <w:r>
        <w:rPr>
          <w:color w:val="000000"/>
        </w:rPr>
        <w:t>the</w:t>
      </w:r>
      <w:r w:rsidRPr="00E36072">
        <w:rPr>
          <w:color w:val="000000"/>
        </w:rPr>
        <w:t xml:space="preserve"> first IVR assessment, patients e</w:t>
      </w:r>
      <w:r>
        <w:rPr>
          <w:color w:val="000000"/>
        </w:rPr>
        <w:t xml:space="preserve">ntered the open treatment phase of the study and received simoctocog alfa for routine prophylaxis, breakthrough BEs while on prophylaxis, and surgical prophylaxis. Treatment continued to 6 months and at least 50 EDs. </w:t>
      </w:r>
      <w:r w:rsidRPr="00E36072">
        <w:rPr>
          <w:color w:val="000000"/>
        </w:rPr>
        <w:t xml:space="preserve">Two additional IVR assessments were scheduled at 3 months and 6 months. The IVR assessment schedule and results have been presented in the </w:t>
      </w:r>
      <w:r w:rsidRPr="001429A3">
        <w:rPr>
          <w:i/>
          <w:color w:val="000000"/>
        </w:rPr>
        <w:t xml:space="preserve">Pharmacokinetics </w:t>
      </w:r>
      <w:r w:rsidRPr="00E36072">
        <w:rPr>
          <w:color w:val="000000"/>
        </w:rPr>
        <w:t>section of this CER.</w:t>
      </w:r>
    </w:p>
    <w:p w14:paraId="38A962B0" w14:textId="129C6C64" w:rsidR="006D35A0" w:rsidRPr="00D62CCB" w:rsidRDefault="006D35A0" w:rsidP="006D35A0">
      <w:r w:rsidRPr="00E36072">
        <w:rPr>
          <w:color w:val="000000"/>
        </w:rPr>
        <w:t>During the screening visit, inclusion and exclusion criteria were checked, informed consent was obtained, and demographic data and patient baseline characteristics, as well as results of a general physical examination including the assessment of the HJHS, were recorded</w:t>
      </w:r>
      <w:r w:rsidRPr="00D62CCB">
        <w:rPr>
          <w:color w:val="000000"/>
        </w:rPr>
        <w:t xml:space="preserve">. </w:t>
      </w:r>
      <w:r>
        <w:rPr>
          <w:color w:val="000000"/>
        </w:rPr>
        <w:t xml:space="preserve">In addition, </w:t>
      </w:r>
      <w:r w:rsidRPr="00D62CCB">
        <w:rPr>
          <w:color w:val="000000"/>
        </w:rPr>
        <w:t>patients were instructed on how to document treatment details, haemostatic efficacy assessments, adverse events (AEs) and concomitant medication in the patient diary provided.</w:t>
      </w:r>
    </w:p>
    <w:p w14:paraId="553BCE4E" w14:textId="77777777" w:rsidR="006D35A0" w:rsidRPr="00D62CCB" w:rsidRDefault="006D35A0" w:rsidP="006D35A0">
      <w:pPr>
        <w:rPr>
          <w:color w:val="000000"/>
        </w:rPr>
      </w:pPr>
      <w:r w:rsidRPr="00D62CCB">
        <w:rPr>
          <w:color w:val="000000"/>
        </w:rPr>
        <w:t xml:space="preserve">All patients who completed Visit 1 received sufficient quantities of </w:t>
      </w:r>
      <w:r>
        <w:rPr>
          <w:color w:val="000000"/>
        </w:rPr>
        <w:t xml:space="preserve">simoctocog alfa </w:t>
      </w:r>
      <w:r w:rsidRPr="00D62CCB">
        <w:rPr>
          <w:color w:val="000000"/>
        </w:rPr>
        <w:t>for home treatment</w:t>
      </w:r>
      <w:r>
        <w:rPr>
          <w:color w:val="000000"/>
        </w:rPr>
        <w:t xml:space="preserve">. </w:t>
      </w:r>
      <w:r w:rsidRPr="00D62CCB">
        <w:rPr>
          <w:color w:val="000000"/>
        </w:rPr>
        <w:t xml:space="preserve">At Visit 2, which was to take place not less than 48 hours after the first infusion, the first prophylactic infusion of </w:t>
      </w:r>
      <w:r>
        <w:rPr>
          <w:color w:val="000000"/>
        </w:rPr>
        <w:t>simoctocog alfa</w:t>
      </w:r>
      <w:r w:rsidRPr="00D62CCB">
        <w:rPr>
          <w:color w:val="000000"/>
        </w:rPr>
        <w:t xml:space="preserve"> was administered and a blood sample for inhibitor and antibody testing was obtained prior to the infusion. Subsequently, patients continued prophylactic and on-demand treatment (in case of breakthrough bleeds) with </w:t>
      </w:r>
      <w:r>
        <w:rPr>
          <w:color w:val="000000"/>
        </w:rPr>
        <w:t>simoctocog alfa</w:t>
      </w:r>
      <w:r w:rsidRPr="00D62CCB">
        <w:rPr>
          <w:color w:val="000000"/>
        </w:rPr>
        <w:t>.</w:t>
      </w:r>
    </w:p>
    <w:p w14:paraId="64F22257" w14:textId="77777777" w:rsidR="000F04AF" w:rsidRDefault="006D35A0" w:rsidP="006D35A0">
      <w:pPr>
        <w:rPr>
          <w:color w:val="000000"/>
        </w:rPr>
      </w:pPr>
      <w:r w:rsidRPr="00D62CCB">
        <w:rPr>
          <w:color w:val="000000"/>
        </w:rPr>
        <w:t xml:space="preserve">Follow-up visits were scheduled after 10 to 15 EDs and at 3 months (±2 weeks) and 6 months (+2 weeks). At every study visit, diaries were reviewed and patients were tested for FVIII inhibitors </w:t>
      </w:r>
      <w:r w:rsidRPr="0011148D">
        <w:rPr>
          <w:color w:val="000000"/>
        </w:rPr>
        <w:t xml:space="preserve">and antibodies. These visits </w:t>
      </w:r>
      <w:r>
        <w:rPr>
          <w:color w:val="000000"/>
        </w:rPr>
        <w:t xml:space="preserve">were to be </w:t>
      </w:r>
      <w:r w:rsidRPr="0011148D">
        <w:rPr>
          <w:color w:val="000000"/>
        </w:rPr>
        <w:t xml:space="preserve">preceded by a FVIII wash-out phase of at least 48 hours. Additionally, at 3 and 6 months, </w:t>
      </w:r>
      <w:r>
        <w:rPr>
          <w:color w:val="000000"/>
        </w:rPr>
        <w:t>s</w:t>
      </w:r>
      <w:r w:rsidRPr="0011148D">
        <w:rPr>
          <w:color w:val="000000"/>
        </w:rPr>
        <w:t xml:space="preserve">afety laboratory </w:t>
      </w:r>
      <w:r>
        <w:rPr>
          <w:color w:val="000000"/>
        </w:rPr>
        <w:t>tests</w:t>
      </w:r>
      <w:r w:rsidRPr="0011148D">
        <w:rPr>
          <w:color w:val="000000"/>
        </w:rPr>
        <w:t xml:space="preserve"> </w:t>
      </w:r>
      <w:r>
        <w:rPr>
          <w:color w:val="000000"/>
        </w:rPr>
        <w:t xml:space="preserve">were </w:t>
      </w:r>
      <w:r w:rsidRPr="0011148D">
        <w:rPr>
          <w:color w:val="000000"/>
        </w:rPr>
        <w:t xml:space="preserve">performed and vital signs </w:t>
      </w:r>
      <w:r>
        <w:rPr>
          <w:color w:val="000000"/>
        </w:rPr>
        <w:t xml:space="preserve">measured. </w:t>
      </w:r>
      <w:r w:rsidRPr="0011148D">
        <w:rPr>
          <w:color w:val="000000"/>
        </w:rPr>
        <w:t>The study completion visit at 6 months also included a physical examination after the last blood sample had been taken. Treatment parameters recorded for prophylactic infusions and for th</w:t>
      </w:r>
      <w:r w:rsidR="005A13C7">
        <w:rPr>
          <w:color w:val="000000"/>
        </w:rPr>
        <w:t>e on-demand treatment of BEs were presented.</w:t>
      </w:r>
      <w:r w:rsidRPr="0011148D">
        <w:rPr>
          <w:color w:val="000000"/>
        </w:rPr>
        <w:t xml:space="preserve"> </w:t>
      </w:r>
      <w:r w:rsidR="005A13C7">
        <w:rPr>
          <w:color w:val="000000"/>
        </w:rPr>
        <w:t>F</w:t>
      </w:r>
      <w:r w:rsidRPr="0011148D">
        <w:rPr>
          <w:color w:val="000000"/>
        </w:rPr>
        <w:t xml:space="preserve">or patients undergoing surgical interventions, treatment details were documented for the pre-, </w:t>
      </w:r>
      <w:r w:rsidR="005A13C7">
        <w:rPr>
          <w:color w:val="000000"/>
        </w:rPr>
        <w:t>intra-, and postoperative phase.</w:t>
      </w:r>
    </w:p>
    <w:p w14:paraId="2FCFA02E" w14:textId="77777777" w:rsidR="000F04AF" w:rsidRDefault="006D35A0" w:rsidP="006D35A0">
      <w:pPr>
        <w:rPr>
          <w:color w:val="000000"/>
        </w:rPr>
      </w:pPr>
      <w:r>
        <w:rPr>
          <w:color w:val="000000"/>
        </w:rPr>
        <w:t xml:space="preserve">In cases where </w:t>
      </w:r>
      <w:r w:rsidRPr="0011148D">
        <w:rPr>
          <w:color w:val="000000"/>
        </w:rPr>
        <w:t>inhibitor development was suspected additional FVIII inhibitor and anti-rFVIII antibody tests were to be performed. Other reasons for unscheduled visits were the occurrence of serious adverse events (SAEs) or hospitalisations because of severe BEs or because of a surgical intervention.</w:t>
      </w:r>
      <w:r>
        <w:rPr>
          <w:color w:val="000000"/>
        </w:rPr>
        <w:t xml:space="preserve"> </w:t>
      </w:r>
      <w:r w:rsidRPr="0011148D">
        <w:rPr>
          <w:color w:val="000000"/>
        </w:rPr>
        <w:t>AEs and use of concomitant medication were documented throughout the study. The patients' diaries, including any BEs, treatment of BEs, concomitant medications and AEs, were reviewed and data transferred to the CRF.</w:t>
      </w:r>
    </w:p>
    <w:p w14:paraId="2E0DF7B0" w14:textId="381C46A9" w:rsidR="006D35A0" w:rsidRPr="0011148D" w:rsidRDefault="006D35A0" w:rsidP="006D35A0">
      <w:pPr>
        <w:rPr>
          <w:color w:val="000000"/>
        </w:rPr>
      </w:pPr>
      <w:r w:rsidRPr="0011148D">
        <w:rPr>
          <w:color w:val="000000"/>
        </w:rPr>
        <w:t xml:space="preserve">Efficacy and safety </w:t>
      </w:r>
      <w:r>
        <w:rPr>
          <w:color w:val="000000"/>
        </w:rPr>
        <w:t xml:space="preserve">data (including inhibitor data) </w:t>
      </w:r>
      <w:r w:rsidRPr="0011148D">
        <w:rPr>
          <w:color w:val="000000"/>
        </w:rPr>
        <w:t xml:space="preserve">were reviewed by an IDMC, which convened after the last patient, had completed the study. The IDMC reviewed the safety and efficacy data and in particular adjudicated on the personal efficacy assessments </w:t>
      </w:r>
      <w:r>
        <w:rPr>
          <w:color w:val="000000"/>
        </w:rPr>
        <w:t>for the treatment of BE. T</w:t>
      </w:r>
      <w:r w:rsidRPr="0011148D">
        <w:rPr>
          <w:color w:val="000000"/>
        </w:rPr>
        <w:t xml:space="preserve">he IDMC </w:t>
      </w:r>
      <w:r>
        <w:rPr>
          <w:color w:val="000000"/>
        </w:rPr>
        <w:t>was</w:t>
      </w:r>
      <w:r w:rsidRPr="0011148D">
        <w:rPr>
          <w:color w:val="000000"/>
        </w:rPr>
        <w:t xml:space="preserve"> informed </w:t>
      </w:r>
      <w:r>
        <w:rPr>
          <w:color w:val="000000"/>
        </w:rPr>
        <w:t xml:space="preserve">at regular intervals </w:t>
      </w:r>
      <w:r w:rsidRPr="0011148D">
        <w:rPr>
          <w:color w:val="000000"/>
        </w:rPr>
        <w:t>about the progress of the study and the entire clinical development program</w:t>
      </w:r>
      <w:r>
        <w:rPr>
          <w:color w:val="000000"/>
        </w:rPr>
        <w:t xml:space="preserve"> </w:t>
      </w:r>
      <w:r w:rsidRPr="0011148D">
        <w:rPr>
          <w:color w:val="000000"/>
        </w:rPr>
        <w:t xml:space="preserve">for </w:t>
      </w:r>
      <w:r>
        <w:rPr>
          <w:color w:val="000000"/>
        </w:rPr>
        <w:t xml:space="preserve">simoctocog alfa. </w:t>
      </w:r>
      <w:r w:rsidRPr="0011148D">
        <w:rPr>
          <w:color w:val="000000"/>
        </w:rPr>
        <w:t>The IDMC was composed of recognised experts in the field of haemophilia clinical care who were not actively recruiting patients, and an experienced biostatistician.</w:t>
      </w:r>
    </w:p>
    <w:p w14:paraId="68E3DB39" w14:textId="77777777" w:rsidR="006D35A0" w:rsidRPr="00B74B69" w:rsidRDefault="006D35A0" w:rsidP="00BE22E2">
      <w:pPr>
        <w:pStyle w:val="Heading5"/>
      </w:pPr>
      <w:bookmarkStart w:id="84" w:name="_Toc266446459"/>
      <w:r w:rsidRPr="00B74B69">
        <w:t>Inclusion and exclusion criteria</w:t>
      </w:r>
      <w:bookmarkEnd w:id="84"/>
    </w:p>
    <w:p w14:paraId="085E1412" w14:textId="77777777" w:rsidR="006D35A0" w:rsidRDefault="006D35A0" w:rsidP="006D35A0">
      <w:r>
        <w:t xml:space="preserve">The inclusion and exclusion criteria for GENA-08 were consistent with those previously described for GENA-01. However, no upper age limit was specified for patients in GENA-08 (c.f., </w:t>
      </w:r>
      <w:r>
        <w:lastRenderedPageBreak/>
        <w:t>≤ 65 years for GENA-01). The study also included standard criteria relating to withdrawal from therapy or assessment with adequate procedures for follow-up.</w:t>
      </w:r>
    </w:p>
    <w:p w14:paraId="115C07C5" w14:textId="77777777" w:rsidR="000F04AF" w:rsidRDefault="006D35A0" w:rsidP="00BE22E2">
      <w:pPr>
        <w:pStyle w:val="Heading5"/>
      </w:pPr>
      <w:bookmarkStart w:id="85" w:name="_Toc266446460"/>
      <w:r w:rsidRPr="00B74B69">
        <w:t>Treatment</w:t>
      </w:r>
      <w:bookmarkEnd w:id="85"/>
    </w:p>
    <w:p w14:paraId="0B3EB50A" w14:textId="77777777" w:rsidR="000F04AF" w:rsidRDefault="006D35A0" w:rsidP="006D35A0">
      <w:pPr>
        <w:rPr>
          <w:color w:val="000000"/>
        </w:rPr>
      </w:pPr>
      <w:r>
        <w:rPr>
          <w:color w:val="000000"/>
        </w:rPr>
        <w:t xml:space="preserve">Simoctocog alfa </w:t>
      </w:r>
      <w:r w:rsidRPr="00D238B3">
        <w:rPr>
          <w:color w:val="000000"/>
        </w:rPr>
        <w:t xml:space="preserve">was administered to all patients prophylactically, for treatment of BEs </w:t>
      </w:r>
      <w:r>
        <w:rPr>
          <w:color w:val="000000"/>
        </w:rPr>
        <w:t>occurring while on prophylaxis and (where needed) for</w:t>
      </w:r>
      <w:r w:rsidRPr="00D238B3">
        <w:rPr>
          <w:color w:val="000000"/>
        </w:rPr>
        <w:t xml:space="preserve"> surgical </w:t>
      </w:r>
      <w:r>
        <w:rPr>
          <w:color w:val="000000"/>
        </w:rPr>
        <w:t xml:space="preserve">prophylaxis. </w:t>
      </w:r>
      <w:r w:rsidRPr="00D238B3">
        <w:rPr>
          <w:color w:val="000000"/>
        </w:rPr>
        <w:t xml:space="preserve">A dose of 50 IU/kg was administered at Visit 1 and at 3 and 6 months for the purpose of assessing IVR. </w:t>
      </w:r>
      <w:r>
        <w:rPr>
          <w:color w:val="000000"/>
        </w:rPr>
        <w:t xml:space="preserve">Simoctocog alfa </w:t>
      </w:r>
      <w:r w:rsidRPr="00D238B3">
        <w:rPr>
          <w:color w:val="000000"/>
        </w:rPr>
        <w:t xml:space="preserve">was administered as an </w:t>
      </w:r>
      <w:proofErr w:type="gramStart"/>
      <w:r w:rsidRPr="00D238B3">
        <w:rPr>
          <w:color w:val="000000"/>
        </w:rPr>
        <w:t>iv</w:t>
      </w:r>
      <w:proofErr w:type="gramEnd"/>
      <w:r w:rsidRPr="00D238B3">
        <w:rPr>
          <w:color w:val="000000"/>
        </w:rPr>
        <w:t xml:space="preserve"> bolus injection at </w:t>
      </w:r>
      <w:r>
        <w:rPr>
          <w:color w:val="000000"/>
        </w:rPr>
        <w:t>a maximum speed of 4 mL/minute.</w:t>
      </w:r>
    </w:p>
    <w:p w14:paraId="36BF7B4D" w14:textId="77777777" w:rsidR="000F04AF" w:rsidRDefault="006D35A0" w:rsidP="00BE22E2">
      <w:pPr>
        <w:pStyle w:val="Heading6"/>
      </w:pPr>
      <w:r w:rsidRPr="00B74B69">
        <w:t>Prophylactic treatment</w:t>
      </w:r>
    </w:p>
    <w:p w14:paraId="2E6823B0"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D238B3">
        <w:rPr>
          <w:color w:val="000000"/>
        </w:rPr>
        <w:t xml:space="preserve">Patients being treated prophylactically were to receive 30 to 40 IU FVIII/kg every other day until 6 months and at least 50 EDs had been reached. Two dose escalations of +5 IU/kg each were allowed in </w:t>
      </w:r>
      <w:r>
        <w:rPr>
          <w:color w:val="000000"/>
        </w:rPr>
        <w:t xml:space="preserve">case of an inadequate response </w:t>
      </w:r>
      <w:r w:rsidRPr="00D238B3">
        <w:rPr>
          <w:color w:val="000000"/>
        </w:rPr>
        <w:t xml:space="preserve">defined as </w:t>
      </w:r>
      <w:r w:rsidRPr="00D238B3">
        <w:rPr>
          <w:rFonts w:cs="Helvetica"/>
          <w:color w:val="000000"/>
        </w:rPr>
        <w:t xml:space="preserve">≥ </w:t>
      </w:r>
      <w:r w:rsidRPr="00D238B3">
        <w:rPr>
          <w:color w:val="000000"/>
        </w:rPr>
        <w:t>2 s</w:t>
      </w:r>
      <w:r>
        <w:rPr>
          <w:color w:val="000000"/>
        </w:rPr>
        <w:t>pontaneous BEs during one month</w:t>
      </w:r>
      <w:r w:rsidRPr="00D238B3">
        <w:rPr>
          <w:color w:val="000000"/>
        </w:rPr>
        <w:t>. Any bleeding occurring during the prophylactic treatment period was treated in accordance with the on-demand treatment guideline</w:t>
      </w:r>
      <w:r>
        <w:rPr>
          <w:color w:val="000000"/>
        </w:rPr>
        <w:t>s.</w:t>
      </w:r>
    </w:p>
    <w:p w14:paraId="374D2D0E" w14:textId="77777777" w:rsidR="000F04AF" w:rsidRDefault="006D35A0" w:rsidP="00BE22E2">
      <w:pPr>
        <w:pStyle w:val="Heading6"/>
      </w:pPr>
      <w:r w:rsidRPr="00B74B69">
        <w:t>On-demand treatment</w:t>
      </w:r>
    </w:p>
    <w:p w14:paraId="13CB53F4" w14:textId="6C2DE23D" w:rsidR="006D35A0" w:rsidRDefault="006D35A0" w:rsidP="00AB2354">
      <w:r>
        <w:t>The procedures to be followed for BEs were identical to those described for GENA-01.</w:t>
      </w:r>
    </w:p>
    <w:p w14:paraId="1F5EA027" w14:textId="77777777" w:rsidR="000F04AF" w:rsidRDefault="006D35A0" w:rsidP="00BE22E2">
      <w:pPr>
        <w:pStyle w:val="Heading6"/>
      </w:pPr>
      <w:r w:rsidRPr="00B74B69">
        <w:t>Surgical prophylaxis</w:t>
      </w:r>
    </w:p>
    <w:p w14:paraId="11794D64" w14:textId="77777777" w:rsidR="000F04AF" w:rsidRDefault="006D35A0" w:rsidP="00AB2354">
      <w:r>
        <w:t>The procedures to be followed for surgical prophylaxis were identical to those described for GENA-01.</w:t>
      </w:r>
    </w:p>
    <w:p w14:paraId="47A14BA6" w14:textId="77777777" w:rsidR="000F04AF" w:rsidRDefault="006D35A0" w:rsidP="00BE22E2">
      <w:pPr>
        <w:pStyle w:val="Heading6"/>
      </w:pPr>
      <w:r w:rsidRPr="00B74B69">
        <w:t>Prior and concomitant treatment</w:t>
      </w:r>
    </w:p>
    <w:p w14:paraId="57BF199D" w14:textId="77777777" w:rsidR="000F04AF" w:rsidRDefault="006D35A0" w:rsidP="00AB2354">
      <w:r>
        <w:t>The procedures to be followed for prior and concomitant treatment were identical to those described for GENA-01.</w:t>
      </w:r>
    </w:p>
    <w:p w14:paraId="410FB16E" w14:textId="11DFF4CD" w:rsidR="006D35A0" w:rsidRPr="00B74B69" w:rsidRDefault="006D35A0" w:rsidP="00BE22E2">
      <w:pPr>
        <w:pStyle w:val="Heading5"/>
      </w:pPr>
      <w:bookmarkStart w:id="86" w:name="_Toc266446461"/>
      <w:r w:rsidRPr="00B74B69">
        <w:t>Efficacy variables and outcomes</w:t>
      </w:r>
      <w:bookmarkEnd w:id="86"/>
    </w:p>
    <w:p w14:paraId="0066D591" w14:textId="77777777" w:rsidR="000F04AF" w:rsidRDefault="006D35A0" w:rsidP="00BE22E2">
      <w:pPr>
        <w:pStyle w:val="Heading6"/>
      </w:pPr>
      <w:r w:rsidRPr="00B74B69">
        <w:t>Prophylactic treatment</w:t>
      </w:r>
    </w:p>
    <w:p w14:paraId="39A79FB0" w14:textId="77777777" w:rsidR="000F04AF" w:rsidRDefault="006D35A0" w:rsidP="006D35A0">
      <w:r w:rsidRPr="00643C03">
        <w:t>The frequency of spontaneous breakthrough bleeds/months under prophylactic treatment was assessed as excellent, good</w:t>
      </w:r>
      <w:r>
        <w:t>, moderate or poor using the following criteria:</w:t>
      </w:r>
    </w:p>
    <w:p w14:paraId="43856889" w14:textId="041BCD82" w:rsidR="006D35A0" w:rsidRPr="00643C03" w:rsidRDefault="006D35A0" w:rsidP="00B74B69">
      <w:pPr>
        <w:pStyle w:val="ListBullet"/>
      </w:pPr>
      <w:r w:rsidRPr="00643C03">
        <w:rPr>
          <w:b/>
          <w:i/>
          <w:iCs/>
        </w:rPr>
        <w:t>Excellent</w:t>
      </w:r>
      <w:r w:rsidRPr="00643C03">
        <w:rPr>
          <w:b/>
        </w:rPr>
        <w:t>:</w:t>
      </w:r>
      <w:r>
        <w:t xml:space="preserve"> </w:t>
      </w:r>
      <w:r w:rsidRPr="00643C03">
        <w:t>Less than 0.75 spontaneous BE</w:t>
      </w:r>
      <w:r>
        <w:t>s</w:t>
      </w:r>
      <w:r w:rsidRPr="00643C03">
        <w:t xml:space="preserve"> per month</w:t>
      </w:r>
      <w:r>
        <w:t>.</w:t>
      </w:r>
    </w:p>
    <w:p w14:paraId="700825DC" w14:textId="77777777" w:rsidR="006D35A0" w:rsidRPr="00643C03" w:rsidRDefault="006D35A0" w:rsidP="00B74B69">
      <w:pPr>
        <w:pStyle w:val="ListBullet"/>
      </w:pPr>
      <w:r w:rsidRPr="00643C03">
        <w:rPr>
          <w:b/>
          <w:i/>
          <w:iCs/>
        </w:rPr>
        <w:t>Good</w:t>
      </w:r>
      <w:r w:rsidR="00B74B69">
        <w:rPr>
          <w:b/>
        </w:rPr>
        <w:t>:</w:t>
      </w:r>
      <w:r w:rsidR="005E603D">
        <w:rPr>
          <w:b/>
        </w:rPr>
        <w:t xml:space="preserve"> </w:t>
      </w:r>
      <w:r w:rsidRPr="00643C03">
        <w:t>Between 0.75 and 1 spontaneous BE per month</w:t>
      </w:r>
      <w:r>
        <w:t>.</w:t>
      </w:r>
    </w:p>
    <w:p w14:paraId="03A15DD0" w14:textId="77777777" w:rsidR="006D35A0" w:rsidRPr="00643C03" w:rsidRDefault="006D35A0" w:rsidP="00B74B69">
      <w:pPr>
        <w:pStyle w:val="ListBullet"/>
      </w:pPr>
      <w:r w:rsidRPr="00643C03">
        <w:rPr>
          <w:b/>
          <w:i/>
          <w:iCs/>
        </w:rPr>
        <w:t>Moderate</w:t>
      </w:r>
      <w:r w:rsidRPr="00643C03">
        <w:rPr>
          <w:b/>
          <w:i/>
        </w:rPr>
        <w:t xml:space="preserve">: </w:t>
      </w:r>
      <w:r w:rsidRPr="00643C03">
        <w:t>Between 1 and 1.5 spontaneous BEs per month</w:t>
      </w:r>
      <w:r>
        <w:t>.</w:t>
      </w:r>
    </w:p>
    <w:p w14:paraId="6098B5D3" w14:textId="77777777" w:rsidR="006D35A0" w:rsidRPr="00643C03" w:rsidRDefault="006D35A0" w:rsidP="00B74B69">
      <w:pPr>
        <w:pStyle w:val="ListBullet"/>
      </w:pPr>
      <w:r w:rsidRPr="00643C03">
        <w:rPr>
          <w:b/>
          <w:i/>
          <w:iCs/>
        </w:rPr>
        <w:t>Poor</w:t>
      </w:r>
      <w:r w:rsidRPr="00643C03">
        <w:rPr>
          <w:b/>
        </w:rPr>
        <w:t>:</w:t>
      </w:r>
      <w:r w:rsidRPr="00643C03">
        <w:t xml:space="preserve"> More than 1.5 spontaneous BEs per month</w:t>
      </w:r>
      <w:r>
        <w:t>.</w:t>
      </w:r>
    </w:p>
    <w:p w14:paraId="5D844182" w14:textId="77777777" w:rsidR="006D35A0" w:rsidRPr="00643C03" w:rsidRDefault="006D35A0" w:rsidP="006D35A0">
      <w:r w:rsidRPr="00643C03">
        <w:t xml:space="preserve">This overall efficacy assessment of prophylactic treatment per patient </w:t>
      </w:r>
      <w:r>
        <w:t xml:space="preserve">was undertaken </w:t>
      </w:r>
      <w:r w:rsidRPr="00643C03">
        <w:t>after a total of 50 EDs and at the end of the study.</w:t>
      </w:r>
    </w:p>
    <w:p w14:paraId="6F4C3820" w14:textId="77777777" w:rsidR="000F04AF" w:rsidRDefault="006D35A0" w:rsidP="006D35A0">
      <w:r w:rsidRPr="00643C03">
        <w:t xml:space="preserve">In addition to the primary </w:t>
      </w:r>
      <w:r>
        <w:t xml:space="preserve">analysis of spontaneous BEs, an </w:t>
      </w:r>
      <w:r w:rsidRPr="00643C03">
        <w:t>assessment of the monthly bleeding rate for all types of bleedings was performed.</w:t>
      </w:r>
    </w:p>
    <w:p w14:paraId="02D32657" w14:textId="77777777" w:rsidR="000F04AF" w:rsidRDefault="006D35A0" w:rsidP="006D35A0">
      <w:r w:rsidRPr="00643C03">
        <w:t xml:space="preserve">The following parameters were </w:t>
      </w:r>
      <w:r>
        <w:t>also documented: d</w:t>
      </w:r>
      <w:r w:rsidRPr="00643C03">
        <w:t>ates and times of study product infusions</w:t>
      </w:r>
      <w:r>
        <w:t>; d</w:t>
      </w:r>
      <w:r w:rsidRPr="00643C03">
        <w:t>etails of dose(s) and batch numbers used for prophylactic treatment (in IU)</w:t>
      </w:r>
      <w:r>
        <w:t>; and d</w:t>
      </w:r>
      <w:r w:rsidRPr="00643C03">
        <w:t>etails of BEs (if any) occurring under prophylactic treatment</w:t>
      </w:r>
      <w:r>
        <w:t>.</w:t>
      </w:r>
    </w:p>
    <w:p w14:paraId="226C50C2" w14:textId="5A121597" w:rsidR="006D35A0" w:rsidRDefault="006D35A0" w:rsidP="006D35A0">
      <w:r w:rsidRPr="00643C03">
        <w:t xml:space="preserve">Study product consumption data (FVIII IU/kg per month, per year) per patient and in total </w:t>
      </w:r>
      <w:r>
        <w:t xml:space="preserve">were also </w:t>
      </w:r>
      <w:r w:rsidRPr="00643C03">
        <w:t>evaluated.</w:t>
      </w:r>
    </w:p>
    <w:p w14:paraId="37E4721C" w14:textId="77777777" w:rsidR="000F04AF" w:rsidRDefault="006D35A0" w:rsidP="00AB2354">
      <w:pPr>
        <w:pStyle w:val="Heading6"/>
      </w:pPr>
      <w:r w:rsidRPr="009E60C0">
        <w:t>Bleeding episodes</w:t>
      </w:r>
    </w:p>
    <w:p w14:paraId="5F5FADA4" w14:textId="79727AF8" w:rsidR="006D35A0" w:rsidRPr="00216E36" w:rsidRDefault="006D35A0" w:rsidP="006D35A0">
      <w:pPr>
        <w:rPr>
          <w:color w:val="000000"/>
        </w:rPr>
      </w:pPr>
      <w:r w:rsidRPr="00216E36">
        <w:rPr>
          <w:color w:val="000000"/>
        </w:rPr>
        <w:t xml:space="preserve">At the end of a BE, </w:t>
      </w:r>
      <w:r>
        <w:rPr>
          <w:color w:val="000000"/>
        </w:rPr>
        <w:t>an</w:t>
      </w:r>
      <w:r w:rsidRPr="00216E36">
        <w:rPr>
          <w:color w:val="000000"/>
        </w:rPr>
        <w:t xml:space="preserve"> efficacy assessment was made using the same categories as defined for GENA-01 (</w:t>
      </w:r>
      <w:r w:rsidR="001A2E59">
        <w:rPr>
          <w:color w:val="000000"/>
        </w:rPr>
        <w:t>that is,</w:t>
      </w:r>
      <w:r w:rsidRPr="00216E36">
        <w:rPr>
          <w:color w:val="000000"/>
        </w:rPr>
        <w:t xml:space="preserve"> excellent, good, moderate, and none). In addition, the details of all BEs occurring during the study period were documented and these were the same as those </w:t>
      </w:r>
      <w:r w:rsidRPr="00216E36">
        <w:rPr>
          <w:color w:val="000000"/>
        </w:rPr>
        <w:lastRenderedPageBreak/>
        <w:t xml:space="preserve">described for GENA-01. In GENA-08, at the end of a BE patients were to return to their regular </w:t>
      </w:r>
      <w:r>
        <w:rPr>
          <w:color w:val="000000"/>
        </w:rPr>
        <w:t xml:space="preserve">simoctocog alfa </w:t>
      </w:r>
      <w:r w:rsidRPr="00216E36">
        <w:rPr>
          <w:color w:val="000000"/>
        </w:rPr>
        <w:t>prophylactic treatment regimen.</w:t>
      </w:r>
    </w:p>
    <w:p w14:paraId="74955613" w14:textId="77777777" w:rsidR="006D35A0" w:rsidRPr="009E60C0" w:rsidRDefault="006D35A0" w:rsidP="00AB2354">
      <w:pPr>
        <w:pStyle w:val="Heading6"/>
      </w:pPr>
      <w:r w:rsidRPr="009E60C0">
        <w:t>Surgical prophylaxis</w:t>
      </w:r>
    </w:p>
    <w:p w14:paraId="0EBC77B7" w14:textId="77777777" w:rsidR="000F04AF" w:rsidRDefault="006D35A0" w:rsidP="006D35A0">
      <w:r>
        <w:t>The procedures and efficacy assessments to be followed for surgical prophylaxis were consistent with those described for GENA-01. In GENA-08, at the end of surgical prophylaxis patients were to return to their regular simoctocog alfa prophylactic regimen.</w:t>
      </w:r>
    </w:p>
    <w:p w14:paraId="6E7220CF" w14:textId="77777777" w:rsidR="000F04AF" w:rsidRDefault="006D35A0" w:rsidP="00AB2354">
      <w:pPr>
        <w:pStyle w:val="Heading5"/>
      </w:pPr>
      <w:bookmarkStart w:id="87" w:name="_Toc266446462"/>
      <w:r w:rsidRPr="009E60C0">
        <w:t>Primary efficacy outcome</w:t>
      </w:r>
      <w:bookmarkEnd w:id="87"/>
    </w:p>
    <w:p w14:paraId="59391303" w14:textId="77777777" w:rsidR="000F04AF" w:rsidRDefault="006D35A0" w:rsidP="006D35A0">
      <w:r w:rsidRPr="001531CF">
        <w:t xml:space="preserve">The primary endpoint </w:t>
      </w:r>
      <w:r>
        <w:t>was the efficacy of simoctocog alfa for</w:t>
      </w:r>
      <w:r w:rsidRPr="001531CF">
        <w:t xml:space="preserve"> prophylaxis, </w:t>
      </w:r>
      <w:r>
        <w:t>for</w:t>
      </w:r>
      <w:r w:rsidRPr="001531CF">
        <w:t xml:space="preserve"> treatment of BEs and </w:t>
      </w:r>
      <w:r>
        <w:t>for surgical prophylaxis.</w:t>
      </w:r>
    </w:p>
    <w:p w14:paraId="3FFE1710" w14:textId="2B61925F" w:rsidR="006D35A0" w:rsidRPr="001531CF" w:rsidRDefault="006D35A0" w:rsidP="009E60C0">
      <w:pPr>
        <w:pStyle w:val="ListBullet"/>
      </w:pPr>
      <w:r w:rsidRPr="001531CF">
        <w:t xml:space="preserve">For prophylactic treatment, </w:t>
      </w:r>
      <w:r>
        <w:t xml:space="preserve">the </w:t>
      </w:r>
      <w:r w:rsidRPr="001531CF">
        <w:t xml:space="preserve">primary efficacy variables were the overall efficacy assessment after a total of at least 50 EDs at the end of the study and consumption of </w:t>
      </w:r>
      <w:r>
        <w:t>simoctocog alfa</w:t>
      </w:r>
      <w:r w:rsidRPr="001531CF">
        <w:t xml:space="preserve"> (FVIII IU/kg per month, per year) per patient and in total.</w:t>
      </w:r>
    </w:p>
    <w:p w14:paraId="11C7A9CA" w14:textId="77777777" w:rsidR="006D35A0" w:rsidRPr="001531CF" w:rsidRDefault="006D35A0" w:rsidP="009E60C0">
      <w:pPr>
        <w:pStyle w:val="ListBullet"/>
      </w:pPr>
      <w:r w:rsidRPr="001531CF">
        <w:t>For on-demand treatment of BEs, the primary efficacy variable was the efficacy assessment at the end of the BE.</w:t>
      </w:r>
    </w:p>
    <w:p w14:paraId="33C97038" w14:textId="77777777" w:rsidR="006D35A0" w:rsidRPr="001531CF" w:rsidRDefault="006D35A0" w:rsidP="009E60C0">
      <w:pPr>
        <w:pStyle w:val="ListBullet"/>
      </w:pPr>
      <w:r w:rsidRPr="001531CF">
        <w:t xml:space="preserve">For surgical procedures, primary efficacy variables were the overall efficacy assessment after the end of </w:t>
      </w:r>
      <w:r>
        <w:t xml:space="preserve">the </w:t>
      </w:r>
      <w:r w:rsidRPr="001531CF">
        <w:t>surgic</w:t>
      </w:r>
      <w:r>
        <w:t xml:space="preserve">al prophylactic treatment phase, </w:t>
      </w:r>
      <w:r w:rsidRPr="001531CF">
        <w:t xml:space="preserve">and average and maximum expected estimated blood loss compared </w:t>
      </w:r>
      <w:r>
        <w:t xml:space="preserve">with </w:t>
      </w:r>
      <w:r w:rsidRPr="001531CF">
        <w:t>actual estimated blood loss.</w:t>
      </w:r>
    </w:p>
    <w:p w14:paraId="51E2D2E8" w14:textId="77777777" w:rsidR="006D35A0" w:rsidRPr="009E60C0" w:rsidRDefault="006D35A0" w:rsidP="00AB2354">
      <w:pPr>
        <w:pStyle w:val="Heading5"/>
      </w:pPr>
      <w:bookmarkStart w:id="88" w:name="_Toc266446463"/>
      <w:r w:rsidRPr="009E60C0">
        <w:t>Randomisation and blinding methods</w:t>
      </w:r>
      <w:bookmarkEnd w:id="88"/>
    </w:p>
    <w:p w14:paraId="48C1C500" w14:textId="77777777" w:rsidR="000F04AF" w:rsidRDefault="006D35A0" w:rsidP="006D35A0">
      <w:r>
        <w:t>Not applicable as the study was open-label and treatment was single-arm.</w:t>
      </w:r>
    </w:p>
    <w:p w14:paraId="00690E5E" w14:textId="77777777" w:rsidR="000F04AF" w:rsidRDefault="006D35A0" w:rsidP="00AB2354">
      <w:pPr>
        <w:pStyle w:val="Heading5"/>
      </w:pPr>
      <w:bookmarkStart w:id="89" w:name="_Toc266446464"/>
      <w:r w:rsidRPr="009E60C0">
        <w:t>Analysis populations</w:t>
      </w:r>
      <w:bookmarkEnd w:id="89"/>
    </w:p>
    <w:p w14:paraId="425105BF" w14:textId="77777777" w:rsidR="000F04AF" w:rsidRDefault="006D35A0" w:rsidP="006D35A0">
      <w:r>
        <w:t xml:space="preserve">Efficacy analyses undertaken in the ITT population were specified to be the most relevant. Efficacy analyses were also undertaken in the PP population to evaluate the robustness of the primary analysis in the ITT population. </w:t>
      </w:r>
      <w:r w:rsidRPr="00DF023B">
        <w:t xml:space="preserve">Three basic populations </w:t>
      </w:r>
      <w:r>
        <w:t xml:space="preserve">were </w:t>
      </w:r>
      <w:r w:rsidRPr="00DF023B">
        <w:t>used for analysis:</w:t>
      </w:r>
    </w:p>
    <w:p w14:paraId="3D846F17" w14:textId="77777777" w:rsidR="000F04AF" w:rsidRDefault="006D35A0" w:rsidP="009E60C0">
      <w:pPr>
        <w:pStyle w:val="ListBullet"/>
      </w:pPr>
      <w:r>
        <w:rPr>
          <w:b/>
          <w:i/>
        </w:rPr>
        <w:t>SAF</w:t>
      </w:r>
      <w:r w:rsidRPr="00DF023B">
        <w:t xml:space="preserve">: All patients who received at least one dose of </w:t>
      </w:r>
      <w:r>
        <w:t>simoctocog alfa.</w:t>
      </w:r>
    </w:p>
    <w:p w14:paraId="3CCEEE83" w14:textId="77777777" w:rsidR="000F04AF" w:rsidRDefault="006D35A0" w:rsidP="009E60C0">
      <w:pPr>
        <w:pStyle w:val="ListBullet"/>
      </w:pPr>
      <w:r>
        <w:rPr>
          <w:b/>
          <w:i/>
        </w:rPr>
        <w:t xml:space="preserve">ITT </w:t>
      </w:r>
      <w:r w:rsidRPr="00DF023B">
        <w:rPr>
          <w:b/>
          <w:i/>
        </w:rPr>
        <w:t>analysis population</w:t>
      </w:r>
      <w:r w:rsidRPr="00DF023B">
        <w:t xml:space="preserve">: All patients in the </w:t>
      </w:r>
      <w:r>
        <w:t>SAF</w:t>
      </w:r>
      <w:r w:rsidRPr="00DF023B">
        <w:t xml:space="preserve"> for w</w:t>
      </w:r>
      <w:r>
        <w:t>hom any data were collected post-</w:t>
      </w:r>
      <w:r w:rsidRPr="00DF023B">
        <w:t xml:space="preserve">treatment with </w:t>
      </w:r>
      <w:r>
        <w:t>simoctocog alfa. Sub-populations of the ITT population were patients with breakthrough bleeding, and patients with surgical interventions.</w:t>
      </w:r>
    </w:p>
    <w:p w14:paraId="3D6C429D" w14:textId="1CA68F2A" w:rsidR="006D35A0" w:rsidRDefault="006D35A0" w:rsidP="009E60C0">
      <w:pPr>
        <w:pStyle w:val="ListBullet"/>
      </w:pPr>
      <w:r>
        <w:rPr>
          <w:b/>
          <w:i/>
        </w:rPr>
        <w:t xml:space="preserve">Efficacy PP </w:t>
      </w:r>
      <w:r w:rsidRPr="00DF023B">
        <w:rPr>
          <w:b/>
          <w:i/>
        </w:rPr>
        <w:t>analysis population</w:t>
      </w:r>
      <w:r w:rsidRPr="00DF023B">
        <w:t>: All patients in the ITT analysis population who completed the study without significantly violating the inclusion/exclusion criteria or other aspects of the protocol considered to potentially affect the efficacy results. Objective criteria for exclusion from the PP population were</w:t>
      </w:r>
      <w:r>
        <w:t xml:space="preserve"> defined prior to database lock.</w:t>
      </w:r>
    </w:p>
    <w:p w14:paraId="7D445840" w14:textId="77777777" w:rsidR="006D35A0" w:rsidRPr="00DF023B" w:rsidRDefault="006D35A0" w:rsidP="006D35A0">
      <w:r w:rsidRPr="00DF023B">
        <w:t>In addition to the basic populations, the following study populations were defined:</w:t>
      </w:r>
    </w:p>
    <w:p w14:paraId="5E385C2F" w14:textId="77777777" w:rsidR="000F04AF" w:rsidRDefault="006D35A0" w:rsidP="009E60C0">
      <w:pPr>
        <w:pStyle w:val="ListBullet"/>
      </w:pPr>
      <w:r w:rsidRPr="00DF023B">
        <w:rPr>
          <w:i/>
        </w:rPr>
        <w:t>Population of subjects on prophylactic treatment schedule (PROPH</w:t>
      </w:r>
      <w:r>
        <w:rPr>
          <w:i/>
        </w:rPr>
        <w:t xml:space="preserve"> and PROPH-PP</w:t>
      </w:r>
      <w:r w:rsidRPr="00DF023B">
        <w:rPr>
          <w:i/>
        </w:rPr>
        <w:t>)</w:t>
      </w:r>
      <w:r w:rsidRPr="00DF023B">
        <w:t xml:space="preserve">: All patients in the ITT population </w:t>
      </w:r>
      <w:r>
        <w:t xml:space="preserve">(PROPH) or the PP populations (PROPH-PP) </w:t>
      </w:r>
      <w:r w:rsidRPr="00DF023B">
        <w:t>who received at least one prophylactic infusion</w:t>
      </w:r>
      <w:r>
        <w:t>.</w:t>
      </w:r>
    </w:p>
    <w:p w14:paraId="4116CCA7" w14:textId="69A0F087" w:rsidR="006D35A0" w:rsidRPr="00DF023B" w:rsidRDefault="006D35A0" w:rsidP="009E60C0">
      <w:pPr>
        <w:pStyle w:val="ListBullet"/>
      </w:pPr>
      <w:r w:rsidRPr="00DF023B">
        <w:rPr>
          <w:i/>
        </w:rPr>
        <w:t>Population of BEs (BLEED</w:t>
      </w:r>
      <w:r>
        <w:rPr>
          <w:i/>
        </w:rPr>
        <w:t xml:space="preserve"> and BLEED-PP</w:t>
      </w:r>
      <w:r w:rsidRPr="00DF023B">
        <w:rPr>
          <w:i/>
        </w:rPr>
        <w:t>):</w:t>
      </w:r>
      <w:r w:rsidRPr="00DF023B">
        <w:t xml:space="preserve"> All documented BEs </w:t>
      </w:r>
      <w:r>
        <w:t>in</w:t>
      </w:r>
      <w:r w:rsidRPr="00DF023B">
        <w:t xml:space="preserve"> patients in the ITT population </w:t>
      </w:r>
      <w:r>
        <w:t xml:space="preserve">(BLEED) or PP population (BLEED-PP) </w:t>
      </w:r>
      <w:r w:rsidRPr="00DF023B">
        <w:t xml:space="preserve">for which any amount of treatment with </w:t>
      </w:r>
      <w:r>
        <w:t xml:space="preserve">simoctocog alfa </w:t>
      </w:r>
      <w:r w:rsidRPr="00DF023B">
        <w:t>was documented</w:t>
      </w:r>
      <w:r>
        <w:t>.</w:t>
      </w:r>
    </w:p>
    <w:p w14:paraId="21062051" w14:textId="77777777" w:rsidR="000F04AF" w:rsidRDefault="006D35A0" w:rsidP="009E60C0">
      <w:pPr>
        <w:pStyle w:val="ListBullet"/>
      </w:pPr>
      <w:r w:rsidRPr="00D146A6">
        <w:rPr>
          <w:i/>
        </w:rPr>
        <w:t>Surgery population (SURG</w:t>
      </w:r>
      <w:r>
        <w:rPr>
          <w:i/>
        </w:rPr>
        <w:t xml:space="preserve"> and SURG-PP</w:t>
      </w:r>
      <w:r w:rsidRPr="00D146A6">
        <w:rPr>
          <w:i/>
        </w:rPr>
        <w:t>):</w:t>
      </w:r>
      <w:r w:rsidRPr="00DF023B">
        <w:t xml:space="preserve"> All documented surgical interventions of patients in the ITT population </w:t>
      </w:r>
      <w:r>
        <w:t xml:space="preserve">(SURG) or the PP population (SURG-PP) </w:t>
      </w:r>
      <w:r w:rsidRPr="00DF023B">
        <w:t xml:space="preserve">for which any amount of </w:t>
      </w:r>
      <w:r>
        <w:t xml:space="preserve">simoctocog alfa </w:t>
      </w:r>
      <w:r w:rsidRPr="00DF023B">
        <w:t>prior to, during or after the surgery was documented and no other FVIII concentrate was documented within 24 hours prior to surgery</w:t>
      </w:r>
      <w:r>
        <w:t>.</w:t>
      </w:r>
    </w:p>
    <w:p w14:paraId="37FB978D" w14:textId="33355B8E" w:rsidR="006D35A0" w:rsidRPr="00DF023B" w:rsidRDefault="006D35A0" w:rsidP="009E60C0">
      <w:pPr>
        <w:pStyle w:val="ListBullet"/>
      </w:pPr>
      <w:r w:rsidRPr="00D146A6">
        <w:rPr>
          <w:i/>
        </w:rPr>
        <w:t>Infusions analysis population (Safety-INF):</w:t>
      </w:r>
      <w:r w:rsidRPr="00DF023B">
        <w:t xml:space="preserve"> All documented infusions with </w:t>
      </w:r>
      <w:r>
        <w:t xml:space="preserve">simoctocog alfa </w:t>
      </w:r>
      <w:r w:rsidRPr="00DF023B">
        <w:t>to patients of the SAF population</w:t>
      </w:r>
    </w:p>
    <w:p w14:paraId="49F1C0DB" w14:textId="77777777" w:rsidR="006D35A0" w:rsidRPr="003D2C5E" w:rsidRDefault="006D35A0" w:rsidP="00AB2354">
      <w:pPr>
        <w:pStyle w:val="Heading5"/>
      </w:pPr>
      <w:bookmarkStart w:id="90" w:name="_Toc266446465"/>
      <w:r w:rsidRPr="003D2C5E">
        <w:lastRenderedPageBreak/>
        <w:t>Sample size</w:t>
      </w:r>
      <w:bookmarkEnd w:id="90"/>
    </w:p>
    <w:p w14:paraId="7AA11CF6"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No </w:t>
      </w:r>
      <w:r w:rsidRPr="00D146A6">
        <w:rPr>
          <w:color w:val="000000"/>
        </w:rPr>
        <w:t>formal sample size estimation was performed.</w:t>
      </w:r>
    </w:p>
    <w:p w14:paraId="0DD86062" w14:textId="03129314" w:rsidR="006D35A0" w:rsidRPr="003D2C5E" w:rsidRDefault="006D35A0" w:rsidP="00AB2354">
      <w:pPr>
        <w:pStyle w:val="Heading5"/>
      </w:pPr>
      <w:bookmarkStart w:id="91" w:name="_Toc266446466"/>
      <w:r w:rsidRPr="003D2C5E">
        <w:t>Statistical methods</w:t>
      </w:r>
      <w:bookmarkEnd w:id="91"/>
    </w:p>
    <w:p w14:paraId="40F64088" w14:textId="77777777" w:rsidR="006D35A0" w:rsidRPr="00823DEE" w:rsidRDefault="006D35A0" w:rsidP="006D35A0">
      <w:r w:rsidRPr="00823DEE">
        <w:t>The statistical analysis of all endpoints was exploratory, and no confirmative statistical analysis was planned.</w:t>
      </w:r>
    </w:p>
    <w:p w14:paraId="42166C56" w14:textId="77777777" w:rsidR="006D35A0" w:rsidRPr="00823DEE" w:rsidRDefault="006D35A0" w:rsidP="006D35A0">
      <w:r w:rsidRPr="00823DEE">
        <w:t xml:space="preserve">Due to the limited number of patients, no stratification for any subgroup analyses was planned, except for </w:t>
      </w:r>
      <w:r>
        <w:t>s</w:t>
      </w:r>
      <w:r w:rsidRPr="00823DEE">
        <w:t>ubgroups of patients wit</w:t>
      </w:r>
      <w:r>
        <w:t>h BEs and those with surgeries, and subgroup analyse</w:t>
      </w:r>
      <w:r w:rsidRPr="00823DEE">
        <w:t xml:space="preserve">s of IVR for age groups 12 to less than 18 years and 18 years or older if there were at least 5 evaluable patients in each age group. </w:t>
      </w:r>
      <w:r>
        <w:t>No subgroup analyses of the IVR based on age were carried out as there were no patients aged 12 to less than 18 years.</w:t>
      </w:r>
    </w:p>
    <w:p w14:paraId="7EE8E95A" w14:textId="77777777" w:rsidR="000F04AF" w:rsidRDefault="006D35A0" w:rsidP="006D35A0">
      <w:r w:rsidRPr="00823DEE">
        <w:t>In case of a</w:t>
      </w:r>
      <w:r>
        <w:t xml:space="preserve"> sufficient number of patients (BEs or surgeries per centre) </w:t>
      </w:r>
      <w:r w:rsidRPr="00823DEE">
        <w:t xml:space="preserve">a descriptive examination of the primary </w:t>
      </w:r>
      <w:r>
        <w:t xml:space="preserve">efficacy </w:t>
      </w:r>
      <w:r w:rsidRPr="00823DEE">
        <w:t>endpoint for centre effects was planned. However, as only 2 of the centres recruited 5 or more patients no treatment-by-centre efficacy outcome assessments were undertaken.</w:t>
      </w:r>
    </w:p>
    <w:p w14:paraId="48BD8419" w14:textId="11E0FA24" w:rsidR="006D35A0" w:rsidRDefault="006D35A0" w:rsidP="006D35A0">
      <w:pPr>
        <w:rPr>
          <w:color w:val="000000"/>
        </w:rPr>
      </w:pPr>
      <w:r w:rsidRPr="00823DEE">
        <w:rPr>
          <w:color w:val="000000"/>
        </w:rPr>
        <w:t>In general, missing values were not replaced. In the case of missing body weight, the last available weight measurement was used for calculation of recovery (last observation carried forward). No interim analyses were planned or carried out. The data were presented to the IDMC at the end of the study before database close. The IDMC reviewed the safety and efficacy data and in particular adjudicated on the personal efficacy assessments of the treatment of BEs.</w:t>
      </w:r>
    </w:p>
    <w:p w14:paraId="516AEE1D" w14:textId="77777777" w:rsidR="000F04AF" w:rsidRDefault="006D35A0" w:rsidP="00AB2354">
      <w:pPr>
        <w:pStyle w:val="Heading5"/>
      </w:pPr>
      <w:bookmarkStart w:id="92" w:name="_Toc266446467"/>
      <w:r w:rsidRPr="003D2C5E">
        <w:t>Participant flow</w:t>
      </w:r>
      <w:bookmarkEnd w:id="92"/>
    </w:p>
    <w:p w14:paraId="718D78B9" w14:textId="77777777" w:rsidR="000F04AF" w:rsidRDefault="006D35A0" w:rsidP="006D35A0">
      <w:pPr>
        <w:tabs>
          <w:tab w:val="left" w:pos="3544"/>
        </w:tabs>
      </w:pPr>
      <w:r w:rsidRPr="00CC4F97">
        <w:t xml:space="preserve">A total of 32 patients were enrolled and included in both the SAF and ITT populations (see </w:t>
      </w:r>
      <w:r w:rsidR="005E603D" w:rsidRPr="005E603D">
        <w:t xml:space="preserve">Figure </w:t>
      </w:r>
      <w:r w:rsidR="006F09EA">
        <w:t>6</w:t>
      </w:r>
      <w:r>
        <w:t xml:space="preserve"> </w:t>
      </w:r>
      <w:r w:rsidRPr="00CC4F97">
        <w:t>below for disposition).</w:t>
      </w:r>
    </w:p>
    <w:p w14:paraId="219F4DA5" w14:textId="77777777" w:rsidR="000F04AF" w:rsidRDefault="006D35A0" w:rsidP="007A6386">
      <w:pPr>
        <w:pStyle w:val="FigureTitle"/>
      </w:pPr>
      <w:bookmarkStart w:id="93" w:name="_Toc248202610"/>
      <w:r w:rsidRPr="005E603D">
        <w:t xml:space="preserve">Figure </w:t>
      </w:r>
      <w:r w:rsidR="006F09EA">
        <w:t>6</w:t>
      </w:r>
      <w:r w:rsidRPr="005E603D">
        <w:t>:</w:t>
      </w:r>
      <w:r>
        <w:t xml:space="preserve"> GENA-08 - Patient disposition.</w:t>
      </w:r>
      <w:bookmarkEnd w:id="93"/>
    </w:p>
    <w:p w14:paraId="795A8310" w14:textId="5B5D33F6" w:rsidR="006D35A0" w:rsidRDefault="006D35A0" w:rsidP="007A6386">
      <w:pPr>
        <w:rPr>
          <w:lang w:eastAsia="en-AU"/>
        </w:rPr>
      </w:pPr>
      <w:r>
        <w:rPr>
          <w:noProof/>
          <w:lang w:eastAsia="en-AU"/>
        </w:rPr>
        <w:drawing>
          <wp:inline distT="0" distB="0" distL="0" distR="0" wp14:anchorId="1024D043" wp14:editId="6F565F59">
            <wp:extent cx="3195542" cy="2714360"/>
            <wp:effectExtent l="0" t="0" r="0" b="0"/>
            <wp:docPr id="40" name="Picture 1" descr="A total of 32 patients were enrolled and included in both the SAF and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542" cy="2714360"/>
                    </a:xfrm>
                    <a:prstGeom prst="rect">
                      <a:avLst/>
                    </a:prstGeom>
                    <a:noFill/>
                    <a:ln>
                      <a:noFill/>
                    </a:ln>
                  </pic:spPr>
                </pic:pic>
              </a:graphicData>
            </a:graphic>
          </wp:inline>
        </w:drawing>
      </w:r>
    </w:p>
    <w:p w14:paraId="2062FD9E" w14:textId="77777777" w:rsidR="006D35A0" w:rsidRDefault="006D35A0" w:rsidP="007A6386">
      <w:pPr>
        <w:pStyle w:val="FigureDescription"/>
        <w:rPr>
          <w:rFonts w:cs="Times"/>
          <w:lang w:eastAsia="en-AU"/>
        </w:rPr>
      </w:pPr>
      <w:r w:rsidRPr="00CC4F97">
        <w:rPr>
          <w:lang w:eastAsia="en-AU"/>
        </w:rPr>
        <w:t xml:space="preserve">BE = bleeding episode; BLEED = study population of BEs treated with </w:t>
      </w:r>
      <w:r>
        <w:rPr>
          <w:lang w:eastAsia="en-AU"/>
        </w:rPr>
        <w:t>simoctocog alfa</w:t>
      </w:r>
      <w:r w:rsidRPr="00CC4F97">
        <w:rPr>
          <w:lang w:eastAsia="en-AU"/>
        </w:rPr>
        <w:t xml:space="preserve">; PROPH = study population of patients receiving prophylaxis; ITT = intention-to-treat; PP = per-protocol; SAF = study population of patients in safety analysis; SURG = study population of surgeries treated with </w:t>
      </w:r>
      <w:r>
        <w:rPr>
          <w:lang w:eastAsia="en-AU"/>
        </w:rPr>
        <w:t>simoctocog alfa</w:t>
      </w:r>
      <w:r w:rsidRPr="00CC4F97">
        <w:rPr>
          <w:lang w:eastAsia="en-AU"/>
        </w:rPr>
        <w:t>.</w:t>
      </w:r>
    </w:p>
    <w:p w14:paraId="7BFDBAF6" w14:textId="77777777" w:rsidR="000F04AF" w:rsidRDefault="006D35A0" w:rsidP="006D35A0">
      <w:pPr>
        <w:widowControl w:val="0"/>
        <w:autoSpaceDE w:val="0"/>
        <w:autoSpaceDN w:val="0"/>
        <w:adjustRightInd w:val="0"/>
      </w:pPr>
      <w:r w:rsidRPr="00CC4F97">
        <w:t xml:space="preserve">All 32 patients received </w:t>
      </w:r>
      <w:r>
        <w:t xml:space="preserve">routine </w:t>
      </w:r>
      <w:r w:rsidRPr="00CC4F97">
        <w:t xml:space="preserve">prophylactic </w:t>
      </w:r>
      <w:r>
        <w:t xml:space="preserve">treatment </w:t>
      </w:r>
      <w:r w:rsidRPr="00CC4F97">
        <w:t xml:space="preserve">with </w:t>
      </w:r>
      <w:r>
        <w:t xml:space="preserve">simoctocog alfa and were included in the ITT population </w:t>
      </w:r>
      <w:r w:rsidRPr="00CC4F97">
        <w:t xml:space="preserve">(PROPH), </w:t>
      </w:r>
      <w:r>
        <w:t xml:space="preserve">and </w:t>
      </w:r>
      <w:r w:rsidRPr="00CC4F97">
        <w:t xml:space="preserve">26 of </w:t>
      </w:r>
      <w:r>
        <w:t xml:space="preserve">these patients were included in the PROPH-PP population. </w:t>
      </w:r>
      <w:r w:rsidRPr="00CC4F97">
        <w:t xml:space="preserve">Six (6) patients met pre-defined criteria for exclusion from the PP population and were only included in the SAF and ITT populations (5 patients had a time window of </w:t>
      </w:r>
      <w:r>
        <w:t xml:space="preserve">≥ </w:t>
      </w:r>
      <w:r w:rsidRPr="00CC4F97">
        <w:t>5 days between two prophylactic doses and 1 patient had less than 50 EDs).</w:t>
      </w:r>
    </w:p>
    <w:p w14:paraId="53ED98ED" w14:textId="77777777" w:rsidR="000F04AF" w:rsidRDefault="006D35A0" w:rsidP="006D35A0">
      <w:pPr>
        <w:tabs>
          <w:tab w:val="left" w:pos="3544"/>
        </w:tabs>
        <w:rPr>
          <w:color w:val="000000"/>
        </w:rPr>
      </w:pPr>
      <w:r w:rsidRPr="00CC4F97">
        <w:rPr>
          <w:color w:val="000000"/>
        </w:rPr>
        <w:lastRenderedPageBreak/>
        <w:t xml:space="preserve">Thirty (30) </w:t>
      </w:r>
      <w:proofErr w:type="gramStart"/>
      <w:r w:rsidRPr="00CC4F97">
        <w:rPr>
          <w:color w:val="000000"/>
        </w:rPr>
        <w:t>breakthrough</w:t>
      </w:r>
      <w:proofErr w:type="gramEnd"/>
      <w:r w:rsidRPr="00CC4F97">
        <w:rPr>
          <w:color w:val="000000"/>
        </w:rPr>
        <w:t xml:space="preserve"> BEs were treated with </w:t>
      </w:r>
      <w:r>
        <w:rPr>
          <w:color w:val="000000"/>
        </w:rPr>
        <w:t xml:space="preserve">simoctocog alfa </w:t>
      </w:r>
      <w:r w:rsidRPr="00CC4F97">
        <w:rPr>
          <w:color w:val="000000"/>
        </w:rPr>
        <w:t>(BLEED population) in 15 pa</w:t>
      </w:r>
      <w:r>
        <w:rPr>
          <w:color w:val="000000"/>
        </w:rPr>
        <w:t xml:space="preserve">tients in the PROPH population, and </w:t>
      </w:r>
      <w:r w:rsidRPr="00CC4F97">
        <w:rPr>
          <w:color w:val="000000"/>
        </w:rPr>
        <w:t>17 of these BEs (in 10 patients) were included in the BLEED-PP population.</w:t>
      </w:r>
    </w:p>
    <w:p w14:paraId="0A359FD1" w14:textId="77777777" w:rsidR="000F04AF" w:rsidRDefault="006D35A0" w:rsidP="006D35A0">
      <w:pPr>
        <w:tabs>
          <w:tab w:val="left" w:pos="3544"/>
        </w:tabs>
        <w:rPr>
          <w:color w:val="000000"/>
        </w:rPr>
      </w:pPr>
      <w:r>
        <w:rPr>
          <w:color w:val="000000"/>
        </w:rPr>
        <w:t xml:space="preserve">Surgical procedures </w:t>
      </w:r>
      <w:r w:rsidRPr="00CC4F97">
        <w:rPr>
          <w:color w:val="000000"/>
        </w:rPr>
        <w:t xml:space="preserve">where at least one dose of </w:t>
      </w:r>
      <w:r>
        <w:rPr>
          <w:color w:val="000000"/>
        </w:rPr>
        <w:t xml:space="preserve">simoctocog alfa </w:t>
      </w:r>
      <w:r w:rsidRPr="00CC4F97">
        <w:rPr>
          <w:color w:val="000000"/>
        </w:rPr>
        <w:t xml:space="preserve">was administered </w:t>
      </w:r>
      <w:r>
        <w:rPr>
          <w:color w:val="000000"/>
        </w:rPr>
        <w:t>were</w:t>
      </w:r>
      <w:r w:rsidRPr="00CC4F97">
        <w:rPr>
          <w:color w:val="000000"/>
        </w:rPr>
        <w:t xml:space="preserve"> performed on five occasions in 5 patients. Three (3) of these patients were in the PP population</w:t>
      </w:r>
      <w:r>
        <w:rPr>
          <w:color w:val="000000"/>
        </w:rPr>
        <w:t xml:space="preserve"> and </w:t>
      </w:r>
      <w:r w:rsidRPr="00CC4F97">
        <w:rPr>
          <w:color w:val="000000"/>
        </w:rPr>
        <w:t xml:space="preserve">the 3 respective </w:t>
      </w:r>
      <w:r>
        <w:rPr>
          <w:color w:val="000000"/>
        </w:rPr>
        <w:t xml:space="preserve">surgical procedures </w:t>
      </w:r>
      <w:r w:rsidRPr="00CC4F97">
        <w:rPr>
          <w:color w:val="000000"/>
        </w:rPr>
        <w:t>were therefore included in both the SURG and the SURG-PP populations</w:t>
      </w:r>
      <w:r w:rsidR="000F04AF">
        <w:rPr>
          <w:color w:val="000000"/>
        </w:rPr>
        <w:t>.</w:t>
      </w:r>
    </w:p>
    <w:p w14:paraId="64E2A062" w14:textId="7166A785" w:rsidR="000F04AF" w:rsidRDefault="006D35A0" w:rsidP="006D35A0">
      <w:pPr>
        <w:tabs>
          <w:tab w:val="left" w:pos="3544"/>
        </w:tabs>
        <w:rPr>
          <w:color w:val="000000"/>
        </w:rPr>
      </w:pPr>
      <w:r w:rsidRPr="005E603D">
        <w:rPr>
          <w:color w:val="000000"/>
        </w:rPr>
        <w:t>Two (2) patients terminated the study prematurely, one (1) in the PROPH-PP and PROPH populations died after 76 documented EDs from an epileptic seizure on Day 202 deemed unrelated to study treatment, and one (1) in</w:t>
      </w:r>
      <w:r>
        <w:rPr>
          <w:color w:val="000000"/>
        </w:rPr>
        <w:t xml:space="preserve"> the PROPH population </w:t>
      </w:r>
      <w:r w:rsidRPr="00CC4F97">
        <w:rPr>
          <w:color w:val="000000"/>
        </w:rPr>
        <w:t>withdrew consent after 17 EDs.</w:t>
      </w:r>
    </w:p>
    <w:p w14:paraId="72EE29EA" w14:textId="77777777" w:rsidR="000F04AF" w:rsidRDefault="006D35A0" w:rsidP="00AB2354">
      <w:pPr>
        <w:pStyle w:val="Heading5"/>
      </w:pPr>
      <w:bookmarkStart w:id="94" w:name="_Toc266446468"/>
      <w:r w:rsidRPr="00B61DAC">
        <w:t>Major protocol deviations</w:t>
      </w:r>
      <w:bookmarkEnd w:id="94"/>
    </w:p>
    <w:p w14:paraId="073141C8" w14:textId="652FB98C" w:rsidR="006D35A0" w:rsidRPr="008C10B3" w:rsidRDefault="006D35A0" w:rsidP="006D35A0">
      <w:pPr>
        <w:rPr>
          <w:color w:val="000000"/>
        </w:rPr>
      </w:pPr>
      <w:r w:rsidRPr="008C10B3">
        <w:rPr>
          <w:color w:val="000000"/>
        </w:rPr>
        <w:t xml:space="preserve">Thirty-one (31) patients had a least one minor protocol deviation, and major protocol deviations were recorded in 5 patients (none of whom were included in the PROPH-PP population). All 5 patients with major protocol deviations had a time window of </w:t>
      </w:r>
      <w:r>
        <w:rPr>
          <w:color w:val="000000"/>
        </w:rPr>
        <w:t xml:space="preserve">≥ 5 </w:t>
      </w:r>
      <w:r w:rsidRPr="008C10B3">
        <w:rPr>
          <w:color w:val="000000"/>
        </w:rPr>
        <w:t>days between prophylactic</w:t>
      </w:r>
      <w:r>
        <w:rPr>
          <w:color w:val="000000"/>
        </w:rPr>
        <w:t xml:space="preserve"> doses on at least one occasion</w:t>
      </w:r>
      <w:r w:rsidR="000C0DD9">
        <w:rPr>
          <w:color w:val="000000"/>
        </w:rPr>
        <w:t>.</w:t>
      </w:r>
      <w:r w:rsidRPr="008C10B3">
        <w:rPr>
          <w:color w:val="000000"/>
        </w:rPr>
        <w:t xml:space="preserve"> In addition, </w:t>
      </w:r>
      <w:r w:rsidR="005E603D">
        <w:rPr>
          <w:color w:val="000000"/>
        </w:rPr>
        <w:t xml:space="preserve">one patient </w:t>
      </w:r>
      <w:r w:rsidRPr="008C10B3">
        <w:rPr>
          <w:color w:val="000000"/>
        </w:rPr>
        <w:t>received a monthly prophylactic dose of 208.4 IU/kg (which was less than 80% of the allowed minimum dose of 360.0 IU/kg) as he had received a prophylactic dose of only 20 IU/kg (as opposed to the 30–40 IU/kg stipulated in the protocol) for the first 3.5 months of the study.</w:t>
      </w:r>
    </w:p>
    <w:p w14:paraId="07B55247" w14:textId="77777777" w:rsidR="006D35A0" w:rsidRPr="00B61DAC" w:rsidRDefault="006D35A0" w:rsidP="00AB2354">
      <w:pPr>
        <w:pStyle w:val="Heading5"/>
      </w:pPr>
      <w:bookmarkStart w:id="95" w:name="_Toc266446469"/>
      <w:r w:rsidRPr="00B61DAC">
        <w:t>Baseline data</w:t>
      </w:r>
      <w:bookmarkEnd w:id="95"/>
    </w:p>
    <w:p w14:paraId="45B62E67" w14:textId="77777777" w:rsidR="000F04AF" w:rsidRDefault="006D35A0" w:rsidP="006D35A0">
      <w:r>
        <w:t>The basic demographic data of the 32 patients in the ITT/SAF population</w:t>
      </w:r>
      <w:r w:rsidR="006F09EA">
        <w:t xml:space="preserve"> are summarised below in Table 19</w:t>
      </w:r>
      <w:r>
        <w:t>.</w:t>
      </w:r>
    </w:p>
    <w:p w14:paraId="0215893C" w14:textId="35CAF217" w:rsidR="006D35A0" w:rsidRDefault="006D35A0" w:rsidP="00B61DAC">
      <w:pPr>
        <w:pStyle w:val="Tabletitle"/>
      </w:pPr>
      <w:bookmarkStart w:id="96" w:name="_Toc248202538"/>
      <w:r>
        <w:t xml:space="preserve">Table </w:t>
      </w:r>
      <w:r w:rsidR="006F09EA">
        <w:t>19</w:t>
      </w:r>
      <w:r>
        <w:t>: GENA-01 - Demographic characteristics of the study population (ITT/SAF); n=32.</w:t>
      </w:r>
      <w:bookmarkEnd w:id="96"/>
    </w:p>
    <w:p w14:paraId="0F3E7201" w14:textId="77777777" w:rsidR="006D35A0" w:rsidRPr="006151C6" w:rsidRDefault="006D35A0" w:rsidP="006D35A0">
      <w:pPr>
        <w:spacing w:after="0"/>
        <w:rPr>
          <w:sz w:val="16"/>
          <w:szCs w:val="16"/>
        </w:rPr>
      </w:pPr>
      <w:r w:rsidRPr="006151C6">
        <w:rPr>
          <w:noProof/>
          <w:sz w:val="16"/>
          <w:szCs w:val="16"/>
          <w:lang w:eastAsia="en-AU"/>
        </w:rPr>
        <w:drawing>
          <wp:inline distT="0" distB="0" distL="0" distR="0" wp14:anchorId="5F94BE55" wp14:editId="6856BD62">
            <wp:extent cx="4975860" cy="1371600"/>
            <wp:effectExtent l="0" t="0" r="0" b="0"/>
            <wp:docPr id="45" name="Picture 3" descr="The basic demographic data of the 32 patients in the ITT/SAF population are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1371600"/>
                    </a:xfrm>
                    <a:prstGeom prst="rect">
                      <a:avLst/>
                    </a:prstGeom>
                    <a:noFill/>
                    <a:ln>
                      <a:noFill/>
                    </a:ln>
                  </pic:spPr>
                </pic:pic>
              </a:graphicData>
            </a:graphic>
          </wp:inline>
        </w:drawing>
      </w:r>
    </w:p>
    <w:p w14:paraId="69A85479" w14:textId="77777777" w:rsidR="006D35A0" w:rsidRDefault="006D35A0" w:rsidP="00D30A1B">
      <w:pPr>
        <w:pStyle w:val="TableDescription"/>
        <w:rPr>
          <w:lang w:eastAsia="en-AU"/>
        </w:rPr>
      </w:pPr>
      <w:r w:rsidRPr="006151C6">
        <w:rPr>
          <w:lang w:eastAsia="en-AU"/>
        </w:rPr>
        <w:t xml:space="preserve">HJHS = Haemophilia Joint Health Score; </w:t>
      </w:r>
      <w:proofErr w:type="gramStart"/>
      <w:r w:rsidRPr="006151C6">
        <w:rPr>
          <w:lang w:eastAsia="en-AU"/>
        </w:rPr>
        <w:t>ins</w:t>
      </w:r>
      <w:proofErr w:type="gramEnd"/>
      <w:r w:rsidRPr="006151C6">
        <w:rPr>
          <w:lang w:eastAsia="en-AU"/>
        </w:rPr>
        <w:t xml:space="preserve"> = insertion; ITT = intention-to-treat; SAF = study population</w:t>
      </w:r>
      <w:r>
        <w:rPr>
          <w:lang w:eastAsia="en-AU"/>
        </w:rPr>
        <w:t xml:space="preserve"> of patients in safety analysis.</w:t>
      </w:r>
    </w:p>
    <w:p w14:paraId="349AFF81" w14:textId="77777777" w:rsidR="000F04AF" w:rsidRDefault="006D35A0" w:rsidP="006D35A0">
      <w:r w:rsidRPr="00E67A60">
        <w:t xml:space="preserve">The majority of patients (29/32; 90.6%) were </w:t>
      </w:r>
      <w:r>
        <w:t>"</w:t>
      </w:r>
      <w:r w:rsidRPr="00E67A60">
        <w:t>White</w:t>
      </w:r>
      <w:r>
        <w:t>"</w:t>
      </w:r>
      <w:r w:rsidRPr="00E67A60">
        <w:t xml:space="preserve">. Known FVIII gene defects were documented for </w:t>
      </w:r>
      <w:r>
        <w:t>40.6% (</w:t>
      </w:r>
      <w:proofErr w:type="gramStart"/>
      <w:r w:rsidRPr="00E67A60">
        <w:t>13</w:t>
      </w:r>
      <w:r>
        <w:t>/32),</w:t>
      </w:r>
      <w:proofErr w:type="gramEnd"/>
      <w:r>
        <w:t xml:space="preserve"> and </w:t>
      </w:r>
      <w:r w:rsidRPr="00E67A60">
        <w:t xml:space="preserve">most were single occurrence, except for intron 22 inversion, which was observed in 3 patients (9.4%), and small deletions or insertions, which were reported in 2 patients (6.3%). A family history of haemophilia was documented in more than half of the patients (18; 56.3%), and </w:t>
      </w:r>
      <w:r w:rsidR="002118E9">
        <w:t>one patient (3.1%)</w:t>
      </w:r>
      <w:r w:rsidRPr="00E67A60">
        <w:t xml:space="preserve"> had a family history of inhibitor activity</w:t>
      </w:r>
      <w:r>
        <w:t>.</w:t>
      </w:r>
    </w:p>
    <w:p w14:paraId="37D00D04" w14:textId="77777777" w:rsidR="000F04AF" w:rsidRDefault="006D35A0" w:rsidP="006D35A0">
      <w:pPr>
        <w:rPr>
          <w:color w:val="000000"/>
        </w:rPr>
      </w:pPr>
      <w:r w:rsidRPr="008A25DC">
        <w:rPr>
          <w:color w:val="000000"/>
        </w:rPr>
        <w:t xml:space="preserve">FVIII inhibitor levels were less than 0.6 BU in 31 patients at screening. </w:t>
      </w:r>
      <w:r w:rsidR="002118E9">
        <w:rPr>
          <w:color w:val="000000"/>
        </w:rPr>
        <w:t>One (1) patient</w:t>
      </w:r>
      <w:r w:rsidR="00B61DAC">
        <w:rPr>
          <w:color w:val="000000"/>
        </w:rPr>
        <w:t xml:space="preserve"> </w:t>
      </w:r>
      <w:r w:rsidRPr="008A25DC">
        <w:rPr>
          <w:color w:val="000000"/>
        </w:rPr>
        <w:t>had a relatively high FVIII</w:t>
      </w:r>
      <w:proofErr w:type="gramStart"/>
      <w:r w:rsidRPr="008A25DC">
        <w:rPr>
          <w:color w:val="000000"/>
        </w:rPr>
        <w:t>:C</w:t>
      </w:r>
      <w:proofErr w:type="gramEnd"/>
      <w:r w:rsidRPr="008A25DC">
        <w:rPr>
          <w:color w:val="000000"/>
        </w:rPr>
        <w:t xml:space="preserve"> of 0.649 IU/mL as measured by the OS assay at screening, probably due to an infusion of </w:t>
      </w:r>
      <w:r>
        <w:rPr>
          <w:color w:val="000000"/>
        </w:rPr>
        <w:t xml:space="preserve">regular </w:t>
      </w:r>
      <w:r w:rsidRPr="008A25DC">
        <w:rPr>
          <w:color w:val="000000"/>
        </w:rPr>
        <w:t xml:space="preserve">FVIII 1 to 2 days before </w:t>
      </w:r>
      <w:r>
        <w:rPr>
          <w:color w:val="000000"/>
        </w:rPr>
        <w:t xml:space="preserve">testing. </w:t>
      </w:r>
      <w:r w:rsidRPr="008A25DC">
        <w:rPr>
          <w:color w:val="000000"/>
        </w:rPr>
        <w:t>The patient had inhibitor titres of less than 0.6 BU in all further measurements.</w:t>
      </w:r>
    </w:p>
    <w:p w14:paraId="744A1065" w14:textId="3948C591" w:rsidR="006D35A0" w:rsidRPr="008A25DC" w:rsidRDefault="006D35A0" w:rsidP="006D35A0">
      <w:pPr>
        <w:rPr>
          <w:color w:val="000000"/>
        </w:rPr>
      </w:pPr>
      <w:r>
        <w:rPr>
          <w:color w:val="000000"/>
        </w:rPr>
        <w:t>The m</w:t>
      </w:r>
      <w:r w:rsidRPr="008A25DC">
        <w:rPr>
          <w:color w:val="000000"/>
        </w:rPr>
        <w:t xml:space="preserve">ain historical bleeding sites were the ankle (59.4% [19/32] of patients both sides, 15.6% [5/32] and </w:t>
      </w:r>
      <w:r w:rsidRPr="00C00400">
        <w:rPr>
          <w:color w:val="000000"/>
        </w:rPr>
        <w:t>3.1% [1/32] left and right ankle, respectively),</w:t>
      </w:r>
      <w:r w:rsidRPr="008A25DC">
        <w:rPr>
          <w:color w:val="000000"/>
        </w:rPr>
        <w:t xml:space="preserve"> the elbow (40.6% of patients both sides [13/42], 12.5% [4/32] and 21.9% [7/32] left and right elbow, respectively) and the knee </w:t>
      </w:r>
      <w:r w:rsidRPr="008A25DC">
        <w:rPr>
          <w:color w:val="000000"/>
        </w:rPr>
        <w:lastRenderedPageBreak/>
        <w:t>(31.3% [10/32] of patients both sides, 25.0% [8/32] and 18.8% [6/32] left and right knee, respectively).</w:t>
      </w:r>
    </w:p>
    <w:p w14:paraId="097F3345" w14:textId="77777777" w:rsidR="000F04AF" w:rsidRDefault="006D35A0" w:rsidP="006D35A0">
      <w:pPr>
        <w:rPr>
          <w:color w:val="000000"/>
        </w:rPr>
      </w:pPr>
      <w:r w:rsidRPr="008A25DC">
        <w:rPr>
          <w:color w:val="000000"/>
        </w:rPr>
        <w:t>Of the 32 patients in the ITT/SAF population, 24 (75.0%) had received previous FVIII concentrates within 183 days (6 months) of the start of the study, while data were missing for the remaining 8 patients. Of the 24 patients with data, 22 had receive</w:t>
      </w:r>
      <w:r>
        <w:rPr>
          <w:color w:val="000000"/>
        </w:rPr>
        <w:t>d</w:t>
      </w:r>
      <w:r w:rsidRPr="008A25DC">
        <w:rPr>
          <w:color w:val="000000"/>
        </w:rPr>
        <w:t xml:space="preserve"> rFVIII concentrates and 2 had received pdFVIII concentrates.</w:t>
      </w:r>
    </w:p>
    <w:p w14:paraId="4B67F1CD" w14:textId="77777777" w:rsidR="000F04AF" w:rsidRDefault="006D35A0" w:rsidP="00AB2354">
      <w:pPr>
        <w:pStyle w:val="Heading5"/>
      </w:pPr>
      <w:bookmarkStart w:id="97" w:name="_Toc266446470"/>
      <w:r w:rsidRPr="00DA632C">
        <w:t>Efficacy outcomes - prophylactic treatment during the study</w:t>
      </w:r>
      <w:bookmarkEnd w:id="97"/>
    </w:p>
    <w:p w14:paraId="4A9620FA" w14:textId="6FDEA4DF" w:rsidR="006D35A0" w:rsidRPr="008A25DC" w:rsidRDefault="006D35A0" w:rsidP="006D35A0">
      <w:pPr>
        <w:rPr>
          <w:color w:val="000000"/>
        </w:rPr>
      </w:pPr>
      <w:r w:rsidRPr="008A25DC">
        <w:rPr>
          <w:color w:val="000000"/>
        </w:rPr>
        <w:t>All 32 patients received prophylactic treatment with simoctocog alfa</w:t>
      </w:r>
      <w:r>
        <w:rPr>
          <w:color w:val="000000"/>
        </w:rPr>
        <w:t xml:space="preserve"> </w:t>
      </w:r>
      <w:r w:rsidRPr="008A25DC">
        <w:rPr>
          <w:color w:val="000000"/>
        </w:rPr>
        <w:t>and were included in the PROPH population. The mean±SD number of EDs was 85.1±15.4, the mean±SD duration of prophylactic treatment was 6.0±0.9 months, and the mean±SD dose per infusion was 32.8±2.8 IU/kg. The total number of prophylactic injections was 2722 and 2519 of these injections were administered 2 days after the last simoctocog alfa</w:t>
      </w:r>
      <w:r>
        <w:rPr>
          <w:color w:val="000000"/>
        </w:rPr>
        <w:t xml:space="preserve"> </w:t>
      </w:r>
      <w:r w:rsidRPr="008A25DC">
        <w:rPr>
          <w:color w:val="000000"/>
        </w:rPr>
        <w:t>infusion as per-protocol. This corresponds to 2519 (93.6%) out of 2690 prophylactic infusions in 32 patients (</w:t>
      </w:r>
      <w:r w:rsidR="001A2E59">
        <w:rPr>
          <w:color w:val="000000"/>
        </w:rPr>
        <w:t>that is,</w:t>
      </w:r>
      <w:r w:rsidRPr="008A25DC">
        <w:rPr>
          <w:color w:val="000000"/>
        </w:rPr>
        <w:t xml:space="preserve"> total number of prophylactic infusions minus the first prophylactic infusion</w:t>
      </w:r>
      <w:r>
        <w:rPr>
          <w:color w:val="000000"/>
        </w:rPr>
        <w:t xml:space="preserve">). </w:t>
      </w:r>
      <w:r w:rsidRPr="008A25DC">
        <w:rPr>
          <w:color w:val="000000"/>
        </w:rPr>
        <w:t xml:space="preserve">The number of EDs and dosage of </w:t>
      </w:r>
      <w:r>
        <w:rPr>
          <w:color w:val="000000"/>
        </w:rPr>
        <w:t>simoctocog alfa</w:t>
      </w:r>
      <w:r w:rsidRPr="008A25DC">
        <w:rPr>
          <w:color w:val="000000"/>
        </w:rPr>
        <w:t xml:space="preserve"> administered as prophylaxis in this population are summarised below in Table </w:t>
      </w:r>
      <w:r>
        <w:rPr>
          <w:color w:val="000000"/>
        </w:rPr>
        <w:t>2</w:t>
      </w:r>
      <w:r w:rsidR="006F09EA">
        <w:rPr>
          <w:color w:val="000000"/>
        </w:rPr>
        <w:t>0</w:t>
      </w:r>
      <w:r w:rsidRPr="008A25DC">
        <w:rPr>
          <w:color w:val="000000"/>
        </w:rPr>
        <w:t>.</w:t>
      </w:r>
    </w:p>
    <w:p w14:paraId="33B47FA1" w14:textId="77777777" w:rsidR="000F04AF" w:rsidRDefault="006D35A0" w:rsidP="00DA632C">
      <w:pPr>
        <w:pStyle w:val="Tabletitle"/>
      </w:pPr>
      <w:bookmarkStart w:id="98" w:name="_Toc248202539"/>
      <w:r>
        <w:t xml:space="preserve">Table </w:t>
      </w:r>
      <w:r w:rsidR="006F09EA">
        <w:t>20</w:t>
      </w:r>
      <w:r>
        <w:t>: GENA-08 - EDs and dosage for prophylactic treatment with simoctocog alfa (</w:t>
      </w:r>
      <w:r w:rsidR="00C8405D">
        <w:t>simoctocog alfa</w:t>
      </w:r>
      <w:r w:rsidR="003A4B0E">
        <w:t>/</w:t>
      </w:r>
      <w:r w:rsidR="00175302">
        <w:t>Human-cl rhFVIII</w:t>
      </w:r>
      <w:r>
        <w:t>); PROPH population, n=32.</w:t>
      </w:r>
      <w:bookmarkEnd w:id="98"/>
    </w:p>
    <w:p w14:paraId="37EF2A89" w14:textId="6DB429CD" w:rsidR="006D35A0" w:rsidRPr="00EF73C5" w:rsidRDefault="006D35A0" w:rsidP="006D35A0">
      <w:pPr>
        <w:spacing w:after="0"/>
        <w:rPr>
          <w:color w:val="000000"/>
          <w:sz w:val="16"/>
          <w:szCs w:val="16"/>
        </w:rPr>
      </w:pPr>
      <w:r w:rsidRPr="00EF73C5">
        <w:rPr>
          <w:noProof/>
          <w:color w:val="000000"/>
          <w:sz w:val="16"/>
          <w:szCs w:val="16"/>
          <w:lang w:eastAsia="en-AU"/>
        </w:rPr>
        <w:drawing>
          <wp:inline distT="0" distB="0" distL="0" distR="0" wp14:anchorId="62AC5821" wp14:editId="08BDC9AD">
            <wp:extent cx="5225415" cy="2262505"/>
            <wp:effectExtent l="0" t="0" r="0" b="0"/>
            <wp:docPr id="46" name="Picture 4" descr="The number of EDs and dosage of simoctocog alfa administered as prophylaxis in this population are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5415" cy="2262505"/>
                    </a:xfrm>
                    <a:prstGeom prst="rect">
                      <a:avLst/>
                    </a:prstGeom>
                    <a:noFill/>
                    <a:ln>
                      <a:noFill/>
                    </a:ln>
                  </pic:spPr>
                </pic:pic>
              </a:graphicData>
            </a:graphic>
          </wp:inline>
        </w:drawing>
      </w:r>
    </w:p>
    <w:p w14:paraId="6D3F9CB6" w14:textId="77777777" w:rsidR="006D35A0" w:rsidRPr="00EF73C5" w:rsidRDefault="006D35A0" w:rsidP="00D30A1B">
      <w:pPr>
        <w:pStyle w:val="TableDescription"/>
        <w:rPr>
          <w:rFonts w:cs="Times"/>
          <w:lang w:eastAsia="en-AU"/>
        </w:rPr>
      </w:pPr>
      <w:r w:rsidRPr="00EF73C5">
        <w:rPr>
          <w:lang w:eastAsia="en-AU"/>
        </w:rPr>
        <w:t>ED = exposure day; IU = international unit; PROPH = study population of patients receiving prophylaxis; SD = standard deviation.</w:t>
      </w:r>
    </w:p>
    <w:p w14:paraId="0FD4348E" w14:textId="77777777" w:rsidR="000F04AF" w:rsidRDefault="006D35A0" w:rsidP="006D35A0">
      <w:pPr>
        <w:rPr>
          <w:color w:val="000000"/>
        </w:rPr>
      </w:pPr>
      <w:r w:rsidRPr="00567D8A">
        <w:rPr>
          <w:color w:val="000000"/>
        </w:rPr>
        <w:t xml:space="preserve">A total of 44 BEs occurred </w:t>
      </w:r>
      <w:r>
        <w:rPr>
          <w:color w:val="000000"/>
        </w:rPr>
        <w:t>during the study (</w:t>
      </w:r>
      <w:r w:rsidR="001A2E59">
        <w:rPr>
          <w:color w:val="000000"/>
        </w:rPr>
        <w:t>that is,</w:t>
      </w:r>
      <w:r>
        <w:rPr>
          <w:color w:val="000000"/>
        </w:rPr>
        <w:t xml:space="preserve"> </w:t>
      </w:r>
      <w:r w:rsidRPr="00567D8A">
        <w:rPr>
          <w:color w:val="000000"/>
        </w:rPr>
        <w:t>between Visit 1 and the completion visit</w:t>
      </w:r>
      <w:r>
        <w:rPr>
          <w:color w:val="000000"/>
        </w:rPr>
        <w:t>)</w:t>
      </w:r>
      <w:r w:rsidRPr="00567D8A">
        <w:rPr>
          <w:color w:val="000000"/>
        </w:rPr>
        <w:t xml:space="preserve">, 30 of which required treatment with </w:t>
      </w:r>
      <w:r>
        <w:rPr>
          <w:color w:val="000000"/>
        </w:rPr>
        <w:t>simoctocog alfa</w:t>
      </w:r>
      <w:r w:rsidRPr="00567D8A">
        <w:rPr>
          <w:color w:val="000000"/>
        </w:rPr>
        <w:t xml:space="preserve">. Of the 44 BEs, 28 (63.6%) were minor bleeds, 16 (36.4%) were moderate to major bleeds, and there were </w:t>
      </w:r>
      <w:r>
        <w:rPr>
          <w:color w:val="000000"/>
        </w:rPr>
        <w:t xml:space="preserve">no </w:t>
      </w:r>
      <w:r w:rsidRPr="00567D8A">
        <w:rPr>
          <w:color w:val="000000"/>
        </w:rPr>
        <w:t>major to life-threatening bleeds. Twenty-six bleeds (59.1%) were spontaneous, 16 (36.4%) were traumatic</w:t>
      </w:r>
      <w:r>
        <w:rPr>
          <w:color w:val="000000"/>
        </w:rPr>
        <w:t xml:space="preserve"> bleeds</w:t>
      </w:r>
      <w:r w:rsidRPr="00567D8A">
        <w:rPr>
          <w:color w:val="000000"/>
        </w:rPr>
        <w:t>, and 2 (4.5%) were bleeds due to other causes.</w:t>
      </w:r>
    </w:p>
    <w:p w14:paraId="646848F8" w14:textId="77777777" w:rsidR="000F04AF" w:rsidRDefault="006D35A0" w:rsidP="006D35A0">
      <w:pPr>
        <w:rPr>
          <w:color w:val="000000"/>
        </w:rPr>
      </w:pPr>
      <w:r w:rsidRPr="00567D8A">
        <w:rPr>
          <w:color w:val="000000"/>
        </w:rPr>
        <w:t>Of the 32 patients in the prophylactic population (PROPH population), no BEs were reported in 16 patients (50%), 1 BE in 11 patients (34.4%), 5 BEs in 1 pati</w:t>
      </w:r>
      <w:r>
        <w:rPr>
          <w:color w:val="000000"/>
        </w:rPr>
        <w:t xml:space="preserve">ent (3.1%), </w:t>
      </w:r>
      <w:r w:rsidRPr="00C00400">
        <w:rPr>
          <w:color w:val="000000"/>
        </w:rPr>
        <w:t>6 BEs in 1 patient (3.1%), 7 BEs in 2 patients (6.3%), and 8 BEs in 1 patient (3.1%).</w:t>
      </w:r>
      <w:r w:rsidRPr="00567D8A">
        <w:rPr>
          <w:color w:val="000000"/>
        </w:rPr>
        <w:t xml:space="preserve"> The mean total number of BEs (44 BEs) during the study was 1.4±2.4 p</w:t>
      </w:r>
      <w:r>
        <w:rPr>
          <w:color w:val="000000"/>
        </w:rPr>
        <w:t xml:space="preserve">er patient (median 0.5; range 0, </w:t>
      </w:r>
      <w:r w:rsidRPr="00567D8A">
        <w:rPr>
          <w:color w:val="000000"/>
        </w:rPr>
        <w:t xml:space="preserve">8). When excluding BEs occurring under surgical prophylaxis and BEs occurring between the first </w:t>
      </w:r>
      <w:r>
        <w:rPr>
          <w:color w:val="000000"/>
        </w:rPr>
        <w:t xml:space="preserve">dose for IVR assessment </w:t>
      </w:r>
      <w:r w:rsidRPr="00567D8A">
        <w:rPr>
          <w:color w:val="000000"/>
        </w:rPr>
        <w:t xml:space="preserve">and </w:t>
      </w:r>
      <w:r>
        <w:rPr>
          <w:color w:val="000000"/>
        </w:rPr>
        <w:t xml:space="preserve">the </w:t>
      </w:r>
      <w:r w:rsidRPr="00567D8A">
        <w:rPr>
          <w:color w:val="000000"/>
        </w:rPr>
        <w:t>start of prophylactic treatment, the mean number of BEs per patient during the study was 0.6±1.2 for spo</w:t>
      </w:r>
      <w:r>
        <w:rPr>
          <w:color w:val="000000"/>
        </w:rPr>
        <w:t xml:space="preserve">ntaneous BEs (median 0; range 0, </w:t>
      </w:r>
      <w:r w:rsidRPr="00567D8A">
        <w:rPr>
          <w:color w:val="000000"/>
        </w:rPr>
        <w:t>4) and 1.1±1.8 for all ty</w:t>
      </w:r>
      <w:r>
        <w:rPr>
          <w:color w:val="000000"/>
        </w:rPr>
        <w:t xml:space="preserve">pes of BEs (median 0.5; range 0, </w:t>
      </w:r>
      <w:r w:rsidRPr="00567D8A">
        <w:rPr>
          <w:color w:val="000000"/>
        </w:rPr>
        <w:t>7). The corresponding mean monthly bleeding rates per patient during the prophylactic treatment period at the end of the study were 0.095±0.211 for sponta</w:t>
      </w:r>
      <w:r>
        <w:rPr>
          <w:color w:val="000000"/>
        </w:rPr>
        <w:t xml:space="preserve">neous bleeds (median 0; range 0, </w:t>
      </w:r>
      <w:r w:rsidRPr="00567D8A">
        <w:rPr>
          <w:color w:val="000000"/>
        </w:rPr>
        <w:t>0.71), and 0.188±0.307 (median 0.074; range 0</w:t>
      </w:r>
      <w:r>
        <w:rPr>
          <w:color w:val="000000"/>
        </w:rPr>
        <w:t xml:space="preserve">, 1.21) </w:t>
      </w:r>
      <w:r>
        <w:rPr>
          <w:color w:val="000000"/>
        </w:rPr>
        <w:lastRenderedPageBreak/>
        <w:t xml:space="preserve">for all types of bleeds. </w:t>
      </w:r>
      <w:r w:rsidRPr="00567D8A">
        <w:rPr>
          <w:color w:val="000000"/>
        </w:rPr>
        <w:t>There were 16 patients who had a total HJHS of more than 10 in at least one of their joints. Of these, only 3 patients experienced bleeds in one of their target joints during the study; one patient had one spontaneous and one traumatic bleed in the same target joint and 2 had one traumatic bleed each in one target joint.</w:t>
      </w:r>
    </w:p>
    <w:p w14:paraId="2A6A3ABC" w14:textId="5AF0D6AB" w:rsidR="006D35A0" w:rsidRPr="00CB55F1" w:rsidRDefault="006D35A0" w:rsidP="006D35A0">
      <w:pPr>
        <w:widowControl w:val="0"/>
        <w:autoSpaceDE w:val="0"/>
        <w:autoSpaceDN w:val="0"/>
        <w:adjustRightInd w:val="0"/>
      </w:pPr>
      <w:r w:rsidRPr="00CB55F1">
        <w:t>The efficacy results for prophylactic treatment with simoctocog alfa as regards both spontaneous and all BEs are summarised below in Table 2</w:t>
      </w:r>
      <w:r w:rsidR="006F09EA">
        <w:t>1</w:t>
      </w:r>
      <w:r w:rsidRPr="00CB55F1">
        <w:t>. Efficacy was classed as excellent (</w:t>
      </w:r>
      <w:r w:rsidR="001A2E59">
        <w:t>that is,</w:t>
      </w:r>
      <w:r w:rsidRPr="00CB55F1">
        <w:t xml:space="preserve"> BEs &lt; 0.75 / month) for 90.6% (29/32) of patients as regards all BEs occurring while on simoctocog alfa, and for 100% (32/32) of patients as regards spontaneous BEs.</w:t>
      </w:r>
    </w:p>
    <w:p w14:paraId="485C12E4" w14:textId="77777777" w:rsidR="006D35A0" w:rsidRPr="00BA3F23" w:rsidRDefault="006D35A0" w:rsidP="00AB2354">
      <w:pPr>
        <w:pStyle w:val="Tabletitle"/>
      </w:pPr>
      <w:bookmarkStart w:id="99" w:name="_Toc248202540"/>
      <w:r>
        <w:t xml:space="preserve">Table </w:t>
      </w:r>
      <w:r w:rsidR="006F09EA">
        <w:t>21</w:t>
      </w:r>
      <w:r>
        <w:t>: GENA-08 - Overall assessment of prophylactic treatment at the end of the study; PROPH population, n=32.</w:t>
      </w:r>
      <w:bookmarkEnd w:id="99"/>
      <w:r>
        <w:t xml:space="preserve"> </w:t>
      </w:r>
    </w:p>
    <w:tbl>
      <w:tblPr>
        <w:tblStyle w:val="TableTGAblue"/>
        <w:tblW w:w="0" w:type="auto"/>
        <w:tblLook w:val="04A0" w:firstRow="1" w:lastRow="0" w:firstColumn="1" w:lastColumn="0" w:noHBand="0" w:noVBand="1"/>
      </w:tblPr>
      <w:tblGrid>
        <w:gridCol w:w="1893"/>
        <w:gridCol w:w="1857"/>
        <w:gridCol w:w="1824"/>
        <w:gridCol w:w="1864"/>
        <w:gridCol w:w="1804"/>
      </w:tblGrid>
      <w:tr w:rsidR="006D35A0" w:rsidRPr="004A6654" w14:paraId="56F048DA" w14:textId="77777777" w:rsidTr="00D30A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14:paraId="0F4D9171" w14:textId="77777777" w:rsidR="006D35A0" w:rsidRPr="004A6654" w:rsidRDefault="006D35A0" w:rsidP="00D30A1B"/>
        </w:tc>
        <w:tc>
          <w:tcPr>
            <w:tcW w:w="1909" w:type="dxa"/>
          </w:tcPr>
          <w:p w14:paraId="2DD16302"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Excellent (&lt;0.75)</w:t>
            </w:r>
          </w:p>
        </w:tc>
        <w:tc>
          <w:tcPr>
            <w:tcW w:w="1910" w:type="dxa"/>
          </w:tcPr>
          <w:p w14:paraId="54D01E17"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Good (0.75 - 1.0)</w:t>
            </w:r>
          </w:p>
        </w:tc>
        <w:tc>
          <w:tcPr>
            <w:tcW w:w="1910" w:type="dxa"/>
          </w:tcPr>
          <w:p w14:paraId="4F1F3471"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Moderate (&gt;1.0 - 1.5)</w:t>
            </w:r>
          </w:p>
        </w:tc>
        <w:tc>
          <w:tcPr>
            <w:tcW w:w="1910" w:type="dxa"/>
          </w:tcPr>
          <w:p w14:paraId="7B2BB5F4"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 xml:space="preserve">Poor (&gt; 1.5) </w:t>
            </w:r>
          </w:p>
        </w:tc>
      </w:tr>
      <w:tr w:rsidR="006D35A0" w:rsidRPr="004A6654" w14:paraId="27AEB6B6" w14:textId="77777777" w:rsidTr="00DA632C">
        <w:tc>
          <w:tcPr>
            <w:cnfStyle w:val="001000000000" w:firstRow="0" w:lastRow="0" w:firstColumn="1" w:lastColumn="0" w:oddVBand="0" w:evenVBand="0" w:oddHBand="0" w:evenHBand="0" w:firstRowFirstColumn="0" w:firstRowLastColumn="0" w:lastRowFirstColumn="0" w:lastRowLastColumn="0"/>
            <w:tcW w:w="1909" w:type="dxa"/>
          </w:tcPr>
          <w:p w14:paraId="5B27ACBC" w14:textId="77777777" w:rsidR="006D35A0" w:rsidRPr="004A6654" w:rsidRDefault="006D35A0" w:rsidP="00D30A1B">
            <w:r w:rsidRPr="004A6654">
              <w:t>Spontaneous BEs</w:t>
            </w:r>
          </w:p>
        </w:tc>
        <w:tc>
          <w:tcPr>
            <w:tcW w:w="1909" w:type="dxa"/>
          </w:tcPr>
          <w:p w14:paraId="1C1A8476"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32 (100.0%)</w:t>
            </w:r>
          </w:p>
        </w:tc>
        <w:tc>
          <w:tcPr>
            <w:tcW w:w="1910" w:type="dxa"/>
          </w:tcPr>
          <w:p w14:paraId="40586661"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w:t>
            </w:r>
          </w:p>
        </w:tc>
        <w:tc>
          <w:tcPr>
            <w:tcW w:w="1910" w:type="dxa"/>
          </w:tcPr>
          <w:p w14:paraId="1A5C63F8"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w:t>
            </w:r>
          </w:p>
        </w:tc>
        <w:tc>
          <w:tcPr>
            <w:tcW w:w="1910" w:type="dxa"/>
          </w:tcPr>
          <w:p w14:paraId="6573D491"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w:t>
            </w:r>
          </w:p>
        </w:tc>
      </w:tr>
      <w:tr w:rsidR="006D35A0" w:rsidRPr="004A6654" w14:paraId="1609AB63" w14:textId="77777777" w:rsidTr="00DA632C">
        <w:tc>
          <w:tcPr>
            <w:cnfStyle w:val="001000000000" w:firstRow="0" w:lastRow="0" w:firstColumn="1" w:lastColumn="0" w:oddVBand="0" w:evenVBand="0" w:oddHBand="0" w:evenHBand="0" w:firstRowFirstColumn="0" w:firstRowLastColumn="0" w:lastRowFirstColumn="0" w:lastRowLastColumn="0"/>
            <w:tcW w:w="1909" w:type="dxa"/>
          </w:tcPr>
          <w:p w14:paraId="74A43D81" w14:textId="77777777" w:rsidR="006D35A0" w:rsidRPr="004A6654" w:rsidRDefault="006D35A0" w:rsidP="00D30A1B">
            <w:r w:rsidRPr="004A6654">
              <w:t>All types of BEs</w:t>
            </w:r>
          </w:p>
        </w:tc>
        <w:tc>
          <w:tcPr>
            <w:tcW w:w="1909" w:type="dxa"/>
          </w:tcPr>
          <w:p w14:paraId="5BD87273"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29 (90.6%)</w:t>
            </w:r>
          </w:p>
        </w:tc>
        <w:tc>
          <w:tcPr>
            <w:tcW w:w="1910" w:type="dxa"/>
          </w:tcPr>
          <w:p w14:paraId="19AB97E5"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2 (6.3%)</w:t>
            </w:r>
          </w:p>
        </w:tc>
        <w:tc>
          <w:tcPr>
            <w:tcW w:w="1910" w:type="dxa"/>
          </w:tcPr>
          <w:p w14:paraId="66EEF82B"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1 (3.2%)</w:t>
            </w:r>
          </w:p>
        </w:tc>
        <w:tc>
          <w:tcPr>
            <w:tcW w:w="1910" w:type="dxa"/>
          </w:tcPr>
          <w:p w14:paraId="78B36A80"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w:t>
            </w:r>
          </w:p>
        </w:tc>
      </w:tr>
    </w:tbl>
    <w:p w14:paraId="0C00A440" w14:textId="77777777" w:rsidR="006D35A0" w:rsidRPr="00DA632C" w:rsidRDefault="006D35A0" w:rsidP="00D30A1B">
      <w:pPr>
        <w:pStyle w:val="TableDescription"/>
      </w:pPr>
      <w:r w:rsidRPr="00567D8A">
        <w:t>BE = bleeding episode; PROPH = study population of patients receiving prophylaxis.</w:t>
      </w:r>
    </w:p>
    <w:p w14:paraId="73F30033" w14:textId="77777777" w:rsidR="000F04AF" w:rsidRDefault="006D35A0" w:rsidP="00AB2354">
      <w:pPr>
        <w:pStyle w:val="Heading5"/>
      </w:pPr>
      <w:r w:rsidRPr="00CB55F1">
        <w:t>Prophylactic treatment historical (pre-study) vs study</w:t>
      </w:r>
    </w:p>
    <w:p w14:paraId="724CF15E" w14:textId="77777777" w:rsidR="000F04AF" w:rsidRDefault="006D35A0" w:rsidP="006D35A0">
      <w:r w:rsidRPr="00567D8A">
        <w:rPr>
          <w:color w:val="000000"/>
        </w:rPr>
        <w:t xml:space="preserve">The study </w:t>
      </w:r>
      <w:r>
        <w:rPr>
          <w:color w:val="000000"/>
        </w:rPr>
        <w:t xml:space="preserve">also </w:t>
      </w:r>
      <w:r w:rsidRPr="00567D8A">
        <w:rPr>
          <w:color w:val="000000"/>
        </w:rPr>
        <w:t xml:space="preserve">included a comparison between historical (pre-study) </w:t>
      </w:r>
      <w:r>
        <w:rPr>
          <w:color w:val="000000"/>
        </w:rPr>
        <w:t xml:space="preserve">prophylaxis </w:t>
      </w:r>
      <w:r w:rsidRPr="00567D8A">
        <w:rPr>
          <w:color w:val="000000"/>
        </w:rPr>
        <w:t xml:space="preserve">and </w:t>
      </w:r>
      <w:r>
        <w:rPr>
          <w:color w:val="000000"/>
        </w:rPr>
        <w:t xml:space="preserve">routine simoctocog alfa prophylaxis (study) </w:t>
      </w:r>
      <w:r w:rsidRPr="00567D8A">
        <w:rPr>
          <w:color w:val="000000"/>
        </w:rPr>
        <w:t xml:space="preserve">for </w:t>
      </w:r>
      <w:r>
        <w:rPr>
          <w:color w:val="000000"/>
        </w:rPr>
        <w:t xml:space="preserve">dose and </w:t>
      </w:r>
      <w:r w:rsidRPr="00567D8A">
        <w:rPr>
          <w:color w:val="000000"/>
        </w:rPr>
        <w:t>monthly BE rate in patients in the prophylactic (PROPH) population. The results (</w:t>
      </w:r>
      <w:r w:rsidRPr="00567D8A">
        <w:t xml:space="preserve">mean±SD) for the historical (pre-study) and on-study (study) doses and BEs are summarised below in </w:t>
      </w:r>
      <w:r w:rsidR="00C00400">
        <w:t>Table 2</w:t>
      </w:r>
      <w:r w:rsidR="006F09EA">
        <w:t>2</w:t>
      </w:r>
      <w:r w:rsidRPr="00C00400">
        <w:t>.</w:t>
      </w:r>
    </w:p>
    <w:p w14:paraId="7E3A4273" w14:textId="6E3928CA" w:rsidR="006D35A0" w:rsidRDefault="006D35A0" w:rsidP="00DA632C">
      <w:pPr>
        <w:pStyle w:val="Tabletitle"/>
      </w:pPr>
      <w:bookmarkStart w:id="100" w:name="_Toc248202541"/>
      <w:r w:rsidRPr="00C00400">
        <w:t xml:space="preserve">Table </w:t>
      </w:r>
      <w:r w:rsidR="006F09EA">
        <w:t>22</w:t>
      </w:r>
      <w:r>
        <w:t>: GENA-08 - Historical (pre-study) and on-study (study) data (mean±SD) for monthly BE rate and prophylactic dosage in patients in the study categorised by patients who received previous prophylaxis, patients who received previous on-demand treatment and all patients combined; PROPH population, n=32.</w:t>
      </w:r>
      <w:bookmarkEnd w:id="100"/>
    </w:p>
    <w:tbl>
      <w:tblPr>
        <w:tblStyle w:val="TableTGAblue"/>
        <w:tblW w:w="9039" w:type="dxa"/>
        <w:tblLayout w:type="fixed"/>
        <w:tblLook w:val="04A0" w:firstRow="1" w:lastRow="0" w:firstColumn="1" w:lastColumn="0" w:noHBand="0" w:noVBand="1"/>
      </w:tblPr>
      <w:tblGrid>
        <w:gridCol w:w="2235"/>
        <w:gridCol w:w="939"/>
        <w:gridCol w:w="1329"/>
        <w:gridCol w:w="1134"/>
        <w:gridCol w:w="1701"/>
        <w:gridCol w:w="1701"/>
      </w:tblGrid>
      <w:tr w:rsidR="006D35A0" w14:paraId="71BF563D" w14:textId="77777777" w:rsidTr="00D30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C142D4B" w14:textId="774615EB" w:rsidR="006D35A0" w:rsidRPr="004A6654" w:rsidRDefault="00D30A1B" w:rsidP="00D30A1B">
            <w:r>
              <w:t>Patient group</w:t>
            </w:r>
          </w:p>
        </w:tc>
        <w:tc>
          <w:tcPr>
            <w:tcW w:w="939" w:type="dxa"/>
          </w:tcPr>
          <w:p w14:paraId="4D1A4A78"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p>
        </w:tc>
        <w:tc>
          <w:tcPr>
            <w:tcW w:w="2463" w:type="dxa"/>
            <w:gridSpan w:val="2"/>
          </w:tcPr>
          <w:p w14:paraId="04A7CE97"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PROPH dose (IU/kg/month)</w:t>
            </w:r>
          </w:p>
        </w:tc>
        <w:tc>
          <w:tcPr>
            <w:tcW w:w="3402" w:type="dxa"/>
            <w:gridSpan w:val="2"/>
          </w:tcPr>
          <w:p w14:paraId="34AD2709" w14:textId="77777777" w:rsidR="006D35A0" w:rsidRPr="004A6654" w:rsidRDefault="006D35A0" w:rsidP="00D30A1B">
            <w:pPr>
              <w:cnfStyle w:val="100000000000" w:firstRow="1" w:lastRow="0" w:firstColumn="0" w:lastColumn="0" w:oddVBand="0" w:evenVBand="0" w:oddHBand="0" w:evenHBand="0" w:firstRowFirstColumn="0" w:firstRowLastColumn="0" w:lastRowFirstColumn="0" w:lastRowLastColumn="0"/>
            </w:pPr>
            <w:r w:rsidRPr="004A6654">
              <w:t>BEs/month</w:t>
            </w:r>
          </w:p>
        </w:tc>
      </w:tr>
      <w:tr w:rsidR="006D35A0" w14:paraId="45A5DFAF" w14:textId="77777777" w:rsidTr="00D30A1B">
        <w:tc>
          <w:tcPr>
            <w:cnfStyle w:val="001000000000" w:firstRow="0" w:lastRow="0" w:firstColumn="1" w:lastColumn="0" w:oddVBand="0" w:evenVBand="0" w:oddHBand="0" w:evenHBand="0" w:firstRowFirstColumn="0" w:firstRowLastColumn="0" w:lastRowFirstColumn="0" w:lastRowLastColumn="0"/>
            <w:tcW w:w="2235" w:type="dxa"/>
          </w:tcPr>
          <w:p w14:paraId="545C576C" w14:textId="77777777" w:rsidR="006D35A0" w:rsidRPr="004A6654" w:rsidRDefault="006D35A0" w:rsidP="00D30A1B"/>
        </w:tc>
        <w:tc>
          <w:tcPr>
            <w:tcW w:w="939" w:type="dxa"/>
          </w:tcPr>
          <w:p w14:paraId="7592AE69" w14:textId="3B8BF9A5" w:rsidR="006D35A0" w:rsidRPr="004A6654" w:rsidRDefault="00A2235E" w:rsidP="00D30A1B">
            <w:pPr>
              <w:cnfStyle w:val="000000000000" w:firstRow="0" w:lastRow="0" w:firstColumn="0" w:lastColumn="0" w:oddVBand="0" w:evenVBand="0" w:oddHBand="0" w:evenHBand="0" w:firstRowFirstColumn="0" w:firstRowLastColumn="0" w:lastRowFirstColumn="0" w:lastRowLastColumn="0"/>
            </w:pPr>
            <w:r w:rsidRPr="004A6654">
              <w:t>N</w:t>
            </w:r>
          </w:p>
        </w:tc>
        <w:tc>
          <w:tcPr>
            <w:tcW w:w="1329" w:type="dxa"/>
          </w:tcPr>
          <w:p w14:paraId="1739ECBB"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Historical</w:t>
            </w:r>
          </w:p>
        </w:tc>
        <w:tc>
          <w:tcPr>
            <w:tcW w:w="1134" w:type="dxa"/>
          </w:tcPr>
          <w:p w14:paraId="243B7BB5"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Study</w:t>
            </w:r>
          </w:p>
        </w:tc>
        <w:tc>
          <w:tcPr>
            <w:tcW w:w="1701" w:type="dxa"/>
          </w:tcPr>
          <w:p w14:paraId="190583F5"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Historical</w:t>
            </w:r>
          </w:p>
        </w:tc>
        <w:tc>
          <w:tcPr>
            <w:tcW w:w="1701" w:type="dxa"/>
          </w:tcPr>
          <w:p w14:paraId="03A40023"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Study</w:t>
            </w:r>
          </w:p>
        </w:tc>
      </w:tr>
      <w:tr w:rsidR="006D35A0" w14:paraId="4BAA526B" w14:textId="77777777" w:rsidTr="00D30A1B">
        <w:tc>
          <w:tcPr>
            <w:cnfStyle w:val="001000000000" w:firstRow="0" w:lastRow="0" w:firstColumn="1" w:lastColumn="0" w:oddVBand="0" w:evenVBand="0" w:oddHBand="0" w:evenHBand="0" w:firstRowFirstColumn="0" w:firstRowLastColumn="0" w:lastRowFirstColumn="0" w:lastRowLastColumn="0"/>
            <w:tcW w:w="2235" w:type="dxa"/>
          </w:tcPr>
          <w:p w14:paraId="0783136B" w14:textId="77777777" w:rsidR="006D35A0" w:rsidRPr="004A6654" w:rsidRDefault="006D35A0" w:rsidP="00D30A1B">
            <w:r w:rsidRPr="004A6654">
              <w:t>Previous prophylaxis, patients</w:t>
            </w:r>
          </w:p>
        </w:tc>
        <w:tc>
          <w:tcPr>
            <w:tcW w:w="939" w:type="dxa"/>
          </w:tcPr>
          <w:p w14:paraId="4A8CB75A"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21</w:t>
            </w:r>
          </w:p>
        </w:tc>
        <w:tc>
          <w:tcPr>
            <w:tcW w:w="1329" w:type="dxa"/>
          </w:tcPr>
          <w:p w14:paraId="1362DC7A"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292.6±117.1</w:t>
            </w:r>
          </w:p>
        </w:tc>
        <w:tc>
          <w:tcPr>
            <w:tcW w:w="1134" w:type="dxa"/>
          </w:tcPr>
          <w:p w14:paraId="52B0F38F"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451.2±73.4</w:t>
            </w:r>
          </w:p>
        </w:tc>
        <w:tc>
          <w:tcPr>
            <w:tcW w:w="1701" w:type="dxa"/>
          </w:tcPr>
          <w:p w14:paraId="697C9A7A"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0.540±0.927</w:t>
            </w:r>
          </w:p>
        </w:tc>
        <w:tc>
          <w:tcPr>
            <w:tcW w:w="1701" w:type="dxa"/>
          </w:tcPr>
          <w:p w14:paraId="6C3F18E1"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0.263±0.354</w:t>
            </w:r>
          </w:p>
        </w:tc>
      </w:tr>
      <w:tr w:rsidR="006D35A0" w14:paraId="2DEB57A1" w14:textId="77777777" w:rsidTr="00D30A1B">
        <w:tc>
          <w:tcPr>
            <w:cnfStyle w:val="001000000000" w:firstRow="0" w:lastRow="0" w:firstColumn="1" w:lastColumn="0" w:oddVBand="0" w:evenVBand="0" w:oddHBand="0" w:evenHBand="0" w:firstRowFirstColumn="0" w:firstRowLastColumn="0" w:lastRowFirstColumn="0" w:lastRowLastColumn="0"/>
            <w:tcW w:w="2235" w:type="dxa"/>
          </w:tcPr>
          <w:p w14:paraId="6028B540" w14:textId="77777777" w:rsidR="006D35A0" w:rsidRPr="004A6654" w:rsidRDefault="006D35A0" w:rsidP="00D30A1B">
            <w:r w:rsidRPr="004A6654">
              <w:t>Previous on-demand, patients</w:t>
            </w:r>
          </w:p>
        </w:tc>
        <w:tc>
          <w:tcPr>
            <w:tcW w:w="939" w:type="dxa"/>
          </w:tcPr>
          <w:p w14:paraId="14BE450D"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11</w:t>
            </w:r>
          </w:p>
        </w:tc>
        <w:tc>
          <w:tcPr>
            <w:tcW w:w="1329" w:type="dxa"/>
          </w:tcPr>
          <w:p w14:paraId="626BAD4E"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w:t>
            </w:r>
          </w:p>
        </w:tc>
        <w:tc>
          <w:tcPr>
            <w:tcW w:w="1134" w:type="dxa"/>
          </w:tcPr>
          <w:p w14:paraId="57E48245"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494.6±33.7</w:t>
            </w:r>
          </w:p>
        </w:tc>
        <w:tc>
          <w:tcPr>
            <w:tcW w:w="1701" w:type="dxa"/>
          </w:tcPr>
          <w:p w14:paraId="74667159"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3.924±2.845</w:t>
            </w:r>
          </w:p>
        </w:tc>
        <w:tc>
          <w:tcPr>
            <w:tcW w:w="1701" w:type="dxa"/>
          </w:tcPr>
          <w:p w14:paraId="19174CD5"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0.043±0.074</w:t>
            </w:r>
          </w:p>
        </w:tc>
      </w:tr>
      <w:tr w:rsidR="006D35A0" w14:paraId="4D68F8D8" w14:textId="77777777" w:rsidTr="00D30A1B">
        <w:tc>
          <w:tcPr>
            <w:cnfStyle w:val="001000000000" w:firstRow="0" w:lastRow="0" w:firstColumn="1" w:lastColumn="0" w:oddVBand="0" w:evenVBand="0" w:oddHBand="0" w:evenHBand="0" w:firstRowFirstColumn="0" w:firstRowLastColumn="0" w:lastRowFirstColumn="0" w:lastRowLastColumn="0"/>
            <w:tcW w:w="2235" w:type="dxa"/>
          </w:tcPr>
          <w:p w14:paraId="388D8392" w14:textId="77777777" w:rsidR="006D35A0" w:rsidRPr="004A6654" w:rsidRDefault="006D35A0" w:rsidP="00D30A1B">
            <w:r w:rsidRPr="004A6654">
              <w:t>All patients</w:t>
            </w:r>
          </w:p>
        </w:tc>
        <w:tc>
          <w:tcPr>
            <w:tcW w:w="939" w:type="dxa"/>
          </w:tcPr>
          <w:p w14:paraId="27FD47D7"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32</w:t>
            </w:r>
          </w:p>
        </w:tc>
        <w:tc>
          <w:tcPr>
            <w:tcW w:w="1329" w:type="dxa"/>
          </w:tcPr>
          <w:p w14:paraId="3AB9C7BE"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292.6±117.1 *</w:t>
            </w:r>
          </w:p>
        </w:tc>
        <w:tc>
          <w:tcPr>
            <w:tcW w:w="1134" w:type="dxa"/>
          </w:tcPr>
          <w:p w14:paraId="04308630"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466.1±65.5</w:t>
            </w:r>
          </w:p>
        </w:tc>
        <w:tc>
          <w:tcPr>
            <w:tcW w:w="1701" w:type="dxa"/>
          </w:tcPr>
          <w:p w14:paraId="5498A1D3"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1.703±2.4152</w:t>
            </w:r>
          </w:p>
        </w:tc>
        <w:tc>
          <w:tcPr>
            <w:tcW w:w="1701" w:type="dxa"/>
          </w:tcPr>
          <w:p w14:paraId="7E84F2F1" w14:textId="77777777" w:rsidR="006D35A0" w:rsidRPr="004A6654" w:rsidRDefault="006D35A0" w:rsidP="00D30A1B">
            <w:pPr>
              <w:cnfStyle w:val="000000000000" w:firstRow="0" w:lastRow="0" w:firstColumn="0" w:lastColumn="0" w:oddVBand="0" w:evenVBand="0" w:oddHBand="0" w:evenHBand="0" w:firstRowFirstColumn="0" w:firstRowLastColumn="0" w:lastRowFirstColumn="0" w:lastRowLastColumn="0"/>
            </w:pPr>
            <w:r w:rsidRPr="004A6654">
              <w:t>0.188±0.307</w:t>
            </w:r>
          </w:p>
        </w:tc>
      </w:tr>
    </w:tbl>
    <w:p w14:paraId="4F1F4285" w14:textId="77777777" w:rsidR="006D35A0" w:rsidRDefault="006D35A0" w:rsidP="00D30A1B">
      <w:pPr>
        <w:pStyle w:val="TableDescription"/>
      </w:pPr>
      <w:r w:rsidRPr="009B76F4">
        <w:t>* Only patients who had received prophylaxis prior to the study were considered for this calculation. BE = bleeding episode; IU = international unit; PROPH = study population of patients receiving prophylaxis.</w:t>
      </w:r>
    </w:p>
    <w:p w14:paraId="53F32C38" w14:textId="77777777" w:rsidR="000F04AF" w:rsidRDefault="006D35A0" w:rsidP="006D35A0">
      <w:pPr>
        <w:widowControl w:val="0"/>
        <w:autoSpaceDE w:val="0"/>
        <w:autoSpaceDN w:val="0"/>
        <w:adjustRightInd w:val="0"/>
      </w:pPr>
      <w:r w:rsidRPr="00CB55F1">
        <w:lastRenderedPageBreak/>
        <w:t xml:space="preserve">The results for the comparison between the historical outcomes (pre-study) and the study outcomes in the patients (n=21) who received previous prophylactic treatment with FVIII concentrated and prophylactic study treatment with simoctocog alfa showed that the mean dose was about 54% higher during the study compared with pre-study (451.2±73.4 vs 292.6±117.1 IU/kg/month, respectively), while the mean BE rate was about 50% lower </w:t>
      </w:r>
      <w:r>
        <w:t xml:space="preserve">during the study compared with pre-study </w:t>
      </w:r>
      <w:r w:rsidRPr="00CB55F1">
        <w:t>(0.263 vs 0.540 BEs/month, respectively). In almost all patients who had received previous prophylacti</w:t>
      </w:r>
      <w:r w:rsidRPr="00C00400">
        <w:t>c treatment (81%, 17/21), the monthly rate of BEs decreased or remained constant during the study. One (1) of the 4 patients in whom monthly BE rates increased showed a marginal increase from 0.167 BEs/month pre-study to 0.168 BEs/month at study end, and one 1 patient received a 15% lower monthly FVIII dose during the study compared with previous treatment. In 1 patient</w:t>
      </w:r>
      <w:r w:rsidRPr="00CB55F1">
        <w:t xml:space="preserve"> with a previously very low frequency of BEs, </w:t>
      </w:r>
      <w:r w:rsidRPr="00C00400">
        <w:t>the frequency at the end of the study was approximately 10-fold higher (0.847 vs 0.083) because the patient experienced 5 BEs during the study (4 traumatic and 1 spontaneous). In all 11 patients who had</w:t>
      </w:r>
      <w:r w:rsidRPr="00CB55F1">
        <w:t xml:space="preserve"> received on-demand treatment prior to the study, mean ±SD monthly BE rates were markedly reduced while on prophylactic treatment during the study (3.924±2.845 pre-study falling to 0.043±0.074 during the study). Of the 11 patients who had received previous on-demand treatment, 8 experienced no BEs at all during the study while on simoctocog alfa prophylactic treatment and the remaining 3 patients had low monthly BE rates of 0.148 to 0.166.</w:t>
      </w:r>
    </w:p>
    <w:p w14:paraId="6254219C" w14:textId="77777777" w:rsidR="000F04AF" w:rsidRDefault="006D35A0" w:rsidP="00AB2354">
      <w:pPr>
        <w:pStyle w:val="Heading5"/>
      </w:pPr>
      <w:bookmarkStart w:id="101" w:name="_Toc266446471"/>
      <w:r w:rsidRPr="00C74709">
        <w:t>Efficacy outcomes - treatment of breakthrough bleeding episodes during the study</w:t>
      </w:r>
      <w:bookmarkEnd w:id="101"/>
    </w:p>
    <w:p w14:paraId="4A2D6D49" w14:textId="77777777" w:rsidR="000F04AF" w:rsidRDefault="006D35A0" w:rsidP="006D35A0">
      <w:r w:rsidRPr="00CB3D10">
        <w:t xml:space="preserve">Out of the 44 BEs occurring during the study, 30 </w:t>
      </w:r>
      <w:r>
        <w:t xml:space="preserve">BEs </w:t>
      </w:r>
      <w:r w:rsidRPr="00CB3D10">
        <w:t xml:space="preserve">were treated with at least one dose of </w:t>
      </w:r>
      <w:r>
        <w:t>simoctocog alfa</w:t>
      </w:r>
      <w:r w:rsidRPr="00CB3D10">
        <w:t xml:space="preserve">. These 30 BEs occurred in 15 patients and </w:t>
      </w:r>
      <w:proofErr w:type="gramStart"/>
      <w:r w:rsidRPr="00CB3D10">
        <w:t>constitute</w:t>
      </w:r>
      <w:proofErr w:type="gramEnd"/>
      <w:r w:rsidRPr="00CB3D10">
        <w:t xml:space="preserve"> the BLEED population. The remaining 14 BEs were not treated</w:t>
      </w:r>
      <w:r>
        <w:t xml:space="preserve"> with either</w:t>
      </w:r>
      <w:r w:rsidRPr="00CB3D10">
        <w:t xml:space="preserve"> </w:t>
      </w:r>
      <w:r>
        <w:t xml:space="preserve">simoctocog alfa or </w:t>
      </w:r>
      <w:r w:rsidRPr="00CB3D10">
        <w:t xml:space="preserve">with any other FVIII concentrate. These 14 BEs </w:t>
      </w:r>
      <w:proofErr w:type="gramStart"/>
      <w:r w:rsidRPr="00CB3D10">
        <w:t>were</w:t>
      </w:r>
      <w:proofErr w:type="gramEnd"/>
      <w:r w:rsidRPr="00CB3D10">
        <w:t xml:space="preserve"> all minor and occurred in only 4 patients, who experienced 1, 2, 4 and 7 untreated BEs.</w:t>
      </w:r>
    </w:p>
    <w:p w14:paraId="27FCBC2C" w14:textId="509A4A9E" w:rsidR="006D35A0" w:rsidRDefault="006D35A0" w:rsidP="006D35A0">
      <w:r w:rsidRPr="00BF417C">
        <w:t xml:space="preserve">Of the 30 treated BEs, 14 were spontaneous, another 14 were due to trauma, and the remaining 2 were classified as "other". The most frequent sites of bleeding were the ankle and the knee, which together accounted for 60% of all BEs. Other affected sites were the elbow, the leg, the arm, the oral cavity and other sites (including shoulder, finger, toe, chest soft tissue and a traumatic head bleed). Across all sites, 14 treated BEs (46.7%) were rated as minor and 16 as moderate to major (53.3%). There were no major to life-threatening BEs. A total of 49 infusions were administered for the treatment of BEs. The EDs and the </w:t>
      </w:r>
      <w:r>
        <w:t xml:space="preserve">simoctocog alfa </w:t>
      </w:r>
      <w:r w:rsidRPr="00BF417C">
        <w:t xml:space="preserve">dosages for treatment of BEs are summarised below in Table </w:t>
      </w:r>
      <w:r>
        <w:t>2</w:t>
      </w:r>
      <w:r w:rsidR="006F09EA">
        <w:t>3</w:t>
      </w:r>
      <w:r w:rsidRPr="00BF417C">
        <w:t>.</w:t>
      </w:r>
    </w:p>
    <w:p w14:paraId="3E99E5FD" w14:textId="77777777" w:rsidR="000F04AF" w:rsidRDefault="006D35A0" w:rsidP="00C74709">
      <w:pPr>
        <w:pStyle w:val="Tabletitle"/>
      </w:pPr>
      <w:bookmarkStart w:id="102" w:name="_Toc248202542"/>
      <w:proofErr w:type="gramStart"/>
      <w:r>
        <w:t xml:space="preserve">Table </w:t>
      </w:r>
      <w:r w:rsidR="006F09EA">
        <w:t>23</w:t>
      </w:r>
      <w:r>
        <w:t>: GENA-08 - Treatment summary of breakthrough BEs in the BLEED population (30 BEs in 15 patients)</w:t>
      </w:r>
      <w:bookmarkEnd w:id="102"/>
      <w:r w:rsidR="000F04AF">
        <w:t>.</w:t>
      </w:r>
      <w:proofErr w:type="gramEnd"/>
    </w:p>
    <w:p w14:paraId="108F43BF" w14:textId="4640CA33" w:rsidR="006D35A0" w:rsidRPr="00AE6AFC" w:rsidRDefault="006D35A0" w:rsidP="006D35A0">
      <w:pPr>
        <w:spacing w:after="0"/>
        <w:rPr>
          <w:sz w:val="16"/>
          <w:szCs w:val="16"/>
        </w:rPr>
      </w:pPr>
      <w:r w:rsidRPr="00AE6AFC">
        <w:rPr>
          <w:noProof/>
          <w:sz w:val="16"/>
          <w:szCs w:val="16"/>
          <w:lang w:eastAsia="en-AU"/>
        </w:rPr>
        <w:drawing>
          <wp:inline distT="0" distB="0" distL="0" distR="0" wp14:anchorId="73EEA399" wp14:editId="250715CD">
            <wp:extent cx="4537710" cy="1988820"/>
            <wp:effectExtent l="0" t="0" r="0" b="0"/>
            <wp:docPr id="49" name="Picture 7" descr="There were no major to life-threatening BEs. A total of 49 infusions were administered for the treatment of BEs. The EDs and the simoctocog alfa dosages for treatment of BEs are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7710" cy="1988820"/>
                    </a:xfrm>
                    <a:prstGeom prst="rect">
                      <a:avLst/>
                    </a:prstGeom>
                    <a:noFill/>
                    <a:ln>
                      <a:noFill/>
                    </a:ln>
                  </pic:spPr>
                </pic:pic>
              </a:graphicData>
            </a:graphic>
          </wp:inline>
        </w:drawing>
      </w:r>
    </w:p>
    <w:p w14:paraId="58CC326C" w14:textId="77777777" w:rsidR="000F04AF" w:rsidRDefault="006D35A0" w:rsidP="00D30A1B">
      <w:pPr>
        <w:pStyle w:val="TableDescription"/>
        <w:rPr>
          <w:rFonts w:eastAsia="Times New Roman"/>
          <w:lang w:eastAsia="en-AU"/>
        </w:rPr>
      </w:pPr>
      <w:r w:rsidRPr="00AE6AFC">
        <w:t xml:space="preserve">* Dosage used to treat several simultaneous bleedings </w:t>
      </w:r>
      <w:r>
        <w:t>is</w:t>
      </w:r>
      <w:r w:rsidRPr="00AE6AFC">
        <w:t xml:space="preserve"> counted only once.</w:t>
      </w:r>
    </w:p>
    <w:p w14:paraId="0ED5678C" w14:textId="77777777" w:rsidR="000F04AF" w:rsidRDefault="006D35A0" w:rsidP="006D35A0">
      <w:r w:rsidRPr="002D4A49">
        <w:lastRenderedPageBreak/>
        <w:t xml:space="preserve">The median number of infusions across all </w:t>
      </w:r>
      <w:r>
        <w:t>BEs</w:t>
      </w:r>
      <w:r w:rsidRPr="002D4A49">
        <w:t xml:space="preserve"> was 1, and</w:t>
      </w:r>
      <w:r>
        <w:t xml:space="preserve"> the mean number was 1.8 (range: 1, </w:t>
      </w:r>
      <w:r w:rsidRPr="002D4A49">
        <w:t>12). The difference between mean and median values is mainly due to 3 BEs that were treated with a relatively high number of infusions (6, 5 and 12, respectively) over several EDs (3, 5 and 8 EDs, respectively).</w:t>
      </w:r>
    </w:p>
    <w:p w14:paraId="0232E4E0" w14:textId="77777777" w:rsidR="000F04AF" w:rsidRDefault="006D35A0" w:rsidP="006D35A0">
      <w:r w:rsidRPr="002D4A49">
        <w:t>On three occasions, 2 simultaneous BEs were reported in one patient, which were counted as separate BEs, but tr</w:t>
      </w:r>
      <w:r>
        <w:t>eated with the same infusion. T</w:t>
      </w:r>
      <w:r w:rsidRPr="002D4A49">
        <w:t xml:space="preserve">herefore, there </w:t>
      </w:r>
      <w:r>
        <w:t xml:space="preserve">were 27 occasions of BE treatment. </w:t>
      </w:r>
      <w:r w:rsidRPr="002D4A49">
        <w:t>On 88.9% of occasions, 1 (81.5%) or 2 (7.4%) infusions w</w:t>
      </w:r>
      <w:r>
        <w:t xml:space="preserve">ere sufficient to treat the BE, while </w:t>
      </w:r>
      <w:r w:rsidRPr="002D4A49">
        <w:t>on one occasion (3.7%) each, 5, 6 and 12 infusions were administered, respectively</w:t>
      </w:r>
      <w:r>
        <w:t xml:space="preserve">. </w:t>
      </w:r>
      <w:r w:rsidRPr="002D4A49">
        <w:t>The BE requiring 12 infusions w</w:t>
      </w:r>
      <w:r>
        <w:t xml:space="preserve">as a moderate to major BE </w:t>
      </w:r>
      <w:r w:rsidRPr="002D4A49">
        <w:t>at the ankle caused by</w:t>
      </w:r>
      <w:r>
        <w:t xml:space="preserve"> a trauma, and </w:t>
      </w:r>
      <w:r w:rsidRPr="002D4A49">
        <w:t xml:space="preserve">treatment of this BE also required the maximum number of EDs and the maximum dose of </w:t>
      </w:r>
      <w:r>
        <w:t xml:space="preserve">simoctocog alfa (both total and per kg). </w:t>
      </w:r>
      <w:r w:rsidRPr="002D4A49">
        <w:t xml:space="preserve">The median dose of </w:t>
      </w:r>
      <w:r>
        <w:t xml:space="preserve">simoctocog alfa </w:t>
      </w:r>
      <w:r w:rsidRPr="002D4A49">
        <w:t xml:space="preserve">per infusion was 32.1 IU/kg across all </w:t>
      </w:r>
      <w:r>
        <w:t xml:space="preserve">BEs (range: 20, 53), and was </w:t>
      </w:r>
      <w:r w:rsidRPr="002D4A49">
        <w:t xml:space="preserve">32.1 IU/kg for minor BEs and 31.5 </w:t>
      </w:r>
      <w:r>
        <w:t xml:space="preserve">IU/kg for moderate to </w:t>
      </w:r>
      <w:proofErr w:type="gramStart"/>
      <w:r>
        <w:t>major</w:t>
      </w:r>
      <w:proofErr w:type="gramEnd"/>
      <w:r>
        <w:t xml:space="preserve"> BEs.</w:t>
      </w:r>
    </w:p>
    <w:p w14:paraId="40352231" w14:textId="77777777" w:rsidR="000F04AF" w:rsidRDefault="006D35A0" w:rsidP="006D35A0">
      <w:pPr>
        <w:rPr>
          <w:color w:val="000000"/>
        </w:rPr>
      </w:pPr>
      <w:r w:rsidRPr="001D57AE">
        <w:rPr>
          <w:color w:val="000000"/>
        </w:rPr>
        <w:t>Personal efficacy assessments were available for 28 BEs</w:t>
      </w:r>
      <w:r>
        <w:rPr>
          <w:color w:val="000000"/>
        </w:rPr>
        <w:t xml:space="preserve"> (14 minor; 14 moderate-major). Personal efficacy</w:t>
      </w:r>
      <w:r w:rsidRPr="001D57AE">
        <w:rPr>
          <w:color w:val="000000"/>
        </w:rPr>
        <w:t xml:space="preserve"> ratings on </w:t>
      </w:r>
      <w:r>
        <w:rPr>
          <w:color w:val="000000"/>
        </w:rPr>
        <w:t>the</w:t>
      </w:r>
      <w:r w:rsidRPr="001D57AE">
        <w:rPr>
          <w:color w:val="000000"/>
        </w:rPr>
        <w:t xml:space="preserve"> four-point scale were excellent or good for all </w:t>
      </w:r>
      <w:r>
        <w:rPr>
          <w:color w:val="000000"/>
        </w:rPr>
        <w:t xml:space="preserve">28 </w:t>
      </w:r>
      <w:r w:rsidRPr="001D57AE">
        <w:rPr>
          <w:color w:val="000000"/>
        </w:rPr>
        <w:t>B</w:t>
      </w:r>
      <w:r>
        <w:rPr>
          <w:color w:val="000000"/>
        </w:rPr>
        <w:t>Es (</w:t>
      </w:r>
      <w:r w:rsidRPr="001D57AE">
        <w:rPr>
          <w:color w:val="000000"/>
        </w:rPr>
        <w:t xml:space="preserve">20 [71.4%] excellent; 8 [28.6%] good), for all </w:t>
      </w:r>
      <w:r>
        <w:rPr>
          <w:color w:val="000000"/>
        </w:rPr>
        <w:t>14 minor BEs (</w:t>
      </w:r>
      <w:r w:rsidRPr="001D57AE">
        <w:rPr>
          <w:color w:val="000000"/>
        </w:rPr>
        <w:t xml:space="preserve">12 [85.7%] excellent; 2 [14.3%] good), and for all </w:t>
      </w:r>
      <w:r>
        <w:rPr>
          <w:color w:val="000000"/>
        </w:rPr>
        <w:t xml:space="preserve">14 </w:t>
      </w:r>
      <w:r w:rsidRPr="001D57AE">
        <w:rPr>
          <w:color w:val="000000"/>
        </w:rPr>
        <w:t xml:space="preserve">major BEs (8 </w:t>
      </w:r>
      <w:r>
        <w:rPr>
          <w:color w:val="000000"/>
        </w:rPr>
        <w:t>[</w:t>
      </w:r>
      <w:r w:rsidRPr="001D57AE">
        <w:rPr>
          <w:color w:val="000000"/>
        </w:rPr>
        <w:t xml:space="preserve">57.1%] excellent; 6 [42.9%] good). No personal efficacy assessments were available </w:t>
      </w:r>
      <w:r>
        <w:rPr>
          <w:color w:val="000000"/>
        </w:rPr>
        <w:t>for</w:t>
      </w:r>
      <w:r w:rsidRPr="001D57AE">
        <w:rPr>
          <w:color w:val="000000"/>
        </w:rPr>
        <w:t xml:space="preserve"> the remaining 2 BEs.</w:t>
      </w:r>
    </w:p>
    <w:p w14:paraId="70933B44" w14:textId="77777777" w:rsidR="000F04AF" w:rsidRDefault="006D35A0" w:rsidP="006D35A0">
      <w:r w:rsidRPr="001D57AE">
        <w:t>At the end of the study, the IDMC adjudicated on all personal efficacy assessments, primarily considering the number of infusions adminis</w:t>
      </w:r>
      <w:r>
        <w:t xml:space="preserve">tered for each </w:t>
      </w:r>
      <w:proofErr w:type="gramStart"/>
      <w:r>
        <w:t>BE</w:t>
      </w:r>
      <w:proofErr w:type="gramEnd"/>
      <w:r>
        <w:t xml:space="preserve">. In 6 cases, </w:t>
      </w:r>
      <w:r w:rsidRPr="001D57AE">
        <w:t xml:space="preserve">the IDMC assessment differed from the personal assessment. In </w:t>
      </w:r>
      <w:r>
        <w:t>3</w:t>
      </w:r>
      <w:r w:rsidRPr="001D57AE">
        <w:t xml:space="preserve"> cases in which th</w:t>
      </w:r>
      <w:r>
        <w:t>e personal assessment had been "good", efficacy was judged "moderate"</w:t>
      </w:r>
      <w:r w:rsidRPr="001D57AE">
        <w:t xml:space="preserve">; in </w:t>
      </w:r>
      <w:r>
        <w:t>2</w:t>
      </w:r>
      <w:r w:rsidRPr="001D57AE">
        <w:t xml:space="preserve"> cases in which the personal assessme</w:t>
      </w:r>
      <w:r>
        <w:t>nt had been "good", efficacy was rated "excellent</w:t>
      </w:r>
      <w:r w:rsidRPr="0083673C">
        <w:t>"; and in 1 case where no personal assessment was available, efficacy was rated "excellent" by the IDM</w:t>
      </w:r>
      <w:r w:rsidR="00175302">
        <w:t>C</w:t>
      </w:r>
      <w:r w:rsidRPr="0083673C">
        <w:t>.</w:t>
      </w:r>
    </w:p>
    <w:p w14:paraId="7F8551C8" w14:textId="77777777" w:rsidR="000F04AF" w:rsidRDefault="006D35A0" w:rsidP="00AB2354">
      <w:pPr>
        <w:pStyle w:val="Heading5"/>
      </w:pPr>
      <w:bookmarkStart w:id="103" w:name="_Toc266446472"/>
      <w:r w:rsidRPr="00E9613D">
        <w:t>Efficacy outcomes - surgery</w:t>
      </w:r>
      <w:bookmarkEnd w:id="103"/>
    </w:p>
    <w:p w14:paraId="56F69060" w14:textId="77777777" w:rsidR="000F04AF" w:rsidRDefault="006D35A0" w:rsidP="006D35A0">
      <w:pPr>
        <w:rPr>
          <w:color w:val="000000"/>
        </w:rPr>
      </w:pPr>
      <w:r w:rsidRPr="0083673C">
        <w:t xml:space="preserve">During the study, 6 patients underwent 6 surgical procedures, 5 of which were major. In 1 of the 6 patients, surgery </w:t>
      </w:r>
      <w:r w:rsidRPr="0083673C">
        <w:rPr>
          <w:color w:val="000000"/>
        </w:rPr>
        <w:t>was an emergency total knee replacement following an accident treated with a different</w:t>
      </w:r>
      <w:r w:rsidRPr="0047551E">
        <w:rPr>
          <w:color w:val="000000"/>
        </w:rPr>
        <w:t xml:space="preserve"> FVIII concentrate and therefore not included in the analysis. Consequently, the surgery (SURG) population (treated with simoctocog alfa) included 5 patients (4 major surgeries, 1 minor surgery)</w:t>
      </w:r>
      <w:r>
        <w:rPr>
          <w:color w:val="000000"/>
        </w:rPr>
        <w:t>.</w:t>
      </w:r>
      <w:r w:rsidRPr="00A96261">
        <w:t xml:space="preserve"> </w:t>
      </w:r>
      <w:r w:rsidRPr="001D57AE">
        <w:t xml:space="preserve">The mean duration of surgery was 79.0±63.4 minutes, ranging from 5 to 170 </w:t>
      </w:r>
      <w:proofErr w:type="gramStart"/>
      <w:r w:rsidRPr="001D57AE">
        <w:t>minutes</w:t>
      </w:r>
      <w:r>
        <w:t>.</w:t>
      </w:r>
      <w:proofErr w:type="gramEnd"/>
      <w:r>
        <w:t xml:space="preserve"> </w:t>
      </w:r>
      <w:r w:rsidRPr="001D57AE">
        <w:t xml:space="preserve">The mean expected duration </w:t>
      </w:r>
      <w:proofErr w:type="gramStart"/>
      <w:r w:rsidRPr="001D57AE">
        <w:t>was 62.0±43.1 minutes</w:t>
      </w:r>
      <w:proofErr w:type="gramEnd"/>
      <w:r w:rsidRPr="001D57AE">
        <w:t xml:space="preserve">, with deviations from the respective estimated durations ranging between –55 minutes for a cholecystectomy and liver biopsy and +125 minutes </w:t>
      </w:r>
      <w:r>
        <w:t xml:space="preserve">for a total hip replacement. The 5 surgeries in the 5 patients are summarised below </w:t>
      </w:r>
      <w:r w:rsidRPr="0047551E">
        <w:rPr>
          <w:color w:val="000000"/>
        </w:rPr>
        <w:t xml:space="preserve">in Table </w:t>
      </w:r>
      <w:r>
        <w:rPr>
          <w:color w:val="000000"/>
        </w:rPr>
        <w:t>2</w:t>
      </w:r>
      <w:r w:rsidR="006F09EA">
        <w:rPr>
          <w:color w:val="000000"/>
        </w:rPr>
        <w:t>4</w:t>
      </w:r>
      <w:r w:rsidRPr="0047551E">
        <w:rPr>
          <w:color w:val="000000"/>
        </w:rPr>
        <w:t>.</w:t>
      </w:r>
    </w:p>
    <w:p w14:paraId="56C3C4DE" w14:textId="77777777" w:rsidR="00D30A1B" w:rsidRDefault="006D35A0" w:rsidP="00E9613D">
      <w:pPr>
        <w:pStyle w:val="Tabletitle"/>
      </w:pPr>
      <w:bookmarkStart w:id="104" w:name="_Toc248202543"/>
      <w:r>
        <w:t xml:space="preserve">Table </w:t>
      </w:r>
      <w:r w:rsidR="006F09EA">
        <w:t>24</w:t>
      </w:r>
      <w:r>
        <w:t>: GENA-08 - Surgical procedures; SURG population, 5 surgeries in 5 patients.</w:t>
      </w:r>
      <w:bookmarkEnd w:id="104"/>
    </w:p>
    <w:p w14:paraId="41BED8EA" w14:textId="2F645317" w:rsidR="000F04AF" w:rsidRDefault="00AB2354" w:rsidP="00D30A1B">
      <w:r>
        <w:rPr>
          <w:noProof/>
          <w:lang w:eastAsia="en-AU"/>
        </w:rPr>
        <w:drawing>
          <wp:inline distT="0" distB="0" distL="0" distR="0" wp14:anchorId="1BDC1EA2" wp14:editId="668FF96D">
            <wp:extent cx="4525896" cy="2211075"/>
            <wp:effectExtent l="0" t="0" r="0" b="0"/>
            <wp:docPr id="3" name="Picture 3" descr="Table 24: GENA-08 - Surgical procedures; SURG population, 5 surgeries in 5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b="2801"/>
                    <a:stretch/>
                  </pic:blipFill>
                  <pic:spPr bwMode="auto">
                    <a:xfrm>
                      <a:off x="0" y="0"/>
                      <a:ext cx="4527689" cy="2211951"/>
                    </a:xfrm>
                    <a:prstGeom prst="rect">
                      <a:avLst/>
                    </a:prstGeom>
                    <a:ln>
                      <a:noFill/>
                    </a:ln>
                    <a:extLst>
                      <a:ext uri="{53640926-AAD7-44D8-BBD7-CCE9431645EC}">
                        <a14:shadowObscured xmlns:a14="http://schemas.microsoft.com/office/drawing/2010/main"/>
                      </a:ext>
                    </a:extLst>
                  </pic:spPr>
                </pic:pic>
              </a:graphicData>
            </a:graphic>
          </wp:inline>
        </w:drawing>
      </w:r>
    </w:p>
    <w:p w14:paraId="12E16585" w14:textId="4C0D9FF8" w:rsidR="006D35A0" w:rsidRPr="0094102A" w:rsidRDefault="006D35A0" w:rsidP="00D30A1B">
      <w:pPr>
        <w:pStyle w:val="TableDescription"/>
        <w:rPr>
          <w:rFonts w:cs="Times"/>
          <w:lang w:eastAsia="en-AU"/>
        </w:rPr>
      </w:pPr>
      <w:r w:rsidRPr="0094102A">
        <w:rPr>
          <w:lang w:eastAsia="en-AU"/>
        </w:rPr>
        <w:t>IU</w:t>
      </w:r>
      <w:r w:rsidR="00AB2354">
        <w:rPr>
          <w:lang w:eastAsia="en-AU"/>
        </w:rPr>
        <w:t>=</w:t>
      </w:r>
      <w:r w:rsidRPr="0094102A">
        <w:rPr>
          <w:lang w:eastAsia="en-AU"/>
        </w:rPr>
        <w:t xml:space="preserve">international unit; N/A=no data available; SURG=study population of surgeries treated with </w:t>
      </w:r>
      <w:r>
        <w:rPr>
          <w:lang w:eastAsia="en-AU"/>
        </w:rPr>
        <w:t>simoctocog alfa</w:t>
      </w:r>
    </w:p>
    <w:p w14:paraId="46D17749" w14:textId="77777777" w:rsidR="000F04AF" w:rsidRDefault="006D35A0" w:rsidP="006D35A0">
      <w:r>
        <w:lastRenderedPageBreak/>
        <w:t xml:space="preserve">The minor surgery required 3 infusions over 3 EDs, and </w:t>
      </w:r>
      <w:r w:rsidRPr="0094102A">
        <w:t xml:space="preserve">the </w:t>
      </w:r>
      <w:r>
        <w:t xml:space="preserve">4 </w:t>
      </w:r>
      <w:r w:rsidRPr="0094102A">
        <w:t>major surgeries</w:t>
      </w:r>
      <w:r>
        <w:t xml:space="preserve"> required </w:t>
      </w:r>
      <w:r w:rsidRPr="0094102A">
        <w:t xml:space="preserve">5, 9, 16 and 25 infusions over 3, 5, 8 and 18 EDs, </w:t>
      </w:r>
      <w:r>
        <w:t xml:space="preserve">respectively. </w:t>
      </w:r>
      <w:r w:rsidRPr="0094102A">
        <w:t xml:space="preserve">A loading dose prior to surgery was administered for all surgical procedures; 4 patients </w:t>
      </w:r>
      <w:r>
        <w:t>received</w:t>
      </w:r>
      <w:r w:rsidRPr="0094102A">
        <w:t xml:space="preserve"> 1 infusion, </w:t>
      </w:r>
      <w:r w:rsidRPr="000653C4">
        <w:t>and 1 patient received 2</w:t>
      </w:r>
      <w:r w:rsidRPr="0094102A">
        <w:t xml:space="preserve"> infusions of 4000 and 1000 IU, respectively</w:t>
      </w:r>
      <w:r>
        <w:t xml:space="preserve">. </w:t>
      </w:r>
      <w:r w:rsidRPr="0094102A">
        <w:t>The second infusion of 1000 IU was administered because the local lab</w:t>
      </w:r>
      <w:r>
        <w:t>oratory</w:t>
      </w:r>
      <w:r w:rsidRPr="0094102A">
        <w:t xml:space="preserve"> measured a FVIII plasma concentration of 0.96 IU/mL (96%) after the</w:t>
      </w:r>
      <w:r>
        <w:t xml:space="preserve"> first infusion of 4000 IU and, </w:t>
      </w:r>
      <w:r w:rsidRPr="0094102A">
        <w:t xml:space="preserve">as per local </w:t>
      </w:r>
      <w:proofErr w:type="gramStart"/>
      <w:r w:rsidRPr="0094102A">
        <w:t>policy,</w:t>
      </w:r>
      <w:proofErr w:type="gramEnd"/>
      <w:r w:rsidRPr="0094102A">
        <w:t xml:space="preserve"> the FVIII level was to be at lea</w:t>
      </w:r>
      <w:r>
        <w:t xml:space="preserve">st 1.0 IU/mL (100%) pre-surgery. </w:t>
      </w:r>
      <w:r w:rsidRPr="0094102A">
        <w:t xml:space="preserve">No maintenance doses during surgery were required </w:t>
      </w:r>
      <w:r>
        <w:t xml:space="preserve">for any patient. Simoctocog alfa </w:t>
      </w:r>
      <w:r w:rsidRPr="0094102A">
        <w:t xml:space="preserve">dosage </w:t>
      </w:r>
      <w:r>
        <w:t>administered to the SURG population is summarised below in Table 2</w:t>
      </w:r>
      <w:r w:rsidR="006F09EA">
        <w:t>5</w:t>
      </w:r>
      <w:r>
        <w:t>.</w:t>
      </w:r>
    </w:p>
    <w:p w14:paraId="0348C962" w14:textId="77777777" w:rsidR="000F04AF" w:rsidRDefault="006D35A0" w:rsidP="004E3820">
      <w:pPr>
        <w:pStyle w:val="Tabletitle"/>
      </w:pPr>
      <w:bookmarkStart w:id="105" w:name="_Toc248202544"/>
      <w:proofErr w:type="gramStart"/>
      <w:r>
        <w:t xml:space="preserve">Table </w:t>
      </w:r>
      <w:r w:rsidR="000A1340">
        <w:t>2</w:t>
      </w:r>
      <w:r w:rsidR="006F09EA">
        <w:t>5</w:t>
      </w:r>
      <w:r>
        <w:t>: GENA-08 - Dosages for surgical procedures; SURG population, 5 surgeries in 5 patients.</w:t>
      </w:r>
      <w:bookmarkEnd w:id="105"/>
      <w:proofErr w:type="gramEnd"/>
    </w:p>
    <w:p w14:paraId="52FC4DF1" w14:textId="6CDA06EE" w:rsidR="006D35A0" w:rsidRDefault="006D35A0" w:rsidP="006D35A0">
      <w:pPr>
        <w:spacing w:after="0"/>
      </w:pPr>
      <w:r>
        <w:rPr>
          <w:noProof/>
          <w:lang w:eastAsia="en-AU"/>
        </w:rPr>
        <w:drawing>
          <wp:inline distT="0" distB="0" distL="0" distR="0" wp14:anchorId="3C60BCDD" wp14:editId="663A4432">
            <wp:extent cx="4674870" cy="2388870"/>
            <wp:effectExtent l="0" t="0" r="0" b="0"/>
            <wp:docPr id="51" name="Picture 9" descr="Table 25: GENA-08 - Dosages for surgical procedures; SURG population, 5 surgeries in 5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4870" cy="2388870"/>
                    </a:xfrm>
                    <a:prstGeom prst="rect">
                      <a:avLst/>
                    </a:prstGeom>
                    <a:noFill/>
                    <a:ln>
                      <a:noFill/>
                    </a:ln>
                  </pic:spPr>
                </pic:pic>
              </a:graphicData>
            </a:graphic>
          </wp:inline>
        </w:drawing>
      </w:r>
    </w:p>
    <w:p w14:paraId="3446EDC5" w14:textId="77777777" w:rsidR="006D35A0" w:rsidRDefault="006D35A0" w:rsidP="00D30A1B">
      <w:pPr>
        <w:pStyle w:val="TableDescription"/>
        <w:rPr>
          <w:rFonts w:cs="Times"/>
          <w:lang w:eastAsia="en-AU"/>
        </w:rPr>
      </w:pPr>
      <w:r w:rsidRPr="0094102A">
        <w:rPr>
          <w:lang w:eastAsia="en-AU"/>
        </w:rPr>
        <w:t xml:space="preserve">ED = exposure day; IU = international unit; SD = standard deviation; SURG = study population of surgeries treated with </w:t>
      </w:r>
      <w:r>
        <w:rPr>
          <w:lang w:eastAsia="en-AU"/>
        </w:rPr>
        <w:t>simoctocog alfa</w:t>
      </w:r>
      <w:r w:rsidRPr="0094102A">
        <w:rPr>
          <w:lang w:eastAsia="en-AU"/>
        </w:rPr>
        <w:t>.</w:t>
      </w:r>
    </w:p>
    <w:p w14:paraId="220E227B" w14:textId="77777777" w:rsidR="000F04AF" w:rsidRDefault="006D35A0" w:rsidP="006D35A0">
      <w:pPr>
        <w:widowControl w:val="0"/>
        <w:autoSpaceDE w:val="0"/>
        <w:autoSpaceDN w:val="0"/>
        <w:adjustRightInd w:val="0"/>
        <w:rPr>
          <w:color w:val="000000"/>
        </w:rPr>
      </w:pPr>
      <w:r>
        <w:rPr>
          <w:color w:val="000000"/>
        </w:rPr>
        <w:t>T</w:t>
      </w:r>
      <w:r w:rsidRPr="0094102A">
        <w:rPr>
          <w:color w:val="000000"/>
        </w:rPr>
        <w:t xml:space="preserve">he lowest total dose of </w:t>
      </w:r>
      <w:r>
        <w:rPr>
          <w:color w:val="000000"/>
        </w:rPr>
        <w:t xml:space="preserve">simoctocog alfa </w:t>
      </w:r>
      <w:r w:rsidRPr="0094102A">
        <w:rPr>
          <w:color w:val="000000"/>
        </w:rPr>
        <w:t>was required for the minor surgery, and mean doses per ED were approximately twice as high for</w:t>
      </w:r>
      <w:r>
        <w:rPr>
          <w:color w:val="000000"/>
        </w:rPr>
        <w:t xml:space="preserve"> the</w:t>
      </w:r>
      <w:r w:rsidRPr="0094102A">
        <w:rPr>
          <w:color w:val="000000"/>
        </w:rPr>
        <w:t xml:space="preserve"> major </w:t>
      </w:r>
      <w:r>
        <w:rPr>
          <w:color w:val="000000"/>
        </w:rPr>
        <w:t xml:space="preserve">surgeries </w:t>
      </w:r>
      <w:r w:rsidRPr="0094102A">
        <w:rPr>
          <w:color w:val="000000"/>
        </w:rPr>
        <w:t xml:space="preserve">compared with </w:t>
      </w:r>
      <w:r>
        <w:rPr>
          <w:color w:val="000000"/>
        </w:rPr>
        <w:t xml:space="preserve">the </w:t>
      </w:r>
      <w:r w:rsidRPr="0094102A">
        <w:rPr>
          <w:color w:val="000000"/>
        </w:rPr>
        <w:t xml:space="preserve">minor </w:t>
      </w:r>
      <w:r>
        <w:rPr>
          <w:color w:val="000000"/>
        </w:rPr>
        <w:t xml:space="preserve">surgery (60.6 vs 31.8 IU/kg/ED), while </w:t>
      </w:r>
      <w:r w:rsidRPr="0094102A">
        <w:rPr>
          <w:color w:val="000000"/>
        </w:rPr>
        <w:t xml:space="preserve">doses per kg and infusion were comparable between the </w:t>
      </w:r>
      <w:r>
        <w:rPr>
          <w:color w:val="000000"/>
        </w:rPr>
        <w:t xml:space="preserve">surgery groups. </w:t>
      </w:r>
      <w:r w:rsidRPr="0094102A">
        <w:rPr>
          <w:color w:val="000000"/>
        </w:rPr>
        <w:t xml:space="preserve">For 3 surgeries, average and maximum expected and actual blood loss were reported. For 2 procedures with an expected average blood loss of 20 </w:t>
      </w:r>
      <w:r>
        <w:rPr>
          <w:color w:val="000000"/>
        </w:rPr>
        <w:t xml:space="preserve">mL </w:t>
      </w:r>
      <w:r w:rsidRPr="0094102A">
        <w:rPr>
          <w:color w:val="000000"/>
        </w:rPr>
        <w:t xml:space="preserve">and 500 mL, no </w:t>
      </w:r>
      <w:r>
        <w:rPr>
          <w:color w:val="000000"/>
        </w:rPr>
        <w:t xml:space="preserve">actual blood loss was observed, while for one surgery </w:t>
      </w:r>
      <w:r w:rsidRPr="0094102A">
        <w:rPr>
          <w:color w:val="000000"/>
        </w:rPr>
        <w:t>the actual blood loss was 100 mL, which was 50 mL higher than t</w:t>
      </w:r>
      <w:r>
        <w:rPr>
          <w:color w:val="000000"/>
        </w:rPr>
        <w:t xml:space="preserve">he average expected blood loss </w:t>
      </w:r>
      <w:r w:rsidRPr="0094102A">
        <w:rPr>
          <w:color w:val="000000"/>
        </w:rPr>
        <w:t>but still markedly below the expected maximum blood loss of 600 mL</w:t>
      </w:r>
      <w:r w:rsidR="000F04AF">
        <w:rPr>
          <w:color w:val="000000"/>
        </w:rPr>
        <w:t>.</w:t>
      </w:r>
    </w:p>
    <w:p w14:paraId="7BFCA537" w14:textId="3118DE1F" w:rsidR="006D35A0" w:rsidRPr="00A10774" w:rsidRDefault="006D35A0" w:rsidP="006D35A0">
      <w:r>
        <w:t xml:space="preserve">For 4 surgeries (1 </w:t>
      </w:r>
      <w:r w:rsidRPr="00A10774">
        <w:t>minor and 3 major), efficac</w:t>
      </w:r>
      <w:r>
        <w:t>y was rated as excellent intra-</w:t>
      </w:r>
      <w:r w:rsidRPr="00A10774">
        <w:t>operatively and overall. For one major surgery (</w:t>
      </w:r>
      <w:r w:rsidR="003C6EAB">
        <w:t>[information redacted]</w:t>
      </w:r>
      <w:r>
        <w:t xml:space="preserve">/joint arthroscopy/bilateral ankle) </w:t>
      </w:r>
      <w:r w:rsidRPr="00A10774">
        <w:t>intra-operative efficacy was rated as good and overall efficacy as moderate</w:t>
      </w:r>
      <w:r>
        <w:t xml:space="preserve">. This </w:t>
      </w:r>
      <w:r w:rsidRPr="00A10774">
        <w:t>patient experienced a t</w:t>
      </w:r>
      <w:r>
        <w:t xml:space="preserve">otal of 7 BEs during the study, but </w:t>
      </w:r>
      <w:r w:rsidRPr="00A10774">
        <w:t>all of them were minor nose or oral cavity bleeds that did not require treatment.</w:t>
      </w:r>
    </w:p>
    <w:p w14:paraId="265B1675" w14:textId="77777777" w:rsidR="006D35A0" w:rsidRPr="004E3820" w:rsidRDefault="006D35A0" w:rsidP="00AB2354">
      <w:pPr>
        <w:pStyle w:val="Heading4"/>
      </w:pPr>
      <w:bookmarkStart w:id="106" w:name="_Toc266446473"/>
      <w:r w:rsidRPr="004E3820">
        <w:t>GENA-03 (Phase III study) - children aged 2 to 12 years</w:t>
      </w:r>
      <w:bookmarkEnd w:id="106"/>
    </w:p>
    <w:p w14:paraId="0F795A80" w14:textId="77777777" w:rsidR="006D35A0" w:rsidRPr="004E3820" w:rsidRDefault="006D35A0" w:rsidP="00AB2354">
      <w:pPr>
        <w:pStyle w:val="Heading5"/>
      </w:pPr>
      <w:bookmarkStart w:id="107" w:name="_Toc266446474"/>
      <w:r w:rsidRPr="004E3820">
        <w:t>Study design, objectives, locations, and dates</w:t>
      </w:r>
      <w:bookmarkEnd w:id="107"/>
    </w:p>
    <w:p w14:paraId="3D91ABBA" w14:textId="7F0F2D11" w:rsidR="006D35A0" w:rsidRPr="0047551E" w:rsidRDefault="006D35A0" w:rsidP="006D35A0">
      <w:pPr>
        <w:rPr>
          <w:color w:val="000000"/>
        </w:rPr>
      </w:pPr>
      <w:r w:rsidRPr="0047551E">
        <w:t xml:space="preserve">GENA-03 was designed as </w:t>
      </w:r>
      <w:r>
        <w:t xml:space="preserve">a </w:t>
      </w:r>
      <w:r w:rsidRPr="0047551E">
        <w:rPr>
          <w:color w:val="000000"/>
        </w:rPr>
        <w:t>prospective, non-controlled, open label, multinational, multicentre, Phase III study in previously treated paediatric patients with severe haemophilia A (FVIII:C &lt;1%)</w:t>
      </w:r>
      <w:r>
        <w:rPr>
          <w:color w:val="000000"/>
        </w:rPr>
        <w:t xml:space="preserve"> and </w:t>
      </w:r>
      <w:r w:rsidRPr="0047551E">
        <w:rPr>
          <w:color w:val="000000"/>
        </w:rPr>
        <w:t>at least 50 previous EDs to FVIII concentrates.</w:t>
      </w:r>
      <w:r>
        <w:rPr>
          <w:color w:val="000000"/>
        </w:rPr>
        <w:t xml:space="preserve"> The enrolled patient population (n=59) was aged 2-12 years, and results were assessed in the total population and in two subgroups (29</w:t>
      </w:r>
      <w:r w:rsidRPr="0047551E">
        <w:rPr>
          <w:color w:val="000000"/>
        </w:rPr>
        <w:t xml:space="preserve"> aged </w:t>
      </w:r>
      <w:r>
        <w:rPr>
          <w:color w:val="000000"/>
        </w:rPr>
        <w:t xml:space="preserve">2–5 years; 30 aged 6–12 years). </w:t>
      </w:r>
      <w:r w:rsidRPr="0047551E">
        <w:rPr>
          <w:color w:val="000000"/>
        </w:rPr>
        <w:t xml:space="preserve">The study was designed to enrol 60 patients, </w:t>
      </w:r>
      <w:r w:rsidR="004E3820">
        <w:rPr>
          <w:color w:val="000000"/>
        </w:rPr>
        <w:t>but 59 were actually enrolled.</w:t>
      </w:r>
    </w:p>
    <w:p w14:paraId="36CCC0B6" w14:textId="77777777" w:rsidR="000F04AF" w:rsidRDefault="006D35A0" w:rsidP="006D35A0">
      <w:pPr>
        <w:rPr>
          <w:color w:val="000000"/>
        </w:rPr>
      </w:pPr>
      <w:r w:rsidRPr="0047551E">
        <w:rPr>
          <w:color w:val="000000"/>
        </w:rPr>
        <w:lastRenderedPageBreak/>
        <w:t xml:space="preserve">The study was conducted at 15 sites in 7 countries (UK [2 sites], Czech Republic [1 site], Poland [3 sites], Russia [1 site], Turkey [5 sites], France [2 sites], Romania [1 site]). The study was conducted from 27 December 2010 through to 6 November 2012, and the </w:t>
      </w:r>
      <w:r>
        <w:rPr>
          <w:color w:val="000000"/>
        </w:rPr>
        <w:t xml:space="preserve">final </w:t>
      </w:r>
      <w:r w:rsidRPr="0047551E">
        <w:rPr>
          <w:color w:val="000000"/>
        </w:rPr>
        <w:t xml:space="preserve">CSR was </w:t>
      </w:r>
      <w:r>
        <w:rPr>
          <w:color w:val="000000"/>
        </w:rPr>
        <w:t xml:space="preserve">dated </w:t>
      </w:r>
      <w:r w:rsidRPr="0047551E">
        <w:rPr>
          <w:color w:val="000000"/>
        </w:rPr>
        <w:t>15 February 2013. The principal/co-ordinating investigator was located at the Great Ormond Street Hospital</w:t>
      </w:r>
      <w:r>
        <w:rPr>
          <w:color w:val="000000"/>
        </w:rPr>
        <w:t xml:space="preserve"> for Children, London, England. </w:t>
      </w:r>
      <w:r w:rsidRPr="0047551E">
        <w:rPr>
          <w:color w:val="000000"/>
        </w:rPr>
        <w:t>The study was conducted in accordance with the ethical principles of the Declaration of Helsinki, and ICH-GCP (Note for Guidance CPMP/ICH/135/95), and national regulatory requirements. The study was sponsored by Octapharma, Switzerland.</w:t>
      </w:r>
    </w:p>
    <w:p w14:paraId="5EADA27E" w14:textId="77777777" w:rsidR="000F04AF" w:rsidRDefault="006D35A0" w:rsidP="006D35A0">
      <w:pPr>
        <w:rPr>
          <w:color w:val="000000"/>
        </w:rPr>
      </w:pPr>
      <w:r w:rsidRPr="0047551E">
        <w:rPr>
          <w:color w:val="000000"/>
        </w:rPr>
        <w:t xml:space="preserve">The </w:t>
      </w:r>
      <w:r w:rsidRPr="0047551E">
        <w:rPr>
          <w:b/>
          <w:color w:val="000000"/>
        </w:rPr>
        <w:t xml:space="preserve">primary objective </w:t>
      </w:r>
      <w:r w:rsidRPr="0047551E">
        <w:rPr>
          <w:color w:val="000000"/>
        </w:rPr>
        <w:t xml:space="preserve">was to assess </w:t>
      </w:r>
      <w:r>
        <w:rPr>
          <w:color w:val="000000"/>
        </w:rPr>
        <w:t xml:space="preserve">the </w:t>
      </w:r>
      <w:r w:rsidRPr="0047551E">
        <w:rPr>
          <w:color w:val="000000"/>
        </w:rPr>
        <w:t xml:space="preserve">clinical efficacy of </w:t>
      </w:r>
      <w:r w:rsidRPr="0047551E">
        <w:rPr>
          <w:iCs/>
          <w:color w:val="000000"/>
        </w:rPr>
        <w:t>simoctocog alfa</w:t>
      </w:r>
      <w:r>
        <w:rPr>
          <w:iCs/>
          <w:color w:val="000000"/>
        </w:rPr>
        <w:t xml:space="preserve"> </w:t>
      </w:r>
      <w:r w:rsidRPr="0047551E">
        <w:rPr>
          <w:color w:val="000000"/>
        </w:rPr>
        <w:t>in terms of prevention (prophylactic treatment) and treatment of (breakthrough) BEs in previously treated children suffering from severe haemophilia A (FVIII:C &lt;1%).</w:t>
      </w:r>
    </w:p>
    <w:p w14:paraId="126F41C9" w14:textId="77777777" w:rsidR="000F04AF" w:rsidRDefault="006D35A0" w:rsidP="006D35A0">
      <w:r w:rsidRPr="0047551E">
        <w:t xml:space="preserve">The </w:t>
      </w:r>
      <w:r w:rsidRPr="0047551E">
        <w:rPr>
          <w:b/>
        </w:rPr>
        <w:t>secondary objectives</w:t>
      </w:r>
      <w:r w:rsidRPr="0047551E">
        <w:t xml:space="preserve"> were:</w:t>
      </w:r>
      <w:r>
        <w:t xml:space="preserve"> </w:t>
      </w:r>
      <w:r w:rsidRPr="0047551E">
        <w:t>to determine the PK parameters and incremental recovery of simoctocog alfa</w:t>
      </w:r>
      <w:r>
        <w:t>; t</w:t>
      </w:r>
      <w:r w:rsidRPr="00A87199">
        <w:t xml:space="preserve">o investigate the immunogenic potential of </w:t>
      </w:r>
      <w:r>
        <w:t xml:space="preserve">simoctocog alfa </w:t>
      </w:r>
      <w:r w:rsidRPr="00A87199">
        <w:t xml:space="preserve">by assessing the </w:t>
      </w:r>
      <w:r>
        <w:t>inhibitor titre; t</w:t>
      </w:r>
      <w:r w:rsidRPr="00A87199">
        <w:t xml:space="preserve">o assess clinical efficacy of </w:t>
      </w:r>
      <w:r>
        <w:t xml:space="preserve">simoctocog alfa </w:t>
      </w:r>
      <w:r w:rsidRPr="00A87199">
        <w:t xml:space="preserve">in surgeries; </w:t>
      </w:r>
      <w:r>
        <w:t>and t</w:t>
      </w:r>
      <w:r w:rsidRPr="00A87199">
        <w:t xml:space="preserve">o assess safety of </w:t>
      </w:r>
      <w:r>
        <w:t xml:space="preserve">simoctocog alfa </w:t>
      </w:r>
      <w:r w:rsidRPr="00A87199">
        <w:t>in terms of adverse event (AE) monitoring.</w:t>
      </w:r>
    </w:p>
    <w:p w14:paraId="70DAC52D" w14:textId="77777777" w:rsidR="000F04AF" w:rsidRDefault="006D35A0" w:rsidP="006D35A0">
      <w:pPr>
        <w:rPr>
          <w:color w:val="000000"/>
        </w:rPr>
      </w:pPr>
      <w:r w:rsidRPr="007947D8">
        <w:t xml:space="preserve">The study included </w:t>
      </w:r>
      <w:r>
        <w:t xml:space="preserve">two phases: </w:t>
      </w:r>
      <w:r w:rsidRPr="007947D8">
        <w:rPr>
          <w:b/>
        </w:rPr>
        <w:t>Phase</w:t>
      </w:r>
      <w:r>
        <w:rPr>
          <w:b/>
        </w:rPr>
        <w:t xml:space="preserve"> I (PK) and Phase II (efficacy and incremental recovery</w:t>
      </w:r>
      <w:r w:rsidRPr="007947D8">
        <w:rPr>
          <w:b/>
        </w:rPr>
        <w:t xml:space="preserve">). </w:t>
      </w:r>
      <w:r w:rsidRPr="007947D8">
        <w:t xml:space="preserve">The results for Phase I have been reviewed in the </w:t>
      </w:r>
      <w:r w:rsidRPr="007947D8">
        <w:rPr>
          <w:i/>
        </w:rPr>
        <w:t xml:space="preserve">Pharmacokinetics </w:t>
      </w:r>
      <w:r w:rsidRPr="007947D8">
        <w:t xml:space="preserve">section of this CER. </w:t>
      </w:r>
      <w:r>
        <w:rPr>
          <w:color w:val="000000"/>
        </w:rPr>
        <w:t xml:space="preserve">Twenty-seven (27) patients </w:t>
      </w:r>
      <w:r w:rsidRPr="007947D8">
        <w:rPr>
          <w:color w:val="000000"/>
        </w:rPr>
        <w:t>participated in the PK phase (Phase I) of the study. The 27 patients who compl</w:t>
      </w:r>
      <w:r>
        <w:rPr>
          <w:color w:val="000000"/>
        </w:rPr>
        <w:t xml:space="preserve">eted Phase I plus 32 additional </w:t>
      </w:r>
      <w:r w:rsidRPr="007947D8">
        <w:rPr>
          <w:color w:val="000000"/>
        </w:rPr>
        <w:t xml:space="preserve">patients (16 in each age group) were followed up for a period of at least 6 months and at least 50 EDs (Phase II). During this phase, prophylactic and on-demand treatments (in case of breakthrough bleeds) with </w:t>
      </w:r>
      <w:r>
        <w:rPr>
          <w:iCs/>
          <w:color w:val="000000"/>
        </w:rPr>
        <w:t xml:space="preserve">simoctocog alfa </w:t>
      </w:r>
      <w:r w:rsidRPr="007947D8">
        <w:rPr>
          <w:color w:val="000000"/>
        </w:rPr>
        <w:t>were documented. In patients who underwent surgical interventions, treatment details were documented for the pre-, intra-, and post- operative phase, respectively.</w:t>
      </w:r>
    </w:p>
    <w:p w14:paraId="77B51D0A" w14:textId="77777777" w:rsidR="000F04AF" w:rsidRDefault="006D35A0" w:rsidP="006D35A0">
      <w:pPr>
        <w:rPr>
          <w:color w:val="000000"/>
        </w:rPr>
      </w:pPr>
      <w:r w:rsidRPr="007947D8">
        <w:rPr>
          <w:color w:val="000000"/>
        </w:rPr>
        <w:t xml:space="preserve">During the screening visit, inclusion and exclusion criteria were checked, informed consent was obtained, and demographic </w:t>
      </w:r>
      <w:r>
        <w:rPr>
          <w:color w:val="000000"/>
        </w:rPr>
        <w:t xml:space="preserve">data </w:t>
      </w:r>
      <w:r w:rsidRPr="007947D8">
        <w:rPr>
          <w:color w:val="000000"/>
        </w:rPr>
        <w:t xml:space="preserve">and </w:t>
      </w:r>
      <w:r>
        <w:rPr>
          <w:color w:val="000000"/>
        </w:rPr>
        <w:t xml:space="preserve">baseline </w:t>
      </w:r>
      <w:r w:rsidRPr="007947D8">
        <w:rPr>
          <w:color w:val="000000"/>
        </w:rPr>
        <w:t xml:space="preserve">characteristics </w:t>
      </w:r>
      <w:r>
        <w:rPr>
          <w:color w:val="000000"/>
        </w:rPr>
        <w:t xml:space="preserve">were recorded. </w:t>
      </w:r>
      <w:r w:rsidRPr="007947D8">
        <w:rPr>
          <w:color w:val="000000"/>
        </w:rPr>
        <w:t>For the patients undergoing PK analysis, Cycle 1 was to take place n</w:t>
      </w:r>
      <w:r>
        <w:rPr>
          <w:color w:val="000000"/>
        </w:rPr>
        <w:t>o later than 4 weeks after the s</w:t>
      </w:r>
      <w:r w:rsidRPr="007947D8">
        <w:rPr>
          <w:color w:val="000000"/>
        </w:rPr>
        <w:t>creening visit. For patients not participating in Phase I, incremental recovery assessments undertaken in Phase II were to start n</w:t>
      </w:r>
      <w:r>
        <w:rPr>
          <w:color w:val="000000"/>
        </w:rPr>
        <w:t>o later than 4 weeks after the screening v</w:t>
      </w:r>
      <w:r w:rsidRPr="007947D8">
        <w:rPr>
          <w:color w:val="000000"/>
        </w:rPr>
        <w:t xml:space="preserve">isit. It was intended that all patients were to continue prophylactic treatment (and on-demand treatment in case of breakthrough BEs) with </w:t>
      </w:r>
      <w:r>
        <w:rPr>
          <w:iCs/>
          <w:color w:val="000000"/>
        </w:rPr>
        <w:t xml:space="preserve">simoctocog alfa </w:t>
      </w:r>
      <w:r w:rsidRPr="007947D8">
        <w:rPr>
          <w:color w:val="000000"/>
        </w:rPr>
        <w:t xml:space="preserve">after completion of either Phase I PK assessment or Phase II recovery assessment. Parents/guardians were to receive sufficient quantities of </w:t>
      </w:r>
      <w:r>
        <w:rPr>
          <w:iCs/>
          <w:color w:val="000000"/>
        </w:rPr>
        <w:t xml:space="preserve">simoctocog alfa </w:t>
      </w:r>
      <w:r w:rsidRPr="007947D8">
        <w:rPr>
          <w:color w:val="000000"/>
        </w:rPr>
        <w:t>for home treatment, as well as detailed instructions on how to administer the product</w:t>
      </w:r>
      <w:r>
        <w:rPr>
          <w:color w:val="000000"/>
        </w:rPr>
        <w:t xml:space="preserve"> and record outcomes</w:t>
      </w:r>
      <w:r w:rsidRPr="007947D8">
        <w:rPr>
          <w:color w:val="000000"/>
        </w:rPr>
        <w:t>.</w:t>
      </w:r>
    </w:p>
    <w:p w14:paraId="671FF683" w14:textId="13CB4224" w:rsidR="006D35A0" w:rsidRPr="007947D8" w:rsidRDefault="006D35A0" w:rsidP="006D35A0">
      <w:pPr>
        <w:rPr>
          <w:color w:val="000000"/>
        </w:rPr>
      </w:pPr>
      <w:r w:rsidRPr="007947D8">
        <w:rPr>
          <w:color w:val="000000"/>
        </w:rPr>
        <w:t>Follow-up visits were scheduled after 10 to 15 EDs (Interim Visit 1), at 3 months (±2 weeks), after 50 EDs (Interim Visit 2) and at 6</w:t>
      </w:r>
      <w:r>
        <w:rPr>
          <w:color w:val="000000"/>
        </w:rPr>
        <w:t xml:space="preserve"> months (+2 weeks). </w:t>
      </w:r>
      <w:r w:rsidRPr="007947D8">
        <w:rPr>
          <w:color w:val="000000"/>
        </w:rPr>
        <w:t xml:space="preserve">Interim visits were preceded by a FVIII wash-out of at least 48 hours and 3-month and 6-month visits by a 72-hour wash-out. Additionally, at 3 and 6 months, safety laboratory </w:t>
      </w:r>
      <w:r>
        <w:rPr>
          <w:color w:val="000000"/>
        </w:rPr>
        <w:t>tests</w:t>
      </w:r>
      <w:r w:rsidRPr="007947D8">
        <w:rPr>
          <w:color w:val="000000"/>
        </w:rPr>
        <w:t xml:space="preserve"> </w:t>
      </w:r>
      <w:r>
        <w:rPr>
          <w:color w:val="000000"/>
        </w:rPr>
        <w:t>were</w:t>
      </w:r>
      <w:r w:rsidRPr="007947D8">
        <w:rPr>
          <w:color w:val="000000"/>
        </w:rPr>
        <w:t xml:space="preserve"> performed and vital signs were </w:t>
      </w:r>
      <w:r>
        <w:rPr>
          <w:color w:val="000000"/>
        </w:rPr>
        <w:t>measure</w:t>
      </w:r>
      <w:r w:rsidRPr="007947D8">
        <w:rPr>
          <w:color w:val="000000"/>
        </w:rPr>
        <w:t>d. Patient diaries wer</w:t>
      </w:r>
      <w:r>
        <w:rPr>
          <w:color w:val="000000"/>
        </w:rPr>
        <w:t xml:space="preserve">e reviewed at each study visit. </w:t>
      </w:r>
      <w:r w:rsidRPr="007947D8">
        <w:rPr>
          <w:color w:val="000000"/>
        </w:rPr>
        <w:t xml:space="preserve">The study completion visit at 6 months was also to include a physical examination and </w:t>
      </w:r>
      <w:r>
        <w:rPr>
          <w:color w:val="000000"/>
        </w:rPr>
        <w:t xml:space="preserve">HJHS </w:t>
      </w:r>
      <w:r w:rsidRPr="007947D8">
        <w:rPr>
          <w:color w:val="000000"/>
        </w:rPr>
        <w:t>after the last blood sample had been taken. In addition, monthly compliance checks were to take place either by telephone or by a personal visit on the part of the patient in order to check whether the patient followed the every-other-day or 3-times-weekly treatment regimen and whether the given dose was adequate.</w:t>
      </w:r>
    </w:p>
    <w:p w14:paraId="5040E7D0" w14:textId="77777777" w:rsidR="006D35A0" w:rsidRPr="007947D8" w:rsidRDefault="006D35A0" w:rsidP="006D35A0">
      <w:pPr>
        <w:rPr>
          <w:color w:val="000000"/>
        </w:rPr>
      </w:pPr>
      <w:r w:rsidRPr="007947D8">
        <w:rPr>
          <w:color w:val="000000"/>
        </w:rPr>
        <w:t>In case</w:t>
      </w:r>
      <w:r>
        <w:rPr>
          <w:color w:val="000000"/>
        </w:rPr>
        <w:t>s</w:t>
      </w:r>
      <w:r w:rsidRPr="007947D8">
        <w:rPr>
          <w:color w:val="000000"/>
        </w:rPr>
        <w:t xml:space="preserve"> </w:t>
      </w:r>
      <w:r>
        <w:rPr>
          <w:color w:val="000000"/>
        </w:rPr>
        <w:t xml:space="preserve">where </w:t>
      </w:r>
      <w:r w:rsidRPr="007947D8">
        <w:rPr>
          <w:color w:val="000000"/>
        </w:rPr>
        <w:t>inhi</w:t>
      </w:r>
      <w:r>
        <w:rPr>
          <w:color w:val="000000"/>
        </w:rPr>
        <w:t xml:space="preserve">bitor development was suspected </w:t>
      </w:r>
      <w:r w:rsidRPr="007947D8">
        <w:rPr>
          <w:color w:val="000000"/>
        </w:rPr>
        <w:t xml:space="preserve">additional FVIII inhibitor and anti-rhFVIII antibody tests were to be performed. Other reasons for unscheduled visits </w:t>
      </w:r>
      <w:r>
        <w:rPr>
          <w:color w:val="000000"/>
        </w:rPr>
        <w:t>included</w:t>
      </w:r>
      <w:r w:rsidRPr="007947D8">
        <w:rPr>
          <w:color w:val="000000"/>
        </w:rPr>
        <w:t xml:space="preserve"> the occurrence of serious adverse events (SAEs) or hospitalisations because of severe BEs or surgical intervention</w:t>
      </w:r>
      <w:r>
        <w:rPr>
          <w:color w:val="000000"/>
        </w:rPr>
        <w:t>s</w:t>
      </w:r>
      <w:r w:rsidRPr="007947D8">
        <w:rPr>
          <w:color w:val="000000"/>
        </w:rPr>
        <w:t xml:space="preserve">. AEs and use of concomitant medication were documented throughout the study. </w:t>
      </w:r>
      <w:r>
        <w:rPr>
          <w:color w:val="000000"/>
        </w:rPr>
        <w:t xml:space="preserve">Patient </w:t>
      </w:r>
      <w:r w:rsidRPr="007947D8">
        <w:rPr>
          <w:color w:val="000000"/>
        </w:rPr>
        <w:t>diaries, including any BEs, treatment of BEs, concomitant medications and AEs, were reviewed and data transferred to the CRF.</w:t>
      </w:r>
    </w:p>
    <w:p w14:paraId="650A09CD" w14:textId="77777777" w:rsidR="006D35A0" w:rsidRPr="00DD051A" w:rsidRDefault="006D35A0" w:rsidP="00AB2354">
      <w:pPr>
        <w:pStyle w:val="Heading5"/>
      </w:pPr>
      <w:bookmarkStart w:id="108" w:name="_Toc266446475"/>
      <w:r w:rsidRPr="00DD051A">
        <w:lastRenderedPageBreak/>
        <w:t>Inclusion and exclusion criteria</w:t>
      </w:r>
      <w:bookmarkEnd w:id="108"/>
    </w:p>
    <w:p w14:paraId="4D26E53F" w14:textId="77777777" w:rsidR="006D35A0" w:rsidRPr="007947D8" w:rsidRDefault="006D35A0" w:rsidP="006D35A0">
      <w:r w:rsidRPr="007947D8">
        <w:t xml:space="preserve">The </w:t>
      </w:r>
      <w:r w:rsidRPr="007947D8">
        <w:rPr>
          <w:b/>
        </w:rPr>
        <w:t>inclusion criteria</w:t>
      </w:r>
      <w:r w:rsidRPr="007947D8">
        <w:t xml:space="preserve"> were:</w:t>
      </w:r>
    </w:p>
    <w:p w14:paraId="6E26DD0E" w14:textId="77777777" w:rsidR="000F04AF" w:rsidRDefault="006D35A0" w:rsidP="00DD051A">
      <w:pPr>
        <w:pStyle w:val="Numberbullet0"/>
        <w:numPr>
          <w:ilvl w:val="0"/>
          <w:numId w:val="43"/>
        </w:numPr>
      </w:pPr>
      <w:r w:rsidRPr="007947D8">
        <w:t>Sev</w:t>
      </w:r>
      <w:r>
        <w:t>ere haemophilia A (FVIII</w:t>
      </w:r>
      <w:proofErr w:type="gramStart"/>
      <w:r>
        <w:t>:C</w:t>
      </w:r>
      <w:proofErr w:type="gramEnd"/>
      <w:r>
        <w:t xml:space="preserve"> &lt;1%).</w:t>
      </w:r>
    </w:p>
    <w:p w14:paraId="3E583E3C" w14:textId="77777777" w:rsidR="000F04AF" w:rsidRDefault="006D35A0" w:rsidP="00DD051A">
      <w:pPr>
        <w:pStyle w:val="Numberbullet0"/>
        <w:numPr>
          <w:ilvl w:val="0"/>
          <w:numId w:val="43"/>
        </w:numPr>
      </w:pPr>
      <w:r>
        <w:t>Age ≥2 and 12 years.</w:t>
      </w:r>
    </w:p>
    <w:p w14:paraId="4C8835E0" w14:textId="63FB64D5" w:rsidR="006D35A0" w:rsidRPr="007947D8" w:rsidRDefault="006D35A0" w:rsidP="00DD051A">
      <w:pPr>
        <w:pStyle w:val="Numberbullet0"/>
        <w:numPr>
          <w:ilvl w:val="0"/>
          <w:numId w:val="43"/>
        </w:numPr>
      </w:pPr>
      <w:r w:rsidRPr="007947D8">
        <w:t>Previously treated with FVIII concentrate, at least 50 EDs;</w:t>
      </w:r>
    </w:p>
    <w:p w14:paraId="2087C1A5" w14:textId="77777777" w:rsidR="006D35A0" w:rsidRPr="007947D8" w:rsidRDefault="006D35A0" w:rsidP="00DD051A">
      <w:pPr>
        <w:pStyle w:val="Numberbullet0"/>
        <w:numPr>
          <w:ilvl w:val="0"/>
          <w:numId w:val="43"/>
        </w:numPr>
      </w:pPr>
      <w:r w:rsidRPr="007947D8">
        <w:t>Immunocompetence (CD4+ count &gt;200/μL);</w:t>
      </w:r>
    </w:p>
    <w:p w14:paraId="131CA6AB" w14:textId="77777777" w:rsidR="006D35A0" w:rsidRPr="007947D8" w:rsidRDefault="006D35A0" w:rsidP="00DD051A">
      <w:pPr>
        <w:pStyle w:val="Numberbullet0"/>
        <w:numPr>
          <w:ilvl w:val="0"/>
          <w:numId w:val="43"/>
        </w:numPr>
      </w:pPr>
      <w:r w:rsidRPr="007947D8">
        <w:t>Hum</w:t>
      </w:r>
      <w:r>
        <w:t xml:space="preserve">an immunodeficiency virus (HIV) </w:t>
      </w:r>
      <w:r w:rsidRPr="007947D8">
        <w:t xml:space="preserve">negative or </w:t>
      </w:r>
      <w:r>
        <w:t xml:space="preserve">if positive, </w:t>
      </w:r>
      <w:r w:rsidRPr="007947D8">
        <w:t>respective viral load &lt;200 par</w:t>
      </w:r>
      <w:r>
        <w:t>ticles/μL or &lt;400,000 copies/mL.</w:t>
      </w:r>
    </w:p>
    <w:p w14:paraId="4D32ABC9" w14:textId="77777777" w:rsidR="006D35A0" w:rsidRDefault="006D35A0" w:rsidP="00DD051A">
      <w:pPr>
        <w:pStyle w:val="Numberbullet0"/>
        <w:numPr>
          <w:ilvl w:val="0"/>
          <w:numId w:val="43"/>
        </w:numPr>
      </w:pPr>
      <w:r w:rsidRPr="007947D8">
        <w:t>Freely given written informed consent by parents or legal guardian and by patients (depending on their developmental stage and intellectual capacity).</w:t>
      </w:r>
    </w:p>
    <w:p w14:paraId="084707D5" w14:textId="77777777" w:rsidR="000F04AF" w:rsidRDefault="006D35A0" w:rsidP="006D35A0">
      <w:r w:rsidRPr="007947D8">
        <w:t xml:space="preserve">The exclusion criteria were consistent with those for GENA-01 and GENA-08. The study also included standard criteria for withdrawal </w:t>
      </w:r>
      <w:r>
        <w:t>from</w:t>
      </w:r>
      <w:r w:rsidRPr="007947D8">
        <w:t xml:space="preserve"> </w:t>
      </w:r>
      <w:r>
        <w:t>the study.</w:t>
      </w:r>
    </w:p>
    <w:p w14:paraId="45C605B3" w14:textId="77777777" w:rsidR="000F04AF" w:rsidRDefault="006D35A0" w:rsidP="00AB2354">
      <w:pPr>
        <w:pStyle w:val="Heading5"/>
      </w:pPr>
      <w:bookmarkStart w:id="109" w:name="_Toc266446476"/>
      <w:r w:rsidRPr="00B45B47">
        <w:t>Treatments</w:t>
      </w:r>
      <w:bookmarkEnd w:id="109"/>
    </w:p>
    <w:p w14:paraId="130DCB05" w14:textId="77777777" w:rsidR="000F04AF" w:rsidRDefault="006D35A0" w:rsidP="00B45B47">
      <w:pPr>
        <w:pStyle w:val="ListBullet"/>
        <w:rPr>
          <w:b/>
        </w:rPr>
      </w:pPr>
      <w:r w:rsidRPr="00B45B47">
        <w:rPr>
          <w:b/>
        </w:rPr>
        <w:t>Prophylactic treatment</w:t>
      </w:r>
    </w:p>
    <w:p w14:paraId="087550C6" w14:textId="77777777" w:rsidR="000F04AF" w:rsidRDefault="006D35A0" w:rsidP="006D35A0">
      <w:pPr>
        <w:rPr>
          <w:color w:val="000000"/>
        </w:rPr>
      </w:pPr>
      <w:r w:rsidRPr="0073379C">
        <w:t xml:space="preserve">For prophylactic treatment in Phase II, 30–40 IU FVIII/kg BW of </w:t>
      </w:r>
      <w:r>
        <w:t xml:space="preserve">simoctocog alfa </w:t>
      </w:r>
      <w:r w:rsidRPr="0073379C">
        <w:t>were ad</w:t>
      </w:r>
      <w:r>
        <w:t>ministered every other day or 3-times-</w:t>
      </w:r>
      <w:r w:rsidRPr="0073379C">
        <w:t xml:space="preserve">weekly for a period of at least 6 months and at least 50 EDs. </w:t>
      </w:r>
      <w:r>
        <w:t xml:space="preserve">The protocol initially specified every-other-day dosing, but this was subsequently amended to allow 3-times-weekly dosing when it was realised that patients were reluctant to enter the study because of the requirement for every other day dosing. </w:t>
      </w:r>
      <w:r w:rsidRPr="0073379C">
        <w:t xml:space="preserve">Two dose escalations of +5 IU/kg BW </w:t>
      </w:r>
      <w:r>
        <w:t xml:space="preserve">each </w:t>
      </w:r>
      <w:r w:rsidRPr="0073379C">
        <w:t xml:space="preserve">were allowed in </w:t>
      </w:r>
      <w:r>
        <w:t xml:space="preserve">case of an inadequate response defined as </w:t>
      </w:r>
      <w:r w:rsidRPr="0073379C">
        <w:t>≥2 s</w:t>
      </w:r>
      <w:r>
        <w:t>pontaneous BEs within one month</w:t>
      </w:r>
      <w:r w:rsidRPr="0073379C">
        <w:t xml:space="preserve">. </w:t>
      </w:r>
      <w:r w:rsidRPr="0073379C">
        <w:rPr>
          <w:color w:val="000000"/>
        </w:rPr>
        <w:t>Any BE that occurred during the prophylactic treatment period was treated in accordance with the on-demand treatment guideline</w:t>
      </w:r>
      <w:r>
        <w:rPr>
          <w:color w:val="000000"/>
        </w:rPr>
        <w:t>.</w:t>
      </w:r>
    </w:p>
    <w:p w14:paraId="350B8BD7" w14:textId="77777777" w:rsidR="000F04AF" w:rsidRDefault="006D35A0" w:rsidP="00B45B47">
      <w:pPr>
        <w:pStyle w:val="ListBullet"/>
        <w:rPr>
          <w:b/>
        </w:rPr>
      </w:pPr>
      <w:r w:rsidRPr="00B45B47">
        <w:rPr>
          <w:b/>
        </w:rPr>
        <w:t>On-demand treatment</w:t>
      </w:r>
    </w:p>
    <w:p w14:paraId="0AE80F8C" w14:textId="77777777" w:rsidR="000F04AF" w:rsidRDefault="006D35A0" w:rsidP="006D35A0">
      <w:r w:rsidRPr="0073379C">
        <w:t>The on-demand treatment regimen for breakthrough BEs was the same as that used for on-demand treatment of BEs in GENA-01 and on-demand treatment for breakthrough BEs in GENA-08.</w:t>
      </w:r>
    </w:p>
    <w:p w14:paraId="0BEF00B8" w14:textId="77777777" w:rsidR="000F04AF" w:rsidRDefault="006D35A0" w:rsidP="00B45B47">
      <w:pPr>
        <w:pStyle w:val="ListBullet"/>
        <w:rPr>
          <w:b/>
        </w:rPr>
      </w:pPr>
      <w:r w:rsidRPr="00B45B47">
        <w:rPr>
          <w:b/>
        </w:rPr>
        <w:t>Surgical prophylaxis</w:t>
      </w:r>
    </w:p>
    <w:p w14:paraId="430DBD3F" w14:textId="77777777" w:rsidR="000F04AF" w:rsidRDefault="006D35A0" w:rsidP="006D35A0">
      <w:r w:rsidRPr="0073379C">
        <w:t xml:space="preserve">The </w:t>
      </w:r>
      <w:r>
        <w:t xml:space="preserve">surgical prophylaxis </w:t>
      </w:r>
      <w:r w:rsidRPr="0073379C">
        <w:t xml:space="preserve">regimen was the same as </w:t>
      </w:r>
      <w:r>
        <w:t xml:space="preserve">that </w:t>
      </w:r>
      <w:r w:rsidRPr="0073379C">
        <w:t>used in GENA-01 and GENA-08.</w:t>
      </w:r>
    </w:p>
    <w:p w14:paraId="31E1B51D" w14:textId="6AFB3ADA" w:rsidR="006D35A0" w:rsidRPr="00B45B47" w:rsidRDefault="006D35A0" w:rsidP="00B45B47">
      <w:pPr>
        <w:pStyle w:val="ListBullet"/>
        <w:rPr>
          <w:b/>
        </w:rPr>
      </w:pPr>
      <w:r w:rsidRPr="00B45B47">
        <w:rPr>
          <w:b/>
        </w:rPr>
        <w:t>Prior and concomitant treatment</w:t>
      </w:r>
    </w:p>
    <w:p w14:paraId="3AEDF64C" w14:textId="77777777" w:rsidR="006D35A0" w:rsidRPr="0073379C" w:rsidRDefault="006D35A0" w:rsidP="006D35A0">
      <w:r>
        <w:t>The procedures to be followed for prior and concomitant treatments were identical to those for GENA-01 and GENA-08.</w:t>
      </w:r>
    </w:p>
    <w:p w14:paraId="11029C0D" w14:textId="77777777" w:rsidR="000F04AF" w:rsidRDefault="006D35A0" w:rsidP="00EC4518">
      <w:pPr>
        <w:pStyle w:val="Heading5"/>
      </w:pPr>
      <w:bookmarkStart w:id="110" w:name="_Toc266446477"/>
      <w:r w:rsidRPr="00B45B47">
        <w:t>Efficacy variables and outcomes</w:t>
      </w:r>
      <w:bookmarkEnd w:id="110"/>
    </w:p>
    <w:p w14:paraId="08B0A4FD" w14:textId="01220410" w:rsidR="006D35A0" w:rsidRPr="00B45B47" w:rsidRDefault="006D35A0" w:rsidP="00EC4518">
      <w:pPr>
        <w:pStyle w:val="Heading6"/>
      </w:pPr>
      <w:r w:rsidRPr="00B45B47">
        <w:t>Prophylactic treatment</w:t>
      </w:r>
    </w:p>
    <w:p w14:paraId="4B8AA5F0" w14:textId="77777777" w:rsidR="000F04AF" w:rsidRDefault="006D35A0" w:rsidP="006D35A0">
      <w:r>
        <w:t>The parameters to be documented and the efficacy criteria for assessment of prophylactic treatment were identical to those used in GENA-08.</w:t>
      </w:r>
    </w:p>
    <w:p w14:paraId="18046F77" w14:textId="2C296815" w:rsidR="006D35A0" w:rsidRDefault="006D35A0" w:rsidP="006D35A0">
      <w:r w:rsidRPr="003C7AC1">
        <w:t>The time period</w:t>
      </w:r>
      <w:r>
        <w:t>s</w:t>
      </w:r>
      <w:r w:rsidRPr="003C7AC1">
        <w:t xml:space="preserve"> for p</w:t>
      </w:r>
      <w:r>
        <w:t>rophylactic treatment were: t</w:t>
      </w:r>
      <w:r w:rsidRPr="003C7AC1">
        <w:t xml:space="preserve">he time between first prophylactic treatment with </w:t>
      </w:r>
      <w:r>
        <w:t xml:space="preserve">simoctocog alfa </w:t>
      </w:r>
      <w:r w:rsidRPr="003C7AC1">
        <w:t>until th</w:t>
      </w:r>
      <w:r>
        <w:t>e administration of the 50th ED; and t</w:t>
      </w:r>
      <w:r w:rsidRPr="003C7AC1">
        <w:t xml:space="preserve">he time between first prophylactic treatment with </w:t>
      </w:r>
      <w:r>
        <w:t xml:space="preserve">simoctocog alfa </w:t>
      </w:r>
      <w:r w:rsidRPr="003C7AC1">
        <w:t>until the administration of the last prophylactic treatment + 2 days or study completion, whichever came first</w:t>
      </w:r>
      <w:r>
        <w:t>.</w:t>
      </w:r>
    </w:p>
    <w:p w14:paraId="7D34F661" w14:textId="77777777" w:rsidR="006D35A0" w:rsidRPr="003C7AC1" w:rsidRDefault="006D35A0" w:rsidP="006D35A0">
      <w:r w:rsidRPr="003C7AC1">
        <w:t>The number of BEs counted for prophylactic treatmen</w:t>
      </w:r>
      <w:r>
        <w:t>t efficacy assessment comprised all</w:t>
      </w:r>
      <w:r w:rsidRPr="003C7AC1">
        <w:t xml:space="preserve"> spontaneous BEs starting during the time periods for prophylactic treatment defined above. BEs categorised as traumatic, post-operative or “other” </w:t>
      </w:r>
      <w:proofErr w:type="gramStart"/>
      <w:r w:rsidRPr="003C7AC1">
        <w:t>were</w:t>
      </w:r>
      <w:proofErr w:type="gramEnd"/>
      <w:r w:rsidRPr="003C7AC1">
        <w:t xml:space="preserve"> not included in the primary prophylactic treatment assessment.</w:t>
      </w:r>
    </w:p>
    <w:p w14:paraId="73DCD262" w14:textId="77777777" w:rsidR="006D35A0" w:rsidRPr="00B45B47" w:rsidRDefault="006D35A0" w:rsidP="00EC4518">
      <w:pPr>
        <w:pStyle w:val="Heading6"/>
      </w:pPr>
      <w:r w:rsidRPr="00B45B47">
        <w:lastRenderedPageBreak/>
        <w:t>Bleeding episodes</w:t>
      </w:r>
    </w:p>
    <w:p w14:paraId="797FF036" w14:textId="77777777" w:rsidR="006D35A0" w:rsidRPr="008B5516" w:rsidRDefault="006D35A0" w:rsidP="006D35A0">
      <w:pPr>
        <w:rPr>
          <w:color w:val="000000"/>
        </w:rPr>
      </w:pPr>
      <w:r w:rsidRPr="008B5516">
        <w:t xml:space="preserve">The parameters to be documented and the efficacy for assessment of BEs were </w:t>
      </w:r>
      <w:r w:rsidR="00B45B47" w:rsidRPr="008B5516">
        <w:t>identical to</w:t>
      </w:r>
      <w:r w:rsidRPr="008B5516">
        <w:t xml:space="preserve"> those used in GENA-01 and GENA-08</w:t>
      </w:r>
      <w:r w:rsidRPr="008B5516">
        <w:rPr>
          <w:color w:val="000000"/>
        </w:rPr>
        <w:t>. All parameters relating to BEs were documented by the parent/guardian (together with the investigator in case of on-site treatments) in the patient diary. Patients who experienced a major or life-threatening BE should preferably have been treated at the study site. The efficacy assessment was made at the end of a BE. After the end of a BE, patients were to return to their regular prophylactic treatment regimen.</w:t>
      </w:r>
    </w:p>
    <w:p w14:paraId="3C2F3623" w14:textId="77777777" w:rsidR="006D35A0" w:rsidRPr="00614C2F" w:rsidRDefault="006D35A0" w:rsidP="00EC4518">
      <w:pPr>
        <w:pStyle w:val="Heading6"/>
      </w:pPr>
      <w:r w:rsidRPr="00614C2F">
        <w:t>Surgical prophylaxis</w:t>
      </w:r>
    </w:p>
    <w:p w14:paraId="0180A810"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8B5516">
        <w:t>The procedures to be followed for surgical prophylaxis were consistent with those used in GENA-01 and GEN</w:t>
      </w:r>
      <w:r w:rsidR="000B3997">
        <w:t>A</w:t>
      </w:r>
      <w:r w:rsidRPr="008B5516">
        <w:t xml:space="preserve">-08 as were all relevant </w:t>
      </w:r>
      <w:r>
        <w:t xml:space="preserve">efficacy </w:t>
      </w:r>
      <w:r w:rsidRPr="008B5516">
        <w:t>definitions. T</w:t>
      </w:r>
      <w:r w:rsidRPr="008B5516">
        <w:rPr>
          <w:color w:val="000000"/>
        </w:rPr>
        <w:t>he conclusion of the post-operative phase of a major surgery was defined as the date of discharge, or at least post-operative d</w:t>
      </w:r>
      <w:r>
        <w:rPr>
          <w:color w:val="000000"/>
        </w:rPr>
        <w:t xml:space="preserve">ay 6, whichever occurred later. The </w:t>
      </w:r>
      <w:r w:rsidRPr="008B5516">
        <w:rPr>
          <w:color w:val="000000"/>
        </w:rPr>
        <w:t xml:space="preserve">regular </w:t>
      </w:r>
      <w:r>
        <w:rPr>
          <w:color w:val="000000"/>
        </w:rPr>
        <w:t xml:space="preserve">simoctocog alfa </w:t>
      </w:r>
      <w:r w:rsidRPr="008B5516">
        <w:rPr>
          <w:color w:val="000000"/>
        </w:rPr>
        <w:t xml:space="preserve">prophylactic treatment </w:t>
      </w:r>
      <w:r>
        <w:rPr>
          <w:color w:val="000000"/>
        </w:rPr>
        <w:t>regimen was to resume at the end of surgical prophylactic treatment.</w:t>
      </w:r>
    </w:p>
    <w:p w14:paraId="05C13C6F" w14:textId="210CC224" w:rsidR="006D35A0" w:rsidRPr="00614C2F" w:rsidRDefault="006D35A0" w:rsidP="00614C2F">
      <w:pPr>
        <w:pStyle w:val="Heading5"/>
      </w:pPr>
      <w:r w:rsidRPr="00614C2F">
        <w:t>Randomisation and blinding</w:t>
      </w:r>
    </w:p>
    <w:p w14:paraId="2EDD2AFD" w14:textId="77777777" w:rsidR="000F04AF" w:rsidRDefault="006D35A0" w:rsidP="006D3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Not applicable to Phase II (efficacy) as treatment was open-label and single-arm.</w:t>
      </w:r>
    </w:p>
    <w:p w14:paraId="431EF401" w14:textId="3FBC1E24" w:rsidR="006D35A0" w:rsidRPr="00614C2F" w:rsidRDefault="006D35A0" w:rsidP="00EC4518">
      <w:pPr>
        <w:pStyle w:val="Heading5"/>
      </w:pPr>
      <w:bookmarkStart w:id="111" w:name="_Toc266446478"/>
      <w:r w:rsidRPr="00614C2F">
        <w:t>Analysis populations</w:t>
      </w:r>
      <w:bookmarkEnd w:id="111"/>
    </w:p>
    <w:p w14:paraId="1583A7A7" w14:textId="77777777" w:rsidR="006D35A0" w:rsidRPr="006024C9" w:rsidRDefault="006D35A0" w:rsidP="006D35A0">
      <w:r w:rsidRPr="006024C9">
        <w:t xml:space="preserve">All populations for analysis of efficacy and safety were either identical to or consistent with those in GENA-08. </w:t>
      </w:r>
      <w:r w:rsidRPr="006024C9">
        <w:rPr>
          <w:color w:val="000000"/>
        </w:rPr>
        <w:t xml:space="preserve">The PROPH population </w:t>
      </w:r>
      <w:r>
        <w:rPr>
          <w:color w:val="000000"/>
        </w:rPr>
        <w:t xml:space="preserve">was </w:t>
      </w:r>
      <w:r w:rsidRPr="006024C9">
        <w:rPr>
          <w:color w:val="000000"/>
        </w:rPr>
        <w:t>considered to be the most relevant for analysis of efficacy data on pr</w:t>
      </w:r>
      <w:r>
        <w:rPr>
          <w:color w:val="000000"/>
        </w:rPr>
        <w:t xml:space="preserve">ophylaxis, </w:t>
      </w:r>
      <w:r w:rsidRPr="006024C9">
        <w:rPr>
          <w:color w:val="000000"/>
        </w:rPr>
        <w:t xml:space="preserve">the BLEED population </w:t>
      </w:r>
      <w:r>
        <w:rPr>
          <w:color w:val="000000"/>
        </w:rPr>
        <w:t>was</w:t>
      </w:r>
      <w:r w:rsidRPr="006024C9">
        <w:rPr>
          <w:color w:val="000000"/>
        </w:rPr>
        <w:t xml:space="preserve"> considered to be the most relevant for analysis of efficacy data on bleedings and the SURG population </w:t>
      </w:r>
      <w:r>
        <w:rPr>
          <w:color w:val="000000"/>
        </w:rPr>
        <w:t>was</w:t>
      </w:r>
      <w:r w:rsidRPr="006024C9">
        <w:rPr>
          <w:color w:val="000000"/>
        </w:rPr>
        <w:t xml:space="preserve"> considered to be the most relevant for analysis of efficacy data on surgeries. To evaluate the robustness of the stu</w:t>
      </w:r>
      <w:r>
        <w:rPr>
          <w:color w:val="000000"/>
        </w:rPr>
        <w:t xml:space="preserve">dy results </w:t>
      </w:r>
      <w:r w:rsidRPr="006024C9">
        <w:rPr>
          <w:color w:val="000000"/>
        </w:rPr>
        <w:t xml:space="preserve">efficacy analyses were also </w:t>
      </w:r>
      <w:r>
        <w:rPr>
          <w:color w:val="000000"/>
        </w:rPr>
        <w:t xml:space="preserve">undertaken in </w:t>
      </w:r>
      <w:r w:rsidRPr="006024C9">
        <w:rPr>
          <w:color w:val="000000"/>
        </w:rPr>
        <w:t>the PP population. The PK-PP population was the primary analysis population for the PK data (Phase I).</w:t>
      </w:r>
    </w:p>
    <w:p w14:paraId="76C36A9C" w14:textId="77777777" w:rsidR="006D35A0" w:rsidRPr="004223D4" w:rsidRDefault="006D35A0" w:rsidP="00EC4518">
      <w:pPr>
        <w:pStyle w:val="Heading5"/>
      </w:pPr>
      <w:bookmarkStart w:id="112" w:name="_Toc266446479"/>
      <w:r w:rsidRPr="004223D4">
        <w:t>Sample size</w:t>
      </w:r>
      <w:bookmarkEnd w:id="112"/>
    </w:p>
    <w:p w14:paraId="6E0C55BD" w14:textId="77777777" w:rsidR="000F04AF" w:rsidRDefault="006D35A0" w:rsidP="006D35A0">
      <w:r>
        <w:t>No formal sample size calculation was undertaken. The</w:t>
      </w:r>
      <w:r w:rsidRPr="00E77679">
        <w:t xml:space="preserve"> sample size was chosen to satisfy current CHMP recommendations.</w:t>
      </w:r>
    </w:p>
    <w:p w14:paraId="2119661E" w14:textId="77777777" w:rsidR="000F04AF" w:rsidRDefault="006D35A0" w:rsidP="00EC4518">
      <w:pPr>
        <w:ind w:left="1134" w:hanging="1134"/>
        <w:rPr>
          <w:rFonts w:asciiTheme="minorHAnsi" w:hAnsiTheme="minorHAnsi"/>
          <w:color w:val="000000"/>
        </w:rPr>
      </w:pPr>
      <w:r w:rsidRPr="00EC4518">
        <w:rPr>
          <w:rFonts w:asciiTheme="minorHAnsi" w:hAnsiTheme="minorHAnsi"/>
          <w:color w:val="000000"/>
        </w:rPr>
        <w:t>Comment:</w:t>
      </w:r>
      <w:r w:rsidRPr="00EC4518">
        <w:rPr>
          <w:rFonts w:asciiTheme="minorHAnsi" w:hAnsiTheme="minorHAnsi"/>
          <w:color w:val="000000"/>
        </w:rPr>
        <w:tab/>
        <w:t xml:space="preserve">According to the updated CHMP Guideline on the Clinical Investigation of new FVIII products, a study in children is to be performed in at least 50 patients suffering from severe haemophilia A. Of those 50, at least 25 should be aged between 2 and 5 and at least 25 aged between 6 and 12 years. Therefore, the study planned to include a total of 60 patients (30 aged 2–5 years and 30 aged 6–12 years) in order to meet the CHMP requirements while compensating for discontinuations. The investigation of the PK properties of </w:t>
      </w:r>
      <w:r w:rsidRPr="00EC4518">
        <w:rPr>
          <w:rFonts w:asciiTheme="minorHAnsi" w:hAnsiTheme="minorHAnsi"/>
          <w:iCs/>
          <w:color w:val="000000"/>
        </w:rPr>
        <w:t>simoctocog alfa</w:t>
      </w:r>
      <w:r w:rsidRPr="00EC4518">
        <w:rPr>
          <w:rFonts w:asciiTheme="minorHAnsi" w:hAnsiTheme="minorHAnsi"/>
          <w:i/>
          <w:iCs/>
          <w:color w:val="000000"/>
        </w:rPr>
        <w:t xml:space="preserve"> </w:t>
      </w:r>
      <w:r w:rsidRPr="00EC4518">
        <w:rPr>
          <w:rFonts w:asciiTheme="minorHAnsi" w:hAnsiTheme="minorHAnsi"/>
          <w:color w:val="000000"/>
        </w:rPr>
        <w:t>and the previously used FVIII concentrate in up to 13 patients (12 evaluable) of each age cohort was part of the study and is consistent with the updated CHMP recommendations. The number of children included in this study is also consistent with the TGA adopted CHMP Guideline on the Clinical Investigation of new rFVIII products which specifies that at least 20 children under that age of 6 regardless of prior treatment should be included in an open multicentre trial. The adopted guideline also states that the mandatory study in children "may be submitted after a marketing authorisation is granted"</w:t>
      </w:r>
      <w:r w:rsidR="000F04AF">
        <w:rPr>
          <w:rFonts w:asciiTheme="minorHAnsi" w:hAnsiTheme="minorHAnsi"/>
          <w:color w:val="000000"/>
        </w:rPr>
        <w:t>.</w:t>
      </w:r>
    </w:p>
    <w:p w14:paraId="5947DBFF" w14:textId="134D8CA6" w:rsidR="006D35A0" w:rsidRPr="001711E6" w:rsidRDefault="006D35A0" w:rsidP="00EC4518">
      <w:pPr>
        <w:pStyle w:val="Heading5"/>
      </w:pPr>
      <w:bookmarkStart w:id="113" w:name="_Toc266446480"/>
      <w:r w:rsidRPr="001711E6">
        <w:t>Statistical methods</w:t>
      </w:r>
      <w:bookmarkEnd w:id="113"/>
    </w:p>
    <w:p w14:paraId="07C3167D" w14:textId="77777777" w:rsidR="000F04AF" w:rsidRDefault="006D35A0" w:rsidP="006D35A0">
      <w:r w:rsidRPr="00AB74F9">
        <w:t xml:space="preserve">The statistical analyses of </w:t>
      </w:r>
      <w:r>
        <w:t xml:space="preserve">all endpoints were exploratory, and </w:t>
      </w:r>
      <w:r w:rsidRPr="00AB74F9">
        <w:t xml:space="preserve">no </w:t>
      </w:r>
      <w:r>
        <w:t>confirmatory statistical analyse</w:t>
      </w:r>
      <w:r w:rsidRPr="00AB74F9">
        <w:t xml:space="preserve">s </w:t>
      </w:r>
      <w:r>
        <w:t xml:space="preserve">were </w:t>
      </w:r>
      <w:r w:rsidRPr="00AB74F9">
        <w:t>planned.</w:t>
      </w:r>
    </w:p>
    <w:p w14:paraId="1B28E860" w14:textId="36B2E334" w:rsidR="006D35A0" w:rsidRPr="001711E6" w:rsidRDefault="006D35A0" w:rsidP="00EC4518">
      <w:pPr>
        <w:pStyle w:val="Heading5"/>
      </w:pPr>
      <w:bookmarkStart w:id="114" w:name="_Toc266446481"/>
      <w:r w:rsidRPr="001711E6">
        <w:t>Participant flow</w:t>
      </w:r>
      <w:bookmarkEnd w:id="114"/>
    </w:p>
    <w:p w14:paraId="29C26D5A" w14:textId="77777777" w:rsidR="000F04AF" w:rsidRDefault="006D35A0" w:rsidP="006D35A0">
      <w:r>
        <w:t xml:space="preserve">The patient disposition is summarised below </w:t>
      </w:r>
      <w:r w:rsidRPr="000653C4">
        <w:t xml:space="preserve">in </w:t>
      </w:r>
      <w:r w:rsidR="006F09EA">
        <w:t>Figure 7</w:t>
      </w:r>
      <w:r w:rsidRPr="000653C4">
        <w:t>.</w:t>
      </w:r>
    </w:p>
    <w:p w14:paraId="03AB4B8A" w14:textId="77777777" w:rsidR="000F04AF" w:rsidRDefault="006D35A0" w:rsidP="00EC4518">
      <w:pPr>
        <w:pStyle w:val="FigureTitle"/>
      </w:pPr>
      <w:bookmarkStart w:id="115" w:name="_Toc248202611"/>
      <w:r>
        <w:lastRenderedPageBreak/>
        <w:t xml:space="preserve">Figure </w:t>
      </w:r>
      <w:r w:rsidR="006F09EA">
        <w:t>7</w:t>
      </w:r>
      <w:r>
        <w:t>: GENA-03 - Patient disposition.</w:t>
      </w:r>
      <w:bookmarkEnd w:id="115"/>
    </w:p>
    <w:p w14:paraId="1BF58ED5" w14:textId="22E9F010" w:rsidR="006D35A0" w:rsidRPr="00AB74F9" w:rsidRDefault="006D35A0" w:rsidP="00D30A1B">
      <w:r>
        <w:rPr>
          <w:noProof/>
          <w:lang w:eastAsia="en-AU"/>
        </w:rPr>
        <w:drawing>
          <wp:inline distT="0" distB="0" distL="0" distR="0" wp14:anchorId="6457312A" wp14:editId="000613E5">
            <wp:extent cx="3934225" cy="2916932"/>
            <wp:effectExtent l="0" t="0" r="0" b="0"/>
            <wp:docPr id="48" name="Picture 1" descr="The patient disposition is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4107" cy="2916845"/>
                    </a:xfrm>
                    <a:prstGeom prst="rect">
                      <a:avLst/>
                    </a:prstGeom>
                    <a:noFill/>
                    <a:ln>
                      <a:noFill/>
                    </a:ln>
                  </pic:spPr>
                </pic:pic>
              </a:graphicData>
            </a:graphic>
          </wp:inline>
        </w:drawing>
      </w:r>
    </w:p>
    <w:p w14:paraId="38E322B2" w14:textId="77777777" w:rsidR="000F04AF" w:rsidRDefault="006D35A0" w:rsidP="00D30A1B">
      <w:pPr>
        <w:pStyle w:val="TableDescription"/>
        <w:rPr>
          <w:lang w:eastAsia="en-AU"/>
        </w:rPr>
      </w:pPr>
      <w:r w:rsidRPr="009F3499">
        <w:rPr>
          <w:lang w:eastAsia="en-AU"/>
        </w:rPr>
        <w:t xml:space="preserve">BLEED = study population of BEs treated with </w:t>
      </w:r>
      <w:r w:rsidRPr="009F3499">
        <w:rPr>
          <w:rFonts w:cs="Times"/>
          <w:iCs/>
          <w:lang w:eastAsia="en-AU"/>
        </w:rPr>
        <w:t>simoctocog alfa</w:t>
      </w:r>
      <w:r w:rsidRPr="009F3499">
        <w:rPr>
          <w:lang w:eastAsia="en-AU"/>
        </w:rPr>
        <w:t xml:space="preserve">; PROPH = study population of patients receiving prophylaxis; ITT = intention-to-treat; IVR = in vivo recovery; PK = pharmacokinetics; PP = per-protocol; SAFETY = study population of patients in safety analysis; SAFETY-INF = all infusions within safety population; SURG = study population of surgeries treated with </w:t>
      </w:r>
      <w:r w:rsidRPr="009F3499">
        <w:rPr>
          <w:rFonts w:cs="Times"/>
          <w:iCs/>
          <w:lang w:eastAsia="en-AU"/>
        </w:rPr>
        <w:t>simoctocog alfa</w:t>
      </w:r>
      <w:r w:rsidRPr="009F3499">
        <w:rPr>
          <w:lang w:eastAsia="en-AU"/>
        </w:rPr>
        <w:t>.</w:t>
      </w:r>
    </w:p>
    <w:p w14:paraId="0EC1272F" w14:textId="77777777" w:rsidR="000F04AF" w:rsidRDefault="006D35A0" w:rsidP="006D35A0">
      <w:r w:rsidRPr="00DC4257">
        <w:t>There were 59</w:t>
      </w:r>
      <w:r>
        <w:t xml:space="preserve"> patients enrolled in the study </w:t>
      </w:r>
      <w:r w:rsidRPr="00DC4257">
        <w:t xml:space="preserve">and 56 completed while 3 prematurely discontinued. All 59 </w:t>
      </w:r>
      <w:r>
        <w:t xml:space="preserve">enrolled </w:t>
      </w:r>
      <w:r w:rsidRPr="00DC4257">
        <w:t xml:space="preserve">patients were included in the safety and ITT populations. All 59 </w:t>
      </w:r>
      <w:r>
        <w:t xml:space="preserve">enrolled </w:t>
      </w:r>
      <w:r w:rsidRPr="00DC4257">
        <w:t xml:space="preserve">patients received prophylactic treatment with </w:t>
      </w:r>
      <w:r>
        <w:rPr>
          <w:iCs/>
        </w:rPr>
        <w:t xml:space="preserve">simoctocog alfa </w:t>
      </w:r>
      <w:r w:rsidRPr="00DC4257">
        <w:t xml:space="preserve">(PROPH population) and 55 of these patients were included </w:t>
      </w:r>
      <w:r w:rsidRPr="000653C4">
        <w:t xml:space="preserve">in the PROPH-PP population. The reasons for 4 exclusions from the PROPH-PP population were: 1 patient with less than 50 EDs with </w:t>
      </w:r>
      <w:r w:rsidRPr="000653C4">
        <w:rPr>
          <w:iCs/>
        </w:rPr>
        <w:t>simoctocog alfa</w:t>
      </w:r>
      <w:r w:rsidRPr="000653C4">
        <w:t xml:space="preserve">; 1 patient with extremely long gap between 2 doses after start of prophylactic treatment; 1 patient with less than 50 EDs with </w:t>
      </w:r>
      <w:r w:rsidRPr="000653C4">
        <w:rPr>
          <w:iCs/>
        </w:rPr>
        <w:t>simoctocog alfa</w:t>
      </w:r>
      <w:r w:rsidRPr="000653C4">
        <w:t xml:space="preserve">, violation of inclusion and exclusion criteria and use of other FVIII product after starting prophylactic treatment with </w:t>
      </w:r>
      <w:r w:rsidRPr="000653C4">
        <w:rPr>
          <w:iCs/>
        </w:rPr>
        <w:t>simoctocog alfa</w:t>
      </w:r>
      <w:r w:rsidRPr="000653C4">
        <w:t>; and 1 patient due to use of other FVIII product after starting prophylactic treatment</w:t>
      </w:r>
      <w:r w:rsidRPr="00DC4257">
        <w:t xml:space="preserve"> with </w:t>
      </w:r>
      <w:r>
        <w:t>simoctocog alfa</w:t>
      </w:r>
      <w:r w:rsidRPr="00DC4257">
        <w:t>.</w:t>
      </w:r>
    </w:p>
    <w:p w14:paraId="3ACB772E" w14:textId="7CB6E020" w:rsidR="006D35A0" w:rsidRPr="00DC4257" w:rsidRDefault="006D35A0" w:rsidP="006D35A0">
      <w:pPr>
        <w:widowControl w:val="0"/>
        <w:autoSpaceDE w:val="0"/>
        <w:autoSpaceDN w:val="0"/>
        <w:adjustRightInd w:val="0"/>
        <w:spacing w:after="240"/>
        <w:rPr>
          <w:rFonts w:eastAsia="Times New Roman"/>
          <w:lang w:eastAsia="en-AU"/>
        </w:rPr>
      </w:pPr>
      <w:r w:rsidRPr="00DC4257">
        <w:rPr>
          <w:rFonts w:eastAsia="Times New Roman"/>
          <w:lang w:eastAsia="en-AU"/>
        </w:rPr>
        <w:t xml:space="preserve">Three patients terminated the study prematurely, and all were included in the PROPH population while 2 were also included in the </w:t>
      </w:r>
      <w:r>
        <w:rPr>
          <w:rFonts w:eastAsia="Times New Roman"/>
          <w:lang w:eastAsia="en-AU"/>
        </w:rPr>
        <w:t>PROPH-</w:t>
      </w:r>
      <w:r w:rsidRPr="00DC4257">
        <w:rPr>
          <w:rFonts w:eastAsia="Times New Roman"/>
          <w:lang w:eastAsia="en-AU"/>
        </w:rPr>
        <w:t xml:space="preserve">PK population. The reasons for the premature discontinuations were: </w:t>
      </w:r>
      <w:r w:rsidRPr="000653C4">
        <w:rPr>
          <w:rFonts w:eastAsia="Times New Roman"/>
          <w:i/>
          <w:lang w:eastAsia="en-AU"/>
        </w:rPr>
        <w:t xml:space="preserve">1 </w:t>
      </w:r>
      <w:r w:rsidRPr="000653C4">
        <w:rPr>
          <w:i/>
          <w:color w:val="000000"/>
        </w:rPr>
        <w:t>patient</w:t>
      </w:r>
      <w:r w:rsidRPr="000653C4">
        <w:rPr>
          <w:color w:val="000000"/>
        </w:rPr>
        <w:t xml:space="preserve"> withdrawn due</w:t>
      </w:r>
      <w:r w:rsidRPr="00DC4257">
        <w:rPr>
          <w:color w:val="000000"/>
        </w:rPr>
        <w:t xml:space="preserve"> to therapy failure after 71 days in the study and 44 study product administrations and 42 EDs. He experienced a spontaneous moderate to major bleeding in the right ankle that was unsuccessfully treated with </w:t>
      </w:r>
      <w:r>
        <w:rPr>
          <w:iCs/>
          <w:color w:val="000000"/>
        </w:rPr>
        <w:t xml:space="preserve">simoctocog alfa </w:t>
      </w:r>
      <w:r w:rsidRPr="00DC4257">
        <w:rPr>
          <w:color w:val="000000"/>
        </w:rPr>
        <w:t xml:space="preserve">over 10 EDs (12 infusions), followed by </w:t>
      </w:r>
      <w:r w:rsidR="00712D0F">
        <w:rPr>
          <w:color w:val="000000"/>
        </w:rPr>
        <w:t xml:space="preserve">pdFVIII </w:t>
      </w:r>
      <w:r>
        <w:rPr>
          <w:color w:val="000000"/>
        </w:rPr>
        <w:t>(</w:t>
      </w:r>
      <w:r w:rsidR="001A2E59">
        <w:rPr>
          <w:color w:val="000000"/>
        </w:rPr>
        <w:t>that is,</w:t>
      </w:r>
      <w:r>
        <w:rPr>
          <w:color w:val="000000"/>
        </w:rPr>
        <w:t xml:space="preserve"> FVIII presented as a complex with von Willebrand factor)</w:t>
      </w:r>
      <w:r w:rsidRPr="00DC4257">
        <w:rPr>
          <w:color w:val="000000"/>
        </w:rPr>
        <w:t xml:space="preserve">. He </w:t>
      </w:r>
      <w:r>
        <w:rPr>
          <w:color w:val="000000"/>
        </w:rPr>
        <w:t xml:space="preserve">had </w:t>
      </w:r>
      <w:r w:rsidRPr="00DC4257">
        <w:rPr>
          <w:color w:val="000000"/>
        </w:rPr>
        <w:t xml:space="preserve">previously experienced another 2 BEs (one minor, one moderate to major), for which the treatment was rated as good for one and moderate </w:t>
      </w:r>
      <w:r>
        <w:rPr>
          <w:color w:val="000000"/>
        </w:rPr>
        <w:t xml:space="preserve">for </w:t>
      </w:r>
      <w:r w:rsidRPr="00DC4257">
        <w:rPr>
          <w:color w:val="000000"/>
        </w:rPr>
        <w:t xml:space="preserve">the other. His IVR was 2.29% per IU/kg after administration of </w:t>
      </w:r>
      <w:r>
        <w:rPr>
          <w:iCs/>
          <w:color w:val="000000"/>
        </w:rPr>
        <w:t xml:space="preserve">simoctocog alfa </w:t>
      </w:r>
      <w:r w:rsidRPr="00DC4257">
        <w:rPr>
          <w:color w:val="000000"/>
        </w:rPr>
        <w:t xml:space="preserve">and higher than in PK Cycle 1 after administration of </w:t>
      </w:r>
      <w:r w:rsidR="00712D0F">
        <w:rPr>
          <w:color w:val="000000"/>
        </w:rPr>
        <w:t xml:space="preserve">pdFVIII </w:t>
      </w:r>
      <w:r w:rsidRPr="00DC4257">
        <w:rPr>
          <w:color w:val="000000"/>
        </w:rPr>
        <w:t xml:space="preserve">(1.87% per IU/kg). The day he started </w:t>
      </w:r>
      <w:r w:rsidR="00712D0F">
        <w:rPr>
          <w:color w:val="000000"/>
        </w:rPr>
        <w:t xml:space="preserve">pdFVIII </w:t>
      </w:r>
      <w:r w:rsidRPr="000653C4">
        <w:rPr>
          <w:color w:val="000000"/>
        </w:rPr>
        <w:t xml:space="preserve">prophylaxis, he was withdrawn from the study due to insufficient therapeutic response; </w:t>
      </w:r>
      <w:r w:rsidRPr="000653C4">
        <w:rPr>
          <w:i/>
          <w:color w:val="000000"/>
        </w:rPr>
        <w:t>1 patient</w:t>
      </w:r>
      <w:r w:rsidRPr="000653C4">
        <w:rPr>
          <w:color w:val="000000"/>
        </w:rPr>
        <w:t xml:space="preserve"> had</w:t>
      </w:r>
      <w:r w:rsidRPr="00DC4257">
        <w:rPr>
          <w:color w:val="000000"/>
        </w:rPr>
        <w:t xml:space="preserve"> his 6-month assessment 3 days earlier than planned after 180 days in the study and after 88 </w:t>
      </w:r>
      <w:r>
        <w:rPr>
          <w:color w:val="000000"/>
        </w:rPr>
        <w:t xml:space="preserve">simoctocog alfa </w:t>
      </w:r>
      <w:r w:rsidRPr="00DC4257">
        <w:rPr>
          <w:color w:val="000000"/>
        </w:rPr>
        <w:t>administrations. This patient was included in t</w:t>
      </w:r>
      <w:r>
        <w:rPr>
          <w:color w:val="000000"/>
        </w:rPr>
        <w:t xml:space="preserve">he PK and PROPH population; and </w:t>
      </w:r>
      <w:r w:rsidRPr="00C035BB">
        <w:rPr>
          <w:i/>
          <w:color w:val="000000"/>
        </w:rPr>
        <w:t>1 patient</w:t>
      </w:r>
      <w:r w:rsidRPr="00DC4257">
        <w:rPr>
          <w:color w:val="000000"/>
        </w:rPr>
        <w:t xml:space="preserve"> was diagnosed with VWD after a </w:t>
      </w:r>
      <w:r>
        <w:rPr>
          <w:color w:val="000000"/>
        </w:rPr>
        <w:t>surgical procedure</w:t>
      </w:r>
      <w:r w:rsidRPr="00DC4257">
        <w:rPr>
          <w:color w:val="000000"/>
        </w:rPr>
        <w:t xml:space="preserve"> during which he did not respond to </w:t>
      </w:r>
      <w:r>
        <w:rPr>
          <w:iCs/>
          <w:color w:val="000000"/>
        </w:rPr>
        <w:t>simoctocog alfa</w:t>
      </w:r>
      <w:r w:rsidRPr="00DC4257">
        <w:rPr>
          <w:color w:val="000000"/>
        </w:rPr>
        <w:t xml:space="preserve">. He was withdrawn 4 days after surgery, after 52 days in the study and after 26 </w:t>
      </w:r>
      <w:r>
        <w:rPr>
          <w:color w:val="000000"/>
        </w:rPr>
        <w:t xml:space="preserve">simoctocog alfa </w:t>
      </w:r>
      <w:r w:rsidRPr="00DC4257">
        <w:rPr>
          <w:color w:val="000000"/>
        </w:rPr>
        <w:t>administrations during which time no BEs had occurred</w:t>
      </w:r>
      <w:r w:rsidR="00712D0F">
        <w:rPr>
          <w:color w:val="000000"/>
        </w:rPr>
        <w:t>.</w:t>
      </w:r>
    </w:p>
    <w:p w14:paraId="2AA801F2" w14:textId="77777777" w:rsidR="006D35A0" w:rsidRPr="000653C4" w:rsidRDefault="006D35A0" w:rsidP="00EC4518">
      <w:pPr>
        <w:pStyle w:val="Heading5"/>
      </w:pPr>
      <w:bookmarkStart w:id="116" w:name="_Toc266446482"/>
      <w:r w:rsidRPr="000653C4">
        <w:lastRenderedPageBreak/>
        <w:t>Major protocol deviations</w:t>
      </w:r>
      <w:bookmarkEnd w:id="116"/>
    </w:p>
    <w:p w14:paraId="2AFCB4FA" w14:textId="77777777" w:rsidR="000F04AF" w:rsidRDefault="006D35A0" w:rsidP="006D35A0">
      <w:r>
        <w:t xml:space="preserve">Major protocol deviations were reported in 3 (5.1%) of the 59 patients. The major protocol deviations were: use of other FVIII concentrate after start of prophylaxis (2 patients); violation </w:t>
      </w:r>
      <w:r w:rsidRPr="000653C4">
        <w:t>of inclusion criteria (1 patient); violation of exclusion criteria (1 patient); reason</w:t>
      </w:r>
      <w:r>
        <w:t xml:space="preserve"> for study completion not according to protocol (1 patient); simoctocog alfa treatment before 48 hour sampling for PK assessment (1 patient); and extremely long gap between 2 doses after start of prophylactic treatment (1 patient).</w:t>
      </w:r>
    </w:p>
    <w:p w14:paraId="11838A1B" w14:textId="77777777" w:rsidR="000F04AF" w:rsidRDefault="006D35A0" w:rsidP="006D35A0">
      <w:r>
        <w:t>Minor protocol deviations were reported in 57 (96.6%) of the 59 patients. The most commonly reported minor protocol deviations reported in ≥ 10% of patients were: 6-month visit outside the 6 months (+2) weeks window in 28 (47.5%) patients; prophylactic dose not between 25 and 45 IU/kg in 23 (39.0%) patients; wash-out period for recovery assessment not followed in 21 (35.6%) patients; interim visit not between ED 10 and ED 20 in 17 (28.8%) patients; FVIII sampling time outside the window in 11 (18.6%) patients; sample for central laboratory assessment not taken in 7 (11.9%) patients; 3-month visit outside the 3 months (±2 weeks) window in 6 (10.2%) patients; and local laboratory result not reported in 6 (10.2%) patients.</w:t>
      </w:r>
    </w:p>
    <w:p w14:paraId="23055A11" w14:textId="3BB7B40F" w:rsidR="006D35A0" w:rsidRPr="000653C4" w:rsidRDefault="006D35A0" w:rsidP="00EC4518">
      <w:pPr>
        <w:pStyle w:val="Heading5"/>
      </w:pPr>
      <w:bookmarkStart w:id="117" w:name="_Toc266446483"/>
      <w:r w:rsidRPr="000653C4">
        <w:t>Baseline data</w:t>
      </w:r>
      <w:bookmarkEnd w:id="117"/>
    </w:p>
    <w:p w14:paraId="3ED04947" w14:textId="77777777" w:rsidR="000F04AF" w:rsidRDefault="006D35A0" w:rsidP="006D35A0">
      <w:r w:rsidRPr="00DD4C85">
        <w:t xml:space="preserve">All </w:t>
      </w:r>
      <w:r>
        <w:t xml:space="preserve">59 </w:t>
      </w:r>
      <w:r w:rsidRPr="00DD4C85">
        <w:t>patients enrolled in the study were white males. The mean±SD age was 6.1±2.97 years</w:t>
      </w:r>
      <w:r>
        <w:t xml:space="preserve"> (median 6.0 years), </w:t>
      </w:r>
      <w:r w:rsidRPr="00DD4C85">
        <w:t>and all patients were in the protocol s</w:t>
      </w:r>
      <w:r>
        <w:t xml:space="preserve">pecified age range of 2 to </w:t>
      </w:r>
      <w:r w:rsidRPr="00DD4C85">
        <w:t xml:space="preserve">12 years. </w:t>
      </w:r>
      <w:r>
        <w:t xml:space="preserve">The mean±SD height was 122.5±19.78 cm, and the mean±SD weight was 26.7±12.33 kg. </w:t>
      </w:r>
      <w:r w:rsidRPr="00DD4C85">
        <w:t>Known FVIII gene defects</w:t>
      </w:r>
      <w:r>
        <w:t xml:space="preserve"> were documented for 56 (94.9%) </w:t>
      </w:r>
      <w:r w:rsidRPr="00DD4C85">
        <w:t xml:space="preserve">patients. Most gene defects were single occurrence, except for intron 22 inversion and missense mutations, which were observed in 25 (42.4%) and 11 (18.6%) patients, respectively. A family history of haemophilia was documented in </w:t>
      </w:r>
      <w:r>
        <w:t>24 (40.7%) patients.</w:t>
      </w:r>
    </w:p>
    <w:p w14:paraId="7FC63A35" w14:textId="77777777" w:rsidR="000F04AF" w:rsidRDefault="006D35A0" w:rsidP="006D35A0">
      <w:r>
        <w:t>Total HJHS at baseline (</w:t>
      </w:r>
      <w:r w:rsidRPr="00DD4C85">
        <w:t>0 [best] to 148 [worst]) ranged from 0 to 11</w:t>
      </w:r>
      <w:r>
        <w:t xml:space="preserve"> in 53 patients, with a median score of 0. The HJHS scores indicate</w:t>
      </w:r>
      <w:r w:rsidRPr="00DD4C85">
        <w:t xml:space="preserve"> good joint health, as expected in this</w:t>
      </w:r>
      <w:r>
        <w:t xml:space="preserve"> paediatric population of PTPs. </w:t>
      </w:r>
      <w:r w:rsidRPr="00DD4C85">
        <w:t>The main historical bleeding sites in the 59 patients were the ankle (11.9</w:t>
      </w:r>
      <w:r>
        <w:t xml:space="preserve">% [n=7] of patients both sides, </w:t>
      </w:r>
      <w:r w:rsidRPr="00DD4C85">
        <w:t>11.9% [n=7] and 18.6% [n=11] left</w:t>
      </w:r>
      <w:r>
        <w:t xml:space="preserve"> and right ankle, respectively, </w:t>
      </w:r>
      <w:r w:rsidRPr="00DD4C85">
        <w:t>1.7% [n=1]</w:t>
      </w:r>
      <w:r>
        <w:t xml:space="preserve"> unknown); </w:t>
      </w:r>
      <w:r w:rsidRPr="00DD4C85">
        <w:t>the knee (8.5% [n=5] of patients both sides; 10.2% [n=6] and 11.9% [n=7] lef</w:t>
      </w:r>
      <w:r>
        <w:t xml:space="preserve">t and right knee, respectively); </w:t>
      </w:r>
      <w:r w:rsidRPr="00DD4C85">
        <w:t>and the leg (10.2% [n=6] of patients both sides; 5.1% [n=2] and 3.4% [n=2] left and right leg, respectively; 1.7% [n=1] unknown)</w:t>
      </w:r>
      <w:r>
        <w:t>.</w:t>
      </w:r>
    </w:p>
    <w:p w14:paraId="7DC4BEF5" w14:textId="77777777" w:rsidR="000F04AF" w:rsidRDefault="006D35A0" w:rsidP="006D35A0">
      <w:r w:rsidRPr="00DD4C85">
        <w:t>Plasma FVIII</w:t>
      </w:r>
      <w:proofErr w:type="gramStart"/>
      <w:r w:rsidRPr="00DD4C85">
        <w:t>:C</w:t>
      </w:r>
      <w:proofErr w:type="gramEnd"/>
      <w:r w:rsidRPr="00DD4C85">
        <w:t xml:space="preserve"> at baseline was ≥ 0.01 IU/mL in 18 patients as determined by the CHR assay</w:t>
      </w:r>
      <w:r>
        <w:t xml:space="preserve"> (n=54)</w:t>
      </w:r>
      <w:r w:rsidRPr="00DD4C85">
        <w:t>, and 39 had values ≥ 0.01 IU/mL or above as determined by the OS assay</w:t>
      </w:r>
      <w:r>
        <w:t xml:space="preserve"> (n=51)</w:t>
      </w:r>
      <w:r w:rsidRPr="00DD4C85">
        <w:t>. The sponsor comments that the elevated plasma FVIII</w:t>
      </w:r>
      <w:proofErr w:type="gramStart"/>
      <w:r w:rsidRPr="00DD4C85">
        <w:t>:C</w:t>
      </w:r>
      <w:proofErr w:type="gramEnd"/>
      <w:r w:rsidRPr="00DD4C85">
        <w:t xml:space="preserve"> findings </w:t>
      </w:r>
      <w:r>
        <w:t xml:space="preserve">in these patients </w:t>
      </w:r>
      <w:r w:rsidRPr="00DD4C85">
        <w:t xml:space="preserve">are likely </w:t>
      </w:r>
      <w:r>
        <w:t xml:space="preserve">to be </w:t>
      </w:r>
      <w:r w:rsidRPr="00DD4C85">
        <w:t xml:space="preserve">due to the absence of a pre-defined wash-out </w:t>
      </w:r>
      <w:r>
        <w:t>period for the screening visit. B</w:t>
      </w:r>
      <w:r w:rsidRPr="00DD4C85">
        <w:t>aseline values of FVIII</w:t>
      </w:r>
      <w:proofErr w:type="gramStart"/>
      <w:r w:rsidRPr="00DD4C85">
        <w:t>:C</w:t>
      </w:r>
      <w:proofErr w:type="gramEnd"/>
      <w:r w:rsidRPr="00DD4C85">
        <w:t xml:space="preserve"> before the first PK and IVR assessments were more</w:t>
      </w:r>
      <w:r>
        <w:t xml:space="preserve"> in line with expected values. </w:t>
      </w:r>
      <w:r w:rsidRPr="00DD4C85">
        <w:t>FVIII inhibitor levels were &lt;0.6 BU in all 59 patients at screening.</w:t>
      </w:r>
    </w:p>
    <w:p w14:paraId="1C83C93B" w14:textId="77777777" w:rsidR="000F04AF" w:rsidRDefault="006D35A0" w:rsidP="006D35A0">
      <w:r w:rsidRPr="00DD4C85">
        <w:t xml:space="preserve">In the 6 months prior to the study, </w:t>
      </w:r>
      <w:r>
        <w:t>55.9% (n=33)</w:t>
      </w:r>
      <w:r w:rsidRPr="00DD4C85">
        <w:t xml:space="preserve"> </w:t>
      </w:r>
      <w:r>
        <w:t>of</w:t>
      </w:r>
      <w:r w:rsidRPr="00DD4C85">
        <w:t xml:space="preserve"> patients had received rFVIII concentrates</w:t>
      </w:r>
      <w:r>
        <w:t xml:space="preserve">, 45.8% (n=27) of patients had received pdFVIII concentrates, 8.5% (n=5) of patients had received both rFVIII and pdFVIII concentrates. </w:t>
      </w:r>
      <w:r w:rsidRPr="00DD4C85">
        <w:t xml:space="preserve">Six </w:t>
      </w:r>
      <w:r>
        <w:t xml:space="preserve">(6) </w:t>
      </w:r>
      <w:r w:rsidRPr="00DD4C85">
        <w:t>patients, 3 from 2 centres in Turkey and 3 from one centre in Roman</w:t>
      </w:r>
      <w:r>
        <w:t xml:space="preserve">ia, had previously received on-demand treatment while </w:t>
      </w:r>
      <w:r w:rsidRPr="00DD4C85">
        <w:t>the remaining 53 patients had received FVIII concentrates as prophylaxis.</w:t>
      </w:r>
    </w:p>
    <w:p w14:paraId="79E73774" w14:textId="7FDEAC45" w:rsidR="006D35A0" w:rsidRDefault="006D35A0" w:rsidP="00EC4518">
      <w:pPr>
        <w:ind w:left="1134" w:hanging="1134"/>
        <w:rPr>
          <w:rFonts w:asciiTheme="minorHAnsi" w:hAnsiTheme="minorHAnsi"/>
        </w:rPr>
      </w:pPr>
      <w:r w:rsidRPr="00EC4518">
        <w:rPr>
          <w:rFonts w:asciiTheme="minorHAnsi" w:hAnsiTheme="minorHAnsi"/>
        </w:rPr>
        <w:t>Comment: The sponsor will be requested to provide information relating to the FVIII</w:t>
      </w:r>
      <w:proofErr w:type="gramStart"/>
      <w:r w:rsidRPr="00EC4518">
        <w:rPr>
          <w:rFonts w:asciiTheme="minorHAnsi" w:hAnsiTheme="minorHAnsi"/>
        </w:rPr>
        <w:t>:C</w:t>
      </w:r>
      <w:proofErr w:type="gramEnd"/>
      <w:r w:rsidRPr="00EC4518">
        <w:rPr>
          <w:rFonts w:asciiTheme="minorHAnsi" w:hAnsiTheme="minorHAnsi"/>
        </w:rPr>
        <w:t xml:space="preserve"> levels recorded before the first PK and IVR assessments in the s31 response to questions raised following the first round evaluation of the submission.</w:t>
      </w:r>
    </w:p>
    <w:p w14:paraId="36475BC5" w14:textId="77777777" w:rsidR="00BE3AD8" w:rsidRDefault="00712D0F" w:rsidP="003A4B0E">
      <w:pPr>
        <w:ind w:left="1134"/>
        <w:rPr>
          <w:rFonts w:asciiTheme="minorHAnsi" w:hAnsiTheme="minorHAnsi"/>
        </w:rPr>
      </w:pPr>
      <w:r w:rsidRPr="00643E85">
        <w:rPr>
          <w:rFonts w:asciiTheme="minorHAnsi" w:hAnsiTheme="minorHAnsi"/>
          <w:i/>
        </w:rPr>
        <w:t>See Section 11.1.</w:t>
      </w:r>
      <w:r>
        <w:rPr>
          <w:rFonts w:asciiTheme="minorHAnsi" w:hAnsiTheme="minorHAnsi"/>
          <w:i/>
        </w:rPr>
        <w:t>2.2</w:t>
      </w:r>
      <w:r w:rsidRPr="00643E85">
        <w:rPr>
          <w:rFonts w:asciiTheme="minorHAnsi" w:hAnsiTheme="minorHAnsi"/>
          <w:i/>
        </w:rPr>
        <w:t>.</w:t>
      </w:r>
    </w:p>
    <w:p w14:paraId="79B9D24C" w14:textId="77777777" w:rsidR="006D35A0" w:rsidRDefault="006D35A0" w:rsidP="00EC4518">
      <w:pPr>
        <w:pStyle w:val="Heading5"/>
      </w:pPr>
      <w:bookmarkStart w:id="118" w:name="_Toc266446484"/>
      <w:r>
        <w:t>Efficacy outcomes - prophylaxis</w:t>
      </w:r>
      <w:bookmarkEnd w:id="118"/>
    </w:p>
    <w:p w14:paraId="4CF1D192" w14:textId="77777777" w:rsidR="000F04AF" w:rsidRDefault="006D35A0" w:rsidP="006D35A0">
      <w:pPr>
        <w:rPr>
          <w:color w:val="000000"/>
        </w:rPr>
      </w:pPr>
      <w:r w:rsidRPr="00B65C0C">
        <w:rPr>
          <w:color w:val="000000"/>
        </w:rPr>
        <w:t xml:space="preserve">All 59 patients received prophylactic treatment with </w:t>
      </w:r>
      <w:r>
        <w:rPr>
          <w:iCs/>
          <w:color w:val="000000"/>
        </w:rPr>
        <w:t xml:space="preserve">simoctocog alfa </w:t>
      </w:r>
      <w:r w:rsidRPr="00B65C0C">
        <w:rPr>
          <w:color w:val="000000"/>
        </w:rPr>
        <w:t xml:space="preserve">and were included in the PROPH population. The total number of prophylactic injections was 5316, and only 172 </w:t>
      </w:r>
      <w:r w:rsidRPr="00B65C0C">
        <w:rPr>
          <w:color w:val="000000"/>
        </w:rPr>
        <w:lastRenderedPageBreak/>
        <w:t>infusions (3.2%) were administered more than 3 days after the previous infusion (</w:t>
      </w:r>
      <w:r w:rsidR="001A2E59">
        <w:rPr>
          <w:color w:val="000000"/>
        </w:rPr>
        <w:t>that is,</w:t>
      </w:r>
      <w:r>
        <w:rPr>
          <w:color w:val="000000"/>
        </w:rPr>
        <w:t xml:space="preserve"> </w:t>
      </w:r>
      <w:r w:rsidRPr="00B65C0C">
        <w:rPr>
          <w:color w:val="000000"/>
        </w:rPr>
        <w:t xml:space="preserve">3 days was the maximum gap in </w:t>
      </w:r>
      <w:r>
        <w:rPr>
          <w:color w:val="000000"/>
        </w:rPr>
        <w:t xml:space="preserve">protocol specified </w:t>
      </w:r>
      <w:r w:rsidRPr="00B65C0C">
        <w:rPr>
          <w:color w:val="000000"/>
        </w:rPr>
        <w:t xml:space="preserve">3-times-weekly schedule). </w:t>
      </w:r>
      <w:r>
        <w:rPr>
          <w:color w:val="000000"/>
        </w:rPr>
        <w:t xml:space="preserve">Eleven (11) patients had increases in prophylaxis dose, but most were only temporary and often due to their starting dose being judged by the investigator as being too low or following BEs. </w:t>
      </w:r>
      <w:r w:rsidRPr="00B65C0C">
        <w:rPr>
          <w:color w:val="000000"/>
        </w:rPr>
        <w:t xml:space="preserve">The number of EDs and dosage of </w:t>
      </w:r>
      <w:r>
        <w:rPr>
          <w:color w:val="000000"/>
        </w:rPr>
        <w:t xml:space="preserve">simoctocog alfa </w:t>
      </w:r>
      <w:r w:rsidRPr="00B65C0C">
        <w:rPr>
          <w:color w:val="000000"/>
        </w:rPr>
        <w:t xml:space="preserve">administered as prophylaxis are summarised below in Table </w:t>
      </w:r>
      <w:r w:rsidR="006F09EA">
        <w:rPr>
          <w:color w:val="000000"/>
        </w:rPr>
        <w:t>26</w:t>
      </w:r>
      <w:r w:rsidRPr="00B65C0C">
        <w:rPr>
          <w:color w:val="000000"/>
        </w:rPr>
        <w:t>.</w:t>
      </w:r>
    </w:p>
    <w:p w14:paraId="003021CB" w14:textId="77777777" w:rsidR="000F04AF" w:rsidRDefault="006D35A0" w:rsidP="000653C4">
      <w:pPr>
        <w:pStyle w:val="Tabletitle"/>
      </w:pPr>
      <w:bookmarkStart w:id="119" w:name="_Toc248202545"/>
      <w:proofErr w:type="gramStart"/>
      <w:r>
        <w:t xml:space="preserve">Table </w:t>
      </w:r>
      <w:r w:rsidR="000A1340">
        <w:t>2</w:t>
      </w:r>
      <w:r w:rsidR="006F09EA">
        <w:t>6</w:t>
      </w:r>
      <w:r>
        <w:t xml:space="preserve">: </w:t>
      </w:r>
      <w:r w:rsidRPr="00032F99">
        <w:t>GENA-03 - ED</w:t>
      </w:r>
      <w:r w:rsidR="00133BA5">
        <w:t>s</w:t>
      </w:r>
      <w:r w:rsidRPr="00032F99">
        <w:t xml:space="preserve"> and dosage for prophylactic treatment with </w:t>
      </w:r>
      <w:r>
        <w:t>simoctocog alfa</w:t>
      </w:r>
      <w:r w:rsidR="00712D0F">
        <w:t xml:space="preserve"> (Human-cl rhFVIII)</w:t>
      </w:r>
      <w:r w:rsidRPr="00032F99">
        <w:t>; PROPH population.</w:t>
      </w:r>
      <w:proofErr w:type="gramEnd"/>
      <w:r w:rsidRPr="00032F99">
        <w:t xml:space="preserve"> n=59.</w:t>
      </w:r>
      <w:bookmarkEnd w:id="119"/>
    </w:p>
    <w:p w14:paraId="218CBAED" w14:textId="7401B2AA" w:rsidR="006D35A0" w:rsidRDefault="006D35A0" w:rsidP="006D35A0">
      <w:pPr>
        <w:spacing w:after="0"/>
      </w:pPr>
      <w:r>
        <w:rPr>
          <w:noProof/>
          <w:lang w:eastAsia="en-AU"/>
        </w:rPr>
        <w:drawing>
          <wp:inline distT="0" distB="0" distL="0" distR="0" wp14:anchorId="0435E06F" wp14:editId="21EFA432">
            <wp:extent cx="4674870" cy="2023110"/>
            <wp:effectExtent l="0" t="0" r="0" b="0"/>
            <wp:docPr id="52" name="Picture 2" descr="The number of EDs and dosage of simoctocog alfa administered as prophylaxis are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4870" cy="2023110"/>
                    </a:xfrm>
                    <a:prstGeom prst="rect">
                      <a:avLst/>
                    </a:prstGeom>
                    <a:noFill/>
                    <a:ln>
                      <a:noFill/>
                    </a:ln>
                  </pic:spPr>
                </pic:pic>
              </a:graphicData>
            </a:graphic>
          </wp:inline>
        </w:drawing>
      </w:r>
    </w:p>
    <w:p w14:paraId="2EEBE201" w14:textId="77777777" w:rsidR="006D35A0" w:rsidRPr="00032F99" w:rsidRDefault="006D35A0" w:rsidP="00D30A1B">
      <w:pPr>
        <w:pStyle w:val="TableDescription"/>
        <w:rPr>
          <w:rFonts w:cs="Times"/>
          <w:lang w:eastAsia="en-AU"/>
        </w:rPr>
      </w:pPr>
      <w:r w:rsidRPr="00032F99">
        <w:rPr>
          <w:lang w:eastAsia="en-AU"/>
        </w:rPr>
        <w:t>ED = exposure day; IU = international units; PROPH = study population of patients receiving prophylaxis; SD = standard deviation.</w:t>
      </w:r>
    </w:p>
    <w:p w14:paraId="2ABD6832" w14:textId="77777777" w:rsidR="000F04AF" w:rsidRDefault="006D35A0" w:rsidP="006D35A0">
      <w:r w:rsidRPr="00E90403">
        <w:t xml:space="preserve">A total of 129 BEs </w:t>
      </w:r>
      <w:r>
        <w:t>occurred in</w:t>
      </w:r>
      <w:r w:rsidRPr="00E90403">
        <w:t xml:space="preserve"> 39 patients during prophylactic treatment. Of these 129 BEs, 74 (57.4%) were traumatic, 45 (34.9%) were spontaneous and 10 (7.7%) were classified as “other”. In the PROPH population, 20 (33.9%) patients did not experience any BEs and 14 patients (23.7%) experienced only one BE during the study. The overall efficacy assessment of prophylactic treatment with </w:t>
      </w:r>
      <w:r>
        <w:t xml:space="preserve">simoctocog alfa </w:t>
      </w:r>
      <w:r w:rsidRPr="00E90403">
        <w:t xml:space="preserve">is shown below in Table </w:t>
      </w:r>
      <w:r>
        <w:t>2</w:t>
      </w:r>
      <w:r w:rsidR="006F09EA">
        <w:t>7</w:t>
      </w:r>
      <w:r w:rsidRPr="00E90403">
        <w:t>.</w:t>
      </w:r>
    </w:p>
    <w:p w14:paraId="73D86CCB" w14:textId="36D4560C" w:rsidR="006D35A0" w:rsidRDefault="006D35A0" w:rsidP="000653C4">
      <w:pPr>
        <w:pStyle w:val="Tabletitle"/>
        <w:rPr>
          <w:lang w:eastAsia="en-AU"/>
        </w:rPr>
      </w:pPr>
      <w:bookmarkStart w:id="120" w:name="_Toc248202546"/>
      <w:r>
        <w:t xml:space="preserve">Table </w:t>
      </w:r>
      <w:r w:rsidR="000A1340">
        <w:t>2</w:t>
      </w:r>
      <w:r w:rsidR="006F09EA">
        <w:t>7</w:t>
      </w:r>
      <w:r>
        <w:t xml:space="preserve">: GENA-03 - </w:t>
      </w:r>
      <w:r>
        <w:rPr>
          <w:lang w:eastAsia="en-AU"/>
        </w:rPr>
        <w:t>Overall efficacy assessment (monthly BE rate)</w:t>
      </w:r>
      <w:r>
        <w:rPr>
          <w:rFonts w:ascii="Times New Roman" w:hAnsi="Times New Roman"/>
          <w:color w:val="000000"/>
        </w:rPr>
        <w:t xml:space="preserve">* </w:t>
      </w:r>
      <w:r>
        <w:rPr>
          <w:lang w:eastAsia="en-AU"/>
        </w:rPr>
        <w:t>of prophylactic treatment at the end** of the study; PROPH population, n=59.</w:t>
      </w:r>
      <w:bookmarkEnd w:id="120"/>
    </w:p>
    <w:tbl>
      <w:tblPr>
        <w:tblStyle w:val="TableTGAblue"/>
        <w:tblW w:w="9440" w:type="dxa"/>
        <w:tblLayout w:type="fixed"/>
        <w:tblLook w:val="04A0" w:firstRow="1" w:lastRow="0" w:firstColumn="1" w:lastColumn="0" w:noHBand="0" w:noVBand="1"/>
      </w:tblPr>
      <w:tblGrid>
        <w:gridCol w:w="1242"/>
        <w:gridCol w:w="851"/>
        <w:gridCol w:w="1701"/>
        <w:gridCol w:w="1559"/>
        <w:gridCol w:w="1418"/>
        <w:gridCol w:w="1559"/>
        <w:gridCol w:w="1110"/>
      </w:tblGrid>
      <w:tr w:rsidR="006D35A0" w:rsidRPr="00DB070D" w14:paraId="42199BE8" w14:textId="77777777" w:rsidTr="00CE5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50D2A3CA" w14:textId="77777777" w:rsidR="006D35A0" w:rsidRPr="00DB070D" w:rsidRDefault="00A67B11" w:rsidP="00D30A1B">
            <w:r>
              <w:t>Age group</w:t>
            </w:r>
          </w:p>
        </w:tc>
        <w:tc>
          <w:tcPr>
            <w:tcW w:w="851" w:type="dxa"/>
          </w:tcPr>
          <w:p w14:paraId="3BE25E2A" w14:textId="77777777" w:rsidR="006D35A0" w:rsidRPr="00DB070D" w:rsidRDefault="006D35A0" w:rsidP="00D30A1B">
            <w:pPr>
              <w:cnfStyle w:val="100000000000" w:firstRow="1" w:lastRow="0" w:firstColumn="0" w:lastColumn="0" w:oddVBand="0" w:evenVBand="0" w:oddHBand="0" w:evenHBand="0" w:firstRowFirstColumn="0" w:firstRowLastColumn="0" w:lastRowFirstColumn="0" w:lastRowLastColumn="0"/>
            </w:pPr>
            <w:r w:rsidRPr="00DB070D">
              <w:t>n</w:t>
            </w:r>
          </w:p>
        </w:tc>
        <w:tc>
          <w:tcPr>
            <w:tcW w:w="1701" w:type="dxa"/>
          </w:tcPr>
          <w:p w14:paraId="76434CAB" w14:textId="77777777" w:rsidR="006D35A0" w:rsidRPr="00DB070D" w:rsidRDefault="00A67B11" w:rsidP="00D30A1B">
            <w:pPr>
              <w:cnfStyle w:val="100000000000" w:firstRow="1" w:lastRow="0" w:firstColumn="0" w:lastColumn="0" w:oddVBand="0" w:evenVBand="0" w:oddHBand="0" w:evenHBand="0" w:firstRowFirstColumn="0" w:firstRowLastColumn="0" w:lastRowFirstColumn="0" w:lastRowLastColumn="0"/>
            </w:pPr>
            <w:r>
              <w:t>Type of bleed</w:t>
            </w:r>
          </w:p>
        </w:tc>
        <w:tc>
          <w:tcPr>
            <w:tcW w:w="1559" w:type="dxa"/>
          </w:tcPr>
          <w:p w14:paraId="0EE12D0B" w14:textId="77777777" w:rsidR="006D35A0" w:rsidRPr="00DB070D" w:rsidRDefault="006D35A0" w:rsidP="00D30A1B">
            <w:pPr>
              <w:cnfStyle w:val="100000000000" w:firstRow="1" w:lastRow="0" w:firstColumn="0" w:lastColumn="0" w:oddVBand="0" w:evenVBand="0" w:oddHBand="0" w:evenHBand="0" w:firstRowFirstColumn="0" w:firstRowLastColumn="0" w:lastRowFirstColumn="0" w:lastRowLastColumn="0"/>
            </w:pPr>
            <w:r w:rsidRPr="00DB070D">
              <w:t>Excellent</w:t>
            </w:r>
            <w:r>
              <w:t xml:space="preserve"> n (%)*</w:t>
            </w:r>
          </w:p>
        </w:tc>
        <w:tc>
          <w:tcPr>
            <w:tcW w:w="1418" w:type="dxa"/>
          </w:tcPr>
          <w:p w14:paraId="0F09AF38" w14:textId="16FE01AB" w:rsidR="006D35A0" w:rsidRPr="00DB070D" w:rsidRDefault="006D35A0" w:rsidP="00D30A1B">
            <w:pPr>
              <w:cnfStyle w:val="100000000000" w:firstRow="1" w:lastRow="0" w:firstColumn="0" w:lastColumn="0" w:oddVBand="0" w:evenVBand="0" w:oddHBand="0" w:evenHBand="0" w:firstRowFirstColumn="0" w:firstRowLastColumn="0" w:lastRowFirstColumn="0" w:lastRowLastColumn="0"/>
            </w:pPr>
            <w:r w:rsidRPr="00DB070D">
              <w:t>Good</w:t>
            </w:r>
            <w:r w:rsidR="00D30A1B">
              <w:t xml:space="preserve"> </w:t>
            </w:r>
            <w:r>
              <w:t>n (%)*</w:t>
            </w:r>
          </w:p>
        </w:tc>
        <w:tc>
          <w:tcPr>
            <w:tcW w:w="1559" w:type="dxa"/>
          </w:tcPr>
          <w:p w14:paraId="1C826422" w14:textId="7AF835FA" w:rsidR="006D35A0" w:rsidRPr="00DB070D" w:rsidRDefault="006D35A0" w:rsidP="00D30A1B">
            <w:pPr>
              <w:cnfStyle w:val="100000000000" w:firstRow="1" w:lastRow="0" w:firstColumn="0" w:lastColumn="0" w:oddVBand="0" w:evenVBand="0" w:oddHBand="0" w:evenHBand="0" w:firstRowFirstColumn="0" w:firstRowLastColumn="0" w:lastRowFirstColumn="0" w:lastRowLastColumn="0"/>
            </w:pPr>
            <w:r w:rsidRPr="00DB070D">
              <w:t>Moderate</w:t>
            </w:r>
            <w:r w:rsidR="00D30A1B">
              <w:t xml:space="preserve"> </w:t>
            </w:r>
            <w:r>
              <w:t xml:space="preserve">n (%)* </w:t>
            </w:r>
          </w:p>
        </w:tc>
        <w:tc>
          <w:tcPr>
            <w:tcW w:w="1110" w:type="dxa"/>
          </w:tcPr>
          <w:p w14:paraId="566A2BA7" w14:textId="4E9CEC1E" w:rsidR="006D35A0" w:rsidRPr="00DB070D" w:rsidRDefault="006D35A0" w:rsidP="00D30A1B">
            <w:pPr>
              <w:cnfStyle w:val="100000000000" w:firstRow="1" w:lastRow="0" w:firstColumn="0" w:lastColumn="0" w:oddVBand="0" w:evenVBand="0" w:oddHBand="0" w:evenHBand="0" w:firstRowFirstColumn="0" w:firstRowLastColumn="0" w:lastRowFirstColumn="0" w:lastRowLastColumn="0"/>
            </w:pPr>
            <w:r w:rsidRPr="00DB070D">
              <w:t>Poor</w:t>
            </w:r>
            <w:r w:rsidR="00D30A1B">
              <w:t xml:space="preserve"> </w:t>
            </w:r>
            <w:r>
              <w:t>n (%)*</w:t>
            </w:r>
          </w:p>
        </w:tc>
      </w:tr>
      <w:tr w:rsidR="006D35A0" w:rsidRPr="00DB070D" w14:paraId="052AC23E"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7D396881" w14:textId="2E58A168" w:rsidR="006D35A0" w:rsidRPr="00DB070D" w:rsidRDefault="006D35A0" w:rsidP="00D30A1B">
            <w:r w:rsidRPr="00DB070D">
              <w:t>All:</w:t>
            </w:r>
            <w:r w:rsidR="00D30A1B">
              <w:t xml:space="preserve"> </w:t>
            </w:r>
            <w:r w:rsidRPr="00DB070D">
              <w:t>2-12 years</w:t>
            </w:r>
          </w:p>
        </w:tc>
        <w:tc>
          <w:tcPr>
            <w:tcW w:w="851" w:type="dxa"/>
          </w:tcPr>
          <w:p w14:paraId="1E6B05F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59</w:t>
            </w:r>
          </w:p>
        </w:tc>
        <w:tc>
          <w:tcPr>
            <w:tcW w:w="1701" w:type="dxa"/>
          </w:tcPr>
          <w:p w14:paraId="0AD18EC2" w14:textId="1C6C7833" w:rsidR="006D35A0" w:rsidRPr="00DB070D" w:rsidRDefault="00D30A1B" w:rsidP="00D30A1B">
            <w:pPr>
              <w:cnfStyle w:val="000000000000" w:firstRow="0" w:lastRow="0" w:firstColumn="0" w:lastColumn="0" w:oddVBand="0" w:evenVBand="0" w:oddHBand="0" w:evenHBand="0" w:firstRowFirstColumn="0" w:firstRowLastColumn="0" w:lastRowFirstColumn="0" w:lastRowLastColumn="0"/>
            </w:pPr>
            <w:r>
              <w:t>Spontaneous BEs</w:t>
            </w:r>
          </w:p>
        </w:tc>
        <w:tc>
          <w:tcPr>
            <w:tcW w:w="1559" w:type="dxa"/>
          </w:tcPr>
          <w:p w14:paraId="245E65C5"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56 (94.9)</w:t>
            </w:r>
          </w:p>
        </w:tc>
        <w:tc>
          <w:tcPr>
            <w:tcW w:w="1418" w:type="dxa"/>
          </w:tcPr>
          <w:p w14:paraId="5473005F"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1 (1.7)</w:t>
            </w:r>
          </w:p>
        </w:tc>
        <w:tc>
          <w:tcPr>
            <w:tcW w:w="1559" w:type="dxa"/>
          </w:tcPr>
          <w:p w14:paraId="5AE21321"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 (3.4)</w:t>
            </w:r>
          </w:p>
        </w:tc>
        <w:tc>
          <w:tcPr>
            <w:tcW w:w="1110" w:type="dxa"/>
          </w:tcPr>
          <w:p w14:paraId="2E04B1EE" w14:textId="63A7EF04" w:rsidR="006D35A0" w:rsidRPr="00DB070D" w:rsidRDefault="00D30A1B" w:rsidP="00D30A1B">
            <w:pPr>
              <w:cnfStyle w:val="000000000000" w:firstRow="0" w:lastRow="0" w:firstColumn="0" w:lastColumn="0" w:oddVBand="0" w:evenVBand="0" w:oddHBand="0" w:evenHBand="0" w:firstRowFirstColumn="0" w:firstRowLastColumn="0" w:lastRowFirstColumn="0" w:lastRowLastColumn="0"/>
            </w:pPr>
            <w:r>
              <w:t>-</w:t>
            </w:r>
          </w:p>
        </w:tc>
      </w:tr>
      <w:tr w:rsidR="006D35A0" w:rsidRPr="00DB070D" w14:paraId="4AFE90F7"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546A82A3" w14:textId="77777777" w:rsidR="006D35A0" w:rsidRPr="00DB070D" w:rsidRDefault="006D35A0" w:rsidP="00D30A1B"/>
        </w:tc>
        <w:tc>
          <w:tcPr>
            <w:tcW w:w="851" w:type="dxa"/>
          </w:tcPr>
          <w:p w14:paraId="1522974F"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59</w:t>
            </w:r>
          </w:p>
        </w:tc>
        <w:tc>
          <w:tcPr>
            <w:tcW w:w="1701" w:type="dxa"/>
          </w:tcPr>
          <w:p w14:paraId="6B138158"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Traumatic BEs</w:t>
            </w:r>
          </w:p>
        </w:tc>
        <w:tc>
          <w:tcPr>
            <w:tcW w:w="1559" w:type="dxa"/>
          </w:tcPr>
          <w:p w14:paraId="66561064"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55 (93.2)</w:t>
            </w:r>
          </w:p>
        </w:tc>
        <w:tc>
          <w:tcPr>
            <w:tcW w:w="1418" w:type="dxa"/>
          </w:tcPr>
          <w:p w14:paraId="0EBFBD40"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3 (5.1)</w:t>
            </w:r>
          </w:p>
        </w:tc>
        <w:tc>
          <w:tcPr>
            <w:tcW w:w="1559" w:type="dxa"/>
          </w:tcPr>
          <w:p w14:paraId="6CCBE975"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110" w:type="dxa"/>
          </w:tcPr>
          <w:p w14:paraId="65C829F5"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1 (1.7)</w:t>
            </w:r>
          </w:p>
        </w:tc>
      </w:tr>
      <w:tr w:rsidR="006D35A0" w:rsidRPr="00DB070D" w14:paraId="62688C61"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230C4254" w14:textId="77777777" w:rsidR="006D35A0" w:rsidRPr="00DB070D" w:rsidRDefault="006D35A0" w:rsidP="00D30A1B"/>
        </w:tc>
        <w:tc>
          <w:tcPr>
            <w:tcW w:w="851" w:type="dxa"/>
          </w:tcPr>
          <w:p w14:paraId="285947E4"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59</w:t>
            </w:r>
          </w:p>
        </w:tc>
        <w:tc>
          <w:tcPr>
            <w:tcW w:w="1701" w:type="dxa"/>
          </w:tcPr>
          <w:p w14:paraId="0427B239"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All BEs</w:t>
            </w:r>
          </w:p>
        </w:tc>
        <w:tc>
          <w:tcPr>
            <w:tcW w:w="1559" w:type="dxa"/>
          </w:tcPr>
          <w:p w14:paraId="01ECF79F"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49 (83.1)</w:t>
            </w:r>
          </w:p>
        </w:tc>
        <w:tc>
          <w:tcPr>
            <w:tcW w:w="1418" w:type="dxa"/>
          </w:tcPr>
          <w:p w14:paraId="7AE44A1A"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5 (8.5)</w:t>
            </w:r>
          </w:p>
        </w:tc>
        <w:tc>
          <w:tcPr>
            <w:tcW w:w="1559" w:type="dxa"/>
          </w:tcPr>
          <w:p w14:paraId="22FBC242"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3 (5.1)</w:t>
            </w:r>
          </w:p>
        </w:tc>
        <w:tc>
          <w:tcPr>
            <w:tcW w:w="1110" w:type="dxa"/>
          </w:tcPr>
          <w:p w14:paraId="2F581D4B"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 (3.4)</w:t>
            </w:r>
          </w:p>
        </w:tc>
      </w:tr>
      <w:tr w:rsidR="006D35A0" w:rsidRPr="00DB070D" w14:paraId="23508109"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6C3DB2E7" w14:textId="7DE3C8AB" w:rsidR="006D35A0" w:rsidRPr="00DB070D" w:rsidRDefault="006D35A0" w:rsidP="00D30A1B">
            <w:r>
              <w:t>Age:</w:t>
            </w:r>
            <w:r w:rsidR="00D30A1B">
              <w:t xml:space="preserve"> </w:t>
            </w:r>
            <w:r w:rsidRPr="00DB070D">
              <w:t>2-5 years</w:t>
            </w:r>
          </w:p>
        </w:tc>
        <w:tc>
          <w:tcPr>
            <w:tcW w:w="851" w:type="dxa"/>
          </w:tcPr>
          <w:p w14:paraId="160526B5"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29</w:t>
            </w:r>
          </w:p>
        </w:tc>
        <w:tc>
          <w:tcPr>
            <w:tcW w:w="1701" w:type="dxa"/>
          </w:tcPr>
          <w:p w14:paraId="5EAA98B0"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 xml:space="preserve">Spontaneous BEs </w:t>
            </w:r>
          </w:p>
        </w:tc>
        <w:tc>
          <w:tcPr>
            <w:tcW w:w="1559" w:type="dxa"/>
          </w:tcPr>
          <w:p w14:paraId="51B074D9"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28 (96.6)</w:t>
            </w:r>
          </w:p>
        </w:tc>
        <w:tc>
          <w:tcPr>
            <w:tcW w:w="1418" w:type="dxa"/>
          </w:tcPr>
          <w:p w14:paraId="797F8BA9"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1 (3.4)</w:t>
            </w:r>
          </w:p>
        </w:tc>
        <w:tc>
          <w:tcPr>
            <w:tcW w:w="1559" w:type="dxa"/>
          </w:tcPr>
          <w:p w14:paraId="2D1DC2A3"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110" w:type="dxa"/>
          </w:tcPr>
          <w:p w14:paraId="69C0C4F3"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r>
      <w:tr w:rsidR="006D35A0" w:rsidRPr="00DB070D" w14:paraId="473D489A"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6272F92E" w14:textId="77777777" w:rsidR="006D35A0" w:rsidRPr="00DB070D" w:rsidRDefault="006D35A0" w:rsidP="00D30A1B"/>
        </w:tc>
        <w:tc>
          <w:tcPr>
            <w:tcW w:w="851" w:type="dxa"/>
          </w:tcPr>
          <w:p w14:paraId="6FCE3B6A"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29</w:t>
            </w:r>
          </w:p>
        </w:tc>
        <w:tc>
          <w:tcPr>
            <w:tcW w:w="1701" w:type="dxa"/>
          </w:tcPr>
          <w:p w14:paraId="55CA4C50"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Traumatic BEs</w:t>
            </w:r>
          </w:p>
        </w:tc>
        <w:tc>
          <w:tcPr>
            <w:tcW w:w="1559" w:type="dxa"/>
          </w:tcPr>
          <w:p w14:paraId="4CDE8E2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29 (100.0)</w:t>
            </w:r>
          </w:p>
        </w:tc>
        <w:tc>
          <w:tcPr>
            <w:tcW w:w="1418" w:type="dxa"/>
          </w:tcPr>
          <w:p w14:paraId="11012A85"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559" w:type="dxa"/>
          </w:tcPr>
          <w:p w14:paraId="74C8DF72"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110" w:type="dxa"/>
          </w:tcPr>
          <w:p w14:paraId="5930FBEB"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r>
      <w:tr w:rsidR="006D35A0" w:rsidRPr="00DB070D" w14:paraId="72748FF1"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15171ACF" w14:textId="77777777" w:rsidR="006D35A0" w:rsidRPr="00DB070D" w:rsidRDefault="006D35A0" w:rsidP="00D30A1B"/>
        </w:tc>
        <w:tc>
          <w:tcPr>
            <w:tcW w:w="851" w:type="dxa"/>
          </w:tcPr>
          <w:p w14:paraId="326C2907"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29</w:t>
            </w:r>
          </w:p>
        </w:tc>
        <w:tc>
          <w:tcPr>
            <w:tcW w:w="1701" w:type="dxa"/>
          </w:tcPr>
          <w:p w14:paraId="7A6EC35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All BEs</w:t>
            </w:r>
          </w:p>
        </w:tc>
        <w:tc>
          <w:tcPr>
            <w:tcW w:w="1559" w:type="dxa"/>
          </w:tcPr>
          <w:p w14:paraId="0649AE1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27 (93.1)</w:t>
            </w:r>
          </w:p>
        </w:tc>
        <w:tc>
          <w:tcPr>
            <w:tcW w:w="1418" w:type="dxa"/>
          </w:tcPr>
          <w:p w14:paraId="53A95498"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1 (3.4)</w:t>
            </w:r>
          </w:p>
        </w:tc>
        <w:tc>
          <w:tcPr>
            <w:tcW w:w="1559" w:type="dxa"/>
          </w:tcPr>
          <w:p w14:paraId="221F1EB1"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1 (3.4)</w:t>
            </w:r>
          </w:p>
        </w:tc>
        <w:tc>
          <w:tcPr>
            <w:tcW w:w="1110" w:type="dxa"/>
          </w:tcPr>
          <w:p w14:paraId="1EE92D1E"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r>
      <w:tr w:rsidR="006D35A0" w:rsidRPr="00DB070D" w14:paraId="7A6B88C6"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61A316A7" w14:textId="6C05C50E" w:rsidR="006D35A0" w:rsidRPr="00DB070D" w:rsidRDefault="006D35A0" w:rsidP="00D30A1B">
            <w:r>
              <w:t>Age:</w:t>
            </w:r>
            <w:r w:rsidR="00D30A1B">
              <w:t xml:space="preserve"> </w:t>
            </w:r>
            <w:r w:rsidRPr="00DB070D">
              <w:t>6-12 years</w:t>
            </w:r>
          </w:p>
        </w:tc>
        <w:tc>
          <w:tcPr>
            <w:tcW w:w="851" w:type="dxa"/>
          </w:tcPr>
          <w:p w14:paraId="48A8F0CA"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30</w:t>
            </w:r>
          </w:p>
        </w:tc>
        <w:tc>
          <w:tcPr>
            <w:tcW w:w="1701" w:type="dxa"/>
          </w:tcPr>
          <w:p w14:paraId="142A5359"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 xml:space="preserve">Spontaneous BEs </w:t>
            </w:r>
          </w:p>
        </w:tc>
        <w:tc>
          <w:tcPr>
            <w:tcW w:w="1559" w:type="dxa"/>
          </w:tcPr>
          <w:p w14:paraId="36CC2844"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rPr>
                <w:color w:val="000000"/>
              </w:rPr>
            </w:pPr>
            <w:r w:rsidRPr="00DB070D">
              <w:rPr>
                <w:color w:val="000000"/>
              </w:rPr>
              <w:t>28 (93.3)</w:t>
            </w:r>
          </w:p>
        </w:tc>
        <w:tc>
          <w:tcPr>
            <w:tcW w:w="1418" w:type="dxa"/>
          </w:tcPr>
          <w:p w14:paraId="5131959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559" w:type="dxa"/>
          </w:tcPr>
          <w:p w14:paraId="76458AD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 (6.7)</w:t>
            </w:r>
          </w:p>
        </w:tc>
        <w:tc>
          <w:tcPr>
            <w:tcW w:w="1110" w:type="dxa"/>
          </w:tcPr>
          <w:p w14:paraId="64ED3087"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r>
      <w:tr w:rsidR="006D35A0" w:rsidRPr="00DB070D" w14:paraId="1D62345B"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0A6B1D0D" w14:textId="77777777" w:rsidR="006D35A0" w:rsidRPr="00DB070D" w:rsidRDefault="006D35A0" w:rsidP="00D30A1B"/>
        </w:tc>
        <w:tc>
          <w:tcPr>
            <w:tcW w:w="851" w:type="dxa"/>
          </w:tcPr>
          <w:p w14:paraId="4A463EC8"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30</w:t>
            </w:r>
          </w:p>
        </w:tc>
        <w:tc>
          <w:tcPr>
            <w:tcW w:w="1701" w:type="dxa"/>
          </w:tcPr>
          <w:p w14:paraId="03E36E4E"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Traumatic BEs</w:t>
            </w:r>
          </w:p>
        </w:tc>
        <w:tc>
          <w:tcPr>
            <w:tcW w:w="1559" w:type="dxa"/>
          </w:tcPr>
          <w:p w14:paraId="470B4C2D"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rPr>
                <w:color w:val="000000"/>
              </w:rPr>
            </w:pPr>
            <w:r w:rsidRPr="00DB070D">
              <w:rPr>
                <w:color w:val="000000"/>
              </w:rPr>
              <w:t>26 (86.7)</w:t>
            </w:r>
          </w:p>
        </w:tc>
        <w:tc>
          <w:tcPr>
            <w:tcW w:w="1418" w:type="dxa"/>
          </w:tcPr>
          <w:p w14:paraId="177629C6"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3 (10.0)</w:t>
            </w:r>
          </w:p>
        </w:tc>
        <w:tc>
          <w:tcPr>
            <w:tcW w:w="1559" w:type="dxa"/>
          </w:tcPr>
          <w:p w14:paraId="2B2D5916"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w:t>
            </w:r>
          </w:p>
        </w:tc>
        <w:tc>
          <w:tcPr>
            <w:tcW w:w="1110" w:type="dxa"/>
          </w:tcPr>
          <w:p w14:paraId="05BF77C3"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1 (3.3)</w:t>
            </w:r>
          </w:p>
        </w:tc>
      </w:tr>
      <w:tr w:rsidR="006D35A0" w:rsidRPr="00DB070D" w14:paraId="433F0756"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5B7F4998" w14:textId="77777777" w:rsidR="006D35A0" w:rsidRPr="00DB070D" w:rsidRDefault="006D35A0" w:rsidP="00D30A1B"/>
        </w:tc>
        <w:tc>
          <w:tcPr>
            <w:tcW w:w="851" w:type="dxa"/>
          </w:tcPr>
          <w:p w14:paraId="3D373173"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30</w:t>
            </w:r>
          </w:p>
        </w:tc>
        <w:tc>
          <w:tcPr>
            <w:tcW w:w="1701" w:type="dxa"/>
          </w:tcPr>
          <w:p w14:paraId="0970CB78"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t>All BEs</w:t>
            </w:r>
          </w:p>
        </w:tc>
        <w:tc>
          <w:tcPr>
            <w:tcW w:w="1559" w:type="dxa"/>
          </w:tcPr>
          <w:p w14:paraId="473A6108"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rPr>
                <w:color w:val="000000"/>
              </w:rPr>
            </w:pPr>
            <w:r w:rsidRPr="00DB070D">
              <w:rPr>
                <w:color w:val="000000"/>
              </w:rPr>
              <w:t>22 (73.3)</w:t>
            </w:r>
          </w:p>
        </w:tc>
        <w:tc>
          <w:tcPr>
            <w:tcW w:w="1418" w:type="dxa"/>
          </w:tcPr>
          <w:p w14:paraId="25A950B7"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4 (13.3)</w:t>
            </w:r>
          </w:p>
        </w:tc>
        <w:tc>
          <w:tcPr>
            <w:tcW w:w="1559" w:type="dxa"/>
          </w:tcPr>
          <w:p w14:paraId="6B8A4A07"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 (6.7)</w:t>
            </w:r>
          </w:p>
        </w:tc>
        <w:tc>
          <w:tcPr>
            <w:tcW w:w="1110" w:type="dxa"/>
          </w:tcPr>
          <w:p w14:paraId="3346EEAC" w14:textId="77777777" w:rsidR="006D35A0" w:rsidRPr="00DB070D" w:rsidRDefault="006D35A0" w:rsidP="00D30A1B">
            <w:pPr>
              <w:cnfStyle w:val="000000000000" w:firstRow="0" w:lastRow="0" w:firstColumn="0" w:lastColumn="0" w:oddVBand="0" w:evenVBand="0" w:oddHBand="0" w:evenHBand="0" w:firstRowFirstColumn="0" w:firstRowLastColumn="0" w:lastRowFirstColumn="0" w:lastRowLastColumn="0"/>
            </w:pPr>
            <w:r w:rsidRPr="00DB070D">
              <w:rPr>
                <w:color w:val="000000"/>
              </w:rPr>
              <w:t>2 (6.7)</w:t>
            </w:r>
          </w:p>
        </w:tc>
      </w:tr>
    </w:tbl>
    <w:p w14:paraId="640959B0" w14:textId="4636AAF9" w:rsidR="006D35A0" w:rsidRPr="00E90403" w:rsidRDefault="006D35A0" w:rsidP="00CE5D1D">
      <w:pPr>
        <w:pStyle w:val="TableDescription"/>
      </w:pPr>
      <w:r w:rsidRPr="00E90403">
        <w:t xml:space="preserve">* </w:t>
      </w:r>
      <w:r>
        <w:t xml:space="preserve">Excellent = &lt;0.75 BEs/month; Good = 0.75–1.0 BEs/month; </w:t>
      </w:r>
      <w:r w:rsidRPr="00E90403">
        <w:t>Moderate = &gt;1.0–1.5 BEs/month</w:t>
      </w:r>
      <w:r>
        <w:t>; and P</w:t>
      </w:r>
      <w:r w:rsidRPr="00E90403">
        <w:t>oor = &gt;1.5 BEs/month.</w:t>
      </w:r>
      <w:r>
        <w:t xml:space="preserve"> </w:t>
      </w:r>
      <w:r w:rsidRPr="00E90403">
        <w:t>** Includes all BEs between start of prophylactic treatment and last prophylactic treatment + 2 days or completion visit, whichever came first. BEs between start of treatment for surgery and re-start of prophylactic treatment after surgery were excluded. BE = bleeding episode; ED = exposure day; n = number of patients in analysis group; PROPH = study population of patients receiving prophylaxis.</w:t>
      </w:r>
    </w:p>
    <w:p w14:paraId="55C2A0E8" w14:textId="77777777" w:rsidR="006D35A0" w:rsidRDefault="006D35A0" w:rsidP="006D35A0">
      <w:r w:rsidRPr="00B65C0C">
        <w:t xml:space="preserve">The monthly rates for spontaneous, traumatic and all BEs are summarised below in Table </w:t>
      </w:r>
      <w:r>
        <w:t>2</w:t>
      </w:r>
      <w:r w:rsidR="006F09EA">
        <w:t>8</w:t>
      </w:r>
      <w:r w:rsidRPr="00B65C0C">
        <w:t>.</w:t>
      </w:r>
      <w:r w:rsidRPr="00B65C0C">
        <w:rPr>
          <w:b/>
        </w:rPr>
        <w:t xml:space="preserve"> </w:t>
      </w:r>
      <w:r w:rsidRPr="00B65C0C">
        <w:t xml:space="preserve">The monthly rates for all, spontaneous, and traumatic </w:t>
      </w:r>
      <w:r>
        <w:t>BEs</w:t>
      </w:r>
      <w:r w:rsidRPr="00B65C0C">
        <w:t xml:space="preserve"> at the end of the study were greater in the 6-12 years age group </w:t>
      </w:r>
      <w:r>
        <w:t xml:space="preserve">than in </w:t>
      </w:r>
      <w:r w:rsidRPr="00B65C0C">
        <w:t>the 2-5 years age group. The monthly rates for traumatic BEs were greater than the monthly rates for spontaneous BEs in both age sub-groups.</w:t>
      </w:r>
    </w:p>
    <w:p w14:paraId="26A3DAAB" w14:textId="580A4104" w:rsidR="006D35A0" w:rsidRPr="00E90403" w:rsidRDefault="006D35A0" w:rsidP="000653C4">
      <w:pPr>
        <w:pStyle w:val="Tabletitle"/>
      </w:pPr>
      <w:bookmarkStart w:id="121" w:name="_Toc248202547"/>
      <w:r>
        <w:t xml:space="preserve">Table </w:t>
      </w:r>
      <w:r w:rsidR="000A1340">
        <w:t>2</w:t>
      </w:r>
      <w:r w:rsidR="006F09EA">
        <w:t>8</w:t>
      </w:r>
      <w:r>
        <w:t>: GENA-03 - Monthly rate of BEs * at end of study (EOS) ** during prophylactic treatment; PROPH, n=59.</w:t>
      </w:r>
      <w:bookmarkEnd w:id="121"/>
    </w:p>
    <w:tbl>
      <w:tblPr>
        <w:tblStyle w:val="TableTGAblue"/>
        <w:tblW w:w="10065" w:type="dxa"/>
        <w:tblLayout w:type="fixed"/>
        <w:tblLook w:val="04A0" w:firstRow="1" w:lastRow="0" w:firstColumn="1" w:lastColumn="0" w:noHBand="0" w:noVBand="1"/>
      </w:tblPr>
      <w:tblGrid>
        <w:gridCol w:w="1135"/>
        <w:gridCol w:w="987"/>
        <w:gridCol w:w="997"/>
        <w:gridCol w:w="993"/>
        <w:gridCol w:w="992"/>
        <w:gridCol w:w="992"/>
        <w:gridCol w:w="992"/>
        <w:gridCol w:w="993"/>
        <w:gridCol w:w="992"/>
        <w:gridCol w:w="992"/>
      </w:tblGrid>
      <w:tr w:rsidR="006D35A0" w14:paraId="176222D8" w14:textId="77777777" w:rsidTr="00CE5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7708ABA8" w14:textId="77777777" w:rsidR="006D35A0" w:rsidRPr="00A67B11" w:rsidRDefault="006D35A0" w:rsidP="00CE5D1D">
            <w:pPr>
              <w:ind w:left="0"/>
            </w:pPr>
            <w:r w:rsidRPr="00A67B11">
              <w:t>Para</w:t>
            </w:r>
            <w:r w:rsidR="00A67B11">
              <w:t>-</w:t>
            </w:r>
            <w:r w:rsidRPr="00A67B11">
              <w:t>meter</w:t>
            </w:r>
          </w:p>
        </w:tc>
        <w:tc>
          <w:tcPr>
            <w:tcW w:w="2977" w:type="dxa"/>
            <w:gridSpan w:val="3"/>
          </w:tcPr>
          <w:p w14:paraId="22AE4E8F" w14:textId="77777777" w:rsidR="006D35A0" w:rsidRPr="00A67B11" w:rsidRDefault="006D35A0" w:rsidP="00CE5D1D">
            <w:pPr>
              <w:ind w:left="0"/>
              <w:cnfStyle w:val="100000000000" w:firstRow="1" w:lastRow="0" w:firstColumn="0" w:lastColumn="0" w:oddVBand="0" w:evenVBand="0" w:oddHBand="0" w:evenHBand="0" w:firstRowFirstColumn="0" w:firstRowLastColumn="0" w:lastRowFirstColumn="0" w:lastRowLastColumn="0"/>
            </w:pPr>
            <w:r w:rsidRPr="00A67B11">
              <w:t>Spontaneous BEs/month - EOS</w:t>
            </w:r>
          </w:p>
        </w:tc>
        <w:tc>
          <w:tcPr>
            <w:tcW w:w="2976" w:type="dxa"/>
            <w:gridSpan w:val="3"/>
          </w:tcPr>
          <w:p w14:paraId="1408879D" w14:textId="77777777" w:rsidR="006D35A0" w:rsidRPr="00A67B11" w:rsidRDefault="006D35A0" w:rsidP="00CE5D1D">
            <w:pPr>
              <w:ind w:left="0" w:firstLine="5"/>
              <w:cnfStyle w:val="100000000000" w:firstRow="1" w:lastRow="0" w:firstColumn="0" w:lastColumn="0" w:oddVBand="0" w:evenVBand="0" w:oddHBand="0" w:evenHBand="0" w:firstRowFirstColumn="0" w:firstRowLastColumn="0" w:lastRowFirstColumn="0" w:lastRowLastColumn="0"/>
            </w:pPr>
            <w:r w:rsidRPr="00A67B11">
              <w:t>Traumatic BEs/month - EOS</w:t>
            </w:r>
          </w:p>
        </w:tc>
        <w:tc>
          <w:tcPr>
            <w:tcW w:w="2977" w:type="dxa"/>
            <w:gridSpan w:val="3"/>
          </w:tcPr>
          <w:p w14:paraId="26474656" w14:textId="77777777" w:rsidR="006D35A0" w:rsidRPr="00A67B11" w:rsidRDefault="006D35A0" w:rsidP="00CE5D1D">
            <w:pPr>
              <w:ind w:left="0"/>
              <w:cnfStyle w:val="100000000000" w:firstRow="1" w:lastRow="0" w:firstColumn="0" w:lastColumn="0" w:oddVBand="0" w:evenVBand="0" w:oddHBand="0" w:evenHBand="0" w:firstRowFirstColumn="0" w:firstRowLastColumn="0" w:lastRowFirstColumn="0" w:lastRowLastColumn="0"/>
            </w:pPr>
            <w:r w:rsidRPr="00A67B11">
              <w:t>All BEs/month - EOS</w:t>
            </w:r>
          </w:p>
        </w:tc>
      </w:tr>
      <w:tr w:rsidR="006D35A0" w14:paraId="7F6C016B" w14:textId="77777777" w:rsidTr="00CE5D1D">
        <w:tc>
          <w:tcPr>
            <w:cnfStyle w:val="001000000000" w:firstRow="0" w:lastRow="0" w:firstColumn="1" w:lastColumn="0" w:oddVBand="0" w:evenVBand="0" w:oddHBand="0" w:evenHBand="0" w:firstRowFirstColumn="0" w:firstRowLastColumn="0" w:lastRowFirstColumn="0" w:lastRowLastColumn="0"/>
            <w:tcW w:w="1135" w:type="dxa"/>
          </w:tcPr>
          <w:p w14:paraId="2ADF6487" w14:textId="77777777" w:rsidR="006D35A0" w:rsidRPr="00A67B11" w:rsidRDefault="006D35A0" w:rsidP="00CE5D1D">
            <w:pPr>
              <w:ind w:left="0"/>
            </w:pPr>
          </w:p>
        </w:tc>
        <w:tc>
          <w:tcPr>
            <w:tcW w:w="987" w:type="dxa"/>
          </w:tcPr>
          <w:p w14:paraId="104504B6" w14:textId="1EAC83B5"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All</w:t>
            </w:r>
            <w:r w:rsidR="00CE5D1D">
              <w:t xml:space="preserve"> </w:t>
            </w:r>
            <w:r w:rsidRPr="00A67B11">
              <w:t>n=59</w:t>
            </w:r>
          </w:p>
        </w:tc>
        <w:tc>
          <w:tcPr>
            <w:tcW w:w="997" w:type="dxa"/>
          </w:tcPr>
          <w:p w14:paraId="1C3683BD" w14:textId="10D28D91"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2-5 years</w:t>
            </w:r>
            <w:r w:rsidR="00CE5D1D">
              <w:t xml:space="preserve"> </w:t>
            </w:r>
            <w:r w:rsidRPr="00A67B11">
              <w:t>n=29</w:t>
            </w:r>
          </w:p>
        </w:tc>
        <w:tc>
          <w:tcPr>
            <w:tcW w:w="993" w:type="dxa"/>
          </w:tcPr>
          <w:p w14:paraId="370CE397" w14:textId="6D7D72E6"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6-12 years</w:t>
            </w:r>
            <w:r w:rsidR="00CE5D1D">
              <w:t xml:space="preserve"> </w:t>
            </w:r>
            <w:r w:rsidRPr="00A67B11">
              <w:t>n=30</w:t>
            </w:r>
          </w:p>
        </w:tc>
        <w:tc>
          <w:tcPr>
            <w:tcW w:w="992" w:type="dxa"/>
          </w:tcPr>
          <w:p w14:paraId="50DCB960" w14:textId="26288A5A"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All</w:t>
            </w:r>
            <w:r w:rsidR="00CE5D1D">
              <w:t xml:space="preserve"> </w:t>
            </w:r>
            <w:r w:rsidRPr="00A67B11">
              <w:t>n=59</w:t>
            </w:r>
          </w:p>
        </w:tc>
        <w:tc>
          <w:tcPr>
            <w:tcW w:w="992" w:type="dxa"/>
          </w:tcPr>
          <w:p w14:paraId="792A7BE4" w14:textId="3253094E"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2-5 years</w:t>
            </w:r>
            <w:r w:rsidR="00CE5D1D">
              <w:t xml:space="preserve"> </w:t>
            </w:r>
            <w:r w:rsidRPr="00A67B11">
              <w:t>n=29</w:t>
            </w:r>
          </w:p>
        </w:tc>
        <w:tc>
          <w:tcPr>
            <w:tcW w:w="992" w:type="dxa"/>
          </w:tcPr>
          <w:p w14:paraId="3BC8642D" w14:textId="1ACD3703"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6-12 years</w:t>
            </w:r>
            <w:r w:rsidR="00CE5D1D">
              <w:t xml:space="preserve"> </w:t>
            </w:r>
            <w:r w:rsidRPr="00A67B11">
              <w:t>n=30</w:t>
            </w:r>
          </w:p>
        </w:tc>
        <w:tc>
          <w:tcPr>
            <w:tcW w:w="993" w:type="dxa"/>
          </w:tcPr>
          <w:p w14:paraId="3E391F70" w14:textId="79FE5B19"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All</w:t>
            </w:r>
            <w:r w:rsidR="00CE5D1D">
              <w:t xml:space="preserve"> </w:t>
            </w:r>
            <w:r w:rsidRPr="00A67B11">
              <w:t>n=59</w:t>
            </w:r>
          </w:p>
        </w:tc>
        <w:tc>
          <w:tcPr>
            <w:tcW w:w="992" w:type="dxa"/>
          </w:tcPr>
          <w:p w14:paraId="007CB6F0" w14:textId="60E1F57E"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2-5 years</w:t>
            </w:r>
            <w:r w:rsidR="00CE5D1D">
              <w:t xml:space="preserve"> </w:t>
            </w:r>
            <w:r w:rsidRPr="00A67B11">
              <w:t>n=29</w:t>
            </w:r>
          </w:p>
        </w:tc>
        <w:tc>
          <w:tcPr>
            <w:tcW w:w="992" w:type="dxa"/>
          </w:tcPr>
          <w:p w14:paraId="72FA17B2" w14:textId="5C49E71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6-12 years</w:t>
            </w:r>
            <w:r w:rsidR="00CE5D1D">
              <w:t xml:space="preserve"> </w:t>
            </w:r>
            <w:r w:rsidRPr="00A67B11">
              <w:t>n=30</w:t>
            </w:r>
          </w:p>
        </w:tc>
      </w:tr>
      <w:tr w:rsidR="006D35A0" w14:paraId="4B88CA6E" w14:textId="77777777" w:rsidTr="00CE5D1D">
        <w:tc>
          <w:tcPr>
            <w:cnfStyle w:val="001000000000" w:firstRow="0" w:lastRow="0" w:firstColumn="1" w:lastColumn="0" w:oddVBand="0" w:evenVBand="0" w:oddHBand="0" w:evenHBand="0" w:firstRowFirstColumn="0" w:firstRowLastColumn="0" w:lastRowFirstColumn="0" w:lastRowLastColumn="0"/>
            <w:tcW w:w="1135" w:type="dxa"/>
          </w:tcPr>
          <w:p w14:paraId="6D7F6C84" w14:textId="77777777" w:rsidR="006D35A0" w:rsidRPr="00A67B11" w:rsidRDefault="006D35A0" w:rsidP="00CE5D1D">
            <w:pPr>
              <w:ind w:left="0"/>
            </w:pPr>
            <w:r w:rsidRPr="00A67B11">
              <w:t>Mean</w:t>
            </w:r>
          </w:p>
        </w:tc>
        <w:tc>
          <w:tcPr>
            <w:tcW w:w="987" w:type="dxa"/>
          </w:tcPr>
          <w:p w14:paraId="4C72ED87"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rPr>
                <w:color w:val="000000"/>
              </w:rPr>
              <w:t>0.123</w:t>
            </w:r>
          </w:p>
        </w:tc>
        <w:tc>
          <w:tcPr>
            <w:tcW w:w="997" w:type="dxa"/>
          </w:tcPr>
          <w:p w14:paraId="700F2B55"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0.089</w:t>
            </w:r>
          </w:p>
        </w:tc>
        <w:tc>
          <w:tcPr>
            <w:tcW w:w="993" w:type="dxa"/>
          </w:tcPr>
          <w:p w14:paraId="10FE4D2C"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0.156</w:t>
            </w:r>
          </w:p>
        </w:tc>
        <w:tc>
          <w:tcPr>
            <w:tcW w:w="992" w:type="dxa"/>
          </w:tcPr>
          <w:p w14:paraId="06E35D0A"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0.192</w:t>
            </w:r>
          </w:p>
        </w:tc>
        <w:tc>
          <w:tcPr>
            <w:tcW w:w="992" w:type="dxa"/>
          </w:tcPr>
          <w:p w14:paraId="5B750A1E"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0.113</w:t>
            </w:r>
          </w:p>
        </w:tc>
        <w:tc>
          <w:tcPr>
            <w:tcW w:w="992" w:type="dxa"/>
          </w:tcPr>
          <w:p w14:paraId="341217A9"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0.268</w:t>
            </w:r>
          </w:p>
        </w:tc>
        <w:tc>
          <w:tcPr>
            <w:tcW w:w="993" w:type="dxa"/>
          </w:tcPr>
          <w:p w14:paraId="3522846A"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0.338</w:t>
            </w:r>
          </w:p>
        </w:tc>
        <w:tc>
          <w:tcPr>
            <w:tcW w:w="992" w:type="dxa"/>
          </w:tcPr>
          <w:p w14:paraId="083E9E11"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0.213</w:t>
            </w:r>
          </w:p>
        </w:tc>
        <w:tc>
          <w:tcPr>
            <w:tcW w:w="992" w:type="dxa"/>
          </w:tcPr>
          <w:p w14:paraId="6542B78F"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0.459</w:t>
            </w:r>
          </w:p>
        </w:tc>
      </w:tr>
      <w:tr w:rsidR="006D35A0" w14:paraId="6C57FF0F" w14:textId="77777777" w:rsidTr="00CE5D1D">
        <w:tc>
          <w:tcPr>
            <w:cnfStyle w:val="001000000000" w:firstRow="0" w:lastRow="0" w:firstColumn="1" w:lastColumn="0" w:oddVBand="0" w:evenVBand="0" w:oddHBand="0" w:evenHBand="0" w:firstRowFirstColumn="0" w:firstRowLastColumn="0" w:lastRowFirstColumn="0" w:lastRowLastColumn="0"/>
            <w:tcW w:w="1135" w:type="dxa"/>
          </w:tcPr>
          <w:p w14:paraId="59CAC3DD" w14:textId="77777777" w:rsidR="006D35A0" w:rsidRPr="00A67B11" w:rsidRDefault="006D35A0" w:rsidP="00CE5D1D">
            <w:pPr>
              <w:ind w:left="0"/>
            </w:pPr>
            <w:r w:rsidRPr="00A67B11">
              <w:t>SD</w:t>
            </w:r>
          </w:p>
        </w:tc>
        <w:tc>
          <w:tcPr>
            <w:tcW w:w="987" w:type="dxa"/>
          </w:tcPr>
          <w:p w14:paraId="52C8D052"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0.272</w:t>
            </w:r>
          </w:p>
        </w:tc>
        <w:tc>
          <w:tcPr>
            <w:tcW w:w="997" w:type="dxa"/>
          </w:tcPr>
          <w:p w14:paraId="7CECCE39"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0.218</w:t>
            </w:r>
          </w:p>
        </w:tc>
        <w:tc>
          <w:tcPr>
            <w:tcW w:w="993" w:type="dxa"/>
          </w:tcPr>
          <w:p w14:paraId="23B06B40"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0.317</w:t>
            </w:r>
          </w:p>
        </w:tc>
        <w:tc>
          <w:tcPr>
            <w:tcW w:w="992" w:type="dxa"/>
          </w:tcPr>
          <w:p w14:paraId="420F4A8B"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0.291</w:t>
            </w:r>
          </w:p>
        </w:tc>
        <w:tc>
          <w:tcPr>
            <w:tcW w:w="992" w:type="dxa"/>
          </w:tcPr>
          <w:p w14:paraId="5FAB9D99"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0.165</w:t>
            </w:r>
          </w:p>
        </w:tc>
        <w:tc>
          <w:tcPr>
            <w:tcW w:w="992" w:type="dxa"/>
          </w:tcPr>
          <w:p w14:paraId="55C9CE06"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0.362</w:t>
            </w:r>
          </w:p>
        </w:tc>
        <w:tc>
          <w:tcPr>
            <w:tcW w:w="993" w:type="dxa"/>
          </w:tcPr>
          <w:p w14:paraId="39F1950C"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0.429</w:t>
            </w:r>
          </w:p>
        </w:tc>
        <w:tc>
          <w:tcPr>
            <w:tcW w:w="992" w:type="dxa"/>
          </w:tcPr>
          <w:p w14:paraId="03EFB12C"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0.293</w:t>
            </w:r>
          </w:p>
        </w:tc>
        <w:tc>
          <w:tcPr>
            <w:tcW w:w="992" w:type="dxa"/>
          </w:tcPr>
          <w:p w14:paraId="1D6CA739"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0.504</w:t>
            </w:r>
          </w:p>
        </w:tc>
      </w:tr>
      <w:tr w:rsidR="006D35A0" w14:paraId="5729C795" w14:textId="77777777" w:rsidTr="00CE5D1D">
        <w:tc>
          <w:tcPr>
            <w:cnfStyle w:val="001000000000" w:firstRow="0" w:lastRow="0" w:firstColumn="1" w:lastColumn="0" w:oddVBand="0" w:evenVBand="0" w:oddHBand="0" w:evenHBand="0" w:firstRowFirstColumn="0" w:firstRowLastColumn="0" w:lastRowFirstColumn="0" w:lastRowLastColumn="0"/>
            <w:tcW w:w="1135" w:type="dxa"/>
          </w:tcPr>
          <w:p w14:paraId="06E0DBFD" w14:textId="77777777" w:rsidR="006D35A0" w:rsidRPr="00A67B11" w:rsidRDefault="006D35A0" w:rsidP="00CE5D1D">
            <w:pPr>
              <w:ind w:left="0"/>
            </w:pPr>
            <w:r w:rsidRPr="00A67B11">
              <w:t>Median</w:t>
            </w:r>
          </w:p>
        </w:tc>
        <w:tc>
          <w:tcPr>
            <w:tcW w:w="987" w:type="dxa"/>
          </w:tcPr>
          <w:p w14:paraId="7B641DFF"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w:t>
            </w:r>
          </w:p>
        </w:tc>
        <w:tc>
          <w:tcPr>
            <w:tcW w:w="997" w:type="dxa"/>
          </w:tcPr>
          <w:p w14:paraId="4ADFBC78"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w:t>
            </w:r>
          </w:p>
        </w:tc>
        <w:tc>
          <w:tcPr>
            <w:tcW w:w="993" w:type="dxa"/>
          </w:tcPr>
          <w:p w14:paraId="044E12C0"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w:t>
            </w:r>
          </w:p>
        </w:tc>
        <w:tc>
          <w:tcPr>
            <w:tcW w:w="992" w:type="dxa"/>
          </w:tcPr>
          <w:p w14:paraId="42320A58"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0.129</w:t>
            </w:r>
          </w:p>
        </w:tc>
        <w:tc>
          <w:tcPr>
            <w:tcW w:w="992" w:type="dxa"/>
          </w:tcPr>
          <w:p w14:paraId="14C3AD76"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w:t>
            </w:r>
          </w:p>
        </w:tc>
        <w:tc>
          <w:tcPr>
            <w:tcW w:w="992" w:type="dxa"/>
          </w:tcPr>
          <w:p w14:paraId="31E23307"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0.146</w:t>
            </w:r>
          </w:p>
        </w:tc>
        <w:tc>
          <w:tcPr>
            <w:tcW w:w="993" w:type="dxa"/>
          </w:tcPr>
          <w:p w14:paraId="4DCC5EFF"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0.156</w:t>
            </w:r>
          </w:p>
        </w:tc>
        <w:tc>
          <w:tcPr>
            <w:tcW w:w="992" w:type="dxa"/>
          </w:tcPr>
          <w:p w14:paraId="3465331B"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w:t>
            </w:r>
          </w:p>
        </w:tc>
        <w:tc>
          <w:tcPr>
            <w:tcW w:w="992" w:type="dxa"/>
          </w:tcPr>
          <w:p w14:paraId="29665DD0"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0.298</w:t>
            </w:r>
          </w:p>
        </w:tc>
      </w:tr>
      <w:tr w:rsidR="006D35A0" w14:paraId="17AA6E0B" w14:textId="77777777" w:rsidTr="00CE5D1D">
        <w:tc>
          <w:tcPr>
            <w:cnfStyle w:val="001000000000" w:firstRow="0" w:lastRow="0" w:firstColumn="1" w:lastColumn="0" w:oddVBand="0" w:evenVBand="0" w:oddHBand="0" w:evenHBand="0" w:firstRowFirstColumn="0" w:firstRowLastColumn="0" w:lastRowFirstColumn="0" w:lastRowLastColumn="0"/>
            <w:tcW w:w="1135" w:type="dxa"/>
          </w:tcPr>
          <w:p w14:paraId="78DA82DB" w14:textId="77777777" w:rsidR="006D35A0" w:rsidRPr="00A67B11" w:rsidRDefault="006D35A0" w:rsidP="00CE5D1D">
            <w:pPr>
              <w:ind w:left="0"/>
            </w:pPr>
            <w:r w:rsidRPr="00A67B11">
              <w:t>Range</w:t>
            </w:r>
          </w:p>
        </w:tc>
        <w:tc>
          <w:tcPr>
            <w:tcW w:w="987" w:type="dxa"/>
          </w:tcPr>
          <w:p w14:paraId="71DB02B1"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0-1.13</w:t>
            </w:r>
          </w:p>
        </w:tc>
        <w:tc>
          <w:tcPr>
            <w:tcW w:w="997" w:type="dxa"/>
          </w:tcPr>
          <w:p w14:paraId="7A03394F"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w:t>
            </w:r>
            <w:r w:rsidR="00A67B11">
              <w:t xml:space="preserve"> </w:t>
            </w:r>
            <w:r w:rsidRPr="00A67B11">
              <w:t>0.78</w:t>
            </w:r>
          </w:p>
        </w:tc>
        <w:tc>
          <w:tcPr>
            <w:tcW w:w="993" w:type="dxa"/>
          </w:tcPr>
          <w:p w14:paraId="68BA7306"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0-1.13</w:t>
            </w:r>
          </w:p>
        </w:tc>
        <w:tc>
          <w:tcPr>
            <w:tcW w:w="992" w:type="dxa"/>
          </w:tcPr>
          <w:p w14:paraId="53DB999A"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0-1.53</w:t>
            </w:r>
          </w:p>
        </w:tc>
        <w:tc>
          <w:tcPr>
            <w:tcW w:w="992" w:type="dxa"/>
          </w:tcPr>
          <w:p w14:paraId="2AA07C6B"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0-0.51</w:t>
            </w:r>
          </w:p>
        </w:tc>
        <w:tc>
          <w:tcPr>
            <w:tcW w:w="992" w:type="dxa"/>
          </w:tcPr>
          <w:p w14:paraId="69D1D5AF" w14:textId="77777777" w:rsidR="006D35A0" w:rsidRPr="00A67B11" w:rsidRDefault="006D35A0" w:rsidP="00CE5D1D">
            <w:pPr>
              <w:ind w:left="0" w:firstLine="5"/>
              <w:cnfStyle w:val="000000000000" w:firstRow="0" w:lastRow="0" w:firstColumn="0" w:lastColumn="0" w:oddVBand="0" w:evenVBand="0" w:oddHBand="0" w:evenHBand="0" w:firstRowFirstColumn="0" w:firstRowLastColumn="0" w:lastRowFirstColumn="0" w:lastRowLastColumn="0"/>
            </w:pPr>
            <w:r w:rsidRPr="00A67B11">
              <w:t>0-1.53</w:t>
            </w:r>
          </w:p>
        </w:tc>
        <w:tc>
          <w:tcPr>
            <w:tcW w:w="993" w:type="dxa"/>
          </w:tcPr>
          <w:p w14:paraId="31FF78FC"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0-1.70</w:t>
            </w:r>
          </w:p>
        </w:tc>
        <w:tc>
          <w:tcPr>
            <w:tcW w:w="992" w:type="dxa"/>
          </w:tcPr>
          <w:p w14:paraId="30D1304B"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0-1.00</w:t>
            </w:r>
          </w:p>
        </w:tc>
        <w:tc>
          <w:tcPr>
            <w:tcW w:w="992" w:type="dxa"/>
          </w:tcPr>
          <w:p w14:paraId="6436716E" w14:textId="77777777" w:rsidR="006D35A0" w:rsidRPr="00A67B11" w:rsidRDefault="006D35A0" w:rsidP="00CE5D1D">
            <w:pPr>
              <w:ind w:left="0"/>
              <w:cnfStyle w:val="000000000000" w:firstRow="0" w:lastRow="0" w:firstColumn="0" w:lastColumn="0" w:oddVBand="0" w:evenVBand="0" w:oddHBand="0" w:evenHBand="0" w:firstRowFirstColumn="0" w:firstRowLastColumn="0" w:lastRowFirstColumn="0" w:lastRowLastColumn="0"/>
            </w:pPr>
            <w:r w:rsidRPr="00A67B11">
              <w:t>0-1.70</w:t>
            </w:r>
          </w:p>
        </w:tc>
      </w:tr>
    </w:tbl>
    <w:p w14:paraId="004C50C0" w14:textId="77777777" w:rsidR="006D35A0" w:rsidRDefault="006D35A0" w:rsidP="00CE5D1D">
      <w:pPr>
        <w:pStyle w:val="TableDescription"/>
        <w:rPr>
          <w:lang w:eastAsia="en-AU"/>
        </w:rPr>
      </w:pPr>
      <w:r w:rsidRPr="00A8693B">
        <w:rPr>
          <w:lang w:eastAsia="en-AU"/>
        </w:rPr>
        <w:t>* Includes all BEs between start of prophylactic treatment and last prophylactic treatment + 2 days or completion visit, whichever came first. BEs between start of treatment for surgery and re-start of prophylactic treatment after surgery were excluded.</w:t>
      </w:r>
      <w:r w:rsidRPr="00A8693B">
        <w:rPr>
          <w:rFonts w:ascii="MS Mincho" w:eastAsia="MS Mincho" w:hAnsi="MS Mincho" w:cs="MS Mincho" w:hint="eastAsia"/>
          <w:lang w:eastAsia="en-AU"/>
        </w:rPr>
        <w:t> </w:t>
      </w:r>
      <w:r w:rsidRPr="00A8693B">
        <w:rPr>
          <w:lang w:eastAsia="en-AU"/>
        </w:rPr>
        <w:t>** Number of BEs / (time in days between start of prophylactic treatment and last prophylactic treatment + 2 days or completion visit, whichever came first - days of surgery phases ) x 30 days.</w:t>
      </w:r>
      <w:r w:rsidRPr="00A8693B">
        <w:rPr>
          <w:position w:val="12"/>
          <w:lang w:eastAsia="en-AU"/>
        </w:rPr>
        <w:t xml:space="preserve"> </w:t>
      </w:r>
      <w:r w:rsidRPr="00A8693B">
        <w:rPr>
          <w:lang w:eastAsia="en-AU"/>
        </w:rPr>
        <w:t>BE = bleeding episode; PROPH = study population of patients receiving prophylaxis; SD = standard deviation.</w:t>
      </w:r>
    </w:p>
    <w:p w14:paraId="74CC613E" w14:textId="77777777" w:rsidR="000F04AF" w:rsidRDefault="006D35A0" w:rsidP="00EC4518">
      <w:pPr>
        <w:pStyle w:val="Heading5"/>
      </w:pPr>
      <w:r>
        <w:lastRenderedPageBreak/>
        <w:t>Prophylactic treatment h</w:t>
      </w:r>
      <w:r w:rsidRPr="00BE3508">
        <w:t>istorical (pre-study) vs study</w:t>
      </w:r>
    </w:p>
    <w:p w14:paraId="635F5005" w14:textId="4C4B035A" w:rsidR="006D35A0" w:rsidRDefault="006D35A0" w:rsidP="006D35A0">
      <w:r w:rsidRPr="00BE3508">
        <w:t>The study included a comparison between historical and on-treatment data</w:t>
      </w:r>
      <w:r>
        <w:t xml:space="preserve"> (HJHS, dose, BEs). The results for the 53 patients out of the 59 patients in the PROPH population who received both pre-study (historical) and on-treatment (study) prophylactic FVIII treatment are summarised below in Table </w:t>
      </w:r>
      <w:r w:rsidR="006F09EA">
        <w:t>29</w:t>
      </w:r>
      <w:r>
        <w:t>.</w:t>
      </w:r>
    </w:p>
    <w:p w14:paraId="5A8DB2C9" w14:textId="1A33461C" w:rsidR="006D35A0" w:rsidRDefault="006D35A0" w:rsidP="00823902">
      <w:pPr>
        <w:pStyle w:val="Tabletitle"/>
      </w:pPr>
      <w:bookmarkStart w:id="122" w:name="_Toc248202548"/>
      <w:proofErr w:type="gramStart"/>
      <w:r>
        <w:t xml:space="preserve">Table </w:t>
      </w:r>
      <w:r w:rsidR="006F09EA">
        <w:t>29</w:t>
      </w:r>
      <w:r>
        <w:t>: GENA-03 - Comparison between historical (pre-study) and study (on-treatment) data for 53 patients in the PROPH population who received prophylactic treatment both pre-study and on-study.</w:t>
      </w:r>
      <w:bookmarkEnd w:id="122"/>
      <w:proofErr w:type="gramEnd"/>
    </w:p>
    <w:tbl>
      <w:tblPr>
        <w:tblStyle w:val="TableTGAblue"/>
        <w:tblW w:w="9606" w:type="dxa"/>
        <w:tblLayout w:type="fixed"/>
        <w:tblLook w:val="04A0" w:firstRow="1" w:lastRow="0" w:firstColumn="1" w:lastColumn="0" w:noHBand="0" w:noVBand="1"/>
      </w:tblPr>
      <w:tblGrid>
        <w:gridCol w:w="959"/>
        <w:gridCol w:w="1417"/>
        <w:gridCol w:w="1276"/>
        <w:gridCol w:w="1559"/>
        <w:gridCol w:w="1560"/>
        <w:gridCol w:w="1417"/>
        <w:gridCol w:w="1418"/>
      </w:tblGrid>
      <w:tr w:rsidR="006D35A0" w14:paraId="39E02D62" w14:textId="77777777" w:rsidTr="00CE5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0910B7EB" w14:textId="77777777" w:rsidR="006D35A0" w:rsidRPr="000601A1" w:rsidRDefault="006D35A0" w:rsidP="00CE5D1D">
            <w:pPr>
              <w:ind w:left="0"/>
            </w:pPr>
            <w:r>
              <w:t>Age</w:t>
            </w:r>
          </w:p>
        </w:tc>
        <w:tc>
          <w:tcPr>
            <w:tcW w:w="1417" w:type="dxa"/>
          </w:tcPr>
          <w:p w14:paraId="158F12E3" w14:textId="18D51D60" w:rsidR="006D35A0" w:rsidRPr="000601A1" w:rsidRDefault="006D35A0" w:rsidP="00CE5D1D">
            <w:pPr>
              <w:ind w:left="0"/>
              <w:cnfStyle w:val="100000000000" w:firstRow="1" w:lastRow="0" w:firstColumn="0" w:lastColumn="0" w:oddVBand="0" w:evenVBand="0" w:oddHBand="0" w:evenHBand="0" w:firstRowFirstColumn="0" w:firstRowLastColumn="0" w:lastRowFirstColumn="0" w:lastRowLastColumn="0"/>
            </w:pPr>
            <w:r>
              <w:t>HJHS gait/total</w:t>
            </w:r>
            <w:r w:rsidR="00CE5D1D">
              <w:t xml:space="preserve"> </w:t>
            </w:r>
            <w:r>
              <w:t xml:space="preserve">Historical </w:t>
            </w:r>
          </w:p>
        </w:tc>
        <w:tc>
          <w:tcPr>
            <w:tcW w:w="1276" w:type="dxa"/>
          </w:tcPr>
          <w:p w14:paraId="687C2EFE" w14:textId="75A0E6F2" w:rsidR="006D35A0" w:rsidRPr="000601A1" w:rsidRDefault="006D35A0" w:rsidP="00CE5D1D">
            <w:pPr>
              <w:ind w:left="34"/>
              <w:cnfStyle w:val="100000000000" w:firstRow="1" w:lastRow="0" w:firstColumn="0" w:lastColumn="0" w:oddVBand="0" w:evenVBand="0" w:oddHBand="0" w:evenHBand="0" w:firstRowFirstColumn="0" w:firstRowLastColumn="0" w:lastRowFirstColumn="0" w:lastRowLastColumn="0"/>
            </w:pPr>
            <w:r>
              <w:t>HJHS gait/total</w:t>
            </w:r>
            <w:r w:rsidR="00CE5D1D">
              <w:t xml:space="preserve"> </w:t>
            </w:r>
            <w:r>
              <w:t xml:space="preserve">Study </w:t>
            </w:r>
          </w:p>
        </w:tc>
        <w:tc>
          <w:tcPr>
            <w:tcW w:w="1559" w:type="dxa"/>
          </w:tcPr>
          <w:p w14:paraId="18D89B23" w14:textId="09C76AF2" w:rsidR="006D35A0" w:rsidRPr="000601A1" w:rsidRDefault="006D35A0" w:rsidP="00CE5D1D">
            <w:pPr>
              <w:ind w:left="34"/>
              <w:cnfStyle w:val="100000000000" w:firstRow="1" w:lastRow="0" w:firstColumn="0" w:lastColumn="0" w:oddVBand="0" w:evenVBand="0" w:oddHBand="0" w:evenHBand="0" w:firstRowFirstColumn="0" w:firstRowLastColumn="0" w:lastRowFirstColumn="0" w:lastRowLastColumn="0"/>
            </w:pPr>
            <w:r>
              <w:t>Proph dose IU/kg/month</w:t>
            </w:r>
            <w:r w:rsidR="00CE5D1D">
              <w:t xml:space="preserve"> </w:t>
            </w:r>
            <w:r>
              <w:t xml:space="preserve">Historical </w:t>
            </w:r>
          </w:p>
        </w:tc>
        <w:tc>
          <w:tcPr>
            <w:tcW w:w="1560" w:type="dxa"/>
          </w:tcPr>
          <w:p w14:paraId="2B64CDB7" w14:textId="1164CBB1" w:rsidR="006D35A0" w:rsidRPr="000601A1" w:rsidRDefault="006D35A0" w:rsidP="00CE5D1D">
            <w:pPr>
              <w:ind w:left="34"/>
              <w:cnfStyle w:val="100000000000" w:firstRow="1" w:lastRow="0" w:firstColumn="0" w:lastColumn="0" w:oddVBand="0" w:evenVBand="0" w:oddHBand="0" w:evenHBand="0" w:firstRowFirstColumn="0" w:firstRowLastColumn="0" w:lastRowFirstColumn="0" w:lastRowLastColumn="0"/>
            </w:pPr>
            <w:r>
              <w:t>Proph dose IU/kg/month</w:t>
            </w:r>
            <w:r w:rsidR="00CE5D1D">
              <w:t xml:space="preserve"> </w:t>
            </w:r>
            <w:r>
              <w:t>Study</w:t>
            </w:r>
          </w:p>
        </w:tc>
        <w:tc>
          <w:tcPr>
            <w:tcW w:w="1417" w:type="dxa"/>
          </w:tcPr>
          <w:p w14:paraId="63A23E33" w14:textId="3C446BF0" w:rsidR="006D35A0" w:rsidRPr="000601A1" w:rsidRDefault="006D35A0" w:rsidP="00CE5D1D">
            <w:pPr>
              <w:ind w:left="33"/>
              <w:cnfStyle w:val="100000000000" w:firstRow="1" w:lastRow="0" w:firstColumn="0" w:lastColumn="0" w:oddVBand="0" w:evenVBand="0" w:oddHBand="0" w:evenHBand="0" w:firstRowFirstColumn="0" w:firstRowLastColumn="0" w:lastRowFirstColumn="0" w:lastRowLastColumn="0"/>
            </w:pPr>
            <w:r>
              <w:t>BEs/month</w:t>
            </w:r>
            <w:r w:rsidR="00CE5D1D">
              <w:t xml:space="preserve"> </w:t>
            </w:r>
            <w:r>
              <w:t xml:space="preserve">Historical </w:t>
            </w:r>
          </w:p>
        </w:tc>
        <w:tc>
          <w:tcPr>
            <w:tcW w:w="1418" w:type="dxa"/>
          </w:tcPr>
          <w:p w14:paraId="44DBA89B" w14:textId="619E4FB5" w:rsidR="006D35A0" w:rsidRPr="000601A1" w:rsidRDefault="006D35A0" w:rsidP="00CE5D1D">
            <w:pPr>
              <w:ind w:left="34"/>
              <w:cnfStyle w:val="100000000000" w:firstRow="1" w:lastRow="0" w:firstColumn="0" w:lastColumn="0" w:oddVBand="0" w:evenVBand="0" w:oddHBand="0" w:evenHBand="0" w:firstRowFirstColumn="0" w:firstRowLastColumn="0" w:lastRowFirstColumn="0" w:lastRowLastColumn="0"/>
            </w:pPr>
            <w:r>
              <w:t>BEs/month</w:t>
            </w:r>
            <w:r w:rsidR="00CE5D1D">
              <w:t xml:space="preserve"> </w:t>
            </w:r>
            <w:r>
              <w:t>Historical</w:t>
            </w:r>
          </w:p>
        </w:tc>
      </w:tr>
      <w:tr w:rsidR="006D35A0" w14:paraId="35B54E07" w14:textId="77777777" w:rsidTr="00CE5D1D">
        <w:tc>
          <w:tcPr>
            <w:cnfStyle w:val="001000000000" w:firstRow="0" w:lastRow="0" w:firstColumn="1" w:lastColumn="0" w:oddVBand="0" w:evenVBand="0" w:oddHBand="0" w:evenHBand="0" w:firstRowFirstColumn="0" w:firstRowLastColumn="0" w:lastRowFirstColumn="0" w:lastRowLastColumn="0"/>
            <w:tcW w:w="959" w:type="dxa"/>
          </w:tcPr>
          <w:p w14:paraId="6839D1BB" w14:textId="77777777" w:rsidR="006D35A0" w:rsidRPr="000601A1" w:rsidRDefault="006D35A0" w:rsidP="00CE5D1D">
            <w:pPr>
              <w:ind w:left="0"/>
            </w:pPr>
            <w:r>
              <w:t>6.4 years</w:t>
            </w:r>
          </w:p>
        </w:tc>
        <w:tc>
          <w:tcPr>
            <w:tcW w:w="1417" w:type="dxa"/>
          </w:tcPr>
          <w:p w14:paraId="0D2FD791" w14:textId="77777777" w:rsidR="006D35A0" w:rsidRPr="000601A1" w:rsidRDefault="006D35A0" w:rsidP="00CE5D1D">
            <w:pPr>
              <w:ind w:left="0"/>
              <w:cnfStyle w:val="000000000000" w:firstRow="0" w:lastRow="0" w:firstColumn="0" w:lastColumn="0" w:oddVBand="0" w:evenVBand="0" w:oddHBand="0" w:evenHBand="0" w:firstRowFirstColumn="0" w:firstRowLastColumn="0" w:lastRowFirstColumn="0" w:lastRowLastColumn="0"/>
            </w:pPr>
            <w:r>
              <w:t>0.08/0.62</w:t>
            </w:r>
          </w:p>
        </w:tc>
        <w:tc>
          <w:tcPr>
            <w:tcW w:w="1276" w:type="dxa"/>
          </w:tcPr>
          <w:p w14:paraId="7F6D86FA" w14:textId="77777777" w:rsidR="006D35A0" w:rsidRPr="000601A1" w:rsidRDefault="006D35A0" w:rsidP="00CE5D1D">
            <w:pPr>
              <w:ind w:left="34"/>
              <w:cnfStyle w:val="000000000000" w:firstRow="0" w:lastRow="0" w:firstColumn="0" w:lastColumn="0" w:oddVBand="0" w:evenVBand="0" w:oddHBand="0" w:evenHBand="0" w:firstRowFirstColumn="0" w:firstRowLastColumn="0" w:lastRowFirstColumn="0" w:lastRowLastColumn="0"/>
            </w:pPr>
            <w:r>
              <w:t>0.14/0.55</w:t>
            </w:r>
          </w:p>
        </w:tc>
        <w:tc>
          <w:tcPr>
            <w:tcW w:w="1559" w:type="dxa"/>
          </w:tcPr>
          <w:p w14:paraId="27E01298" w14:textId="77777777" w:rsidR="006D35A0" w:rsidRPr="000601A1" w:rsidRDefault="006D35A0" w:rsidP="00CE5D1D">
            <w:pPr>
              <w:ind w:left="34"/>
              <w:cnfStyle w:val="000000000000" w:firstRow="0" w:lastRow="0" w:firstColumn="0" w:lastColumn="0" w:oddVBand="0" w:evenVBand="0" w:oddHBand="0" w:evenHBand="0" w:firstRowFirstColumn="0" w:firstRowLastColumn="0" w:lastRowFirstColumn="0" w:lastRowLastColumn="0"/>
            </w:pPr>
            <w:r>
              <w:t>503.94</w:t>
            </w:r>
          </w:p>
        </w:tc>
        <w:tc>
          <w:tcPr>
            <w:tcW w:w="1560" w:type="dxa"/>
          </w:tcPr>
          <w:p w14:paraId="5A3608BD" w14:textId="77777777" w:rsidR="006D35A0" w:rsidRPr="000601A1" w:rsidRDefault="006D35A0" w:rsidP="00CE5D1D">
            <w:pPr>
              <w:ind w:left="34"/>
              <w:cnfStyle w:val="000000000000" w:firstRow="0" w:lastRow="0" w:firstColumn="0" w:lastColumn="0" w:oddVBand="0" w:evenVBand="0" w:oddHBand="0" w:evenHBand="0" w:firstRowFirstColumn="0" w:firstRowLastColumn="0" w:lastRowFirstColumn="0" w:lastRowLastColumn="0"/>
            </w:pPr>
            <w:r>
              <w:t>518.83</w:t>
            </w:r>
          </w:p>
        </w:tc>
        <w:tc>
          <w:tcPr>
            <w:tcW w:w="1417" w:type="dxa"/>
          </w:tcPr>
          <w:p w14:paraId="65FA2B5A" w14:textId="77777777" w:rsidR="006D35A0" w:rsidRPr="000601A1" w:rsidRDefault="006D35A0" w:rsidP="00CE5D1D">
            <w:pPr>
              <w:ind w:left="33"/>
              <w:cnfStyle w:val="000000000000" w:firstRow="0" w:lastRow="0" w:firstColumn="0" w:lastColumn="0" w:oddVBand="0" w:evenVBand="0" w:oddHBand="0" w:evenHBand="0" w:firstRowFirstColumn="0" w:firstRowLastColumn="0" w:lastRowFirstColumn="0" w:lastRowLastColumn="0"/>
            </w:pPr>
            <w:r>
              <w:t>0.419</w:t>
            </w:r>
          </w:p>
        </w:tc>
        <w:tc>
          <w:tcPr>
            <w:tcW w:w="1418" w:type="dxa"/>
          </w:tcPr>
          <w:p w14:paraId="495DFCBA" w14:textId="77777777" w:rsidR="006D35A0" w:rsidRPr="000601A1" w:rsidRDefault="006D35A0" w:rsidP="00CE5D1D">
            <w:pPr>
              <w:ind w:left="34"/>
              <w:cnfStyle w:val="000000000000" w:firstRow="0" w:lastRow="0" w:firstColumn="0" w:lastColumn="0" w:oddVBand="0" w:evenVBand="0" w:oddHBand="0" w:evenHBand="0" w:firstRowFirstColumn="0" w:firstRowLastColumn="0" w:lastRowFirstColumn="0" w:lastRowLastColumn="0"/>
            </w:pPr>
            <w:r>
              <w:t>0.361</w:t>
            </w:r>
          </w:p>
        </w:tc>
      </w:tr>
    </w:tbl>
    <w:p w14:paraId="384FDC5F" w14:textId="77777777" w:rsidR="000F04AF" w:rsidRDefault="006D35A0" w:rsidP="00CE5D1D">
      <w:pPr>
        <w:pStyle w:val="TableDescription"/>
      </w:pPr>
      <w:r w:rsidRPr="00205BE2">
        <w:t>BE = bleeding episode; HJHS = haemophilia joint health score; IU = international units; Proph = dose administered for prophylaxis.</w:t>
      </w:r>
    </w:p>
    <w:p w14:paraId="355F22BE" w14:textId="5FBB87A6" w:rsidR="006D35A0" w:rsidRPr="00723B90" w:rsidRDefault="006D35A0" w:rsidP="006D35A0">
      <w:r w:rsidRPr="00723B90">
        <w:t xml:space="preserve">In the 53 patients (mean age 6.4 years) who received prophylactic treatment both pre-study and </w:t>
      </w:r>
      <w:r>
        <w:t>on-study</w:t>
      </w:r>
      <w:r w:rsidRPr="00723B90">
        <w:t xml:space="preserve"> the mean prophylactic doses of FVIII were similar (503.94 vs 518.83 IU/kg/month, respectively), but the monthly overall bleeding rate was approximately 15% lower at the end of the study (0.361 BEs/month) compared with </w:t>
      </w:r>
      <w:r>
        <w:t xml:space="preserve">the </w:t>
      </w:r>
      <w:r w:rsidRPr="00723B90">
        <w:t>pre-study rate (0.419 BEs/month).</w:t>
      </w:r>
    </w:p>
    <w:p w14:paraId="49E1E208" w14:textId="77777777" w:rsidR="000F04AF" w:rsidRDefault="006D35A0" w:rsidP="006D35A0">
      <w:pPr>
        <w:rPr>
          <w:color w:val="000000"/>
        </w:rPr>
      </w:pPr>
      <w:r>
        <w:rPr>
          <w:color w:val="000000"/>
        </w:rPr>
        <w:t>I</w:t>
      </w:r>
      <w:r w:rsidRPr="00723B90">
        <w:rPr>
          <w:color w:val="000000"/>
        </w:rPr>
        <w:t xml:space="preserve">n the </w:t>
      </w:r>
      <w:r>
        <w:rPr>
          <w:color w:val="000000"/>
        </w:rPr>
        <w:t xml:space="preserve">53 </w:t>
      </w:r>
      <w:r w:rsidRPr="00723B90">
        <w:rPr>
          <w:color w:val="000000"/>
        </w:rPr>
        <w:t xml:space="preserve">patients treated prophylactically pre-study and on-study, the initial mean global gait score </w:t>
      </w:r>
      <w:r>
        <w:rPr>
          <w:color w:val="000000"/>
        </w:rPr>
        <w:t xml:space="preserve">HJHS score </w:t>
      </w:r>
      <w:r w:rsidRPr="00723B90">
        <w:rPr>
          <w:color w:val="000000"/>
        </w:rPr>
        <w:t>was 0.08 at screening (historical) and increased to 0.14 at the end of the study</w:t>
      </w:r>
      <w:r>
        <w:rPr>
          <w:color w:val="000000"/>
        </w:rPr>
        <w:t xml:space="preserve">. </w:t>
      </w:r>
      <w:r w:rsidRPr="00723B90">
        <w:rPr>
          <w:color w:val="000000"/>
        </w:rPr>
        <w:t xml:space="preserve">One patient who had an end-of-study gait score of 4 and a total score of 20 because he was bleeding in both ankles at the time of assessment skewed the end-of study results. This patient experienced a spontaneous bleed in his left ankle the day before </w:t>
      </w:r>
      <w:r>
        <w:rPr>
          <w:color w:val="000000"/>
        </w:rPr>
        <w:t xml:space="preserve">the assessment </w:t>
      </w:r>
      <w:r w:rsidRPr="00723B90">
        <w:rPr>
          <w:color w:val="000000"/>
        </w:rPr>
        <w:t xml:space="preserve">and was actively bleeding in his right ankle </w:t>
      </w:r>
      <w:r>
        <w:rPr>
          <w:color w:val="000000"/>
        </w:rPr>
        <w:t xml:space="preserve">on </w:t>
      </w:r>
      <w:r w:rsidRPr="00723B90">
        <w:rPr>
          <w:color w:val="000000"/>
        </w:rPr>
        <w:t>the day of his end-of-study HJHS assessment, which may account for the high HJHS. HJHS mean total scores for the 53 patients were similar at the screening and at end-of-study assessments (0.62 and 0.55, respectively)</w:t>
      </w:r>
      <w:r>
        <w:rPr>
          <w:color w:val="000000"/>
        </w:rPr>
        <w:t>.</w:t>
      </w:r>
    </w:p>
    <w:p w14:paraId="67ADD129" w14:textId="77777777" w:rsidR="000F04AF" w:rsidRDefault="006D35A0" w:rsidP="006D35A0">
      <w:r w:rsidRPr="00723B90">
        <w:t xml:space="preserve">In the total population with HJHS data (n=56), the mean±SD gait score was 0.1±0.32 at screening and 0.1±0.60 at final assessment, and the mean±SD total </w:t>
      </w:r>
      <w:r>
        <w:t xml:space="preserve">HJHS </w:t>
      </w:r>
      <w:r w:rsidRPr="00723B90">
        <w:t>score was 0</w:t>
      </w:r>
      <w:r>
        <w:t xml:space="preserve">.8±2.03 at screening (range: 0, 11) and 0.6±2.78 (range: 0, </w:t>
      </w:r>
      <w:r w:rsidRPr="00723B90">
        <w:t>20) at final assessment. The majority of patients had HJHS scores of 0 at both screening and at final assessment (89.8% [53/56]).</w:t>
      </w:r>
    </w:p>
    <w:p w14:paraId="727158F1" w14:textId="77777777" w:rsidR="000F04AF" w:rsidRDefault="006D35A0" w:rsidP="00EC4518">
      <w:pPr>
        <w:pStyle w:val="Heading5"/>
      </w:pPr>
      <w:bookmarkStart w:id="123" w:name="_Toc266446485"/>
      <w:r w:rsidRPr="00F85C44">
        <w:t>Efficacy outcomes - treatment of breakthrough BEs</w:t>
      </w:r>
      <w:bookmarkEnd w:id="123"/>
    </w:p>
    <w:p w14:paraId="38CB7143" w14:textId="123E1326" w:rsidR="006D35A0" w:rsidRPr="00723B90" w:rsidRDefault="006D35A0" w:rsidP="006D35A0">
      <w:pPr>
        <w:rPr>
          <w:color w:val="000000"/>
        </w:rPr>
      </w:pPr>
      <w:r>
        <w:rPr>
          <w:color w:val="000000"/>
        </w:rPr>
        <w:t xml:space="preserve">A total of 108 BEs (BLEED population) in 32 patients </w:t>
      </w:r>
      <w:r w:rsidRPr="00723B90">
        <w:rPr>
          <w:color w:val="000000"/>
        </w:rPr>
        <w:t xml:space="preserve">were treated with </w:t>
      </w:r>
      <w:r w:rsidRPr="00723B90">
        <w:rPr>
          <w:iCs/>
          <w:color w:val="000000"/>
        </w:rPr>
        <w:t>simoctocog alfa</w:t>
      </w:r>
      <w:r>
        <w:rPr>
          <w:iCs/>
          <w:color w:val="000000"/>
        </w:rPr>
        <w:t xml:space="preserve"> </w:t>
      </w:r>
      <w:r w:rsidRPr="00723B90">
        <w:rPr>
          <w:color w:val="000000"/>
        </w:rPr>
        <w:t>during the study (</w:t>
      </w:r>
      <w:r w:rsidR="001A2E59">
        <w:rPr>
          <w:color w:val="000000"/>
        </w:rPr>
        <w:t>that is,</w:t>
      </w:r>
      <w:r w:rsidRPr="00723B90">
        <w:rPr>
          <w:color w:val="000000"/>
        </w:rPr>
        <w:t xml:space="preserve"> between the start and end of prophylactic treatment plus 2 days, or study completion, whic</w:t>
      </w:r>
      <w:r>
        <w:rPr>
          <w:color w:val="000000"/>
        </w:rPr>
        <w:t xml:space="preserve">hever came first). </w:t>
      </w:r>
      <w:r w:rsidRPr="00723B90">
        <w:rPr>
          <w:color w:val="000000"/>
        </w:rPr>
        <w:t xml:space="preserve">Of the 108 BEs, 65 (60.2%) were traumatic, 36 (33.3%) were spontaneous and 7 (6.5%) were classified as “other”. </w:t>
      </w:r>
      <w:r>
        <w:rPr>
          <w:color w:val="000000"/>
        </w:rPr>
        <w:t>Of the 108 BEs, 61</w:t>
      </w:r>
      <w:r w:rsidRPr="00723B90">
        <w:rPr>
          <w:color w:val="000000"/>
        </w:rPr>
        <w:t xml:space="preserve"> (56.5%) were minor, 46 (42.6%) were moderate to major and 1 (0.9%) was of unknown severity. There were no major to life-threatening bleeds. The frequency of treated BEs are summarised below in Table </w:t>
      </w:r>
      <w:r>
        <w:rPr>
          <w:color w:val="000000"/>
        </w:rPr>
        <w:t>3</w:t>
      </w:r>
      <w:r w:rsidR="006F09EA">
        <w:rPr>
          <w:color w:val="000000"/>
        </w:rPr>
        <w:t>0</w:t>
      </w:r>
      <w:r w:rsidRPr="00723B90">
        <w:rPr>
          <w:color w:val="000000"/>
        </w:rPr>
        <w:t>.</w:t>
      </w:r>
    </w:p>
    <w:p w14:paraId="744E8100" w14:textId="77777777" w:rsidR="000F04AF" w:rsidRDefault="006D35A0" w:rsidP="00F85C44">
      <w:pPr>
        <w:pStyle w:val="Tabletitle"/>
      </w:pPr>
      <w:bookmarkStart w:id="124" w:name="_Toc248202549"/>
      <w:r>
        <w:lastRenderedPageBreak/>
        <w:t xml:space="preserve">Table </w:t>
      </w:r>
      <w:r w:rsidR="000A1340">
        <w:t>3</w:t>
      </w:r>
      <w:r w:rsidR="006F09EA">
        <w:t>0</w:t>
      </w:r>
      <w:r>
        <w:t>: GENA-03 - Frequency of treated BEs during the study; BLEED population, n=108 bleeds in 32 patients.</w:t>
      </w:r>
      <w:bookmarkEnd w:id="124"/>
    </w:p>
    <w:p w14:paraId="5FF93044" w14:textId="77777777" w:rsidR="000F04AF" w:rsidRDefault="006D35A0" w:rsidP="006D35A0">
      <w:pPr>
        <w:spacing w:after="0"/>
        <w:rPr>
          <w:color w:val="000000"/>
          <w:sz w:val="16"/>
          <w:szCs w:val="16"/>
        </w:rPr>
      </w:pPr>
      <w:r w:rsidRPr="0030635D">
        <w:rPr>
          <w:noProof/>
          <w:color w:val="000000"/>
          <w:sz w:val="16"/>
          <w:szCs w:val="16"/>
          <w:lang w:eastAsia="en-AU"/>
        </w:rPr>
        <w:drawing>
          <wp:inline distT="0" distB="0" distL="0" distR="0" wp14:anchorId="017AD732" wp14:editId="609E4FEF">
            <wp:extent cx="4526280" cy="2114550"/>
            <wp:effectExtent l="0" t="0" r="0" b="0"/>
            <wp:docPr id="54" name="Picture 2" descr="The frequency of treated BEs are summar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6280" cy="2114550"/>
                    </a:xfrm>
                    <a:prstGeom prst="rect">
                      <a:avLst/>
                    </a:prstGeom>
                    <a:noFill/>
                    <a:ln>
                      <a:noFill/>
                    </a:ln>
                  </pic:spPr>
                </pic:pic>
              </a:graphicData>
            </a:graphic>
          </wp:inline>
        </w:drawing>
      </w:r>
    </w:p>
    <w:p w14:paraId="57109D02" w14:textId="77777777" w:rsidR="000F04AF" w:rsidRDefault="006D35A0" w:rsidP="00EC4518">
      <w:r>
        <w:t>The most frequent sites of bleeding were the ankle (21 BEs) and the knee (15 BEs). Other affected sites were the elbow, leg, arm, oral cavity, nose and other sites (including the hip, finger, wrist, head, eye, chest, skin, iliac, shoulder, shin, hamstring, foot, toe, thumb, incised wound on a foot, lost tooth, tibia, buttock, jaw, site of uretero-cutaneostomy and a traumatic head bleed)</w:t>
      </w:r>
      <w:r w:rsidR="000F04AF">
        <w:t>.</w:t>
      </w:r>
    </w:p>
    <w:p w14:paraId="084B7CF5" w14:textId="666F4E02" w:rsidR="000F04AF" w:rsidRDefault="006D35A0" w:rsidP="00EC4518">
      <w:r>
        <w:t>There were a total of 216 infusions administered to 32 patients with BEs. In the analy</w:t>
      </w:r>
      <w:r w:rsidR="006F09EA">
        <w:t>sis summarised below in Table 31</w:t>
      </w:r>
      <w:r>
        <w:t>, when one infusion was given to treat several bleedings simultaneously the number of EDs and the number of dosages were counted only once.</w:t>
      </w:r>
    </w:p>
    <w:p w14:paraId="11E47246" w14:textId="77777777" w:rsidR="000F04AF" w:rsidRDefault="006D35A0" w:rsidP="00C93646">
      <w:pPr>
        <w:pStyle w:val="Tabletitle"/>
      </w:pPr>
      <w:bookmarkStart w:id="125" w:name="_Toc248202550"/>
      <w:r>
        <w:t xml:space="preserve">Table </w:t>
      </w:r>
      <w:r w:rsidR="000A1340">
        <w:t>3</w:t>
      </w:r>
      <w:r w:rsidR="006F09EA">
        <w:t>1</w:t>
      </w:r>
      <w:r>
        <w:t xml:space="preserve">: </w:t>
      </w:r>
      <w:r w:rsidRPr="00D62333">
        <w:t xml:space="preserve">GENA-03 - EDs and </w:t>
      </w:r>
      <w:r>
        <w:t>simoctocog alfa</w:t>
      </w:r>
      <w:r w:rsidR="003167D0">
        <w:t xml:space="preserve"> (Human-cl rhFVIII)</w:t>
      </w:r>
      <w:r>
        <w:t xml:space="preserve"> </w:t>
      </w:r>
      <w:r w:rsidRPr="00D62333">
        <w:t>infusions for treatment of BEs; BLEED population, 108* BES (216 infusions) in 32 patients.</w:t>
      </w:r>
      <w:bookmarkEnd w:id="125"/>
    </w:p>
    <w:p w14:paraId="57EA8325" w14:textId="53056AF1" w:rsidR="006D35A0" w:rsidRDefault="006D35A0" w:rsidP="006D35A0">
      <w:pPr>
        <w:spacing w:after="0"/>
        <w:rPr>
          <w:rFonts w:ascii="Times New Roman" w:hAnsi="Times New Roman"/>
        </w:rPr>
      </w:pPr>
      <w:r>
        <w:rPr>
          <w:rFonts w:ascii="Times New Roman" w:hAnsi="Times New Roman"/>
          <w:noProof/>
          <w:lang w:eastAsia="en-AU"/>
        </w:rPr>
        <w:drawing>
          <wp:inline distT="0" distB="0" distL="0" distR="0" wp14:anchorId="346D7B90" wp14:editId="672A0C4A">
            <wp:extent cx="4549140" cy="1954530"/>
            <wp:effectExtent l="0" t="0" r="0" b="0"/>
            <wp:docPr id="55" name="Picture 3" descr="In the analysis summarised below in the Table, when one infusion was given to treat several bleedings simultaneously the number of EDs and the number of dosages were counted only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9140" cy="1954530"/>
                    </a:xfrm>
                    <a:prstGeom prst="rect">
                      <a:avLst/>
                    </a:prstGeom>
                    <a:noFill/>
                    <a:ln>
                      <a:noFill/>
                    </a:ln>
                  </pic:spPr>
                </pic:pic>
              </a:graphicData>
            </a:graphic>
          </wp:inline>
        </w:drawing>
      </w:r>
    </w:p>
    <w:p w14:paraId="5AB5FADB" w14:textId="77777777" w:rsidR="006D35A0" w:rsidRPr="00D62333" w:rsidRDefault="006D35A0" w:rsidP="00CE5D1D">
      <w:pPr>
        <w:pStyle w:val="TableDescription"/>
        <w:rPr>
          <w:rFonts w:cs="Times"/>
          <w:lang w:eastAsia="en-AU"/>
        </w:rPr>
      </w:pPr>
      <w:r w:rsidRPr="00D62333">
        <w:rPr>
          <w:lang w:eastAsia="en-AU"/>
        </w:rPr>
        <w:t>* Several simultaneous BEs are counted only once in this analysis, because the infusions for these BEs were given to treat several bleedings simultaneously. Thus, the number of EDs and the number of dosages are counted only once; thus number of infusions for this analysis was 216.</w:t>
      </w:r>
      <w:r w:rsidRPr="00D62333">
        <w:rPr>
          <w:rFonts w:cs="Times"/>
          <w:lang w:eastAsia="en-AU"/>
        </w:rPr>
        <w:t xml:space="preserve"> </w:t>
      </w:r>
      <w:r w:rsidRPr="00D62333">
        <w:rPr>
          <w:lang w:eastAsia="en-AU"/>
        </w:rPr>
        <w:t xml:space="preserve">BE = bleeding episode; BLEED = study population of BEs treated with </w:t>
      </w:r>
      <w:r w:rsidR="00A84DFC" w:rsidRPr="00DF2B34">
        <w:rPr>
          <w:rFonts w:cs="Times"/>
          <w:iCs/>
          <w:lang w:eastAsia="en-AU"/>
        </w:rPr>
        <w:t>simoctocog alfa</w:t>
      </w:r>
      <w:r w:rsidRPr="003167D0">
        <w:rPr>
          <w:lang w:eastAsia="en-AU"/>
        </w:rPr>
        <w:t>;</w:t>
      </w:r>
      <w:r w:rsidRPr="00D62333">
        <w:rPr>
          <w:lang w:eastAsia="en-AU"/>
        </w:rPr>
        <w:t xml:space="preserve"> ED = exposure day; IU = international units; SD = standard deviation.</w:t>
      </w:r>
    </w:p>
    <w:p w14:paraId="12658A4A" w14:textId="77777777" w:rsidR="006D35A0" w:rsidRPr="00D62333" w:rsidRDefault="006D35A0" w:rsidP="00EC4518">
      <w:r w:rsidRPr="00D62333">
        <w:t xml:space="preserve">During the study, 68.6% </w:t>
      </w:r>
      <w:r>
        <w:t xml:space="preserve">of </w:t>
      </w:r>
      <w:r w:rsidRPr="00D62333">
        <w:t xml:space="preserve">BEs </w:t>
      </w:r>
      <w:proofErr w:type="gramStart"/>
      <w:r w:rsidRPr="00D62333">
        <w:t>were</w:t>
      </w:r>
      <w:proofErr w:type="gramEnd"/>
      <w:r w:rsidRPr="00D62333">
        <w:t xml:space="preserve"> treated with one infusion an</w:t>
      </w:r>
      <w:r>
        <w:t xml:space="preserve">d 81.3% of BEs with 1 or 2 infusions. </w:t>
      </w:r>
      <w:r w:rsidRPr="00D62333">
        <w:t>Six (5.9</w:t>
      </w:r>
      <w:r>
        <w:t xml:space="preserve">%) BEs required 3 infusions, </w:t>
      </w:r>
      <w:r w:rsidRPr="00D62333">
        <w:t xml:space="preserve">4 </w:t>
      </w:r>
      <w:r>
        <w:t xml:space="preserve">(3.9%) BEs required 4 infusions, 2 </w:t>
      </w:r>
      <w:r w:rsidRPr="00D62333">
        <w:t xml:space="preserve">BEs each (2.0% each) required 5, 6 and 8 infusions and 1 </w:t>
      </w:r>
      <w:proofErr w:type="gramStart"/>
      <w:r w:rsidRPr="00D62333">
        <w:t>BE</w:t>
      </w:r>
      <w:proofErr w:type="gramEnd"/>
      <w:r w:rsidRPr="00D62333">
        <w:t xml:space="preserve"> each (1.0% each) required 12, 15 and 22 infusions</w:t>
      </w:r>
    </w:p>
    <w:p w14:paraId="5C76ED7B" w14:textId="77777777" w:rsidR="006D35A0" w:rsidRDefault="006D35A0" w:rsidP="00EC4518">
      <w:pPr>
        <w:rPr>
          <w:color w:val="000000"/>
        </w:rPr>
      </w:pPr>
      <w:r>
        <w:t>The efficacy of on-demand treatment for BEs (breakthrough) occurring while on prophylactic treatment with simoctocog alfa in the BLEED population is summarised below in Table 3</w:t>
      </w:r>
      <w:r w:rsidR="006F09EA">
        <w:t>2</w:t>
      </w:r>
      <w:r>
        <w:t xml:space="preserve">. </w:t>
      </w:r>
      <w:r>
        <w:rPr>
          <w:color w:val="000000"/>
        </w:rPr>
        <w:t xml:space="preserve">Efficacy assessments were available for all 108 BEs treated with </w:t>
      </w:r>
      <w:r>
        <w:rPr>
          <w:iCs/>
          <w:color w:val="000000"/>
        </w:rPr>
        <w:t>simoctocog alfa</w:t>
      </w:r>
      <w:r w:rsidRPr="00F957F3">
        <w:rPr>
          <w:color w:val="000000"/>
        </w:rPr>
        <w:t>,</w:t>
      </w:r>
      <w:r>
        <w:rPr>
          <w:color w:val="000000"/>
        </w:rPr>
        <w:t xml:space="preserve"> 61 of which </w:t>
      </w:r>
      <w:r>
        <w:rPr>
          <w:color w:val="000000"/>
        </w:rPr>
        <w:lastRenderedPageBreak/>
        <w:t>were minor, 46 were moderate to major, and 1 unknown severity.</w:t>
      </w:r>
      <w:r w:rsidRPr="00F957F3">
        <w:rPr>
          <w:color w:val="000000"/>
        </w:rPr>
        <w:t xml:space="preserve"> </w:t>
      </w:r>
      <w:r>
        <w:rPr>
          <w:color w:val="000000"/>
        </w:rPr>
        <w:t xml:space="preserve">On-demand treatment efficacy of </w:t>
      </w:r>
      <w:r w:rsidRPr="00D36546">
        <w:rPr>
          <w:iCs/>
          <w:color w:val="000000"/>
        </w:rPr>
        <w:t>simoctocog alfa</w:t>
      </w:r>
      <w:r>
        <w:rPr>
          <w:iCs/>
          <w:color w:val="000000"/>
        </w:rPr>
        <w:t xml:space="preserve"> </w:t>
      </w:r>
      <w:r w:rsidRPr="00D36546">
        <w:rPr>
          <w:color w:val="000000"/>
        </w:rPr>
        <w:t>in</w:t>
      </w:r>
      <w:r>
        <w:rPr>
          <w:color w:val="000000"/>
        </w:rPr>
        <w:t xml:space="preserve"> the two age subgroups (2–5 and 6–12 years) was comparable with the efficacy in the total population (2-12 years). On-demand treatment efficacy of </w:t>
      </w:r>
      <w:r w:rsidRPr="00D36546">
        <w:rPr>
          <w:iCs/>
          <w:color w:val="000000"/>
        </w:rPr>
        <w:t>simoctocog alfa</w:t>
      </w:r>
      <w:r>
        <w:rPr>
          <w:iCs/>
          <w:color w:val="000000"/>
        </w:rPr>
        <w:t xml:space="preserve"> </w:t>
      </w:r>
      <w:r w:rsidRPr="00D36546">
        <w:rPr>
          <w:color w:val="000000"/>
        </w:rPr>
        <w:t>in</w:t>
      </w:r>
      <w:r>
        <w:rPr>
          <w:color w:val="000000"/>
        </w:rPr>
        <w:t xml:space="preserve"> the BLEED-PP population was comparable to that in the BLEED population.</w:t>
      </w:r>
    </w:p>
    <w:p w14:paraId="59817527" w14:textId="62E6FF38" w:rsidR="006D35A0" w:rsidRDefault="006D35A0" w:rsidP="00787CB5">
      <w:pPr>
        <w:pStyle w:val="Tabletitle"/>
        <w:rPr>
          <w:lang w:eastAsia="en-AU"/>
        </w:rPr>
      </w:pPr>
      <w:bookmarkStart w:id="126" w:name="_Toc248202551"/>
      <w:proofErr w:type="gramStart"/>
      <w:r>
        <w:t xml:space="preserve">Table </w:t>
      </w:r>
      <w:r w:rsidR="000A1340">
        <w:t>3</w:t>
      </w:r>
      <w:r w:rsidR="006F09EA">
        <w:t>2</w:t>
      </w:r>
      <w:r>
        <w:t xml:space="preserve">: GENA-03 - </w:t>
      </w:r>
      <w:r>
        <w:rPr>
          <w:lang w:eastAsia="en-AU"/>
        </w:rPr>
        <w:t>Efficacy assessment for treatment of BEs according to severity; BLEED population, 108 BEs in 32 patients.</w:t>
      </w:r>
      <w:bookmarkEnd w:id="126"/>
      <w:proofErr w:type="gramEnd"/>
    </w:p>
    <w:tbl>
      <w:tblPr>
        <w:tblStyle w:val="TableTGAblue"/>
        <w:tblW w:w="9322" w:type="dxa"/>
        <w:tblLayout w:type="fixed"/>
        <w:tblLook w:val="04A0" w:firstRow="1" w:lastRow="0" w:firstColumn="1" w:lastColumn="0" w:noHBand="0" w:noVBand="1"/>
      </w:tblPr>
      <w:tblGrid>
        <w:gridCol w:w="1242"/>
        <w:gridCol w:w="885"/>
        <w:gridCol w:w="1525"/>
        <w:gridCol w:w="1472"/>
        <w:gridCol w:w="1439"/>
        <w:gridCol w:w="1438"/>
        <w:gridCol w:w="1321"/>
      </w:tblGrid>
      <w:tr w:rsidR="006D35A0" w:rsidRPr="00DB070D" w14:paraId="735B58E0" w14:textId="77777777" w:rsidTr="00CE5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784178" w14:textId="77777777" w:rsidR="006D35A0" w:rsidRPr="00DB070D" w:rsidRDefault="00F750CE" w:rsidP="00CE5D1D">
            <w:pPr>
              <w:ind w:left="0"/>
            </w:pPr>
            <w:r>
              <w:t>Age</w:t>
            </w:r>
          </w:p>
        </w:tc>
        <w:tc>
          <w:tcPr>
            <w:tcW w:w="885" w:type="dxa"/>
          </w:tcPr>
          <w:p w14:paraId="5E746C70" w14:textId="77777777" w:rsidR="006D35A0" w:rsidRPr="00DB070D" w:rsidRDefault="006D35A0" w:rsidP="0012582C">
            <w:pPr>
              <w:ind w:left="34"/>
              <w:cnfStyle w:val="100000000000" w:firstRow="1" w:lastRow="0" w:firstColumn="0" w:lastColumn="0" w:oddVBand="0" w:evenVBand="0" w:oddHBand="0" w:evenHBand="0" w:firstRowFirstColumn="0" w:firstRowLastColumn="0" w:lastRowFirstColumn="0" w:lastRowLastColumn="0"/>
            </w:pPr>
            <w:r w:rsidRPr="00DB070D">
              <w:t>n</w:t>
            </w:r>
          </w:p>
        </w:tc>
        <w:tc>
          <w:tcPr>
            <w:tcW w:w="1525" w:type="dxa"/>
          </w:tcPr>
          <w:p w14:paraId="3370E858" w14:textId="77777777" w:rsidR="006D35A0" w:rsidRPr="00DB070D" w:rsidRDefault="00F750CE" w:rsidP="0012582C">
            <w:pPr>
              <w:ind w:left="0"/>
              <w:cnfStyle w:val="100000000000" w:firstRow="1" w:lastRow="0" w:firstColumn="0" w:lastColumn="0" w:oddVBand="0" w:evenVBand="0" w:oddHBand="0" w:evenHBand="0" w:firstRowFirstColumn="0" w:firstRowLastColumn="0" w:lastRowFirstColumn="0" w:lastRowLastColumn="0"/>
            </w:pPr>
            <w:r>
              <w:t>Bleed severity</w:t>
            </w:r>
          </w:p>
        </w:tc>
        <w:tc>
          <w:tcPr>
            <w:tcW w:w="1472" w:type="dxa"/>
          </w:tcPr>
          <w:p w14:paraId="0D8E41C7" w14:textId="77777777" w:rsidR="006D35A0" w:rsidRPr="00DB070D" w:rsidRDefault="006D35A0" w:rsidP="0012582C">
            <w:pPr>
              <w:ind w:left="0"/>
              <w:cnfStyle w:val="100000000000" w:firstRow="1" w:lastRow="0" w:firstColumn="0" w:lastColumn="0" w:oddVBand="0" w:evenVBand="0" w:oddHBand="0" w:evenHBand="0" w:firstRowFirstColumn="0" w:firstRowLastColumn="0" w:lastRowFirstColumn="0" w:lastRowLastColumn="0"/>
            </w:pPr>
            <w:r w:rsidRPr="00DB070D">
              <w:t>Excellent</w:t>
            </w:r>
            <w:r>
              <w:t xml:space="preserve"> n (%)</w:t>
            </w:r>
          </w:p>
        </w:tc>
        <w:tc>
          <w:tcPr>
            <w:tcW w:w="1439" w:type="dxa"/>
          </w:tcPr>
          <w:p w14:paraId="257E1F8C" w14:textId="77777777" w:rsidR="006D35A0" w:rsidRPr="00DB070D" w:rsidRDefault="006D35A0" w:rsidP="0012582C">
            <w:pPr>
              <w:ind w:left="0"/>
              <w:cnfStyle w:val="100000000000" w:firstRow="1" w:lastRow="0" w:firstColumn="0" w:lastColumn="0" w:oddVBand="0" w:evenVBand="0" w:oddHBand="0" w:evenHBand="0" w:firstRowFirstColumn="0" w:firstRowLastColumn="0" w:lastRowFirstColumn="0" w:lastRowLastColumn="0"/>
            </w:pPr>
            <w:r w:rsidRPr="00DB070D">
              <w:t>Good</w:t>
            </w:r>
            <w:r>
              <w:t xml:space="preserve"> n (%)</w:t>
            </w:r>
          </w:p>
        </w:tc>
        <w:tc>
          <w:tcPr>
            <w:tcW w:w="1438" w:type="dxa"/>
          </w:tcPr>
          <w:p w14:paraId="728D16CC" w14:textId="77777777" w:rsidR="006D35A0" w:rsidRPr="00DB070D" w:rsidRDefault="006D35A0" w:rsidP="0012582C">
            <w:pPr>
              <w:ind w:left="0"/>
              <w:cnfStyle w:val="100000000000" w:firstRow="1" w:lastRow="0" w:firstColumn="0" w:lastColumn="0" w:oddVBand="0" w:evenVBand="0" w:oddHBand="0" w:evenHBand="0" w:firstRowFirstColumn="0" w:firstRowLastColumn="0" w:lastRowFirstColumn="0" w:lastRowLastColumn="0"/>
            </w:pPr>
            <w:r w:rsidRPr="00DB070D">
              <w:t>Moderate</w:t>
            </w:r>
            <w:r>
              <w:t xml:space="preserve"> n (%)</w:t>
            </w:r>
          </w:p>
        </w:tc>
        <w:tc>
          <w:tcPr>
            <w:tcW w:w="1321" w:type="dxa"/>
          </w:tcPr>
          <w:p w14:paraId="29B08141" w14:textId="77777777" w:rsidR="006D35A0" w:rsidRPr="00DB070D" w:rsidRDefault="006D35A0" w:rsidP="0012582C">
            <w:pPr>
              <w:ind w:left="0"/>
              <w:cnfStyle w:val="100000000000" w:firstRow="1" w:lastRow="0" w:firstColumn="0" w:lastColumn="0" w:oddVBand="0" w:evenVBand="0" w:oddHBand="0" w:evenHBand="0" w:firstRowFirstColumn="0" w:firstRowLastColumn="0" w:lastRowFirstColumn="0" w:lastRowLastColumn="0"/>
            </w:pPr>
            <w:r>
              <w:t>None n (%)</w:t>
            </w:r>
          </w:p>
        </w:tc>
      </w:tr>
      <w:tr w:rsidR="006D35A0" w:rsidRPr="00DB070D" w14:paraId="1DC40C16"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126D8768" w14:textId="77777777" w:rsidR="006D35A0" w:rsidRPr="00DB070D" w:rsidRDefault="006D35A0" w:rsidP="00CE5D1D">
            <w:pPr>
              <w:ind w:left="0"/>
            </w:pPr>
            <w:r w:rsidRPr="00DB070D">
              <w:t>All: 2-12 years</w:t>
            </w:r>
          </w:p>
        </w:tc>
        <w:tc>
          <w:tcPr>
            <w:tcW w:w="885" w:type="dxa"/>
          </w:tcPr>
          <w:p w14:paraId="0EF06857"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108</w:t>
            </w:r>
          </w:p>
        </w:tc>
        <w:tc>
          <w:tcPr>
            <w:tcW w:w="1525" w:type="dxa"/>
          </w:tcPr>
          <w:p w14:paraId="37DF96FD"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Any BE</w:t>
            </w:r>
          </w:p>
        </w:tc>
        <w:tc>
          <w:tcPr>
            <w:tcW w:w="1472" w:type="dxa"/>
          </w:tcPr>
          <w:p w14:paraId="17B04965"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77 (71.3(</w:t>
            </w:r>
          </w:p>
        </w:tc>
        <w:tc>
          <w:tcPr>
            <w:tcW w:w="1439" w:type="dxa"/>
          </w:tcPr>
          <w:p w14:paraId="60FC673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12 (11.1)</w:t>
            </w:r>
          </w:p>
        </w:tc>
        <w:tc>
          <w:tcPr>
            <w:tcW w:w="1438" w:type="dxa"/>
          </w:tcPr>
          <w:p w14:paraId="4E111D79"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17 (15.7)</w:t>
            </w:r>
          </w:p>
        </w:tc>
        <w:tc>
          <w:tcPr>
            <w:tcW w:w="1321" w:type="dxa"/>
          </w:tcPr>
          <w:p w14:paraId="01A47909"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 (1.9)</w:t>
            </w:r>
          </w:p>
        </w:tc>
      </w:tr>
      <w:tr w:rsidR="006D35A0" w:rsidRPr="00DB070D" w14:paraId="1E2B1B90"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05107C37" w14:textId="77777777" w:rsidR="006D35A0" w:rsidRPr="00DB070D" w:rsidRDefault="006D35A0" w:rsidP="00CE5D1D">
            <w:pPr>
              <w:ind w:left="0"/>
            </w:pPr>
          </w:p>
        </w:tc>
        <w:tc>
          <w:tcPr>
            <w:tcW w:w="885" w:type="dxa"/>
          </w:tcPr>
          <w:p w14:paraId="647A0F40"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61</w:t>
            </w:r>
          </w:p>
        </w:tc>
        <w:tc>
          <w:tcPr>
            <w:tcW w:w="1525" w:type="dxa"/>
          </w:tcPr>
          <w:p w14:paraId="39A7F476"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Minor BE</w:t>
            </w:r>
          </w:p>
        </w:tc>
        <w:tc>
          <w:tcPr>
            <w:tcW w:w="1472" w:type="dxa"/>
          </w:tcPr>
          <w:p w14:paraId="7B5A2BB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53 (86.9)</w:t>
            </w:r>
          </w:p>
        </w:tc>
        <w:tc>
          <w:tcPr>
            <w:tcW w:w="1439" w:type="dxa"/>
          </w:tcPr>
          <w:p w14:paraId="4D4C8F1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7 (11.5)</w:t>
            </w:r>
          </w:p>
        </w:tc>
        <w:tc>
          <w:tcPr>
            <w:tcW w:w="1438" w:type="dxa"/>
          </w:tcPr>
          <w:p w14:paraId="0D1AE77D"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 (1.6)</w:t>
            </w:r>
          </w:p>
        </w:tc>
        <w:tc>
          <w:tcPr>
            <w:tcW w:w="1321" w:type="dxa"/>
          </w:tcPr>
          <w:p w14:paraId="5C2F505E"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r>
      <w:tr w:rsidR="006D35A0" w:rsidRPr="00DB070D" w14:paraId="1EF8D30C"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76CD2EFD" w14:textId="77777777" w:rsidR="006D35A0" w:rsidRPr="00DB070D" w:rsidRDefault="006D35A0" w:rsidP="00CE5D1D">
            <w:pPr>
              <w:ind w:left="0"/>
            </w:pPr>
          </w:p>
        </w:tc>
        <w:tc>
          <w:tcPr>
            <w:tcW w:w="885" w:type="dxa"/>
          </w:tcPr>
          <w:p w14:paraId="38908B48"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 xml:space="preserve">46 </w:t>
            </w:r>
          </w:p>
        </w:tc>
        <w:tc>
          <w:tcPr>
            <w:tcW w:w="1525" w:type="dxa"/>
          </w:tcPr>
          <w:p w14:paraId="1C3C2E3D"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Moderate-Major BE</w:t>
            </w:r>
          </w:p>
        </w:tc>
        <w:tc>
          <w:tcPr>
            <w:tcW w:w="1472" w:type="dxa"/>
          </w:tcPr>
          <w:p w14:paraId="4BC68EE9"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23 (50.0)</w:t>
            </w:r>
          </w:p>
        </w:tc>
        <w:tc>
          <w:tcPr>
            <w:tcW w:w="1439" w:type="dxa"/>
          </w:tcPr>
          <w:p w14:paraId="1B6555B1"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5 (10.9)</w:t>
            </w:r>
          </w:p>
        </w:tc>
        <w:tc>
          <w:tcPr>
            <w:tcW w:w="1438" w:type="dxa"/>
          </w:tcPr>
          <w:p w14:paraId="19952100"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16 (34.8)</w:t>
            </w:r>
          </w:p>
        </w:tc>
        <w:tc>
          <w:tcPr>
            <w:tcW w:w="1321" w:type="dxa"/>
          </w:tcPr>
          <w:p w14:paraId="091FAB3C"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 (4.3)</w:t>
            </w:r>
          </w:p>
        </w:tc>
      </w:tr>
      <w:tr w:rsidR="006D35A0" w:rsidRPr="00DB070D" w14:paraId="400406F8"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4AC53A51" w14:textId="77777777" w:rsidR="006D35A0" w:rsidRPr="00DB070D" w:rsidRDefault="006D35A0" w:rsidP="00CE5D1D">
            <w:pPr>
              <w:ind w:left="0"/>
            </w:pPr>
            <w:r>
              <w:t xml:space="preserve">Age: </w:t>
            </w:r>
            <w:r w:rsidRPr="00DB070D">
              <w:t>2-5 years</w:t>
            </w:r>
          </w:p>
        </w:tc>
        <w:tc>
          <w:tcPr>
            <w:tcW w:w="885" w:type="dxa"/>
          </w:tcPr>
          <w:p w14:paraId="0B5B0FCB"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33</w:t>
            </w:r>
          </w:p>
        </w:tc>
        <w:tc>
          <w:tcPr>
            <w:tcW w:w="1525" w:type="dxa"/>
          </w:tcPr>
          <w:p w14:paraId="3F799478"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Any BE</w:t>
            </w:r>
          </w:p>
        </w:tc>
        <w:tc>
          <w:tcPr>
            <w:tcW w:w="1472" w:type="dxa"/>
          </w:tcPr>
          <w:p w14:paraId="3641A280"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21 (63.6)</w:t>
            </w:r>
          </w:p>
        </w:tc>
        <w:tc>
          <w:tcPr>
            <w:tcW w:w="1439" w:type="dxa"/>
          </w:tcPr>
          <w:p w14:paraId="0F03D95A"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6 (18.2)</w:t>
            </w:r>
          </w:p>
        </w:tc>
        <w:tc>
          <w:tcPr>
            <w:tcW w:w="1438" w:type="dxa"/>
          </w:tcPr>
          <w:p w14:paraId="21B604CC"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6 (18.2)</w:t>
            </w:r>
          </w:p>
        </w:tc>
        <w:tc>
          <w:tcPr>
            <w:tcW w:w="1321" w:type="dxa"/>
          </w:tcPr>
          <w:p w14:paraId="5EE2DB4D"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r>
      <w:tr w:rsidR="006D35A0" w:rsidRPr="00DB070D" w14:paraId="4A1FF6AA"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758C2471" w14:textId="77777777" w:rsidR="006D35A0" w:rsidRPr="00DB070D" w:rsidRDefault="006D35A0" w:rsidP="00CE5D1D">
            <w:pPr>
              <w:ind w:left="0"/>
            </w:pPr>
          </w:p>
        </w:tc>
        <w:tc>
          <w:tcPr>
            <w:tcW w:w="885" w:type="dxa"/>
          </w:tcPr>
          <w:p w14:paraId="1C5F06C7"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20</w:t>
            </w:r>
          </w:p>
        </w:tc>
        <w:tc>
          <w:tcPr>
            <w:tcW w:w="1525" w:type="dxa"/>
          </w:tcPr>
          <w:p w14:paraId="0493C05C"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Minor BE</w:t>
            </w:r>
          </w:p>
        </w:tc>
        <w:tc>
          <w:tcPr>
            <w:tcW w:w="1472" w:type="dxa"/>
          </w:tcPr>
          <w:p w14:paraId="33474883"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15 (75.0)</w:t>
            </w:r>
          </w:p>
        </w:tc>
        <w:tc>
          <w:tcPr>
            <w:tcW w:w="1439" w:type="dxa"/>
          </w:tcPr>
          <w:p w14:paraId="50B5A12E"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5 (25.0)</w:t>
            </w:r>
          </w:p>
        </w:tc>
        <w:tc>
          <w:tcPr>
            <w:tcW w:w="1438" w:type="dxa"/>
          </w:tcPr>
          <w:p w14:paraId="62F54883"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c>
          <w:tcPr>
            <w:tcW w:w="1321" w:type="dxa"/>
          </w:tcPr>
          <w:p w14:paraId="76EBAB85"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r>
      <w:tr w:rsidR="006D35A0" w:rsidRPr="00DB070D" w14:paraId="6E863582"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4746C095" w14:textId="77777777" w:rsidR="006D35A0" w:rsidRPr="00DB070D" w:rsidRDefault="006D35A0" w:rsidP="00CE5D1D">
            <w:pPr>
              <w:ind w:left="0"/>
            </w:pPr>
          </w:p>
        </w:tc>
        <w:tc>
          <w:tcPr>
            <w:tcW w:w="885" w:type="dxa"/>
          </w:tcPr>
          <w:p w14:paraId="0056F265"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13</w:t>
            </w:r>
          </w:p>
        </w:tc>
        <w:tc>
          <w:tcPr>
            <w:tcW w:w="1525" w:type="dxa"/>
          </w:tcPr>
          <w:p w14:paraId="229DAD23"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Moderate-Major BE</w:t>
            </w:r>
          </w:p>
        </w:tc>
        <w:tc>
          <w:tcPr>
            <w:tcW w:w="1472" w:type="dxa"/>
          </w:tcPr>
          <w:p w14:paraId="1607E425"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6 (46.2)</w:t>
            </w:r>
          </w:p>
        </w:tc>
        <w:tc>
          <w:tcPr>
            <w:tcW w:w="1439" w:type="dxa"/>
          </w:tcPr>
          <w:p w14:paraId="47C82BC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 (7.7)</w:t>
            </w:r>
          </w:p>
        </w:tc>
        <w:tc>
          <w:tcPr>
            <w:tcW w:w="1438" w:type="dxa"/>
          </w:tcPr>
          <w:p w14:paraId="6544E81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6 (46.2)</w:t>
            </w:r>
          </w:p>
        </w:tc>
        <w:tc>
          <w:tcPr>
            <w:tcW w:w="1321" w:type="dxa"/>
          </w:tcPr>
          <w:p w14:paraId="1F893A17"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r>
      <w:tr w:rsidR="006D35A0" w:rsidRPr="00DB070D" w14:paraId="03C7D163"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2AD2D194" w14:textId="6C5495ED" w:rsidR="006D35A0" w:rsidRPr="00DB070D" w:rsidRDefault="006D35A0" w:rsidP="0012582C">
            <w:pPr>
              <w:ind w:left="0"/>
            </w:pPr>
            <w:r>
              <w:t>Age:</w:t>
            </w:r>
            <w:r w:rsidR="0012582C">
              <w:t xml:space="preserve"> </w:t>
            </w:r>
            <w:r w:rsidRPr="00DB070D">
              <w:t>6-12 years</w:t>
            </w:r>
            <w:r>
              <w:t xml:space="preserve"> *</w:t>
            </w:r>
          </w:p>
        </w:tc>
        <w:tc>
          <w:tcPr>
            <w:tcW w:w="885" w:type="dxa"/>
          </w:tcPr>
          <w:p w14:paraId="74BEE458"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75</w:t>
            </w:r>
          </w:p>
        </w:tc>
        <w:tc>
          <w:tcPr>
            <w:tcW w:w="1525" w:type="dxa"/>
          </w:tcPr>
          <w:p w14:paraId="5A4AEC0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Any BE</w:t>
            </w:r>
          </w:p>
        </w:tc>
        <w:tc>
          <w:tcPr>
            <w:tcW w:w="1472" w:type="dxa"/>
          </w:tcPr>
          <w:p w14:paraId="074E4761"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56 (74.7)</w:t>
            </w:r>
          </w:p>
        </w:tc>
        <w:tc>
          <w:tcPr>
            <w:tcW w:w="1439" w:type="dxa"/>
          </w:tcPr>
          <w:p w14:paraId="6114FE7F"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6 (8.0)</w:t>
            </w:r>
          </w:p>
        </w:tc>
        <w:tc>
          <w:tcPr>
            <w:tcW w:w="1438" w:type="dxa"/>
          </w:tcPr>
          <w:p w14:paraId="7D74390E"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11 (14.7)</w:t>
            </w:r>
          </w:p>
        </w:tc>
        <w:tc>
          <w:tcPr>
            <w:tcW w:w="1321" w:type="dxa"/>
          </w:tcPr>
          <w:p w14:paraId="6EBDD601"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 (2.7)</w:t>
            </w:r>
          </w:p>
        </w:tc>
      </w:tr>
      <w:tr w:rsidR="006D35A0" w:rsidRPr="00DB070D" w14:paraId="71D27388"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23B88188" w14:textId="77777777" w:rsidR="006D35A0" w:rsidRPr="00DB070D" w:rsidRDefault="006D35A0" w:rsidP="00CE5D1D">
            <w:pPr>
              <w:ind w:left="0"/>
            </w:pPr>
          </w:p>
        </w:tc>
        <w:tc>
          <w:tcPr>
            <w:tcW w:w="885" w:type="dxa"/>
          </w:tcPr>
          <w:p w14:paraId="784E0B94"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41</w:t>
            </w:r>
          </w:p>
        </w:tc>
        <w:tc>
          <w:tcPr>
            <w:tcW w:w="1525" w:type="dxa"/>
          </w:tcPr>
          <w:p w14:paraId="651F306A"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Minor BE</w:t>
            </w:r>
          </w:p>
        </w:tc>
        <w:tc>
          <w:tcPr>
            <w:tcW w:w="1472" w:type="dxa"/>
          </w:tcPr>
          <w:p w14:paraId="789131E3"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38 (92.7)</w:t>
            </w:r>
          </w:p>
        </w:tc>
        <w:tc>
          <w:tcPr>
            <w:tcW w:w="1439" w:type="dxa"/>
          </w:tcPr>
          <w:p w14:paraId="7533DA6E"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 (4.9)</w:t>
            </w:r>
          </w:p>
        </w:tc>
        <w:tc>
          <w:tcPr>
            <w:tcW w:w="1438" w:type="dxa"/>
          </w:tcPr>
          <w:p w14:paraId="614FAFA9"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 (2.4)</w:t>
            </w:r>
          </w:p>
        </w:tc>
        <w:tc>
          <w:tcPr>
            <w:tcW w:w="1321" w:type="dxa"/>
          </w:tcPr>
          <w:p w14:paraId="4912D06B"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0</w:t>
            </w:r>
          </w:p>
        </w:tc>
      </w:tr>
      <w:tr w:rsidR="006D35A0" w:rsidRPr="00DB070D" w14:paraId="068718D2" w14:textId="77777777" w:rsidTr="00CE5D1D">
        <w:tc>
          <w:tcPr>
            <w:cnfStyle w:val="001000000000" w:firstRow="0" w:lastRow="0" w:firstColumn="1" w:lastColumn="0" w:oddVBand="0" w:evenVBand="0" w:oddHBand="0" w:evenHBand="0" w:firstRowFirstColumn="0" w:firstRowLastColumn="0" w:lastRowFirstColumn="0" w:lastRowLastColumn="0"/>
            <w:tcW w:w="1242" w:type="dxa"/>
          </w:tcPr>
          <w:p w14:paraId="31A7205E" w14:textId="77777777" w:rsidR="006D35A0" w:rsidRPr="00DB070D" w:rsidRDefault="006D35A0" w:rsidP="00CE5D1D">
            <w:pPr>
              <w:ind w:left="0"/>
            </w:pPr>
          </w:p>
        </w:tc>
        <w:tc>
          <w:tcPr>
            <w:tcW w:w="885" w:type="dxa"/>
          </w:tcPr>
          <w:p w14:paraId="739188A4" w14:textId="77777777" w:rsidR="006D35A0" w:rsidRPr="00DB070D" w:rsidRDefault="006D35A0" w:rsidP="0012582C">
            <w:pPr>
              <w:ind w:left="34"/>
              <w:cnfStyle w:val="000000000000" w:firstRow="0" w:lastRow="0" w:firstColumn="0" w:lastColumn="0" w:oddVBand="0" w:evenVBand="0" w:oddHBand="0" w:evenHBand="0" w:firstRowFirstColumn="0" w:firstRowLastColumn="0" w:lastRowFirstColumn="0" w:lastRowLastColumn="0"/>
            </w:pPr>
            <w:r>
              <w:t xml:space="preserve">33 </w:t>
            </w:r>
          </w:p>
        </w:tc>
        <w:tc>
          <w:tcPr>
            <w:tcW w:w="1525" w:type="dxa"/>
          </w:tcPr>
          <w:p w14:paraId="3133FB42"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Moderate-Major BE</w:t>
            </w:r>
          </w:p>
        </w:tc>
        <w:tc>
          <w:tcPr>
            <w:tcW w:w="1472" w:type="dxa"/>
          </w:tcPr>
          <w:p w14:paraId="323ADA3C"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17 (51.5)</w:t>
            </w:r>
          </w:p>
        </w:tc>
        <w:tc>
          <w:tcPr>
            <w:tcW w:w="1439" w:type="dxa"/>
          </w:tcPr>
          <w:p w14:paraId="16D2FFAC"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4 (12.1)</w:t>
            </w:r>
          </w:p>
        </w:tc>
        <w:tc>
          <w:tcPr>
            <w:tcW w:w="1438" w:type="dxa"/>
          </w:tcPr>
          <w:p w14:paraId="37A73516"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10 (30.3)</w:t>
            </w:r>
          </w:p>
        </w:tc>
        <w:tc>
          <w:tcPr>
            <w:tcW w:w="1321" w:type="dxa"/>
          </w:tcPr>
          <w:p w14:paraId="24AC7166" w14:textId="77777777" w:rsidR="006D35A0" w:rsidRPr="00DB070D" w:rsidRDefault="006D35A0" w:rsidP="0012582C">
            <w:pPr>
              <w:ind w:left="0"/>
              <w:cnfStyle w:val="000000000000" w:firstRow="0" w:lastRow="0" w:firstColumn="0" w:lastColumn="0" w:oddVBand="0" w:evenVBand="0" w:oddHBand="0" w:evenHBand="0" w:firstRowFirstColumn="0" w:firstRowLastColumn="0" w:lastRowFirstColumn="0" w:lastRowLastColumn="0"/>
            </w:pPr>
            <w:r>
              <w:t>2 (6.1)</w:t>
            </w:r>
          </w:p>
        </w:tc>
      </w:tr>
    </w:tbl>
    <w:p w14:paraId="07CFDDB3" w14:textId="6B1D6AD4" w:rsidR="006D35A0" w:rsidRPr="00F957F3" w:rsidRDefault="006D35A0" w:rsidP="0012582C">
      <w:pPr>
        <w:pStyle w:val="TableDescription"/>
      </w:pPr>
      <w:r>
        <w:rPr>
          <w:sz w:val="16"/>
          <w:szCs w:val="16"/>
        </w:rPr>
        <w:t xml:space="preserve">* </w:t>
      </w:r>
      <w:r>
        <w:t>The severity of 1 BE (</w:t>
      </w:r>
      <w:r w:rsidR="003C6EAB">
        <w:t>[information redacted]</w:t>
      </w:r>
      <w:r>
        <w:t xml:space="preserve">, 6–12 years subgroup) was classed as unknown and had an efficacy rating of excellent. BE = bleeding episode; BLEED = study population of BEs treated with </w:t>
      </w:r>
      <w:r w:rsidR="00784227">
        <w:rPr>
          <w:iCs/>
        </w:rPr>
        <w:t>simoctocog alfa</w:t>
      </w:r>
      <w:r w:rsidRPr="00F957F3">
        <w:t>;</w:t>
      </w:r>
      <w:r>
        <w:t xml:space="preserve"> n = number analysed.</w:t>
      </w:r>
    </w:p>
    <w:p w14:paraId="28058261" w14:textId="77777777" w:rsidR="000F04AF" w:rsidRDefault="006D35A0" w:rsidP="0012582C">
      <w:r w:rsidRPr="00F957F3">
        <w:t xml:space="preserve">The IDMC adjudicated on all personal efficacy assessments for the treatment of BEs, primarily considering the number of infusions administered for each </w:t>
      </w:r>
      <w:proofErr w:type="gramStart"/>
      <w:r w:rsidRPr="00F957F3">
        <w:t>BE</w:t>
      </w:r>
      <w:proofErr w:type="gramEnd"/>
      <w:r w:rsidRPr="00F957F3">
        <w:t xml:space="preserve">. In </w:t>
      </w:r>
      <w:r>
        <w:t>3</w:t>
      </w:r>
      <w:r w:rsidRPr="00F957F3">
        <w:t xml:space="preserve"> cases the IDMC </w:t>
      </w:r>
      <w:r>
        <w:t xml:space="preserve">efficacy </w:t>
      </w:r>
      <w:r w:rsidRPr="00F957F3">
        <w:t xml:space="preserve">assessment differed from the personal </w:t>
      </w:r>
      <w:r>
        <w:t xml:space="preserve">efficacy </w:t>
      </w:r>
      <w:r w:rsidRPr="00F957F3">
        <w:t xml:space="preserve">assessment. In </w:t>
      </w:r>
      <w:r>
        <w:t>1</w:t>
      </w:r>
      <w:r w:rsidRPr="00F957F3">
        <w:t xml:space="preserve"> case in which the personal assessment was rated “good”, efficacy was judged “moderate” by the IDMC; in </w:t>
      </w:r>
      <w:r>
        <w:t>1</w:t>
      </w:r>
      <w:r w:rsidRPr="00F957F3">
        <w:t xml:space="preserve"> case in which the personal assessment had been “excellent”, efficacy was rated “good” by the IDMC</w:t>
      </w:r>
      <w:r>
        <w:t xml:space="preserve">; and in 1 case </w:t>
      </w:r>
      <w:r w:rsidRPr="00F957F3">
        <w:t xml:space="preserve">in which the personal assessment was rated “moderate”, efficacy was judged “none” by the IDMC </w:t>
      </w:r>
      <w:r>
        <w:t>(</w:t>
      </w:r>
      <w:r w:rsidRPr="00F957F3">
        <w:t>during the final IDMC meeting for this study after database lock</w:t>
      </w:r>
      <w:r>
        <w:t>)</w:t>
      </w:r>
      <w:r w:rsidR="000F04AF">
        <w:t>.</w:t>
      </w:r>
    </w:p>
    <w:p w14:paraId="522A949F" w14:textId="3364405A" w:rsidR="006D35A0" w:rsidRPr="00787CB5" w:rsidRDefault="006D35A0" w:rsidP="0038216C">
      <w:pPr>
        <w:pStyle w:val="Heading5"/>
      </w:pPr>
      <w:bookmarkStart w:id="127" w:name="_Toc266446486"/>
      <w:r w:rsidRPr="00787CB5">
        <w:t>Surgery</w:t>
      </w:r>
      <w:bookmarkEnd w:id="127"/>
    </w:p>
    <w:p w14:paraId="2204D46A" w14:textId="77777777" w:rsidR="000F04AF" w:rsidRDefault="006D35A0" w:rsidP="006D35A0">
      <w:pPr>
        <w:widowControl w:val="0"/>
        <w:autoSpaceDE w:val="0"/>
        <w:autoSpaceDN w:val="0"/>
        <w:adjustRightInd w:val="0"/>
        <w:rPr>
          <w:rFonts w:eastAsia="Times New Roman"/>
          <w:lang w:eastAsia="en-AU"/>
        </w:rPr>
      </w:pPr>
      <w:r w:rsidRPr="00B060C6">
        <w:rPr>
          <w:rFonts w:eastAsia="Times New Roman"/>
          <w:lang w:eastAsia="en-AU"/>
        </w:rPr>
        <w:t xml:space="preserve">Six patients </w:t>
      </w:r>
      <w:r>
        <w:rPr>
          <w:rFonts w:eastAsia="Times New Roman"/>
          <w:lang w:eastAsia="en-AU"/>
        </w:rPr>
        <w:t xml:space="preserve">(including 1 with VWD) </w:t>
      </w:r>
      <w:r w:rsidRPr="00B060C6">
        <w:rPr>
          <w:rFonts w:eastAsia="Times New Roman"/>
          <w:lang w:eastAsia="en-AU"/>
        </w:rPr>
        <w:t xml:space="preserve">underwent 6 planned </w:t>
      </w:r>
      <w:r>
        <w:rPr>
          <w:rFonts w:eastAsia="Times New Roman"/>
          <w:lang w:eastAsia="en-AU"/>
        </w:rPr>
        <w:t xml:space="preserve">major </w:t>
      </w:r>
      <w:r w:rsidRPr="00B060C6">
        <w:rPr>
          <w:rFonts w:eastAsia="Times New Roman"/>
          <w:lang w:eastAsia="en-AU"/>
        </w:rPr>
        <w:t>surgical procedures</w:t>
      </w:r>
      <w:r>
        <w:rPr>
          <w:rFonts w:eastAsia="Times New Roman"/>
          <w:lang w:eastAsia="en-AU"/>
        </w:rPr>
        <w:t xml:space="preserve"> and received prophylactic simoctocog alfa (see Table 3</w:t>
      </w:r>
      <w:r w:rsidR="006F09EA">
        <w:rPr>
          <w:rFonts w:eastAsia="Times New Roman"/>
          <w:lang w:eastAsia="en-AU"/>
        </w:rPr>
        <w:t>3</w:t>
      </w:r>
      <w:r>
        <w:rPr>
          <w:rFonts w:eastAsia="Times New Roman"/>
          <w:lang w:eastAsia="en-AU"/>
        </w:rPr>
        <w:t>, below).</w:t>
      </w:r>
    </w:p>
    <w:p w14:paraId="28B89F6A" w14:textId="77777777" w:rsidR="000F04AF" w:rsidRDefault="006D35A0" w:rsidP="00787CB5">
      <w:pPr>
        <w:pStyle w:val="Tabletitle"/>
        <w:rPr>
          <w:lang w:eastAsia="en-AU"/>
        </w:rPr>
      </w:pPr>
      <w:bookmarkStart w:id="128" w:name="_Toc248202552"/>
      <w:r>
        <w:lastRenderedPageBreak/>
        <w:t xml:space="preserve">Table </w:t>
      </w:r>
      <w:r w:rsidR="000A1340">
        <w:t>3</w:t>
      </w:r>
      <w:r w:rsidR="006F09EA">
        <w:t>3</w:t>
      </w:r>
      <w:r>
        <w:t xml:space="preserve">: </w:t>
      </w:r>
      <w:r>
        <w:rPr>
          <w:lang w:eastAsia="en-AU"/>
        </w:rPr>
        <w:t>GENA-03 - Surgical procedures; SURG population, 6 surgeries in 6 patients.</w:t>
      </w:r>
      <w:bookmarkEnd w:id="128"/>
    </w:p>
    <w:p w14:paraId="6EF29609" w14:textId="2E55B2C9" w:rsidR="0038216C" w:rsidRPr="0038216C" w:rsidRDefault="0038216C" w:rsidP="0038216C">
      <w:pPr>
        <w:rPr>
          <w:lang w:eastAsia="en-AU"/>
        </w:rPr>
      </w:pPr>
      <w:r>
        <w:rPr>
          <w:noProof/>
          <w:lang w:eastAsia="en-AU"/>
        </w:rPr>
        <w:drawing>
          <wp:inline distT="0" distB="0" distL="0" distR="0" wp14:anchorId="53266FF0" wp14:editId="04A12A1A">
            <wp:extent cx="4026433" cy="1582911"/>
            <wp:effectExtent l="0" t="0" r="0" b="0"/>
            <wp:docPr id="4" name="Picture 4" descr="Table 33: GENA-03 - Surgical procedures; SURG population, 6 surgeries in 6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4007" b="4262"/>
                    <a:stretch/>
                  </pic:blipFill>
                  <pic:spPr bwMode="auto">
                    <a:xfrm>
                      <a:off x="0" y="0"/>
                      <a:ext cx="4027401" cy="1583291"/>
                    </a:xfrm>
                    <a:prstGeom prst="rect">
                      <a:avLst/>
                    </a:prstGeom>
                    <a:ln>
                      <a:noFill/>
                    </a:ln>
                    <a:extLst>
                      <a:ext uri="{53640926-AAD7-44D8-BBD7-CCE9431645EC}">
                        <a14:shadowObscured xmlns:a14="http://schemas.microsoft.com/office/drawing/2010/main"/>
                      </a:ext>
                    </a:extLst>
                  </pic:spPr>
                </pic:pic>
              </a:graphicData>
            </a:graphic>
          </wp:inline>
        </w:drawing>
      </w:r>
    </w:p>
    <w:p w14:paraId="1C85D0A4" w14:textId="77777777" w:rsidR="000F04AF" w:rsidRDefault="006D35A0" w:rsidP="0012582C">
      <w:pPr>
        <w:pStyle w:val="TableDescription"/>
      </w:pPr>
      <w:r>
        <w:rPr>
          <w:rFonts w:ascii="Times New Roman" w:eastAsia="Times New Roman" w:hAnsi="Times New Roman"/>
          <w:sz w:val="30"/>
          <w:szCs w:val="30"/>
          <w:lang w:eastAsia="en-AU"/>
        </w:rPr>
        <w:t xml:space="preserve"> </w:t>
      </w:r>
      <w:r w:rsidRPr="00B060C6">
        <w:t xml:space="preserve">* This patient was later diagnosed with </w:t>
      </w:r>
      <w:r>
        <w:t xml:space="preserve">von Willebrand disease </w:t>
      </w:r>
      <w:r w:rsidRPr="00B060C6">
        <w:t>and withdrawn from the study.</w:t>
      </w:r>
      <w:r>
        <w:t xml:space="preserve"> </w:t>
      </w:r>
      <w:r w:rsidRPr="00B060C6">
        <w:t xml:space="preserve">ED = exposure day; IU = international units; SURG = study population of surgeries treated with </w:t>
      </w:r>
      <w:r>
        <w:rPr>
          <w:iCs/>
        </w:rPr>
        <w:t>simoctocog alfa</w:t>
      </w:r>
      <w:r>
        <w:t>.</w:t>
      </w:r>
    </w:p>
    <w:p w14:paraId="61311555" w14:textId="77777777" w:rsidR="000F04AF" w:rsidRDefault="006D35A0" w:rsidP="006D35A0">
      <w:pPr>
        <w:rPr>
          <w:color w:val="000000"/>
        </w:rPr>
      </w:pPr>
      <w:r>
        <w:rPr>
          <w:color w:val="000000"/>
        </w:rPr>
        <w:t>EDs and dosages administered for all 6 patients in the SURG population (including the patient with VWD) are summarised below in Table 3</w:t>
      </w:r>
      <w:r w:rsidR="006F09EA">
        <w:rPr>
          <w:color w:val="000000"/>
        </w:rPr>
        <w:t>4</w:t>
      </w:r>
      <w:r>
        <w:rPr>
          <w:color w:val="000000"/>
        </w:rPr>
        <w:t xml:space="preserve">. </w:t>
      </w:r>
      <w:r w:rsidRPr="00B460E8">
        <w:t xml:space="preserve">Excluding the patient with VWD </w:t>
      </w:r>
      <w:r w:rsidR="0038216C">
        <w:t>[information redacted]</w:t>
      </w:r>
      <w:r w:rsidRPr="00B460E8">
        <w:t xml:space="preserve">, individual doses for the 5 surgeries ranged from 28.25 IU/kg to 56.50 IU/kg. All 5 patients received a 50 IU/kg loading dose before surgery, except patient </w:t>
      </w:r>
      <w:r w:rsidR="0038216C">
        <w:t>[information redacted]</w:t>
      </w:r>
      <w:r w:rsidRPr="00B460E8">
        <w:t xml:space="preserve"> who received 56.50 IU/kg. No maintenance doses during surgery were required for any patient. The number of infusions ranged from 3 to 5 and the number of EDs ranged from 2 to 4, with the exception of one patient </w:t>
      </w:r>
      <w:r w:rsidR="0038216C">
        <w:t xml:space="preserve">[information redacted] </w:t>
      </w:r>
      <w:r w:rsidRPr="00B460E8">
        <w:t xml:space="preserve">who underwent a port catheter implantation and received 20 infusions during 7 EDs. There was no special explanation given by the investigator for the high number of infusions in this patient, except that according to her experience it is possible for this kind of procedure. No BEs </w:t>
      </w:r>
      <w:proofErr w:type="gramStart"/>
      <w:r w:rsidRPr="00B460E8">
        <w:t>were</w:t>
      </w:r>
      <w:proofErr w:type="gramEnd"/>
      <w:r w:rsidRPr="00B460E8">
        <w:t xml:space="preserve"> documented for this patient during this time period, and it was stated that the procedure went well without any complication. Blood loss during all these surgeries was minimal (2–10 mL), with the highest amount of 10 mL each for a port catheter implantation </w:t>
      </w:r>
      <w:r w:rsidR="0038216C">
        <w:t>[information redacted]</w:t>
      </w:r>
      <w:r w:rsidRPr="00B460E8">
        <w:t xml:space="preserve"> and a circumcision </w:t>
      </w:r>
      <w:r w:rsidR="0038216C">
        <w:t>[information redacted]</w:t>
      </w:r>
      <w:r w:rsidRPr="00B460E8">
        <w:t xml:space="preserve">. One port catheter implantation surgery </w:t>
      </w:r>
      <w:r w:rsidR="0038216C">
        <w:t>[information redacted]</w:t>
      </w:r>
      <w:r w:rsidRPr="00B460E8">
        <w:t xml:space="preserve"> had higher than average expected blood loss, however, the actual blood loss was very low (4 mL) and not higher than the max</w:t>
      </w:r>
      <w:r>
        <w:t xml:space="preserve">imum expected blood loss (5 mL). </w:t>
      </w:r>
      <w:r w:rsidRPr="00B460E8">
        <w:t xml:space="preserve">Efficacy was rated as excellent by both the surgeon and the haematologist for all 5 surgeries. One patient </w:t>
      </w:r>
      <w:r w:rsidR="0038216C">
        <w:t>[information redacted]</w:t>
      </w:r>
      <w:r w:rsidRPr="00B460E8">
        <w:t xml:space="preserve"> was treated with tranexamic acid during the hospitalisation after surgery. </w:t>
      </w:r>
      <w:r w:rsidRPr="00B460E8">
        <w:rPr>
          <w:color w:val="000000"/>
        </w:rPr>
        <w:t xml:space="preserve">The mean duration of </w:t>
      </w:r>
      <w:r>
        <w:rPr>
          <w:color w:val="000000"/>
        </w:rPr>
        <w:t>the surgical procedures</w:t>
      </w:r>
      <w:r w:rsidRPr="00B460E8">
        <w:rPr>
          <w:color w:val="000000"/>
        </w:rPr>
        <w:t xml:space="preserve"> was 33.3±6.06 minutes, ranging from 30 to 45 </w:t>
      </w:r>
      <w:proofErr w:type="gramStart"/>
      <w:r w:rsidRPr="00B460E8">
        <w:rPr>
          <w:color w:val="000000"/>
        </w:rPr>
        <w:t>minutes.</w:t>
      </w:r>
      <w:proofErr w:type="gramEnd"/>
      <w:r w:rsidRPr="00B460E8">
        <w:rPr>
          <w:color w:val="000000"/>
        </w:rPr>
        <w:t xml:space="preserve"> The mean expected duration was 40 minutes for all </w:t>
      </w:r>
      <w:r>
        <w:rPr>
          <w:color w:val="000000"/>
        </w:rPr>
        <w:t>surgical procedures.</w:t>
      </w:r>
    </w:p>
    <w:p w14:paraId="78BF289F" w14:textId="77777777" w:rsidR="000F04AF" w:rsidRDefault="006D35A0" w:rsidP="00787CB5">
      <w:pPr>
        <w:pStyle w:val="Tabletitle"/>
      </w:pPr>
      <w:bookmarkStart w:id="129" w:name="_Toc248202553"/>
      <w:proofErr w:type="gramStart"/>
      <w:r>
        <w:t>Table</w:t>
      </w:r>
      <w:r w:rsidR="000A1340">
        <w:t xml:space="preserve"> 3</w:t>
      </w:r>
      <w:r w:rsidR="006F09EA">
        <w:t>4</w:t>
      </w:r>
      <w:r>
        <w:t xml:space="preserve">: </w:t>
      </w:r>
      <w:r w:rsidRPr="00B460E8">
        <w:t>GENA-0</w:t>
      </w:r>
      <w:r>
        <w:t>3</w:t>
      </w:r>
      <w:r w:rsidRPr="00B460E8">
        <w:t xml:space="preserve"> - EDs and dosages administered for surgeries; SURG population, 6 surgeries in 6 patients.</w:t>
      </w:r>
      <w:bookmarkEnd w:id="129"/>
      <w:proofErr w:type="gramEnd"/>
    </w:p>
    <w:p w14:paraId="55C018BE" w14:textId="330C44FB" w:rsidR="006D35A0" w:rsidRPr="00B460E8" w:rsidRDefault="006D35A0" w:rsidP="006D35A0">
      <w:pPr>
        <w:spacing w:after="0"/>
        <w:rPr>
          <w:color w:val="000000"/>
          <w:sz w:val="16"/>
          <w:szCs w:val="16"/>
        </w:rPr>
      </w:pPr>
      <w:r w:rsidRPr="00B460E8">
        <w:rPr>
          <w:noProof/>
          <w:color w:val="000000"/>
          <w:sz w:val="16"/>
          <w:szCs w:val="16"/>
          <w:lang w:eastAsia="en-AU"/>
        </w:rPr>
        <w:drawing>
          <wp:inline distT="0" distB="0" distL="0" distR="0" wp14:anchorId="35D8C7BE" wp14:editId="58738283">
            <wp:extent cx="4640580" cy="2125980"/>
            <wp:effectExtent l="0" t="0" r="0" b="0"/>
            <wp:docPr id="61" name="Picture 19" descr="Table 34: GENA-03 - EDs and dosages administered for surgeries; SURG population, 6 surgeries in 6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0580" cy="2125980"/>
                    </a:xfrm>
                    <a:prstGeom prst="rect">
                      <a:avLst/>
                    </a:prstGeom>
                    <a:noFill/>
                    <a:ln>
                      <a:noFill/>
                    </a:ln>
                  </pic:spPr>
                </pic:pic>
              </a:graphicData>
            </a:graphic>
          </wp:inline>
        </w:drawing>
      </w:r>
    </w:p>
    <w:p w14:paraId="355D8616" w14:textId="77777777" w:rsidR="000F04AF" w:rsidRDefault="006D35A0" w:rsidP="0012582C">
      <w:pPr>
        <w:pStyle w:val="TableDescription"/>
        <w:rPr>
          <w:rFonts w:cs="Times"/>
          <w:iCs/>
          <w:lang w:eastAsia="en-AU"/>
        </w:rPr>
      </w:pPr>
      <w:r w:rsidRPr="00B460E8">
        <w:rPr>
          <w:color w:val="000000"/>
        </w:rPr>
        <w:t>E</w:t>
      </w:r>
      <w:r w:rsidRPr="00B460E8">
        <w:rPr>
          <w:lang w:eastAsia="en-AU"/>
        </w:rPr>
        <w:t xml:space="preserve">D = exposure day; IU = international units; SD = standard deviation; SURG = study population of surgeries treated with </w:t>
      </w:r>
      <w:r>
        <w:rPr>
          <w:rFonts w:cs="Times"/>
          <w:iCs/>
          <w:lang w:eastAsia="en-AU"/>
        </w:rPr>
        <w:t>simoctocog alfa</w:t>
      </w:r>
      <w:r w:rsidR="003167D0">
        <w:rPr>
          <w:rFonts w:cs="Times"/>
          <w:iCs/>
          <w:lang w:eastAsia="en-AU"/>
        </w:rPr>
        <w:t xml:space="preserve"> </w:t>
      </w:r>
      <w:r w:rsidR="003167D0">
        <w:t>(Human-cl rhFVIII)</w:t>
      </w:r>
      <w:r w:rsidRPr="00B460E8">
        <w:rPr>
          <w:rFonts w:cs="Times"/>
          <w:iCs/>
          <w:lang w:eastAsia="en-AU"/>
        </w:rPr>
        <w:t>.</w:t>
      </w:r>
    </w:p>
    <w:p w14:paraId="27B11FED" w14:textId="58865AFD" w:rsidR="006D35A0" w:rsidRPr="00787CB5" w:rsidRDefault="006D35A0" w:rsidP="0038216C">
      <w:pPr>
        <w:pStyle w:val="Heading5"/>
      </w:pPr>
      <w:bookmarkStart w:id="130" w:name="_Toc266446487"/>
      <w:r w:rsidRPr="00787CB5">
        <w:lastRenderedPageBreak/>
        <w:t>Concomitant treatments after the start of prophylactic treatment</w:t>
      </w:r>
      <w:bookmarkEnd w:id="130"/>
    </w:p>
    <w:p w14:paraId="3E5AECCA" w14:textId="77777777" w:rsidR="000F04AF" w:rsidRDefault="006D35A0" w:rsidP="006D35A0">
      <w:r w:rsidRPr="00661C58">
        <w:t xml:space="preserve">Forty </w:t>
      </w:r>
      <w:r>
        <w:t xml:space="preserve">(40) </w:t>
      </w:r>
      <w:r w:rsidRPr="00661C58">
        <w:t xml:space="preserve">patients received at least one concomitant medication after the start of prophylactic treatment. The most frequently used medication classes (except </w:t>
      </w:r>
      <w:r>
        <w:t xml:space="preserve">for </w:t>
      </w:r>
      <w:r w:rsidRPr="00661C58">
        <w:t>surgery) were anti-haemorrhagics in 33 patients, antibacterials in 16 patients and analgesics in 12 patients One analgesic (paracetamol) was used during 1 of 6 surgeries. No patient</w:t>
      </w:r>
      <w:r>
        <w:t>s</w:t>
      </w:r>
      <w:r w:rsidRPr="00661C58">
        <w:t xml:space="preserve"> received blood transfusions or blood cell concentrates during the study</w:t>
      </w:r>
      <w:r>
        <w:t>.</w:t>
      </w:r>
    </w:p>
    <w:p w14:paraId="36294405" w14:textId="5FEDBC3A" w:rsidR="006D35A0" w:rsidRPr="00661C58" w:rsidRDefault="006D35A0" w:rsidP="006D35A0">
      <w:r w:rsidRPr="00661C58">
        <w:t xml:space="preserve">Thirty-three (33) patients received anti-haemorrhagic treatment, including pdFVIII and rFVIII </w:t>
      </w:r>
      <w:proofErr w:type="gramStart"/>
      <w:r w:rsidRPr="00661C58">
        <w:t>concentrates,</w:t>
      </w:r>
      <w:proofErr w:type="gramEnd"/>
      <w:r w:rsidRPr="00661C58">
        <w:t xml:space="preserve"> tranexamic acid and von Willebrand factor. Th</w:t>
      </w:r>
      <w:r>
        <w:t>e 33</w:t>
      </w:r>
      <w:r w:rsidRPr="00661C58">
        <w:t xml:space="preserve"> patients include the 24 patients who had received their previous FVIII concentrate as part of PK analysis (PK Cycle 1). Thirteen (13) patients received anti-haemorrhagics other than </w:t>
      </w:r>
      <w:r>
        <w:t xml:space="preserve">simoctocog alfa </w:t>
      </w:r>
      <w:r w:rsidRPr="00661C58">
        <w:t xml:space="preserve">for reasons other than PK analysis. Eight (8) patients received other FVIII concentrates as part of their previous prophylaxis after being enrolled into the study, but before their prophylactic regimen with </w:t>
      </w:r>
      <w:r>
        <w:t>simoctocog alfa</w:t>
      </w:r>
      <w:r w:rsidRPr="00661C58">
        <w:t xml:space="preserve"> had begun. Three (3) patients who received other FVIII concentrates after the start of prophylaxis are described in the paragraphs below.</w:t>
      </w:r>
    </w:p>
    <w:p w14:paraId="68233C45" w14:textId="313B92C9" w:rsidR="006D35A0" w:rsidRPr="00661C58" w:rsidRDefault="006D35A0" w:rsidP="006D35A0">
      <w:r w:rsidRPr="00661C58">
        <w:t xml:space="preserve">One patient received 12 infusions of </w:t>
      </w:r>
      <w:r>
        <w:t xml:space="preserve">simoctocog alfa </w:t>
      </w:r>
      <w:r w:rsidRPr="00661C58">
        <w:t>over 10 days for a moderate to ma</w:t>
      </w:r>
      <w:r>
        <w:t>jor bleed in his right ankle</w:t>
      </w:r>
      <w:r w:rsidRPr="00661C58">
        <w:t xml:space="preserve">. The next day he started receiving </w:t>
      </w:r>
      <w:r w:rsidR="003167D0">
        <w:t>a pdFVIII</w:t>
      </w:r>
      <w:r w:rsidR="003167D0" w:rsidRPr="00661C58">
        <w:t xml:space="preserve"> </w:t>
      </w:r>
      <w:r w:rsidRPr="00661C58">
        <w:t xml:space="preserve">and was excluded from the study due to treatment failure. Efficacy of </w:t>
      </w:r>
      <w:r>
        <w:t xml:space="preserve">simoctocog alfa </w:t>
      </w:r>
      <w:r w:rsidRPr="00661C58">
        <w:t>treatment for this BE was rated as none,</w:t>
      </w:r>
    </w:p>
    <w:p w14:paraId="2ACC15B5" w14:textId="2740DF3A" w:rsidR="006D35A0" w:rsidRPr="00661C58" w:rsidRDefault="006D35A0" w:rsidP="006D35A0">
      <w:r w:rsidRPr="00661C58">
        <w:t xml:space="preserve">One patient received 500 IU of </w:t>
      </w:r>
      <w:r w:rsidR="003167D0">
        <w:t>a pdFVIII/vWF</w:t>
      </w:r>
      <w:r w:rsidRPr="00661C58">
        <w:t xml:space="preserve"> twice for a moderate to major bleed that was related to his surgery (port catheter implantation). Prior surgery, he received 4 infusions over 2 EDs of </w:t>
      </w:r>
      <w:r>
        <w:t xml:space="preserve">simoctocog alfa </w:t>
      </w:r>
      <w:r w:rsidRPr="00661C58">
        <w:t>and the efficacy of these was judged as none. This patient was later withdrawn from the study because he was diagnosed with VWD.</w:t>
      </w:r>
    </w:p>
    <w:p w14:paraId="72699725" w14:textId="7EC07E19" w:rsidR="006D35A0" w:rsidRDefault="006D35A0" w:rsidP="006D35A0">
      <w:r w:rsidRPr="00661C58">
        <w:t xml:space="preserve">One patient received one infusion of 1000 IU of </w:t>
      </w:r>
      <w:r w:rsidR="003167D0">
        <w:t>a pdFVIII</w:t>
      </w:r>
      <w:r w:rsidRPr="00661C58">
        <w:t xml:space="preserve"> for a minor traumatic bleed in his left elbow because he did not have any </w:t>
      </w:r>
      <w:r>
        <w:t xml:space="preserve">simoctocog alfa </w:t>
      </w:r>
      <w:r w:rsidRPr="00661C58">
        <w:t>when the bleeding started. O</w:t>
      </w:r>
      <w:r>
        <w:t xml:space="preserve">ver the </w:t>
      </w:r>
      <w:r w:rsidRPr="00661C58">
        <w:t xml:space="preserve">subsequent 8 days he was treated with </w:t>
      </w:r>
      <w:r>
        <w:t xml:space="preserve">simoctocog alfa </w:t>
      </w:r>
      <w:r w:rsidRPr="00661C58">
        <w:t xml:space="preserve">and treatment for this </w:t>
      </w:r>
      <w:proofErr w:type="gramStart"/>
      <w:r w:rsidRPr="00661C58">
        <w:t>BE</w:t>
      </w:r>
      <w:proofErr w:type="gramEnd"/>
      <w:r w:rsidRPr="00661C58">
        <w:t xml:space="preserve"> with </w:t>
      </w:r>
      <w:r>
        <w:t xml:space="preserve">simoctocog alfa </w:t>
      </w:r>
      <w:r w:rsidRPr="00661C58">
        <w:t>was rated as good.</w:t>
      </w:r>
    </w:p>
    <w:p w14:paraId="57D850D7" w14:textId="77777777" w:rsidR="006D35A0" w:rsidRDefault="006D35A0" w:rsidP="0038216C">
      <w:pPr>
        <w:pStyle w:val="Heading3"/>
      </w:pPr>
      <w:bookmarkStart w:id="131" w:name="_Toc266446488"/>
      <w:bookmarkStart w:id="132" w:name="_Toc453765962"/>
      <w:r>
        <w:t xml:space="preserve">Studies providing supportive </w:t>
      </w:r>
      <w:r w:rsidRPr="00787CB5">
        <w:t>efficacy</w:t>
      </w:r>
      <w:r>
        <w:t xml:space="preserve"> data</w:t>
      </w:r>
      <w:bookmarkEnd w:id="131"/>
      <w:bookmarkEnd w:id="132"/>
    </w:p>
    <w:p w14:paraId="20A21F40" w14:textId="77777777" w:rsidR="006D35A0" w:rsidRDefault="006D35A0" w:rsidP="0038216C">
      <w:pPr>
        <w:pStyle w:val="Heading4"/>
      </w:pPr>
      <w:bookmarkStart w:id="133" w:name="_Toc266446489"/>
      <w:r>
        <w:t>GENA-09 - adult patients aged 18 to 62 years</w:t>
      </w:r>
      <w:bookmarkEnd w:id="133"/>
    </w:p>
    <w:p w14:paraId="08F916E4" w14:textId="77777777" w:rsidR="000F04AF" w:rsidRDefault="006D35A0" w:rsidP="0038216C">
      <w:pPr>
        <w:pStyle w:val="Heading5"/>
      </w:pPr>
      <w:r w:rsidRPr="002A1F7C">
        <w:t>Overview of the study</w:t>
      </w:r>
    </w:p>
    <w:p w14:paraId="4E0B29AB" w14:textId="77777777" w:rsidR="000F04AF" w:rsidRDefault="006D35A0" w:rsidP="006D35A0">
      <w:pPr>
        <w:rPr>
          <w:color w:val="000000"/>
        </w:rPr>
      </w:pPr>
      <w:r>
        <w:t>GE</w:t>
      </w:r>
      <w:r w:rsidRPr="002A1F7C">
        <w:t>NA-09 was designed as a prospective, open-label, single-country (Russia), single-centre, Pha</w:t>
      </w:r>
      <w:r>
        <w:t>se II study in PTPs with severe haemophilia A (FVIII</w:t>
      </w:r>
      <w:proofErr w:type="gramStart"/>
      <w:r>
        <w:t>:C</w:t>
      </w:r>
      <w:proofErr w:type="gramEnd"/>
      <w:r>
        <w:t xml:space="preserve"> ≤ 1%). It included </w:t>
      </w:r>
      <w:r w:rsidRPr="002A1F7C">
        <w:t xml:space="preserve">a randomised cross-over PK part (Part I) and an uncontrolled efficacy part (Part II). The results for the PK part of the study have been reviewed in the </w:t>
      </w:r>
      <w:r w:rsidRPr="002A1F7C">
        <w:rPr>
          <w:i/>
        </w:rPr>
        <w:t>Pharmacokinetics</w:t>
      </w:r>
      <w:r w:rsidRPr="002A1F7C">
        <w:t xml:space="preserve"> section of this CER. The study was undertaken between 16 March 2009 and 26 May 2010, and the CSR (final analysis) was dated 14 December 2010. The st</w:t>
      </w:r>
      <w:r>
        <w:t xml:space="preserve">udy was conducted in accordance </w:t>
      </w:r>
      <w:r w:rsidRPr="002A1F7C">
        <w:rPr>
          <w:color w:val="000000"/>
        </w:rPr>
        <w:t>with the ethical principles of the Declaration of Helsinki, and ICH-GCP (Note for Guidance CPMP/ICH/135/95). The study was sponsored by Octapharma, Switzerland.</w:t>
      </w:r>
    </w:p>
    <w:p w14:paraId="4807821A" w14:textId="77777777" w:rsidR="000F04AF" w:rsidRDefault="006D35A0" w:rsidP="006D35A0">
      <w:pPr>
        <w:rPr>
          <w:color w:val="000000"/>
        </w:rPr>
      </w:pPr>
      <w:r w:rsidRPr="002A1F7C">
        <w:t xml:space="preserve">The primary objective of this study was to determine the PK profile of </w:t>
      </w:r>
      <w:r>
        <w:t xml:space="preserve">simoctocog alfa </w:t>
      </w:r>
      <w:r w:rsidRPr="002A1F7C">
        <w:t xml:space="preserve">and to compare it with </w:t>
      </w:r>
      <w:r>
        <w:t xml:space="preserve">the PK profile of </w:t>
      </w:r>
      <w:r w:rsidR="003167D0">
        <w:t>a full-length rFVIII</w:t>
      </w:r>
      <w:r w:rsidRPr="002A1F7C">
        <w:t>. The secondary objectives were to calculate the incremental recovery of FVIII</w:t>
      </w:r>
      <w:proofErr w:type="gramStart"/>
      <w:r w:rsidRPr="002A1F7C">
        <w:t>:C</w:t>
      </w:r>
      <w:proofErr w:type="gramEnd"/>
      <w:r w:rsidRPr="002A1F7C">
        <w:t xml:space="preserve"> for </w:t>
      </w:r>
      <w:r>
        <w:t>simoctocog alfa</w:t>
      </w:r>
      <w:r w:rsidRPr="002A1F7C">
        <w:t xml:space="preserve">, to investigate the immunogenicity of </w:t>
      </w:r>
      <w:r>
        <w:t>simoctocog alfa</w:t>
      </w:r>
      <w:r w:rsidRPr="002A1F7C">
        <w:t xml:space="preserve">, </w:t>
      </w:r>
      <w:r>
        <w:t xml:space="preserve">and </w:t>
      </w:r>
      <w:r w:rsidRPr="002A1F7C">
        <w:t xml:space="preserve">to assess the clinical efficacy and safety of </w:t>
      </w:r>
      <w:r>
        <w:t xml:space="preserve">simoctocog alfa </w:t>
      </w:r>
      <w:r w:rsidRPr="002A1F7C">
        <w:t>during prophylactic treatment, breakthrough BEs, and in surgical prophylaxis.</w:t>
      </w:r>
    </w:p>
    <w:p w14:paraId="0277A1EE" w14:textId="77777777" w:rsidR="000F04AF" w:rsidRDefault="006D35A0" w:rsidP="006D35A0">
      <w:pPr>
        <w:rPr>
          <w:color w:val="000000"/>
        </w:rPr>
      </w:pPr>
      <w:r>
        <w:rPr>
          <w:color w:val="000000"/>
        </w:rPr>
        <w:t xml:space="preserve">The efficacy endpoints in the study were identical to those in GENA-01, GENA-08, and GENA-3. </w:t>
      </w:r>
      <w:r w:rsidRPr="002A1F7C">
        <w:rPr>
          <w:color w:val="000000"/>
        </w:rPr>
        <w:t xml:space="preserve">The statistical analysis of the primary, secondary and safety endpoints was exploratory. No confirmatory hypothesis testing was planned. No formal sample size calculation was undertaken. The planned sample of 22 patients was chosen to </w:t>
      </w:r>
      <w:r>
        <w:rPr>
          <w:color w:val="000000"/>
        </w:rPr>
        <w:t>satisfy</w:t>
      </w:r>
      <w:r w:rsidRPr="002A1F7C">
        <w:rPr>
          <w:color w:val="000000"/>
        </w:rPr>
        <w:t xml:space="preserve"> applicable CHMP and FDA recommendations.</w:t>
      </w:r>
    </w:p>
    <w:p w14:paraId="09CE2134" w14:textId="77777777" w:rsidR="000F04AF" w:rsidRDefault="006D35A0" w:rsidP="006D35A0">
      <w:pPr>
        <w:rPr>
          <w:color w:val="000000"/>
        </w:rPr>
      </w:pPr>
      <w:r w:rsidRPr="002A1F7C">
        <w:lastRenderedPageBreak/>
        <w:t>The study included adult male patients with severe haemophilia A (FVIII</w:t>
      </w:r>
      <w:proofErr w:type="gramStart"/>
      <w:r w:rsidRPr="002A1F7C">
        <w:t>:C</w:t>
      </w:r>
      <w:proofErr w:type="gramEnd"/>
      <w:r w:rsidRPr="002A1F7C">
        <w:t xml:space="preserve"> ≤ 1%) aged ≥ 18 to ≤ 65 years with a body weight of 45 to 110 kg. Overall, the inclusion and exclusion criteria were consistent with GENA-01 and GENA-08. Patients who completed Part 1 (cross-over PK) of the study were then eligible to enter Part 2 (efficacy and safety) of the study for a period of 6 months and </w:t>
      </w:r>
      <w:r>
        <w:t xml:space="preserve">for </w:t>
      </w:r>
      <w:r w:rsidRPr="002A1F7C">
        <w:t xml:space="preserve">at least 50 EDs with </w:t>
      </w:r>
      <w:r>
        <w:t>simoctocog alfa for prophylaxis (</w:t>
      </w:r>
      <w:r w:rsidRPr="002A1F7C">
        <w:t xml:space="preserve">PROPH population). </w:t>
      </w:r>
      <w:r w:rsidRPr="002A1F7C">
        <w:rPr>
          <w:color w:val="000000"/>
        </w:rPr>
        <w:t xml:space="preserve">The efficacy of </w:t>
      </w:r>
      <w:r>
        <w:rPr>
          <w:color w:val="000000"/>
        </w:rPr>
        <w:t xml:space="preserve">simoctocog alfa </w:t>
      </w:r>
      <w:r w:rsidRPr="002A1F7C">
        <w:rPr>
          <w:color w:val="000000"/>
        </w:rPr>
        <w:t>for the treatment of brea</w:t>
      </w:r>
      <w:r>
        <w:rPr>
          <w:color w:val="000000"/>
        </w:rPr>
        <w:t xml:space="preserve">kthrough BEs (BLEED population) and for </w:t>
      </w:r>
      <w:r w:rsidRPr="002A1F7C">
        <w:rPr>
          <w:color w:val="000000"/>
        </w:rPr>
        <w:t>surgical prophylaxis (SURG population) was also assessed in Part 2 of the study.</w:t>
      </w:r>
    </w:p>
    <w:p w14:paraId="7B9B20A5" w14:textId="77777777" w:rsidR="000F04AF" w:rsidRDefault="006D35A0" w:rsidP="006D35A0">
      <w:r w:rsidRPr="002A1F7C">
        <w:t xml:space="preserve">Patients treated prophylactically with </w:t>
      </w:r>
      <w:r>
        <w:t xml:space="preserve">simoctocog alfa </w:t>
      </w:r>
      <w:r w:rsidRPr="002A1F7C">
        <w:t>received 30 + 5 FVIII IU/kg every other day until 6 mo</w:t>
      </w:r>
      <w:r>
        <w:t xml:space="preserve">nths and ≥ 50 EDs were reached. </w:t>
      </w:r>
      <w:r w:rsidRPr="002A1F7C">
        <w:t xml:space="preserve">Two dose escalations (each + 5 IU/kg) were allowed </w:t>
      </w:r>
      <w:r>
        <w:t xml:space="preserve">in case of inadequate response defined as </w:t>
      </w:r>
      <w:r w:rsidRPr="002A1F7C">
        <w:t>≥ 2 spo</w:t>
      </w:r>
      <w:r>
        <w:t>ntaneous BEs during one month</w:t>
      </w:r>
      <w:r w:rsidRPr="002A1F7C">
        <w:t xml:space="preserve">. The required dosage was determined by the same formula as used in GENA-01. Patients were supplied with a sufficient amount of </w:t>
      </w:r>
      <w:r>
        <w:t xml:space="preserve">simoctocog alfa </w:t>
      </w:r>
      <w:r w:rsidRPr="002A1F7C">
        <w:t xml:space="preserve">for home treatment. The required target peak FVIII levels for treatment of breakthrough BEs were the same </w:t>
      </w:r>
      <w:r>
        <w:t xml:space="preserve">as </w:t>
      </w:r>
      <w:r w:rsidRPr="002A1F7C">
        <w:t xml:space="preserve">for GENA-01. Minor haemorrhage was treated with 10-20 IU FVIII/kg every 12-24 hours until BE resolution. Moderate to major haemorrhage was treated with 15-30 IU FVIII/kg repeated every 12-24 hours until BE resolution. Major to life threatening haemorrhage was treated with </w:t>
      </w:r>
      <w:r>
        <w:t>an</w:t>
      </w:r>
      <w:r w:rsidRPr="002A1F7C">
        <w:t xml:space="preserve"> initial dose of 40-50 IU FVIII/kg with repeat doses of 20-25 IU FVIII/kg every 8-12 hours until BE resolution. The dosage regimens of </w:t>
      </w:r>
      <w:r>
        <w:t xml:space="preserve">simoctocog alfa </w:t>
      </w:r>
      <w:r w:rsidRPr="002A1F7C">
        <w:t>for surgical prophylaxis were identical to those for GENA-01.</w:t>
      </w:r>
    </w:p>
    <w:p w14:paraId="05AF451B" w14:textId="77777777" w:rsidR="000F04AF" w:rsidRDefault="006D35A0" w:rsidP="006D35A0">
      <w:r>
        <w:t xml:space="preserve">The patient disposition of the 22 enrolled </w:t>
      </w:r>
      <w:proofErr w:type="gramStart"/>
      <w:r>
        <w:t>patient</w:t>
      </w:r>
      <w:proofErr w:type="gramEnd"/>
      <w:r>
        <w:t xml:space="preserve"> is summarised below in Figure </w:t>
      </w:r>
      <w:r w:rsidR="006F09EA">
        <w:t>8</w:t>
      </w:r>
      <w:r>
        <w:t xml:space="preserve">. </w:t>
      </w:r>
      <w:r w:rsidRPr="0017092F">
        <w:t>Protocol deviations were recorded for 21 of the 22 patients (95.5%) in th</w:t>
      </w:r>
      <w:r>
        <w:t xml:space="preserve">e PK-PP and SAFETY populations. </w:t>
      </w:r>
      <w:r w:rsidRPr="0017092F">
        <w:t>Major protocol deviations were recor</w:t>
      </w:r>
      <w:r>
        <w:t xml:space="preserve">ded in 9 of the 22 patients (40.9%). </w:t>
      </w:r>
      <w:r w:rsidRPr="0017092F">
        <w:t>All major protocol deviations were due to a time interval</w:t>
      </w:r>
      <w:r>
        <w:t xml:space="preserve"> </w:t>
      </w:r>
      <w:r w:rsidRPr="0017092F">
        <w:t>≥</w:t>
      </w:r>
      <w:r>
        <w:t xml:space="preserve"> 5 days</w:t>
      </w:r>
      <w:r w:rsidRPr="0017092F">
        <w:t xml:space="preserve"> between 2 doses after the start of prophylactic treatment with </w:t>
      </w:r>
      <w:r>
        <w:t>simoctocog alfa</w:t>
      </w:r>
      <w:r w:rsidRPr="0017092F">
        <w:t>, which occurred twice in 7 patients and once in 2 patients and did not impact on the aims or outcomes of the study. Minor protocol deviations were recorded for 20 of t</w:t>
      </w:r>
      <w:r>
        <w:t>he 22 patients (90.9%) patients.</w:t>
      </w:r>
    </w:p>
    <w:p w14:paraId="42E1C008" w14:textId="77777777" w:rsidR="000F04AF" w:rsidRDefault="006D35A0" w:rsidP="00787CB5">
      <w:pPr>
        <w:pStyle w:val="FigureTitle"/>
      </w:pPr>
      <w:bookmarkStart w:id="134" w:name="_Toc248202612"/>
      <w:r>
        <w:t xml:space="preserve">Figure </w:t>
      </w:r>
      <w:r w:rsidR="006F09EA">
        <w:t>8</w:t>
      </w:r>
      <w:r>
        <w:t>: GENA-09 - Patient disposition.</w:t>
      </w:r>
      <w:bookmarkEnd w:id="134"/>
    </w:p>
    <w:p w14:paraId="1BA16831" w14:textId="2FFAC845" w:rsidR="006D35A0" w:rsidRPr="00F957F3" w:rsidRDefault="006D35A0" w:rsidP="006D35A0">
      <w:r>
        <w:rPr>
          <w:noProof/>
          <w:lang w:eastAsia="en-AU"/>
        </w:rPr>
        <w:drawing>
          <wp:inline distT="0" distB="0" distL="0" distR="0" wp14:anchorId="6262C829" wp14:editId="02A5AE4E">
            <wp:extent cx="3957277" cy="2804672"/>
            <wp:effectExtent l="0" t="0" r="0" b="0"/>
            <wp:docPr id="69" name="Picture 34" descr="The patient disposition of the 22 enrolled patient is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4394" cy="2802629"/>
                    </a:xfrm>
                    <a:prstGeom prst="rect">
                      <a:avLst/>
                    </a:prstGeom>
                    <a:noFill/>
                    <a:ln>
                      <a:noFill/>
                    </a:ln>
                  </pic:spPr>
                </pic:pic>
              </a:graphicData>
            </a:graphic>
          </wp:inline>
        </w:drawing>
      </w:r>
    </w:p>
    <w:p w14:paraId="7011CF54" w14:textId="77777777" w:rsidR="000F04AF" w:rsidRDefault="006D35A0" w:rsidP="006D35A0">
      <w:pPr>
        <w:rPr>
          <w:color w:val="000000"/>
        </w:rPr>
      </w:pPr>
      <w:r w:rsidRPr="00E023D5">
        <w:rPr>
          <w:color w:val="000000"/>
        </w:rPr>
        <w:t xml:space="preserve">The baseline demographic characteristics </w:t>
      </w:r>
      <w:r>
        <w:rPr>
          <w:color w:val="000000"/>
        </w:rPr>
        <w:t xml:space="preserve">of the 22 enrolled patients </w:t>
      </w:r>
      <w:r w:rsidRPr="00E023D5">
        <w:rPr>
          <w:color w:val="000000"/>
        </w:rPr>
        <w:t>are summarised below in Table 3</w:t>
      </w:r>
      <w:r w:rsidR="006F09EA">
        <w:rPr>
          <w:color w:val="000000"/>
        </w:rPr>
        <w:t>5</w:t>
      </w:r>
      <w:r w:rsidRPr="00E023D5">
        <w:rPr>
          <w:color w:val="000000"/>
        </w:rPr>
        <w:t>.</w:t>
      </w:r>
    </w:p>
    <w:p w14:paraId="5E86FC55" w14:textId="6990B8E3" w:rsidR="006D35A0" w:rsidRPr="009808B9" w:rsidRDefault="006D35A0" w:rsidP="003E01B3">
      <w:pPr>
        <w:pStyle w:val="Tabletitle"/>
      </w:pPr>
      <w:bookmarkStart w:id="135" w:name="_Toc248202554"/>
      <w:r>
        <w:lastRenderedPageBreak/>
        <w:t xml:space="preserve">Table </w:t>
      </w:r>
      <w:r w:rsidR="000A1340">
        <w:t>3</w:t>
      </w:r>
      <w:r w:rsidR="006F09EA">
        <w:t>5</w:t>
      </w:r>
      <w:r>
        <w:t xml:space="preserve">: </w:t>
      </w:r>
      <w:r w:rsidRPr="009808B9">
        <w:t>GENA-09 - Baseline demographic and clinical characteristics</w:t>
      </w:r>
      <w:bookmarkEnd w:id="135"/>
    </w:p>
    <w:p w14:paraId="7B8B4482" w14:textId="77777777" w:rsidR="006D35A0" w:rsidRDefault="006D35A0" w:rsidP="006D35A0">
      <w:pPr>
        <w:spacing w:after="0"/>
        <w:rPr>
          <w:rFonts w:ascii="Times New Roman" w:hAnsi="Times New Roman"/>
          <w:color w:val="000000"/>
        </w:rPr>
      </w:pPr>
      <w:r>
        <w:rPr>
          <w:rFonts w:ascii="Times New Roman" w:hAnsi="Times New Roman"/>
          <w:noProof/>
          <w:color w:val="000000"/>
          <w:lang w:eastAsia="en-AU"/>
        </w:rPr>
        <w:drawing>
          <wp:inline distT="0" distB="0" distL="0" distR="0" wp14:anchorId="291C9EE9" wp14:editId="4A090971">
            <wp:extent cx="4033520" cy="1910080"/>
            <wp:effectExtent l="0" t="0" r="0" b="0"/>
            <wp:docPr id="70" name="Picture 35" descr="Table 35: GENA-09 - Baseline demographic and clinic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3520" cy="1910080"/>
                    </a:xfrm>
                    <a:prstGeom prst="rect">
                      <a:avLst/>
                    </a:prstGeom>
                    <a:noFill/>
                    <a:ln>
                      <a:noFill/>
                    </a:ln>
                  </pic:spPr>
                </pic:pic>
              </a:graphicData>
            </a:graphic>
          </wp:inline>
        </w:drawing>
      </w:r>
    </w:p>
    <w:p w14:paraId="28D02431" w14:textId="77777777" w:rsidR="006D35A0" w:rsidRDefault="006D35A0" w:rsidP="0012582C">
      <w:pPr>
        <w:pStyle w:val="TableDescription"/>
        <w:rPr>
          <w:lang w:eastAsia="en-AU"/>
        </w:rPr>
      </w:pPr>
      <w:r w:rsidRPr="004D42CD">
        <w:rPr>
          <w:lang w:eastAsia="en-AU"/>
        </w:rPr>
        <w:t xml:space="preserve">*With </w:t>
      </w:r>
      <w:r w:rsidR="00C8405D">
        <w:rPr>
          <w:lang w:eastAsia="en-AU"/>
        </w:rPr>
        <w:t>Simoctocog alfa</w:t>
      </w:r>
      <w:r w:rsidRPr="004D42CD">
        <w:rPr>
          <w:lang w:eastAsia="en-AU"/>
        </w:rPr>
        <w:t>. CHR = Chromogenic, FVIII</w:t>
      </w:r>
      <w:proofErr w:type="gramStart"/>
      <w:r w:rsidRPr="004D42CD">
        <w:rPr>
          <w:lang w:eastAsia="en-AU"/>
        </w:rPr>
        <w:t>:C</w:t>
      </w:r>
      <w:proofErr w:type="gramEnd"/>
      <w:r w:rsidRPr="004D42CD">
        <w:rPr>
          <w:lang w:eastAsia="en-AU"/>
        </w:rPr>
        <w:t xml:space="preserve"> = FVIII coagulant activity,</w:t>
      </w:r>
      <w:r w:rsidRPr="004D42CD">
        <w:rPr>
          <w:rFonts w:ascii="MS Mincho" w:eastAsia="MS Mincho" w:hAnsi="MS Mincho" w:cs="MS Mincho" w:hint="eastAsia"/>
          <w:lang w:eastAsia="en-AU"/>
        </w:rPr>
        <w:t> </w:t>
      </w:r>
      <w:r w:rsidRPr="004D42CD">
        <w:rPr>
          <w:lang w:eastAsia="en-AU"/>
        </w:rPr>
        <w:t>HJHS = Haemophilia Joint Health Score, OS = One-stage.</w:t>
      </w:r>
    </w:p>
    <w:p w14:paraId="5409341B" w14:textId="77777777" w:rsidR="006D35A0" w:rsidRPr="0038216C" w:rsidRDefault="006D35A0" w:rsidP="0038216C">
      <w:pPr>
        <w:widowControl w:val="0"/>
        <w:autoSpaceDE w:val="0"/>
        <w:autoSpaceDN w:val="0"/>
        <w:adjustRightInd w:val="0"/>
        <w:ind w:left="1134" w:hanging="1134"/>
        <w:rPr>
          <w:rFonts w:asciiTheme="minorHAnsi" w:eastAsia="Times New Roman" w:hAnsiTheme="minorHAnsi" w:cs="Times"/>
          <w:lang w:eastAsia="en-AU"/>
        </w:rPr>
      </w:pPr>
      <w:r w:rsidRPr="0038216C">
        <w:rPr>
          <w:rFonts w:asciiTheme="minorHAnsi" w:eastAsia="Times New Roman" w:hAnsiTheme="minorHAnsi"/>
          <w:lang w:eastAsia="en-AU"/>
        </w:rPr>
        <w:t>Comment:</w:t>
      </w:r>
      <w:r w:rsidRPr="0038216C">
        <w:rPr>
          <w:rFonts w:asciiTheme="minorHAnsi" w:eastAsia="Times New Roman" w:hAnsiTheme="minorHAnsi"/>
          <w:lang w:eastAsia="en-AU"/>
        </w:rPr>
        <w:tab/>
        <w:t>The mean±SD age of patients in this study was 24.5±9.77 years and the range was 18 to 62 years. The mean HJHS gait score was high (2.5) with expected ranges from 0 (best) to 4 (worst), as was the HJHS total score (45.3) with expected ranges of from</w:t>
      </w:r>
      <w:r w:rsidRPr="0038216C">
        <w:rPr>
          <w:rFonts w:asciiTheme="minorHAnsi" w:hAnsiTheme="minorHAnsi"/>
          <w:color w:val="000000"/>
        </w:rPr>
        <w:t xml:space="preserve"> 0 (best) to 148 (worst). The HJHS scores suggest that the patients in this study had severe joint disease. The sponsor states that it is </w:t>
      </w:r>
      <w:r w:rsidRPr="0038216C">
        <w:rPr>
          <w:rFonts w:asciiTheme="minorHAnsi" w:eastAsia="Times New Roman" w:hAnsiTheme="minorHAnsi"/>
          <w:lang w:eastAsia="en-AU"/>
        </w:rPr>
        <w:t>noteworthy that GENA-09 is the first clinical study to systematically evaluate the efficacy of FVIII prophylaxis in such a severe adult patient population who had been inadequately treated since childhood.</w:t>
      </w:r>
    </w:p>
    <w:p w14:paraId="51646D99" w14:textId="77777777" w:rsidR="000F04AF" w:rsidRDefault="006D35A0" w:rsidP="0038216C">
      <w:pPr>
        <w:pStyle w:val="Heading5"/>
      </w:pPr>
      <w:r w:rsidRPr="00C749BA">
        <w:t xml:space="preserve">Results - </w:t>
      </w:r>
      <w:r>
        <w:t xml:space="preserve">routine </w:t>
      </w:r>
      <w:r w:rsidRPr="00C749BA">
        <w:t>prophylaxis</w:t>
      </w:r>
    </w:p>
    <w:p w14:paraId="25BF637F" w14:textId="77777777" w:rsidR="000F04AF" w:rsidRDefault="006D35A0" w:rsidP="006D35A0">
      <w:pPr>
        <w:rPr>
          <w:color w:val="000000"/>
        </w:rPr>
      </w:pPr>
      <w:r w:rsidRPr="003C2D1F">
        <w:rPr>
          <w:color w:val="000000"/>
        </w:rPr>
        <w:t xml:space="preserve">A total of 22 patients received prophylactic treatment with simoctocog alfa. The number of EDs and dosage of simoctocog alfa administered as prophylaxis in the PROPH population are shown below in Table </w:t>
      </w:r>
      <w:r>
        <w:rPr>
          <w:color w:val="000000"/>
        </w:rPr>
        <w:t>3</w:t>
      </w:r>
      <w:r w:rsidR="006F09EA">
        <w:rPr>
          <w:color w:val="000000"/>
        </w:rPr>
        <w:t>6</w:t>
      </w:r>
      <w:r w:rsidRPr="003C2D1F">
        <w:rPr>
          <w:color w:val="000000"/>
        </w:rPr>
        <w:t>.</w:t>
      </w:r>
    </w:p>
    <w:p w14:paraId="789239A7" w14:textId="77777777" w:rsidR="000F04AF" w:rsidRDefault="006D35A0" w:rsidP="003E01B3">
      <w:pPr>
        <w:pStyle w:val="Tabletitle"/>
      </w:pPr>
      <w:bookmarkStart w:id="136" w:name="_Toc248202555"/>
      <w:r>
        <w:t xml:space="preserve">Table </w:t>
      </w:r>
      <w:r w:rsidR="000A1340">
        <w:t>3</w:t>
      </w:r>
      <w:r w:rsidR="006F09EA">
        <w:t>6</w:t>
      </w:r>
      <w:r>
        <w:t xml:space="preserve">: </w:t>
      </w:r>
      <w:r w:rsidRPr="00C749BA">
        <w:t xml:space="preserve">GENA-09 - EDs and dosage in patients receiving prophylaxis with </w:t>
      </w:r>
      <w:r>
        <w:t>simoctocog alfa</w:t>
      </w:r>
      <w:r w:rsidRPr="00C749BA">
        <w:t>; PROPH population, n=22.</w:t>
      </w:r>
      <w:bookmarkEnd w:id="136"/>
    </w:p>
    <w:p w14:paraId="4E66579D" w14:textId="3A58B7DC" w:rsidR="006D35A0" w:rsidRPr="00C749BA" w:rsidRDefault="006D35A0" w:rsidP="006D35A0">
      <w:pPr>
        <w:spacing w:after="0"/>
        <w:rPr>
          <w:color w:val="000000"/>
          <w:sz w:val="16"/>
          <w:szCs w:val="16"/>
        </w:rPr>
      </w:pPr>
      <w:r w:rsidRPr="00C749BA">
        <w:rPr>
          <w:noProof/>
          <w:color w:val="000000"/>
          <w:sz w:val="16"/>
          <w:szCs w:val="16"/>
          <w:lang w:eastAsia="en-AU"/>
        </w:rPr>
        <w:drawing>
          <wp:inline distT="0" distB="0" distL="0" distR="0" wp14:anchorId="57BC18C1" wp14:editId="660E82BF">
            <wp:extent cx="4023360" cy="2123440"/>
            <wp:effectExtent l="0" t="0" r="0" b="0"/>
            <wp:docPr id="71" name="Picture 36" descr="A total of 22 patients received prophylactic treatment with simoctocog alfa. The number of EDs and dosage of simoctocog alfa administered as prophylaxis in the PROPH population are shown below i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3360" cy="2123440"/>
                    </a:xfrm>
                    <a:prstGeom prst="rect">
                      <a:avLst/>
                    </a:prstGeom>
                    <a:noFill/>
                    <a:ln>
                      <a:noFill/>
                    </a:ln>
                  </pic:spPr>
                </pic:pic>
              </a:graphicData>
            </a:graphic>
          </wp:inline>
        </w:drawing>
      </w:r>
    </w:p>
    <w:p w14:paraId="3FB84EEF" w14:textId="77777777" w:rsidR="000F04AF" w:rsidRDefault="006D35A0" w:rsidP="006D35A0">
      <w:r>
        <w:t>A total of 48 BEs occurred between the first prophylactic treatment and final assessment (47 requiring treatment with simoctocog alfa and 1 not requiring treatment). Of the 22 patients who received prophylactic treatment, 14 (63.6%) experienced at least one BE and 8 (36.4%) experienced no BEs. Of the 14 patients experiencing a BE, 5 patients experienced 1 BE, 3 patients experienced 2 BEs, 2 patients experienced 7 BEs, and 1 patient each experienced 3, 4, 5, and 11 BEs.</w:t>
      </w:r>
    </w:p>
    <w:p w14:paraId="029751B3" w14:textId="77777777" w:rsidR="000F04AF" w:rsidRDefault="006D35A0" w:rsidP="006D35A0">
      <w:pPr>
        <w:widowControl w:val="0"/>
        <w:autoSpaceDE w:val="0"/>
        <w:autoSpaceDN w:val="0"/>
        <w:adjustRightInd w:val="0"/>
      </w:pPr>
      <w:r w:rsidRPr="002368CE">
        <w:t xml:space="preserve">In the 22 patients treated with prophylactic </w:t>
      </w:r>
      <w:r>
        <w:t>simoctocog alfa</w:t>
      </w:r>
      <w:r w:rsidRPr="002368CE">
        <w:t xml:space="preserve">, the mean±SD number of BEs </w:t>
      </w:r>
      <w:r w:rsidRPr="002368CE">
        <w:lastRenderedPageBreak/>
        <w:t>during t</w:t>
      </w:r>
      <w:r>
        <w:t>reatment was 2.2±2.9 (95% CI: 0.9, 3.5) with a range of 0 to 11</w:t>
      </w:r>
      <w:r w:rsidRPr="002368CE">
        <w:t>, and the mean±SD monthly rate of BEs was 0.345±0</w:t>
      </w:r>
      <w:r>
        <w:t xml:space="preserve">.472 (range: 0, </w:t>
      </w:r>
      <w:r w:rsidRPr="002368CE">
        <w:t xml:space="preserve">1.76). The overall efficacy ratings of prophylactic treatment with </w:t>
      </w:r>
      <w:r>
        <w:t xml:space="preserve">simoctocog alfa </w:t>
      </w:r>
      <w:r w:rsidRPr="002368CE">
        <w:t>were: excellent in 81.8% (18/22) of patients (</w:t>
      </w:r>
      <w:r w:rsidR="001A2E59">
        <w:t>that is,</w:t>
      </w:r>
      <w:r w:rsidRPr="002368CE">
        <w:t xml:space="preserve"> BEs/month &lt; 0.75); good in 4.5% (1/22) of patients (</w:t>
      </w:r>
      <w:r w:rsidR="001A2E59">
        <w:t>that is,</w:t>
      </w:r>
      <w:r w:rsidRPr="002368CE">
        <w:t xml:space="preserve"> BEs/month &gt; 0.75 - 1); moderate in 9.1% (2/22) of patients (</w:t>
      </w:r>
      <w:r w:rsidR="001A2E59">
        <w:t>that is,</w:t>
      </w:r>
      <w:r w:rsidRPr="002368CE">
        <w:t xml:space="preserve"> &gt; 1 - 1.5 BEs/month); and poor in 4.5% (1/22) of patients (</w:t>
      </w:r>
      <w:r w:rsidR="001A2E59">
        <w:t>that is,</w:t>
      </w:r>
      <w:r w:rsidRPr="002368CE">
        <w:t xml:space="preserve"> &gt; 1.5 BEs/month). For spontaneous bleeds, efficacy of </w:t>
      </w:r>
      <w:r>
        <w:t>simoctocog alfa</w:t>
      </w:r>
      <w:r w:rsidRPr="002368CE">
        <w:t xml:space="preserve"> prophylaxis was excellent in 18 (81.8%) patients, good in 2 patients (9.1%), and moderate in 2 (9.1%) patients with no patients having poor efficacy.</w:t>
      </w:r>
    </w:p>
    <w:p w14:paraId="05B91614" w14:textId="1CB90F94" w:rsidR="006D35A0" w:rsidRPr="00C36431" w:rsidRDefault="006D35A0" w:rsidP="006D35A0">
      <w:r w:rsidRPr="00C36431">
        <w:t xml:space="preserve">The mean±SD monthly rate of spontaneous and traumatic BEs in the 22 patients receiving </w:t>
      </w:r>
      <w:r>
        <w:t xml:space="preserve">simoctocog alfa </w:t>
      </w:r>
      <w:r w:rsidRPr="00C36431">
        <w:t>prophylaxis was 0.244±</w:t>
      </w:r>
      <w:r>
        <w:t xml:space="preserve">0.414 (range: 0, </w:t>
      </w:r>
      <w:r w:rsidRPr="00C36431">
        <w:t>1.</w:t>
      </w:r>
      <w:r>
        <w:t xml:space="preserve">44) and 0.093±0.1366 (range: 0, </w:t>
      </w:r>
      <w:r w:rsidRPr="00C36431">
        <w:t>0.48). Prophylaxis efficacy for traumatic BEs was excellent in 100% (22</w:t>
      </w:r>
      <w:r>
        <w:t>/</w:t>
      </w:r>
      <w:r w:rsidRPr="00C36431">
        <w:t>22) of patients. Prophylaxis efficacy for spontaneous BEs was excellent in 81.8% (18/22) of patients, good in 9.1% (2/22) of patients and moderate in 9.1% (2/22) of patients.</w:t>
      </w:r>
    </w:p>
    <w:p w14:paraId="02BF6747" w14:textId="77777777" w:rsidR="000F04AF" w:rsidRDefault="006D35A0" w:rsidP="006D35A0">
      <w:r>
        <w:t>T</w:t>
      </w:r>
      <w:r w:rsidRPr="002368CE">
        <w:t xml:space="preserve">he historical </w:t>
      </w:r>
      <w:r>
        <w:t xml:space="preserve">(pre-study) mean </w:t>
      </w:r>
      <w:r w:rsidRPr="002368CE">
        <w:t>monthly rate of BEs was high, as expected in this inadequately pretreated</w:t>
      </w:r>
      <w:r>
        <w:t xml:space="preserve"> </w:t>
      </w:r>
      <w:r w:rsidRPr="002368CE">
        <w:t>population, but was reduced at the e</w:t>
      </w:r>
      <w:r>
        <w:t>nd of the study in all 22 patients (1.916 BEs/month [pre-study] vs 0.345 BEs/month [during the study]). I</w:t>
      </w:r>
      <w:r w:rsidRPr="00C36431">
        <w:t xml:space="preserve">n 15 patients who </w:t>
      </w:r>
      <w:r>
        <w:t xml:space="preserve">had </w:t>
      </w:r>
      <w:r w:rsidRPr="00C36431">
        <w:t>rece</w:t>
      </w:r>
      <w:r>
        <w:t>ived prior FVIII prophylaxis the</w:t>
      </w:r>
      <w:r w:rsidRPr="00C36431">
        <w:t xml:space="preserve"> rate of BEs fell by approximately 71% from a mean of 1.152 per month prior to study to a mean of 0.337 </w:t>
      </w:r>
      <w:r>
        <w:t xml:space="preserve">per month </w:t>
      </w:r>
      <w:r w:rsidRPr="00C36431">
        <w:t xml:space="preserve">during prophylaxis with </w:t>
      </w:r>
      <w:r>
        <w:t xml:space="preserve">simoctocog alfa. </w:t>
      </w:r>
      <w:r w:rsidRPr="00C36431">
        <w:t xml:space="preserve">However, the sponsor states that it is likely that historical BE rates are underestimated as a value of zero was </w:t>
      </w:r>
      <w:r>
        <w:t>assumed for 7 patients for whom historical data were not available</w:t>
      </w:r>
      <w:r w:rsidRPr="00C36431">
        <w:t xml:space="preserve">. The mean dose of FVIII increased by approximately 61% during the prophylaxis period with </w:t>
      </w:r>
      <w:r>
        <w:t>simoctocog alfa</w:t>
      </w:r>
      <w:r w:rsidRPr="00C36431">
        <w:t xml:space="preserve"> </w:t>
      </w:r>
      <w:r>
        <w:t>(</w:t>
      </w:r>
      <w:r w:rsidRPr="00C36431">
        <w:t>468 IU/kg/month</w:t>
      </w:r>
      <w:r>
        <w:t xml:space="preserve">) </w:t>
      </w:r>
      <w:r w:rsidRPr="00C36431">
        <w:t>compared with pre-study FVIII doses (</w:t>
      </w:r>
      <w:r>
        <w:t>290 IU/kg/month</w:t>
      </w:r>
      <w:r w:rsidRPr="00C36431">
        <w:t>)</w:t>
      </w:r>
      <w:r>
        <w:t xml:space="preserve">. </w:t>
      </w:r>
      <w:r w:rsidRPr="00C36431">
        <w:t xml:space="preserve">In 7 patients treated on-demand for BEs prior to the study (6 patients treated with FVIII and 1 patient treated with cryoprecipitate), the average monthly BE rate was reduced from 3.55 </w:t>
      </w:r>
      <w:r>
        <w:t>BEs/month pre-study to 0.36 BEs/during the study.</w:t>
      </w:r>
    </w:p>
    <w:p w14:paraId="50272E39" w14:textId="0225E499" w:rsidR="006D35A0" w:rsidRPr="00503FA7" w:rsidRDefault="006D35A0" w:rsidP="0038216C">
      <w:pPr>
        <w:pStyle w:val="Heading5"/>
      </w:pPr>
      <w:r w:rsidRPr="00503FA7">
        <w:t>Results - treatment of break-through BEs</w:t>
      </w:r>
    </w:p>
    <w:p w14:paraId="0A252291" w14:textId="5727F336" w:rsidR="006D35A0" w:rsidRPr="00C939BF" w:rsidRDefault="006D35A0" w:rsidP="0038216C">
      <w:r w:rsidRPr="00C939BF">
        <w:t xml:space="preserve">A total of 47 </w:t>
      </w:r>
      <w:proofErr w:type="gramStart"/>
      <w:r w:rsidRPr="00C939BF">
        <w:t>breakthrough</w:t>
      </w:r>
      <w:proofErr w:type="gramEnd"/>
      <w:r w:rsidRPr="00C939BF">
        <w:t xml:space="preserve"> BEs (BLEED population)</w:t>
      </w:r>
      <w:r>
        <w:t xml:space="preserve"> </w:t>
      </w:r>
      <w:r w:rsidRPr="00C939BF">
        <w:t xml:space="preserve">were treated with </w:t>
      </w:r>
      <w:r>
        <w:t xml:space="preserve">simoctocog alfa </w:t>
      </w:r>
      <w:r w:rsidRPr="00C939BF">
        <w:t xml:space="preserve">in 14 patients receiving prophylaxis with </w:t>
      </w:r>
      <w:r>
        <w:t>simoctocog alfa</w:t>
      </w:r>
      <w:r w:rsidRPr="00C939BF">
        <w:t xml:space="preserve">. Eight (8) patients had no bleeds, 5 patients had 1 BE, 3 patients had 2 BEs, 1 patient had 3 BEs, 1 patient had 4 BEs, 1 patient had 5 BEs, 1 patient had 6 BEs, 1 patient had </w:t>
      </w:r>
      <w:r>
        <w:t xml:space="preserve">7 BEs, and 1 patient had 11 BEs. </w:t>
      </w:r>
      <w:r w:rsidRPr="00C939BF">
        <w:t>Of the 47 BEs, 33 (70.2%) were spontaneous, 13 (27.7%) were traumatic, and 1 (2.1%) was categorised as "other" (associated with physical activity). For all sites, the severity of t</w:t>
      </w:r>
      <w:r>
        <w:t>he BE was minor in 36.2% (17/</w:t>
      </w:r>
      <w:r w:rsidRPr="00C939BF">
        <w:t>47) of cases and mo</w:t>
      </w:r>
      <w:r>
        <w:t>derate to major in 63.8% (30/</w:t>
      </w:r>
      <w:r w:rsidRPr="00C939BF">
        <w:t>47) of cases, and there were no major or life threatening BEs</w:t>
      </w:r>
      <w:r w:rsidR="00FF5D45">
        <w:t>.</w:t>
      </w:r>
    </w:p>
    <w:p w14:paraId="399AB714" w14:textId="77777777" w:rsidR="000F04AF" w:rsidRDefault="006D35A0" w:rsidP="0038216C">
      <w:r w:rsidRPr="00C939BF">
        <w:t>The mean±SD number of EDs for bleedin</w:t>
      </w:r>
      <w:r>
        <w:t xml:space="preserve">gs was 1.9±1.22 and the median </w:t>
      </w:r>
      <w:r w:rsidRPr="00C939BF">
        <w:t>was 1.0 (</w:t>
      </w:r>
      <w:r>
        <w:t xml:space="preserve">range: 1, </w:t>
      </w:r>
      <w:r w:rsidRPr="00C939BF">
        <w:t xml:space="preserve">6). The mean±SD number of infusions was 2±1.7 </w:t>
      </w:r>
      <w:r>
        <w:t xml:space="preserve">and the median </w:t>
      </w:r>
      <w:r w:rsidRPr="00C939BF">
        <w:t>was 1.5 (</w:t>
      </w:r>
      <w:r>
        <w:t xml:space="preserve">range: 1, </w:t>
      </w:r>
      <w:r w:rsidRPr="00C939BF">
        <w:t xml:space="preserve">6). The mean±SD dose of </w:t>
      </w:r>
      <w:r>
        <w:t xml:space="preserve">simoctocog alfa </w:t>
      </w:r>
      <w:r w:rsidRPr="00C939BF">
        <w:t>per infusion wa</w:t>
      </w:r>
      <w:r>
        <w:t xml:space="preserve">s 32.6±5.9 IU/kg and the median dose </w:t>
      </w:r>
      <w:r w:rsidRPr="00C939BF">
        <w:t>was 32.8 (</w:t>
      </w:r>
      <w:r>
        <w:t xml:space="preserve">range: 8, </w:t>
      </w:r>
      <w:r w:rsidRPr="00C939BF">
        <w:t>50) IU/kg. The mean±SD dose/ED for the 17 minor BEs was 32.7 IU/kg, and the mean±SD dose/ED for the 30 modera</w:t>
      </w:r>
      <w:r>
        <w:t xml:space="preserve">te to </w:t>
      </w:r>
      <w:proofErr w:type="gramStart"/>
      <w:r>
        <w:t>major</w:t>
      </w:r>
      <w:proofErr w:type="gramEnd"/>
      <w:r>
        <w:t xml:space="preserve"> BEs was 32.9 IU/kg.</w:t>
      </w:r>
    </w:p>
    <w:p w14:paraId="4442D09A" w14:textId="77777777" w:rsidR="000F04AF" w:rsidRDefault="006D35A0" w:rsidP="0038216C">
      <w:r w:rsidRPr="00C939BF">
        <w:t xml:space="preserve">Overall, 29 (61.7%) BEs were treated with excellent or good efficacy (29.8% [14/47] and 31.9% [15/47], respectively), while efficacy was rated as moderate in the remaining cases (38.3% [18/47]). For </w:t>
      </w:r>
      <w:r>
        <w:t xml:space="preserve">treated minor BEs (n=17), </w:t>
      </w:r>
      <w:r w:rsidRPr="00C939BF">
        <w:t xml:space="preserve">efficacy </w:t>
      </w:r>
      <w:r>
        <w:t xml:space="preserve">was reported as excellent or good for 16 (94.1%) </w:t>
      </w:r>
      <w:proofErr w:type="gramStart"/>
      <w:r>
        <w:t xml:space="preserve">BEs </w:t>
      </w:r>
      <w:r w:rsidRPr="00C939BF">
        <w:t xml:space="preserve">(58.8% [10/17] and 35.2% [6/17], respectively), while efficacy </w:t>
      </w:r>
      <w:r>
        <w:t>was</w:t>
      </w:r>
      <w:r w:rsidRPr="00C939BF">
        <w:t xml:space="preserve"> rated as moderate </w:t>
      </w:r>
      <w:r>
        <w:t>for</w:t>
      </w:r>
      <w:r w:rsidRPr="00C939BF">
        <w:t xml:space="preserve"> the remaining case (5.9% [1/17]</w:t>
      </w:r>
      <w:r>
        <w:t>)</w:t>
      </w:r>
      <w:r w:rsidRPr="00C939BF">
        <w:t>.</w:t>
      </w:r>
      <w:proofErr w:type="gramEnd"/>
      <w:r w:rsidRPr="00C939BF">
        <w:t xml:space="preserve"> For </w:t>
      </w:r>
      <w:r>
        <w:t xml:space="preserve">treated </w:t>
      </w:r>
      <w:r w:rsidRPr="00C939BF">
        <w:t xml:space="preserve">major </w:t>
      </w:r>
      <w:r>
        <w:t>BEs</w:t>
      </w:r>
      <w:r w:rsidRPr="00C939BF">
        <w:t xml:space="preserve"> (n=30), </w:t>
      </w:r>
      <w:r>
        <w:t>efficacy was rated as</w:t>
      </w:r>
      <w:r w:rsidRPr="00C939BF">
        <w:t xml:space="preserve"> excellent or good </w:t>
      </w:r>
      <w:r>
        <w:t xml:space="preserve">for 11 (43.3%) </w:t>
      </w:r>
      <w:proofErr w:type="gramStart"/>
      <w:r>
        <w:t xml:space="preserve">BEs </w:t>
      </w:r>
      <w:r w:rsidRPr="00C939BF">
        <w:t xml:space="preserve">(13.3% [4/30] </w:t>
      </w:r>
      <w:r>
        <w:t>and</w:t>
      </w:r>
      <w:r w:rsidRPr="00C939BF">
        <w:t xml:space="preserve"> 30.0% [9/30]</w:t>
      </w:r>
      <w:r>
        <w:t>, respectively</w:t>
      </w:r>
      <w:r w:rsidRPr="00C939BF">
        <w:t xml:space="preserve">), while efficacy was rated as moderate in the </w:t>
      </w:r>
      <w:r>
        <w:t xml:space="preserve">17 </w:t>
      </w:r>
      <w:r w:rsidRPr="00C939BF">
        <w:t>remaining cases (56.7% [17/30]).</w:t>
      </w:r>
      <w:proofErr w:type="gramEnd"/>
      <w:r w:rsidRPr="00C939BF">
        <w:t xml:space="preserve"> No treated BEs </w:t>
      </w:r>
      <w:proofErr w:type="gramStart"/>
      <w:r w:rsidRPr="00C939BF">
        <w:t>were</w:t>
      </w:r>
      <w:proofErr w:type="gramEnd"/>
      <w:r w:rsidRPr="00C939BF">
        <w:t xml:space="preserve"> rated as having no efficacy.</w:t>
      </w:r>
    </w:p>
    <w:p w14:paraId="65B978BA" w14:textId="77777777" w:rsidR="000F04AF" w:rsidRDefault="006D35A0" w:rsidP="00041836">
      <w:pPr>
        <w:pStyle w:val="Heading5"/>
      </w:pPr>
      <w:r w:rsidRPr="00503FA7">
        <w:t>Results - surgery</w:t>
      </w:r>
    </w:p>
    <w:p w14:paraId="5D0187DC" w14:textId="77777777" w:rsidR="000F04AF" w:rsidRDefault="006D35A0" w:rsidP="006D35A0">
      <w:pPr>
        <w:rPr>
          <w:color w:val="000000"/>
        </w:rPr>
      </w:pPr>
      <w:r w:rsidRPr="00C939BF">
        <w:rPr>
          <w:color w:val="000000"/>
        </w:rPr>
        <w:t xml:space="preserve">Four </w:t>
      </w:r>
      <w:r>
        <w:rPr>
          <w:color w:val="000000"/>
        </w:rPr>
        <w:t xml:space="preserve">(4) </w:t>
      </w:r>
      <w:r w:rsidRPr="00C939BF">
        <w:rPr>
          <w:color w:val="000000"/>
        </w:rPr>
        <w:t xml:space="preserve">patients underwent a total of 14 </w:t>
      </w:r>
      <w:r>
        <w:rPr>
          <w:color w:val="000000"/>
        </w:rPr>
        <w:t xml:space="preserve">minor </w:t>
      </w:r>
      <w:r w:rsidRPr="00C939BF">
        <w:rPr>
          <w:color w:val="000000"/>
        </w:rPr>
        <w:t>surgical procedures (11 planned, 3 emergency)</w:t>
      </w:r>
      <w:r>
        <w:rPr>
          <w:color w:val="000000"/>
        </w:rPr>
        <w:t>. The m</w:t>
      </w:r>
      <w:r w:rsidRPr="00C939BF">
        <w:rPr>
          <w:color w:val="000000"/>
        </w:rPr>
        <w:t>ean duration (range) of the</w:t>
      </w:r>
      <w:r>
        <w:rPr>
          <w:color w:val="000000"/>
        </w:rPr>
        <w:t xml:space="preserve"> surgical procedures was 9.5 (5, </w:t>
      </w:r>
      <w:r w:rsidRPr="00C939BF">
        <w:rPr>
          <w:color w:val="000000"/>
        </w:rPr>
        <w:t xml:space="preserve">15) minutes and similar to the </w:t>
      </w:r>
      <w:r w:rsidRPr="00C939BF">
        <w:rPr>
          <w:color w:val="000000"/>
        </w:rPr>
        <w:lastRenderedPageBreak/>
        <w:t>expected duration of 10 minutes. Concomitant hyaluronate was used during 4 surgical procedures, hydrocortisone in 7 procedures, and triamcinolone in 1 procedure.</w:t>
      </w:r>
    </w:p>
    <w:p w14:paraId="2B844A8B" w14:textId="77777777" w:rsidR="000F04AF" w:rsidRDefault="006D35A0" w:rsidP="006D35A0">
      <w:pPr>
        <w:rPr>
          <w:color w:val="000000"/>
        </w:rPr>
      </w:pPr>
      <w:r w:rsidRPr="00C939BF">
        <w:rPr>
          <w:color w:val="000000"/>
        </w:rPr>
        <w:t xml:space="preserve">In 13 of the 14 surgical procedures, a single dose of </w:t>
      </w:r>
      <w:r>
        <w:rPr>
          <w:color w:val="000000"/>
        </w:rPr>
        <w:t xml:space="preserve">simoctocog alfa </w:t>
      </w:r>
      <w:r w:rsidRPr="00C939BF">
        <w:rPr>
          <w:color w:val="000000"/>
        </w:rPr>
        <w:t>was administered prior to</w:t>
      </w:r>
      <w:r>
        <w:rPr>
          <w:color w:val="000000"/>
        </w:rPr>
        <w:t xml:space="preserve"> surgery, while</w:t>
      </w:r>
      <w:r w:rsidRPr="00C939BF">
        <w:rPr>
          <w:color w:val="000000"/>
        </w:rPr>
        <w:t xml:space="preserve"> 2 doses were administered </w:t>
      </w:r>
      <w:r>
        <w:rPr>
          <w:color w:val="000000"/>
        </w:rPr>
        <w:t>to</w:t>
      </w:r>
      <w:r w:rsidRPr="00C939BF">
        <w:rPr>
          <w:color w:val="000000"/>
        </w:rPr>
        <w:t xml:space="preserve"> one patient who received a second infusion after the end of surgery (2000 IU, 28.57 IU/kg). No maintenance doses were administered. The mean loading dose was 2,535.7 IU </w:t>
      </w:r>
      <w:r>
        <w:rPr>
          <w:color w:val="000000"/>
        </w:rPr>
        <w:t>(range: 2000, 3</w:t>
      </w:r>
      <w:r w:rsidRPr="00C939BF">
        <w:rPr>
          <w:color w:val="000000"/>
        </w:rPr>
        <w:t>000) corresponding to 35.26 IU/kg</w:t>
      </w:r>
      <w:r>
        <w:rPr>
          <w:color w:val="000000"/>
        </w:rPr>
        <w:t xml:space="preserve"> (range: 28.2, </w:t>
      </w:r>
      <w:r w:rsidRPr="00C939BF">
        <w:rPr>
          <w:color w:val="000000"/>
        </w:rPr>
        <w:t>50.0).</w:t>
      </w:r>
    </w:p>
    <w:p w14:paraId="7E966859" w14:textId="77777777" w:rsidR="000F04AF" w:rsidRDefault="006D35A0" w:rsidP="006D35A0">
      <w:pPr>
        <w:rPr>
          <w:color w:val="000000"/>
        </w:rPr>
      </w:pPr>
      <w:r w:rsidRPr="00C939BF">
        <w:rPr>
          <w:color w:val="000000"/>
        </w:rPr>
        <w:t>The 14 surgical procedures in the 4 patients were: 1 patient - three procedures (all "punctures" of the left knee) with 1</w:t>
      </w:r>
      <w:r>
        <w:rPr>
          <w:color w:val="000000"/>
        </w:rPr>
        <w:t xml:space="preserve"> </w:t>
      </w:r>
      <w:r w:rsidRPr="00C939BF">
        <w:rPr>
          <w:color w:val="000000"/>
        </w:rPr>
        <w:t xml:space="preserve">infusion for 2 procedures and 2 infusions for 1 procedure, the infusions ranged from 28.17 to 35.71 IU/kg; 1 patient - 9 procedures (5 "punctures" of the right knee, 4 </w:t>
      </w:r>
      <w:r>
        <w:rPr>
          <w:color w:val="000000"/>
        </w:rPr>
        <w:t>"</w:t>
      </w:r>
      <w:r w:rsidRPr="00C939BF">
        <w:rPr>
          <w:color w:val="000000"/>
        </w:rPr>
        <w:t>punctures</w:t>
      </w:r>
      <w:r>
        <w:rPr>
          <w:color w:val="000000"/>
        </w:rPr>
        <w:t>"</w:t>
      </w:r>
      <w:r w:rsidRPr="00C939BF">
        <w:rPr>
          <w:color w:val="000000"/>
        </w:rPr>
        <w:t xml:space="preserve"> of the left ankle) with each procedure requiring 1 infusion (33.33 IU/kg); 1 patient - 1 procedure ("puncture" of the left ankle) requiring 1 infusion (34.88 IU/kg); and 1 </w:t>
      </w:r>
      <w:r>
        <w:rPr>
          <w:color w:val="000000"/>
        </w:rPr>
        <w:t xml:space="preserve">patient </w:t>
      </w:r>
      <w:r w:rsidRPr="00C939BF">
        <w:rPr>
          <w:color w:val="000000"/>
        </w:rPr>
        <w:t xml:space="preserve">- 2 procedures (both tooth extraction) each requiring 1 infusion (50.00 IU/kg). The efficacy rating </w:t>
      </w:r>
      <w:r>
        <w:rPr>
          <w:color w:val="000000"/>
        </w:rPr>
        <w:t xml:space="preserve">for simoctocog alfa was excellent </w:t>
      </w:r>
      <w:r w:rsidRPr="00C939BF">
        <w:rPr>
          <w:color w:val="000000"/>
        </w:rPr>
        <w:t>for all 14 minor surgical procedures</w:t>
      </w:r>
      <w:r>
        <w:rPr>
          <w:color w:val="000000"/>
        </w:rPr>
        <w:t xml:space="preserve">, as rated by both the surgeon and the haematologist. </w:t>
      </w:r>
      <w:r w:rsidRPr="00C939BF">
        <w:rPr>
          <w:color w:val="000000"/>
        </w:rPr>
        <w:t xml:space="preserve"> </w:t>
      </w:r>
    </w:p>
    <w:p w14:paraId="600365CC" w14:textId="77777777" w:rsidR="000F04AF" w:rsidRDefault="006D35A0" w:rsidP="001E61D4">
      <w:pPr>
        <w:pStyle w:val="Heading4"/>
      </w:pPr>
      <w:bookmarkStart w:id="137" w:name="_Toc266446490"/>
      <w:r>
        <w:t>GENA-04 (extension study to GENA-09) - adults aged 18 to 62 years.</w:t>
      </w:r>
      <w:bookmarkEnd w:id="137"/>
    </w:p>
    <w:p w14:paraId="2AE66A05" w14:textId="77777777" w:rsidR="000F04AF" w:rsidRDefault="006D35A0" w:rsidP="001E61D4">
      <w:pPr>
        <w:pStyle w:val="Heading5"/>
      </w:pPr>
      <w:r w:rsidRPr="001532A0">
        <w:t>Overview of the study</w:t>
      </w:r>
    </w:p>
    <w:p w14:paraId="7F949ED9" w14:textId="77777777" w:rsidR="000F04AF" w:rsidRDefault="006D35A0" w:rsidP="006D35A0">
      <w:pPr>
        <w:rPr>
          <w:rFonts w:eastAsia="Times New Roman"/>
          <w:lang w:eastAsia="en-AU"/>
        </w:rPr>
      </w:pPr>
      <w:r w:rsidRPr="001532A0">
        <w:t xml:space="preserve">GENA-04 was designed as a prospective, single-centre, uncontrolled, open-label, Phase IIIb safety and tolerability extension study for patients who had successfully completed GENA-09. The study was initiated on 21 November 2009 and terminated on 28 July 2011, and the CSR was dated 22 March 2012. The study was originally planned to continue until simoctocog alfa was registered and launched in Russia. However, due to substantial changes in data requirements introduced by the Russian regulatory authorities, the study centre was instructed in early 2011 to continue the study only until their supplies of simoctocog alfa were used up. The study was terminated on 28 July 2011 after a mean of 226 exposure days (EDs) per patient. </w:t>
      </w:r>
      <w:r w:rsidRPr="001532A0">
        <w:rPr>
          <w:rFonts w:eastAsia="Times New Roman"/>
          <w:lang w:eastAsia="en-AU"/>
        </w:rPr>
        <w:t>The study was conducted in accordance with the ethical principles of the Declaration of Helsinki, and ICH-GCP (Note for Guidance CPMP/ICH/135/95), and national regulatory requirements. The study was sponsored by Octapharma, Switzerland</w:t>
      </w:r>
      <w:r w:rsidR="000F04AF">
        <w:rPr>
          <w:rFonts w:eastAsia="Times New Roman"/>
          <w:lang w:eastAsia="en-AU"/>
        </w:rPr>
        <w:t>.</w:t>
      </w:r>
    </w:p>
    <w:p w14:paraId="0F000778" w14:textId="76679A3A" w:rsidR="000F04AF" w:rsidRDefault="006D35A0" w:rsidP="006D35A0">
      <w:pPr>
        <w:rPr>
          <w:color w:val="000000"/>
        </w:rPr>
      </w:pPr>
      <w:r w:rsidRPr="001532A0">
        <w:t xml:space="preserve">The primary objectives of the study were to investigate the long-term immunogenic potential and the long-term tolerability of simoctocog alfa. </w:t>
      </w:r>
      <w:r w:rsidRPr="001532A0">
        <w:rPr>
          <w:rFonts w:eastAsia="Times New Roman"/>
          <w:lang w:eastAsia="en-AU"/>
        </w:rPr>
        <w:t xml:space="preserve">The secondary objectives of the study were: </w:t>
      </w:r>
      <w:r w:rsidRPr="001532A0">
        <w:t xml:space="preserve">to </w:t>
      </w:r>
      <w:r w:rsidRPr="001532A0">
        <w:rPr>
          <w:rFonts w:eastAsia="Times New Roman"/>
          <w:lang w:eastAsia="en-AU"/>
        </w:rPr>
        <w:t>determine the long-term efficacy of simoctocog alfa during prophylactic treatment, for treatment of BEs and for surgical prophylaxis in PTPs with severe haemophilia A, and to calculate the long-term incremental recovery of FVIII</w:t>
      </w:r>
      <w:proofErr w:type="gramStart"/>
      <w:r w:rsidRPr="001532A0">
        <w:rPr>
          <w:rFonts w:eastAsia="Times New Roman"/>
          <w:lang w:eastAsia="en-AU"/>
        </w:rPr>
        <w:t>:C</w:t>
      </w:r>
      <w:proofErr w:type="gramEnd"/>
      <w:r w:rsidRPr="001532A0">
        <w:rPr>
          <w:rFonts w:eastAsia="Times New Roman"/>
          <w:lang w:eastAsia="en-AU"/>
        </w:rPr>
        <w:t xml:space="preserve"> for simoctocog alfa.</w:t>
      </w:r>
    </w:p>
    <w:p w14:paraId="0AAFBB93" w14:textId="77777777" w:rsidR="000F04AF" w:rsidRDefault="006D35A0" w:rsidP="006D35A0">
      <w:pPr>
        <w:rPr>
          <w:color w:val="000000"/>
        </w:rPr>
      </w:pPr>
      <w:r>
        <w:rPr>
          <w:color w:val="000000"/>
        </w:rPr>
        <w:t xml:space="preserve">The efficacy endpoints of the study were the same as those for GENA-09. </w:t>
      </w:r>
      <w:r w:rsidRPr="001532A0">
        <w:rPr>
          <w:color w:val="000000"/>
        </w:rPr>
        <w:t>The statistical analysis of all endpoints was exploratory. No confirmatory hypothesis testing was planned. No formal sample size calculation was undertaken.</w:t>
      </w:r>
    </w:p>
    <w:p w14:paraId="43A1F7B9" w14:textId="77777777" w:rsidR="000F04AF" w:rsidRDefault="006D35A0" w:rsidP="006D35A0">
      <w:pPr>
        <w:rPr>
          <w:color w:val="000000"/>
        </w:rPr>
      </w:pPr>
      <w:r w:rsidRPr="001532A0">
        <w:rPr>
          <w:color w:val="000000"/>
        </w:rPr>
        <w:t>Eighteen (18) patients who had already completed GENA-09 were in</w:t>
      </w:r>
      <w:r>
        <w:rPr>
          <w:color w:val="000000"/>
        </w:rPr>
        <w:t xml:space="preserve">cluded in this extension study. </w:t>
      </w:r>
      <w:r w:rsidRPr="001532A0">
        <w:rPr>
          <w:color w:val="000000"/>
        </w:rPr>
        <w:t>Simoctocog alfa was administered to all patients prophylactically, for treatment of BEs or for surgical procedures.</w:t>
      </w:r>
      <w:r w:rsidRPr="001532A0">
        <w:rPr>
          <w:rFonts w:eastAsia="Times New Roman"/>
          <w:sz w:val="30"/>
          <w:szCs w:val="30"/>
          <w:lang w:eastAsia="en-AU"/>
        </w:rPr>
        <w:t xml:space="preserve"> </w:t>
      </w:r>
      <w:r w:rsidRPr="001532A0">
        <w:rPr>
          <w:color w:val="000000"/>
        </w:rPr>
        <w:t>Patients being treated prophylactically received 30 + X IU FVIII/kg BW every other day until study completion. As only entire vials were infused, patients may have received slightly more than 30 IU/kg; ‘X’ represents this difference.</w:t>
      </w:r>
      <w:r w:rsidRPr="001532A0">
        <w:rPr>
          <w:rFonts w:eastAsia="Times New Roman"/>
          <w:sz w:val="30"/>
          <w:szCs w:val="30"/>
          <w:lang w:eastAsia="en-AU"/>
        </w:rPr>
        <w:t xml:space="preserve"> </w:t>
      </w:r>
      <w:r w:rsidRPr="001532A0">
        <w:rPr>
          <w:color w:val="000000"/>
        </w:rPr>
        <w:t>Two dose escalations of + 5 IU/kg BW each were allowed in case of an inadequate response defined as &gt;2 spontaneous BEs during one month.</w:t>
      </w:r>
    </w:p>
    <w:p w14:paraId="738BC665" w14:textId="77777777" w:rsidR="000F04AF" w:rsidRDefault="006D35A0" w:rsidP="006D35A0">
      <w:pPr>
        <w:rPr>
          <w:color w:val="000000"/>
        </w:rPr>
      </w:pPr>
      <w:r w:rsidRPr="001532A0">
        <w:rPr>
          <w:color w:val="000000"/>
        </w:rPr>
        <w:t>The treatment of breakthrough BEs in GENA-04 differed from those in GENA-09 due to a protocol amendment. After review of all data from the interim analysis performed for the initial GENA-09 study, the IDMC recommended adapting the dose recommendations given in the original protocol for the treatment of BEs. Minor breakthrough BEs were treated with 20-30 IU FVIII/kg BW (rather than 10-20 IU FVIII/kg BW in GENA-09) repeated every 12-24 hours. Moderate to major breakthrough BEs were treated with 30-40 IU FVIII/kg BW (rather than 15-</w:t>
      </w:r>
      <w:r w:rsidRPr="001532A0">
        <w:rPr>
          <w:color w:val="000000"/>
        </w:rPr>
        <w:lastRenderedPageBreak/>
        <w:t>30 IU FVIII/kg BW in GENA-09) repeated every 12-24 hours. Major to life-threatening breakthrough BEs were treated with an initial dose of 50-60 IU FVIII/kg BW (rather than 40-50 IU FVIII/kg BW in GENA-09) with repeat doses of 20-25 IU FVIII/kg BW (same dose as GENA-09) every 8-12 hours. The doses used for prophylactic and surgical procedures were identical to those used in GENA-09.</w:t>
      </w:r>
    </w:p>
    <w:p w14:paraId="4104A51E" w14:textId="77777777" w:rsidR="000F04AF" w:rsidRDefault="006D35A0" w:rsidP="006D35A0">
      <w:r w:rsidRPr="001532A0">
        <w:t>The efficacy population included 18 enrolled patients, all of whom were included in the ITT population. All 18 patients in the ITT population were included in the simoctocog alfa</w:t>
      </w:r>
      <w:r>
        <w:t xml:space="preserve"> </w:t>
      </w:r>
      <w:r w:rsidRPr="001532A0">
        <w:t xml:space="preserve">prophylactic population (PROPH) and 9 patients in this population experienced 37 breakthrough BEs and were included in the BLEED population. Of the 9 patients in the BLEED population (37 BEs), 8 patients experienced 36 spontaneous BEs and 1 patient experienced 1 traumatic BE. The PP efficacy population included 16 patients in the PROPH-PP population and 9 </w:t>
      </w:r>
      <w:proofErr w:type="gramStart"/>
      <w:r w:rsidRPr="001532A0">
        <w:t>patient</w:t>
      </w:r>
      <w:proofErr w:type="gramEnd"/>
      <w:r w:rsidRPr="001532A0">
        <w:t xml:space="preserve"> in the BLEED-PP population (identical to the BLEED population). The surgical population (SURG) included 3 patients who had undergone 7 surgical procedures. The SAFETY population included 18 patients and was identical to the ITT population.</w:t>
      </w:r>
    </w:p>
    <w:p w14:paraId="181F534B" w14:textId="77777777" w:rsidR="000F04AF" w:rsidRDefault="006D35A0" w:rsidP="006D35A0">
      <w:pPr>
        <w:rPr>
          <w:color w:val="000000"/>
        </w:rPr>
      </w:pPr>
      <w:r w:rsidRPr="001532A0">
        <w:rPr>
          <w:color w:val="000000"/>
        </w:rPr>
        <w:t>Major protocol deviations were reported in 2 patients in the ITT/Safety population and these 2 patients were excluded from the PP population (1 withdrew consent; 1 had &gt; 1 treatment (gap defined as ≥ 5 days without treatment) per year. Seven (7) patients had minor protocol deviations and all of these patients were included in the PP population.</w:t>
      </w:r>
    </w:p>
    <w:p w14:paraId="7FD834AD" w14:textId="77777777" w:rsidR="000F04AF" w:rsidRDefault="006D35A0" w:rsidP="006D35A0">
      <w:r w:rsidRPr="001532A0">
        <w:t>The mean±SD age of the patients was 25.8±10.6 years with a me</w:t>
      </w:r>
      <w:r>
        <w:t xml:space="preserve">dian of 22.5 years (range: 18, </w:t>
      </w:r>
      <w:r w:rsidRPr="001532A0">
        <w:t>62), and the mean±SD weight was 73.0±14.4 kg with a</w:t>
      </w:r>
      <w:r>
        <w:t xml:space="preserve"> median of 72.5 kg (range: 55, </w:t>
      </w:r>
      <w:r w:rsidRPr="001532A0">
        <w:t>110).</w:t>
      </w:r>
    </w:p>
    <w:p w14:paraId="08CDE52F" w14:textId="77777777" w:rsidR="000F04AF" w:rsidRDefault="006D35A0" w:rsidP="001E61D4">
      <w:pPr>
        <w:pStyle w:val="Heading5"/>
      </w:pPr>
      <w:r w:rsidRPr="001532A0">
        <w:t>Results - prophylaxis</w:t>
      </w:r>
    </w:p>
    <w:p w14:paraId="28AB89D5" w14:textId="77777777" w:rsidR="000F04AF" w:rsidRDefault="006D35A0" w:rsidP="006D35A0">
      <w:pPr>
        <w:rPr>
          <w:color w:val="000000"/>
        </w:rPr>
      </w:pPr>
      <w:r w:rsidRPr="001532A0">
        <w:rPr>
          <w:color w:val="000000"/>
        </w:rPr>
        <w:t>All 18 enrolled patients treated with prophylactic simoctocog alfa</w:t>
      </w:r>
      <w:r>
        <w:rPr>
          <w:color w:val="000000"/>
        </w:rPr>
        <w:t xml:space="preserve"> </w:t>
      </w:r>
      <w:r w:rsidRPr="001532A0">
        <w:rPr>
          <w:color w:val="000000"/>
        </w:rPr>
        <w:t xml:space="preserve">were included in the </w:t>
      </w:r>
      <w:r>
        <w:rPr>
          <w:color w:val="000000"/>
        </w:rPr>
        <w:t xml:space="preserve">efficacy analysis. </w:t>
      </w:r>
      <w:r w:rsidRPr="001532A0">
        <w:rPr>
          <w:color w:val="000000"/>
        </w:rPr>
        <w:t>The mean±SD number of prophylactic exposure days (and the total number of in</w:t>
      </w:r>
      <w:r>
        <w:rPr>
          <w:color w:val="000000"/>
        </w:rPr>
        <w:t xml:space="preserve">fusions) was 219±63 (range: 14, </w:t>
      </w:r>
      <w:r w:rsidRPr="001532A0">
        <w:rPr>
          <w:color w:val="000000"/>
        </w:rPr>
        <w:t xml:space="preserve">283). The mean±SD dose of </w:t>
      </w:r>
      <w:r>
        <w:rPr>
          <w:color w:val="000000"/>
        </w:rPr>
        <w:t xml:space="preserve">simoctocog alfa </w:t>
      </w:r>
      <w:r w:rsidRPr="001532A0">
        <w:rPr>
          <w:color w:val="000000"/>
        </w:rPr>
        <w:t xml:space="preserve">per infusion was 34.6±3.9 </w:t>
      </w:r>
      <w:r>
        <w:rPr>
          <w:color w:val="000000"/>
        </w:rPr>
        <w:t xml:space="preserve">IU/kg </w:t>
      </w:r>
      <w:r w:rsidRPr="001532A0">
        <w:rPr>
          <w:color w:val="000000"/>
        </w:rPr>
        <w:t>(ra</w:t>
      </w:r>
      <w:r>
        <w:rPr>
          <w:color w:val="000000"/>
        </w:rPr>
        <w:t xml:space="preserve">nge: 31.1, </w:t>
      </w:r>
      <w:r w:rsidRPr="001532A0">
        <w:rPr>
          <w:color w:val="000000"/>
        </w:rPr>
        <w:t xml:space="preserve">45.3), and the mean±SD amounts administered per month </w:t>
      </w:r>
      <w:r>
        <w:rPr>
          <w:color w:val="000000"/>
        </w:rPr>
        <w:t xml:space="preserve">of the study was 497±66 IU/kg (range: 396, </w:t>
      </w:r>
      <w:r w:rsidRPr="001532A0">
        <w:rPr>
          <w:color w:val="000000"/>
        </w:rPr>
        <w:t>664)</w:t>
      </w:r>
      <w:r>
        <w:rPr>
          <w:color w:val="000000"/>
        </w:rPr>
        <w:t xml:space="preserve"> </w:t>
      </w:r>
      <w:r w:rsidRPr="001532A0">
        <w:rPr>
          <w:color w:val="000000"/>
        </w:rPr>
        <w:t xml:space="preserve">and per year of the study </w:t>
      </w:r>
      <w:r>
        <w:rPr>
          <w:color w:val="000000"/>
        </w:rPr>
        <w:t>was</w:t>
      </w:r>
      <w:r w:rsidRPr="001532A0">
        <w:rPr>
          <w:color w:val="000000"/>
        </w:rPr>
        <w:t xml:space="preserve"> </w:t>
      </w:r>
      <w:r>
        <w:rPr>
          <w:color w:val="000000"/>
        </w:rPr>
        <w:t>6,049±808 IU/kg (range: 4825, 8088).</w:t>
      </w:r>
    </w:p>
    <w:p w14:paraId="67900D5A" w14:textId="77777777" w:rsidR="000F04AF" w:rsidRDefault="006D35A0" w:rsidP="006D35A0">
      <w:pPr>
        <w:widowControl w:val="0"/>
        <w:autoSpaceDE w:val="0"/>
        <w:autoSpaceDN w:val="0"/>
        <w:adjustRightInd w:val="0"/>
        <w:rPr>
          <w:color w:val="000000"/>
        </w:rPr>
      </w:pPr>
      <w:r w:rsidRPr="001532A0">
        <w:rPr>
          <w:color w:val="000000"/>
        </w:rPr>
        <w:t>Of the 18 patients treated with prophylactic simoctocog alfa, 9 patients experienced a total of 37 BEs (3</w:t>
      </w:r>
      <w:r>
        <w:rPr>
          <w:color w:val="000000"/>
        </w:rPr>
        <w:t xml:space="preserve">6 spontaneous BEs in 8 patients; </w:t>
      </w:r>
      <w:r w:rsidRPr="001532A0">
        <w:rPr>
          <w:color w:val="000000"/>
        </w:rPr>
        <w:t>1 traumatic BE in 1 patient). Ten (10) patients did not experience any spontaneous BEs, 3 patients experienced 1 spontaneous BE, 2 patients experienced 5 spontaneous BEs, and 1 patient each experienced 3, 4, and 16 BEs. The mean±SD number of spontaneous breakthrough BEs per month in the 18 patients treated with prophylactic simoctocog alfa</w:t>
      </w:r>
      <w:r>
        <w:rPr>
          <w:color w:val="000000"/>
        </w:rPr>
        <w:t xml:space="preserve"> </w:t>
      </w:r>
      <w:r w:rsidRPr="001532A0">
        <w:rPr>
          <w:color w:val="000000"/>
        </w:rPr>
        <w:t xml:space="preserve">was </w:t>
      </w:r>
      <w:r>
        <w:rPr>
          <w:color w:val="000000"/>
        </w:rPr>
        <w:t xml:space="preserve">0.11±0.21 (range: 0, </w:t>
      </w:r>
      <w:r w:rsidRPr="001532A0">
        <w:rPr>
          <w:color w:val="000000"/>
        </w:rPr>
        <w:t>0.86). The efficacy of prophylactic treatment with simoctocog alfa</w:t>
      </w:r>
      <w:r>
        <w:rPr>
          <w:color w:val="000000"/>
        </w:rPr>
        <w:t xml:space="preserve"> </w:t>
      </w:r>
      <w:r w:rsidRPr="001532A0">
        <w:rPr>
          <w:color w:val="000000"/>
        </w:rPr>
        <w:t>was rated as excellent (&lt; 0.75 BEs/month) in 17 (94%) patients and good (0.75-1 BEs/month) in 1 (6%) patient.</w:t>
      </w:r>
    </w:p>
    <w:p w14:paraId="0E6CAD46" w14:textId="57D37DDB" w:rsidR="006D35A0" w:rsidRPr="001532A0" w:rsidRDefault="006D35A0" w:rsidP="006D35A0">
      <w:pPr>
        <w:widowControl w:val="0"/>
        <w:autoSpaceDE w:val="0"/>
        <w:autoSpaceDN w:val="0"/>
        <w:adjustRightInd w:val="0"/>
      </w:pPr>
      <w:r w:rsidRPr="001532A0">
        <w:t xml:space="preserve">The majority of the 37 BEs occurred in the knees (22 BEs, including one due to trauma). Bleeding was also noted in the elbows (6), ankles (4), arm (1), oral cavity (1) and other sites (including 2 episodes of haematuria and 1 back muscle bleed). Of the 37 BEs, 20 (54%) were considered minor and 17 (46%) were considered moderate to major. Of the 22 BEs occurring in the knee, 15 were minor and 7 were moderate to major. Overall, the mean±SD duration of the BEs (n=37) </w:t>
      </w:r>
      <w:proofErr w:type="gramStart"/>
      <w:r w:rsidRPr="001532A0">
        <w:t>was 1.34±1.89 days</w:t>
      </w:r>
      <w:proofErr w:type="gramEnd"/>
      <w:r w:rsidRPr="001532A0">
        <w:t xml:space="preserve"> with a me</w:t>
      </w:r>
      <w:r>
        <w:t xml:space="preserve">dian of 1.89 days (range: 0.03, </w:t>
      </w:r>
      <w:r w:rsidRPr="001532A0">
        <w:t>8.74).</w:t>
      </w:r>
    </w:p>
    <w:p w14:paraId="3D42FD3D" w14:textId="77777777" w:rsidR="000F04AF" w:rsidRDefault="006D35A0" w:rsidP="006D35A0">
      <w:pPr>
        <w:widowControl w:val="0"/>
        <w:autoSpaceDE w:val="0"/>
        <w:autoSpaceDN w:val="0"/>
        <w:adjustRightInd w:val="0"/>
      </w:pPr>
      <w:r w:rsidRPr="001532A0">
        <w:t>Of the 13 patients (mean age 22.6 years) who had received pre-study (historical) prophylact</w:t>
      </w:r>
      <w:r>
        <w:t xml:space="preserve">ic FVIII treatment and </w:t>
      </w:r>
      <w:r w:rsidRPr="001532A0">
        <w:t>prophylactic treatment with simoctocog alfa</w:t>
      </w:r>
      <w:r>
        <w:t xml:space="preserve"> </w:t>
      </w:r>
      <w:r w:rsidRPr="001532A0">
        <w:t xml:space="preserve">during the study, the mean number of BEs/month </w:t>
      </w:r>
      <w:r>
        <w:t xml:space="preserve">decreased approximately 87% </w:t>
      </w:r>
      <w:r w:rsidRPr="001532A0">
        <w:t xml:space="preserve">from 1.108 (pre-study GENA-09) to 0.143 (during GENA-04), and the mean FVIII dose per month increased approximately 64% from 307.5 to 503.9 IU/kg. In these 13 patients, the mean HJHS (gait/total) scores improved from 2.5/43.2 (pre-study GENA-09) to 1.9/33.8 </w:t>
      </w:r>
      <w:r>
        <w:t>(</w:t>
      </w:r>
      <w:r w:rsidRPr="001532A0">
        <w:t>end of study GENA-04</w:t>
      </w:r>
      <w:r>
        <w:t>)</w:t>
      </w:r>
      <w:r w:rsidRPr="001532A0">
        <w:t>.</w:t>
      </w:r>
    </w:p>
    <w:p w14:paraId="05DAEB4A" w14:textId="77777777" w:rsidR="000F04AF" w:rsidRDefault="006D35A0" w:rsidP="006D35A0">
      <w:pPr>
        <w:widowControl w:val="0"/>
        <w:autoSpaceDE w:val="0"/>
        <w:autoSpaceDN w:val="0"/>
        <w:adjustRightInd w:val="0"/>
      </w:pPr>
      <w:r w:rsidRPr="001532A0">
        <w:t>Of the total number of 18 patients (mean age 25.8 years) treated with prophylactic simoctocog alfa</w:t>
      </w:r>
      <w:r>
        <w:t xml:space="preserve"> </w:t>
      </w:r>
      <w:r w:rsidRPr="001532A0">
        <w:t xml:space="preserve">during GENA-04 (13 who had received prophylactic FVIII and 5 who had been treated on </w:t>
      </w:r>
      <w:r w:rsidRPr="001532A0">
        <w:lastRenderedPageBreak/>
        <w:t xml:space="preserve">demand prior to GENA-09), the mean number of BEs/month decreased by approximately 94% from 1.820 (pre-study GENA-09) to 0.118 (during GENA-04), and the mean FVIII dose per month increased approximately 61% from 222.1 to 496.8 IU/kg. In these 18 patients, the mean HJHS (gait/total) scores improved from 2.6/46.5 (pre-study GENA-09) to 1.9/36.9 </w:t>
      </w:r>
      <w:r>
        <w:t>(</w:t>
      </w:r>
      <w:r w:rsidRPr="001532A0">
        <w:t>end of study GENA-04</w:t>
      </w:r>
      <w:r>
        <w:t>)</w:t>
      </w:r>
      <w:r w:rsidRPr="001532A0">
        <w:t>.</w:t>
      </w:r>
    </w:p>
    <w:p w14:paraId="08D757B1" w14:textId="77777777" w:rsidR="000F04AF" w:rsidRDefault="006D35A0" w:rsidP="001E61D4">
      <w:pPr>
        <w:pStyle w:val="Heading5"/>
      </w:pPr>
      <w:r w:rsidRPr="001532A0">
        <w:t>Results - treatment of bleeding episodes</w:t>
      </w:r>
    </w:p>
    <w:p w14:paraId="20374794" w14:textId="77777777" w:rsidR="000F04AF" w:rsidRDefault="006D35A0" w:rsidP="006D35A0">
      <w:r w:rsidRPr="001532A0">
        <w:t xml:space="preserve">During the study period, 9 (50%) patients experienced 37 breakthrough BEs </w:t>
      </w:r>
      <w:r>
        <w:t>treated</w:t>
      </w:r>
      <w:r w:rsidRPr="001532A0">
        <w:t xml:space="preserve"> with simoctocog </w:t>
      </w:r>
      <w:proofErr w:type="gramStart"/>
      <w:r w:rsidRPr="001532A0">
        <w:t>alfa,</w:t>
      </w:r>
      <w:proofErr w:type="gramEnd"/>
      <w:r w:rsidRPr="001532A0">
        <w:t xml:space="preserve"> and a total of 75 infusions were administered over 66 EDs for the treatment of these BEs. The mean±SD number of exposure days for BEs was 7.33±6.75 with a median of 5 days (range</w:t>
      </w:r>
      <w:r>
        <w:t>:</w:t>
      </w:r>
      <w:r w:rsidRPr="001532A0">
        <w:t xml:space="preserve"> 1</w:t>
      </w:r>
      <w:r>
        <w:t xml:space="preserve">, </w:t>
      </w:r>
      <w:r w:rsidRPr="001532A0">
        <w:t>8), and the mean±SD number of infusions for treatment of BEs was 8.33±8.51 with a m</w:t>
      </w:r>
      <w:r>
        <w:t xml:space="preserve">edian of 5 infusions (range: 1, </w:t>
      </w:r>
      <w:r w:rsidRPr="001532A0">
        <w:t xml:space="preserve">24). The mean±SD number of infusions needed to stop a BE was 2.03±2.33 with a </w:t>
      </w:r>
      <w:r>
        <w:t xml:space="preserve">median of 1 infusion (range: 1, </w:t>
      </w:r>
      <w:r w:rsidRPr="001532A0">
        <w:t>12). The mean±SD dose per infusion was 34.63±5.44 IU/kg with a media</w:t>
      </w:r>
      <w:r>
        <w:t xml:space="preserve">n dose of 35.71 IU/kg (range: 23.67, </w:t>
      </w:r>
      <w:r w:rsidRPr="001532A0">
        <w:t>43.73).</w:t>
      </w:r>
    </w:p>
    <w:p w14:paraId="3BCDCC19" w14:textId="77777777" w:rsidR="000F04AF" w:rsidRDefault="006D35A0" w:rsidP="006D35A0">
      <w:r w:rsidRPr="001532A0">
        <w:t xml:space="preserve">The majority of BEs were treated for 1 or 2 days (31/37, 84%), while 2 BEs each required 3 and 6 days of treatment and </w:t>
      </w:r>
      <w:r>
        <w:t xml:space="preserve">1 BE </w:t>
      </w:r>
      <w:r w:rsidRPr="001532A0">
        <w:t xml:space="preserve">each required 4 and 7 days. The mean duration of treatment was 1.78 days and, on average, moderate to major bleeding required longer treatment than minor </w:t>
      </w:r>
      <w:r>
        <w:t xml:space="preserve">bleeding </w:t>
      </w:r>
      <w:r w:rsidRPr="001532A0">
        <w:t>(2.65 days vs 1.05 days</w:t>
      </w:r>
      <w:r>
        <w:t>, respectively</w:t>
      </w:r>
      <w:r w:rsidRPr="001532A0">
        <w:t>). The mean number of infusions needed to stop the bleeding was approximately 2</w:t>
      </w:r>
      <w:r>
        <w:t xml:space="preserve"> (range: 1, 12). </w:t>
      </w:r>
      <w:r w:rsidRPr="001532A0">
        <w:t xml:space="preserve">The highest number of infusions </w:t>
      </w:r>
      <w:r>
        <w:t xml:space="preserve">(12) </w:t>
      </w:r>
      <w:r w:rsidRPr="001532A0">
        <w:t xml:space="preserve">was administered for the treatment of haematuria in </w:t>
      </w:r>
      <w:r>
        <w:t>1</w:t>
      </w:r>
      <w:r w:rsidRPr="001532A0">
        <w:t xml:space="preserve"> patient.</w:t>
      </w:r>
    </w:p>
    <w:p w14:paraId="7B46DDF3" w14:textId="77777777" w:rsidR="000F04AF" w:rsidRDefault="006D35A0" w:rsidP="006D35A0">
      <w:pPr>
        <w:widowControl w:val="0"/>
        <w:autoSpaceDE w:val="0"/>
        <w:autoSpaceDN w:val="0"/>
        <w:adjustRightInd w:val="0"/>
        <w:rPr>
          <w:rFonts w:eastAsia="Times New Roman"/>
          <w:lang w:eastAsia="en-AU"/>
        </w:rPr>
      </w:pPr>
      <w:r w:rsidRPr="001532A0">
        <w:t>Overall, the efficacy of simoctocog alfa</w:t>
      </w:r>
      <w:r>
        <w:t xml:space="preserve"> </w:t>
      </w:r>
      <w:r w:rsidRPr="001532A0">
        <w:t xml:space="preserve">for </w:t>
      </w:r>
      <w:r>
        <w:t xml:space="preserve">the </w:t>
      </w:r>
      <w:r w:rsidRPr="001532A0">
        <w:t>treatment of BEs was rated as excellent for 37.8% (14/37)</w:t>
      </w:r>
      <w:r>
        <w:t xml:space="preserve"> of BEs</w:t>
      </w:r>
      <w:r w:rsidRPr="001532A0">
        <w:t>, good for 45.9% (17/37)</w:t>
      </w:r>
      <w:r>
        <w:t xml:space="preserve"> of BEs</w:t>
      </w:r>
      <w:r w:rsidRPr="001532A0">
        <w:t>, moderate for 8.1% (3/37)</w:t>
      </w:r>
      <w:r>
        <w:t xml:space="preserve"> of BEs</w:t>
      </w:r>
      <w:r w:rsidRPr="001532A0">
        <w:t>, and none for 8.1% (3/37)</w:t>
      </w:r>
      <w:r>
        <w:t xml:space="preserve"> of BEs</w:t>
      </w:r>
      <w:r w:rsidRPr="001532A0">
        <w:t xml:space="preserve">. The efficacy of treatment for minor BEs was rated as excellent or good for all 20 BEs (14 [70%] excellent; 6 [30%] good). The efficacy of treatment for the 17 moderate to </w:t>
      </w:r>
      <w:proofErr w:type="gramStart"/>
      <w:r w:rsidRPr="001532A0">
        <w:t>major</w:t>
      </w:r>
      <w:proofErr w:type="gramEnd"/>
      <w:r w:rsidRPr="001532A0">
        <w:t xml:space="preserve"> </w:t>
      </w:r>
      <w:r>
        <w:t>BEs</w:t>
      </w:r>
      <w:r w:rsidRPr="001532A0">
        <w:t xml:space="preserve"> was rated as excellent for none, good for 11 (64.7%), moderate for 3 (17.6%) and none for 3 (17.6%). The 3 moderate to major bleeds for which treatment efficacy was rated as none occurred in 2 patients (haematuria in 1, and a knee and ankle bleed in 1 patient). </w:t>
      </w:r>
      <w:r w:rsidRPr="001532A0">
        <w:rPr>
          <w:rFonts w:eastAsia="Times New Roman"/>
          <w:lang w:eastAsia="en-AU"/>
        </w:rPr>
        <w:t>The patient with haematuria experienced 2 additional BEs before and after the haematuria, which were both treated with moderate efficacy. The patient with the joint bleeds subsequently experienced 2 further BEs for which efficacy ratings were good.</w:t>
      </w:r>
    </w:p>
    <w:p w14:paraId="52811180" w14:textId="77777777" w:rsidR="000F04AF" w:rsidRDefault="006D35A0" w:rsidP="001E61D4">
      <w:pPr>
        <w:pStyle w:val="Heading5"/>
      </w:pPr>
      <w:r w:rsidRPr="001532A0">
        <w:t>Efficacy - surgery</w:t>
      </w:r>
    </w:p>
    <w:p w14:paraId="75DBC744" w14:textId="77777777" w:rsidR="000F04AF" w:rsidRDefault="006D35A0" w:rsidP="006D35A0">
      <w:r w:rsidRPr="001532A0">
        <w:t>Three (3) patients underwent a total of 7 surgical procedures, all of which were planned. Of the 7 surgical procedures, 3 (42.9%) were major (1x total THR and 1x revision THR in 1 patient; 1x TKR in 1 patient), and 4 (57.1%) were minor (3x "punctures" left knee in 1 patient). The mean duration of the surgical procedu</w:t>
      </w:r>
      <w:r>
        <w:t xml:space="preserve">res was 1.2 hours (range: 0.25, </w:t>
      </w:r>
      <w:r w:rsidRPr="001532A0">
        <w:t xml:space="preserve">3.22), and was similar to the expected duration of 1.51 hours. All minor surgical procedures required only </w:t>
      </w:r>
      <w:r>
        <w:t>1</w:t>
      </w:r>
      <w:r w:rsidRPr="001532A0">
        <w:t xml:space="preserve"> infusion on </w:t>
      </w:r>
      <w:r>
        <w:t>1</w:t>
      </w:r>
      <w:r w:rsidRPr="001532A0">
        <w:t xml:space="preserve"> exposure day, while the 3 major surgeries required, on average, approximatel</w:t>
      </w:r>
      <w:r>
        <w:t xml:space="preserve">y 30 infusions (range: 23, 35) over 17 EDs (range: 15, </w:t>
      </w:r>
      <w:r w:rsidRPr="001532A0">
        <w:t>20). Major surgeries required higher doses of simoctocog alfa</w:t>
      </w:r>
      <w:r>
        <w:t xml:space="preserve"> </w:t>
      </w:r>
      <w:r w:rsidRPr="001532A0">
        <w:t>per exposure day than minor surgeries (73.38 vs 41.07 IU/kg, respectively).</w:t>
      </w:r>
    </w:p>
    <w:p w14:paraId="28E59D11" w14:textId="77777777" w:rsidR="000F04AF" w:rsidRDefault="006D35A0" w:rsidP="006D35A0">
      <w:r w:rsidRPr="001532A0">
        <w:t>All patients received a loading dose of simoctocog alfa, and the mean±SD loading dose w</w:t>
      </w:r>
      <w:r>
        <w:t xml:space="preserve">as 47.0±7.9 IU/kg (range: 35.7, </w:t>
      </w:r>
      <w:r w:rsidRPr="001532A0">
        <w:t xml:space="preserve">55.6). The patient undergoing TKR required an additional infusion of 55.6 IU/kg during surgery, which was administered 2.5 hours after the start of the procedure. During the post-surgical period the mean dose of </w:t>
      </w:r>
      <w:r>
        <w:t>simoctocog alfa</w:t>
      </w:r>
      <w:r w:rsidRPr="001532A0">
        <w:t xml:space="preserve"> was 40.14 IU/kg. Major surgical procedures required higher doses of simoctocog alfa</w:t>
      </w:r>
      <w:r>
        <w:t xml:space="preserve"> </w:t>
      </w:r>
      <w:r w:rsidRPr="001532A0">
        <w:t>per ED than minor surgical procedures (73.4 vs 41.1 IU/kg, respectively).</w:t>
      </w:r>
    </w:p>
    <w:p w14:paraId="79BC037F" w14:textId="77777777" w:rsidR="000F04AF" w:rsidRDefault="006D35A0" w:rsidP="006D35A0">
      <w:r w:rsidRPr="001532A0">
        <w:t>Blood loss was not observed during any of the minor surgical procedures. Actual blood loss for the major procedures was lower than the expected blood loss (1,033 vs 1,250 mL, respectively). All 3 major surgeries required the transfusion of FFP or erythrocyte concentrate.</w:t>
      </w:r>
    </w:p>
    <w:p w14:paraId="56F2FC14" w14:textId="77777777" w:rsidR="000F04AF" w:rsidRDefault="006D35A0" w:rsidP="006D35A0">
      <w:r w:rsidRPr="001532A0">
        <w:lastRenderedPageBreak/>
        <w:t xml:space="preserve">Intra-operative efficacy for all 7 surgical procedures was rated as excellent by the surgeon.  The overall efficacy was rated as </w:t>
      </w:r>
      <w:r>
        <w:t xml:space="preserve">for </w:t>
      </w:r>
      <w:r w:rsidRPr="001532A0">
        <w:t xml:space="preserve">excellent </w:t>
      </w:r>
      <w:r>
        <w:t>for</w:t>
      </w:r>
      <w:r w:rsidRPr="001532A0">
        <w:t xml:space="preserve"> the 4 minor surgical procedures and as good for </w:t>
      </w:r>
      <w:r>
        <w:t>the</w:t>
      </w:r>
      <w:r w:rsidRPr="001532A0">
        <w:t xml:space="preserve"> 3 of the major surgical procedures by the surgeon and haematologist.</w:t>
      </w:r>
    </w:p>
    <w:p w14:paraId="4639EC33" w14:textId="3CDF209D" w:rsidR="006D35A0" w:rsidRPr="00532D2C" w:rsidRDefault="006D35A0" w:rsidP="001E61D4">
      <w:pPr>
        <w:pStyle w:val="Heading3"/>
      </w:pPr>
      <w:bookmarkStart w:id="138" w:name="_Toc266446491"/>
      <w:bookmarkStart w:id="139" w:name="_Toc453765963"/>
      <w:r w:rsidRPr="00532D2C">
        <w:t>Analysis performed across trials</w:t>
      </w:r>
      <w:bookmarkEnd w:id="138"/>
      <w:bookmarkEnd w:id="139"/>
    </w:p>
    <w:p w14:paraId="77CB23BE" w14:textId="77777777" w:rsidR="000F04AF" w:rsidRDefault="006D35A0" w:rsidP="006D35A0">
      <w:r>
        <w:t>There were no meta-analyses or pooling of data across studies.</w:t>
      </w:r>
    </w:p>
    <w:p w14:paraId="45DC4DF5" w14:textId="77777777" w:rsidR="000F04AF" w:rsidRDefault="006D35A0" w:rsidP="001E61D4">
      <w:pPr>
        <w:pStyle w:val="Heading3"/>
      </w:pPr>
      <w:bookmarkStart w:id="140" w:name="_Toc266446492"/>
      <w:bookmarkStart w:id="141" w:name="_Toc453765964"/>
      <w:r w:rsidRPr="00532D2C">
        <w:t>Evaluator's conclusions on clinical efficacy</w:t>
      </w:r>
      <w:bookmarkEnd w:id="140"/>
      <w:bookmarkEnd w:id="141"/>
    </w:p>
    <w:p w14:paraId="4974143C" w14:textId="77777777" w:rsidR="000F04AF" w:rsidRDefault="006D35A0" w:rsidP="006D35A0">
      <w:r w:rsidRPr="005E0252">
        <w:t xml:space="preserve">The submitted data are considered to have satisfactorily established the efficacy of </w:t>
      </w:r>
      <w:r>
        <w:t xml:space="preserve">simoctocog alfa </w:t>
      </w:r>
      <w:r w:rsidRPr="005E0252">
        <w:t xml:space="preserve">for </w:t>
      </w:r>
      <w:r>
        <w:t xml:space="preserve">routine prophylaxis against BEs, </w:t>
      </w:r>
      <w:r w:rsidRPr="005E0252">
        <w:t xml:space="preserve">treatment of breakthrough BEs </w:t>
      </w:r>
      <w:r>
        <w:t xml:space="preserve">while on prophylaxis </w:t>
      </w:r>
      <w:r w:rsidRPr="005E0252">
        <w:t>and surgical prophylaxis</w:t>
      </w:r>
      <w:r>
        <w:t xml:space="preserve"> in </w:t>
      </w:r>
      <w:r w:rsidRPr="005E0252">
        <w:t xml:space="preserve">previously treated children </w:t>
      </w:r>
      <w:r>
        <w:t xml:space="preserve">aged 2 to 12 years </w:t>
      </w:r>
      <w:r w:rsidRPr="005E0252">
        <w:t>and adults with severe haemophilia A</w:t>
      </w:r>
      <w:r>
        <w:t xml:space="preserve">. </w:t>
      </w:r>
      <w:r w:rsidRPr="005E0252">
        <w:t xml:space="preserve">The submission provided efficacy data </w:t>
      </w:r>
      <w:r>
        <w:t>from</w:t>
      </w:r>
      <w:r w:rsidRPr="005E0252">
        <w:t xml:space="preserve"> 135 patients treated with </w:t>
      </w:r>
      <w:r>
        <w:t xml:space="preserve">simoctocog alfa, including </w:t>
      </w:r>
      <w:r w:rsidRPr="005E0252">
        <w:t>76 patients aged &gt; 12 years</w:t>
      </w:r>
      <w:r>
        <w:t xml:space="preserve"> and </w:t>
      </w:r>
      <w:r w:rsidRPr="005E0252">
        <w:t>59 patients aged 2 to 12 years</w:t>
      </w:r>
      <w:r>
        <w:t>.</w:t>
      </w:r>
    </w:p>
    <w:p w14:paraId="7C41DE3C" w14:textId="77777777" w:rsidR="000F04AF" w:rsidRDefault="006D35A0" w:rsidP="006D35A0">
      <w:pPr>
        <w:widowControl w:val="0"/>
        <w:autoSpaceDE w:val="0"/>
        <w:autoSpaceDN w:val="0"/>
        <w:adjustRightInd w:val="0"/>
      </w:pPr>
      <w:r w:rsidRPr="005E0252">
        <w:t>The submission included five completed clinical studies with efficacy data (GENA-01, GENA-08, GENA-03, GENA-09 and GENA-04).</w:t>
      </w:r>
      <w:r>
        <w:t xml:space="preserve"> Of these five studies, t</w:t>
      </w:r>
      <w:r w:rsidRPr="005E0252">
        <w:t>hree, multinational (predominantly Western countries), multicentre studies were nominated by the sponsor as providing primary efficacy data (GENA-01, GENA-08, GENA-03), and the single centre Russian study GENA-09 and its extension GENA-04 were nominated as providing supportive efficacy data</w:t>
      </w:r>
      <w:r>
        <w:t>. Therefore, for efficacy and safety GENA-01, GENA-08, and GENA-03 can be considered to be pivotal studies and GENA-09 and GENA-04 can be considered to be supportive studies.</w:t>
      </w:r>
    </w:p>
    <w:p w14:paraId="084D0652" w14:textId="77777777" w:rsidR="000F04AF" w:rsidRDefault="006D35A0" w:rsidP="006D35A0">
      <w:pPr>
        <w:rPr>
          <w:color w:val="000000"/>
        </w:rPr>
      </w:pPr>
      <w:r>
        <w:t xml:space="preserve">The </w:t>
      </w:r>
      <w:r w:rsidRPr="005E0252">
        <w:t xml:space="preserve">five clinical studies </w:t>
      </w:r>
      <w:r>
        <w:t xml:space="preserve">were conducted in accordance with </w:t>
      </w:r>
      <w:r w:rsidRPr="005E0252">
        <w:t xml:space="preserve">the recommendations of the latest EMA </w:t>
      </w:r>
      <w:r w:rsidRPr="005E0252">
        <w:rPr>
          <w:i/>
        </w:rPr>
        <w:t>Guideline on the Clinical Investigation of Recombinant and Human Plasma-Derived Factor VIII Products (EM</w:t>
      </w:r>
      <w:r>
        <w:rPr>
          <w:i/>
        </w:rPr>
        <w:t>E</w:t>
      </w:r>
      <w:r w:rsidRPr="005E0252">
        <w:rPr>
          <w:i/>
        </w:rPr>
        <w:t>A/CHMP/BPWP/ 144533/2009).</w:t>
      </w:r>
      <w:r w:rsidRPr="005E0252">
        <w:t xml:space="preserve"> </w:t>
      </w:r>
      <w:r>
        <w:t xml:space="preserve">Overall, this </w:t>
      </w:r>
      <w:r w:rsidRPr="005E0252">
        <w:t xml:space="preserve">guideline is </w:t>
      </w:r>
      <w:r>
        <w:t xml:space="preserve">more stringent than </w:t>
      </w:r>
      <w:r w:rsidRPr="005E0252">
        <w:t xml:space="preserve">the previous EMA </w:t>
      </w:r>
      <w:r w:rsidRPr="005E0252">
        <w:rPr>
          <w:i/>
        </w:rPr>
        <w:t>Note for Guidance on the Clinical Investigation of Recombinant Factor VIII and IX products (CPMP/BPWG/1561/99)</w:t>
      </w:r>
      <w:r>
        <w:t xml:space="preserve">. </w:t>
      </w:r>
      <w:r w:rsidRPr="005E0252">
        <w:rPr>
          <w:color w:val="000000"/>
        </w:rPr>
        <w:t xml:space="preserve">All studies enrolled patients who had been previously treated with FVIII products (defined as having ≥ 150 EDs in patients at least 12 years </w:t>
      </w:r>
      <w:r>
        <w:rPr>
          <w:color w:val="000000"/>
        </w:rPr>
        <w:t>of age</w:t>
      </w:r>
      <w:r w:rsidRPr="005E0252">
        <w:rPr>
          <w:color w:val="000000"/>
        </w:rPr>
        <w:t xml:space="preserve">, and ≥ 50 EDs in patients less than 12 years </w:t>
      </w:r>
      <w:r>
        <w:rPr>
          <w:color w:val="000000"/>
        </w:rPr>
        <w:t>of age</w:t>
      </w:r>
      <w:r w:rsidRPr="005E0252">
        <w:rPr>
          <w:color w:val="000000"/>
        </w:rPr>
        <w:t>). In addition, the study duration per patient was the same in all studies (</w:t>
      </w:r>
      <w:r w:rsidR="001A2E59">
        <w:rPr>
          <w:color w:val="000000"/>
        </w:rPr>
        <w:t>that is,</w:t>
      </w:r>
      <w:r w:rsidRPr="005E0252">
        <w:rPr>
          <w:color w:val="000000"/>
        </w:rPr>
        <w:t xml:space="preserve"> at least 6 months and at least 50 EDs).</w:t>
      </w:r>
    </w:p>
    <w:p w14:paraId="07A5DE97" w14:textId="77777777" w:rsidR="000F04AF" w:rsidRDefault="006D35A0" w:rsidP="006D35A0">
      <w:pPr>
        <w:widowControl w:val="0"/>
        <w:autoSpaceDE w:val="0"/>
        <w:autoSpaceDN w:val="0"/>
        <w:adjustRightInd w:val="0"/>
        <w:rPr>
          <w:rFonts w:cs="ÄåÛøñ‹"/>
        </w:rPr>
      </w:pPr>
      <w:r w:rsidRPr="005E0252">
        <w:t xml:space="preserve">GENA-08, GENA-03, GENA-09 and GENA-04 investigated the efficacy of </w:t>
      </w:r>
      <w:r>
        <w:t xml:space="preserve">simoctocog alfa </w:t>
      </w:r>
      <w:r w:rsidRPr="005E0252">
        <w:t xml:space="preserve">for </w:t>
      </w:r>
      <w:r>
        <w:t>routine prophylaxis</w:t>
      </w:r>
      <w:r w:rsidRPr="005E0252">
        <w:t xml:space="preserve">, the treatment of breakthrough bleeding </w:t>
      </w:r>
      <w:r>
        <w:t>occurring during</w:t>
      </w:r>
      <w:r w:rsidRPr="005E0252">
        <w:t xml:space="preserve"> prophylaxis and </w:t>
      </w:r>
      <w:r>
        <w:t xml:space="preserve">for </w:t>
      </w:r>
      <w:r w:rsidRPr="005E0252">
        <w:t xml:space="preserve">surgical prophylaxis. GENA-01 investigated the efficacy of </w:t>
      </w:r>
      <w:r>
        <w:t xml:space="preserve">simoctocog alfa </w:t>
      </w:r>
      <w:r w:rsidRPr="005E0252">
        <w:t>for the on-demand treatment of BEs and for surgical prophylaxis</w:t>
      </w:r>
      <w:r>
        <w:t xml:space="preserve">, but not for routine prophylaxis. </w:t>
      </w:r>
      <w:r w:rsidRPr="005E0252">
        <w:rPr>
          <w:rFonts w:cs="Ûøñ‹"/>
        </w:rPr>
        <w:t xml:space="preserve">In GENA-01, GENA-08, GENA-09, and GENA-04, all patients had at least 150 previous EDs, and paediatric patients in GENA-03 had at least 50 EDs. </w:t>
      </w:r>
      <w:r>
        <w:t xml:space="preserve">GENA-04, the long-term extension study, </w:t>
      </w:r>
      <w:r w:rsidRPr="005E0252">
        <w:t xml:space="preserve">was terminated after a mean of 226 EDs </w:t>
      </w:r>
      <w:r>
        <w:t xml:space="preserve">of routine prophylaxis. </w:t>
      </w:r>
      <w:r>
        <w:rPr>
          <w:rFonts w:cs="ÄåÛøñ‹"/>
        </w:rPr>
        <w:t xml:space="preserve">The relevant TGA adopted EMA guideline </w:t>
      </w:r>
      <w:r w:rsidRPr="005E0252">
        <w:rPr>
          <w:rFonts w:cs="ÄåÛøñ‹"/>
        </w:rPr>
        <w:t>recommend</w:t>
      </w:r>
      <w:r>
        <w:rPr>
          <w:rFonts w:cs="ÄåÛøñ‹"/>
        </w:rPr>
        <w:t xml:space="preserve">s that for FVIII products at least </w:t>
      </w:r>
      <w:r w:rsidRPr="005E0252">
        <w:rPr>
          <w:rFonts w:cs="ÄåÛøñ‹"/>
        </w:rPr>
        <w:t>50 PTPs aged &gt; 12 years should be followed for at least 50 EDs or 6 months whichever is sooner</w:t>
      </w:r>
      <w:r>
        <w:rPr>
          <w:rFonts w:cs="ÄåÛøñ‹"/>
        </w:rPr>
        <w:t xml:space="preserve">, and </w:t>
      </w:r>
      <w:r w:rsidRPr="005E0252">
        <w:rPr>
          <w:rFonts w:cs="ÄåÛøñ‹"/>
        </w:rPr>
        <w:t xml:space="preserve">that at least 20 children under the age of 6 years (irrespective of previous treatment) should be </w:t>
      </w:r>
      <w:r>
        <w:rPr>
          <w:rFonts w:cs="ÄåÛøñ‹"/>
        </w:rPr>
        <w:t xml:space="preserve">studied. However, the adopted TGA guideline specifies that the mandatory study in children may be submitted after marketing authorization is granted. </w:t>
      </w:r>
      <w:r w:rsidRPr="005E0252">
        <w:rPr>
          <w:rFonts w:cs="ÄåÛøñ‹"/>
        </w:rPr>
        <w:t xml:space="preserve">Overall, patient numbers and exposure to </w:t>
      </w:r>
      <w:r>
        <w:rPr>
          <w:rFonts w:cs="ÄåÛøñ‹"/>
        </w:rPr>
        <w:t>simoctocog alfa are greater than required by the relevant TGA adopted guideline</w:t>
      </w:r>
      <w:r w:rsidRPr="005E0252">
        <w:rPr>
          <w:rFonts w:cs="ÄåÛøñ‹"/>
        </w:rPr>
        <w:t>.</w:t>
      </w:r>
    </w:p>
    <w:p w14:paraId="4E0F7A79" w14:textId="77777777" w:rsidR="000F04AF" w:rsidRDefault="006D35A0" w:rsidP="006D35A0">
      <w:r w:rsidRPr="005E0252">
        <w:t>The inclusion and exclusion criteria were similar for all five clinical studies. All patients were males with severe haemophilia A (FVIII</w:t>
      </w:r>
      <w:proofErr w:type="gramStart"/>
      <w:r w:rsidRPr="005E0252">
        <w:t>:C</w:t>
      </w:r>
      <w:proofErr w:type="gramEnd"/>
      <w:r w:rsidRPr="005E0252">
        <w:t xml:space="preserve"> &lt;1%). The inclusion criteria stipulated that all patients were required to be immuno-competent (CD4+ lymphocytes &gt;200/μL), and negative for HIV or if positive have a viral load of less than 200 particles/μL or less than 400,000 copies/mL. Therefore, patients could be HIV positive provided that they met the inclusion criteria relating to immuno-competence and viral load/viral particles. The </w:t>
      </w:r>
      <w:r>
        <w:t>studies excluded</w:t>
      </w:r>
      <w:r w:rsidRPr="005E0252">
        <w:t xml:space="preserve"> patients with coagulation</w:t>
      </w:r>
      <w:r w:rsidRPr="00494BD6">
        <w:t xml:space="preserve"> disorders other than haemophilia </w:t>
      </w:r>
      <w:proofErr w:type="gramStart"/>
      <w:r w:rsidRPr="00494BD6">
        <w:t>A</w:t>
      </w:r>
      <w:proofErr w:type="gramEnd"/>
      <w:r w:rsidRPr="00494BD6">
        <w:t xml:space="preserve">, </w:t>
      </w:r>
      <w:r>
        <w:t xml:space="preserve">patients with </w:t>
      </w:r>
      <w:r w:rsidRPr="00494BD6">
        <w:t xml:space="preserve">present or past FVIII inhibitory activity over 0.6 BU, </w:t>
      </w:r>
      <w:r>
        <w:t xml:space="preserve">patients with </w:t>
      </w:r>
      <w:r w:rsidRPr="00494BD6">
        <w:t xml:space="preserve">severe liver or kidney disease and </w:t>
      </w:r>
      <w:r>
        <w:t xml:space="preserve">patients </w:t>
      </w:r>
      <w:r w:rsidRPr="00494BD6">
        <w:lastRenderedPageBreak/>
        <w:t>receiving immuno-modulating drugs.</w:t>
      </w:r>
      <w:r>
        <w:t xml:space="preserve"> Overall, the inclusion and exclusion criteria are considered to be satisfactory and representative of Australian patients likely to be offered treatment with simoctocog alfa.</w:t>
      </w:r>
    </w:p>
    <w:p w14:paraId="4B8E4C41" w14:textId="77777777" w:rsidR="000F04AF" w:rsidRDefault="006D35A0" w:rsidP="006D35A0">
      <w:r w:rsidRPr="009B7521">
        <w:t xml:space="preserve">GENA-01 planned to recruit patients </w:t>
      </w:r>
      <w:r>
        <w:t xml:space="preserve">of </w:t>
      </w:r>
      <w:r w:rsidRPr="009B7521">
        <w:t>at least 12 years</w:t>
      </w:r>
      <w:r>
        <w:t xml:space="preserve"> of age</w:t>
      </w:r>
      <w:r w:rsidRPr="009B7521">
        <w:t xml:space="preserve">, but only 2 of the 22 enrolled patients were </w:t>
      </w:r>
      <w:r>
        <w:t xml:space="preserve">actually under 18 years of age. </w:t>
      </w:r>
      <w:r w:rsidRPr="009B7521">
        <w:t>GENA-08 also planned to include adolescents over 12 years of age, but none of the 3</w:t>
      </w:r>
      <w:r>
        <w:t xml:space="preserve">2 enrolled patients were </w:t>
      </w:r>
      <w:r w:rsidRPr="009B7521">
        <w:t xml:space="preserve">younger than 18 years of age. In GENA-09, all 22 enrolled patients were at least 18 years of age and 18 of these patients subsequently enrolled in GENA-04 (extension study to GENA-09). </w:t>
      </w:r>
      <w:r>
        <w:t>I</w:t>
      </w:r>
      <w:r w:rsidRPr="009B7521">
        <w:t>n GENA-03, all 59 enrolled patients were aged between 2 and 12 years</w:t>
      </w:r>
      <w:r>
        <w:t xml:space="preserve"> (29 aged from 2-6 years; 30 aged from 6-12 years)</w:t>
      </w:r>
      <w:r w:rsidRPr="009B7521">
        <w:t xml:space="preserve">. </w:t>
      </w:r>
      <w:r>
        <w:t xml:space="preserve">Overall, the studies included 2 adolescent patients aged older than 12 years and younger than 18 years. </w:t>
      </w:r>
      <w:r w:rsidRPr="009B7521">
        <w:rPr>
          <w:rFonts w:cs="ÄåÛøñ‹"/>
        </w:rPr>
        <w:t xml:space="preserve">No </w:t>
      </w:r>
      <w:r>
        <w:rPr>
          <w:rFonts w:cs="ÄåÛøñ‹"/>
        </w:rPr>
        <w:t>patients</w:t>
      </w:r>
      <w:r w:rsidRPr="009B7521">
        <w:rPr>
          <w:rFonts w:cs="ÄåÛøñ‹"/>
        </w:rPr>
        <w:t xml:space="preserve"> under </w:t>
      </w:r>
      <w:r>
        <w:rPr>
          <w:rFonts w:cs="ÄåÛøñ‹"/>
        </w:rPr>
        <w:t>the</w:t>
      </w:r>
      <w:r w:rsidRPr="009B7521">
        <w:rPr>
          <w:rFonts w:cs="ÄåÛøñ‹"/>
        </w:rPr>
        <w:t xml:space="preserve"> age of 2 </w:t>
      </w:r>
      <w:r>
        <w:rPr>
          <w:rFonts w:cs="ÄåÛøñ‹"/>
        </w:rPr>
        <w:t xml:space="preserve">years or older than 75 years of age were included in the studies. </w:t>
      </w:r>
      <w:r w:rsidRPr="009B7521">
        <w:t xml:space="preserve">The key baseline characteristics of the study populations in the five submitted studies are summarised below in Table </w:t>
      </w:r>
      <w:r>
        <w:t>3</w:t>
      </w:r>
      <w:r w:rsidR="006F09EA">
        <w:t>7</w:t>
      </w:r>
      <w:r w:rsidRPr="009B7521">
        <w:t>.</w:t>
      </w:r>
    </w:p>
    <w:p w14:paraId="76663CB1" w14:textId="42DA4B79" w:rsidR="006D35A0" w:rsidRPr="00E864BD" w:rsidRDefault="006D35A0" w:rsidP="00532D2C">
      <w:pPr>
        <w:pStyle w:val="Tabletitle"/>
      </w:pPr>
      <w:bookmarkStart w:id="142" w:name="_Toc248202556"/>
      <w:r>
        <w:t xml:space="preserve">Table </w:t>
      </w:r>
      <w:r w:rsidR="000A1340">
        <w:t>3</w:t>
      </w:r>
      <w:r w:rsidR="006F09EA">
        <w:t>7</w:t>
      </w:r>
      <w:r>
        <w:t>: Key baseline characteristics expressed as mean (range) unless otherwise stated for patients in the 5 submitted clinical studies.</w:t>
      </w:r>
      <w:bookmarkEnd w:id="142"/>
      <w:r>
        <w:t xml:space="preserve"> </w:t>
      </w:r>
    </w:p>
    <w:tbl>
      <w:tblPr>
        <w:tblStyle w:val="TableTGAblue"/>
        <w:tblW w:w="9180" w:type="dxa"/>
        <w:tblLook w:val="04A0" w:firstRow="1" w:lastRow="0" w:firstColumn="1" w:lastColumn="0" w:noHBand="0" w:noVBand="1"/>
      </w:tblPr>
      <w:tblGrid>
        <w:gridCol w:w="1669"/>
        <w:gridCol w:w="1395"/>
        <w:gridCol w:w="1397"/>
        <w:gridCol w:w="1519"/>
        <w:gridCol w:w="1397"/>
        <w:gridCol w:w="1803"/>
      </w:tblGrid>
      <w:tr w:rsidR="006D35A0" w:rsidRPr="005A3004" w14:paraId="0911A3DB" w14:textId="77777777" w:rsidTr="00125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14:paraId="4B334E3B" w14:textId="77777777" w:rsidR="006D35A0" w:rsidRPr="00F30D16" w:rsidRDefault="00F750CE" w:rsidP="0012582C">
            <w:r>
              <w:t>Parameter</w:t>
            </w:r>
          </w:p>
        </w:tc>
        <w:tc>
          <w:tcPr>
            <w:tcW w:w="1417" w:type="dxa"/>
          </w:tcPr>
          <w:p w14:paraId="0A4D180F"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GENA-01 (n=22)</w:t>
            </w:r>
          </w:p>
        </w:tc>
        <w:tc>
          <w:tcPr>
            <w:tcW w:w="1418" w:type="dxa"/>
          </w:tcPr>
          <w:p w14:paraId="4AA0BD22"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GENA-08 (n=32)</w:t>
            </w:r>
          </w:p>
        </w:tc>
        <w:tc>
          <w:tcPr>
            <w:tcW w:w="1559" w:type="dxa"/>
          </w:tcPr>
          <w:p w14:paraId="13849859"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GENA-03 (n=59)</w:t>
            </w:r>
          </w:p>
        </w:tc>
        <w:tc>
          <w:tcPr>
            <w:tcW w:w="1418" w:type="dxa"/>
          </w:tcPr>
          <w:p w14:paraId="60D53D63"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GENA-09 (n=22)</w:t>
            </w:r>
          </w:p>
        </w:tc>
        <w:tc>
          <w:tcPr>
            <w:tcW w:w="1842" w:type="dxa"/>
          </w:tcPr>
          <w:p w14:paraId="6FA0DB80"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GENA-04 (n=18) *</w:t>
            </w:r>
          </w:p>
        </w:tc>
      </w:tr>
      <w:tr w:rsidR="006D35A0" w:rsidRPr="005A3004" w14:paraId="2B9055C2"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04C7C0D5" w14:textId="77777777" w:rsidR="006D35A0" w:rsidRPr="00F30D16" w:rsidRDefault="006D35A0" w:rsidP="0012582C">
            <w:r>
              <w:t>Age [years</w:t>
            </w:r>
            <w:r w:rsidRPr="00F30D16">
              <w:t xml:space="preserve">] </w:t>
            </w:r>
          </w:p>
        </w:tc>
        <w:tc>
          <w:tcPr>
            <w:tcW w:w="1417" w:type="dxa"/>
          </w:tcPr>
          <w:p w14:paraId="6233B392"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39.6</w:t>
            </w:r>
          </w:p>
          <w:p w14:paraId="15CB4DF2" w14:textId="2D1037A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 xml:space="preserve">(12–65) </w:t>
            </w:r>
          </w:p>
        </w:tc>
        <w:tc>
          <w:tcPr>
            <w:tcW w:w="1418" w:type="dxa"/>
          </w:tcPr>
          <w:p w14:paraId="70FE6838"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37.3</w:t>
            </w:r>
          </w:p>
          <w:p w14:paraId="69E52888" w14:textId="747CC0D4"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(18–75)</w:t>
            </w:r>
          </w:p>
        </w:tc>
        <w:tc>
          <w:tcPr>
            <w:tcW w:w="1559" w:type="dxa"/>
          </w:tcPr>
          <w:p w14:paraId="3E5B6A3B"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6.1</w:t>
            </w:r>
          </w:p>
          <w:p w14:paraId="11450F37" w14:textId="6AF11910"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(2–12)</w:t>
            </w:r>
          </w:p>
        </w:tc>
        <w:tc>
          <w:tcPr>
            <w:tcW w:w="1418" w:type="dxa"/>
          </w:tcPr>
          <w:p w14:paraId="33DC4F61"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24.5</w:t>
            </w:r>
          </w:p>
          <w:p w14:paraId="4C10540D" w14:textId="5407372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(18–62)</w:t>
            </w:r>
          </w:p>
        </w:tc>
        <w:tc>
          <w:tcPr>
            <w:tcW w:w="1842" w:type="dxa"/>
          </w:tcPr>
          <w:p w14:paraId="50923683"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25.83</w:t>
            </w:r>
          </w:p>
          <w:p w14:paraId="1649E2D9" w14:textId="25DDFF2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(18–62)</w:t>
            </w:r>
          </w:p>
        </w:tc>
      </w:tr>
      <w:tr w:rsidR="006D35A0" w:rsidRPr="005A3004" w14:paraId="610BC270"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5B36AC6C" w14:textId="77777777" w:rsidR="006D35A0" w:rsidRPr="00F30D16" w:rsidRDefault="006D35A0" w:rsidP="0012582C">
            <w:r w:rsidRPr="00F30D16">
              <w:t xml:space="preserve">Height [cm] </w:t>
            </w:r>
          </w:p>
        </w:tc>
        <w:tc>
          <w:tcPr>
            <w:tcW w:w="1417" w:type="dxa"/>
          </w:tcPr>
          <w:p w14:paraId="46076BF2"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174</w:t>
            </w:r>
          </w:p>
          <w:p w14:paraId="131FF879" w14:textId="14421409"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(154-188)</w:t>
            </w:r>
          </w:p>
        </w:tc>
        <w:tc>
          <w:tcPr>
            <w:tcW w:w="1418" w:type="dxa"/>
          </w:tcPr>
          <w:p w14:paraId="317C31D7" w14:textId="3A49F3B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178 (158-192)</w:t>
            </w:r>
          </w:p>
        </w:tc>
        <w:tc>
          <w:tcPr>
            <w:tcW w:w="1559" w:type="dxa"/>
          </w:tcPr>
          <w:p w14:paraId="0F891C27"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123</w:t>
            </w:r>
          </w:p>
          <w:p w14:paraId="417E6159" w14:textId="25C4F21D"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(82-173)</w:t>
            </w:r>
          </w:p>
        </w:tc>
        <w:tc>
          <w:tcPr>
            <w:tcW w:w="1418" w:type="dxa"/>
          </w:tcPr>
          <w:p w14:paraId="033B7695"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t>178</w:t>
            </w:r>
          </w:p>
          <w:p w14:paraId="71992B1E" w14:textId="1A09C0F0"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(166-191) </w:t>
            </w:r>
          </w:p>
        </w:tc>
        <w:tc>
          <w:tcPr>
            <w:tcW w:w="1842" w:type="dxa"/>
          </w:tcPr>
          <w:p w14:paraId="1C18088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N/A</w:t>
            </w:r>
          </w:p>
        </w:tc>
      </w:tr>
      <w:tr w:rsidR="006D35A0" w:rsidRPr="005A3004" w14:paraId="11641085"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1B2F20A6" w14:textId="77777777" w:rsidR="006D35A0" w:rsidRPr="00F30D16" w:rsidRDefault="006D35A0" w:rsidP="0012582C">
            <w:r w:rsidRPr="00F30D16">
              <w:t xml:space="preserve">Weight [kg] </w:t>
            </w:r>
          </w:p>
        </w:tc>
        <w:tc>
          <w:tcPr>
            <w:tcW w:w="1417" w:type="dxa"/>
          </w:tcPr>
          <w:p w14:paraId="21CC92F8"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73</w:t>
            </w:r>
          </w:p>
          <w:p w14:paraId="12BB5DDC" w14:textId="1B40D8DF"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(46-105)</w:t>
            </w:r>
          </w:p>
        </w:tc>
        <w:tc>
          <w:tcPr>
            <w:tcW w:w="1418" w:type="dxa"/>
          </w:tcPr>
          <w:p w14:paraId="67590574"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83</w:t>
            </w:r>
          </w:p>
          <w:p w14:paraId="2F332F35" w14:textId="402F082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(47-127)</w:t>
            </w:r>
          </w:p>
        </w:tc>
        <w:tc>
          <w:tcPr>
            <w:tcW w:w="1559" w:type="dxa"/>
          </w:tcPr>
          <w:p w14:paraId="0C0419A9"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27</w:t>
            </w:r>
          </w:p>
          <w:p w14:paraId="7232C9EC" w14:textId="5D3316F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(8-73)</w:t>
            </w:r>
          </w:p>
        </w:tc>
        <w:tc>
          <w:tcPr>
            <w:tcW w:w="1418" w:type="dxa"/>
          </w:tcPr>
          <w:p w14:paraId="37D73F79"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69</w:t>
            </w:r>
          </w:p>
          <w:p w14:paraId="46A1FC48" w14:textId="14591069"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(50-105)</w:t>
            </w:r>
          </w:p>
        </w:tc>
        <w:tc>
          <w:tcPr>
            <w:tcW w:w="1842" w:type="dxa"/>
          </w:tcPr>
          <w:p w14:paraId="4DE20FEF"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73</w:t>
            </w:r>
          </w:p>
          <w:p w14:paraId="0680AC71" w14:textId="57AAC8B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(55-110)</w:t>
            </w:r>
          </w:p>
        </w:tc>
      </w:tr>
      <w:tr w:rsidR="006D35A0" w:rsidRPr="005A3004" w14:paraId="3A9F153F"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46DA6AE6" w14:textId="77777777" w:rsidR="006D35A0" w:rsidRPr="00F30D16" w:rsidRDefault="006D35A0" w:rsidP="0012582C">
            <w:r w:rsidRPr="00F30D16">
              <w:t xml:space="preserve">Race [% </w:t>
            </w:r>
            <w:r w:rsidR="00F750CE">
              <w:t>W</w:t>
            </w:r>
            <w:r w:rsidRPr="00F30D16">
              <w:t>hite]</w:t>
            </w:r>
          </w:p>
        </w:tc>
        <w:tc>
          <w:tcPr>
            <w:tcW w:w="1417" w:type="dxa"/>
          </w:tcPr>
          <w:p w14:paraId="4443D65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81.8%</w:t>
            </w:r>
          </w:p>
        </w:tc>
        <w:tc>
          <w:tcPr>
            <w:tcW w:w="1418" w:type="dxa"/>
          </w:tcPr>
          <w:p w14:paraId="7981B65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90.6%</w:t>
            </w:r>
          </w:p>
        </w:tc>
        <w:tc>
          <w:tcPr>
            <w:tcW w:w="1559" w:type="dxa"/>
          </w:tcPr>
          <w:p w14:paraId="003C39EA"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100%</w:t>
            </w:r>
          </w:p>
        </w:tc>
        <w:tc>
          <w:tcPr>
            <w:tcW w:w="1418" w:type="dxa"/>
          </w:tcPr>
          <w:p w14:paraId="21867C7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100%</w:t>
            </w:r>
          </w:p>
        </w:tc>
        <w:tc>
          <w:tcPr>
            <w:tcW w:w="1842" w:type="dxa"/>
          </w:tcPr>
          <w:p w14:paraId="3F62568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100%</w:t>
            </w:r>
          </w:p>
        </w:tc>
      </w:tr>
      <w:tr w:rsidR="006D35A0" w:rsidRPr="005A3004" w14:paraId="684E6104"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03FEEA4E" w14:textId="77777777" w:rsidR="006D35A0" w:rsidRPr="00F30D16" w:rsidRDefault="006D35A0" w:rsidP="0012582C">
            <w:r w:rsidRPr="00F30D16">
              <w:t>HJHS (gait)</w:t>
            </w:r>
          </w:p>
        </w:tc>
        <w:tc>
          <w:tcPr>
            <w:tcW w:w="1417" w:type="dxa"/>
          </w:tcPr>
          <w:p w14:paraId="6FC689C4"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1.6</w:t>
            </w:r>
          </w:p>
          <w:p w14:paraId="7F9017FD" w14:textId="748A114C"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(0-4)</w:t>
            </w:r>
          </w:p>
        </w:tc>
        <w:tc>
          <w:tcPr>
            <w:tcW w:w="1418" w:type="dxa"/>
          </w:tcPr>
          <w:p w14:paraId="4EFDCE69"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1.6</w:t>
            </w:r>
          </w:p>
          <w:p w14:paraId="3A9A9B9D" w14:textId="2EA01978"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(0-4)</w:t>
            </w:r>
          </w:p>
        </w:tc>
        <w:tc>
          <w:tcPr>
            <w:tcW w:w="1559" w:type="dxa"/>
          </w:tcPr>
          <w:p w14:paraId="4A37DDEB"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0.1</w:t>
            </w:r>
          </w:p>
          <w:p w14:paraId="2A9D545E" w14:textId="79E4665C"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(0-2)</w:t>
            </w:r>
          </w:p>
        </w:tc>
        <w:tc>
          <w:tcPr>
            <w:tcW w:w="1418" w:type="dxa"/>
          </w:tcPr>
          <w:p w14:paraId="055B9830"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2.5</w:t>
            </w:r>
          </w:p>
          <w:p w14:paraId="39A7BD9D" w14:textId="5C495C0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(0-4)</w:t>
            </w:r>
          </w:p>
        </w:tc>
        <w:tc>
          <w:tcPr>
            <w:tcW w:w="1842" w:type="dxa"/>
          </w:tcPr>
          <w:p w14:paraId="23BFB386"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2.6</w:t>
            </w:r>
          </w:p>
          <w:p w14:paraId="78AB8D08" w14:textId="25EA2CA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(0-4)</w:t>
            </w:r>
          </w:p>
        </w:tc>
      </w:tr>
      <w:tr w:rsidR="006D35A0" w:rsidRPr="005A3004" w14:paraId="747EA00A"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21ECD310" w14:textId="77777777" w:rsidR="006D35A0" w:rsidRPr="00F30D16" w:rsidRDefault="006D35A0" w:rsidP="0012582C">
            <w:r w:rsidRPr="00F30D16">
              <w:t>HJHS (total)</w:t>
            </w:r>
          </w:p>
        </w:tc>
        <w:tc>
          <w:tcPr>
            <w:tcW w:w="1417" w:type="dxa"/>
          </w:tcPr>
          <w:p w14:paraId="7BCE66C0"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38.4</w:t>
            </w:r>
          </w:p>
          <w:p w14:paraId="15674408" w14:textId="0C56DFA5"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(0-84)</w:t>
            </w:r>
          </w:p>
        </w:tc>
        <w:tc>
          <w:tcPr>
            <w:tcW w:w="1418" w:type="dxa"/>
          </w:tcPr>
          <w:p w14:paraId="59437410"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34.6</w:t>
            </w:r>
          </w:p>
          <w:p w14:paraId="47E4C424" w14:textId="3848BB3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(0-117)</w:t>
            </w:r>
          </w:p>
        </w:tc>
        <w:tc>
          <w:tcPr>
            <w:tcW w:w="1559" w:type="dxa"/>
          </w:tcPr>
          <w:p w14:paraId="25330658"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0.8</w:t>
            </w:r>
          </w:p>
          <w:p w14:paraId="3BC0773D" w14:textId="0BC87B68"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(0-11)</w:t>
            </w:r>
          </w:p>
        </w:tc>
        <w:tc>
          <w:tcPr>
            <w:tcW w:w="1418" w:type="dxa"/>
          </w:tcPr>
          <w:p w14:paraId="2B15F624"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45.3</w:t>
            </w:r>
          </w:p>
          <w:p w14:paraId="00186DCA" w14:textId="3187355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(17-82)</w:t>
            </w:r>
          </w:p>
        </w:tc>
        <w:tc>
          <w:tcPr>
            <w:tcW w:w="1842" w:type="dxa"/>
          </w:tcPr>
          <w:p w14:paraId="3831B3F4"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46.5</w:t>
            </w:r>
          </w:p>
          <w:p w14:paraId="48A81D73" w14:textId="04908B03"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(17-82)</w:t>
            </w:r>
          </w:p>
        </w:tc>
      </w:tr>
      <w:tr w:rsidR="006D35A0" w:rsidRPr="005A3004" w14:paraId="611C74B3"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38CE829D" w14:textId="77777777" w:rsidR="006D35A0" w:rsidRPr="00F30D16" w:rsidRDefault="006D35A0" w:rsidP="0012582C">
            <w:r w:rsidRPr="00F30D16">
              <w:t>FH of HA (%)</w:t>
            </w:r>
          </w:p>
        </w:tc>
        <w:tc>
          <w:tcPr>
            <w:tcW w:w="1417" w:type="dxa"/>
          </w:tcPr>
          <w:p w14:paraId="657598E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63.6%</w:t>
            </w:r>
          </w:p>
        </w:tc>
        <w:tc>
          <w:tcPr>
            <w:tcW w:w="1418" w:type="dxa"/>
          </w:tcPr>
          <w:p w14:paraId="6B78986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56.3%</w:t>
            </w:r>
          </w:p>
        </w:tc>
        <w:tc>
          <w:tcPr>
            <w:tcW w:w="1559" w:type="dxa"/>
          </w:tcPr>
          <w:p w14:paraId="0C7BC59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40.7</w:t>
            </w:r>
            <w:r>
              <w:t>%</w:t>
            </w:r>
          </w:p>
        </w:tc>
        <w:tc>
          <w:tcPr>
            <w:tcW w:w="1418" w:type="dxa"/>
          </w:tcPr>
          <w:p w14:paraId="03581CC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54.5%</w:t>
            </w:r>
          </w:p>
        </w:tc>
        <w:tc>
          <w:tcPr>
            <w:tcW w:w="1842" w:type="dxa"/>
          </w:tcPr>
          <w:p w14:paraId="6654DFD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Not Applicable</w:t>
            </w:r>
          </w:p>
        </w:tc>
      </w:tr>
      <w:tr w:rsidR="006D35A0" w:rsidRPr="005A3004" w14:paraId="6EF5D6FB" w14:textId="77777777" w:rsidTr="0012582C">
        <w:tc>
          <w:tcPr>
            <w:cnfStyle w:val="001000000000" w:firstRow="0" w:lastRow="0" w:firstColumn="1" w:lastColumn="0" w:oddVBand="0" w:evenVBand="0" w:oddHBand="0" w:evenHBand="0" w:firstRowFirstColumn="0" w:firstRowLastColumn="0" w:lastRowFirstColumn="0" w:lastRowLastColumn="0"/>
            <w:tcW w:w="1526" w:type="dxa"/>
          </w:tcPr>
          <w:p w14:paraId="1BB5F44F" w14:textId="77777777" w:rsidR="006D35A0" w:rsidRPr="00F30D16" w:rsidRDefault="006D35A0" w:rsidP="0012582C">
            <w:r w:rsidRPr="00F30D16">
              <w:t>FVIII inhibitors**</w:t>
            </w:r>
          </w:p>
        </w:tc>
        <w:tc>
          <w:tcPr>
            <w:tcW w:w="1417" w:type="dxa"/>
          </w:tcPr>
          <w:p w14:paraId="2E6A492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w:t>
            </w:r>
          </w:p>
        </w:tc>
        <w:tc>
          <w:tcPr>
            <w:tcW w:w="1418" w:type="dxa"/>
          </w:tcPr>
          <w:p w14:paraId="3E85177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w:t>
            </w:r>
          </w:p>
        </w:tc>
        <w:tc>
          <w:tcPr>
            <w:tcW w:w="1559" w:type="dxa"/>
          </w:tcPr>
          <w:p w14:paraId="12E1EFD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w:t>
            </w:r>
          </w:p>
        </w:tc>
        <w:tc>
          <w:tcPr>
            <w:tcW w:w="1418" w:type="dxa"/>
          </w:tcPr>
          <w:p w14:paraId="00BB137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w:t>
            </w:r>
          </w:p>
        </w:tc>
        <w:tc>
          <w:tcPr>
            <w:tcW w:w="1842" w:type="dxa"/>
          </w:tcPr>
          <w:p w14:paraId="23E6F94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Not Applicable</w:t>
            </w:r>
          </w:p>
        </w:tc>
      </w:tr>
    </w:tbl>
    <w:p w14:paraId="2D0A03BB" w14:textId="77777777" w:rsidR="000F04AF" w:rsidRDefault="006D35A0" w:rsidP="0012582C">
      <w:pPr>
        <w:pStyle w:val="TableDescription"/>
      </w:pPr>
      <w:r w:rsidRPr="00042F16">
        <w:t xml:space="preserve">* All </w:t>
      </w:r>
      <w:r>
        <w:t xml:space="preserve">18 </w:t>
      </w:r>
      <w:r w:rsidRPr="00042F16">
        <w:t>patients in GENA-04 participated in GENA-09</w:t>
      </w:r>
      <w:r>
        <w:t>. ** FVIII inhibitors (&lt; 0.6 BUs). FH of Haem A = Family history of haemophilia A.</w:t>
      </w:r>
    </w:p>
    <w:p w14:paraId="05BB57EE" w14:textId="77777777" w:rsidR="000F04AF" w:rsidRDefault="006D35A0" w:rsidP="001E61D4">
      <w:pPr>
        <w:pStyle w:val="Heading4"/>
      </w:pPr>
      <w:r w:rsidRPr="000B5DD3">
        <w:lastRenderedPageBreak/>
        <w:t>Prophylaxis</w:t>
      </w:r>
    </w:p>
    <w:p w14:paraId="184CBBF8" w14:textId="743DE65C" w:rsidR="006D35A0" w:rsidRDefault="006D35A0" w:rsidP="006D35A0">
      <w:r w:rsidRPr="000B5DD3">
        <w:t xml:space="preserve">The efficacy of </w:t>
      </w:r>
      <w:r>
        <w:t>routine</w:t>
      </w:r>
      <w:r w:rsidRPr="000B5DD3">
        <w:t xml:space="preserve"> prophylaxis with simoctocog alfa was assessed in two of the three pivotal studies (GENA-08 and GENA-03) and in the two supportive studies (GENA-09 and GENA-04). A total of 113 patients received prophylactic treatment with simoctocog alfa every other day, while in GENA-03 prophylaxis could also be administered to paediatric patients 3 times per week. The majority of the 113 patients were from two of the three pivotal studies GENA-08 and GENA-03 (</w:t>
      </w:r>
      <w:r w:rsidR="001865C6" w:rsidRPr="000B5DD3">
        <w:t>8</w:t>
      </w:r>
      <w:r w:rsidR="001865C6">
        <w:t>0.5</w:t>
      </w:r>
      <w:r w:rsidRPr="000B5DD3">
        <w:t>% [n=</w:t>
      </w:r>
      <w:r w:rsidR="001865C6" w:rsidRPr="000B5DD3">
        <w:t>9</w:t>
      </w:r>
      <w:r w:rsidR="001865C6">
        <w:t>1</w:t>
      </w:r>
      <w:r w:rsidRPr="000B5DD3">
        <w:t>]) with the remainder coming from the two supportive studies GENA-09 and GENA-04 (</w:t>
      </w:r>
      <w:r w:rsidR="001865C6">
        <w:t>19.5</w:t>
      </w:r>
      <w:r w:rsidRPr="000B5DD3">
        <w:t>% [n=</w:t>
      </w:r>
      <w:r w:rsidR="001865C6">
        <w:t>22</w:t>
      </w:r>
      <w:r w:rsidRPr="000B5DD3">
        <w:t>])</w:t>
      </w:r>
      <w:r>
        <w:t xml:space="preserve">. Prophylactic treatment across the </w:t>
      </w:r>
      <w:r w:rsidR="00AD03C9">
        <w:t xml:space="preserve">two pivotal </w:t>
      </w:r>
      <w:r>
        <w:t>studies with data is summarised below in Table 3</w:t>
      </w:r>
      <w:r w:rsidR="006F09EA">
        <w:t>8</w:t>
      </w:r>
      <w:r>
        <w:t>.</w:t>
      </w:r>
    </w:p>
    <w:p w14:paraId="52D3D9C2" w14:textId="04088A41" w:rsidR="006D35A0" w:rsidRDefault="006D35A0" w:rsidP="00532D2C">
      <w:pPr>
        <w:pStyle w:val="Tabletitle"/>
      </w:pPr>
      <w:bookmarkStart w:id="143" w:name="_Toc248202557"/>
      <w:proofErr w:type="gramStart"/>
      <w:r>
        <w:t xml:space="preserve">Table </w:t>
      </w:r>
      <w:r w:rsidR="000A1340">
        <w:t>3</w:t>
      </w:r>
      <w:r w:rsidR="006F09EA">
        <w:t>8</w:t>
      </w:r>
      <w:r>
        <w:t>: Summary of prophylactic treatment.</w:t>
      </w:r>
      <w:bookmarkEnd w:id="143"/>
      <w:proofErr w:type="gramEnd"/>
    </w:p>
    <w:tbl>
      <w:tblPr>
        <w:tblStyle w:val="TableTGAblue"/>
        <w:tblW w:w="9759" w:type="dxa"/>
        <w:tblLook w:val="04A0" w:firstRow="1" w:lastRow="0" w:firstColumn="1" w:lastColumn="0" w:noHBand="0" w:noVBand="1"/>
      </w:tblPr>
      <w:tblGrid>
        <w:gridCol w:w="2235"/>
        <w:gridCol w:w="1794"/>
        <w:gridCol w:w="1910"/>
        <w:gridCol w:w="1910"/>
        <w:gridCol w:w="1910"/>
      </w:tblGrid>
      <w:tr w:rsidR="006D35A0" w14:paraId="16D6BDB1" w14:textId="77777777" w:rsidTr="00532D2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35" w:type="dxa"/>
          </w:tcPr>
          <w:p w14:paraId="2455B7F4" w14:textId="77777777" w:rsidR="006D35A0" w:rsidRPr="00F30D16" w:rsidRDefault="006D35A0" w:rsidP="0012582C"/>
        </w:tc>
        <w:tc>
          <w:tcPr>
            <w:tcW w:w="1794" w:type="dxa"/>
          </w:tcPr>
          <w:p w14:paraId="077EC244"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GENA-08 (n=32) </w:t>
            </w:r>
          </w:p>
        </w:tc>
        <w:tc>
          <w:tcPr>
            <w:tcW w:w="1910" w:type="dxa"/>
          </w:tcPr>
          <w:p w14:paraId="24EF6E24"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GENA-03 (n=59) </w:t>
            </w:r>
          </w:p>
        </w:tc>
        <w:tc>
          <w:tcPr>
            <w:tcW w:w="1910" w:type="dxa"/>
          </w:tcPr>
          <w:p w14:paraId="106120D7" w14:textId="2C60F141"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GENA-09 (n=22)</w:t>
            </w:r>
          </w:p>
        </w:tc>
        <w:tc>
          <w:tcPr>
            <w:tcW w:w="1910" w:type="dxa"/>
          </w:tcPr>
          <w:p w14:paraId="79358FB3" w14:textId="01DEF4D2"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GENA-04 (n=18) </w:t>
            </w:r>
            <w:r>
              <w:t>*</w:t>
            </w:r>
          </w:p>
        </w:tc>
      </w:tr>
      <w:tr w:rsidR="006D35A0" w14:paraId="61AC054E"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4737E5EC" w14:textId="77777777" w:rsidR="006D35A0" w:rsidRPr="00F30D16" w:rsidRDefault="006D35A0" w:rsidP="0012582C">
            <w:r>
              <w:t xml:space="preserve">Administered Dose </w:t>
            </w:r>
          </w:p>
        </w:tc>
        <w:tc>
          <w:tcPr>
            <w:tcW w:w="1794" w:type="dxa"/>
          </w:tcPr>
          <w:p w14:paraId="467C788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30-40 IU/kg ever other day</w:t>
            </w:r>
          </w:p>
        </w:tc>
        <w:tc>
          <w:tcPr>
            <w:tcW w:w="1910" w:type="dxa"/>
          </w:tcPr>
          <w:p w14:paraId="3028E58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30-40 IU/kg every other day or 3x/wk</w:t>
            </w:r>
          </w:p>
        </w:tc>
        <w:tc>
          <w:tcPr>
            <w:tcW w:w="1910" w:type="dxa"/>
          </w:tcPr>
          <w:p w14:paraId="2BFA4A01" w14:textId="28EB8B4F"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30 + 5 IU/kg every other day</w:t>
            </w:r>
          </w:p>
        </w:tc>
        <w:tc>
          <w:tcPr>
            <w:tcW w:w="1910" w:type="dxa"/>
          </w:tcPr>
          <w:p w14:paraId="3BF5D9A9" w14:textId="52ABDFE8"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30 + X IU/kg every other day </w:t>
            </w:r>
          </w:p>
        </w:tc>
      </w:tr>
      <w:tr w:rsidR="006D35A0" w14:paraId="26EEC671"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F54642B" w14:textId="77777777" w:rsidR="006D35A0" w:rsidRPr="00F30D16" w:rsidRDefault="006D35A0" w:rsidP="0012582C">
            <w:r>
              <w:t xml:space="preserve">Mean Dose (range) IU/kg </w:t>
            </w:r>
          </w:p>
        </w:tc>
        <w:tc>
          <w:tcPr>
            <w:tcW w:w="1794" w:type="dxa"/>
          </w:tcPr>
          <w:p w14:paraId="03938F8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32.8 (24.0, 39.3)</w:t>
            </w:r>
          </w:p>
        </w:tc>
        <w:tc>
          <w:tcPr>
            <w:tcW w:w="1910" w:type="dxa"/>
          </w:tcPr>
          <w:p w14:paraId="4EF4FF1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38.9 (26.0, 56.7)</w:t>
            </w:r>
          </w:p>
        </w:tc>
        <w:tc>
          <w:tcPr>
            <w:tcW w:w="1910" w:type="dxa"/>
          </w:tcPr>
          <w:p w14:paraId="27EAC3D0" w14:textId="6F4C0FFE"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32.8 (27.7, 36.6)</w:t>
            </w:r>
          </w:p>
        </w:tc>
        <w:tc>
          <w:tcPr>
            <w:tcW w:w="1910" w:type="dxa"/>
          </w:tcPr>
          <w:p w14:paraId="7466CDB6" w14:textId="26B9985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34.6 (31.1, 45.3)</w:t>
            </w:r>
          </w:p>
        </w:tc>
      </w:tr>
      <w:tr w:rsidR="006D35A0" w14:paraId="5DF695A1"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313F9253" w14:textId="77777777" w:rsidR="006D35A0" w:rsidRPr="00F30D16" w:rsidRDefault="006D35A0" w:rsidP="0012582C">
            <w:r w:rsidRPr="00F30D16">
              <w:t>Number of EDs (mean±SD)</w:t>
            </w:r>
          </w:p>
        </w:tc>
        <w:tc>
          <w:tcPr>
            <w:tcW w:w="1794" w:type="dxa"/>
          </w:tcPr>
          <w:p w14:paraId="6EDD599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85.1±15.4</w:t>
            </w:r>
          </w:p>
        </w:tc>
        <w:tc>
          <w:tcPr>
            <w:tcW w:w="1910" w:type="dxa"/>
          </w:tcPr>
          <w:p w14:paraId="3CC39F3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89.8±22.33</w:t>
            </w:r>
          </w:p>
        </w:tc>
        <w:tc>
          <w:tcPr>
            <w:tcW w:w="1910" w:type="dxa"/>
          </w:tcPr>
          <w:p w14:paraId="37C10B2E" w14:textId="540E6940"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90±9.1</w:t>
            </w:r>
          </w:p>
        </w:tc>
        <w:tc>
          <w:tcPr>
            <w:tcW w:w="1910" w:type="dxa"/>
          </w:tcPr>
          <w:p w14:paraId="03D6AEA5" w14:textId="3916A31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219±6.3</w:t>
            </w:r>
          </w:p>
        </w:tc>
      </w:tr>
      <w:tr w:rsidR="006D35A0" w14:paraId="715CD16C"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57D72956" w14:textId="77777777" w:rsidR="006D35A0" w:rsidRPr="00F30D16" w:rsidRDefault="006D35A0" w:rsidP="0012582C">
            <w:r w:rsidRPr="00F30D16">
              <w:t>Patients without BE, n (%)</w:t>
            </w:r>
          </w:p>
        </w:tc>
        <w:tc>
          <w:tcPr>
            <w:tcW w:w="1794" w:type="dxa"/>
          </w:tcPr>
          <w:p w14:paraId="7459BF00"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16 (50.0%)</w:t>
            </w:r>
          </w:p>
        </w:tc>
        <w:tc>
          <w:tcPr>
            <w:tcW w:w="1910" w:type="dxa"/>
          </w:tcPr>
          <w:p w14:paraId="32015F6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27 (45.8%)</w:t>
            </w:r>
          </w:p>
        </w:tc>
        <w:tc>
          <w:tcPr>
            <w:tcW w:w="1910" w:type="dxa"/>
          </w:tcPr>
          <w:p w14:paraId="79B4FA28" w14:textId="420EF3CD"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 (36.4%)</w:t>
            </w:r>
          </w:p>
        </w:tc>
        <w:tc>
          <w:tcPr>
            <w:tcW w:w="1910" w:type="dxa"/>
          </w:tcPr>
          <w:p w14:paraId="2EEDBC48" w14:textId="347A8C0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 xml:space="preserve">10 (55.6%) </w:t>
            </w:r>
          </w:p>
        </w:tc>
      </w:tr>
      <w:tr w:rsidR="006D35A0" w14:paraId="089017DF"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0DB1014" w14:textId="77777777" w:rsidR="006D35A0" w:rsidRPr="00F30D16" w:rsidRDefault="006D35A0" w:rsidP="0012582C">
            <w:r w:rsidRPr="00F30D16">
              <w:t xml:space="preserve">Patients with ≥ 1 </w:t>
            </w:r>
            <w:proofErr w:type="gramStart"/>
            <w:r w:rsidRPr="00F30D16">
              <w:t>BE</w:t>
            </w:r>
            <w:proofErr w:type="gramEnd"/>
            <w:r w:rsidRPr="00F30D16">
              <w:t>, n (%)</w:t>
            </w:r>
          </w:p>
        </w:tc>
        <w:tc>
          <w:tcPr>
            <w:tcW w:w="1794" w:type="dxa"/>
          </w:tcPr>
          <w:p w14:paraId="3F047BD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16 (50.0%)</w:t>
            </w:r>
          </w:p>
        </w:tc>
        <w:tc>
          <w:tcPr>
            <w:tcW w:w="1910" w:type="dxa"/>
          </w:tcPr>
          <w:p w14:paraId="2A10109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32 (54.2%)</w:t>
            </w:r>
          </w:p>
        </w:tc>
        <w:tc>
          <w:tcPr>
            <w:tcW w:w="1910" w:type="dxa"/>
          </w:tcPr>
          <w:p w14:paraId="45596C1D" w14:textId="0191E3D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14 (63.6%)</w:t>
            </w:r>
          </w:p>
        </w:tc>
        <w:tc>
          <w:tcPr>
            <w:tcW w:w="1910" w:type="dxa"/>
          </w:tcPr>
          <w:p w14:paraId="129566A9" w14:textId="5C59F17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 xml:space="preserve">8 (44.4%) </w:t>
            </w:r>
          </w:p>
        </w:tc>
      </w:tr>
      <w:tr w:rsidR="006D35A0" w14:paraId="59F34833"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AF07B83" w14:textId="77777777" w:rsidR="006D35A0" w:rsidRPr="00F30D16" w:rsidRDefault="006D35A0" w:rsidP="0012582C">
            <w:r w:rsidRPr="00F30D16">
              <w:t>Spontaneous BEs/month</w:t>
            </w:r>
          </w:p>
        </w:tc>
        <w:tc>
          <w:tcPr>
            <w:tcW w:w="1794" w:type="dxa"/>
          </w:tcPr>
          <w:p w14:paraId="16BF1E9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0.095 (range: 0, 0.71)</w:t>
            </w:r>
          </w:p>
        </w:tc>
        <w:tc>
          <w:tcPr>
            <w:tcW w:w="1910" w:type="dxa"/>
          </w:tcPr>
          <w:p w14:paraId="3D05641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0.123 (range: 0, 1.13)</w:t>
            </w:r>
          </w:p>
        </w:tc>
        <w:tc>
          <w:tcPr>
            <w:tcW w:w="1910" w:type="dxa"/>
          </w:tcPr>
          <w:p w14:paraId="12DCB885" w14:textId="54DE4EA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0.24 (range: 0, 1.44)</w:t>
            </w:r>
          </w:p>
        </w:tc>
        <w:tc>
          <w:tcPr>
            <w:tcW w:w="1910" w:type="dxa"/>
          </w:tcPr>
          <w:p w14:paraId="389F7FB6" w14:textId="6F7C2233"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0.11 (range: 0.1, 0.86)</w:t>
            </w:r>
          </w:p>
        </w:tc>
      </w:tr>
      <w:tr w:rsidR="006D35A0" w14:paraId="247E00C4"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6525B99F" w14:textId="77777777" w:rsidR="006D35A0" w:rsidRPr="00F30D16" w:rsidRDefault="006D35A0" w:rsidP="0012582C">
            <w:r w:rsidRPr="00F30D16">
              <w:t xml:space="preserve">Traumatic BEs/Month </w:t>
            </w:r>
          </w:p>
        </w:tc>
        <w:tc>
          <w:tcPr>
            <w:tcW w:w="1794" w:type="dxa"/>
          </w:tcPr>
          <w:p w14:paraId="734EF49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0.082 (range: 0, 0.68)</w:t>
            </w:r>
          </w:p>
        </w:tc>
        <w:tc>
          <w:tcPr>
            <w:tcW w:w="1910" w:type="dxa"/>
          </w:tcPr>
          <w:p w14:paraId="3709E094"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0.192 (range: 0, 1.53)</w:t>
            </w:r>
          </w:p>
        </w:tc>
        <w:tc>
          <w:tcPr>
            <w:tcW w:w="1910" w:type="dxa"/>
          </w:tcPr>
          <w:p w14:paraId="10F96FB3" w14:textId="0CC506C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 xml:space="preserve">0.093 (range:0, 0.48) </w:t>
            </w:r>
          </w:p>
        </w:tc>
        <w:tc>
          <w:tcPr>
            <w:tcW w:w="1910" w:type="dxa"/>
          </w:tcPr>
          <w:p w14:paraId="4C3EE903" w14:textId="0838F96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Not Available **</w:t>
            </w:r>
          </w:p>
        </w:tc>
      </w:tr>
      <w:tr w:rsidR="006D35A0" w14:paraId="1B63A713" w14:textId="77777777" w:rsidTr="00532D2C">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0F02F88" w14:textId="77777777" w:rsidR="006D35A0" w:rsidRPr="00F30D16" w:rsidRDefault="006D35A0" w:rsidP="0012582C">
            <w:r w:rsidRPr="00F30D16">
              <w:t xml:space="preserve">All BEs/month </w:t>
            </w:r>
          </w:p>
        </w:tc>
        <w:tc>
          <w:tcPr>
            <w:tcW w:w="1794" w:type="dxa"/>
          </w:tcPr>
          <w:p w14:paraId="695C1D1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0.188 (range: 0, 1.21)</w:t>
            </w:r>
          </w:p>
        </w:tc>
        <w:tc>
          <w:tcPr>
            <w:tcW w:w="1910" w:type="dxa"/>
          </w:tcPr>
          <w:p w14:paraId="0DD4ED6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0.338 (range: 0, 1.70)</w:t>
            </w:r>
          </w:p>
        </w:tc>
        <w:tc>
          <w:tcPr>
            <w:tcW w:w="1910" w:type="dxa"/>
          </w:tcPr>
          <w:p w14:paraId="3CA42710" w14:textId="7DA23E75"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0.345 (range:0, 1.76)</w:t>
            </w:r>
          </w:p>
        </w:tc>
        <w:tc>
          <w:tcPr>
            <w:tcW w:w="1910" w:type="dxa"/>
          </w:tcPr>
          <w:p w14:paraId="007B75D2" w14:textId="36CFDCCD" w:rsidR="006D35A0" w:rsidRPr="00F30D16" w:rsidRDefault="0012582C" w:rsidP="0012582C">
            <w:pPr>
              <w:cnfStyle w:val="000000000000" w:firstRow="0" w:lastRow="0" w:firstColumn="0" w:lastColumn="0" w:oddVBand="0" w:evenVBand="0" w:oddHBand="0" w:evenHBand="0" w:firstRowFirstColumn="0" w:firstRowLastColumn="0" w:lastRowFirstColumn="0" w:lastRowLastColumn="0"/>
            </w:pPr>
            <w:r>
              <w:t xml:space="preserve">Not Available </w:t>
            </w:r>
            <w:r w:rsidR="006D35A0">
              <w:t>**</w:t>
            </w:r>
          </w:p>
        </w:tc>
      </w:tr>
    </w:tbl>
    <w:p w14:paraId="5F1A00EE" w14:textId="77777777" w:rsidR="000F04AF" w:rsidRDefault="006D35A0" w:rsidP="0012582C">
      <w:pPr>
        <w:pStyle w:val="TableDescription"/>
      </w:pPr>
      <w:r w:rsidRPr="009371E4">
        <w:t xml:space="preserve">Notes: </w:t>
      </w:r>
      <w:r>
        <w:t xml:space="preserve">* </w:t>
      </w:r>
      <w:r w:rsidRPr="009371E4">
        <w:t xml:space="preserve">All patients in GENA-04 also </w:t>
      </w:r>
      <w:r>
        <w:t>participated</w:t>
      </w:r>
      <w:r w:rsidRPr="009371E4">
        <w:t xml:space="preserve"> in GENA-09. </w:t>
      </w:r>
      <w:r>
        <w:t xml:space="preserve">** Only 1 traumatic </w:t>
      </w:r>
      <w:proofErr w:type="gramStart"/>
      <w:r>
        <w:t>BE</w:t>
      </w:r>
      <w:proofErr w:type="gramEnd"/>
      <w:r>
        <w:t xml:space="preserve"> occurred in this study. GENA-08, BEs were ass</w:t>
      </w:r>
      <w:r w:rsidRPr="009371E4">
        <w:t>es</w:t>
      </w:r>
      <w:r>
        <w:t>s</w:t>
      </w:r>
      <w:r w:rsidRPr="009371E4">
        <w:t>ed betwe</w:t>
      </w:r>
      <w:r>
        <w:t>e</w:t>
      </w:r>
      <w:r w:rsidRPr="009371E4">
        <w:t>n visit 1 and study comp</w:t>
      </w:r>
      <w:r>
        <w:t>l</w:t>
      </w:r>
      <w:r w:rsidRPr="009371E4">
        <w:t>etion visit.</w:t>
      </w:r>
      <w:r>
        <w:t xml:space="preserve"> </w:t>
      </w:r>
      <w:r w:rsidRPr="009371E4">
        <w:t>GENA-03 and GENA-09, BEs assessed between start and end of prophylactic treatment phase. GENA-04, spontaneous BES between the start and the end of the prophylactic treatment phase (only one traumatic BE occurred in this study).</w:t>
      </w:r>
    </w:p>
    <w:p w14:paraId="1057E601" w14:textId="77777777" w:rsidR="000F04AF" w:rsidRDefault="006D35A0" w:rsidP="006D35A0">
      <w:r w:rsidRPr="000B5DD3">
        <w:t xml:space="preserve">The mean number of EDs ranged from </w:t>
      </w:r>
      <w:r>
        <w:t xml:space="preserve">approximately </w:t>
      </w:r>
      <w:r w:rsidRPr="000B5DD3">
        <w:t>85 to 90 across GENA-08, GENA-03, and GENA-09, while the mean number of EDs for GENA-04 was 219 (see Table 3</w:t>
      </w:r>
      <w:r w:rsidR="006F09EA">
        <w:t>8</w:t>
      </w:r>
      <w:r w:rsidRPr="000B5DD3">
        <w:t xml:space="preserve"> </w:t>
      </w:r>
      <w:r>
        <w:t>above</w:t>
      </w:r>
      <w:r w:rsidRPr="000B5DD3">
        <w:t xml:space="preserve">). The percentage of patients experiencing BEs while on prophylaxis ranged from 44% to 64%, and was highest in GENA-09 followed by GENA-03. The sponsor comments that the relatively high number of BEs in GENA-09 might be attributed to pre-existing severe joint damage due to </w:t>
      </w:r>
      <w:r w:rsidRPr="000B5DD3">
        <w:lastRenderedPageBreak/>
        <w:t>inadequate previous treatment of the adult patients in this study, whereas in GENA-03 the relatively high number of BEs might be due to an increased risk of accidents or falls in the paediatric patients in this study. In addition, it is possible that the lower potency of vials used in GENA-09 may have contributed to higher BE rates. The sponsor’s explanations for the findings in GENA-09 and GENA-03 are not unreasonable. Of note, the BE/month rate of the end of the prophylactic treatment phase in GENA-04 was 54% lower compared with the corresponding rate in GENA-09. This suggests that long-term prophylactic treatment with simoctocog alfa is efficacious in patients with severe haemophilia, including those with severe joint damage.</w:t>
      </w:r>
    </w:p>
    <w:p w14:paraId="2D29DA65" w14:textId="77777777" w:rsidR="000F04AF" w:rsidRDefault="006D35A0" w:rsidP="006D35A0">
      <w:pPr>
        <w:widowControl w:val="0"/>
        <w:autoSpaceDE w:val="0"/>
        <w:autoSpaceDN w:val="0"/>
        <w:adjustRightInd w:val="0"/>
      </w:pPr>
      <w:r w:rsidRPr="000B5DD3">
        <w:t xml:space="preserve">The overall efficacy of prophylactic treatment with simoctocog alfa was based on the objective criteria of the monthly BE rate. The sponsor comments that this is a more stringent </w:t>
      </w:r>
      <w:proofErr w:type="gramStart"/>
      <w:r w:rsidRPr="000B5DD3">
        <w:t>criteria</w:t>
      </w:r>
      <w:proofErr w:type="gramEnd"/>
      <w:r w:rsidRPr="000B5DD3">
        <w:t xml:space="preserve"> than subjective criteria based on an individual investigator's assessment of his or her patient. In all four studies, a substantial majority of patients achieved excellent efficacy ratings (BE &lt; 0.75) for all BEs and for spontaneous BEs. The efficacy ratings for the three clinical studies with data for </w:t>
      </w:r>
      <w:r w:rsidRPr="000B5DD3">
        <w:rPr>
          <w:b/>
        </w:rPr>
        <w:t xml:space="preserve">all </w:t>
      </w:r>
      <w:r w:rsidRPr="000B5DD3">
        <w:t xml:space="preserve">BEs at the end of the study are summarised below in Table </w:t>
      </w:r>
      <w:r w:rsidR="006F09EA">
        <w:t>39</w:t>
      </w:r>
      <w:r w:rsidRPr="000B5DD3">
        <w:t>.</w:t>
      </w:r>
    </w:p>
    <w:p w14:paraId="193134D3" w14:textId="171F7721" w:rsidR="006D35A0" w:rsidRDefault="006D35A0" w:rsidP="003E5BA5">
      <w:pPr>
        <w:pStyle w:val="Tabletitle"/>
      </w:pPr>
      <w:bookmarkStart w:id="144" w:name="_Toc248202558"/>
      <w:proofErr w:type="gramStart"/>
      <w:r>
        <w:t xml:space="preserve">Table </w:t>
      </w:r>
      <w:r w:rsidR="006F09EA">
        <w:t>39</w:t>
      </w:r>
      <w:r>
        <w:t>: Efficacy of prophylactic treatment for ALL BEs.</w:t>
      </w:r>
      <w:bookmarkEnd w:id="144"/>
      <w:proofErr w:type="gramEnd"/>
      <w:r>
        <w:t xml:space="preserve"> </w:t>
      </w:r>
    </w:p>
    <w:tbl>
      <w:tblPr>
        <w:tblStyle w:val="TableTGAblue"/>
        <w:tblW w:w="7849" w:type="dxa"/>
        <w:tblLook w:val="04A0" w:firstRow="1" w:lastRow="0" w:firstColumn="1" w:lastColumn="0" w:noHBand="0" w:noVBand="1"/>
      </w:tblPr>
      <w:tblGrid>
        <w:gridCol w:w="2235"/>
        <w:gridCol w:w="1794"/>
        <w:gridCol w:w="1910"/>
        <w:gridCol w:w="1910"/>
      </w:tblGrid>
      <w:tr w:rsidR="006D35A0" w14:paraId="39F9EC06" w14:textId="77777777" w:rsidTr="0012582C">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2235" w:type="dxa"/>
          </w:tcPr>
          <w:p w14:paraId="0FC445A4" w14:textId="77777777" w:rsidR="006D35A0" w:rsidRPr="00F30D16" w:rsidRDefault="006D35A0" w:rsidP="0012582C">
            <w:r>
              <w:t xml:space="preserve">Monthly BE rate </w:t>
            </w:r>
            <w:r w:rsidRPr="00F30D16">
              <w:t xml:space="preserve"> </w:t>
            </w:r>
          </w:p>
        </w:tc>
        <w:tc>
          <w:tcPr>
            <w:tcW w:w="1794" w:type="dxa"/>
          </w:tcPr>
          <w:p w14:paraId="77B066E3"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GENA-08 (n=32) </w:t>
            </w:r>
          </w:p>
        </w:tc>
        <w:tc>
          <w:tcPr>
            <w:tcW w:w="1910" w:type="dxa"/>
          </w:tcPr>
          <w:p w14:paraId="45680927"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GENA-03 (n=59) </w:t>
            </w:r>
          </w:p>
        </w:tc>
        <w:tc>
          <w:tcPr>
            <w:tcW w:w="1910" w:type="dxa"/>
          </w:tcPr>
          <w:p w14:paraId="4333EC38" w14:textId="021630A1"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GENA-09 (n=22)</w:t>
            </w:r>
          </w:p>
        </w:tc>
      </w:tr>
      <w:tr w:rsidR="006D35A0" w14:paraId="24F5B133" w14:textId="77777777" w:rsidTr="003E5BA5">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43E06730" w14:textId="77777777" w:rsidR="006D35A0" w:rsidRPr="00F30D16" w:rsidRDefault="006D35A0" w:rsidP="0012582C">
            <w:r w:rsidRPr="00F30D16">
              <w:t>Excellent (&lt; 0.75)</w:t>
            </w:r>
          </w:p>
        </w:tc>
        <w:tc>
          <w:tcPr>
            <w:tcW w:w="1794" w:type="dxa"/>
          </w:tcPr>
          <w:p w14:paraId="12E3817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29 (90.6%)</w:t>
            </w:r>
          </w:p>
        </w:tc>
        <w:tc>
          <w:tcPr>
            <w:tcW w:w="1910" w:type="dxa"/>
          </w:tcPr>
          <w:p w14:paraId="3CE9A03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49 (83.1%)</w:t>
            </w:r>
          </w:p>
        </w:tc>
        <w:tc>
          <w:tcPr>
            <w:tcW w:w="1910" w:type="dxa"/>
          </w:tcPr>
          <w:p w14:paraId="69B37754" w14:textId="2854469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18 (81.8%)</w:t>
            </w:r>
          </w:p>
        </w:tc>
      </w:tr>
      <w:tr w:rsidR="006D35A0" w14:paraId="225F7B1D" w14:textId="77777777" w:rsidTr="003E5BA5">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009BC9A6" w14:textId="77777777" w:rsidR="006D35A0" w:rsidRPr="00F30D16" w:rsidRDefault="006D35A0" w:rsidP="0012582C">
            <w:r w:rsidRPr="00F30D16">
              <w:t>Good (0.75 - 1.0)</w:t>
            </w:r>
          </w:p>
        </w:tc>
        <w:tc>
          <w:tcPr>
            <w:tcW w:w="1794" w:type="dxa"/>
          </w:tcPr>
          <w:p w14:paraId="739389C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 (6.3%)</w:t>
            </w:r>
          </w:p>
        </w:tc>
        <w:tc>
          <w:tcPr>
            <w:tcW w:w="1910" w:type="dxa"/>
          </w:tcPr>
          <w:p w14:paraId="7E1A1C3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5 (8.5%)</w:t>
            </w:r>
          </w:p>
        </w:tc>
        <w:tc>
          <w:tcPr>
            <w:tcW w:w="1910" w:type="dxa"/>
          </w:tcPr>
          <w:p w14:paraId="4AB87B50" w14:textId="4424C7E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1 (4.5%)</w:t>
            </w:r>
          </w:p>
        </w:tc>
      </w:tr>
      <w:tr w:rsidR="006D35A0" w14:paraId="469CED68" w14:textId="77777777" w:rsidTr="003E5BA5">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4402D336" w14:textId="77777777" w:rsidR="006D35A0" w:rsidRPr="00F30D16" w:rsidRDefault="006D35A0" w:rsidP="0012582C">
            <w:r w:rsidRPr="00F30D16">
              <w:t>Moderate (&gt;1.0 - 1.5)</w:t>
            </w:r>
          </w:p>
        </w:tc>
        <w:tc>
          <w:tcPr>
            <w:tcW w:w="1794" w:type="dxa"/>
          </w:tcPr>
          <w:p w14:paraId="3B6DA9F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1 (3.1%) </w:t>
            </w:r>
          </w:p>
        </w:tc>
        <w:tc>
          <w:tcPr>
            <w:tcW w:w="1910" w:type="dxa"/>
          </w:tcPr>
          <w:p w14:paraId="791F33E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 (5.1%)</w:t>
            </w:r>
          </w:p>
        </w:tc>
        <w:tc>
          <w:tcPr>
            <w:tcW w:w="1910" w:type="dxa"/>
          </w:tcPr>
          <w:p w14:paraId="3D176C27" w14:textId="5214D5FC"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 (9.1%)</w:t>
            </w:r>
          </w:p>
        </w:tc>
      </w:tr>
      <w:tr w:rsidR="006D35A0" w14:paraId="7F97ADAD" w14:textId="77777777" w:rsidTr="003E5BA5">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0D4C9570" w14:textId="77777777" w:rsidR="006D35A0" w:rsidRPr="00F30D16" w:rsidRDefault="006D35A0" w:rsidP="0012582C">
            <w:r w:rsidRPr="00F30D16">
              <w:t>Poor (&gt;1.5)</w:t>
            </w:r>
          </w:p>
        </w:tc>
        <w:tc>
          <w:tcPr>
            <w:tcW w:w="1794" w:type="dxa"/>
          </w:tcPr>
          <w:p w14:paraId="4E0D975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910" w:type="dxa"/>
          </w:tcPr>
          <w:p w14:paraId="7A72F004"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 (3.4%)</w:t>
            </w:r>
          </w:p>
        </w:tc>
        <w:tc>
          <w:tcPr>
            <w:tcW w:w="1910" w:type="dxa"/>
          </w:tcPr>
          <w:p w14:paraId="266EB161" w14:textId="0B8AD18F" w:rsidR="006D35A0" w:rsidRPr="00F30D16" w:rsidRDefault="0012582C" w:rsidP="0012582C">
            <w:pPr>
              <w:cnfStyle w:val="000000000000" w:firstRow="0" w:lastRow="0" w:firstColumn="0" w:lastColumn="0" w:oddVBand="0" w:evenVBand="0" w:oddHBand="0" w:evenHBand="0" w:firstRowFirstColumn="0" w:firstRowLastColumn="0" w:lastRowFirstColumn="0" w:lastRowLastColumn="0"/>
            </w:pPr>
            <w:r>
              <w:t>1 (4.5%)</w:t>
            </w:r>
          </w:p>
        </w:tc>
      </w:tr>
    </w:tbl>
    <w:p w14:paraId="78EEC513" w14:textId="019F2562" w:rsidR="006D35A0" w:rsidRDefault="006D35A0" w:rsidP="009529C0">
      <w:r w:rsidRPr="00E864BD">
        <w:t xml:space="preserve">The efficacy ratings for the </w:t>
      </w:r>
      <w:r>
        <w:t xml:space="preserve">four </w:t>
      </w:r>
      <w:r w:rsidRPr="00E864BD">
        <w:t xml:space="preserve">clinical studies </w:t>
      </w:r>
      <w:r>
        <w:t xml:space="preserve">for </w:t>
      </w:r>
      <w:r w:rsidRPr="000334EA">
        <w:rPr>
          <w:b/>
        </w:rPr>
        <w:t>spontaneous</w:t>
      </w:r>
      <w:r>
        <w:t xml:space="preserve"> BEs at the end of the study </w:t>
      </w:r>
      <w:r w:rsidRPr="00E864BD">
        <w:t xml:space="preserve">are summarised below in Table </w:t>
      </w:r>
      <w:r>
        <w:t>4</w:t>
      </w:r>
      <w:r w:rsidR="006F09EA">
        <w:t>0</w:t>
      </w:r>
      <w:r>
        <w:t>.</w:t>
      </w:r>
    </w:p>
    <w:p w14:paraId="7B0B5439" w14:textId="679601AF" w:rsidR="006D35A0" w:rsidRDefault="006D35A0" w:rsidP="003E5BA5">
      <w:pPr>
        <w:pStyle w:val="Tabletitle"/>
      </w:pPr>
      <w:bookmarkStart w:id="145" w:name="_Toc248202559"/>
      <w:r w:rsidRPr="003E5BA5">
        <w:t xml:space="preserve">Table </w:t>
      </w:r>
      <w:r w:rsidR="000A1340">
        <w:t>4</w:t>
      </w:r>
      <w:r w:rsidR="006F09EA">
        <w:t>0</w:t>
      </w:r>
      <w:r w:rsidRPr="003E5BA5">
        <w:t>: Efficacy of prophylactic treatment for SPONTANEOUS BEs*.</w:t>
      </w:r>
      <w:bookmarkEnd w:id="145"/>
    </w:p>
    <w:tbl>
      <w:tblPr>
        <w:tblStyle w:val="TableTGAblue"/>
        <w:tblW w:w="9039" w:type="dxa"/>
        <w:tblLook w:val="04A0" w:firstRow="1" w:lastRow="0" w:firstColumn="1" w:lastColumn="0" w:noHBand="0" w:noVBand="1"/>
      </w:tblPr>
      <w:tblGrid>
        <w:gridCol w:w="2235"/>
        <w:gridCol w:w="1559"/>
        <w:gridCol w:w="1701"/>
        <w:gridCol w:w="1843"/>
        <w:gridCol w:w="1701"/>
      </w:tblGrid>
      <w:tr w:rsidR="006D35A0" w14:paraId="08D59243" w14:textId="77777777" w:rsidTr="0012582C">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2235" w:type="dxa"/>
          </w:tcPr>
          <w:p w14:paraId="7CAB0551" w14:textId="77777777" w:rsidR="006D35A0" w:rsidRPr="00F30D16" w:rsidRDefault="006D35A0" w:rsidP="0012582C">
            <w:r>
              <w:t xml:space="preserve">Monthly BE rate </w:t>
            </w:r>
            <w:r w:rsidRPr="00F30D16">
              <w:t xml:space="preserve"> </w:t>
            </w:r>
          </w:p>
        </w:tc>
        <w:tc>
          <w:tcPr>
            <w:tcW w:w="1559" w:type="dxa"/>
          </w:tcPr>
          <w:p w14:paraId="47F7E2F2"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GENA-08 (n=32) </w:t>
            </w:r>
          </w:p>
        </w:tc>
        <w:tc>
          <w:tcPr>
            <w:tcW w:w="1701" w:type="dxa"/>
          </w:tcPr>
          <w:p w14:paraId="0BCA34C2"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GENA-03 (n=59) </w:t>
            </w:r>
          </w:p>
        </w:tc>
        <w:tc>
          <w:tcPr>
            <w:tcW w:w="1843" w:type="dxa"/>
          </w:tcPr>
          <w:p w14:paraId="6756BDF5" w14:textId="6D34EBEC"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GENA-09 (n=22)</w:t>
            </w:r>
          </w:p>
        </w:tc>
        <w:tc>
          <w:tcPr>
            <w:tcW w:w="1701" w:type="dxa"/>
          </w:tcPr>
          <w:p w14:paraId="05C244C9" w14:textId="69128359"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GENA-04 (n=18) *  </w:t>
            </w:r>
          </w:p>
        </w:tc>
      </w:tr>
      <w:tr w:rsidR="006D35A0" w14:paraId="15A932E7" w14:textId="77777777" w:rsidTr="001E61D4">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0458D382" w14:textId="77777777" w:rsidR="006D35A0" w:rsidRPr="00F30D16" w:rsidRDefault="006D35A0" w:rsidP="0012582C">
            <w:r w:rsidRPr="00F30D16">
              <w:t>Excellent (&lt; 0.75)</w:t>
            </w:r>
          </w:p>
        </w:tc>
        <w:tc>
          <w:tcPr>
            <w:tcW w:w="1559" w:type="dxa"/>
          </w:tcPr>
          <w:p w14:paraId="5EB6DA6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32 (100.0%)</w:t>
            </w:r>
          </w:p>
        </w:tc>
        <w:tc>
          <w:tcPr>
            <w:tcW w:w="1701" w:type="dxa"/>
          </w:tcPr>
          <w:p w14:paraId="27E643E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56 (94.9%)</w:t>
            </w:r>
          </w:p>
        </w:tc>
        <w:tc>
          <w:tcPr>
            <w:tcW w:w="1843" w:type="dxa"/>
          </w:tcPr>
          <w:p w14:paraId="47C84A50" w14:textId="224BAC3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18 (81.8%)</w:t>
            </w:r>
          </w:p>
        </w:tc>
        <w:tc>
          <w:tcPr>
            <w:tcW w:w="1701" w:type="dxa"/>
          </w:tcPr>
          <w:p w14:paraId="69D7C4E3" w14:textId="0645D70F"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 (94.9%)</w:t>
            </w:r>
          </w:p>
        </w:tc>
      </w:tr>
      <w:tr w:rsidR="006D35A0" w14:paraId="76FDB50C" w14:textId="77777777" w:rsidTr="001E61D4">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71273C1" w14:textId="77777777" w:rsidR="006D35A0" w:rsidRPr="00F30D16" w:rsidRDefault="006D35A0" w:rsidP="0012582C">
            <w:r w:rsidRPr="00F30D16">
              <w:t>Good (0.75 - 1.0)</w:t>
            </w:r>
          </w:p>
        </w:tc>
        <w:tc>
          <w:tcPr>
            <w:tcW w:w="1559" w:type="dxa"/>
          </w:tcPr>
          <w:p w14:paraId="39EF708E"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1BDCF54"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1 (1.7%)</w:t>
            </w:r>
          </w:p>
        </w:tc>
        <w:tc>
          <w:tcPr>
            <w:tcW w:w="1843" w:type="dxa"/>
          </w:tcPr>
          <w:p w14:paraId="59C797E4" w14:textId="4C1B11B3"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2 (9.1%) </w:t>
            </w:r>
          </w:p>
        </w:tc>
        <w:tc>
          <w:tcPr>
            <w:tcW w:w="1701" w:type="dxa"/>
          </w:tcPr>
          <w:p w14:paraId="591ADF84" w14:textId="4058193D"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 (5.8%)</w:t>
            </w:r>
          </w:p>
        </w:tc>
      </w:tr>
      <w:tr w:rsidR="006D35A0" w14:paraId="207DD8E7" w14:textId="77777777" w:rsidTr="001E61D4">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7E17955A" w14:textId="77777777" w:rsidR="006D35A0" w:rsidRPr="00F30D16" w:rsidRDefault="006D35A0" w:rsidP="0012582C">
            <w:r w:rsidRPr="00F30D16">
              <w:t>Moderate (&gt;1.0 - 1.5)</w:t>
            </w:r>
          </w:p>
        </w:tc>
        <w:tc>
          <w:tcPr>
            <w:tcW w:w="1559" w:type="dxa"/>
          </w:tcPr>
          <w:p w14:paraId="69C9919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4E3E78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 (3.4%)</w:t>
            </w:r>
          </w:p>
        </w:tc>
        <w:tc>
          <w:tcPr>
            <w:tcW w:w="1843" w:type="dxa"/>
          </w:tcPr>
          <w:p w14:paraId="66355E42" w14:textId="4582D7B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2 (9.1%) </w:t>
            </w:r>
          </w:p>
        </w:tc>
        <w:tc>
          <w:tcPr>
            <w:tcW w:w="1701" w:type="dxa"/>
          </w:tcPr>
          <w:p w14:paraId="286E09E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r>
      <w:tr w:rsidR="006D35A0" w14:paraId="68E2413A" w14:textId="77777777" w:rsidTr="001E61D4">
        <w:trPr>
          <w:trHeight w:val="220"/>
        </w:trPr>
        <w:tc>
          <w:tcPr>
            <w:cnfStyle w:val="001000000000" w:firstRow="0" w:lastRow="0" w:firstColumn="1" w:lastColumn="0" w:oddVBand="0" w:evenVBand="0" w:oddHBand="0" w:evenHBand="0" w:firstRowFirstColumn="0" w:firstRowLastColumn="0" w:lastRowFirstColumn="0" w:lastRowLastColumn="0"/>
            <w:tcW w:w="2235" w:type="dxa"/>
          </w:tcPr>
          <w:p w14:paraId="16F6D96E" w14:textId="77777777" w:rsidR="006D35A0" w:rsidRPr="00F30D16" w:rsidRDefault="006D35A0" w:rsidP="0012582C">
            <w:r w:rsidRPr="00F30D16">
              <w:t>Poor (&gt;1.5)</w:t>
            </w:r>
          </w:p>
        </w:tc>
        <w:tc>
          <w:tcPr>
            <w:tcW w:w="1559" w:type="dxa"/>
          </w:tcPr>
          <w:p w14:paraId="17001DB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A7FC2C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w:t>
            </w:r>
          </w:p>
        </w:tc>
        <w:tc>
          <w:tcPr>
            <w:tcW w:w="1843" w:type="dxa"/>
          </w:tcPr>
          <w:p w14:paraId="12601DF8" w14:textId="47998F1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C6A664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r>
    </w:tbl>
    <w:p w14:paraId="1DEF242B" w14:textId="77777777" w:rsidR="000F04AF" w:rsidRDefault="006D35A0" w:rsidP="0012582C">
      <w:pPr>
        <w:pStyle w:val="TableDescription"/>
      </w:pPr>
      <w:r>
        <w:t xml:space="preserve">* </w:t>
      </w:r>
      <w:r w:rsidRPr="009371E4">
        <w:t>All these patient</w:t>
      </w:r>
      <w:r>
        <w:t>s also participated in GENA-09, and data relate to spontaneous bleeds only for this study).</w:t>
      </w:r>
    </w:p>
    <w:p w14:paraId="09880BA5" w14:textId="39AC3161" w:rsidR="00BE3AD8" w:rsidRPr="00F81715" w:rsidRDefault="006D35A0" w:rsidP="00F81715">
      <w:pPr>
        <w:widowControl w:val="0"/>
        <w:autoSpaceDE w:val="0"/>
        <w:autoSpaceDN w:val="0"/>
        <w:adjustRightInd w:val="0"/>
      </w:pPr>
      <w:r w:rsidRPr="007A25BD">
        <w:t>The dose of simoctocog</w:t>
      </w:r>
      <w:r w:rsidR="00597AE7">
        <w:t xml:space="preserve"> alfa</w:t>
      </w:r>
      <w:r w:rsidRPr="007A25BD">
        <w:t xml:space="preserve"> for routine prophylaxis was 30 to 40 IU/kg for both children and adults in the </w:t>
      </w:r>
      <w:r>
        <w:t xml:space="preserve">two </w:t>
      </w:r>
      <w:r w:rsidRPr="007A25BD">
        <w:t xml:space="preserve">pivotal studies (GENA-08, GENA-03), and was administered every second day in adults and children with the option to administer the product three times a week in children. However, the sponsor is proposing a lower dose for prophylaxis of 20 to 40 IU/kg at intervals of </w:t>
      </w:r>
      <w:r w:rsidRPr="007A25BD">
        <w:lastRenderedPageBreak/>
        <w:t>2 to 3 days for both children and adults (</w:t>
      </w:r>
      <w:r w:rsidRPr="007A25BD">
        <w:rPr>
          <w:i/>
        </w:rPr>
        <w:t>Dosage and Administration,</w:t>
      </w:r>
      <w:r w:rsidRPr="007A25BD">
        <w:t xml:space="preserve"> PI). The sponsor comments that shorter dosage intervals or higher doses may be necessary in some patients, "especially in younger patients". </w:t>
      </w:r>
      <w:r>
        <w:t xml:space="preserve">In addition, the sponsor advises that FVIII levels should be determined during the course of treatment to guide the dose to be administered and the frequency of repeated infusions. </w:t>
      </w:r>
      <w:r w:rsidRPr="007A25BD">
        <w:t xml:space="preserve">It is unclear why the sponsor is proposing a dose for prophylaxis that differs from that used in the pivotal studies. </w:t>
      </w:r>
      <w:r>
        <w:t xml:space="preserve">The mean dose used in adults for prophylaxis in GENA-08 was 32.8 IU/kg (range: 24.0, 39.3), and the mean dose used in children for prophylaxis in GENA-03 was 38.9 IU/kg (range: 26.0, 56.7). </w:t>
      </w:r>
      <w:r w:rsidRPr="007A25BD">
        <w:t xml:space="preserve">The sponsor will be asked to comment on this matter in the s31 response to the questions arising from the first round evaluation of the submission. </w:t>
      </w:r>
      <w:r w:rsidR="00712D0F" w:rsidRPr="00643E85">
        <w:rPr>
          <w:rFonts w:asciiTheme="minorHAnsi" w:hAnsiTheme="minorHAnsi"/>
          <w:i/>
        </w:rPr>
        <w:t>See Section 11.1.</w:t>
      </w:r>
      <w:r w:rsidR="00597AE7">
        <w:rPr>
          <w:rFonts w:asciiTheme="minorHAnsi" w:hAnsiTheme="minorHAnsi"/>
          <w:i/>
        </w:rPr>
        <w:t>3.7</w:t>
      </w:r>
      <w:r w:rsidR="00712D0F" w:rsidRPr="00643E85">
        <w:rPr>
          <w:rFonts w:asciiTheme="minorHAnsi" w:hAnsiTheme="minorHAnsi"/>
          <w:i/>
        </w:rPr>
        <w:t>.</w:t>
      </w:r>
    </w:p>
    <w:p w14:paraId="26D3168B" w14:textId="77777777" w:rsidR="006D35A0" w:rsidRPr="001E61D4" w:rsidRDefault="006D35A0" w:rsidP="001E61D4">
      <w:pPr>
        <w:pStyle w:val="Heading4"/>
      </w:pPr>
      <w:r w:rsidRPr="001E61D4">
        <w:rPr>
          <w:rStyle w:val="Heading8Char"/>
          <w:rFonts w:ascii="Cambria" w:eastAsia="MS Mincho" w:hAnsi="Cambria"/>
          <w:b/>
          <w:i w:val="0"/>
          <w:iCs w:val="0"/>
          <w:lang w:val="en-AU"/>
        </w:rPr>
        <w:t>On-demand treatment for BEs</w:t>
      </w:r>
    </w:p>
    <w:p w14:paraId="32504BF6" w14:textId="77777777" w:rsidR="000F04AF" w:rsidRDefault="006D35A0" w:rsidP="006D35A0">
      <w:r w:rsidRPr="000B5DD3">
        <w:t>The efficacy of on-demand treatment with simoctocog alfa was assessed in the three pivotal studies (GENA-01, GENA-08 and GENA-03) and in the two supportive studies (GENA-09 and GENA-04). A total of 135 patients across the five studies received on-demand treatment of BEs with simoctocog alfa. The majority of the 135 patients were from the three pivotal studies (</w:t>
      </w:r>
      <w:r w:rsidR="008360E5">
        <w:t>83.7</w:t>
      </w:r>
      <w:r w:rsidRPr="000B5DD3">
        <w:t>% [n=</w:t>
      </w:r>
      <w:r w:rsidR="008360E5" w:rsidRPr="000B5DD3">
        <w:t>1</w:t>
      </w:r>
      <w:r w:rsidR="008360E5">
        <w:t>13</w:t>
      </w:r>
      <w:r w:rsidRPr="000B5DD3">
        <w:t>]) with the remainder coming from the two supportive studies (</w:t>
      </w:r>
      <w:r w:rsidR="008360E5">
        <w:t>16.3</w:t>
      </w:r>
      <w:r w:rsidRPr="000B5DD3">
        <w:t>% [n=</w:t>
      </w:r>
      <w:r w:rsidR="008360E5">
        <w:t>22</w:t>
      </w:r>
      <w:r w:rsidRPr="000B5DD3">
        <w:t xml:space="preserve">]). The number of BEs across the five studies was 1208, with the majority coming from GENA-01 (81.6% [n=986]), which was specifically designed to assess the on-demand efficacy of simoctocog alfa. However, patients in GENA-01 did not receive </w:t>
      </w:r>
      <w:r>
        <w:t>routine prophylaxis</w:t>
      </w:r>
      <w:r w:rsidRPr="000B5DD3">
        <w:t xml:space="preserve"> </w:t>
      </w:r>
      <w:r>
        <w:t>aimed</w:t>
      </w:r>
      <w:r w:rsidRPr="000B5DD3">
        <w:t xml:space="preserve"> to prevent BEs. The number of infusions and the dose per infusion used to treat BEs across the five studies are summarised below in Table 4</w:t>
      </w:r>
      <w:r w:rsidR="006F09EA">
        <w:t>1</w:t>
      </w:r>
      <w:r w:rsidRPr="000B5DD3">
        <w:t>.</w:t>
      </w:r>
    </w:p>
    <w:p w14:paraId="3312F1B1" w14:textId="668A6942" w:rsidR="006D35A0" w:rsidRPr="00F30D16" w:rsidRDefault="006D35A0" w:rsidP="00BF3858">
      <w:pPr>
        <w:pStyle w:val="Tabletitle"/>
      </w:pPr>
      <w:bookmarkStart w:id="146" w:name="_Toc248202560"/>
      <w:proofErr w:type="gramStart"/>
      <w:r>
        <w:t xml:space="preserve">Table </w:t>
      </w:r>
      <w:r w:rsidR="000A1340">
        <w:t>4</w:t>
      </w:r>
      <w:r w:rsidR="006F09EA">
        <w:t>1</w:t>
      </w:r>
      <w:r>
        <w:t>: Summary of BEs requiring on-demand treatment with simoctocog alfa.</w:t>
      </w:r>
      <w:bookmarkEnd w:id="146"/>
      <w:proofErr w:type="gramEnd"/>
    </w:p>
    <w:tbl>
      <w:tblPr>
        <w:tblStyle w:val="TableTGAblue"/>
        <w:tblW w:w="0" w:type="auto"/>
        <w:tblLook w:val="04A0" w:firstRow="1" w:lastRow="0" w:firstColumn="1" w:lastColumn="0" w:noHBand="0" w:noVBand="1"/>
      </w:tblPr>
      <w:tblGrid>
        <w:gridCol w:w="2235"/>
        <w:gridCol w:w="1388"/>
        <w:gridCol w:w="1387"/>
        <w:gridCol w:w="1388"/>
        <w:gridCol w:w="1373"/>
        <w:gridCol w:w="1471"/>
      </w:tblGrid>
      <w:tr w:rsidR="006D35A0" w14:paraId="266E0277" w14:textId="77777777" w:rsidTr="00125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14:paraId="78CEDF0D" w14:textId="6C2F767D" w:rsidR="006D35A0" w:rsidRPr="00F30D16" w:rsidRDefault="0012582C" w:rsidP="0012582C">
            <w:r>
              <w:t>Parameter</w:t>
            </w:r>
          </w:p>
        </w:tc>
        <w:tc>
          <w:tcPr>
            <w:tcW w:w="1418" w:type="dxa"/>
          </w:tcPr>
          <w:p w14:paraId="334FE810"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GENA-01 </w:t>
            </w:r>
            <w:r>
              <w:t>(n=22)</w:t>
            </w:r>
          </w:p>
        </w:tc>
        <w:tc>
          <w:tcPr>
            <w:tcW w:w="1417" w:type="dxa"/>
          </w:tcPr>
          <w:p w14:paraId="1B868ED9"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GENA-08</w:t>
            </w:r>
            <w:r>
              <w:t xml:space="preserve"> (n=32)</w:t>
            </w:r>
          </w:p>
        </w:tc>
        <w:tc>
          <w:tcPr>
            <w:tcW w:w="1418" w:type="dxa"/>
          </w:tcPr>
          <w:p w14:paraId="1422D6ED"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GENA-03</w:t>
            </w:r>
            <w:r>
              <w:t xml:space="preserve"> (n=59) </w:t>
            </w:r>
          </w:p>
        </w:tc>
        <w:tc>
          <w:tcPr>
            <w:tcW w:w="1399" w:type="dxa"/>
          </w:tcPr>
          <w:p w14:paraId="179C0F80" w14:textId="2D0ED8FA"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GENA-09 </w:t>
            </w:r>
            <w:r w:rsidR="0012582C">
              <w:t>(n=22)</w:t>
            </w:r>
          </w:p>
        </w:tc>
        <w:tc>
          <w:tcPr>
            <w:tcW w:w="1520" w:type="dxa"/>
          </w:tcPr>
          <w:p w14:paraId="590B6D54" w14:textId="29A851AA"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GENA-04</w:t>
            </w:r>
            <w:r>
              <w:t xml:space="preserve"> (n=18)</w:t>
            </w:r>
          </w:p>
        </w:tc>
      </w:tr>
      <w:tr w:rsidR="006D35A0" w14:paraId="3CB7E1F2" w14:textId="77777777" w:rsidTr="00BF3858">
        <w:tc>
          <w:tcPr>
            <w:cnfStyle w:val="001000000000" w:firstRow="0" w:lastRow="0" w:firstColumn="1" w:lastColumn="0" w:oddVBand="0" w:evenVBand="0" w:oddHBand="0" w:evenHBand="0" w:firstRowFirstColumn="0" w:firstRowLastColumn="0" w:lastRowFirstColumn="0" w:lastRowLastColumn="0"/>
            <w:tcW w:w="2376" w:type="dxa"/>
          </w:tcPr>
          <w:p w14:paraId="656145A0" w14:textId="77777777" w:rsidR="006D35A0" w:rsidRPr="00F30D16" w:rsidRDefault="006D35A0" w:rsidP="0012582C">
            <w:r w:rsidRPr="00F30D16">
              <w:t xml:space="preserve">Number of </w:t>
            </w:r>
            <w:r>
              <w:t xml:space="preserve">treated </w:t>
            </w:r>
            <w:r w:rsidRPr="00F30D16">
              <w:t>BEs</w:t>
            </w:r>
            <w:r>
              <w:t xml:space="preserve"> </w:t>
            </w:r>
          </w:p>
        </w:tc>
        <w:tc>
          <w:tcPr>
            <w:tcW w:w="1418" w:type="dxa"/>
          </w:tcPr>
          <w:p w14:paraId="5FB9066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986</w:t>
            </w:r>
          </w:p>
        </w:tc>
        <w:tc>
          <w:tcPr>
            <w:tcW w:w="1417" w:type="dxa"/>
          </w:tcPr>
          <w:p w14:paraId="5836AFB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30</w:t>
            </w:r>
          </w:p>
        </w:tc>
        <w:tc>
          <w:tcPr>
            <w:tcW w:w="1418" w:type="dxa"/>
          </w:tcPr>
          <w:p w14:paraId="4500290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 xml:space="preserve">108 </w:t>
            </w:r>
          </w:p>
        </w:tc>
        <w:tc>
          <w:tcPr>
            <w:tcW w:w="1399" w:type="dxa"/>
          </w:tcPr>
          <w:p w14:paraId="323366DC" w14:textId="0E53F668"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47</w:t>
            </w:r>
          </w:p>
        </w:tc>
        <w:tc>
          <w:tcPr>
            <w:tcW w:w="1520" w:type="dxa"/>
          </w:tcPr>
          <w:p w14:paraId="78FDD3EB" w14:textId="3951B32F"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37</w:t>
            </w:r>
          </w:p>
        </w:tc>
      </w:tr>
      <w:tr w:rsidR="006D35A0" w14:paraId="2637E0BE" w14:textId="77777777" w:rsidTr="00BF3858">
        <w:tc>
          <w:tcPr>
            <w:cnfStyle w:val="001000000000" w:firstRow="0" w:lastRow="0" w:firstColumn="1" w:lastColumn="0" w:oddVBand="0" w:evenVBand="0" w:oddHBand="0" w:evenHBand="0" w:firstRowFirstColumn="0" w:firstRowLastColumn="0" w:lastRowFirstColumn="0" w:lastRowLastColumn="0"/>
            <w:tcW w:w="2376" w:type="dxa"/>
          </w:tcPr>
          <w:p w14:paraId="7563D940" w14:textId="77777777" w:rsidR="006D35A0" w:rsidRPr="00F30D16" w:rsidRDefault="006D35A0" w:rsidP="0012582C">
            <w:r>
              <w:t>Patients with treated BE (n)</w:t>
            </w:r>
          </w:p>
        </w:tc>
        <w:tc>
          <w:tcPr>
            <w:tcW w:w="1418" w:type="dxa"/>
          </w:tcPr>
          <w:p w14:paraId="12927260"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22 </w:t>
            </w:r>
          </w:p>
        </w:tc>
        <w:tc>
          <w:tcPr>
            <w:tcW w:w="1417" w:type="dxa"/>
          </w:tcPr>
          <w:p w14:paraId="173A85C0"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15</w:t>
            </w:r>
          </w:p>
        </w:tc>
        <w:tc>
          <w:tcPr>
            <w:tcW w:w="1418" w:type="dxa"/>
          </w:tcPr>
          <w:p w14:paraId="3B29C50E"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32 </w:t>
            </w:r>
          </w:p>
        </w:tc>
        <w:tc>
          <w:tcPr>
            <w:tcW w:w="1399" w:type="dxa"/>
          </w:tcPr>
          <w:p w14:paraId="4C798DAA" w14:textId="4620AF93"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14</w:t>
            </w:r>
          </w:p>
        </w:tc>
        <w:tc>
          <w:tcPr>
            <w:tcW w:w="1520" w:type="dxa"/>
          </w:tcPr>
          <w:p w14:paraId="6E3C9BF4" w14:textId="65B9838E"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 xml:space="preserve">8 </w:t>
            </w:r>
          </w:p>
        </w:tc>
      </w:tr>
      <w:tr w:rsidR="006D35A0" w14:paraId="2FFCC773" w14:textId="77777777" w:rsidTr="00BF3858">
        <w:tc>
          <w:tcPr>
            <w:cnfStyle w:val="001000000000" w:firstRow="0" w:lastRow="0" w:firstColumn="1" w:lastColumn="0" w:oddVBand="0" w:evenVBand="0" w:oddHBand="0" w:evenHBand="0" w:firstRowFirstColumn="0" w:firstRowLastColumn="0" w:lastRowFirstColumn="0" w:lastRowLastColumn="0"/>
            <w:tcW w:w="2376" w:type="dxa"/>
          </w:tcPr>
          <w:p w14:paraId="48B5B1AA" w14:textId="77777777" w:rsidR="006D35A0" w:rsidRPr="00F30D16" w:rsidRDefault="006D35A0" w:rsidP="0012582C">
            <w:r w:rsidRPr="00F30D16">
              <w:t xml:space="preserve">Number of infusions </w:t>
            </w:r>
            <w:r>
              <w:t>(median)</w:t>
            </w:r>
          </w:p>
        </w:tc>
        <w:tc>
          <w:tcPr>
            <w:tcW w:w="1418" w:type="dxa"/>
          </w:tcPr>
          <w:p w14:paraId="7D6D9C0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 (range: 1, 13)</w:t>
            </w:r>
          </w:p>
        </w:tc>
        <w:tc>
          <w:tcPr>
            <w:tcW w:w="1417" w:type="dxa"/>
          </w:tcPr>
          <w:p w14:paraId="71078724"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 (range: 1, 12)</w:t>
            </w:r>
          </w:p>
        </w:tc>
        <w:tc>
          <w:tcPr>
            <w:tcW w:w="1418" w:type="dxa"/>
          </w:tcPr>
          <w:p w14:paraId="48D85EB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 (range: 1, 22)</w:t>
            </w:r>
          </w:p>
        </w:tc>
        <w:tc>
          <w:tcPr>
            <w:tcW w:w="1399" w:type="dxa"/>
          </w:tcPr>
          <w:p w14:paraId="2FB7AA2B" w14:textId="6EFC724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1.5 (range: 1, 6)</w:t>
            </w:r>
          </w:p>
        </w:tc>
        <w:tc>
          <w:tcPr>
            <w:tcW w:w="1520" w:type="dxa"/>
          </w:tcPr>
          <w:p w14:paraId="3407F2DD" w14:textId="18F8D66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 (range: 1, 12)</w:t>
            </w:r>
          </w:p>
        </w:tc>
      </w:tr>
      <w:tr w:rsidR="006D35A0" w14:paraId="53F7F6D3" w14:textId="77777777" w:rsidTr="00BF3858">
        <w:tc>
          <w:tcPr>
            <w:cnfStyle w:val="001000000000" w:firstRow="0" w:lastRow="0" w:firstColumn="1" w:lastColumn="0" w:oddVBand="0" w:evenVBand="0" w:oddHBand="0" w:evenHBand="0" w:firstRowFirstColumn="0" w:firstRowLastColumn="0" w:lastRowFirstColumn="0" w:lastRowLastColumn="0"/>
            <w:tcW w:w="2376" w:type="dxa"/>
          </w:tcPr>
          <w:p w14:paraId="0F7C6557" w14:textId="77777777" w:rsidR="006D35A0" w:rsidRDefault="006D35A0" w:rsidP="0012582C">
            <w:r>
              <w:t>Mean d</w:t>
            </w:r>
            <w:r w:rsidRPr="00F30D16">
              <w:t>ose per infusion (IU/kg)</w:t>
            </w:r>
          </w:p>
          <w:p w14:paraId="324876ED" w14:textId="77777777" w:rsidR="006D35A0" w:rsidRPr="00F30D16" w:rsidRDefault="006D35A0" w:rsidP="0012582C">
            <w:r>
              <w:t>Dose range /infusion  (IU/kg)</w:t>
            </w:r>
          </w:p>
        </w:tc>
        <w:tc>
          <w:tcPr>
            <w:tcW w:w="1418" w:type="dxa"/>
          </w:tcPr>
          <w:p w14:paraId="1B8CD75C"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32.3 ± 10.6</w:t>
            </w:r>
          </w:p>
          <w:p w14:paraId="29184B76" w14:textId="4D7EFBC0"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(7, 61)</w:t>
            </w:r>
          </w:p>
        </w:tc>
        <w:tc>
          <w:tcPr>
            <w:tcW w:w="1417" w:type="dxa"/>
          </w:tcPr>
          <w:p w14:paraId="2413C1F0" w14:textId="77777777" w:rsidR="006D35A0" w:rsidRDefault="006D35A0" w:rsidP="0012582C">
            <w:pPr>
              <w:cnfStyle w:val="000000000000" w:firstRow="0" w:lastRow="0" w:firstColumn="0" w:lastColumn="0" w:oddVBand="0" w:evenVBand="0" w:oddHBand="0" w:evenHBand="0" w:firstRowFirstColumn="0" w:firstRowLastColumn="0" w:lastRowFirstColumn="0" w:lastRowLastColumn="0"/>
            </w:pPr>
            <w:r w:rsidRPr="00F30D16">
              <w:t>33.3 ± 6.7</w:t>
            </w:r>
          </w:p>
          <w:p w14:paraId="2503E663"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(20, 53)</w:t>
            </w:r>
          </w:p>
        </w:tc>
        <w:tc>
          <w:tcPr>
            <w:tcW w:w="1418" w:type="dxa"/>
          </w:tcPr>
          <w:p w14:paraId="67BFA1A3"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45.1 ± 12.6</w:t>
            </w:r>
          </w:p>
          <w:p w14:paraId="16D06A86" w14:textId="052E996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(25, 88)</w:t>
            </w:r>
          </w:p>
        </w:tc>
        <w:tc>
          <w:tcPr>
            <w:tcW w:w="1399" w:type="dxa"/>
          </w:tcPr>
          <w:p w14:paraId="134A2727"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32.6 ± 5.9</w:t>
            </w:r>
          </w:p>
          <w:p w14:paraId="3598A3C7" w14:textId="3DA8E44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(8, 50)</w:t>
            </w:r>
          </w:p>
        </w:tc>
        <w:tc>
          <w:tcPr>
            <w:tcW w:w="1520" w:type="dxa"/>
          </w:tcPr>
          <w:p w14:paraId="2D5CB711" w14:textId="77777777" w:rsidR="000F04AF" w:rsidRDefault="006D35A0" w:rsidP="0012582C">
            <w:pPr>
              <w:cnfStyle w:val="000000000000" w:firstRow="0" w:lastRow="0" w:firstColumn="0" w:lastColumn="0" w:oddVBand="0" w:evenVBand="0" w:oddHBand="0" w:evenHBand="0" w:firstRowFirstColumn="0" w:firstRowLastColumn="0" w:lastRowFirstColumn="0" w:lastRowLastColumn="0"/>
            </w:pPr>
            <w:r w:rsidRPr="00F30D16">
              <w:t>34.6 ± 5.4</w:t>
            </w:r>
          </w:p>
          <w:p w14:paraId="2DF9672D" w14:textId="1ECCAED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t>(24, 44)</w:t>
            </w:r>
          </w:p>
        </w:tc>
      </w:tr>
    </w:tbl>
    <w:p w14:paraId="4DDC1FBC" w14:textId="77777777" w:rsidR="000F04AF" w:rsidRDefault="006D35A0" w:rsidP="0012582C">
      <w:pPr>
        <w:pStyle w:val="TableDescription"/>
      </w:pPr>
      <w:r w:rsidRPr="00F30D16">
        <w:t>Note: Number of infusions = median (range);</w:t>
      </w:r>
      <w:r>
        <w:t xml:space="preserve"> Dose per infusion = mean ± SD; n = number of patients in the study and all patients in GENA-04 had been previously in GENA-09.</w:t>
      </w:r>
    </w:p>
    <w:p w14:paraId="569D097D" w14:textId="77777777" w:rsidR="000F04AF" w:rsidRDefault="006D35A0" w:rsidP="006D35A0">
      <w:r w:rsidRPr="00F30D16">
        <w:t xml:space="preserve">The mean dose per infusion was comparable across the four adult studies, but the </w:t>
      </w:r>
      <w:r>
        <w:t xml:space="preserve">median </w:t>
      </w:r>
      <w:r w:rsidRPr="00F30D16">
        <w:t xml:space="preserve">number of infusions in GENA-09 was 50% higher than in the three other studies. The mean dose per infusion in the paediatric study (GENA-03) was 30% to 40% </w:t>
      </w:r>
      <w:r>
        <w:t>higher</w:t>
      </w:r>
      <w:r w:rsidRPr="00F30D16">
        <w:t xml:space="preserve"> than the mean dose per infusion across the four adult studies. Furthermore, the IVR (CHR assay) was approximately 24% lower in children than in adults based on the results </w:t>
      </w:r>
      <w:r>
        <w:t xml:space="preserve">from </w:t>
      </w:r>
      <w:r w:rsidRPr="00F30D16">
        <w:t xml:space="preserve">the paediatric study GENA-03 </w:t>
      </w:r>
      <w:r w:rsidRPr="00F30D16">
        <w:lastRenderedPageBreak/>
        <w:t xml:space="preserve">and </w:t>
      </w:r>
      <w:r>
        <w:t>the adult study GENA-01 (</w:t>
      </w:r>
      <w:r w:rsidR="001A2E59">
        <w:t>that is,</w:t>
      </w:r>
      <w:r>
        <w:t xml:space="preserve"> </w:t>
      </w:r>
      <w:r w:rsidRPr="00F30D16">
        <w:t>IVR = 1.9% vs 2.5% per IU/kg</w:t>
      </w:r>
      <w:r>
        <w:t>, respectively</w:t>
      </w:r>
      <w:r w:rsidRPr="00F30D16">
        <w:t xml:space="preserve">). Therefore, the higher dose per infusion used to treat breakthrough BEs in children aged </w:t>
      </w:r>
      <w:r>
        <w:t>2</w:t>
      </w:r>
      <w:r w:rsidRPr="00F30D16">
        <w:t xml:space="preserve"> to 12 years compared with adults might be due to lower </w:t>
      </w:r>
      <w:r>
        <w:t xml:space="preserve">FVIII recovery following simoctocog alfa </w:t>
      </w:r>
      <w:r w:rsidRPr="00F30D16">
        <w:t xml:space="preserve">in children than in adults. However, the sponsor comments that exact dosing was complicated in the paediatric study due to </w:t>
      </w:r>
      <w:r>
        <w:t xml:space="preserve">simoctocog alfa for this study being supplied </w:t>
      </w:r>
      <w:r w:rsidRPr="00F30D16">
        <w:t>exclusively in vials containing 500 IU and typically the entire contents of vials were infused</w:t>
      </w:r>
      <w:r>
        <w:t xml:space="preserve"> </w:t>
      </w:r>
      <w:r w:rsidRPr="00F30D16">
        <w:t>for practical reasons. The sponsor states that a hypothetical patient with the mean bod</w:t>
      </w:r>
      <w:r>
        <w:t xml:space="preserve">y weight observed in the study of 27.3 kg </w:t>
      </w:r>
      <w:r w:rsidRPr="00F30D16">
        <w:t>would require a dose of 546 to 819 IU (20 to 30 IU/kg) for minor BEs according to the</w:t>
      </w:r>
      <w:r>
        <w:t xml:space="preserve"> </w:t>
      </w:r>
      <w:r w:rsidRPr="00F30D16">
        <w:t>dosing recommendations, but 1000 IU (</w:t>
      </w:r>
      <w:r w:rsidR="001A2E59">
        <w:t>that is,</w:t>
      </w:r>
      <w:r w:rsidRPr="00F30D16">
        <w:t xml:space="preserve"> 2 vials; 36.6 IU/kg) were probably infused because investigators may have preferred to infuse more rather than less FVIII in these paediatric patients. </w:t>
      </w:r>
      <w:r>
        <w:t>However, no</w:t>
      </w:r>
      <w:r w:rsidRPr="00F30D16">
        <w:t xml:space="preserve"> data could be identified in the submission supporting </w:t>
      </w:r>
      <w:r>
        <w:t>the</w:t>
      </w:r>
      <w:r w:rsidRPr="00F30D16">
        <w:t xml:space="preserve"> </w:t>
      </w:r>
      <w:r>
        <w:t xml:space="preserve">suggestion </w:t>
      </w:r>
      <w:r w:rsidRPr="00F30D16">
        <w:t>that investigators in study GENA-03</w:t>
      </w:r>
      <w:r>
        <w:t xml:space="preserve"> </w:t>
      </w:r>
      <w:r w:rsidRPr="00F30D16">
        <w:t>administer</w:t>
      </w:r>
      <w:r>
        <w:t>ed</w:t>
      </w:r>
      <w:r w:rsidRPr="00F30D16">
        <w:t xml:space="preserve"> </w:t>
      </w:r>
      <w:r>
        <w:t xml:space="preserve">more than </w:t>
      </w:r>
      <w:r w:rsidRPr="00F30D16">
        <w:t>the recommended doses to children</w:t>
      </w:r>
      <w:r>
        <w:t xml:space="preserve"> in the circumstances described by the sponsor.</w:t>
      </w:r>
    </w:p>
    <w:p w14:paraId="4E39D3F0" w14:textId="77777777" w:rsidR="000F04AF" w:rsidRDefault="006D35A0" w:rsidP="006D35A0">
      <w:r w:rsidRPr="00F30D16">
        <w:t xml:space="preserve">The proportion of BEs requiring only 1 or 2 infusions was 96.8% in GENA-01, 88.9% in GENA-08 and 81.3% in GENA-03. For GENA-09, only data on the number of treatment days per BE were available, and the proportion of BEs requiring only 1 or 2 treatment days was 68.1%. The sponsor comments that </w:t>
      </w:r>
      <w:r>
        <w:t xml:space="preserve">the </w:t>
      </w:r>
      <w:r w:rsidRPr="00F30D16">
        <w:t xml:space="preserve">lower proportion of patients in GENA-09 </w:t>
      </w:r>
      <w:r>
        <w:t>requiring</w:t>
      </w:r>
      <w:r w:rsidRPr="00F30D16">
        <w:t xml:space="preserve"> 1 or 2 infusions compared with GENA-01 and GENA-03, "is very likely to be explained by the severe baseline condition of the patients enrolled in GENA-09 and the high prop</w:t>
      </w:r>
      <w:r>
        <w:t>o</w:t>
      </w:r>
      <w:r w:rsidRPr="00F30D16">
        <w:t xml:space="preserve">rtion of moderate to </w:t>
      </w:r>
      <w:proofErr w:type="gramStart"/>
      <w:r w:rsidRPr="00F30D16">
        <w:t>major</w:t>
      </w:r>
      <w:proofErr w:type="gramEnd"/>
      <w:r w:rsidRPr="00F30D16">
        <w:t xml:space="preserve"> BEs observed in this study</w:t>
      </w:r>
      <w:r>
        <w:t>".</w:t>
      </w:r>
    </w:p>
    <w:p w14:paraId="451169CD" w14:textId="77777777" w:rsidR="000F04AF" w:rsidRDefault="006D35A0" w:rsidP="006D35A0">
      <w:r w:rsidRPr="00F30D16">
        <w:t xml:space="preserve">The overall efficacy results </w:t>
      </w:r>
      <w:r>
        <w:t>for</w:t>
      </w:r>
      <w:r w:rsidRPr="00F30D16">
        <w:t xml:space="preserve"> treatment of breakthrough BEs for any, minor, and moderate to </w:t>
      </w:r>
      <w:proofErr w:type="gramStart"/>
      <w:r w:rsidRPr="00F30D16">
        <w:t>major</w:t>
      </w:r>
      <w:proofErr w:type="gramEnd"/>
      <w:r w:rsidRPr="00F30D16">
        <w:t xml:space="preserve"> BEs for the five studies are summarised below in Table </w:t>
      </w:r>
      <w:r>
        <w:t>4</w:t>
      </w:r>
      <w:r w:rsidR="006F09EA">
        <w:t>2</w:t>
      </w:r>
      <w:r w:rsidRPr="00F30D16">
        <w:t xml:space="preserve">. </w:t>
      </w:r>
      <w:r>
        <w:t xml:space="preserve">The table does not include data for major to life-threatening BEs, as the 5 studies included only 3 BEs in this category. The 3 major to life-threatening BEs all occurred in </w:t>
      </w:r>
      <w:proofErr w:type="gramStart"/>
      <w:r>
        <w:t>GENA-01,</w:t>
      </w:r>
      <w:proofErr w:type="gramEnd"/>
      <w:r>
        <w:t xml:space="preserve"> and treatments were rated as </w:t>
      </w:r>
      <w:r w:rsidR="00A2235E">
        <w:t xml:space="preserve">good </w:t>
      </w:r>
      <w:r>
        <w:t xml:space="preserve">for 2 of these bleeds and </w:t>
      </w:r>
      <w:r w:rsidR="00A2235E">
        <w:t xml:space="preserve">moderate </w:t>
      </w:r>
      <w:r>
        <w:t xml:space="preserve">for 1 of the bleeds. </w:t>
      </w:r>
      <w:r w:rsidRPr="00F30D16">
        <w:t>Overall, the highest efficacy was observed in GENA-</w:t>
      </w:r>
      <w:r>
        <w:t>08</w:t>
      </w:r>
      <w:r w:rsidRPr="00F30D16">
        <w:t xml:space="preserve">, with 100% of available efficacy assessments </w:t>
      </w:r>
      <w:r>
        <w:t xml:space="preserve">for the total number of BEs </w:t>
      </w:r>
      <w:r w:rsidRPr="00F30D16">
        <w:t>being excellent or good.</w:t>
      </w:r>
      <w:r w:rsidR="00596EBE">
        <w:t xml:space="preserve"> </w:t>
      </w:r>
      <w:r w:rsidRPr="00F30D16">
        <w:t>The lowest overall prop</w:t>
      </w:r>
      <w:r>
        <w:t xml:space="preserve">ortion of successful treatments </w:t>
      </w:r>
      <w:r w:rsidRPr="00F30D16">
        <w:t>was seen in GENA-09 with 61.7%</w:t>
      </w:r>
      <w:r>
        <w:t xml:space="preserve"> of the total number of BEs with available efficacy assessments being rated as excellent or good</w:t>
      </w:r>
      <w:r w:rsidRPr="00F30D16">
        <w:t xml:space="preserve">. Across all studies, efficacy was higher for minor </w:t>
      </w:r>
      <w:r>
        <w:t>than for moderate to major BEs and n</w:t>
      </w:r>
      <w:r w:rsidRPr="00F30D16">
        <w:t xml:space="preserve">early all treatments for minor BEs across the five studies were rated as excellent or good. The percentage of children with moderate to </w:t>
      </w:r>
      <w:proofErr w:type="gramStart"/>
      <w:r w:rsidRPr="00F30D16">
        <w:t>major</w:t>
      </w:r>
      <w:proofErr w:type="gramEnd"/>
      <w:r w:rsidRPr="00F30D16">
        <w:t xml:space="preserve"> BEs reporting excellent </w:t>
      </w:r>
      <w:r>
        <w:t>or</w:t>
      </w:r>
      <w:r w:rsidRPr="00F30D16">
        <w:t xml:space="preserve"> good efficacy was notably lower than the percentage of adults from GENA-01 and GENA-08 reporting excellent </w:t>
      </w:r>
      <w:r>
        <w:t xml:space="preserve">or </w:t>
      </w:r>
      <w:r w:rsidRPr="00F30D16">
        <w:t>good efficacy.</w:t>
      </w:r>
    </w:p>
    <w:p w14:paraId="6D050907" w14:textId="2DA6CA9C" w:rsidR="006D35A0" w:rsidRPr="00E277A9" w:rsidRDefault="006D35A0" w:rsidP="00C15E46">
      <w:pPr>
        <w:pStyle w:val="Tabletitle"/>
      </w:pPr>
      <w:bookmarkStart w:id="147" w:name="_Toc248202561"/>
      <w:r>
        <w:t xml:space="preserve">Table </w:t>
      </w:r>
      <w:r w:rsidR="000A1340">
        <w:t>4</w:t>
      </w:r>
      <w:r w:rsidR="00F04577">
        <w:t>2</w:t>
      </w:r>
      <w:r>
        <w:t>: Efficacy assessment for treatment of BEs with available data according to severity of the BE (any, minor, moderate to m</w:t>
      </w:r>
      <w:r w:rsidR="003D0D7A">
        <w:t>ajor</w:t>
      </w:r>
      <w:r>
        <w:t>).</w:t>
      </w:r>
      <w:bookmarkEnd w:id="147"/>
    </w:p>
    <w:tbl>
      <w:tblPr>
        <w:tblStyle w:val="TableTGAblue"/>
        <w:tblW w:w="0" w:type="auto"/>
        <w:tblLayout w:type="fixed"/>
        <w:tblLook w:val="04A0" w:firstRow="1" w:lastRow="0" w:firstColumn="1" w:lastColumn="0" w:noHBand="0" w:noVBand="1"/>
      </w:tblPr>
      <w:tblGrid>
        <w:gridCol w:w="1951"/>
        <w:gridCol w:w="1417"/>
        <w:gridCol w:w="1418"/>
        <w:gridCol w:w="1417"/>
        <w:gridCol w:w="1418"/>
        <w:gridCol w:w="1418"/>
      </w:tblGrid>
      <w:tr w:rsidR="006D35A0" w:rsidRPr="00F30D16" w14:paraId="284188A4" w14:textId="77777777" w:rsidTr="00125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75383E30" w14:textId="77777777" w:rsidR="006D35A0" w:rsidRPr="00F30D16" w:rsidRDefault="003D0D7A" w:rsidP="0012582C">
            <w:r>
              <w:t>Efficacy rating</w:t>
            </w:r>
          </w:p>
        </w:tc>
        <w:tc>
          <w:tcPr>
            <w:tcW w:w="1417" w:type="dxa"/>
          </w:tcPr>
          <w:p w14:paraId="09B69FF7"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GENA-01</w:t>
            </w:r>
            <w:r>
              <w:t xml:space="preserve"> </w:t>
            </w:r>
            <w:r w:rsidRPr="00F30D16">
              <w:t xml:space="preserve"> </w:t>
            </w:r>
          </w:p>
        </w:tc>
        <w:tc>
          <w:tcPr>
            <w:tcW w:w="1418" w:type="dxa"/>
          </w:tcPr>
          <w:p w14:paraId="3E238931"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GENA-08 </w:t>
            </w:r>
          </w:p>
        </w:tc>
        <w:tc>
          <w:tcPr>
            <w:tcW w:w="1417" w:type="dxa"/>
          </w:tcPr>
          <w:p w14:paraId="7452FB0F" w14:textId="77777777"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GENA-03 </w:t>
            </w:r>
          </w:p>
        </w:tc>
        <w:tc>
          <w:tcPr>
            <w:tcW w:w="1418" w:type="dxa"/>
          </w:tcPr>
          <w:p w14:paraId="2E765B9F" w14:textId="40BDEE50"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GENA-09 </w:t>
            </w:r>
          </w:p>
        </w:tc>
        <w:tc>
          <w:tcPr>
            <w:tcW w:w="1418" w:type="dxa"/>
          </w:tcPr>
          <w:p w14:paraId="0DA5AF44" w14:textId="516C48C8" w:rsidR="006D35A0" w:rsidRPr="00F30D16" w:rsidRDefault="006D35A0" w:rsidP="0012582C">
            <w:pPr>
              <w:cnfStyle w:val="100000000000" w:firstRow="1" w:lastRow="0" w:firstColumn="0" w:lastColumn="0" w:oddVBand="0" w:evenVBand="0" w:oddHBand="0" w:evenHBand="0" w:firstRowFirstColumn="0" w:firstRowLastColumn="0" w:lastRowFirstColumn="0" w:lastRowLastColumn="0"/>
            </w:pPr>
            <w:r w:rsidRPr="00F30D16">
              <w:t xml:space="preserve">GENA-04 </w:t>
            </w:r>
          </w:p>
        </w:tc>
      </w:tr>
      <w:tr w:rsidR="006D35A0" w:rsidRPr="00F30D16" w14:paraId="31E88834"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7523B33F" w14:textId="77777777" w:rsidR="006D35A0" w:rsidRPr="00F30D16" w:rsidRDefault="006D35A0" w:rsidP="0012582C">
            <w:r w:rsidRPr="00F30D16">
              <w:t>Any BE</w:t>
            </w:r>
          </w:p>
        </w:tc>
        <w:tc>
          <w:tcPr>
            <w:tcW w:w="1417" w:type="dxa"/>
          </w:tcPr>
          <w:p w14:paraId="75A07683"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986</w:t>
            </w:r>
          </w:p>
        </w:tc>
        <w:tc>
          <w:tcPr>
            <w:tcW w:w="1418" w:type="dxa"/>
          </w:tcPr>
          <w:p w14:paraId="27EF7EE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28</w:t>
            </w:r>
          </w:p>
        </w:tc>
        <w:tc>
          <w:tcPr>
            <w:tcW w:w="1417" w:type="dxa"/>
          </w:tcPr>
          <w:p w14:paraId="29E3E20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108</w:t>
            </w:r>
          </w:p>
        </w:tc>
        <w:tc>
          <w:tcPr>
            <w:tcW w:w="1418" w:type="dxa"/>
          </w:tcPr>
          <w:p w14:paraId="2663AB72" w14:textId="11958F6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47</w:t>
            </w:r>
          </w:p>
        </w:tc>
        <w:tc>
          <w:tcPr>
            <w:tcW w:w="1418" w:type="dxa"/>
          </w:tcPr>
          <w:p w14:paraId="58B4FA05" w14:textId="4230F2B4"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37</w:t>
            </w:r>
          </w:p>
        </w:tc>
      </w:tr>
      <w:tr w:rsidR="006D35A0" w:rsidRPr="00F30D16" w14:paraId="1D8E35E4"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40BE0C6E" w14:textId="062A9FBA" w:rsidR="006D35A0" w:rsidRPr="00F30D16" w:rsidRDefault="006D35A0" w:rsidP="0012582C">
            <w:r w:rsidRPr="00F30D16">
              <w:t xml:space="preserve">Excellent </w:t>
            </w:r>
          </w:p>
        </w:tc>
        <w:tc>
          <w:tcPr>
            <w:tcW w:w="1417" w:type="dxa"/>
          </w:tcPr>
          <w:p w14:paraId="55EFB41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60.3%</w:t>
            </w:r>
          </w:p>
        </w:tc>
        <w:tc>
          <w:tcPr>
            <w:tcW w:w="1418" w:type="dxa"/>
          </w:tcPr>
          <w:p w14:paraId="67DDF32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71.4%</w:t>
            </w:r>
          </w:p>
        </w:tc>
        <w:tc>
          <w:tcPr>
            <w:tcW w:w="1417" w:type="dxa"/>
          </w:tcPr>
          <w:p w14:paraId="48C5527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71.3%</w:t>
            </w:r>
          </w:p>
        </w:tc>
        <w:tc>
          <w:tcPr>
            <w:tcW w:w="1418" w:type="dxa"/>
          </w:tcPr>
          <w:p w14:paraId="54F892E4" w14:textId="0A5EF8F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29.8%</w:t>
            </w:r>
          </w:p>
        </w:tc>
        <w:tc>
          <w:tcPr>
            <w:tcW w:w="1418" w:type="dxa"/>
          </w:tcPr>
          <w:p w14:paraId="5F280680" w14:textId="7881C31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37.9%</w:t>
            </w:r>
          </w:p>
        </w:tc>
      </w:tr>
      <w:tr w:rsidR="006D35A0" w:rsidRPr="00F30D16" w14:paraId="3F0B5F0B"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73B63A0D" w14:textId="6E32DF22" w:rsidR="006D35A0" w:rsidRPr="00F30D16" w:rsidRDefault="006D35A0" w:rsidP="0012582C">
            <w:r w:rsidRPr="00F30D16">
              <w:t>Good</w:t>
            </w:r>
          </w:p>
          <w:p w14:paraId="30DDF6D7" w14:textId="135AC50C" w:rsidR="006D35A0" w:rsidRPr="00F30D16" w:rsidRDefault="006D35A0" w:rsidP="0012582C">
            <w:r w:rsidRPr="00F30D16">
              <w:t>Moderate</w:t>
            </w:r>
          </w:p>
        </w:tc>
        <w:tc>
          <w:tcPr>
            <w:tcW w:w="1417" w:type="dxa"/>
          </w:tcPr>
          <w:p w14:paraId="4E53622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34.1%</w:t>
            </w:r>
          </w:p>
          <w:p w14:paraId="6FE9806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5.5%</w:t>
            </w:r>
          </w:p>
        </w:tc>
        <w:tc>
          <w:tcPr>
            <w:tcW w:w="1418" w:type="dxa"/>
          </w:tcPr>
          <w:p w14:paraId="6BEEFFF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28.6%</w:t>
            </w:r>
          </w:p>
          <w:p w14:paraId="4ADFD61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0825255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11.1%</w:t>
            </w:r>
          </w:p>
          <w:p w14:paraId="1415830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15.7%</w:t>
            </w:r>
          </w:p>
        </w:tc>
        <w:tc>
          <w:tcPr>
            <w:tcW w:w="1418" w:type="dxa"/>
          </w:tcPr>
          <w:p w14:paraId="1850348E" w14:textId="48FBEEC9"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31.9%</w:t>
            </w:r>
          </w:p>
          <w:p w14:paraId="57FCE7FA" w14:textId="0404823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38.3%</w:t>
            </w:r>
          </w:p>
        </w:tc>
        <w:tc>
          <w:tcPr>
            <w:tcW w:w="1418" w:type="dxa"/>
          </w:tcPr>
          <w:p w14:paraId="1C5C4B19" w14:textId="25254AE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45.9%</w:t>
            </w:r>
          </w:p>
          <w:p w14:paraId="1BB9B96E" w14:textId="22B65C34"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8.1%</w:t>
            </w:r>
          </w:p>
        </w:tc>
      </w:tr>
      <w:tr w:rsidR="006D35A0" w:rsidRPr="00F30D16" w14:paraId="15755835"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3249F7AC" w14:textId="471A9240" w:rsidR="006D35A0" w:rsidRPr="00F30D16" w:rsidRDefault="006D35A0" w:rsidP="0012582C">
            <w:r w:rsidRPr="00F30D16">
              <w:t>None</w:t>
            </w:r>
          </w:p>
        </w:tc>
        <w:tc>
          <w:tcPr>
            <w:tcW w:w="1417" w:type="dxa"/>
          </w:tcPr>
          <w:p w14:paraId="5AAF50A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12B7233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16CDCB9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1.9%</w:t>
            </w:r>
          </w:p>
        </w:tc>
        <w:tc>
          <w:tcPr>
            <w:tcW w:w="1418" w:type="dxa"/>
          </w:tcPr>
          <w:p w14:paraId="70075F6D" w14:textId="3C035E3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65E4CC0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p>
        </w:tc>
      </w:tr>
      <w:tr w:rsidR="006D35A0" w:rsidRPr="00F30D16" w14:paraId="698828A4"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51C5AD4A" w14:textId="77777777" w:rsidR="006D35A0" w:rsidRPr="00F30D16" w:rsidRDefault="006D35A0" w:rsidP="0012582C">
            <w:r w:rsidRPr="00F30D16">
              <w:t>Minor BE</w:t>
            </w:r>
          </w:p>
        </w:tc>
        <w:tc>
          <w:tcPr>
            <w:tcW w:w="1417" w:type="dxa"/>
          </w:tcPr>
          <w:p w14:paraId="2795C70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416</w:t>
            </w:r>
          </w:p>
        </w:tc>
        <w:tc>
          <w:tcPr>
            <w:tcW w:w="1418" w:type="dxa"/>
          </w:tcPr>
          <w:p w14:paraId="3801148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14</w:t>
            </w:r>
          </w:p>
        </w:tc>
        <w:tc>
          <w:tcPr>
            <w:tcW w:w="1417" w:type="dxa"/>
          </w:tcPr>
          <w:p w14:paraId="1C7DA01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61</w:t>
            </w:r>
          </w:p>
        </w:tc>
        <w:tc>
          <w:tcPr>
            <w:tcW w:w="1418" w:type="dxa"/>
          </w:tcPr>
          <w:p w14:paraId="1A726CEB" w14:textId="6842BB66"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w:t>
            </w:r>
          </w:p>
        </w:tc>
        <w:tc>
          <w:tcPr>
            <w:tcW w:w="1418" w:type="dxa"/>
          </w:tcPr>
          <w:p w14:paraId="32C92473" w14:textId="0377948B"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20</w:t>
            </w:r>
          </w:p>
        </w:tc>
      </w:tr>
      <w:tr w:rsidR="006D35A0" w:rsidRPr="00F30D16" w14:paraId="5427915E"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278C05C1" w14:textId="26C3919B" w:rsidR="006D35A0" w:rsidRPr="00F30D16" w:rsidRDefault="006D35A0" w:rsidP="0012582C">
            <w:r w:rsidRPr="00F30D16">
              <w:t xml:space="preserve">Excellent </w:t>
            </w:r>
          </w:p>
        </w:tc>
        <w:tc>
          <w:tcPr>
            <w:tcW w:w="1417" w:type="dxa"/>
          </w:tcPr>
          <w:p w14:paraId="41C57F5A"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75.0%</w:t>
            </w:r>
          </w:p>
        </w:tc>
        <w:tc>
          <w:tcPr>
            <w:tcW w:w="1418" w:type="dxa"/>
          </w:tcPr>
          <w:p w14:paraId="50B3690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85.7%</w:t>
            </w:r>
          </w:p>
        </w:tc>
        <w:tc>
          <w:tcPr>
            <w:tcW w:w="1417" w:type="dxa"/>
          </w:tcPr>
          <w:p w14:paraId="0DD1EAE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86.9%</w:t>
            </w:r>
          </w:p>
        </w:tc>
        <w:tc>
          <w:tcPr>
            <w:tcW w:w="1418" w:type="dxa"/>
          </w:tcPr>
          <w:p w14:paraId="492D1E7E" w14:textId="4826618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58.8%</w:t>
            </w:r>
          </w:p>
        </w:tc>
        <w:tc>
          <w:tcPr>
            <w:tcW w:w="1418" w:type="dxa"/>
          </w:tcPr>
          <w:p w14:paraId="62F7B6AA" w14:textId="1D8A4395"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70.0%</w:t>
            </w:r>
          </w:p>
        </w:tc>
      </w:tr>
      <w:tr w:rsidR="006D35A0" w:rsidRPr="00F30D16" w14:paraId="0CB11D5B"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0D00956C" w14:textId="41B2D1E4" w:rsidR="006D35A0" w:rsidRPr="00F30D16" w:rsidRDefault="006D35A0" w:rsidP="0012582C">
            <w:r w:rsidRPr="00F30D16">
              <w:lastRenderedPageBreak/>
              <w:t>Good</w:t>
            </w:r>
          </w:p>
        </w:tc>
        <w:tc>
          <w:tcPr>
            <w:tcW w:w="1417" w:type="dxa"/>
          </w:tcPr>
          <w:p w14:paraId="6A7114A4"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23.6%</w:t>
            </w:r>
          </w:p>
        </w:tc>
        <w:tc>
          <w:tcPr>
            <w:tcW w:w="1418" w:type="dxa"/>
          </w:tcPr>
          <w:p w14:paraId="0F31D19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14.3%</w:t>
            </w:r>
          </w:p>
        </w:tc>
        <w:tc>
          <w:tcPr>
            <w:tcW w:w="1417" w:type="dxa"/>
          </w:tcPr>
          <w:p w14:paraId="0541501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11.5%</w:t>
            </w:r>
          </w:p>
        </w:tc>
        <w:tc>
          <w:tcPr>
            <w:tcW w:w="1418" w:type="dxa"/>
          </w:tcPr>
          <w:p w14:paraId="35A94BFB" w14:textId="6E79B49F"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35.3%</w:t>
            </w:r>
          </w:p>
        </w:tc>
        <w:tc>
          <w:tcPr>
            <w:tcW w:w="1418" w:type="dxa"/>
          </w:tcPr>
          <w:p w14:paraId="3AD4B1AD" w14:textId="5C4F6F9D"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30.0%</w:t>
            </w:r>
          </w:p>
        </w:tc>
      </w:tr>
      <w:tr w:rsidR="006D35A0" w:rsidRPr="00F30D16" w14:paraId="58F46C2C"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01BFE7EE" w14:textId="7C3E790B" w:rsidR="006D35A0" w:rsidRPr="00F30D16" w:rsidRDefault="006D35A0" w:rsidP="0012582C">
            <w:r w:rsidRPr="00F30D16">
              <w:t>Moderate</w:t>
            </w:r>
          </w:p>
        </w:tc>
        <w:tc>
          <w:tcPr>
            <w:tcW w:w="1417" w:type="dxa"/>
          </w:tcPr>
          <w:p w14:paraId="3A314DF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1.4%</w:t>
            </w:r>
          </w:p>
        </w:tc>
        <w:tc>
          <w:tcPr>
            <w:tcW w:w="1418" w:type="dxa"/>
          </w:tcPr>
          <w:p w14:paraId="10888833"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60DDCEF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1.6%</w:t>
            </w:r>
          </w:p>
        </w:tc>
        <w:tc>
          <w:tcPr>
            <w:tcW w:w="1418" w:type="dxa"/>
          </w:tcPr>
          <w:p w14:paraId="385A9E2C" w14:textId="4E1328C1"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5.9%</w:t>
            </w:r>
          </w:p>
        </w:tc>
        <w:tc>
          <w:tcPr>
            <w:tcW w:w="1418" w:type="dxa"/>
          </w:tcPr>
          <w:p w14:paraId="0772C4CC"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r>
      <w:tr w:rsidR="006D35A0" w:rsidRPr="00F30D16" w14:paraId="6FFFA3C2"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33E6B850" w14:textId="0E3EF2C8" w:rsidR="006D35A0" w:rsidRPr="00F30D16" w:rsidRDefault="006D35A0" w:rsidP="0012582C">
            <w:r w:rsidRPr="00F30D16">
              <w:t>None</w:t>
            </w:r>
          </w:p>
        </w:tc>
        <w:tc>
          <w:tcPr>
            <w:tcW w:w="1417" w:type="dxa"/>
          </w:tcPr>
          <w:p w14:paraId="3539B73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0236B73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0820551D"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5B6DE49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21E8833E"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r>
      <w:tr w:rsidR="006D35A0" w:rsidRPr="00F30D16" w14:paraId="7AF15B91"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3D3A3932" w14:textId="77777777" w:rsidR="006D35A0" w:rsidRPr="00F30D16" w:rsidRDefault="006D35A0" w:rsidP="0012582C">
            <w:r w:rsidRPr="00F30D16">
              <w:t xml:space="preserve">Moderate - </w:t>
            </w:r>
            <w:r>
              <w:t>Major</w:t>
            </w:r>
            <w:r w:rsidRPr="00F30D16">
              <w:t xml:space="preserve"> BE </w:t>
            </w:r>
          </w:p>
        </w:tc>
        <w:tc>
          <w:tcPr>
            <w:tcW w:w="1417" w:type="dxa"/>
          </w:tcPr>
          <w:p w14:paraId="7DB10668"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566</w:t>
            </w:r>
          </w:p>
        </w:tc>
        <w:tc>
          <w:tcPr>
            <w:tcW w:w="1418" w:type="dxa"/>
          </w:tcPr>
          <w:p w14:paraId="0B4FBC6B"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14</w:t>
            </w:r>
          </w:p>
        </w:tc>
        <w:tc>
          <w:tcPr>
            <w:tcW w:w="1417" w:type="dxa"/>
          </w:tcPr>
          <w:p w14:paraId="0CFC196F"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46</w:t>
            </w:r>
          </w:p>
        </w:tc>
        <w:tc>
          <w:tcPr>
            <w:tcW w:w="1418" w:type="dxa"/>
          </w:tcPr>
          <w:p w14:paraId="3E68728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30</w:t>
            </w:r>
          </w:p>
        </w:tc>
        <w:tc>
          <w:tcPr>
            <w:tcW w:w="1418" w:type="dxa"/>
          </w:tcPr>
          <w:p w14:paraId="47FE1ED3"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w:t>
            </w:r>
          </w:p>
        </w:tc>
      </w:tr>
      <w:tr w:rsidR="006D35A0" w:rsidRPr="00F30D16" w14:paraId="31E8BAA6"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1852BE7E" w14:textId="06BA364F" w:rsidR="006D35A0" w:rsidRPr="00F30D16" w:rsidRDefault="006D35A0" w:rsidP="0012582C">
            <w:r w:rsidRPr="00F30D16">
              <w:t xml:space="preserve">Excellent </w:t>
            </w:r>
          </w:p>
        </w:tc>
        <w:tc>
          <w:tcPr>
            <w:tcW w:w="1417" w:type="dxa"/>
          </w:tcPr>
          <w:p w14:paraId="3962A22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50.0%</w:t>
            </w:r>
          </w:p>
        </w:tc>
        <w:tc>
          <w:tcPr>
            <w:tcW w:w="1418" w:type="dxa"/>
          </w:tcPr>
          <w:p w14:paraId="17F32C0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57.1%</w:t>
            </w:r>
          </w:p>
        </w:tc>
        <w:tc>
          <w:tcPr>
            <w:tcW w:w="1417" w:type="dxa"/>
          </w:tcPr>
          <w:p w14:paraId="66ECC010"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50.0%</w:t>
            </w:r>
          </w:p>
        </w:tc>
        <w:tc>
          <w:tcPr>
            <w:tcW w:w="1418" w:type="dxa"/>
          </w:tcPr>
          <w:p w14:paraId="23911682" w14:textId="500F4AA8"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13.3%</w:t>
            </w:r>
          </w:p>
        </w:tc>
        <w:tc>
          <w:tcPr>
            <w:tcW w:w="1418" w:type="dxa"/>
          </w:tcPr>
          <w:p w14:paraId="101933E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r>
      <w:tr w:rsidR="006D35A0" w:rsidRPr="00F30D16" w14:paraId="4504CE17"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484D3FB5" w14:textId="251BA60C" w:rsidR="006D35A0" w:rsidRPr="00F30D16" w:rsidRDefault="006D35A0" w:rsidP="0012582C">
            <w:r w:rsidRPr="00F30D16">
              <w:t>Good</w:t>
            </w:r>
          </w:p>
        </w:tc>
        <w:tc>
          <w:tcPr>
            <w:tcW w:w="1417" w:type="dxa"/>
          </w:tcPr>
          <w:p w14:paraId="5691CE9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41.7%</w:t>
            </w:r>
          </w:p>
        </w:tc>
        <w:tc>
          <w:tcPr>
            <w:tcW w:w="1418" w:type="dxa"/>
          </w:tcPr>
          <w:p w14:paraId="32AEFD13"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42.9%</w:t>
            </w:r>
          </w:p>
        </w:tc>
        <w:tc>
          <w:tcPr>
            <w:tcW w:w="1417" w:type="dxa"/>
          </w:tcPr>
          <w:p w14:paraId="7E2F9EA9"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10.9%</w:t>
            </w:r>
          </w:p>
        </w:tc>
        <w:tc>
          <w:tcPr>
            <w:tcW w:w="1418" w:type="dxa"/>
          </w:tcPr>
          <w:p w14:paraId="03E6B4A8" w14:textId="75AFE100"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30.0%</w:t>
            </w:r>
          </w:p>
        </w:tc>
        <w:tc>
          <w:tcPr>
            <w:tcW w:w="1418" w:type="dxa"/>
          </w:tcPr>
          <w:p w14:paraId="44AD3CDD" w14:textId="7A5E9884"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64.7%</w:t>
            </w:r>
          </w:p>
        </w:tc>
      </w:tr>
      <w:tr w:rsidR="006D35A0" w:rsidRPr="00F30D16" w14:paraId="2AFEFACE"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64632018" w14:textId="7CE1B8A9" w:rsidR="006D35A0" w:rsidRPr="00F30D16" w:rsidRDefault="006D35A0" w:rsidP="0012582C">
            <w:r w:rsidRPr="00F30D16">
              <w:t>Moderate</w:t>
            </w:r>
          </w:p>
        </w:tc>
        <w:tc>
          <w:tcPr>
            <w:tcW w:w="1417" w:type="dxa"/>
          </w:tcPr>
          <w:p w14:paraId="49D32D75"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8.3%</w:t>
            </w:r>
          </w:p>
        </w:tc>
        <w:tc>
          <w:tcPr>
            <w:tcW w:w="1418" w:type="dxa"/>
          </w:tcPr>
          <w:p w14:paraId="4583BB31"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69B130E6"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34.8%</w:t>
            </w:r>
          </w:p>
        </w:tc>
        <w:tc>
          <w:tcPr>
            <w:tcW w:w="1418" w:type="dxa"/>
          </w:tcPr>
          <w:p w14:paraId="4DADC930" w14:textId="7757B242"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56.7%</w:t>
            </w:r>
          </w:p>
        </w:tc>
        <w:tc>
          <w:tcPr>
            <w:tcW w:w="1418" w:type="dxa"/>
          </w:tcPr>
          <w:p w14:paraId="1F0C03EA" w14:textId="1A0DFA9D"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17.6%</w:t>
            </w:r>
          </w:p>
        </w:tc>
      </w:tr>
      <w:tr w:rsidR="006D35A0" w:rsidRPr="00F30D16" w14:paraId="36C46CD7" w14:textId="77777777" w:rsidTr="00C15E46">
        <w:tc>
          <w:tcPr>
            <w:cnfStyle w:val="001000000000" w:firstRow="0" w:lastRow="0" w:firstColumn="1" w:lastColumn="0" w:oddVBand="0" w:evenVBand="0" w:oddHBand="0" w:evenHBand="0" w:firstRowFirstColumn="0" w:firstRowLastColumn="0" w:lastRowFirstColumn="0" w:lastRowLastColumn="0"/>
            <w:tcW w:w="1951" w:type="dxa"/>
          </w:tcPr>
          <w:p w14:paraId="12E87FAA" w14:textId="21B886AA" w:rsidR="006D35A0" w:rsidRPr="00F30D16" w:rsidRDefault="006D35A0" w:rsidP="0012582C">
            <w:r w:rsidRPr="00F30D16">
              <w:t>None</w:t>
            </w:r>
          </w:p>
        </w:tc>
        <w:tc>
          <w:tcPr>
            <w:tcW w:w="1417" w:type="dxa"/>
          </w:tcPr>
          <w:p w14:paraId="7C76538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8" w:type="dxa"/>
          </w:tcPr>
          <w:p w14:paraId="626F59C7"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w:t>
            </w:r>
          </w:p>
        </w:tc>
        <w:tc>
          <w:tcPr>
            <w:tcW w:w="1417" w:type="dxa"/>
          </w:tcPr>
          <w:p w14:paraId="64D40B52"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4.3%</w:t>
            </w:r>
          </w:p>
        </w:tc>
        <w:tc>
          <w:tcPr>
            <w:tcW w:w="1418" w:type="dxa"/>
          </w:tcPr>
          <w:p w14:paraId="35C33570" w14:textId="77777777"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p>
        </w:tc>
        <w:tc>
          <w:tcPr>
            <w:tcW w:w="1418" w:type="dxa"/>
          </w:tcPr>
          <w:p w14:paraId="1CE5CBB4" w14:textId="255419DA" w:rsidR="006D35A0" w:rsidRPr="00F30D16" w:rsidRDefault="006D35A0" w:rsidP="0012582C">
            <w:pPr>
              <w:cnfStyle w:val="000000000000" w:firstRow="0" w:lastRow="0" w:firstColumn="0" w:lastColumn="0" w:oddVBand="0" w:evenVBand="0" w:oddHBand="0" w:evenHBand="0" w:firstRowFirstColumn="0" w:firstRowLastColumn="0" w:lastRowFirstColumn="0" w:lastRowLastColumn="0"/>
            </w:pPr>
            <w:r w:rsidRPr="00F30D16">
              <w:t>17.6%</w:t>
            </w:r>
          </w:p>
        </w:tc>
      </w:tr>
    </w:tbl>
    <w:p w14:paraId="289053A4" w14:textId="65A3030C" w:rsidR="006D35A0" w:rsidRDefault="006D35A0" w:rsidP="006D35A0">
      <w:r>
        <w:t xml:space="preserve">The on-demand doses for the treatment of BEs in the three pivotal studies (GENA-01, GENA-08, GENA-03) were higher than the doses being proposed by the sponsor in the </w:t>
      </w:r>
      <w:r w:rsidRPr="007B6454">
        <w:rPr>
          <w:i/>
        </w:rPr>
        <w:t>Dosage and Administration</w:t>
      </w:r>
      <w:r>
        <w:t xml:space="preserve"> section of the PI (see Table 4</w:t>
      </w:r>
      <w:r w:rsidR="00F04577">
        <w:t>3</w:t>
      </w:r>
      <w:r>
        <w:t xml:space="preserve"> below). However, the sponsor states that taking into consideration that almost 50% of the BEs </w:t>
      </w:r>
      <w:proofErr w:type="gramStart"/>
      <w:r>
        <w:t>were</w:t>
      </w:r>
      <w:proofErr w:type="gramEnd"/>
      <w:r>
        <w:t xml:space="preserve"> moderate to major and that nearly 50% of the surgeries were major, the average actual doses administered are in line with proposed doses. The mean dose per infusion for the treatment of on-demand BEs ranged across the three pivotal studies from 32 IU/kg to 45 IU/kg, and the administered doses ranged from 7 to 88 IU/kg. In the 5 studies, the highest mean dose was reported in children (45 IU/kg), and the highest dose across the </w:t>
      </w:r>
      <w:r w:rsidR="00B55849">
        <w:t xml:space="preserve">three </w:t>
      </w:r>
      <w:r>
        <w:t>studies was administered to a child (88 IU/kg).</w:t>
      </w:r>
    </w:p>
    <w:p w14:paraId="4F09B302" w14:textId="3F12DA2F" w:rsidR="006D35A0" w:rsidRDefault="006D35A0" w:rsidP="00F04577">
      <w:pPr>
        <w:pStyle w:val="Tabletitle"/>
      </w:pPr>
      <w:bookmarkStart w:id="148" w:name="_Toc248202562"/>
      <w:r>
        <w:t xml:space="preserve">Table </w:t>
      </w:r>
      <w:r w:rsidR="000A1340">
        <w:t>4</w:t>
      </w:r>
      <w:r w:rsidR="00F04577">
        <w:t>3</w:t>
      </w:r>
      <w:r>
        <w:t>: Proposed dose (based on the PI) for on-demand BEs and the administered dosing recommendations from the five clinical studies.</w:t>
      </w:r>
      <w:bookmarkEnd w:id="148"/>
    </w:p>
    <w:tbl>
      <w:tblPr>
        <w:tblStyle w:val="TableTGAblue"/>
        <w:tblW w:w="0" w:type="auto"/>
        <w:tblLook w:val="04A0" w:firstRow="1" w:lastRow="0" w:firstColumn="1" w:lastColumn="0" w:noHBand="0" w:noVBand="1"/>
      </w:tblPr>
      <w:tblGrid>
        <w:gridCol w:w="1655"/>
        <w:gridCol w:w="2563"/>
        <w:gridCol w:w="2512"/>
        <w:gridCol w:w="2512"/>
      </w:tblGrid>
      <w:tr w:rsidR="006D35A0" w:rsidRPr="00C23138" w14:paraId="2B24A878" w14:textId="77777777" w:rsidTr="00F817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6" w:type="dxa"/>
          </w:tcPr>
          <w:p w14:paraId="4225307D" w14:textId="77777777" w:rsidR="006D35A0" w:rsidRPr="00C23138" w:rsidRDefault="006D35A0" w:rsidP="00DF6F6A">
            <w:r w:rsidRPr="00C23138">
              <w:t xml:space="preserve">Severity BE </w:t>
            </w:r>
          </w:p>
        </w:tc>
        <w:tc>
          <w:tcPr>
            <w:tcW w:w="2835" w:type="dxa"/>
          </w:tcPr>
          <w:p w14:paraId="27C2004E"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 xml:space="preserve">Proposed Dose - based on PI </w:t>
            </w:r>
          </w:p>
        </w:tc>
        <w:tc>
          <w:tcPr>
            <w:tcW w:w="2835" w:type="dxa"/>
          </w:tcPr>
          <w:p w14:paraId="58928275"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GENA-01, -08, -03, -04</w:t>
            </w:r>
          </w:p>
        </w:tc>
        <w:tc>
          <w:tcPr>
            <w:tcW w:w="2835" w:type="dxa"/>
          </w:tcPr>
          <w:p w14:paraId="07A39F58"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GENA-09</w:t>
            </w:r>
          </w:p>
        </w:tc>
      </w:tr>
      <w:tr w:rsidR="006D35A0" w:rsidRPr="00C23138" w14:paraId="6ECAD304" w14:textId="77777777" w:rsidTr="00C15E46">
        <w:tc>
          <w:tcPr>
            <w:cnfStyle w:val="001000000000" w:firstRow="0" w:lastRow="0" w:firstColumn="1" w:lastColumn="0" w:oddVBand="0" w:evenVBand="0" w:oddHBand="0" w:evenHBand="0" w:firstRowFirstColumn="0" w:firstRowLastColumn="0" w:lastRowFirstColumn="0" w:lastRowLastColumn="0"/>
            <w:tcW w:w="1156" w:type="dxa"/>
          </w:tcPr>
          <w:p w14:paraId="385FD198" w14:textId="77777777" w:rsidR="006D35A0" w:rsidRPr="00C23138" w:rsidRDefault="006D35A0" w:rsidP="00DF6F6A">
            <w:r w:rsidRPr="00C23138">
              <w:t>Minor</w:t>
            </w:r>
          </w:p>
        </w:tc>
        <w:tc>
          <w:tcPr>
            <w:tcW w:w="2835" w:type="dxa"/>
          </w:tcPr>
          <w:p w14:paraId="4EF8916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Pr>
                <w:color w:val="000000"/>
              </w:rPr>
              <w:t xml:space="preserve">FVIII required levels 20-40%; </w:t>
            </w:r>
            <w:r w:rsidRPr="00C23138">
              <w:rPr>
                <w:color w:val="000000"/>
              </w:rPr>
              <w:t>repeat every 12–24 h. At least 1 day, until the BE, as indicated by pain is resolved or healing is achieved</w:t>
            </w:r>
            <w:r>
              <w:rPr>
                <w:color w:val="000000"/>
              </w:rPr>
              <w:t xml:space="preserve">. </w:t>
            </w:r>
            <w:r w:rsidRPr="00E46089">
              <w:rPr>
                <w:i/>
                <w:color w:val="000000"/>
              </w:rPr>
              <w:t>(Recommended dose is not stated in the PI but would be 10-20 IU/kg based on the required FVIII levels).</w:t>
            </w:r>
            <w:r>
              <w:rPr>
                <w:color w:val="000000"/>
              </w:rPr>
              <w:t xml:space="preserve">  </w:t>
            </w:r>
          </w:p>
        </w:tc>
        <w:tc>
          <w:tcPr>
            <w:tcW w:w="2835" w:type="dxa"/>
          </w:tcPr>
          <w:p w14:paraId="30F0014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FVIII peak levels 40-60%; dose 20-30 IU/kg every 12-24</w:t>
            </w:r>
            <w:r>
              <w:t xml:space="preserve"> </w:t>
            </w:r>
            <w:r w:rsidRPr="00C23138">
              <w:t>h</w:t>
            </w:r>
            <w:r>
              <w:t>r</w:t>
            </w:r>
            <w:r w:rsidRPr="00C23138">
              <w:t xml:space="preserve"> until BE resolution.</w:t>
            </w:r>
          </w:p>
        </w:tc>
        <w:tc>
          <w:tcPr>
            <w:tcW w:w="2835" w:type="dxa"/>
          </w:tcPr>
          <w:p w14:paraId="026EC6BC"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FVIII peak levels 40-60%; dose 10-20 IU/kg every 12-24 h</w:t>
            </w:r>
            <w:r>
              <w:t>r</w:t>
            </w:r>
            <w:r w:rsidRPr="00C23138">
              <w:t xml:space="preserve"> until BE resolution.</w:t>
            </w:r>
          </w:p>
        </w:tc>
      </w:tr>
      <w:tr w:rsidR="006D35A0" w:rsidRPr="00C23138" w14:paraId="32DB111B" w14:textId="77777777" w:rsidTr="00C15E46">
        <w:tc>
          <w:tcPr>
            <w:cnfStyle w:val="001000000000" w:firstRow="0" w:lastRow="0" w:firstColumn="1" w:lastColumn="0" w:oddVBand="0" w:evenVBand="0" w:oddHBand="0" w:evenHBand="0" w:firstRowFirstColumn="0" w:firstRowLastColumn="0" w:lastRowFirstColumn="0" w:lastRowLastColumn="0"/>
            <w:tcW w:w="1156" w:type="dxa"/>
          </w:tcPr>
          <w:p w14:paraId="760E2D8C" w14:textId="77777777" w:rsidR="006D35A0" w:rsidRPr="00C23138" w:rsidRDefault="006D35A0" w:rsidP="00DF6F6A">
            <w:r w:rsidRPr="00C23138">
              <w:t>Moderate to Major</w:t>
            </w:r>
          </w:p>
        </w:tc>
        <w:tc>
          <w:tcPr>
            <w:tcW w:w="2835" w:type="dxa"/>
          </w:tcPr>
          <w:p w14:paraId="18F656C3"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sidRPr="00C23138">
              <w:rPr>
                <w:color w:val="000000"/>
              </w:rPr>
              <w:t xml:space="preserve">FVIII required levels 30-60%; repeat every 3 to 4 days of more until pain and </w:t>
            </w:r>
            <w:r w:rsidRPr="00C23138">
              <w:rPr>
                <w:color w:val="000000"/>
              </w:rPr>
              <w:lastRenderedPageBreak/>
              <w:t>acute disability are resolved.</w:t>
            </w:r>
            <w:r>
              <w:rPr>
                <w:color w:val="000000"/>
              </w:rPr>
              <w:t xml:space="preserve"> </w:t>
            </w:r>
            <w:r w:rsidRPr="00E46089">
              <w:rPr>
                <w:i/>
                <w:color w:val="000000"/>
              </w:rPr>
              <w:t>(Recommended dose is not stated in the PI but would be 15-30 IU/kg based on the required FVIII levels).</w:t>
            </w:r>
            <w:r>
              <w:rPr>
                <w:color w:val="000000"/>
              </w:rPr>
              <w:t xml:space="preserve">  </w:t>
            </w:r>
          </w:p>
        </w:tc>
        <w:tc>
          <w:tcPr>
            <w:tcW w:w="2835" w:type="dxa"/>
          </w:tcPr>
          <w:p w14:paraId="3D6B36E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lastRenderedPageBreak/>
              <w:t xml:space="preserve">FVIII peak levels 60-80%; dose 30-40 IU/kg every 12-24 h </w:t>
            </w:r>
            <w:r w:rsidRPr="00C23138">
              <w:lastRenderedPageBreak/>
              <w:t>until BE resolution.</w:t>
            </w:r>
          </w:p>
        </w:tc>
        <w:tc>
          <w:tcPr>
            <w:tcW w:w="2835" w:type="dxa"/>
          </w:tcPr>
          <w:p w14:paraId="5526215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lastRenderedPageBreak/>
              <w:t>FVIII peak levels 40-60%; dose 15-30 IU/kg every 12-24 h</w:t>
            </w:r>
            <w:r>
              <w:t>r</w:t>
            </w:r>
            <w:r w:rsidRPr="00C23138">
              <w:t xml:space="preserve"> until BE </w:t>
            </w:r>
            <w:r w:rsidRPr="00C23138">
              <w:lastRenderedPageBreak/>
              <w:t>resolution.</w:t>
            </w:r>
          </w:p>
        </w:tc>
      </w:tr>
      <w:tr w:rsidR="006D35A0" w:rsidRPr="00C23138" w14:paraId="59932021" w14:textId="77777777" w:rsidTr="00C15E46">
        <w:tc>
          <w:tcPr>
            <w:cnfStyle w:val="001000000000" w:firstRow="0" w:lastRow="0" w:firstColumn="1" w:lastColumn="0" w:oddVBand="0" w:evenVBand="0" w:oddHBand="0" w:evenHBand="0" w:firstRowFirstColumn="0" w:firstRowLastColumn="0" w:lastRowFirstColumn="0" w:lastRowLastColumn="0"/>
            <w:tcW w:w="1156" w:type="dxa"/>
          </w:tcPr>
          <w:p w14:paraId="192BF940" w14:textId="77777777" w:rsidR="006D35A0" w:rsidRPr="00C23138" w:rsidRDefault="006D35A0" w:rsidP="00DF6F6A">
            <w:r w:rsidRPr="00C23138">
              <w:lastRenderedPageBreak/>
              <w:t>Major to life-threatening</w:t>
            </w:r>
          </w:p>
        </w:tc>
        <w:tc>
          <w:tcPr>
            <w:tcW w:w="2835" w:type="dxa"/>
          </w:tcPr>
          <w:p w14:paraId="4705C7D1" w14:textId="211A00EF"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sidRPr="00C23138">
              <w:rPr>
                <w:color w:val="000000"/>
              </w:rPr>
              <w:t>FVIII required levels 60-100%; dose</w:t>
            </w:r>
            <w:r>
              <w:rPr>
                <w:color w:val="000000"/>
              </w:rPr>
              <w:t xml:space="preserve"> 30-50 IU/kg, repeat every 8-12 hr until threat is </w:t>
            </w:r>
            <w:r w:rsidRPr="00C23138">
              <w:rPr>
                <w:color w:val="000000"/>
              </w:rPr>
              <w:t>resolved.</w:t>
            </w:r>
            <w:r>
              <w:rPr>
                <w:color w:val="000000"/>
              </w:rPr>
              <w:t xml:space="preserve"> </w:t>
            </w:r>
            <w:r w:rsidRPr="00E46089">
              <w:rPr>
                <w:i/>
                <w:color w:val="000000"/>
              </w:rPr>
              <w:t>(Recommended dose is not stated in the PI but would be 30-50 IU/kg based on the required FVIII levels).</w:t>
            </w:r>
          </w:p>
        </w:tc>
        <w:tc>
          <w:tcPr>
            <w:tcW w:w="2835" w:type="dxa"/>
          </w:tcPr>
          <w:p w14:paraId="43CF8646" w14:textId="640152DC"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FVIII peak levels 100-</w:t>
            </w:r>
            <w:r>
              <w:t>120</w:t>
            </w:r>
            <w:r w:rsidRPr="00C23138">
              <w:t>%; initial dose 50-60 IU/kg and subsequently 20-25 IU/kg ev</w:t>
            </w:r>
            <w:r w:rsidR="00DF6F6A">
              <w:t>ery 8-12 h until BE resolution.</w:t>
            </w:r>
          </w:p>
        </w:tc>
        <w:tc>
          <w:tcPr>
            <w:tcW w:w="2835" w:type="dxa"/>
          </w:tcPr>
          <w:p w14:paraId="0B5F141C" w14:textId="7748386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t>FVIII peak levels 100-</w:t>
            </w:r>
            <w:r w:rsidRPr="00C23138">
              <w:t>120%; initial dose every 8-12 h</w:t>
            </w:r>
            <w:r>
              <w:t>r</w:t>
            </w:r>
            <w:r w:rsidRPr="00C23138">
              <w:t xml:space="preserve"> and subsequently a dose of 2</w:t>
            </w:r>
            <w:r w:rsidR="00DF6F6A">
              <w:t>0-25 IU/kg until BE resolution.</w:t>
            </w:r>
          </w:p>
        </w:tc>
      </w:tr>
    </w:tbl>
    <w:p w14:paraId="5BEC1F33" w14:textId="77777777" w:rsidR="000F04AF" w:rsidRDefault="006D35A0" w:rsidP="006D35A0">
      <w:r>
        <w:t>The sponsor states that "the amount and frequency of administration should always be orientated the clinical effectiveness in the individual case" and that this is outlined in the European SPC. (The information in the S</w:t>
      </w:r>
      <w:r w:rsidR="00330E67">
        <w:t>m</w:t>
      </w:r>
      <w:r>
        <w:t>PC is the same as that provided in the PI). Furthermore, the sponsor states that calculation of simoctocog alfa dosage required for prophylaxis or treatment of bleeding in each of the clinical studies was based on the assumption that 1 IU FVIII/kg would raise the plasma FVIII activity by 1.5% to 2% of normal, and that the dosing scheme for on-demand treatment was validated by the results obtained for incremental recovery of FVIII in each of the studies. The results for IVR for the three pivotal efficacy studies for actual doses of simoctocog alfa as determined by the CHR and OS assays are summarised below in Table 4</w:t>
      </w:r>
      <w:r w:rsidR="00F04577">
        <w:t>4</w:t>
      </w:r>
      <w:r>
        <w:t>. The data show that the IVR was notably lower in children (GENA-03) than in adults (GENA-01, GENA-08).</w:t>
      </w:r>
    </w:p>
    <w:p w14:paraId="6C0B4618" w14:textId="28A8B3FE" w:rsidR="006D35A0" w:rsidRDefault="006D35A0" w:rsidP="00DF6F6A">
      <w:pPr>
        <w:pStyle w:val="Tabletitle"/>
      </w:pPr>
      <w:bookmarkStart w:id="149" w:name="_Toc248202563"/>
      <w:r>
        <w:t xml:space="preserve">Table </w:t>
      </w:r>
      <w:r w:rsidR="000A1340">
        <w:t>4</w:t>
      </w:r>
      <w:r w:rsidR="00F04577">
        <w:t>4</w:t>
      </w:r>
      <w:r>
        <w:t>: Summary of recovery (IVR) for the three pivotal studies, doses are actual doses received as determined by the CHR and OS assays.</w:t>
      </w:r>
      <w:bookmarkEnd w:id="149"/>
    </w:p>
    <w:tbl>
      <w:tblPr>
        <w:tblStyle w:val="TableTGAblue"/>
        <w:tblW w:w="9815" w:type="dxa"/>
        <w:tblInd w:w="108" w:type="dxa"/>
        <w:tblLayout w:type="fixed"/>
        <w:tblLook w:val="04A0" w:firstRow="1" w:lastRow="0" w:firstColumn="1" w:lastColumn="0" w:noHBand="0" w:noVBand="1"/>
      </w:tblPr>
      <w:tblGrid>
        <w:gridCol w:w="993"/>
        <w:gridCol w:w="850"/>
        <w:gridCol w:w="992"/>
        <w:gridCol w:w="1276"/>
        <w:gridCol w:w="1134"/>
        <w:gridCol w:w="992"/>
        <w:gridCol w:w="1134"/>
        <w:gridCol w:w="1134"/>
        <w:gridCol w:w="1310"/>
      </w:tblGrid>
      <w:tr w:rsidR="006D35A0" w:rsidRPr="00C23138" w14:paraId="3CDB8D92" w14:textId="77777777" w:rsidTr="00DF6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078CF23F" w14:textId="77777777" w:rsidR="006D35A0" w:rsidRPr="00C23138" w:rsidRDefault="006D35A0" w:rsidP="00DF6F6A"/>
        </w:tc>
        <w:tc>
          <w:tcPr>
            <w:tcW w:w="850" w:type="dxa"/>
          </w:tcPr>
          <w:p w14:paraId="4536012D"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n</w:t>
            </w:r>
          </w:p>
        </w:tc>
        <w:tc>
          <w:tcPr>
            <w:tcW w:w="992" w:type="dxa"/>
          </w:tcPr>
          <w:p w14:paraId="43D7EE38"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p>
        </w:tc>
        <w:tc>
          <w:tcPr>
            <w:tcW w:w="2410" w:type="dxa"/>
            <w:gridSpan w:val="2"/>
          </w:tcPr>
          <w:p w14:paraId="4DDAB023"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IVR Start</w:t>
            </w:r>
          </w:p>
        </w:tc>
        <w:tc>
          <w:tcPr>
            <w:tcW w:w="2126" w:type="dxa"/>
            <w:gridSpan w:val="2"/>
          </w:tcPr>
          <w:p w14:paraId="59A407BA"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IVR 3 months</w:t>
            </w:r>
          </w:p>
        </w:tc>
        <w:tc>
          <w:tcPr>
            <w:tcW w:w="2444" w:type="dxa"/>
            <w:gridSpan w:val="2"/>
          </w:tcPr>
          <w:p w14:paraId="04C962AF" w14:textId="77777777" w:rsidR="006D35A0" w:rsidRPr="00C23138" w:rsidRDefault="006D35A0" w:rsidP="00DF6F6A">
            <w:pPr>
              <w:cnfStyle w:val="100000000000" w:firstRow="1" w:lastRow="0" w:firstColumn="0" w:lastColumn="0" w:oddVBand="0" w:evenVBand="0" w:oddHBand="0" w:evenHBand="0" w:firstRowFirstColumn="0" w:firstRowLastColumn="0" w:lastRowFirstColumn="0" w:lastRowLastColumn="0"/>
            </w:pPr>
            <w:r w:rsidRPr="00C23138">
              <w:t>IVR 6 months</w:t>
            </w:r>
          </w:p>
        </w:tc>
      </w:tr>
      <w:tr w:rsidR="006D35A0" w:rsidRPr="00C23138" w14:paraId="010A45B5"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4DD2E425" w14:textId="77777777" w:rsidR="006D35A0" w:rsidRPr="00C23138" w:rsidRDefault="006D35A0" w:rsidP="00DF6F6A"/>
        </w:tc>
        <w:tc>
          <w:tcPr>
            <w:tcW w:w="850" w:type="dxa"/>
          </w:tcPr>
          <w:p w14:paraId="2E872B92"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129F487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276" w:type="dxa"/>
          </w:tcPr>
          <w:p w14:paraId="03ACFC6B"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Dose IU/kg</w:t>
            </w:r>
          </w:p>
        </w:tc>
        <w:tc>
          <w:tcPr>
            <w:tcW w:w="1134" w:type="dxa"/>
          </w:tcPr>
          <w:p w14:paraId="1E5C44E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IVR % per IU/kg</w:t>
            </w:r>
          </w:p>
        </w:tc>
        <w:tc>
          <w:tcPr>
            <w:tcW w:w="992" w:type="dxa"/>
          </w:tcPr>
          <w:p w14:paraId="54CC15F4"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sidRPr="00C23138">
              <w:rPr>
                <w:color w:val="000000"/>
              </w:rPr>
              <w:t>Dose IU/kg</w:t>
            </w:r>
          </w:p>
        </w:tc>
        <w:tc>
          <w:tcPr>
            <w:tcW w:w="1134" w:type="dxa"/>
          </w:tcPr>
          <w:p w14:paraId="347308C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sidRPr="00C23138">
              <w:rPr>
                <w:color w:val="000000"/>
              </w:rPr>
              <w:t>IVR % per IU/kg</w:t>
            </w:r>
          </w:p>
        </w:tc>
        <w:tc>
          <w:tcPr>
            <w:tcW w:w="1134" w:type="dxa"/>
          </w:tcPr>
          <w:p w14:paraId="3C24C403"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Dose IU/kg </w:t>
            </w:r>
          </w:p>
        </w:tc>
        <w:tc>
          <w:tcPr>
            <w:tcW w:w="1310" w:type="dxa"/>
          </w:tcPr>
          <w:p w14:paraId="69807B62"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sidRPr="00C23138">
              <w:rPr>
                <w:color w:val="000000"/>
              </w:rPr>
              <w:t xml:space="preserve">IVR % per IU/kg </w:t>
            </w:r>
          </w:p>
        </w:tc>
      </w:tr>
      <w:tr w:rsidR="006D35A0" w:rsidRPr="00C23138" w14:paraId="0FF4A189"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0220E1D6" w14:textId="77777777" w:rsidR="006D35A0" w:rsidRPr="00C23138" w:rsidRDefault="006D35A0" w:rsidP="00DF6F6A">
            <w:r w:rsidRPr="00C23138">
              <w:t>GENA-01</w:t>
            </w:r>
          </w:p>
        </w:tc>
        <w:tc>
          <w:tcPr>
            <w:tcW w:w="850" w:type="dxa"/>
          </w:tcPr>
          <w:p w14:paraId="4284813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20-22</w:t>
            </w:r>
            <w:r w:rsidRPr="00C23138">
              <w:rPr>
                <w:vertAlign w:val="superscript"/>
              </w:rPr>
              <w:t>1</w:t>
            </w:r>
          </w:p>
        </w:tc>
        <w:tc>
          <w:tcPr>
            <w:tcW w:w="992" w:type="dxa"/>
          </w:tcPr>
          <w:p w14:paraId="705F1D3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CHR</w:t>
            </w:r>
          </w:p>
        </w:tc>
        <w:tc>
          <w:tcPr>
            <w:tcW w:w="1276" w:type="dxa"/>
          </w:tcPr>
          <w:p w14:paraId="0BEFE773"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58.7 ± 3.7</w:t>
            </w:r>
          </w:p>
        </w:tc>
        <w:tc>
          <w:tcPr>
            <w:tcW w:w="1134" w:type="dxa"/>
          </w:tcPr>
          <w:p w14:paraId="0D8EE9F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2.50 ± 0.37</w:t>
            </w:r>
          </w:p>
        </w:tc>
        <w:tc>
          <w:tcPr>
            <w:tcW w:w="992" w:type="dxa"/>
          </w:tcPr>
          <w:p w14:paraId="3EB3662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vertAlign w:val="superscript"/>
              </w:rPr>
            </w:pPr>
            <w:r w:rsidRPr="00C23138">
              <w:rPr>
                <w:color w:val="000000"/>
              </w:rPr>
              <w:t>59.0 ± 5.2</w:t>
            </w:r>
          </w:p>
        </w:tc>
        <w:tc>
          <w:tcPr>
            <w:tcW w:w="1134" w:type="dxa"/>
          </w:tcPr>
          <w:p w14:paraId="0361C3F4"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rPr>
                <w:color w:val="000000"/>
              </w:rPr>
              <w:t xml:space="preserve">2.44±0.56 </w:t>
            </w:r>
          </w:p>
        </w:tc>
        <w:tc>
          <w:tcPr>
            <w:tcW w:w="1134" w:type="dxa"/>
          </w:tcPr>
          <w:p w14:paraId="58A71173"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58.7 ± 4.8 </w:t>
            </w:r>
          </w:p>
        </w:tc>
        <w:tc>
          <w:tcPr>
            <w:tcW w:w="1310" w:type="dxa"/>
          </w:tcPr>
          <w:p w14:paraId="1C55504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rPr>
                <w:color w:val="000000"/>
              </w:rPr>
              <w:t>2.34 ± 0.50</w:t>
            </w:r>
          </w:p>
        </w:tc>
      </w:tr>
      <w:tr w:rsidR="006D35A0" w:rsidRPr="00C23138" w14:paraId="513D07D2"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36E5C908" w14:textId="77777777" w:rsidR="006D35A0" w:rsidRPr="00C23138" w:rsidRDefault="006D35A0" w:rsidP="00DF6F6A"/>
        </w:tc>
        <w:tc>
          <w:tcPr>
            <w:tcW w:w="850" w:type="dxa"/>
          </w:tcPr>
          <w:p w14:paraId="285DFD9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38D660D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OS</w:t>
            </w:r>
          </w:p>
        </w:tc>
        <w:tc>
          <w:tcPr>
            <w:tcW w:w="1276" w:type="dxa"/>
          </w:tcPr>
          <w:p w14:paraId="134E3A4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vertAlign w:val="superscript"/>
              </w:rPr>
            </w:pPr>
            <w:r w:rsidRPr="00C23138">
              <w:t xml:space="preserve">48.6 ± 3.3 </w:t>
            </w:r>
          </w:p>
        </w:tc>
        <w:tc>
          <w:tcPr>
            <w:tcW w:w="1134" w:type="dxa"/>
          </w:tcPr>
          <w:p w14:paraId="3B1D85C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2.14 ± 0.27</w:t>
            </w:r>
          </w:p>
        </w:tc>
        <w:tc>
          <w:tcPr>
            <w:tcW w:w="992" w:type="dxa"/>
          </w:tcPr>
          <w:p w14:paraId="76A2565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50.3 ± 4.2</w:t>
            </w:r>
          </w:p>
        </w:tc>
        <w:tc>
          <w:tcPr>
            <w:tcW w:w="1134" w:type="dxa"/>
          </w:tcPr>
          <w:p w14:paraId="4CD858F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rPr>
                <w:vertAlign w:val="superscript"/>
              </w:rPr>
            </w:pPr>
            <w:r w:rsidRPr="00C23138">
              <w:t>2.06 ± 0.39</w:t>
            </w:r>
          </w:p>
        </w:tc>
        <w:tc>
          <w:tcPr>
            <w:tcW w:w="1134" w:type="dxa"/>
          </w:tcPr>
          <w:p w14:paraId="22DB0A6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50.0 ± 4.0</w:t>
            </w:r>
          </w:p>
        </w:tc>
        <w:tc>
          <w:tcPr>
            <w:tcW w:w="1310" w:type="dxa"/>
          </w:tcPr>
          <w:p w14:paraId="482BBEA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2.01 ± 0.33</w:t>
            </w:r>
          </w:p>
        </w:tc>
      </w:tr>
      <w:tr w:rsidR="006D35A0" w:rsidRPr="00C23138" w14:paraId="23E6EDE8"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2D61DB42" w14:textId="77777777" w:rsidR="006D35A0" w:rsidRPr="00C23138" w:rsidRDefault="006D35A0" w:rsidP="00DF6F6A">
            <w:r w:rsidRPr="00C23138">
              <w:lastRenderedPageBreak/>
              <w:t>GENA-08</w:t>
            </w:r>
          </w:p>
        </w:tc>
        <w:tc>
          <w:tcPr>
            <w:tcW w:w="850" w:type="dxa"/>
          </w:tcPr>
          <w:p w14:paraId="1E252FE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30-32</w:t>
            </w:r>
            <w:r w:rsidRPr="00C23138">
              <w:rPr>
                <w:vertAlign w:val="superscript"/>
              </w:rPr>
              <w:t>2</w:t>
            </w:r>
            <w:r w:rsidRPr="00C23138">
              <w:t xml:space="preserve"> </w:t>
            </w:r>
          </w:p>
        </w:tc>
        <w:tc>
          <w:tcPr>
            <w:tcW w:w="992" w:type="dxa"/>
          </w:tcPr>
          <w:p w14:paraId="13AB318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CHR</w:t>
            </w:r>
          </w:p>
        </w:tc>
        <w:tc>
          <w:tcPr>
            <w:tcW w:w="1276" w:type="dxa"/>
          </w:tcPr>
          <w:p w14:paraId="2997802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55.6 ± 2.8</w:t>
            </w:r>
          </w:p>
        </w:tc>
        <w:tc>
          <w:tcPr>
            <w:tcW w:w="1134" w:type="dxa"/>
          </w:tcPr>
          <w:p w14:paraId="341D156A"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2.57 ± 0.54</w:t>
            </w:r>
          </w:p>
        </w:tc>
        <w:tc>
          <w:tcPr>
            <w:tcW w:w="992" w:type="dxa"/>
          </w:tcPr>
          <w:p w14:paraId="5ACB5FE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53.5 ± 4.6</w:t>
            </w:r>
          </w:p>
        </w:tc>
        <w:tc>
          <w:tcPr>
            <w:tcW w:w="1134" w:type="dxa"/>
          </w:tcPr>
          <w:p w14:paraId="472AAC9B"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2.37 ± 0.50</w:t>
            </w:r>
          </w:p>
        </w:tc>
        <w:tc>
          <w:tcPr>
            <w:tcW w:w="1134" w:type="dxa"/>
          </w:tcPr>
          <w:p w14:paraId="4B2C9D0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53.6 ± 2.3</w:t>
            </w:r>
          </w:p>
        </w:tc>
        <w:tc>
          <w:tcPr>
            <w:tcW w:w="1310" w:type="dxa"/>
          </w:tcPr>
          <w:p w14:paraId="09913D3C"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2.34 ± 0.40</w:t>
            </w:r>
          </w:p>
        </w:tc>
      </w:tr>
      <w:tr w:rsidR="006D35A0" w:rsidRPr="00C23138" w14:paraId="557C8DE4"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6D419F37" w14:textId="77777777" w:rsidR="006D35A0" w:rsidRPr="00C23138" w:rsidRDefault="006D35A0" w:rsidP="00DF6F6A"/>
        </w:tc>
        <w:tc>
          <w:tcPr>
            <w:tcW w:w="850" w:type="dxa"/>
          </w:tcPr>
          <w:p w14:paraId="0985FB3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7402442A"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OS </w:t>
            </w:r>
          </w:p>
        </w:tc>
        <w:tc>
          <w:tcPr>
            <w:tcW w:w="1276" w:type="dxa"/>
          </w:tcPr>
          <w:p w14:paraId="15FDF666"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47.8 ± 2.8</w:t>
            </w:r>
          </w:p>
        </w:tc>
        <w:tc>
          <w:tcPr>
            <w:tcW w:w="1134" w:type="dxa"/>
          </w:tcPr>
          <w:p w14:paraId="4AE25356"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2.20 ± 0.47</w:t>
            </w:r>
          </w:p>
        </w:tc>
        <w:tc>
          <w:tcPr>
            <w:tcW w:w="992" w:type="dxa"/>
          </w:tcPr>
          <w:p w14:paraId="67A3F17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45.1 ± 4.2</w:t>
            </w:r>
          </w:p>
        </w:tc>
        <w:tc>
          <w:tcPr>
            <w:tcW w:w="1134" w:type="dxa"/>
          </w:tcPr>
          <w:p w14:paraId="1774542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2.05 ± 0.35</w:t>
            </w:r>
          </w:p>
        </w:tc>
        <w:tc>
          <w:tcPr>
            <w:tcW w:w="1134" w:type="dxa"/>
          </w:tcPr>
          <w:p w14:paraId="64CD2CCA"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45.3 ± 2.5 </w:t>
            </w:r>
          </w:p>
        </w:tc>
        <w:tc>
          <w:tcPr>
            <w:tcW w:w="1310" w:type="dxa"/>
          </w:tcPr>
          <w:p w14:paraId="2E3C2C4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2.01 ± 0.30 </w:t>
            </w:r>
          </w:p>
        </w:tc>
      </w:tr>
      <w:tr w:rsidR="006D35A0" w:rsidRPr="00C23138" w14:paraId="3B73D9ED"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265C50B3" w14:textId="77777777" w:rsidR="006D35A0" w:rsidRPr="00C23138" w:rsidRDefault="006D35A0" w:rsidP="00DF6F6A">
            <w:r w:rsidRPr="00C23138">
              <w:t xml:space="preserve">GENA-03 </w:t>
            </w:r>
          </w:p>
        </w:tc>
        <w:tc>
          <w:tcPr>
            <w:tcW w:w="850" w:type="dxa"/>
          </w:tcPr>
          <w:p w14:paraId="3E90B9F2"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26-55</w:t>
            </w:r>
            <w:r w:rsidRPr="00C23138">
              <w:rPr>
                <w:vertAlign w:val="superscript"/>
              </w:rPr>
              <w:t>3</w:t>
            </w:r>
          </w:p>
        </w:tc>
        <w:tc>
          <w:tcPr>
            <w:tcW w:w="992" w:type="dxa"/>
          </w:tcPr>
          <w:p w14:paraId="513A475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CHR </w:t>
            </w:r>
          </w:p>
        </w:tc>
        <w:tc>
          <w:tcPr>
            <w:tcW w:w="1276" w:type="dxa"/>
          </w:tcPr>
          <w:p w14:paraId="43D09B71"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53.1 ± 1.5</w:t>
            </w:r>
          </w:p>
        </w:tc>
        <w:tc>
          <w:tcPr>
            <w:tcW w:w="1134" w:type="dxa"/>
          </w:tcPr>
          <w:p w14:paraId="34E8240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1.83 ± 0.41 </w:t>
            </w:r>
            <w:r w:rsidRPr="00C23138">
              <w:rPr>
                <w:vertAlign w:val="superscript"/>
              </w:rPr>
              <w:t>4</w:t>
            </w:r>
          </w:p>
        </w:tc>
        <w:tc>
          <w:tcPr>
            <w:tcW w:w="992" w:type="dxa"/>
          </w:tcPr>
          <w:p w14:paraId="48BB028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52.2 ± 4.3</w:t>
            </w:r>
          </w:p>
        </w:tc>
        <w:tc>
          <w:tcPr>
            <w:tcW w:w="1134" w:type="dxa"/>
          </w:tcPr>
          <w:p w14:paraId="495DA52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1.70 ± 0.40</w:t>
            </w:r>
          </w:p>
        </w:tc>
        <w:tc>
          <w:tcPr>
            <w:tcW w:w="1134" w:type="dxa"/>
          </w:tcPr>
          <w:p w14:paraId="289693E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51.6 ± 3.1</w:t>
            </w:r>
          </w:p>
        </w:tc>
        <w:tc>
          <w:tcPr>
            <w:tcW w:w="1310" w:type="dxa"/>
          </w:tcPr>
          <w:p w14:paraId="33B4D59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1.77 ± 0.46</w:t>
            </w:r>
          </w:p>
        </w:tc>
      </w:tr>
      <w:tr w:rsidR="006D35A0" w:rsidRPr="00C23138" w14:paraId="04880AB0"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667C3688" w14:textId="77777777" w:rsidR="006D35A0" w:rsidRPr="00C23138" w:rsidRDefault="006D35A0" w:rsidP="00DF6F6A"/>
        </w:tc>
        <w:tc>
          <w:tcPr>
            <w:tcW w:w="850" w:type="dxa"/>
          </w:tcPr>
          <w:p w14:paraId="4644ECA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5D379610"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OS</w:t>
            </w:r>
          </w:p>
        </w:tc>
        <w:tc>
          <w:tcPr>
            <w:tcW w:w="1276" w:type="dxa"/>
          </w:tcPr>
          <w:p w14:paraId="3884C40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45.1 ± 1.1</w:t>
            </w:r>
          </w:p>
        </w:tc>
        <w:tc>
          <w:tcPr>
            <w:tcW w:w="1134" w:type="dxa"/>
          </w:tcPr>
          <w:p w14:paraId="5860D65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1.58 ± 0.33 </w:t>
            </w:r>
            <w:r w:rsidRPr="00C23138">
              <w:rPr>
                <w:vertAlign w:val="superscript"/>
              </w:rPr>
              <w:t>4</w:t>
            </w:r>
          </w:p>
        </w:tc>
        <w:tc>
          <w:tcPr>
            <w:tcW w:w="992" w:type="dxa"/>
          </w:tcPr>
          <w:p w14:paraId="160BE8B4"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44.4 ± 4.0</w:t>
            </w:r>
          </w:p>
        </w:tc>
        <w:tc>
          <w:tcPr>
            <w:tcW w:w="1134" w:type="dxa"/>
          </w:tcPr>
          <w:p w14:paraId="61EB0918"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1.47 ± 0.36</w:t>
            </w:r>
          </w:p>
        </w:tc>
        <w:tc>
          <w:tcPr>
            <w:tcW w:w="1134" w:type="dxa"/>
          </w:tcPr>
          <w:p w14:paraId="10C8D768"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43.9 ± 2.7</w:t>
            </w:r>
          </w:p>
        </w:tc>
        <w:tc>
          <w:tcPr>
            <w:tcW w:w="1310" w:type="dxa"/>
          </w:tcPr>
          <w:p w14:paraId="03FC63A9"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1.53 ± 0.34</w:t>
            </w:r>
          </w:p>
        </w:tc>
      </w:tr>
      <w:tr w:rsidR="006D35A0" w:rsidRPr="00C23138" w14:paraId="1162D61E"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720EAF91" w14:textId="77777777" w:rsidR="006D35A0" w:rsidRPr="00C23138" w:rsidRDefault="006D35A0" w:rsidP="00DF6F6A"/>
        </w:tc>
        <w:tc>
          <w:tcPr>
            <w:tcW w:w="850" w:type="dxa"/>
          </w:tcPr>
          <w:p w14:paraId="38723F4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11F1FBA2"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CHR</w:t>
            </w:r>
          </w:p>
        </w:tc>
        <w:tc>
          <w:tcPr>
            <w:tcW w:w="1276" w:type="dxa"/>
          </w:tcPr>
          <w:p w14:paraId="0B4F26DC"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52.7 ± 2.9</w:t>
            </w:r>
          </w:p>
        </w:tc>
        <w:tc>
          <w:tcPr>
            <w:tcW w:w="1134" w:type="dxa"/>
          </w:tcPr>
          <w:p w14:paraId="76927174"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1.57 ± 0.51 </w:t>
            </w:r>
            <w:r w:rsidRPr="00C23138">
              <w:rPr>
                <w:vertAlign w:val="superscript"/>
              </w:rPr>
              <w:t>5</w:t>
            </w:r>
          </w:p>
        </w:tc>
        <w:tc>
          <w:tcPr>
            <w:tcW w:w="992" w:type="dxa"/>
          </w:tcPr>
          <w:p w14:paraId="6B175D6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134" w:type="dxa"/>
          </w:tcPr>
          <w:p w14:paraId="7A68538C"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134" w:type="dxa"/>
          </w:tcPr>
          <w:p w14:paraId="0F5A152D"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310" w:type="dxa"/>
          </w:tcPr>
          <w:p w14:paraId="0DEB27C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r>
      <w:tr w:rsidR="006D35A0" w:rsidRPr="00C23138" w14:paraId="055ACD0E" w14:textId="77777777" w:rsidTr="00330E67">
        <w:tc>
          <w:tcPr>
            <w:cnfStyle w:val="001000000000" w:firstRow="0" w:lastRow="0" w:firstColumn="1" w:lastColumn="0" w:oddVBand="0" w:evenVBand="0" w:oddHBand="0" w:evenHBand="0" w:firstRowFirstColumn="0" w:firstRowLastColumn="0" w:lastRowFirstColumn="0" w:lastRowLastColumn="0"/>
            <w:tcW w:w="993" w:type="dxa"/>
          </w:tcPr>
          <w:p w14:paraId="17BCECEE" w14:textId="77777777" w:rsidR="006D35A0" w:rsidRPr="00C23138" w:rsidRDefault="006D35A0" w:rsidP="00DF6F6A"/>
        </w:tc>
        <w:tc>
          <w:tcPr>
            <w:tcW w:w="850" w:type="dxa"/>
          </w:tcPr>
          <w:p w14:paraId="45DA2A7F"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992" w:type="dxa"/>
          </w:tcPr>
          <w:p w14:paraId="5D9D2147"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OS</w:t>
            </w:r>
          </w:p>
        </w:tc>
        <w:tc>
          <w:tcPr>
            <w:tcW w:w="1276" w:type="dxa"/>
          </w:tcPr>
          <w:p w14:paraId="70128425"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45.0 ± 2.7 </w:t>
            </w:r>
          </w:p>
        </w:tc>
        <w:tc>
          <w:tcPr>
            <w:tcW w:w="1134" w:type="dxa"/>
          </w:tcPr>
          <w:p w14:paraId="11647A1A"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r w:rsidRPr="00C23138">
              <w:t xml:space="preserve">1.42 ± 0.36 </w:t>
            </w:r>
            <w:r w:rsidRPr="00C23138">
              <w:rPr>
                <w:vertAlign w:val="superscript"/>
              </w:rPr>
              <w:t>5</w:t>
            </w:r>
          </w:p>
        </w:tc>
        <w:tc>
          <w:tcPr>
            <w:tcW w:w="992" w:type="dxa"/>
          </w:tcPr>
          <w:p w14:paraId="56ACF842"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134" w:type="dxa"/>
          </w:tcPr>
          <w:p w14:paraId="44BCDA63"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134" w:type="dxa"/>
          </w:tcPr>
          <w:p w14:paraId="1C12DCB6"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c>
          <w:tcPr>
            <w:tcW w:w="1310" w:type="dxa"/>
          </w:tcPr>
          <w:p w14:paraId="1AA9F64E" w14:textId="77777777" w:rsidR="006D35A0" w:rsidRPr="00C23138" w:rsidRDefault="006D35A0" w:rsidP="00DF6F6A">
            <w:pPr>
              <w:cnfStyle w:val="000000000000" w:firstRow="0" w:lastRow="0" w:firstColumn="0" w:lastColumn="0" w:oddVBand="0" w:evenVBand="0" w:oddHBand="0" w:evenHBand="0" w:firstRowFirstColumn="0" w:firstRowLastColumn="0" w:lastRowFirstColumn="0" w:lastRowLastColumn="0"/>
            </w:pPr>
          </w:p>
        </w:tc>
      </w:tr>
    </w:tbl>
    <w:p w14:paraId="077946D7" w14:textId="15E52938" w:rsidR="006D35A0" w:rsidRPr="00330E67" w:rsidRDefault="006D35A0" w:rsidP="00DF6F6A">
      <w:pPr>
        <w:pStyle w:val="TableDescription"/>
      </w:pPr>
      <w:r w:rsidRPr="00330E67">
        <w:t>1 = GENA-01, n=20 at month 3. 2 = GENA-08, n=32 at start, n=31 at 3 months, n=30 at 6 months 3 = GENA-03, n=26 at start Phase I, n=31 at Phase II start, n=55 at 3 months; n=53 at 6 months.</w:t>
      </w:r>
      <w:r w:rsidR="00330E67" w:rsidRPr="00330E67">
        <w:t xml:space="preserve"> </w:t>
      </w:r>
      <w:r w:rsidRPr="00330E67">
        <w:t xml:space="preserve">4 = </w:t>
      </w:r>
      <w:proofErr w:type="gramStart"/>
      <w:r w:rsidRPr="00330E67">
        <w:t>The</w:t>
      </w:r>
      <w:proofErr w:type="gramEnd"/>
      <w:r w:rsidRPr="00330E67">
        <w:t xml:space="preserve"> results for IVR start are those for Phase I of the study. 5 = </w:t>
      </w:r>
      <w:proofErr w:type="gramStart"/>
      <w:r w:rsidRPr="00330E67">
        <w:t>The</w:t>
      </w:r>
      <w:proofErr w:type="gramEnd"/>
      <w:r w:rsidRPr="00330E67">
        <w:t xml:space="preserve"> results for IVR start are those for Phase II of the study.</w:t>
      </w:r>
    </w:p>
    <w:p w14:paraId="529F54C9" w14:textId="77777777" w:rsidR="00712D0F" w:rsidRPr="00260D3D" w:rsidRDefault="006D35A0" w:rsidP="00260D3D">
      <w:pPr>
        <w:widowControl w:val="0"/>
        <w:autoSpaceDE w:val="0"/>
        <w:autoSpaceDN w:val="0"/>
        <w:adjustRightInd w:val="0"/>
      </w:pPr>
      <w:r>
        <w:t xml:space="preserve">Despite the sponsor's justification for the proposed dosage regimen for on-demand treatment of BEs it remains unclear why the proposed dosage regimen should differ from that used in 4 of the 5 clinical studies (including the 3 pivotal studies). </w:t>
      </w:r>
      <w:r w:rsidRPr="007A25BD">
        <w:t xml:space="preserve">The sponsor will be asked to comment on this matter in the s31 response to the questions arising from the first round evaluation of the submission. </w:t>
      </w:r>
      <w:r w:rsidR="00712D0F" w:rsidRPr="00643E85">
        <w:rPr>
          <w:rFonts w:asciiTheme="minorHAnsi" w:hAnsiTheme="minorHAnsi"/>
          <w:i/>
        </w:rPr>
        <w:t>See Section 11.1.</w:t>
      </w:r>
      <w:r w:rsidR="00260D3D">
        <w:rPr>
          <w:rFonts w:asciiTheme="minorHAnsi" w:hAnsiTheme="minorHAnsi"/>
          <w:i/>
        </w:rPr>
        <w:t>3.6</w:t>
      </w:r>
      <w:r w:rsidR="00712D0F" w:rsidRPr="00643E85">
        <w:rPr>
          <w:rFonts w:asciiTheme="minorHAnsi" w:hAnsiTheme="minorHAnsi"/>
          <w:i/>
        </w:rPr>
        <w:t>.</w:t>
      </w:r>
    </w:p>
    <w:p w14:paraId="07A56ADD" w14:textId="77777777" w:rsidR="006D35A0" w:rsidRPr="003258B0" w:rsidRDefault="006D35A0" w:rsidP="00330E67">
      <w:pPr>
        <w:pStyle w:val="Heading4"/>
        <w:rPr>
          <w:noProof/>
        </w:rPr>
      </w:pPr>
      <w:r w:rsidRPr="003258B0">
        <w:rPr>
          <w:noProof/>
        </w:rPr>
        <w:t>Surgical prophylaxis</w:t>
      </w:r>
    </w:p>
    <w:p w14:paraId="213F4E81" w14:textId="77777777" w:rsidR="000F04AF" w:rsidRDefault="006D35A0" w:rsidP="006D35A0">
      <w:r w:rsidRPr="003258B0">
        <w:t xml:space="preserve">In the five studies, the efficacy of simoctocog alfa for surgical prophylaxis was assessed in a total of 33 surgical procedures in 19 patients, with 20 procedures in 7 patients being classed as minor and 13 procedures in 12 patients being classed as major. </w:t>
      </w:r>
      <w:r>
        <w:t xml:space="preserve">For surgical procedures, </w:t>
      </w:r>
      <w:r w:rsidRPr="003258B0">
        <w:t xml:space="preserve">simoctocog alfa </w:t>
      </w:r>
      <w:r>
        <w:t xml:space="preserve">mean dose ranged from </w:t>
      </w:r>
      <w:r w:rsidRPr="003258B0">
        <w:t>35.0 IU/kg per infusion in GENA-09 to 50.2 IU/kg per infusion in GENA-0</w:t>
      </w:r>
      <w:r>
        <w:t>1</w:t>
      </w:r>
      <w:r w:rsidRPr="003258B0">
        <w:t>. The overall number of infusions administered ranged from 1 to 5 for minor surgical procedures and from 4 to 35 for major surgical procedures. For all surgical procedures, actual blood loss was no higher than the maximum expected blood loss.</w:t>
      </w:r>
      <w:r w:rsidR="008A3D7B" w:rsidRPr="003258B0" w:rsidDel="008A3D7B">
        <w:t xml:space="preserve"> </w:t>
      </w:r>
      <w:r w:rsidRPr="003258B0">
        <w:t xml:space="preserve"> Intra-operative simoctocog alfa was required for only one patient undergoing major surgery (TKR in GENA-04). Blood transfusions/FFP were administered on 3 occasions to 2 patients in GENA-04 undergoing major surgery (1xTHR and 1x revision in 1 patient; 1xTKR in 1 patient), and treatment with anti-fibrinolytics was given to 1 patient undergoing joint replacement surgery in GENA-08 and 1 patient undergoing circumcision in GENA-03. Post-operative wound haematoma was reported in only 1 patient (GENA-03), and this patient was subsequently diagnosed with VWD.</w:t>
      </w:r>
    </w:p>
    <w:p w14:paraId="45390799" w14:textId="77777777" w:rsidR="000F04AF" w:rsidRDefault="006D35A0" w:rsidP="006D35A0">
      <w:pPr>
        <w:widowControl w:val="0"/>
        <w:autoSpaceDE w:val="0"/>
        <w:autoSpaceDN w:val="0"/>
        <w:adjustRightInd w:val="0"/>
      </w:pPr>
      <w:r w:rsidRPr="003258B0">
        <w:lastRenderedPageBreak/>
        <w:t xml:space="preserve">The overall efficacy of simoctocog alfa for surgical procedures was evaluated intra-operatively and post-operatively, following the final suture of the surgical incision until at least 2 days (minor surgery) or at least 6 days (major surgery) after surgery or until healing was complete. Efficacy criteria included the amount of </w:t>
      </w:r>
      <w:r>
        <w:t xml:space="preserve">blood loss (compared to </w:t>
      </w:r>
      <w:proofErr w:type="gramStart"/>
      <w:r w:rsidRPr="003258B0">
        <w:t>expected</w:t>
      </w:r>
      <w:proofErr w:type="gramEnd"/>
      <w:r w:rsidRPr="003258B0">
        <w:t>) and the need for additional infusions not originally anticipated for the type of procedure. For all surgical procedures combined (</w:t>
      </w:r>
      <w:r w:rsidR="001A2E59">
        <w:t>that is,</w:t>
      </w:r>
      <w:r w:rsidRPr="003258B0">
        <w:t xml:space="preserve"> minor and major), efficacy was rated as excellent for 87.9% (29/33), good for 9.1% (3/33), moderate for 3.0% (1/33), and none for 0% (0/33). For the 20 minor surgical procedures, efficacy was rated as excellent for all procedures. For the 13 major surgical procedures efficacy was rated as excellent for 69.2% (9/13), good for 23.1% (3/13), and moderate for 7.6% (1/13).</w:t>
      </w:r>
    </w:p>
    <w:p w14:paraId="7F609601" w14:textId="14B37FC3" w:rsidR="00712D0F" w:rsidRPr="00260D3D" w:rsidRDefault="006D35A0" w:rsidP="00260D3D">
      <w:pPr>
        <w:widowControl w:val="0"/>
        <w:autoSpaceDE w:val="0"/>
        <w:autoSpaceDN w:val="0"/>
        <w:adjustRightInd w:val="0"/>
      </w:pPr>
      <w:r>
        <w:t>The proposed dose (based on the PI) and the recommended dose used in all studies for surgical prophylaxis are summarised below in Table 4</w:t>
      </w:r>
      <w:r w:rsidR="00F04577">
        <w:t>5</w:t>
      </w:r>
      <w:r>
        <w:t xml:space="preserve">. It is unclear why the proposed dosage regimens differ from those used in all 5 clinical studies. In particular, no pre-operative dose is being proposed for minor surgical procedures (including tooth extraction) although this was recommended in all studies. </w:t>
      </w:r>
      <w:r w:rsidRPr="007A25BD">
        <w:t xml:space="preserve">The sponsor will be asked to comment on this matter in the s31 response to the questions arising from the first round evaluation of the submission. </w:t>
      </w:r>
      <w:r w:rsidR="00712D0F" w:rsidRPr="00643E85">
        <w:rPr>
          <w:rFonts w:asciiTheme="minorHAnsi" w:hAnsiTheme="minorHAnsi"/>
          <w:i/>
        </w:rPr>
        <w:t>See Section 11.1.</w:t>
      </w:r>
      <w:r w:rsidR="00260D3D">
        <w:rPr>
          <w:rFonts w:asciiTheme="minorHAnsi" w:hAnsiTheme="minorHAnsi"/>
          <w:i/>
        </w:rPr>
        <w:t>3.7</w:t>
      </w:r>
      <w:r w:rsidR="00712D0F" w:rsidRPr="00643E85">
        <w:rPr>
          <w:rFonts w:asciiTheme="minorHAnsi" w:hAnsiTheme="minorHAnsi"/>
          <w:i/>
        </w:rPr>
        <w:t>.</w:t>
      </w:r>
    </w:p>
    <w:p w14:paraId="1F859063" w14:textId="6B0DD264" w:rsidR="006D35A0" w:rsidRPr="00B17521" w:rsidRDefault="006D35A0" w:rsidP="00430CA7">
      <w:pPr>
        <w:pStyle w:val="Tabletitle"/>
      </w:pPr>
      <w:bookmarkStart w:id="150" w:name="_Toc248202564"/>
      <w:proofErr w:type="gramStart"/>
      <w:r>
        <w:t>Table</w:t>
      </w:r>
      <w:r w:rsidR="000A1340">
        <w:t xml:space="preserve"> 4</w:t>
      </w:r>
      <w:r w:rsidR="00F04577">
        <w:t>5</w:t>
      </w:r>
      <w:r>
        <w:t>: Proposed dose (based on PI) and the recommended dose for surgical prophylaxis used in all 5 clinical studies.</w:t>
      </w:r>
      <w:bookmarkEnd w:id="150"/>
      <w:proofErr w:type="gramEnd"/>
    </w:p>
    <w:tbl>
      <w:tblPr>
        <w:tblStyle w:val="TableTGAblue"/>
        <w:tblW w:w="9322" w:type="dxa"/>
        <w:tblLook w:val="04A0" w:firstRow="1" w:lastRow="0" w:firstColumn="1" w:lastColumn="0" w:noHBand="0" w:noVBand="1"/>
      </w:tblPr>
      <w:tblGrid>
        <w:gridCol w:w="1720"/>
        <w:gridCol w:w="3831"/>
        <w:gridCol w:w="3771"/>
      </w:tblGrid>
      <w:tr w:rsidR="006D35A0" w:rsidRPr="009B5112" w14:paraId="08E10B04" w14:textId="77777777" w:rsidTr="00DF6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9" w:type="dxa"/>
          </w:tcPr>
          <w:p w14:paraId="6200FA08" w14:textId="77777777" w:rsidR="006D35A0" w:rsidRPr="009B5112" w:rsidRDefault="006D35A0" w:rsidP="00DF6F6A">
            <w:r>
              <w:t>Procedures</w:t>
            </w:r>
          </w:p>
        </w:tc>
        <w:tc>
          <w:tcPr>
            <w:tcW w:w="3937" w:type="dxa"/>
          </w:tcPr>
          <w:p w14:paraId="5A84FD77" w14:textId="77777777" w:rsidR="006D35A0" w:rsidRPr="009B5112" w:rsidRDefault="006D35A0" w:rsidP="00DF6F6A">
            <w:pPr>
              <w:cnfStyle w:val="100000000000" w:firstRow="1" w:lastRow="0" w:firstColumn="0" w:lastColumn="0" w:oddVBand="0" w:evenVBand="0" w:oddHBand="0" w:evenHBand="0" w:firstRowFirstColumn="0" w:firstRowLastColumn="0" w:lastRowFirstColumn="0" w:lastRowLastColumn="0"/>
            </w:pPr>
            <w:r w:rsidRPr="009B5112">
              <w:t xml:space="preserve">Proposed Dose - based on PI </w:t>
            </w:r>
          </w:p>
        </w:tc>
        <w:tc>
          <w:tcPr>
            <w:tcW w:w="3876" w:type="dxa"/>
          </w:tcPr>
          <w:p w14:paraId="3AFCA209" w14:textId="77777777" w:rsidR="006D35A0" w:rsidRPr="009B5112" w:rsidRDefault="006D35A0" w:rsidP="00DF6F6A">
            <w:pPr>
              <w:cnfStyle w:val="100000000000" w:firstRow="1" w:lastRow="0" w:firstColumn="0" w:lastColumn="0" w:oddVBand="0" w:evenVBand="0" w:oddHBand="0" w:evenHBand="0" w:firstRowFirstColumn="0" w:firstRowLastColumn="0" w:lastRowFirstColumn="0" w:lastRowLastColumn="0"/>
            </w:pPr>
            <w:r w:rsidRPr="009B5112">
              <w:t xml:space="preserve">All studies - GENA-01, -08, -03, -09, -04, </w:t>
            </w:r>
          </w:p>
        </w:tc>
      </w:tr>
      <w:tr w:rsidR="006D35A0" w:rsidRPr="009B5112" w14:paraId="043EB83B" w14:textId="77777777" w:rsidTr="00330E67">
        <w:tc>
          <w:tcPr>
            <w:cnfStyle w:val="001000000000" w:firstRow="0" w:lastRow="0" w:firstColumn="1" w:lastColumn="0" w:oddVBand="0" w:evenVBand="0" w:oddHBand="0" w:evenHBand="0" w:firstRowFirstColumn="0" w:firstRowLastColumn="0" w:lastRowFirstColumn="0" w:lastRowLastColumn="0"/>
            <w:tcW w:w="1509" w:type="dxa"/>
          </w:tcPr>
          <w:p w14:paraId="3C704077" w14:textId="77777777" w:rsidR="006D35A0" w:rsidRPr="009B5112" w:rsidRDefault="006D35A0" w:rsidP="00DF6F6A">
            <w:r w:rsidRPr="009B5112">
              <w:t>Minor including tooth extraction</w:t>
            </w:r>
          </w:p>
        </w:tc>
        <w:tc>
          <w:tcPr>
            <w:tcW w:w="3937" w:type="dxa"/>
          </w:tcPr>
          <w:p w14:paraId="3965EEEC" w14:textId="77777777" w:rsidR="006D35A0" w:rsidRPr="009B5112" w:rsidRDefault="006D35A0" w:rsidP="00DF6F6A">
            <w:pPr>
              <w:cnfStyle w:val="000000000000" w:firstRow="0" w:lastRow="0" w:firstColumn="0" w:lastColumn="0" w:oddVBand="0" w:evenVBand="0" w:oddHBand="0" w:evenHBand="0" w:firstRowFirstColumn="0" w:firstRowLastColumn="0" w:lastRowFirstColumn="0" w:lastRowLastColumn="0"/>
            </w:pPr>
            <w:r w:rsidRPr="009B5112">
              <w:rPr>
                <w:color w:val="000000"/>
              </w:rPr>
              <w:t>FVIII level required 30-60%; (15-30 IU/kg) every 24 hours at least 1 day until healing is achieved</w:t>
            </w:r>
            <w:r>
              <w:rPr>
                <w:color w:val="000000"/>
              </w:rPr>
              <w:t xml:space="preserve">. </w:t>
            </w:r>
            <w:r w:rsidRPr="00E46089">
              <w:rPr>
                <w:i/>
                <w:color w:val="000000"/>
              </w:rPr>
              <w:t xml:space="preserve">(Recommended dose is not stated in the PI but would be </w:t>
            </w:r>
            <w:r>
              <w:rPr>
                <w:i/>
                <w:color w:val="000000"/>
              </w:rPr>
              <w:t>15-30</w:t>
            </w:r>
            <w:r w:rsidRPr="00E46089">
              <w:rPr>
                <w:i/>
                <w:color w:val="000000"/>
              </w:rPr>
              <w:t xml:space="preserve"> IU/kg based on the required FVIII levels).</w:t>
            </w:r>
            <w:r>
              <w:rPr>
                <w:color w:val="000000"/>
              </w:rPr>
              <w:t xml:space="preserve">  </w:t>
            </w:r>
          </w:p>
        </w:tc>
        <w:tc>
          <w:tcPr>
            <w:tcW w:w="3876" w:type="dxa"/>
          </w:tcPr>
          <w:p w14:paraId="168B9779" w14:textId="77777777" w:rsidR="006D35A0" w:rsidRPr="009B5112" w:rsidRDefault="006D35A0" w:rsidP="00DF6F6A">
            <w:pPr>
              <w:cnfStyle w:val="000000000000" w:firstRow="0" w:lastRow="0" w:firstColumn="0" w:lastColumn="0" w:oddVBand="0" w:evenVBand="0" w:oddHBand="0" w:evenHBand="0" w:firstRowFirstColumn="0" w:firstRowLastColumn="0" w:lastRowFirstColumn="0" w:lastRowLastColumn="0"/>
            </w:pPr>
            <w:r w:rsidRPr="009B5112">
              <w:t>25–30 IU FVIII/kg within 3 h prior to surgery to achieve peak target level of approximately 50–60</w:t>
            </w:r>
            <w:proofErr w:type="gramStart"/>
            <w:r w:rsidRPr="009B5112">
              <w:t>%,</w:t>
            </w:r>
            <w:proofErr w:type="gramEnd"/>
            <w:r w:rsidRPr="009B5112">
              <w:t xml:space="preserve"> repeated every 12–24 h</w:t>
            </w:r>
            <w:r>
              <w:t xml:space="preserve"> </w:t>
            </w:r>
            <w:r w:rsidRPr="009B5112">
              <w:t>until healing is complete. Trough level maintained</w:t>
            </w:r>
            <w:r>
              <w:t xml:space="preserve"> </w:t>
            </w:r>
            <w:r w:rsidRPr="009B5112">
              <w:t>at approximately 30%.</w:t>
            </w:r>
          </w:p>
        </w:tc>
      </w:tr>
      <w:tr w:rsidR="006D35A0" w:rsidRPr="009B5112" w14:paraId="2F396091" w14:textId="77777777" w:rsidTr="00330E67">
        <w:tc>
          <w:tcPr>
            <w:cnfStyle w:val="001000000000" w:firstRow="0" w:lastRow="0" w:firstColumn="1" w:lastColumn="0" w:oddVBand="0" w:evenVBand="0" w:oddHBand="0" w:evenHBand="0" w:firstRowFirstColumn="0" w:firstRowLastColumn="0" w:lastRowFirstColumn="0" w:lastRowLastColumn="0"/>
            <w:tcW w:w="1509" w:type="dxa"/>
          </w:tcPr>
          <w:p w14:paraId="752E568B" w14:textId="6F3FE515" w:rsidR="006D35A0" w:rsidRPr="009B5112" w:rsidRDefault="00DF6F6A" w:rsidP="00DF6F6A">
            <w:r>
              <w:t>Major</w:t>
            </w:r>
          </w:p>
        </w:tc>
        <w:tc>
          <w:tcPr>
            <w:tcW w:w="3937" w:type="dxa"/>
          </w:tcPr>
          <w:p w14:paraId="0DBB0BA9" w14:textId="6BE1F550" w:rsidR="006D35A0" w:rsidRPr="00E46089" w:rsidRDefault="006D35A0" w:rsidP="00DF6F6A">
            <w:pPr>
              <w:cnfStyle w:val="000000000000" w:firstRow="0" w:lastRow="0" w:firstColumn="0" w:lastColumn="0" w:oddVBand="0" w:evenVBand="0" w:oddHBand="0" w:evenHBand="0" w:firstRowFirstColumn="0" w:firstRowLastColumn="0" w:lastRowFirstColumn="0" w:lastRowLastColumn="0"/>
              <w:rPr>
                <w:i/>
                <w:color w:val="000000"/>
              </w:rPr>
            </w:pPr>
            <w:r w:rsidRPr="009B5112">
              <w:rPr>
                <w:color w:val="000000"/>
              </w:rPr>
              <w:t xml:space="preserve">FVIII level 80-100% (pre- and post-operatively); </w:t>
            </w:r>
            <w:r>
              <w:rPr>
                <w:color w:val="000000"/>
              </w:rPr>
              <w:t>r</w:t>
            </w:r>
            <w:r w:rsidRPr="009B5112">
              <w:rPr>
                <w:color w:val="000000"/>
              </w:rPr>
              <w:t xml:space="preserve">epeat infusion every 8-12 hours until adequate wound healing, then therapy for at least another 7 days to maintain a FVIII level of 30 to 60%. </w:t>
            </w:r>
            <w:r w:rsidRPr="00E46089">
              <w:rPr>
                <w:i/>
                <w:color w:val="000000"/>
              </w:rPr>
              <w:t xml:space="preserve">(Recommended dose is not stated in the PI but would be </w:t>
            </w:r>
            <w:r>
              <w:rPr>
                <w:i/>
                <w:color w:val="000000"/>
              </w:rPr>
              <w:t>40</w:t>
            </w:r>
            <w:r w:rsidRPr="00E46089">
              <w:rPr>
                <w:i/>
                <w:color w:val="000000"/>
              </w:rPr>
              <w:t xml:space="preserve">-50 IU/kg </w:t>
            </w:r>
            <w:r>
              <w:rPr>
                <w:i/>
                <w:color w:val="000000"/>
              </w:rPr>
              <w:t xml:space="preserve">initially and 15-30 IU/kg subsequently </w:t>
            </w:r>
            <w:r w:rsidRPr="00E46089">
              <w:rPr>
                <w:i/>
                <w:color w:val="000000"/>
              </w:rPr>
              <w:t>based on the required FVIII levels).</w:t>
            </w:r>
          </w:p>
        </w:tc>
        <w:tc>
          <w:tcPr>
            <w:tcW w:w="3876" w:type="dxa"/>
          </w:tcPr>
          <w:p w14:paraId="5BBAFAEE" w14:textId="77777777" w:rsidR="006D35A0" w:rsidRPr="009B5112" w:rsidRDefault="006D35A0" w:rsidP="00DF6F6A">
            <w:pPr>
              <w:cnfStyle w:val="000000000000" w:firstRow="0" w:lastRow="0" w:firstColumn="0" w:lastColumn="0" w:oddVBand="0" w:evenVBand="0" w:oddHBand="0" w:evenHBand="0" w:firstRowFirstColumn="0" w:firstRowLastColumn="0" w:lastRowFirstColumn="0" w:lastRowLastColumn="0"/>
            </w:pPr>
            <w:r w:rsidRPr="009B5112">
              <w:t>50 IU FVIII/kg within 3 h prior to surgery</w:t>
            </w:r>
            <w:r>
              <w:t xml:space="preserve"> </w:t>
            </w:r>
            <w:r w:rsidRPr="009B5112">
              <w:t>to achieve target peak level of approximately 100</w:t>
            </w:r>
            <w:proofErr w:type="gramStart"/>
            <w:r w:rsidRPr="009B5112">
              <w:t>%,</w:t>
            </w:r>
            <w:proofErr w:type="gramEnd"/>
            <w:r w:rsidRPr="009B5112">
              <w:t xml:space="preserve"> repeated if necessary after 6–12 h initially and for </w:t>
            </w:r>
            <w:r w:rsidRPr="009B5112">
              <w:rPr>
                <w:rFonts w:cs="ÄÂ'FFø6—"/>
              </w:rPr>
              <w:t xml:space="preserve">≥ </w:t>
            </w:r>
            <w:r w:rsidRPr="009B5112">
              <w:t>6 days until healing is complete. Trough level maintained at approximately 50%.</w:t>
            </w:r>
          </w:p>
        </w:tc>
      </w:tr>
    </w:tbl>
    <w:p w14:paraId="473A67ED" w14:textId="77777777" w:rsidR="006D35A0" w:rsidRDefault="00C22678" w:rsidP="00430CA7">
      <w:pPr>
        <w:pStyle w:val="Heading2"/>
      </w:pPr>
      <w:bookmarkStart w:id="151" w:name="_Toc453765965"/>
      <w:r w:rsidRPr="00430CA7">
        <w:t>Clinical safety</w:t>
      </w:r>
      <w:bookmarkEnd w:id="151"/>
    </w:p>
    <w:p w14:paraId="740AC5BB" w14:textId="77777777" w:rsidR="000F04AF" w:rsidRDefault="006D35A0" w:rsidP="00430CA7">
      <w:pPr>
        <w:pStyle w:val="Heading3"/>
      </w:pPr>
      <w:bookmarkStart w:id="152" w:name="_Toc266446494"/>
      <w:bookmarkStart w:id="153" w:name="_Toc453765966"/>
      <w:r>
        <w:t>Studies with clinical safety data</w:t>
      </w:r>
      <w:bookmarkEnd w:id="152"/>
      <w:bookmarkEnd w:id="153"/>
    </w:p>
    <w:p w14:paraId="18FCBFE6" w14:textId="77777777" w:rsidR="000F04AF" w:rsidRDefault="006D35A0" w:rsidP="006D35A0">
      <w:bookmarkStart w:id="154" w:name="_Ref268776745"/>
      <w:r>
        <w:t xml:space="preserve">All five completed studies included safety data on simoctocog alfa for the treatment of severe haemophilia A. The submission included an integrated summary of the safety data from the five clinical studies. In this CER, the evaluation of safety includes a review of the integrated safety </w:t>
      </w:r>
      <w:r>
        <w:lastRenderedPageBreak/>
        <w:t>data, supplemented where relevant from the individual study reports, and a separate review of the safety data from the paediatric study GENA-03.</w:t>
      </w:r>
    </w:p>
    <w:p w14:paraId="34D97123" w14:textId="77777777" w:rsidR="000F04AF" w:rsidRDefault="006D35A0" w:rsidP="00430CA7">
      <w:pPr>
        <w:pStyle w:val="Heading3"/>
      </w:pPr>
      <w:bookmarkStart w:id="155" w:name="_Toc266446495"/>
      <w:bookmarkStart w:id="156" w:name="_Toc453765967"/>
      <w:r>
        <w:t>Integrated safety summary (total safety population)</w:t>
      </w:r>
      <w:bookmarkEnd w:id="155"/>
      <w:bookmarkEnd w:id="156"/>
    </w:p>
    <w:p w14:paraId="24E13479" w14:textId="335A9380" w:rsidR="006D35A0" w:rsidRDefault="006D35A0" w:rsidP="00430CA7">
      <w:pPr>
        <w:pStyle w:val="Heading4"/>
      </w:pPr>
      <w:bookmarkStart w:id="157" w:name="_Toc266446496"/>
      <w:r>
        <w:t>Extent of exposure</w:t>
      </w:r>
      <w:bookmarkEnd w:id="157"/>
    </w:p>
    <w:p w14:paraId="7743208E" w14:textId="77777777" w:rsidR="000F04AF" w:rsidRDefault="006D35A0" w:rsidP="006D35A0">
      <w:r>
        <w:t>A total of 135 individual patients underwent treatment with simoctocog alfa in the four completed studies and are included in the safety population (GENA-01, GENA-08, GENA-03, GENA-09), and 18 of the patients from GENA-09 continued into the long-term extension study GENA-04. The exposure data for the safety populations from the five completed studies are summarised below in Table 4</w:t>
      </w:r>
      <w:r w:rsidR="00F04577">
        <w:t>6</w:t>
      </w:r>
      <w:r>
        <w:t>.</w:t>
      </w:r>
    </w:p>
    <w:p w14:paraId="1F186695" w14:textId="77777777" w:rsidR="000F04AF" w:rsidRDefault="006D35A0" w:rsidP="00430CA7">
      <w:pPr>
        <w:pStyle w:val="Tabletitle"/>
      </w:pPr>
      <w:bookmarkStart w:id="158" w:name="_Toc248202565"/>
      <w:proofErr w:type="gramStart"/>
      <w:r>
        <w:t xml:space="preserve">Table </w:t>
      </w:r>
      <w:r w:rsidR="000A1340">
        <w:t>4</w:t>
      </w:r>
      <w:r w:rsidR="00F04577">
        <w:t>6</w:t>
      </w:r>
      <w:r>
        <w:t>: Study drug exposure data (mean and range); safety populations.</w:t>
      </w:r>
      <w:bookmarkEnd w:id="158"/>
      <w:proofErr w:type="gramEnd"/>
    </w:p>
    <w:p w14:paraId="4DAD6731" w14:textId="6544E52A" w:rsidR="006D35A0" w:rsidRDefault="006D35A0" w:rsidP="006D35A0">
      <w:pPr>
        <w:spacing w:after="0"/>
      </w:pPr>
      <w:r>
        <w:rPr>
          <w:noProof/>
          <w:lang w:eastAsia="en-AU"/>
        </w:rPr>
        <w:drawing>
          <wp:inline distT="0" distB="0" distL="0" distR="0" wp14:anchorId="55BAC309" wp14:editId="78D90E74">
            <wp:extent cx="5609345" cy="1595709"/>
            <wp:effectExtent l="0" t="0" r="0" b="0"/>
            <wp:docPr id="57" name="Picture 1" descr="Table 46: Study drug exposure data (mean and range); safety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9128" cy="1598492"/>
                    </a:xfrm>
                    <a:prstGeom prst="rect">
                      <a:avLst/>
                    </a:prstGeom>
                    <a:noFill/>
                    <a:ln>
                      <a:noFill/>
                    </a:ln>
                  </pic:spPr>
                </pic:pic>
              </a:graphicData>
            </a:graphic>
          </wp:inline>
        </w:drawing>
      </w:r>
    </w:p>
    <w:p w14:paraId="35AA9B73" w14:textId="568CE20E" w:rsidR="000F04AF" w:rsidRDefault="006D35A0" w:rsidP="00DF6F6A">
      <w:pPr>
        <w:pStyle w:val="TableDescription"/>
      </w:pPr>
      <w:r w:rsidRPr="00330E67">
        <w:t>* The 18 patients in GENA-04 also participated in GENA-09.</w:t>
      </w:r>
    </w:p>
    <w:p w14:paraId="27AFBD4A" w14:textId="77777777" w:rsidR="000F04AF" w:rsidRDefault="006D35A0" w:rsidP="006D35A0">
      <w:r w:rsidRPr="000436D9">
        <w:rPr>
          <w:i/>
        </w:rPr>
        <w:t>Adverse events (AEs)</w:t>
      </w:r>
      <w:r w:rsidRPr="000436D9">
        <w:rPr>
          <w:b/>
        </w:rPr>
        <w:t xml:space="preserve"> </w:t>
      </w:r>
      <w:r w:rsidRPr="000436D9">
        <w:t xml:space="preserve">were defined as untoward medical occurrences not necessarily </w:t>
      </w:r>
      <w:r>
        <w:t>having</w:t>
      </w:r>
      <w:r w:rsidRPr="000436D9">
        <w:t xml:space="preserve"> a causal relationship with treatment. </w:t>
      </w:r>
      <w:r>
        <w:t xml:space="preserve">The outcomes were documented for each AE. </w:t>
      </w:r>
      <w:r w:rsidRPr="000436D9">
        <w:rPr>
          <w:i/>
        </w:rPr>
        <w:t>Adverse drug reactions (ADRs)</w:t>
      </w:r>
      <w:r w:rsidRPr="000436D9">
        <w:t xml:space="preserve"> included AEs for which a causal relationship was at least possible</w:t>
      </w:r>
      <w:r>
        <w:t xml:space="preserve">. The potential causal ratings were probable, possible, unlikely, unrelated, and unclassified. </w:t>
      </w:r>
      <w:r w:rsidRPr="005D1D3E">
        <w:rPr>
          <w:i/>
        </w:rPr>
        <w:t xml:space="preserve">Serious AEs (SAEs) </w:t>
      </w:r>
      <w:r>
        <w:t>were any untoward medical occurrence resulting in death, is life-threatening, requires hospitalisation or prolongation of existing hospitalisation, results in persistent or significant disability/incapacity, is a congenital anomaly/birth defect, or is another important medical event. Hospitalisation was not considered a SAE in cases where the hospitalisation took place because of study related procedure (</w:t>
      </w:r>
      <w:r w:rsidR="001A2E59">
        <w:t>for example,</w:t>
      </w:r>
      <w:r>
        <w:t xml:space="preserve"> PK assessment) or was a scheduled surgical procedure planned prior to study </w:t>
      </w:r>
      <w:r w:rsidR="0048233D">
        <w:t>enrolment</w:t>
      </w:r>
      <w:r>
        <w:t>.</w:t>
      </w:r>
    </w:p>
    <w:p w14:paraId="67FCC289" w14:textId="77777777" w:rsidR="000F04AF" w:rsidRDefault="006D35A0" w:rsidP="006D35A0">
      <w:pPr>
        <w:rPr>
          <w:color w:val="000000"/>
        </w:rPr>
      </w:pPr>
      <w:r w:rsidRPr="005D1D3E">
        <w:rPr>
          <w:i/>
        </w:rPr>
        <w:t xml:space="preserve">ADRs </w:t>
      </w:r>
      <w:r>
        <w:t xml:space="preserve">were classified by the sponsor as expected (listed in the Investigator's Brochure) or unexpected. </w:t>
      </w:r>
      <w:r w:rsidRPr="000436D9">
        <w:rPr>
          <w:i/>
          <w:color w:val="000000"/>
        </w:rPr>
        <w:t>Significant AEs</w:t>
      </w:r>
      <w:r w:rsidRPr="000436D9">
        <w:rPr>
          <w:color w:val="000000"/>
        </w:rPr>
        <w:t xml:space="preserve"> were any marked laboratory abnormalities or any AEs that led to an intervention, including withdrawal of drug treatment, dose reduction or significant additional concomitant therapy.</w:t>
      </w:r>
      <w:r>
        <w:rPr>
          <w:color w:val="000000"/>
        </w:rPr>
        <w:t xml:space="preserve"> </w:t>
      </w:r>
      <w:r w:rsidRPr="000436D9">
        <w:rPr>
          <w:i/>
          <w:color w:val="000000"/>
        </w:rPr>
        <w:t>Severity of AEs</w:t>
      </w:r>
      <w:r>
        <w:rPr>
          <w:color w:val="000000"/>
        </w:rPr>
        <w:t xml:space="preserve"> was categorised as mild, </w:t>
      </w:r>
      <w:proofErr w:type="gramStart"/>
      <w:r>
        <w:rPr>
          <w:color w:val="000000"/>
        </w:rPr>
        <w:t>moderate,</w:t>
      </w:r>
      <w:proofErr w:type="gramEnd"/>
      <w:r>
        <w:rPr>
          <w:color w:val="000000"/>
        </w:rPr>
        <w:t xml:space="preserve"> or severe based on limitations of activity and extent of medical intervention required for treatment. </w:t>
      </w:r>
      <w:r w:rsidRPr="005D1D3E">
        <w:rPr>
          <w:i/>
          <w:color w:val="000000"/>
        </w:rPr>
        <w:t>AEs requiring therapy</w:t>
      </w:r>
      <w:r>
        <w:rPr>
          <w:color w:val="000000"/>
        </w:rPr>
        <w:t xml:space="preserve"> were to be treated with recognised standards of medical care to protect the health and well</w:t>
      </w:r>
      <w:r w:rsidR="00F81715">
        <w:rPr>
          <w:color w:val="000000"/>
        </w:rPr>
        <w:t>-</w:t>
      </w:r>
      <w:r>
        <w:rPr>
          <w:color w:val="000000"/>
        </w:rPr>
        <w:t>being of the subject.</w:t>
      </w:r>
    </w:p>
    <w:p w14:paraId="6DD0CDDF" w14:textId="77777777" w:rsidR="000F04AF" w:rsidRDefault="006D35A0" w:rsidP="006D35A0">
      <w:r w:rsidRPr="00125BB9">
        <w:t>The condition of the patients was monitored</w:t>
      </w:r>
      <w:r>
        <w:t xml:space="preserve"> throughout the study. At each scheduled or unscheduled </w:t>
      </w:r>
      <w:r w:rsidRPr="00125BB9">
        <w:t>study visit, AEs were documented by the investigator</w:t>
      </w:r>
      <w:r>
        <w:t xml:space="preserve"> and p</w:t>
      </w:r>
      <w:r w:rsidRPr="00E36EAE">
        <w:t>atient diaries were checked for any documented event.</w:t>
      </w:r>
      <w:r>
        <w:t xml:space="preserve"> </w:t>
      </w:r>
      <w:r w:rsidRPr="00E36EAE">
        <w:t>At each visit t</w:t>
      </w:r>
      <w:r>
        <w:t xml:space="preserve">he patient was asked to answer "Yes" or "No" </w:t>
      </w:r>
      <w:r w:rsidRPr="00E36EAE">
        <w:t>to the question</w:t>
      </w:r>
      <w:r>
        <w:t xml:space="preserve">, </w:t>
      </w:r>
      <w:r w:rsidRPr="00E36EAE">
        <w:t>"Did you experience any problems since the last visit/dur</w:t>
      </w:r>
      <w:r>
        <w:t xml:space="preserve">ing the previous study period?" </w:t>
      </w:r>
      <w:r w:rsidRPr="00E36EAE">
        <w:t xml:space="preserve">Any AE or ADR occurring during the study was noted in detail on the appropriate pages of the CRF. If a patient reported several signs or symptoms, representing a single syndrome or diagnosis, the latter was to be recorded in the CRF. The responsible investigator graded the severity of all AEs or ADRs (mild, moderate or severe) and their seriousness (non-serious or serious) according to pre-defined criteria specified in the study protocols. The </w:t>
      </w:r>
      <w:r>
        <w:t>s</w:t>
      </w:r>
      <w:r w:rsidRPr="00E36EAE">
        <w:t xml:space="preserve">ponsor was responsible for assessing whether each ADR was expected or unexpected as </w:t>
      </w:r>
      <w:r w:rsidRPr="00E36EAE">
        <w:lastRenderedPageBreak/>
        <w:t>defined in the protocols. In the event of clinically relevant abnormal laboratory findings, the tests were to be repeated and followed up until they returned to normal and/or an adequate explanation was available.</w:t>
      </w:r>
    </w:p>
    <w:p w14:paraId="4B91C7E0" w14:textId="66BFF96E" w:rsidR="006D35A0" w:rsidRPr="00E36EAE" w:rsidRDefault="006D35A0" w:rsidP="006D35A0">
      <w:r w:rsidRPr="00E36EAE">
        <w:t>Diseases, signs and symptoms and/or laboratory abnormalities already existing before the first administration of study medication were not considered as AEs when observed at a later stage, unless they represented an exacerbation in intensity or frequency (worsening).</w:t>
      </w:r>
    </w:p>
    <w:p w14:paraId="32ADB0F8" w14:textId="77777777" w:rsidR="006D35A0" w:rsidRPr="00E36EAE" w:rsidRDefault="006D35A0" w:rsidP="006D35A0">
      <w:r w:rsidRPr="00E36EAE">
        <w:t>The responsible investigator was accountable for providing detailed information concerning any abnormalities and the nature of, and rea</w:t>
      </w:r>
      <w:r>
        <w:t>sons for any necessary actions</w:t>
      </w:r>
      <w:r w:rsidRPr="00E36EAE">
        <w:t>, as well as any other observations or comments which were useful for the interpretation and understanding of the AEs or ADRs.</w:t>
      </w:r>
    </w:p>
    <w:p w14:paraId="2DB7166D" w14:textId="77777777" w:rsidR="000F04AF" w:rsidRDefault="006D35A0" w:rsidP="00330E67">
      <w:pPr>
        <w:ind w:left="1134" w:hanging="1134"/>
        <w:rPr>
          <w:rFonts w:asciiTheme="minorHAnsi" w:hAnsiTheme="minorHAnsi"/>
        </w:rPr>
      </w:pPr>
      <w:r w:rsidRPr="00330E67">
        <w:rPr>
          <w:rFonts w:asciiTheme="minorHAnsi" w:hAnsiTheme="minorHAnsi"/>
        </w:rPr>
        <w:t>Comment:</w:t>
      </w:r>
      <w:r w:rsidRPr="00330E67">
        <w:rPr>
          <w:rFonts w:asciiTheme="minorHAnsi" w:hAnsiTheme="minorHAnsi"/>
        </w:rPr>
        <w:tab/>
        <w:t>The relevant definitions for adverse events were standard for clinical trials of the type included in the submission. All adverse events were treatment-emergent. No time interval for collection of AEs could be identified (</w:t>
      </w:r>
      <w:r w:rsidR="001A2E59">
        <w:rPr>
          <w:rFonts w:asciiTheme="minorHAnsi" w:hAnsiTheme="minorHAnsi"/>
        </w:rPr>
        <w:t>for example,</w:t>
      </w:r>
      <w:r w:rsidRPr="00330E67">
        <w:rPr>
          <w:rFonts w:asciiTheme="minorHAnsi" w:hAnsiTheme="minorHAnsi"/>
        </w:rPr>
        <w:t xml:space="preserve"> up to an including 30 days).</w:t>
      </w:r>
    </w:p>
    <w:p w14:paraId="3F8E22F4" w14:textId="77777777" w:rsidR="000F04AF" w:rsidRDefault="006D35A0" w:rsidP="00330E67">
      <w:pPr>
        <w:pStyle w:val="Heading3"/>
      </w:pPr>
      <w:bookmarkStart w:id="159" w:name="_Toc266446497"/>
      <w:bookmarkStart w:id="160" w:name="_Toc453765968"/>
      <w:r w:rsidRPr="00430CA7">
        <w:t>Adverse events</w:t>
      </w:r>
      <w:bookmarkEnd w:id="159"/>
      <w:bookmarkEnd w:id="160"/>
    </w:p>
    <w:p w14:paraId="02BE542C" w14:textId="77777777" w:rsidR="000F04AF" w:rsidRDefault="006D35A0" w:rsidP="00330E67">
      <w:pPr>
        <w:pStyle w:val="Heading4"/>
      </w:pPr>
      <w:bookmarkStart w:id="161" w:name="_Toc266446498"/>
      <w:r w:rsidRPr="00430CA7">
        <w:t>Overall adverse event profile</w:t>
      </w:r>
      <w:bookmarkEnd w:id="161"/>
    </w:p>
    <w:bookmarkEnd w:id="154"/>
    <w:p w14:paraId="28181820" w14:textId="77777777" w:rsidR="000F04AF" w:rsidRDefault="006D35A0" w:rsidP="006D35A0">
      <w:r>
        <w:t>The overall adverse event profiles of the five studies are summarised below in Table 4</w:t>
      </w:r>
      <w:r w:rsidR="00F04577">
        <w:t>7</w:t>
      </w:r>
      <w:r>
        <w:t>.</w:t>
      </w:r>
    </w:p>
    <w:p w14:paraId="3A975C30" w14:textId="77777777" w:rsidR="000F04AF" w:rsidRDefault="006D35A0" w:rsidP="00430CA7">
      <w:pPr>
        <w:pStyle w:val="Tabletitle"/>
      </w:pPr>
      <w:bookmarkStart w:id="162" w:name="_Toc248202566"/>
      <w:proofErr w:type="gramStart"/>
      <w:r>
        <w:t>Table</w:t>
      </w:r>
      <w:r w:rsidR="000A1340">
        <w:t xml:space="preserve"> 4</w:t>
      </w:r>
      <w:r w:rsidR="00F04577">
        <w:t>7</w:t>
      </w:r>
      <w:r>
        <w:t>: Simoctocog alfa adverse event profiles in the five studies; safety populations.</w:t>
      </w:r>
      <w:bookmarkEnd w:id="162"/>
      <w:proofErr w:type="gramEnd"/>
    </w:p>
    <w:p w14:paraId="19BCF8CF" w14:textId="3F625659" w:rsidR="006D35A0" w:rsidRPr="00845657" w:rsidRDefault="006D35A0" w:rsidP="006D35A0">
      <w:pPr>
        <w:spacing w:after="0"/>
        <w:rPr>
          <w:sz w:val="16"/>
          <w:szCs w:val="16"/>
        </w:rPr>
      </w:pPr>
      <w:r w:rsidRPr="00845657">
        <w:rPr>
          <w:noProof/>
          <w:sz w:val="16"/>
          <w:szCs w:val="16"/>
          <w:lang w:eastAsia="en-AU"/>
        </w:rPr>
        <w:drawing>
          <wp:inline distT="0" distB="0" distL="0" distR="0" wp14:anchorId="3A0C5E58" wp14:editId="078C2685">
            <wp:extent cx="4802886" cy="1564640"/>
            <wp:effectExtent l="0" t="0" r="0" b="0"/>
            <wp:docPr id="59" name="Picture 3" descr="The overall adverse event profiles of the five studies are summar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2886" cy="1564640"/>
                    </a:xfrm>
                    <a:prstGeom prst="rect">
                      <a:avLst/>
                    </a:prstGeom>
                    <a:noFill/>
                    <a:ln>
                      <a:noFill/>
                    </a:ln>
                  </pic:spPr>
                </pic:pic>
              </a:graphicData>
            </a:graphic>
          </wp:inline>
        </w:drawing>
      </w:r>
    </w:p>
    <w:p w14:paraId="01A1D04E" w14:textId="77777777" w:rsidR="006D35A0" w:rsidRDefault="006D35A0" w:rsidP="00DF6F6A">
      <w:pPr>
        <w:pStyle w:val="TableDescription"/>
        <w:rPr>
          <w:lang w:eastAsia="en-AU"/>
        </w:rPr>
      </w:pPr>
      <w:r w:rsidRPr="00845657">
        <w:rPr>
          <w:lang w:eastAsia="en-AU"/>
        </w:rPr>
        <w:t>† AEs rated as possibly related; 6 more AEs in 3 patients were rated as unlikely to be related. ‡ The 18 patients in GENA-04 also participated in GENA-09. AE = adverse event; SAE = serious adverse event.</w:t>
      </w:r>
    </w:p>
    <w:p w14:paraId="4FE143A9" w14:textId="77777777" w:rsidR="000F04AF" w:rsidRDefault="006D35A0" w:rsidP="00330E67">
      <w:pPr>
        <w:pStyle w:val="Heading4"/>
      </w:pPr>
      <w:bookmarkStart w:id="163" w:name="_Toc266446499"/>
      <w:r w:rsidRPr="007A098D">
        <w:t>Adverse events (irrespective of relationship to treatment)</w:t>
      </w:r>
      <w:bookmarkEnd w:id="163"/>
    </w:p>
    <w:p w14:paraId="27FF0C10" w14:textId="77777777" w:rsidR="000F04AF" w:rsidRDefault="006D35A0" w:rsidP="006D35A0">
      <w:r>
        <w:t>A total of 272 treatment-emergent AEs were reported in 58.5% (79/135) of patients in the total safety population. The most commonly occurring AEs (systems, organ, class [SOC]) reported in the total safety population (n=135) with an incidence of ≥ 5% in descending order of frequency were "infections and infestations" (40.7%, n=55), "gastrointestinal disorders" (18.5%, n=25), "general disorders and administration site conditions" (18.5%, n=25), "injury poisoning and procedural complication" (18.5%, n=25), "musculoskeletal and connective tissue disorders" (14.1%, n=19), "respiratory, thoracic, and mediastinal disorders" (13.3%, n=18), "investigations" (11.1%, n=15), and "skin and subcutaneous disorders" (n=9, 6.7%). The majority of "infections and infestations" occurred in the paediatric study GENA-03, which is not unexpected.</w:t>
      </w:r>
    </w:p>
    <w:p w14:paraId="57886579" w14:textId="77777777" w:rsidR="000F04AF" w:rsidRDefault="006D35A0" w:rsidP="006D35A0">
      <w:r>
        <w:t xml:space="preserve">Treatment-emergent AEs (preferred term) occurring in ≥ 5% of patients in descending order of frequency in the total safety population were nasopharyngitis (8.1%), pyrexia (7.4%), headache (7.4%), and rhinitis (5.2%). </w:t>
      </w:r>
      <w:r w:rsidRPr="00640B36">
        <w:t xml:space="preserve">In the SOC of "immune system disorders" </w:t>
      </w:r>
      <w:r>
        <w:t>t</w:t>
      </w:r>
      <w:r w:rsidRPr="00640B36">
        <w:t>here was 1 case of allergic oedema in a paediatric patient in GENA-03, and 1 case of</w:t>
      </w:r>
      <w:r>
        <w:t xml:space="preserve"> seasonal allergy in an adult patient in GENA-09. There were no hypersensitivity reactions in the total safety population. </w:t>
      </w:r>
      <w:r>
        <w:lastRenderedPageBreak/>
        <w:t>There were no thromboembolic events in the total safety population. The AEs (preferred term) occurring in ≥ 2% of patients in the total safety population are summarised below in Table 4</w:t>
      </w:r>
      <w:r w:rsidR="00F04577">
        <w:t>8</w:t>
      </w:r>
      <w:r>
        <w:t>.</w:t>
      </w:r>
    </w:p>
    <w:p w14:paraId="1518DE4F" w14:textId="75C90907" w:rsidR="006D35A0" w:rsidRDefault="006D35A0" w:rsidP="00330E67">
      <w:pPr>
        <w:pStyle w:val="Tabletitle"/>
        <w:keepLines/>
      </w:pPr>
      <w:bookmarkStart w:id="164" w:name="_Toc248202567"/>
      <w:r>
        <w:t xml:space="preserve">Table </w:t>
      </w:r>
      <w:r w:rsidR="000A1340">
        <w:t>4</w:t>
      </w:r>
      <w:r w:rsidR="00F04577">
        <w:t>8</w:t>
      </w:r>
      <w:r>
        <w:t>: Treatment-emergent AEs (preferred term) occurring in ≥ 2% of patients in the total safety population.</w:t>
      </w:r>
      <w:bookmarkEnd w:id="164"/>
    </w:p>
    <w:tbl>
      <w:tblPr>
        <w:tblStyle w:val="TableTGAblue"/>
        <w:tblW w:w="6237" w:type="dxa"/>
        <w:tblInd w:w="108" w:type="dxa"/>
        <w:tblLook w:val="04A0" w:firstRow="1" w:lastRow="0" w:firstColumn="1" w:lastColumn="0" w:noHBand="0" w:noVBand="1"/>
      </w:tblPr>
      <w:tblGrid>
        <w:gridCol w:w="2972"/>
        <w:gridCol w:w="1564"/>
        <w:gridCol w:w="1701"/>
      </w:tblGrid>
      <w:tr w:rsidR="00330E67" w14:paraId="475658CB" w14:textId="77777777" w:rsidTr="00DF6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76152BE7" w14:textId="77777777" w:rsidR="00330E67" w:rsidRPr="00330E67" w:rsidRDefault="00330E67" w:rsidP="00DF6F6A">
            <w:r w:rsidRPr="00330E67">
              <w:t xml:space="preserve">Preferred term AEs </w:t>
            </w:r>
          </w:p>
        </w:tc>
        <w:tc>
          <w:tcPr>
            <w:tcW w:w="1564" w:type="dxa"/>
          </w:tcPr>
          <w:p w14:paraId="25422765" w14:textId="77777777" w:rsidR="00330E67" w:rsidRPr="00330E67" w:rsidRDefault="00330E67" w:rsidP="00DF6F6A">
            <w:pPr>
              <w:cnfStyle w:val="100000000000" w:firstRow="1" w:lastRow="0" w:firstColumn="0" w:lastColumn="0" w:oddVBand="0" w:evenVBand="0" w:oddHBand="0" w:evenHBand="0" w:firstRowFirstColumn="0" w:firstRowLastColumn="0" w:lastRowFirstColumn="0" w:lastRowLastColumn="0"/>
            </w:pPr>
            <w:r w:rsidRPr="00330E67">
              <w:t xml:space="preserve">n </w:t>
            </w:r>
          </w:p>
        </w:tc>
        <w:tc>
          <w:tcPr>
            <w:tcW w:w="1701" w:type="dxa"/>
          </w:tcPr>
          <w:p w14:paraId="75EE0583" w14:textId="77777777" w:rsidR="00330E67" w:rsidRPr="00330E67" w:rsidRDefault="00330E67" w:rsidP="00DF6F6A">
            <w:pPr>
              <w:cnfStyle w:val="100000000000" w:firstRow="1" w:lastRow="0" w:firstColumn="0" w:lastColumn="0" w:oddVBand="0" w:evenVBand="0" w:oddHBand="0" w:evenHBand="0" w:firstRowFirstColumn="0" w:firstRowLastColumn="0" w:lastRowFirstColumn="0" w:lastRowLastColumn="0"/>
            </w:pPr>
            <w:r w:rsidRPr="00330E67">
              <w:t xml:space="preserve">% </w:t>
            </w:r>
          </w:p>
        </w:tc>
      </w:tr>
      <w:tr w:rsidR="00330E67" w14:paraId="70F3C662"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5699344B" w14:textId="77777777" w:rsidR="00330E67" w:rsidRPr="00CB502B" w:rsidRDefault="00330E67" w:rsidP="00DF6F6A">
            <w:r w:rsidRPr="00CB502B">
              <w:t>Number of patients</w:t>
            </w:r>
          </w:p>
        </w:tc>
        <w:tc>
          <w:tcPr>
            <w:tcW w:w="1564" w:type="dxa"/>
          </w:tcPr>
          <w:p w14:paraId="4E780533"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135</w:t>
            </w:r>
          </w:p>
        </w:tc>
        <w:tc>
          <w:tcPr>
            <w:tcW w:w="1701" w:type="dxa"/>
          </w:tcPr>
          <w:p w14:paraId="6D6C5B34"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p>
        </w:tc>
      </w:tr>
      <w:tr w:rsidR="00330E67" w14:paraId="22322C4A"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530E9E67" w14:textId="77777777" w:rsidR="00330E67" w:rsidRPr="00CB502B" w:rsidRDefault="00330E67" w:rsidP="00DF6F6A">
            <w:r w:rsidRPr="00CB502B">
              <w:t>Number of patients with AEs</w:t>
            </w:r>
          </w:p>
        </w:tc>
        <w:tc>
          <w:tcPr>
            <w:tcW w:w="1564" w:type="dxa"/>
          </w:tcPr>
          <w:p w14:paraId="72DFB88C"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 xml:space="preserve">79 </w:t>
            </w:r>
          </w:p>
        </w:tc>
        <w:tc>
          <w:tcPr>
            <w:tcW w:w="1701" w:type="dxa"/>
          </w:tcPr>
          <w:p w14:paraId="0BB7B89E"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58.5%</w:t>
            </w:r>
          </w:p>
        </w:tc>
      </w:tr>
      <w:tr w:rsidR="00330E67" w14:paraId="72AC6773"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79D9D0C5" w14:textId="77777777" w:rsidR="00330E67" w:rsidRPr="00CB502B" w:rsidRDefault="00330E67" w:rsidP="00DF6F6A">
            <w:r w:rsidRPr="00CB502B">
              <w:t>Nasopharyngitis</w:t>
            </w:r>
          </w:p>
        </w:tc>
        <w:tc>
          <w:tcPr>
            <w:tcW w:w="1564" w:type="dxa"/>
          </w:tcPr>
          <w:p w14:paraId="342B171E"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11</w:t>
            </w:r>
          </w:p>
        </w:tc>
        <w:tc>
          <w:tcPr>
            <w:tcW w:w="1701" w:type="dxa"/>
          </w:tcPr>
          <w:p w14:paraId="7422B5FC"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8.1%</w:t>
            </w:r>
          </w:p>
        </w:tc>
      </w:tr>
      <w:tr w:rsidR="00330E67" w14:paraId="6F33680F"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5B099DFD" w14:textId="77777777" w:rsidR="00330E67" w:rsidRPr="00CB502B" w:rsidRDefault="00330E67" w:rsidP="00DF6F6A">
            <w:r w:rsidRPr="00CB502B">
              <w:t>Pyrexia</w:t>
            </w:r>
          </w:p>
        </w:tc>
        <w:tc>
          <w:tcPr>
            <w:tcW w:w="1564" w:type="dxa"/>
          </w:tcPr>
          <w:p w14:paraId="1AFECC74"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10</w:t>
            </w:r>
          </w:p>
        </w:tc>
        <w:tc>
          <w:tcPr>
            <w:tcW w:w="1701" w:type="dxa"/>
          </w:tcPr>
          <w:p w14:paraId="3BF633F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7.4%</w:t>
            </w:r>
          </w:p>
        </w:tc>
      </w:tr>
      <w:tr w:rsidR="00330E67" w14:paraId="487E0661"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22BFA8B" w14:textId="77777777" w:rsidR="00330E67" w:rsidRPr="00CB502B" w:rsidRDefault="00330E67" w:rsidP="00DF6F6A">
            <w:r w:rsidRPr="00CB502B">
              <w:t>Headache</w:t>
            </w:r>
          </w:p>
        </w:tc>
        <w:tc>
          <w:tcPr>
            <w:tcW w:w="1564" w:type="dxa"/>
          </w:tcPr>
          <w:p w14:paraId="0C3759FA"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10</w:t>
            </w:r>
          </w:p>
        </w:tc>
        <w:tc>
          <w:tcPr>
            <w:tcW w:w="1701" w:type="dxa"/>
          </w:tcPr>
          <w:p w14:paraId="4283772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7.4%</w:t>
            </w:r>
          </w:p>
        </w:tc>
      </w:tr>
      <w:tr w:rsidR="00330E67" w14:paraId="00B221B7"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5C78577" w14:textId="77777777" w:rsidR="00330E67" w:rsidRPr="00CB502B" w:rsidRDefault="00330E67" w:rsidP="00DF6F6A">
            <w:r w:rsidRPr="00CB502B">
              <w:t>Rhinitis</w:t>
            </w:r>
          </w:p>
        </w:tc>
        <w:tc>
          <w:tcPr>
            <w:tcW w:w="1564" w:type="dxa"/>
          </w:tcPr>
          <w:p w14:paraId="7257F1FB"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7</w:t>
            </w:r>
          </w:p>
        </w:tc>
        <w:tc>
          <w:tcPr>
            <w:tcW w:w="1701" w:type="dxa"/>
          </w:tcPr>
          <w:p w14:paraId="32EB1C86"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5.2%</w:t>
            </w:r>
          </w:p>
        </w:tc>
      </w:tr>
      <w:tr w:rsidR="00330E67" w14:paraId="639007EA"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4CC42593" w14:textId="77777777" w:rsidR="00330E67" w:rsidRPr="00CB502B" w:rsidRDefault="00330E67" w:rsidP="00DF6F6A">
            <w:r w:rsidRPr="00CB502B">
              <w:t>Cough</w:t>
            </w:r>
          </w:p>
        </w:tc>
        <w:tc>
          <w:tcPr>
            <w:tcW w:w="1564" w:type="dxa"/>
          </w:tcPr>
          <w:p w14:paraId="1BE245CF"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6</w:t>
            </w:r>
          </w:p>
        </w:tc>
        <w:tc>
          <w:tcPr>
            <w:tcW w:w="1701" w:type="dxa"/>
          </w:tcPr>
          <w:p w14:paraId="529CC720"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4.4%</w:t>
            </w:r>
          </w:p>
        </w:tc>
      </w:tr>
      <w:tr w:rsidR="00330E67" w14:paraId="5F9ED358"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78C8E6D" w14:textId="77777777" w:rsidR="00330E67" w:rsidRPr="00CB502B" w:rsidRDefault="00330E67" w:rsidP="00DF6F6A">
            <w:r w:rsidRPr="00CB502B">
              <w:t>Diarrhoea</w:t>
            </w:r>
          </w:p>
        </w:tc>
        <w:tc>
          <w:tcPr>
            <w:tcW w:w="1564" w:type="dxa"/>
          </w:tcPr>
          <w:p w14:paraId="5640AD15"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5</w:t>
            </w:r>
          </w:p>
        </w:tc>
        <w:tc>
          <w:tcPr>
            <w:tcW w:w="1701" w:type="dxa"/>
          </w:tcPr>
          <w:p w14:paraId="0A3CF565"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3.7%</w:t>
            </w:r>
          </w:p>
        </w:tc>
      </w:tr>
      <w:tr w:rsidR="00330E67" w14:paraId="4A6F1DBA"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6B1EC4E3" w14:textId="77777777" w:rsidR="00330E67" w:rsidRPr="00CB502B" w:rsidRDefault="00330E67" w:rsidP="00DF6F6A">
            <w:r w:rsidRPr="00CB502B">
              <w:t>Chills</w:t>
            </w:r>
          </w:p>
        </w:tc>
        <w:tc>
          <w:tcPr>
            <w:tcW w:w="1564" w:type="dxa"/>
          </w:tcPr>
          <w:p w14:paraId="16742437"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5</w:t>
            </w:r>
          </w:p>
        </w:tc>
        <w:tc>
          <w:tcPr>
            <w:tcW w:w="1701" w:type="dxa"/>
          </w:tcPr>
          <w:p w14:paraId="009E0D4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3.7%</w:t>
            </w:r>
          </w:p>
        </w:tc>
      </w:tr>
      <w:tr w:rsidR="00330E67" w14:paraId="37CF65DD"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3D43B5F" w14:textId="77777777" w:rsidR="00330E67" w:rsidRPr="00CB502B" w:rsidRDefault="00330E67" w:rsidP="00DF6F6A">
            <w:r w:rsidRPr="00CB502B">
              <w:t>Injury</w:t>
            </w:r>
          </w:p>
        </w:tc>
        <w:tc>
          <w:tcPr>
            <w:tcW w:w="1564" w:type="dxa"/>
          </w:tcPr>
          <w:p w14:paraId="1FF65F70"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5</w:t>
            </w:r>
          </w:p>
        </w:tc>
        <w:tc>
          <w:tcPr>
            <w:tcW w:w="1701" w:type="dxa"/>
          </w:tcPr>
          <w:p w14:paraId="49B820CE"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3.7%</w:t>
            </w:r>
          </w:p>
        </w:tc>
      </w:tr>
      <w:tr w:rsidR="00330E67" w14:paraId="4FFD5FE1"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A839FC3" w14:textId="77777777" w:rsidR="00330E67" w:rsidRPr="00CB502B" w:rsidRDefault="00330E67" w:rsidP="00DF6F6A">
            <w:r w:rsidRPr="00CB502B">
              <w:t>Rash</w:t>
            </w:r>
          </w:p>
        </w:tc>
        <w:tc>
          <w:tcPr>
            <w:tcW w:w="1564" w:type="dxa"/>
          </w:tcPr>
          <w:p w14:paraId="1694B277"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 xml:space="preserve">5 </w:t>
            </w:r>
          </w:p>
        </w:tc>
        <w:tc>
          <w:tcPr>
            <w:tcW w:w="1701" w:type="dxa"/>
          </w:tcPr>
          <w:p w14:paraId="618F42AA"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3.7%</w:t>
            </w:r>
          </w:p>
        </w:tc>
      </w:tr>
      <w:tr w:rsidR="00330E67" w14:paraId="01467DA6"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465418B3" w14:textId="77777777" w:rsidR="00330E67" w:rsidRPr="00CB502B" w:rsidRDefault="00330E67" w:rsidP="00DF6F6A">
            <w:r w:rsidRPr="00CB502B">
              <w:t xml:space="preserve">Abdominal pain </w:t>
            </w:r>
          </w:p>
        </w:tc>
        <w:tc>
          <w:tcPr>
            <w:tcW w:w="1564" w:type="dxa"/>
          </w:tcPr>
          <w:p w14:paraId="23445C54"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 xml:space="preserve">4 </w:t>
            </w:r>
          </w:p>
        </w:tc>
        <w:tc>
          <w:tcPr>
            <w:tcW w:w="1701" w:type="dxa"/>
          </w:tcPr>
          <w:p w14:paraId="1096B91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3.0%</w:t>
            </w:r>
          </w:p>
        </w:tc>
      </w:tr>
      <w:tr w:rsidR="00330E67" w14:paraId="3146EC6E"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084EECD3" w14:textId="77777777" w:rsidR="00330E67" w:rsidRPr="00CB502B" w:rsidRDefault="00330E67" w:rsidP="00DF6F6A">
            <w:r w:rsidRPr="00CB502B">
              <w:t>Varicella</w:t>
            </w:r>
          </w:p>
        </w:tc>
        <w:tc>
          <w:tcPr>
            <w:tcW w:w="1564" w:type="dxa"/>
          </w:tcPr>
          <w:p w14:paraId="56E011E0"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4</w:t>
            </w:r>
          </w:p>
        </w:tc>
        <w:tc>
          <w:tcPr>
            <w:tcW w:w="1701" w:type="dxa"/>
          </w:tcPr>
          <w:p w14:paraId="6D1A9EB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3.0%</w:t>
            </w:r>
          </w:p>
        </w:tc>
      </w:tr>
      <w:tr w:rsidR="00330E67" w14:paraId="4CFB1420"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08E902D1" w14:textId="77777777" w:rsidR="00330E67" w:rsidRPr="00CB502B" w:rsidRDefault="00330E67" w:rsidP="00DF6F6A">
            <w:r w:rsidRPr="00CB502B">
              <w:t>Arthralgia</w:t>
            </w:r>
          </w:p>
        </w:tc>
        <w:tc>
          <w:tcPr>
            <w:tcW w:w="1564" w:type="dxa"/>
          </w:tcPr>
          <w:p w14:paraId="6E1DD102"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4</w:t>
            </w:r>
          </w:p>
        </w:tc>
        <w:tc>
          <w:tcPr>
            <w:tcW w:w="1701" w:type="dxa"/>
          </w:tcPr>
          <w:p w14:paraId="08E825B4"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3.0%</w:t>
            </w:r>
          </w:p>
        </w:tc>
      </w:tr>
      <w:tr w:rsidR="00330E67" w14:paraId="1F6EA4F9"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573FF022" w14:textId="77777777" w:rsidR="00330E67" w:rsidRPr="00CB502B" w:rsidRDefault="00330E67" w:rsidP="00DF6F6A">
            <w:r w:rsidRPr="00CB502B">
              <w:t>Back pain</w:t>
            </w:r>
          </w:p>
        </w:tc>
        <w:tc>
          <w:tcPr>
            <w:tcW w:w="1564" w:type="dxa"/>
          </w:tcPr>
          <w:p w14:paraId="4AEC2064"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4</w:t>
            </w:r>
          </w:p>
        </w:tc>
        <w:tc>
          <w:tcPr>
            <w:tcW w:w="1701" w:type="dxa"/>
          </w:tcPr>
          <w:p w14:paraId="5FA38693"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3.0%</w:t>
            </w:r>
          </w:p>
        </w:tc>
      </w:tr>
      <w:tr w:rsidR="00330E67" w14:paraId="1E300B32"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72BBA9B0" w14:textId="77777777" w:rsidR="00330E67" w:rsidRPr="00CB502B" w:rsidRDefault="00330E67" w:rsidP="00DF6F6A">
            <w:r w:rsidRPr="00CB502B">
              <w:t>Bronchitis</w:t>
            </w:r>
          </w:p>
        </w:tc>
        <w:tc>
          <w:tcPr>
            <w:tcW w:w="1564" w:type="dxa"/>
          </w:tcPr>
          <w:p w14:paraId="2469BED9"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w:t>
            </w:r>
          </w:p>
        </w:tc>
        <w:tc>
          <w:tcPr>
            <w:tcW w:w="1701" w:type="dxa"/>
          </w:tcPr>
          <w:p w14:paraId="07CB52B1"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2.2%</w:t>
            </w:r>
          </w:p>
        </w:tc>
      </w:tr>
      <w:tr w:rsidR="00330E67" w14:paraId="2B9FBEB2"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342A4E2A" w14:textId="77777777" w:rsidR="00330E67" w:rsidRPr="00CB502B" w:rsidRDefault="00330E67" w:rsidP="00DF6F6A">
            <w:r w:rsidRPr="00CB502B">
              <w:t>Upper RTI</w:t>
            </w:r>
          </w:p>
        </w:tc>
        <w:tc>
          <w:tcPr>
            <w:tcW w:w="1564" w:type="dxa"/>
          </w:tcPr>
          <w:p w14:paraId="5605624B"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w:t>
            </w:r>
          </w:p>
        </w:tc>
        <w:tc>
          <w:tcPr>
            <w:tcW w:w="1701" w:type="dxa"/>
          </w:tcPr>
          <w:p w14:paraId="2798CA90"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2.2%</w:t>
            </w:r>
          </w:p>
        </w:tc>
      </w:tr>
      <w:tr w:rsidR="00330E67" w14:paraId="4288EA90" w14:textId="77777777" w:rsidTr="00330E67">
        <w:tc>
          <w:tcPr>
            <w:cnfStyle w:val="001000000000" w:firstRow="0" w:lastRow="0" w:firstColumn="1" w:lastColumn="0" w:oddVBand="0" w:evenVBand="0" w:oddHBand="0" w:evenHBand="0" w:firstRowFirstColumn="0" w:firstRowLastColumn="0" w:lastRowFirstColumn="0" w:lastRowLastColumn="0"/>
            <w:tcW w:w="2972" w:type="dxa"/>
          </w:tcPr>
          <w:p w14:paraId="2A6377F9" w14:textId="77777777" w:rsidR="00330E67" w:rsidRPr="00CB502B" w:rsidRDefault="00330E67" w:rsidP="00DF6F6A">
            <w:r w:rsidRPr="00CB502B">
              <w:t>Head injury</w:t>
            </w:r>
          </w:p>
        </w:tc>
        <w:tc>
          <w:tcPr>
            <w:tcW w:w="1564" w:type="dxa"/>
          </w:tcPr>
          <w:p w14:paraId="44FE65F8"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3</w:t>
            </w:r>
          </w:p>
        </w:tc>
        <w:tc>
          <w:tcPr>
            <w:tcW w:w="1701" w:type="dxa"/>
          </w:tcPr>
          <w:p w14:paraId="6E9AC51D" w14:textId="77777777" w:rsidR="00330E67" w:rsidRPr="00CB502B" w:rsidRDefault="00330E67" w:rsidP="00DF6F6A">
            <w:pPr>
              <w:cnfStyle w:val="000000000000" w:firstRow="0" w:lastRow="0" w:firstColumn="0" w:lastColumn="0" w:oddVBand="0" w:evenVBand="0" w:oddHBand="0" w:evenHBand="0" w:firstRowFirstColumn="0" w:firstRowLastColumn="0" w:lastRowFirstColumn="0" w:lastRowLastColumn="0"/>
            </w:pPr>
            <w:r w:rsidRPr="00CB502B">
              <w:t>2.2%</w:t>
            </w:r>
          </w:p>
        </w:tc>
      </w:tr>
    </w:tbl>
    <w:p w14:paraId="199B6810" w14:textId="77777777" w:rsidR="006D35A0" w:rsidRPr="00B5116E" w:rsidRDefault="006D35A0" w:rsidP="00330E67">
      <w:pPr>
        <w:pStyle w:val="Heading4"/>
      </w:pPr>
      <w:bookmarkStart w:id="165" w:name="_Toc266446500"/>
      <w:r w:rsidRPr="00B5116E">
        <w:t>Treatment-related adverse events (adverse drug reactions)</w:t>
      </w:r>
      <w:bookmarkEnd w:id="165"/>
    </w:p>
    <w:p w14:paraId="56739E7D" w14:textId="77777777" w:rsidR="000F04AF" w:rsidRDefault="006D35A0" w:rsidP="006D35A0">
      <w:r>
        <w:t xml:space="preserve">Of the total number of patients in the safety population, 5 (3.7%) patients experienced 8 AEs classified by the investigators as possibly or probably related to treatment (see Table </w:t>
      </w:r>
      <w:r w:rsidR="00F04577">
        <w:t>49</w:t>
      </w:r>
      <w:r>
        <w:t>, below).</w:t>
      </w:r>
    </w:p>
    <w:p w14:paraId="1D10BA4E" w14:textId="26A9AD8C" w:rsidR="006D35A0" w:rsidRPr="00DF6F6A" w:rsidRDefault="006D35A0" w:rsidP="00B5116E">
      <w:pPr>
        <w:pStyle w:val="Tabletitle"/>
      </w:pPr>
      <w:bookmarkStart w:id="166" w:name="_Toc248202568"/>
      <w:proofErr w:type="gramStart"/>
      <w:r>
        <w:lastRenderedPageBreak/>
        <w:t xml:space="preserve">Table </w:t>
      </w:r>
      <w:r w:rsidR="00F04577">
        <w:t>49</w:t>
      </w:r>
      <w:r>
        <w:t xml:space="preserve">: Treatment-emergent AEs classified as possibly or probably related to </w:t>
      </w:r>
      <w:r w:rsidRPr="00DF6F6A">
        <w:t>treatment; safety population.</w:t>
      </w:r>
      <w:bookmarkEnd w:id="166"/>
      <w:proofErr w:type="gramEnd"/>
      <w:r w:rsidRPr="00DF6F6A">
        <w:t xml:space="preserve"> </w:t>
      </w:r>
      <w:r w:rsidR="00330E67" w:rsidRPr="00DF6F6A">
        <w:t>[Patient information has been redacted from this table]</w:t>
      </w:r>
    </w:p>
    <w:tbl>
      <w:tblPr>
        <w:tblStyle w:val="TableTGAblue"/>
        <w:tblW w:w="0" w:type="auto"/>
        <w:tblLook w:val="04A0" w:firstRow="1" w:lastRow="0" w:firstColumn="1" w:lastColumn="0" w:noHBand="0" w:noVBand="1"/>
      </w:tblPr>
      <w:tblGrid>
        <w:gridCol w:w="1065"/>
        <w:gridCol w:w="1977"/>
        <w:gridCol w:w="1386"/>
        <w:gridCol w:w="2454"/>
        <w:gridCol w:w="1485"/>
      </w:tblGrid>
      <w:tr w:rsidR="00330E67" w14:paraId="673185B1" w14:textId="77777777" w:rsidTr="00330E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5" w:type="dxa"/>
          </w:tcPr>
          <w:p w14:paraId="25C80E8A" w14:textId="77777777" w:rsidR="00330E67" w:rsidRPr="0020712E" w:rsidRDefault="00330E67" w:rsidP="00DF6F6A">
            <w:pPr>
              <w:ind w:left="0"/>
            </w:pPr>
            <w:r>
              <w:t>Study</w:t>
            </w:r>
          </w:p>
        </w:tc>
        <w:tc>
          <w:tcPr>
            <w:tcW w:w="1977" w:type="dxa"/>
          </w:tcPr>
          <w:p w14:paraId="06E29390" w14:textId="77777777" w:rsidR="00330E67" w:rsidRPr="0020712E" w:rsidRDefault="00330E67" w:rsidP="00DF6F6A">
            <w:pPr>
              <w:ind w:left="69"/>
              <w:cnfStyle w:val="100000000000" w:firstRow="1" w:lastRow="0" w:firstColumn="0" w:lastColumn="0" w:oddVBand="0" w:evenVBand="0" w:oddHBand="0" w:evenHBand="0" w:firstRowFirstColumn="0" w:firstRowLastColumn="0" w:lastRowFirstColumn="0" w:lastRowLastColumn="0"/>
            </w:pPr>
            <w:r>
              <w:t xml:space="preserve">Preferred term (MedDRA) </w:t>
            </w:r>
          </w:p>
        </w:tc>
        <w:tc>
          <w:tcPr>
            <w:tcW w:w="1386" w:type="dxa"/>
          </w:tcPr>
          <w:p w14:paraId="3D439D1B" w14:textId="77777777" w:rsidR="00330E67" w:rsidRPr="0020712E" w:rsidRDefault="00330E67" w:rsidP="00DF6F6A">
            <w:pPr>
              <w:ind w:left="0"/>
              <w:cnfStyle w:val="100000000000" w:firstRow="1" w:lastRow="0" w:firstColumn="0" w:lastColumn="0" w:oddVBand="0" w:evenVBand="0" w:oddHBand="0" w:evenHBand="0" w:firstRowFirstColumn="0" w:firstRowLastColumn="0" w:lastRowFirstColumn="0" w:lastRowLastColumn="0"/>
            </w:pPr>
            <w:r>
              <w:t>Intensity</w:t>
            </w:r>
          </w:p>
        </w:tc>
        <w:tc>
          <w:tcPr>
            <w:tcW w:w="2160" w:type="dxa"/>
          </w:tcPr>
          <w:p w14:paraId="65EEEB93" w14:textId="77777777" w:rsidR="00330E67" w:rsidRPr="0020712E" w:rsidRDefault="00330E67" w:rsidP="00DF6F6A">
            <w:pPr>
              <w:ind w:left="108"/>
              <w:cnfStyle w:val="100000000000" w:firstRow="1" w:lastRow="0" w:firstColumn="0" w:lastColumn="0" w:oddVBand="0" w:evenVBand="0" w:oddHBand="0" w:evenHBand="0" w:firstRowFirstColumn="0" w:firstRowLastColumn="0" w:lastRowFirstColumn="0" w:lastRowLastColumn="0"/>
            </w:pPr>
            <w:r>
              <w:t>Outcome</w:t>
            </w:r>
          </w:p>
        </w:tc>
        <w:tc>
          <w:tcPr>
            <w:tcW w:w="1399" w:type="dxa"/>
          </w:tcPr>
          <w:p w14:paraId="19D04D48" w14:textId="77777777" w:rsidR="00330E67" w:rsidRPr="0020712E" w:rsidRDefault="00330E67" w:rsidP="00DF6F6A">
            <w:pPr>
              <w:cnfStyle w:val="100000000000" w:firstRow="1" w:lastRow="0" w:firstColumn="0" w:lastColumn="0" w:oddVBand="0" w:evenVBand="0" w:oddHBand="0" w:evenHBand="0" w:firstRowFirstColumn="0" w:firstRowLastColumn="0" w:lastRowFirstColumn="0" w:lastRowLastColumn="0"/>
            </w:pPr>
            <w:r>
              <w:t>Causality</w:t>
            </w:r>
          </w:p>
        </w:tc>
      </w:tr>
      <w:tr w:rsidR="00330E67" w14:paraId="541E7D42"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71E2BC87" w14:textId="77777777" w:rsidR="00330E67" w:rsidRPr="0020712E" w:rsidRDefault="00330E67" w:rsidP="00DF6F6A">
            <w:pPr>
              <w:ind w:left="0"/>
            </w:pPr>
            <w:r>
              <w:t>GENA-08</w:t>
            </w:r>
          </w:p>
        </w:tc>
        <w:tc>
          <w:tcPr>
            <w:tcW w:w="1977" w:type="dxa"/>
          </w:tcPr>
          <w:p w14:paraId="22677018" w14:textId="77777777" w:rsidR="00330E67" w:rsidRPr="0020712E" w:rsidRDefault="00330E67" w:rsidP="00DF6F6A">
            <w:pPr>
              <w:ind w:left="69"/>
              <w:cnfStyle w:val="000000000000" w:firstRow="0" w:lastRow="0" w:firstColumn="0" w:lastColumn="0" w:oddVBand="0" w:evenVBand="0" w:oddHBand="0" w:evenHBand="0" w:firstRowFirstColumn="0" w:firstRowLastColumn="0" w:lastRowFirstColumn="0" w:lastRowLastColumn="0"/>
            </w:pPr>
            <w:r>
              <w:t>Injection site pain</w:t>
            </w:r>
          </w:p>
        </w:tc>
        <w:tc>
          <w:tcPr>
            <w:tcW w:w="1386" w:type="dxa"/>
          </w:tcPr>
          <w:p w14:paraId="754415AB" w14:textId="77777777" w:rsidR="00330E67" w:rsidRPr="0020712E"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50002FDD" w14:textId="77777777" w:rsidR="00330E67" w:rsidRPr="0020712E"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32391D1C" w14:textId="77777777" w:rsidR="00330E67" w:rsidRPr="0020712E"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21BF1494"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30B82EC2" w14:textId="77777777" w:rsidR="00330E67" w:rsidRDefault="00330E67" w:rsidP="00DF6F6A">
            <w:pPr>
              <w:ind w:left="0"/>
            </w:pPr>
          </w:p>
        </w:tc>
        <w:tc>
          <w:tcPr>
            <w:tcW w:w="1977" w:type="dxa"/>
          </w:tcPr>
          <w:p w14:paraId="24E6A3E4"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Vertigo</w:t>
            </w:r>
          </w:p>
        </w:tc>
        <w:tc>
          <w:tcPr>
            <w:tcW w:w="1386" w:type="dxa"/>
          </w:tcPr>
          <w:p w14:paraId="3F2A2C62"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4FF57B2D"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17834371"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699D0E43"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3A853307" w14:textId="77777777" w:rsidR="00330E67" w:rsidRDefault="00330E67" w:rsidP="00DF6F6A">
            <w:pPr>
              <w:ind w:left="0"/>
            </w:pPr>
          </w:p>
        </w:tc>
        <w:tc>
          <w:tcPr>
            <w:tcW w:w="1977" w:type="dxa"/>
          </w:tcPr>
          <w:p w14:paraId="23037567"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Dry mouth</w:t>
            </w:r>
          </w:p>
        </w:tc>
        <w:tc>
          <w:tcPr>
            <w:tcW w:w="1386" w:type="dxa"/>
          </w:tcPr>
          <w:p w14:paraId="56BBAC6F"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78D30B1E"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535E7436"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579A21FE"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49390797" w14:textId="77777777" w:rsidR="00330E67" w:rsidRDefault="00330E67" w:rsidP="00DF6F6A">
            <w:pPr>
              <w:ind w:left="0"/>
            </w:pPr>
          </w:p>
        </w:tc>
        <w:tc>
          <w:tcPr>
            <w:tcW w:w="1977" w:type="dxa"/>
          </w:tcPr>
          <w:p w14:paraId="2BE5113C"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Paraesthesia</w:t>
            </w:r>
          </w:p>
        </w:tc>
        <w:tc>
          <w:tcPr>
            <w:tcW w:w="1386" w:type="dxa"/>
          </w:tcPr>
          <w:p w14:paraId="0DD2FB6C"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720422CB"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23B7A74E"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6CB7A219"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4F16F220" w14:textId="77777777" w:rsidR="00330E67" w:rsidRDefault="00330E67" w:rsidP="00DF6F6A">
            <w:pPr>
              <w:ind w:left="0"/>
            </w:pPr>
          </w:p>
        </w:tc>
        <w:tc>
          <w:tcPr>
            <w:tcW w:w="1977" w:type="dxa"/>
          </w:tcPr>
          <w:p w14:paraId="3E53A232"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 xml:space="preserve">Injection site inflammation </w:t>
            </w:r>
          </w:p>
        </w:tc>
        <w:tc>
          <w:tcPr>
            <w:tcW w:w="1386" w:type="dxa"/>
          </w:tcPr>
          <w:p w14:paraId="29823993"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03E774FA"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617F539D"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45E4032E"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5BD280C8" w14:textId="77777777" w:rsidR="00330E67" w:rsidRDefault="00330E67" w:rsidP="00DF6F6A">
            <w:pPr>
              <w:ind w:left="0"/>
            </w:pPr>
            <w:r>
              <w:t>GENA-03</w:t>
            </w:r>
          </w:p>
        </w:tc>
        <w:tc>
          <w:tcPr>
            <w:tcW w:w="1977" w:type="dxa"/>
          </w:tcPr>
          <w:p w14:paraId="35A3617B"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Back pain</w:t>
            </w:r>
          </w:p>
        </w:tc>
        <w:tc>
          <w:tcPr>
            <w:tcW w:w="1386" w:type="dxa"/>
          </w:tcPr>
          <w:p w14:paraId="57DF89F1"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35BBCFB9"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011CB8A3"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3E94EEB0"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575ADDDE" w14:textId="77777777" w:rsidR="00330E67" w:rsidRDefault="00330E67" w:rsidP="00DF6F6A">
            <w:pPr>
              <w:ind w:left="0"/>
            </w:pPr>
          </w:p>
        </w:tc>
        <w:tc>
          <w:tcPr>
            <w:tcW w:w="1977" w:type="dxa"/>
          </w:tcPr>
          <w:p w14:paraId="53FE7101"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Headache</w:t>
            </w:r>
          </w:p>
        </w:tc>
        <w:tc>
          <w:tcPr>
            <w:tcW w:w="1386" w:type="dxa"/>
          </w:tcPr>
          <w:p w14:paraId="634207A8"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772C9F21"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Recovered/Resolved</w:t>
            </w:r>
          </w:p>
        </w:tc>
        <w:tc>
          <w:tcPr>
            <w:tcW w:w="1399" w:type="dxa"/>
          </w:tcPr>
          <w:p w14:paraId="05E1B2CC"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Possible</w:t>
            </w:r>
          </w:p>
        </w:tc>
      </w:tr>
      <w:tr w:rsidR="00330E67" w14:paraId="78900621" w14:textId="77777777" w:rsidTr="00330E67">
        <w:tc>
          <w:tcPr>
            <w:cnfStyle w:val="001000000000" w:firstRow="0" w:lastRow="0" w:firstColumn="1" w:lastColumn="0" w:oddVBand="0" w:evenVBand="0" w:oddHBand="0" w:evenHBand="0" w:firstRowFirstColumn="0" w:firstRowLastColumn="0" w:lastRowFirstColumn="0" w:lastRowLastColumn="0"/>
            <w:tcW w:w="1065" w:type="dxa"/>
          </w:tcPr>
          <w:p w14:paraId="7295A0B7" w14:textId="77777777" w:rsidR="00330E67" w:rsidRDefault="00330E67" w:rsidP="00DF6F6A">
            <w:pPr>
              <w:ind w:left="0"/>
            </w:pPr>
            <w:r>
              <w:t>GENA-04</w:t>
            </w:r>
          </w:p>
        </w:tc>
        <w:tc>
          <w:tcPr>
            <w:tcW w:w="1977" w:type="dxa"/>
          </w:tcPr>
          <w:p w14:paraId="714370F5" w14:textId="77777777" w:rsidR="00330E67" w:rsidRDefault="00330E67" w:rsidP="00DF6F6A">
            <w:pPr>
              <w:ind w:left="69"/>
              <w:cnfStyle w:val="000000000000" w:firstRow="0" w:lastRow="0" w:firstColumn="0" w:lastColumn="0" w:oddVBand="0" w:evenVBand="0" w:oddHBand="0" w:evenHBand="0" w:firstRowFirstColumn="0" w:firstRowLastColumn="0" w:lastRowFirstColumn="0" w:lastRowLastColumn="0"/>
            </w:pPr>
            <w:r>
              <w:t>Anti-FVIII antibody positive</w:t>
            </w:r>
          </w:p>
        </w:tc>
        <w:tc>
          <w:tcPr>
            <w:tcW w:w="1386" w:type="dxa"/>
          </w:tcPr>
          <w:p w14:paraId="4351572C"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Mild</w:t>
            </w:r>
          </w:p>
        </w:tc>
        <w:tc>
          <w:tcPr>
            <w:tcW w:w="2160" w:type="dxa"/>
          </w:tcPr>
          <w:p w14:paraId="228A09AE" w14:textId="77777777" w:rsidR="00330E67" w:rsidRDefault="00330E67" w:rsidP="00DF6F6A">
            <w:pPr>
              <w:ind w:left="108"/>
              <w:cnfStyle w:val="000000000000" w:firstRow="0" w:lastRow="0" w:firstColumn="0" w:lastColumn="0" w:oddVBand="0" w:evenVBand="0" w:oddHBand="0" w:evenHBand="0" w:firstRowFirstColumn="0" w:firstRowLastColumn="0" w:lastRowFirstColumn="0" w:lastRowLastColumn="0"/>
            </w:pPr>
            <w:r>
              <w:t>Unknown</w:t>
            </w:r>
          </w:p>
        </w:tc>
        <w:tc>
          <w:tcPr>
            <w:tcW w:w="1399" w:type="dxa"/>
          </w:tcPr>
          <w:p w14:paraId="24A211C2"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 xml:space="preserve">Probable </w:t>
            </w:r>
          </w:p>
        </w:tc>
      </w:tr>
    </w:tbl>
    <w:p w14:paraId="0313055D" w14:textId="77777777" w:rsidR="000F04AF" w:rsidRDefault="006D35A0" w:rsidP="006D35A0">
      <w:r w:rsidRPr="00B822AE">
        <w:t xml:space="preserve">During the final IDMC meeting for GENA-03 </w:t>
      </w:r>
      <w:r>
        <w:t>(paediatric study) conducted after</w:t>
      </w:r>
      <w:r w:rsidRPr="00B822AE">
        <w:t xml:space="preserve"> </w:t>
      </w:r>
      <w:r>
        <w:t xml:space="preserve">the </w:t>
      </w:r>
      <w:r w:rsidRPr="00B822AE">
        <w:t xml:space="preserve">database lock, the </w:t>
      </w:r>
      <w:r>
        <w:t>committee</w:t>
      </w:r>
      <w:r w:rsidRPr="00B822AE">
        <w:t xml:space="preserve"> commented that a further 6 AEs</w:t>
      </w:r>
      <w:r w:rsidRPr="00B406EB">
        <w:t xml:space="preserve"> </w:t>
      </w:r>
      <w:r w:rsidRPr="00B822AE">
        <w:t xml:space="preserve">could be judged as “possibly related” since they occurred temporally associated with the respective last infusion of </w:t>
      </w:r>
      <w:r>
        <w:t>simoctocog alfa</w:t>
      </w:r>
      <w:r w:rsidRPr="00B822AE">
        <w:t>.</w:t>
      </w:r>
      <w:r>
        <w:t xml:space="preserve"> These 6 AEs had all been </w:t>
      </w:r>
      <w:r w:rsidRPr="00B822AE">
        <w:t>judged by investigators</w:t>
      </w:r>
      <w:r w:rsidRPr="00B406EB">
        <w:t xml:space="preserve"> </w:t>
      </w:r>
      <w:r w:rsidRPr="00B822AE">
        <w:t>to be unrelated</w:t>
      </w:r>
      <w:r>
        <w:t xml:space="preserve"> to treatment. The 6 AEs included</w:t>
      </w:r>
      <w:r w:rsidRPr="00B822AE">
        <w:t xml:space="preserve"> 3 cases of mild rash and 3 cases of chills (1 mild and 2 moderate in severity), all of which resolved without sequelae. </w:t>
      </w:r>
      <w:r>
        <w:t xml:space="preserve">Review of these additional AEs indicates that 3 patients each experienced 1 AE of chills, 1 patient experienced 2 AEs of rash on two separate occasions, and 1 patient experienced an AE of rash. </w:t>
      </w:r>
      <w:r w:rsidRPr="00B822AE">
        <w:t xml:space="preserve">There </w:t>
      </w:r>
      <w:r>
        <w:t xml:space="preserve">were no inconsistencies between </w:t>
      </w:r>
      <w:r w:rsidRPr="00B822AE">
        <w:t>investigator and IDMC safety</w:t>
      </w:r>
      <w:r>
        <w:t xml:space="preserve"> </w:t>
      </w:r>
      <w:r w:rsidRPr="00B822AE">
        <w:t>assessments in studies GENA-01, GENA-08, GENA-09 or GENA-04.</w:t>
      </w:r>
      <w:r>
        <w:t xml:space="preserve"> In total, there were 10 (7.4%) patients in the total safety population with 14 AEs (5.1%) judged by the investigator and/or IDMC to be possibly or probable related to simoctocog alfa</w:t>
      </w:r>
      <w:r w:rsidR="000F04AF">
        <w:t>.</w:t>
      </w:r>
    </w:p>
    <w:p w14:paraId="55FD5AED" w14:textId="039EEDBC" w:rsidR="000F04AF" w:rsidRDefault="006D35A0" w:rsidP="00330E67">
      <w:pPr>
        <w:pStyle w:val="Heading4"/>
      </w:pPr>
      <w:bookmarkStart w:id="167" w:name="_Toc266446501"/>
      <w:r w:rsidRPr="00B5116E">
        <w:t>Deaths and other serious adverse events (SAEs)</w:t>
      </w:r>
      <w:bookmarkEnd w:id="167"/>
    </w:p>
    <w:p w14:paraId="223D8E04" w14:textId="5728DEEF" w:rsidR="006D35A0" w:rsidRPr="00B5116E" w:rsidRDefault="006D35A0" w:rsidP="00330E67">
      <w:pPr>
        <w:pStyle w:val="Heading5"/>
      </w:pPr>
      <w:bookmarkStart w:id="168" w:name="_Toc266446502"/>
      <w:r w:rsidRPr="00B5116E">
        <w:t>Deaths</w:t>
      </w:r>
      <w:bookmarkEnd w:id="168"/>
    </w:p>
    <w:p w14:paraId="62CB0F5F" w14:textId="77777777" w:rsidR="000F04AF" w:rsidRDefault="006D35A0" w:rsidP="006D35A0">
      <w:r w:rsidRPr="00B17255">
        <w:t xml:space="preserve">One death occurred in GENA-08 </w:t>
      </w:r>
      <w:r>
        <w:t>and</w:t>
      </w:r>
      <w:r w:rsidRPr="00B17255">
        <w:t xml:space="preserve"> was deemed not related to administration of </w:t>
      </w:r>
      <w:r>
        <w:t>simoctocog alfa</w:t>
      </w:r>
      <w:r w:rsidRPr="00B17255">
        <w:t xml:space="preserve">. This patient had been diagnosed with epilepsy and had been taking an antiepileptic (oxycarbazepin, 300 mg twice a day) since 1997. The last documented </w:t>
      </w:r>
      <w:r>
        <w:t xml:space="preserve">simoctocog alfa </w:t>
      </w:r>
      <w:r w:rsidRPr="00B17255">
        <w:t>infusion according to the patient diary was 48 days before his death</w:t>
      </w:r>
      <w:r>
        <w:t xml:space="preserve">. The patient experienced status epilepticus, and the CRF stated </w:t>
      </w:r>
      <w:r w:rsidRPr="00B17255">
        <w:t>acute respiratory and cardiovascular failure as the cause of death.</w:t>
      </w:r>
    </w:p>
    <w:p w14:paraId="25EAD10B" w14:textId="77777777" w:rsidR="000F04AF" w:rsidRDefault="006D35A0" w:rsidP="00330E67">
      <w:pPr>
        <w:pStyle w:val="Heading5"/>
      </w:pPr>
      <w:bookmarkStart w:id="169" w:name="_Toc266446503"/>
      <w:r w:rsidRPr="00B5116E">
        <w:t>Other serious adverse events (SAEs)</w:t>
      </w:r>
      <w:bookmarkEnd w:id="169"/>
    </w:p>
    <w:p w14:paraId="2186DE03" w14:textId="77777777" w:rsidR="000F04AF" w:rsidRDefault="006D35A0" w:rsidP="006D35A0">
      <w:r w:rsidRPr="00B17255">
        <w:t xml:space="preserve">There were 11 other SAEs in 8 (5.9%) patients in the 5 studies: 3 SAEs (in 2 patients) in GENA-01, 7 SAEs (in 5 patients) in GENA-03 and 1 SAE (in 1 patient) in GENA-08. The SAEs (preferred term) reported in the total safety populations are summarised below in Table </w:t>
      </w:r>
      <w:r w:rsidR="00B5116E">
        <w:t>5</w:t>
      </w:r>
      <w:r w:rsidR="00F04577">
        <w:t>0</w:t>
      </w:r>
      <w:r w:rsidRPr="00B17255">
        <w:t>.</w:t>
      </w:r>
    </w:p>
    <w:p w14:paraId="5831D98C" w14:textId="3C624892" w:rsidR="006D35A0" w:rsidRDefault="006D35A0" w:rsidP="00B5116E">
      <w:pPr>
        <w:pStyle w:val="Tabletitle"/>
      </w:pPr>
      <w:bookmarkStart w:id="170" w:name="_Toc248202569"/>
      <w:proofErr w:type="gramStart"/>
      <w:r>
        <w:lastRenderedPageBreak/>
        <w:t xml:space="preserve">Table </w:t>
      </w:r>
      <w:r w:rsidR="000A1340">
        <w:t>5</w:t>
      </w:r>
      <w:r w:rsidR="00F04577">
        <w:t>0</w:t>
      </w:r>
      <w:r>
        <w:t>: SAEs; safety population.</w:t>
      </w:r>
      <w:bookmarkEnd w:id="170"/>
      <w:proofErr w:type="gramEnd"/>
      <w:r>
        <w:t xml:space="preserve"> </w:t>
      </w:r>
      <w:r w:rsidR="00330E67">
        <w:t>[Patient information has been redacted from this table]</w:t>
      </w:r>
    </w:p>
    <w:tbl>
      <w:tblPr>
        <w:tblStyle w:val="TableTGAblue"/>
        <w:tblW w:w="8472" w:type="dxa"/>
        <w:tblLayout w:type="fixed"/>
        <w:tblLook w:val="04A0" w:firstRow="1" w:lastRow="0" w:firstColumn="1" w:lastColumn="0" w:noHBand="0" w:noVBand="1"/>
      </w:tblPr>
      <w:tblGrid>
        <w:gridCol w:w="1101"/>
        <w:gridCol w:w="1842"/>
        <w:gridCol w:w="2269"/>
        <w:gridCol w:w="1418"/>
        <w:gridCol w:w="1842"/>
      </w:tblGrid>
      <w:tr w:rsidR="00330E67" w14:paraId="54DD4438" w14:textId="77777777" w:rsidTr="00DF6F6A">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101" w:type="dxa"/>
          </w:tcPr>
          <w:p w14:paraId="0B73BC6F" w14:textId="77777777" w:rsidR="00330E67" w:rsidRPr="0020712E" w:rsidRDefault="00330E67" w:rsidP="00DF6F6A">
            <w:pPr>
              <w:ind w:left="0"/>
            </w:pPr>
            <w:r>
              <w:t>Study</w:t>
            </w:r>
          </w:p>
        </w:tc>
        <w:tc>
          <w:tcPr>
            <w:tcW w:w="1842" w:type="dxa"/>
          </w:tcPr>
          <w:p w14:paraId="7210A95D" w14:textId="77777777" w:rsidR="00330E67" w:rsidRPr="0020712E" w:rsidRDefault="00330E67" w:rsidP="00DF6F6A">
            <w:pPr>
              <w:cnfStyle w:val="100000000000" w:firstRow="1" w:lastRow="0" w:firstColumn="0" w:lastColumn="0" w:oddVBand="0" w:evenVBand="0" w:oddHBand="0" w:evenHBand="0" w:firstRowFirstColumn="0" w:firstRowLastColumn="0" w:lastRowFirstColumn="0" w:lastRowLastColumn="0"/>
            </w:pPr>
          </w:p>
        </w:tc>
        <w:tc>
          <w:tcPr>
            <w:tcW w:w="2269" w:type="dxa"/>
          </w:tcPr>
          <w:p w14:paraId="043E5A16" w14:textId="77777777" w:rsidR="00330E67" w:rsidRPr="0020712E" w:rsidRDefault="00330E67" w:rsidP="00DF6F6A">
            <w:pPr>
              <w:cnfStyle w:val="100000000000" w:firstRow="1" w:lastRow="0" w:firstColumn="0" w:lastColumn="0" w:oddVBand="0" w:evenVBand="0" w:oddHBand="0" w:evenHBand="0" w:firstRowFirstColumn="0" w:firstRowLastColumn="0" w:lastRowFirstColumn="0" w:lastRowLastColumn="0"/>
            </w:pPr>
            <w:r>
              <w:t>Outcome</w:t>
            </w:r>
          </w:p>
        </w:tc>
        <w:tc>
          <w:tcPr>
            <w:tcW w:w="1418" w:type="dxa"/>
          </w:tcPr>
          <w:p w14:paraId="6712B6DC" w14:textId="77777777" w:rsidR="00330E67" w:rsidRPr="0020712E" w:rsidRDefault="00330E67" w:rsidP="00DF6F6A">
            <w:pPr>
              <w:ind w:left="0"/>
              <w:cnfStyle w:val="100000000000" w:firstRow="1" w:lastRow="0" w:firstColumn="0" w:lastColumn="0" w:oddVBand="0" w:evenVBand="0" w:oddHBand="0" w:evenHBand="0" w:firstRowFirstColumn="0" w:firstRowLastColumn="0" w:lastRowFirstColumn="0" w:lastRowLastColumn="0"/>
            </w:pPr>
            <w:r>
              <w:t>Causality</w:t>
            </w:r>
          </w:p>
        </w:tc>
        <w:tc>
          <w:tcPr>
            <w:tcW w:w="1842" w:type="dxa"/>
          </w:tcPr>
          <w:p w14:paraId="53FE10F4" w14:textId="77777777" w:rsidR="00330E67" w:rsidRDefault="00330E67" w:rsidP="00DF6F6A">
            <w:pPr>
              <w:cnfStyle w:val="100000000000" w:firstRow="1" w:lastRow="0" w:firstColumn="0" w:lastColumn="0" w:oddVBand="0" w:evenVBand="0" w:oddHBand="0" w:evenHBand="0" w:firstRowFirstColumn="0" w:firstRowLastColumn="0" w:lastRowFirstColumn="0" w:lastRowLastColumn="0"/>
            </w:pPr>
            <w:r>
              <w:t>Comment</w:t>
            </w:r>
          </w:p>
        </w:tc>
      </w:tr>
      <w:tr w:rsidR="000D66B4" w14:paraId="1B652236"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val="restart"/>
          </w:tcPr>
          <w:p w14:paraId="478F018B" w14:textId="77777777" w:rsidR="000D66B4" w:rsidRPr="0020712E" w:rsidRDefault="000D66B4" w:rsidP="00DF6F6A">
            <w:pPr>
              <w:ind w:left="0"/>
            </w:pPr>
            <w:r>
              <w:t>GENA-01</w:t>
            </w:r>
          </w:p>
        </w:tc>
        <w:tc>
          <w:tcPr>
            <w:tcW w:w="1842" w:type="dxa"/>
          </w:tcPr>
          <w:p w14:paraId="543B0C3C" w14:textId="77777777" w:rsidR="000D66B4" w:rsidRPr="0020712E" w:rsidRDefault="000D66B4" w:rsidP="00DF6F6A">
            <w:pPr>
              <w:cnfStyle w:val="000000000000" w:firstRow="0" w:lastRow="0" w:firstColumn="0" w:lastColumn="0" w:oddVBand="0" w:evenVBand="0" w:oddHBand="0" w:evenHBand="0" w:firstRowFirstColumn="0" w:firstRowLastColumn="0" w:lastRowFirstColumn="0" w:lastRowLastColumn="0"/>
            </w:pPr>
            <w:r>
              <w:t xml:space="preserve">Depression, suicidal </w:t>
            </w:r>
          </w:p>
        </w:tc>
        <w:tc>
          <w:tcPr>
            <w:tcW w:w="2269" w:type="dxa"/>
          </w:tcPr>
          <w:p w14:paraId="7851325C" w14:textId="77777777" w:rsidR="000D66B4" w:rsidRPr="0020712E" w:rsidRDefault="000D66B4"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5E05E815" w14:textId="77777777" w:rsidR="000D66B4" w:rsidRPr="0020712E" w:rsidRDefault="000D66B4" w:rsidP="00DF6F6A">
            <w:pPr>
              <w:ind w:left="0"/>
              <w:cnfStyle w:val="000000000000" w:firstRow="0" w:lastRow="0" w:firstColumn="0" w:lastColumn="0" w:oddVBand="0" w:evenVBand="0" w:oddHBand="0" w:evenHBand="0" w:firstRowFirstColumn="0" w:firstRowLastColumn="0" w:lastRowFirstColumn="0" w:lastRowLastColumn="0"/>
            </w:pPr>
            <w:r>
              <w:t>Not related</w:t>
            </w:r>
          </w:p>
        </w:tc>
        <w:tc>
          <w:tcPr>
            <w:tcW w:w="1842" w:type="dxa"/>
          </w:tcPr>
          <w:p w14:paraId="23A566CA"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 xml:space="preserve">H/o depression. </w:t>
            </w:r>
          </w:p>
        </w:tc>
      </w:tr>
      <w:tr w:rsidR="005D0F4D" w14:paraId="75B13CC5"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11DE2865" w14:textId="77777777" w:rsidR="005D0F4D" w:rsidRDefault="005D0F4D" w:rsidP="00DF6F6A">
            <w:pPr>
              <w:ind w:left="0"/>
            </w:pPr>
          </w:p>
        </w:tc>
        <w:tc>
          <w:tcPr>
            <w:tcW w:w="1842" w:type="dxa"/>
          </w:tcPr>
          <w:p w14:paraId="12C055B4"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Hepatic encephalopathy</w:t>
            </w:r>
          </w:p>
        </w:tc>
        <w:tc>
          <w:tcPr>
            <w:tcW w:w="2269" w:type="dxa"/>
          </w:tcPr>
          <w:p w14:paraId="77A497E7"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00647DFF" w14:textId="77777777" w:rsidR="005D0F4D" w:rsidRDefault="005D0F4D"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vMerge w:val="restart"/>
          </w:tcPr>
          <w:p w14:paraId="4B256C1C" w14:textId="6F7DAAF1" w:rsidR="005D0F4D" w:rsidRDefault="005D0F4D" w:rsidP="00DF6F6A">
            <w:pPr>
              <w:cnfStyle w:val="000000000000" w:firstRow="0" w:lastRow="0" w:firstColumn="0" w:lastColumn="0" w:oddVBand="0" w:evenVBand="0" w:oddHBand="0" w:evenHBand="0" w:firstRowFirstColumn="0" w:firstRowLastColumn="0" w:lastRowFirstColumn="0" w:lastRowLastColumn="0"/>
            </w:pPr>
            <w:r>
              <w:t xml:space="preserve">H/o hepatitis C and chronic liver disease. </w:t>
            </w:r>
          </w:p>
        </w:tc>
      </w:tr>
      <w:tr w:rsidR="005D0F4D" w14:paraId="640BE95E"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2B75402A" w14:textId="77777777" w:rsidR="005D0F4D" w:rsidRDefault="005D0F4D" w:rsidP="00DF6F6A">
            <w:pPr>
              <w:ind w:left="0"/>
            </w:pPr>
          </w:p>
        </w:tc>
        <w:tc>
          <w:tcPr>
            <w:tcW w:w="1842" w:type="dxa"/>
          </w:tcPr>
          <w:p w14:paraId="4C2B42A1"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Hepatic cirrhosis</w:t>
            </w:r>
          </w:p>
        </w:tc>
        <w:tc>
          <w:tcPr>
            <w:tcW w:w="2269" w:type="dxa"/>
          </w:tcPr>
          <w:p w14:paraId="32A7FD3F"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Not recovered/Not resolved</w:t>
            </w:r>
          </w:p>
        </w:tc>
        <w:tc>
          <w:tcPr>
            <w:tcW w:w="1418" w:type="dxa"/>
          </w:tcPr>
          <w:p w14:paraId="71AB1CCC" w14:textId="77777777" w:rsidR="005D0F4D" w:rsidRDefault="005D0F4D" w:rsidP="00DF6F6A">
            <w:pPr>
              <w:ind w:left="0"/>
              <w:cnfStyle w:val="000000000000" w:firstRow="0" w:lastRow="0" w:firstColumn="0" w:lastColumn="0" w:oddVBand="0" w:evenVBand="0" w:oddHBand="0" w:evenHBand="0" w:firstRowFirstColumn="0" w:firstRowLastColumn="0" w:lastRowFirstColumn="0" w:lastRowLastColumn="0"/>
            </w:pPr>
            <w:r>
              <w:t>Not related</w:t>
            </w:r>
          </w:p>
        </w:tc>
        <w:tc>
          <w:tcPr>
            <w:tcW w:w="1842" w:type="dxa"/>
            <w:vMerge/>
          </w:tcPr>
          <w:p w14:paraId="4C7C9FD1"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p>
        </w:tc>
      </w:tr>
      <w:tr w:rsidR="00330E67" w14:paraId="40FA8E44" w14:textId="77777777" w:rsidTr="00DF6F6A">
        <w:tc>
          <w:tcPr>
            <w:cnfStyle w:val="001000000000" w:firstRow="0" w:lastRow="0" w:firstColumn="1" w:lastColumn="0" w:oddVBand="0" w:evenVBand="0" w:oddHBand="0" w:evenHBand="0" w:firstRowFirstColumn="0" w:firstRowLastColumn="0" w:lastRowFirstColumn="0" w:lastRowLastColumn="0"/>
            <w:tcW w:w="1101" w:type="dxa"/>
          </w:tcPr>
          <w:p w14:paraId="3804B030" w14:textId="77777777" w:rsidR="00330E67" w:rsidRDefault="00330E67" w:rsidP="00DF6F6A">
            <w:pPr>
              <w:ind w:left="0"/>
            </w:pPr>
            <w:r>
              <w:t>GENA-08</w:t>
            </w:r>
          </w:p>
        </w:tc>
        <w:tc>
          <w:tcPr>
            <w:tcW w:w="1842" w:type="dxa"/>
          </w:tcPr>
          <w:p w14:paraId="26E7F0A3"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Traumatic fracture</w:t>
            </w:r>
          </w:p>
        </w:tc>
        <w:tc>
          <w:tcPr>
            <w:tcW w:w="2269" w:type="dxa"/>
          </w:tcPr>
          <w:p w14:paraId="2B0776D5"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58668625" w14:textId="77777777" w:rsidR="00330E67" w:rsidRDefault="00330E67"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tcPr>
          <w:p w14:paraId="70351F31" w14:textId="77777777" w:rsidR="00330E67" w:rsidRDefault="00330E67" w:rsidP="00DF6F6A">
            <w:pPr>
              <w:cnfStyle w:val="000000000000" w:firstRow="0" w:lastRow="0" w:firstColumn="0" w:lastColumn="0" w:oddVBand="0" w:evenVBand="0" w:oddHBand="0" w:evenHBand="0" w:firstRowFirstColumn="0" w:firstRowLastColumn="0" w:lastRowFirstColumn="0" w:lastRowLastColumn="0"/>
            </w:pPr>
          </w:p>
        </w:tc>
      </w:tr>
      <w:tr w:rsidR="000D66B4" w14:paraId="026663BD"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val="restart"/>
          </w:tcPr>
          <w:p w14:paraId="67309D18" w14:textId="77777777" w:rsidR="000D66B4" w:rsidRDefault="000D66B4" w:rsidP="00DF6F6A">
            <w:pPr>
              <w:ind w:left="0"/>
            </w:pPr>
            <w:r>
              <w:t>GENA-03</w:t>
            </w:r>
          </w:p>
        </w:tc>
        <w:tc>
          <w:tcPr>
            <w:tcW w:w="1842" w:type="dxa"/>
          </w:tcPr>
          <w:p w14:paraId="4F078C1E"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Device-related infection</w:t>
            </w:r>
          </w:p>
        </w:tc>
        <w:tc>
          <w:tcPr>
            <w:tcW w:w="2269" w:type="dxa"/>
          </w:tcPr>
          <w:p w14:paraId="6F97320A"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16678CFE" w14:textId="77777777" w:rsidR="000D66B4" w:rsidRDefault="000D66B4"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tcPr>
          <w:p w14:paraId="1D989A5B"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Port catheter infection.</w:t>
            </w:r>
          </w:p>
        </w:tc>
      </w:tr>
      <w:tr w:rsidR="000D66B4" w14:paraId="58DD13F1"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2D0CF27F" w14:textId="77777777" w:rsidR="000D66B4" w:rsidRDefault="000D66B4" w:rsidP="00DF6F6A">
            <w:pPr>
              <w:ind w:left="0"/>
            </w:pPr>
          </w:p>
        </w:tc>
        <w:tc>
          <w:tcPr>
            <w:tcW w:w="1842" w:type="dxa"/>
          </w:tcPr>
          <w:p w14:paraId="64BFCBC0"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 xml:space="preserve">Head injury </w:t>
            </w:r>
          </w:p>
        </w:tc>
        <w:tc>
          <w:tcPr>
            <w:tcW w:w="2269" w:type="dxa"/>
          </w:tcPr>
          <w:p w14:paraId="2CF87EE2"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542880C9" w14:textId="77777777" w:rsidR="000D66B4" w:rsidRDefault="000D66B4"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tcPr>
          <w:p w14:paraId="30E1934F"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p>
        </w:tc>
      </w:tr>
      <w:tr w:rsidR="000D66B4" w14:paraId="1B586D50"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3452E103" w14:textId="77777777" w:rsidR="000D66B4" w:rsidRDefault="000D66B4" w:rsidP="00DF6F6A">
            <w:pPr>
              <w:ind w:left="0"/>
            </w:pPr>
          </w:p>
        </w:tc>
        <w:tc>
          <w:tcPr>
            <w:tcW w:w="1842" w:type="dxa"/>
          </w:tcPr>
          <w:p w14:paraId="6A8F0F79"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Head injury</w:t>
            </w:r>
          </w:p>
        </w:tc>
        <w:tc>
          <w:tcPr>
            <w:tcW w:w="2269" w:type="dxa"/>
          </w:tcPr>
          <w:p w14:paraId="0D517791"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0964AAA7" w14:textId="77777777" w:rsidR="000D66B4" w:rsidRDefault="000D66B4"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tcPr>
          <w:p w14:paraId="75F38C40"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p>
        </w:tc>
      </w:tr>
      <w:tr w:rsidR="005D0F4D" w14:paraId="7E718208"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2A66457E" w14:textId="77777777" w:rsidR="005D0F4D" w:rsidRDefault="005D0F4D" w:rsidP="00DF6F6A">
            <w:pPr>
              <w:ind w:left="0"/>
            </w:pPr>
          </w:p>
        </w:tc>
        <w:tc>
          <w:tcPr>
            <w:tcW w:w="1842" w:type="dxa"/>
          </w:tcPr>
          <w:p w14:paraId="3084CBCA"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Acute tonsillitis</w:t>
            </w:r>
          </w:p>
        </w:tc>
        <w:tc>
          <w:tcPr>
            <w:tcW w:w="2269" w:type="dxa"/>
          </w:tcPr>
          <w:p w14:paraId="718AD620"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76459058" w14:textId="77777777" w:rsidR="005D0F4D" w:rsidRDefault="005D0F4D"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vMerge w:val="restart"/>
          </w:tcPr>
          <w:p w14:paraId="7C4F04A1" w14:textId="1EC029A5" w:rsidR="005D0F4D" w:rsidRDefault="005D0F4D" w:rsidP="00DF6F6A">
            <w:pPr>
              <w:cnfStyle w:val="000000000000" w:firstRow="0" w:lastRow="0" w:firstColumn="0" w:lastColumn="0" w:oddVBand="0" w:evenVBand="0" w:oddHBand="0" w:evenHBand="0" w:firstRowFirstColumn="0" w:firstRowLastColumn="0" w:lastRowFirstColumn="0" w:lastRowLastColumn="0"/>
            </w:pPr>
            <w:r>
              <w:t>All three events</w:t>
            </w:r>
            <w:r w:rsidR="00596EBE">
              <w:t xml:space="preserve"> </w:t>
            </w:r>
            <w:r w:rsidR="00DF6F6A">
              <w:t>occurred simultaneously.</w:t>
            </w:r>
          </w:p>
        </w:tc>
      </w:tr>
      <w:tr w:rsidR="005D0F4D" w14:paraId="79EDD440"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63965C53" w14:textId="77777777" w:rsidR="005D0F4D" w:rsidRDefault="005D0F4D" w:rsidP="00DF6F6A">
            <w:pPr>
              <w:ind w:left="0"/>
            </w:pPr>
          </w:p>
        </w:tc>
        <w:tc>
          <w:tcPr>
            <w:tcW w:w="1842" w:type="dxa"/>
          </w:tcPr>
          <w:p w14:paraId="1A60B9E4"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Upper RTI</w:t>
            </w:r>
          </w:p>
        </w:tc>
        <w:tc>
          <w:tcPr>
            <w:tcW w:w="2269" w:type="dxa"/>
          </w:tcPr>
          <w:p w14:paraId="0BC81C39"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16EF799F" w14:textId="77777777" w:rsidR="005D0F4D" w:rsidRDefault="005D0F4D"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vMerge/>
          </w:tcPr>
          <w:p w14:paraId="7C19841A"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p>
        </w:tc>
      </w:tr>
      <w:tr w:rsidR="005D0F4D" w14:paraId="6153389C"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33F4905D" w14:textId="77777777" w:rsidR="005D0F4D" w:rsidRDefault="005D0F4D" w:rsidP="00DF6F6A">
            <w:pPr>
              <w:ind w:left="0"/>
            </w:pPr>
          </w:p>
        </w:tc>
        <w:tc>
          <w:tcPr>
            <w:tcW w:w="1842" w:type="dxa"/>
          </w:tcPr>
          <w:p w14:paraId="48531607"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Lower RTI</w:t>
            </w:r>
          </w:p>
        </w:tc>
        <w:tc>
          <w:tcPr>
            <w:tcW w:w="2269" w:type="dxa"/>
          </w:tcPr>
          <w:p w14:paraId="3680E701"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0A2AF0C0" w14:textId="77777777" w:rsidR="005D0F4D" w:rsidRDefault="005D0F4D"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vMerge/>
          </w:tcPr>
          <w:p w14:paraId="2C62B1FE" w14:textId="77777777" w:rsidR="005D0F4D" w:rsidRDefault="005D0F4D" w:rsidP="00DF6F6A">
            <w:pPr>
              <w:cnfStyle w:val="000000000000" w:firstRow="0" w:lastRow="0" w:firstColumn="0" w:lastColumn="0" w:oddVBand="0" w:evenVBand="0" w:oddHBand="0" w:evenHBand="0" w:firstRowFirstColumn="0" w:firstRowLastColumn="0" w:lastRowFirstColumn="0" w:lastRowLastColumn="0"/>
            </w:pPr>
          </w:p>
        </w:tc>
      </w:tr>
      <w:tr w:rsidR="000D66B4" w14:paraId="256AFD2B" w14:textId="77777777" w:rsidTr="00DF6F6A">
        <w:tc>
          <w:tcPr>
            <w:cnfStyle w:val="001000000000" w:firstRow="0" w:lastRow="0" w:firstColumn="1" w:lastColumn="0" w:oddVBand="0" w:evenVBand="0" w:oddHBand="0" w:evenHBand="0" w:firstRowFirstColumn="0" w:firstRowLastColumn="0" w:lastRowFirstColumn="0" w:lastRowLastColumn="0"/>
            <w:tcW w:w="1101" w:type="dxa"/>
            <w:vMerge/>
          </w:tcPr>
          <w:p w14:paraId="50AFA29F" w14:textId="77777777" w:rsidR="000D66B4" w:rsidRDefault="000D66B4" w:rsidP="00DF6F6A">
            <w:pPr>
              <w:ind w:left="0"/>
            </w:pPr>
          </w:p>
        </w:tc>
        <w:tc>
          <w:tcPr>
            <w:tcW w:w="1842" w:type="dxa"/>
          </w:tcPr>
          <w:p w14:paraId="7CFE8174"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Haemarthrosis</w:t>
            </w:r>
          </w:p>
        </w:tc>
        <w:tc>
          <w:tcPr>
            <w:tcW w:w="2269" w:type="dxa"/>
          </w:tcPr>
          <w:p w14:paraId="4AB93B39"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r>
              <w:t>Recovered/Resolved</w:t>
            </w:r>
          </w:p>
        </w:tc>
        <w:tc>
          <w:tcPr>
            <w:tcW w:w="1418" w:type="dxa"/>
          </w:tcPr>
          <w:p w14:paraId="3F21CBC1" w14:textId="77777777" w:rsidR="000D66B4" w:rsidRDefault="000D66B4" w:rsidP="00DF6F6A">
            <w:pPr>
              <w:ind w:left="0"/>
              <w:cnfStyle w:val="000000000000" w:firstRow="0" w:lastRow="0" w:firstColumn="0" w:lastColumn="0" w:oddVBand="0" w:evenVBand="0" w:oddHBand="0" w:evenHBand="0" w:firstRowFirstColumn="0" w:firstRowLastColumn="0" w:lastRowFirstColumn="0" w:lastRowLastColumn="0"/>
            </w:pPr>
            <w:r>
              <w:t xml:space="preserve">Not related </w:t>
            </w:r>
          </w:p>
        </w:tc>
        <w:tc>
          <w:tcPr>
            <w:tcW w:w="1842" w:type="dxa"/>
          </w:tcPr>
          <w:p w14:paraId="0E9280FC"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pPr>
          </w:p>
        </w:tc>
      </w:tr>
    </w:tbl>
    <w:p w14:paraId="693AE9A4" w14:textId="77777777" w:rsidR="000F04AF" w:rsidRDefault="006D35A0" w:rsidP="000D66B4">
      <w:pPr>
        <w:pStyle w:val="Heading4"/>
      </w:pPr>
      <w:bookmarkStart w:id="171" w:name="_Toc266446504"/>
      <w:r w:rsidRPr="00B5116E">
        <w:t>Discontinuation due to adverse events</w:t>
      </w:r>
      <w:bookmarkEnd w:id="171"/>
    </w:p>
    <w:p w14:paraId="19538BF9" w14:textId="77777777" w:rsidR="000F04AF" w:rsidRDefault="006D35A0" w:rsidP="006D35A0">
      <w:r>
        <w:t xml:space="preserve">Treatment discontinuations for all reasons are summarised below in Table </w:t>
      </w:r>
      <w:r w:rsidR="009529C0">
        <w:t>5</w:t>
      </w:r>
      <w:r w:rsidR="00F04577">
        <w:t>1</w:t>
      </w:r>
      <w:r>
        <w:t>. The only AEs resulting in treatment discontinuation were those related to one death reported in GENA-08</w:t>
      </w:r>
      <w:r w:rsidR="000F04AF">
        <w:t>.</w:t>
      </w:r>
    </w:p>
    <w:p w14:paraId="12A46F59" w14:textId="4D0A59AF" w:rsidR="006D35A0" w:rsidRPr="00A4674D" w:rsidRDefault="006D35A0" w:rsidP="00DF6F6A">
      <w:pPr>
        <w:pStyle w:val="Tabletitle"/>
        <w:pageBreakBefore/>
      </w:pPr>
      <w:bookmarkStart w:id="172" w:name="_Toc248202570"/>
      <w:proofErr w:type="gramStart"/>
      <w:r>
        <w:lastRenderedPageBreak/>
        <w:t>Table</w:t>
      </w:r>
      <w:r w:rsidR="00F04577">
        <w:t xml:space="preserve"> 51</w:t>
      </w:r>
      <w:r>
        <w:t>: Patient withdrawals by study.</w:t>
      </w:r>
      <w:bookmarkEnd w:id="172"/>
      <w:proofErr w:type="gramEnd"/>
    </w:p>
    <w:tbl>
      <w:tblPr>
        <w:tblStyle w:val="TableTGAblue"/>
        <w:tblW w:w="0" w:type="auto"/>
        <w:tblLook w:val="04A0" w:firstRow="1" w:lastRow="0" w:firstColumn="1" w:lastColumn="0" w:noHBand="0" w:noVBand="1"/>
      </w:tblPr>
      <w:tblGrid>
        <w:gridCol w:w="1177"/>
        <w:gridCol w:w="1133"/>
        <w:gridCol w:w="1625"/>
        <w:gridCol w:w="5307"/>
      </w:tblGrid>
      <w:tr w:rsidR="006D35A0" w14:paraId="2CD6795C" w14:textId="77777777" w:rsidTr="00DF6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49506101" w14:textId="77777777" w:rsidR="006D35A0" w:rsidRPr="00330E67" w:rsidRDefault="006D35A0" w:rsidP="00DF6F6A">
            <w:r w:rsidRPr="00330E67">
              <w:t>Study</w:t>
            </w:r>
          </w:p>
        </w:tc>
        <w:tc>
          <w:tcPr>
            <w:tcW w:w="1134" w:type="dxa"/>
          </w:tcPr>
          <w:p w14:paraId="2BA63BA1" w14:textId="77777777" w:rsidR="006D35A0" w:rsidRPr="00330E67" w:rsidRDefault="006D35A0" w:rsidP="00DF6F6A">
            <w:pPr>
              <w:cnfStyle w:val="100000000000" w:firstRow="1" w:lastRow="0" w:firstColumn="0" w:lastColumn="0" w:oddVBand="0" w:evenVBand="0" w:oddHBand="0" w:evenHBand="0" w:firstRowFirstColumn="0" w:firstRowLastColumn="0" w:lastRowFirstColumn="0" w:lastRowLastColumn="0"/>
            </w:pPr>
            <w:r w:rsidRPr="00330E67">
              <w:t xml:space="preserve">Age at entry </w:t>
            </w:r>
          </w:p>
        </w:tc>
        <w:tc>
          <w:tcPr>
            <w:tcW w:w="1486" w:type="dxa"/>
          </w:tcPr>
          <w:p w14:paraId="234A6848" w14:textId="77777777" w:rsidR="006D35A0" w:rsidRPr="00330E67" w:rsidRDefault="006D35A0" w:rsidP="00DF6F6A">
            <w:pPr>
              <w:cnfStyle w:val="100000000000" w:firstRow="1" w:lastRow="0" w:firstColumn="0" w:lastColumn="0" w:oddVBand="0" w:evenVBand="0" w:oddHBand="0" w:evenHBand="0" w:firstRowFirstColumn="0" w:firstRowLastColumn="0" w:lastRowFirstColumn="0" w:lastRowLastColumn="0"/>
            </w:pPr>
            <w:r w:rsidRPr="00330E67">
              <w:t>EDs completed (n)</w:t>
            </w:r>
          </w:p>
        </w:tc>
        <w:tc>
          <w:tcPr>
            <w:tcW w:w="5380" w:type="dxa"/>
          </w:tcPr>
          <w:p w14:paraId="788F4EFF" w14:textId="77777777" w:rsidR="006D35A0" w:rsidRPr="00330E67" w:rsidRDefault="006D35A0" w:rsidP="00DF6F6A">
            <w:pPr>
              <w:cnfStyle w:val="100000000000" w:firstRow="1" w:lastRow="0" w:firstColumn="0" w:lastColumn="0" w:oddVBand="0" w:evenVBand="0" w:oddHBand="0" w:evenHBand="0" w:firstRowFirstColumn="0" w:firstRowLastColumn="0" w:lastRowFirstColumn="0" w:lastRowLastColumn="0"/>
            </w:pPr>
            <w:r w:rsidRPr="00330E67">
              <w:t xml:space="preserve">Reasons for withdrawal </w:t>
            </w:r>
          </w:p>
        </w:tc>
      </w:tr>
      <w:tr w:rsidR="006D35A0" w14:paraId="3F511FBE" w14:textId="77777777" w:rsidTr="00DF6F6A">
        <w:tc>
          <w:tcPr>
            <w:cnfStyle w:val="001000000000" w:firstRow="0" w:lastRow="0" w:firstColumn="1" w:lastColumn="0" w:oddVBand="0" w:evenVBand="0" w:oddHBand="0" w:evenHBand="0" w:firstRowFirstColumn="0" w:firstRowLastColumn="0" w:lastRowFirstColumn="0" w:lastRowLastColumn="0"/>
            <w:tcW w:w="1134" w:type="dxa"/>
          </w:tcPr>
          <w:p w14:paraId="3AFA877A" w14:textId="77777777" w:rsidR="006D35A0" w:rsidRPr="00A4674D" w:rsidRDefault="006D35A0" w:rsidP="00DF6F6A">
            <w:pPr>
              <w:rPr>
                <w:color w:val="000000"/>
              </w:rPr>
            </w:pPr>
            <w:r>
              <w:rPr>
                <w:color w:val="000000"/>
              </w:rPr>
              <w:t xml:space="preserve">GENA-01 </w:t>
            </w:r>
          </w:p>
        </w:tc>
        <w:tc>
          <w:tcPr>
            <w:tcW w:w="1134" w:type="dxa"/>
          </w:tcPr>
          <w:p w14:paraId="382C30FB" w14:textId="77777777" w:rsidR="006D35A0" w:rsidRPr="00A4674D"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28 </w:t>
            </w:r>
          </w:p>
        </w:tc>
        <w:tc>
          <w:tcPr>
            <w:tcW w:w="1486" w:type="dxa"/>
          </w:tcPr>
          <w:p w14:paraId="125FE8F9" w14:textId="77777777" w:rsidR="006D35A0" w:rsidRPr="00A4674D"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380" w:type="dxa"/>
          </w:tcPr>
          <w:p w14:paraId="04795F7E" w14:textId="77777777" w:rsidR="006D35A0" w:rsidRPr="00A4674D" w:rsidRDefault="006D35A0"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Subject lost to withdrawal</w:t>
            </w:r>
          </w:p>
        </w:tc>
      </w:tr>
      <w:tr w:rsidR="000D66B4" w14:paraId="0CB08AE7"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val="restart"/>
          </w:tcPr>
          <w:p w14:paraId="263B93FE" w14:textId="77777777" w:rsidR="000D66B4" w:rsidRPr="00A4674D" w:rsidRDefault="000D66B4" w:rsidP="00DF6F6A">
            <w:pPr>
              <w:rPr>
                <w:color w:val="000000"/>
              </w:rPr>
            </w:pPr>
            <w:r>
              <w:rPr>
                <w:color w:val="000000"/>
              </w:rPr>
              <w:t>GENA-08</w:t>
            </w:r>
          </w:p>
        </w:tc>
        <w:tc>
          <w:tcPr>
            <w:tcW w:w="1134" w:type="dxa"/>
          </w:tcPr>
          <w:p w14:paraId="56A93430"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486" w:type="dxa"/>
          </w:tcPr>
          <w:p w14:paraId="34440921"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380" w:type="dxa"/>
          </w:tcPr>
          <w:p w14:paraId="311EFBD9"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Consent withdrawn </w:t>
            </w:r>
          </w:p>
        </w:tc>
      </w:tr>
      <w:tr w:rsidR="000D66B4" w14:paraId="44F9C1B3"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tcPr>
          <w:p w14:paraId="6BCD75F0" w14:textId="77777777" w:rsidR="000D66B4" w:rsidRPr="00A4674D" w:rsidRDefault="000D66B4" w:rsidP="00DF6F6A">
            <w:pPr>
              <w:rPr>
                <w:color w:val="000000"/>
              </w:rPr>
            </w:pPr>
          </w:p>
        </w:tc>
        <w:tc>
          <w:tcPr>
            <w:tcW w:w="1134" w:type="dxa"/>
          </w:tcPr>
          <w:p w14:paraId="443276F7"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486" w:type="dxa"/>
          </w:tcPr>
          <w:p w14:paraId="5F0AC875"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76</w:t>
            </w:r>
          </w:p>
        </w:tc>
        <w:tc>
          <w:tcPr>
            <w:tcW w:w="5380" w:type="dxa"/>
          </w:tcPr>
          <w:p w14:paraId="3BB90B78"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Status epilepticus; acute respiratory and cardiovascular failure </w:t>
            </w:r>
          </w:p>
        </w:tc>
      </w:tr>
      <w:tr w:rsidR="000D66B4" w14:paraId="0F3BCD3C"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val="restart"/>
          </w:tcPr>
          <w:p w14:paraId="3C88D854" w14:textId="77777777" w:rsidR="000D66B4" w:rsidRPr="00A4674D" w:rsidRDefault="000D66B4" w:rsidP="00DF6F6A">
            <w:pPr>
              <w:rPr>
                <w:color w:val="000000"/>
              </w:rPr>
            </w:pPr>
            <w:r>
              <w:rPr>
                <w:color w:val="000000"/>
              </w:rPr>
              <w:t>GENA-03</w:t>
            </w:r>
          </w:p>
        </w:tc>
        <w:tc>
          <w:tcPr>
            <w:tcW w:w="1134" w:type="dxa"/>
          </w:tcPr>
          <w:p w14:paraId="68DFE25C"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86" w:type="dxa"/>
          </w:tcPr>
          <w:p w14:paraId="6FFBC713"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5380" w:type="dxa"/>
          </w:tcPr>
          <w:p w14:paraId="29111412" w14:textId="77777777" w:rsidR="000D66B4" w:rsidRPr="00A4674D"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Therapy failure</w:t>
            </w:r>
          </w:p>
        </w:tc>
      </w:tr>
      <w:tr w:rsidR="000D66B4" w14:paraId="46EA20BC"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tcPr>
          <w:p w14:paraId="043D3059" w14:textId="77777777" w:rsidR="000D66B4" w:rsidRDefault="000D66B4" w:rsidP="00DF6F6A">
            <w:pPr>
              <w:rPr>
                <w:color w:val="000000"/>
              </w:rPr>
            </w:pPr>
          </w:p>
        </w:tc>
        <w:tc>
          <w:tcPr>
            <w:tcW w:w="1134" w:type="dxa"/>
          </w:tcPr>
          <w:p w14:paraId="3A7466A0"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486" w:type="dxa"/>
          </w:tcPr>
          <w:p w14:paraId="1E91ECFB"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380" w:type="dxa"/>
          </w:tcPr>
          <w:p w14:paraId="5F3D1F64"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Protocol violation - von Willebrand disease newly diagnosed </w:t>
            </w:r>
          </w:p>
        </w:tc>
      </w:tr>
      <w:tr w:rsidR="000D66B4" w14:paraId="05261B3D"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val="restart"/>
          </w:tcPr>
          <w:p w14:paraId="1EF6AB3C" w14:textId="77777777" w:rsidR="000D66B4" w:rsidRDefault="000D66B4" w:rsidP="00DF6F6A">
            <w:pPr>
              <w:rPr>
                <w:color w:val="000000"/>
              </w:rPr>
            </w:pPr>
            <w:r>
              <w:rPr>
                <w:color w:val="000000"/>
              </w:rPr>
              <w:t>GENA-04</w:t>
            </w:r>
          </w:p>
        </w:tc>
        <w:tc>
          <w:tcPr>
            <w:tcW w:w="1134" w:type="dxa"/>
          </w:tcPr>
          <w:p w14:paraId="7813D597"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1486" w:type="dxa"/>
          </w:tcPr>
          <w:p w14:paraId="2BF5F5EC"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380" w:type="dxa"/>
          </w:tcPr>
          <w:p w14:paraId="15E82026"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Consent withdrawn</w:t>
            </w:r>
          </w:p>
        </w:tc>
      </w:tr>
      <w:tr w:rsidR="000D66B4" w14:paraId="496A6340" w14:textId="77777777" w:rsidTr="00DF6F6A">
        <w:tc>
          <w:tcPr>
            <w:cnfStyle w:val="001000000000" w:firstRow="0" w:lastRow="0" w:firstColumn="1" w:lastColumn="0" w:oddVBand="0" w:evenVBand="0" w:oddHBand="0" w:evenHBand="0" w:firstRowFirstColumn="0" w:firstRowLastColumn="0" w:lastRowFirstColumn="0" w:lastRowLastColumn="0"/>
            <w:tcW w:w="1134" w:type="dxa"/>
            <w:vMerge/>
          </w:tcPr>
          <w:p w14:paraId="21EFA6F0" w14:textId="77777777" w:rsidR="000D66B4" w:rsidRDefault="000D66B4" w:rsidP="00DF6F6A">
            <w:pPr>
              <w:rPr>
                <w:color w:val="000000"/>
              </w:rPr>
            </w:pPr>
          </w:p>
        </w:tc>
        <w:tc>
          <w:tcPr>
            <w:tcW w:w="1134" w:type="dxa"/>
          </w:tcPr>
          <w:p w14:paraId="01E40C60"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486" w:type="dxa"/>
          </w:tcPr>
          <w:p w14:paraId="24BB616B"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117</w:t>
            </w:r>
          </w:p>
        </w:tc>
        <w:tc>
          <w:tcPr>
            <w:tcW w:w="5380" w:type="dxa"/>
          </w:tcPr>
          <w:p w14:paraId="43951599" w14:textId="77777777" w:rsidR="000D66B4" w:rsidRDefault="000D66B4" w:rsidP="00DF6F6A">
            <w:pPr>
              <w:cnfStyle w:val="000000000000" w:firstRow="0" w:lastRow="0" w:firstColumn="0" w:lastColumn="0" w:oddVBand="0" w:evenVBand="0" w:oddHBand="0" w:evenHBand="0" w:firstRowFirstColumn="0" w:firstRowLastColumn="0" w:lastRowFirstColumn="0" w:lastRowLastColumn="0"/>
              <w:rPr>
                <w:color w:val="000000"/>
              </w:rPr>
            </w:pPr>
            <w:r>
              <w:rPr>
                <w:color w:val="000000"/>
              </w:rPr>
              <w:t>Consent withdrawn</w:t>
            </w:r>
          </w:p>
        </w:tc>
      </w:tr>
    </w:tbl>
    <w:p w14:paraId="116E71D5" w14:textId="77777777" w:rsidR="006D35A0" w:rsidRPr="004752ED" w:rsidRDefault="006D35A0" w:rsidP="000D66B4">
      <w:pPr>
        <w:pStyle w:val="Heading3"/>
      </w:pPr>
      <w:bookmarkStart w:id="173" w:name="_Toc266446505"/>
      <w:bookmarkStart w:id="174" w:name="_Toc453765969"/>
      <w:r w:rsidRPr="004752ED">
        <w:t>Laboratory tests</w:t>
      </w:r>
      <w:bookmarkEnd w:id="173"/>
      <w:bookmarkEnd w:id="174"/>
    </w:p>
    <w:p w14:paraId="5511BB37" w14:textId="77777777" w:rsidR="006D35A0" w:rsidRPr="004752ED" w:rsidRDefault="006D35A0" w:rsidP="000D66B4">
      <w:pPr>
        <w:pStyle w:val="Heading4"/>
      </w:pPr>
      <w:bookmarkStart w:id="175" w:name="_Toc266446506"/>
      <w:r w:rsidRPr="004752ED">
        <w:t>Immunogenicity</w:t>
      </w:r>
      <w:bookmarkEnd w:id="175"/>
    </w:p>
    <w:p w14:paraId="244807B8" w14:textId="77777777" w:rsidR="006D35A0" w:rsidRPr="006963B6" w:rsidRDefault="006D35A0" w:rsidP="006963B6">
      <w:pPr>
        <w:pStyle w:val="ListBullet"/>
        <w:numPr>
          <w:ilvl w:val="0"/>
          <w:numId w:val="0"/>
        </w:numPr>
        <w:rPr>
          <w:b/>
        </w:rPr>
      </w:pPr>
      <w:r w:rsidRPr="006963B6">
        <w:rPr>
          <w:b/>
        </w:rPr>
        <w:t>No FVIII inhibitors had been detected up to April 2013. The threshold definitions were ≥0.6 to &lt;5 BU for a "low titre" inhibitor, and ≥ 5 BU for a "high-titre" inhibitor.</w:t>
      </w:r>
    </w:p>
    <w:p w14:paraId="7A5CF668" w14:textId="77777777" w:rsidR="006D35A0" w:rsidRPr="006963B6" w:rsidRDefault="006D35A0" w:rsidP="006963B6">
      <w:pPr>
        <w:pStyle w:val="ListBullet"/>
        <w:numPr>
          <w:ilvl w:val="0"/>
          <w:numId w:val="0"/>
        </w:numPr>
        <w:rPr>
          <w:b/>
        </w:rPr>
      </w:pPr>
      <w:r w:rsidRPr="006963B6">
        <w:rPr>
          <w:b/>
        </w:rPr>
        <w:t>Non-inhibitory anti-rhFVIII antibodies were detected in 4 patients (1 patient in GENA-01, 2 patients in GENA-03 and 1 patient in GENA-04).</w:t>
      </w:r>
    </w:p>
    <w:p w14:paraId="74F63640" w14:textId="77777777" w:rsidR="000F04AF" w:rsidRPr="006963B6" w:rsidRDefault="006D35A0" w:rsidP="006963B6">
      <w:pPr>
        <w:pStyle w:val="ListBullet"/>
        <w:numPr>
          <w:ilvl w:val="0"/>
          <w:numId w:val="0"/>
        </w:numPr>
        <w:rPr>
          <w:b/>
        </w:rPr>
      </w:pPr>
      <w:r w:rsidRPr="006963B6">
        <w:rPr>
          <w:b/>
        </w:rPr>
        <w:t>FVIII inhibitory and non-inhibitory antibodies were measured by validated methods in a central laboratory. Inhibitory antibodies were measured by the modified Nijmegen method, as suggested by the current FVIII EMEA guideline (EMEA/CHMP/BPWP/144533/2009), preferably when FVIII plasma concentrations had reached baseline. Besides the standard Nijmegen assay (using normal human plasma as test base), an additional Nijmegen assay was performed using FVIII-depleted human plasma spiked with simoctocog alfa (1 IU/mL) as test base. A special ELISA-based test was developed by the central laboratory for detecting non-inhibitory antibodies against simoctocog alfa. Repeated immunogenicity testing for both FVIII inhibitory and non-inhibitory antibodies was undertaken throughout the course of each of the five clinical studies.</w:t>
      </w:r>
    </w:p>
    <w:p w14:paraId="31365CF6" w14:textId="77777777" w:rsidR="000F04AF" w:rsidRPr="006963B6" w:rsidRDefault="006D35A0" w:rsidP="006963B6">
      <w:pPr>
        <w:pStyle w:val="ListBullet"/>
        <w:numPr>
          <w:ilvl w:val="0"/>
          <w:numId w:val="0"/>
        </w:numPr>
        <w:rPr>
          <w:b/>
        </w:rPr>
      </w:pPr>
      <w:r w:rsidRPr="006963B6">
        <w:rPr>
          <w:b/>
        </w:rPr>
        <w:t>Abbreviated case narratives for the four patients in the total safety population with non-inhibitory anti-rhFVIII antibodies are provided below.</w:t>
      </w:r>
    </w:p>
    <w:p w14:paraId="45812A17" w14:textId="77777777" w:rsidR="000F04AF" w:rsidRDefault="006D35A0" w:rsidP="006963B6">
      <w:pPr>
        <w:pStyle w:val="ListBullet2"/>
      </w:pPr>
      <w:r w:rsidRPr="0043263F">
        <w:t xml:space="preserve">In GENA-01, </w:t>
      </w:r>
      <w:r>
        <w:t xml:space="preserve">one patient </w:t>
      </w:r>
      <w:r w:rsidRPr="00753B71">
        <w:t>had a low-titre (</w:t>
      </w:r>
      <w:r>
        <w:t xml:space="preserve">titre </w:t>
      </w:r>
      <w:r w:rsidRPr="00753B71">
        <w:t xml:space="preserve">0.15) non-inhibitory anti-FVIII antibody that was already present at screening. The antibody was </w:t>
      </w:r>
      <w:r>
        <w:t xml:space="preserve">also </w:t>
      </w:r>
      <w:r w:rsidRPr="00753B71">
        <w:t>detected pre-injection during PK Cycle 1 (titre not specified), and pre-injection (titre 0.26) and 48 hours post-injection (titre 0.27) during PK Cycle 2. However, it was not detected after 10 to 15 EDs, at 3 months and at the completion visit</w:t>
      </w:r>
      <w:r>
        <w:t>.</w:t>
      </w:r>
    </w:p>
    <w:p w14:paraId="22182A4B" w14:textId="77777777" w:rsidR="000F04AF" w:rsidRDefault="006D35A0" w:rsidP="006963B6">
      <w:pPr>
        <w:pStyle w:val="ListBullet2"/>
      </w:pPr>
      <w:r w:rsidRPr="00F775A8">
        <w:t>In GENA-03, non-inhibitory antibodies against FVIII were detected in 2 patients</w:t>
      </w:r>
      <w:r>
        <w:t>.</w:t>
      </w:r>
      <w:r w:rsidRPr="00F775A8">
        <w:t xml:space="preserve"> One patient had a non-inhibitory antibody against FVIII, which was detected in all </w:t>
      </w:r>
      <w:r w:rsidRPr="00F775A8">
        <w:lastRenderedPageBreak/>
        <w:t>mea</w:t>
      </w:r>
      <w:r>
        <w:t xml:space="preserve">surements throughout the study </w:t>
      </w:r>
      <w:r w:rsidRPr="00F775A8">
        <w:t>f</w:t>
      </w:r>
      <w:r>
        <w:t xml:space="preserve">rom screening (titre 1.42) </w:t>
      </w:r>
      <w:r w:rsidRPr="00F775A8">
        <w:t>to the 6-months visit</w:t>
      </w:r>
      <w:r>
        <w:t xml:space="preserve"> (titre 0.99)</w:t>
      </w:r>
      <w:r w:rsidRPr="00F775A8">
        <w:t xml:space="preserve">. The highest titre </w:t>
      </w:r>
      <w:r>
        <w:t xml:space="preserve">was </w:t>
      </w:r>
      <w:r w:rsidRPr="00F775A8">
        <w:t>detected 48 hours after infusion in PK Cycle 1</w:t>
      </w:r>
      <w:r>
        <w:t xml:space="preserve"> (titre 1.48) and t</w:t>
      </w:r>
      <w:r w:rsidRPr="00F775A8">
        <w:t xml:space="preserve">he lowest titre </w:t>
      </w:r>
      <w:r>
        <w:t xml:space="preserve">was detected at 6 months (titre </w:t>
      </w:r>
      <w:r w:rsidRPr="00F775A8">
        <w:t>0.99</w:t>
      </w:r>
      <w:r>
        <w:t xml:space="preserve">). </w:t>
      </w:r>
      <w:r w:rsidRPr="00F775A8">
        <w:t xml:space="preserve">This patient received </w:t>
      </w:r>
      <w:r>
        <w:t xml:space="preserve">simoctocog alfa </w:t>
      </w:r>
      <w:r w:rsidRPr="00F775A8">
        <w:t xml:space="preserve">for </w:t>
      </w:r>
      <w:r>
        <w:t xml:space="preserve">routine prophylaxis and </w:t>
      </w:r>
      <w:r w:rsidRPr="00F775A8">
        <w:t>efficacy was rated as excellent at the end of the study period, and for surgical prophylax</w:t>
      </w:r>
      <w:r>
        <w:t xml:space="preserve">is for a planned major surgery and </w:t>
      </w:r>
      <w:r w:rsidRPr="00F775A8">
        <w:t xml:space="preserve">efficacy </w:t>
      </w:r>
      <w:r>
        <w:t xml:space="preserve">was </w:t>
      </w:r>
      <w:r w:rsidRPr="00F775A8">
        <w:t>rated excellent bot</w:t>
      </w:r>
      <w:r>
        <w:t>h intra-operatively and overall</w:t>
      </w:r>
      <w:r w:rsidRPr="00F775A8">
        <w:t xml:space="preserve">. In </w:t>
      </w:r>
      <w:r>
        <w:t>one</w:t>
      </w:r>
      <w:r w:rsidRPr="00F775A8">
        <w:t xml:space="preserve"> patient, a non-inhibitory antibody titre of 0.632 was detected at screening, but not in any subsequent visit up to 6 months. In this patient the efficacy of </w:t>
      </w:r>
      <w:r>
        <w:t xml:space="preserve">routine </w:t>
      </w:r>
      <w:r w:rsidRPr="00F775A8">
        <w:t>prophylaxis was rated as excellent at the end of the study period.</w:t>
      </w:r>
    </w:p>
    <w:p w14:paraId="7313CDC3" w14:textId="77777777" w:rsidR="000F04AF" w:rsidRDefault="006D35A0" w:rsidP="006963B6">
      <w:pPr>
        <w:pStyle w:val="ListBullet2"/>
      </w:pPr>
      <w:r w:rsidRPr="00313A23">
        <w:t>In GENA-04, one patient who was negative at baseline tested positive for non-inhibitory antibody at one time point (completion visit). The positive sample was tested by the central laboratory at 8 dilutions (1, 3, 9, 27, 81, 243, 729 and 2187). The result was positive only at dilution factor 1 and the antibody titre was very low (</w:t>
      </w:r>
      <w:r>
        <w:t xml:space="preserve">titre </w:t>
      </w:r>
      <w:r w:rsidRPr="00313A23">
        <w:t xml:space="preserve">0.34). </w:t>
      </w:r>
      <w:r>
        <w:t xml:space="preserve">Simoctocog alfa </w:t>
      </w:r>
      <w:r w:rsidRPr="00313A23">
        <w:t>efficacy in this patient did not appear to be affected.</w:t>
      </w:r>
    </w:p>
    <w:p w14:paraId="2A35FC5E" w14:textId="77777777" w:rsidR="000F04AF" w:rsidRDefault="006D35A0" w:rsidP="000D66B4">
      <w:pPr>
        <w:pStyle w:val="Heading4"/>
      </w:pPr>
      <w:bookmarkStart w:id="176" w:name="_Toc266446507"/>
      <w:r w:rsidRPr="004752ED">
        <w:t>Other laboratory tests (haematology, biochemistry, urinalysis)</w:t>
      </w:r>
      <w:bookmarkEnd w:id="176"/>
    </w:p>
    <w:p w14:paraId="74802620" w14:textId="77777777" w:rsidR="000F04AF" w:rsidRPr="006963B6" w:rsidRDefault="006D35A0" w:rsidP="006963B6">
      <w:pPr>
        <w:pStyle w:val="ListBullet"/>
        <w:rPr>
          <w:b/>
        </w:rPr>
      </w:pPr>
      <w:r w:rsidRPr="006963B6">
        <w:rPr>
          <w:b/>
        </w:rPr>
        <w:t>GENA-01</w:t>
      </w:r>
    </w:p>
    <w:p w14:paraId="02B3744D" w14:textId="77777777" w:rsidR="000F04AF" w:rsidRDefault="006D35A0" w:rsidP="006D35A0">
      <w:r w:rsidRPr="008509E9">
        <w:t xml:space="preserve">In GENA-01, safety laboratory tests (haematology and biochemistry) and urinalysis were performed at screening, </w:t>
      </w:r>
      <w:r>
        <w:t>during PK cycle 1 and 2 pre-infusion and 48 hours post-infusion, at 3-months pre-infusion, at 6-months pre-infusion and post-infusion at 24 hours (haematology and biochemistry only) and 48 hours, and at the completion visit. Safety laboratory testing was also undertaken in association with surgical procedures.</w:t>
      </w:r>
    </w:p>
    <w:p w14:paraId="3505791F" w14:textId="77777777" w:rsidR="000F04AF" w:rsidRDefault="006D35A0" w:rsidP="006D35A0">
      <w:r w:rsidRPr="008509E9">
        <w:t xml:space="preserve">Three patients had abnormal, clinically significant laboratory or </w:t>
      </w:r>
      <w:r>
        <w:t>urinalysis values and these are summarised below:</w:t>
      </w:r>
    </w:p>
    <w:p w14:paraId="7D036E4F" w14:textId="77777777" w:rsidR="000F04AF" w:rsidRDefault="006D35A0" w:rsidP="004752ED">
      <w:pPr>
        <w:pStyle w:val="ListBullet2"/>
      </w:pPr>
      <w:r w:rsidRPr="008509E9">
        <w:t xml:space="preserve">One patient had increased protein in urine during PK Cycle 2 (with </w:t>
      </w:r>
      <w:r w:rsidR="005D0F4D">
        <w:t>full-length rFVIII</w:t>
      </w:r>
      <w:r w:rsidRPr="008509E9">
        <w:t>) and at the 6-month and completion visits, and increased glucose in urine pre-injection during PK Cycle 1 and from PK Cycle 2 to completion. He also had increased ketone values at 6 months. Glucose in urine during PK Cycle 1, protein in urine during PK Cycle 2 and protein and ketones in urine at the 6-month visit were also reported as AEs. This patient had a known history of type 2 diabetes mellitus. Consequently, it is likely that this pre-existing medical condition accounted for the abnormal laboratory findings.</w:t>
      </w:r>
    </w:p>
    <w:p w14:paraId="66E8D42E" w14:textId="77777777" w:rsidR="000F04AF" w:rsidRDefault="006D35A0" w:rsidP="004752ED">
      <w:pPr>
        <w:pStyle w:val="ListBullet2"/>
      </w:pPr>
      <w:r w:rsidRPr="008509E9">
        <w:t>One patient, who had a surgery for TKR, had several haematology and clinical chemistry abnormalities in the post-operative period, including low red blood cell count, haemoglobin and haematocrit; increased ALT, AST, bilirubin and LDH; and abnormal glucose level in urine at pre-injection PK Cycle 1 (with</w:t>
      </w:r>
      <w:r w:rsidR="005D0F4D">
        <w:t xml:space="preserve"> full-length rFVIII</w:t>
      </w:r>
      <w:r w:rsidRPr="008509E9">
        <w:t>). Apart from glucose in the urine, all were also reported as AEs. The ALT and AST levels were not followed after the patient's last surgical visit on post-operative Day 7. However, at the completion visit the ALT and AST levels were not considered to be abnormal or clinically significant. This patient had a history of type 2 diabetes mellitus, HCV and HIV infections, hypertension and haemophilic arthritis. Consequently, it is likely that these pre-existing medical conditions accounted for the abnormal laboratory findings.</w:t>
      </w:r>
    </w:p>
    <w:p w14:paraId="3FF668D0" w14:textId="77777777" w:rsidR="000F04AF" w:rsidRDefault="006D35A0" w:rsidP="004752ED">
      <w:pPr>
        <w:pStyle w:val="ListBullet2"/>
      </w:pPr>
      <w:r w:rsidRPr="008509E9">
        <w:t>One patient had abnormal protein in the urine at screening and again at the 3-months visit. No information was provided for this patient. However, given that the abnormality was reported at screening and then only at the 3-months visit it is unlikely to be clinically significant.</w:t>
      </w:r>
    </w:p>
    <w:p w14:paraId="7FF6CFE1" w14:textId="0D20D775" w:rsidR="006D35A0" w:rsidRPr="006963B6" w:rsidRDefault="006D35A0" w:rsidP="006963B6">
      <w:pPr>
        <w:pStyle w:val="ListBullet"/>
        <w:rPr>
          <w:b/>
        </w:rPr>
      </w:pPr>
      <w:r w:rsidRPr="006963B6">
        <w:rPr>
          <w:b/>
        </w:rPr>
        <w:t>GENA-03</w:t>
      </w:r>
    </w:p>
    <w:p w14:paraId="3E3198ED" w14:textId="77777777" w:rsidR="000F04AF" w:rsidRDefault="006D35A0" w:rsidP="006D35A0">
      <w:r w:rsidRPr="008509E9">
        <w:t xml:space="preserve">In GENA-03, safety laboratory tests (haematology and biochemistry) were performed at screening, Phase 1 (Cycles 1 and 2) before and 24 and 48 hours after the end of the infusion, Phase II (baseline) before and 48 hours after the end of the infusion, Phase II (3-month visit) </w:t>
      </w:r>
      <w:proofErr w:type="gramStart"/>
      <w:r w:rsidRPr="008509E9">
        <w:lastRenderedPageBreak/>
        <w:t>pre-infusion</w:t>
      </w:r>
      <w:proofErr w:type="gramEnd"/>
      <w:r w:rsidRPr="008509E9">
        <w:t>, and Phase II (6-month visit) pre-infusion. Urinalysis was not performed in this study.</w:t>
      </w:r>
    </w:p>
    <w:p w14:paraId="03DB6850" w14:textId="77777777" w:rsidR="000F04AF" w:rsidRDefault="006D35A0" w:rsidP="006D35A0">
      <w:r w:rsidRPr="008509E9">
        <w:t>Three patients had a total of 30 haematological abnormalities that were rated as clinically significant. All three patients had a his</w:t>
      </w:r>
      <w:r>
        <w:t>tory of iron deficiency anaemia</w:t>
      </w:r>
      <w:r w:rsidRPr="008509E9">
        <w:t xml:space="preserve">/anaemia and no AEs relating to these </w:t>
      </w:r>
      <w:r>
        <w:t xml:space="preserve">conditions were noted for any of the </w:t>
      </w:r>
      <w:r w:rsidRPr="008509E9">
        <w:t>three patients.</w:t>
      </w:r>
      <w:r>
        <w:t xml:space="preserve"> The laboratory abnormalities are in the three patients are summarised below:</w:t>
      </w:r>
    </w:p>
    <w:p w14:paraId="368B6BB9" w14:textId="77777777" w:rsidR="000F04AF" w:rsidRDefault="006D35A0" w:rsidP="008002C4">
      <w:pPr>
        <w:pStyle w:val="ListBullet2"/>
      </w:pPr>
      <w:r w:rsidRPr="008509E9">
        <w:t xml:space="preserve">One patient (1 abnormality) had an abnormally low haematocrit before </w:t>
      </w:r>
      <w:r>
        <w:t xml:space="preserve">simoctocog alfa administration at </w:t>
      </w:r>
      <w:r w:rsidRPr="008509E9">
        <w:t xml:space="preserve">his 6-months visit. However, the haematocrit had </w:t>
      </w:r>
      <w:r>
        <w:t>also been low</w:t>
      </w:r>
      <w:r w:rsidRPr="008509E9">
        <w:t xml:space="preserve"> 48 hours after ED 1 and at</w:t>
      </w:r>
      <w:r>
        <w:t xml:space="preserve"> 3 months and even lower before </w:t>
      </w:r>
      <w:r w:rsidRPr="008509E9">
        <w:t>that</w:t>
      </w:r>
      <w:r>
        <w:t>, but</w:t>
      </w:r>
      <w:r w:rsidRPr="008509E9">
        <w:t xml:space="preserve"> these values had not been rated as clinically significant abnormalities</w:t>
      </w:r>
    </w:p>
    <w:p w14:paraId="12622713" w14:textId="77777777" w:rsidR="000F04AF" w:rsidRDefault="006D35A0" w:rsidP="008002C4">
      <w:pPr>
        <w:pStyle w:val="ListBullet2"/>
      </w:pPr>
      <w:r w:rsidRPr="008509E9">
        <w:t>One patient (21 abnormalities) had an abnormally low erythrocyte count at screening, before and 24 hours after infusion for PK Cycle 2 and at 6</w:t>
      </w:r>
      <w:r>
        <w:t xml:space="preserve"> months</w:t>
      </w:r>
      <w:r w:rsidRPr="008509E9">
        <w:t>.</w:t>
      </w:r>
    </w:p>
    <w:p w14:paraId="3C11A52C" w14:textId="77777777" w:rsidR="000F04AF" w:rsidRDefault="006D35A0" w:rsidP="008002C4">
      <w:pPr>
        <w:pStyle w:val="ListBullet2"/>
      </w:pPr>
      <w:r w:rsidRPr="008509E9">
        <w:t>One patient (8 abnormalities) had abnormally low haemoglobin and haematocrit levels at screening, at recovery 1, 48 hours after ED 1 and at 3 months, but not at 6 months</w:t>
      </w:r>
    </w:p>
    <w:p w14:paraId="1DBFA092" w14:textId="77777777" w:rsidR="000F04AF" w:rsidRPr="006963B6" w:rsidRDefault="006D35A0" w:rsidP="006963B6">
      <w:pPr>
        <w:pStyle w:val="ListBullet"/>
        <w:rPr>
          <w:b/>
        </w:rPr>
      </w:pPr>
      <w:r w:rsidRPr="006963B6">
        <w:rPr>
          <w:b/>
        </w:rPr>
        <w:t>GENA-09</w:t>
      </w:r>
    </w:p>
    <w:p w14:paraId="474ED030" w14:textId="0BFA55F0" w:rsidR="006D35A0" w:rsidRPr="00F775A8" w:rsidRDefault="006D35A0" w:rsidP="006D35A0">
      <w:pPr>
        <w:widowControl w:val="0"/>
        <w:autoSpaceDE w:val="0"/>
        <w:autoSpaceDN w:val="0"/>
        <w:adjustRightInd w:val="0"/>
        <w:rPr>
          <w:color w:val="000000"/>
        </w:rPr>
      </w:pPr>
      <w:r w:rsidRPr="00F775A8">
        <w:rPr>
          <w:color w:val="000000"/>
        </w:rPr>
        <w:t>In GENA-09, safety laboratory tests (haematology) and urinalysis were performed at screening, Cycle 1 and Cycle 2 be</w:t>
      </w:r>
      <w:r>
        <w:rPr>
          <w:color w:val="000000"/>
        </w:rPr>
        <w:t xml:space="preserve">fore and 24 and 48 hours after </w:t>
      </w:r>
      <w:r w:rsidRPr="00F775A8">
        <w:rPr>
          <w:color w:val="000000"/>
        </w:rPr>
        <w:t>the end of the infusion, baseline at the 3-mon</w:t>
      </w:r>
      <w:r>
        <w:rPr>
          <w:color w:val="000000"/>
        </w:rPr>
        <w:t>th visit and the 6-month visit. O</w:t>
      </w:r>
      <w:r w:rsidRPr="00F775A8">
        <w:rPr>
          <w:color w:val="000000"/>
        </w:rPr>
        <w:t>ne patient had a bacterial infection on urinalysis at screening and this persisted throughout the study. Urinalysis also showed clinically abnormal erythrocytes d</w:t>
      </w:r>
      <w:r w:rsidRPr="00F775A8">
        <w:rPr>
          <w:rFonts w:eastAsia="Times New Roman"/>
          <w:lang w:eastAsia="en-AU"/>
        </w:rPr>
        <w:t>uring PK Cycle 2</w:t>
      </w:r>
      <w:r w:rsidRPr="00F775A8">
        <w:rPr>
          <w:color w:val="000000"/>
        </w:rPr>
        <w:t xml:space="preserve"> </w:t>
      </w:r>
      <w:r w:rsidRPr="00F775A8">
        <w:rPr>
          <w:rFonts w:eastAsia="Times New Roman"/>
          <w:lang w:eastAsia="en-AU"/>
        </w:rPr>
        <w:t>at 48</w:t>
      </w:r>
      <w:r w:rsidRPr="00F775A8">
        <w:rPr>
          <w:color w:val="000000"/>
        </w:rPr>
        <w:t xml:space="preserve"> </w:t>
      </w:r>
      <w:r w:rsidRPr="00F775A8">
        <w:rPr>
          <w:rFonts w:eastAsia="Times New Roman"/>
          <w:lang w:eastAsia="en-AU"/>
        </w:rPr>
        <w:t xml:space="preserve">hours after administration of </w:t>
      </w:r>
      <w:r>
        <w:rPr>
          <w:rFonts w:eastAsia="Times New Roman"/>
          <w:lang w:eastAsia="en-AU"/>
        </w:rPr>
        <w:t xml:space="preserve">simoctocog alfa </w:t>
      </w:r>
      <w:r w:rsidRPr="00F775A8">
        <w:rPr>
          <w:rFonts w:eastAsia="Times New Roman"/>
          <w:lang w:eastAsia="en-AU"/>
        </w:rPr>
        <w:t>and at the 6-month visit before administration, and</w:t>
      </w:r>
      <w:r>
        <w:rPr>
          <w:color w:val="000000"/>
        </w:rPr>
        <w:t xml:space="preserve"> </w:t>
      </w:r>
      <w:r w:rsidRPr="00F775A8">
        <w:rPr>
          <w:rFonts w:eastAsia="Times New Roman"/>
          <w:lang w:eastAsia="en-AU"/>
        </w:rPr>
        <w:t>elevated nitrites during both PK cycles. Leucocytes remained clinically significant during the PK cycles and at the 6-month PK visit. Worsening of leukocyturia and haematuria were recorded as AEs during the PK phase of the study for this patient.</w:t>
      </w:r>
    </w:p>
    <w:p w14:paraId="35958A58" w14:textId="01510AEB" w:rsidR="006D35A0" w:rsidRPr="006963B6" w:rsidRDefault="006D35A0" w:rsidP="006963B6">
      <w:pPr>
        <w:pStyle w:val="ListBullet"/>
        <w:rPr>
          <w:b/>
        </w:rPr>
      </w:pPr>
      <w:r w:rsidRPr="006963B6">
        <w:rPr>
          <w:b/>
        </w:rPr>
        <w:t>GENA-04 and GENA-08</w:t>
      </w:r>
    </w:p>
    <w:p w14:paraId="44E921B1" w14:textId="122F7D5A" w:rsidR="006D35A0" w:rsidRPr="00F775A8" w:rsidRDefault="006D35A0" w:rsidP="006D35A0">
      <w:pPr>
        <w:widowControl w:val="0"/>
        <w:autoSpaceDE w:val="0"/>
        <w:autoSpaceDN w:val="0"/>
        <w:adjustRightInd w:val="0"/>
      </w:pPr>
      <w:r w:rsidRPr="00F775A8">
        <w:t xml:space="preserve">No significant laboratory abnormalities were reported </w:t>
      </w:r>
      <w:r>
        <w:t xml:space="preserve">in </w:t>
      </w:r>
      <w:r w:rsidRPr="00F775A8">
        <w:t>GENA-04 or GENA-08. In GENA-04, safety laboratory tests were performed at first recovery visit, at 3 months and at the study completion visit. In GENA-08, safety laboratory tests were performed at screening, at the first visit and at 3 month and 6 month visits. In both studies safety laboratory tests were performed before and after surgeries.</w:t>
      </w:r>
    </w:p>
    <w:p w14:paraId="4FE91ED8" w14:textId="77777777" w:rsidR="000F04AF" w:rsidRDefault="006D35A0" w:rsidP="00666C70">
      <w:pPr>
        <w:pStyle w:val="Heading4"/>
      </w:pPr>
      <w:bookmarkStart w:id="177" w:name="_Toc266446508"/>
      <w:r w:rsidRPr="00666C70">
        <w:t>Viral safety</w:t>
      </w:r>
      <w:bookmarkEnd w:id="177"/>
    </w:p>
    <w:p w14:paraId="6E71726F" w14:textId="77777777" w:rsidR="000F04AF" w:rsidRDefault="006D35A0" w:rsidP="006D35A0">
      <w:pPr>
        <w:widowControl w:val="0"/>
        <w:autoSpaceDE w:val="0"/>
        <w:autoSpaceDN w:val="0"/>
        <w:adjustRightInd w:val="0"/>
      </w:pPr>
      <w:r>
        <w:t xml:space="preserve">Simoctocog alfa </w:t>
      </w:r>
      <w:r w:rsidRPr="002756A9">
        <w:t xml:space="preserve">is produced in human cell lines. The sponsor states that numerous assays have been used on the cells used in production of </w:t>
      </w:r>
      <w:r>
        <w:t xml:space="preserve">simoctocog alfa </w:t>
      </w:r>
      <w:r w:rsidRPr="002756A9">
        <w:t>for the detection of possible endogenous and infectious viruses or mycoplasma. Since the cell line is of human origin, additional specific tests for human viruses and for bovine, murine and porcine viruses have been performed, without any evidence of their presence. In addition, the purification process includes two specific steps for virus inactivation/removal.</w:t>
      </w:r>
    </w:p>
    <w:p w14:paraId="6B538344" w14:textId="3D512E7E" w:rsidR="006D35A0" w:rsidRDefault="006D35A0" w:rsidP="006D35A0">
      <w:pPr>
        <w:widowControl w:val="0"/>
        <w:autoSpaceDE w:val="0"/>
        <w:autoSpaceDN w:val="0"/>
        <w:adjustRightInd w:val="0"/>
      </w:pPr>
      <w:r w:rsidRPr="002756A9">
        <w:t>During th</w:t>
      </w:r>
      <w:r>
        <w:t xml:space="preserve">e clinical studies, if abnormal </w:t>
      </w:r>
      <w:r w:rsidRPr="002756A9">
        <w:t xml:space="preserve">ALT or AST </w:t>
      </w:r>
      <w:r>
        <w:t xml:space="preserve">values </w:t>
      </w:r>
      <w:r w:rsidRPr="002756A9">
        <w:t>persisted for more than one week, viral serology and polymerase chain reaction (PCR) testing was to be performed to rule out HBV and HCV infection. In addition, PCR testing of the corresponding investigational medicinal product (IMP) batches was to be performed. The sponsor stated that no patients have been found to be positive for these viruses in any studies so far.</w:t>
      </w:r>
    </w:p>
    <w:p w14:paraId="7DDFC8E0" w14:textId="77777777" w:rsidR="006D35A0" w:rsidRDefault="006D35A0" w:rsidP="000D66B4">
      <w:pPr>
        <w:pStyle w:val="Heading3"/>
      </w:pPr>
      <w:bookmarkStart w:id="178" w:name="_Toc266446509"/>
      <w:bookmarkStart w:id="179" w:name="_Toc453765970"/>
      <w:r>
        <w:t>Vital signs</w:t>
      </w:r>
      <w:bookmarkEnd w:id="178"/>
      <w:bookmarkEnd w:id="179"/>
    </w:p>
    <w:p w14:paraId="2DA884A9" w14:textId="77777777" w:rsidR="000F04AF" w:rsidRDefault="006D35A0" w:rsidP="006D35A0">
      <w:pPr>
        <w:widowControl w:val="0"/>
        <w:autoSpaceDE w:val="0"/>
        <w:autoSpaceDN w:val="0"/>
        <w:adjustRightInd w:val="0"/>
      </w:pPr>
      <w:r w:rsidRPr="007D49C5">
        <w:t>Vital signs (heart rate, systolic and diastolic blood pressure and body temperature) were examined in all studies. No routine electrocardiographic (ECG) assessments appear to have been undertaken</w:t>
      </w:r>
      <w:r w:rsidR="000F04AF">
        <w:t>.</w:t>
      </w:r>
    </w:p>
    <w:p w14:paraId="60F7E5D2" w14:textId="352D8087" w:rsidR="000F04AF" w:rsidRDefault="006D35A0" w:rsidP="006D35A0">
      <w:r w:rsidRPr="007D49C5">
        <w:rPr>
          <w:b/>
        </w:rPr>
        <w:lastRenderedPageBreak/>
        <w:t>In GENA-01</w:t>
      </w:r>
      <w:r w:rsidRPr="007D49C5">
        <w:t>, vital signs were examined at screening, at both PK assessments, at 3- and 6- months, at completion visit (if different from the 6 month visit), and before and after surgical procedures. A total of 8 patients had at least on</w:t>
      </w:r>
      <w:r>
        <w:t xml:space="preserve">e abnormal finding at screening, and </w:t>
      </w:r>
      <w:r w:rsidRPr="007D49C5">
        <w:t xml:space="preserve">abnormalities were seen in 7 patients at the completion visit. Several abnormalities </w:t>
      </w:r>
      <w:r>
        <w:t xml:space="preserve">detected on physical examination </w:t>
      </w:r>
      <w:r w:rsidRPr="007D49C5">
        <w:t xml:space="preserve">were </w:t>
      </w:r>
      <w:r>
        <w:t xml:space="preserve">considered to be a </w:t>
      </w:r>
      <w:r w:rsidRPr="007D49C5">
        <w:t>consequence of haemophilia A (</w:t>
      </w:r>
      <w:r w:rsidR="001A2E59">
        <w:t>for example,</w:t>
      </w:r>
      <w:r>
        <w:t xml:space="preserve"> </w:t>
      </w:r>
      <w:r w:rsidRPr="007D49C5">
        <w:t xml:space="preserve">haemophilia arthropathy, joint swelling, </w:t>
      </w:r>
      <w:r>
        <w:t xml:space="preserve">ecchymosis at the site of a BE), </w:t>
      </w:r>
      <w:r w:rsidRPr="007D49C5">
        <w:t xml:space="preserve">or </w:t>
      </w:r>
      <w:r>
        <w:t xml:space="preserve">to be due to </w:t>
      </w:r>
      <w:r w:rsidRPr="007D49C5">
        <w:t>underlying conditions or previous procedures (</w:t>
      </w:r>
      <w:r w:rsidR="001A2E59">
        <w:t>for example,</w:t>
      </w:r>
      <w:r>
        <w:t xml:space="preserve"> </w:t>
      </w:r>
      <w:r w:rsidRPr="007D49C5">
        <w:t xml:space="preserve">stasis dermatitis and liver edge palpable in a patient with type 2 diabetes mellitus and HCV infection; knee incision scar and iron staining in the patient who had right total knee revision; healed scar and thin build, respectively, in another 2 patients). None of the </w:t>
      </w:r>
      <w:r>
        <w:t xml:space="preserve">observed vital sign </w:t>
      </w:r>
      <w:r w:rsidRPr="007D49C5">
        <w:t xml:space="preserve">abnormalities were rated as AEs. Shift tables demonstrated that most abnormalities seen at </w:t>
      </w:r>
      <w:r>
        <w:t xml:space="preserve">the </w:t>
      </w:r>
      <w:r w:rsidRPr="007D49C5">
        <w:t xml:space="preserve">completion visit had been present at baseline, with the exception of </w:t>
      </w:r>
      <w:r>
        <w:t>one</w:t>
      </w:r>
      <w:r w:rsidRPr="007D49C5">
        <w:t xml:space="preserve"> patient who was notably lighter at the completion visit than at the screening visit (59.6 kg vs 64.3 kg, respectively).</w:t>
      </w:r>
    </w:p>
    <w:p w14:paraId="6ED455A3" w14:textId="43D86DC5" w:rsidR="006D35A0" w:rsidRPr="007D49C5" w:rsidRDefault="006D35A0" w:rsidP="006D35A0">
      <w:pPr>
        <w:widowControl w:val="0"/>
        <w:autoSpaceDE w:val="0"/>
        <w:autoSpaceDN w:val="0"/>
        <w:adjustRightInd w:val="0"/>
        <w:rPr>
          <w:rFonts w:eastAsia="Times New Roman"/>
          <w:lang w:eastAsia="en-AU"/>
        </w:rPr>
      </w:pPr>
      <w:r w:rsidRPr="007D49C5">
        <w:rPr>
          <w:rFonts w:eastAsia="Times New Roman"/>
          <w:b/>
          <w:lang w:eastAsia="en-AU"/>
        </w:rPr>
        <w:t>In GENA-08,</w:t>
      </w:r>
      <w:r w:rsidRPr="007D49C5">
        <w:rPr>
          <w:rFonts w:eastAsia="Times New Roman"/>
          <w:lang w:eastAsia="en-AU"/>
        </w:rPr>
        <w:t xml:space="preserve"> vital sign examination was performed at screening, at the first visit, at 3- and 6-month visits, and before, during and after surgical procedures. One patient had high blood pressure at Visit 1 both before and 1 hour after the infusion (198/130 </w:t>
      </w:r>
      <w:r>
        <w:rPr>
          <w:rFonts w:eastAsia="Times New Roman"/>
          <w:lang w:eastAsia="en-AU"/>
        </w:rPr>
        <w:t>mmHg and 195/139 mm</w:t>
      </w:r>
      <w:r w:rsidRPr="007D49C5">
        <w:rPr>
          <w:rFonts w:eastAsia="Times New Roman"/>
          <w:lang w:eastAsia="en-AU"/>
        </w:rPr>
        <w:t>Hg, respectively), which was rated as a clinically significant abnormality. However, blood pressure had been similarly el</w:t>
      </w:r>
      <w:r>
        <w:rPr>
          <w:rFonts w:eastAsia="Times New Roman"/>
          <w:lang w:eastAsia="en-AU"/>
        </w:rPr>
        <w:t>evated at screening (190/132 mm</w:t>
      </w:r>
      <w:r w:rsidRPr="007D49C5">
        <w:rPr>
          <w:rFonts w:eastAsia="Times New Roman"/>
          <w:lang w:eastAsia="en-AU"/>
        </w:rPr>
        <w:t>Hg) but had not been judged clinically significant. Theref</w:t>
      </w:r>
      <w:r>
        <w:rPr>
          <w:rFonts w:eastAsia="Times New Roman"/>
          <w:lang w:eastAsia="en-AU"/>
        </w:rPr>
        <w:t xml:space="preserve">ore, </w:t>
      </w:r>
      <w:r w:rsidRPr="007D49C5">
        <w:rPr>
          <w:rFonts w:eastAsia="Times New Roman"/>
          <w:lang w:eastAsia="en-AU"/>
        </w:rPr>
        <w:t xml:space="preserve">no AE of hypertension was recorded for this patient. No other vital signs were rated as clinically abnormal at any other time point </w:t>
      </w:r>
      <w:r>
        <w:rPr>
          <w:rFonts w:eastAsia="Times New Roman"/>
          <w:lang w:eastAsia="en-AU"/>
        </w:rPr>
        <w:t xml:space="preserve">for </w:t>
      </w:r>
      <w:r w:rsidRPr="007D49C5">
        <w:rPr>
          <w:rFonts w:eastAsia="Times New Roman"/>
          <w:lang w:eastAsia="en-AU"/>
        </w:rPr>
        <w:t xml:space="preserve">any other patient. Physical examination showed at least one abnormal finding in 12 patients at </w:t>
      </w:r>
      <w:r>
        <w:rPr>
          <w:rFonts w:eastAsia="Times New Roman"/>
          <w:lang w:eastAsia="en-AU"/>
        </w:rPr>
        <w:t xml:space="preserve">screening and in 9 patients at the 6-month visit. </w:t>
      </w:r>
      <w:r w:rsidRPr="007D49C5">
        <w:rPr>
          <w:rFonts w:eastAsia="Times New Roman"/>
          <w:lang w:eastAsia="en-AU"/>
        </w:rPr>
        <w:t xml:space="preserve">Apart from abnormalities that were likely </w:t>
      </w:r>
      <w:r>
        <w:rPr>
          <w:rFonts w:eastAsia="Times New Roman"/>
          <w:lang w:eastAsia="en-AU"/>
        </w:rPr>
        <w:t xml:space="preserve">to be </w:t>
      </w:r>
      <w:r w:rsidRPr="007D49C5">
        <w:rPr>
          <w:rFonts w:eastAsia="Times New Roman"/>
          <w:lang w:eastAsia="en-AU"/>
        </w:rPr>
        <w:t xml:space="preserve">a consequence of haemophilia A, 5 patients had skin abnormalities, 2 had abnormalities in ears, nose and throat, and 1 patient each had "palsy" and hypertension. None of the abnormalities observed were </w:t>
      </w:r>
      <w:r>
        <w:rPr>
          <w:rFonts w:eastAsia="Times New Roman"/>
          <w:lang w:eastAsia="en-AU"/>
        </w:rPr>
        <w:t xml:space="preserve">classed </w:t>
      </w:r>
      <w:r w:rsidRPr="007D49C5">
        <w:rPr>
          <w:rFonts w:eastAsia="Times New Roman"/>
          <w:lang w:eastAsia="en-AU"/>
        </w:rPr>
        <w:t>as AEs. Shift tables demonstrated that most abnormalities seen at 6 months had already been present at</w:t>
      </w:r>
      <w:r>
        <w:rPr>
          <w:rFonts w:eastAsia="Times New Roman"/>
          <w:lang w:eastAsia="en-AU"/>
        </w:rPr>
        <w:t xml:space="preserve"> baseline, with the exception of two surgical procedures that had occurred during the study (1x knee arthropathy and 1x </w:t>
      </w:r>
      <w:r w:rsidRPr="007D49C5">
        <w:rPr>
          <w:rFonts w:eastAsia="Times New Roman"/>
          <w:lang w:eastAsia="en-AU"/>
        </w:rPr>
        <w:t>hip replacement</w:t>
      </w:r>
      <w:r>
        <w:rPr>
          <w:rFonts w:eastAsia="Times New Roman"/>
          <w:lang w:eastAsia="en-AU"/>
        </w:rPr>
        <w:t>)</w:t>
      </w:r>
      <w:r w:rsidRPr="007D49C5">
        <w:rPr>
          <w:rFonts w:eastAsia="Times New Roman"/>
          <w:lang w:eastAsia="en-AU"/>
        </w:rPr>
        <w:t>. In one patient, a fixed flexion deformity was reported at 6 months that had not been documented at baseline, but this abnormality was described as long-standing by the investigator.</w:t>
      </w:r>
    </w:p>
    <w:p w14:paraId="62E634CA" w14:textId="77777777" w:rsidR="006D35A0" w:rsidRPr="007D49C5" w:rsidRDefault="006D35A0" w:rsidP="006D35A0">
      <w:pPr>
        <w:widowControl w:val="0"/>
        <w:autoSpaceDE w:val="0"/>
        <w:autoSpaceDN w:val="0"/>
        <w:adjustRightInd w:val="0"/>
        <w:rPr>
          <w:rFonts w:eastAsia="Times New Roman"/>
          <w:lang w:eastAsia="en-AU"/>
        </w:rPr>
      </w:pPr>
      <w:r w:rsidRPr="007D49C5">
        <w:rPr>
          <w:rFonts w:eastAsia="Times New Roman"/>
          <w:b/>
          <w:lang w:eastAsia="en-AU"/>
        </w:rPr>
        <w:t>In GENA-03,</w:t>
      </w:r>
      <w:r w:rsidRPr="007D49C5">
        <w:rPr>
          <w:rFonts w:eastAsia="Times New Roman"/>
          <w:lang w:eastAsia="en-AU"/>
        </w:rPr>
        <w:t xml:space="preserve"> vital signs were examined at screening, at both PK assessments for patients in the PK population and at baseline for patients only participating in the open phase, at 3 and 6 months, and before, during and after surgeries. No clinically relevant abnormalities in vital signs were observed. At least one abnormal finding was reported in 20 patients at screening and in 7 patients at the 6-month visit. </w:t>
      </w:r>
      <w:r>
        <w:rPr>
          <w:rFonts w:eastAsia="Times New Roman"/>
          <w:lang w:eastAsia="en-AU"/>
        </w:rPr>
        <w:t>S</w:t>
      </w:r>
      <w:r w:rsidRPr="007D49C5">
        <w:rPr>
          <w:rFonts w:eastAsia="Times New Roman"/>
          <w:lang w:eastAsia="en-AU"/>
        </w:rPr>
        <w:t xml:space="preserve">hift tables showed that </w:t>
      </w:r>
      <w:r>
        <w:rPr>
          <w:rFonts w:eastAsia="Times New Roman"/>
          <w:lang w:eastAsia="en-AU"/>
        </w:rPr>
        <w:t xml:space="preserve">physical examination </w:t>
      </w:r>
      <w:r w:rsidRPr="007D49C5">
        <w:rPr>
          <w:rFonts w:eastAsia="Times New Roman"/>
          <w:lang w:eastAsia="en-AU"/>
        </w:rPr>
        <w:t xml:space="preserve">abnormalities </w:t>
      </w:r>
      <w:r>
        <w:rPr>
          <w:rFonts w:eastAsia="Times New Roman"/>
          <w:lang w:eastAsia="en-AU"/>
        </w:rPr>
        <w:t>at the 6-</w:t>
      </w:r>
      <w:r w:rsidRPr="007D49C5">
        <w:rPr>
          <w:rFonts w:eastAsia="Times New Roman"/>
          <w:lang w:eastAsia="en-AU"/>
        </w:rPr>
        <w:t>month visit were reported for 5 patients for whom an abnormality was not reported at screening. The</w:t>
      </w:r>
      <w:r>
        <w:rPr>
          <w:rFonts w:eastAsia="Times New Roman"/>
          <w:lang w:eastAsia="en-AU"/>
        </w:rPr>
        <w:t xml:space="preserve">se </w:t>
      </w:r>
      <w:r w:rsidRPr="007D49C5">
        <w:rPr>
          <w:rFonts w:eastAsia="Times New Roman"/>
          <w:lang w:eastAsia="en-AU"/>
        </w:rPr>
        <w:t>abnormalities were described as "oth</w:t>
      </w:r>
      <w:r>
        <w:rPr>
          <w:rFonts w:eastAsia="Times New Roman"/>
          <w:lang w:eastAsia="en-AU"/>
        </w:rPr>
        <w:t>er" in the relevant shift table, and no further information was provided. However, the sponsor commented that s</w:t>
      </w:r>
      <w:r w:rsidRPr="007D49C5">
        <w:rPr>
          <w:rFonts w:eastAsia="Times New Roman"/>
          <w:lang w:eastAsia="en-AU"/>
        </w:rPr>
        <w:t>hifts in physical examination abnormalities from baseline to 6 months did not indicate any significant safety concerns.</w:t>
      </w:r>
    </w:p>
    <w:p w14:paraId="144CC9A6" w14:textId="77777777" w:rsidR="000F04AF" w:rsidRDefault="006D35A0" w:rsidP="006D35A0">
      <w:pPr>
        <w:widowControl w:val="0"/>
        <w:autoSpaceDE w:val="0"/>
        <w:autoSpaceDN w:val="0"/>
        <w:adjustRightInd w:val="0"/>
        <w:rPr>
          <w:rFonts w:eastAsia="Times New Roman"/>
          <w:lang w:eastAsia="en-AU"/>
        </w:rPr>
      </w:pPr>
      <w:r w:rsidRPr="007D49C5">
        <w:rPr>
          <w:b/>
        </w:rPr>
        <w:t>In GENA-09,</w:t>
      </w:r>
      <w:r w:rsidRPr="007D49C5">
        <w:t xml:space="preserve"> vital sign examination was performed at both PK visits, at 3- and 6-month visits and before, during and after surgical procedures. </w:t>
      </w:r>
      <w:r w:rsidRPr="007D49C5">
        <w:rPr>
          <w:rFonts w:eastAsia="Times New Roman"/>
          <w:lang w:eastAsia="en-AU"/>
        </w:rPr>
        <w:t xml:space="preserve">Physical examinations at baseline and 6 months (excluding abnormalities as a consequence of haemophilia A) were normal except for cardiovascular abnormalities in one patient (blood pressure 184/94 mmHg and systolic murmur in the cardiac apex and aorta at baseline, and arterial hypertension at 6 months). The cardiovascular abnormality was considered not to </w:t>
      </w:r>
      <w:r>
        <w:rPr>
          <w:rFonts w:eastAsia="Times New Roman"/>
          <w:lang w:eastAsia="en-AU"/>
        </w:rPr>
        <w:t xml:space="preserve">be an </w:t>
      </w:r>
      <w:r w:rsidRPr="007D49C5">
        <w:rPr>
          <w:rFonts w:eastAsia="Times New Roman"/>
          <w:lang w:eastAsia="en-AU"/>
        </w:rPr>
        <w:t>AE.</w:t>
      </w:r>
    </w:p>
    <w:p w14:paraId="4B538726" w14:textId="21389F87" w:rsidR="006D35A0" w:rsidRDefault="006D35A0" w:rsidP="006D35A0">
      <w:pPr>
        <w:widowControl w:val="0"/>
        <w:autoSpaceDE w:val="0"/>
        <w:autoSpaceDN w:val="0"/>
        <w:adjustRightInd w:val="0"/>
        <w:rPr>
          <w:rFonts w:eastAsia="Times New Roman"/>
          <w:lang w:eastAsia="en-AU"/>
        </w:rPr>
      </w:pPr>
      <w:r w:rsidRPr="007D49C5">
        <w:rPr>
          <w:rFonts w:eastAsia="Times New Roman"/>
          <w:b/>
          <w:lang w:eastAsia="en-AU"/>
        </w:rPr>
        <w:t>In GENA-04</w:t>
      </w:r>
      <w:r w:rsidRPr="007D49C5">
        <w:rPr>
          <w:rFonts w:eastAsia="Times New Roman"/>
          <w:lang w:eastAsia="en-AU"/>
        </w:rPr>
        <w:t>, vital sign analysis was performed at screenin</w:t>
      </w:r>
      <w:r>
        <w:rPr>
          <w:rFonts w:eastAsia="Times New Roman"/>
          <w:lang w:eastAsia="en-AU"/>
        </w:rPr>
        <w:t xml:space="preserve">g, at first recovery visit, at </w:t>
      </w:r>
      <w:r w:rsidRPr="007D49C5">
        <w:rPr>
          <w:rFonts w:eastAsia="Times New Roman"/>
          <w:lang w:eastAsia="en-AU"/>
        </w:rPr>
        <w:t>months, at the study completion visit, and before, during and after surgeries. One patient</w:t>
      </w:r>
      <w:r>
        <w:rPr>
          <w:rFonts w:eastAsia="Times New Roman"/>
          <w:lang w:eastAsia="en-AU"/>
        </w:rPr>
        <w:t xml:space="preserve"> </w:t>
      </w:r>
      <w:r w:rsidRPr="007D49C5">
        <w:rPr>
          <w:rFonts w:eastAsia="Times New Roman"/>
          <w:lang w:eastAsia="en-AU"/>
        </w:rPr>
        <w:t>had arterial hypertension at screening only. This was consider</w:t>
      </w:r>
      <w:r>
        <w:rPr>
          <w:rFonts w:eastAsia="Times New Roman"/>
          <w:lang w:eastAsia="en-AU"/>
        </w:rPr>
        <w:t>ed</w:t>
      </w:r>
      <w:r w:rsidRPr="007D49C5">
        <w:rPr>
          <w:rFonts w:eastAsia="Times New Roman"/>
          <w:lang w:eastAsia="en-AU"/>
        </w:rPr>
        <w:t xml:space="preserve"> not </w:t>
      </w:r>
      <w:r>
        <w:rPr>
          <w:rFonts w:eastAsia="Times New Roman"/>
          <w:lang w:eastAsia="en-AU"/>
        </w:rPr>
        <w:t>to be an</w:t>
      </w:r>
      <w:r w:rsidRPr="007D49C5">
        <w:rPr>
          <w:rFonts w:eastAsia="Times New Roman"/>
          <w:lang w:eastAsia="en-AU"/>
        </w:rPr>
        <w:t xml:space="preserve"> AE.</w:t>
      </w:r>
    </w:p>
    <w:p w14:paraId="5E74A03C" w14:textId="77777777" w:rsidR="006D35A0" w:rsidRPr="00666C70" w:rsidRDefault="006D35A0" w:rsidP="000D66B4">
      <w:pPr>
        <w:pStyle w:val="Heading3"/>
      </w:pPr>
      <w:bookmarkStart w:id="180" w:name="_Toc266446510"/>
      <w:bookmarkStart w:id="181" w:name="_Toc453765971"/>
      <w:r w:rsidRPr="00666C70">
        <w:lastRenderedPageBreak/>
        <w:t>GENA-03 (paediatric study)</w:t>
      </w:r>
      <w:bookmarkEnd w:id="180"/>
      <w:bookmarkEnd w:id="181"/>
    </w:p>
    <w:p w14:paraId="3B33F90F" w14:textId="77777777" w:rsidR="006D35A0" w:rsidRPr="00666C70" w:rsidRDefault="006D35A0" w:rsidP="000D66B4">
      <w:pPr>
        <w:pStyle w:val="Heading4"/>
      </w:pPr>
      <w:bookmarkStart w:id="182" w:name="_Toc266446511"/>
      <w:r w:rsidRPr="00666C70">
        <w:t>Extent of exposure</w:t>
      </w:r>
      <w:bookmarkEnd w:id="182"/>
    </w:p>
    <w:p w14:paraId="24E75018" w14:textId="77777777" w:rsidR="000F04AF" w:rsidRDefault="006D35A0" w:rsidP="006D35A0">
      <w:r>
        <w:t>Of the total number of 135 patients included in the safety population, 59 (43.7%) patients aged 2 to 12 years were from the paediatric study GENA-03. The paediatric safety population (n=59), r</w:t>
      </w:r>
      <w:r w:rsidRPr="0003354F">
        <w:t xml:space="preserve">eceived a total of 5746 infusions of </w:t>
      </w:r>
      <w:r>
        <w:t>simoctocog alfa. Of these infusions, 5316 (</w:t>
      </w:r>
      <w:r w:rsidRPr="0003354F">
        <w:t xml:space="preserve">92.5%) were </w:t>
      </w:r>
      <w:r>
        <w:t xml:space="preserve">given for on-going </w:t>
      </w:r>
      <w:r w:rsidRPr="0003354F">
        <w:t>prophylaxis</w:t>
      </w:r>
      <w:r>
        <w:t>, 216</w:t>
      </w:r>
      <w:r w:rsidRPr="0003354F">
        <w:t>(3.8%) were</w:t>
      </w:r>
      <w:r>
        <w:t xml:space="preserve"> for the treatment of BEs, </w:t>
      </w:r>
      <w:r w:rsidRPr="0003354F">
        <w:t xml:space="preserve">41 (0.7%) were </w:t>
      </w:r>
      <w:r>
        <w:t xml:space="preserve">for surgical prophylaxis, </w:t>
      </w:r>
      <w:r w:rsidRPr="0003354F">
        <w:t>and 173 (3.0%) were f</w:t>
      </w:r>
      <w:r>
        <w:t>or PK and recovery assessments. The extent of total exposure is summarised in below in Table 5</w:t>
      </w:r>
      <w:r w:rsidR="00F04577">
        <w:t>2</w:t>
      </w:r>
      <w:r>
        <w:t>.</w:t>
      </w:r>
    </w:p>
    <w:p w14:paraId="4FCCA419" w14:textId="77777777" w:rsidR="000F04AF" w:rsidRDefault="006D35A0" w:rsidP="00666C70">
      <w:pPr>
        <w:pStyle w:val="Tabletitle"/>
      </w:pPr>
      <w:bookmarkStart w:id="183" w:name="_Toc248202571"/>
      <w:r>
        <w:t>Table</w:t>
      </w:r>
      <w:r w:rsidR="000A1340">
        <w:t xml:space="preserve"> 5</w:t>
      </w:r>
      <w:r w:rsidR="00F04577">
        <w:t>2</w:t>
      </w:r>
      <w:r>
        <w:t xml:space="preserve">: </w:t>
      </w:r>
      <w:r w:rsidRPr="005A5D77">
        <w:t xml:space="preserve">Extent of total exposure to </w:t>
      </w:r>
      <w:r>
        <w:t>simoctocog alfa</w:t>
      </w:r>
      <w:r w:rsidRPr="005A5D77">
        <w:t>; safety population (n=59).</w:t>
      </w:r>
      <w:bookmarkEnd w:id="183"/>
    </w:p>
    <w:p w14:paraId="15AB5DA4" w14:textId="58F87C7D" w:rsidR="006D35A0" w:rsidRPr="005A5D77" w:rsidRDefault="006D35A0" w:rsidP="006D35A0">
      <w:pPr>
        <w:spacing w:after="0"/>
        <w:rPr>
          <w:sz w:val="16"/>
          <w:szCs w:val="16"/>
        </w:rPr>
      </w:pPr>
      <w:r w:rsidRPr="005A5D77">
        <w:rPr>
          <w:noProof/>
          <w:sz w:val="16"/>
          <w:szCs w:val="16"/>
          <w:lang w:eastAsia="en-AU"/>
        </w:rPr>
        <w:drawing>
          <wp:inline distT="0" distB="0" distL="0" distR="0" wp14:anchorId="26AE79E9" wp14:editId="0E879EF6">
            <wp:extent cx="4469130" cy="1085850"/>
            <wp:effectExtent l="0" t="0" r="0" b="0"/>
            <wp:docPr id="66" name="Picture 11" descr="Table 52: Extent of total exposure to simoctocog alfa; safety population (n=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69130" cy="1085850"/>
                    </a:xfrm>
                    <a:prstGeom prst="rect">
                      <a:avLst/>
                    </a:prstGeom>
                    <a:noFill/>
                    <a:ln>
                      <a:noFill/>
                    </a:ln>
                  </pic:spPr>
                </pic:pic>
              </a:graphicData>
            </a:graphic>
          </wp:inline>
        </w:drawing>
      </w:r>
    </w:p>
    <w:p w14:paraId="6A340BC8" w14:textId="77777777" w:rsidR="006D35A0" w:rsidRPr="00666C70" w:rsidRDefault="006D35A0" w:rsidP="000D66B4">
      <w:pPr>
        <w:pStyle w:val="Heading4"/>
      </w:pPr>
      <w:bookmarkStart w:id="184" w:name="_Toc266446512"/>
      <w:r w:rsidRPr="00666C70">
        <w:t>Adverse events</w:t>
      </w:r>
      <w:bookmarkEnd w:id="184"/>
    </w:p>
    <w:p w14:paraId="69B4E221" w14:textId="77777777" w:rsidR="006D35A0" w:rsidRPr="00666C70" w:rsidRDefault="006D35A0" w:rsidP="000D66B4">
      <w:pPr>
        <w:pStyle w:val="Heading5"/>
      </w:pPr>
      <w:bookmarkStart w:id="185" w:name="_Toc266446513"/>
      <w:r w:rsidRPr="00666C70">
        <w:t>Overview</w:t>
      </w:r>
      <w:bookmarkEnd w:id="185"/>
    </w:p>
    <w:p w14:paraId="7DBF1FF7" w14:textId="77777777" w:rsidR="000F04AF" w:rsidRDefault="006D35A0" w:rsidP="006D35A0">
      <w:r w:rsidRPr="005A5D77">
        <w:t>A total of 124 treatment-emergent AEs were recorde</w:t>
      </w:r>
      <w:r>
        <w:t>d in 38 of the 59 patients (64.4%), and are summarised below in Table 5</w:t>
      </w:r>
      <w:r w:rsidR="00F04577">
        <w:t>3</w:t>
      </w:r>
      <w:r>
        <w:t>.</w:t>
      </w:r>
    </w:p>
    <w:p w14:paraId="3D48A051" w14:textId="7EFC18CD" w:rsidR="006D35A0" w:rsidRDefault="006D35A0" w:rsidP="00666C70">
      <w:pPr>
        <w:pStyle w:val="Tabletitle"/>
      </w:pPr>
      <w:bookmarkStart w:id="186" w:name="_Toc248202572"/>
      <w:r>
        <w:t xml:space="preserve">Table </w:t>
      </w:r>
      <w:r w:rsidR="000A1340">
        <w:t>5</w:t>
      </w:r>
      <w:r w:rsidR="00F04577">
        <w:t>3</w:t>
      </w:r>
      <w:r>
        <w:t>: GENA-03 - Summary statistics for AEs; safety population (n=59).</w:t>
      </w:r>
      <w:bookmarkEnd w:id="186"/>
    </w:p>
    <w:tbl>
      <w:tblPr>
        <w:tblStyle w:val="TableTGAblue"/>
        <w:tblW w:w="7513" w:type="dxa"/>
        <w:tblInd w:w="108" w:type="dxa"/>
        <w:tblLayout w:type="fixed"/>
        <w:tblLook w:val="04A0" w:firstRow="1" w:lastRow="0" w:firstColumn="1" w:lastColumn="0" w:noHBand="0" w:noVBand="1"/>
      </w:tblPr>
      <w:tblGrid>
        <w:gridCol w:w="5529"/>
        <w:gridCol w:w="992"/>
        <w:gridCol w:w="992"/>
      </w:tblGrid>
      <w:tr w:rsidR="00697978" w:rsidRPr="00652C2C" w14:paraId="2FAC4FF0" w14:textId="77777777" w:rsidTr="00696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263B1819" w14:textId="77777777" w:rsidR="00697978" w:rsidRPr="00652C2C" w:rsidRDefault="00697978" w:rsidP="006963B6">
            <w:r w:rsidRPr="00652C2C">
              <w:t>Category</w:t>
            </w:r>
            <w:r>
              <w:t>*</w:t>
            </w:r>
          </w:p>
        </w:tc>
        <w:tc>
          <w:tcPr>
            <w:tcW w:w="992" w:type="dxa"/>
          </w:tcPr>
          <w:p w14:paraId="4418344C" w14:textId="77777777" w:rsidR="00697978" w:rsidRPr="00652C2C" w:rsidRDefault="00697978" w:rsidP="006963B6">
            <w:pPr>
              <w:cnfStyle w:val="100000000000" w:firstRow="1" w:lastRow="0" w:firstColumn="0" w:lastColumn="0" w:oddVBand="0" w:evenVBand="0" w:oddHBand="0" w:evenHBand="0" w:firstRowFirstColumn="0" w:firstRowLastColumn="0" w:lastRowFirstColumn="0" w:lastRowLastColumn="0"/>
            </w:pPr>
            <w:r>
              <w:t>N</w:t>
            </w:r>
          </w:p>
        </w:tc>
        <w:tc>
          <w:tcPr>
            <w:tcW w:w="992" w:type="dxa"/>
          </w:tcPr>
          <w:p w14:paraId="6F9B30CE" w14:textId="77777777" w:rsidR="00697978" w:rsidRPr="00652C2C" w:rsidRDefault="00697978" w:rsidP="006963B6">
            <w:pPr>
              <w:cnfStyle w:val="100000000000" w:firstRow="1" w:lastRow="0" w:firstColumn="0" w:lastColumn="0" w:oddVBand="0" w:evenVBand="0" w:oddHBand="0" w:evenHBand="0" w:firstRowFirstColumn="0" w:firstRowLastColumn="0" w:lastRowFirstColumn="0" w:lastRowLastColumn="0"/>
            </w:pPr>
            <w:r>
              <w:t>%</w:t>
            </w:r>
          </w:p>
        </w:tc>
      </w:tr>
      <w:tr w:rsidR="00697978" w:rsidRPr="00965819" w14:paraId="08E44FF6"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008382D5" w14:textId="77777777" w:rsidR="00697978" w:rsidRPr="00652C2C" w:rsidRDefault="00697978" w:rsidP="006963B6">
            <w:r w:rsidRPr="00652C2C">
              <w:t>AE</w:t>
            </w:r>
          </w:p>
        </w:tc>
        <w:tc>
          <w:tcPr>
            <w:tcW w:w="992" w:type="dxa"/>
          </w:tcPr>
          <w:p w14:paraId="503ED449"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38</w:t>
            </w:r>
          </w:p>
        </w:tc>
        <w:tc>
          <w:tcPr>
            <w:tcW w:w="992" w:type="dxa"/>
          </w:tcPr>
          <w:p w14:paraId="1562C320"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64.4</w:t>
            </w:r>
          </w:p>
        </w:tc>
      </w:tr>
      <w:tr w:rsidR="00697978" w:rsidRPr="00965819" w14:paraId="621E13AA"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39DC3FB9" w14:textId="77777777" w:rsidR="00697978" w:rsidRPr="00652C2C" w:rsidRDefault="00697978" w:rsidP="006963B6">
            <w:r w:rsidRPr="00652C2C">
              <w:t>Probably or possibly related AE</w:t>
            </w:r>
          </w:p>
        </w:tc>
        <w:tc>
          <w:tcPr>
            <w:tcW w:w="992" w:type="dxa"/>
          </w:tcPr>
          <w:p w14:paraId="51856E41"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2</w:t>
            </w:r>
          </w:p>
        </w:tc>
        <w:tc>
          <w:tcPr>
            <w:tcW w:w="992" w:type="dxa"/>
          </w:tcPr>
          <w:p w14:paraId="06E3897C"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3.4</w:t>
            </w:r>
          </w:p>
        </w:tc>
      </w:tr>
      <w:tr w:rsidR="00697978" w:rsidRPr="00965819" w14:paraId="75933F5A"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36E554BF" w14:textId="77777777" w:rsidR="00697978" w:rsidRPr="00652C2C" w:rsidRDefault="00697978" w:rsidP="006963B6">
            <w:r w:rsidRPr="00652C2C">
              <w:t>SAE</w:t>
            </w:r>
          </w:p>
        </w:tc>
        <w:tc>
          <w:tcPr>
            <w:tcW w:w="992" w:type="dxa"/>
          </w:tcPr>
          <w:p w14:paraId="16F1041F"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5</w:t>
            </w:r>
          </w:p>
        </w:tc>
        <w:tc>
          <w:tcPr>
            <w:tcW w:w="992" w:type="dxa"/>
          </w:tcPr>
          <w:p w14:paraId="3737DFD8"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8.5</w:t>
            </w:r>
          </w:p>
        </w:tc>
      </w:tr>
      <w:tr w:rsidR="00697978" w:rsidRPr="00965819" w14:paraId="39B1F11F"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2CF25064" w14:textId="77777777" w:rsidR="00697978" w:rsidRPr="00652C2C" w:rsidRDefault="00697978" w:rsidP="006963B6">
            <w:r w:rsidRPr="00652C2C">
              <w:t>Probably or possibly related SAE</w:t>
            </w:r>
          </w:p>
        </w:tc>
        <w:tc>
          <w:tcPr>
            <w:tcW w:w="992" w:type="dxa"/>
          </w:tcPr>
          <w:p w14:paraId="6702C6FF"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0</w:t>
            </w:r>
          </w:p>
        </w:tc>
        <w:tc>
          <w:tcPr>
            <w:tcW w:w="992" w:type="dxa"/>
          </w:tcPr>
          <w:p w14:paraId="70990717"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70098265"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7A7BFE29" w14:textId="77777777" w:rsidR="00697978" w:rsidRPr="00652C2C" w:rsidRDefault="00697978" w:rsidP="006963B6">
            <w:r w:rsidRPr="00652C2C">
              <w:t>Severe AE</w:t>
            </w:r>
          </w:p>
        </w:tc>
        <w:tc>
          <w:tcPr>
            <w:tcW w:w="992" w:type="dxa"/>
          </w:tcPr>
          <w:p w14:paraId="01D26B2D"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 xml:space="preserve">0 </w:t>
            </w:r>
          </w:p>
        </w:tc>
        <w:tc>
          <w:tcPr>
            <w:tcW w:w="992" w:type="dxa"/>
          </w:tcPr>
          <w:p w14:paraId="00664FA1"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37BC9BB0"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37DC424A" w14:textId="77777777" w:rsidR="00697978" w:rsidRPr="00652C2C" w:rsidRDefault="00697978" w:rsidP="006963B6">
            <w:r>
              <w:t>Temporally related AE†</w:t>
            </w:r>
          </w:p>
        </w:tc>
        <w:tc>
          <w:tcPr>
            <w:tcW w:w="992" w:type="dxa"/>
          </w:tcPr>
          <w:p w14:paraId="17E7E63B"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33</w:t>
            </w:r>
          </w:p>
        </w:tc>
        <w:tc>
          <w:tcPr>
            <w:tcW w:w="992" w:type="dxa"/>
          </w:tcPr>
          <w:p w14:paraId="367814A4"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55.9</w:t>
            </w:r>
          </w:p>
        </w:tc>
      </w:tr>
      <w:tr w:rsidR="00697978" w:rsidRPr="00965819" w14:paraId="756F3B31"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59AD8D0C" w14:textId="77777777" w:rsidR="00697978" w:rsidRPr="00652C2C" w:rsidRDefault="00697978" w:rsidP="006963B6">
            <w:r w:rsidRPr="00652C2C">
              <w:t>Death</w:t>
            </w:r>
          </w:p>
        </w:tc>
        <w:tc>
          <w:tcPr>
            <w:tcW w:w="992" w:type="dxa"/>
          </w:tcPr>
          <w:p w14:paraId="7208E497"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0</w:t>
            </w:r>
          </w:p>
        </w:tc>
        <w:tc>
          <w:tcPr>
            <w:tcW w:w="992" w:type="dxa"/>
          </w:tcPr>
          <w:p w14:paraId="5A366FE3"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252DD1DE"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473EBDF0" w14:textId="77777777" w:rsidR="00697978" w:rsidRPr="00652C2C" w:rsidRDefault="00697978" w:rsidP="006963B6">
            <w:r w:rsidRPr="00652C2C">
              <w:t>Death due to probably or possibly related AE</w:t>
            </w:r>
          </w:p>
        </w:tc>
        <w:tc>
          <w:tcPr>
            <w:tcW w:w="992" w:type="dxa"/>
          </w:tcPr>
          <w:p w14:paraId="4D0972D5"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0</w:t>
            </w:r>
          </w:p>
        </w:tc>
        <w:tc>
          <w:tcPr>
            <w:tcW w:w="992" w:type="dxa"/>
          </w:tcPr>
          <w:p w14:paraId="7E873CA0"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3A0CE44E"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69D90258" w14:textId="77777777" w:rsidR="00697978" w:rsidRPr="00652C2C" w:rsidRDefault="00697978" w:rsidP="006963B6">
            <w:r w:rsidRPr="00652C2C">
              <w:t>AE leading to discontinuation of study drug</w:t>
            </w:r>
          </w:p>
        </w:tc>
        <w:tc>
          <w:tcPr>
            <w:tcW w:w="992" w:type="dxa"/>
          </w:tcPr>
          <w:p w14:paraId="453BDBDC"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0</w:t>
            </w:r>
          </w:p>
        </w:tc>
        <w:tc>
          <w:tcPr>
            <w:tcW w:w="992" w:type="dxa"/>
          </w:tcPr>
          <w:p w14:paraId="246E645C"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0151490C"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1B9F57BC" w14:textId="77777777" w:rsidR="00697978" w:rsidRPr="00652C2C" w:rsidRDefault="00697978" w:rsidP="006963B6">
            <w:r w:rsidRPr="00652C2C">
              <w:t>Probably or possibly related AE leading to discontinuation of study drug</w:t>
            </w:r>
          </w:p>
        </w:tc>
        <w:tc>
          <w:tcPr>
            <w:tcW w:w="992" w:type="dxa"/>
          </w:tcPr>
          <w:p w14:paraId="4AF58124"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0</w:t>
            </w:r>
          </w:p>
        </w:tc>
        <w:tc>
          <w:tcPr>
            <w:tcW w:w="992" w:type="dxa"/>
          </w:tcPr>
          <w:p w14:paraId="4768249C"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0</w:t>
            </w:r>
          </w:p>
        </w:tc>
      </w:tr>
      <w:tr w:rsidR="00697978" w:rsidRPr="00965819" w14:paraId="6207EEDB" w14:textId="77777777" w:rsidTr="006963B6">
        <w:tc>
          <w:tcPr>
            <w:cnfStyle w:val="001000000000" w:firstRow="0" w:lastRow="0" w:firstColumn="1" w:lastColumn="0" w:oddVBand="0" w:evenVBand="0" w:oddHBand="0" w:evenHBand="0" w:firstRowFirstColumn="0" w:firstRowLastColumn="0" w:lastRowFirstColumn="0" w:lastRowLastColumn="0"/>
            <w:tcW w:w="5529" w:type="dxa"/>
          </w:tcPr>
          <w:p w14:paraId="266BF2B4" w14:textId="77777777" w:rsidR="00697978" w:rsidRPr="00652C2C" w:rsidRDefault="00697978" w:rsidP="006963B6">
            <w:r w:rsidRPr="00652C2C">
              <w:t>SAE or AE leading to discontinuation of study drug</w:t>
            </w:r>
          </w:p>
        </w:tc>
        <w:tc>
          <w:tcPr>
            <w:tcW w:w="992" w:type="dxa"/>
          </w:tcPr>
          <w:p w14:paraId="164AB6B7"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pPr>
            <w:r w:rsidRPr="00965819">
              <w:rPr>
                <w:szCs w:val="24"/>
              </w:rPr>
              <w:t>5</w:t>
            </w:r>
          </w:p>
        </w:tc>
        <w:tc>
          <w:tcPr>
            <w:tcW w:w="992" w:type="dxa"/>
          </w:tcPr>
          <w:p w14:paraId="4B5048DC" w14:textId="77777777" w:rsidR="00697978" w:rsidRPr="00965819" w:rsidRDefault="00697978" w:rsidP="006963B6">
            <w:pPr>
              <w:cnfStyle w:val="000000000000" w:firstRow="0" w:lastRow="0" w:firstColumn="0" w:lastColumn="0" w:oddVBand="0" w:evenVBand="0" w:oddHBand="0" w:evenHBand="0" w:firstRowFirstColumn="0" w:firstRowLastColumn="0" w:lastRowFirstColumn="0" w:lastRowLastColumn="0"/>
              <w:rPr>
                <w:szCs w:val="24"/>
              </w:rPr>
            </w:pPr>
            <w:r w:rsidRPr="00965819">
              <w:rPr>
                <w:szCs w:val="24"/>
              </w:rPr>
              <w:t>8.5</w:t>
            </w:r>
          </w:p>
        </w:tc>
      </w:tr>
    </w:tbl>
    <w:p w14:paraId="6563424A" w14:textId="1789287E" w:rsidR="00697978" w:rsidRPr="00652C2C" w:rsidRDefault="00697978" w:rsidP="006963B6">
      <w:pPr>
        <w:pStyle w:val="TableDescription"/>
      </w:pPr>
      <w:bookmarkStart w:id="187" w:name="_Toc266446514"/>
      <w:r w:rsidRPr="00652C2C">
        <w:t xml:space="preserve">* </w:t>
      </w:r>
      <w:r>
        <w:t>Occurring in a patient</w:t>
      </w:r>
      <w:r w:rsidRPr="00652C2C">
        <w:t xml:space="preserve"> at least </w:t>
      </w:r>
      <w:r>
        <w:t xml:space="preserve">once; † </w:t>
      </w:r>
      <w:r w:rsidRPr="00343959">
        <w:t>AEs beginning within 24 after infusion.</w:t>
      </w:r>
      <w:r w:rsidRPr="00343959">
        <w:br/>
        <w:t>AE = adverse event; SAE = serious adverse event.</w:t>
      </w:r>
    </w:p>
    <w:p w14:paraId="5F278BEA" w14:textId="77777777" w:rsidR="000F04AF" w:rsidRDefault="006D35A0" w:rsidP="008A6C35">
      <w:pPr>
        <w:pStyle w:val="Heading5"/>
      </w:pPr>
      <w:r w:rsidRPr="00666C70">
        <w:lastRenderedPageBreak/>
        <w:t>Adverse events (irrespective of relationship to treatment)</w:t>
      </w:r>
      <w:bookmarkEnd w:id="187"/>
    </w:p>
    <w:p w14:paraId="36BA0776" w14:textId="77777777" w:rsidR="000F04AF" w:rsidRDefault="006D35A0" w:rsidP="006D35A0">
      <w:r w:rsidRPr="00750905">
        <w:t xml:space="preserve">SOCs </w:t>
      </w:r>
      <w:r>
        <w:t>including</w:t>
      </w:r>
      <w:r w:rsidRPr="00750905">
        <w:t xml:space="preserve"> more tha</w:t>
      </w:r>
      <w:r w:rsidR="000B052C">
        <w:t>n</w:t>
      </w:r>
      <w:r w:rsidRPr="00750905">
        <w:t xml:space="preserve"> </w:t>
      </w:r>
      <w:r>
        <w:t xml:space="preserve">1 </w:t>
      </w:r>
      <w:r w:rsidRPr="00750905">
        <w:t xml:space="preserve">patient with an AE in descending order of frequency </w:t>
      </w:r>
      <w:r>
        <w:t xml:space="preserve">in the safety population were: </w:t>
      </w:r>
      <w:r w:rsidRPr="00750905">
        <w:t>"infections and infestations" (20/</w:t>
      </w:r>
      <w:r>
        <w:t>59</w:t>
      </w:r>
      <w:r w:rsidRPr="00750905">
        <w:t>, 33.9%); "injury, poisoning, procedural complications" (14/</w:t>
      </w:r>
      <w:r>
        <w:t xml:space="preserve">59, </w:t>
      </w:r>
      <w:r w:rsidRPr="00750905">
        <w:t>23.7%); "general disorders and administration site conditions" (7/</w:t>
      </w:r>
      <w:r>
        <w:t>59</w:t>
      </w:r>
      <w:r w:rsidRPr="00750905">
        <w:t>, 11.9%); "respiratory, thoracic, and mediastinal disorders" (6/</w:t>
      </w:r>
      <w:r>
        <w:t>59</w:t>
      </w:r>
      <w:r w:rsidRPr="00750905">
        <w:t>, 10.2%); "skin and subcutaneous tissue disorders" (6/</w:t>
      </w:r>
      <w:r>
        <w:t>59</w:t>
      </w:r>
      <w:r w:rsidRPr="00750905">
        <w:t>, 10.2%); "musculoskeletal and connective tissue disorders" (5/</w:t>
      </w:r>
      <w:r>
        <w:t>59</w:t>
      </w:r>
      <w:r w:rsidRPr="00750905">
        <w:t>, 8.5%); and "nervous system disorders" (4/</w:t>
      </w:r>
      <w:r>
        <w:t>59</w:t>
      </w:r>
      <w:r w:rsidRPr="00750905">
        <w:t>, 6.8%).</w:t>
      </w:r>
    </w:p>
    <w:p w14:paraId="612DBEFD" w14:textId="77777777" w:rsidR="000F04AF" w:rsidRDefault="006D35A0" w:rsidP="006D35A0">
      <w:pPr>
        <w:widowControl w:val="0"/>
        <w:autoSpaceDE w:val="0"/>
        <w:autoSpaceDN w:val="0"/>
        <w:adjustRightInd w:val="0"/>
        <w:rPr>
          <w:rFonts w:cs="Times"/>
        </w:rPr>
      </w:pPr>
      <w:r w:rsidRPr="00750905">
        <w:t xml:space="preserve">Of the 124 AEs, 99 (79.8%) were mild and the remaining 25 (20.2%) were moderate, and no severe AEs were reported. AEs (preferred term) occurring in ≥ 1 patient in the safety population (n=59) in descending order of frequency were: nasopharyngitis (6, 10.2%); rhinitis (6, 10.2%); pyrexia (5, 8.5%); injury (5, 8.5%); cough (5, 8.5%); chills (4, 6.8%); headache (4, 6.8%); rash (4, 6.8%); varicella (3, 5.1%); head injury (3, 5.1%); bronchitis (2, 3.4%); ear infection (2, 3.4%); otitis media (2, 3.4%); pharyngitis (2, 3.4%); tonsillitis (2, 3.4%); upper RTI (2, 3.4%); joint injury (2, 3.4%); limb injury (2, 3.4%); arthralgia (2, 3.4%); back pain (2, 3.4%); and pain in extremity (2, 3.4%). Examination of the 39 AEs reported only once did not identify any unusual or unexpected events </w:t>
      </w:r>
      <w:r>
        <w:t xml:space="preserve">in the safety population. There was 1 case of allergic oedema. </w:t>
      </w:r>
      <w:r>
        <w:rPr>
          <w:rFonts w:cs="Times"/>
        </w:rPr>
        <w:t xml:space="preserve">There were no hypersensitivity reactions. </w:t>
      </w:r>
      <w:r w:rsidRPr="00C374A2">
        <w:rPr>
          <w:rFonts w:cs="Times"/>
        </w:rPr>
        <w:t>There we</w:t>
      </w:r>
      <w:r>
        <w:rPr>
          <w:rFonts w:cs="Times"/>
        </w:rPr>
        <w:t>re no thromboembolic events</w:t>
      </w:r>
      <w:r w:rsidR="000F04AF">
        <w:rPr>
          <w:rFonts w:cs="Times"/>
        </w:rPr>
        <w:t>.</w:t>
      </w:r>
    </w:p>
    <w:p w14:paraId="1643EFF7" w14:textId="34F61FC6" w:rsidR="006D35A0" w:rsidRPr="00EA7B2A" w:rsidRDefault="006D35A0" w:rsidP="006D35A0">
      <w:pPr>
        <w:widowControl w:val="0"/>
        <w:autoSpaceDE w:val="0"/>
        <w:autoSpaceDN w:val="0"/>
        <w:adjustRightInd w:val="0"/>
        <w:rPr>
          <w:rFonts w:cs="Times"/>
        </w:rPr>
      </w:pPr>
      <w:r>
        <w:t xml:space="preserve">AEs typical of patients with </w:t>
      </w:r>
      <w:r w:rsidRPr="00750905">
        <w:t>haemophilia A (</w:t>
      </w:r>
      <w:r w:rsidR="001A2E59">
        <w:t>for example,</w:t>
      </w:r>
      <w:r w:rsidRPr="00750905">
        <w:t xml:space="preserve"> haemarthrosis) were rare, which is in agreement with the relatively good joint status in the enrolled patients as evidenced by their HJHS. All AEs resolved without sequelae, except for 4 AEs occurring in 1 patient </w:t>
      </w:r>
      <w:r>
        <w:t xml:space="preserve">each </w:t>
      </w:r>
      <w:r w:rsidRPr="00750905">
        <w:t>that were classified as resolving/no</w:t>
      </w:r>
      <w:r>
        <w:t xml:space="preserve">t resolved (1 x varicella, 1 x </w:t>
      </w:r>
      <w:r w:rsidRPr="00750905">
        <w:t>catheter pain, 1 x asthma, 1 x dry skin) and 1 AE of worsening of chronic cough that had been present at screening.</w:t>
      </w:r>
    </w:p>
    <w:p w14:paraId="6A64D166" w14:textId="77777777" w:rsidR="000F04AF" w:rsidRDefault="006D35A0" w:rsidP="006D35A0">
      <w:r w:rsidRPr="00750905">
        <w:t>Thirty-three (33) pati</w:t>
      </w:r>
      <w:r>
        <w:t>ents experienced 78 AEs (62.9%) that</w:t>
      </w:r>
      <w:r w:rsidRPr="00750905">
        <w:t xml:space="preserve"> occurred within 24 h</w:t>
      </w:r>
      <w:r>
        <w:t>ours of 73 infusions (</w:t>
      </w:r>
      <w:r w:rsidR="001A2E59">
        <w:t>that is,</w:t>
      </w:r>
      <w:r>
        <w:t xml:space="preserve"> temporally related)</w:t>
      </w:r>
      <w:r w:rsidRPr="00750905">
        <w:t xml:space="preserve">. However, this finding </w:t>
      </w:r>
      <w:r>
        <w:t>was</w:t>
      </w:r>
      <w:r w:rsidRPr="00750905">
        <w:t xml:space="preserve"> not unexpected as the prophylaxis schedule stipulated </w:t>
      </w:r>
      <w:r>
        <w:t xml:space="preserve">that </w:t>
      </w:r>
      <w:r w:rsidRPr="00750905">
        <w:t xml:space="preserve">infusions </w:t>
      </w:r>
      <w:r>
        <w:t xml:space="preserve">be administered </w:t>
      </w:r>
      <w:r w:rsidRPr="00750905">
        <w:t>every other day or 3 t</w:t>
      </w:r>
      <w:r>
        <w:t xml:space="preserve">imes a week. Therefore, all AEs </w:t>
      </w:r>
      <w:r w:rsidRPr="00750905">
        <w:t>had a</w:t>
      </w:r>
      <w:r>
        <w:t xml:space="preserve">n </w:t>
      </w:r>
      <w:r w:rsidRPr="00750905">
        <w:t xml:space="preserve">approximately 50% </w:t>
      </w:r>
      <w:r>
        <w:t xml:space="preserve">chance </w:t>
      </w:r>
      <w:r w:rsidRPr="00750905">
        <w:t xml:space="preserve">of beginning within 24 hours of an infusion. Out of the 78 temporally related AEs, 73 (93.6%) were deemed unrelated to </w:t>
      </w:r>
      <w:r>
        <w:t>simoctocog alfa</w:t>
      </w:r>
      <w:r w:rsidRPr="00750905">
        <w:t xml:space="preserve">, 4 (5.1%) were deemed unlikely </w:t>
      </w:r>
      <w:r>
        <w:t xml:space="preserve">to be related </w:t>
      </w:r>
      <w:r w:rsidRPr="00750905">
        <w:t>and 1 (1.3%) [</w:t>
      </w:r>
      <w:proofErr w:type="gramStart"/>
      <w:r w:rsidRPr="00750905">
        <w:t>mild</w:t>
      </w:r>
      <w:proofErr w:type="gramEnd"/>
      <w:r w:rsidRPr="00750905">
        <w:t xml:space="preserve"> back pain] was deemed possibly related.</w:t>
      </w:r>
    </w:p>
    <w:p w14:paraId="5037AF03" w14:textId="58A26E0D" w:rsidR="006D35A0" w:rsidRPr="009B6BC9" w:rsidRDefault="006D35A0" w:rsidP="000D66B4">
      <w:pPr>
        <w:pStyle w:val="Heading5"/>
      </w:pPr>
      <w:bookmarkStart w:id="188" w:name="_Toc266446515"/>
      <w:r w:rsidRPr="009B6BC9">
        <w:t>Treatment-related adverse events (adverse drug reactions)</w:t>
      </w:r>
      <w:bookmarkEnd w:id="188"/>
    </w:p>
    <w:p w14:paraId="09EDFE97" w14:textId="77777777" w:rsidR="000F04AF" w:rsidRDefault="006D35A0" w:rsidP="006D35A0">
      <w:pPr>
        <w:rPr>
          <w:rFonts w:eastAsia="Times New Roman" w:cs="Times"/>
          <w:iCs/>
          <w:lang w:eastAsia="en-AU"/>
        </w:rPr>
      </w:pPr>
      <w:r>
        <w:t xml:space="preserve">Two (2) </w:t>
      </w:r>
      <w:r w:rsidRPr="00BB0228">
        <w:t xml:space="preserve">treatment-related AEs were reported in two patients. One (1) patient </w:t>
      </w:r>
      <w:r w:rsidR="000D66B4">
        <w:t>[information redacted]</w:t>
      </w:r>
      <w:r>
        <w:t xml:space="preserve"> </w:t>
      </w:r>
      <w:r w:rsidRPr="00BB0228">
        <w:t xml:space="preserve">experienced one possible treatment-related AE of back pain (mild intensity) after 2 EDs to </w:t>
      </w:r>
      <w:r>
        <w:t>simoctocog alfa</w:t>
      </w:r>
      <w:r w:rsidRPr="00BB0228">
        <w:t xml:space="preserve">, and one (1) patient </w:t>
      </w:r>
      <w:r w:rsidR="000D66B4">
        <w:t>[information redacted]</w:t>
      </w:r>
      <w:r w:rsidRPr="00BB0228">
        <w:t xml:space="preserve">experienced one possible treatment-related AE of headache (mild intensity) after 4 EDs </w:t>
      </w:r>
      <w:r>
        <w:t>to</w:t>
      </w:r>
      <w:r w:rsidRPr="00BB0228">
        <w:t xml:space="preserve"> </w:t>
      </w:r>
      <w:r>
        <w:t>simoctocog alfa</w:t>
      </w:r>
      <w:r w:rsidRPr="00BB0228">
        <w:t xml:space="preserve">. Both treatment-related AEs were reported to have resolved. </w:t>
      </w:r>
      <w:r>
        <w:t>As discussed in the review of AEs occurring in the total safety population, the IDMC identified 6 additional AEs in 5 patients in GENA-03 as being</w:t>
      </w:r>
      <w:r>
        <w:rPr>
          <w:rFonts w:eastAsia="Times New Roman"/>
          <w:lang w:eastAsia="en-AU"/>
        </w:rPr>
        <w:t xml:space="preserve"> </w:t>
      </w:r>
      <w:r w:rsidRPr="00BB0228">
        <w:rPr>
          <w:rFonts w:eastAsia="Times New Roman"/>
          <w:lang w:eastAsia="en-AU"/>
        </w:rPr>
        <w:t xml:space="preserve">“possibly related” </w:t>
      </w:r>
      <w:r>
        <w:rPr>
          <w:rFonts w:eastAsia="Times New Roman"/>
          <w:lang w:eastAsia="en-AU"/>
        </w:rPr>
        <w:t xml:space="preserve">to simoctocog alfa </w:t>
      </w:r>
      <w:r w:rsidRPr="00BB0228">
        <w:rPr>
          <w:rFonts w:eastAsia="Times New Roman" w:cs="Times"/>
          <w:iCs/>
          <w:lang w:eastAsia="en-AU"/>
        </w:rPr>
        <w:t>(see Table</w:t>
      </w:r>
      <w:r>
        <w:rPr>
          <w:rFonts w:eastAsia="Times New Roman" w:cs="Times"/>
          <w:iCs/>
          <w:lang w:eastAsia="en-AU"/>
        </w:rPr>
        <w:t xml:space="preserve"> 5</w:t>
      </w:r>
      <w:r w:rsidR="00F04577">
        <w:rPr>
          <w:rFonts w:eastAsia="Times New Roman" w:cs="Times"/>
          <w:iCs/>
          <w:lang w:eastAsia="en-AU"/>
        </w:rPr>
        <w:t>4</w:t>
      </w:r>
      <w:r w:rsidRPr="00BB0228">
        <w:rPr>
          <w:rFonts w:eastAsia="Times New Roman" w:cs="Times"/>
          <w:iCs/>
          <w:lang w:eastAsia="en-AU"/>
        </w:rPr>
        <w:t>, below).</w:t>
      </w:r>
      <w:r>
        <w:rPr>
          <w:rFonts w:eastAsia="Times New Roman" w:cs="Times"/>
          <w:iCs/>
          <w:lang w:eastAsia="en-AU"/>
        </w:rPr>
        <w:t xml:space="preserve"> Therefore, 7 (11.9%) patients in the study experienced 8 (6.5%) events considered to be possibly related to simoctocog alfa as judged by investigators and/or the IDMC.</w:t>
      </w:r>
    </w:p>
    <w:p w14:paraId="1354E6D3" w14:textId="3D49E7D2" w:rsidR="00697978" w:rsidRDefault="006D35A0" w:rsidP="006963B6">
      <w:pPr>
        <w:pStyle w:val="Tabletitle"/>
        <w:pageBreakBefore/>
        <w:rPr>
          <w:lang w:eastAsia="en-AU"/>
        </w:rPr>
      </w:pPr>
      <w:bookmarkStart w:id="189" w:name="_Toc248202573"/>
      <w:r>
        <w:lastRenderedPageBreak/>
        <w:t xml:space="preserve">Table </w:t>
      </w:r>
      <w:r w:rsidR="000A1340">
        <w:t>5</w:t>
      </w:r>
      <w:r w:rsidR="00F04577">
        <w:t>4</w:t>
      </w:r>
      <w:r>
        <w:t xml:space="preserve">: </w:t>
      </w:r>
      <w:r>
        <w:rPr>
          <w:lang w:eastAsia="en-AU"/>
        </w:rPr>
        <w:t>GENA-03 - Additional AEs considered by IDMC assessment to be possibly or probably related to treatment.</w:t>
      </w:r>
      <w:bookmarkEnd w:id="189"/>
    </w:p>
    <w:tbl>
      <w:tblPr>
        <w:tblStyle w:val="TableTGAblue"/>
        <w:tblW w:w="8104" w:type="dxa"/>
        <w:tblLayout w:type="fixed"/>
        <w:tblLook w:val="04A0" w:firstRow="1" w:lastRow="0" w:firstColumn="1" w:lastColumn="0" w:noHBand="0" w:noVBand="1"/>
      </w:tblPr>
      <w:tblGrid>
        <w:gridCol w:w="1242"/>
        <w:gridCol w:w="1134"/>
        <w:gridCol w:w="1276"/>
        <w:gridCol w:w="1418"/>
        <w:gridCol w:w="1451"/>
        <w:gridCol w:w="1583"/>
      </w:tblGrid>
      <w:tr w:rsidR="00697978" w:rsidRPr="008F38DE" w14:paraId="307363CF" w14:textId="77777777" w:rsidTr="00696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3B27D830" w14:textId="77777777" w:rsidR="00697978" w:rsidRPr="008F38DE" w:rsidRDefault="00697978" w:rsidP="006963B6">
            <w:pPr>
              <w:ind w:left="0"/>
              <w:rPr>
                <w:rFonts w:asciiTheme="minorHAnsi" w:hAnsiTheme="minorHAnsi"/>
              </w:rPr>
            </w:pPr>
            <w:r w:rsidRPr="008F38DE">
              <w:t>Date</w:t>
            </w:r>
          </w:p>
        </w:tc>
        <w:tc>
          <w:tcPr>
            <w:tcW w:w="1134" w:type="dxa"/>
          </w:tcPr>
          <w:p w14:paraId="029D8860" w14:textId="77777777" w:rsidR="00697978" w:rsidRPr="008F38DE" w:rsidRDefault="00697978" w:rsidP="006963B6">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F38DE">
              <w:t>AE</w:t>
            </w:r>
          </w:p>
        </w:tc>
        <w:tc>
          <w:tcPr>
            <w:tcW w:w="1276" w:type="dxa"/>
          </w:tcPr>
          <w:p w14:paraId="708583AB" w14:textId="4CC85AA2" w:rsidR="00697978" w:rsidRPr="008F38DE" w:rsidRDefault="00697978" w:rsidP="006963B6">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F38DE">
              <w:t>SAE</w:t>
            </w:r>
            <w:r w:rsidR="006963B6">
              <w:t xml:space="preserve"> </w:t>
            </w:r>
            <w:r>
              <w:t>Yes/No</w:t>
            </w:r>
          </w:p>
        </w:tc>
        <w:tc>
          <w:tcPr>
            <w:tcW w:w="1418" w:type="dxa"/>
          </w:tcPr>
          <w:p w14:paraId="4D192B30" w14:textId="77777777" w:rsidR="00697978" w:rsidRPr="008F38DE" w:rsidRDefault="00697978" w:rsidP="006963B6">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Intensity</w:t>
            </w:r>
          </w:p>
        </w:tc>
        <w:tc>
          <w:tcPr>
            <w:tcW w:w="1451" w:type="dxa"/>
          </w:tcPr>
          <w:p w14:paraId="599AA8C7" w14:textId="15F74C04" w:rsidR="00697978" w:rsidRPr="008F38DE" w:rsidRDefault="00697978" w:rsidP="006963B6">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t>Resolved</w:t>
            </w:r>
            <w:r w:rsidR="006963B6">
              <w:t xml:space="preserve"> </w:t>
            </w:r>
            <w:r>
              <w:t>Yes/No</w:t>
            </w:r>
          </w:p>
        </w:tc>
        <w:tc>
          <w:tcPr>
            <w:tcW w:w="1583" w:type="dxa"/>
          </w:tcPr>
          <w:p w14:paraId="1D49BA0E" w14:textId="77777777" w:rsidR="00697978" w:rsidRPr="008F38DE" w:rsidRDefault="00697978" w:rsidP="006963B6">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t>Causality*</w:t>
            </w:r>
          </w:p>
        </w:tc>
      </w:tr>
      <w:tr w:rsidR="00697978" w:rsidRPr="008F38DE" w14:paraId="4F50C428"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55C8C2EE" w14:textId="77777777" w:rsidR="00697978" w:rsidRPr="008F38DE" w:rsidRDefault="00697978" w:rsidP="006963B6">
            <w:pPr>
              <w:ind w:left="0"/>
              <w:rPr>
                <w:rFonts w:asciiTheme="minorHAnsi" w:hAnsiTheme="minorHAnsi"/>
              </w:rPr>
            </w:pPr>
            <w:r w:rsidRPr="008F38DE">
              <w:t>18-Jan-</w:t>
            </w:r>
            <w:r>
              <w:t>20</w:t>
            </w:r>
            <w:r w:rsidRPr="008F38DE">
              <w:t>12</w:t>
            </w:r>
          </w:p>
        </w:tc>
        <w:tc>
          <w:tcPr>
            <w:tcW w:w="1134" w:type="dxa"/>
          </w:tcPr>
          <w:p w14:paraId="11EB1049"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Chills</w:t>
            </w:r>
          </w:p>
        </w:tc>
        <w:tc>
          <w:tcPr>
            <w:tcW w:w="1276" w:type="dxa"/>
          </w:tcPr>
          <w:p w14:paraId="01DC829C"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038B561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Mild</w:t>
            </w:r>
          </w:p>
        </w:tc>
        <w:tc>
          <w:tcPr>
            <w:tcW w:w="1451" w:type="dxa"/>
          </w:tcPr>
          <w:p w14:paraId="13728BC6"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2C68E61D"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r w:rsidR="00697978" w:rsidRPr="008F38DE" w14:paraId="66452721"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68821E04" w14:textId="77777777" w:rsidR="00697978" w:rsidRPr="008F38DE" w:rsidRDefault="00697978" w:rsidP="006963B6">
            <w:pPr>
              <w:ind w:left="0"/>
              <w:rPr>
                <w:rFonts w:asciiTheme="minorHAnsi" w:hAnsiTheme="minorHAnsi"/>
              </w:rPr>
            </w:pPr>
            <w:r w:rsidRPr="008F38DE">
              <w:t>22-Jun-</w:t>
            </w:r>
            <w:r>
              <w:t>20</w:t>
            </w:r>
            <w:r w:rsidRPr="008F38DE">
              <w:t>12</w:t>
            </w:r>
          </w:p>
        </w:tc>
        <w:tc>
          <w:tcPr>
            <w:tcW w:w="1134" w:type="dxa"/>
          </w:tcPr>
          <w:p w14:paraId="62C65BC3"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Rash</w:t>
            </w:r>
          </w:p>
        </w:tc>
        <w:tc>
          <w:tcPr>
            <w:tcW w:w="1276" w:type="dxa"/>
          </w:tcPr>
          <w:p w14:paraId="6EBB3FA6"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2085AE2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Mild</w:t>
            </w:r>
          </w:p>
        </w:tc>
        <w:tc>
          <w:tcPr>
            <w:tcW w:w="1451" w:type="dxa"/>
          </w:tcPr>
          <w:p w14:paraId="4376E8E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43D1E4D9"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r w:rsidR="00697978" w:rsidRPr="008F38DE" w14:paraId="52D2636E"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05FB1614" w14:textId="77777777" w:rsidR="00697978" w:rsidRPr="008F38DE" w:rsidRDefault="00697978" w:rsidP="006963B6">
            <w:pPr>
              <w:ind w:left="0"/>
              <w:rPr>
                <w:rFonts w:asciiTheme="minorHAnsi" w:hAnsiTheme="minorHAnsi"/>
              </w:rPr>
            </w:pPr>
            <w:r w:rsidRPr="008F38DE">
              <w:t>20-Jun-</w:t>
            </w:r>
            <w:r>
              <w:t>20</w:t>
            </w:r>
            <w:r w:rsidRPr="008F38DE">
              <w:t>11</w:t>
            </w:r>
          </w:p>
        </w:tc>
        <w:tc>
          <w:tcPr>
            <w:tcW w:w="1134" w:type="dxa"/>
          </w:tcPr>
          <w:p w14:paraId="0C8A9EC3"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Chills</w:t>
            </w:r>
          </w:p>
        </w:tc>
        <w:tc>
          <w:tcPr>
            <w:tcW w:w="1276" w:type="dxa"/>
          </w:tcPr>
          <w:p w14:paraId="3CF959BC"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44F4524B"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Moderate</w:t>
            </w:r>
          </w:p>
        </w:tc>
        <w:tc>
          <w:tcPr>
            <w:tcW w:w="1451" w:type="dxa"/>
          </w:tcPr>
          <w:p w14:paraId="6C05EEA5"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3AA12342"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r w:rsidR="00697978" w:rsidRPr="008F38DE" w14:paraId="792C62C2"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6C3D6599" w14:textId="77777777" w:rsidR="00697978" w:rsidRPr="008F38DE" w:rsidRDefault="00697978" w:rsidP="006963B6">
            <w:pPr>
              <w:ind w:left="0"/>
              <w:rPr>
                <w:rFonts w:asciiTheme="minorHAnsi" w:hAnsiTheme="minorHAnsi"/>
              </w:rPr>
            </w:pPr>
            <w:r w:rsidRPr="008F38DE">
              <w:t>21-Apr-</w:t>
            </w:r>
            <w:r>
              <w:t>20</w:t>
            </w:r>
            <w:r w:rsidRPr="008F38DE">
              <w:t>12</w:t>
            </w:r>
          </w:p>
        </w:tc>
        <w:tc>
          <w:tcPr>
            <w:tcW w:w="1134" w:type="dxa"/>
          </w:tcPr>
          <w:p w14:paraId="0A6F9B57"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Chills</w:t>
            </w:r>
          </w:p>
        </w:tc>
        <w:tc>
          <w:tcPr>
            <w:tcW w:w="1276" w:type="dxa"/>
          </w:tcPr>
          <w:p w14:paraId="76A71CB6"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0405769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Moderate</w:t>
            </w:r>
          </w:p>
        </w:tc>
        <w:tc>
          <w:tcPr>
            <w:tcW w:w="1451" w:type="dxa"/>
          </w:tcPr>
          <w:p w14:paraId="60A35E16"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765D6D05"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r w:rsidR="00697978" w:rsidRPr="008F38DE" w14:paraId="2AFCD8E2"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36D595C0" w14:textId="77777777" w:rsidR="00697978" w:rsidRPr="008F38DE" w:rsidRDefault="00697978" w:rsidP="006963B6">
            <w:pPr>
              <w:ind w:left="0"/>
              <w:rPr>
                <w:rFonts w:asciiTheme="minorHAnsi" w:hAnsiTheme="minorHAnsi"/>
              </w:rPr>
            </w:pPr>
            <w:r w:rsidRPr="008F38DE">
              <w:t>19-Aug-</w:t>
            </w:r>
            <w:r>
              <w:t>20</w:t>
            </w:r>
            <w:r w:rsidRPr="008F38DE">
              <w:t>11</w:t>
            </w:r>
          </w:p>
        </w:tc>
        <w:tc>
          <w:tcPr>
            <w:tcW w:w="1134" w:type="dxa"/>
          </w:tcPr>
          <w:p w14:paraId="3ADEC88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Rash</w:t>
            </w:r>
          </w:p>
        </w:tc>
        <w:tc>
          <w:tcPr>
            <w:tcW w:w="1276" w:type="dxa"/>
          </w:tcPr>
          <w:p w14:paraId="0FBFE4D2"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4FBA16D8"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Mild</w:t>
            </w:r>
          </w:p>
        </w:tc>
        <w:tc>
          <w:tcPr>
            <w:tcW w:w="1451" w:type="dxa"/>
          </w:tcPr>
          <w:p w14:paraId="310B2C0B"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14A57817"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r w:rsidR="00697978" w:rsidRPr="008F38DE" w14:paraId="4327A466" w14:textId="77777777" w:rsidTr="006963B6">
        <w:tc>
          <w:tcPr>
            <w:cnfStyle w:val="001000000000" w:firstRow="0" w:lastRow="0" w:firstColumn="1" w:lastColumn="0" w:oddVBand="0" w:evenVBand="0" w:oddHBand="0" w:evenHBand="0" w:firstRowFirstColumn="0" w:firstRowLastColumn="0" w:lastRowFirstColumn="0" w:lastRowLastColumn="0"/>
            <w:tcW w:w="1242" w:type="dxa"/>
          </w:tcPr>
          <w:p w14:paraId="4119175D" w14:textId="77777777" w:rsidR="00697978" w:rsidRPr="008F38DE" w:rsidRDefault="00697978" w:rsidP="006963B6">
            <w:pPr>
              <w:ind w:left="0"/>
              <w:rPr>
                <w:rFonts w:asciiTheme="minorHAnsi" w:hAnsiTheme="minorHAnsi"/>
              </w:rPr>
            </w:pPr>
            <w:r w:rsidRPr="008F38DE">
              <w:t>19-Dec-</w:t>
            </w:r>
            <w:r>
              <w:t>20</w:t>
            </w:r>
            <w:r w:rsidRPr="008F38DE">
              <w:t>11</w:t>
            </w:r>
          </w:p>
        </w:tc>
        <w:tc>
          <w:tcPr>
            <w:tcW w:w="1134" w:type="dxa"/>
          </w:tcPr>
          <w:p w14:paraId="7AA22CA3"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Rash</w:t>
            </w:r>
          </w:p>
        </w:tc>
        <w:tc>
          <w:tcPr>
            <w:tcW w:w="1276" w:type="dxa"/>
          </w:tcPr>
          <w:p w14:paraId="3A9771F6"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rPr>
                <w:rFonts w:asciiTheme="minorHAnsi" w:hAnsiTheme="minorHAnsi"/>
              </w:rPr>
              <w:t>No</w:t>
            </w:r>
          </w:p>
        </w:tc>
        <w:tc>
          <w:tcPr>
            <w:tcW w:w="1418" w:type="dxa"/>
          </w:tcPr>
          <w:p w14:paraId="5EFBB0E0"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Mild</w:t>
            </w:r>
          </w:p>
        </w:tc>
        <w:tc>
          <w:tcPr>
            <w:tcW w:w="1451" w:type="dxa"/>
          </w:tcPr>
          <w:p w14:paraId="78BD584A"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Yes</w:t>
            </w:r>
          </w:p>
        </w:tc>
        <w:tc>
          <w:tcPr>
            <w:tcW w:w="1583" w:type="dxa"/>
          </w:tcPr>
          <w:p w14:paraId="12F103B3" w14:textId="77777777" w:rsidR="00697978" w:rsidRPr="008F38DE" w:rsidRDefault="00697978" w:rsidP="006963B6">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38DE">
              <w:t>Possible</w:t>
            </w:r>
          </w:p>
        </w:tc>
      </w:tr>
    </w:tbl>
    <w:p w14:paraId="62DAA3A3" w14:textId="2790FEE2" w:rsidR="006D35A0" w:rsidRPr="007B164D" w:rsidRDefault="006D35A0" w:rsidP="006963B6">
      <w:pPr>
        <w:pStyle w:val="TableDescription"/>
        <w:rPr>
          <w:lang w:eastAsia="en-AU"/>
        </w:rPr>
      </w:pPr>
      <w:r w:rsidRPr="00200F8D">
        <w:rPr>
          <w:lang w:eastAsia="en-AU"/>
        </w:rPr>
        <w:t>† All AEs were judged as unrelated by the Investigator</w:t>
      </w:r>
      <w:r>
        <w:rPr>
          <w:lang w:eastAsia="en-AU"/>
        </w:rPr>
        <w:t>, but possibly related by the IDMC</w:t>
      </w:r>
      <w:r w:rsidR="005D0F4D" w:rsidRPr="00200F8D">
        <w:rPr>
          <w:lang w:eastAsia="en-AU"/>
        </w:rPr>
        <w:t>.</w:t>
      </w:r>
      <w:r w:rsidR="005D0F4D">
        <w:rPr>
          <w:lang w:eastAsia="en-AU"/>
        </w:rPr>
        <w:t xml:space="preserve"> </w:t>
      </w:r>
      <w:r w:rsidRPr="00200F8D">
        <w:rPr>
          <w:lang w:eastAsia="en-AU"/>
        </w:rPr>
        <w:t>AE = adverse event; IDMC = independent drug monitoring committee; SAE = serious adverse event.</w:t>
      </w:r>
    </w:p>
    <w:p w14:paraId="78C48219" w14:textId="77777777" w:rsidR="006D35A0" w:rsidRPr="009B6BC9" w:rsidRDefault="006D35A0" w:rsidP="000D66B4">
      <w:pPr>
        <w:pStyle w:val="Heading4"/>
      </w:pPr>
      <w:bookmarkStart w:id="190" w:name="_Toc266446516"/>
      <w:r w:rsidRPr="009B6BC9">
        <w:t>Deaths and other serious adverse events (SAEs)</w:t>
      </w:r>
      <w:bookmarkEnd w:id="190"/>
    </w:p>
    <w:p w14:paraId="35C9D792" w14:textId="77777777" w:rsidR="000F04AF" w:rsidRDefault="006D35A0" w:rsidP="000D66B4">
      <w:pPr>
        <w:pStyle w:val="Heading5"/>
      </w:pPr>
      <w:bookmarkStart w:id="191" w:name="_Toc266446517"/>
      <w:r w:rsidRPr="009B6BC9">
        <w:t>Deaths</w:t>
      </w:r>
      <w:bookmarkEnd w:id="191"/>
    </w:p>
    <w:p w14:paraId="473DE32B" w14:textId="77777777" w:rsidR="000F04AF" w:rsidRDefault="006D35A0" w:rsidP="006D35A0">
      <w:pPr>
        <w:widowControl w:val="0"/>
        <w:autoSpaceDE w:val="0"/>
        <w:autoSpaceDN w:val="0"/>
        <w:adjustRightInd w:val="0"/>
        <w:rPr>
          <w:rFonts w:eastAsia="Times New Roman" w:cs="Times"/>
          <w:lang w:eastAsia="en-AU"/>
        </w:rPr>
      </w:pPr>
      <w:r w:rsidRPr="00446619">
        <w:rPr>
          <w:rFonts w:eastAsia="Times New Roman" w:cs="Times"/>
          <w:lang w:eastAsia="en-AU"/>
        </w:rPr>
        <w:t>No deaths occurred during the study.</w:t>
      </w:r>
    </w:p>
    <w:p w14:paraId="74218CD2" w14:textId="1B5FDA14" w:rsidR="006D35A0" w:rsidRPr="009B6BC9" w:rsidRDefault="006D35A0" w:rsidP="000D66B4">
      <w:pPr>
        <w:pStyle w:val="Heading5"/>
      </w:pPr>
      <w:bookmarkStart w:id="192" w:name="_Toc266446518"/>
      <w:r w:rsidRPr="009B6BC9">
        <w:t>Other serious adverse events (SAEs)</w:t>
      </w:r>
      <w:bookmarkEnd w:id="192"/>
    </w:p>
    <w:p w14:paraId="4B48BC59" w14:textId="77777777" w:rsidR="000F04AF" w:rsidRDefault="006D35A0" w:rsidP="006D35A0">
      <w:pPr>
        <w:widowControl w:val="0"/>
        <w:autoSpaceDE w:val="0"/>
        <w:autoSpaceDN w:val="0"/>
        <w:adjustRightInd w:val="0"/>
        <w:rPr>
          <w:rFonts w:eastAsia="Times New Roman"/>
          <w:lang w:eastAsia="en-AU"/>
        </w:rPr>
      </w:pPr>
      <w:r w:rsidRPr="007B164D">
        <w:t xml:space="preserve">There were 7 SAEs in 5 patients (see Table </w:t>
      </w:r>
      <w:r>
        <w:t>5</w:t>
      </w:r>
      <w:r w:rsidR="00F04577">
        <w:t>5</w:t>
      </w:r>
      <w:r w:rsidRPr="007B164D">
        <w:t xml:space="preserve">, below). </w:t>
      </w:r>
      <w:r w:rsidRPr="007B164D">
        <w:rPr>
          <w:color w:val="000000"/>
        </w:rPr>
        <w:t>Of the 7 SAEs, 2 were mild and 5 were moderate</w:t>
      </w:r>
      <w:r>
        <w:rPr>
          <w:color w:val="000000"/>
        </w:rPr>
        <w:t xml:space="preserve"> in severity</w:t>
      </w:r>
      <w:r w:rsidRPr="007B164D">
        <w:rPr>
          <w:color w:val="000000"/>
        </w:rPr>
        <w:t xml:space="preserve">. The 7 events were rated as </w:t>
      </w:r>
      <w:r>
        <w:rPr>
          <w:color w:val="000000"/>
        </w:rPr>
        <w:t>serious</w:t>
      </w:r>
      <w:r w:rsidRPr="007B164D">
        <w:rPr>
          <w:color w:val="000000"/>
        </w:rPr>
        <w:t xml:space="preserve"> because each required hospitalisation. </w:t>
      </w:r>
      <w:r w:rsidRPr="007B164D">
        <w:rPr>
          <w:rFonts w:eastAsia="Times New Roman"/>
          <w:lang w:eastAsia="en-AU"/>
        </w:rPr>
        <w:t xml:space="preserve">All 5 patients remained in the </w:t>
      </w:r>
      <w:r>
        <w:rPr>
          <w:rFonts w:eastAsia="Times New Roman"/>
          <w:lang w:eastAsia="en-AU"/>
        </w:rPr>
        <w:t xml:space="preserve">study </w:t>
      </w:r>
      <w:r w:rsidRPr="007B164D">
        <w:rPr>
          <w:rFonts w:eastAsia="Times New Roman"/>
          <w:lang w:eastAsia="en-AU"/>
        </w:rPr>
        <w:t>and completed between 87 and 109 EDs (</w:t>
      </w:r>
      <w:r w:rsidR="001A2E59">
        <w:rPr>
          <w:rFonts w:eastAsia="Times New Roman"/>
          <w:lang w:eastAsia="en-AU"/>
        </w:rPr>
        <w:t>that is,</w:t>
      </w:r>
      <w:r w:rsidRPr="007B164D">
        <w:rPr>
          <w:rFonts w:eastAsia="Times New Roman"/>
          <w:lang w:eastAsia="en-AU"/>
        </w:rPr>
        <w:t xml:space="preserve"> each of them received at least 75 infusions after the onset of their respective SAEs).</w:t>
      </w:r>
    </w:p>
    <w:p w14:paraId="78ED0CFC" w14:textId="3761B27C" w:rsidR="00697978" w:rsidRDefault="006D35A0" w:rsidP="00D27D10">
      <w:pPr>
        <w:pStyle w:val="Tabletitle"/>
      </w:pPr>
      <w:bookmarkStart w:id="193" w:name="_Toc248202574"/>
      <w:r>
        <w:t xml:space="preserve">Table </w:t>
      </w:r>
      <w:r w:rsidR="000A1340">
        <w:t>5</w:t>
      </w:r>
      <w:r w:rsidR="00F04577">
        <w:t>5</w:t>
      </w:r>
      <w:r>
        <w:t>: GENA-03 - serious adverse events (SAEs).</w:t>
      </w:r>
      <w:bookmarkEnd w:id="193"/>
    </w:p>
    <w:tbl>
      <w:tblPr>
        <w:tblStyle w:val="TableTGAblue"/>
        <w:tblW w:w="0" w:type="auto"/>
        <w:tblLayout w:type="fixed"/>
        <w:tblLook w:val="04A0" w:firstRow="1" w:lastRow="0" w:firstColumn="1" w:lastColumn="0" w:noHBand="0" w:noVBand="1"/>
      </w:tblPr>
      <w:tblGrid>
        <w:gridCol w:w="959"/>
        <w:gridCol w:w="2693"/>
        <w:gridCol w:w="1985"/>
        <w:gridCol w:w="1559"/>
        <w:gridCol w:w="1333"/>
      </w:tblGrid>
      <w:tr w:rsidR="00697978" w:rsidRPr="005A77BA" w14:paraId="69757097" w14:textId="77777777" w:rsidTr="00696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39181FD3" w14:textId="77777777" w:rsidR="00697978" w:rsidRPr="005A77BA" w:rsidRDefault="00697978" w:rsidP="006963B6">
            <w:pPr>
              <w:ind w:left="0"/>
            </w:pPr>
            <w:r w:rsidRPr="005A77BA">
              <w:t>Age</w:t>
            </w:r>
            <w:r>
              <w:t>, years</w:t>
            </w:r>
          </w:p>
        </w:tc>
        <w:tc>
          <w:tcPr>
            <w:tcW w:w="2693" w:type="dxa"/>
          </w:tcPr>
          <w:p w14:paraId="6D89BA4A" w14:textId="77777777" w:rsidR="00697978" w:rsidRPr="005A77BA" w:rsidRDefault="00697978" w:rsidP="006963B6">
            <w:pPr>
              <w:ind w:left="0"/>
              <w:cnfStyle w:val="100000000000" w:firstRow="1" w:lastRow="0" w:firstColumn="0" w:lastColumn="0" w:oddVBand="0" w:evenVBand="0" w:oddHBand="0" w:evenHBand="0" w:firstRowFirstColumn="0" w:firstRowLastColumn="0" w:lastRowFirstColumn="0" w:lastRowLastColumn="0"/>
            </w:pPr>
            <w:r w:rsidRPr="005A77BA">
              <w:t>MedDRA PT</w:t>
            </w:r>
          </w:p>
        </w:tc>
        <w:tc>
          <w:tcPr>
            <w:tcW w:w="1985" w:type="dxa"/>
          </w:tcPr>
          <w:p w14:paraId="57BCA483" w14:textId="77777777" w:rsidR="00697978" w:rsidRPr="005A77BA" w:rsidRDefault="00697978" w:rsidP="006963B6">
            <w:pPr>
              <w:ind w:left="0"/>
              <w:cnfStyle w:val="100000000000" w:firstRow="1" w:lastRow="0" w:firstColumn="0" w:lastColumn="0" w:oddVBand="0" w:evenVBand="0" w:oddHBand="0" w:evenHBand="0" w:firstRowFirstColumn="0" w:firstRowLastColumn="0" w:lastRowFirstColumn="0" w:lastRowLastColumn="0"/>
            </w:pPr>
            <w:r w:rsidRPr="005A77BA">
              <w:t>Reason for seriousness</w:t>
            </w:r>
          </w:p>
        </w:tc>
        <w:tc>
          <w:tcPr>
            <w:tcW w:w="1559" w:type="dxa"/>
          </w:tcPr>
          <w:p w14:paraId="7B002AB3" w14:textId="77777777" w:rsidR="00697978" w:rsidRPr="005A77BA" w:rsidRDefault="00697978" w:rsidP="006963B6">
            <w:pPr>
              <w:ind w:left="0"/>
              <w:cnfStyle w:val="100000000000" w:firstRow="1" w:lastRow="0" w:firstColumn="0" w:lastColumn="0" w:oddVBand="0" w:evenVBand="0" w:oddHBand="0" w:evenHBand="0" w:firstRowFirstColumn="0" w:firstRowLastColumn="0" w:lastRowFirstColumn="0" w:lastRowLastColumn="0"/>
            </w:pPr>
            <w:r w:rsidRPr="005A77BA">
              <w:t>Outcome</w:t>
            </w:r>
          </w:p>
        </w:tc>
        <w:tc>
          <w:tcPr>
            <w:tcW w:w="1333" w:type="dxa"/>
          </w:tcPr>
          <w:p w14:paraId="5073118F" w14:textId="77777777" w:rsidR="00697978" w:rsidRPr="005A77BA" w:rsidRDefault="00697978" w:rsidP="006963B6">
            <w:pPr>
              <w:ind w:left="0"/>
              <w:cnfStyle w:val="100000000000" w:firstRow="1" w:lastRow="0" w:firstColumn="0" w:lastColumn="0" w:oddVBand="0" w:evenVBand="0" w:oddHBand="0" w:evenHBand="0" w:firstRowFirstColumn="0" w:firstRowLastColumn="0" w:lastRowFirstColumn="0" w:lastRowLastColumn="0"/>
            </w:pPr>
            <w:r w:rsidRPr="005A77BA">
              <w:t>Causality</w:t>
            </w:r>
          </w:p>
        </w:tc>
      </w:tr>
      <w:tr w:rsidR="00697978" w:rsidRPr="005A77BA" w14:paraId="1F97877A" w14:textId="77777777" w:rsidTr="006963B6">
        <w:tc>
          <w:tcPr>
            <w:cnfStyle w:val="001000000000" w:firstRow="0" w:lastRow="0" w:firstColumn="1" w:lastColumn="0" w:oddVBand="0" w:evenVBand="0" w:oddHBand="0" w:evenHBand="0" w:firstRowFirstColumn="0" w:firstRowLastColumn="0" w:lastRowFirstColumn="0" w:lastRowLastColumn="0"/>
            <w:tcW w:w="959" w:type="dxa"/>
          </w:tcPr>
          <w:p w14:paraId="596D424C" w14:textId="77777777" w:rsidR="00697978" w:rsidRPr="005A77BA" w:rsidRDefault="00697978" w:rsidP="006963B6">
            <w:pPr>
              <w:ind w:left="0"/>
              <w:rPr>
                <w:color w:val="000000"/>
              </w:rPr>
            </w:pPr>
            <w:r w:rsidRPr="005A77BA">
              <w:rPr>
                <w:color w:val="000000"/>
              </w:rPr>
              <w:t>3</w:t>
            </w:r>
          </w:p>
        </w:tc>
        <w:tc>
          <w:tcPr>
            <w:tcW w:w="2693" w:type="dxa"/>
          </w:tcPr>
          <w:p w14:paraId="4F953799"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Device-related infection</w:t>
            </w:r>
          </w:p>
        </w:tc>
        <w:tc>
          <w:tcPr>
            <w:tcW w:w="1985" w:type="dxa"/>
          </w:tcPr>
          <w:p w14:paraId="2A82C831"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7646D0F2"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15CAC941"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r w:rsidR="00697978" w:rsidRPr="005A77BA" w14:paraId="0A516454" w14:textId="77777777" w:rsidTr="006963B6">
        <w:tc>
          <w:tcPr>
            <w:cnfStyle w:val="001000000000" w:firstRow="0" w:lastRow="0" w:firstColumn="1" w:lastColumn="0" w:oddVBand="0" w:evenVBand="0" w:oddHBand="0" w:evenHBand="0" w:firstRowFirstColumn="0" w:firstRowLastColumn="0" w:lastRowFirstColumn="0" w:lastRowLastColumn="0"/>
            <w:tcW w:w="959" w:type="dxa"/>
          </w:tcPr>
          <w:p w14:paraId="13350407" w14:textId="77777777" w:rsidR="00697978" w:rsidRPr="005A77BA" w:rsidRDefault="00697978" w:rsidP="006963B6">
            <w:pPr>
              <w:ind w:left="0"/>
              <w:rPr>
                <w:color w:val="000000"/>
              </w:rPr>
            </w:pPr>
            <w:r w:rsidRPr="005A77BA">
              <w:rPr>
                <w:color w:val="000000"/>
              </w:rPr>
              <w:t>3</w:t>
            </w:r>
          </w:p>
        </w:tc>
        <w:tc>
          <w:tcPr>
            <w:tcW w:w="2693" w:type="dxa"/>
          </w:tcPr>
          <w:p w14:paraId="73E83690"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Head injury</w:t>
            </w:r>
          </w:p>
        </w:tc>
        <w:tc>
          <w:tcPr>
            <w:tcW w:w="1985" w:type="dxa"/>
          </w:tcPr>
          <w:p w14:paraId="2E823118"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53A22615"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0E9BCE98"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r w:rsidR="00697978" w:rsidRPr="005A77BA" w14:paraId="01C9FA9A" w14:textId="77777777" w:rsidTr="006963B6">
        <w:tc>
          <w:tcPr>
            <w:cnfStyle w:val="001000000000" w:firstRow="0" w:lastRow="0" w:firstColumn="1" w:lastColumn="0" w:oddVBand="0" w:evenVBand="0" w:oddHBand="0" w:evenHBand="0" w:firstRowFirstColumn="0" w:firstRowLastColumn="0" w:lastRowFirstColumn="0" w:lastRowLastColumn="0"/>
            <w:tcW w:w="959" w:type="dxa"/>
          </w:tcPr>
          <w:p w14:paraId="6F82AC73" w14:textId="77777777" w:rsidR="00697978" w:rsidRPr="005A77BA" w:rsidRDefault="00697978" w:rsidP="006963B6">
            <w:pPr>
              <w:ind w:left="0"/>
              <w:rPr>
                <w:color w:val="000000"/>
              </w:rPr>
            </w:pPr>
            <w:r w:rsidRPr="005A77BA">
              <w:rPr>
                <w:color w:val="000000"/>
              </w:rPr>
              <w:t>5</w:t>
            </w:r>
          </w:p>
        </w:tc>
        <w:tc>
          <w:tcPr>
            <w:tcW w:w="2693" w:type="dxa"/>
          </w:tcPr>
          <w:p w14:paraId="031EB1FD"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Head injury</w:t>
            </w:r>
          </w:p>
        </w:tc>
        <w:tc>
          <w:tcPr>
            <w:tcW w:w="1985" w:type="dxa"/>
          </w:tcPr>
          <w:p w14:paraId="4B9EF447"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2C0E1892"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33D15C2D"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r w:rsidR="00697978" w:rsidRPr="005A77BA" w14:paraId="53088B69" w14:textId="77777777" w:rsidTr="006963B6">
        <w:tc>
          <w:tcPr>
            <w:cnfStyle w:val="001000000000" w:firstRow="0" w:lastRow="0" w:firstColumn="1" w:lastColumn="0" w:oddVBand="0" w:evenVBand="0" w:oddHBand="0" w:evenHBand="0" w:firstRowFirstColumn="0" w:firstRowLastColumn="0" w:lastRowFirstColumn="0" w:lastRowLastColumn="0"/>
            <w:tcW w:w="959" w:type="dxa"/>
            <w:vMerge w:val="restart"/>
          </w:tcPr>
          <w:p w14:paraId="3C9F87AA" w14:textId="77777777" w:rsidR="00697978" w:rsidRPr="005A77BA" w:rsidRDefault="00697978" w:rsidP="006963B6">
            <w:pPr>
              <w:ind w:left="0"/>
              <w:rPr>
                <w:color w:val="000000"/>
              </w:rPr>
            </w:pPr>
            <w:r w:rsidRPr="005A77BA">
              <w:rPr>
                <w:color w:val="000000"/>
              </w:rPr>
              <w:t>4</w:t>
            </w:r>
          </w:p>
        </w:tc>
        <w:tc>
          <w:tcPr>
            <w:tcW w:w="2693" w:type="dxa"/>
          </w:tcPr>
          <w:p w14:paraId="4F24548F"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Acute tonsillitis</w:t>
            </w:r>
          </w:p>
        </w:tc>
        <w:tc>
          <w:tcPr>
            <w:tcW w:w="1985" w:type="dxa"/>
          </w:tcPr>
          <w:p w14:paraId="3FCCCD96"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 xml:space="preserve">Required </w:t>
            </w:r>
            <w:r w:rsidRPr="005A77BA">
              <w:lastRenderedPageBreak/>
              <w:t>hospitalisation</w:t>
            </w:r>
          </w:p>
        </w:tc>
        <w:tc>
          <w:tcPr>
            <w:tcW w:w="1559" w:type="dxa"/>
          </w:tcPr>
          <w:p w14:paraId="2EF7D2F4"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lastRenderedPageBreak/>
              <w:t>Recovered</w:t>
            </w:r>
            <w:r>
              <w:t>/</w:t>
            </w:r>
            <w:r w:rsidRPr="005A77BA">
              <w:lastRenderedPageBreak/>
              <w:t>Resolved</w:t>
            </w:r>
          </w:p>
        </w:tc>
        <w:tc>
          <w:tcPr>
            <w:tcW w:w="1333" w:type="dxa"/>
          </w:tcPr>
          <w:p w14:paraId="74649DD9"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lastRenderedPageBreak/>
              <w:t xml:space="preserve">Not </w:t>
            </w:r>
            <w:r w:rsidRPr="005A77BA">
              <w:lastRenderedPageBreak/>
              <w:t>related</w:t>
            </w:r>
          </w:p>
        </w:tc>
      </w:tr>
      <w:tr w:rsidR="00697978" w:rsidRPr="005A77BA" w14:paraId="5DE6F1B8" w14:textId="77777777" w:rsidTr="006963B6">
        <w:tc>
          <w:tcPr>
            <w:cnfStyle w:val="001000000000" w:firstRow="0" w:lastRow="0" w:firstColumn="1" w:lastColumn="0" w:oddVBand="0" w:evenVBand="0" w:oddHBand="0" w:evenHBand="0" w:firstRowFirstColumn="0" w:firstRowLastColumn="0" w:lastRowFirstColumn="0" w:lastRowLastColumn="0"/>
            <w:tcW w:w="959" w:type="dxa"/>
            <w:vMerge/>
          </w:tcPr>
          <w:p w14:paraId="09D92579" w14:textId="77777777" w:rsidR="00697978" w:rsidRPr="005A77BA" w:rsidRDefault="00697978" w:rsidP="006963B6">
            <w:pPr>
              <w:ind w:left="0"/>
              <w:rPr>
                <w:color w:val="000000"/>
              </w:rPr>
            </w:pPr>
          </w:p>
        </w:tc>
        <w:tc>
          <w:tcPr>
            <w:tcW w:w="2693" w:type="dxa"/>
          </w:tcPr>
          <w:p w14:paraId="6A7F3CC4"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Upper RTI</w:t>
            </w:r>
          </w:p>
        </w:tc>
        <w:tc>
          <w:tcPr>
            <w:tcW w:w="1985" w:type="dxa"/>
          </w:tcPr>
          <w:p w14:paraId="2E4B12AE"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11187122"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71B8E99C"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r w:rsidR="00697978" w:rsidRPr="005A77BA" w14:paraId="5F925016" w14:textId="77777777" w:rsidTr="006963B6">
        <w:tc>
          <w:tcPr>
            <w:cnfStyle w:val="001000000000" w:firstRow="0" w:lastRow="0" w:firstColumn="1" w:lastColumn="0" w:oddVBand="0" w:evenVBand="0" w:oddHBand="0" w:evenHBand="0" w:firstRowFirstColumn="0" w:firstRowLastColumn="0" w:lastRowFirstColumn="0" w:lastRowLastColumn="0"/>
            <w:tcW w:w="959" w:type="dxa"/>
            <w:vMerge/>
          </w:tcPr>
          <w:p w14:paraId="7FD3F6FB" w14:textId="77777777" w:rsidR="00697978" w:rsidRPr="005A77BA" w:rsidRDefault="00697978" w:rsidP="006963B6">
            <w:pPr>
              <w:ind w:left="0"/>
              <w:rPr>
                <w:color w:val="000000"/>
              </w:rPr>
            </w:pPr>
          </w:p>
        </w:tc>
        <w:tc>
          <w:tcPr>
            <w:tcW w:w="2693" w:type="dxa"/>
          </w:tcPr>
          <w:p w14:paraId="01B704E8"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Lower RTI</w:t>
            </w:r>
          </w:p>
        </w:tc>
        <w:tc>
          <w:tcPr>
            <w:tcW w:w="1985" w:type="dxa"/>
          </w:tcPr>
          <w:p w14:paraId="6543E65C"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78E94C76"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29273112"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r w:rsidR="00697978" w:rsidRPr="005A77BA" w14:paraId="07147F92" w14:textId="77777777" w:rsidTr="006963B6">
        <w:tc>
          <w:tcPr>
            <w:cnfStyle w:val="001000000000" w:firstRow="0" w:lastRow="0" w:firstColumn="1" w:lastColumn="0" w:oddVBand="0" w:evenVBand="0" w:oddHBand="0" w:evenHBand="0" w:firstRowFirstColumn="0" w:firstRowLastColumn="0" w:lastRowFirstColumn="0" w:lastRowLastColumn="0"/>
            <w:tcW w:w="959" w:type="dxa"/>
          </w:tcPr>
          <w:p w14:paraId="0B173FF3" w14:textId="77777777" w:rsidR="00697978" w:rsidRPr="005A77BA" w:rsidRDefault="00697978" w:rsidP="006963B6">
            <w:pPr>
              <w:ind w:left="0"/>
              <w:rPr>
                <w:color w:val="000000"/>
              </w:rPr>
            </w:pPr>
            <w:r w:rsidRPr="005A77BA">
              <w:rPr>
                <w:color w:val="000000"/>
              </w:rPr>
              <w:t>10</w:t>
            </w:r>
          </w:p>
        </w:tc>
        <w:tc>
          <w:tcPr>
            <w:tcW w:w="2693" w:type="dxa"/>
          </w:tcPr>
          <w:p w14:paraId="15FD0C98"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Haemarthrosis</w:t>
            </w:r>
          </w:p>
        </w:tc>
        <w:tc>
          <w:tcPr>
            <w:tcW w:w="1985" w:type="dxa"/>
          </w:tcPr>
          <w:p w14:paraId="27D8E95A"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Required hospitalisation</w:t>
            </w:r>
          </w:p>
        </w:tc>
        <w:tc>
          <w:tcPr>
            <w:tcW w:w="1559" w:type="dxa"/>
          </w:tcPr>
          <w:p w14:paraId="477CFC22"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Recovered</w:t>
            </w:r>
            <w:r>
              <w:t>/</w:t>
            </w:r>
            <w:r w:rsidRPr="005A77BA">
              <w:t>Resolved</w:t>
            </w:r>
          </w:p>
        </w:tc>
        <w:tc>
          <w:tcPr>
            <w:tcW w:w="1333" w:type="dxa"/>
          </w:tcPr>
          <w:p w14:paraId="20E18769" w14:textId="77777777" w:rsidR="00697978" w:rsidRPr="005A77BA" w:rsidRDefault="00697978" w:rsidP="006963B6">
            <w:pPr>
              <w:ind w:left="0"/>
              <w:cnfStyle w:val="000000000000" w:firstRow="0" w:lastRow="0" w:firstColumn="0" w:lastColumn="0" w:oddVBand="0" w:evenVBand="0" w:oddHBand="0" w:evenHBand="0" w:firstRowFirstColumn="0" w:firstRowLastColumn="0" w:lastRowFirstColumn="0" w:lastRowLastColumn="0"/>
              <w:rPr>
                <w:color w:val="000000"/>
              </w:rPr>
            </w:pPr>
            <w:r w:rsidRPr="005A77BA">
              <w:t>Not related</w:t>
            </w:r>
          </w:p>
        </w:tc>
      </w:tr>
    </w:tbl>
    <w:p w14:paraId="386EAEE6" w14:textId="77777777" w:rsidR="006D35A0" w:rsidRPr="00DB5346" w:rsidRDefault="006D35A0" w:rsidP="000D66B4">
      <w:pPr>
        <w:pStyle w:val="Heading4"/>
      </w:pPr>
      <w:bookmarkStart w:id="194" w:name="_Toc266446519"/>
      <w:r w:rsidRPr="00DB5346">
        <w:t>Discontinuations due to adverse events</w:t>
      </w:r>
      <w:bookmarkEnd w:id="194"/>
    </w:p>
    <w:p w14:paraId="6C72D510" w14:textId="77777777" w:rsidR="000F04AF" w:rsidRDefault="006D35A0" w:rsidP="006D35A0">
      <w:r>
        <w:t>There were no discontinuations due to AEs.</w:t>
      </w:r>
    </w:p>
    <w:p w14:paraId="58198616" w14:textId="406E8F0E" w:rsidR="006D35A0" w:rsidRDefault="006D35A0" w:rsidP="000E27F4">
      <w:pPr>
        <w:pStyle w:val="Heading4"/>
      </w:pPr>
      <w:bookmarkStart w:id="195" w:name="_Toc266446520"/>
      <w:r>
        <w:t>Laboratory tests</w:t>
      </w:r>
      <w:bookmarkEnd w:id="195"/>
    </w:p>
    <w:p w14:paraId="6639E9DC" w14:textId="77777777" w:rsidR="006D35A0" w:rsidRDefault="006D35A0" w:rsidP="000E27F4">
      <w:pPr>
        <w:pStyle w:val="Heading5"/>
      </w:pPr>
      <w:bookmarkStart w:id="196" w:name="_Toc266446521"/>
      <w:r>
        <w:t>Immunogenicity</w:t>
      </w:r>
      <w:bookmarkEnd w:id="196"/>
    </w:p>
    <w:p w14:paraId="10BAFBA3" w14:textId="77777777" w:rsidR="000F04AF" w:rsidRDefault="006D35A0" w:rsidP="006D35A0">
      <w:r w:rsidRPr="006F67F0">
        <w:t>No FVIII inhibitors were detected in any patient at any time point during the study</w:t>
      </w:r>
      <w:r>
        <w:t>.</w:t>
      </w:r>
      <w:r w:rsidRPr="006F67F0">
        <w:t xml:space="preserve"> Non-inhibitory antibodies against FV</w:t>
      </w:r>
      <w:r>
        <w:t>III were detected in 2 patients, and in both patients the non-inhibitory antibodies were detected at screening. Efficacy of treatment with simoctocog alfa was rated as excellent in both patients with non-inhibitory FVIII antibodies. Further information on these two patients is provided in the review of immunogenicity in the total safety population reviewed previously in this CER.</w:t>
      </w:r>
    </w:p>
    <w:p w14:paraId="2468BBF8" w14:textId="0C64C3DF" w:rsidR="006D35A0" w:rsidRPr="00DB5346" w:rsidRDefault="006D35A0" w:rsidP="000E27F4">
      <w:pPr>
        <w:pStyle w:val="Heading5"/>
      </w:pPr>
      <w:bookmarkStart w:id="197" w:name="_Toc266446522"/>
      <w:r w:rsidRPr="00DB5346">
        <w:t>Other laboratory tests (haematology and biochemistry)</w:t>
      </w:r>
      <w:bookmarkEnd w:id="197"/>
    </w:p>
    <w:p w14:paraId="6BAD800D" w14:textId="77777777" w:rsidR="000F04AF" w:rsidRDefault="006D35A0" w:rsidP="006D35A0">
      <w:r>
        <w:t>Three (3) patients had a total of 30 haematological abnormalities classed as clinically significant; 1 patient with 1 abnormality (low Hct); 1 patient with 21 abnormalities (relating to low RBC, low Hct and low Hb); and 1 patient with 8 abnormalities (relating to low Hct and low Hb). All three patients had a history of iron deficiency anaemia/anaemia, and no AEs were reported relating to the haematological laboratory abnormalities for the 3 patients. Further information on these 3patients is provided in the review of other laboratory tests in the total safety population provided previously in this CER.</w:t>
      </w:r>
    </w:p>
    <w:p w14:paraId="4763E0F4" w14:textId="77777777" w:rsidR="000F04AF" w:rsidRDefault="006D35A0" w:rsidP="000E27F4">
      <w:pPr>
        <w:pStyle w:val="Heading4"/>
      </w:pPr>
      <w:bookmarkStart w:id="198" w:name="_Toc266446523"/>
      <w:r w:rsidRPr="00DB5346">
        <w:t>Vital signs</w:t>
      </w:r>
      <w:bookmarkEnd w:id="198"/>
    </w:p>
    <w:p w14:paraId="39B6B815" w14:textId="77777777" w:rsidR="000F04AF" w:rsidRDefault="006D35A0" w:rsidP="006D35A0">
      <w:r>
        <w:t>No clinically relevant abnormalities in vital signs (blood pressure, pulse rate, temperature) were observed.</w:t>
      </w:r>
    </w:p>
    <w:p w14:paraId="47137575" w14:textId="5DB9BDE4" w:rsidR="006D35A0" w:rsidRPr="00DB5346" w:rsidRDefault="006D35A0" w:rsidP="000E27F4">
      <w:pPr>
        <w:pStyle w:val="Heading3"/>
      </w:pPr>
      <w:bookmarkStart w:id="199" w:name="_Toc266446524"/>
      <w:bookmarkStart w:id="200" w:name="_Toc453765972"/>
      <w:r w:rsidRPr="00DB5346">
        <w:t>Post-marketing experience</w:t>
      </w:r>
      <w:bookmarkEnd w:id="199"/>
      <w:bookmarkEnd w:id="200"/>
    </w:p>
    <w:p w14:paraId="4E4AA5F0" w14:textId="77777777" w:rsidR="000F04AF" w:rsidRDefault="006D35A0" w:rsidP="006D35A0">
      <w:r>
        <w:t>Not applicable. Simoctocog alfa was not marketed in any country at the time of the submission.</w:t>
      </w:r>
    </w:p>
    <w:p w14:paraId="6A8CD497" w14:textId="77777777" w:rsidR="000F04AF" w:rsidRDefault="006D35A0" w:rsidP="000E27F4">
      <w:pPr>
        <w:pStyle w:val="Heading3"/>
      </w:pPr>
      <w:bookmarkStart w:id="201" w:name="_Toc266446525"/>
      <w:bookmarkStart w:id="202" w:name="_Toc453765973"/>
      <w:r w:rsidRPr="00DB5346">
        <w:t>Evaluator's overall conclusions on safety</w:t>
      </w:r>
      <w:bookmarkEnd w:id="201"/>
      <w:bookmarkEnd w:id="202"/>
    </w:p>
    <w:p w14:paraId="03750F74" w14:textId="20CCC420" w:rsidR="006D35A0" w:rsidRPr="00AA733B" w:rsidRDefault="006D35A0" w:rsidP="006D35A0">
      <w:r w:rsidRPr="00AA733B">
        <w:t xml:space="preserve">The safety of </w:t>
      </w:r>
      <w:r>
        <w:t xml:space="preserve">simoctocog alfa </w:t>
      </w:r>
      <w:r w:rsidRPr="00AA733B">
        <w:t>for the treatment of severe haemophilia A has been satisfactorily established in 135 patients, including 59 patients aged 2 to 12 years (29 aged 2-5 years, 30 aged 6-12 years). However, based on the "rul</w:t>
      </w:r>
      <w:r>
        <w:t xml:space="preserve">e of three" it is unlikely that </w:t>
      </w:r>
      <w:r w:rsidRPr="00AA733B">
        <w:t xml:space="preserve">adverse </w:t>
      </w:r>
      <w:r>
        <w:t>reactions</w:t>
      </w:r>
      <w:r w:rsidRPr="00AA733B">
        <w:t xml:space="preserve"> </w:t>
      </w:r>
      <w:r>
        <w:t xml:space="preserve">associated with simoctocog alfa and </w:t>
      </w:r>
      <w:r w:rsidRPr="00AA733B">
        <w:t xml:space="preserve">occurring with an incidence of &lt; 2% </w:t>
      </w:r>
      <w:r>
        <w:t xml:space="preserve">have </w:t>
      </w:r>
      <w:r w:rsidRPr="00AA733B">
        <w:t>been detected</w:t>
      </w:r>
      <w:r>
        <w:t xml:space="preserve"> in the total safety population of 135 patients</w:t>
      </w:r>
      <w:r w:rsidRPr="00AA733B">
        <w:t>.</w:t>
      </w:r>
      <w:r w:rsidRPr="00AA733B">
        <w:rPr>
          <w:vertAlign w:val="superscript"/>
        </w:rPr>
        <w:t>8,9</w:t>
      </w:r>
    </w:p>
    <w:p w14:paraId="0DE0436B" w14:textId="77777777" w:rsidR="000F04AF" w:rsidRDefault="006D35A0" w:rsidP="006D35A0">
      <w:r w:rsidRPr="00AA733B">
        <w:t xml:space="preserve">The pooled safety data from the 5 clinical studies have been reviewed. In addition, the safety data in children aged 2-12 years </w:t>
      </w:r>
      <w:r>
        <w:t xml:space="preserve">from GENA-03 </w:t>
      </w:r>
      <w:r w:rsidRPr="00AA733B">
        <w:t xml:space="preserve">have been separately reviewed. The mean age of </w:t>
      </w:r>
      <w:r w:rsidRPr="00AA733B">
        <w:lastRenderedPageBreak/>
        <w:t xml:space="preserve">the 135 patients in </w:t>
      </w:r>
      <w:r>
        <w:t xml:space="preserve">the </w:t>
      </w:r>
      <w:r w:rsidRPr="00AA733B">
        <w:t>five clinical studies ranged from 6 to 40 years, and the overall age ranged from 2 to 75 years</w:t>
      </w:r>
      <w:r>
        <w:t>. N</w:t>
      </w:r>
      <w:r w:rsidRPr="00AA733B">
        <w:t>early all patients in the studies were "white". The safety profile</w:t>
      </w:r>
      <w:r>
        <w:t>s</w:t>
      </w:r>
      <w:r w:rsidRPr="00AA733B">
        <w:t xml:space="preserve"> </w:t>
      </w:r>
      <w:r>
        <w:t xml:space="preserve">from the </w:t>
      </w:r>
      <w:r w:rsidRPr="00AA733B">
        <w:t xml:space="preserve">total </w:t>
      </w:r>
      <w:r>
        <w:t xml:space="preserve">safety </w:t>
      </w:r>
      <w:r w:rsidRPr="00AA733B">
        <w:t xml:space="preserve">population and </w:t>
      </w:r>
      <w:r>
        <w:t>from the paediatric safety population are consistent.</w:t>
      </w:r>
    </w:p>
    <w:p w14:paraId="2C5A0ADE" w14:textId="77777777" w:rsidR="000F04AF" w:rsidRDefault="006D35A0" w:rsidP="006D35A0">
      <w:r w:rsidRPr="00AA733B">
        <w:t xml:space="preserve">In the total safety population, 135 patients underwent treatment with </w:t>
      </w:r>
      <w:r>
        <w:t>simoctocog alfa</w:t>
      </w:r>
      <w:r w:rsidRPr="00AA733B">
        <w:t xml:space="preserve">. These patients received total mean </w:t>
      </w:r>
      <w:r>
        <w:t xml:space="preserve">doses of simoctocog alfa ranging from </w:t>
      </w:r>
      <w:r w:rsidRPr="00AA733B">
        <w:t xml:space="preserve">104,813 to 585,489 IU (1835 to 6289 IU/kg) administered by </w:t>
      </w:r>
      <w:r>
        <w:t xml:space="preserve">total mean number of infusions ranging from 54.9 to 228 </w:t>
      </w:r>
      <w:r w:rsidRPr="00AA733B">
        <w:t xml:space="preserve">over </w:t>
      </w:r>
      <w:r>
        <w:t xml:space="preserve">total </w:t>
      </w:r>
      <w:r w:rsidRPr="00AA733B">
        <w:t xml:space="preserve">mean </w:t>
      </w:r>
      <w:r>
        <w:t xml:space="preserve">EDS ranging from </w:t>
      </w:r>
      <w:r w:rsidRPr="00AA733B">
        <w:t>53.3 to 226</w:t>
      </w:r>
      <w:r>
        <w:t xml:space="preserve">, and over total </w:t>
      </w:r>
      <w:r w:rsidRPr="00AA733B">
        <w:t xml:space="preserve">mean </w:t>
      </w:r>
      <w:r>
        <w:t xml:space="preserve">treatment </w:t>
      </w:r>
      <w:r w:rsidRPr="00AA733B">
        <w:t>period</w:t>
      </w:r>
      <w:r>
        <w:t>s</w:t>
      </w:r>
      <w:r w:rsidRPr="00AA733B">
        <w:t xml:space="preserve"> </w:t>
      </w:r>
      <w:r>
        <w:t xml:space="preserve">ranging from </w:t>
      </w:r>
      <w:r w:rsidRPr="00AA733B">
        <w:t>179.9 to 455.6 days.</w:t>
      </w:r>
    </w:p>
    <w:p w14:paraId="12D32AD4" w14:textId="77777777" w:rsidR="000F04AF" w:rsidRDefault="006D35A0" w:rsidP="006D35A0">
      <w:r w:rsidRPr="00AA733B">
        <w:t xml:space="preserve">In the </w:t>
      </w:r>
      <w:r>
        <w:t xml:space="preserve">four studies with </w:t>
      </w:r>
      <w:r w:rsidRPr="00AA733B">
        <w:t xml:space="preserve">prophylaxis </w:t>
      </w:r>
      <w:r>
        <w:t xml:space="preserve">data, 113 patients </w:t>
      </w:r>
      <w:r w:rsidRPr="00AA733B">
        <w:t xml:space="preserve">received prophylactic treatment with </w:t>
      </w:r>
      <w:r>
        <w:t xml:space="preserve">simoctocog alfa </w:t>
      </w:r>
      <w:r w:rsidRPr="00AA733B">
        <w:t>with mean doses ranging from 32.8 to 38.9 IU/kg per infusion for a tot</w:t>
      </w:r>
      <w:r>
        <w:t xml:space="preserve">al of approximately 14,000 EDs. </w:t>
      </w:r>
      <w:r w:rsidRPr="00AA733B">
        <w:t xml:space="preserve">In the long-term study GENA-04, the average duration of </w:t>
      </w:r>
      <w:r>
        <w:t>treatment</w:t>
      </w:r>
      <w:r w:rsidRPr="00AA733B">
        <w:t xml:space="preserve"> was 455.61 days (range: 33, 563 days), and the 18 patients </w:t>
      </w:r>
      <w:r>
        <w:t xml:space="preserve">in the study </w:t>
      </w:r>
      <w:r w:rsidRPr="00AA733B">
        <w:t xml:space="preserve">received </w:t>
      </w:r>
      <w:r>
        <w:t xml:space="preserve">simoctocog alfa </w:t>
      </w:r>
      <w:r w:rsidRPr="00AA733B">
        <w:t xml:space="preserve">over a total of 3,940 EDs. </w:t>
      </w:r>
      <w:r>
        <w:t>I</w:t>
      </w:r>
      <w:r w:rsidRPr="00AA733B">
        <w:t xml:space="preserve">n the five studies with </w:t>
      </w:r>
      <w:r>
        <w:t xml:space="preserve">relevant </w:t>
      </w:r>
      <w:r w:rsidRPr="00AA733B">
        <w:t>data</w:t>
      </w:r>
      <w:r>
        <w:t xml:space="preserve">, </w:t>
      </w:r>
      <w:r w:rsidRPr="00AA733B">
        <w:t xml:space="preserve">the mean dose of </w:t>
      </w:r>
      <w:r>
        <w:t>simoctocog alfa for the on-demand treatment of BEs</w:t>
      </w:r>
      <w:r w:rsidRPr="00AA733B">
        <w:t xml:space="preserve"> ranged from 32.3 to 45.1 IU/kg per infusion</w:t>
      </w:r>
      <w:r>
        <w:t xml:space="preserve"> and </w:t>
      </w:r>
      <w:r w:rsidRPr="00AA733B">
        <w:t>from 35.1 to 50.2 IU/kg per</w:t>
      </w:r>
      <w:r>
        <w:t xml:space="preserve"> infusion for surgical prophylaxis.</w:t>
      </w:r>
    </w:p>
    <w:p w14:paraId="1BE49768" w14:textId="77777777" w:rsidR="000F04AF" w:rsidRDefault="006D35A0" w:rsidP="006D35A0">
      <w:pPr>
        <w:widowControl w:val="0"/>
        <w:autoSpaceDE w:val="0"/>
        <w:autoSpaceDN w:val="0"/>
        <w:adjustRightInd w:val="0"/>
      </w:pPr>
      <w:r w:rsidRPr="00AA733B">
        <w:t>Of the 135 patients</w:t>
      </w:r>
      <w:r>
        <w:t xml:space="preserve"> in the total safety population</w:t>
      </w:r>
      <w:r w:rsidRPr="00AA733B">
        <w:t xml:space="preserve">, 79 (58.5%) </w:t>
      </w:r>
      <w:r>
        <w:t xml:space="preserve">patients experienced a total of 272 AEs. In this population, </w:t>
      </w:r>
      <w:r w:rsidRPr="00AA733B">
        <w:t>AEs occurring in ≥ 2% of patients (</w:t>
      </w:r>
      <w:r w:rsidR="001A2E59">
        <w:t>that is,</w:t>
      </w:r>
      <w:r w:rsidRPr="00AA733B">
        <w:t xml:space="preserve"> ≥ 3 patients) in descending order of frequency were nasopharyngitis (8.1%), pyrexia (7.4%), headache (7.4%), rhinitis (5.2%), cough (4.4%), diarrhoea (3.7%), chills (3.7%), injury (3.7%), rash (3.7%), abdominal pain (3.0%), varicella (3.0%), arthralgia, (3.0%), back pain (3.0%), bronchitis (2.2%), upper RTI (2.2%), and head injury (2.2%).</w:t>
      </w:r>
    </w:p>
    <w:p w14:paraId="7E72D83E" w14:textId="77777777" w:rsidR="000F04AF" w:rsidRDefault="006D35A0" w:rsidP="006D35A0">
      <w:pPr>
        <w:widowControl w:val="0"/>
        <w:autoSpaceDE w:val="0"/>
        <w:autoSpaceDN w:val="0"/>
        <w:adjustRightInd w:val="0"/>
      </w:pPr>
      <w:r w:rsidRPr="00AA733B">
        <w:t>The investigators identified 5 (3.7%) patients with 8 AEs classified as treatment-related. These included injection site pain in 1 patient, back pain in 1 patient, headache in</w:t>
      </w:r>
      <w:r>
        <w:t xml:space="preserve"> </w:t>
      </w:r>
      <w:r w:rsidRPr="00AA733B">
        <w:t>1 patient, ant</w:t>
      </w:r>
      <w:r>
        <w:t>i</w:t>
      </w:r>
      <w:r w:rsidRPr="00AA733B">
        <w:t xml:space="preserve">-FVIII antibody in 1 patient, and vertigo, dry mouth, paraesthesia, and injection site pain all in the same patient. In addition, review of the paediatric data from GENA-03 by the IDMC identified a further 6 AEs </w:t>
      </w:r>
      <w:r>
        <w:t xml:space="preserve">in 5 patients </w:t>
      </w:r>
      <w:r w:rsidRPr="00AA733B">
        <w:t>which were judged to be "possibly" related to treatment (</w:t>
      </w:r>
      <w:r>
        <w:t xml:space="preserve">3 patients each with the AE of chills, 2 patients with the AE of rash on 2 separate occasions, 1 patient with the AE of rash). </w:t>
      </w:r>
      <w:r w:rsidRPr="00AA733B">
        <w:t>There were no inconsistencies between investigator and IDMC safety assessments in studies GENA-01, GENA-08, GENA-09 or GENA-04.</w:t>
      </w:r>
      <w:r>
        <w:t xml:space="preserve"> In the total safety population, 10 (7.4%) patients experienced 14 (5.1%) AEs judged to be possibly or probably related to simoctocog alfa by investigators and/or the IDMC. All </w:t>
      </w:r>
      <w:r w:rsidRPr="00AA733B">
        <w:t>of the treatment-related AEs recov</w:t>
      </w:r>
      <w:r>
        <w:t xml:space="preserve">ered/resolved without sequelae, </w:t>
      </w:r>
      <w:r w:rsidRPr="00AA733B">
        <w:t>apart from 1 event of anti-FVIII antibody positive for which th</w:t>
      </w:r>
      <w:r>
        <w:t>e outcome was unknown</w:t>
      </w:r>
      <w:r w:rsidRPr="00AA733B">
        <w:t>.</w:t>
      </w:r>
    </w:p>
    <w:p w14:paraId="7A9C2E6B" w14:textId="77777777" w:rsidR="000F04AF" w:rsidRDefault="006D35A0" w:rsidP="000E27F4">
      <w:r w:rsidRPr="00AA733B">
        <w:t xml:space="preserve">One death occurred in the total safety population </w:t>
      </w:r>
      <w:r>
        <w:t xml:space="preserve">and was considered to be unrelated to treatment </w:t>
      </w:r>
      <w:r w:rsidRPr="00AA733B">
        <w:t xml:space="preserve">(acute respiratory and cardiovascular failure associated with status epilepticus in 1 patient with a known history of epilepsy). Excluding </w:t>
      </w:r>
      <w:r>
        <w:t xml:space="preserve">the one </w:t>
      </w:r>
      <w:r w:rsidRPr="00AA733B">
        <w:t>death, there were 11 other SAEs in 8 patients and all events were considered to be unrelated to treatment. The 11 SAEs included depression/suicidal in 1 patient, traumatic fracture in 1 patient, device-related infection in 1 patient, head injury in 2 patients, haemarthrosis in 1 patient, hepatic encephalopathy/hepatic cirrhosis in 1 patient, and acute tonsillitis/upper RTI/lower RTI in 1 patient.</w:t>
      </w:r>
      <w:r>
        <w:t xml:space="preserve"> All 11 SAEs recovered/resolved, </w:t>
      </w:r>
      <w:r w:rsidRPr="00AA733B">
        <w:t xml:space="preserve">except for the </w:t>
      </w:r>
      <w:r>
        <w:t xml:space="preserve">one event of hepatic cirrhosis. </w:t>
      </w:r>
      <w:r w:rsidRPr="00AA733B">
        <w:t xml:space="preserve">Withdrawals from treatment (all reasons) were reported in 7 (5.1%) patients, and </w:t>
      </w:r>
      <w:r>
        <w:t>withdrawal due to AEs occurred only in the one patient who died during the study.</w:t>
      </w:r>
    </w:p>
    <w:p w14:paraId="27153E42" w14:textId="77777777" w:rsidR="000F04AF" w:rsidRDefault="006D35A0" w:rsidP="000E27F4">
      <w:r w:rsidRPr="00AA733B">
        <w:t xml:space="preserve">The immunogenicity of </w:t>
      </w:r>
      <w:r>
        <w:t>simoctocog alfa</w:t>
      </w:r>
      <w:r w:rsidRPr="00AA733B">
        <w:t xml:space="preserve"> was assessed throughout </w:t>
      </w:r>
      <w:r>
        <w:t xml:space="preserve">each of </w:t>
      </w:r>
      <w:r w:rsidRPr="00AA733B">
        <w:t xml:space="preserve">the studies, and no FVIII inhibitors were identified in any of the 135 patients in the </w:t>
      </w:r>
      <w:r>
        <w:t>safety population</w:t>
      </w:r>
      <w:r w:rsidRPr="00AA733B">
        <w:t xml:space="preserve">. Non-inhibitory anti-rhFVIII </w:t>
      </w:r>
      <w:r>
        <w:t xml:space="preserve">antibodies </w:t>
      </w:r>
      <w:r w:rsidRPr="00AA733B">
        <w:t xml:space="preserve">were identified in 4 patients, including 3 patients who were positive at screening. The efficacy of </w:t>
      </w:r>
      <w:r>
        <w:t xml:space="preserve">simoctocog alfa </w:t>
      </w:r>
      <w:r w:rsidRPr="00AA733B">
        <w:t xml:space="preserve">was judged as excellent </w:t>
      </w:r>
      <w:r>
        <w:t>in</w:t>
      </w:r>
      <w:r w:rsidRPr="00AA733B">
        <w:t xml:space="preserve"> all 4 patients with non-inhibitory </w:t>
      </w:r>
      <w:r>
        <w:t xml:space="preserve">FVIII </w:t>
      </w:r>
      <w:r w:rsidRPr="00AA733B">
        <w:t xml:space="preserve">antibodies. In the SOC of "immune system disorders" there was 1 case of allergic oedema in a paediatric patient, and 1 case of seasonal allergy in </w:t>
      </w:r>
      <w:r>
        <w:t xml:space="preserve">an </w:t>
      </w:r>
      <w:r w:rsidRPr="00AA733B">
        <w:t xml:space="preserve">adult patient. </w:t>
      </w:r>
      <w:r>
        <w:t xml:space="preserve">No </w:t>
      </w:r>
      <w:r>
        <w:lastRenderedPageBreak/>
        <w:t xml:space="preserve">AEs relating to hypersensitivity disorders were reported. </w:t>
      </w:r>
      <w:r w:rsidRPr="00AA733B">
        <w:t>No thromboembolic events were reported.</w:t>
      </w:r>
    </w:p>
    <w:p w14:paraId="720D64D0" w14:textId="77777777" w:rsidR="000F04AF" w:rsidRDefault="006D35A0" w:rsidP="000E27F4">
      <w:r w:rsidRPr="00AA733B">
        <w:t>Clinically significant laboratory abnormalities (haematological, biochemical, urinalysis) were uncommon, as were clinically significant abnormalities in vital signs. No patients were found to be positive for HBV or HCV infection</w:t>
      </w:r>
      <w:r>
        <w:t xml:space="preserve"> during the study</w:t>
      </w:r>
      <w:r w:rsidRPr="00AA733B">
        <w:t>.</w:t>
      </w:r>
    </w:p>
    <w:p w14:paraId="10ECF69D" w14:textId="77777777" w:rsidR="000F04AF" w:rsidRDefault="006D35A0" w:rsidP="000E27F4">
      <w:r w:rsidRPr="00AA733B">
        <w:t xml:space="preserve">There were no safety studies with </w:t>
      </w:r>
      <w:r>
        <w:t xml:space="preserve">simoctocog alfa </w:t>
      </w:r>
      <w:r w:rsidRPr="00AA733B">
        <w:t xml:space="preserve">in patients with hepatic or renal impairment. There were no drug-drug interaction studies involving </w:t>
      </w:r>
      <w:r>
        <w:t>simoctocog alfa</w:t>
      </w:r>
      <w:r w:rsidRPr="00AA733B">
        <w:t xml:space="preserve">. </w:t>
      </w:r>
      <w:r>
        <w:t>There were no safety data in patients younger than 2 years of age or older than 75 years of age. There were no safety data in racial groups other than that classified as "while". There were no safety data in female patients. There were no safety data in previously untreated patients with severe haemophilia A.</w:t>
      </w:r>
    </w:p>
    <w:p w14:paraId="5C48E27E" w14:textId="06E16BB0" w:rsidR="006D35A0" w:rsidRPr="00A303B7" w:rsidRDefault="00C22678" w:rsidP="00DB5346">
      <w:pPr>
        <w:pStyle w:val="Heading2"/>
      </w:pPr>
      <w:bookmarkStart w:id="203" w:name="_Toc453765974"/>
      <w:r w:rsidRPr="00DB5346">
        <w:t>First round benefit-risk assessment</w:t>
      </w:r>
      <w:bookmarkEnd w:id="203"/>
    </w:p>
    <w:p w14:paraId="7325D54F" w14:textId="77777777" w:rsidR="006D35A0" w:rsidRDefault="006D35A0" w:rsidP="00DB5346">
      <w:pPr>
        <w:pStyle w:val="Heading3"/>
      </w:pPr>
      <w:bookmarkStart w:id="204" w:name="_Toc236802592"/>
      <w:bookmarkStart w:id="205" w:name="_Toc241374331"/>
      <w:bookmarkStart w:id="206" w:name="_Ref272160836"/>
      <w:bookmarkStart w:id="207" w:name="_Toc272414693"/>
      <w:bookmarkStart w:id="208" w:name="_Toc290846331"/>
      <w:bookmarkStart w:id="209" w:name="_Toc266446527"/>
      <w:bookmarkStart w:id="210" w:name="_Toc453765975"/>
      <w:r>
        <w:t>First round assessment of benefits</w:t>
      </w:r>
      <w:bookmarkEnd w:id="204"/>
      <w:bookmarkEnd w:id="205"/>
      <w:bookmarkEnd w:id="206"/>
      <w:bookmarkEnd w:id="207"/>
      <w:bookmarkEnd w:id="208"/>
      <w:bookmarkEnd w:id="209"/>
      <w:bookmarkEnd w:id="210"/>
    </w:p>
    <w:p w14:paraId="1D544DFB" w14:textId="77777777" w:rsidR="000F04AF" w:rsidRDefault="006D35A0" w:rsidP="006D35A0">
      <w:pPr>
        <w:widowControl w:val="0"/>
        <w:autoSpaceDE w:val="0"/>
        <w:autoSpaceDN w:val="0"/>
        <w:adjustRightInd w:val="0"/>
      </w:pPr>
      <w:r w:rsidRPr="00D64CEA">
        <w:t xml:space="preserve">The benefits of simoctocog alfa for </w:t>
      </w:r>
      <w:r>
        <w:t xml:space="preserve">routine </w:t>
      </w:r>
      <w:r w:rsidRPr="00D64CEA">
        <w:t xml:space="preserve">prophylaxis, treatment of breakthrough BEs, and prophylactic use in surgical procedures </w:t>
      </w:r>
      <w:r>
        <w:t>have</w:t>
      </w:r>
      <w:r w:rsidRPr="00D64CEA">
        <w:t xml:space="preserve"> been satisfactorily established in previously pre-treated adults and children </w:t>
      </w:r>
      <w:r>
        <w:t>(</w:t>
      </w:r>
      <w:r w:rsidRPr="00D64CEA">
        <w:t>aged 2</w:t>
      </w:r>
      <w:r>
        <w:t xml:space="preserve">-12 years) </w:t>
      </w:r>
      <w:r w:rsidRPr="00D64CEA">
        <w:t xml:space="preserve">with severe haemophilia A (FVIII:C &lt; 1%). However, there were no data in the submission </w:t>
      </w:r>
      <w:r>
        <w:t>in</w:t>
      </w:r>
      <w:r w:rsidRPr="00D64CEA">
        <w:t xml:space="preserve"> children aged &lt; 2 years of age, and there were only 2 patients in the submitted data </w:t>
      </w:r>
      <w:proofErr w:type="gramStart"/>
      <w:r w:rsidRPr="00D64CEA">
        <w:t>who</w:t>
      </w:r>
      <w:proofErr w:type="gramEnd"/>
      <w:r w:rsidRPr="00D64CEA">
        <w:t xml:space="preserve"> were aged 65 years or older. Nearly all patients in the studies were "white", and there were no data on the benefits of treatment in other racial groups. There were no data in female patients, however, as the disease occurs almost exclusively in males this deficiency is not considered to be significant. In terms of FVIII genotypes, most known FVIII gene mutations were single occurrence with the exception of intron 22 inversions</w:t>
      </w:r>
      <w:r w:rsidRPr="00D64CEA">
        <w:rPr>
          <w:i/>
        </w:rPr>
        <w:t xml:space="preserve">. </w:t>
      </w:r>
      <w:r w:rsidRPr="00D64CEA">
        <w:t>There were no data on previously untreated patients with severe haemophilia A.</w:t>
      </w:r>
    </w:p>
    <w:p w14:paraId="2CC0D9C6" w14:textId="77777777" w:rsidR="000F04AF" w:rsidRDefault="006D35A0" w:rsidP="006D35A0">
      <w:pPr>
        <w:widowControl w:val="0"/>
        <w:autoSpaceDE w:val="0"/>
        <w:autoSpaceDN w:val="0"/>
        <w:adjustRightInd w:val="0"/>
      </w:pPr>
      <w:r w:rsidRPr="00D64CEA">
        <w:t>The benefits of treatment outlined below are based of the data from the three pivotal studies (2 adult, 1 paediatric). The adult patients from the two supportive single-centre Russian studies differed from the adult patients from the two pivotal studies due to the presence of severe pre-existing joint disease, which the sponsor considers to be due to inadequate treatment. Nevertheless, the benefits of treatment with simoctocog alfa for patients in the Russian study are considered to be satisfactory.</w:t>
      </w:r>
    </w:p>
    <w:p w14:paraId="30D52D73" w14:textId="77777777" w:rsidR="000F04AF" w:rsidRDefault="006D35A0" w:rsidP="000E27F4">
      <w:pPr>
        <w:pStyle w:val="Heading4"/>
      </w:pPr>
      <w:r w:rsidRPr="009704FF">
        <w:t>Prophylaxis</w:t>
      </w:r>
    </w:p>
    <w:p w14:paraId="392B30AD" w14:textId="77777777" w:rsidR="000F04AF" w:rsidRDefault="006D35A0" w:rsidP="006D35A0">
      <w:r>
        <w:t xml:space="preserve">In the pivotal study in previously treated adults investigating simoctocog alfa as prophylaxis (GENA-08), the </w:t>
      </w:r>
      <w:r w:rsidRPr="00F30D16">
        <w:t xml:space="preserve">percentage of patients experiencing </w:t>
      </w:r>
      <w:r>
        <w:t xml:space="preserve">BEs </w:t>
      </w:r>
      <w:r w:rsidRPr="00F30D16">
        <w:t xml:space="preserve">while on prophylaxis </w:t>
      </w:r>
      <w:r>
        <w:t xml:space="preserve">was 50% (16/32), the number of exposure days (mean±SD) was 85.1±15.4, and the overall mean monthly BE rate was 0.188 (range: 0, 1.21) (spontaneous BEs/month 0.095 [range: 0, 0.71]; traumatic BEs/month 0.082 [range: 0, 0.68]). In this study, the overall efficacy of prophylactic treatment with simoctocog alfa as regards </w:t>
      </w:r>
      <w:r w:rsidRPr="000334EA">
        <w:rPr>
          <w:b/>
        </w:rPr>
        <w:t>all</w:t>
      </w:r>
      <w:r>
        <w:t xml:space="preserve"> BEs was classed as excellent (&lt; 0.75 BEs/month) in 90.6% (n=29) of patients, good (BEs 0.75 - 1.0 BEs/month) in 6.3% (n=2) of patients, and moderate (&gt; 1.0 - 1.5 BEs/month) in 3.1% (n=1) of patients. Using the same efficacy criteria for spontaneous BEs, the efficacy of prophylactic treatment was classed as excellent in all 32 patients (100%).</w:t>
      </w:r>
    </w:p>
    <w:p w14:paraId="4B287B94" w14:textId="77777777" w:rsidR="000F04AF" w:rsidRDefault="006D35A0" w:rsidP="006D35A0">
      <w:r>
        <w:t>In the pivotal study in previously treated children aged 2-12 years investigating simoctocog alfa as prophylaxis (GENA-03), the percentage of patients experiencing BEs while on prophylaxis was 54.2% (32/59), the number of exposure days (mean±SD) was 89.8±22.3, and the overall monthly BE rate was 0.338 (range: 0, 1.70)</w:t>
      </w:r>
      <w:r w:rsidRPr="00BC173C">
        <w:t xml:space="preserve"> </w:t>
      </w:r>
      <w:r>
        <w:t xml:space="preserve">(spontaneous BEs/month 0.123 [range: 0, 1.13]; traumatic BEs/month 0.192 [range: 0. 1.53]). The risk of experiencing a traumatic BE was greater than the risk of experiencing a spontaneous </w:t>
      </w:r>
      <w:proofErr w:type="gramStart"/>
      <w:r>
        <w:t>BE,</w:t>
      </w:r>
      <w:proofErr w:type="gramEnd"/>
      <w:r>
        <w:t xml:space="preserve"> which is not unexpected in children aged 2 to 12 years. The efficacy of prophylactic treatment with simoctocog alfa for </w:t>
      </w:r>
      <w:r w:rsidRPr="00A311E5">
        <w:rPr>
          <w:b/>
        </w:rPr>
        <w:t xml:space="preserve">all </w:t>
      </w:r>
      <w:r>
        <w:t xml:space="preserve">BEs was classed as excellent (&lt; 0.75 BEs/month) in 83.1% (49/59) of patients, good (0.75 - 1.0 </w:t>
      </w:r>
      <w:r>
        <w:lastRenderedPageBreak/>
        <w:t>BEs/month) in 8.5% (3/59) of patients, moderate (&gt; 1.0 - 1.5 BEs/month) in 5.1% (3/59) of patients, and poor (≥ 1.5 BEs/month) in 3.4% (2/59) of patients. Using the same efficacy criteria for spontaneous bleeds, 94.9% (56/59) of patients had excellent efficacy, 1.7% (1/59) had good efficacy, and 3.4% (2/59) had moderate efficacy. The efficacy of prophylactic treatment with simoctocog alfa was better in the subgroup of children aged 2-5 years compared with the sub-group of children with aged 6 -12 years with respect to any BEs, spontaneous BEs and traumatic BEs.</w:t>
      </w:r>
    </w:p>
    <w:p w14:paraId="5F9422B2" w14:textId="48F71D36" w:rsidR="006D35A0" w:rsidRPr="009704FF" w:rsidRDefault="006D35A0" w:rsidP="000E27F4">
      <w:pPr>
        <w:pStyle w:val="Heading4"/>
      </w:pPr>
      <w:r w:rsidRPr="009704FF">
        <w:t xml:space="preserve">On-demand treatment </w:t>
      </w:r>
      <w:r>
        <w:t>for BEs in patients not receiving prophylaxis</w:t>
      </w:r>
    </w:p>
    <w:p w14:paraId="57704819" w14:textId="77777777" w:rsidR="000F04AF" w:rsidRDefault="006D35A0" w:rsidP="006D35A0">
      <w:pPr>
        <w:widowControl w:val="0"/>
        <w:autoSpaceDE w:val="0"/>
        <w:autoSpaceDN w:val="0"/>
        <w:adjustRightInd w:val="0"/>
      </w:pPr>
      <w:r w:rsidRPr="00277E17">
        <w:t xml:space="preserve">In the </w:t>
      </w:r>
      <w:r>
        <w:t xml:space="preserve">pivotal </w:t>
      </w:r>
      <w:r w:rsidRPr="00277E17">
        <w:t xml:space="preserve">study of on-demand treatment in previously treated adults </w:t>
      </w:r>
      <w:r>
        <w:t xml:space="preserve">not receiving routine prophylaxis </w:t>
      </w:r>
      <w:r w:rsidRPr="00277E17">
        <w:t>(GENA-0</w:t>
      </w:r>
      <w:r>
        <w:t>1</w:t>
      </w:r>
      <w:r w:rsidRPr="00277E17">
        <w:t>), the 22 patients enrolled in the study experienced a total of 986 BE</w:t>
      </w:r>
      <w:r>
        <w:t xml:space="preserve">s treated with simoctocog alfa. </w:t>
      </w:r>
      <w:r w:rsidRPr="00277E17">
        <w:t>Of the 986 BEs, 65.1% (n=642) were spontaneous, 34.6% (n=341)</w:t>
      </w:r>
      <w:r>
        <w:t xml:space="preserve"> were traumatic, and 0.3% (n=3) </w:t>
      </w:r>
      <w:r w:rsidRPr="00277E17">
        <w:t xml:space="preserve">were due to other causes. In total, 42.2% (n=416) </w:t>
      </w:r>
      <w:r>
        <w:t xml:space="preserve">of the BEs </w:t>
      </w:r>
      <w:r w:rsidRPr="00277E17">
        <w:t xml:space="preserve">were </w:t>
      </w:r>
      <w:r>
        <w:t xml:space="preserve">classed as </w:t>
      </w:r>
      <w:r w:rsidRPr="00277E17">
        <w:t xml:space="preserve">minor, 57.4% (n=566) were </w:t>
      </w:r>
      <w:r>
        <w:t xml:space="preserve">classed as </w:t>
      </w:r>
      <w:r w:rsidRPr="00277E17">
        <w:t xml:space="preserve">moderate to major and 0.3% (n=3) were </w:t>
      </w:r>
      <w:r>
        <w:t xml:space="preserve">classed as </w:t>
      </w:r>
      <w:r w:rsidRPr="00277E17">
        <w:t xml:space="preserve">major to life-threatening. </w:t>
      </w:r>
      <w:r>
        <w:t xml:space="preserve">Overall, the </w:t>
      </w:r>
      <w:r w:rsidRPr="00277E17">
        <w:t xml:space="preserve">mean duration of treatment of BEs overall </w:t>
      </w:r>
      <w:proofErr w:type="gramStart"/>
      <w:r w:rsidRPr="00277E17">
        <w:t>was 1.1±0.75 days</w:t>
      </w:r>
      <w:proofErr w:type="gramEnd"/>
      <w:r w:rsidRPr="00277E17">
        <w:t xml:space="preserve"> (range</w:t>
      </w:r>
      <w:r>
        <w:t xml:space="preserve">: 1, </w:t>
      </w:r>
      <w:r w:rsidRPr="00277E17">
        <w:t xml:space="preserve">19 days). The median number of infusions administered to treat a BE was 1.0 (range: 1, 13) and the mean±SD dose per infusion was 32.3±10.6 IU/kg. The proportion of BEs requiring 1 infusion was 91.4% (841/986) and the proportion of BEs requiring 2 infusions was 5.8% (53/986). For all 986 BEs, personal efficacy was </w:t>
      </w:r>
      <w:r>
        <w:t>classed</w:t>
      </w:r>
      <w:r w:rsidRPr="00277E17">
        <w:t xml:space="preserve"> as excellent for 60.3%, good for 34.1% and moderate for 5.5%. For the 416 minor BEs, personal efficacy was </w:t>
      </w:r>
      <w:r>
        <w:t>classed</w:t>
      </w:r>
      <w:r w:rsidRPr="00277E17">
        <w:t xml:space="preserve"> as excellent for 75.0%, good for 23.6%, and</w:t>
      </w:r>
      <w:r>
        <w:t xml:space="preserve"> moderate for 1.4%. For the 566 </w:t>
      </w:r>
      <w:r w:rsidRPr="00277E17">
        <w:t xml:space="preserve">moderate to </w:t>
      </w:r>
      <w:proofErr w:type="gramStart"/>
      <w:r w:rsidRPr="00277E17">
        <w:t>major</w:t>
      </w:r>
      <w:proofErr w:type="gramEnd"/>
      <w:r w:rsidRPr="00277E17">
        <w:t xml:space="preserve"> BEs, personal efficacy was </w:t>
      </w:r>
      <w:r>
        <w:t>classed</w:t>
      </w:r>
      <w:r w:rsidRPr="00277E17">
        <w:t xml:space="preserve"> as excellent for 50.0%, good for 41.7%, and moderate for 8.3%. For the 3 major to life-threatening BEs, personal efficacy was </w:t>
      </w:r>
      <w:r>
        <w:t xml:space="preserve">classed </w:t>
      </w:r>
      <w:r w:rsidRPr="00277E17">
        <w:t>as excellent for 66.7% and moderate for 33.3%.</w:t>
      </w:r>
    </w:p>
    <w:p w14:paraId="2A31F9C1" w14:textId="77777777" w:rsidR="000F04AF" w:rsidRDefault="006D35A0" w:rsidP="000E27F4">
      <w:pPr>
        <w:pStyle w:val="Heading4"/>
      </w:pPr>
      <w:r w:rsidRPr="009704FF">
        <w:t>On-demand treatment for breakth</w:t>
      </w:r>
      <w:r>
        <w:t xml:space="preserve">rough </w:t>
      </w:r>
      <w:r w:rsidRPr="009704FF">
        <w:t>BEs in patients receiving prophylaxis</w:t>
      </w:r>
    </w:p>
    <w:p w14:paraId="77464FFC" w14:textId="77777777" w:rsidR="000F04AF" w:rsidRDefault="006D35A0" w:rsidP="006D35A0">
      <w:r>
        <w:t xml:space="preserve">In the pivotal study in previously treated adults assessing breakthrough BEs while on prophylactic treatment with simoctocog alfa (GENA-08), 15 of the 32 patients experienced 30 BEs requiring treatment with simoctocog alfa. The median number of simoctocog alfa infusions administered to treat a BE was 1.0 (range: 1, 12) and the mean±SD dose per infusion was 33.3±6.7 IU/kg. The proportion of the 30 BEs requiring only 1 or 2 infusions was 88.9% (1 infusion for 81.5% of BEs, 2 infusions for 7.4% of BEs). Personal efficacy assessments were available for 28 BEs, with 14 (50%) being classed a minor and 14 (50%) being classed as moderate to major. No BEs in this study </w:t>
      </w:r>
      <w:proofErr w:type="gramStart"/>
      <w:r>
        <w:t>were</w:t>
      </w:r>
      <w:proofErr w:type="gramEnd"/>
      <w:r>
        <w:t xml:space="preserve"> classed as major to life-threatening. For all 28 BEs, personal efficacy was rated as excellent for 71.4% (n=20) and good for 28.8% (n=8). For the 14 minor BEs, personal efficacy was rated as excellent for 85.7% (n=12) and good for 14.3% (n=2). For the 14 moderate to </w:t>
      </w:r>
      <w:proofErr w:type="gramStart"/>
      <w:r>
        <w:t>major</w:t>
      </w:r>
      <w:proofErr w:type="gramEnd"/>
      <w:r>
        <w:t xml:space="preserve"> BEs, personal efficacy was rated as excellent for 57.1% (n=8) and good for 42.9% (n=6). Overall, personal efficacy was rated as excellent or good for all 28 </w:t>
      </w:r>
      <w:proofErr w:type="gramStart"/>
      <w:r>
        <w:t>breakthrough</w:t>
      </w:r>
      <w:proofErr w:type="gramEnd"/>
      <w:r>
        <w:t xml:space="preserve"> BEs requiring treatment with simoctocog alfa.</w:t>
      </w:r>
    </w:p>
    <w:p w14:paraId="04F0F70D" w14:textId="77777777" w:rsidR="000F04AF" w:rsidRDefault="006D35A0" w:rsidP="006D35A0">
      <w:r w:rsidRPr="00D34D17">
        <w:t xml:space="preserve">In the primary study in previously treated children aged 2 to 12 years assessing breakthrough BEs while on prophylactic treatment with </w:t>
      </w:r>
      <w:r>
        <w:t xml:space="preserve">simoctocog alfa </w:t>
      </w:r>
      <w:r w:rsidRPr="00D34D17">
        <w:t xml:space="preserve">(GENA-03), </w:t>
      </w:r>
      <w:r>
        <w:t>32</w:t>
      </w:r>
      <w:r w:rsidRPr="00D34D17">
        <w:t xml:space="preserve"> </w:t>
      </w:r>
      <w:r>
        <w:t xml:space="preserve">of the 59 </w:t>
      </w:r>
      <w:r w:rsidRPr="00D34D17">
        <w:t>patients experienced 108 BEs</w:t>
      </w:r>
      <w:r>
        <w:t xml:space="preserve"> requiring treatment with simoctocog alfa. </w:t>
      </w:r>
      <w:r w:rsidRPr="00D34D17">
        <w:t xml:space="preserve">The median number of infusions administered to treat a BE was 1.0 (range: 1, 22) and the mean±SD dose per infusion was 45.1±12.6 IU/kg. The proportion of </w:t>
      </w:r>
      <w:r>
        <w:t xml:space="preserve">the 108 </w:t>
      </w:r>
      <w:r w:rsidRPr="00D34D17">
        <w:t>BEs requiring only 1 or 2 infusions was 81.3%</w:t>
      </w:r>
      <w:r>
        <w:t xml:space="preserve"> (1 infusion for 68.6% of BEs, 2 infusions for 12.7% of BEs). Of </w:t>
      </w:r>
      <w:r w:rsidRPr="00D34D17">
        <w:t>the 10</w:t>
      </w:r>
      <w:r>
        <w:t xml:space="preserve">8 BEs, 60.2% (n=65) were traumatic, 33.3% (n=65) were spontaneous, and 6.5% (n=7) were classified as "other". Of the 108 BEs, 56.5% (n=61) were classed as minor, 42.6% (n=46) as moderate to major and 1 (0.9%) was of unknown severity. There </w:t>
      </w:r>
      <w:r w:rsidRPr="00D34D17">
        <w:t xml:space="preserve">were </w:t>
      </w:r>
      <w:r>
        <w:t xml:space="preserve">no </w:t>
      </w:r>
      <w:r w:rsidRPr="00D34D17">
        <w:t>major to life threatening</w:t>
      </w:r>
      <w:r>
        <w:t xml:space="preserve"> BEs</w:t>
      </w:r>
      <w:r w:rsidRPr="00D34D17">
        <w:t xml:space="preserve">. </w:t>
      </w:r>
      <w:r>
        <w:t>Of all 108 BEs, personal</w:t>
      </w:r>
      <w:r w:rsidRPr="00D34D17">
        <w:t xml:space="preserve"> efficacy was </w:t>
      </w:r>
      <w:r>
        <w:t>rated as excellent for 71.3%</w:t>
      </w:r>
      <w:r w:rsidRPr="00D34D17">
        <w:t xml:space="preserve"> good for 11.1%, moderate for 15.7%, and none for 1.9%. For the 61 minor BEs, </w:t>
      </w:r>
      <w:r>
        <w:t xml:space="preserve">personal </w:t>
      </w:r>
      <w:r w:rsidRPr="00D34D17">
        <w:t xml:space="preserve">efficacy was </w:t>
      </w:r>
      <w:r>
        <w:t>rated</w:t>
      </w:r>
      <w:r w:rsidRPr="00D34D17">
        <w:t xml:space="preserve"> as excellent for 86.9%, good for 11.5%, </w:t>
      </w:r>
      <w:r>
        <w:t xml:space="preserve">and </w:t>
      </w:r>
      <w:r w:rsidRPr="00D34D17">
        <w:t xml:space="preserve">moderate for </w:t>
      </w:r>
      <w:r>
        <w:t xml:space="preserve">the remaining </w:t>
      </w:r>
      <w:r w:rsidRPr="00D34D17">
        <w:t>1.6%</w:t>
      </w:r>
      <w:r>
        <w:t xml:space="preserve">. Overall, efficacy for all minor BEs was rated as at least moderate. </w:t>
      </w:r>
      <w:r w:rsidRPr="00D34D17">
        <w:t xml:space="preserve">For the 46 moderate to </w:t>
      </w:r>
      <w:proofErr w:type="gramStart"/>
      <w:r w:rsidRPr="00D34D17">
        <w:t>major</w:t>
      </w:r>
      <w:proofErr w:type="gramEnd"/>
      <w:r w:rsidRPr="00D34D17">
        <w:t xml:space="preserve"> BEs, </w:t>
      </w:r>
      <w:r>
        <w:t xml:space="preserve">personal </w:t>
      </w:r>
      <w:r w:rsidRPr="00D34D17">
        <w:t xml:space="preserve">efficacy was </w:t>
      </w:r>
      <w:r>
        <w:t>rated</w:t>
      </w:r>
      <w:r w:rsidRPr="00D34D17">
        <w:t xml:space="preserve"> as excellent for 50.0%, good for 10.9%, moderate</w:t>
      </w:r>
      <w:r>
        <w:t xml:space="preserve"> for 34.8%, and none for 4.3%.</w:t>
      </w:r>
    </w:p>
    <w:p w14:paraId="2F3B34CF" w14:textId="77777777" w:rsidR="000F04AF" w:rsidRDefault="006D35A0" w:rsidP="000E27F4">
      <w:r w:rsidRPr="000E27F4">
        <w:lastRenderedPageBreak/>
        <w:t>In the paediatric study (GENA-03), sub-group analysis showed that the benefits of treatment with simoctocog alfa were applicable to children aged 2 to 5 years and aged 6 to 12 years. BEs occurring while on prophylactic treatment with simoctocog alfa occurred more frequently in children in the older age sub-group group compared with the younger age sub-group group. The efficacy of prophylactic treatment for all BEs was rated as excellent or good in 96.6% (93.1% and 3.4%, respectively) children in the younger age sub-group and 86.7% (73.3% and 13.3%, respectively) of children in the older age sub-group. Furthermore, the efficacy of prophylactic simoctocog alfa treatment for spontaneous BEs was rated as excellent in the majority of patients in both the younger and older age sub-groups (96.6% vs 93.3%, respectively).</w:t>
      </w:r>
    </w:p>
    <w:p w14:paraId="127F9940" w14:textId="77777777" w:rsidR="000F04AF" w:rsidRDefault="006D35A0" w:rsidP="006D35A0">
      <w:pPr>
        <w:widowControl w:val="0"/>
        <w:autoSpaceDE w:val="0"/>
        <w:autoSpaceDN w:val="0"/>
        <w:adjustRightInd w:val="0"/>
      </w:pPr>
      <w:r>
        <w:t>In the sub-group analysis based on age (GENA-03), of the 108 breakthrough BEs treated with simoctocog alfa, 33 (30.6%) occurred in the 2-5 years sub-group and 75 (69.4%) occurred in the 6-12 years sub-group. For all breakthrough BEs treated with simoctocog alfa efficacy in the 2-5 years (n=33) sub-group vs the 6-12 years (n=75) sub-group, efficacy was rated as excellent for 63.6% vs 74.7%, good for 18.2% vs 8.0%, moderate for 18.2% vs 14.7%, and none for 0% vs 2.7%. For the minor breakthrough BEs treated with simoctocog alfa in the 2-5 years (n=20) sub-group vs the 6-12 years (n=41) sub-group, efficacy was rated as excellent for 75.0% vs 92.7%, good for 25.0% vs 4.9%, moderate for 0% vs 2.4%, and none for no patients in either sub-group. For moderate to major breakthrough BEs treated with simoctocog alfa in the 2-5 years (n=13) sub-group vs the 6-12 years (n=33) sub-group, efficacy was rated as excellent for 46.2% vs 51.5%, good for 7.7% vs 12.1%%, moderate for 46.2% vs 30.3%, and none for 0% vs 6.1%.</w:t>
      </w:r>
    </w:p>
    <w:p w14:paraId="22BAD03C" w14:textId="77777777" w:rsidR="000F04AF" w:rsidRDefault="006D35A0" w:rsidP="000E27F4">
      <w:pPr>
        <w:pStyle w:val="Heading4"/>
      </w:pPr>
      <w:r w:rsidRPr="000D1808">
        <w:t>Surgical prophylaxis</w:t>
      </w:r>
    </w:p>
    <w:p w14:paraId="0E44A086" w14:textId="77777777" w:rsidR="000F04AF" w:rsidRDefault="006D35A0" w:rsidP="006D35A0">
      <w:r>
        <w:t xml:space="preserve">In the total patient population from the five submitted studies (adults and children), 19 patients underwent 33 surgical procedures. </w:t>
      </w:r>
      <w:r w:rsidRPr="009131E6">
        <w:t>For all surgical procedures combined (</w:t>
      </w:r>
      <w:r w:rsidR="001A2E59">
        <w:t>that is,</w:t>
      </w:r>
      <w:r w:rsidRPr="009131E6">
        <w:t xml:space="preserve"> minor and major), efficacy was rated as excellent for 87.9% (29/33), good for 9.1% (3/33), </w:t>
      </w:r>
      <w:r>
        <w:t xml:space="preserve">and </w:t>
      </w:r>
      <w:r w:rsidRPr="009131E6">
        <w:t>moderate for 3.0%</w:t>
      </w:r>
      <w:r>
        <w:t xml:space="preserve"> </w:t>
      </w:r>
      <w:r w:rsidRPr="009131E6">
        <w:t>(1/33)</w:t>
      </w:r>
      <w:r>
        <w:t xml:space="preserve">. All 33 surgical procedures were reported as having at least moderate efficacy. </w:t>
      </w:r>
      <w:r w:rsidRPr="009131E6">
        <w:t xml:space="preserve">For the 13 major surgical procedures </w:t>
      </w:r>
      <w:r>
        <w:t xml:space="preserve">in 12 patients, </w:t>
      </w:r>
      <w:r w:rsidRPr="009131E6">
        <w:t>efficacy was rated as excellent for 69.2% (9/13), good for 23.1% (3/13)</w:t>
      </w:r>
      <w:r>
        <w:t xml:space="preserve">, and moderate for 7.6% (1/13). In the paediatric study (GENA-03), 6 patients (5 with haemophilia A and 1 with VWD) underwent 6 planned major surgical procedures. In all 5 surgical procedures in the 5 children with haemophilia </w:t>
      </w:r>
      <w:proofErr w:type="gramStart"/>
      <w:r>
        <w:t>A</w:t>
      </w:r>
      <w:proofErr w:type="gramEnd"/>
      <w:r>
        <w:t xml:space="preserve"> overall efficacy was rated as excellent by both the surgeon and the haematologist.</w:t>
      </w:r>
    </w:p>
    <w:p w14:paraId="1CC990F4" w14:textId="73D35A85" w:rsidR="006D35A0" w:rsidRDefault="006D35A0" w:rsidP="000E27F4">
      <w:pPr>
        <w:pStyle w:val="Heading3"/>
      </w:pPr>
      <w:bookmarkStart w:id="211" w:name="_Toc236802596"/>
      <w:bookmarkStart w:id="212" w:name="_Toc241374334"/>
      <w:bookmarkStart w:id="213" w:name="_Ref272160964"/>
      <w:bookmarkStart w:id="214" w:name="_Toc272414694"/>
      <w:bookmarkStart w:id="215" w:name="_Toc290846332"/>
      <w:bookmarkStart w:id="216" w:name="_Toc266446528"/>
      <w:bookmarkStart w:id="217" w:name="_Toc453765976"/>
      <w:r>
        <w:t>First round assessment of risks</w:t>
      </w:r>
      <w:bookmarkEnd w:id="211"/>
      <w:bookmarkEnd w:id="212"/>
      <w:bookmarkEnd w:id="213"/>
      <w:bookmarkEnd w:id="214"/>
      <w:bookmarkEnd w:id="215"/>
      <w:bookmarkEnd w:id="216"/>
      <w:bookmarkEnd w:id="217"/>
    </w:p>
    <w:p w14:paraId="1076A62C" w14:textId="77777777" w:rsidR="000F04AF" w:rsidRDefault="006D35A0" w:rsidP="000E27F4">
      <w:r w:rsidRPr="00150A89">
        <w:t xml:space="preserve">The risks of </w:t>
      </w:r>
      <w:r>
        <w:t xml:space="preserve">simoctocog alfa </w:t>
      </w:r>
      <w:r w:rsidRPr="00150A89">
        <w:t xml:space="preserve">have been investigated in 135 </w:t>
      </w:r>
      <w:r>
        <w:t xml:space="preserve">previously treated </w:t>
      </w:r>
      <w:r w:rsidRPr="00150A89">
        <w:t xml:space="preserve">male patients with severe haemophilia </w:t>
      </w:r>
      <w:proofErr w:type="gramStart"/>
      <w:r w:rsidRPr="00150A89">
        <w:t>A</w:t>
      </w:r>
      <w:proofErr w:type="gramEnd"/>
      <w:r w:rsidRPr="00150A89">
        <w:t xml:space="preserve"> aged 2 to 75 years, including 59 patients aged 2 to 12 years of age. It is considered that the risks of treatment with </w:t>
      </w:r>
      <w:r>
        <w:t>simoctocog alfa are acceptable for the proposed indications in patients aged 2 years and above. There are no safety data in patients aged &lt; 2 years or aged &gt; 75 years. There are no safety data in previously untreated patients with severe haemophilia A.</w:t>
      </w:r>
    </w:p>
    <w:p w14:paraId="315D2E7C" w14:textId="77777777" w:rsidR="000F04AF" w:rsidRDefault="006D35A0" w:rsidP="000E27F4">
      <w:pPr>
        <w:rPr>
          <w:vertAlign w:val="superscript"/>
        </w:rPr>
      </w:pPr>
      <w:r>
        <w:t xml:space="preserve">None of the 135 patients in the total safety population had developed </w:t>
      </w:r>
      <w:r w:rsidRPr="00150A89">
        <w:t xml:space="preserve">FVIII inhibitors </w:t>
      </w:r>
      <w:r>
        <w:t>(</w:t>
      </w:r>
      <w:r w:rsidR="001A2E59">
        <w:t>that is,</w:t>
      </w:r>
      <w:r>
        <w:t xml:space="preserve"> neutralising antibodies) at the data-lock point, but it is possible that longer periods of exposure to simoctocog alfa might result in the formation of inhibitors in some patients. It has been estimated that the incidence of inhibitor development in previously treated patients with haemophilia A, treated on at least 150 EDs is ~2 per 1000 patient-years.</w:t>
      </w:r>
      <w:r w:rsidRPr="005F0EB2">
        <w:rPr>
          <w:vertAlign w:val="superscript"/>
        </w:rPr>
        <w:t>10</w:t>
      </w:r>
    </w:p>
    <w:p w14:paraId="7C720823" w14:textId="77777777" w:rsidR="000F04AF" w:rsidRDefault="006D35A0" w:rsidP="000E27F4">
      <w:r w:rsidRPr="000E27F4">
        <w:t xml:space="preserve">The sponsor stated that no hypersensitivity or allergic reactions (including anaphylactic shock) were observed in any of the clinical studies. However, 5 cases of rash were reported in the total safety population, including 4 in the paediatric study (GENA-03). In addition, in GENA-03 the IDMC identified 3 cases of rash in 3 children and 3 cases of chills in 2 children as being "possibly" related to treatment with simoctocog alfa. Furthermore, there was 1 case of "allergic oedema" identified in the paediatric study GENA-03, and 2 cases of pruritus identified in GENA-01 (1 case, adult) and in GENA-03 (1 case, paediatric). Although no hypersensitivity or allergic </w:t>
      </w:r>
      <w:r w:rsidRPr="000E27F4">
        <w:lastRenderedPageBreak/>
        <w:t>reactions have been reported in the safety population, the sponsor will be requested to provide further information on the cases of rash, chills, pruritus, and allergic oedema in order to clarify the nature of these events.</w:t>
      </w:r>
    </w:p>
    <w:p w14:paraId="02F09D12" w14:textId="77777777" w:rsidR="000F04AF" w:rsidRDefault="006D35A0" w:rsidP="000E27F4">
      <w:r w:rsidRPr="000E27F4">
        <w:t>Of the 135 patients in the total safety population, 79 (58.5%) experienced a total of 272 AEs. None of the reported AEs are considered to raise safety signals for simoctocog alfa. In the total safety population, AEs occurring in ≥ 2% of patients (</w:t>
      </w:r>
      <w:r w:rsidR="001A2E59">
        <w:t>that is,</w:t>
      </w:r>
      <w:r w:rsidRPr="000E27F4">
        <w:t xml:space="preserve"> ≥ 3 patients) in descending order of frequency were nasopharyngitis (8.1%), pyrexia (7.4%), headache (7.4%), rhinitis (5.2%), cough (4.4%), diarrhoea (3.7%), chills (3.7%), injury (3.7%), rash (3.7%), abdominal pain (3.0%), varicella (3.0%), arthralgia, (3.0%), back pain (3.0%), bronchitis (2.2%), upper RTI (2.2%), and head injury (2.2%). Increased ALT and AST levels were reported in 1 patient each, and no cases of increased serum creatinine were reported. No thromboembolic AEs were reported.</w:t>
      </w:r>
    </w:p>
    <w:p w14:paraId="4F4196C1" w14:textId="77777777" w:rsidR="000F04AF" w:rsidRDefault="006D35A0" w:rsidP="000E27F4">
      <w:r>
        <w:t>In the total safety population, there were 10 (7.4%) patients with 14 AEs (5.1%) judged by the investigator and/or IDMC to be possibly or probably related to simoctocog alfa (</w:t>
      </w:r>
      <w:r w:rsidR="001A2E59">
        <w:t>that is,</w:t>
      </w:r>
      <w:r>
        <w:t xml:space="preserve"> 6 AEs in 3 adults; 8 AEs in 7 children). These 14 events included </w:t>
      </w:r>
      <w:r w:rsidRPr="00150A89">
        <w:t xml:space="preserve">injection site pain in 1 patient, back pain in 1 patient, headache in 1 patient, anti-FVIII antibody in 1 patient, </w:t>
      </w:r>
      <w:r>
        <w:t xml:space="preserve">rash in 3 patients, chills in 2 patients, and </w:t>
      </w:r>
      <w:r w:rsidRPr="00150A89">
        <w:t xml:space="preserve">vertigo, dry mouth, paraesthesia, and injection site pain all in the same patient. </w:t>
      </w:r>
      <w:r>
        <w:t>In the paediatric population (GENA-03), there were 7 (11.9%) patients with 8 (6.5%) AEs judged by the investigator and/or IDMC to be possibly or probably related to simoctocog alfa. These 8 events were 1 event of chills in each of 3 patients, 2 separate events of rash in 1 patient, 1 event of rash in 1 patient, 1 event of back pain in 1 patient, and 1 event of headache in1 patient.</w:t>
      </w:r>
    </w:p>
    <w:p w14:paraId="3F84DA89" w14:textId="77777777" w:rsidR="000F04AF" w:rsidRDefault="006D35A0" w:rsidP="000E27F4">
      <w:r w:rsidRPr="00150A89">
        <w:t>One death occurred in the total safety population</w:t>
      </w:r>
      <w:r>
        <w:t xml:space="preserve"> </w:t>
      </w:r>
      <w:r w:rsidRPr="00150A89">
        <w:t>(acute respiratory and cardiovascular failure associated with status epilepticus in 1 patient with a known history of epilepsy)</w:t>
      </w:r>
      <w:r>
        <w:t xml:space="preserve">, and this death was considered to be unrelated to treatment. </w:t>
      </w:r>
      <w:r w:rsidRPr="00150A89">
        <w:t>Excluding death, there were 11 other SAEs in 8 patients and all events were considered to be unrelated to treatment. The 11 SAEs included depression/suicidal in 1 patient, traumatic fracture in 1 patient, device-related infection in 1 patient, head injury in 2 patients, haemarthrosis in 1 patient, hepatic encephalopathy/hepatic cirrhosis in 1</w:t>
      </w:r>
      <w:r>
        <w:t xml:space="preserve"> patient, and acute tonsillitis, upper RTI, and </w:t>
      </w:r>
      <w:r w:rsidRPr="00150A89">
        <w:t xml:space="preserve">lower RTI </w:t>
      </w:r>
      <w:r>
        <w:t xml:space="preserve">all occurring </w:t>
      </w:r>
      <w:r w:rsidRPr="00150A89">
        <w:t xml:space="preserve">in 1 patient. All 11 SAEs recovered/resolved except for the </w:t>
      </w:r>
      <w:r>
        <w:t>one case of hepatic cirrhosis, which had still not recovered/not resolved at the data cut-off date. Premature w</w:t>
      </w:r>
      <w:r w:rsidRPr="00150A89">
        <w:t xml:space="preserve">ithdrawals from treatment (all reasons) were reported in 7 (5.1%) patients, and the only AEs resulting in withdrawal were those associated with the </w:t>
      </w:r>
      <w:r>
        <w:t>one death.</w:t>
      </w:r>
    </w:p>
    <w:p w14:paraId="0198BFA1" w14:textId="77777777" w:rsidR="000F04AF" w:rsidRDefault="006D35A0" w:rsidP="000E27F4">
      <w:r w:rsidRPr="00150A89">
        <w:t>Clinically significant laboratory abnormalities (haematological, biochemical, urinalysis) were uncommon, as were clinically significant abnormalities in vital signs. No patients were found to be positive for HBV or HCV infection.</w:t>
      </w:r>
    </w:p>
    <w:p w14:paraId="1B85CBDC" w14:textId="66C07D6E" w:rsidR="006D35A0" w:rsidRPr="00DB5346" w:rsidRDefault="006D35A0" w:rsidP="00DB5346">
      <w:pPr>
        <w:pStyle w:val="Heading3"/>
      </w:pPr>
      <w:bookmarkStart w:id="218" w:name="_Toc236802597"/>
      <w:bookmarkStart w:id="219" w:name="_Toc241374335"/>
      <w:bookmarkStart w:id="220" w:name="_Toc272414695"/>
      <w:bookmarkStart w:id="221" w:name="_Toc290846333"/>
      <w:bookmarkStart w:id="222" w:name="_Toc266446529"/>
      <w:bookmarkStart w:id="223" w:name="_Toc453765977"/>
      <w:r w:rsidRPr="00DB5346">
        <w:t>First round assessment of benefit-risk balance</w:t>
      </w:r>
      <w:bookmarkEnd w:id="218"/>
      <w:bookmarkEnd w:id="219"/>
      <w:bookmarkEnd w:id="220"/>
      <w:bookmarkEnd w:id="221"/>
      <w:bookmarkEnd w:id="222"/>
      <w:bookmarkEnd w:id="223"/>
    </w:p>
    <w:p w14:paraId="749941A0" w14:textId="77777777" w:rsidR="000F04AF" w:rsidRDefault="006D35A0" w:rsidP="006D35A0">
      <w:r>
        <w:t>The benefit-risk benefit for simoctocog alfa for the proposed indications is considered to be favourable for patients with severe haemophilia A in adults and children aged 2 years and older.</w:t>
      </w:r>
    </w:p>
    <w:p w14:paraId="1C340362" w14:textId="5BFC2EB8" w:rsidR="00C22678" w:rsidRPr="00DB5346" w:rsidRDefault="00C22678" w:rsidP="000E27F4">
      <w:pPr>
        <w:pStyle w:val="Heading2"/>
      </w:pPr>
      <w:bookmarkStart w:id="224" w:name="_Toc453765978"/>
      <w:r w:rsidRPr="00DB5346">
        <w:t>First round recommendation regarding authorisation</w:t>
      </w:r>
      <w:bookmarkEnd w:id="224"/>
    </w:p>
    <w:p w14:paraId="127277AF" w14:textId="20CAE77D" w:rsidR="006D35A0" w:rsidRDefault="006D35A0" w:rsidP="006D35A0">
      <w:r>
        <w:t>It is recommended that N</w:t>
      </w:r>
      <w:r w:rsidR="00596EBE">
        <w:t>uwiq</w:t>
      </w:r>
      <w:r>
        <w:t xml:space="preserve"> be approved for:</w:t>
      </w:r>
    </w:p>
    <w:p w14:paraId="4C662713" w14:textId="77777777" w:rsidR="006D35A0" w:rsidRPr="000E27F4" w:rsidRDefault="006D35A0" w:rsidP="000E27F4">
      <w:pPr>
        <w:ind w:left="720"/>
        <w:rPr>
          <w:i/>
        </w:rPr>
      </w:pPr>
      <w:r w:rsidRPr="000E27F4">
        <w:rPr>
          <w:i/>
        </w:rPr>
        <w:t xml:space="preserve">Treatment and prophylaxis of bleeding (also during and after surgery) in previously treated patients with haemophilia </w:t>
      </w:r>
      <w:proofErr w:type="gramStart"/>
      <w:r w:rsidRPr="000E27F4">
        <w:rPr>
          <w:i/>
        </w:rPr>
        <w:t>A</w:t>
      </w:r>
      <w:proofErr w:type="gramEnd"/>
      <w:r w:rsidRPr="000E27F4">
        <w:rPr>
          <w:i/>
        </w:rPr>
        <w:t xml:space="preserve"> (congenital factor VIII deficiency).</w:t>
      </w:r>
    </w:p>
    <w:p w14:paraId="05F5EE14" w14:textId="77777777" w:rsidR="006D35A0" w:rsidRPr="000E27F4" w:rsidRDefault="006D35A0" w:rsidP="000E27F4">
      <w:pPr>
        <w:ind w:left="720"/>
        <w:rPr>
          <w:i/>
        </w:rPr>
      </w:pPr>
      <w:r w:rsidRPr="000E27F4">
        <w:rPr>
          <w:i/>
        </w:rPr>
        <w:t xml:space="preserve">Nuwiq is also indicated in haemophilia </w:t>
      </w:r>
      <w:proofErr w:type="gramStart"/>
      <w:r w:rsidRPr="000E27F4">
        <w:rPr>
          <w:i/>
        </w:rPr>
        <w:t>A</w:t>
      </w:r>
      <w:proofErr w:type="gramEnd"/>
      <w:r w:rsidRPr="000E27F4">
        <w:rPr>
          <w:i/>
        </w:rPr>
        <w:t xml:space="preserve"> patients with known allergic reactions to mouse or hamster protein, in which hamster cell derived rFVIII are contraindicated.</w:t>
      </w:r>
    </w:p>
    <w:p w14:paraId="258D9C56" w14:textId="77777777" w:rsidR="000F04AF" w:rsidRDefault="006D35A0" w:rsidP="000E27F4">
      <w:pPr>
        <w:ind w:left="720"/>
        <w:rPr>
          <w:i/>
        </w:rPr>
      </w:pPr>
      <w:r w:rsidRPr="000E27F4">
        <w:rPr>
          <w:i/>
        </w:rPr>
        <w:lastRenderedPageBreak/>
        <w:t>Nuwiq is appropriate for use in adults and children aged 2 years and above. There are no data in children (including newborns) under the age of 2 years.</w:t>
      </w:r>
    </w:p>
    <w:p w14:paraId="2DC56AFD" w14:textId="77777777" w:rsidR="000F04AF" w:rsidRDefault="006D35A0" w:rsidP="000E27F4">
      <w:pPr>
        <w:ind w:left="1134" w:hanging="1134"/>
        <w:rPr>
          <w:lang w:eastAsia="ja-JP"/>
        </w:rPr>
      </w:pPr>
      <w:r w:rsidRPr="000E27F4">
        <w:rPr>
          <w:rFonts w:asciiTheme="minorHAnsi" w:hAnsiTheme="minorHAnsi"/>
        </w:rPr>
        <w:t>Comment:</w:t>
      </w:r>
      <w:r w:rsidRPr="000E27F4">
        <w:rPr>
          <w:rFonts w:asciiTheme="minorHAnsi" w:hAnsiTheme="minorHAnsi"/>
        </w:rPr>
        <w:tab/>
        <w:t xml:space="preserve">The indication should refer to previously treated patients, as there are no data in untreated patients with severe haemophilia A. It is not recommended that NUWIQ be approved for use in children under the age of 2 years (including newborns) as there </w:t>
      </w:r>
      <w:proofErr w:type="gramStart"/>
      <w:r w:rsidRPr="000E27F4">
        <w:rPr>
          <w:rFonts w:asciiTheme="minorHAnsi" w:hAnsiTheme="minorHAnsi"/>
        </w:rPr>
        <w:t>are</w:t>
      </w:r>
      <w:proofErr w:type="gramEnd"/>
      <w:r w:rsidRPr="000E27F4">
        <w:rPr>
          <w:rFonts w:asciiTheme="minorHAnsi" w:hAnsiTheme="minorHAnsi"/>
        </w:rPr>
        <w:t xml:space="preserve"> no PK, efficacy, or safety data for the product in this patient population. The sponsor indicates that children under the age of 2 years are eligible to participate in on-going study GENA-05 which is enrolling previously untreated patients with severe haemophilia A with no age restrictions. The submission indicates that a post-authorisation study to document the long-term immunogenicity, safety and efficacy of simoctocog alfa in patients with haemophilia A treated in routine clinical practice is planned to start in Q2, 2015 (GENA-99).</w:t>
      </w:r>
    </w:p>
    <w:p w14:paraId="03CD4C85" w14:textId="44B34E08" w:rsidR="00C22678" w:rsidRPr="00DB5346" w:rsidRDefault="00C22678" w:rsidP="00DB5346">
      <w:pPr>
        <w:pStyle w:val="Heading2"/>
      </w:pPr>
      <w:bookmarkStart w:id="225" w:name="_Toc453765979"/>
      <w:r w:rsidRPr="00DB5346">
        <w:t>Clinical questions</w:t>
      </w:r>
      <w:bookmarkEnd w:id="225"/>
    </w:p>
    <w:p w14:paraId="75FD2F41" w14:textId="77777777" w:rsidR="00C22678" w:rsidRPr="00DB5346" w:rsidRDefault="00C618F7" w:rsidP="00DB5346">
      <w:pPr>
        <w:pStyle w:val="Heading3"/>
      </w:pPr>
      <w:bookmarkStart w:id="226" w:name="_Toc453765980"/>
      <w:r w:rsidRPr="00DB5346">
        <w:t>Pharmacokinetics</w:t>
      </w:r>
      <w:bookmarkEnd w:id="226"/>
    </w:p>
    <w:p w14:paraId="497897D0" w14:textId="77777777" w:rsidR="000F04AF" w:rsidRDefault="008248FD" w:rsidP="000E27F4">
      <w:pPr>
        <w:pStyle w:val="Numberbullet0"/>
        <w:numPr>
          <w:ilvl w:val="0"/>
          <w:numId w:val="50"/>
        </w:numPr>
      </w:pPr>
      <w:r>
        <w:t>For GENA-03, please provide the demographic characteristics of the 26 patients included in the PK-PP population.</w:t>
      </w:r>
    </w:p>
    <w:p w14:paraId="7061B178" w14:textId="09A63CD6" w:rsidR="00C618F7" w:rsidRDefault="00C618F7" w:rsidP="00DB5346">
      <w:pPr>
        <w:pStyle w:val="Heading3"/>
      </w:pPr>
      <w:bookmarkStart w:id="227" w:name="_Toc453765981"/>
      <w:r w:rsidRPr="00DB5346">
        <w:t>Pharmacodynamics</w:t>
      </w:r>
      <w:bookmarkEnd w:id="227"/>
    </w:p>
    <w:p w14:paraId="6EE2413A" w14:textId="77777777" w:rsidR="00DB5346" w:rsidRPr="00DB5346" w:rsidRDefault="00DB5346" w:rsidP="00DB5346">
      <w:pPr>
        <w:rPr>
          <w:lang w:eastAsia="ja-JP"/>
        </w:rPr>
      </w:pPr>
      <w:r w:rsidRPr="000E27F4">
        <w:rPr>
          <w:lang w:eastAsia="ja-JP"/>
        </w:rPr>
        <w:t xml:space="preserve">No </w:t>
      </w:r>
      <w:r w:rsidR="003348A7" w:rsidRPr="000E27F4">
        <w:rPr>
          <w:lang w:eastAsia="ja-JP"/>
        </w:rPr>
        <w:t>questions submitted</w:t>
      </w:r>
      <w:r w:rsidRPr="000E27F4">
        <w:rPr>
          <w:lang w:eastAsia="ja-JP"/>
        </w:rPr>
        <w:t>.</w:t>
      </w:r>
    </w:p>
    <w:p w14:paraId="78ED38FD" w14:textId="77777777" w:rsidR="00C618F7" w:rsidRPr="00DB5346" w:rsidRDefault="00C618F7" w:rsidP="00DB5346">
      <w:pPr>
        <w:pStyle w:val="Heading3"/>
      </w:pPr>
      <w:bookmarkStart w:id="228" w:name="_Toc453765982"/>
      <w:r w:rsidRPr="00DB5346">
        <w:t>Efficacy</w:t>
      </w:r>
      <w:bookmarkEnd w:id="228"/>
    </w:p>
    <w:p w14:paraId="61B15038" w14:textId="77777777" w:rsidR="000F04AF" w:rsidRDefault="008248FD" w:rsidP="000E27F4">
      <w:pPr>
        <w:pStyle w:val="Numberbullet0"/>
        <w:numPr>
          <w:ilvl w:val="0"/>
          <w:numId w:val="49"/>
        </w:numPr>
      </w:pPr>
      <w:r w:rsidRPr="000E27F4">
        <w:t>In GENA-03, for prophylaxis children were treated with simoctocog alfa every other day or 3 times a week. Does the sponsor have any data comparing the efficacy of the every other day versus 3 times a week regimens? Please comment on the potential efficacy difference between the two regimens in children aged 2 to 12 years.</w:t>
      </w:r>
    </w:p>
    <w:p w14:paraId="687A6DE3" w14:textId="77777777" w:rsidR="000F04AF" w:rsidRDefault="008248FD" w:rsidP="000E27F4">
      <w:pPr>
        <w:pStyle w:val="Numberbullet0"/>
        <w:numPr>
          <w:ilvl w:val="0"/>
          <w:numId w:val="49"/>
        </w:numPr>
      </w:pPr>
      <w:r w:rsidRPr="000E27F4">
        <w:t>In GENA-03, please provide the number and percentage of children with plasma FVIII</w:t>
      </w:r>
      <w:proofErr w:type="gramStart"/>
      <w:r w:rsidRPr="000E27F4">
        <w:t>:C</w:t>
      </w:r>
      <w:proofErr w:type="gramEnd"/>
      <w:r w:rsidRPr="000E27F4">
        <w:t xml:space="preserve"> ≥ 0.01 IU/mL before the first PK and IVR assessments as assessed by both the CHR and OS assays, and compare these results with the corresponding assessments obtained in the screening period.</w:t>
      </w:r>
    </w:p>
    <w:p w14:paraId="2948C325" w14:textId="6A5F6389" w:rsidR="008248FD" w:rsidRPr="000E27F4" w:rsidRDefault="008248FD" w:rsidP="000E27F4">
      <w:pPr>
        <w:pStyle w:val="Numberbullet0"/>
        <w:numPr>
          <w:ilvl w:val="0"/>
          <w:numId w:val="49"/>
        </w:numPr>
      </w:pPr>
      <w:r w:rsidRPr="000E27F4">
        <w:t>It was stated that GENA-04 was terminated prematurely due to substantial changes in data requirements introduced by the Russian authorities. What were the changes in the data requirements required by the Russian authorities?</w:t>
      </w:r>
    </w:p>
    <w:p w14:paraId="67732D25" w14:textId="77777777" w:rsidR="00C618F7" w:rsidRPr="00DB5346" w:rsidRDefault="00C618F7" w:rsidP="00DB5346">
      <w:pPr>
        <w:pStyle w:val="Heading3"/>
      </w:pPr>
      <w:bookmarkStart w:id="229" w:name="_Toc453765983"/>
      <w:r w:rsidRPr="00DB5346">
        <w:t>Safety</w:t>
      </w:r>
      <w:bookmarkEnd w:id="229"/>
    </w:p>
    <w:p w14:paraId="2FD0C44F" w14:textId="77777777" w:rsidR="000F04AF" w:rsidRDefault="008248FD" w:rsidP="000E27F4">
      <w:pPr>
        <w:pStyle w:val="Numberbullet0"/>
        <w:numPr>
          <w:ilvl w:val="0"/>
          <w:numId w:val="49"/>
        </w:numPr>
      </w:pPr>
      <w:r w:rsidRPr="000E27F4">
        <w:t>How long after the last dose of simoctocog alfa were adverse event data collected in the five submitted studies with safety data (</w:t>
      </w:r>
      <w:r w:rsidR="001A2E59">
        <w:t>for example,</w:t>
      </w:r>
      <w:r w:rsidRPr="000E27F4">
        <w:t xml:space="preserve"> were events occurring up to and including 30 days after the last dose considered to be treatment-emergent adverse events)?</w:t>
      </w:r>
    </w:p>
    <w:p w14:paraId="00F87B7F" w14:textId="3BD6859E" w:rsidR="008248FD" w:rsidRPr="000E27F4" w:rsidRDefault="008248FD" w:rsidP="000E27F4">
      <w:pPr>
        <w:pStyle w:val="Numberbullet0"/>
        <w:numPr>
          <w:ilvl w:val="0"/>
          <w:numId w:val="49"/>
        </w:numPr>
      </w:pPr>
      <w:r w:rsidRPr="000E27F4">
        <w:t>In the total safety population (n=135), 5 cases of rash were identified (1 in GENA-01, 4 in GENA-03). The IDMC identified 3 cases of rash (2 separate events in 1 patient, 1 event in 1 patient) in GENA-03 as being "possibly" related to treatment. Does the sponsor have any information on the 5 cases of rash identified in the safety population? In particular, can it be determined if any of the rashes were likely to be hypersensitivity or allergic reactions to simoctocog alfa (</w:t>
      </w:r>
      <w:r w:rsidR="001A2E59">
        <w:t>for example,</w:t>
      </w:r>
      <w:r w:rsidRPr="000E27F4">
        <w:t xml:space="preserve"> urticaria)?</w:t>
      </w:r>
    </w:p>
    <w:p w14:paraId="01CC56DB" w14:textId="77777777" w:rsidR="000F04AF" w:rsidRDefault="008248FD" w:rsidP="000E27F4">
      <w:pPr>
        <w:pStyle w:val="Numberbullet0"/>
        <w:numPr>
          <w:ilvl w:val="0"/>
          <w:numId w:val="49"/>
        </w:numPr>
      </w:pPr>
      <w:r w:rsidRPr="000E27F4">
        <w:lastRenderedPageBreak/>
        <w:t>In GENA-03, 3 cases of chills (1 event in each of 3 paediatric patients) were reported by the IDMC as "possibly" related to treatment with simoctocog alfa. Please explain why these events are not considered to be hypersensitivity reactions?</w:t>
      </w:r>
    </w:p>
    <w:p w14:paraId="2BD87B38" w14:textId="77777777" w:rsidR="000F04AF" w:rsidRDefault="008248FD" w:rsidP="000E27F4">
      <w:pPr>
        <w:pStyle w:val="Numberbullet0"/>
        <w:numPr>
          <w:ilvl w:val="0"/>
          <w:numId w:val="49"/>
        </w:numPr>
      </w:pPr>
      <w:r w:rsidRPr="000E27F4">
        <w:t>In the total safety population (n=135), 2 cases of pruritus were identified (1 in GENA-01, 1 in GENA-03). Does the sponsor have any information on the 2 cases of pruritis identified in the safety population? In particular, can it be determined if these cases were likely to be hypersensitivity or allergic reactions to simoctocog alfa.</w:t>
      </w:r>
    </w:p>
    <w:p w14:paraId="638EE406" w14:textId="172CC6EF" w:rsidR="008248FD" w:rsidRPr="000E27F4" w:rsidRDefault="008248FD" w:rsidP="000E27F4">
      <w:pPr>
        <w:pStyle w:val="Numberbullet0"/>
        <w:numPr>
          <w:ilvl w:val="0"/>
          <w:numId w:val="49"/>
        </w:numPr>
      </w:pPr>
      <w:r w:rsidRPr="000E27F4">
        <w:t>In GENA-03 (n=59), 1 paediatric patient was identified has having "allergic oedema". Does the sponsor have any information on this case? In particular, what part of the body was involved and was the reaction an allergy to simoctocog alfa?</w:t>
      </w:r>
    </w:p>
    <w:p w14:paraId="1DC9D59F" w14:textId="77777777" w:rsidR="000F04AF" w:rsidRDefault="008248FD" w:rsidP="000E27F4">
      <w:pPr>
        <w:pStyle w:val="Numberbullet0"/>
        <w:numPr>
          <w:ilvl w:val="0"/>
          <w:numId w:val="49"/>
        </w:numPr>
      </w:pPr>
      <w:r w:rsidRPr="000E27F4">
        <w:t>Please comment on potential hypersensitivity and allergic reactions to simoctocog alfa identified in the total safety population (all five studies) and in the paediatric population (GENA-03). Have any analyses of the safety data been undertaken using MedDRA search criteria for "hypersensitivity" (SMQ), "anaphylactic reactions" (SMQ), or "allergic conditions" (HLGT)?</w:t>
      </w:r>
    </w:p>
    <w:p w14:paraId="3FB52E1E" w14:textId="2AFBED42" w:rsidR="008248FD" w:rsidRDefault="00C618F7" w:rsidP="000E27F4">
      <w:pPr>
        <w:pStyle w:val="Heading2"/>
      </w:pPr>
      <w:bookmarkStart w:id="230" w:name="_Toc453765984"/>
      <w:r w:rsidRPr="00DE7D8C">
        <w:t>Second round evaluation of clinical data submitted in response to questions</w:t>
      </w:r>
      <w:bookmarkEnd w:id="230"/>
    </w:p>
    <w:p w14:paraId="24B709A5" w14:textId="77777777" w:rsidR="008248FD" w:rsidRPr="00F453AD" w:rsidRDefault="008248FD" w:rsidP="000E27F4">
      <w:pPr>
        <w:pStyle w:val="Heading3"/>
      </w:pPr>
      <w:bookmarkStart w:id="231" w:name="_Toc266446542"/>
      <w:bookmarkStart w:id="232" w:name="_Toc453765985"/>
      <w:r>
        <w:t>Clinical questions</w:t>
      </w:r>
      <w:bookmarkEnd w:id="231"/>
      <w:bookmarkEnd w:id="232"/>
    </w:p>
    <w:p w14:paraId="1CF9C321" w14:textId="77777777" w:rsidR="008248FD" w:rsidRDefault="008248FD" w:rsidP="000E27F4">
      <w:pPr>
        <w:pStyle w:val="Heading4"/>
      </w:pPr>
      <w:bookmarkStart w:id="233" w:name="_Toc266446543"/>
      <w:r>
        <w:t>Pharmacokinetics</w:t>
      </w:r>
      <w:bookmarkEnd w:id="233"/>
    </w:p>
    <w:p w14:paraId="34BF87B4" w14:textId="77777777" w:rsidR="008248FD" w:rsidRPr="00615557" w:rsidRDefault="009026F4" w:rsidP="000E27F4">
      <w:pPr>
        <w:pStyle w:val="Heading5"/>
        <w:rPr>
          <w:lang w:eastAsia="en-AU"/>
        </w:rPr>
      </w:pPr>
      <w:r w:rsidRPr="00615557">
        <w:rPr>
          <w:lang w:eastAsia="en-AU"/>
        </w:rPr>
        <w:t xml:space="preserve">Question </w:t>
      </w:r>
      <w:r w:rsidR="008248FD" w:rsidRPr="00615557">
        <w:rPr>
          <w:lang w:eastAsia="en-AU"/>
        </w:rPr>
        <w:t>1</w:t>
      </w:r>
    </w:p>
    <w:p w14:paraId="32C5DF81" w14:textId="77777777" w:rsidR="008248FD" w:rsidRDefault="008248FD" w:rsidP="000E27F4">
      <w:pPr>
        <w:rPr>
          <w:lang w:eastAsia="en-AU"/>
        </w:rPr>
      </w:pPr>
      <w:r>
        <w:rPr>
          <w:lang w:eastAsia="en-AU"/>
        </w:rPr>
        <w:t>For GENA-03, please provide the demographic characteristics of the 26 patients included in the PK-PP population.</w:t>
      </w:r>
    </w:p>
    <w:p w14:paraId="336EE5B9" w14:textId="77777777" w:rsidR="000F04AF" w:rsidRDefault="00615557" w:rsidP="000E27F4">
      <w:pPr>
        <w:pStyle w:val="Heading6"/>
        <w:rPr>
          <w:lang w:eastAsia="en-AU"/>
        </w:rPr>
      </w:pPr>
      <w:r>
        <w:rPr>
          <w:lang w:eastAsia="en-AU"/>
        </w:rPr>
        <w:t>S</w:t>
      </w:r>
      <w:r w:rsidR="008248FD" w:rsidRPr="00615557">
        <w:rPr>
          <w:lang w:eastAsia="en-AU"/>
        </w:rPr>
        <w:t>ponsor's response (complete)</w:t>
      </w:r>
    </w:p>
    <w:p w14:paraId="0FF3A058" w14:textId="6314E3AA" w:rsidR="008248FD" w:rsidRDefault="008248FD" w:rsidP="000E27F4">
      <w:pPr>
        <w:rPr>
          <w:lang w:eastAsia="en-AU"/>
        </w:rPr>
      </w:pPr>
      <w:r>
        <w:rPr>
          <w:lang w:eastAsia="en-AU"/>
        </w:rPr>
        <w:t xml:space="preserve">The demographic characteristics of the 26 patients included in the PK-PP population are shown </w:t>
      </w:r>
      <w:r w:rsidRPr="00D27D10">
        <w:rPr>
          <w:lang w:eastAsia="en-AU"/>
        </w:rPr>
        <w:t>in Table 5</w:t>
      </w:r>
      <w:r w:rsidR="00F04577">
        <w:rPr>
          <w:lang w:eastAsia="en-AU"/>
        </w:rPr>
        <w:t>6</w:t>
      </w:r>
      <w:r w:rsidRPr="00D27D10">
        <w:rPr>
          <w:lang w:eastAsia="en-AU"/>
        </w:rPr>
        <w:t>.</w:t>
      </w:r>
    </w:p>
    <w:p w14:paraId="105AFE5A" w14:textId="77777777" w:rsidR="00534562" w:rsidRDefault="00534562" w:rsidP="00534562">
      <w:pPr>
        <w:pStyle w:val="Tabletitle"/>
        <w:rPr>
          <w:lang w:eastAsia="en-AU"/>
        </w:rPr>
      </w:pPr>
      <w:r>
        <w:rPr>
          <w:lang w:eastAsia="en-AU"/>
        </w:rPr>
        <w:t xml:space="preserve">Table </w:t>
      </w:r>
      <w:r w:rsidR="000A1340">
        <w:rPr>
          <w:lang w:eastAsia="en-AU"/>
        </w:rPr>
        <w:t>5</w:t>
      </w:r>
      <w:r w:rsidR="00F04577">
        <w:rPr>
          <w:lang w:eastAsia="en-AU"/>
        </w:rPr>
        <w:t>6</w:t>
      </w:r>
      <w:r>
        <w:rPr>
          <w:lang w:eastAsia="en-AU"/>
        </w:rPr>
        <w:t>: Population demographics</w:t>
      </w:r>
    </w:p>
    <w:p w14:paraId="1562AD9F" w14:textId="457E9CC9" w:rsidR="00B74396" w:rsidRPr="00B74396" w:rsidRDefault="00B74396" w:rsidP="00B74396">
      <w:pPr>
        <w:rPr>
          <w:lang w:eastAsia="en-AU"/>
        </w:rPr>
      </w:pPr>
      <w:r>
        <w:rPr>
          <w:noProof/>
          <w:lang w:eastAsia="en-AU"/>
        </w:rPr>
        <w:drawing>
          <wp:inline distT="0" distB="0" distL="0" distR="0" wp14:anchorId="2551A430" wp14:editId="09C7913E">
            <wp:extent cx="3511846" cy="2788276"/>
            <wp:effectExtent l="0" t="0" r="0" b="0"/>
            <wp:docPr id="1" name="Picture 1" descr="Table 56: Population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073"/>
                    <a:stretch/>
                  </pic:blipFill>
                  <pic:spPr bwMode="auto">
                    <a:xfrm>
                      <a:off x="0" y="0"/>
                      <a:ext cx="3511440" cy="2787954"/>
                    </a:xfrm>
                    <a:prstGeom prst="rect">
                      <a:avLst/>
                    </a:prstGeom>
                    <a:ln>
                      <a:noFill/>
                    </a:ln>
                    <a:extLst>
                      <a:ext uri="{53640926-AAD7-44D8-BBD7-CCE9431645EC}">
                        <a14:shadowObscured xmlns:a14="http://schemas.microsoft.com/office/drawing/2010/main"/>
                      </a:ext>
                    </a:extLst>
                  </pic:spPr>
                </pic:pic>
              </a:graphicData>
            </a:graphic>
          </wp:inline>
        </w:drawing>
      </w:r>
    </w:p>
    <w:p w14:paraId="602F4AD1" w14:textId="77777777" w:rsidR="008248FD" w:rsidRPr="00615557" w:rsidRDefault="00615557" w:rsidP="000E27F4">
      <w:pPr>
        <w:pStyle w:val="Heading7"/>
        <w:rPr>
          <w:lang w:eastAsia="en-AU"/>
        </w:rPr>
      </w:pPr>
      <w:r w:rsidRPr="00615557">
        <w:rPr>
          <w:lang w:eastAsia="en-AU"/>
        </w:rPr>
        <w:lastRenderedPageBreak/>
        <w:t>Clinical</w:t>
      </w:r>
      <w:r w:rsidR="008248FD" w:rsidRPr="00615557">
        <w:rPr>
          <w:lang w:eastAsia="en-AU"/>
        </w:rPr>
        <w:t xml:space="preserve"> evaluator's comment</w:t>
      </w:r>
    </w:p>
    <w:p w14:paraId="5D16A5DB" w14:textId="77777777" w:rsidR="000F04AF" w:rsidRDefault="008248FD" w:rsidP="000E27F4">
      <w:r w:rsidRPr="006F488A">
        <w:t>The sponsor's response is satisfactory. The patients in the study were equally divided between those aged 2 to &lt; 6 years and those aged 6 to 12 years. The median age at first study treatment was 5.5 years. There were no patients aged &lt; 2 years or &gt; 12 years</w:t>
      </w:r>
      <w:r w:rsidR="000F04AF">
        <w:t>.</w:t>
      </w:r>
    </w:p>
    <w:p w14:paraId="2D8BC7AE" w14:textId="3304E01E" w:rsidR="008248FD" w:rsidRDefault="008248FD" w:rsidP="000E27F4">
      <w:pPr>
        <w:pStyle w:val="Heading4"/>
      </w:pPr>
      <w:bookmarkStart w:id="234" w:name="_Toc266446544"/>
      <w:r>
        <w:t>Efficacy</w:t>
      </w:r>
      <w:bookmarkEnd w:id="234"/>
    </w:p>
    <w:p w14:paraId="667817E7" w14:textId="77777777" w:rsidR="008248FD" w:rsidRPr="00615557" w:rsidRDefault="008248FD" w:rsidP="000E27F4">
      <w:pPr>
        <w:pStyle w:val="Heading5"/>
      </w:pPr>
      <w:bookmarkStart w:id="235" w:name="_Toc266446545"/>
      <w:r w:rsidRPr="00615557">
        <w:t>Question 1</w:t>
      </w:r>
      <w:bookmarkEnd w:id="235"/>
    </w:p>
    <w:p w14:paraId="2839F3E1" w14:textId="77777777" w:rsidR="008248FD" w:rsidRPr="00BC3E0C" w:rsidRDefault="008248FD" w:rsidP="000E27F4">
      <w:pPr>
        <w:rPr>
          <w:lang w:eastAsia="en-AU"/>
        </w:rPr>
      </w:pPr>
      <w:r w:rsidRPr="00BC3E0C">
        <w:rPr>
          <w:lang w:eastAsia="en-AU"/>
        </w:rPr>
        <w:t>In GENA-03, for prophylaxis children were treated with simoctocog alfa every other day or 3 times a week. Does the sponsor have any data comparing the efficacy of the every other day versus 3 times a week regimens? Please comment on the potential efficacy difference between the two regimens in children aged 2 to 12 years.</w:t>
      </w:r>
    </w:p>
    <w:p w14:paraId="085BD030" w14:textId="77777777" w:rsidR="000F04AF" w:rsidRDefault="00615557" w:rsidP="000E27F4">
      <w:pPr>
        <w:pStyle w:val="Heading6"/>
        <w:rPr>
          <w:lang w:eastAsia="en-AU"/>
        </w:rPr>
      </w:pPr>
      <w:r>
        <w:rPr>
          <w:lang w:eastAsia="en-AU"/>
        </w:rPr>
        <w:t>S</w:t>
      </w:r>
      <w:r w:rsidR="008248FD" w:rsidRPr="00615557">
        <w:rPr>
          <w:lang w:eastAsia="en-AU"/>
        </w:rPr>
        <w:t>ponsor's response (complete)</w:t>
      </w:r>
    </w:p>
    <w:p w14:paraId="0A2514DF" w14:textId="37A321FE" w:rsidR="008248FD" w:rsidRPr="00BC3E0C" w:rsidRDefault="008248FD" w:rsidP="000E27F4">
      <w:pPr>
        <w:rPr>
          <w:lang w:eastAsia="en-AU"/>
        </w:rPr>
      </w:pPr>
      <w:r w:rsidRPr="00BC3E0C">
        <w:rPr>
          <w:lang w:eastAsia="en-AU"/>
        </w:rPr>
        <w:t>Originally, the protocol stipulated that patients be treated prophylactically every other day. The three times per week treatment was included as an option in protocol amendment no. 1 at a time when already approximately 60% of patients were enrolled into the study.</w:t>
      </w:r>
    </w:p>
    <w:p w14:paraId="4B9E6303" w14:textId="5AA9FECB" w:rsidR="008248FD" w:rsidRPr="00BC3E0C" w:rsidRDefault="008248FD" w:rsidP="000E27F4">
      <w:pPr>
        <w:rPr>
          <w:lang w:eastAsia="en-AU"/>
        </w:rPr>
      </w:pPr>
      <w:r w:rsidRPr="00BC3E0C">
        <w:rPr>
          <w:lang w:eastAsia="en-AU"/>
        </w:rPr>
        <w:t xml:space="preserve">As assignment to “Every other day treatment” or “Three times per week” subgroups was not formally captured in the Case Report Form, and patients were allowed to switch from one treatment regimen to the other, we assigned patients retrospectively to these subgroups using as criterion the frequency of certain </w:t>
      </w:r>
      <w:r w:rsidR="007E627D">
        <w:rPr>
          <w:lang w:eastAsia="en-AU"/>
        </w:rPr>
        <w:t>s</w:t>
      </w:r>
      <w:r w:rsidR="00C8405D">
        <w:rPr>
          <w:lang w:eastAsia="en-AU"/>
        </w:rPr>
        <w:t>imoctocog alfa</w:t>
      </w:r>
      <w:r w:rsidRPr="00BC3E0C">
        <w:rPr>
          <w:lang w:eastAsia="en-AU"/>
        </w:rPr>
        <w:t xml:space="preserve"> prophylactic infusion intervals. Listing Australia_EFF1.1 displays the frequencies of </w:t>
      </w:r>
      <w:r w:rsidR="007E627D">
        <w:rPr>
          <w:lang w:eastAsia="en-AU"/>
        </w:rPr>
        <w:t xml:space="preserve">simoctocog </w:t>
      </w:r>
      <w:r w:rsidR="00C8405D">
        <w:rPr>
          <w:lang w:eastAsia="en-AU"/>
        </w:rPr>
        <w:t>alfa</w:t>
      </w:r>
      <w:r w:rsidRPr="00BC3E0C">
        <w:rPr>
          <w:lang w:eastAsia="en-AU"/>
        </w:rPr>
        <w:t xml:space="preserve"> prophylactic infusion intervals ≤ 2 days versus ≥ 3 days by subject and Listing Australia_EFF1.2 displays the frequency of ≤ 2 day infusion interval in descending order.</w:t>
      </w:r>
    </w:p>
    <w:p w14:paraId="1649462E" w14:textId="77777777" w:rsidR="008248FD" w:rsidRPr="00534562" w:rsidRDefault="008248FD" w:rsidP="00534562">
      <w:pPr>
        <w:pStyle w:val="ListBullet"/>
      </w:pPr>
      <w:r w:rsidRPr="00534562">
        <w:t>All patients with a proportion of more than 80% of prophylactic infusion</w:t>
      </w:r>
      <w:r w:rsidR="00534562" w:rsidRPr="00534562">
        <w:t xml:space="preserve">s given ≤ 2 days were </w:t>
      </w:r>
      <w:r w:rsidRPr="00534562">
        <w:t>assigned to subgroup “Every other day” (n =38, 64.4%).</w:t>
      </w:r>
    </w:p>
    <w:p w14:paraId="14160F42" w14:textId="77777777" w:rsidR="008248FD" w:rsidRPr="00534562" w:rsidRDefault="008248FD" w:rsidP="00534562">
      <w:pPr>
        <w:pStyle w:val="ListBullet"/>
      </w:pPr>
      <w:r w:rsidRPr="00534562">
        <w:t>All patients with a proportion of less than 80% but more than 50% of prophylactic infusions given ≤ 2 days were assigned to subgroup “Three times a week” (n = 17, 28.8%).</w:t>
      </w:r>
    </w:p>
    <w:p w14:paraId="2D540176" w14:textId="77777777" w:rsidR="008248FD" w:rsidRPr="00534562" w:rsidRDefault="008248FD" w:rsidP="00534562">
      <w:pPr>
        <w:pStyle w:val="ListBullet"/>
      </w:pPr>
      <w:r w:rsidRPr="00534562">
        <w:t>For four patients (6.8%), no clear assignment to either of these s</w:t>
      </w:r>
      <w:r w:rsidR="00534562" w:rsidRPr="00534562">
        <w:t xml:space="preserve">ubgroups was possible, see also </w:t>
      </w:r>
      <w:r w:rsidRPr="00534562">
        <w:t>footnote on Listing Australia_EFF1.1.</w:t>
      </w:r>
    </w:p>
    <w:p w14:paraId="0AC8E556" w14:textId="77777777" w:rsidR="008248FD" w:rsidRPr="00BC3E0C" w:rsidRDefault="008248FD" w:rsidP="00534562">
      <w:pPr>
        <w:rPr>
          <w:lang w:eastAsia="en-AU"/>
        </w:rPr>
      </w:pPr>
      <w:r w:rsidRPr="00BC3E0C">
        <w:rPr>
          <w:lang w:eastAsia="en-AU"/>
        </w:rPr>
        <w:t>Tables Australia_EFF1.1.1.1 through to Australia_EFF1.3.4.3 show the overall efficacy assessments of prophylactic treatment for each subgroup after 50 Exposure Days and at the end of study by type (spontaneous, traumatic), site and severity of bleeding and also by time distance from last study drug administration, both for the PROP and the PROP-PP population.</w:t>
      </w:r>
    </w:p>
    <w:p w14:paraId="5812C312" w14:textId="77777777" w:rsidR="008248FD" w:rsidRPr="009529C0" w:rsidRDefault="008248FD" w:rsidP="00534562">
      <w:pPr>
        <w:rPr>
          <w:lang w:eastAsia="en-AU"/>
        </w:rPr>
      </w:pPr>
      <w:r w:rsidRPr="009529C0">
        <w:rPr>
          <w:lang w:eastAsia="en-AU"/>
        </w:rPr>
        <w:t xml:space="preserve">The monthly rate of bleeding episodes at the end of the study of the PROP population is summarised in Table </w:t>
      </w:r>
      <w:r w:rsidR="000A1340">
        <w:rPr>
          <w:lang w:eastAsia="en-AU"/>
        </w:rPr>
        <w:t>5</w:t>
      </w:r>
      <w:r w:rsidR="00F04577">
        <w:rPr>
          <w:lang w:eastAsia="en-AU"/>
        </w:rPr>
        <w:t>7</w:t>
      </w:r>
      <w:r w:rsidRPr="009529C0">
        <w:rPr>
          <w:lang w:eastAsia="en-AU"/>
        </w:rPr>
        <w:t>.</w:t>
      </w:r>
    </w:p>
    <w:p w14:paraId="62D27788" w14:textId="77777777" w:rsidR="00534562" w:rsidRDefault="00534562" w:rsidP="00534562">
      <w:pPr>
        <w:pStyle w:val="Tabletitle"/>
        <w:rPr>
          <w:lang w:eastAsia="en-AU"/>
        </w:rPr>
      </w:pPr>
      <w:r w:rsidRPr="009529C0">
        <w:rPr>
          <w:lang w:eastAsia="en-AU"/>
        </w:rPr>
        <w:t xml:space="preserve">Table </w:t>
      </w:r>
      <w:r w:rsidR="009529C0" w:rsidRPr="009529C0">
        <w:rPr>
          <w:lang w:eastAsia="en-AU"/>
        </w:rPr>
        <w:t>5</w:t>
      </w:r>
      <w:r w:rsidR="00F04577">
        <w:rPr>
          <w:lang w:eastAsia="en-AU"/>
        </w:rPr>
        <w:t>7</w:t>
      </w:r>
      <w:r w:rsidRPr="009529C0">
        <w:rPr>
          <w:lang w:eastAsia="en-AU"/>
        </w:rPr>
        <w:t>: Monthly bleeding rate at the end of study (PROP population)</w:t>
      </w:r>
    </w:p>
    <w:tbl>
      <w:tblPr>
        <w:tblStyle w:val="TableTGAblue"/>
        <w:tblW w:w="0" w:type="auto"/>
        <w:tblInd w:w="-10" w:type="dxa"/>
        <w:tblLayout w:type="fixed"/>
        <w:tblLook w:val="04A0" w:firstRow="1" w:lastRow="0" w:firstColumn="1" w:lastColumn="0" w:noHBand="0" w:noVBand="1"/>
      </w:tblPr>
      <w:tblGrid>
        <w:gridCol w:w="2103"/>
        <w:gridCol w:w="2126"/>
        <w:gridCol w:w="2268"/>
        <w:gridCol w:w="2268"/>
      </w:tblGrid>
      <w:tr w:rsidR="00195AEE" w:rsidRPr="005A77BA" w14:paraId="1B7F7FA4" w14:textId="77777777" w:rsidTr="008239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3" w:type="dxa"/>
          </w:tcPr>
          <w:p w14:paraId="3F408F1F" w14:textId="6190C42A" w:rsidR="00195AEE" w:rsidRPr="005A77BA" w:rsidRDefault="00195AEE" w:rsidP="001B6BBC">
            <w:r>
              <w:t>Bleed type</w:t>
            </w:r>
          </w:p>
        </w:tc>
        <w:tc>
          <w:tcPr>
            <w:tcW w:w="2126" w:type="dxa"/>
          </w:tcPr>
          <w:p w14:paraId="2ABF75A0" w14:textId="02EEC295" w:rsidR="00195AEE" w:rsidRPr="005A77BA" w:rsidRDefault="00195AEE" w:rsidP="001B6BBC">
            <w:pPr>
              <w:cnfStyle w:val="100000000000" w:firstRow="1" w:lastRow="0" w:firstColumn="0" w:lastColumn="0" w:oddVBand="0" w:evenVBand="0" w:oddHBand="0" w:evenHBand="0" w:firstRowFirstColumn="0" w:firstRowLastColumn="0" w:lastRowFirstColumn="0" w:lastRowLastColumn="0"/>
            </w:pPr>
            <w:r>
              <w:t>Every other day</w:t>
            </w:r>
            <w:r w:rsidR="001B6BBC">
              <w:t xml:space="preserve"> </w:t>
            </w:r>
            <w:r>
              <w:t>(n = 38)</w:t>
            </w:r>
          </w:p>
        </w:tc>
        <w:tc>
          <w:tcPr>
            <w:tcW w:w="2268" w:type="dxa"/>
          </w:tcPr>
          <w:p w14:paraId="0E103B0B" w14:textId="7944B83D" w:rsidR="00195AEE" w:rsidRPr="005A77BA" w:rsidRDefault="00195AEE" w:rsidP="001B6BBC">
            <w:pPr>
              <w:cnfStyle w:val="100000000000" w:firstRow="1" w:lastRow="0" w:firstColumn="0" w:lastColumn="0" w:oddVBand="0" w:evenVBand="0" w:oddHBand="0" w:evenHBand="0" w:firstRowFirstColumn="0" w:firstRowLastColumn="0" w:lastRowFirstColumn="0" w:lastRowLastColumn="0"/>
            </w:pPr>
            <w:r>
              <w:t>Three times a week</w:t>
            </w:r>
            <w:r w:rsidR="001B6BBC">
              <w:t xml:space="preserve"> </w:t>
            </w:r>
            <w:r>
              <w:t>(n = 17)</w:t>
            </w:r>
          </w:p>
        </w:tc>
        <w:tc>
          <w:tcPr>
            <w:tcW w:w="2268" w:type="dxa"/>
          </w:tcPr>
          <w:p w14:paraId="1FB5C627" w14:textId="77CE5BFF" w:rsidR="00195AEE" w:rsidRPr="005A77BA" w:rsidRDefault="00195AEE" w:rsidP="001B6BBC">
            <w:pPr>
              <w:cnfStyle w:val="100000000000" w:firstRow="1" w:lastRow="0" w:firstColumn="0" w:lastColumn="0" w:oddVBand="0" w:evenVBand="0" w:oddHBand="0" w:evenHBand="0" w:firstRowFirstColumn="0" w:firstRowLastColumn="0" w:lastRowFirstColumn="0" w:lastRowLastColumn="0"/>
            </w:pPr>
            <w:r>
              <w:t>No clear assignment</w:t>
            </w:r>
            <w:r w:rsidR="001B6BBC">
              <w:t xml:space="preserve"> </w:t>
            </w:r>
            <w:r>
              <w:t>(n = 4)</w:t>
            </w:r>
          </w:p>
        </w:tc>
      </w:tr>
      <w:tr w:rsidR="00195AEE" w:rsidRPr="005A77BA" w14:paraId="3D0ABFD9" w14:textId="77777777" w:rsidTr="000A1340">
        <w:tc>
          <w:tcPr>
            <w:cnfStyle w:val="001000000000" w:firstRow="0" w:lastRow="0" w:firstColumn="1" w:lastColumn="0" w:oddVBand="0" w:evenVBand="0" w:oddHBand="0" w:evenHBand="0" w:firstRowFirstColumn="0" w:firstRowLastColumn="0" w:lastRowFirstColumn="0" w:lastRowLastColumn="0"/>
            <w:tcW w:w="2103" w:type="dxa"/>
          </w:tcPr>
          <w:p w14:paraId="05507645" w14:textId="77777777" w:rsidR="00195AEE" w:rsidRDefault="00195AEE" w:rsidP="001B6BBC">
            <w:r>
              <w:t>All bleeds</w:t>
            </w:r>
          </w:p>
          <w:p w14:paraId="7AD5F7AD" w14:textId="630C1CCA" w:rsidR="00195AEE" w:rsidRPr="005A77BA" w:rsidRDefault="00195AEE" w:rsidP="001B6BBC">
            <w:pPr>
              <w:rPr>
                <w:color w:val="000000"/>
              </w:rPr>
            </w:pPr>
            <w:r>
              <w:t>Mean ± SD</w:t>
            </w:r>
            <w:r w:rsidR="001B6BBC">
              <w:t xml:space="preserve"> </w:t>
            </w:r>
            <w:r>
              <w:t>Median (range)</w:t>
            </w:r>
          </w:p>
        </w:tc>
        <w:tc>
          <w:tcPr>
            <w:tcW w:w="2126" w:type="dxa"/>
          </w:tcPr>
          <w:p w14:paraId="7D8B940A"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6EBB4EEC" w14:textId="7AE92B78"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0.40 ± 0.49</w:t>
            </w:r>
            <w:r w:rsidR="001B6BBC">
              <w:rPr>
                <w:color w:val="000000"/>
              </w:rPr>
              <w:t xml:space="preserve"> </w:t>
            </w:r>
            <w:r>
              <w:rPr>
                <w:color w:val="000000"/>
              </w:rPr>
              <w:t>0.16 (0, 1.70)</w:t>
            </w:r>
          </w:p>
        </w:tc>
        <w:tc>
          <w:tcPr>
            <w:tcW w:w="2268" w:type="dxa"/>
          </w:tcPr>
          <w:p w14:paraId="22CFA75A"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1353E5AA" w14:textId="4835C4A7"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0.21 ± 0.29</w:t>
            </w:r>
            <w:r w:rsidR="001B6BBC">
              <w:rPr>
                <w:color w:val="000000"/>
              </w:rPr>
              <w:t xml:space="preserve"> </w:t>
            </w:r>
            <w:r>
              <w:rPr>
                <w:color w:val="000000"/>
              </w:rPr>
              <w:t>0 (0, 0.81)</w:t>
            </w:r>
          </w:p>
        </w:tc>
        <w:tc>
          <w:tcPr>
            <w:tcW w:w="2268" w:type="dxa"/>
          </w:tcPr>
          <w:p w14:paraId="149E668E"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1BD1071E" w14:textId="39049A44"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1.5 ± 1.3</w:t>
            </w:r>
            <w:r w:rsidR="001B6BBC">
              <w:rPr>
                <w:color w:val="000000"/>
              </w:rPr>
              <w:t xml:space="preserve"> </w:t>
            </w:r>
            <w:r>
              <w:rPr>
                <w:color w:val="000000"/>
              </w:rPr>
              <w:t>1.5 (0, 3)</w:t>
            </w:r>
          </w:p>
        </w:tc>
      </w:tr>
      <w:tr w:rsidR="00195AEE" w:rsidRPr="005A77BA" w14:paraId="0A8F7872" w14:textId="77777777" w:rsidTr="000A1340">
        <w:tc>
          <w:tcPr>
            <w:cnfStyle w:val="001000000000" w:firstRow="0" w:lastRow="0" w:firstColumn="1" w:lastColumn="0" w:oddVBand="0" w:evenVBand="0" w:oddHBand="0" w:evenHBand="0" w:firstRowFirstColumn="0" w:firstRowLastColumn="0" w:lastRowFirstColumn="0" w:lastRowLastColumn="0"/>
            <w:tcW w:w="2103" w:type="dxa"/>
          </w:tcPr>
          <w:p w14:paraId="606EB947" w14:textId="77777777" w:rsidR="00195AEE" w:rsidRDefault="00195AEE" w:rsidP="001B6BBC">
            <w:r>
              <w:t>Spontaneous bleeds</w:t>
            </w:r>
          </w:p>
          <w:p w14:paraId="5857256B" w14:textId="77777777" w:rsidR="001B6BBC" w:rsidRDefault="00195AEE" w:rsidP="001B6BBC">
            <w:r>
              <w:lastRenderedPageBreak/>
              <w:t>Mean ± SD</w:t>
            </w:r>
          </w:p>
          <w:p w14:paraId="12C6C3A5" w14:textId="10224E6D" w:rsidR="00195AEE" w:rsidRPr="005A77BA" w:rsidRDefault="00195AEE" w:rsidP="001B6BBC">
            <w:pPr>
              <w:rPr>
                <w:color w:val="000000"/>
              </w:rPr>
            </w:pPr>
            <w:r>
              <w:t>Median (range)</w:t>
            </w:r>
          </w:p>
        </w:tc>
        <w:tc>
          <w:tcPr>
            <w:tcW w:w="2126" w:type="dxa"/>
          </w:tcPr>
          <w:p w14:paraId="6E4C452A"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736339FD"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0.18 ± 0.32</w:t>
            </w:r>
            <w:r w:rsidR="001B6BBC">
              <w:rPr>
                <w:color w:val="000000"/>
              </w:rPr>
              <w:t xml:space="preserve"> </w:t>
            </w:r>
          </w:p>
          <w:p w14:paraId="7F064D3F" w14:textId="40B4844A"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0 (0, 1.13)</w:t>
            </w:r>
          </w:p>
        </w:tc>
        <w:tc>
          <w:tcPr>
            <w:tcW w:w="2268" w:type="dxa"/>
          </w:tcPr>
          <w:p w14:paraId="2FCE66CB"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0E4BAEA9"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0.04 ± 0.12</w:t>
            </w:r>
          </w:p>
          <w:p w14:paraId="1C4A4BCC" w14:textId="08784078"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0 (0, 0.48)</w:t>
            </w:r>
          </w:p>
        </w:tc>
        <w:tc>
          <w:tcPr>
            <w:tcW w:w="2268" w:type="dxa"/>
          </w:tcPr>
          <w:p w14:paraId="694A809D"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33C1D5B7"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 ± 0</w:t>
            </w:r>
          </w:p>
          <w:p w14:paraId="6A34E704" w14:textId="2E30ADB1"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0 (0, 0)</w:t>
            </w:r>
          </w:p>
        </w:tc>
      </w:tr>
      <w:tr w:rsidR="00195AEE" w:rsidRPr="005A77BA" w14:paraId="5486F97E" w14:textId="77777777" w:rsidTr="000A1340">
        <w:tc>
          <w:tcPr>
            <w:cnfStyle w:val="001000000000" w:firstRow="0" w:lastRow="0" w:firstColumn="1" w:lastColumn="0" w:oddVBand="0" w:evenVBand="0" w:oddHBand="0" w:evenHBand="0" w:firstRowFirstColumn="0" w:firstRowLastColumn="0" w:lastRowFirstColumn="0" w:lastRowLastColumn="0"/>
            <w:tcW w:w="2103" w:type="dxa"/>
          </w:tcPr>
          <w:p w14:paraId="3D0C67C9" w14:textId="4252A3BA" w:rsidR="00195AEE" w:rsidRDefault="00195AEE" w:rsidP="001B6BBC">
            <w:r>
              <w:lastRenderedPageBreak/>
              <w:t>Traumatic bleeds</w:t>
            </w:r>
          </w:p>
          <w:p w14:paraId="131E9EF7" w14:textId="77777777" w:rsidR="001B6BBC" w:rsidRDefault="00195AEE" w:rsidP="001B6BBC">
            <w:r>
              <w:t>Mean ± SD</w:t>
            </w:r>
          </w:p>
          <w:p w14:paraId="1FF6509B" w14:textId="18C53171" w:rsidR="00195AEE" w:rsidRPr="005A77BA" w:rsidRDefault="00195AEE" w:rsidP="001B6BBC">
            <w:pPr>
              <w:rPr>
                <w:color w:val="000000"/>
              </w:rPr>
            </w:pPr>
            <w:r>
              <w:t>Median (range)</w:t>
            </w:r>
          </w:p>
        </w:tc>
        <w:tc>
          <w:tcPr>
            <w:tcW w:w="2126" w:type="dxa"/>
          </w:tcPr>
          <w:p w14:paraId="477F01D5"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70F74AF7"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0.21 ± 0.32</w:t>
            </w:r>
          </w:p>
          <w:p w14:paraId="6E7612B5" w14:textId="5A03CC62"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0.14 (0, 1.53)</w:t>
            </w:r>
          </w:p>
        </w:tc>
        <w:tc>
          <w:tcPr>
            <w:tcW w:w="2268" w:type="dxa"/>
          </w:tcPr>
          <w:p w14:paraId="42B88AC9"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382B7BD0"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0.15 ± 0.24</w:t>
            </w:r>
          </w:p>
          <w:p w14:paraId="3CB1238D" w14:textId="77399C1F"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 (0, 0.8)</w:t>
            </w:r>
          </w:p>
        </w:tc>
        <w:tc>
          <w:tcPr>
            <w:tcW w:w="2268" w:type="dxa"/>
          </w:tcPr>
          <w:p w14:paraId="72ADAC97" w14:textId="77777777" w:rsidR="00195AEE"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p>
          <w:p w14:paraId="170E382C" w14:textId="77777777" w:rsidR="001B6BBC"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0.16 ± 0.23</w:t>
            </w:r>
          </w:p>
          <w:p w14:paraId="0BC30AEE" w14:textId="178DB7FE" w:rsidR="00195AEE" w:rsidRPr="005A77BA" w:rsidRDefault="00195AEE" w:rsidP="001B6BBC">
            <w:pPr>
              <w:cnfStyle w:val="000000000000" w:firstRow="0" w:lastRow="0" w:firstColumn="0" w:lastColumn="0" w:oddVBand="0" w:evenVBand="0" w:oddHBand="0" w:evenHBand="0" w:firstRowFirstColumn="0" w:firstRowLastColumn="0" w:lastRowFirstColumn="0" w:lastRowLastColumn="0"/>
              <w:rPr>
                <w:color w:val="000000"/>
              </w:rPr>
            </w:pPr>
            <w:r>
              <w:rPr>
                <w:color w:val="000000"/>
              </w:rPr>
              <w:t>0.08 (0, 0.49)</w:t>
            </w:r>
          </w:p>
        </w:tc>
      </w:tr>
    </w:tbl>
    <w:p w14:paraId="591E36FB" w14:textId="77777777" w:rsidR="00195AEE" w:rsidRDefault="00195AEE" w:rsidP="001B6BBC">
      <w:pPr>
        <w:pStyle w:val="TableDescription"/>
        <w:rPr>
          <w:lang w:eastAsia="en-AU"/>
        </w:rPr>
      </w:pPr>
      <w:r>
        <w:rPr>
          <w:lang w:eastAsia="en-AU"/>
        </w:rPr>
        <w:t>PROPH = s</w:t>
      </w:r>
      <w:r w:rsidRPr="00746B79">
        <w:rPr>
          <w:lang w:eastAsia="en-AU"/>
        </w:rPr>
        <w:t>tudy population of patients receiving prophylaxis with simoctocog alfa</w:t>
      </w:r>
      <w:r>
        <w:rPr>
          <w:lang w:eastAsia="en-AU"/>
        </w:rPr>
        <w:t>;</w:t>
      </w:r>
      <w:r w:rsidRPr="00746B79">
        <w:rPr>
          <w:lang w:eastAsia="en-AU"/>
        </w:rPr>
        <w:t xml:space="preserve"> </w:t>
      </w:r>
      <w:r w:rsidRPr="009C4E07">
        <w:rPr>
          <w:lang w:eastAsia="en-AU"/>
        </w:rPr>
        <w:t>SD = standard deviation.</w:t>
      </w:r>
    </w:p>
    <w:p w14:paraId="0BF0C9DA" w14:textId="0F535843" w:rsidR="008248FD" w:rsidRPr="00BC3E0C" w:rsidRDefault="008248FD" w:rsidP="008248FD">
      <w:pPr>
        <w:widowControl w:val="0"/>
        <w:autoSpaceDE w:val="0"/>
        <w:autoSpaceDN w:val="0"/>
        <w:adjustRightInd w:val="0"/>
        <w:rPr>
          <w:rFonts w:eastAsia="Times New Roman" w:cs="0"/>
          <w:lang w:eastAsia="en-AU"/>
        </w:rPr>
      </w:pPr>
      <w:r w:rsidRPr="00BC3E0C">
        <w:rPr>
          <w:rFonts w:eastAsia="Times New Roman" w:cs="0"/>
          <w:lang w:eastAsia="en-AU"/>
        </w:rPr>
        <w:t>The data for the PROP-PP are similar to those of the PROP population.</w:t>
      </w:r>
    </w:p>
    <w:p w14:paraId="2F7C780E" w14:textId="77777777" w:rsidR="008248FD" w:rsidRPr="00E71A4D" w:rsidRDefault="008248FD" w:rsidP="008248FD">
      <w:pPr>
        <w:widowControl w:val="0"/>
        <w:autoSpaceDE w:val="0"/>
        <w:autoSpaceDN w:val="0"/>
        <w:adjustRightInd w:val="0"/>
        <w:rPr>
          <w:rFonts w:eastAsia="Times New Roman" w:cs="0"/>
          <w:lang w:eastAsia="en-AU"/>
        </w:rPr>
      </w:pPr>
      <w:r w:rsidRPr="00BC3E0C">
        <w:rPr>
          <w:rFonts w:eastAsia="Times New Roman" w:cs="0"/>
          <w:lang w:eastAsia="en-AU"/>
        </w:rPr>
        <w:t>The monthly bleeding episode rate for the patients in the “Three times a week” subgroup appears less than in those belonging to the “Every other day” subgroup. While this looks at first glance unexpected, the reason for this is most likely related to; the arbitrary definition we used to retrospectively select patients with a seemingly 3 times/week interval, the relatively low number of patients in the 3 times/week group, and the non-randomised design of this assignment so that by chance more patients with a higher bleeding frequency (due to for example individual shorter product half-life) are in the 2 times/week group.</w:t>
      </w:r>
      <w:r w:rsidR="00534562">
        <w:rPr>
          <w:rFonts w:eastAsia="Times New Roman" w:cs="0"/>
          <w:lang w:eastAsia="en-AU"/>
        </w:rPr>
        <w:t xml:space="preserve"> </w:t>
      </w:r>
      <w:r w:rsidRPr="00BC3E0C">
        <w:rPr>
          <w:rFonts w:eastAsia="Times New Roman" w:cs="0"/>
          <w:lang w:eastAsia="en-AU"/>
        </w:rPr>
        <w:t>All supportive documents as highlighted above in grey are included in Module 1.0.2 “Supportive clinical listings and tables”.</w:t>
      </w:r>
    </w:p>
    <w:p w14:paraId="55166BFB" w14:textId="77777777" w:rsidR="008248FD" w:rsidRPr="00615557" w:rsidRDefault="00615557" w:rsidP="00534562">
      <w:pPr>
        <w:pStyle w:val="Heading7"/>
        <w:rPr>
          <w:lang w:eastAsia="en-AU"/>
        </w:rPr>
      </w:pPr>
      <w:r w:rsidRPr="00615557">
        <w:rPr>
          <w:lang w:eastAsia="en-AU"/>
        </w:rPr>
        <w:t>Clinical</w:t>
      </w:r>
      <w:r w:rsidR="008248FD" w:rsidRPr="00615557">
        <w:rPr>
          <w:lang w:eastAsia="en-AU"/>
        </w:rPr>
        <w:t xml:space="preserve"> evaluator's comment</w:t>
      </w:r>
    </w:p>
    <w:p w14:paraId="6F15D919" w14:textId="32D8541B" w:rsidR="000F04AF" w:rsidRDefault="008248FD" w:rsidP="008248FD">
      <w:pPr>
        <w:rPr>
          <w:rFonts w:asciiTheme="minorHAnsi" w:hAnsiTheme="minorHAnsi"/>
        </w:rPr>
      </w:pPr>
      <w:r w:rsidRPr="006F488A">
        <w:rPr>
          <w:rFonts w:asciiTheme="minorHAnsi" w:hAnsiTheme="minorHAnsi"/>
        </w:rPr>
        <w:t>The sponsor's response indicates that the monthly bleeding rate at the end of the study was lower in the prophylactic paediatric population (PROP) receiving simoctocog alfa "three times a week" (n=17) compared with the population receiving simoctocog alfa "every other day" (n=38). This relationship between the two treatment groups was ob</w:t>
      </w:r>
      <w:r>
        <w:rPr>
          <w:rFonts w:asciiTheme="minorHAnsi" w:hAnsiTheme="minorHAnsi"/>
        </w:rPr>
        <w:t>served for all types of bleeds and for</w:t>
      </w:r>
      <w:r w:rsidRPr="006F488A">
        <w:rPr>
          <w:rFonts w:asciiTheme="minorHAnsi" w:hAnsiTheme="minorHAnsi"/>
        </w:rPr>
        <w:t xml:space="preserve"> spontaneous and traumatic bleeds. Similar results were also seen in the </w:t>
      </w:r>
      <w:r>
        <w:rPr>
          <w:rFonts w:asciiTheme="minorHAnsi" w:hAnsiTheme="minorHAnsi"/>
        </w:rPr>
        <w:t>per</w:t>
      </w:r>
      <w:r w:rsidRPr="006F488A">
        <w:rPr>
          <w:rFonts w:asciiTheme="minorHAnsi" w:hAnsiTheme="minorHAnsi"/>
        </w:rPr>
        <w:t>-protocol prophylactic paediatric population (PROP-PP) receiving simoctocog a</w:t>
      </w:r>
      <w:r>
        <w:rPr>
          <w:rFonts w:asciiTheme="minorHAnsi" w:hAnsiTheme="minorHAnsi"/>
        </w:rPr>
        <w:t xml:space="preserve">lfa "three times a week" (n=17) or </w:t>
      </w:r>
      <w:r w:rsidRPr="006F488A">
        <w:rPr>
          <w:rFonts w:asciiTheme="minorHAnsi" w:hAnsiTheme="minorHAnsi"/>
        </w:rPr>
        <w:t>"every other day" (n=34).</w:t>
      </w:r>
    </w:p>
    <w:p w14:paraId="2B373976" w14:textId="77777777" w:rsidR="000F04AF" w:rsidRDefault="008248FD" w:rsidP="008248FD">
      <w:r w:rsidRPr="006F488A">
        <w:rPr>
          <w:rFonts w:asciiTheme="minorHAnsi" w:hAnsiTheme="minorHAnsi"/>
        </w:rPr>
        <w:t xml:space="preserve">The overall efficacy assessment of prophylactic treatment at the end of the study for the PROP is summarised below </w:t>
      </w:r>
      <w:r w:rsidRPr="009529C0">
        <w:rPr>
          <w:rFonts w:asciiTheme="minorHAnsi" w:hAnsiTheme="minorHAnsi"/>
        </w:rPr>
        <w:t xml:space="preserve">in Table </w:t>
      </w:r>
      <w:r w:rsidR="00F04577">
        <w:rPr>
          <w:rFonts w:asciiTheme="minorHAnsi" w:hAnsiTheme="minorHAnsi"/>
        </w:rPr>
        <w:t>58</w:t>
      </w:r>
      <w:r w:rsidRPr="009529C0">
        <w:rPr>
          <w:rFonts w:asciiTheme="minorHAnsi" w:hAnsiTheme="minorHAnsi"/>
        </w:rPr>
        <w:t xml:space="preserve"> and shows that treatment "three times a week" was marginally superior to treatment every other day". Similar results were also seen in the PROP-PP. The sponsor has discussed the potential reasons for the unexpected result of greater</w:t>
      </w:r>
      <w:r w:rsidRPr="009529C0">
        <w:t xml:space="preserve"> efficacy in the "three times a </w:t>
      </w:r>
      <w:r w:rsidRPr="009529C0">
        <w:rPr>
          <w:rFonts w:asciiTheme="minorHAnsi" w:hAnsiTheme="minorHAnsi"/>
        </w:rPr>
        <w:t>week" prophylactic treatment group compared with the "every other day" group prophylactic treatment group. It is noted that the study did not include randomized allocation to the two treatment groups. Consequently, the comparison between the two treatment groups is might be subject to bias both identified and unidentified. However, the provided comparative data suggest that both the "every other day" and the "three times a week" prophylactic regimens in paediatric patients are clinically efficacious.</w:t>
      </w:r>
    </w:p>
    <w:p w14:paraId="6760B67C" w14:textId="75C71503" w:rsidR="008248FD" w:rsidRPr="006F488A" w:rsidRDefault="008248FD" w:rsidP="001B6BBC">
      <w:pPr>
        <w:pStyle w:val="Tabletitle"/>
        <w:pageBreakBefore/>
      </w:pPr>
      <w:proofErr w:type="gramStart"/>
      <w:r w:rsidRPr="009529C0">
        <w:lastRenderedPageBreak/>
        <w:t xml:space="preserve">Table </w:t>
      </w:r>
      <w:r w:rsidR="00F04577">
        <w:t>58</w:t>
      </w:r>
      <w:r w:rsidR="009529C0" w:rsidRPr="009529C0">
        <w:t>:</w:t>
      </w:r>
      <w:r w:rsidRPr="009529C0">
        <w:t xml:space="preserve"> Monthly response</w:t>
      </w:r>
      <w:r w:rsidRPr="006F488A">
        <w:t xml:space="preserve"> rate with prophylactic treatment at the end of the study in the prop</w:t>
      </w:r>
      <w:r w:rsidR="001B6BBC">
        <w:t>hylactic paediatric population.</w:t>
      </w:r>
      <w:proofErr w:type="gramEnd"/>
    </w:p>
    <w:tbl>
      <w:tblPr>
        <w:tblStyle w:val="TableTGAblue"/>
        <w:tblW w:w="9498" w:type="dxa"/>
        <w:tblLook w:val="04A0" w:firstRow="1" w:lastRow="0" w:firstColumn="1" w:lastColumn="0" w:noHBand="0" w:noVBand="1"/>
      </w:tblPr>
      <w:tblGrid>
        <w:gridCol w:w="1772"/>
        <w:gridCol w:w="2832"/>
        <w:gridCol w:w="1405"/>
        <w:gridCol w:w="1580"/>
        <w:gridCol w:w="1909"/>
      </w:tblGrid>
      <w:tr w:rsidR="008248FD" w:rsidRPr="00C95051" w14:paraId="31F3020E" w14:textId="77777777" w:rsidTr="008239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2" w:type="dxa"/>
          </w:tcPr>
          <w:p w14:paraId="0445A1CB" w14:textId="77777777" w:rsidR="008248FD" w:rsidRPr="00C95051" w:rsidRDefault="008248FD" w:rsidP="001B6BBC">
            <w:r w:rsidRPr="00C95051">
              <w:t>Type of BE</w:t>
            </w:r>
          </w:p>
        </w:tc>
        <w:tc>
          <w:tcPr>
            <w:tcW w:w="3061" w:type="dxa"/>
          </w:tcPr>
          <w:p w14:paraId="7E5CAE0D" w14:textId="77777777" w:rsidR="008248FD" w:rsidRPr="00C95051" w:rsidRDefault="008248FD" w:rsidP="001B6BBC">
            <w:pPr>
              <w:cnfStyle w:val="100000000000" w:firstRow="1" w:lastRow="0" w:firstColumn="0" w:lastColumn="0" w:oddVBand="0" w:evenVBand="0" w:oddHBand="0" w:evenHBand="0" w:firstRowFirstColumn="0" w:firstRowLastColumn="0" w:lastRowFirstColumn="0" w:lastRowLastColumn="0"/>
            </w:pPr>
            <w:r w:rsidRPr="00C95051">
              <w:t xml:space="preserve">Monthly response rate </w:t>
            </w:r>
          </w:p>
        </w:tc>
        <w:tc>
          <w:tcPr>
            <w:tcW w:w="1417" w:type="dxa"/>
          </w:tcPr>
          <w:p w14:paraId="448E2999" w14:textId="77777777" w:rsidR="008248FD" w:rsidRPr="00C95051" w:rsidRDefault="008248FD" w:rsidP="001B6BBC">
            <w:pPr>
              <w:cnfStyle w:val="100000000000" w:firstRow="1" w:lastRow="0" w:firstColumn="0" w:lastColumn="0" w:oddVBand="0" w:evenVBand="0" w:oddHBand="0" w:evenHBand="0" w:firstRowFirstColumn="0" w:firstRowLastColumn="0" w:lastRowFirstColumn="0" w:lastRowLastColumn="0"/>
            </w:pPr>
            <w:r w:rsidRPr="00C95051">
              <w:t>All (n=38)</w:t>
            </w:r>
          </w:p>
        </w:tc>
        <w:tc>
          <w:tcPr>
            <w:tcW w:w="1622" w:type="dxa"/>
          </w:tcPr>
          <w:p w14:paraId="1CDEBC9C" w14:textId="77777777" w:rsidR="008248FD" w:rsidRPr="00C95051" w:rsidRDefault="008248FD" w:rsidP="001B6BBC">
            <w:pPr>
              <w:cnfStyle w:val="100000000000" w:firstRow="1" w:lastRow="0" w:firstColumn="0" w:lastColumn="0" w:oddVBand="0" w:evenVBand="0" w:oddHBand="0" w:evenHBand="0" w:firstRowFirstColumn="0" w:firstRowLastColumn="0" w:lastRowFirstColumn="0" w:lastRowLastColumn="0"/>
            </w:pPr>
            <w:r w:rsidRPr="00C95051">
              <w:t>All (n=17)</w:t>
            </w:r>
          </w:p>
        </w:tc>
        <w:tc>
          <w:tcPr>
            <w:tcW w:w="1956" w:type="dxa"/>
          </w:tcPr>
          <w:p w14:paraId="27F660F9" w14:textId="77777777" w:rsidR="008248FD" w:rsidRPr="00C95051" w:rsidRDefault="008248FD" w:rsidP="001B6BBC">
            <w:pPr>
              <w:cnfStyle w:val="100000000000" w:firstRow="1" w:lastRow="0" w:firstColumn="0" w:lastColumn="0" w:oddVBand="0" w:evenVBand="0" w:oddHBand="0" w:evenHBand="0" w:firstRowFirstColumn="0" w:firstRowLastColumn="0" w:lastRowFirstColumn="0" w:lastRowLastColumn="0"/>
            </w:pPr>
            <w:r w:rsidRPr="00C95051">
              <w:t>All (n=4)</w:t>
            </w:r>
          </w:p>
        </w:tc>
      </w:tr>
      <w:tr w:rsidR="008248FD" w:rsidRPr="00C95051" w14:paraId="0B7E38AE" w14:textId="77777777" w:rsidTr="00534562">
        <w:trPr>
          <w:trHeight w:val="495"/>
        </w:trPr>
        <w:tc>
          <w:tcPr>
            <w:cnfStyle w:val="001000000000" w:firstRow="0" w:lastRow="0" w:firstColumn="1" w:lastColumn="0" w:oddVBand="0" w:evenVBand="0" w:oddHBand="0" w:evenHBand="0" w:firstRowFirstColumn="0" w:firstRowLastColumn="0" w:lastRowFirstColumn="0" w:lastRowLastColumn="0"/>
            <w:tcW w:w="1442" w:type="dxa"/>
          </w:tcPr>
          <w:p w14:paraId="52A2A582" w14:textId="77777777" w:rsidR="008248FD" w:rsidRPr="00C95051" w:rsidRDefault="008248FD" w:rsidP="001B6BBC"/>
        </w:tc>
        <w:tc>
          <w:tcPr>
            <w:tcW w:w="3061" w:type="dxa"/>
          </w:tcPr>
          <w:p w14:paraId="44B43E93" w14:textId="77777777" w:rsidR="008248FD" w:rsidRPr="00C95051" w:rsidRDefault="008248FD" w:rsidP="001B6BBC">
            <w:pPr>
              <w:cnfStyle w:val="000000000000" w:firstRow="0" w:lastRow="0" w:firstColumn="0" w:lastColumn="0" w:oddVBand="0" w:evenVBand="0" w:oddHBand="0" w:evenHBand="0" w:firstRowFirstColumn="0" w:firstRowLastColumn="0" w:lastRowFirstColumn="0" w:lastRowLastColumn="0"/>
            </w:pPr>
          </w:p>
        </w:tc>
        <w:tc>
          <w:tcPr>
            <w:tcW w:w="1417" w:type="dxa"/>
          </w:tcPr>
          <w:p w14:paraId="51D158C8" w14:textId="77777777" w:rsidR="008248FD" w:rsidRPr="00C95051" w:rsidRDefault="008248FD" w:rsidP="001B6BBC">
            <w:pPr>
              <w:cnfStyle w:val="000000000000" w:firstRow="0" w:lastRow="0" w:firstColumn="0" w:lastColumn="0" w:oddVBand="0" w:evenVBand="0" w:oddHBand="0" w:evenHBand="0" w:firstRowFirstColumn="0" w:firstRowLastColumn="0" w:lastRowFirstColumn="0" w:lastRowLastColumn="0"/>
            </w:pPr>
            <w:r w:rsidRPr="00C95051">
              <w:t xml:space="preserve">Every other day </w:t>
            </w:r>
          </w:p>
        </w:tc>
        <w:tc>
          <w:tcPr>
            <w:tcW w:w="1622" w:type="dxa"/>
          </w:tcPr>
          <w:p w14:paraId="6747C027" w14:textId="77777777" w:rsidR="008248FD" w:rsidRPr="00C95051" w:rsidRDefault="008248FD" w:rsidP="001B6BBC">
            <w:pPr>
              <w:cnfStyle w:val="000000000000" w:firstRow="0" w:lastRow="0" w:firstColumn="0" w:lastColumn="0" w:oddVBand="0" w:evenVBand="0" w:oddHBand="0" w:evenHBand="0" w:firstRowFirstColumn="0" w:firstRowLastColumn="0" w:lastRowFirstColumn="0" w:lastRowLastColumn="0"/>
            </w:pPr>
            <w:r w:rsidRPr="00C95051">
              <w:t>Three times a week</w:t>
            </w:r>
          </w:p>
        </w:tc>
        <w:tc>
          <w:tcPr>
            <w:tcW w:w="1956" w:type="dxa"/>
          </w:tcPr>
          <w:p w14:paraId="46A38DA8" w14:textId="77777777" w:rsidR="008248FD" w:rsidRPr="00C95051" w:rsidRDefault="008248FD" w:rsidP="001B6BBC">
            <w:pPr>
              <w:cnfStyle w:val="000000000000" w:firstRow="0" w:lastRow="0" w:firstColumn="0" w:lastColumn="0" w:oddVBand="0" w:evenVBand="0" w:oddHBand="0" w:evenHBand="0" w:firstRowFirstColumn="0" w:firstRowLastColumn="0" w:lastRowFirstColumn="0" w:lastRowLastColumn="0"/>
            </w:pPr>
            <w:r w:rsidRPr="00C95051">
              <w:t>No clear assignment</w:t>
            </w:r>
          </w:p>
        </w:tc>
      </w:tr>
      <w:tr w:rsidR="00534562" w:rsidRPr="00C95051" w14:paraId="1A1F6633"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val="restart"/>
          </w:tcPr>
          <w:p w14:paraId="04512C1A" w14:textId="77777777" w:rsidR="00534562" w:rsidRPr="00C95051" w:rsidRDefault="00534562" w:rsidP="001B6BBC">
            <w:r w:rsidRPr="00C95051">
              <w:t xml:space="preserve">Spontaneous </w:t>
            </w:r>
          </w:p>
        </w:tc>
        <w:tc>
          <w:tcPr>
            <w:tcW w:w="3061" w:type="dxa"/>
          </w:tcPr>
          <w:p w14:paraId="3915A07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Excellent (monthly rate &lt; 0.75)</w:t>
            </w:r>
          </w:p>
        </w:tc>
        <w:tc>
          <w:tcPr>
            <w:tcW w:w="1417" w:type="dxa"/>
          </w:tcPr>
          <w:p w14:paraId="0DB99F7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35 (92.1%)</w:t>
            </w:r>
          </w:p>
        </w:tc>
        <w:tc>
          <w:tcPr>
            <w:tcW w:w="1622" w:type="dxa"/>
          </w:tcPr>
          <w:p w14:paraId="2528695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17 (100%) </w:t>
            </w:r>
          </w:p>
        </w:tc>
        <w:tc>
          <w:tcPr>
            <w:tcW w:w="1956" w:type="dxa"/>
          </w:tcPr>
          <w:p w14:paraId="1A5DC370"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4 (100%)</w:t>
            </w:r>
          </w:p>
        </w:tc>
      </w:tr>
      <w:tr w:rsidR="00534562" w:rsidRPr="00C95051" w14:paraId="77DCEE93"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41A06315" w14:textId="77777777" w:rsidR="00534562" w:rsidRPr="00C95051" w:rsidRDefault="00534562" w:rsidP="001B6BBC"/>
        </w:tc>
        <w:tc>
          <w:tcPr>
            <w:tcW w:w="3061" w:type="dxa"/>
          </w:tcPr>
          <w:p w14:paraId="4105EB14"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Good (monthly rate 0.75 to ≤ 1 </w:t>
            </w:r>
          </w:p>
        </w:tc>
        <w:tc>
          <w:tcPr>
            <w:tcW w:w="1417" w:type="dxa"/>
          </w:tcPr>
          <w:p w14:paraId="1B183EED"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1 (2.6%)</w:t>
            </w:r>
          </w:p>
        </w:tc>
        <w:tc>
          <w:tcPr>
            <w:tcW w:w="1622" w:type="dxa"/>
          </w:tcPr>
          <w:p w14:paraId="0C32C9B7"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 </w:t>
            </w:r>
          </w:p>
        </w:tc>
        <w:tc>
          <w:tcPr>
            <w:tcW w:w="1956" w:type="dxa"/>
          </w:tcPr>
          <w:p w14:paraId="13712D20"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08A0DA1B"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71B98851" w14:textId="77777777" w:rsidR="00534562" w:rsidRPr="00C95051" w:rsidRDefault="00534562" w:rsidP="001B6BBC"/>
        </w:tc>
        <w:tc>
          <w:tcPr>
            <w:tcW w:w="3061" w:type="dxa"/>
          </w:tcPr>
          <w:p w14:paraId="75AF82A2"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Moderate (monthly rate &gt; 1 to 1.5)</w:t>
            </w:r>
          </w:p>
        </w:tc>
        <w:tc>
          <w:tcPr>
            <w:tcW w:w="1417" w:type="dxa"/>
          </w:tcPr>
          <w:p w14:paraId="693380C1"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2 (5.3%)</w:t>
            </w:r>
          </w:p>
        </w:tc>
        <w:tc>
          <w:tcPr>
            <w:tcW w:w="1622" w:type="dxa"/>
          </w:tcPr>
          <w:p w14:paraId="77DF4859"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 </w:t>
            </w:r>
          </w:p>
        </w:tc>
        <w:tc>
          <w:tcPr>
            <w:tcW w:w="1956" w:type="dxa"/>
          </w:tcPr>
          <w:p w14:paraId="4BE76F2C"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1415DCB9"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1DDBFF99" w14:textId="77777777" w:rsidR="00534562" w:rsidRPr="00C95051" w:rsidRDefault="00534562" w:rsidP="001B6BBC"/>
        </w:tc>
        <w:tc>
          <w:tcPr>
            <w:tcW w:w="3061" w:type="dxa"/>
          </w:tcPr>
          <w:p w14:paraId="1BE9567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Poor (monthly rate &gt; 1.5)</w:t>
            </w:r>
          </w:p>
        </w:tc>
        <w:tc>
          <w:tcPr>
            <w:tcW w:w="1417" w:type="dxa"/>
          </w:tcPr>
          <w:p w14:paraId="61A7E54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622" w:type="dxa"/>
          </w:tcPr>
          <w:p w14:paraId="0114D0C2"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956" w:type="dxa"/>
          </w:tcPr>
          <w:p w14:paraId="169959C7"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717C87B9"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val="restart"/>
          </w:tcPr>
          <w:p w14:paraId="25C15161" w14:textId="77777777" w:rsidR="00534562" w:rsidRPr="00C95051" w:rsidRDefault="00534562" w:rsidP="001B6BBC">
            <w:r w:rsidRPr="00C95051">
              <w:t xml:space="preserve">Traumatic </w:t>
            </w:r>
          </w:p>
        </w:tc>
        <w:tc>
          <w:tcPr>
            <w:tcW w:w="3061" w:type="dxa"/>
          </w:tcPr>
          <w:p w14:paraId="045BBFDC"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Excellent (monthly rate &lt; 0.75)</w:t>
            </w:r>
          </w:p>
        </w:tc>
        <w:tc>
          <w:tcPr>
            <w:tcW w:w="1417" w:type="dxa"/>
          </w:tcPr>
          <w:p w14:paraId="4EDC0CF0"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35 (92.1%)</w:t>
            </w:r>
          </w:p>
        </w:tc>
        <w:tc>
          <w:tcPr>
            <w:tcW w:w="1622" w:type="dxa"/>
          </w:tcPr>
          <w:p w14:paraId="6AE9233F"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16 (94.1%)</w:t>
            </w:r>
          </w:p>
        </w:tc>
        <w:tc>
          <w:tcPr>
            <w:tcW w:w="1956" w:type="dxa"/>
          </w:tcPr>
          <w:p w14:paraId="0CFA1822"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4 (100%)</w:t>
            </w:r>
          </w:p>
        </w:tc>
      </w:tr>
      <w:tr w:rsidR="00534562" w:rsidRPr="00C95051" w14:paraId="66B4DEB7"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516FA6F6" w14:textId="77777777" w:rsidR="00534562" w:rsidRPr="00C95051" w:rsidRDefault="00534562" w:rsidP="001B6BBC"/>
        </w:tc>
        <w:tc>
          <w:tcPr>
            <w:tcW w:w="3061" w:type="dxa"/>
          </w:tcPr>
          <w:p w14:paraId="436514CB"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Good (monthly rate 0.75 to ≤ 1 </w:t>
            </w:r>
          </w:p>
        </w:tc>
        <w:tc>
          <w:tcPr>
            <w:tcW w:w="1417" w:type="dxa"/>
          </w:tcPr>
          <w:p w14:paraId="17DB7907"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2 (5.3%)</w:t>
            </w:r>
          </w:p>
        </w:tc>
        <w:tc>
          <w:tcPr>
            <w:tcW w:w="1622" w:type="dxa"/>
          </w:tcPr>
          <w:p w14:paraId="59BECDB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1 (5.9%)</w:t>
            </w:r>
          </w:p>
        </w:tc>
        <w:tc>
          <w:tcPr>
            <w:tcW w:w="1956" w:type="dxa"/>
          </w:tcPr>
          <w:p w14:paraId="07E7E7D1"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39340DDA"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43D10F9C" w14:textId="77777777" w:rsidR="00534562" w:rsidRPr="00C95051" w:rsidRDefault="00534562" w:rsidP="001B6BBC"/>
        </w:tc>
        <w:tc>
          <w:tcPr>
            <w:tcW w:w="3061" w:type="dxa"/>
          </w:tcPr>
          <w:p w14:paraId="4650BA8C"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Moderate (monthly rate &gt; 1 to 1.5)</w:t>
            </w:r>
          </w:p>
        </w:tc>
        <w:tc>
          <w:tcPr>
            <w:tcW w:w="1417" w:type="dxa"/>
          </w:tcPr>
          <w:p w14:paraId="221175C3"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1 (2.6%)</w:t>
            </w:r>
          </w:p>
        </w:tc>
        <w:tc>
          <w:tcPr>
            <w:tcW w:w="1622" w:type="dxa"/>
          </w:tcPr>
          <w:p w14:paraId="12DF78B5"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956" w:type="dxa"/>
          </w:tcPr>
          <w:p w14:paraId="22267A71"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181C4DA3"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1D044501" w14:textId="77777777" w:rsidR="00534562" w:rsidRPr="00C95051" w:rsidRDefault="00534562" w:rsidP="001B6BBC"/>
        </w:tc>
        <w:tc>
          <w:tcPr>
            <w:tcW w:w="3061" w:type="dxa"/>
          </w:tcPr>
          <w:p w14:paraId="47D804EA"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Poor (monthly rate &gt; 1.5)</w:t>
            </w:r>
          </w:p>
        </w:tc>
        <w:tc>
          <w:tcPr>
            <w:tcW w:w="1417" w:type="dxa"/>
          </w:tcPr>
          <w:p w14:paraId="45415EC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622" w:type="dxa"/>
          </w:tcPr>
          <w:p w14:paraId="77DD9CA1"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956" w:type="dxa"/>
          </w:tcPr>
          <w:p w14:paraId="0BCED05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3291B029"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val="restart"/>
          </w:tcPr>
          <w:p w14:paraId="10DB357E" w14:textId="77777777" w:rsidR="00534562" w:rsidRPr="00C95051" w:rsidRDefault="00534562" w:rsidP="001B6BBC">
            <w:r w:rsidRPr="00C95051">
              <w:t>All</w:t>
            </w:r>
          </w:p>
        </w:tc>
        <w:tc>
          <w:tcPr>
            <w:tcW w:w="3061" w:type="dxa"/>
          </w:tcPr>
          <w:p w14:paraId="449FDCFE"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Excellent (monthly rate &lt; 0.75)</w:t>
            </w:r>
          </w:p>
        </w:tc>
        <w:tc>
          <w:tcPr>
            <w:tcW w:w="1417" w:type="dxa"/>
          </w:tcPr>
          <w:p w14:paraId="43EDDB48"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30 (78.9%)</w:t>
            </w:r>
          </w:p>
        </w:tc>
        <w:tc>
          <w:tcPr>
            <w:tcW w:w="1622" w:type="dxa"/>
          </w:tcPr>
          <w:p w14:paraId="17023F49"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15 (88.2%)</w:t>
            </w:r>
          </w:p>
        </w:tc>
        <w:tc>
          <w:tcPr>
            <w:tcW w:w="1956" w:type="dxa"/>
          </w:tcPr>
          <w:p w14:paraId="4C429D19"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4 (100%)</w:t>
            </w:r>
          </w:p>
        </w:tc>
      </w:tr>
      <w:tr w:rsidR="00534562" w:rsidRPr="00C95051" w14:paraId="789E35A3"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1A1FD3D6" w14:textId="77777777" w:rsidR="00534562" w:rsidRPr="00C95051" w:rsidRDefault="00534562" w:rsidP="001B6BBC"/>
        </w:tc>
        <w:tc>
          <w:tcPr>
            <w:tcW w:w="3061" w:type="dxa"/>
          </w:tcPr>
          <w:p w14:paraId="520E8265"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 xml:space="preserve">Good (monthly rate 0.75 to ≤ 1 </w:t>
            </w:r>
          </w:p>
        </w:tc>
        <w:tc>
          <w:tcPr>
            <w:tcW w:w="1417" w:type="dxa"/>
          </w:tcPr>
          <w:p w14:paraId="11AD4BBD"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3 (7.9%)</w:t>
            </w:r>
          </w:p>
        </w:tc>
        <w:tc>
          <w:tcPr>
            <w:tcW w:w="1622" w:type="dxa"/>
          </w:tcPr>
          <w:p w14:paraId="403F4C7B"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2 (11.8%)</w:t>
            </w:r>
          </w:p>
        </w:tc>
        <w:tc>
          <w:tcPr>
            <w:tcW w:w="1956" w:type="dxa"/>
          </w:tcPr>
          <w:p w14:paraId="5765D4B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5F276E5C"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687CA127" w14:textId="77777777" w:rsidR="00534562" w:rsidRPr="00C95051" w:rsidRDefault="00534562" w:rsidP="001B6BBC"/>
        </w:tc>
        <w:tc>
          <w:tcPr>
            <w:tcW w:w="3061" w:type="dxa"/>
          </w:tcPr>
          <w:p w14:paraId="103F479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Moderate (monthly rate &gt; 1 to 1.5)</w:t>
            </w:r>
          </w:p>
        </w:tc>
        <w:tc>
          <w:tcPr>
            <w:tcW w:w="1417" w:type="dxa"/>
          </w:tcPr>
          <w:p w14:paraId="66AA06FA"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3 (7.9%)</w:t>
            </w:r>
          </w:p>
        </w:tc>
        <w:tc>
          <w:tcPr>
            <w:tcW w:w="1622" w:type="dxa"/>
          </w:tcPr>
          <w:p w14:paraId="23DA9B95"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956" w:type="dxa"/>
          </w:tcPr>
          <w:p w14:paraId="148F792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r w:rsidR="00534562" w:rsidRPr="00C95051" w14:paraId="112682AD" w14:textId="77777777" w:rsidTr="00534562">
        <w:tc>
          <w:tcPr>
            <w:cnfStyle w:val="001000000000" w:firstRow="0" w:lastRow="0" w:firstColumn="1" w:lastColumn="0" w:oddVBand="0" w:evenVBand="0" w:oddHBand="0" w:evenHBand="0" w:firstRowFirstColumn="0" w:firstRowLastColumn="0" w:lastRowFirstColumn="0" w:lastRowLastColumn="0"/>
            <w:tcW w:w="1442" w:type="dxa"/>
            <w:vMerge/>
          </w:tcPr>
          <w:p w14:paraId="06C1AB2C" w14:textId="77777777" w:rsidR="00534562" w:rsidRPr="00C95051" w:rsidRDefault="00534562" w:rsidP="001B6BBC"/>
        </w:tc>
        <w:tc>
          <w:tcPr>
            <w:tcW w:w="3061" w:type="dxa"/>
          </w:tcPr>
          <w:p w14:paraId="4ED0721A"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Poor (monthly rate &gt; 1.5)</w:t>
            </w:r>
          </w:p>
        </w:tc>
        <w:tc>
          <w:tcPr>
            <w:tcW w:w="1417" w:type="dxa"/>
          </w:tcPr>
          <w:p w14:paraId="2DB63559"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t>2 (5.3%)</w:t>
            </w:r>
          </w:p>
        </w:tc>
        <w:tc>
          <w:tcPr>
            <w:tcW w:w="1622" w:type="dxa"/>
          </w:tcPr>
          <w:p w14:paraId="4229725F"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c>
          <w:tcPr>
            <w:tcW w:w="1956" w:type="dxa"/>
          </w:tcPr>
          <w:p w14:paraId="4B157496" w14:textId="77777777" w:rsidR="00534562" w:rsidRPr="00C95051" w:rsidRDefault="00534562" w:rsidP="001B6BBC">
            <w:pPr>
              <w:cnfStyle w:val="000000000000" w:firstRow="0" w:lastRow="0" w:firstColumn="0" w:lastColumn="0" w:oddVBand="0" w:evenVBand="0" w:oddHBand="0" w:evenHBand="0" w:firstRowFirstColumn="0" w:firstRowLastColumn="0" w:lastRowFirstColumn="0" w:lastRowLastColumn="0"/>
            </w:pPr>
            <w:r w:rsidRPr="00C95051">
              <w:t>-</w:t>
            </w:r>
          </w:p>
        </w:tc>
      </w:tr>
    </w:tbl>
    <w:p w14:paraId="0D6FD4B5" w14:textId="77777777" w:rsidR="008248FD" w:rsidRPr="004141A5" w:rsidRDefault="008248FD" w:rsidP="00534562">
      <w:pPr>
        <w:pStyle w:val="Heading5"/>
      </w:pPr>
      <w:bookmarkStart w:id="236" w:name="_Toc266446546"/>
      <w:r w:rsidRPr="004141A5">
        <w:t xml:space="preserve">Question </w:t>
      </w:r>
      <w:r>
        <w:t>2</w:t>
      </w:r>
      <w:bookmarkEnd w:id="236"/>
    </w:p>
    <w:p w14:paraId="163FDD87" w14:textId="77777777" w:rsidR="008248FD" w:rsidRPr="005A1366" w:rsidRDefault="008248FD" w:rsidP="008248FD">
      <w:pPr>
        <w:widowControl w:val="0"/>
        <w:autoSpaceDE w:val="0"/>
        <w:autoSpaceDN w:val="0"/>
        <w:adjustRightInd w:val="0"/>
        <w:rPr>
          <w:rFonts w:eastAsia="Times New Roman" w:cs="‡_˘øª6‚"/>
          <w:sz w:val="21"/>
          <w:szCs w:val="21"/>
          <w:lang w:eastAsia="en-AU"/>
        </w:rPr>
      </w:pPr>
      <w:r w:rsidRPr="005A1366">
        <w:rPr>
          <w:rFonts w:eastAsia="Times New Roman" w:cs="‡_˘øª6‚"/>
          <w:sz w:val="21"/>
          <w:szCs w:val="21"/>
          <w:lang w:eastAsia="en-AU"/>
        </w:rPr>
        <w:t>In GENA-03, please provide the number and percentage of children with plasma FVIII</w:t>
      </w:r>
      <w:proofErr w:type="gramStart"/>
      <w:r w:rsidRPr="005A1366">
        <w:rPr>
          <w:rFonts w:eastAsia="Times New Roman" w:cs="‡_˘øª6‚"/>
          <w:sz w:val="21"/>
          <w:szCs w:val="21"/>
          <w:lang w:eastAsia="en-AU"/>
        </w:rPr>
        <w:t>:C</w:t>
      </w:r>
      <w:proofErr w:type="gramEnd"/>
      <w:r w:rsidRPr="005A1366">
        <w:rPr>
          <w:rFonts w:eastAsia="Times New Roman" w:cs="‡_˘øª6‚"/>
          <w:sz w:val="21"/>
          <w:szCs w:val="21"/>
          <w:lang w:eastAsia="en-AU"/>
        </w:rPr>
        <w:t xml:space="preserve"> ≥ 0.01 IU/mL before the first PK and IVR assessments as assessed by both the CHR and OS assays, and compare these results with the corresponding assessments obtained in the screening period.</w:t>
      </w:r>
    </w:p>
    <w:p w14:paraId="37D77AD1" w14:textId="77777777" w:rsidR="000F04AF" w:rsidRDefault="00615557" w:rsidP="00534562">
      <w:pPr>
        <w:pStyle w:val="Heading6"/>
        <w:rPr>
          <w:lang w:eastAsia="en-AU"/>
        </w:rPr>
      </w:pPr>
      <w:r w:rsidRPr="00615557">
        <w:rPr>
          <w:lang w:eastAsia="en-AU"/>
        </w:rPr>
        <w:t>Sponsor’s</w:t>
      </w:r>
      <w:r w:rsidR="008248FD" w:rsidRPr="00615557">
        <w:rPr>
          <w:lang w:eastAsia="en-AU"/>
        </w:rPr>
        <w:t xml:space="preserve"> response (complete)</w:t>
      </w:r>
    </w:p>
    <w:p w14:paraId="5AFAD803" w14:textId="00A43D7C" w:rsidR="008248FD" w:rsidRDefault="008248FD" w:rsidP="00534562">
      <w:pPr>
        <w:rPr>
          <w:lang w:eastAsia="en-AU"/>
        </w:rPr>
      </w:pPr>
      <w:r w:rsidRPr="005A1366">
        <w:rPr>
          <w:lang w:eastAsia="en-AU"/>
        </w:rPr>
        <w:t xml:space="preserve">The requested analysis is provided in Table </w:t>
      </w:r>
      <w:r w:rsidR="00F04577">
        <w:rPr>
          <w:lang w:eastAsia="en-AU"/>
        </w:rPr>
        <w:t>59</w:t>
      </w:r>
      <w:r w:rsidRPr="005A1366">
        <w:rPr>
          <w:lang w:eastAsia="en-AU"/>
        </w:rPr>
        <w:t>.</w:t>
      </w:r>
    </w:p>
    <w:p w14:paraId="643DD8C8" w14:textId="77777777" w:rsidR="00534562" w:rsidRDefault="00534562" w:rsidP="00534562">
      <w:pPr>
        <w:pStyle w:val="Tabletitle"/>
        <w:rPr>
          <w:lang w:eastAsia="en-AU"/>
        </w:rPr>
      </w:pPr>
      <w:r>
        <w:rPr>
          <w:lang w:eastAsia="en-AU"/>
        </w:rPr>
        <w:lastRenderedPageBreak/>
        <w:t xml:space="preserve">Table </w:t>
      </w:r>
      <w:r w:rsidR="00F04577">
        <w:rPr>
          <w:lang w:eastAsia="en-AU"/>
        </w:rPr>
        <w:t>59</w:t>
      </w:r>
      <w:r>
        <w:rPr>
          <w:lang w:eastAsia="en-AU"/>
        </w:rPr>
        <w:t>: Number and percentage of children with plasma FVIII</w:t>
      </w:r>
      <w:proofErr w:type="gramStart"/>
      <w:r>
        <w:rPr>
          <w:lang w:eastAsia="en-AU"/>
        </w:rPr>
        <w:t>:C</w:t>
      </w:r>
      <w:proofErr w:type="gramEnd"/>
      <w:r>
        <w:rPr>
          <w:lang w:eastAsia="en-AU"/>
        </w:rPr>
        <w:t>≥0.01 IU/mL at screening and at baseline (before the first PK and IVR assessments), ITT population (n=59)</w:t>
      </w:r>
    </w:p>
    <w:p w14:paraId="1A1D2584" w14:textId="54FFB518" w:rsidR="00B74396" w:rsidRPr="00B74396" w:rsidRDefault="00B74396" w:rsidP="00B74396">
      <w:pPr>
        <w:rPr>
          <w:lang w:eastAsia="en-AU"/>
        </w:rPr>
      </w:pPr>
      <w:r>
        <w:rPr>
          <w:noProof/>
          <w:lang w:eastAsia="en-AU"/>
        </w:rPr>
        <w:drawing>
          <wp:inline distT="0" distB="0" distL="0" distR="0" wp14:anchorId="70D33308" wp14:editId="0D280FA2">
            <wp:extent cx="4307983" cy="1094538"/>
            <wp:effectExtent l="0" t="0" r="0" b="0"/>
            <wp:docPr id="5" name="Picture 5" descr="Table 59: Number and percentage of children with plasma FVIII:C≥0.01 IU/mL at screening and at baseline (before the first PK and IVR assessments), ITT population (n=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7105"/>
                    <a:stretch/>
                  </pic:blipFill>
                  <pic:spPr bwMode="auto">
                    <a:xfrm>
                      <a:off x="0" y="0"/>
                      <a:ext cx="4315716" cy="1096503"/>
                    </a:xfrm>
                    <a:prstGeom prst="rect">
                      <a:avLst/>
                    </a:prstGeom>
                    <a:ln>
                      <a:noFill/>
                    </a:ln>
                    <a:extLst>
                      <a:ext uri="{53640926-AAD7-44D8-BBD7-CCE9431645EC}">
                        <a14:shadowObscured xmlns:a14="http://schemas.microsoft.com/office/drawing/2010/main"/>
                      </a:ext>
                    </a:extLst>
                  </pic:spPr>
                </pic:pic>
              </a:graphicData>
            </a:graphic>
          </wp:inline>
        </w:drawing>
      </w:r>
    </w:p>
    <w:p w14:paraId="5F2D7EC4" w14:textId="77777777" w:rsidR="008248FD" w:rsidRDefault="008248FD" w:rsidP="008248FD">
      <w:pPr>
        <w:widowControl w:val="0"/>
        <w:autoSpaceDE w:val="0"/>
        <w:autoSpaceDN w:val="0"/>
        <w:adjustRightInd w:val="0"/>
        <w:rPr>
          <w:rFonts w:eastAsia="Times New Roman" w:cs="‡_˘øª6‚"/>
          <w:lang w:eastAsia="en-AU"/>
        </w:rPr>
      </w:pPr>
      <w:r w:rsidRPr="005A1366">
        <w:rPr>
          <w:rFonts w:eastAsia="Times New Roman" w:cs="‡_˘øª6‚"/>
          <w:lang w:eastAsia="en-AU"/>
        </w:rPr>
        <w:t xml:space="preserve">All patients included in this study had been diagnosed with severe haemophilia A except </w:t>
      </w:r>
      <w:r>
        <w:rPr>
          <w:rFonts w:eastAsia="Times New Roman" w:cs="‡_˘øª6‚"/>
          <w:lang w:eastAsia="en-AU"/>
        </w:rPr>
        <w:t xml:space="preserve">one </w:t>
      </w:r>
      <w:r w:rsidRPr="005A1366">
        <w:rPr>
          <w:rFonts w:eastAsia="Times New Roman" w:cs="‡_˘øª6‚"/>
          <w:lang w:eastAsia="en-AU"/>
        </w:rPr>
        <w:t>patient who was later found to suffer from von Willebrand disease.</w:t>
      </w:r>
    </w:p>
    <w:p w14:paraId="6F6509FB" w14:textId="77777777" w:rsidR="008248FD" w:rsidRPr="009B5702" w:rsidRDefault="009B5702" w:rsidP="00534562">
      <w:pPr>
        <w:pStyle w:val="Heading7"/>
        <w:rPr>
          <w:lang w:eastAsia="en-AU"/>
        </w:rPr>
      </w:pPr>
      <w:r w:rsidRPr="009B5702">
        <w:rPr>
          <w:lang w:eastAsia="en-AU"/>
        </w:rPr>
        <w:t>Clinical</w:t>
      </w:r>
      <w:r w:rsidR="008248FD" w:rsidRPr="009B5702">
        <w:rPr>
          <w:lang w:eastAsia="en-AU"/>
        </w:rPr>
        <w:t xml:space="preserve"> evaluator's comment</w:t>
      </w:r>
    </w:p>
    <w:p w14:paraId="77E1F2FD" w14:textId="77777777" w:rsidR="000F04AF" w:rsidRDefault="008248FD" w:rsidP="008248FD">
      <w:pPr>
        <w:widowControl w:val="0"/>
        <w:autoSpaceDE w:val="0"/>
        <w:autoSpaceDN w:val="0"/>
        <w:adjustRightInd w:val="0"/>
        <w:rPr>
          <w:rFonts w:asciiTheme="minorHAnsi" w:eastAsia="Times New Roman" w:hAnsiTheme="minorHAnsi" w:cs="‡_˘øª6‚"/>
          <w:lang w:eastAsia="en-AU"/>
        </w:rPr>
      </w:pPr>
      <w:r w:rsidRPr="00C53A03">
        <w:rPr>
          <w:rFonts w:asciiTheme="minorHAnsi" w:eastAsia="Times New Roman" w:hAnsiTheme="minorHAnsi" w:cs="‡_˘øª6‚"/>
          <w:lang w:eastAsia="en-AU"/>
        </w:rPr>
        <w:t>The sponsor's response is satisfactory. The inconsistency between the "chromogenic" and "one-stage" assays is noted. The sponsor comments that all patients had been diagnosed with severe haemophilia A (</w:t>
      </w:r>
      <w:r w:rsidR="001A2E59">
        <w:rPr>
          <w:rFonts w:asciiTheme="minorHAnsi" w:eastAsia="Times New Roman" w:hAnsiTheme="minorHAnsi" w:cs="‡_˘øª6‚"/>
          <w:lang w:eastAsia="en-AU"/>
        </w:rPr>
        <w:t>that is,</w:t>
      </w:r>
      <w:r w:rsidRPr="00C53A03">
        <w:rPr>
          <w:rFonts w:asciiTheme="minorHAnsi" w:eastAsia="Times New Roman" w:hAnsiTheme="minorHAnsi" w:cs="‡_˘øª6‚"/>
          <w:lang w:eastAsia="en-AU"/>
        </w:rPr>
        <w:t xml:space="preserve"> inclusion criteria required FVIII</w:t>
      </w:r>
      <w:proofErr w:type="gramStart"/>
      <w:r w:rsidRPr="00C53A03">
        <w:rPr>
          <w:rFonts w:asciiTheme="minorHAnsi" w:eastAsia="Times New Roman" w:hAnsiTheme="minorHAnsi" w:cs="‡_˘øª6‚"/>
          <w:lang w:eastAsia="en-AU"/>
        </w:rPr>
        <w:t>:C</w:t>
      </w:r>
      <w:proofErr w:type="gramEnd"/>
      <w:r w:rsidRPr="00C53A03">
        <w:rPr>
          <w:rFonts w:asciiTheme="minorHAnsi" w:eastAsia="Times New Roman" w:hAnsiTheme="minorHAnsi" w:cs="‡_˘øª6‚"/>
          <w:lang w:eastAsia="en-AU"/>
        </w:rPr>
        <w:t xml:space="preserve"> &lt; 1%), except one with von Willebrand disease.</w:t>
      </w:r>
      <w:r>
        <w:rPr>
          <w:rFonts w:asciiTheme="minorHAnsi" w:eastAsia="Times New Roman" w:hAnsiTheme="minorHAnsi" w:cs="‡_˘øª6‚"/>
          <w:lang w:eastAsia="en-AU"/>
        </w:rPr>
        <w:t xml:space="preserve"> Presumably the observed FVIII:</w:t>
      </w:r>
      <w:r w:rsidR="00596EBE">
        <w:rPr>
          <w:rFonts w:asciiTheme="minorHAnsi" w:eastAsia="Times New Roman" w:hAnsiTheme="minorHAnsi" w:cs="‡_˘øª6‚"/>
          <w:lang w:eastAsia="en-AU"/>
        </w:rPr>
        <w:t xml:space="preserve"> </w:t>
      </w:r>
      <w:r>
        <w:rPr>
          <w:rFonts w:asciiTheme="minorHAnsi" w:eastAsia="Times New Roman" w:hAnsiTheme="minorHAnsi" w:cs="‡_˘øª6‚"/>
          <w:lang w:eastAsia="en-AU"/>
        </w:rPr>
        <w:t>C ≥ 1% levels at screening and baseline were due to carry-over effects from prior FVIII treatment.</w:t>
      </w:r>
    </w:p>
    <w:p w14:paraId="40C94F8C" w14:textId="608F6351" w:rsidR="008248FD" w:rsidRPr="004141A5" w:rsidRDefault="008248FD" w:rsidP="00534562">
      <w:pPr>
        <w:pStyle w:val="Heading5"/>
      </w:pPr>
      <w:bookmarkStart w:id="237" w:name="_Toc266446547"/>
      <w:r w:rsidRPr="004141A5">
        <w:t xml:space="preserve">Question </w:t>
      </w:r>
      <w:r>
        <w:t>3</w:t>
      </w:r>
      <w:bookmarkEnd w:id="237"/>
    </w:p>
    <w:p w14:paraId="05FD8C6C" w14:textId="77777777" w:rsidR="008248FD" w:rsidRPr="00C53A03" w:rsidRDefault="008248FD" w:rsidP="008248FD">
      <w:pPr>
        <w:widowControl w:val="0"/>
        <w:autoSpaceDE w:val="0"/>
        <w:autoSpaceDN w:val="0"/>
        <w:adjustRightInd w:val="0"/>
        <w:rPr>
          <w:rFonts w:eastAsia="Times New Roman" w:cs="‡_˘øª6‚"/>
          <w:lang w:eastAsia="en-AU"/>
        </w:rPr>
      </w:pPr>
      <w:r w:rsidRPr="00C53A03">
        <w:rPr>
          <w:rFonts w:eastAsia="Times New Roman" w:cs="‡_˘øª6‚"/>
          <w:lang w:eastAsia="en-AU"/>
        </w:rPr>
        <w:t>It was stated that GENA-04 was terminated prematurely due to substantial changes in data</w:t>
      </w:r>
      <w:r>
        <w:rPr>
          <w:rFonts w:eastAsia="Times New Roman" w:cs="‡_˘øª6‚"/>
          <w:lang w:eastAsia="en-AU"/>
        </w:rPr>
        <w:t xml:space="preserve"> </w:t>
      </w:r>
      <w:r w:rsidRPr="00C53A03">
        <w:rPr>
          <w:rFonts w:eastAsia="Times New Roman" w:cs="‡_˘øª6‚"/>
          <w:lang w:eastAsia="en-AU"/>
        </w:rPr>
        <w:t>requirements introduced by the Russian authorities. What were the changes in the data</w:t>
      </w:r>
      <w:r>
        <w:rPr>
          <w:rFonts w:eastAsia="Times New Roman" w:cs="‡_˘øª6‚"/>
          <w:lang w:eastAsia="en-AU"/>
        </w:rPr>
        <w:t xml:space="preserve"> </w:t>
      </w:r>
      <w:r w:rsidRPr="00C53A03">
        <w:rPr>
          <w:rFonts w:eastAsia="Times New Roman" w:cs="‡_˘øª6‚"/>
          <w:lang w:eastAsia="en-AU"/>
        </w:rPr>
        <w:t>requirements required by the Russian authorities?</w:t>
      </w:r>
    </w:p>
    <w:p w14:paraId="07A28234" w14:textId="0F58A81A" w:rsidR="000F04AF" w:rsidRDefault="008248FD" w:rsidP="00534562">
      <w:pPr>
        <w:pStyle w:val="Heading6"/>
        <w:rPr>
          <w:lang w:eastAsia="en-AU"/>
        </w:rPr>
      </w:pPr>
      <w:r w:rsidRPr="009B5702">
        <w:rPr>
          <w:lang w:eastAsia="en-AU"/>
        </w:rPr>
        <w:t>Sponsor's response (</w:t>
      </w:r>
      <w:r w:rsidR="001B6BBC">
        <w:rPr>
          <w:lang w:eastAsia="en-AU"/>
        </w:rPr>
        <w:t>c</w:t>
      </w:r>
      <w:r w:rsidRPr="009B5702">
        <w:rPr>
          <w:lang w:eastAsia="en-AU"/>
        </w:rPr>
        <w:t>omplete)</w:t>
      </w:r>
    </w:p>
    <w:p w14:paraId="17F44E88" w14:textId="3233C893" w:rsidR="008248FD" w:rsidRPr="00C53A03" w:rsidRDefault="008248FD" w:rsidP="00534562">
      <w:pPr>
        <w:rPr>
          <w:lang w:eastAsia="en-AU"/>
        </w:rPr>
      </w:pPr>
      <w:r>
        <w:rPr>
          <w:lang w:eastAsia="en-AU"/>
        </w:rPr>
        <w:t>Study GENA-09 started in March 2009. Originally, it was planned to use the clinical data from this mono-centre (Moscow) study for submission of the marketing authorisation application in Russia and to continue treating the GENA-09 patients in the extension study GENA-04 until marketing authorisation of simoctocog alfa in Russia was granted. However, at the end of 2010 a new law was implemented in Russia (The Federal Law N61 dated 12.04.2010, published on 14.04.2010 and which came into effect from 1st of September 2010) requesting that a multi-national study involving at least one centre in Russia is required to obtain marketing authorisation, which would have resulted in a delay of several years. Under these circumstances, it became economically unfeasible to continue study GENA-04 and it was stopped in July 2011. Submission for marketing authorisation of simoctocog alfa in Russia is now expected in the 2nd half of 2014.</w:t>
      </w:r>
    </w:p>
    <w:p w14:paraId="127576E0" w14:textId="77777777" w:rsidR="008248FD" w:rsidRPr="009B5702" w:rsidRDefault="009B5702" w:rsidP="00534562">
      <w:pPr>
        <w:pStyle w:val="Heading7"/>
        <w:rPr>
          <w:lang w:eastAsia="en-AU"/>
        </w:rPr>
      </w:pPr>
      <w:r w:rsidRPr="009B5702">
        <w:rPr>
          <w:lang w:eastAsia="en-AU"/>
        </w:rPr>
        <w:t>Clinical</w:t>
      </w:r>
      <w:r w:rsidR="008248FD" w:rsidRPr="009B5702">
        <w:rPr>
          <w:lang w:eastAsia="en-AU"/>
        </w:rPr>
        <w:t xml:space="preserve"> evaluator's comment</w:t>
      </w:r>
    </w:p>
    <w:p w14:paraId="712C32D4" w14:textId="77777777" w:rsidR="000F04AF" w:rsidRDefault="008248FD" w:rsidP="008248FD">
      <w:pPr>
        <w:widowControl w:val="0"/>
        <w:autoSpaceDE w:val="0"/>
        <w:autoSpaceDN w:val="0"/>
        <w:adjustRightInd w:val="0"/>
        <w:rPr>
          <w:rFonts w:asciiTheme="minorHAnsi" w:eastAsia="Times New Roman" w:hAnsiTheme="minorHAnsi" w:cs="‡_˘øª6‚"/>
          <w:lang w:eastAsia="en-AU"/>
        </w:rPr>
      </w:pPr>
      <w:r w:rsidRPr="00C53A03">
        <w:rPr>
          <w:rFonts w:asciiTheme="minorHAnsi" w:eastAsia="Times New Roman" w:hAnsiTheme="minorHAnsi" w:cs="‡_˘øª6‚"/>
          <w:lang w:eastAsia="en-AU"/>
        </w:rPr>
        <w:t>The sponsor's response is satisfactory.</w:t>
      </w:r>
    </w:p>
    <w:p w14:paraId="188E80D4" w14:textId="0069AD5B" w:rsidR="008248FD" w:rsidRPr="009B5702" w:rsidRDefault="008248FD" w:rsidP="00534562">
      <w:pPr>
        <w:pStyle w:val="Heading4"/>
      </w:pPr>
      <w:bookmarkStart w:id="238" w:name="_Toc266446548"/>
      <w:r w:rsidRPr="009B5702">
        <w:t>Safety</w:t>
      </w:r>
      <w:bookmarkEnd w:id="238"/>
    </w:p>
    <w:p w14:paraId="2DF10275" w14:textId="77777777" w:rsidR="008248FD" w:rsidRPr="004141A5" w:rsidRDefault="008248FD" w:rsidP="00534562">
      <w:pPr>
        <w:pStyle w:val="Heading5"/>
      </w:pPr>
      <w:bookmarkStart w:id="239" w:name="_Toc266446549"/>
      <w:r w:rsidRPr="004141A5">
        <w:t>Question 1</w:t>
      </w:r>
      <w:bookmarkEnd w:id="239"/>
    </w:p>
    <w:p w14:paraId="11F81A40" w14:textId="30B4C79F" w:rsidR="008248FD" w:rsidRPr="004141A5" w:rsidRDefault="008248FD" w:rsidP="008248FD">
      <w:pPr>
        <w:widowControl w:val="0"/>
        <w:autoSpaceDE w:val="0"/>
        <w:autoSpaceDN w:val="0"/>
        <w:adjustRightInd w:val="0"/>
        <w:rPr>
          <w:rFonts w:eastAsia="Times New Roman" w:cs="‡_˘øª6‚"/>
          <w:lang w:eastAsia="en-AU"/>
        </w:rPr>
      </w:pPr>
      <w:r w:rsidRPr="004141A5">
        <w:rPr>
          <w:rFonts w:eastAsia="Times New Roman" w:cs="‡_˘øª6‚"/>
          <w:lang w:eastAsia="en-AU"/>
        </w:rPr>
        <w:t xml:space="preserve">How long after the last dose of simoctocog alfa were adverse event data collected in the </w:t>
      </w:r>
      <w:r>
        <w:rPr>
          <w:rFonts w:eastAsia="Times New Roman" w:cs="‡_˘øª6‚"/>
          <w:lang w:eastAsia="en-AU"/>
        </w:rPr>
        <w:t xml:space="preserve">five </w:t>
      </w:r>
      <w:r w:rsidRPr="004141A5">
        <w:rPr>
          <w:rFonts w:eastAsia="Times New Roman" w:cs="‡_˘øª6‚"/>
          <w:lang w:eastAsia="en-AU"/>
        </w:rPr>
        <w:t>submitted studies with safety data (</w:t>
      </w:r>
      <w:r w:rsidR="001A2E59">
        <w:rPr>
          <w:rFonts w:eastAsia="Times New Roman" w:cs="‡_˘øª6‚"/>
          <w:lang w:eastAsia="en-AU"/>
        </w:rPr>
        <w:t>for example,</w:t>
      </w:r>
      <w:r w:rsidRPr="004141A5">
        <w:rPr>
          <w:rFonts w:eastAsia="Times New Roman" w:cs="‡_˘øª6‚"/>
          <w:lang w:eastAsia="en-AU"/>
        </w:rPr>
        <w:t xml:space="preserve"> were events occurring up to and including 30 days after the last dose considered to be treatment-emergent adverse events)?</w:t>
      </w:r>
    </w:p>
    <w:p w14:paraId="68EF4603" w14:textId="4045C594" w:rsidR="000F04AF" w:rsidRDefault="008248FD" w:rsidP="00534562">
      <w:pPr>
        <w:pStyle w:val="Heading6"/>
        <w:rPr>
          <w:lang w:eastAsia="en-AU"/>
        </w:rPr>
      </w:pPr>
      <w:r w:rsidRPr="009B5702">
        <w:rPr>
          <w:lang w:eastAsia="en-AU"/>
        </w:rPr>
        <w:t>Sponsor's response (</w:t>
      </w:r>
      <w:r w:rsidR="001B6BBC">
        <w:rPr>
          <w:lang w:eastAsia="en-AU"/>
        </w:rPr>
        <w:t>c</w:t>
      </w:r>
      <w:r w:rsidRPr="009B5702">
        <w:rPr>
          <w:lang w:eastAsia="en-AU"/>
        </w:rPr>
        <w:t>omplete)</w:t>
      </w:r>
    </w:p>
    <w:p w14:paraId="6C843107" w14:textId="47A6E6C1" w:rsidR="008248FD" w:rsidRPr="004A5351" w:rsidRDefault="008248FD" w:rsidP="008248FD">
      <w:pPr>
        <w:widowControl w:val="0"/>
        <w:autoSpaceDE w:val="0"/>
        <w:autoSpaceDN w:val="0"/>
        <w:adjustRightInd w:val="0"/>
        <w:rPr>
          <w:rFonts w:eastAsia="Times New Roman" w:cs="‡_˘øª6‚"/>
          <w:lang w:eastAsia="en-AU"/>
        </w:rPr>
      </w:pPr>
      <w:r w:rsidRPr="004A5351">
        <w:rPr>
          <w:rFonts w:eastAsia="Times New Roman" w:cs="‡_˘øª6‚"/>
          <w:lang w:eastAsia="en-AU"/>
        </w:rPr>
        <w:t>In all five studies adverse events were collected until the final visit, which usually coincided with the last administration of simoctocog alfa in the study. All five study protocols mentioned the following under “Other relevant safety information” and “Post-study related safety reports”:</w:t>
      </w:r>
    </w:p>
    <w:p w14:paraId="2659C3B8" w14:textId="77777777" w:rsidR="008248FD" w:rsidRPr="004A5351" w:rsidRDefault="008248FD" w:rsidP="00534562">
      <w:pPr>
        <w:widowControl w:val="0"/>
        <w:autoSpaceDE w:val="0"/>
        <w:autoSpaceDN w:val="0"/>
        <w:adjustRightInd w:val="0"/>
        <w:ind w:left="720"/>
        <w:rPr>
          <w:rFonts w:eastAsia="Times New Roman" w:cs="‡_˘øª6‚"/>
          <w:i/>
          <w:lang w:eastAsia="en-AU"/>
        </w:rPr>
      </w:pPr>
      <w:r w:rsidRPr="004A5351">
        <w:rPr>
          <w:rFonts w:eastAsia="Times New Roman" w:cs="‡_˘øª6‚"/>
          <w:i/>
          <w:lang w:eastAsia="en-AU"/>
        </w:rPr>
        <w:t xml:space="preserve">“Any ADR (i.e. any AE with a suspected causal relationship to the IMP) which occurs after </w:t>
      </w:r>
      <w:r w:rsidRPr="004A5351">
        <w:rPr>
          <w:rFonts w:eastAsia="Times New Roman" w:cs="‡_˘øª6‚"/>
          <w:i/>
          <w:lang w:eastAsia="en-AU"/>
        </w:rPr>
        <w:lastRenderedPageBreak/>
        <w:t>the completion of the study should be reported by the investigator. The usual procedure for reporting post marketing safety information should be followed, but relation to the clinical study should be stated on the report.</w:t>
      </w:r>
    </w:p>
    <w:p w14:paraId="5CB62C27" w14:textId="77777777" w:rsidR="008248FD" w:rsidRPr="004A5351" w:rsidRDefault="008248FD" w:rsidP="00534562">
      <w:pPr>
        <w:widowControl w:val="0"/>
        <w:autoSpaceDE w:val="0"/>
        <w:autoSpaceDN w:val="0"/>
        <w:adjustRightInd w:val="0"/>
        <w:ind w:left="720"/>
        <w:rPr>
          <w:rFonts w:eastAsia="Times New Roman" w:cs="‡_˘øª6‚"/>
          <w:i/>
          <w:lang w:eastAsia="en-AU"/>
        </w:rPr>
      </w:pPr>
      <w:r w:rsidRPr="004A5351">
        <w:rPr>
          <w:rFonts w:eastAsia="Times New Roman" w:cs="‡_˘øª6‚"/>
          <w:i/>
          <w:lang w:eastAsia="en-AU"/>
        </w:rPr>
        <w:t>If a subject dies within 4 weeks after the last study drug administration, this should be reported as well, without respect of being considered treatment-related or not.”</w:t>
      </w:r>
    </w:p>
    <w:p w14:paraId="53C8CADA" w14:textId="77777777" w:rsidR="008248FD" w:rsidRPr="004A5351" w:rsidRDefault="008248FD" w:rsidP="008248FD">
      <w:pPr>
        <w:widowControl w:val="0"/>
        <w:autoSpaceDE w:val="0"/>
        <w:autoSpaceDN w:val="0"/>
        <w:adjustRightInd w:val="0"/>
        <w:rPr>
          <w:rFonts w:eastAsia="Times New Roman" w:cs="‡_˘øª6‚"/>
          <w:lang w:eastAsia="en-AU"/>
        </w:rPr>
      </w:pPr>
      <w:r w:rsidRPr="004A5351">
        <w:rPr>
          <w:rFonts w:eastAsia="Times New Roman" w:cs="‡_˘øª6‚"/>
          <w:lang w:eastAsia="en-AU"/>
        </w:rPr>
        <w:t>Following the final visit more than half of the 135 patients who participated in these five studies continued treatment with simoctocog alfa in extension studies to assess the long-term immunogenicity, safety and efficacy of simoctocog alfa: Three of the 22 GENA-01 patients, 18 of the 22 GENA-09 patients and 49 of the 59 paediatric patients switched to the respective extension studies GENA-11, GENA-04 and GENA-13.</w:t>
      </w:r>
    </w:p>
    <w:p w14:paraId="591B029B" w14:textId="77777777" w:rsidR="008248FD" w:rsidRPr="009B5702" w:rsidRDefault="009B5702" w:rsidP="00534562">
      <w:pPr>
        <w:pStyle w:val="Heading7"/>
        <w:rPr>
          <w:lang w:eastAsia="en-AU"/>
        </w:rPr>
      </w:pPr>
      <w:r w:rsidRPr="009B5702">
        <w:rPr>
          <w:lang w:eastAsia="en-AU"/>
        </w:rPr>
        <w:t>Clinical</w:t>
      </w:r>
      <w:r w:rsidR="008248FD" w:rsidRPr="009B5702">
        <w:rPr>
          <w:lang w:eastAsia="en-AU"/>
        </w:rPr>
        <w:t xml:space="preserve"> evaluator's comment</w:t>
      </w:r>
    </w:p>
    <w:p w14:paraId="329BABCA" w14:textId="77777777" w:rsidR="000F04AF" w:rsidRDefault="008248FD" w:rsidP="008248FD">
      <w:pPr>
        <w:widowControl w:val="0"/>
        <w:autoSpaceDE w:val="0"/>
        <w:autoSpaceDN w:val="0"/>
        <w:adjustRightInd w:val="0"/>
        <w:rPr>
          <w:rFonts w:asciiTheme="minorHAnsi" w:eastAsia="Times New Roman" w:hAnsiTheme="minorHAnsi" w:cs="‡_˘øª6‚"/>
          <w:lang w:eastAsia="en-AU"/>
        </w:rPr>
      </w:pPr>
      <w:r w:rsidRPr="00C53A03">
        <w:rPr>
          <w:rFonts w:asciiTheme="minorHAnsi" w:eastAsia="Times New Roman" w:hAnsiTheme="minorHAnsi" w:cs="‡_˘øª6‚"/>
          <w:lang w:eastAsia="en-AU"/>
        </w:rPr>
        <w:t>The sponsor's response is satisfactory.</w:t>
      </w:r>
    </w:p>
    <w:p w14:paraId="3A74CFB4" w14:textId="3E5DE15E" w:rsidR="008248FD" w:rsidRPr="004A5351" w:rsidRDefault="00D27D10" w:rsidP="00534562">
      <w:pPr>
        <w:pStyle w:val="Heading5"/>
      </w:pPr>
      <w:r w:rsidRPr="004A5351">
        <w:t xml:space="preserve">Question </w:t>
      </w:r>
      <w:r w:rsidR="008248FD" w:rsidRPr="004A5351">
        <w:t>2</w:t>
      </w:r>
    </w:p>
    <w:p w14:paraId="2E511178" w14:textId="225AECFD" w:rsidR="008248FD" w:rsidRPr="004A5351" w:rsidRDefault="008248FD" w:rsidP="00534562">
      <w:pPr>
        <w:rPr>
          <w:lang w:eastAsia="en-AU"/>
        </w:rPr>
      </w:pPr>
      <w:r>
        <w:rPr>
          <w:lang w:eastAsia="en-AU"/>
        </w:rPr>
        <w:t>In the total safety population (n=135), 5 cases of rash were identified (1 in GENA-01, 4 in GENA-03). The IDMC identified 3 cases of rash (2 separate events in 1 patient, 1 event in 1 patient) in GENA-03 as being "possibly" related to treatment. Does the sponsor have any information on the 5 cases of rash identified in the safety population? In particular, can it be determined if any of the rashes were likely to be hypersensitivity or allergic reactions to simoctocog alfa (</w:t>
      </w:r>
      <w:r w:rsidR="001A2E59">
        <w:rPr>
          <w:lang w:eastAsia="en-AU"/>
        </w:rPr>
        <w:t>for example,</w:t>
      </w:r>
      <w:r>
        <w:rPr>
          <w:lang w:eastAsia="en-AU"/>
        </w:rPr>
        <w:t xml:space="preserve"> urticaria)?</w:t>
      </w:r>
    </w:p>
    <w:p w14:paraId="771803B4" w14:textId="77777777" w:rsidR="008248FD" w:rsidRPr="009B5702" w:rsidRDefault="009B5702" w:rsidP="000D392B">
      <w:pPr>
        <w:pStyle w:val="Heading6"/>
        <w:rPr>
          <w:lang w:eastAsia="en-AU"/>
        </w:rPr>
      </w:pPr>
      <w:r w:rsidRPr="009B5702">
        <w:rPr>
          <w:lang w:eastAsia="en-AU"/>
        </w:rPr>
        <w:t>Sponsor’s</w:t>
      </w:r>
      <w:r w:rsidR="008248FD" w:rsidRPr="009B5702">
        <w:rPr>
          <w:lang w:eastAsia="en-AU"/>
        </w:rPr>
        <w:t xml:space="preserve"> response (abridged)</w:t>
      </w:r>
    </w:p>
    <w:p w14:paraId="6F530BCC" w14:textId="77777777" w:rsidR="008248FD" w:rsidRPr="009B5702" w:rsidRDefault="008248FD" w:rsidP="000D392B">
      <w:pPr>
        <w:rPr>
          <w:lang w:eastAsia="en-AU"/>
        </w:rPr>
      </w:pPr>
      <w:r w:rsidRPr="004A5351">
        <w:rPr>
          <w:lang w:eastAsia="en-AU"/>
        </w:rPr>
        <w:t>Information on the 6 cases of rash in 5 patients (</w:t>
      </w:r>
      <w:r w:rsidR="000D392B">
        <w:t xml:space="preserve">[information redacted] </w:t>
      </w:r>
      <w:r w:rsidRPr="004A5351">
        <w:rPr>
          <w:lang w:eastAsia="en-AU"/>
        </w:rPr>
        <w:t xml:space="preserve">experienced rashes twice) in the safety population is provided [in the response document]. The IDMC had judged the mild rashes for patients </w:t>
      </w:r>
      <w:r w:rsidR="000D392B">
        <w:t xml:space="preserve">[information redacted] </w:t>
      </w:r>
      <w:r w:rsidRPr="004A5351">
        <w:rPr>
          <w:lang w:eastAsia="en-AU"/>
        </w:rPr>
        <w:t xml:space="preserve">as “possibly" related to treatment because of the temporal relationship between the event and IMP administration (GENA-03 Clinical Study Report). The Investigators who reported the mild rashes for patients </w:t>
      </w:r>
      <w:r w:rsidR="000D392B">
        <w:t>[information redacted]</w:t>
      </w:r>
      <w:r w:rsidRPr="004A5351">
        <w:rPr>
          <w:lang w:eastAsia="en-AU"/>
        </w:rPr>
        <w:t xml:space="preserve"> were contacted with regards to the potential allergic symptoms following the administration of the IMP. They confirmed their previous assessment of relationship: the rashes were not related to the IMP. In addition, a narrative was prepared for the adverse events related to patient </w:t>
      </w:r>
      <w:r w:rsidR="000D392B">
        <w:t xml:space="preserve">[information redacted] </w:t>
      </w:r>
      <w:r w:rsidRPr="009B5702">
        <w:rPr>
          <w:lang w:eastAsia="en-AU"/>
        </w:rPr>
        <w:t>based on the available information.</w:t>
      </w:r>
    </w:p>
    <w:p w14:paraId="5FF8713E" w14:textId="77777777" w:rsidR="008248FD" w:rsidRPr="009B5702" w:rsidRDefault="009B5702" w:rsidP="000D392B">
      <w:pPr>
        <w:pStyle w:val="Heading7"/>
        <w:rPr>
          <w:lang w:eastAsia="en-AU"/>
        </w:rPr>
      </w:pPr>
      <w:r w:rsidRPr="009B5702">
        <w:rPr>
          <w:lang w:eastAsia="en-AU"/>
        </w:rPr>
        <w:t>Clinical</w:t>
      </w:r>
      <w:r w:rsidR="008248FD" w:rsidRPr="009B5702">
        <w:rPr>
          <w:lang w:eastAsia="en-AU"/>
        </w:rPr>
        <w:t xml:space="preserve"> evaluator's comment</w:t>
      </w:r>
    </w:p>
    <w:p w14:paraId="1E228A45" w14:textId="77777777" w:rsidR="000F04AF" w:rsidRDefault="008248FD" w:rsidP="008248FD">
      <w:pPr>
        <w:widowControl w:val="0"/>
        <w:autoSpaceDE w:val="0"/>
        <w:autoSpaceDN w:val="0"/>
        <w:adjustRightInd w:val="0"/>
        <w:rPr>
          <w:rFonts w:asciiTheme="minorHAnsi" w:eastAsia="Times New Roman" w:hAnsiTheme="minorHAnsi" w:cs="‡_˘øª6‚"/>
          <w:lang w:eastAsia="en-AU"/>
        </w:rPr>
      </w:pPr>
      <w:r w:rsidRPr="00C265F6">
        <w:rPr>
          <w:rFonts w:asciiTheme="minorHAnsi" w:eastAsia="Times New Roman" w:hAnsiTheme="minorHAnsi" w:cs="‡_˘øª6‚"/>
          <w:color w:val="000000"/>
          <w:lang w:eastAsia="en-AU"/>
        </w:rPr>
        <w:t xml:space="preserve">The five clinical narratives for patients with rash provided by the sponsor in the response document have been examined. The sponsor concluded that </w:t>
      </w:r>
      <w:r w:rsidRPr="00C265F6">
        <w:rPr>
          <w:rFonts w:asciiTheme="minorHAnsi" w:eastAsia="Times New Roman" w:hAnsiTheme="minorHAnsi" w:cs="‡_˘øª6‚"/>
          <w:lang w:eastAsia="en-AU"/>
        </w:rPr>
        <w:t xml:space="preserve">"all rashes were mild and considered 'not related' by the investigator. Therefore, [the sponsor considered] it </w:t>
      </w:r>
      <w:r w:rsidR="00660F71">
        <w:rPr>
          <w:rFonts w:asciiTheme="minorHAnsi" w:eastAsia="Times New Roman" w:hAnsiTheme="minorHAnsi" w:cs="‡_˘øª6‚"/>
          <w:lang w:eastAsia="en-AU"/>
        </w:rPr>
        <w:t xml:space="preserve">was </w:t>
      </w:r>
      <w:r w:rsidRPr="00C265F6">
        <w:rPr>
          <w:rFonts w:asciiTheme="minorHAnsi" w:eastAsia="Times New Roman" w:hAnsiTheme="minorHAnsi" w:cs="‡_˘øª6‚"/>
          <w:lang w:eastAsia="en-AU"/>
        </w:rPr>
        <w:t>very unlikely that any of these rashes were hypersensitivity or allergic reactions to simoctocog alfa." The sponsor's response is considered to be acceptable.</w:t>
      </w:r>
    </w:p>
    <w:p w14:paraId="0018DE59" w14:textId="77777777" w:rsidR="000F04AF" w:rsidRDefault="008248FD" w:rsidP="000D392B">
      <w:pPr>
        <w:pStyle w:val="Heading5"/>
      </w:pPr>
      <w:r w:rsidRPr="00031454">
        <w:t>Question 3</w:t>
      </w:r>
    </w:p>
    <w:p w14:paraId="572EE545" w14:textId="2E1F414C" w:rsidR="008248FD" w:rsidRDefault="008248FD" w:rsidP="000D392B">
      <w:pPr>
        <w:rPr>
          <w:lang w:eastAsia="en-AU"/>
        </w:rPr>
      </w:pPr>
      <w:r>
        <w:rPr>
          <w:lang w:eastAsia="en-AU"/>
        </w:rPr>
        <w:t>In GENA-03, 3 cases of chills (1 event in each of 3 paediatric patients) were reported by the IDMC as "possibly" related to treatment with simoctocog alfa. Please explain why these events are not considered to be hypersensitivity reactions?</w:t>
      </w:r>
    </w:p>
    <w:p w14:paraId="3D1E5F49" w14:textId="77777777" w:rsidR="008248FD" w:rsidRPr="009B5702" w:rsidRDefault="009B5702" w:rsidP="000D392B">
      <w:pPr>
        <w:pStyle w:val="Heading6"/>
        <w:rPr>
          <w:lang w:eastAsia="en-AU"/>
        </w:rPr>
      </w:pPr>
      <w:r w:rsidRPr="009B5702">
        <w:rPr>
          <w:lang w:eastAsia="en-AU"/>
        </w:rPr>
        <w:t>Sponsor’s</w:t>
      </w:r>
      <w:r w:rsidR="008248FD" w:rsidRPr="009B5702">
        <w:rPr>
          <w:lang w:eastAsia="en-AU"/>
        </w:rPr>
        <w:t xml:space="preserve"> response (abridged)</w:t>
      </w:r>
    </w:p>
    <w:p w14:paraId="513A377B" w14:textId="77777777" w:rsidR="008248FD" w:rsidRDefault="008248FD" w:rsidP="000D392B">
      <w:pPr>
        <w:rPr>
          <w:lang w:eastAsia="en-AU"/>
        </w:rPr>
      </w:pPr>
      <w:r>
        <w:rPr>
          <w:lang w:eastAsia="en-AU"/>
        </w:rPr>
        <w:t>The IDMC had judged these adverse events as “possibly” related because of the temporal relationship between the event and IMP administration.</w:t>
      </w:r>
    </w:p>
    <w:p w14:paraId="416F39DB" w14:textId="36E6B114" w:rsidR="008248FD" w:rsidRDefault="008248FD" w:rsidP="000D392B">
      <w:pPr>
        <w:rPr>
          <w:lang w:eastAsia="en-AU"/>
        </w:rPr>
      </w:pPr>
      <w:r>
        <w:rPr>
          <w:lang w:eastAsia="en-AU"/>
        </w:rPr>
        <w:t>The Investigators who reported the chills were contacted with regards to the above potential allergic symptoms following the administration of the IMP. They reviewed the narratives and confirmed their previous assessment of the relationship: the chills are all not related to the IMP.</w:t>
      </w:r>
    </w:p>
    <w:p w14:paraId="630B6E08" w14:textId="77777777" w:rsidR="008248FD" w:rsidRPr="009B5702" w:rsidRDefault="009B5702" w:rsidP="000D392B">
      <w:pPr>
        <w:pStyle w:val="Heading7"/>
        <w:rPr>
          <w:lang w:eastAsia="en-AU"/>
        </w:rPr>
      </w:pPr>
      <w:r w:rsidRPr="009B5702">
        <w:rPr>
          <w:lang w:eastAsia="en-AU"/>
        </w:rPr>
        <w:lastRenderedPageBreak/>
        <w:t>Clinical</w:t>
      </w:r>
      <w:r w:rsidR="008248FD" w:rsidRPr="009B5702">
        <w:rPr>
          <w:lang w:eastAsia="en-AU"/>
        </w:rPr>
        <w:t xml:space="preserve"> evaluator's comment</w:t>
      </w:r>
    </w:p>
    <w:p w14:paraId="63B97A7B" w14:textId="77777777" w:rsidR="000F04AF" w:rsidRDefault="008248FD" w:rsidP="008248FD">
      <w:pPr>
        <w:widowControl w:val="0"/>
        <w:autoSpaceDE w:val="0"/>
        <w:autoSpaceDN w:val="0"/>
        <w:adjustRightInd w:val="0"/>
        <w:rPr>
          <w:rFonts w:asciiTheme="minorHAnsi" w:eastAsia="Times New Roman" w:hAnsiTheme="minorHAnsi" w:cs="‡_˘øª6‚"/>
          <w:lang w:eastAsia="en-AU"/>
        </w:rPr>
      </w:pPr>
      <w:r w:rsidRPr="002C6958">
        <w:rPr>
          <w:rFonts w:asciiTheme="minorHAnsi" w:eastAsia="Times New Roman" w:hAnsiTheme="minorHAnsi" w:cs="‡_˘øª6‚"/>
          <w:lang w:eastAsia="en-AU"/>
        </w:rPr>
        <w:t xml:space="preserve">The two clinical narratives for patients with chills provided by the sponsor in the response document have been examined. No clinical narrative was provided for one of the two Russian patients considered by the sponsor to have had a wrong translation/interpretation of "acute upper respiratory tract infection" recorded as "chills" in the CRF. The sponsor considered that from its "point of view there is no increased risk of potential allergic symptoms in the paediatric population". Based on the data provided by the sponsor it </w:t>
      </w:r>
      <w:r w:rsidR="00660F71">
        <w:rPr>
          <w:rFonts w:asciiTheme="minorHAnsi" w:eastAsia="Times New Roman" w:hAnsiTheme="minorHAnsi" w:cs="‡_˘øª6‚"/>
          <w:lang w:eastAsia="en-AU"/>
        </w:rPr>
        <w:t>appeared to be</w:t>
      </w:r>
      <w:r w:rsidR="00660F71" w:rsidRPr="002C6958">
        <w:rPr>
          <w:rFonts w:asciiTheme="minorHAnsi" w:eastAsia="Times New Roman" w:hAnsiTheme="minorHAnsi" w:cs="‡_˘øª6‚"/>
          <w:lang w:eastAsia="en-AU"/>
        </w:rPr>
        <w:t xml:space="preserve"> </w:t>
      </w:r>
      <w:r w:rsidRPr="002C6958">
        <w:rPr>
          <w:rFonts w:asciiTheme="minorHAnsi" w:eastAsia="Times New Roman" w:hAnsiTheme="minorHAnsi" w:cs="‡_˘øª6‚"/>
          <w:lang w:eastAsia="en-AU"/>
        </w:rPr>
        <w:t>unlikely that the reported adverse events of "chills" are hypersensitivity reactions to simoctocog alfa.</w:t>
      </w:r>
    </w:p>
    <w:p w14:paraId="5F19D33C" w14:textId="77777777" w:rsidR="000F04AF" w:rsidRDefault="00D27D10" w:rsidP="000D392B">
      <w:pPr>
        <w:pStyle w:val="Heading5"/>
      </w:pPr>
      <w:r w:rsidRPr="002C6958">
        <w:t xml:space="preserve">Question </w:t>
      </w:r>
      <w:r w:rsidR="008248FD" w:rsidRPr="002C6958">
        <w:t>4</w:t>
      </w:r>
    </w:p>
    <w:p w14:paraId="3D08D27F" w14:textId="5D9CB007" w:rsidR="008248FD" w:rsidRDefault="008248FD" w:rsidP="000D392B">
      <w:pPr>
        <w:rPr>
          <w:lang w:eastAsia="en-AU"/>
        </w:rPr>
      </w:pPr>
      <w:r>
        <w:rPr>
          <w:lang w:eastAsia="en-AU"/>
        </w:rPr>
        <w:t>In the total safety population (n=135), 2 cases of pruritus were identified (1 in GENA-01, 1 in GENA-03). Does the sponsor have any information on the 2 cases of pruritis identified in the safety population? In particular, can it be determined if these cases were likely to be hypersensitivity or allergic reactions to simoctocog alfa.</w:t>
      </w:r>
    </w:p>
    <w:p w14:paraId="16802922" w14:textId="77777777" w:rsidR="008248FD" w:rsidRPr="009B5702" w:rsidRDefault="009B5702" w:rsidP="00D27D10">
      <w:pPr>
        <w:pStyle w:val="Heading6"/>
      </w:pPr>
      <w:r w:rsidRPr="009B5702">
        <w:t>Sponsor’s</w:t>
      </w:r>
      <w:r w:rsidR="008248FD" w:rsidRPr="009B5702">
        <w:t xml:space="preserve"> response (complete)</w:t>
      </w:r>
    </w:p>
    <w:p w14:paraId="4DB6AC68" w14:textId="77777777" w:rsidR="008248FD" w:rsidRDefault="000D392B" w:rsidP="000D392B">
      <w:pPr>
        <w:rPr>
          <w:lang w:eastAsia="en-AU"/>
        </w:rPr>
      </w:pPr>
      <w:r>
        <w:t>[</w:t>
      </w:r>
      <w:proofErr w:type="gramStart"/>
      <w:r>
        <w:t>information</w:t>
      </w:r>
      <w:proofErr w:type="gramEnd"/>
      <w:r>
        <w:t xml:space="preserve"> redacted] </w:t>
      </w:r>
      <w:r w:rsidR="008248FD">
        <w:rPr>
          <w:lang w:eastAsia="en-AU"/>
        </w:rPr>
        <w:t>had a mild unrelated pruritus starting on 15 December 2010 with an unknown end date. This patient underwent surgery (revision of total right knee) on 14 December 2010. According to the nurse the itching was related to the narcotics the patient received. The itching started after the intravenous administration of dilaudid which is well known to cause pruritus.</w:t>
      </w:r>
    </w:p>
    <w:p w14:paraId="7400EE51" w14:textId="77777777" w:rsidR="008248FD" w:rsidRDefault="000D392B" w:rsidP="000D392B">
      <w:pPr>
        <w:rPr>
          <w:lang w:eastAsia="en-AU"/>
        </w:rPr>
      </w:pPr>
      <w:r>
        <w:t>[</w:t>
      </w:r>
      <w:proofErr w:type="gramStart"/>
      <w:r>
        <w:t>information</w:t>
      </w:r>
      <w:proofErr w:type="gramEnd"/>
      <w:r>
        <w:t xml:space="preserve"> redacted] </w:t>
      </w:r>
      <w:r w:rsidR="008248FD">
        <w:rPr>
          <w:lang w:eastAsia="en-AU"/>
        </w:rPr>
        <w:t>had a mild unrelated pruritis (“itchy foot”), which started on 6 January 2012 and ended on 8 January 2012 after 12 Exposure Days. The study site was contacted again in April 2014 and confirmed that this event was not IMP related as it occurred too long after study start and also too long after the last infusion. In addition, it did not reoccur with continued treatment with simoctocog alfa, neither during the remainder of GENA-03 (until 6 June 2012) nor during the ongoing extension study GENA-13 so far.</w:t>
      </w:r>
    </w:p>
    <w:p w14:paraId="62C37FC7" w14:textId="77777777" w:rsidR="008248FD" w:rsidRDefault="008248FD" w:rsidP="000D392B">
      <w:pPr>
        <w:rPr>
          <w:lang w:eastAsia="en-AU"/>
        </w:rPr>
      </w:pPr>
      <w:r>
        <w:rPr>
          <w:lang w:eastAsia="en-AU"/>
        </w:rPr>
        <w:t>From the Applicants point of view there is no increased risk of potential allergic symptoms in the paediatric population.</w:t>
      </w:r>
    </w:p>
    <w:p w14:paraId="0109D3EE" w14:textId="77777777" w:rsidR="008248FD" w:rsidRPr="009B5702" w:rsidRDefault="009B5702" w:rsidP="000D392B">
      <w:pPr>
        <w:pStyle w:val="Heading7"/>
        <w:rPr>
          <w:lang w:eastAsia="en-AU"/>
        </w:rPr>
      </w:pPr>
      <w:r w:rsidRPr="009B5702">
        <w:rPr>
          <w:lang w:eastAsia="en-AU"/>
        </w:rPr>
        <w:t>Clinical</w:t>
      </w:r>
      <w:r w:rsidR="008248FD" w:rsidRPr="009B5702">
        <w:rPr>
          <w:lang w:eastAsia="en-AU"/>
        </w:rPr>
        <w:t xml:space="preserve"> evaluator's comment</w:t>
      </w:r>
    </w:p>
    <w:p w14:paraId="59F4DA69" w14:textId="77777777" w:rsidR="000F04AF" w:rsidRDefault="008248FD" w:rsidP="008248FD">
      <w:r>
        <w:t>The sponsor's response is satisfactory.</w:t>
      </w:r>
    </w:p>
    <w:p w14:paraId="2A6CC193" w14:textId="7CC984B4" w:rsidR="008248FD" w:rsidRDefault="00D27D10" w:rsidP="000D392B">
      <w:pPr>
        <w:pStyle w:val="Heading5"/>
      </w:pPr>
      <w:r>
        <w:t xml:space="preserve">Question </w:t>
      </w:r>
      <w:r w:rsidR="008248FD">
        <w:t>5</w:t>
      </w:r>
    </w:p>
    <w:p w14:paraId="294AEFDB" w14:textId="77777777" w:rsidR="008248FD" w:rsidRPr="00B137DA" w:rsidRDefault="008248FD" w:rsidP="000D392B">
      <w:pPr>
        <w:rPr>
          <w:lang w:eastAsia="en-AU"/>
        </w:rPr>
      </w:pPr>
      <w:r>
        <w:rPr>
          <w:lang w:eastAsia="en-AU"/>
        </w:rPr>
        <w:t>In GENA-03 (n=59), 1 paediatric patient was identified has having "allergic oedema". Does the sponsor have any information on this case? In particular, what part of the body was involved and was the reaction an allergy to simoctocog alfa?</w:t>
      </w:r>
    </w:p>
    <w:p w14:paraId="3AE07B07" w14:textId="77777777" w:rsidR="008248FD" w:rsidRPr="009B5702" w:rsidRDefault="009B5702" w:rsidP="000D392B">
      <w:pPr>
        <w:pStyle w:val="Heading6"/>
      </w:pPr>
      <w:r w:rsidRPr="009B5702">
        <w:t>Sponsor’s</w:t>
      </w:r>
      <w:r w:rsidR="008248FD" w:rsidRPr="009B5702">
        <w:t xml:space="preserve"> response (complete)</w:t>
      </w:r>
    </w:p>
    <w:p w14:paraId="50DC868C" w14:textId="42A064F5" w:rsidR="008248FD" w:rsidRPr="004430F9" w:rsidRDefault="000D392B" w:rsidP="000D392B">
      <w:pPr>
        <w:rPr>
          <w:lang w:eastAsia="en-AU"/>
        </w:rPr>
      </w:pPr>
      <w:r>
        <w:t>[</w:t>
      </w:r>
      <w:proofErr w:type="gramStart"/>
      <w:r>
        <w:t>information</w:t>
      </w:r>
      <w:proofErr w:type="gramEnd"/>
      <w:r>
        <w:t xml:space="preserve"> redacted] </w:t>
      </w:r>
      <w:r w:rsidR="008248FD" w:rsidRPr="000C0DFF">
        <w:rPr>
          <w:lang w:eastAsia="en-AU"/>
        </w:rPr>
        <w:t>was included into study GENA-03 in January 2012 when he was 4 years</w:t>
      </w:r>
      <w:r w:rsidR="008248FD">
        <w:rPr>
          <w:lang w:eastAsia="en-AU"/>
        </w:rPr>
        <w:t xml:space="preserve"> </w:t>
      </w:r>
      <w:r w:rsidR="008248FD" w:rsidRPr="000C0DFF">
        <w:rPr>
          <w:lang w:eastAsia="en-AU"/>
        </w:rPr>
        <w:t xml:space="preserve">old. He was previously treated with </w:t>
      </w:r>
      <w:r w:rsidR="007E627D">
        <w:rPr>
          <w:lang w:eastAsia="en-AU"/>
        </w:rPr>
        <w:t>a full-length rFVIII</w:t>
      </w:r>
      <w:r w:rsidR="008248FD" w:rsidRPr="000C0DFF">
        <w:rPr>
          <w:lang w:eastAsia="en-AU"/>
        </w:rPr>
        <w:t>. On 25-Jun-2012, after 62 Exposure</w:t>
      </w:r>
      <w:r w:rsidR="008248FD">
        <w:rPr>
          <w:lang w:eastAsia="en-AU"/>
        </w:rPr>
        <w:t xml:space="preserve"> </w:t>
      </w:r>
      <w:r w:rsidR="008248FD" w:rsidRPr="000C0DFF">
        <w:rPr>
          <w:lang w:eastAsia="en-AU"/>
        </w:rPr>
        <w:t>Days, an allergic oedema of the left hand was reported, which resolved on 26-Jun-2012</w:t>
      </w:r>
      <w:r w:rsidR="008248FD">
        <w:rPr>
          <w:lang w:eastAsia="en-AU"/>
        </w:rPr>
        <w:t xml:space="preserve"> </w:t>
      </w:r>
      <w:r w:rsidR="008248FD" w:rsidRPr="000C0DFF">
        <w:rPr>
          <w:lang w:eastAsia="en-AU"/>
        </w:rPr>
        <w:t>after 0.5 days. This adverse event was judged as moderate and not related to treatment with</w:t>
      </w:r>
      <w:r w:rsidR="008248FD">
        <w:rPr>
          <w:lang w:eastAsia="en-AU"/>
        </w:rPr>
        <w:t xml:space="preserve"> </w:t>
      </w:r>
      <w:r w:rsidR="008248FD" w:rsidRPr="000C0DFF">
        <w:rPr>
          <w:lang w:eastAsia="en-AU"/>
        </w:rPr>
        <w:t>simoctocog alfa. The last administration of simoctocog alfa was given 58.33 hours before</w:t>
      </w:r>
      <w:r w:rsidR="008248FD">
        <w:rPr>
          <w:lang w:eastAsia="en-AU"/>
        </w:rPr>
        <w:t xml:space="preserve"> </w:t>
      </w:r>
      <w:r w:rsidR="008248FD" w:rsidRPr="000C0DFF">
        <w:rPr>
          <w:lang w:eastAsia="en-AU"/>
        </w:rPr>
        <w:t>this adverse event occurred (GENA-03 Clinical Study Report, Listing 16.2.7.1). The</w:t>
      </w:r>
      <w:r w:rsidR="008248FD">
        <w:rPr>
          <w:lang w:eastAsia="en-AU"/>
        </w:rPr>
        <w:t xml:space="preserve"> </w:t>
      </w:r>
      <w:r w:rsidR="008248FD" w:rsidRPr="000C0DFF">
        <w:rPr>
          <w:lang w:eastAsia="en-AU"/>
        </w:rPr>
        <w:t>allergic oedema was treated with a single dose of 15 mg Cetirizine. The patient received</w:t>
      </w:r>
      <w:r w:rsidR="008248FD">
        <w:rPr>
          <w:lang w:eastAsia="en-AU"/>
        </w:rPr>
        <w:t xml:space="preserve"> </w:t>
      </w:r>
      <w:r w:rsidR="008248FD" w:rsidRPr="000C0DFF">
        <w:rPr>
          <w:lang w:eastAsia="en-AU"/>
        </w:rPr>
        <w:t>simoctocog alfa from 30-Jan-2012 to 06-Aug-2012 in this study.</w:t>
      </w:r>
      <w:r w:rsidR="008248FD">
        <w:rPr>
          <w:lang w:eastAsia="en-AU"/>
        </w:rPr>
        <w:t xml:space="preserve"> </w:t>
      </w:r>
      <w:r w:rsidR="008248FD" w:rsidRPr="000C0DFF">
        <w:rPr>
          <w:lang w:eastAsia="en-AU"/>
        </w:rPr>
        <w:t>No further allergic oedema or other potentially allergic type reactions were reported for</w:t>
      </w:r>
      <w:r w:rsidR="008248FD">
        <w:rPr>
          <w:lang w:eastAsia="en-AU"/>
        </w:rPr>
        <w:t xml:space="preserve"> </w:t>
      </w:r>
      <w:r w:rsidR="008248FD" w:rsidRPr="000C0DFF">
        <w:rPr>
          <w:lang w:eastAsia="en-AU"/>
        </w:rPr>
        <w:t>this patient during the remaining study period, and also not during the extension study</w:t>
      </w:r>
      <w:r w:rsidR="008248FD">
        <w:rPr>
          <w:lang w:eastAsia="en-AU"/>
        </w:rPr>
        <w:t xml:space="preserve"> </w:t>
      </w:r>
      <w:r w:rsidR="008248FD" w:rsidRPr="000C0DFF">
        <w:rPr>
          <w:lang w:eastAsia="en-AU"/>
        </w:rPr>
        <w:t>(GENA-13) so far indicating that this was not an allergic reaction to simoctocog alfa.</w:t>
      </w:r>
    </w:p>
    <w:p w14:paraId="37227BE1" w14:textId="77777777" w:rsidR="008248FD" w:rsidRPr="009B5702" w:rsidRDefault="009B5702" w:rsidP="000D392B">
      <w:pPr>
        <w:pStyle w:val="Heading7"/>
        <w:rPr>
          <w:lang w:eastAsia="en-AU"/>
        </w:rPr>
      </w:pPr>
      <w:r w:rsidRPr="009B5702">
        <w:rPr>
          <w:lang w:eastAsia="en-AU"/>
        </w:rPr>
        <w:t>Clinical</w:t>
      </w:r>
      <w:r w:rsidR="008248FD" w:rsidRPr="009B5702">
        <w:rPr>
          <w:lang w:eastAsia="en-AU"/>
        </w:rPr>
        <w:t xml:space="preserve"> evaluator's comment</w:t>
      </w:r>
    </w:p>
    <w:p w14:paraId="40F74A78" w14:textId="77777777" w:rsidR="008248FD" w:rsidRPr="000C0DFF" w:rsidRDefault="008248FD" w:rsidP="008248FD">
      <w:pPr>
        <w:rPr>
          <w:b/>
          <w:smallCaps/>
        </w:rPr>
      </w:pPr>
      <w:r>
        <w:t>The sponsor's response is satisfactory.</w:t>
      </w:r>
    </w:p>
    <w:p w14:paraId="408D4D14" w14:textId="77777777" w:rsidR="000F04AF" w:rsidRDefault="00D27D10" w:rsidP="000D392B">
      <w:pPr>
        <w:pStyle w:val="Heading5"/>
      </w:pPr>
      <w:r w:rsidRPr="004430F9">
        <w:lastRenderedPageBreak/>
        <w:t xml:space="preserve">Question </w:t>
      </w:r>
      <w:r w:rsidR="008248FD" w:rsidRPr="004430F9">
        <w:t>6</w:t>
      </w:r>
    </w:p>
    <w:p w14:paraId="515E1EA5" w14:textId="216BD313" w:rsidR="008248FD" w:rsidRDefault="008248FD" w:rsidP="000D392B">
      <w:pPr>
        <w:rPr>
          <w:lang w:eastAsia="en-AU"/>
        </w:rPr>
      </w:pPr>
      <w:r>
        <w:rPr>
          <w:lang w:eastAsia="en-AU"/>
        </w:rPr>
        <w:t>Please comment on potential hypersensitivity and allergic reactions to simoctocog alfa identified in the total safety population (all five studies) and in the paediatric population (GENA-03). Have any analyses of the safety data been undertaken using MedDRA search criteria for "hypersensitivity" (SMQ), "anaphylactic reactions" (SMQ), or "allergic conditions" (HLGT)?</w:t>
      </w:r>
    </w:p>
    <w:p w14:paraId="22CA7942" w14:textId="77777777" w:rsidR="008248FD" w:rsidRPr="009B5702" w:rsidRDefault="009B5702" w:rsidP="000D392B">
      <w:pPr>
        <w:pStyle w:val="Heading6"/>
      </w:pPr>
      <w:r w:rsidRPr="009B5702">
        <w:t>Sponsor’s</w:t>
      </w:r>
      <w:r w:rsidR="008248FD" w:rsidRPr="009B5702">
        <w:t xml:space="preserve"> response (complete)</w:t>
      </w:r>
    </w:p>
    <w:p w14:paraId="4C9AA03C" w14:textId="77777777" w:rsidR="008248FD" w:rsidRPr="004430F9" w:rsidRDefault="008248FD" w:rsidP="000D392B">
      <w:pPr>
        <w:rPr>
          <w:lang w:eastAsia="en-AU"/>
        </w:rPr>
      </w:pPr>
      <w:r w:rsidRPr="004430F9">
        <w:rPr>
          <w:lang w:eastAsia="en-AU"/>
        </w:rPr>
        <w:t>Tables Australia_SAF.6.1 through to 6.5 display results of MedDRA search criteria for</w:t>
      </w:r>
      <w:r>
        <w:rPr>
          <w:lang w:eastAsia="en-AU"/>
        </w:rPr>
        <w:t xml:space="preserve"> </w:t>
      </w:r>
      <w:r w:rsidRPr="004430F9">
        <w:rPr>
          <w:lang w:eastAsia="en-AU"/>
        </w:rPr>
        <w:t>“anaphylactic reactions (SMQ)”, “hypersensitivity reactions (SMQ)”</w:t>
      </w:r>
      <w:r>
        <w:rPr>
          <w:lang w:eastAsia="en-AU"/>
        </w:rPr>
        <w:t xml:space="preserve">, both using narrow term and broad term criteria, </w:t>
      </w:r>
      <w:r w:rsidRPr="004430F9">
        <w:rPr>
          <w:lang w:eastAsia="en-AU"/>
        </w:rPr>
        <w:t>and “allergic reactions (HLGT)” of the GENA-03 study,</w:t>
      </w:r>
      <w:r>
        <w:rPr>
          <w:lang w:eastAsia="en-AU"/>
        </w:rPr>
        <w:t xml:space="preserve"> </w:t>
      </w:r>
      <w:r w:rsidRPr="004430F9">
        <w:rPr>
          <w:lang w:eastAsia="en-AU"/>
        </w:rPr>
        <w:t>while Tables Australia_SAF.6.6 through to 6.10 show the corresponding results for the</w:t>
      </w:r>
      <w:r>
        <w:rPr>
          <w:lang w:eastAsia="en-AU"/>
        </w:rPr>
        <w:t xml:space="preserve"> </w:t>
      </w:r>
      <w:r w:rsidRPr="004430F9">
        <w:rPr>
          <w:lang w:eastAsia="en-AU"/>
        </w:rPr>
        <w:t>studies GENA-01, GENA-08, and GENA-09. All 18 subjects included in GENA04 were</w:t>
      </w:r>
      <w:r>
        <w:rPr>
          <w:lang w:eastAsia="en-AU"/>
        </w:rPr>
        <w:t xml:space="preserve"> </w:t>
      </w:r>
      <w:r w:rsidRPr="004430F9">
        <w:rPr>
          <w:lang w:eastAsia="en-AU"/>
        </w:rPr>
        <w:t>previously treated in GENA09. No TEAEs according to the above definition were reported</w:t>
      </w:r>
      <w:r>
        <w:rPr>
          <w:lang w:eastAsia="en-AU"/>
        </w:rPr>
        <w:t xml:space="preserve"> in GENA04 </w:t>
      </w:r>
      <w:r w:rsidRPr="004430F9">
        <w:rPr>
          <w:lang w:eastAsia="en-AU"/>
        </w:rPr>
        <w:t>(refer to Table Australia_SAF6.1, Australia_SAF6.2, Australia_SAF6.3,</w:t>
      </w:r>
      <w:r>
        <w:rPr>
          <w:lang w:eastAsia="en-AU"/>
        </w:rPr>
        <w:t xml:space="preserve"> </w:t>
      </w:r>
      <w:r w:rsidRPr="004430F9">
        <w:rPr>
          <w:lang w:eastAsia="en-AU"/>
        </w:rPr>
        <w:t>Australia_SAF6.4, Australia_SAF6.5, Australia_SAF6.6, Australia_SAF6.7,</w:t>
      </w:r>
      <w:r>
        <w:rPr>
          <w:lang w:eastAsia="en-AU"/>
        </w:rPr>
        <w:t xml:space="preserve"> </w:t>
      </w:r>
      <w:r w:rsidRPr="004430F9">
        <w:rPr>
          <w:lang w:eastAsia="en-AU"/>
        </w:rPr>
        <w:t>Australia_SAF6.8, Australia_SAF6.9, Australia_SAF6.10).</w:t>
      </w:r>
    </w:p>
    <w:p w14:paraId="6301EDAB" w14:textId="77777777" w:rsidR="008248FD" w:rsidRPr="004430F9" w:rsidRDefault="008248FD" w:rsidP="000D392B">
      <w:pPr>
        <w:rPr>
          <w:lang w:eastAsia="en-AU"/>
        </w:rPr>
      </w:pPr>
      <w:r w:rsidRPr="004430F9">
        <w:rPr>
          <w:lang w:eastAsia="en-AU"/>
        </w:rPr>
        <w:t>All these adverse events were considered “not related” by the investigator. Please refer also</w:t>
      </w:r>
      <w:r>
        <w:rPr>
          <w:lang w:eastAsia="en-AU"/>
        </w:rPr>
        <w:t xml:space="preserve"> </w:t>
      </w:r>
      <w:r w:rsidRPr="004430F9">
        <w:rPr>
          <w:lang w:eastAsia="en-AU"/>
        </w:rPr>
        <w:t>to our responses to Safety questions no. 2 (rashes in GENA-01 and GENA-03), no. 3</w:t>
      </w:r>
      <w:r>
        <w:rPr>
          <w:lang w:eastAsia="en-AU"/>
        </w:rPr>
        <w:t xml:space="preserve"> </w:t>
      </w:r>
      <w:r w:rsidRPr="004430F9">
        <w:rPr>
          <w:lang w:eastAsia="en-AU"/>
        </w:rPr>
        <w:t>(chills in GENA-03), no. 4 (pruritus in GENA-01 and GENA-03) and no. 5 (allergic</w:t>
      </w:r>
      <w:r>
        <w:rPr>
          <w:lang w:eastAsia="en-AU"/>
        </w:rPr>
        <w:t xml:space="preserve"> </w:t>
      </w:r>
      <w:r w:rsidRPr="004430F9">
        <w:rPr>
          <w:lang w:eastAsia="en-AU"/>
        </w:rPr>
        <w:t>oedema in GENA-03).</w:t>
      </w:r>
    </w:p>
    <w:p w14:paraId="5C07AB16" w14:textId="77777777" w:rsidR="008248FD" w:rsidRPr="004430F9" w:rsidRDefault="008248FD" w:rsidP="000D392B">
      <w:pPr>
        <w:rPr>
          <w:lang w:eastAsia="en-AU"/>
        </w:rPr>
      </w:pPr>
      <w:r w:rsidRPr="004430F9">
        <w:rPr>
          <w:lang w:eastAsia="en-AU"/>
        </w:rPr>
        <w:t>From the Applicants point of view there is no increased ris</w:t>
      </w:r>
      <w:r>
        <w:rPr>
          <w:lang w:eastAsia="en-AU"/>
        </w:rPr>
        <w:t xml:space="preserve">k of potential hypersensitivity </w:t>
      </w:r>
      <w:r w:rsidRPr="004430F9">
        <w:rPr>
          <w:lang w:eastAsia="en-AU"/>
        </w:rPr>
        <w:t>and allergic reactions to simoctocog alfa in the safety population.</w:t>
      </w:r>
    </w:p>
    <w:p w14:paraId="2D3B4F66" w14:textId="5E935AC4" w:rsidR="008248FD" w:rsidRPr="004F7DB1" w:rsidRDefault="008248FD" w:rsidP="000D392B">
      <w:r w:rsidRPr="004430F9">
        <w:rPr>
          <w:lang w:eastAsia="en-AU"/>
        </w:rPr>
        <w:t>All supportive documents are included in Module 1.0.2</w:t>
      </w:r>
      <w:r>
        <w:rPr>
          <w:lang w:eastAsia="en-AU"/>
        </w:rPr>
        <w:t xml:space="preserve"> </w:t>
      </w:r>
      <w:r w:rsidRPr="004430F9">
        <w:rPr>
          <w:lang w:eastAsia="en-AU"/>
        </w:rPr>
        <w:t xml:space="preserve">“Supportive clinical </w:t>
      </w:r>
      <w:r w:rsidRPr="004F7DB1">
        <w:t>listings and tables”.</w:t>
      </w:r>
    </w:p>
    <w:p w14:paraId="5761BED1" w14:textId="77777777" w:rsidR="008248FD" w:rsidRPr="009B5702" w:rsidRDefault="009B5702" w:rsidP="000D392B">
      <w:pPr>
        <w:pStyle w:val="Heading7"/>
      </w:pPr>
      <w:r w:rsidRPr="009B5702">
        <w:t>Clinical</w:t>
      </w:r>
      <w:r w:rsidR="008248FD" w:rsidRPr="009B5702">
        <w:t xml:space="preserve"> evaluator's comment</w:t>
      </w:r>
    </w:p>
    <w:p w14:paraId="3E576188" w14:textId="77777777" w:rsidR="000F04AF" w:rsidRDefault="008248FD" w:rsidP="008248FD">
      <w:pPr>
        <w:rPr>
          <w:rFonts w:asciiTheme="minorHAnsi" w:hAnsiTheme="minorHAnsi"/>
        </w:rPr>
      </w:pPr>
      <w:r>
        <w:rPr>
          <w:rFonts w:asciiTheme="minorHAnsi" w:hAnsiTheme="minorHAnsi"/>
        </w:rPr>
        <w:t xml:space="preserve">The sponsor's response is satisfactory. </w:t>
      </w:r>
      <w:r w:rsidRPr="007B3331">
        <w:rPr>
          <w:rFonts w:asciiTheme="minorHAnsi" w:hAnsiTheme="minorHAnsi"/>
        </w:rPr>
        <w:t xml:space="preserve">The tables referred to in the response have been examined. In GENA-03 (n=59), 8 (13.6%) subjects experienced a TEAE classified as SMQ Hypersensitivity (broad): 4 (6.8%) for rash; 1 (1.7%) for each of allergic oedema, asthma, conjunctivitis allergic, pruritus, and rhinitis allergic. In GENA-01, GENA-08, and GENA-09, 4 (5.3%) subjects out of a total of 76 experienced a TEAE classified SMQ Hypersensitivity (broad): 1 each for oropharyngeal spasm, pruritus, rash and seasonal allergy. No anaphylactic reactions (narrow definition) were reported in any of the studies, while 1 patient in GENA-03 was reported with two TEAEs considered </w:t>
      </w:r>
      <w:proofErr w:type="gramStart"/>
      <w:r w:rsidRPr="007B3331">
        <w:rPr>
          <w:rFonts w:asciiTheme="minorHAnsi" w:hAnsiTheme="minorHAnsi"/>
        </w:rPr>
        <w:t>to be</w:t>
      </w:r>
      <w:proofErr w:type="gramEnd"/>
      <w:r w:rsidRPr="007B3331">
        <w:rPr>
          <w:rFonts w:asciiTheme="minorHAnsi" w:hAnsiTheme="minorHAnsi"/>
        </w:rPr>
        <w:t xml:space="preserve"> SMQ anaphylactic reaction (broad definition) (1 x cough, 1 x rash). </w:t>
      </w:r>
      <w:r>
        <w:rPr>
          <w:rFonts w:asciiTheme="minorHAnsi" w:hAnsiTheme="minorHAnsi"/>
        </w:rPr>
        <w:t>Overall, the available data suggest that hypersensitivity / allergic reactions do not appear to be a significant clinical problem with simoctocog alfa.</w:t>
      </w:r>
    </w:p>
    <w:p w14:paraId="0EB3285B" w14:textId="07D2D58E" w:rsidR="000D392B" w:rsidRPr="00B137DA" w:rsidRDefault="000D392B" w:rsidP="000D392B">
      <w:pPr>
        <w:pStyle w:val="Tabletitle"/>
      </w:pPr>
      <w:r>
        <w:t xml:space="preserve">Table </w:t>
      </w:r>
      <w:r w:rsidR="009529C0">
        <w:t>6</w:t>
      </w:r>
      <w:r w:rsidR="00F04577">
        <w:t>0</w:t>
      </w:r>
      <w:r w:rsidR="009529C0">
        <w:t xml:space="preserve">: </w:t>
      </w:r>
      <w:r>
        <w:t>Degree of haemorrhage</w:t>
      </w:r>
    </w:p>
    <w:p w14:paraId="0A1FD2A0" w14:textId="77777777" w:rsidR="008248FD" w:rsidRDefault="008248FD" w:rsidP="001B6BBC">
      <w:pPr>
        <w:rPr>
          <w:lang w:eastAsia="en-AU"/>
        </w:rPr>
      </w:pPr>
      <w:r>
        <w:rPr>
          <w:noProof/>
          <w:lang w:eastAsia="en-AU"/>
        </w:rPr>
        <w:drawing>
          <wp:inline distT="0" distB="0" distL="0" distR="0" wp14:anchorId="6E1937EB" wp14:editId="58832EAD">
            <wp:extent cx="4432300" cy="2359660"/>
            <wp:effectExtent l="0" t="0" r="0" b="0"/>
            <wp:docPr id="62" name="Picture 1" descr="Table 60: Degree of haemorr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0" cy="2359660"/>
                    </a:xfrm>
                    <a:prstGeom prst="rect">
                      <a:avLst/>
                    </a:prstGeom>
                    <a:noFill/>
                    <a:ln>
                      <a:noFill/>
                    </a:ln>
                  </pic:spPr>
                </pic:pic>
              </a:graphicData>
            </a:graphic>
          </wp:inline>
        </w:drawing>
      </w:r>
    </w:p>
    <w:p w14:paraId="3967D775" w14:textId="77777777" w:rsidR="000F04AF" w:rsidRDefault="008248FD" w:rsidP="000D392B">
      <w:pPr>
        <w:rPr>
          <w:lang w:eastAsia="en-AU"/>
        </w:rPr>
      </w:pPr>
      <w:r w:rsidRPr="00FA73DF">
        <w:rPr>
          <w:lang w:eastAsia="en-AU"/>
        </w:rPr>
        <w:t xml:space="preserve">In Section 2.7.3.4 (Analysis of Clinical Information Relevant to Dosing Recommendations) of the Clinical Summary (2.7), the sponsor noted that the dosing recommendations for the simoctocog </w:t>
      </w:r>
      <w:r w:rsidRPr="00FA73DF">
        <w:rPr>
          <w:lang w:eastAsia="en-AU"/>
        </w:rPr>
        <w:lastRenderedPageBreak/>
        <w:t xml:space="preserve">alfa studies, except GENA-09, were higher than the dosing recommendations in the EMEA </w:t>
      </w:r>
      <w:r w:rsidRPr="00FA73DF">
        <w:rPr>
          <w:i/>
          <w:lang w:eastAsia="en-AU"/>
        </w:rPr>
        <w:t>Core SPC for Human Plasma-Derived and Recombinant Coagulation Factors FVIII Products, CPMP/BPWG/1619/99, London, 29 June 2000.</w:t>
      </w:r>
      <w:r w:rsidRPr="00FA73DF">
        <w:rPr>
          <w:lang w:eastAsia="en-AU"/>
        </w:rPr>
        <w:t xml:space="preserve"> The dosing recommendations for on-demand bleeding in the EMEA 2000 document are identical to those being recommended by the sponsor provided above </w:t>
      </w:r>
      <w:r w:rsidRPr="009529C0">
        <w:rPr>
          <w:lang w:eastAsia="en-AU"/>
        </w:rPr>
        <w:t xml:space="preserve">in Table </w:t>
      </w:r>
      <w:r w:rsidR="009529C0" w:rsidRPr="009529C0">
        <w:rPr>
          <w:lang w:eastAsia="en-AU"/>
        </w:rPr>
        <w:t>6</w:t>
      </w:r>
      <w:r w:rsidR="00F04577">
        <w:rPr>
          <w:lang w:eastAsia="en-AU"/>
        </w:rPr>
        <w:t>0</w:t>
      </w:r>
      <w:r w:rsidRPr="009529C0">
        <w:rPr>
          <w:lang w:eastAsia="en-AU"/>
        </w:rPr>
        <w:t>. It is noted</w:t>
      </w:r>
      <w:r w:rsidRPr="00FA73DF">
        <w:rPr>
          <w:lang w:eastAsia="en-AU"/>
        </w:rPr>
        <w:t xml:space="preserve"> that the EMA 2000 document has been superseded by the 2012 document</w:t>
      </w:r>
      <w:r w:rsidRPr="00FA73DF">
        <w:rPr>
          <w:rFonts w:cs="0"/>
          <w:lang w:eastAsia="en-AU"/>
        </w:rPr>
        <w:t xml:space="preserve">, </w:t>
      </w:r>
      <w:r w:rsidRPr="00FA73DF">
        <w:rPr>
          <w:rFonts w:cs="0"/>
          <w:i/>
          <w:lang w:eastAsia="en-AU"/>
        </w:rPr>
        <w:t>EMA Guideline on core SmPC for human plasma derived a recombinant coagulant factor VIII products, EMA/CHMP/BPWP/1619/1999 rev.1, 24 May 2012)</w:t>
      </w:r>
      <w:r w:rsidRPr="00FA73DF">
        <w:rPr>
          <w:lang w:eastAsia="en-AU"/>
        </w:rPr>
        <w:t>. The dosing recommendations for on-demand treatment of bleeding episodes in both EMA documents are the same</w:t>
      </w:r>
      <w:r>
        <w:rPr>
          <w:lang w:eastAsia="en-AU"/>
        </w:rPr>
        <w:t xml:space="preserve">. However, </w:t>
      </w:r>
      <w:r w:rsidRPr="00FA73DF">
        <w:rPr>
          <w:lang w:eastAsia="en-AU"/>
        </w:rPr>
        <w:t xml:space="preserve">neither of the two EMA </w:t>
      </w:r>
      <w:r>
        <w:rPr>
          <w:lang w:eastAsia="en-AU"/>
        </w:rPr>
        <w:t xml:space="preserve">guidance </w:t>
      </w:r>
      <w:r w:rsidRPr="00FA73DF">
        <w:rPr>
          <w:lang w:eastAsia="en-AU"/>
        </w:rPr>
        <w:t xml:space="preserve">documents </w:t>
      </w:r>
      <w:proofErr w:type="gramStart"/>
      <w:r>
        <w:rPr>
          <w:lang w:eastAsia="en-AU"/>
        </w:rPr>
        <w:t>have</w:t>
      </w:r>
      <w:proofErr w:type="gramEnd"/>
      <w:r>
        <w:rPr>
          <w:lang w:eastAsia="en-AU"/>
        </w:rPr>
        <w:t xml:space="preserve"> been adopted by the TGA, presumably because they relate specifically to the content and format of the European prescribing information (</w:t>
      </w:r>
      <w:r w:rsidR="001A2E59">
        <w:rPr>
          <w:lang w:eastAsia="en-AU"/>
        </w:rPr>
        <w:t>that is,</w:t>
      </w:r>
      <w:r>
        <w:rPr>
          <w:lang w:eastAsia="en-AU"/>
        </w:rPr>
        <w:t xml:space="preserve"> the SmPC).</w:t>
      </w:r>
    </w:p>
    <w:p w14:paraId="198E51B3" w14:textId="77777777" w:rsidR="000F04AF" w:rsidRDefault="008248FD" w:rsidP="000D392B">
      <w:pPr>
        <w:rPr>
          <w:lang w:eastAsia="en-AU"/>
        </w:rPr>
      </w:pPr>
      <w:r w:rsidRPr="00FA73DF">
        <w:rPr>
          <w:lang w:eastAsia="en-AU"/>
        </w:rPr>
        <w:t xml:space="preserve">The sponsor comments that, as almost 50% of the bleeding events in the studies were moderate to major, the average actual doses administered in the studies are in line with the EMA recommendations </w:t>
      </w:r>
      <w:r>
        <w:rPr>
          <w:lang w:eastAsia="en-AU"/>
        </w:rPr>
        <w:t>in the 2000 document</w:t>
      </w:r>
      <w:r w:rsidRPr="00FA73DF">
        <w:rPr>
          <w:lang w:eastAsia="en-AU"/>
        </w:rPr>
        <w:t>. The sponsor comments that the proposed dosing scheme was validated by the results obtained for incremental recovery o</w:t>
      </w:r>
      <w:r>
        <w:rPr>
          <w:lang w:eastAsia="en-AU"/>
        </w:rPr>
        <w:t xml:space="preserve">f FVIII in each of the studies. </w:t>
      </w:r>
      <w:r w:rsidRPr="00FA73DF">
        <w:rPr>
          <w:lang w:eastAsia="en-AU"/>
        </w:rPr>
        <w:t xml:space="preserve">The IVR in the ITT population increased approximately 2% per IU/kg </w:t>
      </w:r>
      <w:r>
        <w:rPr>
          <w:lang w:eastAsia="en-AU"/>
        </w:rPr>
        <w:t>dose of simoctocog alfa across each of the studies</w:t>
      </w:r>
      <w:r w:rsidRPr="00FA73DF">
        <w:rPr>
          <w:lang w:eastAsia="en-AU"/>
        </w:rPr>
        <w:t>.</w:t>
      </w:r>
      <w:r>
        <w:rPr>
          <w:lang w:eastAsia="en-AU"/>
        </w:rPr>
        <w:t xml:space="preserve"> </w:t>
      </w:r>
      <w:r w:rsidRPr="00FA73DF">
        <w:rPr>
          <w:lang w:eastAsia="en-AU"/>
        </w:rPr>
        <w:t xml:space="preserve">Consequently, it can be predicted that an increase in FVIII of x% will be achieved </w:t>
      </w:r>
      <w:r>
        <w:rPr>
          <w:lang w:eastAsia="en-AU"/>
        </w:rPr>
        <w:t xml:space="preserve">with </w:t>
      </w:r>
      <w:r w:rsidRPr="00FA73DF">
        <w:rPr>
          <w:lang w:eastAsia="en-AU"/>
        </w:rPr>
        <w:t>x/</w:t>
      </w:r>
      <w:r>
        <w:rPr>
          <w:lang w:eastAsia="en-AU"/>
        </w:rPr>
        <w:t xml:space="preserve">2 IU/kg </w:t>
      </w:r>
      <w:r w:rsidRPr="00FA73DF">
        <w:rPr>
          <w:lang w:eastAsia="en-AU"/>
        </w:rPr>
        <w:t>of simoctocog alfa (</w:t>
      </w:r>
      <w:r w:rsidR="001A2E59">
        <w:rPr>
          <w:lang w:eastAsia="en-AU"/>
        </w:rPr>
        <w:t>for example,</w:t>
      </w:r>
      <w:r w:rsidRPr="00FA73DF">
        <w:rPr>
          <w:lang w:eastAsia="en-AU"/>
        </w:rPr>
        <w:t xml:space="preserve"> 20% to 40% increase in FVIII will be achieved with simoctocog alfa 10 IU/kg to 20 IU/kg). In addition, the PK data from study GENA-01 showed that simoctocog alfa and </w:t>
      </w:r>
      <w:r w:rsidR="00051AEE">
        <w:t>full-length rFVIII BHK</w:t>
      </w:r>
      <w:r w:rsidRPr="00FA73DF">
        <w:rPr>
          <w:lang w:eastAsia="en-AU"/>
        </w:rPr>
        <w:t>were bioequivalent as regards AUCnorm (h•IU/mL</w:t>
      </w:r>
      <w:proofErr w:type="gramStart"/>
      <w:r w:rsidRPr="00FA73DF">
        <w:rPr>
          <w:lang w:eastAsia="en-AU"/>
        </w:rPr>
        <w:t>/[</w:t>
      </w:r>
      <w:proofErr w:type="gramEnd"/>
      <w:r w:rsidRPr="00FA73DF">
        <w:rPr>
          <w:lang w:eastAsia="en-AU"/>
        </w:rPr>
        <w:t xml:space="preserve">IU/kg], and that the PK parameters were similar for the two products. Consequently, the approved dosage recommendations for </w:t>
      </w:r>
      <w:r w:rsidR="00051AEE">
        <w:t>full-length rFVIII BHK</w:t>
      </w:r>
      <w:r w:rsidRPr="00FA73DF">
        <w:rPr>
          <w:lang w:eastAsia="en-AU"/>
        </w:rPr>
        <w:t xml:space="preserve">can </w:t>
      </w:r>
      <w:proofErr w:type="gramStart"/>
      <w:r w:rsidRPr="00FA73DF">
        <w:rPr>
          <w:lang w:eastAsia="en-AU"/>
        </w:rPr>
        <w:t>be</w:t>
      </w:r>
      <w:proofErr w:type="gramEnd"/>
      <w:r w:rsidRPr="00FA73DF">
        <w:rPr>
          <w:lang w:eastAsia="en-AU"/>
        </w:rPr>
        <w:t xml:space="preserve"> reasonably applied to </w:t>
      </w:r>
      <w:r>
        <w:rPr>
          <w:lang w:eastAsia="en-AU"/>
        </w:rPr>
        <w:t xml:space="preserve">those proposed for </w:t>
      </w:r>
      <w:r w:rsidRPr="00FA73DF">
        <w:rPr>
          <w:lang w:eastAsia="en-AU"/>
        </w:rPr>
        <w:t>simoctocog alfa.</w:t>
      </w:r>
    </w:p>
    <w:p w14:paraId="392CCC0A" w14:textId="5FC166B7" w:rsidR="008248FD" w:rsidRPr="001A4D65" w:rsidRDefault="00D27D10" w:rsidP="000D392B">
      <w:pPr>
        <w:pStyle w:val="Heading5"/>
      </w:pPr>
      <w:r w:rsidRPr="001A4D65">
        <w:t xml:space="preserve">Question </w:t>
      </w:r>
      <w:r w:rsidR="008248FD">
        <w:t>7</w:t>
      </w:r>
    </w:p>
    <w:p w14:paraId="069C6EDF" w14:textId="77777777" w:rsidR="008248FD" w:rsidRDefault="008248FD" w:rsidP="008248FD">
      <w:pPr>
        <w:widowControl w:val="0"/>
        <w:autoSpaceDE w:val="0"/>
        <w:autoSpaceDN w:val="0"/>
        <w:adjustRightInd w:val="0"/>
        <w:rPr>
          <w:rFonts w:eastAsia="Times New Roman" w:cs="‡oˆøª&amp;Â"/>
          <w:lang w:eastAsia="en-AU"/>
        </w:rPr>
      </w:pPr>
      <w:r w:rsidRPr="00FA73DF">
        <w:rPr>
          <w:rFonts w:eastAsia="Times New Roman" w:cs="‡oˆøª&amp;Â"/>
          <w:lang w:eastAsia="en-AU"/>
        </w:rPr>
        <w:t>Dosage and Administration (Surgical prophylaxis) - The proposed dosage regimens being</w:t>
      </w:r>
      <w:r>
        <w:rPr>
          <w:rFonts w:eastAsia="Times New Roman" w:cs="‡oˆøª&amp;Â"/>
          <w:lang w:eastAsia="en-AU"/>
        </w:rPr>
        <w:t xml:space="preserve"> </w:t>
      </w:r>
      <w:r w:rsidRPr="00FA73DF">
        <w:rPr>
          <w:rFonts w:eastAsia="Times New Roman" w:cs="‡oˆøª&amp;Â"/>
          <w:lang w:eastAsia="en-AU"/>
        </w:rPr>
        <w:t>proposed for surgery differ from those used in all five clinical studies. In particular, no preoperative</w:t>
      </w:r>
      <w:r>
        <w:rPr>
          <w:rFonts w:eastAsia="Times New Roman" w:cs="‡oˆøª&amp;Â"/>
          <w:lang w:eastAsia="en-AU"/>
        </w:rPr>
        <w:t xml:space="preserve"> </w:t>
      </w:r>
      <w:r w:rsidRPr="00FA73DF">
        <w:rPr>
          <w:rFonts w:eastAsia="Times New Roman" w:cs="‡oˆøª&amp;Â"/>
          <w:lang w:eastAsia="en-AU"/>
        </w:rPr>
        <w:t>dose is being proposed for minor surgical procedures (including tooth extraction)</w:t>
      </w:r>
      <w:r>
        <w:rPr>
          <w:rFonts w:eastAsia="Times New Roman" w:cs="‡oˆøª&amp;Â"/>
          <w:lang w:eastAsia="en-AU"/>
        </w:rPr>
        <w:t xml:space="preserve"> </w:t>
      </w:r>
      <w:r w:rsidRPr="00FA73DF">
        <w:rPr>
          <w:rFonts w:eastAsia="Times New Roman" w:cs="‡oˆøª&amp;Â"/>
          <w:lang w:eastAsia="en-AU"/>
        </w:rPr>
        <w:t>although a preoperative loading dose was recommended for all minor surgical procedures</w:t>
      </w:r>
      <w:r>
        <w:rPr>
          <w:rFonts w:eastAsia="Times New Roman" w:cs="‡oˆøª&amp;Â"/>
          <w:lang w:eastAsia="en-AU"/>
        </w:rPr>
        <w:t xml:space="preserve"> </w:t>
      </w:r>
      <w:r w:rsidRPr="00FA73DF">
        <w:rPr>
          <w:rFonts w:eastAsia="Times New Roman" w:cs="‡oˆøª&amp;Â"/>
          <w:lang w:eastAsia="en-AU"/>
        </w:rPr>
        <w:t>(including tooth extraction). Why do the proposed dosing regimens for surgical</w:t>
      </w:r>
      <w:r>
        <w:rPr>
          <w:rFonts w:eastAsia="Times New Roman" w:cs="‡oˆøª&amp;Â"/>
          <w:lang w:eastAsia="en-AU"/>
        </w:rPr>
        <w:t xml:space="preserve"> </w:t>
      </w:r>
      <w:r w:rsidRPr="00FA73DF">
        <w:rPr>
          <w:rFonts w:eastAsia="Times New Roman" w:cs="‡oˆøª&amp;Â"/>
          <w:lang w:eastAsia="en-AU"/>
        </w:rPr>
        <w:t>prophylaxis differ from those used in the five clinical studies?</w:t>
      </w:r>
    </w:p>
    <w:p w14:paraId="3A562400" w14:textId="77777777" w:rsidR="008248FD" w:rsidRPr="00BF223F" w:rsidRDefault="00BF223F" w:rsidP="000D392B">
      <w:pPr>
        <w:pStyle w:val="Heading6"/>
        <w:rPr>
          <w:rFonts w:asciiTheme="minorHAnsi" w:hAnsiTheme="minorHAnsi"/>
          <w:lang w:eastAsia="en-AU"/>
        </w:rPr>
      </w:pPr>
      <w:r w:rsidRPr="00BF223F">
        <w:rPr>
          <w:lang w:eastAsia="en-AU"/>
        </w:rPr>
        <w:t>Sponsor’s</w:t>
      </w:r>
      <w:r w:rsidR="008248FD" w:rsidRPr="00BF223F">
        <w:rPr>
          <w:lang w:eastAsia="en-AU"/>
        </w:rPr>
        <w:t xml:space="preserve"> response (complete)</w:t>
      </w:r>
    </w:p>
    <w:p w14:paraId="6A62D115" w14:textId="77777777" w:rsidR="000F04AF" w:rsidRDefault="008248FD" w:rsidP="000D392B">
      <w:pPr>
        <w:rPr>
          <w:lang w:eastAsia="en-AU"/>
        </w:rPr>
      </w:pPr>
      <w:r>
        <w:rPr>
          <w:lang w:eastAsia="en-AU"/>
        </w:rPr>
        <w:t>The dosing information is based on the European core S</w:t>
      </w:r>
      <w:r w:rsidR="000D392B">
        <w:rPr>
          <w:lang w:eastAsia="en-AU"/>
        </w:rPr>
        <w:t>m</w:t>
      </w:r>
      <w:r>
        <w:rPr>
          <w:lang w:eastAsia="en-AU"/>
        </w:rPr>
        <w:t>PC (already approved by EMA) and in order to harmonise dose recommendations worldwide we propose to keep these dosing recommendations also for Australia. Thus with regard to surgeries, only the target plasma level is recommended.</w:t>
      </w:r>
    </w:p>
    <w:p w14:paraId="15BD8B63" w14:textId="03E103FE" w:rsidR="008248FD" w:rsidRPr="00BF223F" w:rsidRDefault="00BF223F" w:rsidP="000D392B">
      <w:pPr>
        <w:pStyle w:val="Heading7"/>
        <w:rPr>
          <w:lang w:eastAsia="en-AU"/>
        </w:rPr>
      </w:pPr>
      <w:r w:rsidRPr="00BF223F">
        <w:rPr>
          <w:lang w:eastAsia="en-AU"/>
        </w:rPr>
        <w:t>Clinical</w:t>
      </w:r>
      <w:r w:rsidR="008248FD" w:rsidRPr="00BF223F">
        <w:rPr>
          <w:lang w:eastAsia="en-AU"/>
        </w:rPr>
        <w:t xml:space="preserve"> evaluator's comment</w:t>
      </w:r>
    </w:p>
    <w:p w14:paraId="3CB6B1BB" w14:textId="77777777" w:rsidR="000F04AF" w:rsidRDefault="008248FD" w:rsidP="008248FD">
      <w:pPr>
        <w:widowControl w:val="0"/>
        <w:autoSpaceDE w:val="0"/>
        <w:autoSpaceDN w:val="0"/>
        <w:adjustRightInd w:val="0"/>
        <w:rPr>
          <w:rFonts w:asciiTheme="minorHAnsi" w:eastAsia="Times New Roman" w:hAnsiTheme="minorHAnsi" w:cs="0"/>
          <w:lang w:eastAsia="en-AU"/>
        </w:rPr>
      </w:pPr>
      <w:r w:rsidRPr="001A4D65">
        <w:rPr>
          <w:rFonts w:asciiTheme="minorHAnsi" w:eastAsia="Times New Roman" w:hAnsiTheme="minorHAnsi" w:cs="0"/>
          <w:lang w:eastAsia="en-AU"/>
        </w:rPr>
        <w:t>The sponsor's response is acceptable.</w:t>
      </w:r>
    </w:p>
    <w:p w14:paraId="21FF9ED9" w14:textId="77777777" w:rsidR="000F04AF" w:rsidRDefault="008248FD" w:rsidP="008248FD">
      <w:pPr>
        <w:widowControl w:val="0"/>
        <w:autoSpaceDE w:val="0"/>
        <w:autoSpaceDN w:val="0"/>
        <w:adjustRightInd w:val="0"/>
        <w:rPr>
          <w:rFonts w:asciiTheme="minorHAnsi" w:eastAsia="Times New Roman" w:hAnsiTheme="minorHAnsi" w:cs="Ω&amp;Ìu'1"/>
          <w:lang w:eastAsia="en-AU"/>
        </w:rPr>
      </w:pPr>
      <w:r w:rsidRPr="001A4D65">
        <w:rPr>
          <w:rFonts w:asciiTheme="minorHAnsi" w:eastAsia="Times New Roman" w:hAnsiTheme="minorHAnsi" w:cs="Ω&amp;Ìu'1"/>
          <w:lang w:eastAsia="en-AU"/>
        </w:rPr>
        <w:t xml:space="preserve">The sponsor's proposed dosage regimens for the on-demand treatment </w:t>
      </w:r>
      <w:r>
        <w:rPr>
          <w:rFonts w:asciiTheme="minorHAnsi" w:eastAsia="Times New Roman" w:hAnsiTheme="minorHAnsi" w:cs="Ω&amp;Ìu'1"/>
          <w:lang w:eastAsia="en-AU"/>
        </w:rPr>
        <w:t xml:space="preserve">of </w:t>
      </w:r>
      <w:r w:rsidRPr="001A4D65">
        <w:rPr>
          <w:rFonts w:asciiTheme="minorHAnsi" w:eastAsia="Times New Roman" w:hAnsiTheme="minorHAnsi" w:cs="Ω&amp;Ìu'1"/>
          <w:lang w:eastAsia="en-AU"/>
        </w:rPr>
        <w:t xml:space="preserve">bleeding episodes are summarised below in Table </w:t>
      </w:r>
      <w:r w:rsidR="009529C0">
        <w:rPr>
          <w:rFonts w:asciiTheme="minorHAnsi" w:eastAsia="Times New Roman" w:hAnsiTheme="minorHAnsi" w:cs="Ω&amp;Ìu'1"/>
          <w:lang w:eastAsia="en-AU"/>
        </w:rPr>
        <w:t>6</w:t>
      </w:r>
      <w:r w:rsidR="00F04577">
        <w:rPr>
          <w:rFonts w:asciiTheme="minorHAnsi" w:eastAsia="Times New Roman" w:hAnsiTheme="minorHAnsi" w:cs="Ω&amp;Ìu'1"/>
          <w:lang w:eastAsia="en-AU"/>
        </w:rPr>
        <w:t>1</w:t>
      </w:r>
      <w:r w:rsidRPr="001A4D65">
        <w:rPr>
          <w:rFonts w:asciiTheme="minorHAnsi" w:eastAsia="Times New Roman" w:hAnsiTheme="minorHAnsi" w:cs="Ω&amp;Ìu'1"/>
          <w:lang w:eastAsia="en-AU"/>
        </w:rPr>
        <w:t xml:space="preserve"> (adapted from proposed PI).</w:t>
      </w:r>
      <w:r>
        <w:rPr>
          <w:rFonts w:asciiTheme="minorHAnsi" w:eastAsia="Times New Roman" w:hAnsiTheme="minorHAnsi" w:cs="Ω&amp;Ìu'1"/>
          <w:lang w:eastAsia="en-AU"/>
        </w:rPr>
        <w:t xml:space="preserve"> The required factor VIII levels proposed by the sponsor surgery are consistent with the levels specified in the PI</w:t>
      </w:r>
      <w:r w:rsidR="00FD278B">
        <w:rPr>
          <w:rFonts w:asciiTheme="minorHAnsi" w:eastAsia="Times New Roman" w:hAnsiTheme="minorHAnsi" w:cs="Ω&amp;Ìu'1"/>
          <w:lang w:eastAsia="en-AU"/>
        </w:rPr>
        <w:t xml:space="preserve"> of a full-length rFVIII</w:t>
      </w:r>
      <w:r>
        <w:rPr>
          <w:rFonts w:asciiTheme="minorHAnsi" w:eastAsia="Times New Roman" w:hAnsiTheme="minorHAnsi" w:cs="Ω&amp;Ìu'1"/>
          <w:lang w:eastAsia="en-AU"/>
        </w:rPr>
        <w:t xml:space="preserve">. However, </w:t>
      </w:r>
      <w:r w:rsidRPr="00FC5AC8">
        <w:rPr>
          <w:rFonts w:asciiTheme="minorHAnsi" w:eastAsia="Times New Roman" w:hAnsiTheme="minorHAnsi" w:cs="0"/>
          <w:lang w:eastAsia="en-AU"/>
        </w:rPr>
        <w:t xml:space="preserve">in the </w:t>
      </w:r>
      <w:r w:rsidRPr="00FC5AC8">
        <w:rPr>
          <w:rFonts w:asciiTheme="minorHAnsi" w:eastAsia="Times New Roman" w:hAnsiTheme="minorHAnsi" w:cs="0"/>
          <w:i/>
          <w:lang w:eastAsia="en-AU"/>
        </w:rPr>
        <w:t>Australian Health Minister's Advisory Council (AHDCO), Evidence-based clinical practice guideline for the use of recombinant and plasma-derived FVIII and FIX products, Released June 2006 (National Blood Authority)</w:t>
      </w:r>
      <w:r>
        <w:rPr>
          <w:rFonts w:asciiTheme="minorHAnsi" w:eastAsia="Times New Roman" w:hAnsiTheme="minorHAnsi" w:cs="0"/>
          <w:i/>
          <w:lang w:eastAsia="en-AU"/>
        </w:rPr>
        <w:t xml:space="preserve"> </w:t>
      </w:r>
      <w:r>
        <w:rPr>
          <w:rFonts w:asciiTheme="minorHAnsi" w:eastAsia="Times New Roman" w:hAnsiTheme="minorHAnsi" w:cs="Ω&amp;Ìu'1"/>
          <w:lang w:eastAsia="en-AU"/>
        </w:rPr>
        <w:t>the peak post-infusion levels for rFVIII for minor surgery are 60-80 IU/dL and pre- and post-infusion levels for rFVIII for major surgery are 80-100 IU/dL.</w:t>
      </w:r>
    </w:p>
    <w:p w14:paraId="4ABED25C" w14:textId="47CD1731" w:rsidR="008248FD" w:rsidRDefault="008248FD" w:rsidP="00BF223F">
      <w:pPr>
        <w:pStyle w:val="Tabletitle"/>
        <w:rPr>
          <w:lang w:eastAsia="en-AU"/>
        </w:rPr>
      </w:pPr>
      <w:r w:rsidRPr="001A4D65">
        <w:rPr>
          <w:lang w:eastAsia="en-AU"/>
        </w:rPr>
        <w:lastRenderedPageBreak/>
        <w:t xml:space="preserve">Table </w:t>
      </w:r>
      <w:r w:rsidR="009529C0">
        <w:rPr>
          <w:lang w:eastAsia="en-AU"/>
        </w:rPr>
        <w:t>6</w:t>
      </w:r>
      <w:r w:rsidR="00F04577">
        <w:rPr>
          <w:lang w:eastAsia="en-AU"/>
        </w:rPr>
        <w:t>1</w:t>
      </w:r>
      <w:r w:rsidR="009529C0">
        <w:rPr>
          <w:lang w:eastAsia="en-AU"/>
        </w:rPr>
        <w:t>:</w:t>
      </w:r>
      <w:r w:rsidRPr="001A4D65">
        <w:rPr>
          <w:lang w:eastAsia="en-AU"/>
        </w:rPr>
        <w:t xml:space="preserve"> </w:t>
      </w:r>
      <w:r>
        <w:rPr>
          <w:lang w:eastAsia="en-AU"/>
        </w:rPr>
        <w:t>Type of surgical procedure</w:t>
      </w:r>
      <w:r w:rsidRPr="001A4D65">
        <w:rPr>
          <w:lang w:eastAsia="en-AU"/>
        </w:rPr>
        <w:t xml:space="preserve"> </w:t>
      </w:r>
    </w:p>
    <w:tbl>
      <w:tblPr>
        <w:tblStyle w:val="TableTGAblue"/>
        <w:tblW w:w="8246" w:type="dxa"/>
        <w:tblLayout w:type="fixed"/>
        <w:tblLook w:val="04A0" w:firstRow="1" w:lastRow="0" w:firstColumn="1" w:lastColumn="0" w:noHBand="0" w:noVBand="1"/>
      </w:tblPr>
      <w:tblGrid>
        <w:gridCol w:w="1668"/>
        <w:gridCol w:w="2585"/>
        <w:gridCol w:w="3993"/>
      </w:tblGrid>
      <w:tr w:rsidR="00195AEE" w:rsidRPr="008F210A" w14:paraId="5929E41F" w14:textId="77777777" w:rsidTr="001B6B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1598F86E" w14:textId="77777777" w:rsidR="00195AEE" w:rsidRPr="008F210A" w:rsidRDefault="00195AEE" w:rsidP="001B6BBC">
            <w:pPr>
              <w:ind w:left="0"/>
            </w:pPr>
            <w:r>
              <w:t>Surgical p</w:t>
            </w:r>
            <w:r w:rsidRPr="008F210A">
              <w:t>rocedure</w:t>
            </w:r>
          </w:p>
        </w:tc>
        <w:tc>
          <w:tcPr>
            <w:tcW w:w="2585" w:type="dxa"/>
          </w:tcPr>
          <w:p w14:paraId="287F41BE" w14:textId="77777777" w:rsidR="00195AEE" w:rsidRPr="008F210A" w:rsidRDefault="00195AEE" w:rsidP="001B6BBC">
            <w:pPr>
              <w:ind w:left="0"/>
              <w:cnfStyle w:val="100000000000" w:firstRow="1" w:lastRow="0" w:firstColumn="0" w:lastColumn="0" w:oddVBand="0" w:evenVBand="0" w:oddHBand="0" w:evenHBand="0" w:firstRowFirstColumn="0" w:firstRowLastColumn="0" w:lastRowFirstColumn="0" w:lastRowLastColumn="0"/>
            </w:pPr>
            <w:r>
              <w:t>FVIII level required (IU/kg)</w:t>
            </w:r>
          </w:p>
        </w:tc>
        <w:tc>
          <w:tcPr>
            <w:tcW w:w="3993" w:type="dxa"/>
          </w:tcPr>
          <w:p w14:paraId="3509EF30" w14:textId="77777777" w:rsidR="00195AEE" w:rsidRPr="008F210A" w:rsidRDefault="00195AEE" w:rsidP="001B6BBC">
            <w:pPr>
              <w:ind w:left="0"/>
              <w:cnfStyle w:val="100000000000" w:firstRow="1" w:lastRow="0" w:firstColumn="0" w:lastColumn="0" w:oddVBand="0" w:evenVBand="0" w:oddHBand="0" w:evenHBand="0" w:firstRowFirstColumn="0" w:firstRowLastColumn="0" w:lastRowFirstColumn="0" w:lastRowLastColumn="0"/>
            </w:pPr>
            <w:r>
              <w:t>Frequency of doses (hours) and duration of therapy (days)</w:t>
            </w:r>
          </w:p>
        </w:tc>
      </w:tr>
      <w:tr w:rsidR="00195AEE" w:rsidRPr="008F210A" w14:paraId="5D52F671" w14:textId="77777777" w:rsidTr="001B6BBC">
        <w:tc>
          <w:tcPr>
            <w:cnfStyle w:val="001000000000" w:firstRow="0" w:lastRow="0" w:firstColumn="1" w:lastColumn="0" w:oddVBand="0" w:evenVBand="0" w:oddHBand="0" w:evenHBand="0" w:firstRowFirstColumn="0" w:firstRowLastColumn="0" w:lastRowFirstColumn="0" w:lastRowLastColumn="0"/>
            <w:tcW w:w="1668" w:type="dxa"/>
          </w:tcPr>
          <w:p w14:paraId="37215161" w14:textId="4FB991DC" w:rsidR="00195AEE" w:rsidRPr="008F210A" w:rsidRDefault="00195AEE" w:rsidP="001B6BBC">
            <w:pPr>
              <w:ind w:left="0"/>
            </w:pPr>
            <w:r w:rsidRPr="008F210A">
              <w:t xml:space="preserve">Minor </w:t>
            </w:r>
            <w:r>
              <w:t>(</w:t>
            </w:r>
            <w:r w:rsidRPr="008F210A">
              <w:t>incl</w:t>
            </w:r>
            <w:r>
              <w:t>.</w:t>
            </w:r>
            <w:r w:rsidRPr="008F210A">
              <w:t xml:space="preserve"> tooth extraction</w:t>
            </w:r>
            <w:r>
              <w:t>)</w:t>
            </w:r>
          </w:p>
        </w:tc>
        <w:tc>
          <w:tcPr>
            <w:tcW w:w="2585" w:type="dxa"/>
          </w:tcPr>
          <w:p w14:paraId="143BC118" w14:textId="77777777" w:rsidR="00195AEE" w:rsidRPr="00B2078B" w:rsidRDefault="00195AEE" w:rsidP="001B6BBC">
            <w:pPr>
              <w:ind w:left="0"/>
              <w:cnfStyle w:val="000000000000" w:firstRow="0" w:lastRow="0" w:firstColumn="0" w:lastColumn="0" w:oddVBand="0" w:evenVBand="0" w:oddHBand="0" w:evenHBand="0" w:firstRowFirstColumn="0" w:firstRowLastColumn="0" w:lastRowFirstColumn="0" w:lastRowLastColumn="0"/>
            </w:pPr>
            <w:r>
              <w:rPr>
                <w:color w:val="000000"/>
              </w:rPr>
              <w:t>30 to 60%</w:t>
            </w:r>
          </w:p>
        </w:tc>
        <w:tc>
          <w:tcPr>
            <w:tcW w:w="3993" w:type="dxa"/>
          </w:tcPr>
          <w:p w14:paraId="536B7ACD" w14:textId="77777777" w:rsidR="00195AEE" w:rsidRPr="008F210A" w:rsidRDefault="00195AEE" w:rsidP="001B6BBC">
            <w:pPr>
              <w:ind w:left="0"/>
              <w:cnfStyle w:val="000000000000" w:firstRow="0" w:lastRow="0" w:firstColumn="0" w:lastColumn="0" w:oddVBand="0" w:evenVBand="0" w:oddHBand="0" w:evenHBand="0" w:firstRowFirstColumn="0" w:firstRowLastColumn="0" w:lastRowFirstColumn="0" w:lastRowLastColumn="0"/>
            </w:pPr>
            <w:r>
              <w:t>Every 24 hours, at least 1 day, until healing is achieved.</w:t>
            </w:r>
          </w:p>
        </w:tc>
      </w:tr>
      <w:tr w:rsidR="00195AEE" w:rsidRPr="008F210A" w14:paraId="20E87B76" w14:textId="77777777" w:rsidTr="001B6BBC">
        <w:tc>
          <w:tcPr>
            <w:cnfStyle w:val="001000000000" w:firstRow="0" w:lastRow="0" w:firstColumn="1" w:lastColumn="0" w:oddVBand="0" w:evenVBand="0" w:oddHBand="0" w:evenHBand="0" w:firstRowFirstColumn="0" w:firstRowLastColumn="0" w:lastRowFirstColumn="0" w:lastRowLastColumn="0"/>
            <w:tcW w:w="1668" w:type="dxa"/>
          </w:tcPr>
          <w:p w14:paraId="52C54370" w14:textId="77777777" w:rsidR="00195AEE" w:rsidRPr="008F210A" w:rsidRDefault="00195AEE" w:rsidP="001B6BBC">
            <w:pPr>
              <w:ind w:left="0"/>
            </w:pPr>
            <w:r>
              <w:t>Major</w:t>
            </w:r>
          </w:p>
        </w:tc>
        <w:tc>
          <w:tcPr>
            <w:tcW w:w="2585" w:type="dxa"/>
          </w:tcPr>
          <w:p w14:paraId="74B8F939" w14:textId="1D1D8F9F" w:rsidR="00195AEE" w:rsidRPr="00B2078B" w:rsidRDefault="00195AEE" w:rsidP="001B6BBC">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80 to 100% (pre- and post-operative)</w:t>
            </w:r>
          </w:p>
        </w:tc>
        <w:tc>
          <w:tcPr>
            <w:tcW w:w="3993" w:type="dxa"/>
          </w:tcPr>
          <w:p w14:paraId="773E023B" w14:textId="77777777" w:rsidR="00195AEE" w:rsidRPr="008F210A" w:rsidRDefault="00195AEE" w:rsidP="001B6BBC">
            <w:pPr>
              <w:ind w:left="0"/>
              <w:cnfStyle w:val="000000000000" w:firstRow="0" w:lastRow="0" w:firstColumn="0" w:lastColumn="0" w:oddVBand="0" w:evenVBand="0" w:oddHBand="0" w:evenHBand="0" w:firstRowFirstColumn="0" w:firstRowLastColumn="0" w:lastRowFirstColumn="0" w:lastRowLastColumn="0"/>
            </w:pPr>
            <w:r>
              <w:t>Repeat infusion every 8 to 24 hours until adequate wound healing, then therapy for at least another 7 days to maintain FVIII activity of 30 to 60% (IU/dL).</w:t>
            </w:r>
          </w:p>
        </w:tc>
      </w:tr>
    </w:tbl>
    <w:p w14:paraId="11D5123F" w14:textId="77777777" w:rsidR="00195AEE" w:rsidRDefault="00195AEE" w:rsidP="001B6BBC">
      <w:pPr>
        <w:pStyle w:val="TableDescription"/>
        <w:rPr>
          <w:lang w:eastAsia="en-AU"/>
        </w:rPr>
      </w:pPr>
      <w:r w:rsidRPr="00FF31B8">
        <w:rPr>
          <w:lang w:eastAsia="en-AU"/>
        </w:rPr>
        <w:t xml:space="preserve">FVIII = coagulation </w:t>
      </w:r>
      <w:r>
        <w:rPr>
          <w:lang w:eastAsia="en-AU"/>
        </w:rPr>
        <w:t>f</w:t>
      </w:r>
      <w:r w:rsidRPr="00FF31B8">
        <w:rPr>
          <w:lang w:eastAsia="en-AU"/>
        </w:rPr>
        <w:t>actor VIII; IU = international units.</w:t>
      </w:r>
    </w:p>
    <w:p w14:paraId="01819113" w14:textId="77777777" w:rsidR="000F04AF" w:rsidRDefault="008248FD" w:rsidP="008248FD">
      <w:pPr>
        <w:widowControl w:val="0"/>
        <w:autoSpaceDE w:val="0"/>
        <w:autoSpaceDN w:val="0"/>
        <w:adjustRightInd w:val="0"/>
        <w:rPr>
          <w:rFonts w:asciiTheme="minorHAnsi" w:eastAsia="Times New Roman" w:hAnsiTheme="minorHAnsi"/>
          <w:lang w:eastAsia="en-AU"/>
        </w:rPr>
      </w:pPr>
      <w:r w:rsidRPr="00BF0D5C">
        <w:rPr>
          <w:rFonts w:asciiTheme="minorHAnsi" w:eastAsia="Times New Roman" w:hAnsiTheme="minorHAnsi" w:cs="Ω&amp;Ìu'1"/>
          <w:lang w:eastAsia="en-AU"/>
        </w:rPr>
        <w:t>The sponsor's proposed levels are identical to those provided in the EMA guidance documents (2000 and 2012) for the S</w:t>
      </w:r>
      <w:r w:rsidR="000D392B">
        <w:rPr>
          <w:rFonts w:asciiTheme="minorHAnsi" w:eastAsia="Times New Roman" w:hAnsiTheme="minorHAnsi" w:cs="Ω&amp;Ìu'1"/>
          <w:lang w:eastAsia="en-AU"/>
        </w:rPr>
        <w:t>m</w:t>
      </w:r>
      <w:r w:rsidRPr="00BF0D5C">
        <w:rPr>
          <w:rFonts w:asciiTheme="minorHAnsi" w:eastAsia="Times New Roman" w:hAnsiTheme="minorHAnsi" w:cs="Ω&amp;Ìu'1"/>
          <w:lang w:eastAsia="en-AU"/>
        </w:rPr>
        <w:t xml:space="preserve">PC for rFVIII products. </w:t>
      </w:r>
      <w:r w:rsidRPr="00BF0D5C">
        <w:rPr>
          <w:rFonts w:asciiTheme="minorHAnsi" w:eastAsia="Times New Roman" w:hAnsiTheme="minorHAnsi" w:cs="‡O˙øªV·"/>
          <w:lang w:eastAsia="en-AU"/>
        </w:rPr>
        <w:t xml:space="preserve">In Section 2.7.3.4 (Analysis of Clinical Information Relevant to Dosing Recommendations) of the Clinical Summary (2.7), the sponsor noted that nearly all 35% of the surgeries were major and that the average actual doses administered were in line with the EMEA (2000) recommendations. </w:t>
      </w:r>
      <w:r w:rsidRPr="00BF0D5C">
        <w:rPr>
          <w:rFonts w:asciiTheme="minorHAnsi" w:eastAsia="Times New Roman" w:hAnsiTheme="minorHAnsi"/>
          <w:lang w:eastAsia="en-AU"/>
        </w:rPr>
        <w:t>For surgical prophylaxis, the dosage and duration of treatment with simoctocog alfa depended on the type of surgery and the patient’s individual IVR. The required dosage was determined using the following formula:</w:t>
      </w:r>
    </w:p>
    <w:p w14:paraId="77E219A7" w14:textId="667DC1D2" w:rsidR="008248FD" w:rsidRPr="00BF0D5C" w:rsidRDefault="008248FD" w:rsidP="000D392B">
      <w:pPr>
        <w:widowControl w:val="0"/>
        <w:autoSpaceDE w:val="0"/>
        <w:autoSpaceDN w:val="0"/>
        <w:adjustRightInd w:val="0"/>
        <w:ind w:firstLine="567"/>
        <w:rPr>
          <w:rFonts w:asciiTheme="minorHAnsi" w:eastAsia="Times New Roman" w:hAnsiTheme="minorHAnsi"/>
          <w:lang w:eastAsia="en-AU"/>
        </w:rPr>
      </w:pPr>
      <w:r w:rsidRPr="00BF0D5C">
        <w:rPr>
          <w:rFonts w:asciiTheme="minorHAnsi" w:eastAsia="Times New Roman" w:hAnsiTheme="minorHAnsi"/>
          <w:lang w:eastAsia="en-AU"/>
        </w:rPr>
        <w:t>Dose = target increase of FVIII (IU/dL) * body weight/actual IVR (IU/dL)</w:t>
      </w:r>
      <w:proofErr w:type="gramStart"/>
      <w:r w:rsidRPr="00BF0D5C">
        <w:rPr>
          <w:rFonts w:asciiTheme="minorHAnsi" w:eastAsia="Times New Roman" w:hAnsiTheme="minorHAnsi"/>
          <w:lang w:eastAsia="en-AU"/>
        </w:rPr>
        <w:t>/(</w:t>
      </w:r>
      <w:proofErr w:type="gramEnd"/>
      <w:r w:rsidRPr="00BF0D5C">
        <w:rPr>
          <w:rFonts w:asciiTheme="minorHAnsi" w:eastAsia="Times New Roman" w:hAnsiTheme="minorHAnsi"/>
          <w:lang w:eastAsia="en-AU"/>
        </w:rPr>
        <w:t>IU/kg).</w:t>
      </w:r>
    </w:p>
    <w:p w14:paraId="37FF14C1" w14:textId="77777777" w:rsidR="008248FD" w:rsidRPr="00BF223F" w:rsidRDefault="00C618F7" w:rsidP="00BF223F">
      <w:pPr>
        <w:pStyle w:val="Heading2"/>
      </w:pPr>
      <w:bookmarkStart w:id="240" w:name="_Toc453765986"/>
      <w:r w:rsidRPr="00BF223F">
        <w:t>Second round benefit-risk assessment</w:t>
      </w:r>
      <w:bookmarkEnd w:id="240"/>
    </w:p>
    <w:p w14:paraId="4FCBF7F8" w14:textId="77777777" w:rsidR="008248FD" w:rsidRPr="00BF223F" w:rsidRDefault="008248FD" w:rsidP="00BF223F">
      <w:pPr>
        <w:pStyle w:val="Heading3"/>
      </w:pPr>
      <w:bookmarkStart w:id="241" w:name="_Toc290663810"/>
      <w:bookmarkStart w:id="242" w:name="_Toc290663966"/>
      <w:bookmarkStart w:id="243" w:name="_Toc290664559"/>
      <w:bookmarkStart w:id="244" w:name="_Toc290664868"/>
      <w:bookmarkStart w:id="245" w:name="_Toc290665024"/>
      <w:bookmarkStart w:id="246" w:name="_Toc290665752"/>
      <w:bookmarkStart w:id="247" w:name="_Toc290665925"/>
      <w:bookmarkStart w:id="248" w:name="_Toc290669473"/>
      <w:bookmarkStart w:id="249" w:name="_Toc290669646"/>
      <w:bookmarkStart w:id="250" w:name="_Toc290715963"/>
      <w:bookmarkStart w:id="251" w:name="_Toc290716136"/>
      <w:bookmarkStart w:id="252" w:name="_Toc290731463"/>
      <w:bookmarkStart w:id="253" w:name="_Toc290731636"/>
      <w:bookmarkStart w:id="254" w:name="_Toc290731957"/>
      <w:bookmarkStart w:id="255" w:name="_Toc290732278"/>
      <w:bookmarkStart w:id="256" w:name="_Toc290663811"/>
      <w:bookmarkStart w:id="257" w:name="_Toc290663967"/>
      <w:bookmarkStart w:id="258" w:name="_Toc290664560"/>
      <w:bookmarkStart w:id="259" w:name="_Toc290664869"/>
      <w:bookmarkStart w:id="260" w:name="_Toc290665025"/>
      <w:bookmarkStart w:id="261" w:name="_Toc290665753"/>
      <w:bookmarkStart w:id="262" w:name="_Toc290665926"/>
      <w:bookmarkStart w:id="263" w:name="_Toc290669474"/>
      <w:bookmarkStart w:id="264" w:name="_Toc290669647"/>
      <w:bookmarkStart w:id="265" w:name="_Toc290715964"/>
      <w:bookmarkStart w:id="266" w:name="_Toc290716137"/>
      <w:bookmarkStart w:id="267" w:name="_Toc290731464"/>
      <w:bookmarkStart w:id="268" w:name="_Toc290731637"/>
      <w:bookmarkStart w:id="269" w:name="_Toc290731958"/>
      <w:bookmarkStart w:id="270" w:name="_Toc290732279"/>
      <w:bookmarkStart w:id="271" w:name="_Toc272414709"/>
      <w:bookmarkStart w:id="272" w:name="_Toc290846349"/>
      <w:bookmarkStart w:id="273" w:name="_Toc266446554"/>
      <w:bookmarkStart w:id="274" w:name="_Toc453765987"/>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BF223F">
        <w:t>Second round assessment of benefits</w:t>
      </w:r>
      <w:bookmarkEnd w:id="271"/>
      <w:bookmarkEnd w:id="272"/>
      <w:bookmarkEnd w:id="273"/>
      <w:bookmarkEnd w:id="274"/>
    </w:p>
    <w:p w14:paraId="44B88B41" w14:textId="77777777" w:rsidR="000F04AF" w:rsidRDefault="008248FD" w:rsidP="008248FD">
      <w:r>
        <w:t xml:space="preserve">After consideration of the sponsor's responses to the clinical questions raised following the first round evaluation, the benefits of simoctocog alfa remain unchanged from those identified in </w:t>
      </w:r>
      <w:r w:rsidR="000D392B">
        <w:t>the First round</w:t>
      </w:r>
      <w:r>
        <w:t>.</w:t>
      </w:r>
    </w:p>
    <w:p w14:paraId="6F6A3BB1" w14:textId="62A73C13" w:rsidR="008248FD" w:rsidRPr="00BF223F" w:rsidRDefault="008248FD" w:rsidP="00BF223F">
      <w:pPr>
        <w:pStyle w:val="Heading3"/>
      </w:pPr>
      <w:bookmarkStart w:id="275" w:name="_Toc272414710"/>
      <w:bookmarkStart w:id="276" w:name="_Toc290846350"/>
      <w:bookmarkStart w:id="277" w:name="_Toc266446555"/>
      <w:bookmarkStart w:id="278" w:name="_Toc453765988"/>
      <w:r w:rsidRPr="00BF223F">
        <w:t>Second round assessment of risks</w:t>
      </w:r>
      <w:bookmarkEnd w:id="275"/>
      <w:bookmarkEnd w:id="276"/>
      <w:bookmarkEnd w:id="277"/>
      <w:bookmarkEnd w:id="278"/>
    </w:p>
    <w:p w14:paraId="37AB3602" w14:textId="77777777" w:rsidR="000F04AF" w:rsidRDefault="008248FD" w:rsidP="008248FD">
      <w:r>
        <w:t xml:space="preserve">After consideration of the sponsor's responses to the clinical questions raised following the first round evaluation, the risks of simoctocog alfa remain unchanged from those </w:t>
      </w:r>
      <w:r w:rsidR="000D392B">
        <w:t>identified in the First round.</w:t>
      </w:r>
    </w:p>
    <w:p w14:paraId="3F9FB258" w14:textId="76C3268F" w:rsidR="008248FD" w:rsidRPr="00BF223F" w:rsidRDefault="008248FD" w:rsidP="00BF223F">
      <w:pPr>
        <w:pStyle w:val="Heading3"/>
      </w:pPr>
      <w:bookmarkStart w:id="279" w:name="_Toc272414711"/>
      <w:bookmarkStart w:id="280" w:name="_Toc290846351"/>
      <w:bookmarkStart w:id="281" w:name="_Toc266446556"/>
      <w:bookmarkStart w:id="282" w:name="_Toc453765989"/>
      <w:r w:rsidRPr="00BF223F">
        <w:t>Second round assessment of benefit-risk balance</w:t>
      </w:r>
      <w:bookmarkEnd w:id="279"/>
      <w:bookmarkEnd w:id="280"/>
      <w:bookmarkEnd w:id="281"/>
      <w:bookmarkEnd w:id="282"/>
    </w:p>
    <w:p w14:paraId="483D8755" w14:textId="77777777" w:rsidR="000F04AF" w:rsidRDefault="008248FD" w:rsidP="008248FD">
      <w:r>
        <w:t>The benefit-risk balance for simoctocog alfa for the proposed indications is considered to be favourable for patients with severe haemophilia A in adults and children aged 2 years and older.</w:t>
      </w:r>
    </w:p>
    <w:p w14:paraId="77261C00" w14:textId="3E43C085" w:rsidR="00C618F7" w:rsidRPr="00BF223F" w:rsidRDefault="00C618F7" w:rsidP="00BF223F">
      <w:pPr>
        <w:pStyle w:val="Heading2"/>
      </w:pPr>
      <w:bookmarkStart w:id="283" w:name="_Toc453765990"/>
      <w:r w:rsidRPr="00BF223F">
        <w:t>Second round recommendation regarding authorisation</w:t>
      </w:r>
      <w:bookmarkEnd w:id="283"/>
    </w:p>
    <w:p w14:paraId="1C7B6F7C" w14:textId="77777777" w:rsidR="000F04AF" w:rsidRDefault="00E331F2" w:rsidP="00E331F2">
      <w:pPr>
        <w:widowControl w:val="0"/>
        <w:autoSpaceDE w:val="0"/>
        <w:autoSpaceDN w:val="0"/>
        <w:adjustRightInd w:val="0"/>
        <w:rPr>
          <w:rFonts w:eastAsia="Times New Roman" w:cs="‡oˆøª&amp;Â"/>
          <w:lang w:eastAsia="en-AU"/>
        </w:rPr>
      </w:pPr>
      <w:r w:rsidRPr="00BF0D5C">
        <w:rPr>
          <w:rFonts w:eastAsia="Times New Roman" w:cs="‡oˆøª&amp;Â"/>
          <w:lang w:eastAsia="en-AU"/>
        </w:rPr>
        <w:t xml:space="preserve">It is recommended that NUWIQ be approved for the "treatment and prophylaxis of bleeding (also during and after surgery) in previously treated paediatric (≥ 2 years) and adult patients </w:t>
      </w:r>
      <w:r w:rsidRPr="00BF0D5C">
        <w:rPr>
          <w:rFonts w:eastAsia="Times New Roman" w:cs="‡oˆøª&amp;Â"/>
          <w:lang w:eastAsia="en-AU"/>
        </w:rPr>
        <w:lastRenderedPageBreak/>
        <w:t xml:space="preserve">with </w:t>
      </w:r>
      <w:r w:rsidRPr="00BF0D5C">
        <w:rPr>
          <w:rFonts w:eastAsia="Times New Roman" w:cs="‡oˆøª&amp;Â"/>
          <w:u w:val="single"/>
          <w:lang w:eastAsia="en-AU"/>
        </w:rPr>
        <w:t>severe</w:t>
      </w:r>
      <w:r w:rsidRPr="00BF0D5C">
        <w:rPr>
          <w:rFonts w:eastAsia="Times New Roman" w:cs="‡oˆøª&amp;Â"/>
          <w:lang w:eastAsia="en-AU"/>
        </w:rPr>
        <w:t xml:space="preserve"> haemophilia </w:t>
      </w:r>
      <w:proofErr w:type="gramStart"/>
      <w:r w:rsidRPr="00BF0D5C">
        <w:rPr>
          <w:rFonts w:eastAsia="Times New Roman" w:cs="‡oˆøª&amp;Â"/>
          <w:lang w:eastAsia="en-AU"/>
        </w:rPr>
        <w:t>A</w:t>
      </w:r>
      <w:proofErr w:type="gramEnd"/>
      <w:r w:rsidRPr="00BF0D5C">
        <w:rPr>
          <w:rFonts w:eastAsia="Times New Roman" w:cs="‡oˆøª&amp;Â"/>
          <w:lang w:eastAsia="en-AU"/>
        </w:rPr>
        <w:t xml:space="preserve"> (congenital factor VIII deficiency)".</w:t>
      </w:r>
    </w:p>
    <w:p w14:paraId="6C6F4E4B" w14:textId="77777777" w:rsidR="000F04AF" w:rsidRDefault="00E331F2" w:rsidP="00E331F2">
      <w:pPr>
        <w:widowControl w:val="0"/>
        <w:autoSpaceDE w:val="0"/>
        <w:autoSpaceDN w:val="0"/>
        <w:adjustRightInd w:val="0"/>
        <w:rPr>
          <w:rFonts w:eastAsia="Times New Roman" w:cs="‡oˆøª&amp;Â"/>
          <w:lang w:eastAsia="en-AU"/>
        </w:rPr>
      </w:pPr>
      <w:r w:rsidRPr="00BF0D5C">
        <w:rPr>
          <w:rFonts w:eastAsia="Times New Roman" w:cs="‡oˆøª&amp;Â"/>
          <w:lang w:eastAsia="en-AU"/>
        </w:rPr>
        <w:t xml:space="preserve">The indication recommended for authorisation includes reference to </w:t>
      </w:r>
      <w:r w:rsidRPr="00BF0D5C">
        <w:rPr>
          <w:rFonts w:eastAsia="Times New Roman" w:cs="‡oˆøª&amp;Â"/>
          <w:u w:val="single"/>
          <w:lang w:eastAsia="en-AU"/>
        </w:rPr>
        <w:t>severe</w:t>
      </w:r>
      <w:r w:rsidRPr="00BF0D5C">
        <w:rPr>
          <w:rFonts w:eastAsia="Times New Roman" w:cs="‡oˆøª&amp;Â"/>
          <w:lang w:eastAsia="en-AU"/>
        </w:rPr>
        <w:t xml:space="preserve"> haemophilia A. The indication proposed by the sponsor excludes the reference to </w:t>
      </w:r>
      <w:r w:rsidRPr="00BF0D5C">
        <w:rPr>
          <w:rFonts w:eastAsia="Times New Roman" w:cs="‡oˆøª&amp;Â"/>
          <w:u w:val="single"/>
          <w:lang w:eastAsia="en-AU"/>
        </w:rPr>
        <w:t>severe</w:t>
      </w:r>
      <w:r w:rsidRPr="00BF0D5C">
        <w:rPr>
          <w:rFonts w:eastAsia="Times New Roman" w:cs="‡oˆøª&amp;Â"/>
          <w:lang w:eastAsia="en-AU"/>
        </w:rPr>
        <w:t xml:space="preserve"> haemophilia A.</w:t>
      </w:r>
    </w:p>
    <w:p w14:paraId="535DA87A" w14:textId="4670B227" w:rsidR="00C618F7" w:rsidRPr="00BF223F" w:rsidRDefault="00C618F7" w:rsidP="00BF223F">
      <w:pPr>
        <w:pStyle w:val="Heading2"/>
      </w:pPr>
      <w:bookmarkStart w:id="284" w:name="_Toc453765991"/>
      <w:r w:rsidRPr="00BF223F">
        <w:t>References</w:t>
      </w:r>
      <w:bookmarkEnd w:id="284"/>
    </w:p>
    <w:bookmarkEnd w:id="1"/>
    <w:bookmarkEnd w:id="0"/>
    <w:bookmarkEnd w:id="3"/>
    <w:p w14:paraId="4B154489" w14:textId="77777777" w:rsidR="00E331F2" w:rsidRPr="001335BB" w:rsidRDefault="00E331F2" w:rsidP="00BF223F">
      <w:pPr>
        <w:pStyle w:val="Numberbullet0"/>
        <w:numPr>
          <w:ilvl w:val="0"/>
          <w:numId w:val="48"/>
        </w:numPr>
      </w:pPr>
      <w:r w:rsidRPr="001335BB">
        <w:t>Tuddenham EGD, Kannicht C, Agerkvist I, Sandberg H, Knaub S, Zozulya N. From human to humans - Introducing the first recombinant human FVIII product produced from a human cell line. Thromb Haemost Suppl 2010; 103: 4-14.</w:t>
      </w:r>
    </w:p>
    <w:p w14:paraId="09F30B0C" w14:textId="77777777" w:rsidR="00E331F2" w:rsidRPr="00BF223F" w:rsidRDefault="00E331F2" w:rsidP="00BF223F">
      <w:pPr>
        <w:pStyle w:val="Numberbullet0"/>
        <w:numPr>
          <w:ilvl w:val="0"/>
          <w:numId w:val="48"/>
        </w:numPr>
        <w:rPr>
          <w:rFonts w:cs="œÙøf€"/>
        </w:rPr>
      </w:pPr>
      <w:r w:rsidRPr="007A516D">
        <w:rPr>
          <w:rFonts w:cs="œÙøf€"/>
        </w:rPr>
        <w:t xml:space="preserve">Coppola A, Di Capua M, Di Minno MND, Di Palo M, Marrone E, Ieranò P, et al. </w:t>
      </w:r>
      <w:r w:rsidRPr="00BF223F">
        <w:rPr>
          <w:rFonts w:cs="œÙøf€"/>
        </w:rPr>
        <w:t>Treatment of hemophilia: a review of current advances and ongoing issues. J Blood Med 2010; 1: 183-195.</w:t>
      </w:r>
    </w:p>
    <w:p w14:paraId="4BFB8594" w14:textId="77777777" w:rsidR="00E331F2" w:rsidRPr="00BF223F" w:rsidRDefault="00E331F2" w:rsidP="00BF223F">
      <w:pPr>
        <w:pStyle w:val="Numberbullet0"/>
        <w:numPr>
          <w:ilvl w:val="0"/>
          <w:numId w:val="48"/>
        </w:numPr>
        <w:rPr>
          <w:rFonts w:cs="◊Ùøf€"/>
        </w:rPr>
      </w:pPr>
      <w:r w:rsidRPr="00BF223F">
        <w:rPr>
          <w:rFonts w:cs="◊Ùøf€"/>
        </w:rPr>
        <w:t>White GC, Rosendaal F, Aledort LM, Lusher JM, Rothschild C, Ingerslev J, et al. Definitions in hemophilia. Recommendations of the scientific subcommittee on factor VIII and factor IX of the scientific and standardization committee of the International Society on Thrombosis and Haemostasis. Thromb Haemost 2001; 85: 560.</w:t>
      </w:r>
    </w:p>
    <w:p w14:paraId="0B405DC7" w14:textId="77777777" w:rsidR="00E331F2" w:rsidRPr="001335BB" w:rsidRDefault="00E331F2" w:rsidP="00BF223F">
      <w:pPr>
        <w:pStyle w:val="Numberbullet0"/>
        <w:numPr>
          <w:ilvl w:val="0"/>
          <w:numId w:val="48"/>
        </w:numPr>
      </w:pPr>
      <w:r w:rsidRPr="001335BB">
        <w:t>Lee M, Morfini M, Schulman S, and Ingerslev J. The Design and Analysis of</w:t>
      </w:r>
      <w:r>
        <w:t xml:space="preserve"> </w:t>
      </w:r>
      <w:r w:rsidRPr="001335BB">
        <w:t>Pharmacokinetic Studies of Coagulation Factors (Subcommittee on Factor VIII</w:t>
      </w:r>
      <w:r>
        <w:t xml:space="preserve"> </w:t>
      </w:r>
      <w:r w:rsidRPr="001335BB">
        <w:t>and Factor IX of the Scientific and Standardization Committee of the International</w:t>
      </w:r>
      <w:r>
        <w:t xml:space="preserve"> </w:t>
      </w:r>
      <w:r w:rsidRPr="001335BB">
        <w:t>Society on Thrombosis and Haemostasis). 21-Mar-2001.</w:t>
      </w:r>
    </w:p>
    <w:p w14:paraId="3F5A5B0F" w14:textId="77777777" w:rsidR="00E331F2" w:rsidRPr="001335BB" w:rsidRDefault="00E331F2" w:rsidP="00BF223F">
      <w:pPr>
        <w:pStyle w:val="Numberbullet0"/>
        <w:numPr>
          <w:ilvl w:val="0"/>
          <w:numId w:val="48"/>
        </w:numPr>
      </w:pPr>
      <w:r w:rsidRPr="001335BB">
        <w:t>Morfini M, Cinotti S, Bellatreccia A, Paladino E, Gringeri A, Mannucci M and</w:t>
      </w:r>
      <w:r>
        <w:t xml:space="preserve"> </w:t>
      </w:r>
      <w:r w:rsidRPr="001335BB">
        <w:t xml:space="preserve">the ReFacto-AICE Study Group. </w:t>
      </w:r>
      <w:proofErr w:type="gramStart"/>
      <w:r w:rsidRPr="001335BB">
        <w:t>A multicentre pharmacokinetic study of the B</w:t>
      </w:r>
      <w:r>
        <w:t xml:space="preserve"> </w:t>
      </w:r>
      <w:r w:rsidRPr="001335BB">
        <w:t>domain-deleted recombinant factor VIII concentrate</w:t>
      </w:r>
      <w:proofErr w:type="gramEnd"/>
      <w:r w:rsidRPr="001335BB">
        <w:t xml:space="preserve"> using different assays and</w:t>
      </w:r>
      <w:r>
        <w:t xml:space="preserve"> </w:t>
      </w:r>
      <w:r w:rsidRPr="001335BB">
        <w:t>standards. J Thromb Haemost 2003</w:t>
      </w:r>
      <w:proofErr w:type="gramStart"/>
      <w:r w:rsidRPr="001335BB">
        <w:t>;1:2283</w:t>
      </w:r>
      <w:proofErr w:type="gramEnd"/>
      <w:r w:rsidRPr="001335BB">
        <w:t>-9.</w:t>
      </w:r>
    </w:p>
    <w:p w14:paraId="08641808" w14:textId="77777777" w:rsidR="00E331F2" w:rsidRPr="001335BB" w:rsidRDefault="00E331F2" w:rsidP="00BF223F">
      <w:pPr>
        <w:pStyle w:val="Numberbullet0"/>
        <w:numPr>
          <w:ilvl w:val="0"/>
          <w:numId w:val="48"/>
        </w:numPr>
      </w:pPr>
      <w:r w:rsidRPr="007A516D">
        <w:t xml:space="preserve">Lippi G, Franchini M, Favaloro EJ. </w:t>
      </w:r>
      <w:r w:rsidRPr="001335BB">
        <w:t>One-stage clotting versus chromogenic assays</w:t>
      </w:r>
      <w:r>
        <w:t xml:space="preserve"> </w:t>
      </w:r>
      <w:r w:rsidRPr="001335BB">
        <w:t>for assessing recombinant factor VIII: two faces of a haemostasis coin. Blood</w:t>
      </w:r>
      <w:r>
        <w:t xml:space="preserve"> </w:t>
      </w:r>
      <w:r w:rsidRPr="001335BB">
        <w:t>Coagul Fibrinolysis 2009</w:t>
      </w:r>
      <w:proofErr w:type="gramStart"/>
      <w:r w:rsidRPr="001335BB">
        <w:t>;20:1</w:t>
      </w:r>
      <w:proofErr w:type="gramEnd"/>
      <w:r w:rsidRPr="001335BB">
        <w:t>-3.</w:t>
      </w:r>
    </w:p>
    <w:p w14:paraId="652D4549" w14:textId="77777777" w:rsidR="000F04AF" w:rsidRDefault="00E331F2" w:rsidP="00BF223F">
      <w:pPr>
        <w:pStyle w:val="Numberbullet0"/>
        <w:numPr>
          <w:ilvl w:val="0"/>
          <w:numId w:val="48"/>
        </w:numPr>
      </w:pPr>
      <w:r w:rsidRPr="001335BB">
        <w:t>Bjorkman S et al. Comparative pharmacokinetics of plasma and albumin-free recombinant factor VIII in children and adults: the influence of blood sampling schedule on observed age-related differences and implications for dose tailoring. Journal of Thrombosis and Haemostasis 2010</w:t>
      </w:r>
      <w:proofErr w:type="gramStart"/>
      <w:r w:rsidRPr="001335BB">
        <w:t>;8:730</w:t>
      </w:r>
      <w:proofErr w:type="gramEnd"/>
      <w:r w:rsidRPr="001335BB">
        <w:t>-736.</w:t>
      </w:r>
    </w:p>
    <w:p w14:paraId="557304D9" w14:textId="77777777" w:rsidR="000F04AF" w:rsidRDefault="00E331F2" w:rsidP="00BF223F">
      <w:pPr>
        <w:pStyle w:val="Numberbullet0"/>
        <w:numPr>
          <w:ilvl w:val="0"/>
          <w:numId w:val="48"/>
        </w:numPr>
      </w:pPr>
      <w:r w:rsidRPr="001335BB">
        <w:t xml:space="preserve">Jovanovic BD and Levy PS. A look at </w:t>
      </w:r>
      <w:r>
        <w:t xml:space="preserve">the rule of three. The American </w:t>
      </w:r>
      <w:r w:rsidRPr="001335BB">
        <w:t>Statistician 1997</w:t>
      </w:r>
      <w:proofErr w:type="gramStart"/>
      <w:r w:rsidRPr="001335BB">
        <w:t>;51</w:t>
      </w:r>
      <w:proofErr w:type="gramEnd"/>
      <w:r w:rsidRPr="001335BB">
        <w:t>(2):137-139.</w:t>
      </w:r>
    </w:p>
    <w:p w14:paraId="34229ECB" w14:textId="77777777" w:rsidR="000F04AF" w:rsidRDefault="00E331F2" w:rsidP="00BF223F">
      <w:pPr>
        <w:pStyle w:val="Numberbullet0"/>
        <w:numPr>
          <w:ilvl w:val="0"/>
          <w:numId w:val="48"/>
        </w:numPr>
      </w:pPr>
      <w:r w:rsidRPr="001335BB">
        <w:t>Jacobson RM et al. Adverse events and vaccinations - the lack of power and predictability of infrequent events in pre-licensure study. Vaccine 2001; 19: 2428-2433.</w:t>
      </w:r>
    </w:p>
    <w:p w14:paraId="4638810B" w14:textId="388DD49F" w:rsidR="00E331F2" w:rsidRPr="001335BB" w:rsidRDefault="00E331F2" w:rsidP="00BF223F">
      <w:pPr>
        <w:pStyle w:val="Numberbullet0"/>
        <w:numPr>
          <w:ilvl w:val="0"/>
          <w:numId w:val="48"/>
        </w:numPr>
      </w:pPr>
      <w:r w:rsidRPr="001335BB">
        <w:t>Gouw SC, van den Berg HM: The Multifactorial Etiology of Inhibitor Development in</w:t>
      </w:r>
      <w:r>
        <w:t xml:space="preserve"> </w:t>
      </w:r>
      <w:r w:rsidRPr="001335BB">
        <w:t>Hemophilia: Genetics and Environment. Seminars in Thrombosis and Hemostasis</w:t>
      </w:r>
      <w:r>
        <w:t xml:space="preserve"> </w:t>
      </w:r>
      <w:r w:rsidRPr="001335BB">
        <w:t>2009</w:t>
      </w:r>
      <w:proofErr w:type="gramStart"/>
      <w:r w:rsidRPr="001335BB">
        <w:t>;35:723</w:t>
      </w:r>
      <w:proofErr w:type="gramEnd"/>
      <w:r w:rsidRPr="001335BB">
        <w:t>-734.</w:t>
      </w:r>
    </w:p>
    <w:p w14:paraId="00BB5B1E" w14:textId="77777777" w:rsidR="00E331F2" w:rsidRDefault="00E331F2" w:rsidP="001B6BBC">
      <w:pPr>
        <w:pStyle w:val="Numberbullet0"/>
        <w:numPr>
          <w:ilvl w:val="0"/>
          <w:numId w:val="48"/>
        </w:numPr>
        <w:ind w:right="-330"/>
      </w:pPr>
      <w:r w:rsidRPr="001335BB">
        <w:t>Hilliard P et al. Hemophilia joint health score reliability study. Haemophilia 2006</w:t>
      </w:r>
      <w:proofErr w:type="gramStart"/>
      <w:r w:rsidRPr="001335BB">
        <w:t>;12:518</w:t>
      </w:r>
      <w:proofErr w:type="gramEnd"/>
      <w:r w:rsidRPr="001335BB">
        <w:t>-25.</w:t>
      </w:r>
    </w:p>
    <w:p w14:paraId="121B936B" w14:textId="77777777" w:rsidR="001B6BBC" w:rsidRPr="001335BB" w:rsidRDefault="001B6BBC" w:rsidP="001B6BBC"/>
    <w:p w14:paraId="2EA33264" w14:textId="77777777" w:rsidR="003D1E62" w:rsidRPr="001D043B" w:rsidRDefault="003D1E62" w:rsidP="002666AC">
      <w:pPr>
        <w:sectPr w:rsidR="003D1E62" w:rsidRPr="001D043B" w:rsidSect="008D770F">
          <w:headerReference w:type="even" r:id="rId43"/>
          <w:headerReference w:type="default" r:id="rId44"/>
          <w:headerReference w:type="first" r:id="rId45"/>
          <w:footerReference w:type="first" r:id="rId46"/>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AE4129D" w14:textId="77777777" w:rsidTr="00AE1580">
        <w:trPr>
          <w:trHeight w:hRule="exact" w:val="564"/>
        </w:trPr>
        <w:tc>
          <w:tcPr>
            <w:tcW w:w="9175" w:type="dxa"/>
          </w:tcPr>
          <w:p w14:paraId="45D0EB6A" w14:textId="77777777" w:rsidR="00B3567E" w:rsidRPr="00487162" w:rsidRDefault="00B3567E" w:rsidP="00AE1580">
            <w:pPr>
              <w:pStyle w:val="TGASignoff"/>
            </w:pPr>
            <w:r w:rsidRPr="00487162">
              <w:lastRenderedPageBreak/>
              <w:t>Therapeutic Goods Administration</w:t>
            </w:r>
          </w:p>
        </w:tc>
      </w:tr>
      <w:tr w:rsidR="00B3567E" w:rsidRPr="001865C6" w14:paraId="68A396F8" w14:textId="77777777" w:rsidTr="00AE1580">
        <w:trPr>
          <w:trHeight w:val="1221"/>
        </w:trPr>
        <w:tc>
          <w:tcPr>
            <w:tcW w:w="9175" w:type="dxa"/>
            <w:tcMar>
              <w:top w:w="28" w:type="dxa"/>
            </w:tcMar>
          </w:tcPr>
          <w:p w14:paraId="1AAB161C" w14:textId="77777777" w:rsidR="00B3567E" w:rsidRPr="00487162" w:rsidRDefault="00B3567E" w:rsidP="00AE1580">
            <w:pPr>
              <w:pStyle w:val="Address"/>
            </w:pPr>
            <w:r w:rsidRPr="00487162">
              <w:t>PO Box 100 Woden ACT 2606 Australia</w:t>
            </w:r>
          </w:p>
          <w:p w14:paraId="307BFA6D" w14:textId="77777777" w:rsidR="00B3567E" w:rsidRPr="003713B1" w:rsidRDefault="00B3567E" w:rsidP="00AE1580">
            <w:pPr>
              <w:pStyle w:val="Address"/>
            </w:pPr>
            <w:r w:rsidRPr="003713B1">
              <w:t xml:space="preserve">Email: </w:t>
            </w:r>
            <w:hyperlink r:id="rId47" w:history="1">
              <w:r w:rsidRPr="003713B1">
                <w:rPr>
                  <w:rStyle w:val="Hyperlink"/>
                </w:rPr>
                <w:t>info@tga.gov.au</w:t>
              </w:r>
            </w:hyperlink>
            <w:r w:rsidRPr="003713B1">
              <w:t xml:space="preserve">  Phone: 1800 020 653  Fax: 02 6232 8605</w:t>
            </w:r>
          </w:p>
          <w:p w14:paraId="1F4301AA" w14:textId="77777777" w:rsidR="00B3567E" w:rsidRPr="003713B1" w:rsidRDefault="007A6386" w:rsidP="00AE1580">
            <w:pPr>
              <w:pStyle w:val="Address"/>
              <w:spacing w:line="260" w:lineRule="atLeast"/>
              <w:rPr>
                <w:b/>
                <w:color w:val="0000FF"/>
                <w:u w:val="single"/>
              </w:rPr>
            </w:pPr>
            <w:hyperlink r:id="rId48" w:history="1">
              <w:r w:rsidR="00B3567E" w:rsidRPr="003713B1">
                <w:rPr>
                  <w:rStyle w:val="Hyperlink"/>
                  <w:b/>
                </w:rPr>
                <w:t>http://www.tga.gov.au</w:t>
              </w:r>
            </w:hyperlink>
          </w:p>
        </w:tc>
      </w:tr>
    </w:tbl>
    <w:p w14:paraId="66E39B7B" w14:textId="77777777" w:rsidR="00774E1D" w:rsidRPr="003713B1" w:rsidRDefault="00774E1D" w:rsidP="008A5E0B"/>
    <w:sectPr w:rsidR="00774E1D" w:rsidRPr="003713B1" w:rsidSect="00B3567E">
      <w:headerReference w:type="even" r:id="rId49"/>
      <w:headerReference w:type="default" r:id="rId50"/>
      <w:footerReference w:type="default" r:id="rId51"/>
      <w:headerReference w:type="first" r:id="rId52"/>
      <w:footerReference w:type="first" r:id="rId53"/>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2F2FD1" w15:done="0"/>
  <w15:commentEx w15:paraId="112441EA" w15:done="0"/>
  <w15:commentEx w15:paraId="3B4A4EBA" w15:done="0"/>
  <w15:commentEx w15:paraId="717DAB87" w15:done="0"/>
  <w15:commentEx w15:paraId="7D2A4A48" w15:done="0"/>
  <w15:commentEx w15:paraId="7275C7E9" w15:done="0"/>
  <w15:commentEx w15:paraId="609BF16C" w15:done="0"/>
  <w15:commentEx w15:paraId="5989AC7A" w15:done="0"/>
  <w15:commentEx w15:paraId="118D31A0" w15:done="0"/>
  <w15:commentEx w15:paraId="334D8B66" w15:done="0"/>
  <w15:commentEx w15:paraId="68B75E26" w15:done="0"/>
  <w15:commentEx w15:paraId="02E6AE9A" w15:done="0"/>
  <w15:commentEx w15:paraId="06562963" w15:done="0"/>
  <w15:commentEx w15:paraId="1DAE87E9" w15:done="0"/>
  <w15:commentEx w15:paraId="4BA0C88D" w15:done="0"/>
  <w15:commentEx w15:paraId="5158BE4F" w15:done="0"/>
  <w15:commentEx w15:paraId="5489BE54" w15:done="0"/>
  <w15:commentEx w15:paraId="4357905B" w15:done="0"/>
  <w15:commentEx w15:paraId="1149C5DC" w15:done="0"/>
  <w15:commentEx w15:paraId="0223B551" w15:done="0"/>
  <w15:commentEx w15:paraId="2320B3E8" w15:done="0"/>
  <w15:commentEx w15:paraId="56383162" w15:done="0"/>
  <w15:commentEx w15:paraId="44CB59BD" w15:done="0"/>
  <w15:commentEx w15:paraId="62DA314C" w15:done="0"/>
  <w15:commentEx w15:paraId="4EF99CCA" w15:done="0"/>
  <w15:commentEx w15:paraId="25EEFCBB" w15:done="0"/>
  <w15:commentEx w15:paraId="5C625C30" w15:done="0"/>
  <w15:commentEx w15:paraId="36305014" w15:done="0"/>
  <w15:commentEx w15:paraId="6E052E53" w15:done="0"/>
  <w15:commentEx w15:paraId="57CF0888" w15:done="0"/>
  <w15:commentEx w15:paraId="2A3A18B6" w15:done="0"/>
  <w15:commentEx w15:paraId="11D2CC92" w15:done="0"/>
  <w15:commentEx w15:paraId="5EFEB755" w15:done="0"/>
  <w15:commentEx w15:paraId="552C2C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84426" w14:textId="77777777" w:rsidR="006963B6" w:rsidRDefault="006963B6" w:rsidP="00C40A36">
      <w:pPr>
        <w:spacing w:after="0"/>
      </w:pPr>
      <w:r>
        <w:separator/>
      </w:r>
    </w:p>
  </w:endnote>
  <w:endnote w:type="continuationSeparator" w:id="0">
    <w:p w14:paraId="65E90B40" w14:textId="77777777" w:rsidR="006963B6" w:rsidRDefault="006963B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ø÷◊">
    <w:altName w:val="Cambria"/>
    <w:panose1 w:val="00000000000000000000"/>
    <w:charset w:val="4D"/>
    <w:family w:val="auto"/>
    <w:notTrueType/>
    <w:pitch w:val="default"/>
    <w:sig w:usb0="00000003" w:usb1="00000000" w:usb2="00000000" w:usb3="00000000" w:csb0="00000001" w:csb1="00000000"/>
  </w:font>
  <w:font w:name="Ä‹Ùøf€">
    <w:altName w:val="Cambria"/>
    <w:panose1 w:val="00000000000000000000"/>
    <w:charset w:val="4D"/>
    <w:family w:val="auto"/>
    <w:notTrueType/>
    <w:pitch w:val="default"/>
    <w:sig w:usb0="00000003" w:usb1="00000000" w:usb2="00000000" w:usb3="00000000" w:csb0="00000001" w:csb1="00000000"/>
  </w:font>
  <w:font w:name="œÙøf€">
    <w:altName w:val="Cambria"/>
    <w:panose1 w:val="00000000000000000000"/>
    <w:charset w:val="4D"/>
    <w:family w:val="auto"/>
    <w:notTrueType/>
    <w:pitch w:val="default"/>
    <w:sig w:usb0="00000003" w:usb1="00000000" w:usb2="00000000" w:usb3="00000000" w:csb0="00000001" w:csb1="00000000"/>
  </w:font>
  <w:font w:name="Ä¨˙ø¶’">
    <w:altName w:val="Cambria"/>
    <w:panose1 w:val="00000000000000000000"/>
    <w:charset w:val="4D"/>
    <w:family w:val="auto"/>
    <w:notTrueType/>
    <w:pitch w:val="default"/>
    <w:sig w:usb0="00000003" w:usb1="00000000" w:usb2="00000000" w:usb3="00000000" w:csb0="00000001" w:csb1="00000000"/>
  </w:font>
  <w:font w:name="ÄÂ'FAøF÷">
    <w:altName w:val="Cambria"/>
    <w:panose1 w:val="00000000000000000000"/>
    <w:charset w:val="4D"/>
    <w:family w:val="auto"/>
    <w:notTrueType/>
    <w:pitch w:val="default"/>
    <w:sig w:usb0="00000003" w:usb1="00000000" w:usb2="00000000" w:usb3="00000000" w:csb0="00000001" w:csb1="00000000"/>
  </w:font>
  <w:font w:name="ÄÏ˚øf‘">
    <w:altName w:val="Cambria"/>
    <w:panose1 w:val="00000000000000000000"/>
    <w:charset w:val="4D"/>
    <w:family w:val="auto"/>
    <w:notTrueType/>
    <w:pitch w:val="default"/>
    <w:sig w:usb0="00000003" w:usb1="00000000" w:usb2="00000000" w:usb3="00000000" w:csb0="00000001" w:csb1="00000000"/>
  </w:font>
  <w:font w:name="ÄÃıøÜ⁄">
    <w:altName w:val="Cambria"/>
    <w:panose1 w:val="00000000000000000000"/>
    <w:charset w:val="4D"/>
    <w:family w:val="auto"/>
    <w:notTrueType/>
    <w:pitch w:val="default"/>
    <w:sig w:usb0="00000003" w:usb1="00000000" w:usb2="00000000" w:usb3="00000000" w:csb0="00000001" w:csb1="00000000"/>
  </w:font>
  <w:font w:name="ÄL˘ø÷÷">
    <w:altName w:val="Cambria"/>
    <w:panose1 w:val="00000000000000000000"/>
    <w:charset w:val="4D"/>
    <w:family w:val="auto"/>
    <w:notTrueType/>
    <w:pitch w:val="default"/>
    <w:sig w:usb0="00000003" w:usb1="00000000" w:usb2="00000000" w:usb3="00000000" w:csb0="00000001" w:csb1="00000000"/>
  </w:font>
  <w:font w:name="/˙øÖ'D6">
    <w:altName w:val="Cambria"/>
    <w:panose1 w:val="00000000000000000000"/>
    <w:charset w:val="4D"/>
    <w:family w:val="auto"/>
    <w:notTrueType/>
    <w:pitch w:val="default"/>
    <w:sig w:usb0="00000003" w:usb1="00000000" w:usb2="00000000" w:usb3="00000000" w:csb0="00000001" w:csb1="00000000"/>
  </w:font>
  <w:font w:name="ü˙ø¶’">
    <w:altName w:val="Cambria"/>
    <w:panose1 w:val="00000000000000000000"/>
    <w:charset w:val="4D"/>
    <w:family w:val="auto"/>
    <w:notTrueType/>
    <w:pitch w:val="default"/>
    <w:sig w:usb0="00000003" w:usb1="00000000" w:usb2="00000000" w:usb3="00000000" w:csb0="00000001" w:csb1="00000000"/>
  </w:font>
  <w:font w:name="`\˘øˆ÷">
    <w:altName w:val="Cambria"/>
    <w:panose1 w:val="00000000000000000000"/>
    <w:charset w:val="4D"/>
    <w:family w:val="auto"/>
    <w:notTrueType/>
    <w:pitch w:val="default"/>
    <w:sig w:usb0="00000003" w:usb1="00000000" w:usb2="00000000" w:usb3="00000000" w:csb0="00000001" w:csb1="00000000"/>
  </w:font>
  <w:font w:name="ÄÏˆøVŸ">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ÄåÛøñ‹">
    <w:altName w:val="Cambria"/>
    <w:panose1 w:val="00000000000000000000"/>
    <w:charset w:val="4D"/>
    <w:family w:val="auto"/>
    <w:notTrueType/>
    <w:pitch w:val="default"/>
    <w:sig w:usb0="00000003" w:usb1="00000000" w:usb2="00000000" w:usb3="00000000" w:csb0="00000001" w:csb1="00000000"/>
  </w:font>
  <w:font w:name="Ûøñ‹">
    <w:altName w:val="Cambria"/>
    <w:panose1 w:val="00000000000000000000"/>
    <w:charset w:val="4D"/>
    <w:family w:val="auto"/>
    <w:notTrueType/>
    <w:pitch w:val="default"/>
    <w:sig w:usb0="00000003" w:usb1="00000000" w:usb2="00000000" w:usb3="00000000" w:csb0="00000001" w:csb1="00000000"/>
  </w:font>
  <w:font w:name="ÄÂ'FFø6—">
    <w:altName w:val="Cambria"/>
    <w:panose1 w:val="00000000000000000000"/>
    <w:charset w:val="4D"/>
    <w:family w:val="auto"/>
    <w:notTrueType/>
    <w:pitch w:val="default"/>
    <w:sig w:usb0="00000003" w:usb1="00000000" w:usb2="00000000" w:usb3="00000000" w:csb0="00000001" w:csb1="00000000"/>
  </w:font>
  <w:font w:name="0">
    <w:altName w:val="Cambria"/>
    <w:panose1 w:val="00000000000000000000"/>
    <w:charset w:val="4D"/>
    <w:family w:val="auto"/>
    <w:notTrueType/>
    <w:pitch w:val="default"/>
    <w:sig w:usb0="00000003" w:usb1="00000000" w:usb2="00000000" w:usb3="00000000" w:csb0="00000001" w:csb1="00000000"/>
  </w:font>
  <w:font w:name="‡_˘øª6‚">
    <w:altName w:val="Cambria"/>
    <w:panose1 w:val="00000000000000000000"/>
    <w:charset w:val="4D"/>
    <w:family w:val="auto"/>
    <w:notTrueType/>
    <w:pitch w:val="default"/>
    <w:sig w:usb0="00000003" w:usb1="00000000" w:usb2="00000000" w:usb3="00000000" w:csb0="00000001" w:csb1="00000000"/>
  </w:font>
  <w:font w:name="‡oˆøª&amp;Â">
    <w:altName w:val="Cambria"/>
    <w:panose1 w:val="00000000000000000000"/>
    <w:charset w:val="4D"/>
    <w:family w:val="auto"/>
    <w:notTrueType/>
    <w:pitch w:val="default"/>
    <w:sig w:usb0="00000003" w:usb1="00000000" w:usb2="00000000" w:usb3="00000000" w:csb0="00000001" w:csb1="00000000"/>
  </w:font>
  <w:font w:name="Ω&amp;Ìu'1">
    <w:altName w:val="Cambria"/>
    <w:panose1 w:val="00000000000000000000"/>
    <w:charset w:val="4D"/>
    <w:family w:val="auto"/>
    <w:notTrueType/>
    <w:pitch w:val="default"/>
    <w:sig w:usb0="00000003" w:usb1="00000000" w:usb2="00000000" w:usb3="00000000" w:csb0="00000001" w:csb1="00000000"/>
  </w:font>
  <w:font w:name="‡O˙øªV·">
    <w:altName w:val="Cambria"/>
    <w:panose1 w:val="00000000000000000000"/>
    <w:charset w:val="4D"/>
    <w:family w:val="auto"/>
    <w:notTrueType/>
    <w:pitch w:val="default"/>
    <w:sig w:usb0="00000003" w:usb1="00000000" w:usb2="00000000" w:usb3="00000000" w:csb0="00000001" w:csb1="00000000"/>
  </w:font>
  <w:font w:name="◊Ùøf€">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1301"/>
    </w:tblGrid>
    <w:tr w:rsidR="006963B6" w:rsidRPr="00487162" w14:paraId="0B8828AD" w14:textId="77777777" w:rsidTr="00823902">
      <w:trPr>
        <w:trHeight w:val="360"/>
      </w:trPr>
      <w:tc>
        <w:tcPr>
          <w:tcW w:w="8080" w:type="dxa"/>
          <w:tcMar>
            <w:top w:w="142" w:type="dxa"/>
            <w:bottom w:w="0" w:type="dxa"/>
          </w:tcMar>
        </w:tcPr>
        <w:p w14:paraId="6549D0B1" w14:textId="77777777" w:rsidR="006963B6" w:rsidRPr="00487162" w:rsidRDefault="006963B6" w:rsidP="00AE1580">
          <w:pPr>
            <w:pStyle w:val="Footer"/>
          </w:pPr>
          <w:r>
            <w:t>Submission</w:t>
          </w:r>
          <w:r w:rsidRPr="00487162">
            <w:t xml:space="preserve"> PM-20</w:t>
          </w:r>
          <w:r>
            <w:t>13</w:t>
          </w:r>
          <w:r w:rsidRPr="00487162">
            <w:t>-</w:t>
          </w:r>
          <w:r>
            <w:t>02226-1-1 Extract from the Clinical Evaluation Report for Nuwiq</w:t>
          </w:r>
        </w:p>
      </w:tc>
      <w:tc>
        <w:tcPr>
          <w:tcW w:w="1301" w:type="dxa"/>
          <w:tcMar>
            <w:top w:w="142" w:type="dxa"/>
            <w:bottom w:w="0" w:type="dxa"/>
          </w:tcMar>
        </w:tcPr>
        <w:p w14:paraId="5BD8141B" w14:textId="77777777" w:rsidR="006963B6" w:rsidRPr="00981D66" w:rsidRDefault="006963B6" w:rsidP="009026F4">
          <w:pPr>
            <w:pStyle w:val="Footer"/>
            <w:ind w:left="60" w:hanging="60"/>
          </w:pPr>
          <w:r w:rsidRPr="00981D66">
            <w:t xml:space="preserve">Page </w:t>
          </w:r>
          <w:r>
            <w:fldChar w:fldCharType="begin"/>
          </w:r>
          <w:r>
            <w:instrText xml:space="preserve"> PAGE  \* Arabic  \* MERGEFORMAT </w:instrText>
          </w:r>
          <w:r>
            <w:fldChar w:fldCharType="separate"/>
          </w:r>
          <w:r w:rsidR="001B6BBC">
            <w:rPr>
              <w:noProof/>
            </w:rPr>
            <w:t>3</w:t>
          </w:r>
          <w:r>
            <w:rPr>
              <w:noProof/>
            </w:rPr>
            <w:fldChar w:fldCharType="end"/>
          </w:r>
          <w:r w:rsidRPr="00981D66">
            <w:t xml:space="preserve"> of </w:t>
          </w:r>
          <w:fldSimple w:instr=" NUMPAGES  \* Arabic  \* MERGEFORMAT ">
            <w:r w:rsidR="001B6BBC">
              <w:rPr>
                <w:noProof/>
              </w:rPr>
              <w:t>124</w:t>
            </w:r>
          </w:fldSimple>
        </w:p>
      </w:tc>
    </w:tr>
  </w:tbl>
  <w:p w14:paraId="018D38A9" w14:textId="77777777" w:rsidR="006963B6" w:rsidRDefault="006963B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963B6" w:rsidRPr="00487162" w14:paraId="0FD93F70" w14:textId="77777777" w:rsidTr="00E45619">
      <w:trPr>
        <w:trHeight w:val="269"/>
      </w:trPr>
      <w:tc>
        <w:tcPr>
          <w:tcW w:w="4519" w:type="dxa"/>
          <w:tcBorders>
            <w:top w:val="single" w:sz="4" w:space="0" w:color="auto"/>
          </w:tcBorders>
          <w:tcMar>
            <w:top w:w="142" w:type="dxa"/>
            <w:bottom w:w="0" w:type="dxa"/>
          </w:tcMar>
        </w:tcPr>
        <w:p w14:paraId="4A36A338" w14:textId="77777777" w:rsidR="006963B6" w:rsidRPr="00487162" w:rsidRDefault="006963B6" w:rsidP="00FE1DEE">
          <w:pPr>
            <w:pStyle w:val="Footer"/>
          </w:pPr>
          <w:r w:rsidRPr="00487162">
            <w:t>Document title, Part #, Section # - Section title</w:t>
          </w:r>
        </w:p>
        <w:p w14:paraId="2D207988" w14:textId="77777777" w:rsidR="006963B6" w:rsidRPr="00487162" w:rsidRDefault="006963B6" w:rsidP="00FE1DEE">
          <w:pPr>
            <w:pStyle w:val="Footer"/>
          </w:pPr>
          <w:r w:rsidRPr="00487162">
            <w:t>V1.0 October 2010</w:t>
          </w:r>
        </w:p>
      </w:tc>
      <w:tc>
        <w:tcPr>
          <w:tcW w:w="4342" w:type="dxa"/>
          <w:tcBorders>
            <w:top w:val="single" w:sz="4" w:space="0" w:color="auto"/>
          </w:tcBorders>
          <w:tcMar>
            <w:top w:w="142" w:type="dxa"/>
            <w:bottom w:w="0" w:type="dxa"/>
          </w:tcMar>
        </w:tcPr>
        <w:p w14:paraId="51E3163F" w14:textId="427469D3" w:rsidR="006963B6" w:rsidRPr="00487162" w:rsidRDefault="006963B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1C636948" w14:textId="77777777" w:rsidR="006963B6" w:rsidRDefault="00696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33216" w14:textId="77777777" w:rsidR="006963B6" w:rsidRDefault="006963B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963B6" w14:paraId="3EB0A51B" w14:textId="77777777" w:rsidTr="0010601F">
      <w:trPr>
        <w:trHeight w:val="108"/>
      </w:trPr>
      <w:tc>
        <w:tcPr>
          <w:tcW w:w="8875" w:type="dxa"/>
          <w:gridSpan w:val="2"/>
          <w:tcBorders>
            <w:bottom w:val="single" w:sz="4" w:space="0" w:color="auto"/>
          </w:tcBorders>
          <w:tcMar>
            <w:right w:w="284" w:type="dxa"/>
          </w:tcMar>
        </w:tcPr>
        <w:p w14:paraId="6F10612C" w14:textId="77777777" w:rsidR="006963B6" w:rsidRDefault="006963B6" w:rsidP="006E08B3">
          <w:pPr>
            <w:pStyle w:val="Heading3"/>
          </w:pPr>
          <w:r>
            <w:t>Copyright</w:t>
          </w:r>
        </w:p>
        <w:p w14:paraId="626CD0B1" w14:textId="77777777" w:rsidR="006963B6" w:rsidRDefault="006963B6" w:rsidP="006E08B3">
          <w:r>
            <w:rPr>
              <w:rFonts w:cs="Arial"/>
            </w:rPr>
            <w:t>©</w:t>
          </w:r>
          <w:r>
            <w:t xml:space="preserve"> Commonwealth of Australia [add year]</w:t>
          </w:r>
        </w:p>
        <w:p w14:paraId="038F02E0" w14:textId="77777777" w:rsidR="006963B6" w:rsidRDefault="006963B6" w:rsidP="006E08B3"/>
        <w:p w14:paraId="206E066C" w14:textId="77777777" w:rsidR="006963B6" w:rsidRDefault="006963B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7F915CE" w14:textId="77777777" w:rsidR="006963B6" w:rsidRDefault="006963B6" w:rsidP="006E08B3"/>
        <w:p w14:paraId="69C65EFE" w14:textId="77777777" w:rsidR="006963B6" w:rsidRDefault="006963B6" w:rsidP="006E08B3">
          <w:pPr>
            <w:pStyle w:val="Heading3"/>
          </w:pPr>
          <w:r>
            <w:t>Confidentiality</w:t>
          </w:r>
        </w:p>
        <w:p w14:paraId="7A372A56" w14:textId="77777777" w:rsidR="006963B6" w:rsidRDefault="006963B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1600CF2" w14:textId="77777777" w:rsidR="006963B6" w:rsidRDefault="006963B6" w:rsidP="006E08B3"/>
        <w:p w14:paraId="4CDD6260" w14:textId="77777777" w:rsidR="006963B6" w:rsidRDefault="006963B6" w:rsidP="006E08B3">
          <w:r>
            <w:t>For submission made by individuals, all personal details, other than your name, will be removed from your submission before it is published on the TGA’s Internet site.</w:t>
          </w:r>
        </w:p>
        <w:p w14:paraId="6413DB22" w14:textId="77777777" w:rsidR="006963B6" w:rsidRDefault="006963B6" w:rsidP="006E08B3"/>
        <w:p w14:paraId="68CA9485" w14:textId="77777777" w:rsidR="006963B6" w:rsidRDefault="006963B6" w:rsidP="006E08B3">
          <w:r>
            <w:t>In addition, a list of parties making submissions will be published. If you do not wish to be identified with your submission you must specifically request this in the space provided ib the submission coversheet.</w:t>
          </w:r>
        </w:p>
      </w:tc>
    </w:tr>
    <w:tr w:rsidR="006963B6" w14:paraId="4F12F93B" w14:textId="77777777" w:rsidTr="0010601F">
      <w:trPr>
        <w:trHeight w:val="417"/>
      </w:trPr>
      <w:tc>
        <w:tcPr>
          <w:tcW w:w="4519" w:type="dxa"/>
          <w:tcBorders>
            <w:top w:val="single" w:sz="4" w:space="0" w:color="auto"/>
          </w:tcBorders>
          <w:tcMar>
            <w:top w:w="142" w:type="dxa"/>
            <w:bottom w:w="0" w:type="dxa"/>
          </w:tcMar>
        </w:tcPr>
        <w:p w14:paraId="19BAE124" w14:textId="77777777" w:rsidR="006963B6" w:rsidRDefault="006963B6" w:rsidP="006E08B3">
          <w:r>
            <w:t>Document title, Part #, Section # - Section title</w:t>
          </w:r>
        </w:p>
        <w:p w14:paraId="315BDDDF" w14:textId="77777777" w:rsidR="006963B6" w:rsidRDefault="006963B6" w:rsidP="006E08B3">
          <w:r>
            <w:t>V1.0 October 2010</w:t>
          </w:r>
        </w:p>
      </w:tc>
      <w:tc>
        <w:tcPr>
          <w:tcW w:w="4356" w:type="dxa"/>
          <w:tcBorders>
            <w:top w:val="single" w:sz="4" w:space="0" w:color="auto"/>
          </w:tcBorders>
          <w:tcMar>
            <w:top w:w="142" w:type="dxa"/>
            <w:bottom w:w="0" w:type="dxa"/>
          </w:tcMar>
        </w:tcPr>
        <w:p w14:paraId="2C5B8BE7" w14:textId="7F15C08F" w:rsidR="006963B6" w:rsidRDefault="006963B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25F01DE2" w14:textId="77777777" w:rsidR="006963B6" w:rsidRDefault="00696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CD74D" w14:textId="77777777" w:rsidR="006963B6" w:rsidRDefault="006963B6" w:rsidP="00C40A36">
      <w:pPr>
        <w:spacing w:after="0"/>
      </w:pPr>
      <w:r>
        <w:separator/>
      </w:r>
    </w:p>
  </w:footnote>
  <w:footnote w:type="continuationSeparator" w:id="0">
    <w:p w14:paraId="57F63739" w14:textId="77777777" w:rsidR="006963B6" w:rsidRDefault="006963B6" w:rsidP="00C40A36">
      <w:pPr>
        <w:spacing w:after="0"/>
      </w:pPr>
      <w:r>
        <w:continuationSeparator/>
      </w:r>
    </w:p>
  </w:footnote>
  <w:footnote w:id="1">
    <w:p w14:paraId="75A18649" w14:textId="77777777" w:rsidR="006963B6" w:rsidRPr="00D33BC5" w:rsidRDefault="006963B6">
      <w:pPr>
        <w:pStyle w:val="FootnoteText"/>
        <w:rPr>
          <w:rFonts w:asciiTheme="minorHAnsi" w:hAnsiTheme="minorHAnsi"/>
          <w:sz w:val="18"/>
          <w:szCs w:val="18"/>
          <w:lang w:val="en-AU"/>
        </w:rPr>
      </w:pPr>
      <w:r w:rsidRPr="00617ACA">
        <w:rPr>
          <w:rStyle w:val="FootnoteReference"/>
          <w:rFonts w:asciiTheme="minorHAnsi" w:hAnsiTheme="minorHAnsi"/>
          <w:sz w:val="18"/>
          <w:szCs w:val="18"/>
        </w:rPr>
        <w:footnoteRef/>
      </w:r>
      <w:r w:rsidRPr="00617ACA">
        <w:rPr>
          <w:rFonts w:asciiTheme="minorHAnsi" w:hAnsiTheme="minorHAnsi"/>
          <w:sz w:val="18"/>
          <w:szCs w:val="18"/>
        </w:rPr>
        <w:t xml:space="preserve"> Age range 12-65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48325" w14:textId="77777777" w:rsidR="006963B6" w:rsidRDefault="006963B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1A935" w14:textId="77777777" w:rsidR="006963B6" w:rsidRDefault="006963B6">
    <w:pPr>
      <w:rPr>
        <w:noProof/>
        <w:lang w:eastAsia="en-AU"/>
      </w:rPr>
    </w:pPr>
    <w:r w:rsidRPr="002D545C">
      <w:rPr>
        <w:noProof/>
        <w:lang w:eastAsia="en-AU"/>
      </w:rPr>
      <w:drawing>
        <wp:anchor distT="0" distB="0" distL="114300" distR="114300" simplePos="0" relativeHeight="251659264" behindDoc="1" locked="0" layoutInCell="1" allowOverlap="1" wp14:anchorId="14139443" wp14:editId="4E2B7E8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4D534EE" w14:textId="77777777" w:rsidR="006963B6" w:rsidRDefault="006963B6"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D45BB" w14:textId="77777777" w:rsidR="006963B6" w:rsidRDefault="006963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557E" w14:textId="77777777" w:rsidR="006963B6" w:rsidRDefault="006963B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A62F8" w14:textId="77777777" w:rsidR="006963B6" w:rsidRDefault="006963B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41E16" w14:textId="77777777" w:rsidR="006963B6" w:rsidRDefault="006963B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78E1" w14:textId="77777777" w:rsidR="006963B6" w:rsidRDefault="006963B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D13EA" w14:textId="77777777" w:rsidR="006963B6" w:rsidRDefault="006963B6" w:rsidP="006E08B3">
    <w:r>
      <w:t>Therapeutic Goods Administration</w:t>
    </w:r>
  </w:p>
  <w:p w14:paraId="0CC1D346" w14:textId="77777777" w:rsidR="006963B6" w:rsidRDefault="006963B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32BD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AA22364"/>
    <w:lvl w:ilvl="0">
      <w:start w:val="1"/>
      <w:numFmt w:val="decimal"/>
      <w:lvlText w:val="%1."/>
      <w:lvlJc w:val="left"/>
      <w:pPr>
        <w:tabs>
          <w:tab w:val="num" w:pos="1492"/>
        </w:tabs>
        <w:ind w:left="1492" w:hanging="360"/>
      </w:pPr>
    </w:lvl>
  </w:abstractNum>
  <w:abstractNum w:abstractNumId="2">
    <w:nsid w:val="FFFFFF7D"/>
    <w:multiLevelType w:val="singleLevel"/>
    <w:tmpl w:val="95520604"/>
    <w:lvl w:ilvl="0">
      <w:start w:val="1"/>
      <w:numFmt w:val="decimal"/>
      <w:lvlText w:val="%1."/>
      <w:lvlJc w:val="left"/>
      <w:pPr>
        <w:tabs>
          <w:tab w:val="num" w:pos="1209"/>
        </w:tabs>
        <w:ind w:left="1209" w:hanging="360"/>
      </w:pPr>
    </w:lvl>
  </w:abstractNum>
  <w:abstractNum w:abstractNumId="3">
    <w:nsid w:val="FFFFFF7E"/>
    <w:multiLevelType w:val="singleLevel"/>
    <w:tmpl w:val="499C6F1C"/>
    <w:lvl w:ilvl="0">
      <w:start w:val="1"/>
      <w:numFmt w:val="decimal"/>
      <w:lvlText w:val="%1."/>
      <w:lvlJc w:val="left"/>
      <w:pPr>
        <w:tabs>
          <w:tab w:val="num" w:pos="926"/>
        </w:tabs>
        <w:ind w:left="926" w:hanging="360"/>
      </w:pPr>
    </w:lvl>
  </w:abstractNum>
  <w:abstractNum w:abstractNumId="4">
    <w:nsid w:val="FFFFFF7F"/>
    <w:multiLevelType w:val="singleLevel"/>
    <w:tmpl w:val="C5747818"/>
    <w:lvl w:ilvl="0">
      <w:start w:val="1"/>
      <w:numFmt w:val="decimal"/>
      <w:lvlText w:val="%1."/>
      <w:lvlJc w:val="left"/>
      <w:pPr>
        <w:tabs>
          <w:tab w:val="num" w:pos="643"/>
        </w:tabs>
        <w:ind w:left="643" w:hanging="360"/>
      </w:pPr>
    </w:lvl>
  </w:abstractNum>
  <w:abstractNum w:abstractNumId="5">
    <w:nsid w:val="FFFFFF80"/>
    <w:multiLevelType w:val="singleLevel"/>
    <w:tmpl w:val="7C5AF77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B987E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EF86A9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8EED1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1E0C42"/>
    <w:lvl w:ilvl="0">
      <w:start w:val="1"/>
      <w:numFmt w:val="decimal"/>
      <w:lvlText w:val="%1."/>
      <w:lvlJc w:val="left"/>
      <w:pPr>
        <w:tabs>
          <w:tab w:val="num" w:pos="360"/>
        </w:tabs>
        <w:ind w:left="360" w:hanging="360"/>
      </w:pPr>
    </w:lvl>
  </w:abstractNum>
  <w:abstractNum w:abstractNumId="10">
    <w:nsid w:val="FFFFFF89"/>
    <w:multiLevelType w:val="singleLevel"/>
    <w:tmpl w:val="36F0DF1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5">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1F7863A9"/>
    <w:multiLevelType w:val="hybridMultilevel"/>
    <w:tmpl w:val="B51EB31E"/>
    <w:lvl w:ilvl="0" w:tplc="678A8B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567478"/>
    <w:multiLevelType w:val="hybridMultilevel"/>
    <w:tmpl w:val="0E3A4584"/>
    <w:lvl w:ilvl="0" w:tplc="E0721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1011DE5"/>
    <w:multiLevelType w:val="hybridMultilevel"/>
    <w:tmpl w:val="89D4033A"/>
    <w:lvl w:ilvl="0" w:tplc="29A4DA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3BB30C9C"/>
    <w:multiLevelType w:val="hybridMultilevel"/>
    <w:tmpl w:val="B51EB31E"/>
    <w:lvl w:ilvl="0" w:tplc="678A8BF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4E969D0"/>
    <w:multiLevelType w:val="hybridMultilevel"/>
    <w:tmpl w:val="A93CD076"/>
    <w:lvl w:ilvl="0" w:tplc="A58803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1066B7"/>
    <w:multiLevelType w:val="hybridMultilevel"/>
    <w:tmpl w:val="9A345E86"/>
    <w:lvl w:ilvl="0" w:tplc="FAC88902">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76D7D"/>
    <w:multiLevelType w:val="multilevel"/>
    <w:tmpl w:val="67A20C4C"/>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993"/>
        </w:tabs>
        <w:ind w:left="993" w:hanging="851"/>
      </w:pPr>
      <w:rPr>
        <w:rFonts w:ascii="Arial" w:hAnsi="Arial" w:hint="default"/>
      </w:rPr>
    </w:lvl>
    <w:lvl w:ilvl="2">
      <w:start w:val="1"/>
      <w:numFmt w:val="decimal"/>
      <w:lvlText w:val="%1.%2.%3."/>
      <w:lvlJc w:val="left"/>
      <w:pPr>
        <w:tabs>
          <w:tab w:val="num" w:pos="1134"/>
        </w:tabs>
        <w:ind w:left="1134" w:hanging="1134"/>
      </w:pPr>
      <w:rPr>
        <w:rFonts w:ascii="Arial" w:hAnsi="Arial" w:hint="default"/>
        <w:color w:val="auto"/>
      </w:rPr>
    </w:lvl>
    <w:lvl w:ilvl="3">
      <w:start w:val="1"/>
      <w:numFmt w:val="decimal"/>
      <w:lvlText w:val="%1.%2.%3.%4."/>
      <w:lvlJc w:val="left"/>
      <w:pPr>
        <w:tabs>
          <w:tab w:val="num" w:pos="10491"/>
        </w:tabs>
        <w:ind w:left="10491" w:hanging="1418"/>
      </w:pPr>
      <w:rPr>
        <w:rFonts w:ascii="Arial" w:hAnsi="Arial" w:cs="Arial" w:hint="default"/>
      </w:rPr>
    </w:lvl>
    <w:lvl w:ilvl="4">
      <w:start w:val="1"/>
      <w:numFmt w:val="decimal"/>
      <w:lvlText w:val="%1.%2.%3.%4.%5."/>
      <w:lvlJc w:val="left"/>
      <w:pPr>
        <w:tabs>
          <w:tab w:val="num" w:pos="3686"/>
        </w:tabs>
        <w:ind w:left="3686"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8">
    <w:nsid w:val="5BB45E1F"/>
    <w:multiLevelType w:val="hybridMultilevel"/>
    <w:tmpl w:val="3CCA9EB6"/>
    <w:lvl w:ilvl="0" w:tplc="678A8B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C1390"/>
    <w:multiLevelType w:val="hybridMultilevel"/>
    <w:tmpl w:val="2B26C216"/>
    <w:lvl w:ilvl="0" w:tplc="5A88A43C">
      <w:start w:val="1"/>
      <w:numFmt w:val="lowerLetter"/>
      <w:lvlText w:val="%1)"/>
      <w:lvlJc w:val="left"/>
      <w:pPr>
        <w:ind w:left="1147" w:hanging="5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0C372C5"/>
    <w:multiLevelType w:val="hybridMultilevel"/>
    <w:tmpl w:val="285E2BE4"/>
    <w:lvl w:ilvl="0" w:tplc="7AF0B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3">
    <w:nsid w:val="676B30AF"/>
    <w:multiLevelType w:val="multilevel"/>
    <w:tmpl w:val="2A2402A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993"/>
        </w:tabs>
        <w:ind w:left="993" w:hanging="851"/>
      </w:pPr>
      <w:rPr>
        <w:rFonts w:ascii="Arial" w:hAnsi="Arial" w:hint="default"/>
      </w:rPr>
    </w:lvl>
    <w:lvl w:ilvl="2">
      <w:start w:val="1"/>
      <w:numFmt w:val="decimal"/>
      <w:lvlText w:val="%1.%2.%3."/>
      <w:lvlJc w:val="left"/>
      <w:pPr>
        <w:tabs>
          <w:tab w:val="num" w:pos="1134"/>
        </w:tabs>
        <w:ind w:left="1134" w:hanging="1134"/>
      </w:pPr>
      <w:rPr>
        <w:rFonts w:ascii="Arial" w:hAnsi="Arial" w:hint="default"/>
        <w:color w:val="auto"/>
      </w:rPr>
    </w:lvl>
    <w:lvl w:ilvl="3">
      <w:start w:val="1"/>
      <w:numFmt w:val="decimal"/>
      <w:lvlText w:val="%1.%2.%3.%4."/>
      <w:lvlJc w:val="left"/>
      <w:pPr>
        <w:tabs>
          <w:tab w:val="num" w:pos="1844"/>
        </w:tabs>
        <w:ind w:left="1844" w:hanging="1418"/>
      </w:pPr>
      <w:rPr>
        <w:rFonts w:ascii="Arial" w:hAnsi="Arial" w:cs="Arial" w:hint="default"/>
      </w:rPr>
    </w:lvl>
    <w:lvl w:ilvl="4">
      <w:start w:val="1"/>
      <w:numFmt w:val="decimal"/>
      <w:lvlText w:val="%1.%2.%3.%4.%5."/>
      <w:lvlJc w:val="left"/>
      <w:pPr>
        <w:tabs>
          <w:tab w:val="num" w:pos="3686"/>
        </w:tabs>
        <w:ind w:left="3686"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3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76515085"/>
    <w:multiLevelType w:val="hybridMultilevel"/>
    <w:tmpl w:val="180AA850"/>
    <w:lvl w:ilvl="0" w:tplc="63FC3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6"/>
  </w:num>
  <w:num w:numId="4">
    <w:abstractNumId w:val="1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710"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4"/>
  </w:num>
  <w:num w:numId="6">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9"/>
  </w:num>
  <w:num w:numId="8">
    <w:abstractNumId w:val="22"/>
  </w:num>
  <w:num w:numId="9">
    <w:abstractNumId w:val="35"/>
  </w:num>
  <w:num w:numId="10">
    <w:abstractNumId w:val="13"/>
  </w:num>
  <w:num w:numId="11">
    <w:abstractNumId w:val="32"/>
  </w:num>
  <w:num w:numId="12">
    <w:abstractNumId w:val="27"/>
  </w:num>
  <w:num w:numId="13">
    <w:abstractNumId w:val="15"/>
  </w:num>
  <w:num w:numId="14">
    <w:abstractNumId w:val="37"/>
  </w:num>
  <w:num w:numId="15">
    <w:abstractNumId w:val="25"/>
  </w:num>
  <w:num w:numId="16">
    <w:abstractNumId w:val="31"/>
  </w:num>
  <w:num w:numId="17">
    <w:abstractNumId w:val="21"/>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6"/>
  </w:num>
  <w:num w:numId="21">
    <w:abstractNumId w:val="23"/>
  </w:num>
  <w:num w:numId="22">
    <w:abstractNumId w:val="17"/>
  </w:num>
  <w:num w:numId="23">
    <w:abstractNumId w:val="28"/>
  </w:num>
  <w:num w:numId="24">
    <w:abstractNumId w:val="26"/>
  </w:num>
  <w:num w:numId="25">
    <w:abstractNumId w:val="30"/>
  </w:num>
  <w:num w:numId="26">
    <w:abstractNumId w:val="20"/>
  </w:num>
  <w:num w:numId="27">
    <w:abstractNumId w:val="18"/>
  </w:num>
  <w:num w:numId="28">
    <w:abstractNumId w:val="24"/>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 w:numId="40">
    <w:abstractNumId w:val="11"/>
  </w:num>
  <w:num w:numId="41">
    <w:abstractNumId w:val="12"/>
  </w:num>
  <w:num w:numId="42">
    <w:abstractNumId w:val="33"/>
  </w:num>
  <w:num w:numId="43">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0">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1">
    <w:abstractNumId w:val="34"/>
  </w:num>
  <w:num w:numId="52">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icant">
    <w15:presenceInfo w15:providerId="None" w15:userId="Applic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580"/>
    <w:rsid w:val="00000A64"/>
    <w:rsid w:val="00002031"/>
    <w:rsid w:val="00003645"/>
    <w:rsid w:val="00004734"/>
    <w:rsid w:val="00006B22"/>
    <w:rsid w:val="000121A6"/>
    <w:rsid w:val="0001276A"/>
    <w:rsid w:val="000204C3"/>
    <w:rsid w:val="000246AE"/>
    <w:rsid w:val="00025C67"/>
    <w:rsid w:val="00026DF3"/>
    <w:rsid w:val="00034D3C"/>
    <w:rsid w:val="00036886"/>
    <w:rsid w:val="00040ACB"/>
    <w:rsid w:val="00041836"/>
    <w:rsid w:val="00047465"/>
    <w:rsid w:val="00051AEE"/>
    <w:rsid w:val="00052E75"/>
    <w:rsid w:val="0005559E"/>
    <w:rsid w:val="000653C4"/>
    <w:rsid w:val="00066E9B"/>
    <w:rsid w:val="00077775"/>
    <w:rsid w:val="00085C08"/>
    <w:rsid w:val="00090471"/>
    <w:rsid w:val="000A1340"/>
    <w:rsid w:val="000A3AED"/>
    <w:rsid w:val="000A63AF"/>
    <w:rsid w:val="000B052C"/>
    <w:rsid w:val="000B3532"/>
    <w:rsid w:val="000B3997"/>
    <w:rsid w:val="000B3A75"/>
    <w:rsid w:val="000B74FC"/>
    <w:rsid w:val="000C0DD9"/>
    <w:rsid w:val="000C690F"/>
    <w:rsid w:val="000D1295"/>
    <w:rsid w:val="000D391B"/>
    <w:rsid w:val="000D392B"/>
    <w:rsid w:val="000D3D6D"/>
    <w:rsid w:val="000D4FC7"/>
    <w:rsid w:val="000D66B4"/>
    <w:rsid w:val="000E27F4"/>
    <w:rsid w:val="000E6210"/>
    <w:rsid w:val="000F02F9"/>
    <w:rsid w:val="000F04AF"/>
    <w:rsid w:val="000F29EB"/>
    <w:rsid w:val="000F4869"/>
    <w:rsid w:val="000F5B42"/>
    <w:rsid w:val="000F5EEF"/>
    <w:rsid w:val="000F6E6F"/>
    <w:rsid w:val="00100718"/>
    <w:rsid w:val="00104613"/>
    <w:rsid w:val="0010601F"/>
    <w:rsid w:val="0010788A"/>
    <w:rsid w:val="00107A31"/>
    <w:rsid w:val="00110EA5"/>
    <w:rsid w:val="00112F56"/>
    <w:rsid w:val="00116C67"/>
    <w:rsid w:val="0012376A"/>
    <w:rsid w:val="00125318"/>
    <w:rsid w:val="0012582C"/>
    <w:rsid w:val="001305A2"/>
    <w:rsid w:val="00130642"/>
    <w:rsid w:val="00133238"/>
    <w:rsid w:val="00133BA5"/>
    <w:rsid w:val="00136940"/>
    <w:rsid w:val="0014197B"/>
    <w:rsid w:val="001447CD"/>
    <w:rsid w:val="001516B1"/>
    <w:rsid w:val="001536C2"/>
    <w:rsid w:val="00154EBB"/>
    <w:rsid w:val="001558C4"/>
    <w:rsid w:val="00156316"/>
    <w:rsid w:val="00157186"/>
    <w:rsid w:val="00162B01"/>
    <w:rsid w:val="00165389"/>
    <w:rsid w:val="0017078F"/>
    <w:rsid w:val="001711E6"/>
    <w:rsid w:val="00175302"/>
    <w:rsid w:val="0017693F"/>
    <w:rsid w:val="0018110E"/>
    <w:rsid w:val="00181684"/>
    <w:rsid w:val="001843C6"/>
    <w:rsid w:val="001850E0"/>
    <w:rsid w:val="001865C6"/>
    <w:rsid w:val="00195AEE"/>
    <w:rsid w:val="001A2158"/>
    <w:rsid w:val="001A2E59"/>
    <w:rsid w:val="001A525F"/>
    <w:rsid w:val="001B09F9"/>
    <w:rsid w:val="001B5D98"/>
    <w:rsid w:val="001B6448"/>
    <w:rsid w:val="001B6BBC"/>
    <w:rsid w:val="001C0EA2"/>
    <w:rsid w:val="001C5045"/>
    <w:rsid w:val="001E07CF"/>
    <w:rsid w:val="001E287F"/>
    <w:rsid w:val="001E59F1"/>
    <w:rsid w:val="001E61D4"/>
    <w:rsid w:val="001F49EB"/>
    <w:rsid w:val="001F6CBA"/>
    <w:rsid w:val="00200D17"/>
    <w:rsid w:val="00201D4E"/>
    <w:rsid w:val="002070F6"/>
    <w:rsid w:val="002076C9"/>
    <w:rsid w:val="002118E9"/>
    <w:rsid w:val="00220B8A"/>
    <w:rsid w:val="002257F3"/>
    <w:rsid w:val="0022725C"/>
    <w:rsid w:val="00227B38"/>
    <w:rsid w:val="00232C15"/>
    <w:rsid w:val="00233456"/>
    <w:rsid w:val="002339A5"/>
    <w:rsid w:val="002456BF"/>
    <w:rsid w:val="00257848"/>
    <w:rsid w:val="00260D3D"/>
    <w:rsid w:val="00263CB4"/>
    <w:rsid w:val="0026486F"/>
    <w:rsid w:val="002651AD"/>
    <w:rsid w:val="00265937"/>
    <w:rsid w:val="002666AC"/>
    <w:rsid w:val="0027084A"/>
    <w:rsid w:val="002748EA"/>
    <w:rsid w:val="002772DA"/>
    <w:rsid w:val="00286434"/>
    <w:rsid w:val="00286C59"/>
    <w:rsid w:val="00292113"/>
    <w:rsid w:val="002942D1"/>
    <w:rsid w:val="0029501A"/>
    <w:rsid w:val="0029719D"/>
    <w:rsid w:val="002B1638"/>
    <w:rsid w:val="002B1A4F"/>
    <w:rsid w:val="002B6260"/>
    <w:rsid w:val="002C63ED"/>
    <w:rsid w:val="002C746B"/>
    <w:rsid w:val="002D36D4"/>
    <w:rsid w:val="002D545C"/>
    <w:rsid w:val="002D6161"/>
    <w:rsid w:val="002D7F33"/>
    <w:rsid w:val="002E0C3F"/>
    <w:rsid w:val="002E2571"/>
    <w:rsid w:val="002E4C9A"/>
    <w:rsid w:val="002E5697"/>
    <w:rsid w:val="002E6DC5"/>
    <w:rsid w:val="002E7834"/>
    <w:rsid w:val="002F11F8"/>
    <w:rsid w:val="002F30FA"/>
    <w:rsid w:val="002F3F56"/>
    <w:rsid w:val="002F44B5"/>
    <w:rsid w:val="003118EA"/>
    <w:rsid w:val="00311AC0"/>
    <w:rsid w:val="0031522F"/>
    <w:rsid w:val="003167D0"/>
    <w:rsid w:val="00317D04"/>
    <w:rsid w:val="0032342E"/>
    <w:rsid w:val="0032583B"/>
    <w:rsid w:val="00326EE9"/>
    <w:rsid w:val="00327883"/>
    <w:rsid w:val="00330E67"/>
    <w:rsid w:val="00334590"/>
    <w:rsid w:val="003348A7"/>
    <w:rsid w:val="00335504"/>
    <w:rsid w:val="003358FC"/>
    <w:rsid w:val="00345E12"/>
    <w:rsid w:val="00350BD7"/>
    <w:rsid w:val="003519F9"/>
    <w:rsid w:val="003521E8"/>
    <w:rsid w:val="00356189"/>
    <w:rsid w:val="003713B1"/>
    <w:rsid w:val="003728F3"/>
    <w:rsid w:val="0037496E"/>
    <w:rsid w:val="003757AB"/>
    <w:rsid w:val="0037623D"/>
    <w:rsid w:val="00377D9B"/>
    <w:rsid w:val="0038216C"/>
    <w:rsid w:val="00386150"/>
    <w:rsid w:val="003874CE"/>
    <w:rsid w:val="00390900"/>
    <w:rsid w:val="00396C92"/>
    <w:rsid w:val="003A3084"/>
    <w:rsid w:val="003A4B0E"/>
    <w:rsid w:val="003A7F6C"/>
    <w:rsid w:val="003B1113"/>
    <w:rsid w:val="003B34FA"/>
    <w:rsid w:val="003B4D60"/>
    <w:rsid w:val="003B51FD"/>
    <w:rsid w:val="003B634F"/>
    <w:rsid w:val="003B7E39"/>
    <w:rsid w:val="003C58DC"/>
    <w:rsid w:val="003C6EAB"/>
    <w:rsid w:val="003D0A3B"/>
    <w:rsid w:val="003D0D7A"/>
    <w:rsid w:val="003D1E62"/>
    <w:rsid w:val="003D2C5E"/>
    <w:rsid w:val="003E01B3"/>
    <w:rsid w:val="003E2486"/>
    <w:rsid w:val="003E3208"/>
    <w:rsid w:val="003E3B29"/>
    <w:rsid w:val="003E5BA5"/>
    <w:rsid w:val="003F0B04"/>
    <w:rsid w:val="003F1EEF"/>
    <w:rsid w:val="0040134E"/>
    <w:rsid w:val="004025E6"/>
    <w:rsid w:val="00402BBA"/>
    <w:rsid w:val="00415D59"/>
    <w:rsid w:val="00421F60"/>
    <w:rsid w:val="004223D4"/>
    <w:rsid w:val="0042707D"/>
    <w:rsid w:val="00430169"/>
    <w:rsid w:val="0043029F"/>
    <w:rsid w:val="00430CA7"/>
    <w:rsid w:val="0043797D"/>
    <w:rsid w:val="00440A2D"/>
    <w:rsid w:val="004514BC"/>
    <w:rsid w:val="004564A7"/>
    <w:rsid w:val="004617BF"/>
    <w:rsid w:val="00462307"/>
    <w:rsid w:val="00463658"/>
    <w:rsid w:val="004722CC"/>
    <w:rsid w:val="004752ED"/>
    <w:rsid w:val="004767C7"/>
    <w:rsid w:val="0048233D"/>
    <w:rsid w:val="0049064F"/>
    <w:rsid w:val="00490974"/>
    <w:rsid w:val="004936E4"/>
    <w:rsid w:val="00494E60"/>
    <w:rsid w:val="00497487"/>
    <w:rsid w:val="004A6DBB"/>
    <w:rsid w:val="004A7E13"/>
    <w:rsid w:val="004B7B76"/>
    <w:rsid w:val="004C2DCA"/>
    <w:rsid w:val="004D5C3B"/>
    <w:rsid w:val="004D7AC6"/>
    <w:rsid w:val="004E3820"/>
    <w:rsid w:val="004E5522"/>
    <w:rsid w:val="004F0F38"/>
    <w:rsid w:val="004F1275"/>
    <w:rsid w:val="004F4396"/>
    <w:rsid w:val="004F4AF5"/>
    <w:rsid w:val="00501921"/>
    <w:rsid w:val="00502E91"/>
    <w:rsid w:val="00517714"/>
    <w:rsid w:val="00523C88"/>
    <w:rsid w:val="0052520C"/>
    <w:rsid w:val="00527805"/>
    <w:rsid w:val="00530354"/>
    <w:rsid w:val="0053038F"/>
    <w:rsid w:val="00531C3C"/>
    <w:rsid w:val="00532D2C"/>
    <w:rsid w:val="00534562"/>
    <w:rsid w:val="0053625B"/>
    <w:rsid w:val="005434C6"/>
    <w:rsid w:val="00543B39"/>
    <w:rsid w:val="00550096"/>
    <w:rsid w:val="00551ECC"/>
    <w:rsid w:val="00557FF9"/>
    <w:rsid w:val="00576378"/>
    <w:rsid w:val="00577945"/>
    <w:rsid w:val="00577E38"/>
    <w:rsid w:val="00582987"/>
    <w:rsid w:val="00585322"/>
    <w:rsid w:val="005857C6"/>
    <w:rsid w:val="005865DF"/>
    <w:rsid w:val="00586CDA"/>
    <w:rsid w:val="00586F98"/>
    <w:rsid w:val="00592F6E"/>
    <w:rsid w:val="00593AD1"/>
    <w:rsid w:val="00596EBE"/>
    <w:rsid w:val="00597AE7"/>
    <w:rsid w:val="005A13C7"/>
    <w:rsid w:val="005A149D"/>
    <w:rsid w:val="005A5A4E"/>
    <w:rsid w:val="005A68B6"/>
    <w:rsid w:val="005C50B7"/>
    <w:rsid w:val="005C5570"/>
    <w:rsid w:val="005C79A4"/>
    <w:rsid w:val="005D0F4D"/>
    <w:rsid w:val="005D4FCD"/>
    <w:rsid w:val="005D5442"/>
    <w:rsid w:val="005D76C0"/>
    <w:rsid w:val="005E603D"/>
    <w:rsid w:val="00603F32"/>
    <w:rsid w:val="00607D26"/>
    <w:rsid w:val="00614C2F"/>
    <w:rsid w:val="00615557"/>
    <w:rsid w:val="0061747A"/>
    <w:rsid w:val="00617ACA"/>
    <w:rsid w:val="00620406"/>
    <w:rsid w:val="00632197"/>
    <w:rsid w:val="00632398"/>
    <w:rsid w:val="0063609C"/>
    <w:rsid w:val="00640FC3"/>
    <w:rsid w:val="00642020"/>
    <w:rsid w:val="00643EF8"/>
    <w:rsid w:val="00646206"/>
    <w:rsid w:val="00646F60"/>
    <w:rsid w:val="0065337B"/>
    <w:rsid w:val="0065419D"/>
    <w:rsid w:val="006604D8"/>
    <w:rsid w:val="00660F71"/>
    <w:rsid w:val="0066215C"/>
    <w:rsid w:val="00664A5B"/>
    <w:rsid w:val="00666C70"/>
    <w:rsid w:val="0066716D"/>
    <w:rsid w:val="006763D2"/>
    <w:rsid w:val="00680C08"/>
    <w:rsid w:val="006931B1"/>
    <w:rsid w:val="00693950"/>
    <w:rsid w:val="006963B6"/>
    <w:rsid w:val="00697978"/>
    <w:rsid w:val="006A15C0"/>
    <w:rsid w:val="006B0BBF"/>
    <w:rsid w:val="006B4EC0"/>
    <w:rsid w:val="006B718B"/>
    <w:rsid w:val="006C130C"/>
    <w:rsid w:val="006C3E2A"/>
    <w:rsid w:val="006C642F"/>
    <w:rsid w:val="006D03E5"/>
    <w:rsid w:val="006D2627"/>
    <w:rsid w:val="006D35A0"/>
    <w:rsid w:val="006D5D3E"/>
    <w:rsid w:val="006E08B3"/>
    <w:rsid w:val="006E4B25"/>
    <w:rsid w:val="006F09EA"/>
    <w:rsid w:val="006F17AC"/>
    <w:rsid w:val="006F1D37"/>
    <w:rsid w:val="006F26D0"/>
    <w:rsid w:val="006F2796"/>
    <w:rsid w:val="006F572E"/>
    <w:rsid w:val="007046D6"/>
    <w:rsid w:val="00705DB0"/>
    <w:rsid w:val="00706714"/>
    <w:rsid w:val="00712D0F"/>
    <w:rsid w:val="00720423"/>
    <w:rsid w:val="00722B57"/>
    <w:rsid w:val="0073332F"/>
    <w:rsid w:val="0074253D"/>
    <w:rsid w:val="0074429B"/>
    <w:rsid w:val="007513B4"/>
    <w:rsid w:val="007553C1"/>
    <w:rsid w:val="007615BC"/>
    <w:rsid w:val="007621A0"/>
    <w:rsid w:val="00762F05"/>
    <w:rsid w:val="007652FF"/>
    <w:rsid w:val="00765C9A"/>
    <w:rsid w:val="00770EF1"/>
    <w:rsid w:val="00773EF7"/>
    <w:rsid w:val="00774E1D"/>
    <w:rsid w:val="0077675A"/>
    <w:rsid w:val="007800B8"/>
    <w:rsid w:val="00780355"/>
    <w:rsid w:val="00784180"/>
    <w:rsid w:val="00784227"/>
    <w:rsid w:val="00785721"/>
    <w:rsid w:val="00787CB5"/>
    <w:rsid w:val="00793A59"/>
    <w:rsid w:val="00797387"/>
    <w:rsid w:val="007A098D"/>
    <w:rsid w:val="007A3913"/>
    <w:rsid w:val="007A516D"/>
    <w:rsid w:val="007A6386"/>
    <w:rsid w:val="007B6E9F"/>
    <w:rsid w:val="007B7EF4"/>
    <w:rsid w:val="007C1216"/>
    <w:rsid w:val="007C1AF7"/>
    <w:rsid w:val="007D323C"/>
    <w:rsid w:val="007E32FB"/>
    <w:rsid w:val="007E627D"/>
    <w:rsid w:val="007E6E27"/>
    <w:rsid w:val="007F1C81"/>
    <w:rsid w:val="007F6D87"/>
    <w:rsid w:val="008002C4"/>
    <w:rsid w:val="00802603"/>
    <w:rsid w:val="0080534C"/>
    <w:rsid w:val="00805D27"/>
    <w:rsid w:val="008158B0"/>
    <w:rsid w:val="00821776"/>
    <w:rsid w:val="00821CB6"/>
    <w:rsid w:val="00823902"/>
    <w:rsid w:val="008248FD"/>
    <w:rsid w:val="008321F5"/>
    <w:rsid w:val="00832369"/>
    <w:rsid w:val="00834660"/>
    <w:rsid w:val="008360E5"/>
    <w:rsid w:val="0083673C"/>
    <w:rsid w:val="00836BC2"/>
    <w:rsid w:val="00837836"/>
    <w:rsid w:val="008414A0"/>
    <w:rsid w:val="00842C3E"/>
    <w:rsid w:val="0085641B"/>
    <w:rsid w:val="00857136"/>
    <w:rsid w:val="00862AEB"/>
    <w:rsid w:val="008638D9"/>
    <w:rsid w:val="00886D15"/>
    <w:rsid w:val="00887DD8"/>
    <w:rsid w:val="00896018"/>
    <w:rsid w:val="008960DD"/>
    <w:rsid w:val="0089635C"/>
    <w:rsid w:val="008A2B9D"/>
    <w:rsid w:val="008A3D7B"/>
    <w:rsid w:val="008A40A4"/>
    <w:rsid w:val="008A49FE"/>
    <w:rsid w:val="008A5E0B"/>
    <w:rsid w:val="008A6C35"/>
    <w:rsid w:val="008A6D59"/>
    <w:rsid w:val="008B4B03"/>
    <w:rsid w:val="008B596F"/>
    <w:rsid w:val="008B5A3E"/>
    <w:rsid w:val="008C159F"/>
    <w:rsid w:val="008C1623"/>
    <w:rsid w:val="008C1850"/>
    <w:rsid w:val="008C51A9"/>
    <w:rsid w:val="008C7B84"/>
    <w:rsid w:val="008D770F"/>
    <w:rsid w:val="008E232C"/>
    <w:rsid w:val="008E7846"/>
    <w:rsid w:val="008F1CCC"/>
    <w:rsid w:val="008F22EC"/>
    <w:rsid w:val="008F2967"/>
    <w:rsid w:val="008F6943"/>
    <w:rsid w:val="009026F4"/>
    <w:rsid w:val="00902A21"/>
    <w:rsid w:val="009033F4"/>
    <w:rsid w:val="00905094"/>
    <w:rsid w:val="00907E91"/>
    <w:rsid w:val="00920330"/>
    <w:rsid w:val="009219D7"/>
    <w:rsid w:val="00922D53"/>
    <w:rsid w:val="00922F22"/>
    <w:rsid w:val="00923B70"/>
    <w:rsid w:val="00924482"/>
    <w:rsid w:val="00926285"/>
    <w:rsid w:val="00930237"/>
    <w:rsid w:val="00930BA4"/>
    <w:rsid w:val="00944688"/>
    <w:rsid w:val="00946EA5"/>
    <w:rsid w:val="0095160F"/>
    <w:rsid w:val="00952428"/>
    <w:rsid w:val="009529C0"/>
    <w:rsid w:val="00952DCD"/>
    <w:rsid w:val="00963C08"/>
    <w:rsid w:val="00966068"/>
    <w:rsid w:val="00967185"/>
    <w:rsid w:val="009722FF"/>
    <w:rsid w:val="009736B6"/>
    <w:rsid w:val="00974863"/>
    <w:rsid w:val="00981D66"/>
    <w:rsid w:val="0098585A"/>
    <w:rsid w:val="0098669D"/>
    <w:rsid w:val="0099203A"/>
    <w:rsid w:val="00994C95"/>
    <w:rsid w:val="009A36D8"/>
    <w:rsid w:val="009A4CED"/>
    <w:rsid w:val="009A690D"/>
    <w:rsid w:val="009B1737"/>
    <w:rsid w:val="009B1D12"/>
    <w:rsid w:val="009B2236"/>
    <w:rsid w:val="009B416B"/>
    <w:rsid w:val="009B5702"/>
    <w:rsid w:val="009B59A9"/>
    <w:rsid w:val="009B6BC9"/>
    <w:rsid w:val="009C0C24"/>
    <w:rsid w:val="009C2DA7"/>
    <w:rsid w:val="009C4149"/>
    <w:rsid w:val="009C4BD5"/>
    <w:rsid w:val="009D7B77"/>
    <w:rsid w:val="009E0BB0"/>
    <w:rsid w:val="009E3FBB"/>
    <w:rsid w:val="009E60C0"/>
    <w:rsid w:val="00A102E4"/>
    <w:rsid w:val="00A12C42"/>
    <w:rsid w:val="00A1453F"/>
    <w:rsid w:val="00A14DF7"/>
    <w:rsid w:val="00A17621"/>
    <w:rsid w:val="00A2235E"/>
    <w:rsid w:val="00A235D9"/>
    <w:rsid w:val="00A3246D"/>
    <w:rsid w:val="00A36FA7"/>
    <w:rsid w:val="00A475B7"/>
    <w:rsid w:val="00A47AF7"/>
    <w:rsid w:val="00A47C3E"/>
    <w:rsid w:val="00A50226"/>
    <w:rsid w:val="00A51E6B"/>
    <w:rsid w:val="00A54624"/>
    <w:rsid w:val="00A55973"/>
    <w:rsid w:val="00A60BAD"/>
    <w:rsid w:val="00A66A24"/>
    <w:rsid w:val="00A67B11"/>
    <w:rsid w:val="00A77C0D"/>
    <w:rsid w:val="00A81FAE"/>
    <w:rsid w:val="00A84DFC"/>
    <w:rsid w:val="00A90042"/>
    <w:rsid w:val="00A90F75"/>
    <w:rsid w:val="00A95D01"/>
    <w:rsid w:val="00A964D1"/>
    <w:rsid w:val="00A970EA"/>
    <w:rsid w:val="00AA0ED0"/>
    <w:rsid w:val="00AA3499"/>
    <w:rsid w:val="00AA53FE"/>
    <w:rsid w:val="00AB2354"/>
    <w:rsid w:val="00AC06F3"/>
    <w:rsid w:val="00AC2B40"/>
    <w:rsid w:val="00AC2BB2"/>
    <w:rsid w:val="00AC2C3C"/>
    <w:rsid w:val="00AC512D"/>
    <w:rsid w:val="00AD03C9"/>
    <w:rsid w:val="00AE01C2"/>
    <w:rsid w:val="00AE1580"/>
    <w:rsid w:val="00AE1C2A"/>
    <w:rsid w:val="00AE65EB"/>
    <w:rsid w:val="00AE67A7"/>
    <w:rsid w:val="00AF1D94"/>
    <w:rsid w:val="00AF2EBD"/>
    <w:rsid w:val="00AF49C9"/>
    <w:rsid w:val="00AF60C5"/>
    <w:rsid w:val="00B009C6"/>
    <w:rsid w:val="00B01548"/>
    <w:rsid w:val="00B02208"/>
    <w:rsid w:val="00B1425E"/>
    <w:rsid w:val="00B202EE"/>
    <w:rsid w:val="00B21D29"/>
    <w:rsid w:val="00B25034"/>
    <w:rsid w:val="00B26706"/>
    <w:rsid w:val="00B33588"/>
    <w:rsid w:val="00B33863"/>
    <w:rsid w:val="00B3503F"/>
    <w:rsid w:val="00B3567E"/>
    <w:rsid w:val="00B37D17"/>
    <w:rsid w:val="00B4175E"/>
    <w:rsid w:val="00B452CE"/>
    <w:rsid w:val="00B454F2"/>
    <w:rsid w:val="00B45B47"/>
    <w:rsid w:val="00B5116E"/>
    <w:rsid w:val="00B51C9C"/>
    <w:rsid w:val="00B54C25"/>
    <w:rsid w:val="00B55849"/>
    <w:rsid w:val="00B5762F"/>
    <w:rsid w:val="00B57BA8"/>
    <w:rsid w:val="00B61DAC"/>
    <w:rsid w:val="00B652B3"/>
    <w:rsid w:val="00B74396"/>
    <w:rsid w:val="00B74B69"/>
    <w:rsid w:val="00B76B91"/>
    <w:rsid w:val="00B77EB1"/>
    <w:rsid w:val="00B811C6"/>
    <w:rsid w:val="00B85A87"/>
    <w:rsid w:val="00B868E1"/>
    <w:rsid w:val="00B92281"/>
    <w:rsid w:val="00B929F1"/>
    <w:rsid w:val="00B92E08"/>
    <w:rsid w:val="00B9350B"/>
    <w:rsid w:val="00B96EBE"/>
    <w:rsid w:val="00BB0CD1"/>
    <w:rsid w:val="00BB3A40"/>
    <w:rsid w:val="00BC0B20"/>
    <w:rsid w:val="00BC4E86"/>
    <w:rsid w:val="00BC622A"/>
    <w:rsid w:val="00BD25A0"/>
    <w:rsid w:val="00BD45E3"/>
    <w:rsid w:val="00BD6714"/>
    <w:rsid w:val="00BE0A78"/>
    <w:rsid w:val="00BE22E2"/>
    <w:rsid w:val="00BE2685"/>
    <w:rsid w:val="00BE3AD8"/>
    <w:rsid w:val="00BE6252"/>
    <w:rsid w:val="00BE74BA"/>
    <w:rsid w:val="00BE79F0"/>
    <w:rsid w:val="00BF046D"/>
    <w:rsid w:val="00BF1190"/>
    <w:rsid w:val="00BF223F"/>
    <w:rsid w:val="00BF3858"/>
    <w:rsid w:val="00BF5D04"/>
    <w:rsid w:val="00C00400"/>
    <w:rsid w:val="00C050FC"/>
    <w:rsid w:val="00C0603D"/>
    <w:rsid w:val="00C1164D"/>
    <w:rsid w:val="00C15E46"/>
    <w:rsid w:val="00C16861"/>
    <w:rsid w:val="00C20F47"/>
    <w:rsid w:val="00C22678"/>
    <w:rsid w:val="00C257CC"/>
    <w:rsid w:val="00C404A6"/>
    <w:rsid w:val="00C40A36"/>
    <w:rsid w:val="00C4428C"/>
    <w:rsid w:val="00C44419"/>
    <w:rsid w:val="00C45E7B"/>
    <w:rsid w:val="00C471B1"/>
    <w:rsid w:val="00C53AA8"/>
    <w:rsid w:val="00C618F7"/>
    <w:rsid w:val="00C6316B"/>
    <w:rsid w:val="00C634A9"/>
    <w:rsid w:val="00C64586"/>
    <w:rsid w:val="00C67C43"/>
    <w:rsid w:val="00C70D53"/>
    <w:rsid w:val="00C73D0B"/>
    <w:rsid w:val="00C74709"/>
    <w:rsid w:val="00C772FF"/>
    <w:rsid w:val="00C801AF"/>
    <w:rsid w:val="00C80256"/>
    <w:rsid w:val="00C811C0"/>
    <w:rsid w:val="00C8218E"/>
    <w:rsid w:val="00C8405D"/>
    <w:rsid w:val="00C93646"/>
    <w:rsid w:val="00CB4053"/>
    <w:rsid w:val="00CB6BC0"/>
    <w:rsid w:val="00CC1B7C"/>
    <w:rsid w:val="00CC727F"/>
    <w:rsid w:val="00CD1AC8"/>
    <w:rsid w:val="00CD23D9"/>
    <w:rsid w:val="00CD264B"/>
    <w:rsid w:val="00CD774E"/>
    <w:rsid w:val="00CE5D1D"/>
    <w:rsid w:val="00CF0A5E"/>
    <w:rsid w:val="00CF15C3"/>
    <w:rsid w:val="00CF2B6F"/>
    <w:rsid w:val="00CF58B6"/>
    <w:rsid w:val="00D017ED"/>
    <w:rsid w:val="00D040D3"/>
    <w:rsid w:val="00D04C65"/>
    <w:rsid w:val="00D128FE"/>
    <w:rsid w:val="00D1313E"/>
    <w:rsid w:val="00D224FE"/>
    <w:rsid w:val="00D27D10"/>
    <w:rsid w:val="00D30A1B"/>
    <w:rsid w:val="00D33BC5"/>
    <w:rsid w:val="00D42537"/>
    <w:rsid w:val="00D53A31"/>
    <w:rsid w:val="00D54960"/>
    <w:rsid w:val="00D5498F"/>
    <w:rsid w:val="00D6033C"/>
    <w:rsid w:val="00D6493E"/>
    <w:rsid w:val="00D7301E"/>
    <w:rsid w:val="00D74948"/>
    <w:rsid w:val="00D82800"/>
    <w:rsid w:val="00D83AE1"/>
    <w:rsid w:val="00D855D4"/>
    <w:rsid w:val="00D8587E"/>
    <w:rsid w:val="00D917F6"/>
    <w:rsid w:val="00D93466"/>
    <w:rsid w:val="00DA1124"/>
    <w:rsid w:val="00DA632C"/>
    <w:rsid w:val="00DB3F79"/>
    <w:rsid w:val="00DB5346"/>
    <w:rsid w:val="00DB75B7"/>
    <w:rsid w:val="00DB7F82"/>
    <w:rsid w:val="00DC6E02"/>
    <w:rsid w:val="00DD051A"/>
    <w:rsid w:val="00DE02AE"/>
    <w:rsid w:val="00DE2772"/>
    <w:rsid w:val="00DE6D70"/>
    <w:rsid w:val="00DE7D8C"/>
    <w:rsid w:val="00DF1D7F"/>
    <w:rsid w:val="00DF2B34"/>
    <w:rsid w:val="00DF4BE4"/>
    <w:rsid w:val="00DF6F6A"/>
    <w:rsid w:val="00E02FB4"/>
    <w:rsid w:val="00E03703"/>
    <w:rsid w:val="00E052A9"/>
    <w:rsid w:val="00E07F15"/>
    <w:rsid w:val="00E20571"/>
    <w:rsid w:val="00E235F7"/>
    <w:rsid w:val="00E23659"/>
    <w:rsid w:val="00E239D4"/>
    <w:rsid w:val="00E26130"/>
    <w:rsid w:val="00E2741C"/>
    <w:rsid w:val="00E31D73"/>
    <w:rsid w:val="00E331F2"/>
    <w:rsid w:val="00E40B22"/>
    <w:rsid w:val="00E45619"/>
    <w:rsid w:val="00E4588F"/>
    <w:rsid w:val="00E46DA3"/>
    <w:rsid w:val="00E51BB1"/>
    <w:rsid w:val="00E5698E"/>
    <w:rsid w:val="00E624A5"/>
    <w:rsid w:val="00E71A4D"/>
    <w:rsid w:val="00E7344E"/>
    <w:rsid w:val="00E76132"/>
    <w:rsid w:val="00E8284E"/>
    <w:rsid w:val="00E90F47"/>
    <w:rsid w:val="00E9366B"/>
    <w:rsid w:val="00E936E3"/>
    <w:rsid w:val="00E943AF"/>
    <w:rsid w:val="00E9613D"/>
    <w:rsid w:val="00EA445D"/>
    <w:rsid w:val="00EA66D2"/>
    <w:rsid w:val="00EB0798"/>
    <w:rsid w:val="00EB40AD"/>
    <w:rsid w:val="00EB586E"/>
    <w:rsid w:val="00EB5E25"/>
    <w:rsid w:val="00EB5FC8"/>
    <w:rsid w:val="00EC0600"/>
    <w:rsid w:val="00EC2B65"/>
    <w:rsid w:val="00EC4518"/>
    <w:rsid w:val="00ED3CAD"/>
    <w:rsid w:val="00ED5A41"/>
    <w:rsid w:val="00ED655E"/>
    <w:rsid w:val="00EE0131"/>
    <w:rsid w:val="00EE1DE8"/>
    <w:rsid w:val="00EE1ECA"/>
    <w:rsid w:val="00EE607E"/>
    <w:rsid w:val="00EE60BD"/>
    <w:rsid w:val="00EF457A"/>
    <w:rsid w:val="00F02E33"/>
    <w:rsid w:val="00F033EC"/>
    <w:rsid w:val="00F04577"/>
    <w:rsid w:val="00F049B1"/>
    <w:rsid w:val="00F04F68"/>
    <w:rsid w:val="00F12670"/>
    <w:rsid w:val="00F14B27"/>
    <w:rsid w:val="00F3148D"/>
    <w:rsid w:val="00F325C5"/>
    <w:rsid w:val="00F32FE0"/>
    <w:rsid w:val="00F35298"/>
    <w:rsid w:val="00F4363B"/>
    <w:rsid w:val="00F47333"/>
    <w:rsid w:val="00F47E37"/>
    <w:rsid w:val="00F53C07"/>
    <w:rsid w:val="00F54B65"/>
    <w:rsid w:val="00F60784"/>
    <w:rsid w:val="00F640B6"/>
    <w:rsid w:val="00F750CE"/>
    <w:rsid w:val="00F800BA"/>
    <w:rsid w:val="00F80E40"/>
    <w:rsid w:val="00F81715"/>
    <w:rsid w:val="00F848D9"/>
    <w:rsid w:val="00F85C44"/>
    <w:rsid w:val="00F92252"/>
    <w:rsid w:val="00F932B4"/>
    <w:rsid w:val="00FA2F73"/>
    <w:rsid w:val="00FA4688"/>
    <w:rsid w:val="00FA5B82"/>
    <w:rsid w:val="00FA639E"/>
    <w:rsid w:val="00FA6DF5"/>
    <w:rsid w:val="00FA7210"/>
    <w:rsid w:val="00FB2C4C"/>
    <w:rsid w:val="00FB53DC"/>
    <w:rsid w:val="00FC25E4"/>
    <w:rsid w:val="00FC4888"/>
    <w:rsid w:val="00FC4EF7"/>
    <w:rsid w:val="00FD278B"/>
    <w:rsid w:val="00FD6653"/>
    <w:rsid w:val="00FD6ED9"/>
    <w:rsid w:val="00FE1DEE"/>
    <w:rsid w:val="00FE7C64"/>
    <w:rsid w:val="00FF204B"/>
    <w:rsid w:val="00FF2126"/>
    <w:rsid w:val="00FF5755"/>
    <w:rsid w:val="00FF5D4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00DC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8A40A4"/>
    <w:pPr>
      <w:keepNext/>
      <w:numPr>
        <w:ilvl w:val="5"/>
        <w:numId w:val="5"/>
      </w:numPr>
      <w:spacing w:after="60" w:line="180" w:lineRule="atLeast"/>
      <w:ind w:left="1984" w:hanging="1644"/>
      <w:outlineLvl w:val="6"/>
    </w:pPr>
    <w:rPr>
      <w:rFonts w:eastAsia="Times New Roman"/>
      <w:bCs/>
      <w:i/>
      <w:sz w:val="20"/>
      <w:szCs w:val="24"/>
    </w:rPr>
  </w:style>
  <w:style w:type="paragraph" w:styleId="Heading8">
    <w:name w:val="heading 8"/>
    <w:basedOn w:val="Normal"/>
    <w:next w:val="Normal"/>
    <w:link w:val="Heading8Char"/>
    <w:qFormat/>
    <w:rsid w:val="00AE1580"/>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AE1580"/>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F04A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8A40A4"/>
    <w:rPr>
      <w:rFonts w:ascii="Cambria" w:eastAsia="Times New Roman" w:hAnsi="Cambria" w:cs="Times New Roman"/>
      <w:bCs/>
      <w:i/>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EA445D"/>
    <w:pPr>
      <w:numPr>
        <w:ilvl w:val="0"/>
        <w:numId w:val="0"/>
      </w:numPr>
      <w:ind w:left="426"/>
    </w:pPr>
    <w:rPr>
      <w:b/>
    </w:r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table" w:customStyle="1" w:styleId="TableGrid1">
    <w:name w:val="Table Grid1"/>
    <w:basedOn w:val="TableNormal"/>
    <w:next w:val="TableGrid"/>
    <w:uiPriority w:val="59"/>
    <w:rsid w:val="00AE15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AE1580"/>
    <w:pPr>
      <w:numPr>
        <w:numId w:val="7"/>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AE1580"/>
    <w:pPr>
      <w:numPr>
        <w:numId w:val="8"/>
      </w:numPr>
    </w:pPr>
  </w:style>
  <w:style w:type="character" w:customStyle="1" w:styleId="Heading8Char">
    <w:name w:val="Heading 8 Char"/>
    <w:basedOn w:val="DefaultParagraphFont"/>
    <w:link w:val="Heading8"/>
    <w:rsid w:val="00AE1580"/>
    <w:rPr>
      <w:rFonts w:ascii="Arial" w:eastAsiaTheme="minorEastAsia" w:hAnsi="Arial"/>
      <w:b/>
      <w:i/>
      <w:iCs/>
      <w:lang w:val="en-US" w:eastAsia="ja-JP"/>
    </w:rPr>
  </w:style>
  <w:style w:type="character" w:customStyle="1" w:styleId="Heading9Char">
    <w:name w:val="Heading 9 Char"/>
    <w:basedOn w:val="DefaultParagraphFont"/>
    <w:link w:val="Heading9"/>
    <w:rsid w:val="00AE1580"/>
    <w:rPr>
      <w:rFonts w:ascii="Arial" w:eastAsiaTheme="minorEastAsia" w:hAnsi="Arial" w:cs="Arial"/>
      <w:u w:val="single"/>
      <w:lang w:val="en-US" w:eastAsia="ja-JP"/>
    </w:rPr>
  </w:style>
  <w:style w:type="paragraph" w:customStyle="1" w:styleId="Heading0inTOC">
    <w:name w:val="Heading 0 (in TOC)"/>
    <w:basedOn w:val="Heading1"/>
    <w:next w:val="Normal"/>
    <w:rsid w:val="00AE1580"/>
    <w:pPr>
      <w:keepLines w:val="0"/>
      <w:numPr>
        <w:numId w:val="0"/>
      </w:numPr>
      <w:adjustRightInd/>
      <w:snapToGrid/>
      <w:spacing w:before="0" w:after="120" w:line="240" w:lineRule="auto"/>
      <w:jc w:val="both"/>
    </w:pPr>
    <w:rPr>
      <w:rFonts w:ascii="Arial" w:eastAsiaTheme="minorEastAsia" w:hAnsi="Arial" w:cstheme="minorBidi"/>
      <w:caps/>
      <w:sz w:val="28"/>
      <w:szCs w:val="28"/>
      <w:lang w:val="en-US"/>
    </w:rPr>
  </w:style>
  <w:style w:type="character" w:styleId="PageNumber">
    <w:name w:val="page number"/>
    <w:rsid w:val="00AE1580"/>
    <w:rPr>
      <w:sz w:val="20"/>
    </w:rPr>
  </w:style>
  <w:style w:type="paragraph" w:customStyle="1" w:styleId="TableBullet">
    <w:name w:val="Table Bullet"/>
    <w:basedOn w:val="Normal"/>
    <w:rsid w:val="00AE1580"/>
    <w:pPr>
      <w:numPr>
        <w:numId w:val="9"/>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AE1580"/>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AE1580"/>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AE1580"/>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AE1580"/>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AE1580"/>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AE1580"/>
    <w:pPr>
      <w:spacing w:before="0" w:line="240" w:lineRule="auto"/>
      <w:ind w:left="1134"/>
      <w:jc w:val="both"/>
    </w:pPr>
    <w:rPr>
      <w:rFonts w:asciiTheme="majorHAnsi" w:eastAsiaTheme="minorEastAsia" w:hAnsiTheme="majorHAnsi" w:cstheme="minorBidi"/>
      <w:sz w:val="20"/>
      <w:lang w:val="en-US" w:eastAsia="ja-JP"/>
    </w:rPr>
  </w:style>
  <w:style w:type="paragraph" w:styleId="EndnoteText">
    <w:name w:val="endnote text"/>
    <w:basedOn w:val="Normal"/>
    <w:link w:val="EndnoteTextChar"/>
    <w:semiHidden/>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EndnoteTextChar">
    <w:name w:val="Endnote Text Char"/>
    <w:basedOn w:val="DefaultParagraphFont"/>
    <w:link w:val="EndnoteText"/>
    <w:semiHidden/>
    <w:rsid w:val="00AE1580"/>
    <w:rPr>
      <w:rFonts w:asciiTheme="majorHAnsi" w:eastAsiaTheme="minorEastAsia" w:hAnsiTheme="majorHAnsi"/>
      <w:sz w:val="20"/>
      <w:szCs w:val="20"/>
      <w:lang w:val="en-US" w:eastAsia="ja-JP"/>
    </w:rPr>
  </w:style>
  <w:style w:type="character" w:styleId="EndnoteReference">
    <w:name w:val="endnote reference"/>
    <w:semiHidden/>
    <w:rsid w:val="00AE1580"/>
    <w:rPr>
      <w:dstrike w:val="0"/>
      <w:vertAlign w:val="baseline"/>
    </w:rPr>
  </w:style>
  <w:style w:type="paragraph" w:styleId="FootnoteText">
    <w:name w:val="footnote text"/>
    <w:basedOn w:val="Normal"/>
    <w:link w:val="FootnoteTextChar"/>
    <w:semiHidden/>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FootnoteTextChar">
    <w:name w:val="Footnote Text Char"/>
    <w:basedOn w:val="DefaultParagraphFont"/>
    <w:link w:val="FootnoteText"/>
    <w:semiHidden/>
    <w:rsid w:val="00AE1580"/>
    <w:rPr>
      <w:rFonts w:asciiTheme="majorHAnsi" w:eastAsiaTheme="minorEastAsia" w:hAnsiTheme="majorHAnsi"/>
      <w:sz w:val="20"/>
      <w:szCs w:val="20"/>
      <w:lang w:val="en-US" w:eastAsia="ja-JP"/>
    </w:rPr>
  </w:style>
  <w:style w:type="character" w:styleId="FootnoteReference">
    <w:name w:val="footnote reference"/>
    <w:semiHidden/>
    <w:rsid w:val="00AE1580"/>
    <w:rPr>
      <w:vertAlign w:val="superscript"/>
    </w:rPr>
  </w:style>
  <w:style w:type="paragraph" w:customStyle="1" w:styleId="Abbreviations">
    <w:name w:val="Abbreviations"/>
    <w:basedOn w:val="Normal"/>
    <w:rsid w:val="00AE1580"/>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AE1580"/>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AE1580"/>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AE1580"/>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AE1580"/>
    <w:pPr>
      <w:numPr>
        <w:numId w:val="10"/>
      </w:numPr>
      <w:spacing w:before="120"/>
      <w:ind w:left="1418" w:hanging="284"/>
    </w:pPr>
  </w:style>
  <w:style w:type="paragraph" w:customStyle="1" w:styleId="Instructions1">
    <w:name w:val="Instructions 1"/>
    <w:basedOn w:val="Normal"/>
    <w:qFormat/>
    <w:rsid w:val="00AE1580"/>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AE1580"/>
    <w:pPr>
      <w:numPr>
        <w:numId w:val="11"/>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character" w:styleId="CommentReference">
    <w:name w:val="annotation reference"/>
    <w:uiPriority w:val="99"/>
    <w:rsid w:val="00AE1580"/>
    <w:rPr>
      <w:sz w:val="16"/>
      <w:szCs w:val="16"/>
    </w:rPr>
  </w:style>
  <w:style w:type="paragraph" w:styleId="CommentText">
    <w:name w:val="annotation text"/>
    <w:basedOn w:val="Normal"/>
    <w:link w:val="CommentTextChar"/>
    <w:uiPriority w:val="99"/>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CommentTextChar">
    <w:name w:val="Comment Text Char"/>
    <w:basedOn w:val="DefaultParagraphFont"/>
    <w:link w:val="CommentText"/>
    <w:uiPriority w:val="99"/>
    <w:rsid w:val="00AE1580"/>
    <w:rPr>
      <w:rFonts w:asciiTheme="majorHAnsi" w:eastAsiaTheme="minorEastAsia" w:hAnsiTheme="majorHAnsi"/>
      <w:sz w:val="20"/>
      <w:szCs w:val="20"/>
      <w:lang w:val="en-US" w:eastAsia="ja-JP"/>
    </w:rPr>
  </w:style>
  <w:style w:type="paragraph" w:styleId="CommentSubject">
    <w:name w:val="annotation subject"/>
    <w:basedOn w:val="CommentText"/>
    <w:next w:val="CommentText"/>
    <w:link w:val="CommentSubjectChar"/>
    <w:rsid w:val="00AE1580"/>
    <w:rPr>
      <w:b/>
      <w:bCs/>
    </w:rPr>
  </w:style>
  <w:style w:type="character" w:customStyle="1" w:styleId="CommentSubjectChar">
    <w:name w:val="Comment Subject Char"/>
    <w:basedOn w:val="CommentTextChar"/>
    <w:link w:val="CommentSubject"/>
    <w:rsid w:val="00AE1580"/>
    <w:rPr>
      <w:rFonts w:asciiTheme="majorHAnsi" w:eastAsiaTheme="minorEastAsia" w:hAnsiTheme="majorHAnsi"/>
      <w:b/>
      <w:bCs/>
      <w:sz w:val="20"/>
      <w:szCs w:val="20"/>
      <w:lang w:val="en-US" w:eastAsia="ja-JP"/>
    </w:rPr>
  </w:style>
  <w:style w:type="paragraph" w:customStyle="1" w:styleId="Contentslist1">
    <w:name w:val="Contents list 1"/>
    <w:basedOn w:val="Normal"/>
    <w:qFormat/>
    <w:rsid w:val="00AE1580"/>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AE1580"/>
    <w:pPr>
      <w:spacing w:before="0" w:after="0"/>
    </w:pPr>
    <w:rPr>
      <w:b w:val="0"/>
    </w:rPr>
  </w:style>
  <w:style w:type="paragraph" w:customStyle="1" w:styleId="Paragraph">
    <w:name w:val="Paragraph"/>
    <w:rsid w:val="00AE1580"/>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AE158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AE1580"/>
    <w:pPr>
      <w:spacing w:before="0" w:line="240" w:lineRule="auto"/>
      <w:ind w:left="720"/>
      <w:contextualSpacing/>
      <w:jc w:val="both"/>
    </w:pPr>
    <w:rPr>
      <w:rFonts w:asciiTheme="majorHAnsi" w:eastAsiaTheme="minorEastAsia" w:hAnsiTheme="majorHAnsi" w:cstheme="minorBidi"/>
      <w:lang w:val="en-US" w:eastAsia="ja-JP"/>
    </w:rPr>
  </w:style>
  <w:style w:type="character" w:styleId="Strong">
    <w:name w:val="Strong"/>
    <w:basedOn w:val="DefaultParagraphFont"/>
    <w:qFormat/>
    <w:rsid w:val="00AE1580"/>
    <w:rPr>
      <w:b/>
      <w:bCs/>
    </w:rPr>
  </w:style>
  <w:style w:type="character" w:customStyle="1" w:styleId="ti">
    <w:name w:val="ti"/>
    <w:basedOn w:val="DefaultParagraphFont"/>
    <w:rsid w:val="00AE1580"/>
  </w:style>
  <w:style w:type="character" w:customStyle="1" w:styleId="w1">
    <w:name w:val="w1"/>
    <w:basedOn w:val="DefaultParagraphFont"/>
    <w:rsid w:val="00AE1580"/>
    <w:rPr>
      <w:color w:val="0000CC"/>
    </w:rPr>
  </w:style>
  <w:style w:type="character" w:customStyle="1" w:styleId="a">
    <w:name w:val="a"/>
    <w:basedOn w:val="DefaultParagraphFont"/>
    <w:rsid w:val="00AE1580"/>
  </w:style>
  <w:style w:type="table" w:customStyle="1" w:styleId="TableGrid2">
    <w:name w:val="Table Grid2"/>
    <w:basedOn w:val="TableNormal"/>
    <w:next w:val="TableGrid"/>
    <w:uiPriority w:val="59"/>
    <w:rsid w:val="00AE1580"/>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96718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Revision">
    <w:name w:val="Revision"/>
    <w:hidden/>
    <w:uiPriority w:val="99"/>
    <w:semiHidden/>
    <w:rsid w:val="003713B1"/>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8A40A4"/>
    <w:pPr>
      <w:keepNext/>
      <w:numPr>
        <w:ilvl w:val="5"/>
        <w:numId w:val="5"/>
      </w:numPr>
      <w:spacing w:after="60" w:line="180" w:lineRule="atLeast"/>
      <w:ind w:left="1984" w:hanging="1644"/>
      <w:outlineLvl w:val="6"/>
    </w:pPr>
    <w:rPr>
      <w:rFonts w:eastAsia="Times New Roman"/>
      <w:bCs/>
      <w:i/>
      <w:sz w:val="20"/>
      <w:szCs w:val="24"/>
    </w:rPr>
  </w:style>
  <w:style w:type="paragraph" w:styleId="Heading8">
    <w:name w:val="heading 8"/>
    <w:basedOn w:val="Normal"/>
    <w:next w:val="Normal"/>
    <w:link w:val="Heading8Char"/>
    <w:qFormat/>
    <w:rsid w:val="00AE1580"/>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AE1580"/>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F04A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8A40A4"/>
    <w:rPr>
      <w:rFonts w:ascii="Cambria" w:eastAsia="Times New Roman" w:hAnsi="Cambria" w:cs="Times New Roman"/>
      <w:bCs/>
      <w:i/>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EA445D"/>
    <w:pPr>
      <w:numPr>
        <w:ilvl w:val="0"/>
        <w:numId w:val="0"/>
      </w:numPr>
      <w:ind w:left="426"/>
    </w:pPr>
    <w:rPr>
      <w:b/>
    </w:r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table" w:customStyle="1" w:styleId="TableGrid1">
    <w:name w:val="Table Grid1"/>
    <w:basedOn w:val="TableNormal"/>
    <w:next w:val="TableGrid"/>
    <w:uiPriority w:val="59"/>
    <w:rsid w:val="00AE15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AE1580"/>
    <w:pPr>
      <w:numPr>
        <w:numId w:val="7"/>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AE1580"/>
    <w:pPr>
      <w:numPr>
        <w:numId w:val="8"/>
      </w:numPr>
    </w:pPr>
  </w:style>
  <w:style w:type="character" w:customStyle="1" w:styleId="Heading8Char">
    <w:name w:val="Heading 8 Char"/>
    <w:basedOn w:val="DefaultParagraphFont"/>
    <w:link w:val="Heading8"/>
    <w:rsid w:val="00AE1580"/>
    <w:rPr>
      <w:rFonts w:ascii="Arial" w:eastAsiaTheme="minorEastAsia" w:hAnsi="Arial"/>
      <w:b/>
      <w:i/>
      <w:iCs/>
      <w:lang w:val="en-US" w:eastAsia="ja-JP"/>
    </w:rPr>
  </w:style>
  <w:style w:type="character" w:customStyle="1" w:styleId="Heading9Char">
    <w:name w:val="Heading 9 Char"/>
    <w:basedOn w:val="DefaultParagraphFont"/>
    <w:link w:val="Heading9"/>
    <w:rsid w:val="00AE1580"/>
    <w:rPr>
      <w:rFonts w:ascii="Arial" w:eastAsiaTheme="minorEastAsia" w:hAnsi="Arial" w:cs="Arial"/>
      <w:u w:val="single"/>
      <w:lang w:val="en-US" w:eastAsia="ja-JP"/>
    </w:rPr>
  </w:style>
  <w:style w:type="paragraph" w:customStyle="1" w:styleId="Heading0inTOC">
    <w:name w:val="Heading 0 (in TOC)"/>
    <w:basedOn w:val="Heading1"/>
    <w:next w:val="Normal"/>
    <w:rsid w:val="00AE1580"/>
    <w:pPr>
      <w:keepLines w:val="0"/>
      <w:numPr>
        <w:numId w:val="0"/>
      </w:numPr>
      <w:adjustRightInd/>
      <w:snapToGrid/>
      <w:spacing w:before="0" w:after="120" w:line="240" w:lineRule="auto"/>
      <w:jc w:val="both"/>
    </w:pPr>
    <w:rPr>
      <w:rFonts w:ascii="Arial" w:eastAsiaTheme="minorEastAsia" w:hAnsi="Arial" w:cstheme="minorBidi"/>
      <w:caps/>
      <w:sz w:val="28"/>
      <w:szCs w:val="28"/>
      <w:lang w:val="en-US"/>
    </w:rPr>
  </w:style>
  <w:style w:type="character" w:styleId="PageNumber">
    <w:name w:val="page number"/>
    <w:rsid w:val="00AE1580"/>
    <w:rPr>
      <w:sz w:val="20"/>
    </w:rPr>
  </w:style>
  <w:style w:type="paragraph" w:customStyle="1" w:styleId="TableBullet">
    <w:name w:val="Table Bullet"/>
    <w:basedOn w:val="Normal"/>
    <w:rsid w:val="00AE1580"/>
    <w:pPr>
      <w:numPr>
        <w:numId w:val="9"/>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AE1580"/>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AE1580"/>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AE1580"/>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AE1580"/>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AE1580"/>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AE1580"/>
    <w:pPr>
      <w:spacing w:before="0" w:line="240" w:lineRule="auto"/>
      <w:ind w:left="1134"/>
      <w:jc w:val="both"/>
    </w:pPr>
    <w:rPr>
      <w:rFonts w:asciiTheme="majorHAnsi" w:eastAsiaTheme="minorEastAsia" w:hAnsiTheme="majorHAnsi" w:cstheme="minorBidi"/>
      <w:sz w:val="20"/>
      <w:lang w:val="en-US" w:eastAsia="ja-JP"/>
    </w:rPr>
  </w:style>
  <w:style w:type="paragraph" w:styleId="EndnoteText">
    <w:name w:val="endnote text"/>
    <w:basedOn w:val="Normal"/>
    <w:link w:val="EndnoteTextChar"/>
    <w:semiHidden/>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EndnoteTextChar">
    <w:name w:val="Endnote Text Char"/>
    <w:basedOn w:val="DefaultParagraphFont"/>
    <w:link w:val="EndnoteText"/>
    <w:semiHidden/>
    <w:rsid w:val="00AE1580"/>
    <w:rPr>
      <w:rFonts w:asciiTheme="majorHAnsi" w:eastAsiaTheme="minorEastAsia" w:hAnsiTheme="majorHAnsi"/>
      <w:sz w:val="20"/>
      <w:szCs w:val="20"/>
      <w:lang w:val="en-US" w:eastAsia="ja-JP"/>
    </w:rPr>
  </w:style>
  <w:style w:type="character" w:styleId="EndnoteReference">
    <w:name w:val="endnote reference"/>
    <w:semiHidden/>
    <w:rsid w:val="00AE1580"/>
    <w:rPr>
      <w:dstrike w:val="0"/>
      <w:vertAlign w:val="baseline"/>
    </w:rPr>
  </w:style>
  <w:style w:type="paragraph" w:styleId="FootnoteText">
    <w:name w:val="footnote text"/>
    <w:basedOn w:val="Normal"/>
    <w:link w:val="FootnoteTextChar"/>
    <w:semiHidden/>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FootnoteTextChar">
    <w:name w:val="Footnote Text Char"/>
    <w:basedOn w:val="DefaultParagraphFont"/>
    <w:link w:val="FootnoteText"/>
    <w:semiHidden/>
    <w:rsid w:val="00AE1580"/>
    <w:rPr>
      <w:rFonts w:asciiTheme="majorHAnsi" w:eastAsiaTheme="minorEastAsia" w:hAnsiTheme="majorHAnsi"/>
      <w:sz w:val="20"/>
      <w:szCs w:val="20"/>
      <w:lang w:val="en-US" w:eastAsia="ja-JP"/>
    </w:rPr>
  </w:style>
  <w:style w:type="character" w:styleId="FootnoteReference">
    <w:name w:val="footnote reference"/>
    <w:semiHidden/>
    <w:rsid w:val="00AE1580"/>
    <w:rPr>
      <w:vertAlign w:val="superscript"/>
    </w:rPr>
  </w:style>
  <w:style w:type="paragraph" w:customStyle="1" w:styleId="Abbreviations">
    <w:name w:val="Abbreviations"/>
    <w:basedOn w:val="Normal"/>
    <w:rsid w:val="00AE1580"/>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AE1580"/>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AE1580"/>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AE1580"/>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AE1580"/>
    <w:pPr>
      <w:numPr>
        <w:numId w:val="10"/>
      </w:numPr>
      <w:spacing w:before="120"/>
      <w:ind w:left="1418" w:hanging="284"/>
    </w:pPr>
  </w:style>
  <w:style w:type="paragraph" w:customStyle="1" w:styleId="Instructions1">
    <w:name w:val="Instructions 1"/>
    <w:basedOn w:val="Normal"/>
    <w:qFormat/>
    <w:rsid w:val="00AE1580"/>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AE1580"/>
    <w:pPr>
      <w:numPr>
        <w:numId w:val="11"/>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character" w:styleId="CommentReference">
    <w:name w:val="annotation reference"/>
    <w:uiPriority w:val="99"/>
    <w:rsid w:val="00AE1580"/>
    <w:rPr>
      <w:sz w:val="16"/>
      <w:szCs w:val="16"/>
    </w:rPr>
  </w:style>
  <w:style w:type="paragraph" w:styleId="CommentText">
    <w:name w:val="annotation text"/>
    <w:basedOn w:val="Normal"/>
    <w:link w:val="CommentTextChar"/>
    <w:uiPriority w:val="99"/>
    <w:rsid w:val="00AE1580"/>
    <w:pPr>
      <w:spacing w:before="0" w:line="240" w:lineRule="auto"/>
      <w:jc w:val="both"/>
    </w:pPr>
    <w:rPr>
      <w:rFonts w:asciiTheme="majorHAnsi" w:eastAsiaTheme="minorEastAsia" w:hAnsiTheme="majorHAnsi" w:cstheme="minorBidi"/>
      <w:sz w:val="20"/>
      <w:szCs w:val="20"/>
      <w:lang w:val="en-US" w:eastAsia="ja-JP"/>
    </w:rPr>
  </w:style>
  <w:style w:type="character" w:customStyle="1" w:styleId="CommentTextChar">
    <w:name w:val="Comment Text Char"/>
    <w:basedOn w:val="DefaultParagraphFont"/>
    <w:link w:val="CommentText"/>
    <w:uiPriority w:val="99"/>
    <w:rsid w:val="00AE1580"/>
    <w:rPr>
      <w:rFonts w:asciiTheme="majorHAnsi" w:eastAsiaTheme="minorEastAsia" w:hAnsiTheme="majorHAnsi"/>
      <w:sz w:val="20"/>
      <w:szCs w:val="20"/>
      <w:lang w:val="en-US" w:eastAsia="ja-JP"/>
    </w:rPr>
  </w:style>
  <w:style w:type="paragraph" w:styleId="CommentSubject">
    <w:name w:val="annotation subject"/>
    <w:basedOn w:val="CommentText"/>
    <w:next w:val="CommentText"/>
    <w:link w:val="CommentSubjectChar"/>
    <w:rsid w:val="00AE1580"/>
    <w:rPr>
      <w:b/>
      <w:bCs/>
    </w:rPr>
  </w:style>
  <w:style w:type="character" w:customStyle="1" w:styleId="CommentSubjectChar">
    <w:name w:val="Comment Subject Char"/>
    <w:basedOn w:val="CommentTextChar"/>
    <w:link w:val="CommentSubject"/>
    <w:rsid w:val="00AE1580"/>
    <w:rPr>
      <w:rFonts w:asciiTheme="majorHAnsi" w:eastAsiaTheme="minorEastAsia" w:hAnsiTheme="majorHAnsi"/>
      <w:b/>
      <w:bCs/>
      <w:sz w:val="20"/>
      <w:szCs w:val="20"/>
      <w:lang w:val="en-US" w:eastAsia="ja-JP"/>
    </w:rPr>
  </w:style>
  <w:style w:type="paragraph" w:customStyle="1" w:styleId="Contentslist1">
    <w:name w:val="Contents list 1"/>
    <w:basedOn w:val="Normal"/>
    <w:qFormat/>
    <w:rsid w:val="00AE1580"/>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AE1580"/>
    <w:pPr>
      <w:spacing w:before="0" w:after="0"/>
    </w:pPr>
    <w:rPr>
      <w:b w:val="0"/>
    </w:rPr>
  </w:style>
  <w:style w:type="paragraph" w:customStyle="1" w:styleId="Paragraph">
    <w:name w:val="Paragraph"/>
    <w:rsid w:val="00AE1580"/>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AE158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AE1580"/>
    <w:pPr>
      <w:spacing w:before="0" w:line="240" w:lineRule="auto"/>
      <w:ind w:left="720"/>
      <w:contextualSpacing/>
      <w:jc w:val="both"/>
    </w:pPr>
    <w:rPr>
      <w:rFonts w:asciiTheme="majorHAnsi" w:eastAsiaTheme="minorEastAsia" w:hAnsiTheme="majorHAnsi" w:cstheme="minorBidi"/>
      <w:lang w:val="en-US" w:eastAsia="ja-JP"/>
    </w:rPr>
  </w:style>
  <w:style w:type="character" w:styleId="Strong">
    <w:name w:val="Strong"/>
    <w:basedOn w:val="DefaultParagraphFont"/>
    <w:qFormat/>
    <w:rsid w:val="00AE1580"/>
    <w:rPr>
      <w:b/>
      <w:bCs/>
    </w:rPr>
  </w:style>
  <w:style w:type="character" w:customStyle="1" w:styleId="ti">
    <w:name w:val="ti"/>
    <w:basedOn w:val="DefaultParagraphFont"/>
    <w:rsid w:val="00AE1580"/>
  </w:style>
  <w:style w:type="character" w:customStyle="1" w:styleId="w1">
    <w:name w:val="w1"/>
    <w:basedOn w:val="DefaultParagraphFont"/>
    <w:rsid w:val="00AE1580"/>
    <w:rPr>
      <w:color w:val="0000CC"/>
    </w:rPr>
  </w:style>
  <w:style w:type="character" w:customStyle="1" w:styleId="a">
    <w:name w:val="a"/>
    <w:basedOn w:val="DefaultParagraphFont"/>
    <w:rsid w:val="00AE1580"/>
  </w:style>
  <w:style w:type="table" w:customStyle="1" w:styleId="TableGrid2">
    <w:name w:val="Table Grid2"/>
    <w:basedOn w:val="TableNormal"/>
    <w:next w:val="TableGrid"/>
    <w:uiPriority w:val="59"/>
    <w:rsid w:val="00AE1580"/>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96718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Revision">
    <w:name w:val="Revision"/>
    <w:hidden/>
    <w:uiPriority w:val="99"/>
    <w:semiHidden/>
    <w:rsid w:val="003713B1"/>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6528">
      <w:bodyDiv w:val="1"/>
      <w:marLeft w:val="0"/>
      <w:marRight w:val="0"/>
      <w:marTop w:val="0"/>
      <w:marBottom w:val="0"/>
      <w:divBdr>
        <w:top w:val="none" w:sz="0" w:space="0" w:color="auto"/>
        <w:left w:val="none" w:sz="0" w:space="0" w:color="auto"/>
        <w:bottom w:val="none" w:sz="0" w:space="0" w:color="auto"/>
        <w:right w:val="none" w:sz="0" w:space="0" w:color="auto"/>
      </w:divBdr>
    </w:div>
    <w:div w:id="186871499">
      <w:bodyDiv w:val="1"/>
      <w:marLeft w:val="0"/>
      <w:marRight w:val="0"/>
      <w:marTop w:val="0"/>
      <w:marBottom w:val="0"/>
      <w:divBdr>
        <w:top w:val="none" w:sz="0" w:space="0" w:color="auto"/>
        <w:left w:val="none" w:sz="0" w:space="0" w:color="auto"/>
        <w:bottom w:val="none" w:sz="0" w:space="0" w:color="auto"/>
        <w:right w:val="none" w:sz="0" w:space="0" w:color="auto"/>
      </w:divBdr>
    </w:div>
    <w:div w:id="330907994">
      <w:bodyDiv w:val="1"/>
      <w:marLeft w:val="0"/>
      <w:marRight w:val="0"/>
      <w:marTop w:val="0"/>
      <w:marBottom w:val="0"/>
      <w:divBdr>
        <w:top w:val="none" w:sz="0" w:space="0" w:color="auto"/>
        <w:left w:val="none" w:sz="0" w:space="0" w:color="auto"/>
        <w:bottom w:val="none" w:sz="0" w:space="0" w:color="auto"/>
        <w:right w:val="none" w:sz="0" w:space="0" w:color="auto"/>
      </w:divBdr>
    </w:div>
    <w:div w:id="527376393">
      <w:bodyDiv w:val="1"/>
      <w:marLeft w:val="0"/>
      <w:marRight w:val="0"/>
      <w:marTop w:val="0"/>
      <w:marBottom w:val="0"/>
      <w:divBdr>
        <w:top w:val="none" w:sz="0" w:space="0" w:color="auto"/>
        <w:left w:val="none" w:sz="0" w:space="0" w:color="auto"/>
        <w:bottom w:val="none" w:sz="0" w:space="0" w:color="auto"/>
        <w:right w:val="none" w:sz="0" w:space="0" w:color="auto"/>
      </w:divBdr>
    </w:div>
    <w:div w:id="618801371">
      <w:bodyDiv w:val="1"/>
      <w:marLeft w:val="0"/>
      <w:marRight w:val="0"/>
      <w:marTop w:val="0"/>
      <w:marBottom w:val="0"/>
      <w:divBdr>
        <w:top w:val="none" w:sz="0" w:space="0" w:color="auto"/>
        <w:left w:val="none" w:sz="0" w:space="0" w:color="auto"/>
        <w:bottom w:val="none" w:sz="0" w:space="0" w:color="auto"/>
        <w:right w:val="none" w:sz="0" w:space="0" w:color="auto"/>
      </w:divBdr>
    </w:div>
    <w:div w:id="737438122">
      <w:bodyDiv w:val="1"/>
      <w:marLeft w:val="0"/>
      <w:marRight w:val="0"/>
      <w:marTop w:val="0"/>
      <w:marBottom w:val="0"/>
      <w:divBdr>
        <w:top w:val="none" w:sz="0" w:space="0" w:color="auto"/>
        <w:left w:val="none" w:sz="0" w:space="0" w:color="auto"/>
        <w:bottom w:val="none" w:sz="0" w:space="0" w:color="auto"/>
        <w:right w:val="none" w:sz="0" w:space="0" w:color="auto"/>
      </w:divBdr>
    </w:div>
    <w:div w:id="755174440">
      <w:bodyDiv w:val="1"/>
      <w:marLeft w:val="0"/>
      <w:marRight w:val="0"/>
      <w:marTop w:val="0"/>
      <w:marBottom w:val="0"/>
      <w:divBdr>
        <w:top w:val="none" w:sz="0" w:space="0" w:color="auto"/>
        <w:left w:val="none" w:sz="0" w:space="0" w:color="auto"/>
        <w:bottom w:val="none" w:sz="0" w:space="0" w:color="auto"/>
        <w:right w:val="none" w:sz="0" w:space="0" w:color="auto"/>
      </w:divBdr>
    </w:div>
    <w:div w:id="788476483">
      <w:bodyDiv w:val="1"/>
      <w:marLeft w:val="0"/>
      <w:marRight w:val="0"/>
      <w:marTop w:val="0"/>
      <w:marBottom w:val="0"/>
      <w:divBdr>
        <w:top w:val="none" w:sz="0" w:space="0" w:color="auto"/>
        <w:left w:val="none" w:sz="0" w:space="0" w:color="auto"/>
        <w:bottom w:val="none" w:sz="0" w:space="0" w:color="auto"/>
        <w:right w:val="none" w:sz="0" w:space="0" w:color="auto"/>
      </w:divBdr>
    </w:div>
    <w:div w:id="804617308">
      <w:bodyDiv w:val="1"/>
      <w:marLeft w:val="0"/>
      <w:marRight w:val="0"/>
      <w:marTop w:val="0"/>
      <w:marBottom w:val="0"/>
      <w:divBdr>
        <w:top w:val="none" w:sz="0" w:space="0" w:color="auto"/>
        <w:left w:val="none" w:sz="0" w:space="0" w:color="auto"/>
        <w:bottom w:val="none" w:sz="0" w:space="0" w:color="auto"/>
        <w:right w:val="none" w:sz="0" w:space="0" w:color="auto"/>
      </w:divBdr>
    </w:div>
    <w:div w:id="939992533">
      <w:bodyDiv w:val="1"/>
      <w:marLeft w:val="0"/>
      <w:marRight w:val="0"/>
      <w:marTop w:val="0"/>
      <w:marBottom w:val="0"/>
      <w:divBdr>
        <w:top w:val="none" w:sz="0" w:space="0" w:color="auto"/>
        <w:left w:val="none" w:sz="0" w:space="0" w:color="auto"/>
        <w:bottom w:val="none" w:sz="0" w:space="0" w:color="auto"/>
        <w:right w:val="none" w:sz="0" w:space="0" w:color="auto"/>
      </w:divBdr>
    </w:div>
    <w:div w:id="1157644692">
      <w:bodyDiv w:val="1"/>
      <w:marLeft w:val="0"/>
      <w:marRight w:val="0"/>
      <w:marTop w:val="0"/>
      <w:marBottom w:val="0"/>
      <w:divBdr>
        <w:top w:val="none" w:sz="0" w:space="0" w:color="auto"/>
        <w:left w:val="none" w:sz="0" w:space="0" w:color="auto"/>
        <w:bottom w:val="none" w:sz="0" w:space="0" w:color="auto"/>
        <w:right w:val="none" w:sz="0" w:space="0" w:color="auto"/>
      </w:divBdr>
    </w:div>
    <w:div w:id="1246839164">
      <w:bodyDiv w:val="1"/>
      <w:marLeft w:val="0"/>
      <w:marRight w:val="0"/>
      <w:marTop w:val="0"/>
      <w:marBottom w:val="0"/>
      <w:divBdr>
        <w:top w:val="none" w:sz="0" w:space="0" w:color="auto"/>
        <w:left w:val="none" w:sz="0" w:space="0" w:color="auto"/>
        <w:bottom w:val="none" w:sz="0" w:space="0" w:color="auto"/>
        <w:right w:val="none" w:sz="0" w:space="0" w:color="auto"/>
      </w:divBdr>
    </w:div>
    <w:div w:id="1324356898">
      <w:bodyDiv w:val="1"/>
      <w:marLeft w:val="0"/>
      <w:marRight w:val="0"/>
      <w:marTop w:val="0"/>
      <w:marBottom w:val="0"/>
      <w:divBdr>
        <w:top w:val="none" w:sz="0" w:space="0" w:color="auto"/>
        <w:left w:val="none" w:sz="0" w:space="0" w:color="auto"/>
        <w:bottom w:val="none" w:sz="0" w:space="0" w:color="auto"/>
        <w:right w:val="none" w:sz="0" w:space="0" w:color="auto"/>
      </w:divBdr>
    </w:div>
    <w:div w:id="1326934522">
      <w:bodyDiv w:val="1"/>
      <w:marLeft w:val="0"/>
      <w:marRight w:val="0"/>
      <w:marTop w:val="0"/>
      <w:marBottom w:val="0"/>
      <w:divBdr>
        <w:top w:val="none" w:sz="0" w:space="0" w:color="auto"/>
        <w:left w:val="none" w:sz="0" w:space="0" w:color="auto"/>
        <w:bottom w:val="none" w:sz="0" w:space="0" w:color="auto"/>
        <w:right w:val="none" w:sz="0" w:space="0" w:color="auto"/>
      </w:divBdr>
    </w:div>
    <w:div w:id="1530608289">
      <w:bodyDiv w:val="1"/>
      <w:marLeft w:val="0"/>
      <w:marRight w:val="0"/>
      <w:marTop w:val="0"/>
      <w:marBottom w:val="0"/>
      <w:divBdr>
        <w:top w:val="none" w:sz="0" w:space="0" w:color="auto"/>
        <w:left w:val="none" w:sz="0" w:space="0" w:color="auto"/>
        <w:bottom w:val="none" w:sz="0" w:space="0" w:color="auto"/>
        <w:right w:val="none" w:sz="0" w:space="0" w:color="auto"/>
      </w:divBdr>
    </w:div>
    <w:div w:id="1540703571">
      <w:bodyDiv w:val="1"/>
      <w:marLeft w:val="0"/>
      <w:marRight w:val="0"/>
      <w:marTop w:val="0"/>
      <w:marBottom w:val="0"/>
      <w:divBdr>
        <w:top w:val="none" w:sz="0" w:space="0" w:color="auto"/>
        <w:left w:val="none" w:sz="0" w:space="0" w:color="auto"/>
        <w:bottom w:val="none" w:sz="0" w:space="0" w:color="auto"/>
        <w:right w:val="none" w:sz="0" w:space="0" w:color="auto"/>
      </w:divBdr>
    </w:div>
    <w:div w:id="1633513315">
      <w:bodyDiv w:val="1"/>
      <w:marLeft w:val="0"/>
      <w:marRight w:val="0"/>
      <w:marTop w:val="0"/>
      <w:marBottom w:val="0"/>
      <w:divBdr>
        <w:top w:val="none" w:sz="0" w:space="0" w:color="auto"/>
        <w:left w:val="none" w:sz="0" w:space="0" w:color="auto"/>
        <w:bottom w:val="none" w:sz="0" w:space="0" w:color="auto"/>
        <w:right w:val="none" w:sz="0" w:space="0" w:color="auto"/>
      </w:divBdr>
    </w:div>
    <w:div w:id="1710687215">
      <w:bodyDiv w:val="1"/>
      <w:marLeft w:val="0"/>
      <w:marRight w:val="0"/>
      <w:marTop w:val="0"/>
      <w:marBottom w:val="0"/>
      <w:divBdr>
        <w:top w:val="none" w:sz="0" w:space="0" w:color="auto"/>
        <w:left w:val="none" w:sz="0" w:space="0" w:color="auto"/>
        <w:bottom w:val="none" w:sz="0" w:space="0" w:color="auto"/>
        <w:right w:val="none" w:sz="0" w:space="0" w:color="auto"/>
      </w:divBdr>
    </w:div>
    <w:div w:id="1897817336">
      <w:bodyDiv w:val="1"/>
      <w:marLeft w:val="0"/>
      <w:marRight w:val="0"/>
      <w:marTop w:val="0"/>
      <w:marBottom w:val="0"/>
      <w:divBdr>
        <w:top w:val="none" w:sz="0" w:space="0" w:color="auto"/>
        <w:left w:val="none" w:sz="0" w:space="0" w:color="auto"/>
        <w:bottom w:val="none" w:sz="0" w:space="0" w:color="auto"/>
        <w:right w:val="none" w:sz="0" w:space="0" w:color="auto"/>
      </w:divBdr>
    </w:div>
    <w:div w:id="212110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footer" Target="footer2.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6.xml"/><Relationship Id="rId10" Type="http://schemas.openxmlformats.org/officeDocument/2006/relationships/hyperlink" Target="http://www.tga.gov.au/hp/information-medicines-pi.htm"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eader" Target="header4.xml"/><Relationship Id="rId52" Type="http://schemas.openxmlformats.org/officeDocument/2006/relationships/header" Target="header8.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3.xml"/><Relationship Id="rId48" Type="http://schemas.openxmlformats.org/officeDocument/2006/relationships/hyperlink" Target="http://www.tga.gov.au" TargetMode="Externa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84C22-79C0-4806-91CB-497AFB67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194</TotalTime>
  <Pages>124</Pages>
  <Words>50959</Words>
  <Characters>290472</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Attachment: Extract from Clinical Evaluation Report: Simoctocog alfa rhu</vt:lpstr>
    </vt:vector>
  </TitlesOfParts>
  <Company>Therapeutic Goods Administration</Company>
  <LinksUpToDate>false</LinksUpToDate>
  <CharactersWithSpaces>340750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Simoctocog alfa rhu</dc:title>
  <dc:subject>prescription medicines</dc:subject>
  <dc:creator>Therapeutic Goods Administration</dc:creator>
  <cp:keywords>AusPARs</cp:keywords>
  <cp:lastModifiedBy>Lack, Janet</cp:lastModifiedBy>
  <cp:revision>4</cp:revision>
  <cp:lastPrinted>2016-02-18T03:12:00Z</cp:lastPrinted>
  <dcterms:created xsi:type="dcterms:W3CDTF">2016-06-09T03:41:00Z</dcterms:created>
  <dcterms:modified xsi:type="dcterms:W3CDTF">2016-06-15T04:57:00Z</dcterms:modified>
</cp:coreProperties>
</file>