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4AB" w:rsidRPr="004B179B" w:rsidRDefault="00DC14AB" w:rsidP="00DC14AB">
      <w:pPr>
        <w:pStyle w:val="Heading1"/>
        <w:rPr>
          <w:bCs/>
          <w:sz w:val="28"/>
          <w:szCs w:val="28"/>
          <w:lang w:val="en-GB"/>
        </w:rPr>
      </w:pPr>
      <w:bookmarkStart w:id="0" w:name="_GoBack"/>
      <w:bookmarkEnd w:id="0"/>
      <w:r w:rsidRPr="004B179B">
        <w:rPr>
          <w:bCs/>
          <w:sz w:val="28"/>
          <w:szCs w:val="28"/>
          <w:lang w:val="en-GB"/>
        </w:rPr>
        <w:t>Product Information</w:t>
      </w:r>
    </w:p>
    <w:p w:rsidR="00DE0438" w:rsidRPr="008D7691" w:rsidRDefault="006E3127" w:rsidP="00D44780">
      <w:pPr>
        <w:pStyle w:val="Heading1"/>
        <w:rPr>
          <w:rFonts w:ascii="Times New Roman Bold" w:hAnsi="Times New Roman Bold"/>
          <w:bCs/>
          <w:caps w:val="0"/>
          <w:vertAlign w:val="superscript"/>
          <w:lang w:val="en-GB"/>
        </w:rPr>
      </w:pPr>
      <w:r>
        <w:rPr>
          <w:rFonts w:ascii="Times New Roman Bold" w:hAnsi="Times New Roman Bold"/>
          <w:bCs/>
          <w:caps w:val="0"/>
          <w:lang w:val="en-GB"/>
        </w:rPr>
        <w:t>Nuwiq</w:t>
      </w:r>
    </w:p>
    <w:p w:rsidR="00F22787" w:rsidRPr="004B179B" w:rsidRDefault="00DE0438">
      <w:pPr>
        <w:pStyle w:val="Heading1"/>
        <w:rPr>
          <w:lang w:val="en-GB"/>
        </w:rPr>
      </w:pPr>
      <w:r w:rsidRPr="004B179B">
        <w:rPr>
          <w:lang w:val="en-GB"/>
        </w:rPr>
        <w:t xml:space="preserve">Name of </w:t>
      </w:r>
      <w:r w:rsidR="003F697B" w:rsidRPr="004B179B">
        <w:rPr>
          <w:lang w:val="en-GB"/>
        </w:rPr>
        <w:t>the medicine</w:t>
      </w:r>
    </w:p>
    <w:p w:rsidR="00342508" w:rsidRDefault="006E3127" w:rsidP="003C726D">
      <w:pPr>
        <w:pStyle w:val="ATextBericht"/>
        <w:spacing w:before="160" w:after="120"/>
      </w:pPr>
      <w:r>
        <w:t>Nuwiq</w:t>
      </w:r>
      <w:r w:rsidR="008A66CB" w:rsidRPr="004B179B">
        <w:t xml:space="preserve"> </w:t>
      </w:r>
      <w:r w:rsidR="007E5599" w:rsidRPr="004B179B">
        <w:t>Human cell line recombinant human factor VIII (Human-cl rhFVIII), powder and solvent for solution for injection.</w:t>
      </w:r>
    </w:p>
    <w:p w:rsidR="00B12A34" w:rsidRDefault="00342508">
      <w:pPr>
        <w:pStyle w:val="ATextBericht"/>
        <w:spacing w:before="160" w:after="120"/>
        <w:jc w:val="left"/>
        <w:rPr>
          <w:sz w:val="22"/>
        </w:rPr>
      </w:pPr>
      <w:r>
        <w:t>A</w:t>
      </w:r>
      <w:r w:rsidR="006E3127">
        <w:t>ctive ingredient</w:t>
      </w:r>
      <w:r>
        <w:t xml:space="preserve">: </w:t>
      </w:r>
      <w:r w:rsidR="006E3127">
        <w:t>simoctocog alfa.</w:t>
      </w:r>
      <w:r>
        <w:br/>
        <w:t xml:space="preserve">CAS number: </w:t>
      </w:r>
      <w:r w:rsidRPr="00342508">
        <w:t>1219013-68-9</w:t>
      </w:r>
    </w:p>
    <w:p w:rsidR="00F22787" w:rsidRPr="004B179B" w:rsidRDefault="00F22787">
      <w:pPr>
        <w:pStyle w:val="Heading1"/>
        <w:ind w:left="0" w:firstLine="0"/>
        <w:rPr>
          <w:lang w:val="en-GB"/>
        </w:rPr>
      </w:pPr>
      <w:r w:rsidRPr="004B179B">
        <w:rPr>
          <w:lang w:val="en-GB"/>
        </w:rPr>
        <w:t>Description</w:t>
      </w:r>
    </w:p>
    <w:p w:rsidR="0050096A" w:rsidRPr="004B179B" w:rsidRDefault="006E3127" w:rsidP="00E07084">
      <w:pPr>
        <w:rPr>
          <w:lang w:val="en-AU"/>
        </w:rPr>
      </w:pPr>
      <w:r>
        <w:t>Nuwiq</w:t>
      </w:r>
      <w:r w:rsidR="00397CB9" w:rsidRPr="004B179B">
        <w:rPr>
          <w:lang w:val="en-AU"/>
        </w:rPr>
        <w:t xml:space="preserve"> </w:t>
      </w:r>
      <w:r w:rsidR="00F22787" w:rsidRPr="004B179B">
        <w:rPr>
          <w:lang w:val="en-AU"/>
        </w:rPr>
        <w:t xml:space="preserve">contains </w:t>
      </w:r>
      <w:r w:rsidR="007E5599" w:rsidRPr="004B179B">
        <w:rPr>
          <w:lang w:val="en-AU"/>
        </w:rPr>
        <w:t>s</w:t>
      </w:r>
      <w:r w:rsidR="007E5599" w:rsidRPr="004B179B">
        <w:t>imoctocog alfa (human coagulation factor VIII (rDNA))</w:t>
      </w:r>
      <w:r w:rsidR="007E5599" w:rsidRPr="004B179B">
        <w:rPr>
          <w:lang w:val="en-US"/>
        </w:rPr>
        <w:t xml:space="preserve"> which </w:t>
      </w:r>
      <w:r w:rsidR="007E5599" w:rsidRPr="004B179B">
        <w:t xml:space="preserve">is a purified protein that has 1440 amino acids. The amino acid sequence is comparable to the 90 + 80 kDa form of human plasma factor VIII (i.e. B-domain deleted). Human-cl rhFVIII is produced by recombinant DNA technology in genetically modified </w:t>
      </w:r>
      <w:r w:rsidR="007E5599" w:rsidRPr="004B179B">
        <w:rPr>
          <w:lang w:val="en-US"/>
        </w:rPr>
        <w:t>human embryonic kidney (HEK) 293F</w:t>
      </w:r>
      <w:r w:rsidR="007E5599" w:rsidRPr="004B179B">
        <w:rPr>
          <w:b/>
          <w:lang w:val="en-US"/>
        </w:rPr>
        <w:t xml:space="preserve"> </w:t>
      </w:r>
      <w:r w:rsidR="007E5599" w:rsidRPr="004B179B">
        <w:rPr>
          <w:lang w:val="en-US"/>
        </w:rPr>
        <w:t xml:space="preserve">cells. No animal or human derived materials are added during the manufacturing process or to the final medicinal product. </w:t>
      </w:r>
      <w:r w:rsidR="007E5599" w:rsidRPr="004B179B">
        <w:t>Post-translational modifications of Human-cl rhFVIII are similar to endogenous human coagulation factor VIII of healthy subjects, and thus antigenic carbohydrate epitopes, as described for recombinant factor VIII expressed in hamster cell lines, are not present</w:t>
      </w:r>
      <w:r w:rsidR="0050096A" w:rsidRPr="004B179B">
        <w:rPr>
          <w:lang w:val="en-AU"/>
        </w:rPr>
        <w:t>.</w:t>
      </w:r>
    </w:p>
    <w:p w:rsidR="0050096A" w:rsidRPr="004B179B" w:rsidRDefault="006E3127" w:rsidP="00E07084">
      <w:pPr>
        <w:autoSpaceDE w:val="0"/>
        <w:autoSpaceDN w:val="0"/>
        <w:adjustRightInd w:val="0"/>
        <w:rPr>
          <w:sz w:val="23"/>
          <w:szCs w:val="23"/>
          <w:lang w:val="en-AU" w:eastAsia="en-AU"/>
        </w:rPr>
      </w:pPr>
      <w:r>
        <w:t>Nuwiq</w:t>
      </w:r>
      <w:r w:rsidR="00397CB9" w:rsidRPr="004B179B">
        <w:rPr>
          <w:sz w:val="23"/>
          <w:szCs w:val="23"/>
          <w:lang w:val="en-AU" w:eastAsia="en-AU"/>
        </w:rPr>
        <w:t xml:space="preserve"> </w:t>
      </w:r>
      <w:r w:rsidR="0050096A" w:rsidRPr="004B179B">
        <w:rPr>
          <w:sz w:val="23"/>
          <w:szCs w:val="23"/>
          <w:lang w:val="en-AU" w:eastAsia="en-AU"/>
        </w:rPr>
        <w:t xml:space="preserve">is presented as a powder and solvent for solution for injection. </w:t>
      </w:r>
      <w:r>
        <w:t>Nuwiq</w:t>
      </w:r>
      <w:r w:rsidR="00397CB9" w:rsidRPr="004B179B">
        <w:rPr>
          <w:sz w:val="23"/>
          <w:szCs w:val="23"/>
          <w:lang w:val="en-AU" w:eastAsia="en-AU"/>
        </w:rPr>
        <w:t xml:space="preserve"> </w:t>
      </w:r>
      <w:r w:rsidR="0050096A" w:rsidRPr="004B179B">
        <w:rPr>
          <w:sz w:val="23"/>
          <w:szCs w:val="23"/>
          <w:lang w:val="en-AU" w:eastAsia="en-AU"/>
        </w:rPr>
        <w:t>is available in the following presentations:</w:t>
      </w:r>
    </w:p>
    <w:p w:rsidR="0050096A" w:rsidRPr="004B179B" w:rsidRDefault="006E3127" w:rsidP="003C726D">
      <w:pPr>
        <w:numPr>
          <w:ilvl w:val="0"/>
          <w:numId w:val="28"/>
        </w:numPr>
        <w:autoSpaceDE w:val="0"/>
        <w:autoSpaceDN w:val="0"/>
        <w:adjustRightInd w:val="0"/>
        <w:spacing w:before="120"/>
        <w:ind w:left="714" w:hanging="357"/>
        <w:rPr>
          <w:sz w:val="23"/>
          <w:szCs w:val="23"/>
          <w:lang w:val="en-AU" w:eastAsia="en-AU"/>
        </w:rPr>
      </w:pPr>
      <w:r>
        <w:t>Nuwiq</w:t>
      </w:r>
      <w:r w:rsidR="00397CB9" w:rsidRPr="004B179B">
        <w:rPr>
          <w:sz w:val="23"/>
          <w:szCs w:val="23"/>
          <w:lang w:val="en-AU" w:eastAsia="en-AU"/>
        </w:rPr>
        <w:t xml:space="preserve"> </w:t>
      </w:r>
      <w:r w:rsidR="0050096A" w:rsidRPr="004B179B">
        <w:rPr>
          <w:sz w:val="23"/>
          <w:szCs w:val="23"/>
          <w:lang w:val="en-AU" w:eastAsia="en-AU"/>
        </w:rPr>
        <w:t xml:space="preserve">250 containing nominally 250 IU </w:t>
      </w:r>
      <w:r w:rsidR="003C726D" w:rsidRPr="004B179B">
        <w:rPr>
          <w:lang w:val="en-US"/>
        </w:rPr>
        <w:t>simoctocog alfa</w:t>
      </w:r>
      <w:r w:rsidR="003C726D" w:rsidRPr="004B179B">
        <w:rPr>
          <w:sz w:val="23"/>
          <w:szCs w:val="23"/>
          <w:lang w:val="en-AU" w:eastAsia="en-AU"/>
        </w:rPr>
        <w:t xml:space="preserve"> </w:t>
      </w:r>
      <w:r w:rsidR="0050096A" w:rsidRPr="004B179B">
        <w:rPr>
          <w:sz w:val="23"/>
          <w:szCs w:val="23"/>
          <w:lang w:val="en-AU" w:eastAsia="en-AU"/>
        </w:rPr>
        <w:t>per vial. The product contains approximately 100 IU/mL human coagulation factor VIII when reconstituted with 2.5 mL of Water for Injections</w:t>
      </w:r>
      <w:r w:rsidR="00947BA3" w:rsidRPr="004B179B">
        <w:rPr>
          <w:sz w:val="23"/>
          <w:szCs w:val="23"/>
          <w:lang w:val="en-AU" w:eastAsia="en-AU"/>
        </w:rPr>
        <w:t xml:space="preserve"> (WFI)</w:t>
      </w:r>
      <w:r w:rsidR="0050096A" w:rsidRPr="004B179B">
        <w:rPr>
          <w:sz w:val="23"/>
          <w:szCs w:val="23"/>
          <w:lang w:val="en-AU" w:eastAsia="en-AU"/>
        </w:rPr>
        <w:t>.</w:t>
      </w:r>
    </w:p>
    <w:p w:rsidR="0050096A" w:rsidRPr="004B179B" w:rsidRDefault="006E3127" w:rsidP="003C726D">
      <w:pPr>
        <w:numPr>
          <w:ilvl w:val="0"/>
          <w:numId w:val="28"/>
        </w:numPr>
        <w:autoSpaceDE w:val="0"/>
        <w:autoSpaceDN w:val="0"/>
        <w:adjustRightInd w:val="0"/>
        <w:spacing w:before="120"/>
        <w:ind w:left="714" w:hanging="357"/>
        <w:rPr>
          <w:sz w:val="23"/>
          <w:szCs w:val="23"/>
          <w:lang w:val="en-AU" w:eastAsia="en-AU"/>
        </w:rPr>
      </w:pPr>
      <w:r>
        <w:t>Nuwiq</w:t>
      </w:r>
      <w:r w:rsidR="00397CB9" w:rsidRPr="004B179B">
        <w:rPr>
          <w:sz w:val="23"/>
          <w:szCs w:val="23"/>
          <w:lang w:val="en-AU" w:eastAsia="en-AU"/>
        </w:rPr>
        <w:t xml:space="preserve"> </w:t>
      </w:r>
      <w:r w:rsidR="0050096A" w:rsidRPr="004B179B">
        <w:rPr>
          <w:sz w:val="23"/>
          <w:szCs w:val="23"/>
          <w:lang w:val="en-AU" w:eastAsia="en-AU"/>
        </w:rPr>
        <w:t xml:space="preserve">500 containing nominally 500 IU </w:t>
      </w:r>
      <w:r w:rsidR="003C726D" w:rsidRPr="004B179B">
        <w:rPr>
          <w:lang w:val="en-US"/>
        </w:rPr>
        <w:t>simoctocog alfa</w:t>
      </w:r>
      <w:r w:rsidR="0050096A" w:rsidRPr="004B179B">
        <w:rPr>
          <w:sz w:val="23"/>
          <w:szCs w:val="23"/>
          <w:lang w:val="en-AU" w:eastAsia="en-AU"/>
        </w:rPr>
        <w:t xml:space="preserve"> per vial. The </w:t>
      </w:r>
      <w:r w:rsidR="00E07084" w:rsidRPr="004B179B">
        <w:rPr>
          <w:sz w:val="23"/>
          <w:szCs w:val="23"/>
          <w:lang w:val="en-AU" w:eastAsia="en-AU"/>
        </w:rPr>
        <w:t>product contains approximately 20</w:t>
      </w:r>
      <w:r w:rsidR="0050096A" w:rsidRPr="004B179B">
        <w:rPr>
          <w:sz w:val="23"/>
          <w:szCs w:val="23"/>
          <w:lang w:val="en-AU" w:eastAsia="en-AU"/>
        </w:rPr>
        <w:t>0 IU/mL human coagulation factor VIII</w:t>
      </w:r>
      <w:r w:rsidR="00E07084" w:rsidRPr="004B179B">
        <w:rPr>
          <w:sz w:val="23"/>
          <w:szCs w:val="23"/>
          <w:lang w:val="en-AU" w:eastAsia="en-AU"/>
        </w:rPr>
        <w:t xml:space="preserve"> </w:t>
      </w:r>
      <w:r w:rsidR="0050096A" w:rsidRPr="004B179B">
        <w:rPr>
          <w:sz w:val="23"/>
          <w:szCs w:val="23"/>
          <w:lang w:val="en-AU" w:eastAsia="en-AU"/>
        </w:rPr>
        <w:t>when reconstitu</w:t>
      </w:r>
      <w:r w:rsidR="00E07084" w:rsidRPr="004B179B">
        <w:rPr>
          <w:sz w:val="23"/>
          <w:szCs w:val="23"/>
          <w:lang w:val="en-AU" w:eastAsia="en-AU"/>
        </w:rPr>
        <w:t>ted with 2.5</w:t>
      </w:r>
      <w:r w:rsidR="0050096A" w:rsidRPr="004B179B">
        <w:rPr>
          <w:sz w:val="23"/>
          <w:szCs w:val="23"/>
          <w:lang w:val="en-AU" w:eastAsia="en-AU"/>
        </w:rPr>
        <w:t xml:space="preserve"> mL of </w:t>
      </w:r>
      <w:r w:rsidR="00947BA3" w:rsidRPr="004B179B">
        <w:rPr>
          <w:sz w:val="23"/>
          <w:szCs w:val="23"/>
          <w:lang w:val="en-AU" w:eastAsia="en-AU"/>
        </w:rPr>
        <w:t>WFI</w:t>
      </w:r>
      <w:r w:rsidR="0050096A" w:rsidRPr="004B179B">
        <w:rPr>
          <w:sz w:val="23"/>
          <w:szCs w:val="23"/>
          <w:lang w:val="en-AU" w:eastAsia="en-AU"/>
        </w:rPr>
        <w:t>.</w:t>
      </w:r>
    </w:p>
    <w:p w:rsidR="0050096A" w:rsidRPr="004B179B" w:rsidRDefault="006E3127" w:rsidP="003C726D">
      <w:pPr>
        <w:numPr>
          <w:ilvl w:val="0"/>
          <w:numId w:val="28"/>
        </w:numPr>
        <w:autoSpaceDE w:val="0"/>
        <w:autoSpaceDN w:val="0"/>
        <w:adjustRightInd w:val="0"/>
        <w:spacing w:before="120"/>
        <w:ind w:left="714" w:hanging="357"/>
        <w:rPr>
          <w:lang w:val="en-AU"/>
        </w:rPr>
      </w:pPr>
      <w:r>
        <w:t>Nuwiq</w:t>
      </w:r>
      <w:r w:rsidR="00397CB9" w:rsidRPr="004B179B">
        <w:rPr>
          <w:sz w:val="23"/>
          <w:szCs w:val="23"/>
          <w:lang w:val="en-AU" w:eastAsia="en-AU"/>
        </w:rPr>
        <w:t xml:space="preserve"> </w:t>
      </w:r>
      <w:r w:rsidR="0050096A" w:rsidRPr="004B179B">
        <w:rPr>
          <w:sz w:val="23"/>
          <w:szCs w:val="23"/>
          <w:lang w:val="en-AU" w:eastAsia="en-AU"/>
        </w:rPr>
        <w:t xml:space="preserve">1000 containing nominally 1000 IU </w:t>
      </w:r>
      <w:r w:rsidR="003C726D" w:rsidRPr="004B179B">
        <w:rPr>
          <w:lang w:val="en-US"/>
        </w:rPr>
        <w:t>simoctocog alfa</w:t>
      </w:r>
      <w:r w:rsidR="00E07084" w:rsidRPr="004B179B">
        <w:rPr>
          <w:sz w:val="23"/>
          <w:szCs w:val="23"/>
          <w:lang w:val="en-AU" w:eastAsia="en-AU"/>
        </w:rPr>
        <w:t xml:space="preserve"> </w:t>
      </w:r>
      <w:r w:rsidR="0050096A" w:rsidRPr="004B179B">
        <w:rPr>
          <w:sz w:val="23"/>
          <w:szCs w:val="23"/>
          <w:lang w:val="en-AU" w:eastAsia="en-AU"/>
        </w:rPr>
        <w:t xml:space="preserve">per vial. The </w:t>
      </w:r>
      <w:r w:rsidR="00E07084" w:rsidRPr="004B179B">
        <w:rPr>
          <w:sz w:val="23"/>
          <w:szCs w:val="23"/>
          <w:lang w:val="en-AU" w:eastAsia="en-AU"/>
        </w:rPr>
        <w:t>product contains approximately 4</w:t>
      </w:r>
      <w:r w:rsidR="0050096A" w:rsidRPr="004B179B">
        <w:rPr>
          <w:sz w:val="23"/>
          <w:szCs w:val="23"/>
          <w:lang w:val="en-AU" w:eastAsia="en-AU"/>
        </w:rPr>
        <w:t>00 IU/mL human coagulation factor</w:t>
      </w:r>
      <w:r w:rsidR="00E07084" w:rsidRPr="004B179B">
        <w:rPr>
          <w:sz w:val="23"/>
          <w:szCs w:val="23"/>
          <w:lang w:val="en-AU" w:eastAsia="en-AU"/>
        </w:rPr>
        <w:t xml:space="preserve"> VIII when reconstituted with 2.5</w:t>
      </w:r>
      <w:r w:rsidR="0050096A" w:rsidRPr="004B179B">
        <w:rPr>
          <w:sz w:val="23"/>
          <w:szCs w:val="23"/>
          <w:lang w:val="en-AU" w:eastAsia="en-AU"/>
        </w:rPr>
        <w:t xml:space="preserve"> mL of </w:t>
      </w:r>
      <w:r w:rsidR="00947BA3" w:rsidRPr="004B179B">
        <w:rPr>
          <w:sz w:val="23"/>
          <w:szCs w:val="23"/>
          <w:lang w:val="en-AU" w:eastAsia="en-AU"/>
        </w:rPr>
        <w:t>WFI</w:t>
      </w:r>
      <w:r w:rsidR="0050096A" w:rsidRPr="004B179B">
        <w:rPr>
          <w:sz w:val="23"/>
          <w:szCs w:val="23"/>
          <w:lang w:val="en-AU" w:eastAsia="en-AU"/>
        </w:rPr>
        <w:t>.</w:t>
      </w:r>
    </w:p>
    <w:p w:rsidR="00E07084" w:rsidRPr="004B179B" w:rsidRDefault="006E3127" w:rsidP="003C726D">
      <w:pPr>
        <w:numPr>
          <w:ilvl w:val="0"/>
          <w:numId w:val="28"/>
        </w:numPr>
        <w:autoSpaceDE w:val="0"/>
        <w:autoSpaceDN w:val="0"/>
        <w:adjustRightInd w:val="0"/>
        <w:spacing w:before="120"/>
        <w:ind w:left="714" w:hanging="357"/>
        <w:rPr>
          <w:lang w:val="en-AU"/>
        </w:rPr>
      </w:pPr>
      <w:r>
        <w:t>Nuwiq</w:t>
      </w:r>
      <w:r w:rsidR="00397CB9" w:rsidRPr="004B179B">
        <w:rPr>
          <w:sz w:val="23"/>
          <w:szCs w:val="23"/>
          <w:lang w:val="en-AU" w:eastAsia="en-AU"/>
        </w:rPr>
        <w:t xml:space="preserve"> </w:t>
      </w:r>
      <w:r w:rsidR="00E07084" w:rsidRPr="004B179B">
        <w:rPr>
          <w:sz w:val="23"/>
          <w:szCs w:val="23"/>
          <w:lang w:val="en-AU" w:eastAsia="en-AU"/>
        </w:rPr>
        <w:t xml:space="preserve">2000 containing nominally 2000 IU </w:t>
      </w:r>
      <w:r w:rsidR="003C726D" w:rsidRPr="004B179B">
        <w:rPr>
          <w:lang w:val="en-US"/>
        </w:rPr>
        <w:t>simoctocog alfa</w:t>
      </w:r>
      <w:r w:rsidR="00E07084" w:rsidRPr="004B179B">
        <w:rPr>
          <w:sz w:val="23"/>
          <w:szCs w:val="23"/>
          <w:lang w:val="en-AU" w:eastAsia="en-AU"/>
        </w:rPr>
        <w:t xml:space="preserve"> per vial. The product contains approximately 800 IU/mL human coagulation factor VIII when reconstituted with 2.5 mL of </w:t>
      </w:r>
      <w:r w:rsidR="00947BA3" w:rsidRPr="004B179B">
        <w:rPr>
          <w:sz w:val="23"/>
          <w:szCs w:val="23"/>
          <w:lang w:val="en-AU" w:eastAsia="en-AU"/>
        </w:rPr>
        <w:t>WFI</w:t>
      </w:r>
      <w:r w:rsidR="00E07084" w:rsidRPr="004B179B">
        <w:rPr>
          <w:sz w:val="23"/>
          <w:szCs w:val="23"/>
          <w:lang w:val="en-AU" w:eastAsia="en-AU"/>
        </w:rPr>
        <w:t>.</w:t>
      </w:r>
    </w:p>
    <w:p w:rsidR="007E5599" w:rsidRPr="004B179B" w:rsidRDefault="007E5599" w:rsidP="00521823">
      <w:pPr>
        <w:rPr>
          <w:sz w:val="22"/>
        </w:rPr>
      </w:pPr>
      <w:r w:rsidRPr="004B179B">
        <w:t xml:space="preserve">The potency (IU) is determined using the European Pharmacopoeia chromogenic assay. The specific activity of </w:t>
      </w:r>
      <w:r w:rsidR="006E3127">
        <w:t>Nuwiq</w:t>
      </w:r>
      <w:r w:rsidR="00C83E6F" w:rsidRPr="004B179B">
        <w:t xml:space="preserve"> </w:t>
      </w:r>
      <w:r w:rsidRPr="004B179B">
        <w:t>is approximately 9500 IU/mg protein.</w:t>
      </w:r>
    </w:p>
    <w:p w:rsidR="00430B64" w:rsidRPr="004B179B" w:rsidRDefault="00430B64" w:rsidP="003C726D">
      <w:pPr>
        <w:autoSpaceDE w:val="0"/>
        <w:autoSpaceDN w:val="0"/>
        <w:adjustRightInd w:val="0"/>
        <w:rPr>
          <w:sz w:val="23"/>
          <w:szCs w:val="23"/>
          <w:lang w:val="en-AU" w:eastAsia="en-AU"/>
        </w:rPr>
      </w:pPr>
      <w:r w:rsidRPr="004B179B">
        <w:rPr>
          <w:sz w:val="23"/>
          <w:szCs w:val="23"/>
          <w:lang w:val="en-AU" w:eastAsia="en-AU"/>
        </w:rPr>
        <w:t xml:space="preserve">1 vial of </w:t>
      </w:r>
      <w:r w:rsidR="006E3127">
        <w:t>Nuwiq</w:t>
      </w:r>
      <w:r w:rsidR="00397CB9" w:rsidRPr="004B179B">
        <w:rPr>
          <w:sz w:val="23"/>
          <w:szCs w:val="23"/>
          <w:lang w:val="en-AU" w:eastAsia="en-AU"/>
        </w:rPr>
        <w:t xml:space="preserve"> </w:t>
      </w:r>
      <w:r w:rsidRPr="004B179B">
        <w:rPr>
          <w:sz w:val="23"/>
          <w:szCs w:val="23"/>
          <w:lang w:val="en-AU" w:eastAsia="en-AU"/>
        </w:rPr>
        <w:t>contains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85"/>
        <w:gridCol w:w="1728"/>
        <w:gridCol w:w="1727"/>
        <w:gridCol w:w="1728"/>
      </w:tblGrid>
      <w:tr w:rsidR="00430B64" w:rsidRPr="007C54AA" w:rsidTr="007C54AA">
        <w:tc>
          <w:tcPr>
            <w:tcW w:w="2410" w:type="dxa"/>
          </w:tcPr>
          <w:p w:rsidR="00430B64" w:rsidRPr="007C54AA" w:rsidRDefault="00ED4A2E" w:rsidP="007C54AA">
            <w:pPr>
              <w:pStyle w:val="ATextBericht"/>
              <w:rPr>
                <w:b/>
                <w:lang w:eastAsia="en-AU"/>
              </w:rPr>
            </w:pPr>
            <w:r w:rsidRPr="007C54AA">
              <w:rPr>
                <w:b/>
                <w:lang w:eastAsia="en-AU"/>
              </w:rPr>
              <w:t>Human-</w:t>
            </w:r>
            <w:r w:rsidR="00521823" w:rsidRPr="007C54AA">
              <w:rPr>
                <w:b/>
                <w:lang w:eastAsia="en-AU"/>
              </w:rPr>
              <w:t>cl rh</w:t>
            </w:r>
            <w:r w:rsidRPr="007C54AA">
              <w:rPr>
                <w:b/>
                <w:lang w:eastAsia="en-AU"/>
              </w:rPr>
              <w:t>FVIII</w:t>
            </w:r>
          </w:p>
        </w:tc>
        <w:tc>
          <w:tcPr>
            <w:tcW w:w="1585" w:type="dxa"/>
          </w:tcPr>
          <w:p w:rsidR="00430B64" w:rsidRPr="007C54AA" w:rsidRDefault="00ED4A2E" w:rsidP="007C54AA">
            <w:pPr>
              <w:pStyle w:val="ATextBericht"/>
              <w:rPr>
                <w:b/>
                <w:lang w:eastAsia="en-AU"/>
              </w:rPr>
            </w:pPr>
            <w:r w:rsidRPr="007C54AA">
              <w:rPr>
                <w:b/>
                <w:lang w:eastAsia="en-AU"/>
              </w:rPr>
              <w:t>250 IU</w:t>
            </w:r>
          </w:p>
        </w:tc>
        <w:tc>
          <w:tcPr>
            <w:tcW w:w="1728" w:type="dxa"/>
          </w:tcPr>
          <w:p w:rsidR="00430B64" w:rsidRPr="007C54AA" w:rsidRDefault="00ED4A2E" w:rsidP="007C54AA">
            <w:pPr>
              <w:pStyle w:val="ATextBericht"/>
              <w:rPr>
                <w:b/>
                <w:lang w:eastAsia="en-AU"/>
              </w:rPr>
            </w:pPr>
            <w:r w:rsidRPr="007C54AA">
              <w:rPr>
                <w:b/>
                <w:lang w:eastAsia="en-AU"/>
              </w:rPr>
              <w:t>500 IU</w:t>
            </w:r>
          </w:p>
        </w:tc>
        <w:tc>
          <w:tcPr>
            <w:tcW w:w="1727" w:type="dxa"/>
          </w:tcPr>
          <w:p w:rsidR="00430B64" w:rsidRPr="007C54AA" w:rsidRDefault="00ED4A2E" w:rsidP="007C54AA">
            <w:pPr>
              <w:pStyle w:val="ATextBericht"/>
              <w:rPr>
                <w:b/>
                <w:lang w:eastAsia="en-AU"/>
              </w:rPr>
            </w:pPr>
            <w:r w:rsidRPr="007C54AA">
              <w:rPr>
                <w:b/>
                <w:lang w:eastAsia="en-AU"/>
              </w:rPr>
              <w:t>1000 IU</w:t>
            </w:r>
          </w:p>
        </w:tc>
        <w:tc>
          <w:tcPr>
            <w:tcW w:w="1728" w:type="dxa"/>
          </w:tcPr>
          <w:p w:rsidR="00430B64" w:rsidRPr="007C54AA" w:rsidRDefault="00ED4A2E" w:rsidP="007C54AA">
            <w:pPr>
              <w:pStyle w:val="ATextBericht"/>
              <w:rPr>
                <w:b/>
                <w:lang w:eastAsia="en-AU"/>
              </w:rPr>
            </w:pPr>
            <w:r w:rsidRPr="007C54AA">
              <w:rPr>
                <w:b/>
                <w:lang w:eastAsia="en-AU"/>
              </w:rPr>
              <w:t>2000 IU</w:t>
            </w:r>
          </w:p>
        </w:tc>
      </w:tr>
      <w:tr w:rsidR="00D2060D" w:rsidRPr="007C54AA" w:rsidTr="007C54AA">
        <w:tc>
          <w:tcPr>
            <w:tcW w:w="2410" w:type="dxa"/>
          </w:tcPr>
          <w:p w:rsidR="00D2060D" w:rsidRPr="004B179B" w:rsidRDefault="00D2060D" w:rsidP="007C54AA">
            <w:pPr>
              <w:pStyle w:val="ATextBericht"/>
              <w:rPr>
                <w:lang w:eastAsia="en-AU"/>
              </w:rPr>
            </w:pPr>
            <w:r w:rsidRPr="007C54AA">
              <w:rPr>
                <w:lang w:val="en-US"/>
              </w:rPr>
              <w:t>simoctocog alfa</w:t>
            </w:r>
          </w:p>
        </w:tc>
        <w:tc>
          <w:tcPr>
            <w:tcW w:w="1585" w:type="dxa"/>
          </w:tcPr>
          <w:p w:rsidR="00D2060D" w:rsidRPr="004B179B" w:rsidRDefault="00D2060D" w:rsidP="007C54AA">
            <w:pPr>
              <w:pStyle w:val="ATextBericht"/>
              <w:rPr>
                <w:lang w:eastAsia="en-AU"/>
              </w:rPr>
            </w:pPr>
            <w:r>
              <w:t>250 IU</w:t>
            </w:r>
          </w:p>
        </w:tc>
        <w:tc>
          <w:tcPr>
            <w:tcW w:w="1728" w:type="dxa"/>
          </w:tcPr>
          <w:p w:rsidR="00D2060D" w:rsidRPr="004B179B" w:rsidRDefault="00D2060D" w:rsidP="007C54AA">
            <w:pPr>
              <w:pStyle w:val="ATextBericht"/>
              <w:rPr>
                <w:lang w:eastAsia="en-AU"/>
              </w:rPr>
            </w:pPr>
            <w:r>
              <w:t>500 IU</w:t>
            </w:r>
          </w:p>
        </w:tc>
        <w:tc>
          <w:tcPr>
            <w:tcW w:w="1727" w:type="dxa"/>
          </w:tcPr>
          <w:p w:rsidR="00D2060D" w:rsidRPr="004B179B" w:rsidRDefault="00D2060D" w:rsidP="007C54AA">
            <w:pPr>
              <w:pStyle w:val="ATextBericht"/>
              <w:rPr>
                <w:lang w:eastAsia="en-AU"/>
              </w:rPr>
            </w:pPr>
            <w:r>
              <w:t>1000 IU</w:t>
            </w:r>
          </w:p>
        </w:tc>
        <w:tc>
          <w:tcPr>
            <w:tcW w:w="1728" w:type="dxa"/>
          </w:tcPr>
          <w:p w:rsidR="00D2060D" w:rsidRPr="004B179B" w:rsidRDefault="00D2060D" w:rsidP="007C54AA">
            <w:pPr>
              <w:pStyle w:val="ATextBericht"/>
              <w:rPr>
                <w:lang w:eastAsia="en-AU"/>
              </w:rPr>
            </w:pPr>
            <w:r>
              <w:t>2000 IU</w:t>
            </w:r>
          </w:p>
        </w:tc>
      </w:tr>
    </w:tbl>
    <w:p w:rsidR="00E345D1" w:rsidRDefault="00E345D1" w:rsidP="00E345D1">
      <w:pPr>
        <w:autoSpaceDE w:val="0"/>
        <w:autoSpaceDN w:val="0"/>
        <w:adjustRightInd w:val="0"/>
        <w:rPr>
          <w:sz w:val="23"/>
          <w:szCs w:val="23"/>
          <w:lang w:val="en-AU" w:eastAsia="en-AU"/>
        </w:rPr>
      </w:pPr>
      <w:r>
        <w:rPr>
          <w:sz w:val="23"/>
          <w:szCs w:val="23"/>
          <w:lang w:val="en-AU" w:eastAsia="en-AU"/>
        </w:rPr>
        <w:t>Active ingredient: simoctocog alfa</w:t>
      </w:r>
    </w:p>
    <w:p w:rsidR="00E345D1" w:rsidRPr="00E345D1" w:rsidRDefault="00E345D1" w:rsidP="00E345D1">
      <w:pPr>
        <w:autoSpaceDE w:val="0"/>
        <w:autoSpaceDN w:val="0"/>
        <w:adjustRightInd w:val="0"/>
        <w:rPr>
          <w:sz w:val="23"/>
          <w:szCs w:val="23"/>
          <w:lang w:val="en-US" w:eastAsia="en-AU"/>
        </w:rPr>
      </w:pPr>
      <w:r w:rsidRPr="00E345D1">
        <w:rPr>
          <w:sz w:val="23"/>
          <w:szCs w:val="23"/>
          <w:lang w:val="en-AU" w:eastAsia="en-AU"/>
        </w:rPr>
        <w:lastRenderedPageBreak/>
        <w:t>Exci</w:t>
      </w:r>
      <w:r>
        <w:rPr>
          <w:sz w:val="23"/>
          <w:szCs w:val="23"/>
          <w:lang w:val="en-AU" w:eastAsia="en-AU"/>
        </w:rPr>
        <w:t>pients: sucrose, s</w:t>
      </w:r>
      <w:r w:rsidRPr="00E345D1">
        <w:rPr>
          <w:iCs/>
          <w:szCs w:val="22"/>
        </w:rPr>
        <w:t>odium chloride</w:t>
      </w:r>
      <w:r w:rsidRPr="00E345D1">
        <w:rPr>
          <w:iCs/>
          <w:szCs w:val="22"/>
          <w:lang w:val="en-US"/>
        </w:rPr>
        <w:t xml:space="preserve">, </w:t>
      </w:r>
      <w:r>
        <w:rPr>
          <w:iCs/>
          <w:szCs w:val="22"/>
          <w:lang w:val="en-US"/>
        </w:rPr>
        <w:t>c</w:t>
      </w:r>
      <w:r w:rsidRPr="00E345D1">
        <w:rPr>
          <w:iCs/>
          <w:szCs w:val="22"/>
        </w:rPr>
        <w:t>alcium chloride</w:t>
      </w:r>
      <w:r w:rsidRPr="00E345D1">
        <w:rPr>
          <w:iCs/>
          <w:szCs w:val="22"/>
          <w:lang w:val="en-US"/>
        </w:rPr>
        <w:t xml:space="preserve">, </w:t>
      </w:r>
      <w:r>
        <w:rPr>
          <w:iCs/>
          <w:szCs w:val="22"/>
          <w:lang w:val="en-US"/>
        </w:rPr>
        <w:t>a</w:t>
      </w:r>
      <w:r w:rsidRPr="00E345D1">
        <w:rPr>
          <w:iCs/>
          <w:szCs w:val="22"/>
        </w:rPr>
        <w:t>rginine hydrochloride</w:t>
      </w:r>
      <w:r w:rsidRPr="00E345D1">
        <w:rPr>
          <w:iCs/>
          <w:szCs w:val="22"/>
          <w:lang w:val="en-US"/>
        </w:rPr>
        <w:t xml:space="preserve">, </w:t>
      </w:r>
      <w:r>
        <w:rPr>
          <w:iCs/>
          <w:szCs w:val="22"/>
          <w:lang w:val="en-US"/>
        </w:rPr>
        <w:t>s</w:t>
      </w:r>
      <w:r w:rsidRPr="00E345D1">
        <w:rPr>
          <w:iCs/>
          <w:szCs w:val="22"/>
        </w:rPr>
        <w:t>odium citrate</w:t>
      </w:r>
      <w:r w:rsidRPr="00E345D1">
        <w:rPr>
          <w:iCs/>
          <w:szCs w:val="22"/>
          <w:lang w:val="en-US"/>
        </w:rPr>
        <w:t>, poloxamer</w:t>
      </w:r>
    </w:p>
    <w:p w:rsidR="00F22787" w:rsidRPr="004B179B" w:rsidRDefault="00F22787">
      <w:pPr>
        <w:pStyle w:val="Heading1"/>
        <w:rPr>
          <w:lang w:val="en-GB"/>
        </w:rPr>
      </w:pPr>
      <w:r w:rsidRPr="004B179B">
        <w:rPr>
          <w:lang w:val="en-GB"/>
        </w:rPr>
        <w:t>Pharmacolog</w:t>
      </w:r>
      <w:r w:rsidR="00D2060D">
        <w:rPr>
          <w:lang w:val="en-GB"/>
        </w:rPr>
        <w:t>y</w:t>
      </w:r>
    </w:p>
    <w:p w:rsidR="00F22787" w:rsidRPr="002D577C" w:rsidRDefault="006D46A0" w:rsidP="00151193">
      <w:pPr>
        <w:pStyle w:val="Heading2"/>
        <w:rPr>
          <w:rFonts w:ascii="Times New Roman" w:hAnsi="Times New Roman"/>
          <w:lang w:val="en-US"/>
        </w:rPr>
      </w:pPr>
      <w:r w:rsidRPr="002D577C">
        <w:rPr>
          <w:rFonts w:ascii="Times New Roman" w:hAnsi="Times New Roman"/>
          <w:lang w:val="en-US"/>
        </w:rPr>
        <w:t>Pharmacodynamic properties</w:t>
      </w:r>
    </w:p>
    <w:p w:rsidR="00493E5F" w:rsidRPr="004B179B" w:rsidRDefault="00493E5F" w:rsidP="00521823">
      <w:r w:rsidRPr="004B179B">
        <w:t>Pharmacotherapeutic group: Antihaemorrhagics: blood coagulation factor VIII</w:t>
      </w:r>
    </w:p>
    <w:p w:rsidR="00493E5F" w:rsidRPr="004B179B" w:rsidRDefault="00493E5F" w:rsidP="00521823">
      <w:r w:rsidRPr="004B179B">
        <w:t xml:space="preserve">ATC code: B02BD02. </w:t>
      </w:r>
    </w:p>
    <w:p w:rsidR="00493E5F" w:rsidRPr="004B179B" w:rsidRDefault="00493E5F" w:rsidP="00521823">
      <w:r w:rsidRPr="004B179B">
        <w:t>The factor VIII/von Willebrand factor complex consists of two molecules (factor VIII and von Willebrand factor) with different physiological functions. When infused into a haemophiliac patient, factor VIII binds to von Willebrand factor in the patient’s circulation. Activated factor VIII acts as a cofactor for activated factor IX, accelerating the conversion of factor X to activated factor X</w:t>
      </w:r>
      <w:r w:rsidR="008F0BB6">
        <w:rPr>
          <w:lang w:val="en-US"/>
        </w:rPr>
        <w:t xml:space="preserve"> (FXa)</w:t>
      </w:r>
      <w:r w:rsidRPr="004B179B">
        <w:t xml:space="preserve">. </w:t>
      </w:r>
      <w:r w:rsidR="008F0BB6" w:rsidRPr="002D577C">
        <w:rPr>
          <w:lang w:val="en-US"/>
        </w:rPr>
        <w:t>F</w:t>
      </w:r>
      <w:r w:rsidRPr="004B179B">
        <w:t>X</w:t>
      </w:r>
      <w:r w:rsidR="008F0BB6" w:rsidRPr="002D577C">
        <w:rPr>
          <w:lang w:val="en-US"/>
        </w:rPr>
        <w:t>a</w:t>
      </w:r>
      <w:r w:rsidRPr="004B179B">
        <w:t xml:space="preserve"> converts prothrombin into thrombin. Thrombin then converts fibrinogen into fibrin and a clot can be formed. Haemophilia A is a sex-linked hereditary disorder of blood coagulation due to decreased levels of factor VIII and results in </w:t>
      </w:r>
      <w:r w:rsidR="00595AAE" w:rsidRPr="00553335">
        <w:rPr>
          <w:lang w:val="en-US"/>
        </w:rPr>
        <w:t>prolonged</w:t>
      </w:r>
      <w:r w:rsidR="00113E5C" w:rsidRPr="004B179B">
        <w:t xml:space="preserve"> </w:t>
      </w:r>
      <w:r w:rsidRPr="004B179B">
        <w:t xml:space="preserve">bleeding into joints, muscles or internal organs, either spontaneously or as results of accidental or surgical trauma. By replacement therapy the plasma levels of factor VIII are increased, thereby temporarily enabling a correction of the factor VIII deficiency and correction of the bleeding tendencies. </w:t>
      </w:r>
    </w:p>
    <w:p w:rsidR="00F22787" w:rsidRPr="004B179B" w:rsidRDefault="00F22787" w:rsidP="00151193">
      <w:pPr>
        <w:pStyle w:val="Heading2"/>
        <w:rPr>
          <w:rFonts w:ascii="Times New Roman" w:hAnsi="Times New Roman"/>
          <w:lang w:val="en-GB"/>
        </w:rPr>
      </w:pPr>
      <w:r w:rsidRPr="004B179B">
        <w:rPr>
          <w:rFonts w:ascii="Times New Roman" w:hAnsi="Times New Roman"/>
          <w:lang w:val="en-GB"/>
        </w:rPr>
        <w:t xml:space="preserve">Pharmacokinetic </w:t>
      </w:r>
      <w:r w:rsidRPr="00890548">
        <w:rPr>
          <w:rFonts w:ascii="Times New Roman" w:hAnsi="Times New Roman"/>
          <w:lang w:val="en-US"/>
        </w:rPr>
        <w:t>properties</w:t>
      </w:r>
    </w:p>
    <w:p w:rsidR="00E11CB4" w:rsidRPr="004B179B" w:rsidRDefault="00E11CB4" w:rsidP="00521823">
      <w:r w:rsidRPr="004B179B">
        <w:t xml:space="preserve">All pharmacokinetic (PK) studies with </w:t>
      </w:r>
      <w:r w:rsidR="006E3127">
        <w:t>Nuwiq</w:t>
      </w:r>
      <w:r w:rsidR="00C83E6F" w:rsidRPr="004B179B">
        <w:t xml:space="preserve"> </w:t>
      </w:r>
      <w:r w:rsidRPr="004B179B">
        <w:t xml:space="preserve">were conducted in previously treated patients with severe haemophilia A. The PK results presented in the tables below are derived from cross-over studies of </w:t>
      </w:r>
      <w:r w:rsidR="006E3127">
        <w:t>Nuwiq</w:t>
      </w:r>
      <w:r w:rsidR="00C83E6F" w:rsidRPr="004B179B">
        <w:t xml:space="preserve"> </w:t>
      </w:r>
      <w:r w:rsidR="004E5697">
        <w:rPr>
          <w:lang w:val="en-US"/>
        </w:rPr>
        <w:t>and</w:t>
      </w:r>
      <w:r w:rsidRPr="004B179B">
        <w:t xml:space="preserve"> a full-length recombinant factor VIII product, (</w:t>
      </w:r>
      <w:r w:rsidR="006E189C">
        <w:fldChar w:fldCharType="begin"/>
      </w:r>
      <w:r w:rsidR="00A07F2C">
        <w:instrText xml:space="preserve"> REF _Ref334615132 \h  \* MERGEFORMAT </w:instrText>
      </w:r>
      <w:r w:rsidR="006E189C">
        <w:fldChar w:fldCharType="separate"/>
      </w:r>
      <w:r w:rsidR="00251E55" w:rsidRPr="004B179B">
        <w:t xml:space="preserve">Table </w:t>
      </w:r>
      <w:r w:rsidR="006E189C">
        <w:fldChar w:fldCharType="end"/>
      </w:r>
      <w:r w:rsidR="00C83E6F">
        <w:rPr>
          <w:lang w:val="en-AU"/>
        </w:rPr>
        <w:t>1</w:t>
      </w:r>
      <w:r w:rsidRPr="004B179B">
        <w:t xml:space="preserve">, adolescents and adults) or of </w:t>
      </w:r>
      <w:r w:rsidR="006E3127">
        <w:t>Nuwiq</w:t>
      </w:r>
      <w:r w:rsidR="00C83E6F" w:rsidRPr="004B179B">
        <w:t xml:space="preserve"> </w:t>
      </w:r>
      <w:r w:rsidRPr="004B179B">
        <w:t>and the previously given factor VIII product (</w:t>
      </w:r>
      <w:r w:rsidR="0084076E" w:rsidRPr="004B179B">
        <w:t xml:space="preserve">Table 2, </w:t>
      </w:r>
      <w:r w:rsidRPr="004B179B">
        <w:t>children 2 to 12 years old), which were all full length plasma-derived or recombinant factor VIII concentrates. The PK (nominal) dose was 50 IU/kg. Plasma samples were analysed in a central laboratory using the chromogenic and the one-stage clotting assay for factor VIII determination.</w:t>
      </w:r>
    </w:p>
    <w:p w:rsidR="00E11CB4" w:rsidRPr="004B179B" w:rsidRDefault="00E11CB4" w:rsidP="00E11CB4">
      <w:pPr>
        <w:pStyle w:val="Caption"/>
        <w:rPr>
          <w:color w:val="auto"/>
        </w:rPr>
      </w:pPr>
      <w:r w:rsidRPr="004B179B">
        <w:rPr>
          <w:color w:val="auto"/>
        </w:rPr>
        <w:t>Table 1</w:t>
      </w:r>
      <w:r w:rsidR="00521823">
        <w:rPr>
          <w:color w:val="auto"/>
        </w:rPr>
        <w:t>:</w:t>
      </w:r>
      <w:r w:rsidRPr="004B179B">
        <w:rPr>
          <w:color w:val="auto"/>
        </w:rPr>
        <w:t xml:space="preserve"> </w:t>
      </w:r>
      <w:r w:rsidR="00BE1CB7">
        <w:rPr>
          <w:color w:val="auto"/>
        </w:rPr>
        <w:tab/>
      </w:r>
      <w:r w:rsidRPr="004B179B">
        <w:rPr>
          <w:color w:val="auto"/>
        </w:rPr>
        <w:t xml:space="preserve">PK parameters for </w:t>
      </w:r>
      <w:r w:rsidR="006E3127">
        <w:t>Nuwiq</w:t>
      </w:r>
      <w:r w:rsidR="00C83E6F" w:rsidRPr="004B179B">
        <w:rPr>
          <w:color w:val="auto"/>
        </w:rPr>
        <w:t xml:space="preserve"> </w:t>
      </w:r>
      <w:r w:rsidRPr="004B179B">
        <w:rPr>
          <w:color w:val="auto"/>
        </w:rPr>
        <w:t>in adolescent and adult previously treated patients with severe haemophilia A (n =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3050"/>
        <w:gridCol w:w="2914"/>
      </w:tblGrid>
      <w:tr w:rsidR="00E11CB4" w:rsidRPr="004B179B" w:rsidTr="007C54AA">
        <w:trPr>
          <w:tblHeader/>
        </w:trPr>
        <w:tc>
          <w:tcPr>
            <w:tcW w:w="1789" w:type="pct"/>
          </w:tcPr>
          <w:p w:rsidR="00E11CB4" w:rsidRPr="004B179B" w:rsidRDefault="00E11CB4" w:rsidP="00F144DE">
            <w:pPr>
              <w:pStyle w:val="BodyText1"/>
              <w:spacing w:before="60"/>
              <w:rPr>
                <w:b/>
              </w:rPr>
            </w:pPr>
            <w:r w:rsidRPr="004B179B">
              <w:rPr>
                <w:b/>
              </w:rPr>
              <w:t>PK parameter</w:t>
            </w:r>
          </w:p>
        </w:tc>
        <w:tc>
          <w:tcPr>
            <w:tcW w:w="1642" w:type="pct"/>
          </w:tcPr>
          <w:p w:rsidR="00E11CB4" w:rsidRPr="004B179B" w:rsidRDefault="00E11CB4" w:rsidP="00F144DE">
            <w:pPr>
              <w:pStyle w:val="BodyText1"/>
              <w:spacing w:before="60"/>
              <w:jc w:val="center"/>
              <w:rPr>
                <w:b/>
              </w:rPr>
            </w:pPr>
            <w:r w:rsidRPr="004B179B">
              <w:rPr>
                <w:b/>
              </w:rPr>
              <w:t>Chromogenic assay</w:t>
            </w:r>
          </w:p>
          <w:p w:rsidR="00E11CB4" w:rsidRPr="004B179B" w:rsidRDefault="00E11CB4" w:rsidP="00F144DE">
            <w:pPr>
              <w:pStyle w:val="BodyText1"/>
              <w:spacing w:before="60"/>
              <w:jc w:val="center"/>
              <w:rPr>
                <w:b/>
              </w:rPr>
            </w:pPr>
            <w:r w:rsidRPr="004B179B">
              <w:rPr>
                <w:b/>
              </w:rPr>
              <w:t>Mean ± SD</w:t>
            </w:r>
          </w:p>
        </w:tc>
        <w:tc>
          <w:tcPr>
            <w:tcW w:w="1569" w:type="pct"/>
          </w:tcPr>
          <w:p w:rsidR="00E11CB4" w:rsidRPr="004B179B" w:rsidRDefault="00E11CB4" w:rsidP="00F144DE">
            <w:pPr>
              <w:pStyle w:val="BodyText1"/>
              <w:spacing w:before="60"/>
              <w:jc w:val="center"/>
              <w:rPr>
                <w:b/>
              </w:rPr>
            </w:pPr>
            <w:r w:rsidRPr="004B179B">
              <w:rPr>
                <w:b/>
              </w:rPr>
              <w:t>One-stage clotting assay</w:t>
            </w:r>
          </w:p>
          <w:p w:rsidR="00E11CB4" w:rsidRPr="004B179B" w:rsidRDefault="00E11CB4" w:rsidP="00F144DE">
            <w:pPr>
              <w:pStyle w:val="BodyText1"/>
              <w:spacing w:before="60"/>
              <w:jc w:val="center"/>
              <w:rPr>
                <w:b/>
              </w:rPr>
            </w:pPr>
            <w:r w:rsidRPr="004B179B">
              <w:rPr>
                <w:b/>
              </w:rPr>
              <w:t>Mean ± SD</w:t>
            </w:r>
          </w:p>
        </w:tc>
      </w:tr>
      <w:tr w:rsidR="00E11CB4" w:rsidRPr="004B179B" w:rsidTr="007C54AA">
        <w:tc>
          <w:tcPr>
            <w:tcW w:w="1789" w:type="pct"/>
          </w:tcPr>
          <w:p w:rsidR="00E11CB4" w:rsidRPr="004B179B" w:rsidRDefault="00E11CB4" w:rsidP="00F144DE">
            <w:pPr>
              <w:pStyle w:val="BodyText1"/>
              <w:spacing w:before="60"/>
              <w:rPr>
                <w:b/>
              </w:rPr>
            </w:pPr>
            <w:r w:rsidRPr="004B179B">
              <w:t>AUC (hr*IU/ml)</w:t>
            </w:r>
          </w:p>
        </w:tc>
        <w:tc>
          <w:tcPr>
            <w:tcW w:w="1642" w:type="pct"/>
          </w:tcPr>
          <w:p w:rsidR="00E11CB4" w:rsidRPr="004B179B" w:rsidRDefault="00E11CB4" w:rsidP="00F144DE">
            <w:pPr>
              <w:pStyle w:val="BodyText1"/>
              <w:spacing w:before="60"/>
              <w:jc w:val="center"/>
            </w:pPr>
            <w:r w:rsidRPr="004B179B">
              <w:t>22.55 ± 7.79</w:t>
            </w:r>
          </w:p>
        </w:tc>
        <w:tc>
          <w:tcPr>
            <w:tcW w:w="1569" w:type="pct"/>
          </w:tcPr>
          <w:p w:rsidR="00E11CB4" w:rsidRPr="004B179B" w:rsidRDefault="00E11CB4" w:rsidP="00F144DE">
            <w:pPr>
              <w:pStyle w:val="BodyText1"/>
              <w:spacing w:before="60"/>
              <w:jc w:val="center"/>
            </w:pPr>
            <w:r w:rsidRPr="004B179B">
              <w:t>17.95 ± 5.57</w:t>
            </w:r>
          </w:p>
        </w:tc>
      </w:tr>
      <w:tr w:rsidR="00E11CB4" w:rsidRPr="004B179B" w:rsidTr="007C54AA">
        <w:tc>
          <w:tcPr>
            <w:tcW w:w="1789" w:type="pct"/>
          </w:tcPr>
          <w:p w:rsidR="00E11CB4" w:rsidRPr="004B179B" w:rsidRDefault="00E11CB4" w:rsidP="00F144DE">
            <w:pPr>
              <w:pStyle w:val="BodyText1"/>
              <w:spacing w:before="60"/>
              <w:rPr>
                <w:b/>
                <w:lang w:val="de-DE"/>
              </w:rPr>
            </w:pPr>
            <w:r w:rsidRPr="004B179B">
              <w:rPr>
                <w:lang w:val="de-DE"/>
              </w:rPr>
              <w:t>AUC</w:t>
            </w:r>
            <w:r w:rsidRPr="004B179B">
              <w:rPr>
                <w:vertAlign w:val="subscript"/>
                <w:lang w:val="de-DE"/>
              </w:rPr>
              <w:t>norm</w:t>
            </w:r>
            <w:r w:rsidRPr="004B179B">
              <w:rPr>
                <w:lang w:val="de-DE"/>
              </w:rPr>
              <w:t xml:space="preserve"> (hr*IU/ml/(IU/kg))</w:t>
            </w:r>
          </w:p>
        </w:tc>
        <w:tc>
          <w:tcPr>
            <w:tcW w:w="1642" w:type="pct"/>
          </w:tcPr>
          <w:p w:rsidR="00E11CB4" w:rsidRPr="004B179B" w:rsidRDefault="00E11CB4" w:rsidP="00F144DE">
            <w:pPr>
              <w:pStyle w:val="BodyText1"/>
              <w:spacing w:before="60"/>
              <w:jc w:val="center"/>
              <w:rPr>
                <w:lang w:val="de-DE"/>
              </w:rPr>
            </w:pPr>
            <w:r w:rsidRPr="004B179B">
              <w:rPr>
                <w:lang w:val="de-DE"/>
              </w:rPr>
              <w:t>0.39 ± 0.14</w:t>
            </w:r>
          </w:p>
        </w:tc>
        <w:tc>
          <w:tcPr>
            <w:tcW w:w="1569" w:type="pct"/>
          </w:tcPr>
          <w:p w:rsidR="00E11CB4" w:rsidRPr="004B179B" w:rsidRDefault="00E11CB4" w:rsidP="00F144DE">
            <w:pPr>
              <w:pStyle w:val="BodyText1"/>
              <w:spacing w:before="60"/>
              <w:jc w:val="center"/>
              <w:rPr>
                <w:lang w:val="de-DE"/>
              </w:rPr>
            </w:pPr>
            <w:r w:rsidRPr="004B179B">
              <w:rPr>
                <w:lang w:val="de-DE"/>
              </w:rPr>
              <w:t>0.37 ± 0.11</w:t>
            </w:r>
          </w:p>
        </w:tc>
      </w:tr>
      <w:tr w:rsidR="00E11CB4" w:rsidRPr="004B179B" w:rsidTr="007C54AA">
        <w:tc>
          <w:tcPr>
            <w:tcW w:w="1789" w:type="pct"/>
          </w:tcPr>
          <w:p w:rsidR="00E11CB4" w:rsidRPr="004B179B" w:rsidRDefault="00E11CB4" w:rsidP="00F144DE">
            <w:pPr>
              <w:pStyle w:val="BodyText1"/>
              <w:spacing w:before="60"/>
            </w:pPr>
            <w:r w:rsidRPr="004B179B">
              <w:t>C</w:t>
            </w:r>
            <w:r w:rsidRPr="004B179B">
              <w:rPr>
                <w:vertAlign w:val="subscript"/>
              </w:rPr>
              <w:t>maxnorm</w:t>
            </w:r>
            <w:r w:rsidRPr="004B179B">
              <w:t xml:space="preserve"> (IU/ml/(IU/kg))</w:t>
            </w:r>
          </w:p>
        </w:tc>
        <w:tc>
          <w:tcPr>
            <w:tcW w:w="1642" w:type="pct"/>
          </w:tcPr>
          <w:p w:rsidR="00E11CB4" w:rsidRPr="004B179B" w:rsidRDefault="00E11CB4" w:rsidP="00F144DE">
            <w:pPr>
              <w:pStyle w:val="BodyText1"/>
              <w:spacing w:before="60"/>
              <w:jc w:val="center"/>
            </w:pPr>
            <w:r w:rsidRPr="004B179B">
              <w:t>0.025 ± 0.004</w:t>
            </w:r>
          </w:p>
        </w:tc>
        <w:tc>
          <w:tcPr>
            <w:tcW w:w="1569" w:type="pct"/>
          </w:tcPr>
          <w:p w:rsidR="00E11CB4" w:rsidRPr="004B179B" w:rsidRDefault="00E11CB4" w:rsidP="00F144DE">
            <w:pPr>
              <w:pStyle w:val="BodyText1"/>
              <w:spacing w:before="60"/>
              <w:jc w:val="center"/>
              <w:rPr>
                <w:lang w:val="de-DE"/>
              </w:rPr>
            </w:pPr>
            <w:r w:rsidRPr="004B179B">
              <w:rPr>
                <w:lang w:val="de-DE"/>
              </w:rPr>
              <w:t>0.022 ± 0.003</w:t>
            </w:r>
          </w:p>
        </w:tc>
      </w:tr>
      <w:tr w:rsidR="00E11CB4" w:rsidRPr="004B179B" w:rsidTr="007C54AA">
        <w:tc>
          <w:tcPr>
            <w:tcW w:w="1789" w:type="pct"/>
          </w:tcPr>
          <w:p w:rsidR="00E11CB4" w:rsidRPr="004B179B" w:rsidRDefault="00E11CB4" w:rsidP="00F144DE">
            <w:pPr>
              <w:pStyle w:val="BodyText1"/>
              <w:spacing w:before="60"/>
              <w:rPr>
                <w:b/>
                <w:lang w:val="de-DE"/>
              </w:rPr>
            </w:pPr>
            <w:r w:rsidRPr="004B179B">
              <w:t>T</w:t>
            </w:r>
            <w:r w:rsidRPr="004B179B">
              <w:rPr>
                <w:vertAlign w:val="subscript"/>
              </w:rPr>
              <w:t xml:space="preserve">1/2 </w:t>
            </w:r>
            <w:r w:rsidRPr="004B179B">
              <w:t>(hr)</w:t>
            </w:r>
          </w:p>
        </w:tc>
        <w:tc>
          <w:tcPr>
            <w:tcW w:w="1642" w:type="pct"/>
          </w:tcPr>
          <w:p w:rsidR="00E11CB4" w:rsidRPr="004B179B" w:rsidRDefault="00E11CB4" w:rsidP="00F144DE">
            <w:pPr>
              <w:pStyle w:val="BodyText1"/>
              <w:spacing w:before="60"/>
              <w:jc w:val="center"/>
              <w:rPr>
                <w:lang w:val="de-DE"/>
              </w:rPr>
            </w:pPr>
            <w:r w:rsidRPr="004B179B">
              <w:t>14.73 ± 9.96</w:t>
            </w:r>
          </w:p>
        </w:tc>
        <w:tc>
          <w:tcPr>
            <w:tcW w:w="1569" w:type="pct"/>
          </w:tcPr>
          <w:p w:rsidR="00E11CB4" w:rsidRPr="004B179B" w:rsidRDefault="00E11CB4" w:rsidP="00F144DE">
            <w:pPr>
              <w:pStyle w:val="BodyText1"/>
              <w:spacing w:before="60"/>
              <w:jc w:val="center"/>
              <w:rPr>
                <w:lang w:val="de-DE"/>
              </w:rPr>
            </w:pPr>
            <w:r w:rsidRPr="004B179B">
              <w:rPr>
                <w:lang w:val="de-DE"/>
              </w:rPr>
              <w:t>17.05 ± 11.23</w:t>
            </w:r>
          </w:p>
        </w:tc>
      </w:tr>
      <w:tr w:rsidR="00E11CB4" w:rsidRPr="004B179B" w:rsidTr="007C54AA">
        <w:tc>
          <w:tcPr>
            <w:tcW w:w="1789" w:type="pct"/>
          </w:tcPr>
          <w:p w:rsidR="00E11CB4" w:rsidRPr="004B179B" w:rsidRDefault="00E11CB4" w:rsidP="00F144DE">
            <w:pPr>
              <w:pStyle w:val="BodyText1"/>
              <w:spacing w:before="60"/>
              <w:rPr>
                <w:b/>
                <w:lang w:val="de-DE"/>
              </w:rPr>
            </w:pPr>
            <w:r w:rsidRPr="004B179B">
              <w:t>IVR (%/IU/kg)</w:t>
            </w:r>
          </w:p>
        </w:tc>
        <w:tc>
          <w:tcPr>
            <w:tcW w:w="1642" w:type="pct"/>
          </w:tcPr>
          <w:p w:rsidR="00E11CB4" w:rsidRPr="004B179B" w:rsidRDefault="00E11CB4" w:rsidP="00F144DE">
            <w:pPr>
              <w:pStyle w:val="BodyText1"/>
              <w:spacing w:before="60"/>
              <w:jc w:val="center"/>
              <w:rPr>
                <w:lang w:val="de-DE"/>
              </w:rPr>
            </w:pPr>
            <w:r w:rsidRPr="004B179B">
              <w:t>2.496 ± 0.369</w:t>
            </w:r>
          </w:p>
        </w:tc>
        <w:tc>
          <w:tcPr>
            <w:tcW w:w="1569" w:type="pct"/>
          </w:tcPr>
          <w:p w:rsidR="00E11CB4" w:rsidRPr="004B179B" w:rsidRDefault="00E11CB4" w:rsidP="00F144DE">
            <w:pPr>
              <w:pStyle w:val="BodyText1"/>
              <w:spacing w:before="60"/>
              <w:jc w:val="center"/>
              <w:rPr>
                <w:lang w:val="de-DE"/>
              </w:rPr>
            </w:pPr>
            <w:r w:rsidRPr="004B179B">
              <w:rPr>
                <w:lang w:val="de-DE"/>
              </w:rPr>
              <w:t>2.136 ± 0.270</w:t>
            </w:r>
          </w:p>
        </w:tc>
      </w:tr>
      <w:tr w:rsidR="00E11CB4" w:rsidRPr="004B179B" w:rsidTr="007C54AA">
        <w:tc>
          <w:tcPr>
            <w:tcW w:w="1789" w:type="pct"/>
          </w:tcPr>
          <w:p w:rsidR="00E11CB4" w:rsidRPr="004B179B" w:rsidRDefault="00E11CB4" w:rsidP="00F144DE">
            <w:pPr>
              <w:pStyle w:val="BodyText1"/>
              <w:spacing w:before="60"/>
              <w:rPr>
                <w:b/>
                <w:lang w:val="de-DE"/>
              </w:rPr>
            </w:pPr>
            <w:r w:rsidRPr="004B179B">
              <w:t>MRT (hr)</w:t>
            </w:r>
          </w:p>
        </w:tc>
        <w:tc>
          <w:tcPr>
            <w:tcW w:w="1642" w:type="pct"/>
          </w:tcPr>
          <w:p w:rsidR="00E11CB4" w:rsidRPr="004B179B" w:rsidRDefault="00E11CB4" w:rsidP="00F144DE">
            <w:pPr>
              <w:pStyle w:val="BodyText1"/>
              <w:spacing w:before="60"/>
              <w:jc w:val="center"/>
              <w:rPr>
                <w:lang w:val="de-DE"/>
              </w:rPr>
            </w:pPr>
            <w:r w:rsidRPr="004B179B">
              <w:t>19.45 ± 12.02</w:t>
            </w:r>
          </w:p>
        </w:tc>
        <w:tc>
          <w:tcPr>
            <w:tcW w:w="1569" w:type="pct"/>
          </w:tcPr>
          <w:p w:rsidR="00E11CB4" w:rsidRPr="004B179B" w:rsidRDefault="00E11CB4" w:rsidP="00F144DE">
            <w:pPr>
              <w:pStyle w:val="BodyText1"/>
              <w:spacing w:before="60"/>
              <w:jc w:val="center"/>
              <w:rPr>
                <w:lang w:val="de-DE"/>
              </w:rPr>
            </w:pPr>
            <w:r w:rsidRPr="004B179B">
              <w:rPr>
                <w:lang w:val="de-DE"/>
              </w:rPr>
              <w:t>22.47 ± 14.19</w:t>
            </w:r>
          </w:p>
        </w:tc>
      </w:tr>
      <w:tr w:rsidR="00E11CB4" w:rsidRPr="004B179B" w:rsidTr="007C54AA">
        <w:tc>
          <w:tcPr>
            <w:tcW w:w="1789" w:type="pct"/>
          </w:tcPr>
          <w:p w:rsidR="00E11CB4" w:rsidRPr="004B179B" w:rsidRDefault="00E11CB4" w:rsidP="00F144DE">
            <w:pPr>
              <w:pStyle w:val="BodyText1"/>
              <w:spacing w:before="60"/>
            </w:pPr>
            <w:r w:rsidRPr="004B179B">
              <w:t>CL (ml/hr/kg)</w:t>
            </w:r>
          </w:p>
        </w:tc>
        <w:tc>
          <w:tcPr>
            <w:tcW w:w="1642" w:type="pct"/>
          </w:tcPr>
          <w:p w:rsidR="00E11CB4" w:rsidRPr="004B179B" w:rsidRDefault="00E11CB4" w:rsidP="00F144DE">
            <w:pPr>
              <w:pStyle w:val="BodyText1"/>
              <w:spacing w:before="60"/>
              <w:jc w:val="center"/>
            </w:pPr>
            <w:r w:rsidRPr="004B179B">
              <w:t>2.94  ± 1.18</w:t>
            </w:r>
          </w:p>
        </w:tc>
        <w:tc>
          <w:tcPr>
            <w:tcW w:w="1569" w:type="pct"/>
          </w:tcPr>
          <w:p w:rsidR="00E11CB4" w:rsidRPr="004B179B" w:rsidRDefault="00E11CB4" w:rsidP="00F144DE">
            <w:pPr>
              <w:pStyle w:val="BodyText1"/>
              <w:spacing w:before="60"/>
              <w:jc w:val="center"/>
              <w:rPr>
                <w:lang w:val="de-DE"/>
              </w:rPr>
            </w:pPr>
            <w:r w:rsidRPr="004B179B">
              <w:rPr>
                <w:lang w:val="de-DE"/>
              </w:rPr>
              <w:t>2.96 ± 0.97</w:t>
            </w:r>
          </w:p>
        </w:tc>
      </w:tr>
      <w:tr w:rsidR="00E11CB4" w:rsidRPr="004B179B" w:rsidTr="007C54AA">
        <w:tc>
          <w:tcPr>
            <w:tcW w:w="1789" w:type="pct"/>
          </w:tcPr>
          <w:p w:rsidR="00E11CB4" w:rsidRPr="004B179B" w:rsidRDefault="00E11CB4" w:rsidP="00F144DE">
            <w:pPr>
              <w:pStyle w:val="BodyText1"/>
              <w:spacing w:before="60"/>
            </w:pPr>
            <w:r w:rsidRPr="004B179B">
              <w:t>V</w:t>
            </w:r>
            <w:r w:rsidRPr="004B179B">
              <w:rPr>
                <w:vertAlign w:val="subscript"/>
              </w:rPr>
              <w:t>ss</w:t>
            </w:r>
            <w:r w:rsidRPr="004B179B">
              <w:t xml:space="preserve"> (ml/kg</w:t>
            </w:r>
          </w:p>
        </w:tc>
        <w:tc>
          <w:tcPr>
            <w:tcW w:w="1642" w:type="pct"/>
          </w:tcPr>
          <w:p w:rsidR="00E11CB4" w:rsidRPr="004B179B" w:rsidRDefault="00E11CB4" w:rsidP="00F144DE">
            <w:pPr>
              <w:pStyle w:val="BodyText1"/>
              <w:spacing w:before="60"/>
              <w:jc w:val="center"/>
            </w:pPr>
            <w:r w:rsidRPr="004B179B">
              <w:t>49.58 ± 17.27</w:t>
            </w:r>
          </w:p>
        </w:tc>
        <w:tc>
          <w:tcPr>
            <w:tcW w:w="1569" w:type="pct"/>
          </w:tcPr>
          <w:p w:rsidR="00E11CB4" w:rsidRPr="004B179B" w:rsidRDefault="00E11CB4" w:rsidP="00F144DE">
            <w:pPr>
              <w:pStyle w:val="BodyText1"/>
              <w:spacing w:before="60"/>
              <w:jc w:val="center"/>
              <w:rPr>
                <w:lang w:val="de-DE"/>
              </w:rPr>
            </w:pPr>
            <w:r w:rsidRPr="004B179B">
              <w:rPr>
                <w:lang w:val="de-DE"/>
              </w:rPr>
              <w:t>59.75 ± 19.76</w:t>
            </w:r>
          </w:p>
        </w:tc>
      </w:tr>
    </w:tbl>
    <w:p w:rsidR="00E11CB4" w:rsidRPr="004B179B" w:rsidRDefault="00E11CB4" w:rsidP="00E11CB4">
      <w:pPr>
        <w:pStyle w:val="BodyText1"/>
      </w:pPr>
      <w:r w:rsidRPr="004B179B">
        <w:rPr>
          <w:sz w:val="22"/>
          <w:szCs w:val="22"/>
        </w:rPr>
        <w:lastRenderedPageBreak/>
        <w:t>AUC = Area under the curve (FVIII:C), AUC</w:t>
      </w:r>
      <w:r w:rsidRPr="004B179B">
        <w:rPr>
          <w:sz w:val="22"/>
          <w:szCs w:val="22"/>
          <w:vertAlign w:val="subscript"/>
        </w:rPr>
        <w:t>norm</w:t>
      </w:r>
      <w:r w:rsidRPr="004B179B">
        <w:rPr>
          <w:sz w:val="22"/>
          <w:szCs w:val="22"/>
        </w:rPr>
        <w:t xml:space="preserve"> = AUC divided by the dose, C</w:t>
      </w:r>
      <w:r w:rsidRPr="004B179B">
        <w:rPr>
          <w:sz w:val="22"/>
          <w:szCs w:val="22"/>
          <w:vertAlign w:val="subscript"/>
        </w:rPr>
        <w:t>max</w:t>
      </w:r>
      <w:r w:rsidRPr="004B179B">
        <w:rPr>
          <w:sz w:val="22"/>
          <w:szCs w:val="22"/>
        </w:rPr>
        <w:t xml:space="preserve"> = Maximal plasma concentration, CL = Clearance, IVR = FVIII:C = FVIII coagulant activity, IVR = Incremental in vivo recovery, MRT = Mean residence time, SD = Standard deviation, T</w:t>
      </w:r>
      <w:r w:rsidRPr="004B179B">
        <w:rPr>
          <w:sz w:val="22"/>
          <w:szCs w:val="22"/>
          <w:vertAlign w:val="subscript"/>
        </w:rPr>
        <w:t>1/2</w:t>
      </w:r>
      <w:r w:rsidRPr="004B179B">
        <w:rPr>
          <w:sz w:val="22"/>
          <w:szCs w:val="22"/>
        </w:rPr>
        <w:t xml:space="preserve"> = Terminal half-life, V</w:t>
      </w:r>
      <w:r w:rsidRPr="004B179B">
        <w:rPr>
          <w:sz w:val="22"/>
          <w:szCs w:val="22"/>
          <w:vertAlign w:val="subscript"/>
        </w:rPr>
        <w:t>ss</w:t>
      </w:r>
      <w:r w:rsidRPr="004B179B">
        <w:rPr>
          <w:sz w:val="22"/>
          <w:szCs w:val="22"/>
        </w:rPr>
        <w:t xml:space="preserve"> = Volume of distribution at steady state</w:t>
      </w:r>
      <w:r w:rsidRPr="004B179B">
        <w:t>.</w:t>
      </w:r>
    </w:p>
    <w:p w:rsidR="00E11CB4" w:rsidRPr="004B179B" w:rsidRDefault="00E11CB4" w:rsidP="00E11CB4">
      <w:pPr>
        <w:pStyle w:val="Caption"/>
        <w:rPr>
          <w:color w:val="auto"/>
        </w:rPr>
      </w:pPr>
      <w:bookmarkStart w:id="1" w:name="_Ref334615132"/>
      <w:r w:rsidRPr="004B179B">
        <w:rPr>
          <w:color w:val="auto"/>
        </w:rPr>
        <w:t xml:space="preserve">Table </w:t>
      </w:r>
      <w:bookmarkEnd w:id="1"/>
      <w:r w:rsidR="0084076E" w:rsidRPr="004B179B">
        <w:rPr>
          <w:color w:val="auto"/>
        </w:rPr>
        <w:t>2</w:t>
      </w:r>
      <w:r w:rsidR="00521823">
        <w:rPr>
          <w:color w:val="auto"/>
        </w:rPr>
        <w:t>:</w:t>
      </w:r>
      <w:r w:rsidRPr="004B179B">
        <w:rPr>
          <w:color w:val="auto"/>
        </w:rPr>
        <w:t xml:space="preserve"> </w:t>
      </w:r>
      <w:r w:rsidR="00BE1CB7">
        <w:rPr>
          <w:color w:val="auto"/>
        </w:rPr>
        <w:tab/>
      </w:r>
      <w:r w:rsidRPr="004B179B">
        <w:rPr>
          <w:color w:val="auto"/>
        </w:rPr>
        <w:t xml:space="preserve">PK parameters for </w:t>
      </w:r>
      <w:r w:rsidR="006E3127">
        <w:t>Nuwiq</w:t>
      </w:r>
      <w:r w:rsidR="00C83E6F" w:rsidRPr="004B179B">
        <w:rPr>
          <w:color w:val="auto"/>
        </w:rPr>
        <w:t xml:space="preserve"> </w:t>
      </w:r>
      <w:r w:rsidRPr="004B179B">
        <w:rPr>
          <w:color w:val="auto"/>
        </w:rPr>
        <w:t>in previously treated children aged 6 to 12 years with severe haemophilia A (n = 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3050"/>
        <w:gridCol w:w="2914"/>
      </w:tblGrid>
      <w:tr w:rsidR="00E11CB4" w:rsidRPr="004B179B" w:rsidTr="007C54AA">
        <w:trPr>
          <w:tblHeader/>
        </w:trPr>
        <w:tc>
          <w:tcPr>
            <w:tcW w:w="1789" w:type="pct"/>
          </w:tcPr>
          <w:p w:rsidR="00E11CB4" w:rsidRPr="004B179B" w:rsidRDefault="00E11CB4" w:rsidP="00F144DE">
            <w:pPr>
              <w:pStyle w:val="BodyText1"/>
              <w:spacing w:before="60"/>
              <w:rPr>
                <w:b/>
              </w:rPr>
            </w:pPr>
            <w:r w:rsidRPr="004B179B">
              <w:rPr>
                <w:b/>
              </w:rPr>
              <w:t>PK parameter</w:t>
            </w:r>
          </w:p>
        </w:tc>
        <w:tc>
          <w:tcPr>
            <w:tcW w:w="1642" w:type="pct"/>
          </w:tcPr>
          <w:p w:rsidR="00E11CB4" w:rsidRPr="004B179B" w:rsidRDefault="00E11CB4" w:rsidP="00F144DE">
            <w:pPr>
              <w:pStyle w:val="BodyText1"/>
              <w:spacing w:before="60"/>
              <w:jc w:val="center"/>
              <w:rPr>
                <w:b/>
              </w:rPr>
            </w:pPr>
            <w:r w:rsidRPr="004B179B">
              <w:rPr>
                <w:b/>
              </w:rPr>
              <w:t>Chromogenic assay</w:t>
            </w:r>
          </w:p>
          <w:p w:rsidR="00E11CB4" w:rsidRPr="004B179B" w:rsidRDefault="00E11CB4" w:rsidP="00F144DE">
            <w:pPr>
              <w:pStyle w:val="BodyText1"/>
              <w:spacing w:before="60"/>
              <w:jc w:val="center"/>
              <w:rPr>
                <w:b/>
              </w:rPr>
            </w:pPr>
            <w:r w:rsidRPr="004B179B">
              <w:rPr>
                <w:b/>
              </w:rPr>
              <w:t>Mean ± SD</w:t>
            </w:r>
          </w:p>
        </w:tc>
        <w:tc>
          <w:tcPr>
            <w:tcW w:w="1569" w:type="pct"/>
          </w:tcPr>
          <w:p w:rsidR="00E11CB4" w:rsidRPr="004B179B" w:rsidRDefault="00E11CB4" w:rsidP="00F144DE">
            <w:pPr>
              <w:pStyle w:val="BodyText1"/>
              <w:spacing w:before="60"/>
              <w:jc w:val="center"/>
              <w:rPr>
                <w:b/>
              </w:rPr>
            </w:pPr>
            <w:r w:rsidRPr="004B179B">
              <w:rPr>
                <w:b/>
              </w:rPr>
              <w:t>One-stage clotting assay</w:t>
            </w:r>
          </w:p>
          <w:p w:rsidR="00E11CB4" w:rsidRPr="004B179B" w:rsidRDefault="00E11CB4" w:rsidP="00F144DE">
            <w:pPr>
              <w:pStyle w:val="BodyText1"/>
              <w:spacing w:before="60"/>
              <w:jc w:val="center"/>
              <w:rPr>
                <w:b/>
              </w:rPr>
            </w:pPr>
            <w:r w:rsidRPr="004B179B">
              <w:rPr>
                <w:b/>
              </w:rPr>
              <w:t>Mean ± SD</w:t>
            </w:r>
          </w:p>
        </w:tc>
      </w:tr>
      <w:tr w:rsidR="00E11CB4" w:rsidRPr="004B179B" w:rsidTr="007C54AA">
        <w:tc>
          <w:tcPr>
            <w:tcW w:w="1789" w:type="pct"/>
          </w:tcPr>
          <w:p w:rsidR="00E11CB4" w:rsidRPr="004B179B" w:rsidRDefault="00E11CB4" w:rsidP="00F144DE">
            <w:pPr>
              <w:pStyle w:val="BodyText1"/>
              <w:spacing w:before="60"/>
              <w:rPr>
                <w:b/>
              </w:rPr>
            </w:pPr>
            <w:r w:rsidRPr="004B179B">
              <w:t>AUC (hr*IU/ml)</w:t>
            </w:r>
          </w:p>
        </w:tc>
        <w:tc>
          <w:tcPr>
            <w:tcW w:w="1642" w:type="pct"/>
          </w:tcPr>
          <w:p w:rsidR="00E11CB4" w:rsidRPr="004B179B" w:rsidRDefault="00E11CB4" w:rsidP="00F144DE">
            <w:pPr>
              <w:pStyle w:val="BodyText1"/>
              <w:spacing w:before="60"/>
              <w:jc w:val="center"/>
            </w:pPr>
            <w:r w:rsidRPr="004B179B">
              <w:t>13.15 ± 3.43</w:t>
            </w:r>
          </w:p>
        </w:tc>
        <w:tc>
          <w:tcPr>
            <w:tcW w:w="1569" w:type="pct"/>
          </w:tcPr>
          <w:p w:rsidR="00E11CB4" w:rsidRPr="004B179B" w:rsidRDefault="00E11CB4" w:rsidP="00F144DE">
            <w:pPr>
              <w:pStyle w:val="BodyText1"/>
              <w:spacing w:before="60"/>
              <w:jc w:val="center"/>
            </w:pPr>
            <w:r w:rsidRPr="004B179B">
              <w:t>11.77 ± 2.72</w:t>
            </w:r>
          </w:p>
        </w:tc>
      </w:tr>
      <w:tr w:rsidR="00E11CB4" w:rsidRPr="004B179B" w:rsidTr="007C54AA">
        <w:tc>
          <w:tcPr>
            <w:tcW w:w="1789" w:type="pct"/>
          </w:tcPr>
          <w:p w:rsidR="00E11CB4" w:rsidRPr="004B179B" w:rsidRDefault="00E11CB4" w:rsidP="00F144DE">
            <w:pPr>
              <w:pStyle w:val="BodyText1"/>
              <w:spacing w:before="60"/>
              <w:rPr>
                <w:b/>
                <w:lang w:val="de-DE"/>
              </w:rPr>
            </w:pPr>
            <w:r w:rsidRPr="004B179B">
              <w:rPr>
                <w:lang w:val="de-DE"/>
              </w:rPr>
              <w:t>AUC</w:t>
            </w:r>
            <w:r w:rsidRPr="004B179B">
              <w:rPr>
                <w:vertAlign w:val="subscript"/>
                <w:lang w:val="de-DE"/>
              </w:rPr>
              <w:t>norm</w:t>
            </w:r>
            <w:r w:rsidRPr="004B179B">
              <w:rPr>
                <w:lang w:val="de-DE"/>
              </w:rPr>
              <w:t xml:space="preserve"> (hr*IU/ml/(IU/kg))</w:t>
            </w:r>
          </w:p>
        </w:tc>
        <w:tc>
          <w:tcPr>
            <w:tcW w:w="1642" w:type="pct"/>
          </w:tcPr>
          <w:p w:rsidR="00E11CB4" w:rsidRPr="004B179B" w:rsidRDefault="00E11CB4" w:rsidP="00F144DE">
            <w:pPr>
              <w:pStyle w:val="BodyText1"/>
              <w:spacing w:before="60"/>
              <w:jc w:val="center"/>
              <w:rPr>
                <w:lang w:val="de-DE"/>
              </w:rPr>
            </w:pPr>
            <w:r w:rsidRPr="004B179B">
              <w:rPr>
                <w:lang w:val="de-DE"/>
              </w:rPr>
              <w:t>0.25 ± 0.06</w:t>
            </w:r>
          </w:p>
        </w:tc>
        <w:tc>
          <w:tcPr>
            <w:tcW w:w="1569" w:type="pct"/>
          </w:tcPr>
          <w:p w:rsidR="00E11CB4" w:rsidRPr="004B179B" w:rsidRDefault="00E11CB4" w:rsidP="00F144DE">
            <w:pPr>
              <w:pStyle w:val="BodyText1"/>
              <w:spacing w:before="60"/>
              <w:jc w:val="center"/>
              <w:rPr>
                <w:lang w:val="de-DE"/>
              </w:rPr>
            </w:pPr>
            <w:r w:rsidRPr="004B179B">
              <w:rPr>
                <w:lang w:val="de-DE"/>
              </w:rPr>
              <w:t>0.26 ± 0.06</w:t>
            </w:r>
          </w:p>
        </w:tc>
      </w:tr>
      <w:tr w:rsidR="00E11CB4" w:rsidRPr="004B179B" w:rsidTr="007C54AA">
        <w:tc>
          <w:tcPr>
            <w:tcW w:w="1789" w:type="pct"/>
          </w:tcPr>
          <w:p w:rsidR="00E11CB4" w:rsidRPr="004B179B" w:rsidRDefault="00E11CB4" w:rsidP="00F144DE">
            <w:pPr>
              <w:pStyle w:val="BodyText1"/>
              <w:spacing w:before="60"/>
            </w:pPr>
            <w:r w:rsidRPr="004B179B">
              <w:t>C</w:t>
            </w:r>
            <w:r w:rsidRPr="004B179B">
              <w:rPr>
                <w:vertAlign w:val="subscript"/>
              </w:rPr>
              <w:t>maxnorm</w:t>
            </w:r>
            <w:r w:rsidRPr="004B179B">
              <w:t xml:space="preserve"> (IU/ml/(IU/kg))</w:t>
            </w:r>
          </w:p>
        </w:tc>
        <w:tc>
          <w:tcPr>
            <w:tcW w:w="1642" w:type="pct"/>
          </w:tcPr>
          <w:p w:rsidR="00E11CB4" w:rsidRPr="004B179B" w:rsidRDefault="00E11CB4" w:rsidP="00F144DE">
            <w:pPr>
              <w:pStyle w:val="BodyText1"/>
              <w:spacing w:before="60"/>
              <w:jc w:val="center"/>
            </w:pPr>
            <w:r w:rsidRPr="004B179B">
              <w:t>0.019 ± 0.004</w:t>
            </w:r>
          </w:p>
        </w:tc>
        <w:tc>
          <w:tcPr>
            <w:tcW w:w="1569" w:type="pct"/>
          </w:tcPr>
          <w:p w:rsidR="00E11CB4" w:rsidRPr="004B179B" w:rsidRDefault="00E11CB4" w:rsidP="00F144DE">
            <w:pPr>
              <w:pStyle w:val="BodyText1"/>
              <w:spacing w:before="60"/>
              <w:jc w:val="center"/>
              <w:rPr>
                <w:lang w:val="de-DE"/>
              </w:rPr>
            </w:pPr>
            <w:r w:rsidRPr="004B179B">
              <w:rPr>
                <w:lang w:val="de-DE"/>
              </w:rPr>
              <w:t>0.017 ± 0.004</w:t>
            </w:r>
          </w:p>
        </w:tc>
      </w:tr>
      <w:tr w:rsidR="00E11CB4" w:rsidRPr="004B179B" w:rsidTr="007C54AA">
        <w:tc>
          <w:tcPr>
            <w:tcW w:w="1789" w:type="pct"/>
          </w:tcPr>
          <w:p w:rsidR="00E11CB4" w:rsidRPr="004B179B" w:rsidRDefault="00E11CB4" w:rsidP="00F144DE">
            <w:pPr>
              <w:pStyle w:val="BodyText1"/>
              <w:spacing w:before="60"/>
              <w:rPr>
                <w:b/>
                <w:lang w:val="de-DE"/>
              </w:rPr>
            </w:pPr>
            <w:r w:rsidRPr="004B179B">
              <w:t>T</w:t>
            </w:r>
            <w:r w:rsidRPr="004B179B">
              <w:rPr>
                <w:vertAlign w:val="subscript"/>
              </w:rPr>
              <w:t xml:space="preserve">1/2 </w:t>
            </w:r>
            <w:r w:rsidRPr="004B179B">
              <w:t>(hr)</w:t>
            </w:r>
          </w:p>
        </w:tc>
        <w:tc>
          <w:tcPr>
            <w:tcW w:w="1642" w:type="pct"/>
          </w:tcPr>
          <w:p w:rsidR="00E11CB4" w:rsidRPr="004B179B" w:rsidRDefault="00E11CB4" w:rsidP="00F144DE">
            <w:pPr>
              <w:pStyle w:val="BodyText1"/>
              <w:spacing w:before="60"/>
              <w:jc w:val="center"/>
              <w:rPr>
                <w:lang w:val="de-DE"/>
              </w:rPr>
            </w:pPr>
            <w:r w:rsidRPr="004B179B">
              <w:t>9.99 ± 1.88</w:t>
            </w:r>
          </w:p>
        </w:tc>
        <w:tc>
          <w:tcPr>
            <w:tcW w:w="1569" w:type="pct"/>
          </w:tcPr>
          <w:p w:rsidR="00E11CB4" w:rsidRPr="004B179B" w:rsidRDefault="00E11CB4" w:rsidP="00F144DE">
            <w:pPr>
              <w:pStyle w:val="BodyText1"/>
              <w:spacing w:before="60"/>
              <w:jc w:val="center"/>
              <w:rPr>
                <w:lang w:val="de-DE"/>
              </w:rPr>
            </w:pPr>
            <w:r w:rsidRPr="004B179B">
              <w:rPr>
                <w:lang w:val="de-DE"/>
              </w:rPr>
              <w:t>13.08 ± 2.59</w:t>
            </w:r>
          </w:p>
        </w:tc>
      </w:tr>
      <w:tr w:rsidR="00E11CB4" w:rsidRPr="004B179B" w:rsidTr="007C54AA">
        <w:tc>
          <w:tcPr>
            <w:tcW w:w="1789" w:type="pct"/>
          </w:tcPr>
          <w:p w:rsidR="00E11CB4" w:rsidRPr="004B179B" w:rsidRDefault="00E11CB4" w:rsidP="00F144DE">
            <w:pPr>
              <w:pStyle w:val="BodyText1"/>
              <w:spacing w:before="60"/>
              <w:rPr>
                <w:b/>
                <w:lang w:val="de-DE"/>
              </w:rPr>
            </w:pPr>
            <w:r w:rsidRPr="004B179B">
              <w:t>IVR (%/IU/kg)</w:t>
            </w:r>
          </w:p>
        </w:tc>
        <w:tc>
          <w:tcPr>
            <w:tcW w:w="1642" w:type="pct"/>
          </w:tcPr>
          <w:p w:rsidR="00E11CB4" w:rsidRPr="004B179B" w:rsidRDefault="00E11CB4" w:rsidP="00F144DE">
            <w:pPr>
              <w:pStyle w:val="BodyText1"/>
              <w:spacing w:before="60"/>
              <w:jc w:val="center"/>
              <w:rPr>
                <w:lang w:val="de-DE"/>
              </w:rPr>
            </w:pPr>
            <w:r w:rsidRPr="004B179B">
              <w:t>1.881 ± 0.440</w:t>
            </w:r>
          </w:p>
        </w:tc>
        <w:tc>
          <w:tcPr>
            <w:tcW w:w="1569" w:type="pct"/>
          </w:tcPr>
          <w:p w:rsidR="00E11CB4" w:rsidRPr="004B179B" w:rsidRDefault="00E11CB4" w:rsidP="00F144DE">
            <w:pPr>
              <w:pStyle w:val="BodyText1"/>
              <w:spacing w:before="60"/>
              <w:jc w:val="center"/>
              <w:rPr>
                <w:lang w:val="de-DE"/>
              </w:rPr>
            </w:pPr>
            <w:r w:rsidRPr="004B179B">
              <w:rPr>
                <w:lang w:val="de-DE"/>
              </w:rPr>
              <w:t>1.641 ± 0.377</w:t>
            </w:r>
          </w:p>
        </w:tc>
      </w:tr>
      <w:tr w:rsidR="00E11CB4" w:rsidRPr="004B179B" w:rsidTr="007C54AA">
        <w:tc>
          <w:tcPr>
            <w:tcW w:w="1789" w:type="pct"/>
          </w:tcPr>
          <w:p w:rsidR="00E11CB4" w:rsidRPr="004B179B" w:rsidRDefault="00E11CB4" w:rsidP="00F144DE">
            <w:pPr>
              <w:pStyle w:val="BodyText1"/>
              <w:spacing w:before="60"/>
              <w:rPr>
                <w:b/>
                <w:lang w:val="de-DE"/>
              </w:rPr>
            </w:pPr>
            <w:r w:rsidRPr="004B179B">
              <w:t>MRT (hr)</w:t>
            </w:r>
          </w:p>
        </w:tc>
        <w:tc>
          <w:tcPr>
            <w:tcW w:w="1642" w:type="pct"/>
          </w:tcPr>
          <w:p w:rsidR="00E11CB4" w:rsidRPr="004B179B" w:rsidRDefault="00E11CB4" w:rsidP="00F144DE">
            <w:pPr>
              <w:pStyle w:val="BodyText1"/>
              <w:spacing w:before="60"/>
              <w:jc w:val="center"/>
              <w:rPr>
                <w:lang w:val="de-DE"/>
              </w:rPr>
            </w:pPr>
            <w:r w:rsidRPr="004B179B">
              <w:t>12.74 ± 2.34</w:t>
            </w:r>
          </w:p>
        </w:tc>
        <w:tc>
          <w:tcPr>
            <w:tcW w:w="1569" w:type="pct"/>
          </w:tcPr>
          <w:p w:rsidR="00E11CB4" w:rsidRPr="004B179B" w:rsidRDefault="00E11CB4" w:rsidP="00F144DE">
            <w:pPr>
              <w:pStyle w:val="BodyText1"/>
              <w:spacing w:before="60"/>
              <w:jc w:val="center"/>
              <w:rPr>
                <w:lang w:val="de-DE"/>
              </w:rPr>
            </w:pPr>
            <w:r w:rsidRPr="004B179B">
              <w:rPr>
                <w:lang w:val="de-DE"/>
              </w:rPr>
              <w:t>16.53 ± 2.87</w:t>
            </w:r>
          </w:p>
        </w:tc>
      </w:tr>
      <w:tr w:rsidR="00E11CB4" w:rsidRPr="004B179B" w:rsidTr="007C54AA">
        <w:tc>
          <w:tcPr>
            <w:tcW w:w="1789" w:type="pct"/>
          </w:tcPr>
          <w:p w:rsidR="00E11CB4" w:rsidRPr="004B179B" w:rsidRDefault="00E11CB4" w:rsidP="00F144DE">
            <w:pPr>
              <w:pStyle w:val="BodyText1"/>
              <w:spacing w:before="60"/>
            </w:pPr>
            <w:r w:rsidRPr="004B179B">
              <w:t>CL (ml/hr/kg)</w:t>
            </w:r>
          </w:p>
        </w:tc>
        <w:tc>
          <w:tcPr>
            <w:tcW w:w="1642" w:type="pct"/>
          </w:tcPr>
          <w:p w:rsidR="00E11CB4" w:rsidRPr="004B179B" w:rsidRDefault="00E11CB4" w:rsidP="00F144DE">
            <w:pPr>
              <w:pStyle w:val="BodyText1"/>
              <w:spacing w:before="60"/>
              <w:jc w:val="center"/>
            </w:pPr>
            <w:r w:rsidRPr="004B179B">
              <w:t>4.33 ± 1.21</w:t>
            </w:r>
          </w:p>
        </w:tc>
        <w:tc>
          <w:tcPr>
            <w:tcW w:w="1569" w:type="pct"/>
          </w:tcPr>
          <w:p w:rsidR="00E11CB4" w:rsidRPr="004B179B" w:rsidRDefault="00E11CB4" w:rsidP="00F144DE">
            <w:pPr>
              <w:pStyle w:val="BodyText1"/>
              <w:spacing w:before="60"/>
              <w:jc w:val="center"/>
              <w:rPr>
                <w:lang w:val="de-DE"/>
              </w:rPr>
            </w:pPr>
            <w:r w:rsidRPr="004B179B">
              <w:rPr>
                <w:lang w:val="de-DE"/>
              </w:rPr>
              <w:t>4.05 ± 0.92</w:t>
            </w:r>
          </w:p>
        </w:tc>
      </w:tr>
      <w:tr w:rsidR="00E11CB4" w:rsidRPr="004B179B" w:rsidTr="007C54AA">
        <w:tc>
          <w:tcPr>
            <w:tcW w:w="1789" w:type="pct"/>
          </w:tcPr>
          <w:p w:rsidR="00E11CB4" w:rsidRPr="004B179B" w:rsidRDefault="00E11CB4" w:rsidP="00F144DE">
            <w:pPr>
              <w:pStyle w:val="BodyText1"/>
              <w:spacing w:before="60"/>
            </w:pPr>
            <w:r w:rsidRPr="004B179B">
              <w:t>V</w:t>
            </w:r>
            <w:r w:rsidRPr="004B179B">
              <w:rPr>
                <w:vertAlign w:val="subscript"/>
              </w:rPr>
              <w:t>ss</w:t>
            </w:r>
            <w:r w:rsidRPr="004B179B">
              <w:t xml:space="preserve"> (ml/kg</w:t>
            </w:r>
          </w:p>
        </w:tc>
        <w:tc>
          <w:tcPr>
            <w:tcW w:w="1642" w:type="pct"/>
          </w:tcPr>
          <w:p w:rsidR="00E11CB4" w:rsidRPr="004B179B" w:rsidRDefault="00E11CB4" w:rsidP="00F144DE">
            <w:pPr>
              <w:pStyle w:val="BodyText1"/>
              <w:spacing w:before="60"/>
              <w:jc w:val="center"/>
            </w:pPr>
            <w:r w:rsidRPr="004B179B">
              <w:t>54.45 ± 14.80</w:t>
            </w:r>
          </w:p>
        </w:tc>
        <w:tc>
          <w:tcPr>
            <w:tcW w:w="1569" w:type="pct"/>
          </w:tcPr>
          <w:p w:rsidR="00E11CB4" w:rsidRPr="004B179B" w:rsidRDefault="00E11CB4" w:rsidP="00F144DE">
            <w:pPr>
              <w:pStyle w:val="BodyText1"/>
              <w:spacing w:before="60"/>
              <w:jc w:val="center"/>
              <w:rPr>
                <w:lang w:val="de-DE"/>
              </w:rPr>
            </w:pPr>
            <w:r w:rsidRPr="004B179B">
              <w:rPr>
                <w:lang w:val="de-DE"/>
              </w:rPr>
              <w:t>66.07 ± 15.99</w:t>
            </w:r>
          </w:p>
        </w:tc>
      </w:tr>
    </w:tbl>
    <w:p w:rsidR="00E11CB4" w:rsidRPr="004B179B" w:rsidRDefault="00E11CB4" w:rsidP="00E11CB4">
      <w:pPr>
        <w:pStyle w:val="BodyText1"/>
      </w:pPr>
      <w:r w:rsidRPr="004B179B">
        <w:rPr>
          <w:sz w:val="22"/>
          <w:szCs w:val="22"/>
        </w:rPr>
        <w:t>AUC = Area under the curve (FVIII:C), AUC</w:t>
      </w:r>
      <w:r w:rsidRPr="004B179B">
        <w:rPr>
          <w:sz w:val="22"/>
          <w:szCs w:val="22"/>
          <w:vertAlign w:val="subscript"/>
        </w:rPr>
        <w:t>norm</w:t>
      </w:r>
      <w:r w:rsidRPr="004B179B">
        <w:rPr>
          <w:sz w:val="22"/>
          <w:szCs w:val="22"/>
        </w:rPr>
        <w:t xml:space="preserve"> = AUC divided by the dose, C</w:t>
      </w:r>
      <w:r w:rsidRPr="004B179B">
        <w:rPr>
          <w:sz w:val="22"/>
          <w:szCs w:val="22"/>
          <w:vertAlign w:val="subscript"/>
        </w:rPr>
        <w:t>max</w:t>
      </w:r>
      <w:r w:rsidRPr="004B179B">
        <w:rPr>
          <w:sz w:val="22"/>
          <w:szCs w:val="22"/>
        </w:rPr>
        <w:t xml:space="preserve"> = Maximal plasma concentration, CL = Clearance, IVR = FVIII:C = FVIII coagulant activity, IVR = Incremental in vivo recovery, MRT = Mean residence time, SD = Standard deviation, T</w:t>
      </w:r>
      <w:r w:rsidRPr="004B179B">
        <w:rPr>
          <w:sz w:val="22"/>
          <w:szCs w:val="22"/>
          <w:vertAlign w:val="subscript"/>
        </w:rPr>
        <w:t>1/2</w:t>
      </w:r>
      <w:r w:rsidRPr="004B179B">
        <w:rPr>
          <w:sz w:val="22"/>
          <w:szCs w:val="22"/>
        </w:rPr>
        <w:t xml:space="preserve"> = Terminal half-life, V</w:t>
      </w:r>
      <w:r w:rsidRPr="004B179B">
        <w:rPr>
          <w:sz w:val="22"/>
          <w:szCs w:val="22"/>
          <w:vertAlign w:val="subscript"/>
        </w:rPr>
        <w:t>ss</w:t>
      </w:r>
      <w:r w:rsidRPr="004B179B">
        <w:rPr>
          <w:sz w:val="22"/>
          <w:szCs w:val="22"/>
        </w:rPr>
        <w:t xml:space="preserve"> = Volume of distribution at steady state</w:t>
      </w:r>
      <w:r w:rsidRPr="004B179B">
        <w:t>.</w:t>
      </w:r>
    </w:p>
    <w:p w:rsidR="00E11CB4" w:rsidRPr="004B179B" w:rsidRDefault="00E11CB4" w:rsidP="00E11CB4">
      <w:pPr>
        <w:pStyle w:val="Caption"/>
        <w:rPr>
          <w:color w:val="auto"/>
        </w:rPr>
      </w:pPr>
      <w:r w:rsidRPr="004B179B">
        <w:rPr>
          <w:color w:val="auto"/>
        </w:rPr>
        <w:t xml:space="preserve">Table </w:t>
      </w:r>
      <w:r w:rsidR="0084076E" w:rsidRPr="004B179B">
        <w:rPr>
          <w:color w:val="auto"/>
        </w:rPr>
        <w:t>3</w:t>
      </w:r>
      <w:r w:rsidR="00521823">
        <w:rPr>
          <w:color w:val="auto"/>
        </w:rPr>
        <w:t>:</w:t>
      </w:r>
      <w:r w:rsidRPr="004B179B">
        <w:rPr>
          <w:color w:val="auto"/>
        </w:rPr>
        <w:t xml:space="preserve"> </w:t>
      </w:r>
      <w:r w:rsidR="00BE1CB7">
        <w:rPr>
          <w:color w:val="auto"/>
        </w:rPr>
        <w:tab/>
      </w:r>
      <w:r w:rsidRPr="004B179B">
        <w:rPr>
          <w:color w:val="auto"/>
        </w:rPr>
        <w:t xml:space="preserve">PK parameters for </w:t>
      </w:r>
      <w:r w:rsidR="006E3127">
        <w:t>Nuwiq</w:t>
      </w:r>
      <w:r w:rsidR="00C83E6F" w:rsidRPr="004B179B">
        <w:rPr>
          <w:color w:val="auto"/>
        </w:rPr>
        <w:t xml:space="preserve"> </w:t>
      </w:r>
      <w:r w:rsidRPr="004B179B">
        <w:rPr>
          <w:color w:val="auto"/>
        </w:rPr>
        <w:t>in previously treated children aged 2 to 5 years with severe haemophilia A (n = 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3050"/>
        <w:gridCol w:w="2914"/>
      </w:tblGrid>
      <w:tr w:rsidR="00E11CB4" w:rsidRPr="004B179B" w:rsidTr="007C54AA">
        <w:trPr>
          <w:tblHeader/>
        </w:trPr>
        <w:tc>
          <w:tcPr>
            <w:tcW w:w="1789" w:type="pct"/>
          </w:tcPr>
          <w:p w:rsidR="00E11CB4" w:rsidRPr="004B179B" w:rsidRDefault="00E11CB4" w:rsidP="00F144DE">
            <w:pPr>
              <w:pStyle w:val="BodyText1"/>
              <w:spacing w:before="60"/>
              <w:rPr>
                <w:b/>
              </w:rPr>
            </w:pPr>
            <w:r w:rsidRPr="004B179B">
              <w:rPr>
                <w:b/>
              </w:rPr>
              <w:t>PK parameter</w:t>
            </w:r>
          </w:p>
        </w:tc>
        <w:tc>
          <w:tcPr>
            <w:tcW w:w="1642" w:type="pct"/>
          </w:tcPr>
          <w:p w:rsidR="00E11CB4" w:rsidRPr="004B179B" w:rsidRDefault="00E11CB4" w:rsidP="00F144DE">
            <w:pPr>
              <w:pStyle w:val="BodyText1"/>
              <w:spacing w:before="60"/>
              <w:jc w:val="center"/>
              <w:rPr>
                <w:b/>
              </w:rPr>
            </w:pPr>
            <w:r w:rsidRPr="004B179B">
              <w:rPr>
                <w:b/>
              </w:rPr>
              <w:t>Chromogenic assay</w:t>
            </w:r>
          </w:p>
          <w:p w:rsidR="00E11CB4" w:rsidRPr="004B179B" w:rsidRDefault="00E11CB4" w:rsidP="00F144DE">
            <w:pPr>
              <w:pStyle w:val="BodyText1"/>
              <w:spacing w:before="60"/>
              <w:jc w:val="center"/>
              <w:rPr>
                <w:b/>
              </w:rPr>
            </w:pPr>
            <w:r w:rsidRPr="004B179B">
              <w:rPr>
                <w:b/>
              </w:rPr>
              <w:t>Mean ± SD</w:t>
            </w:r>
          </w:p>
        </w:tc>
        <w:tc>
          <w:tcPr>
            <w:tcW w:w="1569" w:type="pct"/>
          </w:tcPr>
          <w:p w:rsidR="00E11CB4" w:rsidRPr="004B179B" w:rsidRDefault="00E11CB4" w:rsidP="00F144DE">
            <w:pPr>
              <w:pStyle w:val="BodyText1"/>
              <w:spacing w:before="60"/>
              <w:jc w:val="center"/>
              <w:rPr>
                <w:b/>
              </w:rPr>
            </w:pPr>
            <w:r w:rsidRPr="004B179B">
              <w:rPr>
                <w:b/>
              </w:rPr>
              <w:t>One-stage clotting assay</w:t>
            </w:r>
          </w:p>
          <w:p w:rsidR="00E11CB4" w:rsidRPr="004B179B" w:rsidRDefault="00E11CB4" w:rsidP="00F144DE">
            <w:pPr>
              <w:pStyle w:val="BodyText1"/>
              <w:spacing w:before="60"/>
              <w:jc w:val="center"/>
              <w:rPr>
                <w:b/>
              </w:rPr>
            </w:pPr>
            <w:r w:rsidRPr="004B179B">
              <w:rPr>
                <w:b/>
              </w:rPr>
              <w:t>Mean ± SD</w:t>
            </w:r>
          </w:p>
        </w:tc>
      </w:tr>
      <w:tr w:rsidR="00E11CB4" w:rsidRPr="004B179B" w:rsidTr="007C54AA">
        <w:tc>
          <w:tcPr>
            <w:tcW w:w="1789" w:type="pct"/>
          </w:tcPr>
          <w:p w:rsidR="00E11CB4" w:rsidRPr="004B179B" w:rsidRDefault="00E11CB4" w:rsidP="00F144DE">
            <w:pPr>
              <w:pStyle w:val="BodyText1"/>
              <w:spacing w:before="60"/>
              <w:rPr>
                <w:b/>
              </w:rPr>
            </w:pPr>
            <w:r w:rsidRPr="004B179B">
              <w:t>AUC (hr*IU/ml)</w:t>
            </w:r>
          </w:p>
        </w:tc>
        <w:tc>
          <w:tcPr>
            <w:tcW w:w="1642" w:type="pct"/>
          </w:tcPr>
          <w:p w:rsidR="00E11CB4" w:rsidRPr="004B179B" w:rsidRDefault="00E11CB4" w:rsidP="00F144DE">
            <w:pPr>
              <w:pStyle w:val="BodyText1"/>
              <w:spacing w:before="60"/>
              <w:jc w:val="center"/>
            </w:pPr>
            <w:r w:rsidRPr="004B179B">
              <w:t>11.69 ± 5.30</w:t>
            </w:r>
          </w:p>
        </w:tc>
        <w:tc>
          <w:tcPr>
            <w:tcW w:w="1569" w:type="pct"/>
          </w:tcPr>
          <w:p w:rsidR="00E11CB4" w:rsidRPr="004B179B" w:rsidRDefault="00E11CB4" w:rsidP="00F144DE">
            <w:pPr>
              <w:pStyle w:val="BodyText1"/>
              <w:spacing w:before="60"/>
              <w:jc w:val="center"/>
            </w:pPr>
            <w:r w:rsidRPr="004B179B">
              <w:t>10.07 ± 4.60</w:t>
            </w:r>
          </w:p>
        </w:tc>
      </w:tr>
      <w:tr w:rsidR="00E11CB4" w:rsidRPr="004B179B" w:rsidTr="007C54AA">
        <w:tc>
          <w:tcPr>
            <w:tcW w:w="1789" w:type="pct"/>
          </w:tcPr>
          <w:p w:rsidR="00E11CB4" w:rsidRPr="004B179B" w:rsidRDefault="00E11CB4" w:rsidP="00F144DE">
            <w:pPr>
              <w:pStyle w:val="BodyText1"/>
              <w:spacing w:before="60"/>
              <w:rPr>
                <w:b/>
                <w:lang w:val="de-DE"/>
              </w:rPr>
            </w:pPr>
            <w:r w:rsidRPr="004B179B">
              <w:rPr>
                <w:lang w:val="de-DE"/>
              </w:rPr>
              <w:t>AUC</w:t>
            </w:r>
            <w:r w:rsidRPr="004B179B">
              <w:rPr>
                <w:vertAlign w:val="subscript"/>
                <w:lang w:val="de-DE"/>
              </w:rPr>
              <w:t>norm</w:t>
            </w:r>
            <w:r w:rsidRPr="004B179B">
              <w:rPr>
                <w:lang w:val="de-DE"/>
              </w:rPr>
              <w:t xml:space="preserve"> (hr*IU/ml/(IU/kg))</w:t>
            </w:r>
          </w:p>
        </w:tc>
        <w:tc>
          <w:tcPr>
            <w:tcW w:w="1642" w:type="pct"/>
          </w:tcPr>
          <w:p w:rsidR="00E11CB4" w:rsidRPr="004B179B" w:rsidRDefault="00E11CB4" w:rsidP="00F144DE">
            <w:pPr>
              <w:pStyle w:val="BodyText1"/>
              <w:spacing w:before="60"/>
              <w:jc w:val="center"/>
              <w:rPr>
                <w:lang w:val="de-DE"/>
              </w:rPr>
            </w:pPr>
            <w:r w:rsidRPr="004B179B">
              <w:rPr>
                <w:lang w:val="de-DE"/>
              </w:rPr>
              <w:t>0.22 ± 0.10</w:t>
            </w:r>
          </w:p>
        </w:tc>
        <w:tc>
          <w:tcPr>
            <w:tcW w:w="1569" w:type="pct"/>
          </w:tcPr>
          <w:p w:rsidR="00E11CB4" w:rsidRPr="004B179B" w:rsidRDefault="00E11CB4" w:rsidP="00F144DE">
            <w:pPr>
              <w:pStyle w:val="BodyText1"/>
              <w:spacing w:before="60"/>
              <w:jc w:val="center"/>
              <w:rPr>
                <w:lang w:val="de-DE"/>
              </w:rPr>
            </w:pPr>
            <w:r w:rsidRPr="004B179B">
              <w:rPr>
                <w:lang w:val="de-DE"/>
              </w:rPr>
              <w:t>0.22 ± 0.10</w:t>
            </w:r>
          </w:p>
        </w:tc>
      </w:tr>
      <w:tr w:rsidR="00E11CB4" w:rsidRPr="004B179B" w:rsidTr="007C54AA">
        <w:tc>
          <w:tcPr>
            <w:tcW w:w="1789" w:type="pct"/>
          </w:tcPr>
          <w:p w:rsidR="00E11CB4" w:rsidRPr="004B179B" w:rsidRDefault="00E11CB4" w:rsidP="00F144DE">
            <w:pPr>
              <w:pStyle w:val="BodyText1"/>
              <w:spacing w:before="60"/>
            </w:pPr>
            <w:r w:rsidRPr="004B179B">
              <w:t>C</w:t>
            </w:r>
            <w:r w:rsidRPr="004B179B">
              <w:rPr>
                <w:vertAlign w:val="subscript"/>
              </w:rPr>
              <w:t>maxnorm</w:t>
            </w:r>
            <w:r w:rsidRPr="004B179B">
              <w:t xml:space="preserve"> (IU/ml/(IU/kg))</w:t>
            </w:r>
          </w:p>
        </w:tc>
        <w:tc>
          <w:tcPr>
            <w:tcW w:w="1642" w:type="pct"/>
          </w:tcPr>
          <w:p w:rsidR="00E11CB4" w:rsidRPr="004B179B" w:rsidRDefault="00E11CB4" w:rsidP="00F144DE">
            <w:pPr>
              <w:pStyle w:val="BodyText1"/>
              <w:spacing w:before="60"/>
              <w:jc w:val="center"/>
            </w:pPr>
            <w:r w:rsidRPr="004B179B">
              <w:t>0.019 ± 0.003</w:t>
            </w:r>
          </w:p>
        </w:tc>
        <w:tc>
          <w:tcPr>
            <w:tcW w:w="1569" w:type="pct"/>
          </w:tcPr>
          <w:p w:rsidR="00E11CB4" w:rsidRPr="004B179B" w:rsidRDefault="00E11CB4" w:rsidP="00F144DE">
            <w:pPr>
              <w:pStyle w:val="BodyText1"/>
              <w:spacing w:before="60"/>
              <w:jc w:val="center"/>
              <w:rPr>
                <w:lang w:val="de-DE"/>
              </w:rPr>
            </w:pPr>
            <w:r w:rsidRPr="004B179B">
              <w:rPr>
                <w:lang w:val="de-DE"/>
              </w:rPr>
              <w:t>0.016 ± 0.002</w:t>
            </w:r>
          </w:p>
        </w:tc>
      </w:tr>
      <w:tr w:rsidR="00E11CB4" w:rsidRPr="004B179B" w:rsidTr="007C54AA">
        <w:tc>
          <w:tcPr>
            <w:tcW w:w="1789" w:type="pct"/>
          </w:tcPr>
          <w:p w:rsidR="00E11CB4" w:rsidRPr="004B179B" w:rsidRDefault="00E11CB4" w:rsidP="00F144DE">
            <w:pPr>
              <w:pStyle w:val="BodyText1"/>
              <w:spacing w:before="60"/>
              <w:rPr>
                <w:b/>
                <w:lang w:val="de-DE"/>
              </w:rPr>
            </w:pPr>
            <w:r w:rsidRPr="004B179B">
              <w:t>T</w:t>
            </w:r>
            <w:r w:rsidRPr="004B179B">
              <w:rPr>
                <w:vertAlign w:val="subscript"/>
              </w:rPr>
              <w:t xml:space="preserve">1/2 </w:t>
            </w:r>
            <w:r w:rsidRPr="004B179B">
              <w:t>(hr)</w:t>
            </w:r>
          </w:p>
        </w:tc>
        <w:tc>
          <w:tcPr>
            <w:tcW w:w="1642" w:type="pct"/>
          </w:tcPr>
          <w:p w:rsidR="00E11CB4" w:rsidRPr="004B179B" w:rsidRDefault="00E11CB4" w:rsidP="00F144DE">
            <w:pPr>
              <w:pStyle w:val="BodyText1"/>
              <w:spacing w:before="60"/>
              <w:jc w:val="center"/>
              <w:rPr>
                <w:lang w:val="de-DE"/>
              </w:rPr>
            </w:pPr>
            <w:r w:rsidRPr="004B179B">
              <w:t>9.49 ± 3.32</w:t>
            </w:r>
          </w:p>
        </w:tc>
        <w:tc>
          <w:tcPr>
            <w:tcW w:w="1569" w:type="pct"/>
          </w:tcPr>
          <w:p w:rsidR="00E11CB4" w:rsidRPr="004B179B" w:rsidRDefault="00E11CB4" w:rsidP="00F144DE">
            <w:pPr>
              <w:pStyle w:val="BodyText1"/>
              <w:spacing w:before="60"/>
              <w:jc w:val="center"/>
              <w:rPr>
                <w:lang w:val="de-DE"/>
              </w:rPr>
            </w:pPr>
            <w:r w:rsidRPr="004B179B">
              <w:rPr>
                <w:lang w:val="de-DE"/>
              </w:rPr>
              <w:t>11.91 ± 5.36</w:t>
            </w:r>
          </w:p>
        </w:tc>
      </w:tr>
      <w:tr w:rsidR="00E11CB4" w:rsidRPr="004B179B" w:rsidTr="007C54AA">
        <w:tc>
          <w:tcPr>
            <w:tcW w:w="1789" w:type="pct"/>
          </w:tcPr>
          <w:p w:rsidR="00E11CB4" w:rsidRPr="004B179B" w:rsidRDefault="00E11CB4" w:rsidP="00F144DE">
            <w:pPr>
              <w:pStyle w:val="BodyText1"/>
              <w:spacing w:before="60"/>
              <w:rPr>
                <w:b/>
                <w:lang w:val="de-DE"/>
              </w:rPr>
            </w:pPr>
            <w:r w:rsidRPr="004B179B">
              <w:t>IVR (%/IU/kg)</w:t>
            </w:r>
          </w:p>
        </w:tc>
        <w:tc>
          <w:tcPr>
            <w:tcW w:w="1642" w:type="pct"/>
          </w:tcPr>
          <w:p w:rsidR="00E11CB4" w:rsidRPr="004B179B" w:rsidRDefault="00E11CB4" w:rsidP="00F144DE">
            <w:pPr>
              <w:pStyle w:val="BodyText1"/>
              <w:spacing w:before="60"/>
              <w:jc w:val="center"/>
              <w:rPr>
                <w:lang w:val="de-DE"/>
              </w:rPr>
            </w:pPr>
            <w:r w:rsidRPr="004B179B">
              <w:t>1.871 ± 0.270</w:t>
            </w:r>
          </w:p>
        </w:tc>
        <w:tc>
          <w:tcPr>
            <w:tcW w:w="1569" w:type="pct"/>
          </w:tcPr>
          <w:p w:rsidR="00E11CB4" w:rsidRPr="004B179B" w:rsidRDefault="00E11CB4" w:rsidP="00F144DE">
            <w:pPr>
              <w:pStyle w:val="BodyText1"/>
              <w:spacing w:before="60"/>
              <w:jc w:val="center"/>
              <w:rPr>
                <w:lang w:val="de-DE"/>
              </w:rPr>
            </w:pPr>
            <w:r w:rsidRPr="004B179B">
              <w:rPr>
                <w:lang w:val="de-DE"/>
              </w:rPr>
              <w:t>1.572 ± 0.167</w:t>
            </w:r>
          </w:p>
        </w:tc>
      </w:tr>
      <w:tr w:rsidR="00E11CB4" w:rsidRPr="004B179B" w:rsidTr="007C54AA">
        <w:tc>
          <w:tcPr>
            <w:tcW w:w="1789" w:type="pct"/>
          </w:tcPr>
          <w:p w:rsidR="00E11CB4" w:rsidRPr="004B179B" w:rsidRDefault="00E11CB4" w:rsidP="00F144DE">
            <w:pPr>
              <w:pStyle w:val="BodyText1"/>
              <w:spacing w:before="60"/>
              <w:rPr>
                <w:b/>
                <w:lang w:val="de-DE"/>
              </w:rPr>
            </w:pPr>
            <w:r w:rsidRPr="004B179B">
              <w:t>MRT (hr)</w:t>
            </w:r>
          </w:p>
        </w:tc>
        <w:tc>
          <w:tcPr>
            <w:tcW w:w="1642" w:type="pct"/>
          </w:tcPr>
          <w:p w:rsidR="00E11CB4" w:rsidRPr="004B179B" w:rsidRDefault="00E11CB4" w:rsidP="00F144DE">
            <w:pPr>
              <w:pStyle w:val="BodyText1"/>
              <w:spacing w:before="60"/>
              <w:jc w:val="center"/>
              <w:rPr>
                <w:lang w:val="de-DE"/>
              </w:rPr>
            </w:pPr>
            <w:r w:rsidRPr="004B179B">
              <w:t>11.92 ± 4.93</w:t>
            </w:r>
          </w:p>
        </w:tc>
        <w:tc>
          <w:tcPr>
            <w:tcW w:w="1569" w:type="pct"/>
          </w:tcPr>
          <w:p w:rsidR="00E11CB4" w:rsidRPr="004B179B" w:rsidRDefault="00E11CB4" w:rsidP="00F144DE">
            <w:pPr>
              <w:pStyle w:val="BodyText1"/>
              <w:spacing w:before="60"/>
              <w:jc w:val="center"/>
              <w:rPr>
                <w:lang w:val="de-DE"/>
              </w:rPr>
            </w:pPr>
            <w:r w:rsidRPr="004B179B">
              <w:rPr>
                <w:lang w:val="de-DE"/>
              </w:rPr>
              <w:t>15.11 ± 7.35</w:t>
            </w:r>
          </w:p>
        </w:tc>
      </w:tr>
      <w:tr w:rsidR="00E11CB4" w:rsidRPr="004B179B" w:rsidTr="007C54AA">
        <w:tc>
          <w:tcPr>
            <w:tcW w:w="1789" w:type="pct"/>
          </w:tcPr>
          <w:p w:rsidR="00E11CB4" w:rsidRPr="004B179B" w:rsidRDefault="00E11CB4" w:rsidP="00F144DE">
            <w:pPr>
              <w:pStyle w:val="BodyText1"/>
              <w:spacing w:before="60"/>
            </w:pPr>
            <w:r w:rsidRPr="004B179B">
              <w:t>CL (ml/hr/kg)</w:t>
            </w:r>
          </w:p>
        </w:tc>
        <w:tc>
          <w:tcPr>
            <w:tcW w:w="1642" w:type="pct"/>
          </w:tcPr>
          <w:p w:rsidR="00E11CB4" w:rsidRPr="004B179B" w:rsidRDefault="00E11CB4" w:rsidP="00F144DE">
            <w:pPr>
              <w:pStyle w:val="BodyText1"/>
              <w:spacing w:before="60"/>
              <w:jc w:val="center"/>
            </w:pPr>
            <w:r w:rsidRPr="004B179B">
              <w:t>5.40 ± 2.37</w:t>
            </w:r>
          </w:p>
        </w:tc>
        <w:tc>
          <w:tcPr>
            <w:tcW w:w="1569" w:type="pct"/>
          </w:tcPr>
          <w:p w:rsidR="00E11CB4" w:rsidRPr="004B179B" w:rsidRDefault="00E11CB4" w:rsidP="00F144DE">
            <w:pPr>
              <w:pStyle w:val="BodyText1"/>
              <w:spacing w:before="60"/>
              <w:jc w:val="center"/>
              <w:rPr>
                <w:lang w:val="de-DE"/>
              </w:rPr>
            </w:pPr>
            <w:r w:rsidRPr="004B179B">
              <w:rPr>
                <w:lang w:val="de-DE"/>
              </w:rPr>
              <w:t>5.41 ± 2.32</w:t>
            </w:r>
          </w:p>
        </w:tc>
      </w:tr>
      <w:tr w:rsidR="00E11CB4" w:rsidRPr="004B179B" w:rsidTr="007C54AA">
        <w:tc>
          <w:tcPr>
            <w:tcW w:w="1789" w:type="pct"/>
          </w:tcPr>
          <w:p w:rsidR="00E11CB4" w:rsidRPr="004B179B" w:rsidRDefault="00E11CB4" w:rsidP="00F144DE">
            <w:pPr>
              <w:pStyle w:val="BodyText1"/>
              <w:spacing w:before="60"/>
            </w:pPr>
            <w:r w:rsidRPr="004B179B">
              <w:t>V</w:t>
            </w:r>
            <w:r w:rsidRPr="004B179B">
              <w:rPr>
                <w:vertAlign w:val="subscript"/>
              </w:rPr>
              <w:t>ss</w:t>
            </w:r>
            <w:r w:rsidRPr="004B179B">
              <w:t xml:space="preserve"> (ml/kg</w:t>
            </w:r>
          </w:p>
        </w:tc>
        <w:tc>
          <w:tcPr>
            <w:tcW w:w="1642" w:type="pct"/>
          </w:tcPr>
          <w:p w:rsidR="00E11CB4" w:rsidRPr="004B179B" w:rsidRDefault="00E11CB4" w:rsidP="00F144DE">
            <w:pPr>
              <w:pStyle w:val="BodyText1"/>
              <w:spacing w:before="60"/>
              <w:jc w:val="center"/>
            </w:pPr>
            <w:r w:rsidRPr="004B179B">
              <w:t>55.32 ± 7.09</w:t>
            </w:r>
          </w:p>
        </w:tc>
        <w:tc>
          <w:tcPr>
            <w:tcW w:w="1569" w:type="pct"/>
          </w:tcPr>
          <w:p w:rsidR="00E11CB4" w:rsidRPr="004B179B" w:rsidRDefault="00E11CB4" w:rsidP="00F144DE">
            <w:pPr>
              <w:pStyle w:val="BodyText1"/>
              <w:spacing w:before="60"/>
              <w:jc w:val="center"/>
              <w:rPr>
                <w:lang w:val="de-DE"/>
              </w:rPr>
            </w:pPr>
            <w:r w:rsidRPr="004B179B">
              <w:rPr>
                <w:lang w:val="de-DE"/>
              </w:rPr>
              <w:t>68.29 ± 10.42</w:t>
            </w:r>
          </w:p>
        </w:tc>
      </w:tr>
    </w:tbl>
    <w:p w:rsidR="00151193" w:rsidRPr="004B179B" w:rsidRDefault="00E11CB4" w:rsidP="00E11CB4">
      <w:pPr>
        <w:pStyle w:val="BodyText1"/>
      </w:pPr>
      <w:r w:rsidRPr="004B179B">
        <w:rPr>
          <w:sz w:val="22"/>
          <w:szCs w:val="22"/>
        </w:rPr>
        <w:t>AUC = Area under the curve (FVIII:C), AUC</w:t>
      </w:r>
      <w:r w:rsidRPr="004B179B">
        <w:rPr>
          <w:sz w:val="22"/>
          <w:szCs w:val="22"/>
          <w:vertAlign w:val="subscript"/>
        </w:rPr>
        <w:t>norm</w:t>
      </w:r>
      <w:r w:rsidRPr="004B179B">
        <w:rPr>
          <w:sz w:val="22"/>
          <w:szCs w:val="22"/>
        </w:rPr>
        <w:t xml:space="preserve"> = AUC divided by the dose, C</w:t>
      </w:r>
      <w:r w:rsidRPr="004B179B">
        <w:rPr>
          <w:sz w:val="22"/>
          <w:szCs w:val="22"/>
          <w:vertAlign w:val="subscript"/>
        </w:rPr>
        <w:t>max</w:t>
      </w:r>
      <w:r w:rsidRPr="004B179B">
        <w:rPr>
          <w:sz w:val="22"/>
          <w:szCs w:val="22"/>
        </w:rPr>
        <w:t xml:space="preserve"> = Maximal plasma concentration, CL = Clearance, IVR = FVIII:C = FVIII coagulant activity, IVR = Incremental in vivo recovery, MRT = Mean residence time, SD = Standard deviation, T</w:t>
      </w:r>
      <w:r w:rsidRPr="004B179B">
        <w:rPr>
          <w:sz w:val="22"/>
          <w:szCs w:val="22"/>
          <w:vertAlign w:val="subscript"/>
        </w:rPr>
        <w:t>1/2</w:t>
      </w:r>
      <w:r w:rsidRPr="004B179B">
        <w:rPr>
          <w:sz w:val="22"/>
          <w:szCs w:val="22"/>
        </w:rPr>
        <w:t xml:space="preserve"> = Terminal half-life, V</w:t>
      </w:r>
      <w:r w:rsidRPr="004B179B">
        <w:rPr>
          <w:sz w:val="22"/>
          <w:szCs w:val="22"/>
          <w:vertAlign w:val="subscript"/>
        </w:rPr>
        <w:t>ss</w:t>
      </w:r>
      <w:r w:rsidRPr="004B179B">
        <w:rPr>
          <w:sz w:val="22"/>
          <w:szCs w:val="22"/>
        </w:rPr>
        <w:t xml:space="preserve"> = Volume of distribution at steady state</w:t>
      </w:r>
      <w:r w:rsidRPr="004B179B">
        <w:t>.</w:t>
      </w:r>
    </w:p>
    <w:p w:rsidR="0084076E" w:rsidRPr="00890548" w:rsidRDefault="0084076E" w:rsidP="00151193">
      <w:pPr>
        <w:pStyle w:val="Heading3"/>
        <w:rPr>
          <w:lang w:val="en-US"/>
        </w:rPr>
      </w:pPr>
      <w:r w:rsidRPr="00890548">
        <w:rPr>
          <w:lang w:val="en-US"/>
        </w:rPr>
        <w:lastRenderedPageBreak/>
        <w:t>Paediatric population</w:t>
      </w:r>
    </w:p>
    <w:p w:rsidR="0084076E" w:rsidRPr="004B179B" w:rsidRDefault="0084076E" w:rsidP="00521823">
      <w:r w:rsidRPr="004B179B">
        <w:t>As known from the literature, recovery and half-life was lower in young children than in adults and clearance higher, which may be due in part to the known higher plasma volume per kilogram body weight in younger patients.</w:t>
      </w:r>
    </w:p>
    <w:p w:rsidR="00F144DE" w:rsidRDefault="00F144DE">
      <w:pPr>
        <w:pStyle w:val="Heading1"/>
        <w:rPr>
          <w:lang w:val="en-GB"/>
        </w:rPr>
      </w:pPr>
    </w:p>
    <w:p w:rsidR="00BE1CB7" w:rsidRPr="00BE1CB7" w:rsidRDefault="00BE1CB7" w:rsidP="00BE1CB7">
      <w:pPr>
        <w:pStyle w:val="Text"/>
        <w:rPr>
          <w:lang w:val="en-GB"/>
        </w:rPr>
      </w:pPr>
    </w:p>
    <w:p w:rsidR="00421286" w:rsidRPr="00D2060D" w:rsidRDefault="00421286">
      <w:pPr>
        <w:pStyle w:val="Heading1"/>
        <w:rPr>
          <w:lang w:val="en-GB"/>
        </w:rPr>
      </w:pPr>
      <w:r w:rsidRPr="00D2060D">
        <w:rPr>
          <w:lang w:val="en-GB"/>
        </w:rPr>
        <w:t>Clinical Trials</w:t>
      </w:r>
    </w:p>
    <w:p w:rsidR="002312CC" w:rsidRPr="00D2060D" w:rsidRDefault="00890548" w:rsidP="00890548">
      <w:pPr>
        <w:rPr>
          <w:lang w:val="en-US"/>
        </w:rPr>
      </w:pPr>
      <w:r w:rsidRPr="00D2060D">
        <w:rPr>
          <w:lang w:val="en-US"/>
        </w:rPr>
        <w:t xml:space="preserve">Three pivotal clinical studies with </w:t>
      </w:r>
      <w:r w:rsidR="006E3127">
        <w:t>Nuwiq</w:t>
      </w:r>
      <w:r w:rsidR="00C83E6F" w:rsidRPr="00D2060D">
        <w:rPr>
          <w:lang w:val="en-US"/>
        </w:rPr>
        <w:t xml:space="preserve"> </w:t>
      </w:r>
      <w:r w:rsidRPr="00D2060D">
        <w:rPr>
          <w:lang w:val="en-US"/>
        </w:rPr>
        <w:t>have been conducted</w:t>
      </w:r>
      <w:r w:rsidR="00C837DF" w:rsidRPr="00D2060D">
        <w:rPr>
          <w:lang w:val="en-US"/>
        </w:rPr>
        <w:t xml:space="preserve"> in a total of 113 previously treated patients (PTPs)</w:t>
      </w:r>
      <w:r w:rsidRPr="00D2060D">
        <w:rPr>
          <w:lang w:val="en-US"/>
        </w:rPr>
        <w:t>. In addition</w:t>
      </w:r>
      <w:r w:rsidR="00834587" w:rsidRPr="00D2060D">
        <w:rPr>
          <w:lang w:val="en-US"/>
        </w:rPr>
        <w:t xml:space="preserve">, </w:t>
      </w:r>
      <w:r w:rsidRPr="00D2060D">
        <w:rPr>
          <w:lang w:val="en-US"/>
        </w:rPr>
        <w:t>a</w:t>
      </w:r>
      <w:r w:rsidR="000B4D3D" w:rsidRPr="00D2060D">
        <w:rPr>
          <w:lang w:val="en-US"/>
        </w:rPr>
        <w:t xml:space="preserve"> supportive </w:t>
      </w:r>
      <w:r w:rsidRPr="00D2060D">
        <w:rPr>
          <w:lang w:val="en-US"/>
        </w:rPr>
        <w:t>study and its extension study w</w:t>
      </w:r>
      <w:r w:rsidR="00F40D03" w:rsidRPr="00D2060D">
        <w:rPr>
          <w:lang w:val="en-US"/>
        </w:rPr>
        <w:t>ere</w:t>
      </w:r>
      <w:r w:rsidRPr="00D2060D">
        <w:rPr>
          <w:lang w:val="en-US"/>
        </w:rPr>
        <w:t xml:space="preserve"> conducted in a single center in Russia in </w:t>
      </w:r>
      <w:r w:rsidR="002312CC" w:rsidRPr="00D2060D">
        <w:rPr>
          <w:lang w:val="en-US"/>
        </w:rPr>
        <w:t xml:space="preserve">a population of </w:t>
      </w:r>
      <w:r w:rsidR="00834587" w:rsidRPr="00D2060D">
        <w:rPr>
          <w:lang w:val="en-US"/>
        </w:rPr>
        <w:t xml:space="preserve">22 adult </w:t>
      </w:r>
      <w:r w:rsidR="002312CC" w:rsidRPr="00D2060D">
        <w:rPr>
          <w:lang w:val="en-US"/>
        </w:rPr>
        <w:t xml:space="preserve">PTPs who had been inadequately treated </w:t>
      </w:r>
      <w:r w:rsidR="00834587" w:rsidRPr="00D2060D">
        <w:rPr>
          <w:lang w:val="en-US"/>
        </w:rPr>
        <w:t>since childhood</w:t>
      </w:r>
      <w:r w:rsidR="002312CC" w:rsidRPr="00D2060D">
        <w:rPr>
          <w:lang w:val="en-US"/>
        </w:rPr>
        <w:t xml:space="preserve">. </w:t>
      </w:r>
      <w:r w:rsidR="00F40D03" w:rsidRPr="00D2060D">
        <w:rPr>
          <w:lang w:val="en-US"/>
        </w:rPr>
        <w:t>These studies provide</w:t>
      </w:r>
      <w:r w:rsidR="00834587" w:rsidRPr="00D2060D">
        <w:rPr>
          <w:lang w:val="en-US"/>
        </w:rPr>
        <w:t xml:space="preserve"> </w:t>
      </w:r>
      <w:r w:rsidR="00F40D03" w:rsidRPr="00D2060D">
        <w:rPr>
          <w:lang w:val="en-US"/>
        </w:rPr>
        <w:t xml:space="preserve">supportive </w:t>
      </w:r>
      <w:r w:rsidR="00834587" w:rsidRPr="00D2060D">
        <w:rPr>
          <w:lang w:val="en-US"/>
        </w:rPr>
        <w:t xml:space="preserve">data </w:t>
      </w:r>
      <w:r w:rsidR="00F40D03" w:rsidRPr="00D2060D">
        <w:rPr>
          <w:lang w:val="en-US"/>
        </w:rPr>
        <w:t xml:space="preserve">mainly for assessment of inhibitor development and </w:t>
      </w:r>
      <w:r w:rsidR="00834587" w:rsidRPr="00D2060D">
        <w:rPr>
          <w:lang w:val="en-US"/>
        </w:rPr>
        <w:t xml:space="preserve">perioperative </w:t>
      </w:r>
      <w:r w:rsidR="00F40D03" w:rsidRPr="00D2060D">
        <w:rPr>
          <w:lang w:val="en-US"/>
        </w:rPr>
        <w:t xml:space="preserve">prophylaxis. </w:t>
      </w:r>
      <w:r w:rsidR="00AF6380">
        <w:rPr>
          <w:lang w:val="en-US"/>
        </w:rPr>
        <w:t>Doses for prophylaxis in clinical trials were 30–40 IU/kg.</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33"/>
        <w:gridCol w:w="1834"/>
        <w:gridCol w:w="1834"/>
        <w:gridCol w:w="1834"/>
      </w:tblGrid>
      <w:tr w:rsidR="00C837DF" w:rsidRPr="00D2060D" w:rsidTr="00F144DE">
        <w:trPr>
          <w:cantSplit/>
          <w:tblHeader/>
        </w:trPr>
        <w:tc>
          <w:tcPr>
            <w:tcW w:w="1559" w:type="dxa"/>
          </w:tcPr>
          <w:p w:rsidR="002312CC" w:rsidRPr="00D2060D" w:rsidRDefault="002312CC" w:rsidP="00F144DE">
            <w:pPr>
              <w:pStyle w:val="BodyText1"/>
              <w:spacing w:before="60"/>
              <w:jc w:val="left"/>
              <w:rPr>
                <w:b/>
              </w:rPr>
            </w:pPr>
          </w:p>
        </w:tc>
        <w:tc>
          <w:tcPr>
            <w:tcW w:w="1833" w:type="dxa"/>
          </w:tcPr>
          <w:p w:rsidR="002312CC" w:rsidRPr="00D2060D" w:rsidRDefault="00775877" w:rsidP="00F144DE">
            <w:pPr>
              <w:pStyle w:val="BodyText1"/>
              <w:spacing w:before="60"/>
              <w:jc w:val="left"/>
              <w:rPr>
                <w:b/>
              </w:rPr>
            </w:pPr>
            <w:r w:rsidRPr="00D2060D">
              <w:rPr>
                <w:b/>
              </w:rPr>
              <w:t>Study I</w:t>
            </w:r>
          </w:p>
        </w:tc>
        <w:tc>
          <w:tcPr>
            <w:tcW w:w="1834" w:type="dxa"/>
          </w:tcPr>
          <w:p w:rsidR="002312CC" w:rsidRPr="00D2060D" w:rsidRDefault="00775877" w:rsidP="00F144DE">
            <w:pPr>
              <w:pStyle w:val="BodyText1"/>
              <w:spacing w:before="60"/>
              <w:jc w:val="left"/>
              <w:rPr>
                <w:b/>
              </w:rPr>
            </w:pPr>
            <w:r w:rsidRPr="00D2060D">
              <w:rPr>
                <w:b/>
              </w:rPr>
              <w:t>Study II</w:t>
            </w:r>
          </w:p>
        </w:tc>
        <w:tc>
          <w:tcPr>
            <w:tcW w:w="1834" w:type="dxa"/>
          </w:tcPr>
          <w:p w:rsidR="002312CC" w:rsidRPr="00D2060D" w:rsidRDefault="00775877" w:rsidP="00F144DE">
            <w:pPr>
              <w:pStyle w:val="BodyText1"/>
              <w:spacing w:before="60"/>
              <w:jc w:val="left"/>
              <w:rPr>
                <w:b/>
              </w:rPr>
            </w:pPr>
            <w:r w:rsidRPr="00D2060D">
              <w:rPr>
                <w:b/>
              </w:rPr>
              <w:t>Study III</w:t>
            </w:r>
          </w:p>
        </w:tc>
        <w:tc>
          <w:tcPr>
            <w:tcW w:w="1834" w:type="dxa"/>
          </w:tcPr>
          <w:p w:rsidR="00C837DF" w:rsidRPr="00D2060D" w:rsidRDefault="00C837DF" w:rsidP="00F144DE">
            <w:pPr>
              <w:pStyle w:val="BodyText1"/>
              <w:spacing w:before="60"/>
              <w:jc w:val="left"/>
              <w:rPr>
                <w:b/>
              </w:rPr>
            </w:pPr>
            <w:r w:rsidRPr="00D2060D">
              <w:rPr>
                <w:b/>
              </w:rPr>
              <w:t>Study IV/V</w:t>
            </w:r>
          </w:p>
          <w:p w:rsidR="002312CC" w:rsidRPr="00D2060D" w:rsidRDefault="00775877" w:rsidP="00F144DE">
            <w:pPr>
              <w:pStyle w:val="BodyText1"/>
              <w:spacing w:before="60"/>
              <w:jc w:val="left"/>
              <w:rPr>
                <w:b/>
              </w:rPr>
            </w:pPr>
            <w:r w:rsidRPr="00D2060D">
              <w:rPr>
                <w:b/>
              </w:rPr>
              <w:t>Supportive studies</w:t>
            </w:r>
          </w:p>
        </w:tc>
      </w:tr>
      <w:tr w:rsidR="00C837DF" w:rsidRPr="00D2060D" w:rsidTr="00F144DE">
        <w:trPr>
          <w:cantSplit/>
          <w:tblHeader/>
        </w:trPr>
        <w:tc>
          <w:tcPr>
            <w:tcW w:w="1559" w:type="dxa"/>
          </w:tcPr>
          <w:p w:rsidR="002312CC" w:rsidRPr="00D2060D" w:rsidRDefault="00775877" w:rsidP="00F144DE">
            <w:pPr>
              <w:pStyle w:val="BodyText1"/>
              <w:spacing w:before="60"/>
              <w:jc w:val="left"/>
              <w:rPr>
                <w:b/>
              </w:rPr>
            </w:pPr>
            <w:r w:rsidRPr="00D2060D">
              <w:rPr>
                <w:b/>
              </w:rPr>
              <w:t>Number of patients</w:t>
            </w:r>
          </w:p>
        </w:tc>
        <w:tc>
          <w:tcPr>
            <w:tcW w:w="1833" w:type="dxa"/>
          </w:tcPr>
          <w:p w:rsidR="002312CC" w:rsidRPr="00D2060D" w:rsidRDefault="00DE207E" w:rsidP="00F144DE">
            <w:pPr>
              <w:pStyle w:val="BodyText1"/>
              <w:spacing w:before="60"/>
              <w:jc w:val="left"/>
            </w:pPr>
            <w:r w:rsidRPr="00D2060D">
              <w:t>22</w:t>
            </w:r>
          </w:p>
        </w:tc>
        <w:tc>
          <w:tcPr>
            <w:tcW w:w="1834" w:type="dxa"/>
          </w:tcPr>
          <w:p w:rsidR="002312CC" w:rsidRPr="00D2060D" w:rsidRDefault="00DE207E" w:rsidP="00F144DE">
            <w:pPr>
              <w:pStyle w:val="BodyText1"/>
              <w:spacing w:before="60"/>
              <w:jc w:val="left"/>
            </w:pPr>
            <w:r w:rsidRPr="00D2060D">
              <w:t>32</w:t>
            </w:r>
          </w:p>
        </w:tc>
        <w:tc>
          <w:tcPr>
            <w:tcW w:w="1834" w:type="dxa"/>
          </w:tcPr>
          <w:p w:rsidR="002312CC" w:rsidRPr="00D2060D" w:rsidRDefault="00DE207E" w:rsidP="00F144DE">
            <w:pPr>
              <w:pStyle w:val="BodyText1"/>
              <w:spacing w:before="60"/>
              <w:jc w:val="left"/>
            </w:pPr>
            <w:r w:rsidRPr="00D2060D">
              <w:t>59</w:t>
            </w:r>
          </w:p>
        </w:tc>
        <w:tc>
          <w:tcPr>
            <w:tcW w:w="1834" w:type="dxa"/>
          </w:tcPr>
          <w:p w:rsidR="002312CC" w:rsidRPr="00D2060D" w:rsidRDefault="00DE207E" w:rsidP="00F144DE">
            <w:pPr>
              <w:pStyle w:val="BodyText1"/>
              <w:spacing w:before="60"/>
              <w:jc w:val="left"/>
            </w:pPr>
            <w:r w:rsidRPr="00D2060D">
              <w:t>22</w:t>
            </w:r>
          </w:p>
        </w:tc>
      </w:tr>
      <w:tr w:rsidR="00C837DF" w:rsidRPr="00D2060D" w:rsidTr="00F144DE">
        <w:trPr>
          <w:cantSplit/>
          <w:tblHeader/>
        </w:trPr>
        <w:tc>
          <w:tcPr>
            <w:tcW w:w="1559" w:type="dxa"/>
          </w:tcPr>
          <w:p w:rsidR="002312CC" w:rsidRPr="00D2060D" w:rsidRDefault="00775877" w:rsidP="00F144DE">
            <w:pPr>
              <w:pStyle w:val="BodyText1"/>
              <w:spacing w:before="60"/>
              <w:jc w:val="left"/>
              <w:rPr>
                <w:b/>
              </w:rPr>
            </w:pPr>
            <w:r w:rsidRPr="00D2060D">
              <w:rPr>
                <w:b/>
              </w:rPr>
              <w:t>Population studies</w:t>
            </w:r>
          </w:p>
        </w:tc>
        <w:tc>
          <w:tcPr>
            <w:tcW w:w="1833" w:type="dxa"/>
          </w:tcPr>
          <w:p w:rsidR="002312CC" w:rsidRPr="00D2060D" w:rsidRDefault="00DE207E" w:rsidP="00F144DE">
            <w:pPr>
              <w:pStyle w:val="BodyText1"/>
              <w:spacing w:before="60"/>
              <w:jc w:val="left"/>
            </w:pPr>
            <w:r w:rsidRPr="00D2060D">
              <w:t>PTPs (≥150 ED*) with severe haemophilia A (≤1%)</w:t>
            </w:r>
          </w:p>
        </w:tc>
        <w:tc>
          <w:tcPr>
            <w:tcW w:w="1834" w:type="dxa"/>
          </w:tcPr>
          <w:p w:rsidR="002312CC" w:rsidRPr="00D2060D" w:rsidRDefault="00DE207E" w:rsidP="00F144DE">
            <w:pPr>
              <w:pStyle w:val="BodyText1"/>
              <w:spacing w:before="60"/>
              <w:jc w:val="left"/>
            </w:pPr>
            <w:r w:rsidRPr="00D2060D">
              <w:t>PTPs (≥150 ED*) with severe haemophilia A (≤1%)</w:t>
            </w:r>
          </w:p>
        </w:tc>
        <w:tc>
          <w:tcPr>
            <w:tcW w:w="1834" w:type="dxa"/>
          </w:tcPr>
          <w:p w:rsidR="002312CC" w:rsidRPr="00D2060D" w:rsidRDefault="00DE207E" w:rsidP="00F144DE">
            <w:pPr>
              <w:pStyle w:val="BodyText1"/>
              <w:spacing w:before="60"/>
              <w:jc w:val="left"/>
            </w:pPr>
            <w:r w:rsidRPr="00D2060D">
              <w:t>PTPs (≥50 ED*) with severe haemophilia A (≤1%)</w:t>
            </w:r>
          </w:p>
        </w:tc>
        <w:tc>
          <w:tcPr>
            <w:tcW w:w="1834" w:type="dxa"/>
          </w:tcPr>
          <w:p w:rsidR="002312CC" w:rsidRPr="00D2060D" w:rsidRDefault="00DE207E" w:rsidP="00F144DE">
            <w:pPr>
              <w:pStyle w:val="BodyText1"/>
              <w:spacing w:before="60"/>
              <w:jc w:val="left"/>
            </w:pPr>
            <w:r w:rsidRPr="00D2060D">
              <w:t>PTPs (≥150 ED*) with severe haemophilia A (≤1%)</w:t>
            </w:r>
          </w:p>
        </w:tc>
      </w:tr>
      <w:tr w:rsidR="00C837DF" w:rsidRPr="00D2060D" w:rsidTr="00F144DE">
        <w:trPr>
          <w:cantSplit/>
          <w:tblHeader/>
        </w:trPr>
        <w:tc>
          <w:tcPr>
            <w:tcW w:w="1559" w:type="dxa"/>
          </w:tcPr>
          <w:p w:rsidR="00775877" w:rsidRPr="00D2060D" w:rsidRDefault="00775877" w:rsidP="00F144DE">
            <w:pPr>
              <w:pStyle w:val="BodyText1"/>
              <w:spacing w:before="60"/>
              <w:jc w:val="left"/>
              <w:rPr>
                <w:b/>
              </w:rPr>
            </w:pPr>
            <w:r w:rsidRPr="00D2060D">
              <w:rPr>
                <w:b/>
              </w:rPr>
              <w:t>Mean age (range)</w:t>
            </w:r>
          </w:p>
        </w:tc>
        <w:tc>
          <w:tcPr>
            <w:tcW w:w="1833" w:type="dxa"/>
          </w:tcPr>
          <w:p w:rsidR="00775877" w:rsidRPr="00D2060D" w:rsidRDefault="00610270" w:rsidP="00F144DE">
            <w:pPr>
              <w:pStyle w:val="BodyText1"/>
              <w:spacing w:before="60"/>
              <w:jc w:val="left"/>
            </w:pPr>
            <w:r w:rsidRPr="00D2060D">
              <w:t>39.6</w:t>
            </w:r>
            <w:r w:rsidR="00414670" w:rsidRPr="00D2060D">
              <w:t xml:space="preserve"> (12-65)</w:t>
            </w:r>
          </w:p>
        </w:tc>
        <w:tc>
          <w:tcPr>
            <w:tcW w:w="1834" w:type="dxa"/>
          </w:tcPr>
          <w:p w:rsidR="00775877" w:rsidRPr="00D2060D" w:rsidRDefault="00610270" w:rsidP="00F144DE">
            <w:pPr>
              <w:pStyle w:val="BodyText1"/>
              <w:spacing w:before="60"/>
              <w:jc w:val="left"/>
            </w:pPr>
            <w:r w:rsidRPr="00D2060D">
              <w:t>37.3</w:t>
            </w:r>
            <w:r w:rsidR="00414670" w:rsidRPr="00D2060D">
              <w:t xml:space="preserve"> (</w:t>
            </w:r>
            <w:r w:rsidRPr="00D2060D">
              <w:t>18-75</w:t>
            </w:r>
            <w:r w:rsidR="00414670" w:rsidRPr="00D2060D">
              <w:t>)</w:t>
            </w:r>
          </w:p>
        </w:tc>
        <w:tc>
          <w:tcPr>
            <w:tcW w:w="1834" w:type="dxa"/>
          </w:tcPr>
          <w:p w:rsidR="00775877" w:rsidRPr="00D2060D" w:rsidRDefault="00610270" w:rsidP="00F144DE">
            <w:pPr>
              <w:pStyle w:val="BodyText1"/>
              <w:spacing w:before="60"/>
              <w:jc w:val="left"/>
            </w:pPr>
            <w:r w:rsidRPr="00D2060D">
              <w:t>6.1</w:t>
            </w:r>
            <w:r w:rsidR="00414670" w:rsidRPr="00D2060D">
              <w:t xml:space="preserve"> (</w:t>
            </w:r>
            <w:r w:rsidRPr="00D2060D">
              <w:t>2-12</w:t>
            </w:r>
            <w:r w:rsidR="00414670" w:rsidRPr="00D2060D">
              <w:t>)</w:t>
            </w:r>
          </w:p>
        </w:tc>
        <w:tc>
          <w:tcPr>
            <w:tcW w:w="1834" w:type="dxa"/>
          </w:tcPr>
          <w:p w:rsidR="00775877" w:rsidRPr="00D2060D" w:rsidRDefault="00610270" w:rsidP="00F144DE">
            <w:pPr>
              <w:pStyle w:val="BodyText1"/>
              <w:spacing w:before="60"/>
              <w:jc w:val="left"/>
            </w:pPr>
            <w:r w:rsidRPr="00D2060D">
              <w:t>24.5</w:t>
            </w:r>
            <w:r w:rsidR="00414670" w:rsidRPr="00D2060D">
              <w:t xml:space="preserve"> (</w:t>
            </w:r>
            <w:r w:rsidRPr="00D2060D">
              <w:t>18-62</w:t>
            </w:r>
            <w:r w:rsidR="00414670" w:rsidRPr="00D2060D">
              <w:t>)</w:t>
            </w:r>
          </w:p>
        </w:tc>
      </w:tr>
      <w:tr w:rsidR="00C837DF" w:rsidRPr="00D2060D" w:rsidTr="00F144DE">
        <w:trPr>
          <w:cantSplit/>
          <w:tblHeader/>
        </w:trPr>
        <w:tc>
          <w:tcPr>
            <w:tcW w:w="1559" w:type="dxa"/>
          </w:tcPr>
          <w:p w:rsidR="00775877" w:rsidRPr="00D2060D" w:rsidRDefault="00DE207E" w:rsidP="00D2060D">
            <w:pPr>
              <w:pStyle w:val="BodyText1"/>
              <w:jc w:val="left"/>
              <w:rPr>
                <w:b/>
              </w:rPr>
            </w:pPr>
            <w:r w:rsidRPr="00D2060D">
              <w:rPr>
                <w:b/>
              </w:rPr>
              <w:lastRenderedPageBreak/>
              <w:t>Assessments</w:t>
            </w:r>
          </w:p>
        </w:tc>
        <w:tc>
          <w:tcPr>
            <w:tcW w:w="1833" w:type="dxa"/>
          </w:tcPr>
          <w:p w:rsidR="00775877" w:rsidRPr="00D2060D" w:rsidRDefault="00DE207E" w:rsidP="00D2060D">
            <w:pPr>
              <w:pStyle w:val="BodyText1"/>
              <w:jc w:val="left"/>
            </w:pPr>
            <w:r w:rsidRPr="00D2060D">
              <w:t>PK</w:t>
            </w:r>
            <w:r w:rsidR="00426C5B">
              <w:t xml:space="preserve"> (in comparison to </w:t>
            </w:r>
            <w:r w:rsidR="007477A3">
              <w:t>full length rFVIII</w:t>
            </w:r>
            <w:r w:rsidR="00426C5B">
              <w:t>)</w:t>
            </w:r>
          </w:p>
          <w:p w:rsidR="00DE207E" w:rsidRPr="00D2060D" w:rsidRDefault="00DE207E" w:rsidP="00D2060D">
            <w:pPr>
              <w:pStyle w:val="BodyText1"/>
              <w:jc w:val="left"/>
            </w:pPr>
            <w:r w:rsidRPr="00D2060D">
              <w:t>Efficacy of on-demand treatment</w:t>
            </w:r>
          </w:p>
          <w:p w:rsidR="00DE207E" w:rsidRPr="00D2060D" w:rsidRDefault="00DE207E" w:rsidP="00D2060D">
            <w:pPr>
              <w:pStyle w:val="BodyText1"/>
              <w:jc w:val="left"/>
            </w:pPr>
            <w:r w:rsidRPr="00D2060D">
              <w:t xml:space="preserve">Efficacy of </w:t>
            </w:r>
            <w:r w:rsidR="008E38EE" w:rsidRPr="00D2060D">
              <w:t xml:space="preserve">peri-operative </w:t>
            </w:r>
            <w:r w:rsidRPr="00D2060D">
              <w:t>prop</w:t>
            </w:r>
            <w:r w:rsidR="008E38EE" w:rsidRPr="00D2060D">
              <w:t>hylaxis</w:t>
            </w:r>
          </w:p>
          <w:p w:rsidR="00DE207E" w:rsidRPr="00D2060D" w:rsidRDefault="00DE207E" w:rsidP="00D2060D">
            <w:pPr>
              <w:pStyle w:val="BodyText1"/>
              <w:jc w:val="left"/>
            </w:pPr>
            <w:r w:rsidRPr="00D2060D">
              <w:t>Safety</w:t>
            </w:r>
          </w:p>
          <w:p w:rsidR="00DE207E" w:rsidRPr="00D2060D" w:rsidRDefault="00DE207E" w:rsidP="00D2060D">
            <w:pPr>
              <w:pStyle w:val="BodyText1"/>
              <w:jc w:val="left"/>
            </w:pPr>
            <w:r w:rsidRPr="00D2060D">
              <w:t>Immunogenicity</w:t>
            </w:r>
          </w:p>
        </w:tc>
        <w:tc>
          <w:tcPr>
            <w:tcW w:w="1834" w:type="dxa"/>
          </w:tcPr>
          <w:p w:rsidR="00DE207E" w:rsidRPr="00D2060D" w:rsidRDefault="00DE207E" w:rsidP="00D2060D">
            <w:pPr>
              <w:pStyle w:val="BodyText1"/>
              <w:jc w:val="left"/>
            </w:pPr>
            <w:r w:rsidRPr="00D2060D">
              <w:t xml:space="preserve">Efficacy of </w:t>
            </w:r>
            <w:r w:rsidR="008E38EE" w:rsidRPr="00D2060D">
              <w:t xml:space="preserve">prophylactic </w:t>
            </w:r>
            <w:r w:rsidRPr="00D2060D">
              <w:t xml:space="preserve"> treatment</w:t>
            </w:r>
          </w:p>
          <w:p w:rsidR="008E38EE" w:rsidRPr="00D2060D" w:rsidRDefault="008E38EE" w:rsidP="00D2060D">
            <w:pPr>
              <w:pStyle w:val="BodyText1"/>
              <w:jc w:val="left"/>
            </w:pPr>
            <w:r w:rsidRPr="00D2060D">
              <w:t>Efficacy of   treatment of break-through bleeds</w:t>
            </w:r>
          </w:p>
          <w:p w:rsidR="008E38EE" w:rsidRPr="00D2060D" w:rsidRDefault="00DE207E" w:rsidP="00D2060D">
            <w:pPr>
              <w:pStyle w:val="BodyText1"/>
              <w:jc w:val="left"/>
            </w:pPr>
            <w:r w:rsidRPr="00D2060D">
              <w:t xml:space="preserve">Efficacy of </w:t>
            </w:r>
            <w:r w:rsidR="008E38EE" w:rsidRPr="00D2060D">
              <w:t>peri-operative prophylaxis</w:t>
            </w:r>
          </w:p>
          <w:p w:rsidR="00DE207E" w:rsidRPr="00D2060D" w:rsidRDefault="00DE207E" w:rsidP="00D2060D">
            <w:pPr>
              <w:pStyle w:val="BodyText1"/>
              <w:jc w:val="left"/>
            </w:pPr>
            <w:r w:rsidRPr="00D2060D">
              <w:t>Safety</w:t>
            </w:r>
          </w:p>
          <w:p w:rsidR="00775877" w:rsidRPr="00D2060D" w:rsidRDefault="00DE207E" w:rsidP="00D2060D">
            <w:pPr>
              <w:pStyle w:val="BodyText1"/>
              <w:jc w:val="left"/>
            </w:pPr>
            <w:r w:rsidRPr="00D2060D">
              <w:t>Immunogenicity</w:t>
            </w:r>
          </w:p>
        </w:tc>
        <w:tc>
          <w:tcPr>
            <w:tcW w:w="1834" w:type="dxa"/>
          </w:tcPr>
          <w:p w:rsidR="00DE207E" w:rsidRPr="00D2060D" w:rsidRDefault="00DE207E" w:rsidP="00D2060D">
            <w:pPr>
              <w:pStyle w:val="BodyText1"/>
              <w:jc w:val="left"/>
            </w:pPr>
            <w:r w:rsidRPr="00D2060D">
              <w:t>PK</w:t>
            </w:r>
            <w:r w:rsidR="004D6DA0">
              <w:t xml:space="preserve"> (in comparison to </w:t>
            </w:r>
            <w:r w:rsidR="007477A3">
              <w:t>full length rFVIII</w:t>
            </w:r>
            <w:r w:rsidR="004D6DA0">
              <w:t>)</w:t>
            </w:r>
          </w:p>
          <w:p w:rsidR="008E38EE" w:rsidRPr="00D2060D" w:rsidRDefault="008E38EE" w:rsidP="00D2060D">
            <w:pPr>
              <w:pStyle w:val="BodyText1"/>
              <w:jc w:val="left"/>
            </w:pPr>
            <w:r w:rsidRPr="00D2060D">
              <w:t>Efficacy of proph</w:t>
            </w:r>
            <w:r w:rsidR="00741264" w:rsidRPr="00D2060D">
              <w:t>y</w:t>
            </w:r>
            <w:r w:rsidRPr="00D2060D">
              <w:t>l</w:t>
            </w:r>
            <w:r w:rsidR="00741264" w:rsidRPr="00D2060D">
              <w:t>a</w:t>
            </w:r>
            <w:r w:rsidRPr="00D2060D">
              <w:t>ctic  treatment</w:t>
            </w:r>
          </w:p>
          <w:p w:rsidR="008E38EE" w:rsidRPr="00D2060D" w:rsidRDefault="008E38EE" w:rsidP="00D2060D">
            <w:pPr>
              <w:pStyle w:val="BodyText1"/>
              <w:jc w:val="left"/>
            </w:pPr>
            <w:r w:rsidRPr="00D2060D">
              <w:t>Efficacy of   treatment of break-through bleeds</w:t>
            </w:r>
          </w:p>
          <w:p w:rsidR="00DE207E" w:rsidRPr="00D2060D" w:rsidRDefault="00DE207E" w:rsidP="00D2060D">
            <w:pPr>
              <w:pStyle w:val="BodyText1"/>
              <w:jc w:val="left"/>
            </w:pPr>
            <w:r w:rsidRPr="00D2060D">
              <w:t xml:space="preserve">Efficacy of </w:t>
            </w:r>
            <w:r w:rsidR="00741264" w:rsidRPr="00D2060D">
              <w:t xml:space="preserve">peri-operative prophylaxis </w:t>
            </w:r>
          </w:p>
          <w:p w:rsidR="00DE207E" w:rsidRPr="00D2060D" w:rsidRDefault="00DE207E" w:rsidP="00D2060D">
            <w:pPr>
              <w:pStyle w:val="BodyText1"/>
              <w:jc w:val="left"/>
            </w:pPr>
            <w:r w:rsidRPr="00D2060D">
              <w:t>Safety</w:t>
            </w:r>
          </w:p>
          <w:p w:rsidR="00775877" w:rsidRPr="00D2060D" w:rsidRDefault="00DE207E" w:rsidP="00D2060D">
            <w:pPr>
              <w:pStyle w:val="BodyText1"/>
              <w:jc w:val="left"/>
            </w:pPr>
            <w:r w:rsidRPr="00D2060D">
              <w:t>Immunogenicity</w:t>
            </w:r>
          </w:p>
        </w:tc>
        <w:tc>
          <w:tcPr>
            <w:tcW w:w="1834" w:type="dxa"/>
          </w:tcPr>
          <w:p w:rsidR="00DE207E" w:rsidRPr="00D2060D" w:rsidRDefault="00DE207E" w:rsidP="00D2060D">
            <w:pPr>
              <w:pStyle w:val="BodyText1"/>
              <w:jc w:val="left"/>
            </w:pPr>
            <w:r w:rsidRPr="00D2060D">
              <w:t>PK</w:t>
            </w:r>
            <w:r w:rsidR="004D6DA0">
              <w:t xml:space="preserve"> (in comparison to </w:t>
            </w:r>
            <w:r w:rsidR="007477A3">
              <w:t>full length rFVIII</w:t>
            </w:r>
            <w:r w:rsidR="004D6DA0">
              <w:t>)</w:t>
            </w:r>
          </w:p>
          <w:p w:rsidR="008E38EE" w:rsidRPr="00D2060D" w:rsidRDefault="008E38EE" w:rsidP="00D2060D">
            <w:pPr>
              <w:pStyle w:val="BodyText1"/>
              <w:jc w:val="left"/>
            </w:pPr>
            <w:r w:rsidRPr="00D2060D">
              <w:t>Efficacy of prop</w:t>
            </w:r>
            <w:r w:rsidR="00741264" w:rsidRPr="00D2060D">
              <w:t>hyl</w:t>
            </w:r>
            <w:r w:rsidRPr="00D2060D">
              <w:t>actic  treatment</w:t>
            </w:r>
          </w:p>
          <w:p w:rsidR="008E38EE" w:rsidRPr="00D2060D" w:rsidRDefault="008E38EE" w:rsidP="00D2060D">
            <w:pPr>
              <w:pStyle w:val="BodyText1"/>
              <w:jc w:val="left"/>
            </w:pPr>
            <w:r w:rsidRPr="00D2060D">
              <w:t>Efficacy of   treatment of break-through bleeds</w:t>
            </w:r>
          </w:p>
          <w:p w:rsidR="00741264" w:rsidRPr="00D2060D" w:rsidRDefault="00DE207E" w:rsidP="00D2060D">
            <w:pPr>
              <w:pStyle w:val="BodyText1"/>
              <w:jc w:val="left"/>
            </w:pPr>
            <w:r w:rsidRPr="00D2060D">
              <w:t>Efficacy of</w:t>
            </w:r>
            <w:r w:rsidR="00741264" w:rsidRPr="00D2060D">
              <w:t xml:space="preserve"> peri-operative prophylaxis </w:t>
            </w:r>
          </w:p>
          <w:p w:rsidR="00DE207E" w:rsidRPr="00D2060D" w:rsidRDefault="00DE207E" w:rsidP="00D2060D">
            <w:pPr>
              <w:pStyle w:val="BodyText1"/>
              <w:jc w:val="left"/>
            </w:pPr>
            <w:r w:rsidRPr="00D2060D">
              <w:t>Safety</w:t>
            </w:r>
          </w:p>
          <w:p w:rsidR="00775877" w:rsidRPr="00D2060D" w:rsidRDefault="00DE207E" w:rsidP="00D2060D">
            <w:pPr>
              <w:pStyle w:val="BodyText1"/>
              <w:jc w:val="left"/>
            </w:pPr>
            <w:r w:rsidRPr="00D2060D">
              <w:t>Immunogenicity</w:t>
            </w:r>
          </w:p>
        </w:tc>
      </w:tr>
    </w:tbl>
    <w:p w:rsidR="00C26805" w:rsidRPr="00D2060D" w:rsidRDefault="00DE207E" w:rsidP="00F144DE">
      <w:pPr>
        <w:ind w:firstLine="284"/>
        <w:rPr>
          <w:sz w:val="20"/>
        </w:rPr>
      </w:pPr>
      <w:r w:rsidRPr="00D2060D">
        <w:rPr>
          <w:sz w:val="20"/>
        </w:rPr>
        <w:t>* ED = Exposure Days</w:t>
      </w:r>
    </w:p>
    <w:p w:rsidR="0092643B" w:rsidRPr="00D2060D" w:rsidRDefault="0092643B" w:rsidP="0092643B">
      <w:pPr>
        <w:pStyle w:val="Text"/>
        <w:rPr>
          <w:b/>
          <w:lang w:val="en-US"/>
        </w:rPr>
      </w:pPr>
      <w:r w:rsidRPr="00D2060D">
        <w:rPr>
          <w:b/>
          <w:lang w:val="en-US"/>
        </w:rPr>
        <w:t>Study I</w:t>
      </w:r>
    </w:p>
    <w:p w:rsidR="005023A5" w:rsidRPr="00D2060D" w:rsidRDefault="005023A5" w:rsidP="005023A5">
      <w:pPr>
        <w:pStyle w:val="Text"/>
        <w:rPr>
          <w:lang w:val="en-GB"/>
        </w:rPr>
      </w:pPr>
      <w:r w:rsidRPr="00D2060D">
        <w:rPr>
          <w:lang w:val="en-US"/>
        </w:rPr>
        <w:t xml:space="preserve">This </w:t>
      </w:r>
      <w:r w:rsidRPr="00D2060D">
        <w:rPr>
          <w:lang w:val="en-GB"/>
        </w:rPr>
        <w:t>was a prospective, randomised, actively controlled, open-label cross-over, phase II study</w:t>
      </w:r>
      <w:r w:rsidR="00AD3698" w:rsidRPr="00D2060D">
        <w:rPr>
          <w:lang w:val="en-GB"/>
        </w:rPr>
        <w:t xml:space="preserve"> i</w:t>
      </w:r>
      <w:r w:rsidR="002E60B0" w:rsidRPr="00D2060D">
        <w:rPr>
          <w:lang w:val="en-GB"/>
        </w:rPr>
        <w:t xml:space="preserve">n 22 </w:t>
      </w:r>
      <w:r w:rsidRPr="00D2060D">
        <w:rPr>
          <w:lang w:val="en-GB"/>
        </w:rPr>
        <w:t>adolescent and adult</w:t>
      </w:r>
      <w:r w:rsidR="00590D1D" w:rsidRPr="00D2060D">
        <w:rPr>
          <w:lang w:val="en-GB"/>
        </w:rPr>
        <w:t xml:space="preserve"> PTPs with severe haemophilia A w</w:t>
      </w:r>
      <w:r w:rsidR="002E60B0" w:rsidRPr="00D2060D">
        <w:rPr>
          <w:lang w:val="en-GB"/>
        </w:rPr>
        <w:t xml:space="preserve">ho </w:t>
      </w:r>
      <w:r w:rsidRPr="00D2060D">
        <w:rPr>
          <w:lang w:val="en-GB"/>
        </w:rPr>
        <w:t xml:space="preserve">were enrolled from nine study centres in </w:t>
      </w:r>
      <w:r w:rsidR="004B0A1A" w:rsidRPr="00D2060D">
        <w:rPr>
          <w:lang w:val="en-GB"/>
        </w:rPr>
        <w:t xml:space="preserve">three countries. </w:t>
      </w:r>
      <w:r w:rsidRPr="00D2060D">
        <w:rPr>
          <w:lang w:val="en-GB"/>
        </w:rPr>
        <w:t xml:space="preserve">The study was designed to first evaluate the PK of </w:t>
      </w:r>
      <w:r w:rsidR="006E3127">
        <w:rPr>
          <w:lang w:val="en-US"/>
        </w:rPr>
        <w:t>Nuwiq</w:t>
      </w:r>
      <w:r w:rsidR="00C83E6F" w:rsidRPr="00D2060D">
        <w:rPr>
          <w:lang w:val="en-GB"/>
        </w:rPr>
        <w:t xml:space="preserve"> </w:t>
      </w:r>
      <w:r w:rsidRPr="00D2060D">
        <w:rPr>
          <w:lang w:val="en-GB"/>
        </w:rPr>
        <w:t xml:space="preserve">and </w:t>
      </w:r>
      <w:r w:rsidR="00515947">
        <w:rPr>
          <w:lang w:val="en-GB"/>
        </w:rPr>
        <w:t>a full-length rFVIII</w:t>
      </w:r>
      <w:r w:rsidRPr="00D2060D">
        <w:rPr>
          <w:lang w:val="en-GB"/>
        </w:rPr>
        <w:t xml:space="preserve"> in a randomised, cross-over fashion</w:t>
      </w:r>
      <w:r w:rsidR="004B0A1A" w:rsidRPr="00D2060D">
        <w:rPr>
          <w:lang w:val="en-GB"/>
        </w:rPr>
        <w:t xml:space="preserve">. </w:t>
      </w:r>
      <w:r w:rsidR="00AD3698" w:rsidRPr="00D2060D">
        <w:rPr>
          <w:lang w:val="en-GB"/>
        </w:rPr>
        <w:t>Then</w:t>
      </w:r>
      <w:r w:rsidRPr="00D2060D">
        <w:rPr>
          <w:lang w:val="en-GB"/>
        </w:rPr>
        <w:t xml:space="preserve">, the efficacy and safety of on-demand home treatment with </w:t>
      </w:r>
      <w:r w:rsidR="006E3127">
        <w:rPr>
          <w:lang w:val="en-US"/>
        </w:rPr>
        <w:t>Nuwiq</w:t>
      </w:r>
      <w:r w:rsidR="00C83E6F" w:rsidRPr="00D2060D">
        <w:rPr>
          <w:lang w:val="en-GB"/>
        </w:rPr>
        <w:t xml:space="preserve"> </w:t>
      </w:r>
      <w:r w:rsidR="00C83E6F">
        <w:rPr>
          <w:lang w:val="en-GB"/>
        </w:rPr>
        <w:t>was</w:t>
      </w:r>
      <w:r w:rsidRPr="00D2060D">
        <w:rPr>
          <w:lang w:val="en-GB"/>
        </w:rPr>
        <w:t xml:space="preserve"> evaluated</w:t>
      </w:r>
      <w:r w:rsidR="00AD3698" w:rsidRPr="00D2060D">
        <w:rPr>
          <w:lang w:val="en-GB"/>
        </w:rPr>
        <w:t xml:space="preserve"> for at least 6 months and at least 50 EDs</w:t>
      </w:r>
      <w:r w:rsidRPr="00D2060D">
        <w:rPr>
          <w:lang w:val="en-GB"/>
        </w:rPr>
        <w:t xml:space="preserve">. </w:t>
      </w:r>
    </w:p>
    <w:p w:rsidR="0092643B" w:rsidRPr="00D2060D" w:rsidRDefault="00662C3E" w:rsidP="0092643B">
      <w:pPr>
        <w:pStyle w:val="Text"/>
        <w:rPr>
          <w:lang w:val="en-GB"/>
        </w:rPr>
      </w:pPr>
      <w:r w:rsidRPr="00D2060D">
        <w:rPr>
          <w:lang w:val="en-GB"/>
        </w:rPr>
        <w:t xml:space="preserve">PK: </w:t>
      </w:r>
      <w:r w:rsidR="004B0A1A" w:rsidRPr="00D2060D">
        <w:rPr>
          <w:lang w:val="en-GB"/>
        </w:rPr>
        <w:t xml:space="preserve">The </w:t>
      </w:r>
      <w:r w:rsidR="005023A5" w:rsidRPr="00D2060D">
        <w:rPr>
          <w:lang w:val="en-GB"/>
        </w:rPr>
        <w:t>PK</w:t>
      </w:r>
      <w:r w:rsidR="004B0A1A" w:rsidRPr="00D2060D">
        <w:rPr>
          <w:lang w:val="en-GB"/>
        </w:rPr>
        <w:t xml:space="preserve"> results can be found in Table 1. </w:t>
      </w:r>
    </w:p>
    <w:p w:rsidR="005023A5" w:rsidRPr="00D2060D" w:rsidRDefault="005023A5" w:rsidP="0092643B">
      <w:pPr>
        <w:pStyle w:val="Text"/>
        <w:rPr>
          <w:lang w:val="en-GB"/>
        </w:rPr>
      </w:pPr>
      <w:r w:rsidRPr="00D2060D">
        <w:rPr>
          <w:lang w:val="en-GB"/>
        </w:rPr>
        <w:t>Efficacy</w:t>
      </w:r>
      <w:r w:rsidR="00662C3E" w:rsidRPr="00D2060D">
        <w:rPr>
          <w:lang w:val="en-GB"/>
        </w:rPr>
        <w:t xml:space="preserve">: A total of 986 bleeding episodes were treated with </w:t>
      </w:r>
      <w:r w:rsidR="006E3127">
        <w:rPr>
          <w:lang w:val="en-US"/>
        </w:rPr>
        <w:t>Nuwiq</w:t>
      </w:r>
      <w:r w:rsidR="00662C3E" w:rsidRPr="00D2060D">
        <w:rPr>
          <w:lang w:val="en-GB"/>
        </w:rPr>
        <w:t xml:space="preserve">. </w:t>
      </w:r>
      <w:r w:rsidR="00770147" w:rsidRPr="00D2060D">
        <w:rPr>
          <w:lang w:val="en-GB"/>
        </w:rPr>
        <w:t>Effica</w:t>
      </w:r>
      <w:r w:rsidR="00797B19" w:rsidRPr="00D2060D">
        <w:rPr>
          <w:lang w:val="en-GB"/>
        </w:rPr>
        <w:t>cy</w:t>
      </w:r>
      <w:r w:rsidR="00770147" w:rsidRPr="00D2060D">
        <w:rPr>
          <w:lang w:val="en-GB"/>
        </w:rPr>
        <w:t xml:space="preserve"> of treatment</w:t>
      </w:r>
      <w:r w:rsidR="005B431B" w:rsidRPr="00D2060D">
        <w:rPr>
          <w:lang w:val="en-GB"/>
        </w:rPr>
        <w:t xml:space="preserve"> </w:t>
      </w:r>
      <w:r w:rsidR="00770147" w:rsidRPr="00D2060D">
        <w:rPr>
          <w:lang w:val="en-GB"/>
        </w:rPr>
        <w:t>was rated as ”excellent”  in 60.3% , “good” in 34.5%</w:t>
      </w:r>
      <w:r w:rsidR="006E6237" w:rsidRPr="00D2060D">
        <w:rPr>
          <w:lang w:val="en-GB"/>
        </w:rPr>
        <w:t xml:space="preserve"> and</w:t>
      </w:r>
      <w:r w:rsidR="00770147" w:rsidRPr="00D2060D">
        <w:rPr>
          <w:lang w:val="en-GB"/>
        </w:rPr>
        <w:t xml:space="preserve"> “moderate” in </w:t>
      </w:r>
      <w:r w:rsidR="006E6237" w:rsidRPr="00D2060D">
        <w:rPr>
          <w:lang w:val="en-GB"/>
        </w:rPr>
        <w:t>5.5</w:t>
      </w:r>
      <w:r w:rsidR="00770147" w:rsidRPr="00D2060D">
        <w:rPr>
          <w:lang w:val="en-GB"/>
        </w:rPr>
        <w:t xml:space="preserve">% </w:t>
      </w:r>
      <w:r w:rsidR="006E6237" w:rsidRPr="00D2060D">
        <w:rPr>
          <w:lang w:val="en-GB"/>
        </w:rPr>
        <w:t>of cases. No treatment efficacy was assesse</w:t>
      </w:r>
      <w:r w:rsidR="00797B19" w:rsidRPr="00D2060D">
        <w:rPr>
          <w:lang w:val="en-GB"/>
        </w:rPr>
        <w:t>d</w:t>
      </w:r>
      <w:r w:rsidR="006E6237" w:rsidRPr="00D2060D">
        <w:rPr>
          <w:lang w:val="en-GB"/>
        </w:rPr>
        <w:t xml:space="preserve"> as </w:t>
      </w:r>
      <w:r w:rsidR="00770147" w:rsidRPr="00D2060D">
        <w:rPr>
          <w:lang w:val="en-GB"/>
        </w:rPr>
        <w:t>“none”</w:t>
      </w:r>
      <w:r w:rsidR="006E6237" w:rsidRPr="00D2060D">
        <w:rPr>
          <w:lang w:val="en-GB"/>
        </w:rPr>
        <w:t xml:space="preserve">. The vast majority </w:t>
      </w:r>
      <w:r w:rsidR="00466741" w:rsidRPr="00D2060D">
        <w:rPr>
          <w:lang w:val="en-GB"/>
        </w:rPr>
        <w:t>of bleeding episode</w:t>
      </w:r>
      <w:r w:rsidR="006E6237" w:rsidRPr="00D2060D">
        <w:rPr>
          <w:lang w:val="en-GB"/>
        </w:rPr>
        <w:t>s</w:t>
      </w:r>
      <w:r w:rsidR="00466741" w:rsidRPr="00D2060D">
        <w:rPr>
          <w:lang w:val="en-GB"/>
        </w:rPr>
        <w:t xml:space="preserve"> were managed with one (</w:t>
      </w:r>
      <w:r w:rsidR="006E6237" w:rsidRPr="00D2060D">
        <w:rPr>
          <w:lang w:val="en-GB"/>
        </w:rPr>
        <w:t>91.4</w:t>
      </w:r>
      <w:r w:rsidR="00466741" w:rsidRPr="00D2060D">
        <w:rPr>
          <w:lang w:val="en-GB"/>
        </w:rPr>
        <w:t>%) or two (</w:t>
      </w:r>
      <w:r w:rsidR="006E6237" w:rsidRPr="00D2060D">
        <w:rPr>
          <w:lang w:val="en-GB"/>
        </w:rPr>
        <w:t>5.8</w:t>
      </w:r>
      <w:r w:rsidR="00466741" w:rsidRPr="00D2060D">
        <w:rPr>
          <w:lang w:val="en-GB"/>
        </w:rPr>
        <w:t>%) infusions.</w:t>
      </w:r>
    </w:p>
    <w:p w:rsidR="005023A5" w:rsidRPr="00D2060D" w:rsidRDefault="005023A5" w:rsidP="0092643B">
      <w:pPr>
        <w:pStyle w:val="Text"/>
        <w:rPr>
          <w:lang w:val="en-GB"/>
        </w:rPr>
      </w:pPr>
      <w:r w:rsidRPr="00D2060D">
        <w:rPr>
          <w:lang w:val="en-GB"/>
        </w:rPr>
        <w:t>Safety</w:t>
      </w:r>
      <w:r w:rsidR="00662C3E" w:rsidRPr="00D2060D">
        <w:rPr>
          <w:lang w:val="en-GB"/>
        </w:rPr>
        <w:t>:</w:t>
      </w:r>
      <w:r w:rsidR="00394B49" w:rsidRPr="00D2060D">
        <w:rPr>
          <w:lang w:val="en-GB"/>
        </w:rPr>
        <w:t xml:space="preserve"> </w:t>
      </w:r>
      <w:r w:rsidR="00B54B89" w:rsidRPr="00D2060D">
        <w:rPr>
          <w:lang w:val="en-US"/>
        </w:rPr>
        <w:t>Patients received a total of 1,207</w:t>
      </w:r>
      <w:r w:rsidR="00B54B89" w:rsidRPr="00D2060D">
        <w:rPr>
          <w:i/>
          <w:lang w:val="en-US"/>
        </w:rPr>
        <w:t xml:space="preserve"> </w:t>
      </w:r>
      <w:r w:rsidR="006E3127">
        <w:rPr>
          <w:lang w:val="en-US"/>
        </w:rPr>
        <w:t>Nuwiq</w:t>
      </w:r>
      <w:r w:rsidR="00894DC6" w:rsidRPr="00D2060D">
        <w:rPr>
          <w:lang w:val="en-US"/>
        </w:rPr>
        <w:t xml:space="preserve"> </w:t>
      </w:r>
      <w:r w:rsidR="00B54B89" w:rsidRPr="00D2060D">
        <w:rPr>
          <w:lang w:val="en-US"/>
        </w:rPr>
        <w:t xml:space="preserve">infusions. </w:t>
      </w:r>
      <w:r w:rsidR="005926D4" w:rsidRPr="00D2060D">
        <w:rPr>
          <w:lang w:val="en-US"/>
        </w:rPr>
        <w:t>T</w:t>
      </w:r>
      <w:r w:rsidR="00394B49" w:rsidRPr="00D2060D">
        <w:rPr>
          <w:lang w:val="en-GB"/>
        </w:rPr>
        <w:t>here were no related advese events.</w:t>
      </w:r>
    </w:p>
    <w:p w:rsidR="005023A5" w:rsidRPr="00D2060D" w:rsidRDefault="005023A5" w:rsidP="0092643B">
      <w:pPr>
        <w:pStyle w:val="Text"/>
        <w:rPr>
          <w:lang w:val="en-GB"/>
        </w:rPr>
      </w:pPr>
      <w:r w:rsidRPr="00D2060D">
        <w:rPr>
          <w:lang w:val="en-GB"/>
        </w:rPr>
        <w:t>Immunogenicity</w:t>
      </w:r>
      <w:r w:rsidR="00662C3E" w:rsidRPr="00D2060D">
        <w:rPr>
          <w:lang w:val="en-GB"/>
        </w:rPr>
        <w:t>: No inhibitors were observed.</w:t>
      </w:r>
    </w:p>
    <w:p w:rsidR="0092643B" w:rsidRPr="00D2060D" w:rsidRDefault="0092643B" w:rsidP="0092643B">
      <w:pPr>
        <w:pStyle w:val="Text"/>
        <w:rPr>
          <w:b/>
          <w:lang w:val="en-US"/>
        </w:rPr>
      </w:pPr>
      <w:r w:rsidRPr="00D2060D">
        <w:rPr>
          <w:b/>
          <w:lang w:val="en-US"/>
        </w:rPr>
        <w:t>Study II</w:t>
      </w:r>
    </w:p>
    <w:p w:rsidR="00590D1D" w:rsidRPr="00D2060D" w:rsidRDefault="00590D1D" w:rsidP="00590D1D">
      <w:pPr>
        <w:pStyle w:val="Text"/>
        <w:rPr>
          <w:lang w:val="en-GB"/>
        </w:rPr>
      </w:pPr>
      <w:r w:rsidRPr="00D2060D">
        <w:rPr>
          <w:lang w:val="en-GB"/>
        </w:rPr>
        <w:t xml:space="preserve">This was a prospective, open-label, multi-centre phase III study performed at eleven study centres in four countries. The primary objective was to determine the efficacy of </w:t>
      </w:r>
      <w:r w:rsidR="006E3127">
        <w:rPr>
          <w:lang w:val="en-US"/>
        </w:rPr>
        <w:t>Nuwiq</w:t>
      </w:r>
      <w:r w:rsidRPr="00D2060D">
        <w:rPr>
          <w:lang w:val="en-GB"/>
        </w:rPr>
        <w:t xml:space="preserve"> during prophylactic treatment every other day, in the treatment of bleeding episodes and in surgical prophylaxis for at least 6 months and at least 50 EDs. </w:t>
      </w:r>
    </w:p>
    <w:p w:rsidR="009F7594" w:rsidRPr="00D2060D" w:rsidRDefault="005023A5" w:rsidP="009F7594">
      <w:pPr>
        <w:pStyle w:val="Text"/>
        <w:rPr>
          <w:lang w:val="en-GB"/>
        </w:rPr>
      </w:pPr>
      <w:r w:rsidRPr="00D2060D">
        <w:rPr>
          <w:lang w:val="en-GB"/>
        </w:rPr>
        <w:t>Efficacy</w:t>
      </w:r>
      <w:r w:rsidR="00590D1D" w:rsidRPr="00D2060D">
        <w:rPr>
          <w:lang w:val="en-GB"/>
        </w:rPr>
        <w:t>:</w:t>
      </w:r>
      <w:r w:rsidR="00BE531D" w:rsidRPr="00D2060D">
        <w:rPr>
          <w:lang w:val="en-GB"/>
        </w:rPr>
        <w:t xml:space="preserve"> Thirty-two patients received </w:t>
      </w:r>
      <w:r w:rsidR="006E3127">
        <w:rPr>
          <w:lang w:val="en-US"/>
        </w:rPr>
        <w:t>Nuwiq</w:t>
      </w:r>
      <w:r w:rsidR="00894DC6" w:rsidRPr="00D2060D">
        <w:rPr>
          <w:lang w:val="en-GB"/>
        </w:rPr>
        <w:t xml:space="preserve"> </w:t>
      </w:r>
      <w:r w:rsidR="00BE531D" w:rsidRPr="00D2060D">
        <w:rPr>
          <w:lang w:val="en-GB"/>
        </w:rPr>
        <w:t>as prophylaxis for a mean of 85.1 ± 15.4 EDs and 6.0 ± 0.9 months.The mean ± SD prophylactic dose per infusion was 32.8 ± 2.8 IU/kg. Half of the patients never bled, 11 (34.4%) bled once and 5 (16.6%) more than once. The mean monthly bleeding rate per patient was 0.188 ± 0.307 for all types of bleeds.</w:t>
      </w:r>
      <w:r w:rsidR="009F7594" w:rsidRPr="00D2060D">
        <w:rPr>
          <w:lang w:val="en-GB"/>
        </w:rPr>
        <w:t xml:space="preserve">  A total of </w:t>
      </w:r>
      <w:r w:rsidR="00171D54" w:rsidRPr="00D2060D">
        <w:rPr>
          <w:lang w:val="en-GB"/>
        </w:rPr>
        <w:lastRenderedPageBreak/>
        <w:t>30</w:t>
      </w:r>
      <w:r w:rsidR="009F7594" w:rsidRPr="00D2060D">
        <w:rPr>
          <w:lang w:val="en-GB"/>
        </w:rPr>
        <w:t xml:space="preserve"> bleeding episodes in </w:t>
      </w:r>
      <w:r w:rsidR="00171D54" w:rsidRPr="00D2060D">
        <w:rPr>
          <w:lang w:val="en-GB"/>
        </w:rPr>
        <w:t>15</w:t>
      </w:r>
      <w:r w:rsidR="009F7594" w:rsidRPr="00D2060D">
        <w:rPr>
          <w:lang w:val="en-GB"/>
        </w:rPr>
        <w:t xml:space="preserve"> patients were treated with </w:t>
      </w:r>
      <w:r w:rsidR="006E3127">
        <w:rPr>
          <w:lang w:val="en-US"/>
        </w:rPr>
        <w:t>Nuwiq</w:t>
      </w:r>
      <w:r w:rsidR="009F7594" w:rsidRPr="00D2060D">
        <w:rPr>
          <w:lang w:val="en-GB"/>
        </w:rPr>
        <w:t>. Effica</w:t>
      </w:r>
      <w:r w:rsidR="00797B19" w:rsidRPr="00D2060D">
        <w:rPr>
          <w:lang w:val="en-GB"/>
        </w:rPr>
        <w:t>cy</w:t>
      </w:r>
      <w:r w:rsidR="009F7594" w:rsidRPr="00D2060D">
        <w:rPr>
          <w:lang w:val="en-GB"/>
        </w:rPr>
        <w:t xml:space="preserve"> of treatment was rated as</w:t>
      </w:r>
      <w:r w:rsidR="00171D54" w:rsidRPr="00D2060D">
        <w:rPr>
          <w:lang w:val="en-GB"/>
        </w:rPr>
        <w:t xml:space="preserve"> </w:t>
      </w:r>
      <w:r w:rsidR="00894DC6">
        <w:rPr>
          <w:lang w:val="en-GB"/>
        </w:rPr>
        <w:t>“</w:t>
      </w:r>
      <w:r w:rsidR="009F7594" w:rsidRPr="00D2060D">
        <w:rPr>
          <w:lang w:val="en-GB"/>
        </w:rPr>
        <w:t>excellent” in 71.</w:t>
      </w:r>
      <w:r w:rsidR="00171D54" w:rsidRPr="00D2060D">
        <w:rPr>
          <w:lang w:val="en-GB"/>
        </w:rPr>
        <w:t>4</w:t>
      </w:r>
      <w:r w:rsidR="009F7594" w:rsidRPr="00D2060D">
        <w:rPr>
          <w:lang w:val="en-GB"/>
        </w:rPr>
        <w:t xml:space="preserve">% </w:t>
      </w:r>
      <w:r w:rsidR="00171D54" w:rsidRPr="00D2060D">
        <w:rPr>
          <w:lang w:val="en-GB"/>
        </w:rPr>
        <w:t xml:space="preserve">and as </w:t>
      </w:r>
      <w:r w:rsidR="009F7594" w:rsidRPr="00D2060D">
        <w:rPr>
          <w:lang w:val="en-GB"/>
        </w:rPr>
        <w:t xml:space="preserve">“good” in </w:t>
      </w:r>
      <w:r w:rsidR="00171D54" w:rsidRPr="00D2060D">
        <w:rPr>
          <w:lang w:val="en-GB"/>
        </w:rPr>
        <w:t>28.6</w:t>
      </w:r>
      <w:r w:rsidR="009F7594" w:rsidRPr="00D2060D">
        <w:rPr>
          <w:lang w:val="en-GB"/>
        </w:rPr>
        <w:t>%</w:t>
      </w:r>
      <w:r w:rsidR="00171D54" w:rsidRPr="00D2060D">
        <w:rPr>
          <w:lang w:val="en-GB"/>
        </w:rPr>
        <w:t xml:space="preserve"> of cases. No treatment efficacy was assessed as </w:t>
      </w:r>
      <w:r w:rsidR="009F7594" w:rsidRPr="00D2060D">
        <w:rPr>
          <w:lang w:val="en-GB"/>
        </w:rPr>
        <w:t xml:space="preserve">“moderate” </w:t>
      </w:r>
      <w:r w:rsidR="00171D54" w:rsidRPr="00D2060D">
        <w:rPr>
          <w:lang w:val="en-GB"/>
        </w:rPr>
        <w:t xml:space="preserve">or </w:t>
      </w:r>
      <w:r w:rsidR="009F7594" w:rsidRPr="00D2060D">
        <w:rPr>
          <w:lang w:val="en-GB"/>
        </w:rPr>
        <w:t>“non</w:t>
      </w:r>
      <w:r w:rsidR="00171D54" w:rsidRPr="00D2060D">
        <w:rPr>
          <w:lang w:val="en-GB"/>
        </w:rPr>
        <w:t>e</w:t>
      </w:r>
      <w:r w:rsidR="009F7594" w:rsidRPr="00D2060D">
        <w:rPr>
          <w:lang w:val="en-GB"/>
        </w:rPr>
        <w:t>”</w:t>
      </w:r>
      <w:r w:rsidR="00171D54" w:rsidRPr="00D2060D">
        <w:rPr>
          <w:lang w:val="en-GB"/>
        </w:rPr>
        <w:t>.</w:t>
      </w:r>
      <w:r w:rsidR="009F7594" w:rsidRPr="00D2060D">
        <w:rPr>
          <w:lang w:val="en-GB"/>
        </w:rPr>
        <w:t xml:space="preserve"> The </w:t>
      </w:r>
      <w:r w:rsidR="00171D54" w:rsidRPr="00D2060D">
        <w:rPr>
          <w:lang w:val="en-GB"/>
        </w:rPr>
        <w:t xml:space="preserve">vast </w:t>
      </w:r>
      <w:r w:rsidR="009F7594" w:rsidRPr="00D2060D">
        <w:rPr>
          <w:lang w:val="en-GB"/>
        </w:rPr>
        <w:t>majority of bleeding episodes were managed with one (</w:t>
      </w:r>
      <w:r w:rsidR="00171D54" w:rsidRPr="00D2060D">
        <w:rPr>
          <w:lang w:val="en-GB"/>
        </w:rPr>
        <w:t>81.5</w:t>
      </w:r>
      <w:r w:rsidR="009F7594" w:rsidRPr="00D2060D">
        <w:rPr>
          <w:lang w:val="en-GB"/>
        </w:rPr>
        <w:t>%) or two (</w:t>
      </w:r>
      <w:r w:rsidR="00171D54" w:rsidRPr="00D2060D">
        <w:rPr>
          <w:lang w:val="en-GB"/>
        </w:rPr>
        <w:t>7.4</w:t>
      </w:r>
      <w:r w:rsidR="009F7594" w:rsidRPr="00D2060D">
        <w:rPr>
          <w:lang w:val="en-GB"/>
        </w:rPr>
        <w:t>%) infusions.</w:t>
      </w:r>
    </w:p>
    <w:p w:rsidR="00BE531D" w:rsidRPr="00D2060D" w:rsidRDefault="005023A5" w:rsidP="00BE531D">
      <w:pPr>
        <w:pStyle w:val="Text"/>
        <w:rPr>
          <w:lang w:val="en-US"/>
        </w:rPr>
      </w:pPr>
      <w:r w:rsidRPr="00D2060D">
        <w:rPr>
          <w:lang w:val="en-GB"/>
        </w:rPr>
        <w:t>Safety</w:t>
      </w:r>
      <w:r w:rsidR="00590D1D" w:rsidRPr="00D2060D">
        <w:rPr>
          <w:lang w:val="en-GB"/>
        </w:rPr>
        <w:t>:</w:t>
      </w:r>
      <w:r w:rsidR="00BE531D" w:rsidRPr="00D2060D">
        <w:rPr>
          <w:lang w:val="en-GB"/>
        </w:rPr>
        <w:t xml:space="preserve"> Patients received a total of 2921 infusions with </w:t>
      </w:r>
      <w:r w:rsidR="006E3127">
        <w:rPr>
          <w:lang w:val="en-US"/>
        </w:rPr>
        <w:t>Nuwiq</w:t>
      </w:r>
      <w:r w:rsidR="00BE531D" w:rsidRPr="00D2060D">
        <w:rPr>
          <w:lang w:val="en-GB"/>
        </w:rPr>
        <w:t xml:space="preserve">. Two patients experienced a total of 5 possibly related </w:t>
      </w:r>
      <w:r w:rsidR="000B4D3D" w:rsidRPr="00D2060D">
        <w:rPr>
          <w:lang w:val="en-GB"/>
        </w:rPr>
        <w:t>adverse events</w:t>
      </w:r>
      <w:r w:rsidR="00BE531D" w:rsidRPr="00D2060D">
        <w:rPr>
          <w:lang w:val="en-GB"/>
        </w:rPr>
        <w:t>. One patient reported injection site pain after the first infusion; the second patient experienced vertigo, dry mouth and paresthesia after the first and injection site inflammation after the 15</w:t>
      </w:r>
      <w:r w:rsidR="00BE531D" w:rsidRPr="00D2060D">
        <w:rPr>
          <w:vertAlign w:val="superscript"/>
          <w:lang w:val="en-GB"/>
        </w:rPr>
        <w:t>th</w:t>
      </w:r>
      <w:r w:rsidR="00BE531D" w:rsidRPr="00D2060D">
        <w:rPr>
          <w:lang w:val="en-GB"/>
        </w:rPr>
        <w:t xml:space="preserve"> administration of </w:t>
      </w:r>
      <w:r w:rsidR="006E3127">
        <w:rPr>
          <w:lang w:val="en-US"/>
        </w:rPr>
        <w:t>Nuwiq</w:t>
      </w:r>
      <w:r w:rsidR="00BE531D" w:rsidRPr="00D2060D">
        <w:rPr>
          <w:lang w:val="en-GB"/>
        </w:rPr>
        <w:t>. All of these 5 AEs were mild, non-serious and fully resolved without requiring any action.</w:t>
      </w:r>
    </w:p>
    <w:p w:rsidR="00662C3E" w:rsidRPr="00D2060D" w:rsidRDefault="005023A5" w:rsidP="00662C3E">
      <w:pPr>
        <w:pStyle w:val="Text"/>
        <w:rPr>
          <w:lang w:val="en-GB"/>
        </w:rPr>
      </w:pPr>
      <w:r w:rsidRPr="00D2060D">
        <w:rPr>
          <w:lang w:val="en-GB"/>
        </w:rPr>
        <w:t>Immunogenicity</w:t>
      </w:r>
      <w:r w:rsidR="00662C3E" w:rsidRPr="00D2060D">
        <w:rPr>
          <w:lang w:val="en-GB"/>
        </w:rPr>
        <w:t>: No inhibitors were observed.</w:t>
      </w:r>
    </w:p>
    <w:p w:rsidR="0092643B" w:rsidRPr="00D2060D" w:rsidRDefault="0092643B" w:rsidP="0092643B">
      <w:pPr>
        <w:pStyle w:val="Text"/>
        <w:rPr>
          <w:b/>
          <w:lang w:val="en-US"/>
        </w:rPr>
      </w:pPr>
      <w:r w:rsidRPr="00D2060D">
        <w:rPr>
          <w:b/>
          <w:lang w:val="en-US"/>
        </w:rPr>
        <w:t>Study III</w:t>
      </w:r>
    </w:p>
    <w:p w:rsidR="00A60A1D" w:rsidRPr="00D2060D" w:rsidRDefault="005023A5" w:rsidP="00A60A1D">
      <w:pPr>
        <w:pStyle w:val="Text"/>
        <w:rPr>
          <w:lang w:val="en-GB"/>
        </w:rPr>
      </w:pPr>
      <w:r w:rsidRPr="00D2060D">
        <w:rPr>
          <w:lang w:val="en-GB"/>
        </w:rPr>
        <w:t>PK</w:t>
      </w:r>
      <w:r w:rsidR="00A60A1D" w:rsidRPr="00D2060D">
        <w:rPr>
          <w:lang w:val="en-GB"/>
        </w:rPr>
        <w:t xml:space="preserve">: The PK results can be found in Table 2 and 3. </w:t>
      </w:r>
    </w:p>
    <w:p w:rsidR="005B431B" w:rsidRPr="00D2060D" w:rsidRDefault="005023A5" w:rsidP="005B431B">
      <w:pPr>
        <w:pStyle w:val="Text"/>
        <w:rPr>
          <w:lang w:val="en-GB"/>
        </w:rPr>
      </w:pPr>
      <w:r w:rsidRPr="00D2060D">
        <w:rPr>
          <w:lang w:val="en-GB"/>
        </w:rPr>
        <w:t>Efficacy</w:t>
      </w:r>
      <w:r w:rsidR="00FF0949" w:rsidRPr="00D2060D">
        <w:rPr>
          <w:lang w:val="en-GB"/>
        </w:rPr>
        <w:t>:</w:t>
      </w:r>
      <w:r w:rsidR="00ED26E3" w:rsidRPr="00D2060D">
        <w:rPr>
          <w:lang w:val="en-GB"/>
        </w:rPr>
        <w:t xml:space="preserve"> </w:t>
      </w:r>
      <w:r w:rsidR="00F07A1C" w:rsidRPr="00D2060D">
        <w:rPr>
          <w:lang w:val="en-GB"/>
        </w:rPr>
        <w:t>Fifty</w:t>
      </w:r>
      <w:r w:rsidR="00F43763" w:rsidRPr="00D2060D">
        <w:rPr>
          <w:lang w:val="en-GB"/>
        </w:rPr>
        <w:t>-</w:t>
      </w:r>
      <w:r w:rsidR="00F07A1C" w:rsidRPr="00D2060D">
        <w:rPr>
          <w:lang w:val="en-GB"/>
        </w:rPr>
        <w:t xml:space="preserve">nine </w:t>
      </w:r>
      <w:r w:rsidR="00FE68D6" w:rsidRPr="00D2060D">
        <w:rPr>
          <w:lang w:val="en-GB"/>
        </w:rPr>
        <w:t xml:space="preserve">paediatric </w:t>
      </w:r>
      <w:r w:rsidR="00F07A1C" w:rsidRPr="00D2060D">
        <w:rPr>
          <w:lang w:val="en-GB"/>
        </w:rPr>
        <w:t xml:space="preserve">patients received </w:t>
      </w:r>
      <w:r w:rsidR="006E3127">
        <w:rPr>
          <w:lang w:val="en-US"/>
        </w:rPr>
        <w:t>Nuwiq</w:t>
      </w:r>
      <w:r w:rsidR="00894DC6" w:rsidRPr="00D2060D">
        <w:rPr>
          <w:lang w:val="en-GB"/>
        </w:rPr>
        <w:t xml:space="preserve"> </w:t>
      </w:r>
      <w:r w:rsidR="00F07A1C" w:rsidRPr="00D2060D">
        <w:rPr>
          <w:lang w:val="en-GB"/>
        </w:rPr>
        <w:t xml:space="preserve">as prophylaxis for a mean of </w:t>
      </w:r>
      <w:r w:rsidR="0034252B" w:rsidRPr="00D2060D">
        <w:rPr>
          <w:lang w:val="en-GB"/>
        </w:rPr>
        <w:t>89.8</w:t>
      </w:r>
      <w:r w:rsidR="00F07A1C" w:rsidRPr="00D2060D">
        <w:rPr>
          <w:lang w:val="en-GB"/>
        </w:rPr>
        <w:t xml:space="preserve"> ± </w:t>
      </w:r>
      <w:r w:rsidR="0034252B" w:rsidRPr="00D2060D">
        <w:rPr>
          <w:lang w:val="en-GB"/>
        </w:rPr>
        <w:t>22.3</w:t>
      </w:r>
      <w:r w:rsidR="00F07A1C" w:rsidRPr="00D2060D">
        <w:rPr>
          <w:lang w:val="en-GB"/>
        </w:rPr>
        <w:t xml:space="preserve"> EDs and </w:t>
      </w:r>
      <w:r w:rsidR="0034252B" w:rsidRPr="00D2060D">
        <w:rPr>
          <w:lang w:val="en-GB"/>
        </w:rPr>
        <w:t>6.6</w:t>
      </w:r>
      <w:r w:rsidR="00F07A1C" w:rsidRPr="00D2060D">
        <w:rPr>
          <w:lang w:val="en-GB"/>
        </w:rPr>
        <w:t xml:space="preserve"> ± </w:t>
      </w:r>
      <w:r w:rsidR="0034252B" w:rsidRPr="00D2060D">
        <w:rPr>
          <w:lang w:val="en-GB"/>
        </w:rPr>
        <w:t>1.4</w:t>
      </w:r>
      <w:r w:rsidR="004975DA" w:rsidRPr="00D2060D">
        <w:rPr>
          <w:lang w:val="en-GB"/>
        </w:rPr>
        <w:t xml:space="preserve"> </w:t>
      </w:r>
      <w:r w:rsidR="00F07A1C" w:rsidRPr="00D2060D">
        <w:rPr>
          <w:lang w:val="en-GB"/>
        </w:rPr>
        <w:t>months</w:t>
      </w:r>
      <w:r w:rsidR="004975DA" w:rsidRPr="00D2060D">
        <w:rPr>
          <w:lang w:val="en-GB"/>
        </w:rPr>
        <w:t>.</w:t>
      </w:r>
      <w:r w:rsidR="000C4306">
        <w:rPr>
          <w:lang w:val="en-GB"/>
        </w:rPr>
        <w:t xml:space="preserve"> </w:t>
      </w:r>
      <w:r w:rsidR="00133533">
        <w:rPr>
          <w:lang w:val="en-GB"/>
        </w:rPr>
        <w:t xml:space="preserve">Thirty-eight (64.4%) patients received prophylaxis every other day and 17 (28.8%) three times per week. </w:t>
      </w:r>
      <w:r w:rsidR="00D165BB" w:rsidRPr="00D165BB">
        <w:rPr>
          <w:bCs/>
          <w:lang w:val="en-US"/>
        </w:rPr>
        <w:t xml:space="preserve">For four (6.8%) patients, no clear assignment to either of these </w:t>
      </w:r>
      <w:r w:rsidR="00224494">
        <w:rPr>
          <w:bCs/>
          <w:lang w:val="en-US"/>
        </w:rPr>
        <w:t xml:space="preserve">treatment </w:t>
      </w:r>
      <w:r w:rsidR="00D165BB" w:rsidRPr="00D165BB">
        <w:rPr>
          <w:bCs/>
          <w:lang w:val="en-US"/>
        </w:rPr>
        <w:t>subgroups was possible</w:t>
      </w:r>
      <w:r w:rsidR="00133533" w:rsidRPr="00133533">
        <w:rPr>
          <w:bCs/>
          <w:lang w:val="en-US"/>
        </w:rPr>
        <w:t>.</w:t>
      </w:r>
      <w:r w:rsidR="004975DA" w:rsidRPr="00D2060D">
        <w:rPr>
          <w:lang w:val="en-GB"/>
        </w:rPr>
        <w:t xml:space="preserve"> </w:t>
      </w:r>
      <w:r w:rsidR="00CD23CB" w:rsidRPr="00D2060D">
        <w:rPr>
          <w:lang w:val="en-US"/>
        </w:rPr>
        <w:t xml:space="preserve">The number of all </w:t>
      </w:r>
      <w:r w:rsidR="00FE68D6" w:rsidRPr="00D2060D">
        <w:rPr>
          <w:lang w:val="en-US"/>
        </w:rPr>
        <w:t xml:space="preserve">bleeding episodes </w:t>
      </w:r>
      <w:r w:rsidR="00CD23CB" w:rsidRPr="00D2060D">
        <w:rPr>
          <w:lang w:val="en-US"/>
        </w:rPr>
        <w:t xml:space="preserve">per patient during the study ranged from 0 to 12; 20 (33.9%) patients did not experience any </w:t>
      </w:r>
      <w:r w:rsidR="00FE68D6" w:rsidRPr="00D2060D">
        <w:rPr>
          <w:lang w:val="en-US"/>
        </w:rPr>
        <w:t>bleeding episode</w:t>
      </w:r>
      <w:r w:rsidR="00CD23CB" w:rsidRPr="00D2060D">
        <w:rPr>
          <w:lang w:val="en-US"/>
        </w:rPr>
        <w:t xml:space="preserve"> and 14 patients (23.7%) experienced </w:t>
      </w:r>
      <w:r w:rsidR="00FE68D6" w:rsidRPr="00D2060D">
        <w:rPr>
          <w:lang w:val="en-US"/>
        </w:rPr>
        <w:t>one</w:t>
      </w:r>
      <w:r w:rsidR="00CD23CB" w:rsidRPr="00D2060D">
        <w:rPr>
          <w:lang w:val="en-US"/>
        </w:rPr>
        <w:t xml:space="preserve"> </w:t>
      </w:r>
      <w:r w:rsidR="00FE68D6" w:rsidRPr="00D2060D">
        <w:rPr>
          <w:lang w:val="en-US"/>
        </w:rPr>
        <w:t>bleeding episode</w:t>
      </w:r>
      <w:r w:rsidR="00CD23CB" w:rsidRPr="00D2060D">
        <w:rPr>
          <w:lang w:val="en-US"/>
        </w:rPr>
        <w:t xml:space="preserve"> during the study. </w:t>
      </w:r>
      <w:r w:rsidR="00F07A1C" w:rsidRPr="00D2060D">
        <w:rPr>
          <w:lang w:val="en-GB"/>
        </w:rPr>
        <w:t xml:space="preserve">The mean monthly bleeding rate per patient was </w:t>
      </w:r>
      <w:r w:rsidR="0034252B" w:rsidRPr="00D2060D">
        <w:rPr>
          <w:lang w:val="en-GB"/>
        </w:rPr>
        <w:t>0.338</w:t>
      </w:r>
      <w:r w:rsidR="00F07A1C" w:rsidRPr="00D2060D">
        <w:rPr>
          <w:lang w:val="en-GB"/>
        </w:rPr>
        <w:t xml:space="preserve"> ± </w:t>
      </w:r>
      <w:r w:rsidR="0034252B" w:rsidRPr="00D2060D">
        <w:rPr>
          <w:lang w:val="en-GB"/>
        </w:rPr>
        <w:t>0.429</w:t>
      </w:r>
      <w:r w:rsidR="00F07A1C" w:rsidRPr="00D2060D">
        <w:rPr>
          <w:lang w:val="en-GB"/>
        </w:rPr>
        <w:t xml:space="preserve"> for all types of bleeds.</w:t>
      </w:r>
      <w:r w:rsidR="009F7594" w:rsidRPr="00D2060D">
        <w:rPr>
          <w:lang w:val="en-GB"/>
        </w:rPr>
        <w:t xml:space="preserve"> </w:t>
      </w:r>
      <w:r w:rsidR="005B431B" w:rsidRPr="00D2060D">
        <w:rPr>
          <w:lang w:val="en-GB"/>
        </w:rPr>
        <w:t xml:space="preserve">A total of 108 bleeding episodes in 32 patients were treated with </w:t>
      </w:r>
      <w:r w:rsidR="006E3127">
        <w:rPr>
          <w:lang w:val="en-US"/>
        </w:rPr>
        <w:t>Nuwiq</w:t>
      </w:r>
      <w:r w:rsidR="005B431B" w:rsidRPr="00D2060D">
        <w:rPr>
          <w:lang w:val="en-GB"/>
        </w:rPr>
        <w:t>. Effica</w:t>
      </w:r>
      <w:r w:rsidR="00797B19" w:rsidRPr="00D2060D">
        <w:rPr>
          <w:lang w:val="en-GB"/>
        </w:rPr>
        <w:t>cy</w:t>
      </w:r>
      <w:r w:rsidR="00894DC6">
        <w:rPr>
          <w:lang w:val="en-GB"/>
        </w:rPr>
        <w:t xml:space="preserve"> of treatment was rated as “</w:t>
      </w:r>
      <w:r w:rsidR="005B431B" w:rsidRPr="00D2060D">
        <w:rPr>
          <w:lang w:val="en-GB"/>
        </w:rPr>
        <w:t xml:space="preserve">excellent” in </w:t>
      </w:r>
      <w:r w:rsidR="009F7594" w:rsidRPr="00D2060D">
        <w:rPr>
          <w:lang w:val="en-GB"/>
        </w:rPr>
        <w:t>71.3</w:t>
      </w:r>
      <w:r w:rsidR="005B431B" w:rsidRPr="00D2060D">
        <w:rPr>
          <w:lang w:val="en-GB"/>
        </w:rPr>
        <w:t xml:space="preserve">% , “good” in </w:t>
      </w:r>
      <w:r w:rsidR="009F7594" w:rsidRPr="00D2060D">
        <w:rPr>
          <w:lang w:val="en-GB"/>
        </w:rPr>
        <w:t>11.1</w:t>
      </w:r>
      <w:r w:rsidR="005B431B" w:rsidRPr="00D2060D">
        <w:rPr>
          <w:lang w:val="en-GB"/>
        </w:rPr>
        <w:t>%</w:t>
      </w:r>
      <w:r w:rsidR="009F7594" w:rsidRPr="00D2060D">
        <w:rPr>
          <w:lang w:val="en-GB"/>
        </w:rPr>
        <w:t xml:space="preserve">, </w:t>
      </w:r>
      <w:r w:rsidR="005B431B" w:rsidRPr="00D2060D">
        <w:rPr>
          <w:lang w:val="en-GB"/>
        </w:rPr>
        <w:t xml:space="preserve">“moderate” in </w:t>
      </w:r>
      <w:r w:rsidR="009F7594" w:rsidRPr="00D2060D">
        <w:rPr>
          <w:lang w:val="en-GB"/>
        </w:rPr>
        <w:t>15.7</w:t>
      </w:r>
      <w:r w:rsidR="005B431B" w:rsidRPr="00D2060D">
        <w:rPr>
          <w:lang w:val="en-GB"/>
        </w:rPr>
        <w:t>%</w:t>
      </w:r>
      <w:r w:rsidR="009F7594" w:rsidRPr="00D2060D">
        <w:rPr>
          <w:lang w:val="en-GB"/>
        </w:rPr>
        <w:t>, and “non</w:t>
      </w:r>
      <w:r w:rsidR="00797B19" w:rsidRPr="00D2060D">
        <w:rPr>
          <w:lang w:val="en-GB"/>
        </w:rPr>
        <w:t>e</w:t>
      </w:r>
      <w:r w:rsidR="009F7594" w:rsidRPr="00D2060D">
        <w:rPr>
          <w:lang w:val="en-GB"/>
        </w:rPr>
        <w:t>” in 1.9%</w:t>
      </w:r>
      <w:r w:rsidR="005B431B" w:rsidRPr="00D2060D">
        <w:rPr>
          <w:lang w:val="en-GB"/>
        </w:rPr>
        <w:t xml:space="preserve"> of cases.</w:t>
      </w:r>
      <w:r w:rsidR="009F7594" w:rsidRPr="00D2060D">
        <w:rPr>
          <w:lang w:val="en-GB"/>
        </w:rPr>
        <w:t xml:space="preserve"> </w:t>
      </w:r>
      <w:r w:rsidR="005B431B" w:rsidRPr="00D2060D">
        <w:rPr>
          <w:lang w:val="en-GB"/>
        </w:rPr>
        <w:t>The majority of bleeding episodes were managed with one (</w:t>
      </w:r>
      <w:r w:rsidR="009F7594" w:rsidRPr="00D2060D">
        <w:rPr>
          <w:lang w:val="en-GB"/>
        </w:rPr>
        <w:t>68.6</w:t>
      </w:r>
      <w:r w:rsidR="005B431B" w:rsidRPr="00D2060D">
        <w:rPr>
          <w:lang w:val="en-GB"/>
        </w:rPr>
        <w:t>%) or two (</w:t>
      </w:r>
      <w:r w:rsidR="009F7594" w:rsidRPr="00D2060D">
        <w:rPr>
          <w:lang w:val="en-GB"/>
        </w:rPr>
        <w:t>12.7</w:t>
      </w:r>
      <w:r w:rsidR="005B431B" w:rsidRPr="00D2060D">
        <w:rPr>
          <w:lang w:val="en-GB"/>
        </w:rPr>
        <w:t>%) infusions.</w:t>
      </w:r>
    </w:p>
    <w:p w:rsidR="00FA443D" w:rsidRPr="00D2060D" w:rsidRDefault="005023A5" w:rsidP="00FA443D">
      <w:pPr>
        <w:pStyle w:val="Text"/>
        <w:rPr>
          <w:lang w:val="en-US"/>
        </w:rPr>
      </w:pPr>
      <w:r w:rsidRPr="00D2060D">
        <w:rPr>
          <w:lang w:val="en-GB"/>
        </w:rPr>
        <w:t>Safety</w:t>
      </w:r>
      <w:r w:rsidR="00FF0949" w:rsidRPr="00D2060D">
        <w:rPr>
          <w:lang w:val="en-GB"/>
        </w:rPr>
        <w:t>:</w:t>
      </w:r>
      <w:r w:rsidR="00FA443D" w:rsidRPr="00D2060D">
        <w:rPr>
          <w:lang w:val="en-GB"/>
        </w:rPr>
        <w:t xml:space="preserve"> </w:t>
      </w:r>
      <w:r w:rsidR="00F07A1C" w:rsidRPr="00D2060D">
        <w:rPr>
          <w:lang w:val="en-GB"/>
        </w:rPr>
        <w:t xml:space="preserve">Patients received a total of 5746 infusions with </w:t>
      </w:r>
      <w:r w:rsidR="006E3127">
        <w:rPr>
          <w:lang w:val="en-US"/>
        </w:rPr>
        <w:t>Nuwiq</w:t>
      </w:r>
      <w:r w:rsidR="00F07A1C" w:rsidRPr="00D2060D">
        <w:rPr>
          <w:lang w:val="en-GB"/>
        </w:rPr>
        <w:t xml:space="preserve">. </w:t>
      </w:r>
      <w:r w:rsidR="004975DA" w:rsidRPr="00D2060D">
        <w:rPr>
          <w:lang w:val="en-GB"/>
        </w:rPr>
        <w:t xml:space="preserve">Two patients experienced a total of </w:t>
      </w:r>
      <w:r w:rsidR="00CD23CB" w:rsidRPr="00D2060D">
        <w:rPr>
          <w:lang w:val="en-GB"/>
        </w:rPr>
        <w:t xml:space="preserve">two </w:t>
      </w:r>
      <w:r w:rsidR="004975DA" w:rsidRPr="00D2060D">
        <w:rPr>
          <w:lang w:val="en-GB"/>
        </w:rPr>
        <w:t>related adverse events (back pain and headache).</w:t>
      </w:r>
    </w:p>
    <w:p w:rsidR="00662C3E" w:rsidRPr="00D2060D" w:rsidRDefault="005023A5" w:rsidP="00662C3E">
      <w:pPr>
        <w:pStyle w:val="Text"/>
        <w:rPr>
          <w:lang w:val="en-GB"/>
        </w:rPr>
      </w:pPr>
      <w:r w:rsidRPr="00D2060D">
        <w:rPr>
          <w:lang w:val="en-GB"/>
        </w:rPr>
        <w:t>Immunogenicity</w:t>
      </w:r>
      <w:r w:rsidR="00662C3E" w:rsidRPr="00D2060D">
        <w:rPr>
          <w:lang w:val="en-GB"/>
        </w:rPr>
        <w:t>: No inhibitors were observed.</w:t>
      </w:r>
    </w:p>
    <w:p w:rsidR="00F144DE" w:rsidRDefault="00F144DE" w:rsidP="005023A5">
      <w:pPr>
        <w:pStyle w:val="Text"/>
        <w:rPr>
          <w:b/>
          <w:lang w:val="en-US"/>
        </w:rPr>
      </w:pPr>
    </w:p>
    <w:p w:rsidR="005023A5" w:rsidRPr="00D2060D" w:rsidRDefault="000E6269" w:rsidP="005023A5">
      <w:pPr>
        <w:pStyle w:val="Text"/>
        <w:rPr>
          <w:b/>
          <w:lang w:val="en-US"/>
        </w:rPr>
      </w:pPr>
      <w:r w:rsidRPr="00D2060D">
        <w:rPr>
          <w:b/>
          <w:lang w:val="en-US"/>
        </w:rPr>
        <w:t>Summary</w:t>
      </w:r>
      <w:r w:rsidR="007B3403" w:rsidRPr="00D2060D">
        <w:rPr>
          <w:b/>
          <w:lang w:val="en-US"/>
        </w:rPr>
        <w:t xml:space="preserve"> of immunogenicity and peri-operative prophlyaxis</w:t>
      </w:r>
      <w:r w:rsidRPr="00D2060D">
        <w:rPr>
          <w:b/>
          <w:lang w:val="en-US"/>
        </w:rPr>
        <w:t>:</w:t>
      </w:r>
    </w:p>
    <w:p w:rsidR="005023A5" w:rsidRPr="00D2060D" w:rsidRDefault="001202E9" w:rsidP="005023A5">
      <w:pPr>
        <w:pStyle w:val="Text"/>
        <w:rPr>
          <w:lang w:val="en-GB"/>
        </w:rPr>
      </w:pPr>
      <w:r w:rsidRPr="00D2060D">
        <w:rPr>
          <w:lang w:val="en-GB"/>
        </w:rPr>
        <w:t xml:space="preserve">Inhibitors: </w:t>
      </w:r>
      <w:r w:rsidR="006D4980" w:rsidRPr="00D2060D">
        <w:rPr>
          <w:lang w:val="en-GB"/>
        </w:rPr>
        <w:t xml:space="preserve">No </w:t>
      </w:r>
      <w:r w:rsidR="00F67E1D" w:rsidRPr="00D2060D">
        <w:rPr>
          <w:lang w:val="en-GB"/>
        </w:rPr>
        <w:t xml:space="preserve">FVIII </w:t>
      </w:r>
      <w:r w:rsidR="006D4980" w:rsidRPr="00D2060D">
        <w:rPr>
          <w:lang w:val="en-GB"/>
        </w:rPr>
        <w:t>inhibitors were detected in any of the 135 patients (including pat</w:t>
      </w:r>
      <w:r w:rsidR="0039182A" w:rsidRPr="00D2060D">
        <w:rPr>
          <w:lang w:val="en-GB"/>
        </w:rPr>
        <w:t xml:space="preserve">ients </w:t>
      </w:r>
      <w:r w:rsidR="006D4980" w:rsidRPr="00D2060D">
        <w:rPr>
          <w:lang w:val="en-GB"/>
        </w:rPr>
        <w:t>from study III/IV),</w:t>
      </w:r>
      <w:r w:rsidR="0039182A" w:rsidRPr="00D2060D">
        <w:rPr>
          <w:lang w:val="en-GB"/>
        </w:rPr>
        <w:t xml:space="preserve"> </w:t>
      </w:r>
      <w:r w:rsidRPr="00D2060D">
        <w:rPr>
          <w:lang w:val="en-GB"/>
        </w:rPr>
        <w:t>129</w:t>
      </w:r>
      <w:r w:rsidR="006D4980" w:rsidRPr="00D2060D">
        <w:rPr>
          <w:lang w:val="en-GB"/>
        </w:rPr>
        <w:t xml:space="preserve"> of them had been exposed for at least 50 EDs. </w:t>
      </w:r>
    </w:p>
    <w:p w:rsidR="005023A5" w:rsidRPr="00D2060D" w:rsidRDefault="001202E9" w:rsidP="00102755">
      <w:pPr>
        <w:keepNext/>
        <w:keepLines/>
        <w:spacing w:before="60" w:after="60"/>
        <w:rPr>
          <w:lang w:val="en-GB"/>
        </w:rPr>
      </w:pPr>
      <w:r w:rsidRPr="00D2060D">
        <w:rPr>
          <w:lang w:val="en-GB"/>
        </w:rPr>
        <w:t xml:space="preserve">Peri-operative prophylaxis: </w:t>
      </w:r>
      <w:r w:rsidR="0039182A" w:rsidRPr="00D2060D">
        <w:rPr>
          <w:lang w:val="en-GB"/>
        </w:rPr>
        <w:t xml:space="preserve">Across the 5 studies, the efficacy of </w:t>
      </w:r>
      <w:r w:rsidR="006E3127">
        <w:t>Nuwiq</w:t>
      </w:r>
      <w:r w:rsidR="00894DC6" w:rsidRPr="00D2060D">
        <w:rPr>
          <w:lang w:val="en-GB"/>
        </w:rPr>
        <w:t xml:space="preserve"> </w:t>
      </w:r>
      <w:r w:rsidR="0039182A" w:rsidRPr="00D2060D">
        <w:rPr>
          <w:lang w:val="en-GB"/>
        </w:rPr>
        <w:t>as surgical prophylaxis was assessed in a total of 33 surgical procedures in 19 patients; 20 procedures (in 7 patients) were classed as minor and 13 procedures (in 12 patients) were classed as major</w:t>
      </w:r>
      <w:r w:rsidRPr="00D2060D">
        <w:rPr>
          <w:lang w:val="en-GB"/>
        </w:rPr>
        <w:t xml:space="preserve"> (e.g. </w:t>
      </w:r>
      <w:r w:rsidR="008E494B" w:rsidRPr="00D2060D">
        <w:rPr>
          <w:lang w:val="en-GB"/>
        </w:rPr>
        <w:t>revision of right total knee,</w:t>
      </w:r>
      <w:r w:rsidR="007F3234" w:rsidRPr="00D2060D">
        <w:rPr>
          <w:lang w:val="en-GB"/>
        </w:rPr>
        <w:t xml:space="preserve"> </w:t>
      </w:r>
      <w:r w:rsidR="008E494B" w:rsidRPr="00D2060D">
        <w:rPr>
          <w:lang w:val="en-GB"/>
        </w:rPr>
        <w:t xml:space="preserve">total hip replacement, </w:t>
      </w:r>
      <w:r w:rsidR="00102755" w:rsidRPr="00D2060D">
        <w:rPr>
          <w:lang w:val="en-GB"/>
        </w:rPr>
        <w:t xml:space="preserve">joint arthroscopy, bilateral ankle joint arthroscopic debridement, cholecystectomy and liver biopsy, port catheter implantations,  circumcision, </w:t>
      </w:r>
      <w:r w:rsidR="00FB3B96" w:rsidRPr="00D2060D">
        <w:rPr>
          <w:lang w:val="en-GB"/>
        </w:rPr>
        <w:t>total endoprosthesis left hip, total endoprosthesis (right knee).</w:t>
      </w:r>
      <w:r w:rsidR="0039182A" w:rsidRPr="00D2060D">
        <w:rPr>
          <w:lang w:val="en-GB"/>
        </w:rPr>
        <w:t xml:space="preserve"> </w:t>
      </w:r>
      <w:r w:rsidRPr="00D2060D">
        <w:rPr>
          <w:lang w:val="en-GB"/>
        </w:rPr>
        <w:t>Overall e</w:t>
      </w:r>
      <w:r w:rsidR="006D4980" w:rsidRPr="00D2060D">
        <w:rPr>
          <w:lang w:val="en-GB"/>
        </w:rPr>
        <w:t>fficacy assessment</w:t>
      </w:r>
      <w:r w:rsidRPr="00D2060D">
        <w:rPr>
          <w:lang w:val="en-GB"/>
        </w:rPr>
        <w:t xml:space="preserve"> criteria included</w:t>
      </w:r>
      <w:r w:rsidR="004B0A1A" w:rsidRPr="00D2060D">
        <w:rPr>
          <w:lang w:val="en-GB"/>
        </w:rPr>
        <w:t xml:space="preserve"> </w:t>
      </w:r>
      <w:r w:rsidRPr="00D2060D">
        <w:rPr>
          <w:lang w:val="en-GB"/>
        </w:rPr>
        <w:t>amount of blood loss (compared to what is expected) and the requirement of any additional infusions not originally anticipated for this type of procedure. Efficacy assessments for all surgical procedures are summarised in the table below.</w:t>
      </w:r>
    </w:p>
    <w:p w:rsidR="001202E9" w:rsidRPr="00D2060D" w:rsidRDefault="001202E9" w:rsidP="0084475D">
      <w:pPr>
        <w:pStyle w:val="Caption"/>
        <w:tabs>
          <w:tab w:val="clear" w:pos="964"/>
          <w:tab w:val="left" w:pos="0"/>
        </w:tabs>
        <w:ind w:left="0" w:firstLine="0"/>
        <w:rPr>
          <w:rFonts w:eastAsia="Calibri"/>
        </w:rPr>
      </w:pPr>
      <w:bookmarkStart w:id="2" w:name="_Toc334365184"/>
      <w:bookmarkStart w:id="3" w:name="_Toc334365757"/>
      <w:bookmarkStart w:id="4" w:name="_Toc353523822"/>
      <w:r w:rsidRPr="00D2060D">
        <w:rPr>
          <w:rFonts w:eastAsia="Calibri"/>
        </w:rPr>
        <w:t xml:space="preserve">Overall Efficacy Assessment for Surgical Prophylaxis According to the Classification of the Procedure Across </w:t>
      </w:r>
      <w:r w:rsidR="00894DC6">
        <w:rPr>
          <w:rFonts w:eastAsia="Calibri"/>
        </w:rPr>
        <w:t xml:space="preserve">the </w:t>
      </w:r>
      <w:r w:rsidRPr="00D2060D">
        <w:rPr>
          <w:rFonts w:eastAsia="Calibri"/>
        </w:rPr>
        <w:t>Studies</w:t>
      </w:r>
      <w:bookmarkEnd w:id="2"/>
      <w:bookmarkEnd w:id="3"/>
      <w:bookmarkEnd w:id="4"/>
    </w:p>
    <w:tbl>
      <w:tblPr>
        <w:tblW w:w="9039" w:type="dxa"/>
        <w:tblBorders>
          <w:top w:val="single" w:sz="12" w:space="0" w:color="auto"/>
          <w:bottom w:val="single" w:sz="12" w:space="0" w:color="auto"/>
          <w:insideH w:val="single" w:sz="4" w:space="0" w:color="auto"/>
        </w:tblBorders>
        <w:tblLayout w:type="fixed"/>
        <w:tblLook w:val="04A0" w:firstRow="1" w:lastRow="0" w:firstColumn="1" w:lastColumn="0" w:noHBand="0" w:noVBand="1"/>
      </w:tblPr>
      <w:tblGrid>
        <w:gridCol w:w="2518"/>
        <w:gridCol w:w="1276"/>
        <w:gridCol w:w="1276"/>
        <w:gridCol w:w="1275"/>
        <w:gridCol w:w="1418"/>
        <w:gridCol w:w="1276"/>
      </w:tblGrid>
      <w:tr w:rsidR="001202E9" w:rsidRPr="00D2060D" w:rsidTr="008E494B">
        <w:trPr>
          <w:trHeight w:val="315"/>
        </w:trPr>
        <w:tc>
          <w:tcPr>
            <w:tcW w:w="2518" w:type="dxa"/>
            <w:tcBorders>
              <w:top w:val="single" w:sz="4" w:space="0" w:color="auto"/>
              <w:bottom w:val="single" w:sz="8" w:space="0" w:color="auto"/>
            </w:tcBorders>
            <w:vAlign w:val="center"/>
          </w:tcPr>
          <w:p w:rsidR="001202E9" w:rsidRPr="00D2060D" w:rsidRDefault="001202E9" w:rsidP="008E494B">
            <w:pPr>
              <w:keepNext/>
              <w:keepLines/>
              <w:spacing w:before="60" w:after="60"/>
              <w:ind w:left="265" w:hanging="284"/>
              <w:rPr>
                <w:b/>
                <w:sz w:val="22"/>
                <w:szCs w:val="22"/>
              </w:rPr>
            </w:pPr>
            <w:r w:rsidRPr="00D2060D">
              <w:rPr>
                <w:b/>
                <w:sz w:val="22"/>
                <w:szCs w:val="22"/>
              </w:rPr>
              <w:lastRenderedPageBreak/>
              <w:t>Classification of surgery</w:t>
            </w:r>
            <w:r w:rsidRPr="00D2060D">
              <w:rPr>
                <w:b/>
                <w:sz w:val="22"/>
                <w:szCs w:val="22"/>
              </w:rPr>
              <w:br/>
              <w:t>Efficacy rating</w:t>
            </w:r>
          </w:p>
        </w:tc>
        <w:tc>
          <w:tcPr>
            <w:tcW w:w="1276" w:type="dxa"/>
            <w:tcBorders>
              <w:top w:val="single" w:sz="4" w:space="0" w:color="auto"/>
              <w:bottom w:val="single" w:sz="8" w:space="0" w:color="auto"/>
            </w:tcBorders>
          </w:tcPr>
          <w:p w:rsidR="001202E9" w:rsidRPr="00D2060D" w:rsidRDefault="001202E9" w:rsidP="001202E9">
            <w:pPr>
              <w:keepNext/>
              <w:keepLines/>
              <w:spacing w:before="60" w:after="60"/>
              <w:jc w:val="center"/>
              <w:rPr>
                <w:b/>
                <w:sz w:val="22"/>
                <w:szCs w:val="22"/>
              </w:rPr>
            </w:pPr>
            <w:r w:rsidRPr="00D2060D">
              <w:rPr>
                <w:b/>
                <w:sz w:val="22"/>
                <w:szCs w:val="22"/>
              </w:rPr>
              <w:br/>
            </w:r>
            <w:r w:rsidRPr="00D2060D">
              <w:rPr>
                <w:b/>
                <w:sz w:val="22"/>
                <w:szCs w:val="22"/>
                <w:lang w:val="de-CH"/>
              </w:rPr>
              <w:t>Study I</w:t>
            </w:r>
          </w:p>
        </w:tc>
        <w:tc>
          <w:tcPr>
            <w:tcW w:w="1276" w:type="dxa"/>
            <w:tcBorders>
              <w:top w:val="single" w:sz="4" w:space="0" w:color="auto"/>
              <w:bottom w:val="single" w:sz="8" w:space="0" w:color="auto"/>
            </w:tcBorders>
            <w:vAlign w:val="bottom"/>
          </w:tcPr>
          <w:p w:rsidR="001202E9" w:rsidRPr="00D2060D" w:rsidRDefault="001202E9" w:rsidP="001202E9">
            <w:pPr>
              <w:keepNext/>
              <w:keepLines/>
              <w:spacing w:before="60" w:after="60"/>
              <w:jc w:val="center"/>
              <w:rPr>
                <w:b/>
                <w:sz w:val="22"/>
                <w:szCs w:val="22"/>
              </w:rPr>
            </w:pPr>
            <w:r w:rsidRPr="00D2060D">
              <w:rPr>
                <w:b/>
                <w:sz w:val="22"/>
                <w:szCs w:val="22"/>
                <w:lang w:val="de-CH"/>
              </w:rPr>
              <w:t>Study II</w:t>
            </w:r>
          </w:p>
        </w:tc>
        <w:tc>
          <w:tcPr>
            <w:tcW w:w="1275" w:type="dxa"/>
            <w:tcBorders>
              <w:top w:val="single" w:sz="4" w:space="0" w:color="auto"/>
              <w:bottom w:val="single" w:sz="8" w:space="0" w:color="auto"/>
            </w:tcBorders>
            <w:vAlign w:val="bottom"/>
          </w:tcPr>
          <w:p w:rsidR="001202E9" w:rsidRPr="00D2060D" w:rsidRDefault="001202E9" w:rsidP="001202E9">
            <w:pPr>
              <w:keepNext/>
              <w:keepLines/>
              <w:spacing w:before="60" w:after="60"/>
              <w:jc w:val="center"/>
              <w:rPr>
                <w:b/>
                <w:sz w:val="22"/>
                <w:szCs w:val="22"/>
              </w:rPr>
            </w:pPr>
            <w:r w:rsidRPr="00D2060D">
              <w:rPr>
                <w:b/>
                <w:sz w:val="22"/>
                <w:szCs w:val="22"/>
                <w:lang w:val="de-CH"/>
              </w:rPr>
              <w:t>Study III</w:t>
            </w:r>
          </w:p>
        </w:tc>
        <w:tc>
          <w:tcPr>
            <w:tcW w:w="1418" w:type="dxa"/>
            <w:tcBorders>
              <w:top w:val="single" w:sz="4" w:space="0" w:color="auto"/>
              <w:bottom w:val="single" w:sz="8" w:space="0" w:color="auto"/>
            </w:tcBorders>
            <w:vAlign w:val="bottom"/>
          </w:tcPr>
          <w:p w:rsidR="001202E9" w:rsidRPr="00D2060D" w:rsidRDefault="001202E9" w:rsidP="001202E9">
            <w:pPr>
              <w:keepNext/>
              <w:keepLines/>
              <w:spacing w:before="60" w:after="60"/>
              <w:jc w:val="center"/>
              <w:rPr>
                <w:b/>
                <w:sz w:val="22"/>
                <w:szCs w:val="22"/>
              </w:rPr>
            </w:pPr>
            <w:r w:rsidRPr="00D2060D">
              <w:rPr>
                <w:b/>
                <w:sz w:val="22"/>
                <w:szCs w:val="22"/>
                <w:lang w:val="de-CH"/>
              </w:rPr>
              <w:t>Study IV</w:t>
            </w:r>
          </w:p>
        </w:tc>
        <w:tc>
          <w:tcPr>
            <w:tcW w:w="1276" w:type="dxa"/>
            <w:tcBorders>
              <w:top w:val="single" w:sz="4" w:space="0" w:color="auto"/>
              <w:bottom w:val="single" w:sz="8" w:space="0" w:color="auto"/>
            </w:tcBorders>
            <w:vAlign w:val="bottom"/>
          </w:tcPr>
          <w:p w:rsidR="001202E9" w:rsidRPr="00D2060D" w:rsidRDefault="001202E9" w:rsidP="001202E9">
            <w:pPr>
              <w:keepNext/>
              <w:keepLines/>
              <w:spacing w:before="60" w:after="60"/>
              <w:jc w:val="center"/>
              <w:rPr>
                <w:b/>
                <w:sz w:val="22"/>
                <w:szCs w:val="22"/>
              </w:rPr>
            </w:pPr>
            <w:r w:rsidRPr="00D2060D">
              <w:rPr>
                <w:b/>
                <w:sz w:val="22"/>
                <w:szCs w:val="22"/>
                <w:lang w:val="de-CH"/>
              </w:rPr>
              <w:t>Study V</w:t>
            </w:r>
          </w:p>
        </w:tc>
      </w:tr>
      <w:tr w:rsidR="001202E9" w:rsidRPr="00D2060D" w:rsidTr="008E494B">
        <w:trPr>
          <w:trHeight w:val="241"/>
        </w:trPr>
        <w:tc>
          <w:tcPr>
            <w:tcW w:w="2518" w:type="dxa"/>
            <w:tcBorders>
              <w:top w:val="single" w:sz="8" w:space="0" w:color="auto"/>
              <w:bottom w:val="nil"/>
            </w:tcBorders>
            <w:shd w:val="clear" w:color="auto" w:fill="auto"/>
          </w:tcPr>
          <w:p w:rsidR="001202E9" w:rsidRPr="00D2060D" w:rsidRDefault="001202E9" w:rsidP="008E494B">
            <w:pPr>
              <w:keepNext/>
              <w:keepLines/>
              <w:spacing w:before="60"/>
              <w:rPr>
                <w:sz w:val="22"/>
                <w:szCs w:val="22"/>
              </w:rPr>
            </w:pPr>
            <w:r w:rsidRPr="00D2060D">
              <w:rPr>
                <w:sz w:val="22"/>
                <w:szCs w:val="22"/>
              </w:rPr>
              <w:t>Any (N)</w:t>
            </w:r>
          </w:p>
        </w:tc>
        <w:tc>
          <w:tcPr>
            <w:tcW w:w="1276" w:type="dxa"/>
            <w:tcBorders>
              <w:top w:val="single" w:sz="8" w:space="0" w:color="auto"/>
              <w:bottom w:val="nil"/>
            </w:tcBorders>
          </w:tcPr>
          <w:p w:rsidR="001202E9" w:rsidRPr="00D2060D" w:rsidRDefault="001202E9" w:rsidP="008E494B">
            <w:pPr>
              <w:keepNext/>
              <w:keepLines/>
              <w:spacing w:before="60"/>
              <w:jc w:val="center"/>
              <w:rPr>
                <w:sz w:val="22"/>
                <w:szCs w:val="22"/>
              </w:rPr>
            </w:pPr>
            <w:r w:rsidRPr="00D2060D">
              <w:rPr>
                <w:sz w:val="22"/>
                <w:szCs w:val="22"/>
              </w:rPr>
              <w:t>2</w:t>
            </w:r>
          </w:p>
        </w:tc>
        <w:tc>
          <w:tcPr>
            <w:tcW w:w="1276" w:type="dxa"/>
            <w:tcBorders>
              <w:top w:val="single" w:sz="8" w:space="0" w:color="auto"/>
              <w:bottom w:val="nil"/>
            </w:tcBorders>
            <w:shd w:val="clear" w:color="auto" w:fill="auto"/>
          </w:tcPr>
          <w:p w:rsidR="001202E9" w:rsidRPr="00D2060D" w:rsidRDefault="001202E9" w:rsidP="008E494B">
            <w:pPr>
              <w:keepNext/>
              <w:keepLines/>
              <w:spacing w:before="60"/>
              <w:jc w:val="center"/>
              <w:rPr>
                <w:sz w:val="22"/>
                <w:szCs w:val="22"/>
              </w:rPr>
            </w:pPr>
            <w:r w:rsidRPr="00D2060D">
              <w:rPr>
                <w:sz w:val="22"/>
                <w:szCs w:val="22"/>
              </w:rPr>
              <w:t>5</w:t>
            </w:r>
          </w:p>
        </w:tc>
        <w:tc>
          <w:tcPr>
            <w:tcW w:w="1275" w:type="dxa"/>
            <w:tcBorders>
              <w:top w:val="single" w:sz="8" w:space="0" w:color="auto"/>
              <w:bottom w:val="nil"/>
            </w:tcBorders>
            <w:vAlign w:val="center"/>
          </w:tcPr>
          <w:p w:rsidR="001202E9" w:rsidRPr="00D2060D" w:rsidRDefault="001202E9" w:rsidP="001202E9">
            <w:pPr>
              <w:keepNext/>
              <w:keepLines/>
              <w:spacing w:before="60"/>
              <w:jc w:val="center"/>
              <w:rPr>
                <w:sz w:val="22"/>
                <w:szCs w:val="22"/>
              </w:rPr>
            </w:pPr>
            <w:r w:rsidRPr="00D2060D">
              <w:rPr>
                <w:sz w:val="22"/>
                <w:szCs w:val="22"/>
              </w:rPr>
              <w:t>5</w:t>
            </w:r>
          </w:p>
        </w:tc>
        <w:tc>
          <w:tcPr>
            <w:tcW w:w="1418" w:type="dxa"/>
            <w:tcBorders>
              <w:top w:val="single" w:sz="8" w:space="0" w:color="auto"/>
              <w:bottom w:val="nil"/>
            </w:tcBorders>
            <w:vAlign w:val="center"/>
          </w:tcPr>
          <w:p w:rsidR="001202E9" w:rsidRPr="00D2060D" w:rsidRDefault="001202E9" w:rsidP="008E494B">
            <w:pPr>
              <w:keepNext/>
              <w:keepLines/>
              <w:spacing w:before="60"/>
              <w:jc w:val="center"/>
              <w:rPr>
                <w:sz w:val="22"/>
                <w:szCs w:val="22"/>
              </w:rPr>
            </w:pPr>
            <w:r w:rsidRPr="00D2060D">
              <w:rPr>
                <w:sz w:val="22"/>
                <w:szCs w:val="22"/>
              </w:rPr>
              <w:t>14</w:t>
            </w:r>
          </w:p>
        </w:tc>
        <w:tc>
          <w:tcPr>
            <w:tcW w:w="1276" w:type="dxa"/>
            <w:tcBorders>
              <w:top w:val="single" w:sz="8" w:space="0" w:color="auto"/>
              <w:bottom w:val="nil"/>
            </w:tcBorders>
          </w:tcPr>
          <w:p w:rsidR="001202E9" w:rsidRPr="00D2060D" w:rsidRDefault="001202E9" w:rsidP="008E494B">
            <w:pPr>
              <w:keepNext/>
              <w:keepLines/>
              <w:spacing w:before="60"/>
              <w:jc w:val="center"/>
              <w:rPr>
                <w:sz w:val="22"/>
                <w:szCs w:val="22"/>
              </w:rPr>
            </w:pPr>
            <w:r w:rsidRPr="00D2060D">
              <w:rPr>
                <w:sz w:val="22"/>
                <w:szCs w:val="22"/>
              </w:rPr>
              <w:t>7</w:t>
            </w:r>
          </w:p>
        </w:tc>
      </w:tr>
      <w:tr w:rsidR="001202E9" w:rsidRPr="00D2060D" w:rsidTr="008E494B">
        <w:tc>
          <w:tcPr>
            <w:tcW w:w="2518" w:type="dxa"/>
            <w:tcBorders>
              <w:top w:val="nil"/>
              <w:bottom w:val="dotted" w:sz="4" w:space="0" w:color="auto"/>
            </w:tcBorders>
            <w:shd w:val="clear" w:color="auto" w:fill="auto"/>
          </w:tcPr>
          <w:p w:rsidR="001202E9" w:rsidRPr="00D2060D" w:rsidRDefault="001202E9" w:rsidP="0084475D">
            <w:pPr>
              <w:keepNext/>
              <w:keepLines/>
              <w:spacing w:before="60" w:after="60"/>
              <w:ind w:left="265"/>
              <w:rPr>
                <w:sz w:val="22"/>
                <w:szCs w:val="22"/>
              </w:rPr>
            </w:pPr>
            <w:r w:rsidRPr="00D2060D">
              <w:rPr>
                <w:sz w:val="22"/>
                <w:szCs w:val="22"/>
              </w:rPr>
              <w:t>Excellent</w:t>
            </w:r>
          </w:p>
          <w:p w:rsidR="001202E9" w:rsidRPr="00D2060D" w:rsidRDefault="001202E9" w:rsidP="0084475D">
            <w:pPr>
              <w:keepNext/>
              <w:keepLines/>
              <w:spacing w:before="60" w:after="60"/>
              <w:ind w:left="265"/>
              <w:rPr>
                <w:sz w:val="22"/>
                <w:szCs w:val="22"/>
              </w:rPr>
            </w:pPr>
            <w:r w:rsidRPr="00D2060D">
              <w:rPr>
                <w:sz w:val="22"/>
                <w:szCs w:val="22"/>
              </w:rPr>
              <w:t>Good</w:t>
            </w:r>
          </w:p>
          <w:p w:rsidR="001202E9" w:rsidRPr="00D2060D" w:rsidRDefault="001202E9" w:rsidP="0084475D">
            <w:pPr>
              <w:keepNext/>
              <w:keepLines/>
              <w:spacing w:before="60" w:after="60"/>
              <w:ind w:left="265"/>
              <w:rPr>
                <w:sz w:val="22"/>
                <w:szCs w:val="22"/>
              </w:rPr>
            </w:pPr>
            <w:r w:rsidRPr="00D2060D">
              <w:rPr>
                <w:sz w:val="22"/>
                <w:szCs w:val="22"/>
              </w:rPr>
              <w:t>Moderate</w:t>
            </w:r>
          </w:p>
          <w:p w:rsidR="001202E9" w:rsidRPr="00D2060D" w:rsidRDefault="001202E9" w:rsidP="0084475D">
            <w:pPr>
              <w:keepNext/>
              <w:keepLines/>
              <w:spacing w:before="60" w:after="60"/>
              <w:ind w:left="265"/>
              <w:rPr>
                <w:sz w:val="22"/>
                <w:szCs w:val="22"/>
              </w:rPr>
            </w:pPr>
            <w:r w:rsidRPr="00D2060D">
              <w:rPr>
                <w:sz w:val="22"/>
                <w:szCs w:val="22"/>
              </w:rPr>
              <w:t>None</w:t>
            </w:r>
          </w:p>
        </w:tc>
        <w:tc>
          <w:tcPr>
            <w:tcW w:w="1276" w:type="dxa"/>
            <w:tcBorders>
              <w:top w:val="nil"/>
              <w:bottom w:val="dotted" w:sz="4" w:space="0" w:color="auto"/>
            </w:tcBorders>
          </w:tcPr>
          <w:p w:rsidR="001202E9" w:rsidRPr="00D2060D" w:rsidRDefault="001202E9" w:rsidP="0084475D">
            <w:pPr>
              <w:keepNext/>
              <w:keepLines/>
              <w:spacing w:before="60" w:after="60"/>
              <w:jc w:val="center"/>
              <w:rPr>
                <w:sz w:val="22"/>
                <w:szCs w:val="22"/>
              </w:rPr>
            </w:pPr>
            <w:r w:rsidRPr="00D2060D">
              <w:rPr>
                <w:sz w:val="22"/>
                <w:szCs w:val="22"/>
              </w:rPr>
              <w:t>2</w:t>
            </w:r>
          </w:p>
          <w:p w:rsidR="001202E9" w:rsidRPr="00D2060D" w:rsidRDefault="001202E9" w:rsidP="0084475D">
            <w:pPr>
              <w:keepNext/>
              <w:keepLines/>
              <w:spacing w:before="60" w:after="60"/>
              <w:jc w:val="center"/>
              <w:rPr>
                <w:sz w:val="22"/>
                <w:szCs w:val="22"/>
              </w:rPr>
            </w:pPr>
            <w:r w:rsidRPr="00D2060D">
              <w:rPr>
                <w:sz w:val="22"/>
                <w:szCs w:val="22"/>
              </w:rPr>
              <w:t>–</w:t>
            </w:r>
          </w:p>
          <w:p w:rsidR="001202E9" w:rsidRPr="00D2060D" w:rsidRDefault="001202E9" w:rsidP="0084475D">
            <w:pPr>
              <w:keepNext/>
              <w:keepLines/>
              <w:spacing w:before="60" w:after="60"/>
              <w:jc w:val="center"/>
              <w:rPr>
                <w:sz w:val="22"/>
                <w:szCs w:val="22"/>
              </w:rPr>
            </w:pPr>
            <w:r w:rsidRPr="00D2060D">
              <w:rPr>
                <w:sz w:val="22"/>
                <w:szCs w:val="22"/>
              </w:rPr>
              <w:t>–</w:t>
            </w:r>
          </w:p>
          <w:p w:rsidR="001202E9" w:rsidRPr="00D2060D" w:rsidRDefault="001202E9" w:rsidP="0084475D">
            <w:pPr>
              <w:keepNext/>
              <w:keepLines/>
              <w:spacing w:before="60" w:after="60"/>
              <w:jc w:val="center"/>
              <w:rPr>
                <w:sz w:val="22"/>
                <w:szCs w:val="22"/>
              </w:rPr>
            </w:pPr>
            <w:r w:rsidRPr="00D2060D">
              <w:rPr>
                <w:sz w:val="22"/>
                <w:szCs w:val="22"/>
              </w:rPr>
              <w:t>–</w:t>
            </w:r>
          </w:p>
        </w:tc>
        <w:tc>
          <w:tcPr>
            <w:tcW w:w="1276" w:type="dxa"/>
            <w:tcBorders>
              <w:top w:val="nil"/>
              <w:bottom w:val="dotted" w:sz="4" w:space="0" w:color="auto"/>
            </w:tcBorders>
            <w:shd w:val="clear" w:color="auto" w:fill="auto"/>
          </w:tcPr>
          <w:p w:rsidR="001202E9" w:rsidRPr="00D2060D" w:rsidRDefault="001202E9" w:rsidP="0084475D">
            <w:pPr>
              <w:keepNext/>
              <w:keepLines/>
              <w:spacing w:before="60" w:after="60"/>
              <w:jc w:val="center"/>
              <w:rPr>
                <w:sz w:val="22"/>
                <w:szCs w:val="22"/>
              </w:rPr>
            </w:pPr>
            <w:r w:rsidRPr="00D2060D">
              <w:rPr>
                <w:sz w:val="22"/>
                <w:szCs w:val="22"/>
              </w:rPr>
              <w:t>4</w:t>
            </w:r>
          </w:p>
          <w:p w:rsidR="001202E9" w:rsidRPr="00D2060D" w:rsidRDefault="001202E9" w:rsidP="0084475D">
            <w:pPr>
              <w:keepNext/>
              <w:keepLines/>
              <w:spacing w:before="60" w:after="60"/>
              <w:jc w:val="center"/>
              <w:rPr>
                <w:sz w:val="22"/>
                <w:szCs w:val="22"/>
              </w:rPr>
            </w:pPr>
            <w:r w:rsidRPr="00D2060D">
              <w:rPr>
                <w:sz w:val="22"/>
                <w:szCs w:val="22"/>
              </w:rPr>
              <w:t>–</w:t>
            </w:r>
          </w:p>
          <w:p w:rsidR="001202E9" w:rsidRPr="00D2060D" w:rsidRDefault="001202E9" w:rsidP="0084475D">
            <w:pPr>
              <w:keepNext/>
              <w:keepLines/>
              <w:spacing w:before="60" w:after="60"/>
              <w:jc w:val="center"/>
              <w:rPr>
                <w:sz w:val="22"/>
                <w:szCs w:val="22"/>
              </w:rPr>
            </w:pPr>
            <w:r w:rsidRPr="00D2060D">
              <w:rPr>
                <w:sz w:val="22"/>
                <w:szCs w:val="22"/>
              </w:rPr>
              <w:t>1</w:t>
            </w:r>
          </w:p>
          <w:p w:rsidR="001202E9" w:rsidRPr="00D2060D" w:rsidRDefault="001202E9" w:rsidP="0084475D">
            <w:pPr>
              <w:keepNext/>
              <w:keepLines/>
              <w:spacing w:before="60" w:after="60"/>
              <w:jc w:val="center"/>
              <w:rPr>
                <w:sz w:val="22"/>
                <w:szCs w:val="22"/>
              </w:rPr>
            </w:pPr>
            <w:r w:rsidRPr="00D2060D">
              <w:rPr>
                <w:sz w:val="22"/>
                <w:szCs w:val="22"/>
              </w:rPr>
              <w:t>–</w:t>
            </w:r>
          </w:p>
        </w:tc>
        <w:tc>
          <w:tcPr>
            <w:tcW w:w="1275" w:type="dxa"/>
            <w:tcBorders>
              <w:top w:val="nil"/>
              <w:bottom w:val="dotted" w:sz="4" w:space="0" w:color="auto"/>
            </w:tcBorders>
            <w:vAlign w:val="center"/>
          </w:tcPr>
          <w:p w:rsidR="001202E9" w:rsidRPr="00D2060D" w:rsidRDefault="001202E9" w:rsidP="0084475D">
            <w:pPr>
              <w:keepNext/>
              <w:keepLines/>
              <w:spacing w:before="60" w:after="60"/>
              <w:jc w:val="center"/>
              <w:rPr>
                <w:sz w:val="22"/>
                <w:szCs w:val="22"/>
              </w:rPr>
            </w:pPr>
            <w:r w:rsidRPr="00D2060D">
              <w:rPr>
                <w:sz w:val="22"/>
                <w:szCs w:val="22"/>
              </w:rPr>
              <w:t>5</w:t>
            </w:r>
          </w:p>
          <w:p w:rsidR="001202E9" w:rsidRPr="00D2060D" w:rsidRDefault="001202E9" w:rsidP="0084475D">
            <w:pPr>
              <w:keepNext/>
              <w:keepLines/>
              <w:spacing w:before="60" w:after="60"/>
              <w:jc w:val="center"/>
              <w:rPr>
                <w:sz w:val="22"/>
                <w:szCs w:val="22"/>
              </w:rPr>
            </w:pPr>
            <w:r w:rsidRPr="00D2060D">
              <w:rPr>
                <w:sz w:val="22"/>
                <w:szCs w:val="22"/>
              </w:rPr>
              <w:t>–</w:t>
            </w:r>
          </w:p>
          <w:p w:rsidR="001202E9" w:rsidRPr="00D2060D" w:rsidRDefault="001202E9" w:rsidP="0084475D">
            <w:pPr>
              <w:keepNext/>
              <w:keepLines/>
              <w:spacing w:before="60" w:after="60"/>
              <w:jc w:val="center"/>
              <w:rPr>
                <w:sz w:val="22"/>
                <w:szCs w:val="22"/>
              </w:rPr>
            </w:pPr>
            <w:r w:rsidRPr="00D2060D">
              <w:rPr>
                <w:sz w:val="22"/>
                <w:szCs w:val="22"/>
              </w:rPr>
              <w:t>–</w:t>
            </w:r>
          </w:p>
          <w:p w:rsidR="001202E9" w:rsidRPr="00D2060D" w:rsidRDefault="001202E9" w:rsidP="0084475D">
            <w:pPr>
              <w:keepNext/>
              <w:keepLines/>
              <w:spacing w:before="60" w:after="60"/>
              <w:jc w:val="center"/>
              <w:rPr>
                <w:sz w:val="22"/>
                <w:szCs w:val="22"/>
              </w:rPr>
            </w:pPr>
            <w:r w:rsidRPr="00D2060D">
              <w:rPr>
                <w:sz w:val="22"/>
                <w:szCs w:val="22"/>
              </w:rPr>
              <w:t>–</w:t>
            </w:r>
          </w:p>
        </w:tc>
        <w:tc>
          <w:tcPr>
            <w:tcW w:w="1418" w:type="dxa"/>
            <w:tcBorders>
              <w:top w:val="nil"/>
              <w:bottom w:val="dotted" w:sz="4" w:space="0" w:color="auto"/>
            </w:tcBorders>
            <w:vAlign w:val="center"/>
          </w:tcPr>
          <w:p w:rsidR="001202E9" w:rsidRPr="00D2060D" w:rsidRDefault="001202E9" w:rsidP="0084475D">
            <w:pPr>
              <w:keepNext/>
              <w:keepLines/>
              <w:spacing w:before="60" w:after="60"/>
              <w:jc w:val="center"/>
              <w:rPr>
                <w:sz w:val="22"/>
                <w:szCs w:val="22"/>
              </w:rPr>
            </w:pPr>
            <w:r w:rsidRPr="00D2060D">
              <w:rPr>
                <w:sz w:val="22"/>
                <w:szCs w:val="22"/>
              </w:rPr>
              <w:t>14</w:t>
            </w:r>
          </w:p>
          <w:p w:rsidR="001202E9" w:rsidRPr="00D2060D" w:rsidRDefault="001202E9" w:rsidP="0084475D">
            <w:pPr>
              <w:keepNext/>
              <w:keepLines/>
              <w:spacing w:before="60" w:after="60"/>
              <w:jc w:val="center"/>
              <w:rPr>
                <w:sz w:val="22"/>
                <w:szCs w:val="22"/>
              </w:rPr>
            </w:pPr>
            <w:r w:rsidRPr="00D2060D">
              <w:rPr>
                <w:sz w:val="22"/>
                <w:szCs w:val="22"/>
              </w:rPr>
              <w:t>–</w:t>
            </w:r>
          </w:p>
          <w:p w:rsidR="001202E9" w:rsidRPr="00D2060D" w:rsidRDefault="001202E9" w:rsidP="0084475D">
            <w:pPr>
              <w:keepNext/>
              <w:keepLines/>
              <w:spacing w:before="60" w:after="60"/>
              <w:jc w:val="center"/>
              <w:rPr>
                <w:sz w:val="22"/>
                <w:szCs w:val="22"/>
              </w:rPr>
            </w:pPr>
            <w:r w:rsidRPr="00D2060D">
              <w:rPr>
                <w:sz w:val="22"/>
                <w:szCs w:val="22"/>
              </w:rPr>
              <w:t>–</w:t>
            </w:r>
          </w:p>
          <w:p w:rsidR="001202E9" w:rsidRPr="00D2060D" w:rsidRDefault="001202E9" w:rsidP="0084475D">
            <w:pPr>
              <w:keepNext/>
              <w:keepLines/>
              <w:spacing w:before="60" w:after="60"/>
              <w:jc w:val="center"/>
              <w:rPr>
                <w:sz w:val="22"/>
                <w:szCs w:val="22"/>
              </w:rPr>
            </w:pPr>
            <w:r w:rsidRPr="00D2060D">
              <w:rPr>
                <w:sz w:val="22"/>
                <w:szCs w:val="22"/>
              </w:rPr>
              <w:t>–</w:t>
            </w:r>
          </w:p>
        </w:tc>
        <w:tc>
          <w:tcPr>
            <w:tcW w:w="1276" w:type="dxa"/>
            <w:tcBorders>
              <w:top w:val="nil"/>
              <w:bottom w:val="dotted" w:sz="4" w:space="0" w:color="auto"/>
            </w:tcBorders>
          </w:tcPr>
          <w:p w:rsidR="001202E9" w:rsidRPr="00D2060D" w:rsidRDefault="001202E9" w:rsidP="0084475D">
            <w:pPr>
              <w:keepNext/>
              <w:keepLines/>
              <w:spacing w:before="60" w:after="60"/>
              <w:jc w:val="center"/>
              <w:rPr>
                <w:sz w:val="22"/>
                <w:szCs w:val="22"/>
              </w:rPr>
            </w:pPr>
            <w:r w:rsidRPr="00D2060D">
              <w:rPr>
                <w:sz w:val="22"/>
                <w:szCs w:val="22"/>
              </w:rPr>
              <w:t>4</w:t>
            </w:r>
          </w:p>
          <w:p w:rsidR="001202E9" w:rsidRPr="00D2060D" w:rsidRDefault="001202E9" w:rsidP="0084475D">
            <w:pPr>
              <w:keepNext/>
              <w:keepLines/>
              <w:spacing w:before="60" w:after="60"/>
              <w:jc w:val="center"/>
              <w:rPr>
                <w:sz w:val="22"/>
                <w:szCs w:val="22"/>
              </w:rPr>
            </w:pPr>
            <w:r w:rsidRPr="00D2060D">
              <w:rPr>
                <w:sz w:val="22"/>
                <w:szCs w:val="22"/>
              </w:rPr>
              <w:t>3</w:t>
            </w:r>
          </w:p>
          <w:p w:rsidR="001202E9" w:rsidRPr="00D2060D" w:rsidRDefault="001202E9" w:rsidP="0084475D">
            <w:pPr>
              <w:keepNext/>
              <w:keepLines/>
              <w:spacing w:before="60" w:after="60"/>
              <w:jc w:val="center"/>
              <w:rPr>
                <w:sz w:val="22"/>
                <w:szCs w:val="22"/>
              </w:rPr>
            </w:pPr>
            <w:r w:rsidRPr="00D2060D">
              <w:rPr>
                <w:sz w:val="22"/>
                <w:szCs w:val="22"/>
              </w:rPr>
              <w:t>–</w:t>
            </w:r>
          </w:p>
          <w:p w:rsidR="001202E9" w:rsidRPr="00D2060D" w:rsidRDefault="001202E9" w:rsidP="0084475D">
            <w:pPr>
              <w:keepNext/>
              <w:keepLines/>
              <w:spacing w:before="60" w:after="60"/>
              <w:jc w:val="center"/>
              <w:rPr>
                <w:sz w:val="22"/>
                <w:szCs w:val="22"/>
              </w:rPr>
            </w:pPr>
            <w:r w:rsidRPr="00D2060D">
              <w:rPr>
                <w:sz w:val="22"/>
                <w:szCs w:val="22"/>
              </w:rPr>
              <w:t>–</w:t>
            </w:r>
          </w:p>
        </w:tc>
      </w:tr>
      <w:tr w:rsidR="001202E9" w:rsidRPr="00D2060D" w:rsidTr="008E494B">
        <w:tc>
          <w:tcPr>
            <w:tcW w:w="2518" w:type="dxa"/>
            <w:tcBorders>
              <w:top w:val="dotted" w:sz="4" w:space="0" w:color="auto"/>
              <w:bottom w:val="nil"/>
            </w:tcBorders>
            <w:shd w:val="clear" w:color="auto" w:fill="auto"/>
          </w:tcPr>
          <w:p w:rsidR="001202E9" w:rsidRPr="00D2060D" w:rsidRDefault="001202E9" w:rsidP="0084475D">
            <w:pPr>
              <w:keepNext/>
              <w:keepLines/>
              <w:spacing w:before="60" w:after="60"/>
              <w:rPr>
                <w:sz w:val="22"/>
                <w:szCs w:val="22"/>
              </w:rPr>
            </w:pPr>
            <w:r w:rsidRPr="00D2060D">
              <w:rPr>
                <w:sz w:val="22"/>
                <w:szCs w:val="22"/>
              </w:rPr>
              <w:t>Minor (N)</w:t>
            </w:r>
          </w:p>
        </w:tc>
        <w:tc>
          <w:tcPr>
            <w:tcW w:w="1276" w:type="dxa"/>
            <w:tcBorders>
              <w:top w:val="dotted" w:sz="4" w:space="0" w:color="auto"/>
              <w:bottom w:val="nil"/>
            </w:tcBorders>
          </w:tcPr>
          <w:p w:rsidR="001202E9" w:rsidRPr="00D2060D" w:rsidRDefault="001202E9" w:rsidP="0084475D">
            <w:pPr>
              <w:keepNext/>
              <w:keepLines/>
              <w:spacing w:before="60" w:after="60"/>
              <w:jc w:val="center"/>
              <w:rPr>
                <w:sz w:val="22"/>
                <w:szCs w:val="22"/>
              </w:rPr>
            </w:pPr>
            <w:r w:rsidRPr="00D2060D">
              <w:rPr>
                <w:sz w:val="22"/>
                <w:szCs w:val="22"/>
              </w:rPr>
              <w:t>1</w:t>
            </w:r>
          </w:p>
        </w:tc>
        <w:tc>
          <w:tcPr>
            <w:tcW w:w="1276" w:type="dxa"/>
            <w:tcBorders>
              <w:top w:val="dotted" w:sz="4" w:space="0" w:color="auto"/>
              <w:bottom w:val="nil"/>
            </w:tcBorders>
            <w:shd w:val="clear" w:color="auto" w:fill="auto"/>
          </w:tcPr>
          <w:p w:rsidR="001202E9" w:rsidRPr="00D2060D" w:rsidRDefault="001202E9" w:rsidP="0084475D">
            <w:pPr>
              <w:keepNext/>
              <w:keepLines/>
              <w:spacing w:before="60" w:after="60"/>
              <w:jc w:val="center"/>
              <w:rPr>
                <w:sz w:val="22"/>
                <w:szCs w:val="22"/>
              </w:rPr>
            </w:pPr>
            <w:r w:rsidRPr="00D2060D">
              <w:rPr>
                <w:sz w:val="22"/>
                <w:szCs w:val="22"/>
              </w:rPr>
              <w:t>1</w:t>
            </w:r>
          </w:p>
        </w:tc>
        <w:tc>
          <w:tcPr>
            <w:tcW w:w="1275" w:type="dxa"/>
            <w:tcBorders>
              <w:top w:val="dotted" w:sz="4" w:space="0" w:color="auto"/>
              <w:bottom w:val="nil"/>
            </w:tcBorders>
            <w:vAlign w:val="center"/>
          </w:tcPr>
          <w:p w:rsidR="001202E9" w:rsidRPr="00D2060D" w:rsidRDefault="001202E9" w:rsidP="0084475D">
            <w:pPr>
              <w:keepNext/>
              <w:keepLines/>
              <w:spacing w:before="60" w:after="60"/>
              <w:jc w:val="center"/>
              <w:rPr>
                <w:sz w:val="22"/>
                <w:szCs w:val="22"/>
              </w:rPr>
            </w:pPr>
            <w:r w:rsidRPr="00D2060D">
              <w:rPr>
                <w:sz w:val="22"/>
                <w:szCs w:val="22"/>
              </w:rPr>
              <w:t>0</w:t>
            </w:r>
          </w:p>
        </w:tc>
        <w:tc>
          <w:tcPr>
            <w:tcW w:w="1418" w:type="dxa"/>
            <w:tcBorders>
              <w:top w:val="dotted" w:sz="4" w:space="0" w:color="auto"/>
              <w:bottom w:val="nil"/>
            </w:tcBorders>
            <w:vAlign w:val="center"/>
          </w:tcPr>
          <w:p w:rsidR="001202E9" w:rsidRPr="00D2060D" w:rsidRDefault="001202E9" w:rsidP="0084475D">
            <w:pPr>
              <w:keepNext/>
              <w:keepLines/>
              <w:spacing w:before="60" w:after="60"/>
              <w:jc w:val="center"/>
              <w:rPr>
                <w:sz w:val="22"/>
                <w:szCs w:val="22"/>
              </w:rPr>
            </w:pPr>
            <w:r w:rsidRPr="00D2060D">
              <w:rPr>
                <w:sz w:val="22"/>
                <w:szCs w:val="22"/>
              </w:rPr>
              <w:t>14</w:t>
            </w:r>
          </w:p>
        </w:tc>
        <w:tc>
          <w:tcPr>
            <w:tcW w:w="1276" w:type="dxa"/>
            <w:tcBorders>
              <w:top w:val="dotted" w:sz="4" w:space="0" w:color="auto"/>
              <w:bottom w:val="nil"/>
            </w:tcBorders>
          </w:tcPr>
          <w:p w:rsidR="001202E9" w:rsidRPr="00D2060D" w:rsidRDefault="001202E9" w:rsidP="0084475D">
            <w:pPr>
              <w:keepNext/>
              <w:keepLines/>
              <w:spacing w:before="60" w:after="60"/>
              <w:jc w:val="center"/>
              <w:rPr>
                <w:sz w:val="22"/>
                <w:szCs w:val="22"/>
              </w:rPr>
            </w:pPr>
            <w:r w:rsidRPr="00D2060D">
              <w:rPr>
                <w:sz w:val="22"/>
                <w:szCs w:val="22"/>
              </w:rPr>
              <w:t>4</w:t>
            </w:r>
          </w:p>
        </w:tc>
      </w:tr>
      <w:tr w:rsidR="001202E9" w:rsidRPr="00D2060D" w:rsidTr="008E494B">
        <w:trPr>
          <w:trHeight w:val="899"/>
        </w:trPr>
        <w:tc>
          <w:tcPr>
            <w:tcW w:w="2518" w:type="dxa"/>
            <w:tcBorders>
              <w:top w:val="nil"/>
              <w:bottom w:val="dotted" w:sz="4" w:space="0" w:color="auto"/>
            </w:tcBorders>
            <w:shd w:val="clear" w:color="auto" w:fill="auto"/>
          </w:tcPr>
          <w:p w:rsidR="00D2060D" w:rsidRDefault="001202E9" w:rsidP="0084475D">
            <w:pPr>
              <w:keepNext/>
              <w:keepLines/>
              <w:spacing w:before="60" w:after="60"/>
              <w:ind w:left="265"/>
              <w:rPr>
                <w:sz w:val="22"/>
                <w:szCs w:val="22"/>
                <w:lang w:val="de-AT"/>
              </w:rPr>
            </w:pPr>
            <w:r w:rsidRPr="00D2060D">
              <w:rPr>
                <w:sz w:val="22"/>
                <w:szCs w:val="22"/>
              </w:rPr>
              <w:t>Excellent</w:t>
            </w:r>
          </w:p>
          <w:p w:rsidR="00D2060D" w:rsidRDefault="001202E9" w:rsidP="0084475D">
            <w:pPr>
              <w:keepNext/>
              <w:keepLines/>
              <w:spacing w:before="60" w:after="60"/>
              <w:ind w:left="265"/>
              <w:rPr>
                <w:sz w:val="22"/>
                <w:szCs w:val="22"/>
                <w:lang w:val="de-AT"/>
              </w:rPr>
            </w:pPr>
            <w:r w:rsidRPr="00D2060D">
              <w:rPr>
                <w:sz w:val="22"/>
                <w:szCs w:val="22"/>
              </w:rPr>
              <w:t>Good</w:t>
            </w:r>
          </w:p>
          <w:p w:rsidR="00D2060D" w:rsidRDefault="001202E9" w:rsidP="0084475D">
            <w:pPr>
              <w:keepNext/>
              <w:keepLines/>
              <w:spacing w:before="60" w:after="60"/>
              <w:ind w:left="265"/>
              <w:rPr>
                <w:sz w:val="22"/>
                <w:szCs w:val="22"/>
                <w:lang w:val="de-AT"/>
              </w:rPr>
            </w:pPr>
            <w:r w:rsidRPr="00D2060D">
              <w:rPr>
                <w:sz w:val="22"/>
                <w:szCs w:val="22"/>
              </w:rPr>
              <w:t>Moderate</w:t>
            </w:r>
          </w:p>
          <w:p w:rsidR="001202E9" w:rsidRPr="00D2060D" w:rsidRDefault="001202E9" w:rsidP="0084475D">
            <w:pPr>
              <w:keepNext/>
              <w:keepLines/>
              <w:spacing w:before="60" w:after="60"/>
              <w:ind w:left="265"/>
              <w:rPr>
                <w:sz w:val="22"/>
                <w:szCs w:val="22"/>
              </w:rPr>
            </w:pPr>
            <w:r w:rsidRPr="00D2060D">
              <w:rPr>
                <w:sz w:val="22"/>
                <w:szCs w:val="22"/>
              </w:rPr>
              <w:t>None</w:t>
            </w:r>
          </w:p>
        </w:tc>
        <w:tc>
          <w:tcPr>
            <w:tcW w:w="1276" w:type="dxa"/>
            <w:tcBorders>
              <w:top w:val="nil"/>
              <w:bottom w:val="dotted" w:sz="4" w:space="0" w:color="auto"/>
            </w:tcBorders>
          </w:tcPr>
          <w:p w:rsidR="001202E9" w:rsidRPr="00D2060D" w:rsidRDefault="001202E9" w:rsidP="0084475D">
            <w:pPr>
              <w:keepNext/>
              <w:keepLines/>
              <w:spacing w:before="60" w:after="60"/>
              <w:jc w:val="center"/>
              <w:rPr>
                <w:sz w:val="22"/>
                <w:szCs w:val="22"/>
              </w:rPr>
            </w:pPr>
            <w:r w:rsidRPr="00D2060D">
              <w:rPr>
                <w:sz w:val="22"/>
                <w:szCs w:val="22"/>
              </w:rPr>
              <w:t>1</w:t>
            </w:r>
          </w:p>
          <w:p w:rsidR="001202E9" w:rsidRPr="00D2060D" w:rsidRDefault="001202E9" w:rsidP="0084475D">
            <w:pPr>
              <w:keepNext/>
              <w:keepLines/>
              <w:spacing w:before="60" w:after="60"/>
              <w:jc w:val="center"/>
              <w:rPr>
                <w:sz w:val="22"/>
                <w:szCs w:val="22"/>
              </w:rPr>
            </w:pPr>
            <w:r w:rsidRPr="00D2060D">
              <w:rPr>
                <w:sz w:val="22"/>
                <w:szCs w:val="22"/>
              </w:rPr>
              <w:t>–</w:t>
            </w:r>
          </w:p>
          <w:p w:rsidR="001202E9" w:rsidRPr="00D2060D" w:rsidRDefault="001202E9" w:rsidP="0084475D">
            <w:pPr>
              <w:keepNext/>
              <w:keepLines/>
              <w:spacing w:before="60" w:after="60"/>
              <w:jc w:val="center"/>
              <w:rPr>
                <w:sz w:val="22"/>
                <w:szCs w:val="22"/>
              </w:rPr>
            </w:pPr>
            <w:r w:rsidRPr="00D2060D">
              <w:rPr>
                <w:sz w:val="22"/>
                <w:szCs w:val="22"/>
              </w:rPr>
              <w:t>–</w:t>
            </w:r>
          </w:p>
          <w:p w:rsidR="001202E9" w:rsidRPr="00D2060D" w:rsidRDefault="001202E9" w:rsidP="0084475D">
            <w:pPr>
              <w:keepNext/>
              <w:keepLines/>
              <w:spacing w:before="60" w:after="60"/>
              <w:jc w:val="center"/>
              <w:rPr>
                <w:sz w:val="22"/>
                <w:szCs w:val="22"/>
              </w:rPr>
            </w:pPr>
            <w:r w:rsidRPr="00D2060D">
              <w:rPr>
                <w:sz w:val="22"/>
                <w:szCs w:val="22"/>
              </w:rPr>
              <w:t>–</w:t>
            </w:r>
          </w:p>
        </w:tc>
        <w:tc>
          <w:tcPr>
            <w:tcW w:w="1276" w:type="dxa"/>
            <w:tcBorders>
              <w:top w:val="nil"/>
              <w:bottom w:val="dotted" w:sz="4" w:space="0" w:color="auto"/>
            </w:tcBorders>
            <w:shd w:val="clear" w:color="auto" w:fill="auto"/>
          </w:tcPr>
          <w:p w:rsidR="001202E9" w:rsidRPr="00D2060D" w:rsidRDefault="001202E9" w:rsidP="0084475D">
            <w:pPr>
              <w:keepNext/>
              <w:keepLines/>
              <w:spacing w:before="60" w:after="60"/>
              <w:jc w:val="center"/>
              <w:rPr>
                <w:sz w:val="22"/>
                <w:szCs w:val="22"/>
              </w:rPr>
            </w:pPr>
            <w:r w:rsidRPr="00D2060D">
              <w:rPr>
                <w:sz w:val="22"/>
                <w:szCs w:val="22"/>
              </w:rPr>
              <w:t>1</w:t>
            </w:r>
          </w:p>
          <w:p w:rsidR="001202E9" w:rsidRPr="00D2060D" w:rsidRDefault="001202E9" w:rsidP="0084475D">
            <w:pPr>
              <w:keepNext/>
              <w:keepLines/>
              <w:spacing w:before="60" w:after="60"/>
              <w:jc w:val="center"/>
              <w:rPr>
                <w:sz w:val="22"/>
                <w:szCs w:val="22"/>
              </w:rPr>
            </w:pPr>
            <w:r w:rsidRPr="00D2060D">
              <w:rPr>
                <w:sz w:val="22"/>
                <w:szCs w:val="22"/>
              </w:rPr>
              <w:t>–</w:t>
            </w:r>
          </w:p>
          <w:p w:rsidR="001202E9" w:rsidRPr="00D2060D" w:rsidRDefault="001202E9" w:rsidP="0084475D">
            <w:pPr>
              <w:keepNext/>
              <w:keepLines/>
              <w:spacing w:before="60" w:after="60"/>
              <w:jc w:val="center"/>
              <w:rPr>
                <w:sz w:val="22"/>
                <w:szCs w:val="22"/>
              </w:rPr>
            </w:pPr>
            <w:r w:rsidRPr="00D2060D">
              <w:rPr>
                <w:sz w:val="22"/>
                <w:szCs w:val="22"/>
              </w:rPr>
              <w:t>–</w:t>
            </w:r>
          </w:p>
          <w:p w:rsidR="001202E9" w:rsidRPr="00D2060D" w:rsidRDefault="001202E9" w:rsidP="0084475D">
            <w:pPr>
              <w:keepNext/>
              <w:keepLines/>
              <w:spacing w:before="60" w:after="60"/>
              <w:jc w:val="center"/>
              <w:rPr>
                <w:sz w:val="22"/>
                <w:szCs w:val="22"/>
              </w:rPr>
            </w:pPr>
            <w:r w:rsidRPr="00D2060D">
              <w:rPr>
                <w:sz w:val="22"/>
                <w:szCs w:val="22"/>
              </w:rPr>
              <w:t>–</w:t>
            </w:r>
          </w:p>
        </w:tc>
        <w:tc>
          <w:tcPr>
            <w:tcW w:w="1275" w:type="dxa"/>
            <w:tcBorders>
              <w:top w:val="nil"/>
              <w:bottom w:val="dotted" w:sz="4" w:space="0" w:color="auto"/>
            </w:tcBorders>
            <w:vAlign w:val="center"/>
          </w:tcPr>
          <w:p w:rsidR="001202E9" w:rsidRPr="00D2060D" w:rsidRDefault="001202E9" w:rsidP="0084475D">
            <w:pPr>
              <w:keepNext/>
              <w:keepLines/>
              <w:spacing w:before="60" w:after="60"/>
              <w:jc w:val="center"/>
              <w:rPr>
                <w:sz w:val="22"/>
                <w:szCs w:val="22"/>
              </w:rPr>
            </w:pPr>
            <w:r w:rsidRPr="00D2060D">
              <w:rPr>
                <w:sz w:val="22"/>
                <w:szCs w:val="22"/>
              </w:rPr>
              <w:t>–</w:t>
            </w:r>
          </w:p>
          <w:p w:rsidR="001202E9" w:rsidRPr="00D2060D" w:rsidRDefault="001202E9" w:rsidP="0084475D">
            <w:pPr>
              <w:keepNext/>
              <w:keepLines/>
              <w:spacing w:before="60" w:after="60"/>
              <w:jc w:val="center"/>
              <w:rPr>
                <w:sz w:val="22"/>
                <w:szCs w:val="22"/>
              </w:rPr>
            </w:pPr>
            <w:r w:rsidRPr="00D2060D">
              <w:rPr>
                <w:sz w:val="22"/>
                <w:szCs w:val="22"/>
              </w:rPr>
              <w:t>–</w:t>
            </w:r>
            <w:r w:rsidRPr="00D2060D">
              <w:rPr>
                <w:sz w:val="22"/>
                <w:szCs w:val="22"/>
              </w:rPr>
              <w:br/>
              <w:t>–</w:t>
            </w:r>
            <w:r w:rsidRPr="00D2060D">
              <w:rPr>
                <w:sz w:val="22"/>
                <w:szCs w:val="22"/>
              </w:rPr>
              <w:br/>
              <w:t>–</w:t>
            </w:r>
          </w:p>
        </w:tc>
        <w:tc>
          <w:tcPr>
            <w:tcW w:w="1418" w:type="dxa"/>
            <w:tcBorders>
              <w:top w:val="nil"/>
              <w:bottom w:val="dotted" w:sz="4" w:space="0" w:color="auto"/>
            </w:tcBorders>
            <w:vAlign w:val="center"/>
          </w:tcPr>
          <w:p w:rsidR="001202E9" w:rsidRPr="00D2060D" w:rsidRDefault="001202E9" w:rsidP="0084475D">
            <w:pPr>
              <w:keepNext/>
              <w:keepLines/>
              <w:spacing w:before="60" w:after="60"/>
              <w:jc w:val="center"/>
              <w:rPr>
                <w:sz w:val="22"/>
                <w:szCs w:val="22"/>
              </w:rPr>
            </w:pPr>
            <w:r w:rsidRPr="00D2060D">
              <w:rPr>
                <w:sz w:val="22"/>
                <w:szCs w:val="22"/>
              </w:rPr>
              <w:t>14</w:t>
            </w:r>
          </w:p>
          <w:p w:rsidR="001202E9" w:rsidRPr="00D2060D" w:rsidRDefault="001202E9" w:rsidP="0084475D">
            <w:pPr>
              <w:keepNext/>
              <w:keepLines/>
              <w:spacing w:before="60" w:after="60"/>
              <w:jc w:val="center"/>
              <w:rPr>
                <w:sz w:val="22"/>
                <w:szCs w:val="22"/>
              </w:rPr>
            </w:pPr>
            <w:r w:rsidRPr="00D2060D">
              <w:rPr>
                <w:sz w:val="22"/>
                <w:szCs w:val="22"/>
              </w:rPr>
              <w:t>–</w:t>
            </w:r>
          </w:p>
          <w:p w:rsidR="001202E9" w:rsidRPr="00D2060D" w:rsidRDefault="001202E9" w:rsidP="0084475D">
            <w:pPr>
              <w:keepNext/>
              <w:keepLines/>
              <w:spacing w:before="60" w:after="60"/>
              <w:jc w:val="center"/>
              <w:rPr>
                <w:sz w:val="22"/>
                <w:szCs w:val="22"/>
              </w:rPr>
            </w:pPr>
            <w:r w:rsidRPr="00D2060D">
              <w:rPr>
                <w:sz w:val="22"/>
                <w:szCs w:val="22"/>
              </w:rPr>
              <w:t>–</w:t>
            </w:r>
          </w:p>
          <w:p w:rsidR="001202E9" w:rsidRPr="00D2060D" w:rsidRDefault="001202E9" w:rsidP="0084475D">
            <w:pPr>
              <w:keepNext/>
              <w:keepLines/>
              <w:spacing w:before="60" w:after="60"/>
              <w:jc w:val="center"/>
              <w:rPr>
                <w:sz w:val="22"/>
                <w:szCs w:val="22"/>
              </w:rPr>
            </w:pPr>
            <w:r w:rsidRPr="00D2060D">
              <w:rPr>
                <w:sz w:val="22"/>
                <w:szCs w:val="22"/>
              </w:rPr>
              <w:t>–</w:t>
            </w:r>
          </w:p>
        </w:tc>
        <w:tc>
          <w:tcPr>
            <w:tcW w:w="1276" w:type="dxa"/>
            <w:tcBorders>
              <w:top w:val="nil"/>
              <w:bottom w:val="dotted" w:sz="4" w:space="0" w:color="auto"/>
            </w:tcBorders>
          </w:tcPr>
          <w:p w:rsidR="001202E9" w:rsidRPr="00D2060D" w:rsidRDefault="001202E9" w:rsidP="0084475D">
            <w:pPr>
              <w:keepNext/>
              <w:keepLines/>
              <w:spacing w:before="60" w:after="60"/>
              <w:jc w:val="center"/>
              <w:rPr>
                <w:sz w:val="22"/>
                <w:szCs w:val="22"/>
              </w:rPr>
            </w:pPr>
            <w:r w:rsidRPr="00D2060D">
              <w:rPr>
                <w:sz w:val="22"/>
                <w:szCs w:val="22"/>
              </w:rPr>
              <w:t>4</w:t>
            </w:r>
          </w:p>
          <w:p w:rsidR="001202E9" w:rsidRPr="00D2060D" w:rsidRDefault="001202E9" w:rsidP="0084475D">
            <w:pPr>
              <w:keepNext/>
              <w:keepLines/>
              <w:spacing w:before="60" w:after="60"/>
              <w:jc w:val="center"/>
              <w:rPr>
                <w:sz w:val="22"/>
                <w:szCs w:val="22"/>
              </w:rPr>
            </w:pPr>
            <w:r w:rsidRPr="00D2060D">
              <w:rPr>
                <w:sz w:val="22"/>
                <w:szCs w:val="22"/>
              </w:rPr>
              <w:t>–</w:t>
            </w:r>
          </w:p>
          <w:p w:rsidR="001202E9" w:rsidRPr="00D2060D" w:rsidRDefault="001202E9" w:rsidP="0084475D">
            <w:pPr>
              <w:keepNext/>
              <w:keepLines/>
              <w:spacing w:before="60" w:after="60"/>
              <w:jc w:val="center"/>
              <w:rPr>
                <w:sz w:val="22"/>
                <w:szCs w:val="22"/>
              </w:rPr>
            </w:pPr>
            <w:r w:rsidRPr="00D2060D">
              <w:rPr>
                <w:sz w:val="22"/>
                <w:szCs w:val="22"/>
              </w:rPr>
              <w:t>–</w:t>
            </w:r>
          </w:p>
          <w:p w:rsidR="001202E9" w:rsidRPr="00D2060D" w:rsidRDefault="001202E9" w:rsidP="0084475D">
            <w:pPr>
              <w:keepNext/>
              <w:keepLines/>
              <w:spacing w:before="60" w:after="60"/>
              <w:jc w:val="center"/>
              <w:rPr>
                <w:sz w:val="22"/>
                <w:szCs w:val="22"/>
              </w:rPr>
            </w:pPr>
            <w:r w:rsidRPr="00D2060D">
              <w:rPr>
                <w:sz w:val="22"/>
                <w:szCs w:val="22"/>
              </w:rPr>
              <w:t>–</w:t>
            </w:r>
          </w:p>
        </w:tc>
      </w:tr>
      <w:tr w:rsidR="001202E9" w:rsidRPr="00D2060D" w:rsidTr="008E494B">
        <w:tc>
          <w:tcPr>
            <w:tcW w:w="2518" w:type="dxa"/>
            <w:tcBorders>
              <w:top w:val="dotted" w:sz="4" w:space="0" w:color="auto"/>
              <w:bottom w:val="nil"/>
            </w:tcBorders>
            <w:shd w:val="clear" w:color="auto" w:fill="auto"/>
          </w:tcPr>
          <w:p w:rsidR="001202E9" w:rsidRPr="00D2060D" w:rsidRDefault="001202E9" w:rsidP="0084475D">
            <w:pPr>
              <w:keepNext/>
              <w:keepLines/>
              <w:spacing w:before="60" w:after="60"/>
              <w:rPr>
                <w:sz w:val="22"/>
                <w:szCs w:val="22"/>
              </w:rPr>
            </w:pPr>
            <w:r w:rsidRPr="00D2060D">
              <w:rPr>
                <w:sz w:val="22"/>
                <w:szCs w:val="22"/>
              </w:rPr>
              <w:t>Major (N)</w:t>
            </w:r>
          </w:p>
        </w:tc>
        <w:tc>
          <w:tcPr>
            <w:tcW w:w="1276" w:type="dxa"/>
            <w:tcBorders>
              <w:top w:val="dotted" w:sz="4" w:space="0" w:color="auto"/>
              <w:bottom w:val="nil"/>
            </w:tcBorders>
          </w:tcPr>
          <w:p w:rsidR="001202E9" w:rsidRPr="00D2060D" w:rsidRDefault="001202E9" w:rsidP="0084475D">
            <w:pPr>
              <w:keepNext/>
              <w:keepLines/>
              <w:spacing w:before="60" w:after="60"/>
              <w:jc w:val="center"/>
              <w:rPr>
                <w:sz w:val="22"/>
                <w:szCs w:val="22"/>
              </w:rPr>
            </w:pPr>
            <w:r w:rsidRPr="00D2060D">
              <w:rPr>
                <w:sz w:val="22"/>
                <w:szCs w:val="22"/>
              </w:rPr>
              <w:t>1</w:t>
            </w:r>
          </w:p>
        </w:tc>
        <w:tc>
          <w:tcPr>
            <w:tcW w:w="1276" w:type="dxa"/>
            <w:tcBorders>
              <w:top w:val="dotted" w:sz="4" w:space="0" w:color="auto"/>
              <w:bottom w:val="nil"/>
            </w:tcBorders>
            <w:shd w:val="clear" w:color="auto" w:fill="auto"/>
          </w:tcPr>
          <w:p w:rsidR="001202E9" w:rsidRPr="00D2060D" w:rsidRDefault="001202E9" w:rsidP="0084475D">
            <w:pPr>
              <w:keepNext/>
              <w:keepLines/>
              <w:spacing w:before="60" w:after="60"/>
              <w:jc w:val="center"/>
              <w:rPr>
                <w:sz w:val="22"/>
                <w:szCs w:val="22"/>
              </w:rPr>
            </w:pPr>
            <w:r w:rsidRPr="00D2060D">
              <w:rPr>
                <w:sz w:val="22"/>
                <w:szCs w:val="22"/>
              </w:rPr>
              <w:t>4</w:t>
            </w:r>
          </w:p>
        </w:tc>
        <w:tc>
          <w:tcPr>
            <w:tcW w:w="1275" w:type="dxa"/>
            <w:tcBorders>
              <w:top w:val="dotted" w:sz="4" w:space="0" w:color="auto"/>
              <w:bottom w:val="nil"/>
            </w:tcBorders>
            <w:vAlign w:val="center"/>
          </w:tcPr>
          <w:p w:rsidR="001202E9" w:rsidRPr="00D2060D" w:rsidRDefault="001202E9" w:rsidP="0084475D">
            <w:pPr>
              <w:keepNext/>
              <w:keepLines/>
              <w:spacing w:before="60" w:after="60"/>
              <w:jc w:val="center"/>
              <w:rPr>
                <w:sz w:val="22"/>
                <w:szCs w:val="22"/>
              </w:rPr>
            </w:pPr>
            <w:r w:rsidRPr="00D2060D">
              <w:rPr>
                <w:sz w:val="22"/>
                <w:szCs w:val="22"/>
              </w:rPr>
              <w:t>5</w:t>
            </w:r>
          </w:p>
        </w:tc>
        <w:tc>
          <w:tcPr>
            <w:tcW w:w="1418" w:type="dxa"/>
            <w:tcBorders>
              <w:top w:val="dotted" w:sz="4" w:space="0" w:color="auto"/>
              <w:bottom w:val="nil"/>
            </w:tcBorders>
            <w:vAlign w:val="center"/>
          </w:tcPr>
          <w:p w:rsidR="001202E9" w:rsidRPr="00D2060D" w:rsidRDefault="001202E9" w:rsidP="0084475D">
            <w:pPr>
              <w:keepNext/>
              <w:keepLines/>
              <w:spacing w:before="60" w:after="60"/>
              <w:jc w:val="center"/>
              <w:rPr>
                <w:sz w:val="22"/>
                <w:szCs w:val="22"/>
              </w:rPr>
            </w:pPr>
            <w:r w:rsidRPr="00D2060D">
              <w:rPr>
                <w:sz w:val="22"/>
                <w:szCs w:val="22"/>
              </w:rPr>
              <w:t>0</w:t>
            </w:r>
          </w:p>
        </w:tc>
        <w:tc>
          <w:tcPr>
            <w:tcW w:w="1276" w:type="dxa"/>
            <w:tcBorders>
              <w:top w:val="dotted" w:sz="4" w:space="0" w:color="auto"/>
              <w:bottom w:val="nil"/>
            </w:tcBorders>
          </w:tcPr>
          <w:p w:rsidR="001202E9" w:rsidRPr="00D2060D" w:rsidRDefault="001202E9" w:rsidP="0084475D">
            <w:pPr>
              <w:keepNext/>
              <w:keepLines/>
              <w:spacing w:before="60" w:after="60"/>
              <w:jc w:val="center"/>
              <w:rPr>
                <w:sz w:val="22"/>
                <w:szCs w:val="22"/>
              </w:rPr>
            </w:pPr>
            <w:r w:rsidRPr="00D2060D">
              <w:rPr>
                <w:sz w:val="22"/>
                <w:szCs w:val="22"/>
              </w:rPr>
              <w:t>3</w:t>
            </w:r>
          </w:p>
        </w:tc>
      </w:tr>
      <w:tr w:rsidR="001202E9" w:rsidRPr="008355AD" w:rsidTr="008E494B">
        <w:trPr>
          <w:trHeight w:val="833"/>
        </w:trPr>
        <w:tc>
          <w:tcPr>
            <w:tcW w:w="2518" w:type="dxa"/>
            <w:tcBorders>
              <w:top w:val="nil"/>
              <w:bottom w:val="single" w:sz="4" w:space="0" w:color="auto"/>
            </w:tcBorders>
            <w:shd w:val="clear" w:color="auto" w:fill="auto"/>
          </w:tcPr>
          <w:p w:rsidR="00D2060D" w:rsidRDefault="001202E9" w:rsidP="0084475D">
            <w:pPr>
              <w:keepNext/>
              <w:keepLines/>
              <w:spacing w:before="60" w:after="60"/>
              <w:ind w:left="265"/>
              <w:rPr>
                <w:sz w:val="22"/>
                <w:szCs w:val="22"/>
                <w:lang w:val="de-AT"/>
              </w:rPr>
            </w:pPr>
            <w:r w:rsidRPr="00D2060D">
              <w:rPr>
                <w:sz w:val="22"/>
                <w:szCs w:val="22"/>
              </w:rPr>
              <w:t>Excellent</w:t>
            </w:r>
          </w:p>
          <w:p w:rsidR="00D2060D" w:rsidRDefault="001202E9" w:rsidP="0084475D">
            <w:pPr>
              <w:keepNext/>
              <w:keepLines/>
              <w:spacing w:before="60" w:after="60"/>
              <w:ind w:left="265"/>
              <w:rPr>
                <w:sz w:val="22"/>
                <w:szCs w:val="22"/>
                <w:lang w:val="de-AT"/>
              </w:rPr>
            </w:pPr>
            <w:r w:rsidRPr="00D2060D">
              <w:rPr>
                <w:sz w:val="22"/>
                <w:szCs w:val="22"/>
              </w:rPr>
              <w:t>Good</w:t>
            </w:r>
          </w:p>
          <w:p w:rsidR="00D2060D" w:rsidRDefault="001202E9" w:rsidP="0084475D">
            <w:pPr>
              <w:keepNext/>
              <w:keepLines/>
              <w:spacing w:before="60" w:after="60"/>
              <w:ind w:left="265"/>
              <w:rPr>
                <w:sz w:val="22"/>
                <w:szCs w:val="22"/>
                <w:lang w:val="de-AT"/>
              </w:rPr>
            </w:pPr>
            <w:r w:rsidRPr="00D2060D">
              <w:rPr>
                <w:sz w:val="22"/>
                <w:szCs w:val="22"/>
              </w:rPr>
              <w:t>Moderate</w:t>
            </w:r>
          </w:p>
          <w:p w:rsidR="001202E9" w:rsidRPr="00D2060D" w:rsidRDefault="001202E9" w:rsidP="0084475D">
            <w:pPr>
              <w:keepNext/>
              <w:keepLines/>
              <w:spacing w:before="60" w:after="60"/>
              <w:ind w:left="265"/>
              <w:rPr>
                <w:sz w:val="22"/>
                <w:szCs w:val="22"/>
              </w:rPr>
            </w:pPr>
            <w:r w:rsidRPr="00D2060D">
              <w:rPr>
                <w:sz w:val="22"/>
                <w:szCs w:val="22"/>
              </w:rPr>
              <w:t xml:space="preserve">None </w:t>
            </w:r>
          </w:p>
        </w:tc>
        <w:tc>
          <w:tcPr>
            <w:tcW w:w="1276" w:type="dxa"/>
            <w:tcBorders>
              <w:top w:val="nil"/>
              <w:bottom w:val="single" w:sz="4" w:space="0" w:color="auto"/>
            </w:tcBorders>
          </w:tcPr>
          <w:p w:rsidR="001202E9" w:rsidRPr="00D2060D" w:rsidRDefault="001202E9" w:rsidP="0084475D">
            <w:pPr>
              <w:keepNext/>
              <w:keepLines/>
              <w:spacing w:before="60" w:after="60"/>
              <w:jc w:val="center"/>
              <w:rPr>
                <w:sz w:val="22"/>
                <w:szCs w:val="22"/>
              </w:rPr>
            </w:pPr>
            <w:r w:rsidRPr="00D2060D">
              <w:rPr>
                <w:sz w:val="22"/>
                <w:szCs w:val="22"/>
              </w:rPr>
              <w:t>1</w:t>
            </w:r>
          </w:p>
          <w:p w:rsidR="001202E9" w:rsidRPr="00D2060D" w:rsidRDefault="001202E9" w:rsidP="0084475D">
            <w:pPr>
              <w:keepNext/>
              <w:keepLines/>
              <w:spacing w:before="60" w:after="60"/>
              <w:jc w:val="center"/>
              <w:rPr>
                <w:sz w:val="22"/>
                <w:szCs w:val="22"/>
              </w:rPr>
            </w:pPr>
            <w:r w:rsidRPr="00D2060D">
              <w:rPr>
                <w:sz w:val="22"/>
                <w:szCs w:val="22"/>
              </w:rPr>
              <w:t>–</w:t>
            </w:r>
          </w:p>
          <w:p w:rsidR="001202E9" w:rsidRPr="00D2060D" w:rsidRDefault="001202E9" w:rsidP="0084475D">
            <w:pPr>
              <w:keepNext/>
              <w:keepLines/>
              <w:spacing w:before="60" w:after="60"/>
              <w:jc w:val="center"/>
              <w:rPr>
                <w:sz w:val="22"/>
                <w:szCs w:val="22"/>
              </w:rPr>
            </w:pPr>
            <w:r w:rsidRPr="00D2060D">
              <w:rPr>
                <w:sz w:val="22"/>
                <w:szCs w:val="22"/>
              </w:rPr>
              <w:t>–</w:t>
            </w:r>
          </w:p>
          <w:p w:rsidR="001202E9" w:rsidRPr="00D2060D" w:rsidRDefault="001202E9" w:rsidP="0084475D">
            <w:pPr>
              <w:keepNext/>
              <w:keepLines/>
              <w:spacing w:before="60" w:after="60"/>
              <w:jc w:val="center"/>
              <w:rPr>
                <w:sz w:val="22"/>
                <w:szCs w:val="22"/>
              </w:rPr>
            </w:pPr>
            <w:r w:rsidRPr="00D2060D">
              <w:rPr>
                <w:sz w:val="22"/>
                <w:szCs w:val="22"/>
              </w:rPr>
              <w:t>–</w:t>
            </w:r>
          </w:p>
        </w:tc>
        <w:tc>
          <w:tcPr>
            <w:tcW w:w="1276" w:type="dxa"/>
            <w:tcBorders>
              <w:top w:val="nil"/>
              <w:bottom w:val="single" w:sz="4" w:space="0" w:color="auto"/>
            </w:tcBorders>
            <w:shd w:val="clear" w:color="auto" w:fill="auto"/>
          </w:tcPr>
          <w:p w:rsidR="001202E9" w:rsidRPr="00D2060D" w:rsidRDefault="001202E9" w:rsidP="0084475D">
            <w:pPr>
              <w:keepNext/>
              <w:keepLines/>
              <w:spacing w:before="60" w:after="60"/>
              <w:jc w:val="center"/>
              <w:rPr>
                <w:sz w:val="22"/>
                <w:szCs w:val="22"/>
              </w:rPr>
            </w:pPr>
            <w:r w:rsidRPr="00D2060D">
              <w:rPr>
                <w:sz w:val="22"/>
                <w:szCs w:val="22"/>
              </w:rPr>
              <w:t>3</w:t>
            </w:r>
          </w:p>
          <w:p w:rsidR="001202E9" w:rsidRPr="00D2060D" w:rsidRDefault="001202E9" w:rsidP="0084475D">
            <w:pPr>
              <w:keepNext/>
              <w:keepLines/>
              <w:spacing w:before="60" w:after="60"/>
              <w:jc w:val="center"/>
              <w:rPr>
                <w:sz w:val="22"/>
                <w:szCs w:val="22"/>
              </w:rPr>
            </w:pPr>
            <w:r w:rsidRPr="00D2060D">
              <w:rPr>
                <w:sz w:val="22"/>
                <w:szCs w:val="22"/>
              </w:rPr>
              <w:t>–</w:t>
            </w:r>
          </w:p>
          <w:p w:rsidR="001202E9" w:rsidRPr="00D2060D" w:rsidRDefault="001202E9" w:rsidP="0084475D">
            <w:pPr>
              <w:keepNext/>
              <w:keepLines/>
              <w:spacing w:before="60" w:after="60"/>
              <w:jc w:val="center"/>
              <w:rPr>
                <w:sz w:val="22"/>
                <w:szCs w:val="22"/>
              </w:rPr>
            </w:pPr>
            <w:r w:rsidRPr="00D2060D">
              <w:rPr>
                <w:sz w:val="22"/>
                <w:szCs w:val="22"/>
              </w:rPr>
              <w:t>1</w:t>
            </w:r>
          </w:p>
          <w:p w:rsidR="001202E9" w:rsidRPr="00D2060D" w:rsidRDefault="001202E9" w:rsidP="0084475D">
            <w:pPr>
              <w:keepNext/>
              <w:keepLines/>
              <w:spacing w:before="60" w:after="60"/>
              <w:jc w:val="center"/>
              <w:rPr>
                <w:sz w:val="22"/>
                <w:szCs w:val="22"/>
              </w:rPr>
            </w:pPr>
            <w:r w:rsidRPr="00D2060D">
              <w:rPr>
                <w:sz w:val="22"/>
                <w:szCs w:val="22"/>
              </w:rPr>
              <w:t>–</w:t>
            </w:r>
          </w:p>
        </w:tc>
        <w:tc>
          <w:tcPr>
            <w:tcW w:w="1275" w:type="dxa"/>
            <w:tcBorders>
              <w:top w:val="nil"/>
              <w:bottom w:val="single" w:sz="4" w:space="0" w:color="auto"/>
            </w:tcBorders>
            <w:vAlign w:val="center"/>
          </w:tcPr>
          <w:p w:rsidR="001202E9" w:rsidRPr="00D2060D" w:rsidRDefault="001202E9" w:rsidP="0084475D">
            <w:pPr>
              <w:keepNext/>
              <w:keepLines/>
              <w:spacing w:before="60" w:after="60"/>
              <w:jc w:val="center"/>
              <w:rPr>
                <w:sz w:val="22"/>
                <w:szCs w:val="22"/>
              </w:rPr>
            </w:pPr>
            <w:r w:rsidRPr="00D2060D">
              <w:rPr>
                <w:sz w:val="22"/>
                <w:szCs w:val="22"/>
              </w:rPr>
              <w:t>5</w:t>
            </w:r>
          </w:p>
          <w:p w:rsidR="001202E9" w:rsidRPr="00D2060D" w:rsidRDefault="001202E9" w:rsidP="0084475D">
            <w:pPr>
              <w:keepNext/>
              <w:keepLines/>
              <w:spacing w:before="60" w:after="60"/>
              <w:jc w:val="center"/>
              <w:rPr>
                <w:sz w:val="22"/>
                <w:szCs w:val="22"/>
              </w:rPr>
            </w:pPr>
            <w:r w:rsidRPr="00D2060D">
              <w:rPr>
                <w:sz w:val="22"/>
                <w:szCs w:val="22"/>
              </w:rPr>
              <w:t>–</w:t>
            </w:r>
          </w:p>
          <w:p w:rsidR="001202E9" w:rsidRPr="00D2060D" w:rsidRDefault="001202E9" w:rsidP="0084475D">
            <w:pPr>
              <w:keepNext/>
              <w:keepLines/>
              <w:spacing w:before="60" w:after="60"/>
              <w:jc w:val="center"/>
              <w:rPr>
                <w:sz w:val="22"/>
                <w:szCs w:val="22"/>
              </w:rPr>
            </w:pPr>
            <w:r w:rsidRPr="00D2060D">
              <w:rPr>
                <w:sz w:val="22"/>
                <w:szCs w:val="22"/>
              </w:rPr>
              <w:t>–</w:t>
            </w:r>
          </w:p>
          <w:p w:rsidR="001202E9" w:rsidRPr="00D2060D" w:rsidRDefault="001202E9" w:rsidP="0084475D">
            <w:pPr>
              <w:keepNext/>
              <w:keepLines/>
              <w:spacing w:before="60" w:after="60"/>
              <w:jc w:val="center"/>
              <w:rPr>
                <w:sz w:val="22"/>
                <w:szCs w:val="22"/>
              </w:rPr>
            </w:pPr>
            <w:r w:rsidRPr="00D2060D">
              <w:rPr>
                <w:sz w:val="22"/>
                <w:szCs w:val="22"/>
              </w:rPr>
              <w:t>–</w:t>
            </w:r>
          </w:p>
        </w:tc>
        <w:tc>
          <w:tcPr>
            <w:tcW w:w="1418" w:type="dxa"/>
            <w:tcBorders>
              <w:top w:val="nil"/>
              <w:bottom w:val="single" w:sz="4" w:space="0" w:color="auto"/>
            </w:tcBorders>
            <w:vAlign w:val="center"/>
          </w:tcPr>
          <w:p w:rsidR="001202E9" w:rsidRPr="00D2060D" w:rsidRDefault="001202E9" w:rsidP="0084475D">
            <w:pPr>
              <w:keepNext/>
              <w:keepLines/>
              <w:spacing w:before="60" w:after="60"/>
              <w:jc w:val="center"/>
              <w:rPr>
                <w:sz w:val="22"/>
                <w:szCs w:val="22"/>
              </w:rPr>
            </w:pPr>
            <w:r w:rsidRPr="00D2060D">
              <w:rPr>
                <w:sz w:val="22"/>
                <w:szCs w:val="22"/>
              </w:rPr>
              <w:t>–</w:t>
            </w:r>
          </w:p>
          <w:p w:rsidR="001202E9" w:rsidRPr="00D2060D" w:rsidRDefault="001202E9" w:rsidP="0084475D">
            <w:pPr>
              <w:keepNext/>
              <w:keepLines/>
              <w:spacing w:before="60" w:after="60"/>
              <w:jc w:val="center"/>
              <w:rPr>
                <w:sz w:val="22"/>
                <w:szCs w:val="22"/>
              </w:rPr>
            </w:pPr>
            <w:r w:rsidRPr="00D2060D">
              <w:rPr>
                <w:sz w:val="22"/>
                <w:szCs w:val="22"/>
              </w:rPr>
              <w:t>–</w:t>
            </w:r>
          </w:p>
          <w:p w:rsidR="001202E9" w:rsidRPr="00D2060D" w:rsidRDefault="001202E9" w:rsidP="0084475D">
            <w:pPr>
              <w:keepNext/>
              <w:keepLines/>
              <w:spacing w:before="60" w:after="60"/>
              <w:jc w:val="center"/>
              <w:rPr>
                <w:sz w:val="22"/>
                <w:szCs w:val="22"/>
              </w:rPr>
            </w:pPr>
            <w:r w:rsidRPr="00D2060D">
              <w:rPr>
                <w:sz w:val="22"/>
                <w:szCs w:val="22"/>
              </w:rPr>
              <w:t>–</w:t>
            </w:r>
          </w:p>
          <w:p w:rsidR="001202E9" w:rsidRPr="00D2060D" w:rsidRDefault="001202E9" w:rsidP="0084475D">
            <w:pPr>
              <w:keepNext/>
              <w:keepLines/>
              <w:spacing w:before="60" w:after="60"/>
              <w:jc w:val="center"/>
              <w:rPr>
                <w:sz w:val="22"/>
                <w:szCs w:val="22"/>
              </w:rPr>
            </w:pPr>
            <w:r w:rsidRPr="00D2060D">
              <w:rPr>
                <w:sz w:val="22"/>
                <w:szCs w:val="22"/>
              </w:rPr>
              <w:t>–</w:t>
            </w:r>
          </w:p>
        </w:tc>
        <w:tc>
          <w:tcPr>
            <w:tcW w:w="1276" w:type="dxa"/>
            <w:tcBorders>
              <w:top w:val="nil"/>
              <w:bottom w:val="single" w:sz="4" w:space="0" w:color="auto"/>
            </w:tcBorders>
          </w:tcPr>
          <w:p w:rsidR="001202E9" w:rsidRPr="00D2060D" w:rsidRDefault="001202E9" w:rsidP="0084475D">
            <w:pPr>
              <w:keepNext/>
              <w:keepLines/>
              <w:spacing w:before="60" w:after="60"/>
              <w:jc w:val="center"/>
              <w:rPr>
                <w:sz w:val="22"/>
                <w:szCs w:val="22"/>
              </w:rPr>
            </w:pPr>
            <w:r w:rsidRPr="00D2060D">
              <w:rPr>
                <w:sz w:val="22"/>
                <w:szCs w:val="22"/>
              </w:rPr>
              <w:t>–</w:t>
            </w:r>
          </w:p>
          <w:p w:rsidR="001202E9" w:rsidRPr="00D2060D" w:rsidRDefault="001202E9" w:rsidP="0084475D">
            <w:pPr>
              <w:keepNext/>
              <w:keepLines/>
              <w:spacing w:before="60" w:after="60"/>
              <w:jc w:val="center"/>
              <w:rPr>
                <w:sz w:val="22"/>
                <w:szCs w:val="22"/>
              </w:rPr>
            </w:pPr>
            <w:r w:rsidRPr="00D2060D">
              <w:rPr>
                <w:sz w:val="22"/>
                <w:szCs w:val="22"/>
              </w:rPr>
              <w:t>3</w:t>
            </w:r>
          </w:p>
          <w:p w:rsidR="001202E9" w:rsidRPr="00D2060D" w:rsidRDefault="001202E9" w:rsidP="0084475D">
            <w:pPr>
              <w:keepNext/>
              <w:keepLines/>
              <w:spacing w:before="60" w:after="60"/>
              <w:jc w:val="center"/>
              <w:rPr>
                <w:sz w:val="22"/>
                <w:szCs w:val="22"/>
              </w:rPr>
            </w:pPr>
            <w:r w:rsidRPr="00D2060D">
              <w:rPr>
                <w:sz w:val="22"/>
                <w:szCs w:val="22"/>
              </w:rPr>
              <w:t>–</w:t>
            </w:r>
          </w:p>
          <w:p w:rsidR="001202E9" w:rsidRPr="002D38CF" w:rsidRDefault="001202E9" w:rsidP="0084475D">
            <w:pPr>
              <w:keepNext/>
              <w:keepLines/>
              <w:spacing w:before="60" w:after="60"/>
              <w:jc w:val="center"/>
              <w:rPr>
                <w:sz w:val="22"/>
                <w:szCs w:val="22"/>
              </w:rPr>
            </w:pPr>
            <w:r w:rsidRPr="00D2060D">
              <w:rPr>
                <w:sz w:val="22"/>
                <w:szCs w:val="22"/>
              </w:rPr>
              <w:t>–</w:t>
            </w:r>
          </w:p>
        </w:tc>
      </w:tr>
    </w:tbl>
    <w:p w:rsidR="00AE40A7" w:rsidRDefault="00AE40A7" w:rsidP="00AE40A7">
      <w:pPr>
        <w:pStyle w:val="Text"/>
      </w:pPr>
    </w:p>
    <w:p w:rsidR="00F22787" w:rsidRPr="00890548" w:rsidRDefault="00F22787">
      <w:pPr>
        <w:pStyle w:val="Heading1"/>
        <w:rPr>
          <w:lang w:val="en-US"/>
        </w:rPr>
      </w:pPr>
      <w:r w:rsidRPr="00890548">
        <w:rPr>
          <w:lang w:val="en-US"/>
        </w:rPr>
        <w:t>Indications</w:t>
      </w:r>
    </w:p>
    <w:p w:rsidR="00C26805" w:rsidRPr="005F3BAF" w:rsidRDefault="00C26805" w:rsidP="00521823">
      <w:pPr>
        <w:rPr>
          <w:lang w:val="en-US"/>
        </w:rPr>
      </w:pPr>
      <w:r w:rsidRPr="004B179B">
        <w:t>Treatment and prophylaxis of bleeding (also during and after surgery) in</w:t>
      </w:r>
      <w:r w:rsidR="004E6353" w:rsidRPr="004E6353">
        <w:rPr>
          <w:lang w:val="en-US"/>
        </w:rPr>
        <w:t xml:space="preserve"> </w:t>
      </w:r>
      <w:r w:rsidR="00B70A84">
        <w:rPr>
          <w:lang w:val="en-US"/>
        </w:rPr>
        <w:t xml:space="preserve">previously treated </w:t>
      </w:r>
      <w:r w:rsidR="00F27865" w:rsidRPr="008630BA">
        <w:rPr>
          <w:lang w:val="en-US"/>
        </w:rPr>
        <w:t>paediatric</w:t>
      </w:r>
      <w:r w:rsidR="00B70A84">
        <w:rPr>
          <w:lang w:val="en-US"/>
        </w:rPr>
        <w:t xml:space="preserve"> (</w:t>
      </w:r>
      <w:r w:rsidR="004731F8">
        <w:rPr>
          <w:lang w:val="en-US"/>
        </w:rPr>
        <w:t>≥</w:t>
      </w:r>
      <w:r w:rsidR="00B70A84">
        <w:rPr>
          <w:lang w:val="en-US"/>
        </w:rPr>
        <w:t xml:space="preserve"> 2 years)</w:t>
      </w:r>
      <w:r w:rsidR="00F27865" w:rsidRPr="008630BA">
        <w:rPr>
          <w:lang w:val="en-US"/>
        </w:rPr>
        <w:t xml:space="preserve"> and adult</w:t>
      </w:r>
      <w:r w:rsidRPr="004B179B">
        <w:t xml:space="preserve"> patients with haemophilia A (congenital factor VIII deficiency).</w:t>
      </w:r>
      <w:r w:rsidR="004E6353" w:rsidRPr="004E6353">
        <w:t xml:space="preserve"> </w:t>
      </w:r>
    </w:p>
    <w:p w:rsidR="00553335" w:rsidRDefault="00B8707F">
      <w:pPr>
        <w:rPr>
          <w:lang w:val="en-US"/>
        </w:rPr>
      </w:pPr>
      <w:r w:rsidRPr="002154E6">
        <w:rPr>
          <w:lang w:val="en-US"/>
        </w:rPr>
        <w:t>Nuwiq does not contain von Willebrand Factor and is thus not indicated to treat von Willebrand’s Disease.</w:t>
      </w:r>
    </w:p>
    <w:p w:rsidR="00F22787" w:rsidRPr="004B179B" w:rsidRDefault="00F22787" w:rsidP="00323B67">
      <w:pPr>
        <w:pStyle w:val="Heading1"/>
        <w:rPr>
          <w:lang w:val="en-AU"/>
        </w:rPr>
      </w:pPr>
      <w:r w:rsidRPr="00890548">
        <w:rPr>
          <w:lang w:val="en-US"/>
        </w:rPr>
        <w:t>Contraindications</w:t>
      </w:r>
    </w:p>
    <w:p w:rsidR="00C26805" w:rsidRPr="004B179B" w:rsidRDefault="00C26805" w:rsidP="00323B67">
      <w:pPr>
        <w:rPr>
          <w:lang w:val="en-AU"/>
        </w:rPr>
      </w:pPr>
      <w:r w:rsidRPr="004B179B">
        <w:t>Hypersensitivity to the active substa</w:t>
      </w:r>
      <w:r w:rsidR="00323B67" w:rsidRPr="004B179B">
        <w:t>nce or to any of the excipients</w:t>
      </w:r>
      <w:r w:rsidR="00323B67" w:rsidRPr="004B179B">
        <w:rPr>
          <w:lang w:val="en-AU"/>
        </w:rPr>
        <w:t>.</w:t>
      </w:r>
    </w:p>
    <w:p w:rsidR="00F22787" w:rsidRPr="004B179B" w:rsidRDefault="004D6DA0" w:rsidP="00323B67">
      <w:pPr>
        <w:pStyle w:val="Heading1"/>
        <w:rPr>
          <w:lang w:val="en-GB"/>
        </w:rPr>
      </w:pPr>
      <w:r>
        <w:rPr>
          <w:lang w:val="en-GB"/>
        </w:rPr>
        <w:t>P</w:t>
      </w:r>
      <w:r w:rsidR="00323B67" w:rsidRPr="004B179B">
        <w:rPr>
          <w:lang w:val="en-GB"/>
        </w:rPr>
        <w:t>recautions</w:t>
      </w:r>
    </w:p>
    <w:p w:rsidR="00323B67" w:rsidRPr="00890548" w:rsidRDefault="00323B67" w:rsidP="00151193">
      <w:pPr>
        <w:pStyle w:val="Heading3"/>
        <w:rPr>
          <w:lang w:val="en-US"/>
        </w:rPr>
      </w:pPr>
      <w:r w:rsidRPr="00890548">
        <w:rPr>
          <w:lang w:val="en-US"/>
        </w:rPr>
        <w:t>Hypersensitivity</w:t>
      </w:r>
    </w:p>
    <w:p w:rsidR="00323B67" w:rsidRPr="004B179B" w:rsidRDefault="00323B67" w:rsidP="00521823">
      <w:r w:rsidRPr="004B179B">
        <w:rPr>
          <w:lang w:val="en-US"/>
        </w:rPr>
        <w:t>Since no animal derived materials are added during the manufacturing process or to the final medicinal product,</w:t>
      </w:r>
      <w:r w:rsidRPr="004B179B">
        <w:rPr>
          <w:lang w:val="en-US" w:eastAsia="en-GB"/>
        </w:rPr>
        <w:t xml:space="preserve"> the possibility of allergic reactions to such foreign constituents, e.g. trace amounts of mouse or hamster proteins, does not exist with </w:t>
      </w:r>
      <w:r w:rsidR="006E3127">
        <w:t>Nuwiq</w:t>
      </w:r>
      <w:r w:rsidRPr="004B179B">
        <w:rPr>
          <w:lang w:val="en-US" w:eastAsia="en-GB"/>
        </w:rPr>
        <w:t>.</w:t>
      </w:r>
      <w:r w:rsidRPr="004B179B">
        <w:t xml:space="preserve"> However, as with any intravenous protein product, allergic type hypersensitivity reactions are possible. </w:t>
      </w:r>
      <w:r w:rsidR="006E3127">
        <w:t>Nuwiq</w:t>
      </w:r>
      <w:r w:rsidR="00894DC6" w:rsidRPr="004B179B">
        <w:t xml:space="preserve"> </w:t>
      </w:r>
      <w:r w:rsidRPr="004B179B">
        <w:t xml:space="preserve">contains traces of human host cell proteins other than factor VIII. If symptoms of hypersensitivity occur, patients should be advised to discontinue use of the medicinal product immediately and contact their physician. Patients should be informed of the early signs of hypersensitivity reactions including hives, generalised urticaria, tightness of the chest, wheezing, hypotension, and anaphylaxis. </w:t>
      </w:r>
    </w:p>
    <w:p w:rsidR="00323B67" w:rsidRPr="004B179B" w:rsidRDefault="00323B67" w:rsidP="00521823">
      <w:r w:rsidRPr="004B179B">
        <w:t xml:space="preserve">In case of shock, standard medical treatment for shock should be implemented. </w:t>
      </w:r>
    </w:p>
    <w:p w:rsidR="00323B67" w:rsidRPr="004B179B" w:rsidRDefault="00323B67" w:rsidP="00521823">
      <w:r w:rsidRPr="004B179B">
        <w:lastRenderedPageBreak/>
        <w:t xml:space="preserve">In the clinical studies conducted with </w:t>
      </w:r>
      <w:r w:rsidR="006E3127">
        <w:t>Nuwiq</w:t>
      </w:r>
      <w:r w:rsidR="00894DC6" w:rsidRPr="004B179B">
        <w:t xml:space="preserve"> </w:t>
      </w:r>
      <w:r w:rsidRPr="004B179B">
        <w:t>no hypersensitivity reactions have been detected in adult or paediatric patients so far.</w:t>
      </w:r>
    </w:p>
    <w:p w:rsidR="00323B67" w:rsidRPr="00890548" w:rsidRDefault="00323B67" w:rsidP="00151193">
      <w:pPr>
        <w:pStyle w:val="Heading3"/>
        <w:rPr>
          <w:lang w:val="en-US"/>
        </w:rPr>
      </w:pPr>
      <w:r w:rsidRPr="00890548">
        <w:rPr>
          <w:lang w:val="en-US"/>
        </w:rPr>
        <w:t>Inhibitors</w:t>
      </w:r>
    </w:p>
    <w:p w:rsidR="00323B67" w:rsidRPr="004B179B" w:rsidRDefault="00323B67" w:rsidP="00521823">
      <w:r w:rsidRPr="004B179B">
        <w:t>The formation of neutralising antibodies (inhibitors) to factor VIII is a known complication in the management of individuals with haemophilia A and can occur at any age. These inhibitors are usually IgG immunoglobulins directed against factor VIII procoagulant activity, which are quantified in Bethesda Units (BU) per ml of plasma using the modified assay.</w:t>
      </w:r>
    </w:p>
    <w:p w:rsidR="00323B67" w:rsidRPr="004B179B" w:rsidRDefault="00323B67" w:rsidP="00521823">
      <w:r w:rsidRPr="004B179B">
        <w:t xml:space="preserve">The risk of developing inhibitors is correlated to the exposure to factor VIII, this risk being highest within the first 20 exposure days. Rarely, inhibitors may develop after the first 100 exposure days. </w:t>
      </w:r>
    </w:p>
    <w:p w:rsidR="00323B67" w:rsidRPr="004B179B" w:rsidRDefault="00323B67" w:rsidP="00521823">
      <w:r w:rsidRPr="004B179B">
        <w:t>Cases of recurrent inhibitor (low titre) have been observed after switching from one factor VIII product to another in previously treated patients with more than 100 exposure days who have a previous history of inhibitor development. Therefore, it is recommended to monitor patients carefully for inhibitor occurrence following any product switch.</w:t>
      </w:r>
    </w:p>
    <w:p w:rsidR="00323B67" w:rsidRPr="004B179B" w:rsidRDefault="00323B67" w:rsidP="00521823">
      <w:r w:rsidRPr="004B179B">
        <w:t xml:space="preserve">In general, all patients treated with coagulation factor VIII products should be carefully monitored for the development of inhibitors by appropriate clinical observations and laboratory tests. If the expected factor VIII activity plasma levels are not attained, or if bleeding is not controlled with an appropriate dose, testing for factor VIII inhibitor presence should be performed. In patients with high levels of inhibitor, factor VIII therapy may not be effective and other therapeutic options, such as immune tolerance induction (ITI), should be considered. Management of such patients should be directed by physicians with experience in the care of haemophilia and factor VIII inhibitors. </w:t>
      </w:r>
    </w:p>
    <w:p w:rsidR="00323B67" w:rsidRPr="004B179B" w:rsidRDefault="00323B67" w:rsidP="00521823">
      <w:r w:rsidRPr="004B179B">
        <w:t xml:space="preserve">In the clinical studies conducted with </w:t>
      </w:r>
      <w:r w:rsidR="006E3127">
        <w:t>Nuwiq</w:t>
      </w:r>
      <w:r w:rsidR="00BA46FD" w:rsidRPr="004B179B">
        <w:t xml:space="preserve"> </w:t>
      </w:r>
      <w:r w:rsidRPr="004B179B">
        <w:t>no inhibitors have been detected in adult or paediatric patients so far.</w:t>
      </w:r>
    </w:p>
    <w:p w:rsidR="00323B67" w:rsidRPr="00890548" w:rsidRDefault="00323B67" w:rsidP="00151193">
      <w:pPr>
        <w:pStyle w:val="Heading3"/>
        <w:rPr>
          <w:lang w:val="en-US"/>
        </w:rPr>
      </w:pPr>
      <w:r w:rsidRPr="00890548">
        <w:rPr>
          <w:lang w:val="en-US"/>
        </w:rPr>
        <w:t>Catheter-related complications</w:t>
      </w:r>
    </w:p>
    <w:p w:rsidR="00323B67" w:rsidRPr="004B179B" w:rsidRDefault="00323B67" w:rsidP="00521823">
      <w:r w:rsidRPr="004B179B">
        <w:t>If a central venous access device (CVAD) is required, risk of CVAD-related complications including local infections, bacteraemia and catheter site thrombosis should be considered.</w:t>
      </w:r>
    </w:p>
    <w:p w:rsidR="00323B67" w:rsidRDefault="00323B67" w:rsidP="00521823">
      <w:pPr>
        <w:rPr>
          <w:lang w:val="en-US"/>
        </w:rPr>
      </w:pPr>
      <w:r w:rsidRPr="004B179B">
        <w:t xml:space="preserve">It is strongly recommended that every time that </w:t>
      </w:r>
      <w:r w:rsidR="006E3127">
        <w:t>Nuwiq</w:t>
      </w:r>
      <w:r w:rsidR="00BA46FD" w:rsidRPr="004B179B">
        <w:rPr>
          <w:lang w:val="en-US"/>
        </w:rPr>
        <w:t xml:space="preserve"> </w:t>
      </w:r>
      <w:r w:rsidRPr="004B179B">
        <w:rPr>
          <w:lang w:val="en-US"/>
        </w:rPr>
        <w:t>is administered to a patient, the name and batch number of the product are recorded in order to maintain a link between the patient and the batch of the medicinal product.</w:t>
      </w:r>
    </w:p>
    <w:p w:rsidR="00F144DE" w:rsidRDefault="00F144DE" w:rsidP="00151193">
      <w:pPr>
        <w:pStyle w:val="Heading3"/>
        <w:rPr>
          <w:lang w:val="en-US"/>
        </w:rPr>
      </w:pPr>
    </w:p>
    <w:p w:rsidR="007E4043" w:rsidRPr="00890548" w:rsidRDefault="007E4043" w:rsidP="00151193">
      <w:pPr>
        <w:pStyle w:val="Heading3"/>
        <w:rPr>
          <w:lang w:val="en-US"/>
        </w:rPr>
      </w:pPr>
      <w:r w:rsidRPr="00890548">
        <w:rPr>
          <w:lang w:val="en-US"/>
        </w:rPr>
        <w:t>Excipient related considerations (sodium content)</w:t>
      </w:r>
    </w:p>
    <w:p w:rsidR="007E4043" w:rsidRPr="004B179B" w:rsidRDefault="007E4043" w:rsidP="007E4043">
      <w:pPr>
        <w:rPr>
          <w:lang w:val="en-AU"/>
        </w:rPr>
      </w:pPr>
      <w:r w:rsidRPr="004B179B">
        <w:t>This medicinal product contains 0.8 mmol (or 18.4 mg) sodium per vial and this should be taken into consideration when treating patients on a controlled sodium diet.</w:t>
      </w:r>
    </w:p>
    <w:p w:rsidR="00323B67" w:rsidRPr="00890548" w:rsidRDefault="00323B67" w:rsidP="00151193">
      <w:pPr>
        <w:pStyle w:val="Heading3"/>
        <w:rPr>
          <w:lang w:val="en-US"/>
        </w:rPr>
      </w:pPr>
      <w:r w:rsidRPr="00890548">
        <w:rPr>
          <w:lang w:val="en-US"/>
        </w:rPr>
        <w:t xml:space="preserve">Paediatric </w:t>
      </w:r>
      <w:r w:rsidR="007E4043" w:rsidRPr="00890548">
        <w:rPr>
          <w:lang w:val="en-US"/>
        </w:rPr>
        <w:t>Use</w:t>
      </w:r>
    </w:p>
    <w:p w:rsidR="00323B67" w:rsidRDefault="00323B67" w:rsidP="00521823">
      <w:pPr>
        <w:rPr>
          <w:lang w:val="en-US"/>
        </w:rPr>
      </w:pPr>
      <w:r w:rsidRPr="004B179B">
        <w:rPr>
          <w:lang w:val="en-US"/>
        </w:rPr>
        <w:t>The listed warnings and precautions apply both to adults and children.</w:t>
      </w:r>
      <w:r w:rsidR="0012477A">
        <w:rPr>
          <w:lang w:val="en-US"/>
        </w:rPr>
        <w:t xml:space="preserve"> No data are available in children below the age of 2 years.</w:t>
      </w:r>
    </w:p>
    <w:p w:rsidR="007A6128" w:rsidRDefault="007A6128" w:rsidP="007A6128">
      <w:pPr>
        <w:pStyle w:val="Heading3"/>
        <w:rPr>
          <w:lang w:val="en-US"/>
        </w:rPr>
      </w:pPr>
      <w:r>
        <w:rPr>
          <w:lang w:val="en-US"/>
        </w:rPr>
        <w:t>Previously Untreated Patients</w:t>
      </w:r>
    </w:p>
    <w:p w:rsidR="00113E5C" w:rsidRPr="00113E5C" w:rsidRDefault="00595AAE" w:rsidP="0012477A">
      <w:pPr>
        <w:pStyle w:val="Heading3"/>
        <w:rPr>
          <w:b w:val="0"/>
          <w:i w:val="0"/>
          <w:lang w:val="en-US"/>
        </w:rPr>
      </w:pPr>
      <w:r w:rsidRPr="00595AAE">
        <w:rPr>
          <w:b w:val="0"/>
          <w:i w:val="0"/>
          <w:lang w:val="en-US"/>
        </w:rPr>
        <w:t>There are no safety or efficacy data in previously untreated patients with haemophilia A.</w:t>
      </w:r>
    </w:p>
    <w:p w:rsidR="004D6DA0" w:rsidRDefault="0012477A" w:rsidP="0012477A">
      <w:pPr>
        <w:pStyle w:val="Heading3"/>
        <w:rPr>
          <w:lang w:val="en-US"/>
        </w:rPr>
      </w:pPr>
      <w:r>
        <w:rPr>
          <w:lang w:val="en-US"/>
        </w:rPr>
        <w:lastRenderedPageBreak/>
        <w:t>Elderly Use</w:t>
      </w:r>
    </w:p>
    <w:p w:rsidR="0012477A" w:rsidRDefault="0012477A" w:rsidP="004D6DA0">
      <w:pPr>
        <w:rPr>
          <w:lang w:val="en-US"/>
        </w:rPr>
      </w:pPr>
      <w:r>
        <w:rPr>
          <w:lang w:val="en-US"/>
        </w:rPr>
        <w:t xml:space="preserve">The safety of Nuwiq in elderly patients (aged </w:t>
      </w:r>
      <w:r w:rsidR="001B13D5">
        <w:rPr>
          <w:lang w:val="en-US"/>
        </w:rPr>
        <w:t>&gt;</w:t>
      </w:r>
      <w:r>
        <w:rPr>
          <w:lang w:val="en-US"/>
        </w:rPr>
        <w:t xml:space="preserve"> 65 years) has not been established in controlled clinical trials.</w:t>
      </w:r>
    </w:p>
    <w:p w:rsidR="0012477A" w:rsidRDefault="0012477A" w:rsidP="0012477A">
      <w:pPr>
        <w:pStyle w:val="Heading3"/>
        <w:rPr>
          <w:lang w:val="en-US"/>
        </w:rPr>
      </w:pPr>
      <w:r>
        <w:rPr>
          <w:lang w:val="en-US"/>
        </w:rPr>
        <w:t>Renal or Hepatic impairment</w:t>
      </w:r>
    </w:p>
    <w:p w:rsidR="0012477A" w:rsidRDefault="0012477A" w:rsidP="0012477A">
      <w:pPr>
        <w:rPr>
          <w:lang w:val="en-US"/>
        </w:rPr>
      </w:pPr>
      <w:r>
        <w:rPr>
          <w:lang w:val="en-US"/>
        </w:rPr>
        <w:t>The safety of Nuwiq in patients with renal or hepatic impairment has not been studied in clinical trials.</w:t>
      </w:r>
    </w:p>
    <w:p w:rsidR="0012477A" w:rsidRDefault="0012477A" w:rsidP="0012477A">
      <w:pPr>
        <w:pStyle w:val="Heading3"/>
        <w:rPr>
          <w:lang w:val="en-US"/>
        </w:rPr>
      </w:pPr>
      <w:r>
        <w:rPr>
          <w:lang w:val="en-US"/>
        </w:rPr>
        <w:t>Race</w:t>
      </w:r>
    </w:p>
    <w:p w:rsidR="0012477A" w:rsidRDefault="0097725A" w:rsidP="0012477A">
      <w:pPr>
        <w:rPr>
          <w:lang w:val="en-US"/>
        </w:rPr>
      </w:pPr>
      <w:r>
        <w:rPr>
          <w:lang w:val="en-US"/>
        </w:rPr>
        <w:t>There is limited information on t</w:t>
      </w:r>
      <w:r w:rsidR="0012477A">
        <w:rPr>
          <w:lang w:val="en-US"/>
        </w:rPr>
        <w:t>he safety of Nuwiq in different racial groups. The population in the clinical trials was almost exclusively Caucasian.</w:t>
      </w:r>
    </w:p>
    <w:p w:rsidR="00BD121E" w:rsidRPr="00890548" w:rsidRDefault="00F22787" w:rsidP="008C6591">
      <w:pPr>
        <w:pStyle w:val="Heading3"/>
        <w:ind w:left="0" w:firstLine="0"/>
        <w:rPr>
          <w:lang w:val="en-US"/>
        </w:rPr>
      </w:pPr>
      <w:r w:rsidRPr="004B179B">
        <w:rPr>
          <w:lang w:val="en-AU"/>
        </w:rPr>
        <w:t xml:space="preserve">Use in </w:t>
      </w:r>
      <w:r w:rsidRPr="00890548">
        <w:rPr>
          <w:lang w:val="en-US"/>
        </w:rPr>
        <w:t>Pregnancy</w:t>
      </w:r>
      <w:r w:rsidR="00F05107" w:rsidRPr="00890548">
        <w:rPr>
          <w:lang w:val="en-US"/>
        </w:rPr>
        <w:t xml:space="preserve"> and Lactation</w:t>
      </w:r>
      <w:r w:rsidR="00F05107" w:rsidRPr="001025D4">
        <w:rPr>
          <w:b w:val="0"/>
          <w:lang w:val="en-US"/>
        </w:rPr>
        <w:t xml:space="preserve"> </w:t>
      </w:r>
      <w:r w:rsidR="001025D4" w:rsidRPr="001025D4">
        <w:rPr>
          <w:b w:val="0"/>
          <w:lang w:val="en-US"/>
        </w:rPr>
        <w:t>(Category B2</w:t>
      </w:r>
      <w:r w:rsidR="001025D4">
        <w:rPr>
          <w:rStyle w:val="FootnoteReference"/>
          <w:b w:val="0"/>
          <w:lang w:val="en-US"/>
        </w:rPr>
        <w:footnoteReference w:id="1"/>
      </w:r>
      <w:r w:rsidR="001025D4" w:rsidRPr="001025D4">
        <w:rPr>
          <w:b w:val="0"/>
          <w:lang w:val="en-US"/>
        </w:rPr>
        <w:t>)</w:t>
      </w:r>
      <w:r w:rsidRPr="00890548">
        <w:rPr>
          <w:lang w:val="en-US"/>
        </w:rPr>
        <w:t xml:space="preserve"> </w:t>
      </w:r>
    </w:p>
    <w:p w:rsidR="00F05107" w:rsidRPr="004B179B" w:rsidRDefault="00F05107" w:rsidP="00521823">
      <w:r w:rsidRPr="004B179B">
        <w:t xml:space="preserve">Animal reproduction studies have not been conducted with factor VIII. </w:t>
      </w:r>
    </w:p>
    <w:p w:rsidR="00F05107" w:rsidRPr="004B179B" w:rsidRDefault="00F05107" w:rsidP="00521823">
      <w:r w:rsidRPr="004B179B">
        <w:t xml:space="preserve">Based on the rare occurrence of haemophilia A in women, experience regarding the use of factor VIII during pregnancy and breast feeding is not available. Therefore, factor VIII should be used during pregnancy and lactation only if clearly indicated. </w:t>
      </w:r>
    </w:p>
    <w:p w:rsidR="00F05107" w:rsidRPr="00890548" w:rsidRDefault="00F05107" w:rsidP="004D6DA0">
      <w:pPr>
        <w:pStyle w:val="Heading3"/>
        <w:rPr>
          <w:lang w:val="en-US"/>
        </w:rPr>
      </w:pPr>
      <w:r w:rsidRPr="00890548">
        <w:rPr>
          <w:lang w:val="en-US"/>
        </w:rPr>
        <w:t>Effects on Fertility</w:t>
      </w:r>
    </w:p>
    <w:p w:rsidR="00F05107" w:rsidRPr="004B179B" w:rsidRDefault="00F05107" w:rsidP="00521823">
      <w:r w:rsidRPr="004B179B">
        <w:t xml:space="preserve">There are no </w:t>
      </w:r>
      <w:r w:rsidR="00260F84" w:rsidRPr="002D577C">
        <w:rPr>
          <w:lang w:val="en-US"/>
        </w:rPr>
        <w:t>reproductive toxicity studies with Nuwiq</w:t>
      </w:r>
      <w:r w:rsidR="001025D4">
        <w:rPr>
          <w:lang w:val="en-US"/>
        </w:rPr>
        <w:t xml:space="preserve"> </w:t>
      </w:r>
      <w:r w:rsidRPr="004B179B">
        <w:t>.</w:t>
      </w:r>
    </w:p>
    <w:p w:rsidR="00F22787" w:rsidRPr="00890548" w:rsidRDefault="00F22787" w:rsidP="004D6DA0">
      <w:pPr>
        <w:pStyle w:val="Heading3"/>
        <w:rPr>
          <w:lang w:val="en-US"/>
        </w:rPr>
      </w:pPr>
      <w:r w:rsidRPr="00890548">
        <w:rPr>
          <w:lang w:val="en-US"/>
        </w:rPr>
        <w:t xml:space="preserve">Effects on </w:t>
      </w:r>
      <w:r w:rsidR="00F05107" w:rsidRPr="00890548">
        <w:rPr>
          <w:lang w:val="en-US"/>
        </w:rPr>
        <w:t>Laboratory Tests</w:t>
      </w:r>
    </w:p>
    <w:p w:rsidR="00F22787" w:rsidRPr="004B179B" w:rsidRDefault="007E4043" w:rsidP="00521823">
      <w:r w:rsidRPr="004B179B">
        <w:t xml:space="preserve">No interaction studies have been performed with </w:t>
      </w:r>
      <w:r w:rsidR="006E3127">
        <w:t>Nuwiq</w:t>
      </w:r>
      <w:r w:rsidRPr="004B179B">
        <w:t>.</w:t>
      </w:r>
    </w:p>
    <w:p w:rsidR="004B179B" w:rsidRPr="00890548" w:rsidRDefault="004B179B" w:rsidP="004D6DA0">
      <w:pPr>
        <w:pStyle w:val="Heading3"/>
        <w:rPr>
          <w:lang w:val="en-US"/>
        </w:rPr>
      </w:pPr>
      <w:r w:rsidRPr="00890548">
        <w:rPr>
          <w:lang w:val="en-US"/>
        </w:rPr>
        <w:t>Genotoxicity and Carcinogenicity</w:t>
      </w:r>
    </w:p>
    <w:p w:rsidR="004B179B" w:rsidRPr="004B179B" w:rsidRDefault="00260F84" w:rsidP="00521823">
      <w:pPr>
        <w:rPr>
          <w:lang w:eastAsia="sv-SE"/>
        </w:rPr>
      </w:pPr>
      <w:r w:rsidRPr="00260F84">
        <w:rPr>
          <w:lang w:val="en-US" w:eastAsia="sv-SE"/>
        </w:rPr>
        <w:t>Carcinogenicity</w:t>
      </w:r>
      <w:r w:rsidR="001025D4" w:rsidRPr="004B179B">
        <w:rPr>
          <w:lang w:eastAsia="sv-SE"/>
        </w:rPr>
        <w:t xml:space="preserve"> </w:t>
      </w:r>
      <w:r w:rsidR="004B179B" w:rsidRPr="004B179B">
        <w:rPr>
          <w:lang w:eastAsia="sv-SE"/>
        </w:rPr>
        <w:t xml:space="preserve">studies </w:t>
      </w:r>
      <w:r w:rsidR="004B179B">
        <w:rPr>
          <w:lang w:eastAsia="sv-SE"/>
        </w:rPr>
        <w:t>have</w:t>
      </w:r>
      <w:r w:rsidR="004B179B" w:rsidRPr="004B179B">
        <w:rPr>
          <w:lang w:eastAsia="sv-SE"/>
        </w:rPr>
        <w:t xml:space="preserve"> not </w:t>
      </w:r>
      <w:r w:rsidR="004B179B">
        <w:rPr>
          <w:lang w:eastAsia="sv-SE"/>
        </w:rPr>
        <w:t xml:space="preserve">been </w:t>
      </w:r>
      <w:r w:rsidR="004B179B" w:rsidRPr="004B179B">
        <w:rPr>
          <w:lang w:eastAsia="sv-SE"/>
        </w:rPr>
        <w:t xml:space="preserve">performed with </w:t>
      </w:r>
      <w:r w:rsidR="006E3127">
        <w:t>Nuwiq</w:t>
      </w:r>
      <w:r w:rsidR="00BA46FD" w:rsidRPr="004B179B">
        <w:rPr>
          <w:lang w:eastAsia="sv-SE"/>
        </w:rPr>
        <w:t xml:space="preserve"> </w:t>
      </w:r>
      <w:r w:rsidR="004B179B" w:rsidRPr="004B179B">
        <w:rPr>
          <w:lang w:eastAsia="sv-SE"/>
        </w:rPr>
        <w:t>due to the immune response to heterologous proteins in non-human mammalian species.</w:t>
      </w:r>
    </w:p>
    <w:p w:rsidR="004B179B" w:rsidRPr="004B179B" w:rsidRDefault="004B179B" w:rsidP="00521823">
      <w:pPr>
        <w:rPr>
          <w:lang w:eastAsia="sv-SE"/>
        </w:rPr>
      </w:pPr>
      <w:r w:rsidRPr="004B179B">
        <w:rPr>
          <w:lang w:eastAsia="sv-SE"/>
        </w:rPr>
        <w:t xml:space="preserve">No studies </w:t>
      </w:r>
      <w:r>
        <w:rPr>
          <w:lang w:eastAsia="sv-SE"/>
        </w:rPr>
        <w:t>have been</w:t>
      </w:r>
      <w:r w:rsidRPr="004B179B">
        <w:rPr>
          <w:lang w:eastAsia="sv-SE"/>
        </w:rPr>
        <w:t xml:space="preserve"> performed on the </w:t>
      </w:r>
      <w:r w:rsidR="00D165BB" w:rsidRPr="00D165BB">
        <w:rPr>
          <w:lang w:val="en-US" w:eastAsia="sv-SE"/>
        </w:rPr>
        <w:t>genotoxic</w:t>
      </w:r>
      <w:r w:rsidR="001025D4" w:rsidRPr="004B179B">
        <w:rPr>
          <w:lang w:eastAsia="sv-SE"/>
        </w:rPr>
        <w:t xml:space="preserve"> </w:t>
      </w:r>
      <w:r w:rsidRPr="004B179B">
        <w:rPr>
          <w:lang w:eastAsia="sv-SE"/>
        </w:rPr>
        <w:t xml:space="preserve">potential of </w:t>
      </w:r>
      <w:r w:rsidR="006E3127">
        <w:t>Nuwiq</w:t>
      </w:r>
      <w:r w:rsidRPr="004B179B">
        <w:rPr>
          <w:lang w:eastAsia="sv-SE"/>
        </w:rPr>
        <w:t xml:space="preserve">. No </w:t>
      </w:r>
      <w:r w:rsidR="00D165BB" w:rsidRPr="00D165BB">
        <w:rPr>
          <w:lang w:val="en-US" w:eastAsia="sv-SE"/>
        </w:rPr>
        <w:t>genotoxic</w:t>
      </w:r>
      <w:r w:rsidR="001025D4" w:rsidRPr="004B179B">
        <w:rPr>
          <w:lang w:eastAsia="sv-SE"/>
        </w:rPr>
        <w:t xml:space="preserve"> </w:t>
      </w:r>
      <w:r w:rsidRPr="004B179B">
        <w:rPr>
          <w:lang w:eastAsia="sv-SE"/>
        </w:rPr>
        <w:t>potential has been reported for any commercially available plasma-derived or recombinant FVIII product.</w:t>
      </w:r>
    </w:p>
    <w:p w:rsidR="007E4043" w:rsidRPr="004B179B" w:rsidRDefault="005E4945" w:rsidP="00CE69AD">
      <w:pPr>
        <w:pStyle w:val="Heading1"/>
        <w:ind w:left="0" w:firstLine="0"/>
        <w:rPr>
          <w:lang w:val="en-GB"/>
        </w:rPr>
      </w:pPr>
      <w:r>
        <w:rPr>
          <w:lang w:val="en-GB"/>
        </w:rPr>
        <w:t>I</w:t>
      </w:r>
      <w:r w:rsidR="005715AF" w:rsidRPr="004B179B">
        <w:rPr>
          <w:lang w:val="en-GB"/>
        </w:rPr>
        <w:t>nteractions with other medicines</w:t>
      </w:r>
    </w:p>
    <w:p w:rsidR="007E4043" w:rsidRPr="004B179B" w:rsidRDefault="005715AF" w:rsidP="00521823">
      <w:r w:rsidRPr="004B179B">
        <w:t xml:space="preserve">No interaction studies have been performed with </w:t>
      </w:r>
      <w:r w:rsidR="006E3127">
        <w:t>Nuwiq</w:t>
      </w:r>
      <w:r w:rsidRPr="004B179B">
        <w:t>.</w:t>
      </w:r>
    </w:p>
    <w:p w:rsidR="009062DE" w:rsidRPr="004B179B" w:rsidRDefault="009062DE" w:rsidP="00521823">
      <w:r w:rsidRPr="004B179B">
        <w:t xml:space="preserve">In the absence of compatibility studies, this medicinal product must not be mixed with other medicinal products. </w:t>
      </w:r>
    </w:p>
    <w:p w:rsidR="009062DE" w:rsidRPr="004B179B" w:rsidRDefault="009062DE" w:rsidP="00521823">
      <w:pPr>
        <w:rPr>
          <w:lang w:val="en-GB"/>
        </w:rPr>
      </w:pPr>
      <w:r w:rsidRPr="004B179B">
        <w:t>Only the provided injection sets should be used because treatment failure can occur as a consequence of human coagulation factor VIII adsorption to the internal surfaces of some injection equipment.</w:t>
      </w:r>
    </w:p>
    <w:p w:rsidR="00F22787" w:rsidRPr="004B179B" w:rsidRDefault="00F22787" w:rsidP="00CE69AD">
      <w:pPr>
        <w:pStyle w:val="Heading1"/>
        <w:ind w:left="0" w:firstLine="0"/>
        <w:rPr>
          <w:lang w:val="en-GB"/>
        </w:rPr>
      </w:pPr>
      <w:r w:rsidRPr="004B179B">
        <w:rPr>
          <w:lang w:val="en-GB"/>
        </w:rPr>
        <w:lastRenderedPageBreak/>
        <w:t xml:space="preserve">Adverse </w:t>
      </w:r>
      <w:r w:rsidR="005715AF" w:rsidRPr="004B179B">
        <w:rPr>
          <w:lang w:val="en-GB"/>
        </w:rPr>
        <w:t>effects</w:t>
      </w:r>
    </w:p>
    <w:p w:rsidR="00AC3733" w:rsidRPr="004B179B" w:rsidRDefault="00AC3733" w:rsidP="00521823">
      <w:pPr>
        <w:rPr>
          <w:lang w:val="en-US" w:eastAsia="en-GB"/>
        </w:rPr>
      </w:pPr>
      <w:r w:rsidRPr="004B179B">
        <w:rPr>
          <w:lang w:val="en-US"/>
        </w:rPr>
        <w:t xml:space="preserve">During clinical studies with </w:t>
      </w:r>
      <w:r w:rsidR="006E3127">
        <w:t>Nuwiq</w:t>
      </w:r>
      <w:r w:rsidR="00BA46FD" w:rsidRPr="004B179B">
        <w:rPr>
          <w:lang w:val="en-US"/>
        </w:rPr>
        <w:t xml:space="preserve"> </w:t>
      </w:r>
      <w:r w:rsidRPr="004B179B">
        <w:rPr>
          <w:lang w:val="en-US"/>
        </w:rPr>
        <w:t xml:space="preserve">in previously treated paediatric (2 to 11 years, n = 58), adolescent (12 to 17 years, n = 3) and adult patients (n = 74) with severe haemophilia A, a total of 8 adverse drug reactions (ADRs) (6 in adults, 2 in children) were reported in 5 patients (3 adults, 2 children). </w:t>
      </w:r>
    </w:p>
    <w:p w:rsidR="005715AF" w:rsidRPr="004B179B" w:rsidRDefault="004F4F45" w:rsidP="00521823">
      <w:pPr>
        <w:rPr>
          <w:lang w:val="en-US"/>
        </w:rPr>
      </w:pPr>
      <w:r w:rsidRPr="004B179B">
        <w:rPr>
          <w:lang w:val="en-US"/>
        </w:rPr>
        <w:t xml:space="preserve">The following adverse events have been </w:t>
      </w:r>
      <w:r w:rsidRPr="004B179B">
        <w:rPr>
          <w:lang w:val="en-GB"/>
        </w:rPr>
        <w:t xml:space="preserve">identified in </w:t>
      </w:r>
      <w:r w:rsidR="00AC3733" w:rsidRPr="004B179B">
        <w:t xml:space="preserve">the </w:t>
      </w:r>
      <w:r w:rsidRPr="004B179B">
        <w:rPr>
          <w:lang w:val="en-GB"/>
        </w:rPr>
        <w:t>clinical trials with</w:t>
      </w:r>
      <w:r w:rsidRPr="004B179B">
        <w:t xml:space="preserve"> </w:t>
      </w:r>
      <w:r w:rsidR="006E3127">
        <w:t>Nuwiq</w:t>
      </w:r>
      <w:r w:rsidRPr="004B179B">
        <w:t xml:space="preserve">. The data presented in Table 4 is </w:t>
      </w:r>
      <w:r w:rsidR="00AC3733" w:rsidRPr="004B179B">
        <w:t xml:space="preserve">according </w:t>
      </w:r>
      <w:r w:rsidRPr="004B179B">
        <w:rPr>
          <w:lang w:val="en-US"/>
        </w:rPr>
        <w:t>to the MedRA system organ classification</w:t>
      </w:r>
      <w:r w:rsidR="00AC3733" w:rsidRPr="004B179B">
        <w:rPr>
          <w:lang w:val="en-US"/>
        </w:rPr>
        <w:t xml:space="preserve"> and internationally agreed frequencies. </w:t>
      </w:r>
      <w:r w:rsidR="005715AF" w:rsidRPr="004B179B">
        <w:rPr>
          <w:lang w:val="en-US"/>
        </w:rPr>
        <w:t xml:space="preserve">Within each frequency grouping, adverse </w:t>
      </w:r>
      <w:r w:rsidR="00AC3733" w:rsidRPr="004B179B">
        <w:rPr>
          <w:lang w:val="en-US"/>
        </w:rPr>
        <w:t>events</w:t>
      </w:r>
      <w:r w:rsidR="005715AF" w:rsidRPr="004B179B">
        <w:rPr>
          <w:lang w:val="en-US"/>
        </w:rPr>
        <w:t xml:space="preserve"> are presented in order of decreasing seriousness.</w:t>
      </w:r>
    </w:p>
    <w:p w:rsidR="005715AF" w:rsidRPr="004B179B" w:rsidRDefault="005715AF" w:rsidP="005715AF">
      <w:pPr>
        <w:pStyle w:val="Caption"/>
        <w:rPr>
          <w:color w:val="auto"/>
        </w:rPr>
      </w:pPr>
      <w:bookmarkStart w:id="5" w:name="_Ref334615409"/>
      <w:r w:rsidRPr="004B179B">
        <w:rPr>
          <w:color w:val="auto"/>
        </w:rPr>
        <w:t xml:space="preserve">Table </w:t>
      </w:r>
      <w:bookmarkEnd w:id="5"/>
      <w:r w:rsidR="00BC7B2B" w:rsidRPr="004B179B">
        <w:rPr>
          <w:color w:val="auto"/>
        </w:rPr>
        <w:t>4</w:t>
      </w:r>
      <w:r w:rsidR="00521823">
        <w:rPr>
          <w:color w:val="auto"/>
        </w:rPr>
        <w:t>:</w:t>
      </w:r>
      <w:r w:rsidRPr="004B179B">
        <w:rPr>
          <w:color w:val="auto"/>
        </w:rPr>
        <w:t xml:space="preserve"> Frequency of adverse drug reactions (ADRs) </w:t>
      </w:r>
      <w:r w:rsidR="00AC3733" w:rsidRPr="004B179B">
        <w:rPr>
          <w:color w:val="auto"/>
        </w:rPr>
        <w:t xml:space="preserve">per patient, </w:t>
      </w:r>
      <w:r w:rsidRPr="004B179B">
        <w:rPr>
          <w:color w:val="auto"/>
        </w:rPr>
        <w:t>in clinical trials in 135 previously treated patients with severe haemophilia 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4961"/>
      </w:tblGrid>
      <w:tr w:rsidR="00950195" w:rsidRPr="004B179B" w:rsidTr="00AC3733">
        <w:tc>
          <w:tcPr>
            <w:tcW w:w="4111" w:type="dxa"/>
            <w:tcBorders>
              <w:top w:val="single" w:sz="4" w:space="0" w:color="000000"/>
              <w:left w:val="single" w:sz="4" w:space="0" w:color="000000"/>
              <w:bottom w:val="single" w:sz="4" w:space="0" w:color="000000"/>
              <w:right w:val="single" w:sz="4" w:space="0" w:color="000000"/>
            </w:tcBorders>
            <w:hideMark/>
          </w:tcPr>
          <w:p w:rsidR="00950195" w:rsidRPr="00521823" w:rsidRDefault="00950195" w:rsidP="0084475D">
            <w:pPr>
              <w:pStyle w:val="ATextBericht"/>
              <w:spacing w:before="60"/>
              <w:jc w:val="left"/>
              <w:rPr>
                <w:b/>
              </w:rPr>
            </w:pPr>
            <w:r w:rsidRPr="00521823">
              <w:rPr>
                <w:b/>
              </w:rPr>
              <w:t>Med</w:t>
            </w:r>
            <w:r w:rsidR="006E2752">
              <w:rPr>
                <w:b/>
              </w:rPr>
              <w:t>D</w:t>
            </w:r>
            <w:r w:rsidRPr="00521823">
              <w:rPr>
                <w:b/>
              </w:rPr>
              <w:t>RA Standard System Organ Class</w:t>
            </w:r>
          </w:p>
        </w:tc>
        <w:tc>
          <w:tcPr>
            <w:tcW w:w="4961" w:type="dxa"/>
            <w:tcBorders>
              <w:top w:val="single" w:sz="4" w:space="0" w:color="000000"/>
              <w:left w:val="single" w:sz="4" w:space="0" w:color="000000"/>
              <w:bottom w:val="single" w:sz="4" w:space="0" w:color="000000"/>
              <w:right w:val="single" w:sz="4" w:space="0" w:color="000000"/>
            </w:tcBorders>
            <w:hideMark/>
          </w:tcPr>
          <w:p w:rsidR="00950195" w:rsidRPr="00521823" w:rsidRDefault="00950195" w:rsidP="0084475D">
            <w:pPr>
              <w:pStyle w:val="ATextBericht"/>
              <w:spacing w:before="60"/>
              <w:jc w:val="left"/>
              <w:rPr>
                <w:b/>
              </w:rPr>
            </w:pPr>
            <w:r w:rsidRPr="00521823">
              <w:rPr>
                <w:b/>
                <w:bCs/>
                <w:lang w:val="de-AT" w:eastAsia="de-AT"/>
              </w:rPr>
              <w:t>Uncommon</w:t>
            </w:r>
            <w:r w:rsidR="00BC7B2B" w:rsidRPr="00521823">
              <w:rPr>
                <w:b/>
                <w:bCs/>
                <w:lang w:val="de-AT" w:eastAsia="de-AT"/>
              </w:rPr>
              <w:t xml:space="preserve"> (</w:t>
            </w:r>
            <w:r w:rsidRPr="00521823">
              <w:rPr>
                <w:b/>
                <w:bCs/>
                <w:lang w:val="de-AT" w:eastAsia="de-AT"/>
              </w:rPr>
              <w:t xml:space="preserve"> &gt;0.1% - &lt;1%</w:t>
            </w:r>
            <w:r w:rsidR="00BC7B2B" w:rsidRPr="00521823">
              <w:rPr>
                <w:b/>
                <w:bCs/>
                <w:lang w:val="de-AT" w:eastAsia="de-AT"/>
              </w:rPr>
              <w:t>)*</w:t>
            </w:r>
          </w:p>
        </w:tc>
      </w:tr>
      <w:tr w:rsidR="00950195" w:rsidRPr="004B179B" w:rsidTr="00AC3733">
        <w:tc>
          <w:tcPr>
            <w:tcW w:w="4111" w:type="dxa"/>
            <w:tcBorders>
              <w:top w:val="single" w:sz="4" w:space="0" w:color="000000"/>
              <w:left w:val="single" w:sz="4" w:space="0" w:color="000000"/>
              <w:bottom w:val="single" w:sz="4" w:space="0" w:color="000000"/>
              <w:right w:val="single" w:sz="4" w:space="0" w:color="000000"/>
            </w:tcBorders>
          </w:tcPr>
          <w:p w:rsidR="00950195" w:rsidRPr="004B179B" w:rsidRDefault="00950195" w:rsidP="0084475D">
            <w:pPr>
              <w:pStyle w:val="ATextBericht"/>
              <w:spacing w:before="60"/>
              <w:jc w:val="left"/>
            </w:pPr>
            <w:r w:rsidRPr="004B179B">
              <w:t>Nervous system disorders</w:t>
            </w:r>
          </w:p>
        </w:tc>
        <w:tc>
          <w:tcPr>
            <w:tcW w:w="4961" w:type="dxa"/>
            <w:tcBorders>
              <w:top w:val="single" w:sz="4" w:space="0" w:color="000000"/>
              <w:left w:val="single" w:sz="4" w:space="0" w:color="000000"/>
              <w:bottom w:val="single" w:sz="4" w:space="0" w:color="000000"/>
              <w:right w:val="single" w:sz="4" w:space="0" w:color="000000"/>
            </w:tcBorders>
          </w:tcPr>
          <w:p w:rsidR="00950195" w:rsidRPr="004B179B" w:rsidRDefault="00950195" w:rsidP="0084475D">
            <w:pPr>
              <w:pStyle w:val="ATextBericht"/>
              <w:spacing w:before="60"/>
              <w:jc w:val="left"/>
            </w:pPr>
            <w:r w:rsidRPr="004B179B">
              <w:t>Parasthesia</w:t>
            </w:r>
          </w:p>
          <w:p w:rsidR="00950195" w:rsidRPr="004B179B" w:rsidRDefault="00950195" w:rsidP="0084475D">
            <w:pPr>
              <w:pStyle w:val="ATextBericht"/>
              <w:spacing w:before="60"/>
              <w:jc w:val="left"/>
            </w:pPr>
            <w:r w:rsidRPr="004B179B">
              <w:t>Headache</w:t>
            </w:r>
          </w:p>
        </w:tc>
      </w:tr>
      <w:tr w:rsidR="00950195" w:rsidRPr="004B179B" w:rsidTr="00AC3733">
        <w:tc>
          <w:tcPr>
            <w:tcW w:w="4111" w:type="dxa"/>
            <w:tcBorders>
              <w:top w:val="single" w:sz="4" w:space="0" w:color="000000"/>
              <w:left w:val="single" w:sz="4" w:space="0" w:color="000000"/>
              <w:bottom w:val="single" w:sz="4" w:space="0" w:color="000000"/>
              <w:right w:val="single" w:sz="4" w:space="0" w:color="000000"/>
            </w:tcBorders>
          </w:tcPr>
          <w:p w:rsidR="00950195" w:rsidRPr="004B179B" w:rsidRDefault="00950195" w:rsidP="0084475D">
            <w:pPr>
              <w:pStyle w:val="ATextBericht"/>
              <w:spacing w:before="60"/>
              <w:jc w:val="left"/>
            </w:pPr>
            <w:r w:rsidRPr="004B179B">
              <w:t>General disorders and administration site conditions</w:t>
            </w:r>
          </w:p>
        </w:tc>
        <w:tc>
          <w:tcPr>
            <w:tcW w:w="4961" w:type="dxa"/>
            <w:tcBorders>
              <w:top w:val="single" w:sz="4" w:space="0" w:color="000000"/>
              <w:left w:val="single" w:sz="4" w:space="0" w:color="000000"/>
              <w:bottom w:val="single" w:sz="4" w:space="0" w:color="000000"/>
              <w:right w:val="single" w:sz="4" w:space="0" w:color="000000"/>
            </w:tcBorders>
          </w:tcPr>
          <w:p w:rsidR="00950195" w:rsidRPr="004B179B" w:rsidRDefault="00950195" w:rsidP="0084475D">
            <w:pPr>
              <w:pStyle w:val="ATextBericht"/>
              <w:spacing w:before="60"/>
              <w:jc w:val="left"/>
              <w:rPr>
                <w:lang w:val="fr-FR"/>
              </w:rPr>
            </w:pPr>
            <w:r w:rsidRPr="004B179B">
              <w:rPr>
                <w:lang w:val="fr-FR"/>
              </w:rPr>
              <w:t>Injection site inflammation</w:t>
            </w:r>
          </w:p>
          <w:p w:rsidR="00950195" w:rsidRPr="004B179B" w:rsidRDefault="00950195" w:rsidP="0084475D">
            <w:pPr>
              <w:pStyle w:val="ATextBericht"/>
              <w:spacing w:before="60"/>
              <w:jc w:val="left"/>
              <w:rPr>
                <w:lang w:val="fr-FR"/>
              </w:rPr>
            </w:pPr>
            <w:r w:rsidRPr="004B179B">
              <w:rPr>
                <w:lang w:val="fr-FR"/>
              </w:rPr>
              <w:t>Injection site pain</w:t>
            </w:r>
          </w:p>
        </w:tc>
      </w:tr>
      <w:tr w:rsidR="00950195" w:rsidRPr="004B179B" w:rsidTr="00AC3733">
        <w:tc>
          <w:tcPr>
            <w:tcW w:w="4111" w:type="dxa"/>
            <w:tcBorders>
              <w:top w:val="single" w:sz="4" w:space="0" w:color="000000"/>
              <w:left w:val="single" w:sz="4" w:space="0" w:color="000000"/>
              <w:bottom w:val="single" w:sz="4" w:space="0" w:color="000000"/>
              <w:right w:val="single" w:sz="4" w:space="0" w:color="000000"/>
            </w:tcBorders>
          </w:tcPr>
          <w:p w:rsidR="00950195" w:rsidRPr="004B179B" w:rsidRDefault="00950195" w:rsidP="0084475D">
            <w:pPr>
              <w:pStyle w:val="ATextBericht"/>
              <w:spacing w:before="60"/>
              <w:jc w:val="left"/>
            </w:pPr>
            <w:r w:rsidRPr="004B179B">
              <w:t>Investigations</w:t>
            </w:r>
          </w:p>
        </w:tc>
        <w:tc>
          <w:tcPr>
            <w:tcW w:w="4961" w:type="dxa"/>
            <w:tcBorders>
              <w:top w:val="single" w:sz="4" w:space="0" w:color="000000"/>
              <w:left w:val="single" w:sz="4" w:space="0" w:color="000000"/>
              <w:bottom w:val="single" w:sz="4" w:space="0" w:color="000000"/>
              <w:right w:val="single" w:sz="4" w:space="0" w:color="000000"/>
            </w:tcBorders>
          </w:tcPr>
          <w:p w:rsidR="00950195" w:rsidRPr="004B179B" w:rsidRDefault="00950195" w:rsidP="0084475D">
            <w:pPr>
              <w:pStyle w:val="ATextBericht"/>
              <w:spacing w:before="60"/>
              <w:jc w:val="left"/>
            </w:pPr>
            <w:r w:rsidRPr="004B179B">
              <w:t>Non-neutralising anti factor VIII antibody positive (without inhibitory activity as measured by the modified Bethesda assay)</w:t>
            </w:r>
          </w:p>
        </w:tc>
      </w:tr>
      <w:tr w:rsidR="00950195" w:rsidRPr="004B179B" w:rsidTr="00AC3733">
        <w:tc>
          <w:tcPr>
            <w:tcW w:w="4111" w:type="dxa"/>
            <w:tcBorders>
              <w:top w:val="single" w:sz="4" w:space="0" w:color="000000"/>
              <w:left w:val="single" w:sz="4" w:space="0" w:color="000000"/>
              <w:bottom w:val="single" w:sz="4" w:space="0" w:color="000000"/>
              <w:right w:val="single" w:sz="4" w:space="0" w:color="000000"/>
            </w:tcBorders>
          </w:tcPr>
          <w:p w:rsidR="00950195" w:rsidRPr="004B179B" w:rsidRDefault="00950195" w:rsidP="0084475D">
            <w:pPr>
              <w:pStyle w:val="ATextBericht"/>
              <w:spacing w:before="60"/>
              <w:jc w:val="left"/>
            </w:pPr>
            <w:r w:rsidRPr="004B179B">
              <w:t>Musculoskelatal and connective tissue disorders</w:t>
            </w:r>
          </w:p>
        </w:tc>
        <w:tc>
          <w:tcPr>
            <w:tcW w:w="4961" w:type="dxa"/>
            <w:tcBorders>
              <w:top w:val="single" w:sz="4" w:space="0" w:color="000000"/>
              <w:left w:val="single" w:sz="4" w:space="0" w:color="000000"/>
              <w:bottom w:val="single" w:sz="4" w:space="0" w:color="000000"/>
              <w:right w:val="single" w:sz="4" w:space="0" w:color="000000"/>
            </w:tcBorders>
          </w:tcPr>
          <w:p w:rsidR="00950195" w:rsidRPr="004B179B" w:rsidRDefault="00950195" w:rsidP="0084475D">
            <w:pPr>
              <w:pStyle w:val="ATextBericht"/>
              <w:spacing w:before="60"/>
              <w:jc w:val="left"/>
            </w:pPr>
            <w:r w:rsidRPr="004B179B">
              <w:t>Back pain</w:t>
            </w:r>
          </w:p>
        </w:tc>
      </w:tr>
      <w:tr w:rsidR="00950195" w:rsidRPr="004B179B" w:rsidTr="00AC3733">
        <w:tc>
          <w:tcPr>
            <w:tcW w:w="4111" w:type="dxa"/>
            <w:tcBorders>
              <w:top w:val="single" w:sz="4" w:space="0" w:color="000000"/>
              <w:left w:val="single" w:sz="4" w:space="0" w:color="000000"/>
              <w:bottom w:val="single" w:sz="4" w:space="0" w:color="000000"/>
              <w:right w:val="single" w:sz="4" w:space="0" w:color="000000"/>
            </w:tcBorders>
          </w:tcPr>
          <w:p w:rsidR="00950195" w:rsidRPr="004B179B" w:rsidRDefault="00950195" w:rsidP="0084475D">
            <w:pPr>
              <w:pStyle w:val="ATextBericht"/>
              <w:spacing w:before="60"/>
              <w:jc w:val="left"/>
            </w:pPr>
            <w:r w:rsidRPr="004B179B">
              <w:t>Ear and labyrinth disorders</w:t>
            </w:r>
          </w:p>
        </w:tc>
        <w:tc>
          <w:tcPr>
            <w:tcW w:w="4961" w:type="dxa"/>
            <w:tcBorders>
              <w:top w:val="single" w:sz="4" w:space="0" w:color="000000"/>
              <w:left w:val="single" w:sz="4" w:space="0" w:color="000000"/>
              <w:bottom w:val="single" w:sz="4" w:space="0" w:color="000000"/>
              <w:right w:val="single" w:sz="4" w:space="0" w:color="000000"/>
            </w:tcBorders>
          </w:tcPr>
          <w:p w:rsidR="00950195" w:rsidRPr="004B179B" w:rsidRDefault="00950195" w:rsidP="0084475D">
            <w:pPr>
              <w:pStyle w:val="ATextBericht"/>
              <w:spacing w:before="60"/>
              <w:jc w:val="left"/>
            </w:pPr>
            <w:r w:rsidRPr="004B179B">
              <w:t>Vertigo</w:t>
            </w:r>
          </w:p>
        </w:tc>
      </w:tr>
      <w:tr w:rsidR="00950195" w:rsidRPr="004B179B" w:rsidTr="00AC3733">
        <w:tc>
          <w:tcPr>
            <w:tcW w:w="4111" w:type="dxa"/>
            <w:tcBorders>
              <w:top w:val="single" w:sz="4" w:space="0" w:color="000000"/>
              <w:left w:val="single" w:sz="4" w:space="0" w:color="000000"/>
              <w:bottom w:val="single" w:sz="4" w:space="0" w:color="000000"/>
              <w:right w:val="single" w:sz="4" w:space="0" w:color="000000"/>
            </w:tcBorders>
          </w:tcPr>
          <w:p w:rsidR="00950195" w:rsidRPr="004B179B" w:rsidRDefault="00950195" w:rsidP="0084475D">
            <w:pPr>
              <w:pStyle w:val="ATextBericht"/>
              <w:spacing w:before="60"/>
              <w:jc w:val="left"/>
            </w:pPr>
            <w:r w:rsidRPr="004B179B">
              <w:t>Gastrointestinal disorders</w:t>
            </w:r>
          </w:p>
        </w:tc>
        <w:tc>
          <w:tcPr>
            <w:tcW w:w="4961" w:type="dxa"/>
            <w:tcBorders>
              <w:top w:val="single" w:sz="4" w:space="0" w:color="000000"/>
              <w:left w:val="single" w:sz="4" w:space="0" w:color="000000"/>
              <w:bottom w:val="single" w:sz="4" w:space="0" w:color="000000"/>
              <w:right w:val="single" w:sz="4" w:space="0" w:color="000000"/>
            </w:tcBorders>
          </w:tcPr>
          <w:p w:rsidR="00950195" w:rsidRPr="004B179B" w:rsidRDefault="00950195" w:rsidP="0084475D">
            <w:pPr>
              <w:pStyle w:val="ATextBericht"/>
              <w:spacing w:before="60"/>
              <w:jc w:val="left"/>
            </w:pPr>
            <w:r w:rsidRPr="004B179B">
              <w:t>Dry mouth</w:t>
            </w:r>
          </w:p>
        </w:tc>
      </w:tr>
    </w:tbl>
    <w:p w:rsidR="005715AF" w:rsidRPr="004B179B" w:rsidRDefault="00BC7B2B" w:rsidP="00BC7B2B">
      <w:pPr>
        <w:spacing w:after="240"/>
        <w:rPr>
          <w:sz w:val="22"/>
          <w:szCs w:val="22"/>
        </w:rPr>
      </w:pPr>
      <w:r w:rsidRPr="004B179B">
        <w:rPr>
          <w:sz w:val="22"/>
          <w:szCs w:val="22"/>
        </w:rPr>
        <w:t>*</w:t>
      </w:r>
      <w:r w:rsidRPr="004B179B">
        <w:rPr>
          <w:sz w:val="22"/>
          <w:szCs w:val="22"/>
          <w:lang w:val="en-AU"/>
        </w:rPr>
        <w:t xml:space="preserve"> </w:t>
      </w:r>
      <w:r w:rsidR="005715AF" w:rsidRPr="004B179B">
        <w:rPr>
          <w:sz w:val="22"/>
          <w:szCs w:val="22"/>
        </w:rPr>
        <w:t>All these ADRs occurred only once. As the total number of studied patients is 135, the frequency cannot be less than “uncommon” if an ADR occurs once.</w:t>
      </w:r>
    </w:p>
    <w:p w:rsidR="00AC3733" w:rsidRPr="004B179B" w:rsidRDefault="00AC3733" w:rsidP="00521823">
      <w:pPr>
        <w:rPr>
          <w:lang w:val="en-US" w:eastAsia="en-GB"/>
        </w:rPr>
      </w:pPr>
      <w:r w:rsidRPr="004B179B">
        <w:rPr>
          <w:lang w:val="en-US"/>
        </w:rPr>
        <w:t xml:space="preserve">Hypersensitivity </w:t>
      </w:r>
      <w:r w:rsidRPr="004B179B">
        <w:rPr>
          <w:lang w:val="en-US" w:eastAsia="en-GB"/>
        </w:rPr>
        <w:t xml:space="preserve">or allergic reactions (which may include angiooedema, burning and stinging at the infusion site, chills, flushing, generalised urticaria, headache, hives, hypotension, lethargy, nausea, restlessness, tachycardia, tightness of the chest, tingling, vomiting, wheezing) have rarely been observed with FVIII preparations and may in some cases progress to severe anaphylaxis (including shock). </w:t>
      </w:r>
    </w:p>
    <w:p w:rsidR="00AC3733" w:rsidRPr="004B179B" w:rsidRDefault="00AC3733" w:rsidP="00521823">
      <w:pPr>
        <w:rPr>
          <w:lang w:val="en-US" w:eastAsia="en-GB"/>
        </w:rPr>
      </w:pPr>
      <w:r w:rsidRPr="004B179B">
        <w:rPr>
          <w:lang w:val="en-US" w:eastAsia="en-GB"/>
        </w:rPr>
        <w:t xml:space="preserve">Since animal derived proteins are not used during manufacturing and are absent in the final product, the possibility of allergic reactions to such foreign constituents, e.g. trace amounts of mouse or hamster proteins, does not exist with </w:t>
      </w:r>
      <w:r w:rsidR="006E3127">
        <w:t>Nuwiq</w:t>
      </w:r>
      <w:r w:rsidRPr="004B179B">
        <w:rPr>
          <w:lang w:val="en-US" w:eastAsia="en-GB"/>
        </w:rPr>
        <w:t>.</w:t>
      </w:r>
    </w:p>
    <w:p w:rsidR="00AC3733" w:rsidRPr="004B179B" w:rsidRDefault="00AC3733" w:rsidP="00521823">
      <w:pPr>
        <w:rPr>
          <w:lang w:val="en-US"/>
        </w:rPr>
      </w:pPr>
      <w:r w:rsidRPr="004B179B">
        <w:rPr>
          <w:lang w:val="en-US"/>
        </w:rPr>
        <w:t xml:space="preserve">The immunogenicity of </w:t>
      </w:r>
      <w:r w:rsidR="006E3127">
        <w:t>Nuwiq</w:t>
      </w:r>
      <w:r w:rsidR="00BA46FD" w:rsidRPr="004B179B">
        <w:rPr>
          <w:lang w:val="en-US"/>
        </w:rPr>
        <w:t xml:space="preserve"> </w:t>
      </w:r>
      <w:r w:rsidRPr="004B179B">
        <w:rPr>
          <w:lang w:val="en-US"/>
        </w:rPr>
        <w:t>was evaluated in clinical trials in 135 previously treated patients with severe haemophilia A (74 adult and 61 paediatric patients). None of the patients developed inhibitors.</w:t>
      </w:r>
      <w:r w:rsidR="005176BF">
        <w:rPr>
          <w:lang w:val="en-US"/>
        </w:rPr>
        <w:t xml:space="preserve"> </w:t>
      </w:r>
    </w:p>
    <w:p w:rsidR="00AC3733" w:rsidRPr="004B179B" w:rsidRDefault="00AC3733" w:rsidP="00521823">
      <w:pPr>
        <w:rPr>
          <w:lang w:val="en-US"/>
        </w:rPr>
      </w:pPr>
      <w:r w:rsidRPr="004B179B">
        <w:rPr>
          <w:lang w:val="en-US"/>
        </w:rPr>
        <w:t xml:space="preserve">Although so far no inhibitors have been observed for </w:t>
      </w:r>
      <w:r w:rsidR="006E3127">
        <w:t>Nuwiq</w:t>
      </w:r>
      <w:r w:rsidR="00BA46FD" w:rsidRPr="004B179B">
        <w:rPr>
          <w:lang w:val="en-US"/>
        </w:rPr>
        <w:t xml:space="preserve"> </w:t>
      </w:r>
      <w:r w:rsidRPr="004B179B">
        <w:rPr>
          <w:lang w:val="en-US"/>
        </w:rPr>
        <w:t xml:space="preserve">in clinical studies, patients with haemophilia A may develop neutralising antibodies (inhibitors) to factor VIII. If such </w:t>
      </w:r>
      <w:r w:rsidRPr="004B179B">
        <w:rPr>
          <w:lang w:val="en-US"/>
        </w:rPr>
        <w:lastRenderedPageBreak/>
        <w:t>inhibitors occur, the condition will manifest itself as an insufficient clinical response. In such cases, it is recommended that a specialised haemophilia centre be contacted.</w:t>
      </w:r>
    </w:p>
    <w:p w:rsidR="005715AF" w:rsidRPr="00890548" w:rsidRDefault="005715AF" w:rsidP="00151193">
      <w:pPr>
        <w:pStyle w:val="Heading2"/>
        <w:rPr>
          <w:rFonts w:ascii="Times New Roman" w:hAnsi="Times New Roman"/>
          <w:lang w:val="en-US"/>
        </w:rPr>
      </w:pPr>
      <w:r w:rsidRPr="00890548">
        <w:rPr>
          <w:rFonts w:ascii="Times New Roman" w:hAnsi="Times New Roman"/>
          <w:lang w:val="en-US"/>
        </w:rPr>
        <w:t>Description of selected adverse reactions</w:t>
      </w:r>
    </w:p>
    <w:p w:rsidR="00BA46FD" w:rsidRPr="00BA46FD" w:rsidRDefault="005715AF" w:rsidP="009062DE">
      <w:pPr>
        <w:rPr>
          <w:lang w:val="en-AU"/>
        </w:rPr>
      </w:pPr>
      <w:r w:rsidRPr="004B179B">
        <w:rPr>
          <w:lang w:val="en-US"/>
        </w:rPr>
        <w:t>A non-neutrali</w:t>
      </w:r>
      <w:r w:rsidR="00BC7B2B" w:rsidRPr="004B179B">
        <w:rPr>
          <w:lang w:val="en-US"/>
        </w:rPr>
        <w:t>s</w:t>
      </w:r>
      <w:r w:rsidRPr="004B179B">
        <w:rPr>
          <w:lang w:val="en-US"/>
        </w:rPr>
        <w:t xml:space="preserve">ing anti-Factor VIII antibody was detected in one adult patient (see </w:t>
      </w:r>
      <w:r w:rsidR="00BC7B2B" w:rsidRPr="004B179B">
        <w:rPr>
          <w:lang w:val="en-US"/>
        </w:rPr>
        <w:t>Table 4</w:t>
      </w:r>
      <w:r w:rsidRPr="004B179B">
        <w:rPr>
          <w:lang w:val="en-US"/>
        </w:rPr>
        <w:t xml:space="preserve">). </w:t>
      </w:r>
      <w:r w:rsidRPr="004B179B">
        <w:t xml:space="preserve">The sample was tested by the central laboratory at eight dilutions. The result was positive only at dilution factor 1 and the antibody titre was very low. Inhibitory activity, as measured by the modified Bethesda assay, was not detected in this patient. Clinical efficacy and in-vivo recovery of </w:t>
      </w:r>
      <w:r w:rsidR="006E3127">
        <w:t>Nuwiq</w:t>
      </w:r>
      <w:r w:rsidR="00BA46FD" w:rsidRPr="004B179B">
        <w:t xml:space="preserve"> </w:t>
      </w:r>
      <w:r w:rsidRPr="004B179B">
        <w:t>was not affected in this patient.</w:t>
      </w:r>
    </w:p>
    <w:p w:rsidR="005715AF" w:rsidRPr="00890548" w:rsidRDefault="005715AF" w:rsidP="00151193">
      <w:pPr>
        <w:pStyle w:val="Heading2"/>
        <w:rPr>
          <w:rFonts w:ascii="Times New Roman" w:hAnsi="Times New Roman"/>
          <w:lang w:val="en-US"/>
        </w:rPr>
      </w:pPr>
      <w:r w:rsidRPr="00890548">
        <w:rPr>
          <w:rFonts w:ascii="Times New Roman" w:hAnsi="Times New Roman"/>
          <w:lang w:val="en-US"/>
        </w:rPr>
        <w:t>Paediatric population</w:t>
      </w:r>
    </w:p>
    <w:p w:rsidR="005715AF" w:rsidRPr="004B179B" w:rsidRDefault="00BC7B2B" w:rsidP="009062DE">
      <w:pPr>
        <w:rPr>
          <w:lang w:val="en-AU"/>
        </w:rPr>
      </w:pPr>
      <w:r w:rsidRPr="004B179B">
        <w:rPr>
          <w:lang w:val="en-AU"/>
        </w:rPr>
        <w:t>The f</w:t>
      </w:r>
      <w:r w:rsidR="005715AF" w:rsidRPr="004B179B">
        <w:t>requency, type and severity of adverse reactions in children are expected to be the same as in adults.</w:t>
      </w:r>
    </w:p>
    <w:p w:rsidR="004B179B" w:rsidRPr="00890548" w:rsidRDefault="004B179B" w:rsidP="004B179B">
      <w:pPr>
        <w:pStyle w:val="Heading2"/>
        <w:rPr>
          <w:rFonts w:ascii="Times New Roman" w:hAnsi="Times New Roman"/>
          <w:lang w:val="en-US"/>
        </w:rPr>
      </w:pPr>
      <w:r w:rsidRPr="00890548">
        <w:rPr>
          <w:rFonts w:ascii="Times New Roman" w:hAnsi="Times New Roman"/>
          <w:lang w:val="en-US"/>
        </w:rPr>
        <w:t xml:space="preserve">Reporting of suspected adverse reactions </w:t>
      </w:r>
    </w:p>
    <w:p w:rsidR="004B179B" w:rsidRPr="004B179B" w:rsidRDefault="004B179B" w:rsidP="004B179B">
      <w:pPr>
        <w:rPr>
          <w:lang w:val="en-AU"/>
        </w:rPr>
      </w:pPr>
      <w:r w:rsidRPr="004B179B">
        <w:t xml:space="preserve">Reporting suspected adverse reactions after </w:t>
      </w:r>
      <w:r w:rsidRPr="004B179B">
        <w:rPr>
          <w:lang w:val="en-AU"/>
        </w:rPr>
        <w:t>approval</w:t>
      </w:r>
      <w:r w:rsidRPr="004B179B">
        <w:t xml:space="preserve"> of the medicinal product is important. It allows continued monitoring of the benefit/risk balance of the medicinal product. Healthcare professionals are asked to report any suspected adverse reactions</w:t>
      </w:r>
      <w:r w:rsidRPr="004B179B">
        <w:rPr>
          <w:lang w:val="en-AU"/>
        </w:rPr>
        <w:t xml:space="preserve"> directly to Octapharma.</w:t>
      </w:r>
    </w:p>
    <w:p w:rsidR="00F22787" w:rsidRPr="004B179B" w:rsidRDefault="00F22787">
      <w:pPr>
        <w:pStyle w:val="Heading1"/>
        <w:rPr>
          <w:lang w:val="en-GB"/>
        </w:rPr>
      </w:pPr>
      <w:r w:rsidRPr="004B179B">
        <w:rPr>
          <w:lang w:val="en-GB"/>
        </w:rPr>
        <w:t>Dosage and Administration</w:t>
      </w:r>
    </w:p>
    <w:p w:rsidR="009062DE" w:rsidRPr="004B179B" w:rsidRDefault="009062DE" w:rsidP="00521823">
      <w:pPr>
        <w:rPr>
          <w:lang w:val="en-GB"/>
        </w:rPr>
      </w:pPr>
      <w:r w:rsidRPr="004B179B">
        <w:rPr>
          <w:lang w:val="en-GB"/>
        </w:rPr>
        <w:t xml:space="preserve">Treatment should be under the supervision of a physician experienced in the treatment of haemophilia. </w:t>
      </w:r>
    </w:p>
    <w:p w:rsidR="009062DE" w:rsidRPr="00890548" w:rsidRDefault="009062DE" w:rsidP="00151193">
      <w:pPr>
        <w:pStyle w:val="Heading2"/>
        <w:rPr>
          <w:rFonts w:ascii="Times New Roman" w:hAnsi="Times New Roman"/>
          <w:lang w:val="en-US"/>
        </w:rPr>
      </w:pPr>
      <w:r w:rsidRPr="00890548">
        <w:rPr>
          <w:rFonts w:ascii="Times New Roman" w:hAnsi="Times New Roman"/>
          <w:lang w:val="en-US"/>
        </w:rPr>
        <w:t>Dosage</w:t>
      </w:r>
    </w:p>
    <w:p w:rsidR="009062DE" w:rsidRPr="004B179B" w:rsidRDefault="009062DE" w:rsidP="00521823">
      <w:r w:rsidRPr="004B179B">
        <w:t>The dose and duration of the substitution therapy depend on the severity of the factor VIII deficiency, on the location and extent of the bleeding</w:t>
      </w:r>
      <w:r w:rsidR="00E82FB8" w:rsidRPr="004B179B">
        <w:t>,</w:t>
      </w:r>
      <w:r w:rsidRPr="004B179B">
        <w:t xml:space="preserve"> and on the patient’s clinical condition.</w:t>
      </w:r>
    </w:p>
    <w:p w:rsidR="009062DE" w:rsidRPr="004B179B" w:rsidRDefault="009062DE" w:rsidP="00521823">
      <w:r w:rsidRPr="004B179B">
        <w:t>The number of units of factor VIII administered is expressed in International Units (IU), which is related to the current WHO standard for factor VIII products. Factor VIII activity in plasma is expressed either as a percentage (relative to normal human plasma) or in International Units (relative to an International Standard for factor VIII in plasma).</w:t>
      </w:r>
    </w:p>
    <w:p w:rsidR="009062DE" w:rsidRPr="004B179B" w:rsidRDefault="009062DE" w:rsidP="00521823">
      <w:pPr>
        <w:rPr>
          <w:lang w:val="en-US"/>
        </w:rPr>
      </w:pPr>
      <w:r w:rsidRPr="004B179B">
        <w:rPr>
          <w:lang w:val="en-US"/>
        </w:rPr>
        <w:t xml:space="preserve">One International Unit (IU) of factor VIII activity is equivalent to the quantity of factor VIII in one </w:t>
      </w:r>
      <w:r w:rsidR="00E82FB8" w:rsidRPr="004B179B">
        <w:rPr>
          <w:lang w:val="en-US"/>
        </w:rPr>
        <w:t>mL</w:t>
      </w:r>
      <w:r w:rsidRPr="004B179B">
        <w:rPr>
          <w:lang w:val="en-US"/>
        </w:rPr>
        <w:t xml:space="preserve"> of normal human plasma. </w:t>
      </w:r>
    </w:p>
    <w:p w:rsidR="009062DE" w:rsidRPr="00890548" w:rsidRDefault="009062DE" w:rsidP="00151193">
      <w:pPr>
        <w:pStyle w:val="Heading3"/>
        <w:rPr>
          <w:lang w:val="en-US"/>
        </w:rPr>
      </w:pPr>
      <w:r w:rsidRPr="00890548">
        <w:rPr>
          <w:lang w:val="en-US"/>
        </w:rPr>
        <w:t xml:space="preserve">On-demand treatment </w:t>
      </w:r>
    </w:p>
    <w:p w:rsidR="009062DE" w:rsidRPr="004B179B" w:rsidRDefault="009062DE" w:rsidP="00521823">
      <w:pPr>
        <w:rPr>
          <w:lang w:val="en-US"/>
        </w:rPr>
      </w:pPr>
      <w:r w:rsidRPr="004B179B">
        <w:rPr>
          <w:lang w:val="en-US"/>
        </w:rPr>
        <w:t xml:space="preserve">The calculation of the required dose of factor VIII is based on the empirical finding that 1 International Unit (IU) factor VIII per kg body weight raises the plasma factor VIII activity by approximately </w:t>
      </w:r>
      <w:r w:rsidRPr="004B179B">
        <w:t>2</w:t>
      </w:r>
      <w:r w:rsidRPr="004B179B">
        <w:rPr>
          <w:lang w:val="en-US"/>
        </w:rPr>
        <w:t>% of normal activity or 2 IU/</w:t>
      </w:r>
      <w:r w:rsidR="00E82FB8" w:rsidRPr="004B179B">
        <w:rPr>
          <w:lang w:val="en-US"/>
        </w:rPr>
        <w:t>dL</w:t>
      </w:r>
      <w:r w:rsidRPr="004B179B">
        <w:rPr>
          <w:lang w:val="en-US"/>
        </w:rPr>
        <w:t xml:space="preserve">. The required dose is determined using the following formula: </w:t>
      </w:r>
    </w:p>
    <w:p w:rsidR="009062DE" w:rsidRPr="004B179B" w:rsidRDefault="009062DE" w:rsidP="009062DE">
      <w:pPr>
        <w:pStyle w:val="ATextBericht"/>
        <w:numPr>
          <w:ilvl w:val="0"/>
          <w:numId w:val="29"/>
        </w:numPr>
        <w:rPr>
          <w:lang w:val="en-US"/>
        </w:rPr>
      </w:pPr>
      <w:r w:rsidRPr="004B179B">
        <w:rPr>
          <w:lang w:val="en-US"/>
        </w:rPr>
        <w:t>Required units = body weight (kg) x desired factor VIII rise (%) (IU/</w:t>
      </w:r>
      <w:r w:rsidR="00E82FB8" w:rsidRPr="004B179B">
        <w:rPr>
          <w:lang w:val="en-US"/>
        </w:rPr>
        <w:t>dL</w:t>
      </w:r>
      <w:r w:rsidRPr="004B179B">
        <w:rPr>
          <w:lang w:val="en-US"/>
        </w:rPr>
        <w:t>) x 0.5 (IU/kg per IU/</w:t>
      </w:r>
      <w:r w:rsidR="00E82FB8" w:rsidRPr="004B179B">
        <w:rPr>
          <w:lang w:val="en-US"/>
        </w:rPr>
        <w:t>dL</w:t>
      </w:r>
      <w:r w:rsidRPr="004B179B">
        <w:rPr>
          <w:lang w:val="en-US"/>
        </w:rPr>
        <w:t>)</w:t>
      </w:r>
    </w:p>
    <w:p w:rsidR="009062DE" w:rsidRPr="004B179B" w:rsidRDefault="009062DE" w:rsidP="009062DE">
      <w:pPr>
        <w:pStyle w:val="ATextBericht"/>
        <w:numPr>
          <w:ilvl w:val="0"/>
          <w:numId w:val="29"/>
        </w:numPr>
        <w:jc w:val="left"/>
        <w:rPr>
          <w:lang w:val="en-US"/>
        </w:rPr>
      </w:pPr>
      <w:r w:rsidRPr="004B179B">
        <w:rPr>
          <w:lang w:val="en-US"/>
        </w:rPr>
        <w:t xml:space="preserve">Expected factor VIII rise (% of normal) = </w:t>
      </w:r>
      <w:r w:rsidRPr="004B179B">
        <w:rPr>
          <w:u w:val="single"/>
          <w:lang w:val="en-US"/>
        </w:rPr>
        <w:t>2 x administered IU</w:t>
      </w:r>
      <w:r w:rsidRPr="004B179B">
        <w:rPr>
          <w:u w:val="single"/>
          <w:lang w:val="en-US"/>
        </w:rPr>
        <w:br/>
      </w:r>
      <w:r w:rsidR="00E82FB8" w:rsidRPr="004B179B">
        <w:rPr>
          <w:lang w:val="en-US"/>
        </w:rPr>
        <w:tab/>
      </w:r>
      <w:r w:rsidR="00E82FB8" w:rsidRPr="004B179B">
        <w:rPr>
          <w:lang w:val="en-US"/>
        </w:rPr>
        <w:tab/>
      </w:r>
      <w:r w:rsidR="00E82FB8" w:rsidRPr="004B179B">
        <w:rPr>
          <w:lang w:val="en-US"/>
        </w:rPr>
        <w:tab/>
      </w:r>
      <w:r w:rsidR="00E82FB8" w:rsidRPr="004B179B">
        <w:rPr>
          <w:lang w:val="en-US"/>
        </w:rPr>
        <w:tab/>
      </w:r>
      <w:r w:rsidR="00E82FB8" w:rsidRPr="004B179B">
        <w:rPr>
          <w:lang w:val="en-US"/>
        </w:rPr>
        <w:tab/>
      </w:r>
      <w:r w:rsidR="00E82FB8" w:rsidRPr="004B179B">
        <w:rPr>
          <w:lang w:val="en-US"/>
        </w:rPr>
        <w:tab/>
      </w:r>
      <w:r w:rsidR="00A44C40">
        <w:rPr>
          <w:lang w:val="en-US"/>
        </w:rPr>
        <w:t xml:space="preserve">      </w:t>
      </w:r>
      <w:r w:rsidRPr="004B179B">
        <w:rPr>
          <w:lang w:val="en-US"/>
        </w:rPr>
        <w:t>body weight (kg)</w:t>
      </w:r>
    </w:p>
    <w:p w:rsidR="009062DE" w:rsidRPr="005E4945" w:rsidRDefault="009062DE" w:rsidP="00521823">
      <w:r w:rsidRPr="004B179B">
        <w:t xml:space="preserve">The amount to be administered and the frequency of administration should always be </w:t>
      </w:r>
      <w:r w:rsidR="00E82FB8" w:rsidRPr="004B179B">
        <w:t xml:space="preserve">tailored for </w:t>
      </w:r>
      <w:r w:rsidRPr="004B179B">
        <w:t>clinical effect</w:t>
      </w:r>
      <w:r w:rsidR="00E82FB8" w:rsidRPr="004B179B">
        <w:t>iveness on an individual basis</w:t>
      </w:r>
      <w:r w:rsidRPr="004B179B">
        <w:t xml:space="preserve">. </w:t>
      </w:r>
    </w:p>
    <w:p w:rsidR="009062DE" w:rsidRPr="002C4D93" w:rsidRDefault="009062DE" w:rsidP="00521823">
      <w:pPr>
        <w:rPr>
          <w:lang w:val="en-US"/>
        </w:rPr>
      </w:pPr>
      <w:r w:rsidRPr="004B179B">
        <w:lastRenderedPageBreak/>
        <w:t>In the case of the following haemorrhagic events, factor VIII activity should not fall below the given plasma activity level (in % of normal or IU/</w:t>
      </w:r>
      <w:r w:rsidR="0029210F" w:rsidRPr="004B179B">
        <w:t>dL</w:t>
      </w:r>
      <w:r w:rsidRPr="004B179B">
        <w:t xml:space="preserve">) in </w:t>
      </w:r>
      <w:r w:rsidRPr="00521823">
        <w:t>the corresponding period. The following table can be used to guide dosing in bleeding episodes and</w:t>
      </w:r>
      <w:r w:rsidRPr="004B179B">
        <w:t xml:space="preserve"> surgery.</w:t>
      </w:r>
      <w:r w:rsidR="00D165BB" w:rsidRPr="00D165BB">
        <w:rPr>
          <w:lang w:val="en-US"/>
        </w:rPr>
        <w:t xml:space="preserve"> </w:t>
      </w:r>
      <w:r w:rsidR="002C4D93">
        <w:rPr>
          <w:lang w:val="en-US"/>
        </w:rPr>
        <w:t xml:space="preserve">The </w:t>
      </w:r>
      <w:r w:rsidR="002C4D93" w:rsidRPr="002C4D93">
        <w:rPr>
          <w:lang w:val="en-US"/>
        </w:rPr>
        <w:t xml:space="preserve">provided dose formula assumes for convenience an incremental recovery of 2%/IU/kg </w:t>
      </w:r>
      <w:r w:rsidR="002C4D93">
        <w:rPr>
          <w:lang w:val="en-US"/>
        </w:rPr>
        <w:t xml:space="preserve">although clinical studies with </w:t>
      </w:r>
      <w:r w:rsidR="002C4D93" w:rsidRPr="002C4D93">
        <w:rPr>
          <w:lang w:val="en-US"/>
        </w:rPr>
        <w:t>simoctocog alfa</w:t>
      </w:r>
      <w:r w:rsidR="002C4D93">
        <w:rPr>
          <w:lang w:val="en-US"/>
        </w:rPr>
        <w:t xml:space="preserve"> revealed a </w:t>
      </w:r>
      <w:r w:rsidR="002C4D93" w:rsidRPr="002C4D93">
        <w:rPr>
          <w:lang w:val="en-US"/>
        </w:rPr>
        <w:t xml:space="preserve">mean incremental recovery </w:t>
      </w:r>
      <w:r w:rsidR="00A44C40">
        <w:rPr>
          <w:lang w:val="en-US"/>
        </w:rPr>
        <w:t xml:space="preserve">of </w:t>
      </w:r>
      <w:r w:rsidR="002C4D93" w:rsidRPr="002C4D93">
        <w:rPr>
          <w:lang w:val="en-US"/>
        </w:rPr>
        <w:t>&gt;2%/IU/kg in adults and &lt;2%/IU/kg in children (</w:t>
      </w:r>
      <w:r w:rsidR="00A44C40">
        <w:rPr>
          <w:lang w:val="en-US"/>
        </w:rPr>
        <w:t>see Tables</w:t>
      </w:r>
      <w:r w:rsidR="002C4D93">
        <w:rPr>
          <w:lang w:val="en-US"/>
        </w:rPr>
        <w:t xml:space="preserve"> 1,</w:t>
      </w:r>
      <w:r w:rsidR="00A44C40">
        <w:rPr>
          <w:lang w:val="en-US"/>
        </w:rPr>
        <w:t xml:space="preserve"> </w:t>
      </w:r>
      <w:r w:rsidR="002C4D93">
        <w:rPr>
          <w:lang w:val="en-US"/>
        </w:rPr>
        <w:t>2 and</w:t>
      </w:r>
      <w:r w:rsidR="007401B3">
        <w:rPr>
          <w:lang w:val="en-US"/>
        </w:rPr>
        <w:t xml:space="preserve"> </w:t>
      </w:r>
      <w:r w:rsidR="002C4D93">
        <w:rPr>
          <w:lang w:val="en-US"/>
        </w:rPr>
        <w:t>3)</w:t>
      </w:r>
      <w:r w:rsidR="0006627E">
        <w:rPr>
          <w:lang w:val="en-US"/>
        </w:rPr>
        <w:t>.</w:t>
      </w:r>
    </w:p>
    <w:tbl>
      <w:tblPr>
        <w:tblW w:w="9000" w:type="dxa"/>
        <w:tblInd w:w="180" w:type="dxa"/>
        <w:tblLayout w:type="fixed"/>
        <w:tblLook w:val="04A0" w:firstRow="1" w:lastRow="0" w:firstColumn="1" w:lastColumn="0" w:noHBand="0" w:noVBand="1"/>
      </w:tblPr>
      <w:tblGrid>
        <w:gridCol w:w="3330"/>
        <w:gridCol w:w="2268"/>
        <w:gridCol w:w="3402"/>
      </w:tblGrid>
      <w:tr w:rsidR="009062DE" w:rsidRPr="004B179B" w:rsidTr="00A37E0C">
        <w:trPr>
          <w:cantSplit/>
        </w:trPr>
        <w:tc>
          <w:tcPr>
            <w:tcW w:w="3330" w:type="dxa"/>
            <w:tcBorders>
              <w:top w:val="single" w:sz="12" w:space="0" w:color="auto"/>
              <w:left w:val="single" w:sz="8" w:space="0" w:color="FFFFFF"/>
              <w:bottom w:val="single" w:sz="12" w:space="0" w:color="auto"/>
              <w:right w:val="single" w:sz="8" w:space="0" w:color="FFFFFF"/>
            </w:tcBorders>
            <w:hideMark/>
          </w:tcPr>
          <w:p w:rsidR="009062DE" w:rsidRPr="004B179B" w:rsidRDefault="009062DE" w:rsidP="0084475D">
            <w:pPr>
              <w:pStyle w:val="Default"/>
              <w:spacing w:before="60" w:after="60"/>
              <w:rPr>
                <w:rFonts w:ascii="Times New Roman" w:hAnsi="Times New Roman"/>
                <w:b/>
                <w:color w:val="auto"/>
                <w:szCs w:val="22"/>
                <w:lang w:val="en-GB"/>
              </w:rPr>
            </w:pPr>
            <w:r w:rsidRPr="004B179B">
              <w:rPr>
                <w:rFonts w:ascii="Times New Roman" w:hAnsi="Times New Roman"/>
                <w:b/>
                <w:color w:val="auto"/>
                <w:szCs w:val="22"/>
                <w:lang w:val="en-GB"/>
              </w:rPr>
              <w:t xml:space="preserve">Degree of haemorrhage/ </w:t>
            </w:r>
            <w:r w:rsidRPr="004B179B">
              <w:rPr>
                <w:rFonts w:ascii="Times New Roman" w:hAnsi="Times New Roman"/>
                <w:b/>
                <w:color w:val="auto"/>
                <w:szCs w:val="22"/>
                <w:lang w:val="en-GB"/>
              </w:rPr>
              <w:br/>
              <w:t xml:space="preserve">Type of surgical procedure </w:t>
            </w:r>
          </w:p>
        </w:tc>
        <w:tc>
          <w:tcPr>
            <w:tcW w:w="2268" w:type="dxa"/>
            <w:tcBorders>
              <w:top w:val="single" w:sz="12" w:space="0" w:color="auto"/>
              <w:left w:val="single" w:sz="8" w:space="0" w:color="FFFFFF"/>
              <w:bottom w:val="single" w:sz="12" w:space="0" w:color="auto"/>
              <w:right w:val="single" w:sz="8" w:space="0" w:color="FFFFFF"/>
            </w:tcBorders>
            <w:hideMark/>
          </w:tcPr>
          <w:p w:rsidR="009062DE" w:rsidRPr="004B179B" w:rsidRDefault="009062DE" w:rsidP="0084475D">
            <w:pPr>
              <w:pStyle w:val="Default"/>
              <w:spacing w:before="60" w:after="60"/>
              <w:jc w:val="center"/>
              <w:rPr>
                <w:rFonts w:ascii="Times New Roman" w:hAnsi="Times New Roman"/>
                <w:b/>
                <w:color w:val="auto"/>
                <w:szCs w:val="22"/>
                <w:lang w:val="en-GB"/>
              </w:rPr>
            </w:pPr>
            <w:r w:rsidRPr="004B179B">
              <w:rPr>
                <w:rFonts w:ascii="Times New Roman" w:hAnsi="Times New Roman"/>
                <w:b/>
                <w:color w:val="auto"/>
                <w:szCs w:val="22"/>
                <w:lang w:val="en-GB"/>
              </w:rPr>
              <w:t>Factor VIII level required (%) (IU/dL)</w:t>
            </w:r>
          </w:p>
        </w:tc>
        <w:tc>
          <w:tcPr>
            <w:tcW w:w="3402" w:type="dxa"/>
            <w:tcBorders>
              <w:top w:val="single" w:sz="12" w:space="0" w:color="auto"/>
              <w:left w:val="single" w:sz="8" w:space="0" w:color="FFFFFF"/>
              <w:bottom w:val="single" w:sz="12" w:space="0" w:color="auto"/>
              <w:right w:val="single" w:sz="8" w:space="0" w:color="FFFFFF"/>
            </w:tcBorders>
            <w:hideMark/>
          </w:tcPr>
          <w:p w:rsidR="009062DE" w:rsidRPr="004B179B" w:rsidRDefault="009062DE" w:rsidP="0084475D">
            <w:pPr>
              <w:pStyle w:val="Default"/>
              <w:spacing w:before="60" w:after="60"/>
              <w:rPr>
                <w:rFonts w:ascii="Times New Roman" w:hAnsi="Times New Roman"/>
                <w:b/>
                <w:color w:val="auto"/>
                <w:szCs w:val="22"/>
                <w:lang w:val="en-GB"/>
              </w:rPr>
            </w:pPr>
            <w:r w:rsidRPr="004B179B">
              <w:rPr>
                <w:rFonts w:ascii="Times New Roman" w:hAnsi="Times New Roman"/>
                <w:b/>
                <w:color w:val="auto"/>
                <w:szCs w:val="22"/>
                <w:lang w:val="en-GB"/>
              </w:rPr>
              <w:t xml:space="preserve">Frequency of doses (hours)/ Duration of therapy (days) </w:t>
            </w:r>
          </w:p>
        </w:tc>
      </w:tr>
      <w:tr w:rsidR="009062DE" w:rsidRPr="004B179B" w:rsidTr="00A37E0C">
        <w:trPr>
          <w:cantSplit/>
        </w:trPr>
        <w:tc>
          <w:tcPr>
            <w:tcW w:w="3330" w:type="dxa"/>
            <w:tcBorders>
              <w:top w:val="single" w:sz="12" w:space="0" w:color="auto"/>
              <w:left w:val="single" w:sz="8" w:space="0" w:color="FFFFFF"/>
              <w:bottom w:val="dotted" w:sz="4" w:space="0" w:color="auto"/>
              <w:right w:val="single" w:sz="8" w:space="0" w:color="FFFFFF"/>
            </w:tcBorders>
            <w:hideMark/>
          </w:tcPr>
          <w:p w:rsidR="009062DE" w:rsidRPr="004B179B" w:rsidRDefault="00515947" w:rsidP="0084475D">
            <w:pPr>
              <w:pStyle w:val="Default"/>
              <w:spacing w:before="60" w:after="60"/>
              <w:rPr>
                <w:rFonts w:ascii="Times New Roman" w:hAnsi="Times New Roman"/>
                <w:color w:val="auto"/>
                <w:szCs w:val="22"/>
                <w:u w:val="single"/>
                <w:lang w:val="en-GB"/>
              </w:rPr>
            </w:pPr>
            <w:r w:rsidRPr="004B179B">
              <w:rPr>
                <w:rFonts w:ascii="Times New Roman" w:hAnsi="Times New Roman"/>
                <w:color w:val="auto"/>
                <w:szCs w:val="22"/>
                <w:u w:val="single"/>
                <w:lang w:val="en-GB"/>
              </w:rPr>
              <w:t>Haemorrhage</w:t>
            </w:r>
          </w:p>
        </w:tc>
        <w:tc>
          <w:tcPr>
            <w:tcW w:w="2268" w:type="dxa"/>
            <w:tcBorders>
              <w:top w:val="single" w:sz="12" w:space="0" w:color="auto"/>
              <w:left w:val="single" w:sz="8" w:space="0" w:color="FFFFFF"/>
              <w:bottom w:val="dotted" w:sz="4" w:space="0" w:color="auto"/>
              <w:right w:val="single" w:sz="8" w:space="0" w:color="FFFFFF"/>
            </w:tcBorders>
            <w:hideMark/>
          </w:tcPr>
          <w:p w:rsidR="009062DE" w:rsidRPr="004B179B" w:rsidRDefault="009062DE" w:rsidP="007C54AA">
            <w:pPr>
              <w:rPr>
                <w:sz w:val="20"/>
                <w:lang w:val="de-AT" w:eastAsia="de-AT"/>
              </w:rPr>
            </w:pPr>
          </w:p>
        </w:tc>
        <w:tc>
          <w:tcPr>
            <w:tcW w:w="3402" w:type="dxa"/>
            <w:tcBorders>
              <w:top w:val="single" w:sz="12" w:space="0" w:color="auto"/>
              <w:left w:val="single" w:sz="8" w:space="0" w:color="FFFFFF"/>
              <w:bottom w:val="dotted" w:sz="4" w:space="0" w:color="auto"/>
              <w:right w:val="single" w:sz="8" w:space="0" w:color="FFFFFF"/>
            </w:tcBorders>
            <w:hideMark/>
          </w:tcPr>
          <w:p w:rsidR="009062DE" w:rsidRPr="004B179B" w:rsidRDefault="009062DE" w:rsidP="007C54AA">
            <w:pPr>
              <w:rPr>
                <w:sz w:val="20"/>
                <w:lang w:val="de-AT" w:eastAsia="de-AT"/>
              </w:rPr>
            </w:pPr>
          </w:p>
        </w:tc>
      </w:tr>
      <w:tr w:rsidR="009062DE" w:rsidRPr="004B179B" w:rsidTr="00A37E0C">
        <w:trPr>
          <w:cantSplit/>
        </w:trPr>
        <w:tc>
          <w:tcPr>
            <w:tcW w:w="3330" w:type="dxa"/>
            <w:tcBorders>
              <w:top w:val="dotted" w:sz="4" w:space="0" w:color="auto"/>
              <w:left w:val="single" w:sz="8" w:space="0" w:color="FFFFFF"/>
              <w:bottom w:val="dotted" w:sz="2" w:space="0" w:color="auto"/>
              <w:right w:val="single" w:sz="8" w:space="0" w:color="FFFFFF"/>
            </w:tcBorders>
            <w:hideMark/>
          </w:tcPr>
          <w:p w:rsidR="009062DE" w:rsidRPr="004B179B" w:rsidRDefault="009062DE" w:rsidP="0084475D">
            <w:pPr>
              <w:pStyle w:val="Default"/>
              <w:spacing w:before="60" w:after="60"/>
              <w:rPr>
                <w:rFonts w:ascii="Times New Roman" w:hAnsi="Times New Roman"/>
                <w:color w:val="auto"/>
                <w:szCs w:val="22"/>
                <w:lang w:val="en-GB"/>
              </w:rPr>
            </w:pPr>
            <w:r w:rsidRPr="004B179B">
              <w:rPr>
                <w:rFonts w:ascii="Times New Roman" w:hAnsi="Times New Roman"/>
                <w:color w:val="auto"/>
                <w:szCs w:val="22"/>
                <w:lang w:val="en-GB"/>
              </w:rPr>
              <w:t xml:space="preserve">Early haemarthrosis, muscle bleeding or oral bleeding </w:t>
            </w:r>
          </w:p>
        </w:tc>
        <w:tc>
          <w:tcPr>
            <w:tcW w:w="2268" w:type="dxa"/>
            <w:tcBorders>
              <w:top w:val="dotted" w:sz="4" w:space="0" w:color="auto"/>
              <w:left w:val="single" w:sz="8" w:space="0" w:color="FFFFFF"/>
              <w:bottom w:val="dotted" w:sz="2" w:space="0" w:color="auto"/>
              <w:right w:val="single" w:sz="8" w:space="0" w:color="FFFFFF"/>
            </w:tcBorders>
            <w:hideMark/>
          </w:tcPr>
          <w:p w:rsidR="009062DE" w:rsidRPr="004B179B" w:rsidRDefault="009062DE" w:rsidP="0084475D">
            <w:pPr>
              <w:pStyle w:val="Default"/>
              <w:spacing w:before="60" w:after="60"/>
              <w:jc w:val="center"/>
              <w:rPr>
                <w:rFonts w:ascii="Times New Roman" w:hAnsi="Times New Roman"/>
                <w:color w:val="auto"/>
                <w:szCs w:val="22"/>
                <w:lang w:val="en-GB"/>
              </w:rPr>
            </w:pPr>
            <w:r w:rsidRPr="004B179B">
              <w:rPr>
                <w:rFonts w:ascii="Times New Roman" w:hAnsi="Times New Roman"/>
                <w:color w:val="auto"/>
                <w:szCs w:val="22"/>
                <w:lang w:val="en-GB"/>
              </w:rPr>
              <w:t>20–40</w:t>
            </w:r>
          </w:p>
        </w:tc>
        <w:tc>
          <w:tcPr>
            <w:tcW w:w="3402" w:type="dxa"/>
            <w:tcBorders>
              <w:top w:val="dotted" w:sz="4" w:space="0" w:color="auto"/>
              <w:left w:val="single" w:sz="8" w:space="0" w:color="FFFFFF"/>
              <w:bottom w:val="dotted" w:sz="2" w:space="0" w:color="auto"/>
              <w:right w:val="single" w:sz="8" w:space="0" w:color="FFFFFF"/>
            </w:tcBorders>
            <w:hideMark/>
          </w:tcPr>
          <w:p w:rsidR="009062DE" w:rsidRPr="004B179B" w:rsidRDefault="00AF1C37" w:rsidP="0084475D">
            <w:pPr>
              <w:pStyle w:val="Default"/>
              <w:spacing w:before="60" w:after="60"/>
              <w:rPr>
                <w:rFonts w:ascii="Times New Roman" w:hAnsi="Times New Roman"/>
                <w:color w:val="auto"/>
                <w:szCs w:val="22"/>
                <w:lang w:val="en-GB"/>
              </w:rPr>
            </w:pPr>
            <w:r>
              <w:rPr>
                <w:rFonts w:ascii="Times New Roman" w:hAnsi="Times New Roman"/>
                <w:color w:val="auto"/>
                <w:szCs w:val="22"/>
                <w:lang w:val="en-GB"/>
              </w:rPr>
              <w:t>10–20 IU/kg, r</w:t>
            </w:r>
            <w:r w:rsidR="009062DE" w:rsidRPr="004B179B">
              <w:rPr>
                <w:rFonts w:ascii="Times New Roman" w:hAnsi="Times New Roman"/>
                <w:color w:val="auto"/>
                <w:szCs w:val="22"/>
                <w:lang w:val="en-GB"/>
              </w:rPr>
              <w:t>epeat every 12</w:t>
            </w:r>
            <w:r>
              <w:rPr>
                <w:rFonts w:ascii="Times New Roman" w:hAnsi="Times New Roman"/>
                <w:color w:val="auto"/>
                <w:szCs w:val="22"/>
                <w:lang w:val="en-GB"/>
              </w:rPr>
              <w:t>–24</w:t>
            </w:r>
            <w:r w:rsidR="009062DE" w:rsidRPr="004B179B">
              <w:rPr>
                <w:rFonts w:ascii="Times New Roman" w:hAnsi="Times New Roman"/>
                <w:color w:val="auto"/>
                <w:szCs w:val="22"/>
                <w:lang w:val="en-GB"/>
              </w:rPr>
              <w:t xml:space="preserve"> hours. At least </w:t>
            </w:r>
            <w:r>
              <w:rPr>
                <w:rFonts w:ascii="Times New Roman" w:hAnsi="Times New Roman"/>
                <w:color w:val="auto"/>
                <w:szCs w:val="22"/>
                <w:lang w:val="en-GB"/>
              </w:rPr>
              <w:t>one</w:t>
            </w:r>
            <w:r w:rsidR="009062DE" w:rsidRPr="004B179B">
              <w:rPr>
                <w:rFonts w:ascii="Times New Roman" w:hAnsi="Times New Roman"/>
                <w:color w:val="auto"/>
                <w:szCs w:val="22"/>
                <w:lang w:val="en-GB"/>
              </w:rPr>
              <w:t xml:space="preserve"> day, until the </w:t>
            </w:r>
            <w:r>
              <w:rPr>
                <w:rFonts w:ascii="Times New Roman" w:hAnsi="Times New Roman"/>
                <w:color w:val="auto"/>
                <w:szCs w:val="22"/>
                <w:lang w:val="en-GB"/>
              </w:rPr>
              <w:t>BE</w:t>
            </w:r>
            <w:r w:rsidR="009062DE" w:rsidRPr="004B179B">
              <w:rPr>
                <w:rFonts w:ascii="Times New Roman" w:hAnsi="Times New Roman"/>
                <w:color w:val="auto"/>
                <w:szCs w:val="22"/>
                <w:lang w:val="en-GB"/>
              </w:rPr>
              <w:t xml:space="preserve"> as indicated by pain</w:t>
            </w:r>
            <w:r>
              <w:rPr>
                <w:rFonts w:ascii="Times New Roman" w:hAnsi="Times New Roman"/>
                <w:color w:val="auto"/>
                <w:szCs w:val="22"/>
                <w:lang w:val="en-GB"/>
              </w:rPr>
              <w:t>,</w:t>
            </w:r>
            <w:r w:rsidR="009062DE" w:rsidRPr="004B179B">
              <w:rPr>
                <w:rFonts w:ascii="Times New Roman" w:hAnsi="Times New Roman"/>
                <w:color w:val="auto"/>
                <w:szCs w:val="22"/>
                <w:lang w:val="en-GB"/>
              </w:rPr>
              <w:t xml:space="preserve"> is resolved or healing is achieved</w:t>
            </w:r>
          </w:p>
        </w:tc>
      </w:tr>
      <w:tr w:rsidR="009062DE" w:rsidRPr="004B179B" w:rsidTr="00A37E0C">
        <w:trPr>
          <w:cantSplit/>
        </w:trPr>
        <w:tc>
          <w:tcPr>
            <w:tcW w:w="3330" w:type="dxa"/>
            <w:tcBorders>
              <w:top w:val="dotted" w:sz="2" w:space="0" w:color="auto"/>
              <w:left w:val="single" w:sz="8" w:space="0" w:color="FFFFFF"/>
              <w:bottom w:val="dotted" w:sz="2" w:space="0" w:color="auto"/>
              <w:right w:val="single" w:sz="8" w:space="0" w:color="FFFFFF"/>
            </w:tcBorders>
            <w:hideMark/>
          </w:tcPr>
          <w:p w:rsidR="009062DE" w:rsidRPr="004B179B" w:rsidRDefault="009062DE" w:rsidP="0084475D">
            <w:pPr>
              <w:pStyle w:val="Default"/>
              <w:spacing w:before="60" w:after="60"/>
              <w:rPr>
                <w:rFonts w:ascii="Times New Roman" w:hAnsi="Times New Roman"/>
                <w:color w:val="auto"/>
                <w:szCs w:val="22"/>
                <w:lang w:val="en-GB"/>
              </w:rPr>
            </w:pPr>
            <w:r w:rsidRPr="004B179B">
              <w:rPr>
                <w:rFonts w:ascii="Times New Roman" w:hAnsi="Times New Roman"/>
                <w:color w:val="auto"/>
                <w:szCs w:val="22"/>
                <w:lang w:val="en-GB"/>
              </w:rPr>
              <w:t xml:space="preserve">More extensive haemarthrosis, muscle bleeding or haematoma </w:t>
            </w:r>
          </w:p>
        </w:tc>
        <w:tc>
          <w:tcPr>
            <w:tcW w:w="2268" w:type="dxa"/>
            <w:tcBorders>
              <w:top w:val="dotted" w:sz="2" w:space="0" w:color="auto"/>
              <w:left w:val="single" w:sz="8" w:space="0" w:color="FFFFFF"/>
              <w:bottom w:val="dotted" w:sz="2" w:space="0" w:color="auto"/>
              <w:right w:val="single" w:sz="8" w:space="0" w:color="FFFFFF"/>
            </w:tcBorders>
            <w:hideMark/>
          </w:tcPr>
          <w:p w:rsidR="009062DE" w:rsidRPr="004B179B" w:rsidRDefault="009062DE" w:rsidP="0084475D">
            <w:pPr>
              <w:pStyle w:val="Default"/>
              <w:spacing w:before="60" w:after="60"/>
              <w:jc w:val="center"/>
              <w:rPr>
                <w:rFonts w:ascii="Times New Roman" w:hAnsi="Times New Roman"/>
                <w:color w:val="auto"/>
                <w:szCs w:val="22"/>
                <w:lang w:val="en-GB"/>
              </w:rPr>
            </w:pPr>
            <w:r w:rsidRPr="004B179B">
              <w:rPr>
                <w:rFonts w:ascii="Times New Roman" w:hAnsi="Times New Roman"/>
                <w:color w:val="auto"/>
                <w:szCs w:val="22"/>
                <w:lang w:val="en-GB"/>
              </w:rPr>
              <w:t>30–60</w:t>
            </w:r>
          </w:p>
        </w:tc>
        <w:tc>
          <w:tcPr>
            <w:tcW w:w="3402" w:type="dxa"/>
            <w:tcBorders>
              <w:top w:val="dotted" w:sz="2" w:space="0" w:color="auto"/>
              <w:left w:val="single" w:sz="8" w:space="0" w:color="FFFFFF"/>
              <w:bottom w:val="dotted" w:sz="2" w:space="0" w:color="auto"/>
              <w:right w:val="single" w:sz="8" w:space="0" w:color="FFFFFF"/>
            </w:tcBorders>
            <w:hideMark/>
          </w:tcPr>
          <w:p w:rsidR="009062DE" w:rsidRPr="004B179B" w:rsidRDefault="00AF1C37" w:rsidP="0084475D">
            <w:pPr>
              <w:pStyle w:val="Default"/>
              <w:spacing w:before="60" w:after="60"/>
              <w:rPr>
                <w:rFonts w:ascii="Times New Roman" w:hAnsi="Times New Roman"/>
                <w:color w:val="auto"/>
                <w:szCs w:val="22"/>
                <w:lang w:val="en-GB"/>
              </w:rPr>
            </w:pPr>
            <w:r>
              <w:rPr>
                <w:rFonts w:ascii="Times New Roman" w:hAnsi="Times New Roman"/>
                <w:color w:val="auto"/>
                <w:szCs w:val="22"/>
                <w:lang w:val="en-GB"/>
              </w:rPr>
              <w:t>15–30 IU/kg, r</w:t>
            </w:r>
            <w:r w:rsidR="009062DE" w:rsidRPr="004B179B">
              <w:rPr>
                <w:rFonts w:ascii="Times New Roman" w:hAnsi="Times New Roman"/>
                <w:color w:val="auto"/>
                <w:szCs w:val="22"/>
                <w:lang w:val="en-GB"/>
              </w:rPr>
              <w:t>epeat infusion every 12</w:t>
            </w:r>
            <w:r>
              <w:rPr>
                <w:rFonts w:ascii="Times New Roman" w:hAnsi="Times New Roman"/>
                <w:color w:val="auto"/>
                <w:szCs w:val="22"/>
                <w:lang w:val="en-GB"/>
              </w:rPr>
              <w:t>–</w:t>
            </w:r>
            <w:r w:rsidR="009062DE" w:rsidRPr="004B179B">
              <w:rPr>
                <w:rFonts w:ascii="Times New Roman" w:hAnsi="Times New Roman"/>
                <w:color w:val="auto"/>
                <w:szCs w:val="22"/>
                <w:lang w:val="en-GB"/>
              </w:rPr>
              <w:t>24 hours for 3</w:t>
            </w:r>
            <w:r>
              <w:rPr>
                <w:rFonts w:ascii="Times New Roman" w:hAnsi="Times New Roman"/>
                <w:color w:val="auto"/>
                <w:szCs w:val="22"/>
                <w:lang w:val="en-GB"/>
              </w:rPr>
              <w:t>–</w:t>
            </w:r>
            <w:r w:rsidR="009062DE" w:rsidRPr="004B179B">
              <w:rPr>
                <w:rFonts w:ascii="Times New Roman" w:hAnsi="Times New Roman"/>
                <w:color w:val="auto"/>
                <w:szCs w:val="22"/>
                <w:lang w:val="en-GB"/>
              </w:rPr>
              <w:t xml:space="preserve">4 days or more until pain and acute disability are resolved </w:t>
            </w:r>
          </w:p>
        </w:tc>
      </w:tr>
      <w:tr w:rsidR="009062DE" w:rsidRPr="004B179B" w:rsidTr="00A37E0C">
        <w:trPr>
          <w:cantSplit/>
        </w:trPr>
        <w:tc>
          <w:tcPr>
            <w:tcW w:w="3330" w:type="dxa"/>
            <w:tcBorders>
              <w:top w:val="dotted" w:sz="2" w:space="0" w:color="auto"/>
              <w:left w:val="single" w:sz="8" w:space="0" w:color="FFFFFF"/>
              <w:bottom w:val="single" w:sz="12" w:space="0" w:color="auto"/>
              <w:right w:val="single" w:sz="8" w:space="0" w:color="FFFFFF"/>
            </w:tcBorders>
            <w:hideMark/>
          </w:tcPr>
          <w:p w:rsidR="009062DE" w:rsidRPr="004B179B" w:rsidRDefault="009062DE" w:rsidP="0084475D">
            <w:pPr>
              <w:pStyle w:val="Default"/>
              <w:spacing w:before="60" w:after="60"/>
              <w:rPr>
                <w:rFonts w:ascii="Times New Roman" w:hAnsi="Times New Roman"/>
                <w:color w:val="auto"/>
                <w:szCs w:val="22"/>
                <w:lang w:val="en-GB"/>
              </w:rPr>
            </w:pPr>
            <w:r w:rsidRPr="004B179B">
              <w:rPr>
                <w:rFonts w:ascii="Times New Roman" w:hAnsi="Times New Roman"/>
                <w:color w:val="auto"/>
                <w:szCs w:val="22"/>
                <w:lang w:val="en-GB"/>
              </w:rPr>
              <w:t xml:space="preserve">Life threatening haemorrhages </w:t>
            </w:r>
          </w:p>
        </w:tc>
        <w:tc>
          <w:tcPr>
            <w:tcW w:w="2268" w:type="dxa"/>
            <w:tcBorders>
              <w:top w:val="dotted" w:sz="2" w:space="0" w:color="auto"/>
              <w:left w:val="single" w:sz="8" w:space="0" w:color="FFFFFF"/>
              <w:bottom w:val="single" w:sz="12" w:space="0" w:color="auto"/>
              <w:right w:val="single" w:sz="8" w:space="0" w:color="FFFFFF"/>
            </w:tcBorders>
            <w:hideMark/>
          </w:tcPr>
          <w:p w:rsidR="009062DE" w:rsidRPr="004B179B" w:rsidRDefault="009062DE" w:rsidP="0084475D">
            <w:pPr>
              <w:pStyle w:val="Default"/>
              <w:spacing w:before="60" w:after="60"/>
              <w:jc w:val="center"/>
              <w:rPr>
                <w:rFonts w:ascii="Times New Roman" w:hAnsi="Times New Roman"/>
                <w:color w:val="auto"/>
                <w:szCs w:val="22"/>
                <w:lang w:val="en-GB"/>
              </w:rPr>
            </w:pPr>
            <w:r w:rsidRPr="004B179B">
              <w:rPr>
                <w:rFonts w:ascii="Times New Roman" w:hAnsi="Times New Roman"/>
                <w:color w:val="auto"/>
                <w:szCs w:val="22"/>
                <w:lang w:val="en-GB"/>
              </w:rPr>
              <w:t>60–100</w:t>
            </w:r>
          </w:p>
        </w:tc>
        <w:tc>
          <w:tcPr>
            <w:tcW w:w="3402" w:type="dxa"/>
            <w:tcBorders>
              <w:top w:val="dotted" w:sz="2" w:space="0" w:color="auto"/>
              <w:left w:val="single" w:sz="8" w:space="0" w:color="FFFFFF"/>
              <w:bottom w:val="single" w:sz="12" w:space="0" w:color="auto"/>
              <w:right w:val="single" w:sz="8" w:space="0" w:color="FFFFFF"/>
            </w:tcBorders>
            <w:hideMark/>
          </w:tcPr>
          <w:p w:rsidR="009062DE" w:rsidRPr="004B179B" w:rsidRDefault="00AF1C37" w:rsidP="0084475D">
            <w:pPr>
              <w:pStyle w:val="Default"/>
              <w:spacing w:before="60" w:after="60"/>
              <w:rPr>
                <w:rFonts w:ascii="Times New Roman" w:hAnsi="Times New Roman"/>
                <w:color w:val="auto"/>
                <w:szCs w:val="22"/>
                <w:lang w:val="en-GB"/>
              </w:rPr>
            </w:pPr>
            <w:r>
              <w:rPr>
                <w:rFonts w:ascii="Times New Roman" w:hAnsi="Times New Roman"/>
                <w:color w:val="auto"/>
                <w:szCs w:val="22"/>
                <w:lang w:val="en-GB"/>
              </w:rPr>
              <w:t>30–50 IU/kg, r</w:t>
            </w:r>
            <w:r w:rsidR="009062DE" w:rsidRPr="004B179B">
              <w:rPr>
                <w:rFonts w:ascii="Times New Roman" w:hAnsi="Times New Roman"/>
                <w:color w:val="auto"/>
                <w:szCs w:val="22"/>
                <w:lang w:val="en-GB"/>
              </w:rPr>
              <w:t>epeat infusion every 8</w:t>
            </w:r>
            <w:r>
              <w:rPr>
                <w:rFonts w:ascii="Times New Roman" w:hAnsi="Times New Roman"/>
                <w:color w:val="auto"/>
                <w:szCs w:val="22"/>
                <w:lang w:val="en-GB"/>
              </w:rPr>
              <w:t>–</w:t>
            </w:r>
            <w:r w:rsidR="009062DE" w:rsidRPr="004B179B">
              <w:rPr>
                <w:rFonts w:ascii="Times New Roman" w:hAnsi="Times New Roman"/>
                <w:color w:val="auto"/>
                <w:szCs w:val="22"/>
                <w:lang w:val="en-GB"/>
              </w:rPr>
              <w:t>24 hours until threat is resolved</w:t>
            </w:r>
          </w:p>
        </w:tc>
      </w:tr>
      <w:tr w:rsidR="009062DE" w:rsidRPr="004B179B" w:rsidTr="00A37E0C">
        <w:trPr>
          <w:cantSplit/>
        </w:trPr>
        <w:tc>
          <w:tcPr>
            <w:tcW w:w="3330" w:type="dxa"/>
            <w:tcBorders>
              <w:top w:val="single" w:sz="12" w:space="0" w:color="auto"/>
              <w:left w:val="single" w:sz="8" w:space="0" w:color="FFFFFF"/>
              <w:bottom w:val="dotted" w:sz="4" w:space="0" w:color="auto"/>
              <w:right w:val="single" w:sz="8" w:space="0" w:color="FFFFFF"/>
            </w:tcBorders>
          </w:tcPr>
          <w:p w:rsidR="009062DE" w:rsidRPr="004B179B" w:rsidRDefault="009062DE" w:rsidP="0084475D">
            <w:pPr>
              <w:pStyle w:val="Default"/>
              <w:spacing w:before="60" w:after="60"/>
              <w:rPr>
                <w:rFonts w:ascii="Times New Roman" w:hAnsi="Times New Roman"/>
                <w:color w:val="auto"/>
                <w:szCs w:val="22"/>
                <w:u w:val="single"/>
                <w:lang w:val="en-GB"/>
              </w:rPr>
            </w:pPr>
            <w:r w:rsidRPr="004B179B">
              <w:rPr>
                <w:rFonts w:ascii="Times New Roman" w:hAnsi="Times New Roman"/>
                <w:color w:val="auto"/>
                <w:szCs w:val="22"/>
                <w:u w:val="single"/>
                <w:lang w:val="en-GB"/>
              </w:rPr>
              <w:t>Surgery</w:t>
            </w:r>
          </w:p>
        </w:tc>
        <w:tc>
          <w:tcPr>
            <w:tcW w:w="2268" w:type="dxa"/>
            <w:tcBorders>
              <w:top w:val="single" w:sz="12" w:space="0" w:color="auto"/>
              <w:left w:val="single" w:sz="8" w:space="0" w:color="FFFFFF"/>
              <w:bottom w:val="dotted" w:sz="4" w:space="0" w:color="auto"/>
              <w:right w:val="single" w:sz="8" w:space="0" w:color="FFFFFF"/>
            </w:tcBorders>
            <w:hideMark/>
          </w:tcPr>
          <w:p w:rsidR="009062DE" w:rsidRPr="004B179B" w:rsidRDefault="009062DE" w:rsidP="0084475D">
            <w:pPr>
              <w:spacing w:before="60" w:after="60"/>
              <w:rPr>
                <w:sz w:val="20"/>
                <w:lang w:val="de-AT" w:eastAsia="de-AT"/>
              </w:rPr>
            </w:pPr>
          </w:p>
        </w:tc>
        <w:tc>
          <w:tcPr>
            <w:tcW w:w="3402" w:type="dxa"/>
            <w:tcBorders>
              <w:top w:val="single" w:sz="12" w:space="0" w:color="auto"/>
              <w:left w:val="single" w:sz="8" w:space="0" w:color="FFFFFF"/>
              <w:bottom w:val="dotted" w:sz="4" w:space="0" w:color="auto"/>
              <w:right w:val="single" w:sz="8" w:space="0" w:color="FFFFFF"/>
            </w:tcBorders>
            <w:hideMark/>
          </w:tcPr>
          <w:p w:rsidR="009062DE" w:rsidRPr="004B179B" w:rsidRDefault="009062DE" w:rsidP="0084475D">
            <w:pPr>
              <w:spacing w:before="60" w:after="60"/>
              <w:rPr>
                <w:sz w:val="20"/>
                <w:lang w:val="de-AT" w:eastAsia="de-AT"/>
              </w:rPr>
            </w:pPr>
          </w:p>
        </w:tc>
      </w:tr>
      <w:tr w:rsidR="009062DE" w:rsidRPr="004B179B" w:rsidTr="00A37E0C">
        <w:trPr>
          <w:cantSplit/>
        </w:trPr>
        <w:tc>
          <w:tcPr>
            <w:tcW w:w="3330" w:type="dxa"/>
            <w:tcBorders>
              <w:top w:val="dotted" w:sz="4" w:space="0" w:color="auto"/>
              <w:left w:val="single" w:sz="8" w:space="0" w:color="FFFFFF"/>
              <w:bottom w:val="dotted" w:sz="2" w:space="0" w:color="auto"/>
              <w:right w:val="single" w:sz="8" w:space="0" w:color="FFFFFF"/>
            </w:tcBorders>
            <w:hideMark/>
          </w:tcPr>
          <w:p w:rsidR="009062DE" w:rsidRPr="004B179B" w:rsidRDefault="009062DE" w:rsidP="0084475D">
            <w:pPr>
              <w:pStyle w:val="Default"/>
              <w:spacing w:before="60" w:after="60"/>
              <w:rPr>
                <w:rFonts w:ascii="Times New Roman" w:hAnsi="Times New Roman"/>
                <w:color w:val="auto"/>
                <w:szCs w:val="22"/>
                <w:lang w:val="en-GB"/>
              </w:rPr>
            </w:pPr>
            <w:r w:rsidRPr="004B179B">
              <w:rPr>
                <w:rFonts w:ascii="Times New Roman" w:hAnsi="Times New Roman"/>
                <w:iCs/>
                <w:color w:val="auto"/>
                <w:szCs w:val="22"/>
                <w:lang w:val="en-GB"/>
              </w:rPr>
              <w:t>Minor surgery</w:t>
            </w:r>
            <w:r w:rsidRPr="004B179B">
              <w:rPr>
                <w:rFonts w:ascii="Times New Roman" w:hAnsi="Times New Roman"/>
                <w:i/>
                <w:iCs/>
                <w:color w:val="auto"/>
                <w:szCs w:val="22"/>
                <w:lang w:val="en-GB"/>
              </w:rPr>
              <w:t xml:space="preserve"> </w:t>
            </w:r>
            <w:r w:rsidRPr="004B179B">
              <w:rPr>
                <w:rFonts w:ascii="Times New Roman" w:hAnsi="Times New Roman"/>
                <w:color w:val="auto"/>
                <w:szCs w:val="22"/>
                <w:lang w:val="en-GB"/>
              </w:rPr>
              <w:t xml:space="preserve">including tooth extraction </w:t>
            </w:r>
          </w:p>
        </w:tc>
        <w:tc>
          <w:tcPr>
            <w:tcW w:w="2268" w:type="dxa"/>
            <w:tcBorders>
              <w:top w:val="dotted" w:sz="4" w:space="0" w:color="auto"/>
              <w:left w:val="single" w:sz="8" w:space="0" w:color="FFFFFF"/>
              <w:bottom w:val="dotted" w:sz="2" w:space="0" w:color="auto"/>
              <w:right w:val="single" w:sz="8" w:space="0" w:color="FFFFFF"/>
            </w:tcBorders>
            <w:hideMark/>
          </w:tcPr>
          <w:p w:rsidR="009062DE" w:rsidRPr="004B179B" w:rsidRDefault="009062DE" w:rsidP="0084475D">
            <w:pPr>
              <w:pStyle w:val="Default"/>
              <w:spacing w:before="60" w:after="60"/>
              <w:jc w:val="center"/>
              <w:rPr>
                <w:rFonts w:ascii="Times New Roman" w:hAnsi="Times New Roman"/>
                <w:color w:val="auto"/>
                <w:szCs w:val="22"/>
                <w:lang w:val="en-GB"/>
              </w:rPr>
            </w:pPr>
            <w:r w:rsidRPr="004B179B">
              <w:rPr>
                <w:rFonts w:ascii="Times New Roman" w:hAnsi="Times New Roman"/>
                <w:color w:val="auto"/>
                <w:szCs w:val="22"/>
                <w:lang w:val="en-GB"/>
              </w:rPr>
              <w:t>30–60</w:t>
            </w:r>
          </w:p>
        </w:tc>
        <w:tc>
          <w:tcPr>
            <w:tcW w:w="3402" w:type="dxa"/>
            <w:tcBorders>
              <w:top w:val="dotted" w:sz="4" w:space="0" w:color="auto"/>
              <w:left w:val="single" w:sz="8" w:space="0" w:color="FFFFFF"/>
              <w:bottom w:val="dotted" w:sz="2" w:space="0" w:color="auto"/>
              <w:right w:val="single" w:sz="8" w:space="0" w:color="FFFFFF"/>
            </w:tcBorders>
            <w:hideMark/>
          </w:tcPr>
          <w:p w:rsidR="009062DE" w:rsidRPr="004B179B" w:rsidRDefault="00AF1C37" w:rsidP="0084475D">
            <w:pPr>
              <w:pStyle w:val="Default"/>
              <w:spacing w:before="60" w:after="60"/>
              <w:rPr>
                <w:rFonts w:ascii="Times New Roman" w:hAnsi="Times New Roman"/>
                <w:color w:val="auto"/>
                <w:szCs w:val="22"/>
                <w:lang w:val="en-GB"/>
              </w:rPr>
            </w:pPr>
            <w:r>
              <w:rPr>
                <w:rFonts w:ascii="Times New Roman" w:hAnsi="Times New Roman"/>
                <w:color w:val="auto"/>
                <w:szCs w:val="22"/>
                <w:lang w:val="en-GB"/>
              </w:rPr>
              <w:t>15–30 IU/kg e</w:t>
            </w:r>
            <w:r w:rsidR="009062DE" w:rsidRPr="004B179B">
              <w:rPr>
                <w:rFonts w:ascii="Times New Roman" w:hAnsi="Times New Roman"/>
                <w:color w:val="auto"/>
                <w:szCs w:val="22"/>
                <w:lang w:val="en-GB"/>
              </w:rPr>
              <w:t xml:space="preserve">very 24 hours, at least </w:t>
            </w:r>
            <w:r w:rsidR="00B8707F">
              <w:rPr>
                <w:rFonts w:ascii="Times New Roman" w:hAnsi="Times New Roman"/>
                <w:color w:val="auto"/>
                <w:szCs w:val="22"/>
                <w:lang w:val="en-GB"/>
              </w:rPr>
              <w:t>one</w:t>
            </w:r>
            <w:r w:rsidR="009062DE" w:rsidRPr="004B179B">
              <w:rPr>
                <w:rFonts w:ascii="Times New Roman" w:hAnsi="Times New Roman"/>
                <w:color w:val="auto"/>
                <w:szCs w:val="22"/>
                <w:lang w:val="en-GB"/>
              </w:rPr>
              <w:t xml:space="preserve"> day, until healing is achieved</w:t>
            </w:r>
          </w:p>
        </w:tc>
      </w:tr>
      <w:tr w:rsidR="009062DE" w:rsidRPr="004B179B" w:rsidTr="00A37E0C">
        <w:trPr>
          <w:cantSplit/>
        </w:trPr>
        <w:tc>
          <w:tcPr>
            <w:tcW w:w="3330" w:type="dxa"/>
            <w:tcBorders>
              <w:top w:val="dotted" w:sz="2" w:space="0" w:color="auto"/>
              <w:left w:val="single" w:sz="8" w:space="0" w:color="FFFFFF"/>
              <w:bottom w:val="single" w:sz="12" w:space="0" w:color="auto"/>
              <w:right w:val="single" w:sz="8" w:space="0" w:color="FFFFFF"/>
            </w:tcBorders>
            <w:hideMark/>
          </w:tcPr>
          <w:p w:rsidR="009062DE" w:rsidRPr="004B179B" w:rsidRDefault="009062DE" w:rsidP="0084475D">
            <w:pPr>
              <w:pStyle w:val="Default"/>
              <w:spacing w:before="60" w:after="60"/>
              <w:rPr>
                <w:rFonts w:ascii="Times New Roman" w:hAnsi="Times New Roman"/>
                <w:color w:val="auto"/>
                <w:szCs w:val="22"/>
                <w:lang w:val="en-GB"/>
              </w:rPr>
            </w:pPr>
            <w:r w:rsidRPr="004B179B">
              <w:rPr>
                <w:rFonts w:ascii="Times New Roman" w:hAnsi="Times New Roman"/>
                <w:iCs/>
                <w:color w:val="auto"/>
                <w:szCs w:val="22"/>
                <w:lang w:val="en-GB"/>
              </w:rPr>
              <w:t xml:space="preserve">Major surgery </w:t>
            </w:r>
          </w:p>
        </w:tc>
        <w:tc>
          <w:tcPr>
            <w:tcW w:w="2268" w:type="dxa"/>
            <w:tcBorders>
              <w:top w:val="dotted" w:sz="2" w:space="0" w:color="auto"/>
              <w:left w:val="single" w:sz="8" w:space="0" w:color="FFFFFF"/>
              <w:bottom w:val="single" w:sz="12" w:space="0" w:color="auto"/>
              <w:right w:val="single" w:sz="8" w:space="0" w:color="FFFFFF"/>
            </w:tcBorders>
            <w:hideMark/>
          </w:tcPr>
          <w:p w:rsidR="009062DE" w:rsidRPr="004B179B" w:rsidRDefault="009062DE" w:rsidP="0084475D">
            <w:pPr>
              <w:pStyle w:val="Default"/>
              <w:spacing w:before="60" w:after="60"/>
              <w:jc w:val="center"/>
              <w:rPr>
                <w:rFonts w:ascii="Times New Roman" w:hAnsi="Times New Roman"/>
                <w:color w:val="auto"/>
                <w:szCs w:val="22"/>
                <w:lang w:val="en-GB"/>
              </w:rPr>
            </w:pPr>
            <w:r w:rsidRPr="004B179B">
              <w:rPr>
                <w:rFonts w:ascii="Times New Roman" w:hAnsi="Times New Roman"/>
                <w:color w:val="auto"/>
                <w:szCs w:val="22"/>
                <w:lang w:val="en-GB"/>
              </w:rPr>
              <w:t>80–100</w:t>
            </w:r>
          </w:p>
          <w:p w:rsidR="009062DE" w:rsidRPr="004B179B" w:rsidRDefault="009062DE" w:rsidP="0084475D">
            <w:pPr>
              <w:pStyle w:val="Default"/>
              <w:spacing w:before="60" w:after="60"/>
              <w:jc w:val="center"/>
              <w:rPr>
                <w:rFonts w:ascii="Times New Roman" w:hAnsi="Times New Roman"/>
                <w:color w:val="auto"/>
                <w:szCs w:val="22"/>
                <w:lang w:val="en-GB"/>
              </w:rPr>
            </w:pPr>
            <w:r w:rsidRPr="004B179B">
              <w:rPr>
                <w:rFonts w:ascii="Times New Roman" w:hAnsi="Times New Roman"/>
                <w:color w:val="auto"/>
                <w:szCs w:val="22"/>
                <w:lang w:val="en-GB"/>
              </w:rPr>
              <w:t>(pre- and postoperative)</w:t>
            </w:r>
          </w:p>
        </w:tc>
        <w:tc>
          <w:tcPr>
            <w:tcW w:w="3402" w:type="dxa"/>
            <w:tcBorders>
              <w:top w:val="dotted" w:sz="2" w:space="0" w:color="auto"/>
              <w:left w:val="single" w:sz="8" w:space="0" w:color="FFFFFF"/>
              <w:bottom w:val="single" w:sz="12" w:space="0" w:color="auto"/>
              <w:right w:val="single" w:sz="8" w:space="0" w:color="FFFFFF"/>
            </w:tcBorders>
            <w:hideMark/>
          </w:tcPr>
          <w:p w:rsidR="009062DE" w:rsidRPr="004B179B" w:rsidRDefault="00AF1C37" w:rsidP="0084475D">
            <w:pPr>
              <w:pStyle w:val="Default"/>
              <w:spacing w:before="60" w:after="60"/>
              <w:rPr>
                <w:rFonts w:ascii="Times New Roman" w:hAnsi="Times New Roman"/>
                <w:color w:val="auto"/>
                <w:szCs w:val="22"/>
                <w:lang w:val="en-GB"/>
              </w:rPr>
            </w:pPr>
            <w:r>
              <w:rPr>
                <w:rFonts w:ascii="Times New Roman" w:hAnsi="Times New Roman"/>
                <w:color w:val="auto"/>
                <w:szCs w:val="22"/>
                <w:lang w:val="en-GB"/>
              </w:rPr>
              <w:t>40–50 IU/kg, r</w:t>
            </w:r>
            <w:r w:rsidR="009062DE" w:rsidRPr="004B179B">
              <w:rPr>
                <w:rFonts w:ascii="Times New Roman" w:hAnsi="Times New Roman"/>
                <w:color w:val="auto"/>
                <w:szCs w:val="22"/>
                <w:lang w:val="en-GB"/>
              </w:rPr>
              <w:t xml:space="preserve">epeat infusion every 8–24 hours until adequate wound healing, then therapy for at least another 7 days to maintain a </w:t>
            </w:r>
            <w:r>
              <w:rPr>
                <w:rFonts w:ascii="Times New Roman" w:hAnsi="Times New Roman"/>
                <w:color w:val="auto"/>
                <w:szCs w:val="22"/>
                <w:lang w:val="en-GB"/>
              </w:rPr>
              <w:t>FVIII</w:t>
            </w:r>
            <w:r w:rsidR="009062DE" w:rsidRPr="004B179B">
              <w:rPr>
                <w:rFonts w:ascii="Times New Roman" w:hAnsi="Times New Roman"/>
                <w:color w:val="auto"/>
                <w:szCs w:val="22"/>
                <w:lang w:val="en-GB"/>
              </w:rPr>
              <w:t xml:space="preserve"> activity of 30% to 60%</w:t>
            </w:r>
            <w:r>
              <w:rPr>
                <w:rFonts w:ascii="Times New Roman" w:hAnsi="Times New Roman"/>
                <w:color w:val="auto"/>
                <w:szCs w:val="22"/>
                <w:lang w:val="en-GB"/>
              </w:rPr>
              <w:t xml:space="preserve"> </w:t>
            </w:r>
            <w:r w:rsidR="009062DE" w:rsidRPr="004B179B">
              <w:rPr>
                <w:rFonts w:ascii="Times New Roman" w:hAnsi="Times New Roman"/>
                <w:color w:val="auto"/>
                <w:szCs w:val="22"/>
                <w:lang w:val="en-GB"/>
              </w:rPr>
              <w:t>(IU/dL)</w:t>
            </w:r>
          </w:p>
        </w:tc>
      </w:tr>
    </w:tbl>
    <w:p w:rsidR="00AF1C37" w:rsidRPr="009F4CA8" w:rsidRDefault="00AF1C37" w:rsidP="009062DE">
      <w:pPr>
        <w:pStyle w:val="ATextBericht"/>
        <w:rPr>
          <w:sz w:val="20"/>
          <w:u w:val="single"/>
        </w:rPr>
      </w:pPr>
      <w:r w:rsidRPr="00AF1C37">
        <w:rPr>
          <w:sz w:val="20"/>
          <w:u w:val="single"/>
        </w:rPr>
        <w:t>BE = bleeding episode; FVIII = coagulation factor VIII; IU = international units</w:t>
      </w:r>
    </w:p>
    <w:p w:rsidR="009062DE" w:rsidRPr="00890548" w:rsidRDefault="009062DE" w:rsidP="00F144DE">
      <w:pPr>
        <w:pStyle w:val="Heading3"/>
        <w:spacing w:before="240"/>
        <w:rPr>
          <w:lang w:val="en-US"/>
        </w:rPr>
      </w:pPr>
      <w:r w:rsidRPr="00890548">
        <w:rPr>
          <w:lang w:val="en-US"/>
        </w:rPr>
        <w:t>Prophylaxis</w:t>
      </w:r>
    </w:p>
    <w:p w:rsidR="009062DE" w:rsidRPr="004B179B" w:rsidRDefault="009062DE" w:rsidP="00521823">
      <w:r w:rsidRPr="004B179B">
        <w:t xml:space="preserve">For long-term prophylaxis against bleeding in patients with severe haemophilia A, the usual doses are 20 to 40 IU of factor VIII per kg body weight at intervals of 2 to 3 days. </w:t>
      </w:r>
      <w:r w:rsidR="00515947" w:rsidRPr="004B179B">
        <w:t>In</w:t>
      </w:r>
      <w:r w:rsidRPr="004B179B">
        <w:t xml:space="preserve"> some cases, especially in younger patients, shorter dosage intervals or higher doses may be necessary. </w:t>
      </w:r>
    </w:p>
    <w:p w:rsidR="009062DE" w:rsidRPr="004B179B" w:rsidRDefault="009062DE" w:rsidP="00521823">
      <w:r w:rsidRPr="004B179B">
        <w:t xml:space="preserve">During the course of treatment, appropriate determination of factor VIII levels is advised to guide the dose to be administered and the frequency of repeated infusions. In the case of major surgical interventions in particular, precise monitoring of the substitution therapy by means of coagulation analysis (plasma factor VIII activity) is indispensable. Individual </w:t>
      </w:r>
      <w:r w:rsidRPr="004B179B">
        <w:lastRenderedPageBreak/>
        <w:t>patients may vary in their response to factor VIII, demonstrating different half-lives and recoveries.</w:t>
      </w:r>
    </w:p>
    <w:p w:rsidR="009062DE" w:rsidRPr="00890548" w:rsidRDefault="009062DE" w:rsidP="00151193">
      <w:pPr>
        <w:pStyle w:val="Heading3"/>
        <w:rPr>
          <w:lang w:val="en-US"/>
        </w:rPr>
      </w:pPr>
      <w:r w:rsidRPr="00890548">
        <w:rPr>
          <w:lang w:val="en-US"/>
        </w:rPr>
        <w:t>Paediatric population</w:t>
      </w:r>
    </w:p>
    <w:p w:rsidR="009062DE" w:rsidRPr="004B179B" w:rsidRDefault="009062DE" w:rsidP="00521823">
      <w:pPr>
        <w:rPr>
          <w:i/>
        </w:rPr>
      </w:pPr>
      <w:r w:rsidRPr="004B179B">
        <w:t xml:space="preserve">The </w:t>
      </w:r>
      <w:r w:rsidR="0029210F" w:rsidRPr="004B179B">
        <w:t>dosage</w:t>
      </w:r>
      <w:r w:rsidRPr="004B179B">
        <w:t xml:space="preserve"> is the same in adults and children, however, shorter dosage intervals or higher doses may be necessary for children.</w:t>
      </w:r>
    </w:p>
    <w:p w:rsidR="009062DE" w:rsidRPr="004B179B" w:rsidRDefault="009062DE" w:rsidP="00521823">
      <w:r w:rsidRPr="004B179B">
        <w:t xml:space="preserve">The pharmacokinetics, safety and efficacy of </w:t>
      </w:r>
      <w:r w:rsidR="006E3127">
        <w:t>Nuwiq</w:t>
      </w:r>
      <w:r w:rsidR="00BA46FD" w:rsidRPr="004B179B">
        <w:t xml:space="preserve"> </w:t>
      </w:r>
      <w:r w:rsidRPr="004B179B">
        <w:t xml:space="preserve">in previously treated children below the age of 13 </w:t>
      </w:r>
      <w:r w:rsidR="0029210F" w:rsidRPr="004B179B">
        <w:t>has been established. Data has</w:t>
      </w:r>
      <w:r w:rsidRPr="004B179B">
        <w:t xml:space="preserve"> been obtained in 29 children between 2 and 5 years of age</w:t>
      </w:r>
      <w:r w:rsidR="0029210F" w:rsidRPr="004B179B">
        <w:t>,</w:t>
      </w:r>
      <w:r w:rsidRPr="004B179B">
        <w:t xml:space="preserve"> and 30 children between 6 and 12 years of age. Half-life and recovery are slightly less in children than in adults</w:t>
      </w:r>
      <w:r w:rsidR="00D31232" w:rsidRPr="004B179B">
        <w:t xml:space="preserve"> and</w:t>
      </w:r>
      <w:r w:rsidRPr="004B179B">
        <w:t xml:space="preserve"> clearance is slightly higher (</w:t>
      </w:r>
      <w:r w:rsidR="00D31232" w:rsidRPr="004B179B">
        <w:t xml:space="preserve">refer to the </w:t>
      </w:r>
      <w:r w:rsidR="00870B24" w:rsidRPr="004B179B">
        <w:rPr>
          <w:b/>
        </w:rPr>
        <w:t>PHAR</w:t>
      </w:r>
      <w:r w:rsidR="00F27865" w:rsidRPr="00F27865">
        <w:rPr>
          <w:b/>
          <w:lang w:val="en-US"/>
        </w:rPr>
        <w:t>MA</w:t>
      </w:r>
      <w:r w:rsidR="00870B24" w:rsidRPr="004B179B">
        <w:rPr>
          <w:b/>
        </w:rPr>
        <w:t>COLOGY</w:t>
      </w:r>
      <w:r w:rsidR="00870B24" w:rsidRPr="004B179B">
        <w:t xml:space="preserve"> </w:t>
      </w:r>
      <w:r w:rsidR="00D31232" w:rsidRPr="004B179B">
        <w:t>section</w:t>
      </w:r>
      <w:r w:rsidRPr="004B179B">
        <w:t>). Efficacy in prophylaxis and the treatment of bleeds is comparable between children and adults.</w:t>
      </w:r>
    </w:p>
    <w:p w:rsidR="009062DE" w:rsidRPr="00890548" w:rsidRDefault="00D31232" w:rsidP="00151193">
      <w:pPr>
        <w:pStyle w:val="Heading2"/>
        <w:rPr>
          <w:rFonts w:ascii="Times New Roman" w:hAnsi="Times New Roman"/>
          <w:lang w:val="en-US"/>
        </w:rPr>
      </w:pPr>
      <w:r w:rsidRPr="00890548">
        <w:rPr>
          <w:rFonts w:ascii="Times New Roman" w:hAnsi="Times New Roman"/>
          <w:lang w:val="en-US"/>
        </w:rPr>
        <w:t>A</w:t>
      </w:r>
      <w:r w:rsidR="009062DE" w:rsidRPr="00890548">
        <w:rPr>
          <w:rFonts w:ascii="Times New Roman" w:hAnsi="Times New Roman"/>
          <w:lang w:val="en-US"/>
        </w:rPr>
        <w:t>dministration</w:t>
      </w:r>
    </w:p>
    <w:p w:rsidR="009062DE" w:rsidRPr="004B179B" w:rsidRDefault="006E3127" w:rsidP="00521823">
      <w:r>
        <w:t>Nuwiq</w:t>
      </w:r>
      <w:r w:rsidR="00BA46FD" w:rsidRPr="004B179B">
        <w:t xml:space="preserve"> </w:t>
      </w:r>
      <w:r w:rsidR="009062DE" w:rsidRPr="004B179B">
        <w:t>should be administered via the intravenous route. It is recommended</w:t>
      </w:r>
      <w:r w:rsidR="00722DCC" w:rsidRPr="004B179B">
        <w:t xml:space="preserve"> not to administer </w:t>
      </w:r>
      <w:r w:rsidR="009062DE" w:rsidRPr="004B179B">
        <w:t xml:space="preserve"> more than 4 m</w:t>
      </w:r>
      <w:r w:rsidR="00D31232" w:rsidRPr="004B179B">
        <w:t>L</w:t>
      </w:r>
      <w:r w:rsidR="00722DCC" w:rsidRPr="004B179B">
        <w:t xml:space="preserve"> per minute</w:t>
      </w:r>
      <w:r w:rsidR="009062DE" w:rsidRPr="004B179B">
        <w:t xml:space="preserve">. </w:t>
      </w:r>
    </w:p>
    <w:p w:rsidR="00EE64A8" w:rsidRPr="004B179B" w:rsidRDefault="00EE64A8" w:rsidP="00151193">
      <w:pPr>
        <w:pStyle w:val="Heading3"/>
        <w:rPr>
          <w:rFonts w:eastAsia="SimSun"/>
          <w:bCs/>
          <w:lang w:eastAsia="de-AT"/>
        </w:rPr>
      </w:pPr>
      <w:r w:rsidRPr="004B179B">
        <w:rPr>
          <w:rFonts w:eastAsia="SimSun"/>
          <w:lang w:eastAsia="de-AT"/>
        </w:rPr>
        <w:t>Instructions for Preparation and Administration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3891"/>
      </w:tblGrid>
      <w:tr w:rsidR="00124DC0" w:rsidRPr="009B1D14" w:rsidTr="007C54AA">
        <w:trPr>
          <w:trHeight w:val="1011"/>
        </w:trPr>
        <w:tc>
          <w:tcPr>
            <w:tcW w:w="8423" w:type="dxa"/>
            <w:gridSpan w:val="2"/>
            <w:tcBorders>
              <w:top w:val="nil"/>
              <w:left w:val="nil"/>
              <w:bottom w:val="nil"/>
              <w:right w:val="nil"/>
            </w:tcBorders>
          </w:tcPr>
          <w:p w:rsidR="00124DC0" w:rsidRPr="00124DC0" w:rsidRDefault="00124DC0" w:rsidP="00124DC0">
            <w:pPr>
              <w:numPr>
                <w:ilvl w:val="0"/>
                <w:numId w:val="30"/>
              </w:numPr>
              <w:spacing w:before="60" w:after="60"/>
              <w:ind w:left="567" w:hanging="425"/>
              <w:rPr>
                <w:szCs w:val="24"/>
              </w:rPr>
            </w:pPr>
            <w:r w:rsidRPr="00124DC0">
              <w:rPr>
                <w:szCs w:val="24"/>
              </w:rPr>
              <w:t>Allow the diluent syringe (water for injections) and the concentrate in the closed vial to reach room temperature. This temperature should be maintained during reconstitution.</w:t>
            </w:r>
          </w:p>
        </w:tc>
      </w:tr>
      <w:tr w:rsidR="00124DC0" w:rsidRPr="00AF4873" w:rsidTr="007C54AA">
        <w:tc>
          <w:tcPr>
            <w:tcW w:w="4532" w:type="dxa"/>
            <w:tcBorders>
              <w:top w:val="nil"/>
              <w:left w:val="nil"/>
              <w:bottom w:val="nil"/>
              <w:right w:val="nil"/>
            </w:tcBorders>
            <w:vAlign w:val="center"/>
          </w:tcPr>
          <w:p w:rsidR="00124DC0" w:rsidRPr="00124DC0" w:rsidRDefault="00124DC0" w:rsidP="00124DC0">
            <w:pPr>
              <w:numPr>
                <w:ilvl w:val="0"/>
                <w:numId w:val="30"/>
              </w:numPr>
              <w:spacing w:before="60" w:after="60"/>
              <w:ind w:left="567" w:hanging="425"/>
              <w:rPr>
                <w:szCs w:val="24"/>
                <w:lang w:val="en-US"/>
              </w:rPr>
            </w:pPr>
            <w:r w:rsidRPr="00124DC0">
              <w:rPr>
                <w:szCs w:val="24"/>
              </w:rPr>
              <w:t xml:space="preserve">Remove the plastic flip-top cap from the concentrate vial to expose the central portion of the rubber stopper. Do not remove the grey stopper or metal ring around the top of the vial. </w:t>
            </w:r>
            <w:r w:rsidRPr="00124DC0">
              <w:rPr>
                <w:szCs w:val="22"/>
              </w:rPr>
              <w:t xml:space="preserve">                                             </w:t>
            </w:r>
          </w:p>
          <w:p w:rsidR="00124DC0" w:rsidRPr="00124DC0" w:rsidRDefault="00124DC0" w:rsidP="007C54AA">
            <w:pPr>
              <w:spacing w:before="60" w:after="60"/>
              <w:rPr>
                <w:szCs w:val="24"/>
              </w:rPr>
            </w:pPr>
          </w:p>
        </w:tc>
        <w:tc>
          <w:tcPr>
            <w:tcW w:w="3891" w:type="dxa"/>
            <w:tcBorders>
              <w:top w:val="nil"/>
              <w:left w:val="nil"/>
              <w:bottom w:val="nil"/>
              <w:right w:val="nil"/>
            </w:tcBorders>
          </w:tcPr>
          <w:p w:rsidR="00124DC0" w:rsidRPr="00124DC0" w:rsidRDefault="00D31AE8" w:rsidP="007C54AA">
            <w:pPr>
              <w:spacing w:before="60" w:after="60"/>
              <w:rPr>
                <w:szCs w:val="24"/>
              </w:rPr>
            </w:pPr>
            <w:r>
              <w:rPr>
                <w:noProof/>
                <w:szCs w:val="22"/>
                <w:lang w:val="en-AU" w:eastAsia="en-AU"/>
              </w:rPr>
              <w:drawing>
                <wp:inline distT="0" distB="0" distL="0" distR="0">
                  <wp:extent cx="1647825" cy="1673225"/>
                  <wp:effectExtent l="19050" t="0" r="9525" b="0"/>
                  <wp:docPr id="1"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10" cstate="print"/>
                          <a:srcRect r="1871"/>
                          <a:stretch>
                            <a:fillRect/>
                          </a:stretch>
                        </pic:blipFill>
                        <pic:spPr bwMode="auto">
                          <a:xfrm>
                            <a:off x="0" y="0"/>
                            <a:ext cx="1647825" cy="1673225"/>
                          </a:xfrm>
                          <a:prstGeom prst="rect">
                            <a:avLst/>
                          </a:prstGeom>
                          <a:noFill/>
                          <a:ln w="9525">
                            <a:noFill/>
                            <a:miter lim="800000"/>
                            <a:headEnd/>
                            <a:tailEnd/>
                          </a:ln>
                        </pic:spPr>
                      </pic:pic>
                    </a:graphicData>
                  </a:graphic>
                </wp:inline>
              </w:drawing>
            </w:r>
          </w:p>
        </w:tc>
      </w:tr>
      <w:tr w:rsidR="00124DC0" w:rsidRPr="00AF4873" w:rsidTr="007C54AA">
        <w:tc>
          <w:tcPr>
            <w:tcW w:w="8423" w:type="dxa"/>
            <w:gridSpan w:val="2"/>
            <w:tcBorders>
              <w:top w:val="nil"/>
              <w:left w:val="nil"/>
              <w:bottom w:val="nil"/>
              <w:right w:val="nil"/>
            </w:tcBorders>
          </w:tcPr>
          <w:p w:rsidR="00124DC0" w:rsidRPr="00124DC0" w:rsidRDefault="00124DC0" w:rsidP="00124DC0">
            <w:pPr>
              <w:numPr>
                <w:ilvl w:val="0"/>
                <w:numId w:val="30"/>
              </w:numPr>
              <w:spacing w:before="60" w:after="60"/>
              <w:ind w:left="601" w:hanging="425"/>
              <w:rPr>
                <w:szCs w:val="24"/>
              </w:rPr>
            </w:pPr>
            <w:r w:rsidRPr="00124DC0">
              <w:rPr>
                <w:szCs w:val="24"/>
              </w:rPr>
              <w:t>Wipe the top of the vial with an alcohol swab. Allow the alcohol to dry.</w:t>
            </w:r>
          </w:p>
        </w:tc>
      </w:tr>
      <w:tr w:rsidR="00124DC0" w:rsidRPr="00AF4873" w:rsidTr="007C54AA">
        <w:tc>
          <w:tcPr>
            <w:tcW w:w="8423" w:type="dxa"/>
            <w:gridSpan w:val="2"/>
            <w:tcBorders>
              <w:top w:val="nil"/>
              <w:left w:val="nil"/>
              <w:bottom w:val="nil"/>
              <w:right w:val="nil"/>
            </w:tcBorders>
          </w:tcPr>
          <w:p w:rsidR="00124DC0" w:rsidRPr="00124DC0" w:rsidRDefault="00124DC0" w:rsidP="00124DC0">
            <w:pPr>
              <w:numPr>
                <w:ilvl w:val="0"/>
                <w:numId w:val="30"/>
              </w:numPr>
              <w:spacing w:before="60" w:after="60"/>
              <w:ind w:left="601" w:hanging="425"/>
              <w:rPr>
                <w:szCs w:val="24"/>
              </w:rPr>
            </w:pPr>
            <w:r w:rsidRPr="00124DC0">
              <w:rPr>
                <w:szCs w:val="24"/>
              </w:rPr>
              <w:t>Peel back the paper cover from the vial adapter package. Do not remove the adapter from the package</w:t>
            </w:r>
            <w:r w:rsidRPr="00124DC0">
              <w:rPr>
                <w:szCs w:val="22"/>
              </w:rPr>
              <w:t xml:space="preserve">. </w:t>
            </w:r>
          </w:p>
        </w:tc>
      </w:tr>
      <w:tr w:rsidR="00124DC0" w:rsidRPr="00AF4873" w:rsidTr="007C54AA">
        <w:tc>
          <w:tcPr>
            <w:tcW w:w="4532" w:type="dxa"/>
            <w:tcBorders>
              <w:top w:val="nil"/>
              <w:left w:val="nil"/>
              <w:bottom w:val="nil"/>
              <w:right w:val="nil"/>
            </w:tcBorders>
            <w:vAlign w:val="center"/>
          </w:tcPr>
          <w:p w:rsidR="00124DC0" w:rsidRPr="00124DC0" w:rsidRDefault="00124DC0" w:rsidP="00124DC0">
            <w:pPr>
              <w:numPr>
                <w:ilvl w:val="0"/>
                <w:numId w:val="30"/>
              </w:numPr>
              <w:spacing w:before="60" w:after="60"/>
              <w:ind w:left="567" w:hanging="425"/>
              <w:rPr>
                <w:szCs w:val="24"/>
              </w:rPr>
            </w:pPr>
            <w:r w:rsidRPr="00124DC0">
              <w:rPr>
                <w:szCs w:val="24"/>
              </w:rPr>
              <w:t>Place the concentrate vial on an even surface and hold it. Take the adapter package and place the vial adapter over the centre of the rubber stopper of the concentrate vial. Press down firmly on the adapter package until the adapter spike penetrates the rubber stopper. The adapter snaps to the vial when done.</w:t>
            </w:r>
          </w:p>
        </w:tc>
        <w:tc>
          <w:tcPr>
            <w:tcW w:w="3891" w:type="dxa"/>
            <w:tcBorders>
              <w:top w:val="nil"/>
              <w:left w:val="nil"/>
              <w:bottom w:val="nil"/>
              <w:right w:val="nil"/>
            </w:tcBorders>
          </w:tcPr>
          <w:p w:rsidR="00124DC0" w:rsidRPr="00124DC0" w:rsidRDefault="00D31AE8" w:rsidP="007C54AA">
            <w:pPr>
              <w:spacing w:before="60" w:after="60"/>
              <w:rPr>
                <w:szCs w:val="24"/>
              </w:rPr>
            </w:pPr>
            <w:r>
              <w:rPr>
                <w:noProof/>
                <w:szCs w:val="22"/>
                <w:lang w:val="en-AU" w:eastAsia="en-AU"/>
              </w:rPr>
              <w:drawing>
                <wp:inline distT="0" distB="0" distL="0" distR="0">
                  <wp:extent cx="1664970" cy="1673225"/>
                  <wp:effectExtent l="19050" t="0" r="0" b="0"/>
                  <wp:docPr id="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1" cstate="print"/>
                          <a:srcRect/>
                          <a:stretch>
                            <a:fillRect/>
                          </a:stretch>
                        </pic:blipFill>
                        <pic:spPr bwMode="auto">
                          <a:xfrm>
                            <a:off x="0" y="0"/>
                            <a:ext cx="1664970" cy="1673225"/>
                          </a:xfrm>
                          <a:prstGeom prst="rect">
                            <a:avLst/>
                          </a:prstGeom>
                          <a:noFill/>
                          <a:ln w="9525">
                            <a:noFill/>
                            <a:miter lim="800000"/>
                            <a:headEnd/>
                            <a:tailEnd/>
                          </a:ln>
                        </pic:spPr>
                      </pic:pic>
                    </a:graphicData>
                  </a:graphic>
                </wp:inline>
              </w:drawing>
            </w:r>
          </w:p>
        </w:tc>
      </w:tr>
      <w:tr w:rsidR="00124DC0" w:rsidRPr="00AF4873" w:rsidTr="007C54AA">
        <w:tc>
          <w:tcPr>
            <w:tcW w:w="4532" w:type="dxa"/>
            <w:tcBorders>
              <w:top w:val="nil"/>
              <w:left w:val="nil"/>
              <w:bottom w:val="nil"/>
              <w:right w:val="nil"/>
            </w:tcBorders>
            <w:vAlign w:val="center"/>
          </w:tcPr>
          <w:p w:rsidR="00124DC0" w:rsidRPr="00124DC0" w:rsidRDefault="00124DC0" w:rsidP="00124DC0">
            <w:pPr>
              <w:numPr>
                <w:ilvl w:val="0"/>
                <w:numId w:val="30"/>
              </w:numPr>
              <w:spacing w:before="60" w:after="60"/>
              <w:ind w:left="601" w:hanging="425"/>
              <w:rPr>
                <w:szCs w:val="24"/>
              </w:rPr>
            </w:pPr>
            <w:r w:rsidRPr="00124DC0">
              <w:rPr>
                <w:szCs w:val="24"/>
                <w:lang w:val="sv-SE"/>
              </w:rPr>
              <w:lastRenderedPageBreak/>
              <w:t xml:space="preserve">Peel back the paper cover from the prefilled syringe package. </w:t>
            </w:r>
            <w:r w:rsidRPr="00124DC0">
              <w:rPr>
                <w:szCs w:val="24"/>
              </w:rPr>
              <w:t>Take the plunger rod at the end and avoid contact with the shaft. Attach the threaded end of the plunger rod to the diluent syringe plunger. Turn the plunger rod clockwise until a slight resistance is felt.</w:t>
            </w:r>
          </w:p>
        </w:tc>
        <w:tc>
          <w:tcPr>
            <w:tcW w:w="3891" w:type="dxa"/>
            <w:tcBorders>
              <w:top w:val="nil"/>
              <w:left w:val="nil"/>
              <w:bottom w:val="nil"/>
              <w:right w:val="nil"/>
            </w:tcBorders>
          </w:tcPr>
          <w:p w:rsidR="00124DC0" w:rsidRPr="00124DC0" w:rsidRDefault="00D31AE8" w:rsidP="007C54AA">
            <w:pPr>
              <w:spacing w:before="60" w:after="60"/>
              <w:rPr>
                <w:szCs w:val="24"/>
              </w:rPr>
            </w:pPr>
            <w:r>
              <w:rPr>
                <w:noProof/>
                <w:szCs w:val="22"/>
                <w:lang w:val="en-AU" w:eastAsia="en-AU"/>
              </w:rPr>
              <w:drawing>
                <wp:inline distT="0" distB="0" distL="0" distR="0">
                  <wp:extent cx="1647825" cy="1630680"/>
                  <wp:effectExtent l="19050" t="0" r="9525" b="0"/>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2" cstate="print"/>
                          <a:srcRect/>
                          <a:stretch>
                            <a:fillRect/>
                          </a:stretch>
                        </pic:blipFill>
                        <pic:spPr bwMode="auto">
                          <a:xfrm>
                            <a:off x="0" y="0"/>
                            <a:ext cx="1647825" cy="1630680"/>
                          </a:xfrm>
                          <a:prstGeom prst="rect">
                            <a:avLst/>
                          </a:prstGeom>
                          <a:noFill/>
                          <a:ln w="9525">
                            <a:noFill/>
                            <a:miter lim="800000"/>
                            <a:headEnd/>
                            <a:tailEnd/>
                          </a:ln>
                        </pic:spPr>
                      </pic:pic>
                    </a:graphicData>
                  </a:graphic>
                </wp:inline>
              </w:drawing>
            </w:r>
          </w:p>
        </w:tc>
      </w:tr>
      <w:tr w:rsidR="00124DC0" w:rsidRPr="00AF4873" w:rsidTr="007C54AA">
        <w:tc>
          <w:tcPr>
            <w:tcW w:w="4532" w:type="dxa"/>
            <w:tcBorders>
              <w:top w:val="nil"/>
              <w:left w:val="nil"/>
              <w:bottom w:val="nil"/>
              <w:right w:val="nil"/>
            </w:tcBorders>
            <w:vAlign w:val="center"/>
          </w:tcPr>
          <w:p w:rsidR="00124DC0" w:rsidRPr="00124DC0" w:rsidRDefault="00124DC0" w:rsidP="00124DC0">
            <w:pPr>
              <w:numPr>
                <w:ilvl w:val="0"/>
                <w:numId w:val="30"/>
              </w:numPr>
              <w:spacing w:before="60" w:after="60"/>
              <w:ind w:left="601" w:hanging="425"/>
              <w:rPr>
                <w:szCs w:val="24"/>
              </w:rPr>
            </w:pPr>
            <w:r w:rsidRPr="00124DC0">
              <w:rPr>
                <w:szCs w:val="24"/>
              </w:rPr>
              <w:t>Break off the tamper-proof plastic tip from the diluent syringe by snapping the perforation off the cap. Do not touch the inside of the cap or the syringe tip.</w:t>
            </w:r>
          </w:p>
        </w:tc>
        <w:tc>
          <w:tcPr>
            <w:tcW w:w="3891" w:type="dxa"/>
            <w:tcBorders>
              <w:top w:val="nil"/>
              <w:left w:val="nil"/>
              <w:bottom w:val="nil"/>
              <w:right w:val="nil"/>
            </w:tcBorders>
          </w:tcPr>
          <w:p w:rsidR="00124DC0" w:rsidRPr="00124DC0" w:rsidRDefault="00D31AE8" w:rsidP="007C54AA">
            <w:pPr>
              <w:spacing w:before="60" w:after="60"/>
              <w:rPr>
                <w:szCs w:val="24"/>
              </w:rPr>
            </w:pPr>
            <w:r>
              <w:rPr>
                <w:noProof/>
                <w:szCs w:val="22"/>
                <w:lang w:val="en-AU" w:eastAsia="en-AU"/>
              </w:rPr>
              <w:drawing>
                <wp:inline distT="0" distB="0" distL="0" distR="0">
                  <wp:extent cx="1647825" cy="1630680"/>
                  <wp:effectExtent l="19050" t="0" r="9525" b="0"/>
                  <wp:docPr id="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3" cstate="print"/>
                          <a:srcRect/>
                          <a:stretch>
                            <a:fillRect/>
                          </a:stretch>
                        </pic:blipFill>
                        <pic:spPr bwMode="auto">
                          <a:xfrm>
                            <a:off x="0" y="0"/>
                            <a:ext cx="1647825" cy="1630680"/>
                          </a:xfrm>
                          <a:prstGeom prst="rect">
                            <a:avLst/>
                          </a:prstGeom>
                          <a:noFill/>
                          <a:ln w="9525">
                            <a:noFill/>
                            <a:miter lim="800000"/>
                            <a:headEnd/>
                            <a:tailEnd/>
                          </a:ln>
                        </pic:spPr>
                      </pic:pic>
                    </a:graphicData>
                  </a:graphic>
                </wp:inline>
              </w:drawing>
            </w:r>
          </w:p>
        </w:tc>
      </w:tr>
      <w:tr w:rsidR="00124DC0" w:rsidRPr="00514D87" w:rsidTr="007C54AA">
        <w:tc>
          <w:tcPr>
            <w:tcW w:w="8423" w:type="dxa"/>
            <w:gridSpan w:val="2"/>
            <w:tcBorders>
              <w:top w:val="nil"/>
              <w:left w:val="nil"/>
              <w:bottom w:val="nil"/>
              <w:right w:val="nil"/>
            </w:tcBorders>
          </w:tcPr>
          <w:p w:rsidR="00124DC0" w:rsidRPr="00124DC0" w:rsidRDefault="00124DC0" w:rsidP="00124DC0">
            <w:pPr>
              <w:numPr>
                <w:ilvl w:val="0"/>
                <w:numId w:val="30"/>
              </w:numPr>
              <w:spacing w:before="60" w:after="60"/>
              <w:ind w:left="601" w:hanging="425"/>
              <w:rPr>
                <w:szCs w:val="24"/>
              </w:rPr>
            </w:pPr>
            <w:r w:rsidRPr="00124DC0">
              <w:rPr>
                <w:szCs w:val="24"/>
              </w:rPr>
              <w:t>Remove the adapter package and discard.</w:t>
            </w:r>
          </w:p>
        </w:tc>
      </w:tr>
      <w:tr w:rsidR="00124DC0" w:rsidRPr="00AF4873" w:rsidTr="007C54AA">
        <w:tc>
          <w:tcPr>
            <w:tcW w:w="4532" w:type="dxa"/>
            <w:tcBorders>
              <w:top w:val="nil"/>
              <w:left w:val="nil"/>
              <w:bottom w:val="nil"/>
              <w:right w:val="nil"/>
            </w:tcBorders>
            <w:vAlign w:val="center"/>
          </w:tcPr>
          <w:p w:rsidR="00124DC0" w:rsidRPr="00124DC0" w:rsidRDefault="00124DC0" w:rsidP="00124DC0">
            <w:pPr>
              <w:numPr>
                <w:ilvl w:val="0"/>
                <w:numId w:val="30"/>
              </w:numPr>
              <w:spacing w:before="60" w:after="60"/>
              <w:ind w:left="601" w:hanging="425"/>
              <w:rPr>
                <w:szCs w:val="24"/>
              </w:rPr>
            </w:pPr>
            <w:r w:rsidRPr="00124DC0">
              <w:rPr>
                <w:szCs w:val="24"/>
              </w:rPr>
              <w:t>Firmly connect the diluent syringe to the vial adapter by turning clockwise until resistance is felt.</w:t>
            </w:r>
          </w:p>
          <w:p w:rsidR="00124DC0" w:rsidRPr="00124DC0" w:rsidRDefault="00124DC0" w:rsidP="007C54AA">
            <w:pPr>
              <w:spacing w:before="60" w:after="60"/>
              <w:ind w:left="601" w:hanging="425"/>
              <w:rPr>
                <w:szCs w:val="24"/>
              </w:rPr>
            </w:pPr>
          </w:p>
        </w:tc>
        <w:tc>
          <w:tcPr>
            <w:tcW w:w="3891" w:type="dxa"/>
            <w:tcBorders>
              <w:top w:val="nil"/>
              <w:left w:val="nil"/>
              <w:bottom w:val="nil"/>
              <w:right w:val="nil"/>
            </w:tcBorders>
          </w:tcPr>
          <w:p w:rsidR="00124DC0" w:rsidRPr="00124DC0" w:rsidRDefault="00D31AE8" w:rsidP="007C54AA">
            <w:pPr>
              <w:spacing w:before="60" w:after="60"/>
              <w:rPr>
                <w:szCs w:val="24"/>
              </w:rPr>
            </w:pPr>
            <w:r>
              <w:rPr>
                <w:noProof/>
                <w:szCs w:val="22"/>
                <w:lang w:val="en-AU" w:eastAsia="en-AU"/>
              </w:rPr>
              <w:drawing>
                <wp:inline distT="0" distB="0" distL="0" distR="0">
                  <wp:extent cx="1647825" cy="1638935"/>
                  <wp:effectExtent l="19050" t="0" r="9525" b="0"/>
                  <wp:docPr id="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4" cstate="print"/>
                          <a:srcRect/>
                          <a:stretch>
                            <a:fillRect/>
                          </a:stretch>
                        </pic:blipFill>
                        <pic:spPr bwMode="auto">
                          <a:xfrm>
                            <a:off x="0" y="0"/>
                            <a:ext cx="1647825" cy="1638935"/>
                          </a:xfrm>
                          <a:prstGeom prst="rect">
                            <a:avLst/>
                          </a:prstGeom>
                          <a:noFill/>
                          <a:ln w="9525">
                            <a:noFill/>
                            <a:miter lim="800000"/>
                            <a:headEnd/>
                            <a:tailEnd/>
                          </a:ln>
                        </pic:spPr>
                      </pic:pic>
                    </a:graphicData>
                  </a:graphic>
                </wp:inline>
              </w:drawing>
            </w:r>
          </w:p>
        </w:tc>
      </w:tr>
      <w:tr w:rsidR="00124DC0" w:rsidRPr="00AF4873" w:rsidTr="007C54AA">
        <w:tc>
          <w:tcPr>
            <w:tcW w:w="4532" w:type="dxa"/>
            <w:tcBorders>
              <w:top w:val="nil"/>
              <w:left w:val="nil"/>
              <w:bottom w:val="nil"/>
              <w:right w:val="nil"/>
            </w:tcBorders>
            <w:vAlign w:val="center"/>
          </w:tcPr>
          <w:p w:rsidR="00124DC0" w:rsidRPr="00124DC0" w:rsidRDefault="00124DC0" w:rsidP="00124DC0">
            <w:pPr>
              <w:numPr>
                <w:ilvl w:val="0"/>
                <w:numId w:val="30"/>
              </w:numPr>
              <w:spacing w:before="60" w:after="60"/>
              <w:ind w:left="601" w:hanging="425"/>
              <w:rPr>
                <w:szCs w:val="24"/>
              </w:rPr>
            </w:pPr>
            <w:r w:rsidRPr="00124DC0">
              <w:rPr>
                <w:szCs w:val="24"/>
              </w:rPr>
              <w:t>Slowly inject all diluent into the concentrate vial by pressing down the plunger rod.</w:t>
            </w:r>
          </w:p>
          <w:p w:rsidR="00124DC0" w:rsidRPr="00124DC0" w:rsidRDefault="00124DC0" w:rsidP="007C54AA">
            <w:pPr>
              <w:spacing w:before="60" w:after="60"/>
              <w:rPr>
                <w:szCs w:val="24"/>
              </w:rPr>
            </w:pPr>
          </w:p>
        </w:tc>
        <w:tc>
          <w:tcPr>
            <w:tcW w:w="3891" w:type="dxa"/>
            <w:tcBorders>
              <w:top w:val="nil"/>
              <w:left w:val="nil"/>
              <w:bottom w:val="nil"/>
              <w:right w:val="nil"/>
            </w:tcBorders>
          </w:tcPr>
          <w:p w:rsidR="00124DC0" w:rsidRPr="00124DC0" w:rsidRDefault="00D31AE8" w:rsidP="007C54AA">
            <w:pPr>
              <w:spacing w:before="60" w:after="60"/>
              <w:rPr>
                <w:szCs w:val="24"/>
              </w:rPr>
            </w:pPr>
            <w:r>
              <w:rPr>
                <w:noProof/>
                <w:szCs w:val="22"/>
                <w:lang w:val="en-AU" w:eastAsia="en-AU"/>
              </w:rPr>
              <w:drawing>
                <wp:inline distT="0" distB="0" distL="0" distR="0">
                  <wp:extent cx="1647825" cy="1638935"/>
                  <wp:effectExtent l="19050" t="0" r="9525" b="0"/>
                  <wp:docPr id="6"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15" cstate="print"/>
                          <a:srcRect/>
                          <a:stretch>
                            <a:fillRect/>
                          </a:stretch>
                        </pic:blipFill>
                        <pic:spPr bwMode="auto">
                          <a:xfrm>
                            <a:off x="0" y="0"/>
                            <a:ext cx="1647825" cy="1638935"/>
                          </a:xfrm>
                          <a:prstGeom prst="rect">
                            <a:avLst/>
                          </a:prstGeom>
                          <a:noFill/>
                          <a:ln w="9525">
                            <a:noFill/>
                            <a:miter lim="800000"/>
                            <a:headEnd/>
                            <a:tailEnd/>
                          </a:ln>
                        </pic:spPr>
                      </pic:pic>
                    </a:graphicData>
                  </a:graphic>
                </wp:inline>
              </w:drawing>
            </w:r>
          </w:p>
        </w:tc>
      </w:tr>
      <w:tr w:rsidR="00124DC0" w:rsidRPr="00514D87" w:rsidTr="007C54AA">
        <w:tc>
          <w:tcPr>
            <w:tcW w:w="8423" w:type="dxa"/>
            <w:gridSpan w:val="2"/>
            <w:tcBorders>
              <w:top w:val="nil"/>
              <w:left w:val="nil"/>
              <w:bottom w:val="nil"/>
              <w:right w:val="nil"/>
            </w:tcBorders>
          </w:tcPr>
          <w:p w:rsidR="00124DC0" w:rsidRPr="00124DC0" w:rsidRDefault="00124DC0" w:rsidP="00124DC0">
            <w:pPr>
              <w:numPr>
                <w:ilvl w:val="0"/>
                <w:numId w:val="30"/>
              </w:numPr>
              <w:tabs>
                <w:tab w:val="left" w:pos="567"/>
              </w:tabs>
              <w:spacing w:before="60" w:after="60"/>
              <w:ind w:left="601" w:hanging="425"/>
              <w:rPr>
                <w:szCs w:val="24"/>
              </w:rPr>
            </w:pPr>
            <w:r w:rsidRPr="00124DC0">
              <w:rPr>
                <w:szCs w:val="24"/>
              </w:rPr>
              <w:t>Without removing the syringe, dissolve the concentrate powder by gently moving or swirling the vial in circles a few times. DO NOT SHAKE. Wait until all the powder dissolves completely.</w:t>
            </w:r>
          </w:p>
        </w:tc>
      </w:tr>
      <w:tr w:rsidR="00124DC0" w:rsidRPr="00AF4873" w:rsidTr="007C54AA">
        <w:tc>
          <w:tcPr>
            <w:tcW w:w="8423" w:type="dxa"/>
            <w:gridSpan w:val="2"/>
            <w:tcBorders>
              <w:top w:val="nil"/>
              <w:left w:val="nil"/>
              <w:bottom w:val="nil"/>
              <w:right w:val="nil"/>
            </w:tcBorders>
          </w:tcPr>
          <w:p w:rsidR="00124DC0" w:rsidRPr="00124DC0" w:rsidRDefault="00124DC0" w:rsidP="00124DC0">
            <w:pPr>
              <w:numPr>
                <w:ilvl w:val="0"/>
                <w:numId w:val="30"/>
              </w:numPr>
              <w:spacing w:before="60" w:after="60"/>
              <w:ind w:left="601" w:hanging="425"/>
              <w:rPr>
                <w:szCs w:val="24"/>
              </w:rPr>
            </w:pPr>
            <w:r w:rsidRPr="00124DC0">
              <w:rPr>
                <w:szCs w:val="24"/>
              </w:rPr>
              <w:t>Inspect the final solution for particles before administration. The solution should be clear and colourless, practically free from visible particles. Do not use solutions that are cloudy or have deposits.</w:t>
            </w:r>
          </w:p>
        </w:tc>
      </w:tr>
      <w:tr w:rsidR="00124DC0" w:rsidRPr="00AF4873" w:rsidTr="007C54AA">
        <w:tc>
          <w:tcPr>
            <w:tcW w:w="4532" w:type="dxa"/>
            <w:tcBorders>
              <w:top w:val="nil"/>
              <w:left w:val="nil"/>
              <w:bottom w:val="nil"/>
              <w:right w:val="nil"/>
            </w:tcBorders>
            <w:vAlign w:val="center"/>
          </w:tcPr>
          <w:p w:rsidR="00124DC0" w:rsidRPr="00124DC0" w:rsidRDefault="00124DC0" w:rsidP="00124DC0">
            <w:pPr>
              <w:numPr>
                <w:ilvl w:val="0"/>
                <w:numId w:val="30"/>
              </w:numPr>
              <w:spacing w:before="60" w:after="60"/>
              <w:ind w:left="567" w:hanging="425"/>
              <w:rPr>
                <w:szCs w:val="22"/>
              </w:rPr>
            </w:pPr>
            <w:r w:rsidRPr="00124DC0">
              <w:rPr>
                <w:szCs w:val="24"/>
              </w:rPr>
              <w:lastRenderedPageBreak/>
              <w:t xml:space="preserve">Turn the vial attached to the syringe upside down, and slowly draw the final solution into the syringe. Make sure that the entire content of the vial is transferred to the syringe. </w:t>
            </w:r>
          </w:p>
        </w:tc>
        <w:tc>
          <w:tcPr>
            <w:tcW w:w="3891" w:type="dxa"/>
            <w:tcBorders>
              <w:top w:val="nil"/>
              <w:left w:val="nil"/>
              <w:bottom w:val="nil"/>
              <w:right w:val="nil"/>
            </w:tcBorders>
          </w:tcPr>
          <w:p w:rsidR="00124DC0" w:rsidRPr="00124DC0" w:rsidRDefault="00D31AE8" w:rsidP="007C54AA">
            <w:pPr>
              <w:spacing w:before="60" w:after="60"/>
              <w:rPr>
                <w:szCs w:val="24"/>
              </w:rPr>
            </w:pPr>
            <w:r>
              <w:rPr>
                <w:noProof/>
                <w:szCs w:val="22"/>
                <w:lang w:val="en-AU" w:eastAsia="en-AU"/>
              </w:rPr>
              <w:drawing>
                <wp:inline distT="0" distB="0" distL="0" distR="0">
                  <wp:extent cx="1656080" cy="1673225"/>
                  <wp:effectExtent l="19050" t="0" r="1270" b="0"/>
                  <wp:docPr id="7"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16" cstate="print"/>
                          <a:srcRect/>
                          <a:stretch>
                            <a:fillRect/>
                          </a:stretch>
                        </pic:blipFill>
                        <pic:spPr bwMode="auto">
                          <a:xfrm>
                            <a:off x="0" y="0"/>
                            <a:ext cx="1656080" cy="1673225"/>
                          </a:xfrm>
                          <a:prstGeom prst="rect">
                            <a:avLst/>
                          </a:prstGeom>
                          <a:noFill/>
                          <a:ln w="9525">
                            <a:noFill/>
                            <a:miter lim="800000"/>
                            <a:headEnd/>
                            <a:tailEnd/>
                          </a:ln>
                        </pic:spPr>
                      </pic:pic>
                    </a:graphicData>
                  </a:graphic>
                </wp:inline>
              </w:drawing>
            </w:r>
          </w:p>
        </w:tc>
      </w:tr>
      <w:tr w:rsidR="00124DC0" w:rsidRPr="00A92636" w:rsidTr="007C54AA">
        <w:tc>
          <w:tcPr>
            <w:tcW w:w="8423" w:type="dxa"/>
            <w:gridSpan w:val="2"/>
            <w:tcBorders>
              <w:top w:val="nil"/>
              <w:left w:val="nil"/>
              <w:bottom w:val="nil"/>
              <w:right w:val="nil"/>
            </w:tcBorders>
          </w:tcPr>
          <w:p w:rsidR="00124DC0" w:rsidRPr="00124DC0" w:rsidRDefault="00124DC0" w:rsidP="00124DC0">
            <w:pPr>
              <w:numPr>
                <w:ilvl w:val="0"/>
                <w:numId w:val="30"/>
              </w:numPr>
              <w:spacing w:before="60" w:after="60"/>
              <w:ind w:left="601" w:hanging="425"/>
              <w:rPr>
                <w:szCs w:val="24"/>
              </w:rPr>
            </w:pPr>
            <w:r w:rsidRPr="00124DC0">
              <w:rPr>
                <w:szCs w:val="24"/>
              </w:rPr>
              <w:t>Detach the filled syringe from the vial adapter by turning counter clockwise and discard the empty vial.</w:t>
            </w:r>
          </w:p>
        </w:tc>
      </w:tr>
      <w:tr w:rsidR="00124DC0" w:rsidRPr="00514D87" w:rsidTr="007C54AA">
        <w:tc>
          <w:tcPr>
            <w:tcW w:w="8423" w:type="dxa"/>
            <w:gridSpan w:val="2"/>
            <w:tcBorders>
              <w:top w:val="nil"/>
              <w:left w:val="nil"/>
              <w:bottom w:val="nil"/>
              <w:right w:val="nil"/>
            </w:tcBorders>
          </w:tcPr>
          <w:p w:rsidR="00124DC0" w:rsidRPr="00124DC0" w:rsidRDefault="00124DC0" w:rsidP="00124DC0">
            <w:pPr>
              <w:numPr>
                <w:ilvl w:val="0"/>
                <w:numId w:val="30"/>
              </w:numPr>
              <w:spacing w:before="60" w:after="60"/>
              <w:ind w:left="601" w:hanging="425"/>
              <w:rPr>
                <w:szCs w:val="24"/>
                <w:lang w:val="en-US"/>
              </w:rPr>
            </w:pPr>
            <w:r w:rsidRPr="00124DC0">
              <w:rPr>
                <w:szCs w:val="24"/>
              </w:rPr>
              <w:t>The solution is now prepared for immediate use or within 3 hours after reconstitution. In case the solution is not used immediately, close the filled syringe with the tamper-proof plastic tip for storage. Do not refrigerate the solution after reconstitution.</w:t>
            </w:r>
          </w:p>
        </w:tc>
      </w:tr>
      <w:tr w:rsidR="00124DC0" w:rsidRPr="00A92636" w:rsidTr="007C54AA">
        <w:tc>
          <w:tcPr>
            <w:tcW w:w="8423" w:type="dxa"/>
            <w:gridSpan w:val="2"/>
            <w:tcBorders>
              <w:top w:val="nil"/>
              <w:left w:val="nil"/>
              <w:bottom w:val="nil"/>
              <w:right w:val="nil"/>
            </w:tcBorders>
          </w:tcPr>
          <w:p w:rsidR="00124DC0" w:rsidRPr="00124DC0" w:rsidRDefault="00124DC0" w:rsidP="00124DC0">
            <w:pPr>
              <w:numPr>
                <w:ilvl w:val="0"/>
                <w:numId w:val="30"/>
              </w:numPr>
              <w:spacing w:before="60" w:after="60"/>
              <w:ind w:left="601" w:hanging="425"/>
              <w:rPr>
                <w:szCs w:val="24"/>
                <w:lang w:val="en-US"/>
              </w:rPr>
            </w:pPr>
            <w:r w:rsidRPr="00124DC0">
              <w:rPr>
                <w:szCs w:val="24"/>
                <w:lang w:val="en-US"/>
              </w:rPr>
              <w:t>Clean the chosen injection site with one of the provided alcohol swabs.</w:t>
            </w:r>
          </w:p>
        </w:tc>
      </w:tr>
      <w:tr w:rsidR="00124DC0" w:rsidRPr="00A92636" w:rsidTr="007C54AA">
        <w:tc>
          <w:tcPr>
            <w:tcW w:w="8423" w:type="dxa"/>
            <w:gridSpan w:val="2"/>
            <w:tcBorders>
              <w:top w:val="nil"/>
              <w:left w:val="nil"/>
              <w:bottom w:val="nil"/>
              <w:right w:val="nil"/>
            </w:tcBorders>
          </w:tcPr>
          <w:p w:rsidR="00124DC0" w:rsidRPr="00124DC0" w:rsidRDefault="00124DC0" w:rsidP="00124DC0">
            <w:pPr>
              <w:pStyle w:val="ListParagraph"/>
              <w:numPr>
                <w:ilvl w:val="0"/>
                <w:numId w:val="30"/>
              </w:numPr>
              <w:tabs>
                <w:tab w:val="clear" w:pos="567"/>
              </w:tabs>
              <w:spacing w:before="120" w:line="240" w:lineRule="auto"/>
              <w:ind w:left="601" w:hanging="425"/>
              <w:contextualSpacing w:val="0"/>
              <w:rPr>
                <w:noProof/>
                <w:sz w:val="24"/>
                <w:szCs w:val="24"/>
                <w:lang w:val="en-US"/>
              </w:rPr>
            </w:pPr>
            <w:r w:rsidRPr="00124DC0">
              <w:rPr>
                <w:noProof/>
                <w:sz w:val="24"/>
                <w:szCs w:val="24"/>
                <w:lang w:val="en-US"/>
              </w:rPr>
              <w:t>Attach the provided infusion set to the syringe.</w:t>
            </w:r>
          </w:p>
          <w:p w:rsidR="00124DC0" w:rsidRPr="00124DC0" w:rsidRDefault="00124DC0" w:rsidP="007C54AA">
            <w:pPr>
              <w:pStyle w:val="ListParagraph"/>
              <w:tabs>
                <w:tab w:val="clear" w:pos="567"/>
              </w:tabs>
              <w:spacing w:before="120" w:after="60" w:line="240" w:lineRule="auto"/>
              <w:ind w:left="601"/>
              <w:contextualSpacing w:val="0"/>
              <w:rPr>
                <w:noProof/>
                <w:sz w:val="24"/>
                <w:szCs w:val="24"/>
                <w:lang w:val="en-US"/>
              </w:rPr>
            </w:pPr>
            <w:r w:rsidRPr="00124DC0">
              <w:rPr>
                <w:noProof/>
                <w:sz w:val="24"/>
                <w:szCs w:val="24"/>
                <w:lang w:val="en-US"/>
              </w:rPr>
              <w:t>Insert the needle of the infusion set into the chosen vein. If you have used a tourniquet to make the vein easier to see, this tourniquet should be released before you start injecting the solution.</w:t>
            </w:r>
          </w:p>
          <w:p w:rsidR="00124DC0" w:rsidRPr="00124DC0" w:rsidRDefault="00124DC0" w:rsidP="007C54AA">
            <w:pPr>
              <w:pStyle w:val="ListParagraph"/>
              <w:tabs>
                <w:tab w:val="clear" w:pos="567"/>
              </w:tabs>
              <w:spacing w:before="120" w:after="60" w:line="240" w:lineRule="auto"/>
              <w:ind w:left="601"/>
              <w:contextualSpacing w:val="0"/>
              <w:rPr>
                <w:noProof/>
                <w:sz w:val="24"/>
                <w:szCs w:val="24"/>
                <w:lang w:val="en-US"/>
              </w:rPr>
            </w:pPr>
            <w:r w:rsidRPr="00124DC0">
              <w:rPr>
                <w:noProof/>
                <w:sz w:val="24"/>
                <w:szCs w:val="24"/>
                <w:lang w:val="en-US"/>
              </w:rPr>
              <w:t>No blood must flow into the syringe due to the risk of formation of fibrin clots.</w:t>
            </w:r>
          </w:p>
        </w:tc>
      </w:tr>
      <w:tr w:rsidR="00124DC0" w:rsidRPr="00A92636" w:rsidTr="007C54AA">
        <w:tc>
          <w:tcPr>
            <w:tcW w:w="8423" w:type="dxa"/>
            <w:gridSpan w:val="2"/>
            <w:tcBorders>
              <w:top w:val="nil"/>
              <w:left w:val="nil"/>
              <w:bottom w:val="nil"/>
              <w:right w:val="nil"/>
            </w:tcBorders>
          </w:tcPr>
          <w:p w:rsidR="00124DC0" w:rsidRPr="00124DC0" w:rsidRDefault="00124DC0" w:rsidP="00124DC0">
            <w:pPr>
              <w:numPr>
                <w:ilvl w:val="0"/>
                <w:numId w:val="30"/>
              </w:numPr>
              <w:spacing w:before="60" w:after="60"/>
              <w:ind w:left="601" w:hanging="425"/>
              <w:rPr>
                <w:szCs w:val="24"/>
                <w:lang w:val="en-US"/>
              </w:rPr>
            </w:pPr>
            <w:r w:rsidRPr="00124DC0">
              <w:rPr>
                <w:szCs w:val="24"/>
                <w:lang w:val="en-US"/>
              </w:rPr>
              <w:t>Inject the solution into the vein at a slow speed, not faster than 4 mL per minute.</w:t>
            </w:r>
          </w:p>
        </w:tc>
      </w:tr>
    </w:tbl>
    <w:p w:rsidR="0064540D" w:rsidRDefault="00EE64A8" w:rsidP="0064540D">
      <w:pPr>
        <w:rPr>
          <w:noProof/>
          <w:lang w:val="en-US"/>
        </w:rPr>
      </w:pPr>
      <w:r w:rsidRPr="004B179B">
        <w:rPr>
          <w:noProof/>
          <w:lang w:val="en-US"/>
        </w:rPr>
        <w:t xml:space="preserve">If you use more than one vial of concentrate for one treatment, you </w:t>
      </w:r>
      <w:r w:rsidR="0064540D">
        <w:rPr>
          <w:noProof/>
          <w:lang w:val="en-US"/>
        </w:rPr>
        <w:t>can follow these pooling steps:</w:t>
      </w:r>
    </w:p>
    <w:p w:rsidR="0064540D" w:rsidRDefault="0064540D" w:rsidP="00F144DE">
      <w:pPr>
        <w:ind w:left="567" w:hanging="283"/>
        <w:rPr>
          <w:noProof/>
          <w:lang w:val="en-US"/>
        </w:rPr>
      </w:pPr>
      <w:r>
        <w:rPr>
          <w:noProof/>
          <w:lang w:val="en-US"/>
        </w:rPr>
        <w:t xml:space="preserve">1. </w:t>
      </w:r>
      <w:r w:rsidR="00F144DE">
        <w:rPr>
          <w:noProof/>
          <w:lang w:val="en-US"/>
        </w:rPr>
        <w:tab/>
      </w:r>
      <w:r>
        <w:rPr>
          <w:noProof/>
          <w:lang w:val="en-US"/>
        </w:rPr>
        <w:t>Be sure to leave the vial adapter attached to the vial, as you will need it for attaching a larger luer lock  syringe</w:t>
      </w:r>
    </w:p>
    <w:p w:rsidR="0064540D" w:rsidRDefault="0064540D" w:rsidP="00F144DE">
      <w:pPr>
        <w:ind w:left="567" w:hanging="283"/>
        <w:rPr>
          <w:noProof/>
          <w:lang w:val="en-US"/>
        </w:rPr>
      </w:pPr>
      <w:r>
        <w:rPr>
          <w:noProof/>
          <w:lang w:val="en-US"/>
        </w:rPr>
        <w:t xml:space="preserve">2. </w:t>
      </w:r>
      <w:r w:rsidR="00F144DE">
        <w:rPr>
          <w:noProof/>
          <w:lang w:val="en-US"/>
        </w:rPr>
        <w:tab/>
      </w:r>
      <w:r>
        <w:rPr>
          <w:noProof/>
          <w:lang w:val="en-US"/>
        </w:rPr>
        <w:t>Do not detach the diluent syringe or the large luer lock syringe until you are ready to attach the larger luer lock syringe to the next vial (with adapter attached)</w:t>
      </w:r>
    </w:p>
    <w:p w:rsidR="0064540D" w:rsidRDefault="0064540D" w:rsidP="00F144DE">
      <w:pPr>
        <w:ind w:left="567" w:hanging="283"/>
        <w:rPr>
          <w:noProof/>
          <w:lang w:val="en-US"/>
        </w:rPr>
      </w:pPr>
      <w:r>
        <w:rPr>
          <w:noProof/>
          <w:lang w:val="en-US"/>
        </w:rPr>
        <w:t xml:space="preserve">3. </w:t>
      </w:r>
      <w:r w:rsidR="00F144DE">
        <w:rPr>
          <w:noProof/>
          <w:lang w:val="en-US"/>
        </w:rPr>
        <w:tab/>
      </w:r>
      <w:r>
        <w:rPr>
          <w:noProof/>
          <w:lang w:val="en-US"/>
        </w:rPr>
        <w:t>Remove the diluent syringe from the vial adapter by turning it counter-clockwise until it is completely detached</w:t>
      </w:r>
    </w:p>
    <w:p w:rsidR="0064540D" w:rsidRDefault="0064540D" w:rsidP="00F144DE">
      <w:pPr>
        <w:ind w:left="567" w:hanging="283"/>
        <w:rPr>
          <w:noProof/>
          <w:lang w:val="en-US"/>
        </w:rPr>
      </w:pPr>
      <w:r>
        <w:rPr>
          <w:noProof/>
          <w:lang w:val="en-US"/>
        </w:rPr>
        <w:t xml:space="preserve">4. </w:t>
      </w:r>
      <w:r w:rsidR="00F144DE">
        <w:rPr>
          <w:noProof/>
          <w:lang w:val="en-US"/>
        </w:rPr>
        <w:tab/>
      </w:r>
      <w:r>
        <w:rPr>
          <w:noProof/>
          <w:lang w:val="en-US"/>
        </w:rPr>
        <w:t>Attach a separate large luer lock syringe by turning clockwise until it is securely attached</w:t>
      </w:r>
    </w:p>
    <w:p w:rsidR="0064540D" w:rsidRDefault="0064540D" w:rsidP="00F144DE">
      <w:pPr>
        <w:ind w:left="567" w:hanging="283"/>
        <w:rPr>
          <w:noProof/>
          <w:lang w:val="en-US"/>
        </w:rPr>
      </w:pPr>
      <w:r>
        <w:rPr>
          <w:noProof/>
          <w:lang w:val="en-US"/>
        </w:rPr>
        <w:t xml:space="preserve">5. </w:t>
      </w:r>
      <w:r w:rsidR="00F144DE">
        <w:rPr>
          <w:noProof/>
          <w:lang w:val="en-US"/>
        </w:rPr>
        <w:tab/>
      </w:r>
      <w:r>
        <w:rPr>
          <w:noProof/>
          <w:lang w:val="en-US"/>
        </w:rPr>
        <w:t xml:space="preserve">Slowly pull on the plunger rod to draw the solution into the syringe. Repeat this pooling procedure with each vial you will be using. Once you have pooled the required dose, proceed to administration using the large luer lock syringe. </w:t>
      </w:r>
      <w:r w:rsidRPr="00124DC0">
        <w:rPr>
          <w:szCs w:val="24"/>
          <w:lang w:val="en-US"/>
        </w:rPr>
        <w:t>Inject the solution into the vein at a slow speed, not faster than 4 mL per minute.</w:t>
      </w:r>
    </w:p>
    <w:p w:rsidR="00875B83" w:rsidRPr="004B179B" w:rsidRDefault="00875B83" w:rsidP="00521823">
      <w:r w:rsidRPr="004B179B">
        <w:t>Do not use after the expiry date given on the label.</w:t>
      </w:r>
    </w:p>
    <w:p w:rsidR="00875B83" w:rsidRDefault="00875B83" w:rsidP="00521823">
      <w:pPr>
        <w:rPr>
          <w:lang w:val="en-AU"/>
        </w:rPr>
      </w:pPr>
      <w:r w:rsidRPr="004B179B">
        <w:t xml:space="preserve">The freeze-dried powder should only be reconstituted with the supplied solvent (2.5 mL WFI) using the supplied injection set. </w:t>
      </w:r>
    </w:p>
    <w:p w:rsidR="008C2BAA" w:rsidRPr="008C2BAA" w:rsidRDefault="008C2BAA" w:rsidP="00521823">
      <w:pPr>
        <w:rPr>
          <w:lang w:val="en-AU"/>
        </w:rPr>
      </w:pPr>
      <w:r w:rsidRPr="00324221">
        <w:lastRenderedPageBreak/>
        <w:t>The product is for single use in one patient only. Discard any residue</w:t>
      </w:r>
      <w:r>
        <w:rPr>
          <w:lang w:val="en-AU"/>
        </w:rPr>
        <w:t>.</w:t>
      </w:r>
    </w:p>
    <w:p w:rsidR="00875B83" w:rsidRPr="00324221" w:rsidRDefault="00875B83" w:rsidP="00521823">
      <w:r w:rsidRPr="004B179B">
        <w:t>Any unused product or waste material should be disposed of in accordance with local requirements.</w:t>
      </w:r>
      <w:r w:rsidR="00324221" w:rsidRPr="00324221">
        <w:t>.</w:t>
      </w:r>
    </w:p>
    <w:p w:rsidR="00875B83" w:rsidRPr="00890548" w:rsidRDefault="00875B83" w:rsidP="00151193">
      <w:pPr>
        <w:pStyle w:val="Heading3"/>
        <w:rPr>
          <w:lang w:val="en-US"/>
        </w:rPr>
      </w:pPr>
      <w:r w:rsidRPr="00890548">
        <w:rPr>
          <w:lang w:val="en-US"/>
        </w:rPr>
        <w:t>Incompatibilities</w:t>
      </w:r>
    </w:p>
    <w:p w:rsidR="00875B83" w:rsidRPr="004B179B" w:rsidRDefault="00875B83" w:rsidP="00521823">
      <w:r w:rsidRPr="004B179B">
        <w:t xml:space="preserve">In the absence of compatibility studies, this medicinal product must not be mixed with other medicinal products. </w:t>
      </w:r>
    </w:p>
    <w:p w:rsidR="00875B83" w:rsidRPr="004B179B" w:rsidRDefault="00875B83" w:rsidP="00521823">
      <w:pPr>
        <w:rPr>
          <w:lang w:val="en-GB"/>
        </w:rPr>
      </w:pPr>
      <w:r w:rsidRPr="004B179B">
        <w:t>Only the provided injection sets should be used because treatment failure can occur as a consequence of human coagulation factor VIII adsorption to the internal surfaces of some injection equipment.</w:t>
      </w:r>
    </w:p>
    <w:p w:rsidR="00F22787" w:rsidRPr="004B179B" w:rsidRDefault="00F22787">
      <w:pPr>
        <w:pStyle w:val="Heading1"/>
        <w:ind w:left="0" w:firstLine="0"/>
        <w:rPr>
          <w:color w:val="000000"/>
          <w:lang w:val="en-GB"/>
        </w:rPr>
      </w:pPr>
      <w:r w:rsidRPr="004B179B">
        <w:rPr>
          <w:color w:val="000000"/>
          <w:lang w:val="en-GB"/>
        </w:rPr>
        <w:t>Overdosage</w:t>
      </w:r>
    </w:p>
    <w:p w:rsidR="004D7196" w:rsidRPr="004B179B" w:rsidRDefault="004D7196" w:rsidP="00521823">
      <w:r w:rsidRPr="004B179B">
        <w:t>No symptoms of overdose have been reported.</w:t>
      </w:r>
    </w:p>
    <w:p w:rsidR="00F22787" w:rsidRPr="004B179B" w:rsidRDefault="00F22787" w:rsidP="00285232">
      <w:pPr>
        <w:pStyle w:val="Heading1"/>
        <w:rPr>
          <w:lang w:val="en-GB"/>
        </w:rPr>
      </w:pPr>
      <w:r w:rsidRPr="004B179B">
        <w:rPr>
          <w:lang w:val="en-GB"/>
        </w:rPr>
        <w:t>Presentation</w:t>
      </w:r>
      <w:r w:rsidR="00887D2C" w:rsidRPr="004B179B">
        <w:rPr>
          <w:lang w:val="en-GB"/>
        </w:rPr>
        <w:t xml:space="preserve"> and storage conditions</w:t>
      </w:r>
    </w:p>
    <w:p w:rsidR="00887D2C" w:rsidRPr="00890548" w:rsidRDefault="00887D2C" w:rsidP="00151193">
      <w:pPr>
        <w:pStyle w:val="Heading3"/>
        <w:rPr>
          <w:lang w:val="en-US" w:eastAsia="en-AU"/>
        </w:rPr>
      </w:pPr>
      <w:r w:rsidRPr="00890548">
        <w:rPr>
          <w:lang w:val="en-US" w:eastAsia="en-AU"/>
        </w:rPr>
        <w:t>Pack</w:t>
      </w:r>
    </w:p>
    <w:p w:rsidR="00887D2C" w:rsidRPr="004B179B" w:rsidRDefault="006E3127" w:rsidP="00521823">
      <w:pPr>
        <w:rPr>
          <w:szCs w:val="22"/>
          <w:lang w:val="en-US"/>
        </w:rPr>
      </w:pPr>
      <w:r>
        <w:t>Nuwiq</w:t>
      </w:r>
      <w:r w:rsidR="00BA46FD" w:rsidRPr="004B179B">
        <w:rPr>
          <w:lang w:val="en-US"/>
        </w:rPr>
        <w:t xml:space="preserve"> </w:t>
      </w:r>
      <w:r w:rsidR="00887D2C" w:rsidRPr="004B179B">
        <w:rPr>
          <w:lang w:val="en-US"/>
        </w:rPr>
        <w:t xml:space="preserve">is </w:t>
      </w:r>
      <w:r w:rsidR="00947BA3" w:rsidRPr="004B179B">
        <w:rPr>
          <w:lang w:val="en-US"/>
        </w:rPr>
        <w:t>a</w:t>
      </w:r>
      <w:r w:rsidR="00887D2C" w:rsidRPr="004B179B">
        <w:rPr>
          <w:lang w:val="en-US"/>
        </w:rPr>
        <w:t xml:space="preserve"> </w:t>
      </w:r>
      <w:r w:rsidR="00544E81" w:rsidRPr="004B179B">
        <w:rPr>
          <w:lang w:val="en-US"/>
        </w:rPr>
        <w:t xml:space="preserve">white to off-white </w:t>
      </w:r>
      <w:r w:rsidR="00887D2C" w:rsidRPr="004B179B">
        <w:rPr>
          <w:lang w:val="en-US"/>
        </w:rPr>
        <w:t xml:space="preserve">lyophilised </w:t>
      </w:r>
      <w:r w:rsidR="00947BA3" w:rsidRPr="004B179B">
        <w:rPr>
          <w:lang w:val="en-US"/>
        </w:rPr>
        <w:t xml:space="preserve">powder </w:t>
      </w:r>
      <w:r w:rsidR="00A31EBC">
        <w:rPr>
          <w:lang w:val="en-US"/>
        </w:rPr>
        <w:t>for</w:t>
      </w:r>
      <w:r w:rsidR="00D77069">
        <w:rPr>
          <w:lang w:val="en-US"/>
        </w:rPr>
        <w:t xml:space="preserve"> intravenous</w:t>
      </w:r>
      <w:r w:rsidR="00A31EBC">
        <w:rPr>
          <w:lang w:val="en-US"/>
        </w:rPr>
        <w:t xml:space="preserve"> injection </w:t>
      </w:r>
      <w:r w:rsidR="00947BA3" w:rsidRPr="004B179B">
        <w:rPr>
          <w:lang w:val="en-US"/>
        </w:rPr>
        <w:t xml:space="preserve">filled </w:t>
      </w:r>
      <w:r w:rsidR="00887D2C" w:rsidRPr="004B179B">
        <w:rPr>
          <w:lang w:val="en-US"/>
        </w:rPr>
        <w:t xml:space="preserve">in 8 mL colourless type 1 </w:t>
      </w:r>
      <w:r w:rsidR="00F44BAC" w:rsidRPr="004B179B">
        <w:rPr>
          <w:lang w:val="en-US"/>
        </w:rPr>
        <w:t>glass vials</w:t>
      </w:r>
      <w:r w:rsidR="00887D2C" w:rsidRPr="004B179B">
        <w:rPr>
          <w:lang w:val="en-US"/>
        </w:rPr>
        <w:t>. The vials are closed with coated bromobutyl stoppers and sealed with aluminium flip-off caps</w:t>
      </w:r>
      <w:r w:rsidR="00887D2C" w:rsidRPr="004B179B">
        <w:rPr>
          <w:szCs w:val="22"/>
          <w:lang w:val="en-US"/>
        </w:rPr>
        <w:t xml:space="preserve">, which have no immediate contact with </w:t>
      </w:r>
      <w:r w:rsidR="009F2CF4">
        <w:rPr>
          <w:szCs w:val="22"/>
          <w:lang w:val="en-US"/>
        </w:rPr>
        <w:t>Nuwiq</w:t>
      </w:r>
      <w:r w:rsidR="00887D2C" w:rsidRPr="004B179B">
        <w:rPr>
          <w:szCs w:val="22"/>
          <w:lang w:val="en-US"/>
        </w:rPr>
        <w:t xml:space="preserve">. </w:t>
      </w:r>
    </w:p>
    <w:p w:rsidR="00887D2C" w:rsidRPr="004B179B" w:rsidRDefault="00887D2C" w:rsidP="00521823">
      <w:pPr>
        <w:rPr>
          <w:szCs w:val="22"/>
          <w:lang w:val="en-US"/>
        </w:rPr>
      </w:pPr>
      <w:r w:rsidRPr="004B179B">
        <w:rPr>
          <w:szCs w:val="22"/>
          <w:lang w:val="en-US"/>
        </w:rPr>
        <w:t xml:space="preserve">The solvent for reconstitution of </w:t>
      </w:r>
      <w:r w:rsidR="006E3127">
        <w:t>Nuwiq</w:t>
      </w:r>
      <w:r w:rsidRPr="004B179B">
        <w:rPr>
          <w:szCs w:val="22"/>
          <w:lang w:val="en-US"/>
        </w:rPr>
        <w:t xml:space="preserve">, 2.5 </w:t>
      </w:r>
      <w:r w:rsidR="00F44BAC" w:rsidRPr="004B179B">
        <w:rPr>
          <w:szCs w:val="22"/>
          <w:lang w:val="en-US"/>
        </w:rPr>
        <w:t>mL</w:t>
      </w:r>
      <w:r w:rsidRPr="004B179B">
        <w:rPr>
          <w:szCs w:val="22"/>
          <w:lang w:val="en-US"/>
        </w:rPr>
        <w:t xml:space="preserve"> sterilised </w:t>
      </w:r>
      <w:r w:rsidR="00947BA3" w:rsidRPr="004B179B">
        <w:rPr>
          <w:szCs w:val="22"/>
          <w:lang w:val="en-US"/>
        </w:rPr>
        <w:t>WFI</w:t>
      </w:r>
      <w:r w:rsidRPr="004B179B">
        <w:rPr>
          <w:szCs w:val="22"/>
          <w:lang w:val="en-US"/>
        </w:rPr>
        <w:t xml:space="preserve">, is </w:t>
      </w:r>
      <w:r w:rsidR="00544E81" w:rsidRPr="004B179B">
        <w:rPr>
          <w:lang w:val="en-US"/>
        </w:rPr>
        <w:t>a clear, colourless liquid</w:t>
      </w:r>
      <w:r w:rsidR="00544E81" w:rsidRPr="004B179B">
        <w:rPr>
          <w:szCs w:val="22"/>
          <w:lang w:val="en-US"/>
        </w:rPr>
        <w:t xml:space="preserve"> </w:t>
      </w:r>
      <w:r w:rsidRPr="004B179B">
        <w:rPr>
          <w:szCs w:val="22"/>
          <w:lang w:val="en-US"/>
        </w:rPr>
        <w:t xml:space="preserve">provided in prefilled syringes. </w:t>
      </w:r>
    </w:p>
    <w:p w:rsidR="00887D2C" w:rsidRPr="004B179B" w:rsidRDefault="006E3127" w:rsidP="00521823">
      <w:pPr>
        <w:rPr>
          <w:szCs w:val="22"/>
          <w:lang w:val="en-US"/>
        </w:rPr>
      </w:pPr>
      <w:r>
        <w:t>Nuwiq</w:t>
      </w:r>
      <w:r w:rsidR="00BA46FD" w:rsidRPr="004B179B">
        <w:rPr>
          <w:szCs w:val="22"/>
          <w:lang w:val="en-US"/>
        </w:rPr>
        <w:t xml:space="preserve"> </w:t>
      </w:r>
      <w:r w:rsidR="00F44BAC" w:rsidRPr="004B179B">
        <w:rPr>
          <w:szCs w:val="22"/>
          <w:lang w:val="en-US"/>
        </w:rPr>
        <w:t xml:space="preserve">is supplied as a combination packaging consisting of: </w:t>
      </w:r>
    </w:p>
    <w:p w:rsidR="00F44BAC" w:rsidRPr="004B179B" w:rsidRDefault="00BA46FD" w:rsidP="00521823">
      <w:pPr>
        <w:pStyle w:val="ATextBericht"/>
        <w:numPr>
          <w:ilvl w:val="0"/>
          <w:numId w:val="31"/>
        </w:numPr>
        <w:spacing w:before="60"/>
        <w:ind w:left="714" w:hanging="357"/>
        <w:rPr>
          <w:szCs w:val="22"/>
          <w:lang w:val="en-US"/>
        </w:rPr>
      </w:pPr>
      <w:r>
        <w:rPr>
          <w:szCs w:val="22"/>
          <w:lang w:val="en-US"/>
        </w:rPr>
        <w:t xml:space="preserve">one vial of </w:t>
      </w:r>
      <w:r w:rsidR="006E3127">
        <w:t>Nuwiq</w:t>
      </w:r>
    </w:p>
    <w:p w:rsidR="00F44BAC" w:rsidRPr="004B179B" w:rsidRDefault="00F44BAC" w:rsidP="00521823">
      <w:pPr>
        <w:pStyle w:val="ATextBericht"/>
        <w:numPr>
          <w:ilvl w:val="0"/>
          <w:numId w:val="31"/>
        </w:numPr>
        <w:spacing w:before="60"/>
        <w:ind w:left="714" w:hanging="357"/>
        <w:rPr>
          <w:szCs w:val="22"/>
          <w:lang w:val="en-US"/>
        </w:rPr>
      </w:pPr>
      <w:r w:rsidRPr="004B179B">
        <w:rPr>
          <w:szCs w:val="22"/>
          <w:lang w:val="en-US"/>
        </w:rPr>
        <w:t xml:space="preserve">one pre-filled </w:t>
      </w:r>
      <w:r w:rsidR="00947BA3" w:rsidRPr="004B179B">
        <w:rPr>
          <w:szCs w:val="22"/>
          <w:lang w:val="en-US"/>
        </w:rPr>
        <w:t>WFI</w:t>
      </w:r>
      <w:r w:rsidRPr="004B179B">
        <w:rPr>
          <w:szCs w:val="22"/>
          <w:lang w:val="en-US"/>
        </w:rPr>
        <w:t xml:space="preserve"> syringe </w:t>
      </w:r>
    </w:p>
    <w:p w:rsidR="00887D2C" w:rsidRPr="004B179B" w:rsidRDefault="00F44BAC" w:rsidP="00521823">
      <w:pPr>
        <w:pStyle w:val="ATextBericht"/>
        <w:numPr>
          <w:ilvl w:val="0"/>
          <w:numId w:val="31"/>
        </w:numPr>
        <w:spacing w:before="60"/>
        <w:ind w:left="714" w:hanging="357"/>
        <w:rPr>
          <w:szCs w:val="22"/>
          <w:lang w:val="en-US"/>
        </w:rPr>
      </w:pPr>
      <w:r w:rsidRPr="004B179B">
        <w:rPr>
          <w:szCs w:val="22"/>
          <w:lang w:val="en-US"/>
        </w:rPr>
        <w:t>o</w:t>
      </w:r>
      <w:r w:rsidR="00887D2C" w:rsidRPr="004B179B">
        <w:rPr>
          <w:szCs w:val="22"/>
          <w:lang w:val="en-US"/>
        </w:rPr>
        <w:t>ne vial-adapter</w:t>
      </w:r>
    </w:p>
    <w:p w:rsidR="00887D2C" w:rsidRPr="004B179B" w:rsidRDefault="00F44BAC" w:rsidP="00521823">
      <w:pPr>
        <w:pStyle w:val="ATextBericht"/>
        <w:numPr>
          <w:ilvl w:val="0"/>
          <w:numId w:val="31"/>
        </w:numPr>
        <w:spacing w:before="60"/>
        <w:ind w:left="714" w:hanging="357"/>
        <w:rPr>
          <w:szCs w:val="22"/>
          <w:lang w:val="en-US"/>
        </w:rPr>
      </w:pPr>
      <w:r w:rsidRPr="004B179B">
        <w:rPr>
          <w:szCs w:val="22"/>
          <w:lang w:val="en-US"/>
        </w:rPr>
        <w:t>o</w:t>
      </w:r>
      <w:r w:rsidR="00887D2C" w:rsidRPr="004B179B">
        <w:rPr>
          <w:szCs w:val="22"/>
          <w:lang w:val="en-US"/>
        </w:rPr>
        <w:t>ne butterfly needle</w:t>
      </w:r>
    </w:p>
    <w:p w:rsidR="00887D2C" w:rsidRPr="004B179B" w:rsidRDefault="00F44BAC" w:rsidP="00521823">
      <w:pPr>
        <w:pStyle w:val="ATextBericht"/>
        <w:numPr>
          <w:ilvl w:val="0"/>
          <w:numId w:val="31"/>
        </w:numPr>
        <w:autoSpaceDE w:val="0"/>
        <w:autoSpaceDN w:val="0"/>
        <w:adjustRightInd w:val="0"/>
        <w:spacing w:before="60"/>
        <w:ind w:left="714" w:hanging="357"/>
        <w:rPr>
          <w:sz w:val="23"/>
          <w:szCs w:val="23"/>
          <w:lang w:val="en-AU" w:eastAsia="en-AU"/>
        </w:rPr>
      </w:pPr>
      <w:r w:rsidRPr="004B179B">
        <w:rPr>
          <w:szCs w:val="22"/>
          <w:lang w:val="en-US"/>
        </w:rPr>
        <w:t>t</w:t>
      </w:r>
      <w:r w:rsidR="00887D2C" w:rsidRPr="004B179B">
        <w:rPr>
          <w:szCs w:val="22"/>
          <w:lang w:val="en-US"/>
        </w:rPr>
        <w:t>wo alcohol swabs</w:t>
      </w:r>
    </w:p>
    <w:p w:rsidR="00887D2C" w:rsidRPr="004B179B" w:rsidRDefault="006E3127" w:rsidP="00521823">
      <w:pPr>
        <w:rPr>
          <w:lang w:val="en-AU" w:eastAsia="en-AU"/>
        </w:rPr>
      </w:pPr>
      <w:r>
        <w:t>Nuwiq</w:t>
      </w:r>
      <w:r w:rsidR="00BA46FD" w:rsidRPr="004B179B">
        <w:rPr>
          <w:lang w:val="en-AU" w:eastAsia="en-AU"/>
        </w:rPr>
        <w:t xml:space="preserve"> </w:t>
      </w:r>
      <w:r w:rsidR="00887D2C" w:rsidRPr="004B179B">
        <w:rPr>
          <w:lang w:val="en-AU" w:eastAsia="en-AU"/>
        </w:rPr>
        <w:t>is supplied in the following presentations:</w:t>
      </w:r>
    </w:p>
    <w:p w:rsidR="00887D2C" w:rsidRPr="004B179B" w:rsidRDefault="006E3127" w:rsidP="00521823">
      <w:pPr>
        <w:numPr>
          <w:ilvl w:val="0"/>
          <w:numId w:val="32"/>
        </w:numPr>
        <w:autoSpaceDE w:val="0"/>
        <w:autoSpaceDN w:val="0"/>
        <w:adjustRightInd w:val="0"/>
        <w:spacing w:before="60" w:after="60"/>
        <w:ind w:left="714" w:hanging="357"/>
        <w:rPr>
          <w:szCs w:val="24"/>
          <w:lang w:val="en-AU" w:eastAsia="en-AU"/>
        </w:rPr>
      </w:pPr>
      <w:r>
        <w:t>Nuwiq</w:t>
      </w:r>
      <w:r w:rsidR="00BA46FD" w:rsidRPr="004B179B">
        <w:rPr>
          <w:szCs w:val="24"/>
          <w:lang w:val="en-AU" w:eastAsia="en-AU"/>
        </w:rPr>
        <w:t xml:space="preserve"> </w:t>
      </w:r>
      <w:r w:rsidR="00887D2C" w:rsidRPr="004B179B">
        <w:rPr>
          <w:szCs w:val="24"/>
          <w:lang w:val="en-AU" w:eastAsia="en-AU"/>
        </w:rPr>
        <w:t xml:space="preserve">250 is supplied with </w:t>
      </w:r>
      <w:r w:rsidR="00F44BAC" w:rsidRPr="004B179B">
        <w:rPr>
          <w:szCs w:val="24"/>
          <w:lang w:val="en-AU" w:eastAsia="en-AU"/>
        </w:rPr>
        <w:t>2.</w:t>
      </w:r>
      <w:r w:rsidR="00887D2C" w:rsidRPr="004B179B">
        <w:rPr>
          <w:szCs w:val="24"/>
          <w:lang w:val="en-AU" w:eastAsia="en-AU"/>
        </w:rPr>
        <w:t>5 mL WFI</w:t>
      </w:r>
    </w:p>
    <w:p w:rsidR="00887D2C" w:rsidRPr="004B179B" w:rsidRDefault="006E3127" w:rsidP="00521823">
      <w:pPr>
        <w:numPr>
          <w:ilvl w:val="0"/>
          <w:numId w:val="32"/>
        </w:numPr>
        <w:autoSpaceDE w:val="0"/>
        <w:autoSpaceDN w:val="0"/>
        <w:adjustRightInd w:val="0"/>
        <w:spacing w:before="60" w:after="60"/>
        <w:ind w:left="714" w:hanging="357"/>
        <w:rPr>
          <w:szCs w:val="24"/>
          <w:lang w:val="en-AU" w:eastAsia="en-AU"/>
        </w:rPr>
      </w:pPr>
      <w:r>
        <w:t>Nuwiq</w:t>
      </w:r>
      <w:r w:rsidR="00BA46FD" w:rsidRPr="004B179B">
        <w:rPr>
          <w:szCs w:val="24"/>
          <w:lang w:val="en-AU" w:eastAsia="en-AU"/>
        </w:rPr>
        <w:t xml:space="preserve"> </w:t>
      </w:r>
      <w:r w:rsidR="00947BA3" w:rsidRPr="004B179B">
        <w:rPr>
          <w:szCs w:val="24"/>
          <w:lang w:val="en-AU" w:eastAsia="en-AU"/>
        </w:rPr>
        <w:t>500 is supplied with 2.5</w:t>
      </w:r>
      <w:r w:rsidR="00887D2C" w:rsidRPr="004B179B">
        <w:rPr>
          <w:szCs w:val="24"/>
          <w:lang w:val="en-AU" w:eastAsia="en-AU"/>
        </w:rPr>
        <w:t xml:space="preserve"> mL WFI</w:t>
      </w:r>
    </w:p>
    <w:p w:rsidR="00887D2C" w:rsidRPr="00BA46FD" w:rsidRDefault="006E3127" w:rsidP="00521823">
      <w:pPr>
        <w:pStyle w:val="Heading4"/>
        <w:numPr>
          <w:ilvl w:val="0"/>
          <w:numId w:val="32"/>
        </w:numPr>
        <w:spacing w:before="60" w:after="60"/>
        <w:ind w:left="714" w:hanging="357"/>
        <w:rPr>
          <w:b w:val="0"/>
          <w:i w:val="0"/>
          <w:szCs w:val="24"/>
          <w:lang w:val="en-AU" w:eastAsia="en-AU"/>
        </w:rPr>
      </w:pPr>
      <w:r>
        <w:rPr>
          <w:b w:val="0"/>
          <w:i w:val="0"/>
        </w:rPr>
        <w:t>Nuwiq</w:t>
      </w:r>
      <w:r w:rsidR="00BA46FD" w:rsidRPr="00BA46FD">
        <w:rPr>
          <w:b w:val="0"/>
          <w:i w:val="0"/>
          <w:szCs w:val="24"/>
          <w:lang w:val="en-AU" w:eastAsia="en-AU"/>
        </w:rPr>
        <w:t xml:space="preserve"> </w:t>
      </w:r>
      <w:r w:rsidR="00947BA3" w:rsidRPr="00BA46FD">
        <w:rPr>
          <w:b w:val="0"/>
          <w:i w:val="0"/>
          <w:szCs w:val="24"/>
          <w:lang w:val="en-AU" w:eastAsia="en-AU"/>
        </w:rPr>
        <w:t>1000 is supplied with 2.5</w:t>
      </w:r>
      <w:r w:rsidR="00887D2C" w:rsidRPr="00BA46FD">
        <w:rPr>
          <w:b w:val="0"/>
          <w:i w:val="0"/>
          <w:szCs w:val="24"/>
          <w:lang w:val="en-AU" w:eastAsia="en-AU"/>
        </w:rPr>
        <w:t xml:space="preserve"> mL WFI</w:t>
      </w:r>
    </w:p>
    <w:p w:rsidR="00F44BAC" w:rsidRPr="004B179B" w:rsidRDefault="006E3127" w:rsidP="00521823">
      <w:pPr>
        <w:pStyle w:val="Heading4"/>
        <w:numPr>
          <w:ilvl w:val="0"/>
          <w:numId w:val="32"/>
        </w:numPr>
        <w:spacing w:before="60" w:after="60"/>
        <w:ind w:left="714" w:hanging="357"/>
        <w:rPr>
          <w:b w:val="0"/>
          <w:i w:val="0"/>
          <w:szCs w:val="24"/>
          <w:lang w:val="en-AU" w:eastAsia="en-AU"/>
        </w:rPr>
      </w:pPr>
      <w:r>
        <w:rPr>
          <w:b w:val="0"/>
          <w:i w:val="0"/>
        </w:rPr>
        <w:t>Nuwiq</w:t>
      </w:r>
      <w:r w:rsidR="00BA46FD" w:rsidRPr="004B179B">
        <w:rPr>
          <w:b w:val="0"/>
          <w:i w:val="0"/>
          <w:szCs w:val="24"/>
          <w:lang w:val="en-AU" w:eastAsia="en-AU"/>
        </w:rPr>
        <w:t xml:space="preserve"> </w:t>
      </w:r>
      <w:r w:rsidR="00947BA3" w:rsidRPr="004B179B">
        <w:rPr>
          <w:b w:val="0"/>
          <w:i w:val="0"/>
          <w:szCs w:val="24"/>
          <w:lang w:val="en-AU" w:eastAsia="en-AU"/>
        </w:rPr>
        <w:t>2000 is supplied with 2.5 mL WFI</w:t>
      </w:r>
    </w:p>
    <w:p w:rsidR="00F22787" w:rsidRPr="00890548" w:rsidRDefault="00F22787" w:rsidP="00151193">
      <w:pPr>
        <w:pStyle w:val="Heading3"/>
        <w:rPr>
          <w:lang w:val="en-US"/>
        </w:rPr>
      </w:pPr>
      <w:r w:rsidRPr="00890548">
        <w:rPr>
          <w:lang w:val="en-US"/>
        </w:rPr>
        <w:t>Storage</w:t>
      </w:r>
    </w:p>
    <w:p w:rsidR="00875B83" w:rsidRPr="004B179B" w:rsidRDefault="00875B83" w:rsidP="00521823">
      <w:pPr>
        <w:spacing w:before="80" w:after="80"/>
        <w:rPr>
          <w:lang w:val="en-US"/>
        </w:rPr>
      </w:pPr>
      <w:r w:rsidRPr="004B179B">
        <w:rPr>
          <w:lang w:val="en-US"/>
        </w:rPr>
        <w:t>Shelf life is 2 years.</w:t>
      </w:r>
    </w:p>
    <w:p w:rsidR="00947BA3" w:rsidRPr="004B179B" w:rsidRDefault="00875B83" w:rsidP="00521823">
      <w:pPr>
        <w:spacing w:before="80" w:after="80"/>
        <w:rPr>
          <w:lang w:val="en-US"/>
        </w:rPr>
      </w:pPr>
      <w:r w:rsidRPr="004B179B">
        <w:rPr>
          <w:lang w:val="en-US"/>
        </w:rPr>
        <w:t xml:space="preserve">Store at </w:t>
      </w:r>
      <w:r w:rsidR="00947BA3" w:rsidRPr="004B179B">
        <w:rPr>
          <w:lang w:val="en-US"/>
        </w:rPr>
        <w:t>2°</w:t>
      </w:r>
      <w:r w:rsidRPr="004B179B">
        <w:rPr>
          <w:lang w:val="en-US"/>
        </w:rPr>
        <w:t xml:space="preserve">C to </w:t>
      </w:r>
      <w:r w:rsidR="00947BA3" w:rsidRPr="004B179B">
        <w:rPr>
          <w:lang w:val="en-US"/>
        </w:rPr>
        <w:t>8°C</w:t>
      </w:r>
      <w:r w:rsidRPr="004B179B">
        <w:rPr>
          <w:lang w:val="en-US"/>
        </w:rPr>
        <w:t xml:space="preserve"> (Refrigerate</w:t>
      </w:r>
      <w:r w:rsidR="00947BA3" w:rsidRPr="004B179B">
        <w:rPr>
          <w:lang w:val="en-US"/>
        </w:rPr>
        <w:t>.</w:t>
      </w:r>
      <w:r w:rsidRPr="004B179B">
        <w:rPr>
          <w:lang w:val="en-US"/>
        </w:rPr>
        <w:t xml:space="preserve"> Do not freeze).</w:t>
      </w:r>
    </w:p>
    <w:p w:rsidR="00875B83" w:rsidRPr="004B179B" w:rsidRDefault="00875B83" w:rsidP="00521823">
      <w:pPr>
        <w:spacing w:before="80" w:after="80"/>
        <w:rPr>
          <w:lang w:val="en-US"/>
        </w:rPr>
      </w:pPr>
      <w:r w:rsidRPr="004B179B">
        <w:rPr>
          <w:lang w:val="en-US"/>
        </w:rPr>
        <w:t>Keep the vial in the outer carton in order to protect from light. Keep out of reach of children.</w:t>
      </w:r>
    </w:p>
    <w:p w:rsidR="00875B83" w:rsidRPr="004B179B" w:rsidRDefault="00947BA3" w:rsidP="00521823">
      <w:pPr>
        <w:spacing w:before="80" w:after="80"/>
        <w:rPr>
          <w:lang w:val="en-US"/>
        </w:rPr>
      </w:pPr>
      <w:r w:rsidRPr="004B179B">
        <w:rPr>
          <w:lang w:val="en-US"/>
        </w:rPr>
        <w:t>The reconstituted solution should be used immediately or within 3 hours after reconstitution.</w:t>
      </w:r>
    </w:p>
    <w:p w:rsidR="00947BA3" w:rsidRPr="004B179B" w:rsidRDefault="00947BA3" w:rsidP="00521823">
      <w:pPr>
        <w:spacing w:before="80" w:after="80"/>
      </w:pPr>
      <w:r w:rsidRPr="004B179B">
        <w:rPr>
          <w:lang w:val="en-US"/>
        </w:rPr>
        <w:t>Keep the reconstituted solution at room temperature. Do not refrigerate.</w:t>
      </w:r>
    </w:p>
    <w:p w:rsidR="00285232" w:rsidRPr="004B179B" w:rsidRDefault="00875B83" w:rsidP="00521823">
      <w:pPr>
        <w:spacing w:before="80" w:after="80"/>
        <w:rPr>
          <w:lang w:val="en-GB"/>
        </w:rPr>
      </w:pPr>
      <w:r w:rsidRPr="004B179B">
        <w:t>Do not use after the expiry date given on the label.</w:t>
      </w:r>
    </w:p>
    <w:p w:rsidR="00F144DE" w:rsidRDefault="00F144DE" w:rsidP="008F30DF">
      <w:pPr>
        <w:pStyle w:val="Heading1"/>
        <w:rPr>
          <w:lang w:val="en-GB"/>
        </w:rPr>
      </w:pPr>
    </w:p>
    <w:p w:rsidR="00F144DE" w:rsidRDefault="00F144DE" w:rsidP="008F30DF">
      <w:pPr>
        <w:pStyle w:val="Heading1"/>
        <w:rPr>
          <w:lang w:val="en-GB"/>
        </w:rPr>
      </w:pPr>
    </w:p>
    <w:p w:rsidR="00285232" w:rsidRPr="004B179B" w:rsidRDefault="00285232" w:rsidP="008F30DF">
      <w:pPr>
        <w:pStyle w:val="Heading1"/>
        <w:rPr>
          <w:lang w:val="en-GB"/>
        </w:rPr>
      </w:pPr>
      <w:r w:rsidRPr="004B179B">
        <w:rPr>
          <w:lang w:val="en-GB"/>
        </w:rPr>
        <w:t xml:space="preserve">Name and </w:t>
      </w:r>
      <w:r w:rsidRPr="00890548">
        <w:rPr>
          <w:szCs w:val="24"/>
          <w:lang w:val="en-US"/>
        </w:rPr>
        <w:t>address</w:t>
      </w:r>
      <w:r w:rsidRPr="004B179B">
        <w:rPr>
          <w:lang w:val="en-GB"/>
        </w:rPr>
        <w:t xml:space="preserve"> of Sponsor</w:t>
      </w:r>
    </w:p>
    <w:p w:rsidR="00521823" w:rsidRDefault="008D61D1" w:rsidP="00521823">
      <w:pPr>
        <w:pStyle w:val="Text1"/>
        <w:spacing w:before="80" w:after="80"/>
        <w:ind w:left="0"/>
        <w:rPr>
          <w:lang w:val="en-GB"/>
        </w:rPr>
      </w:pPr>
      <w:r w:rsidRPr="004B179B">
        <w:rPr>
          <w:lang w:val="en-GB"/>
        </w:rPr>
        <w:t>Octapharma</w:t>
      </w:r>
      <w:r w:rsidR="001E41A6" w:rsidRPr="004B179B">
        <w:rPr>
          <w:lang w:val="en-GB"/>
        </w:rPr>
        <w:t xml:space="preserve"> </w:t>
      </w:r>
      <w:r w:rsidR="00BE784B" w:rsidRPr="004B179B">
        <w:rPr>
          <w:lang w:val="en-GB"/>
        </w:rPr>
        <w:t xml:space="preserve">Australia </w:t>
      </w:r>
      <w:r w:rsidR="001E41A6" w:rsidRPr="004B179B">
        <w:rPr>
          <w:lang w:val="en-GB"/>
        </w:rPr>
        <w:t>Pty</w:t>
      </w:r>
      <w:r w:rsidR="00315FAD" w:rsidRPr="004B179B">
        <w:rPr>
          <w:lang w:val="en-GB"/>
        </w:rPr>
        <w:t>.</w:t>
      </w:r>
      <w:r w:rsidR="001E41A6" w:rsidRPr="004B179B">
        <w:rPr>
          <w:lang w:val="en-GB"/>
        </w:rPr>
        <w:t xml:space="preserve"> L</w:t>
      </w:r>
      <w:r w:rsidR="00315FAD" w:rsidRPr="004B179B">
        <w:rPr>
          <w:lang w:val="en-GB"/>
        </w:rPr>
        <w:t>td</w:t>
      </w:r>
      <w:r w:rsidR="00C65212" w:rsidRPr="004B179B">
        <w:rPr>
          <w:lang w:val="en-GB"/>
        </w:rPr>
        <w:t>.</w:t>
      </w:r>
    </w:p>
    <w:p w:rsidR="00521823" w:rsidRDefault="006C1AF2" w:rsidP="00521823">
      <w:pPr>
        <w:pStyle w:val="Text1"/>
        <w:spacing w:before="80" w:after="80"/>
        <w:ind w:left="0"/>
        <w:rPr>
          <w:szCs w:val="24"/>
          <w:lang w:val="en-GB"/>
        </w:rPr>
      </w:pPr>
      <w:r w:rsidRPr="004B179B">
        <w:rPr>
          <w:szCs w:val="24"/>
          <w:lang w:val="en-GB"/>
        </w:rPr>
        <w:t xml:space="preserve">Jones Bay Wharf </w:t>
      </w:r>
    </w:p>
    <w:p w:rsidR="00521823" w:rsidRDefault="006C1AF2" w:rsidP="00521823">
      <w:pPr>
        <w:pStyle w:val="Text1"/>
        <w:spacing w:before="80" w:after="80"/>
        <w:ind w:left="0"/>
        <w:rPr>
          <w:szCs w:val="24"/>
          <w:lang w:val="en-GB"/>
        </w:rPr>
      </w:pPr>
      <w:r w:rsidRPr="004B179B">
        <w:rPr>
          <w:szCs w:val="24"/>
          <w:lang w:val="en-GB"/>
        </w:rPr>
        <w:t>42/26-32 Pirrama Road</w:t>
      </w:r>
      <w:r w:rsidR="00521823">
        <w:rPr>
          <w:szCs w:val="24"/>
          <w:lang w:val="en-GB"/>
        </w:rPr>
        <w:t xml:space="preserve"> </w:t>
      </w:r>
    </w:p>
    <w:p w:rsidR="00521823" w:rsidRDefault="006C1AF2" w:rsidP="00521823">
      <w:pPr>
        <w:pStyle w:val="Text1"/>
        <w:spacing w:before="80" w:after="80"/>
        <w:ind w:left="0"/>
        <w:rPr>
          <w:szCs w:val="24"/>
          <w:lang w:val="en-GB"/>
        </w:rPr>
      </w:pPr>
      <w:r w:rsidRPr="004B179B">
        <w:rPr>
          <w:szCs w:val="24"/>
          <w:lang w:val="en-GB"/>
        </w:rPr>
        <w:t>Pyrmont NSW 2009</w:t>
      </w:r>
      <w:r w:rsidR="00521823">
        <w:rPr>
          <w:szCs w:val="24"/>
          <w:lang w:val="en-GB"/>
        </w:rPr>
        <w:t xml:space="preserve"> </w:t>
      </w:r>
    </w:p>
    <w:p w:rsidR="006C1AF2" w:rsidRPr="004B179B" w:rsidRDefault="006C1AF2" w:rsidP="00521823">
      <w:pPr>
        <w:pStyle w:val="Text1"/>
        <w:spacing w:before="80" w:after="80"/>
        <w:ind w:left="0"/>
        <w:rPr>
          <w:color w:val="000000"/>
          <w:szCs w:val="24"/>
          <w:lang w:val="en-GB"/>
        </w:rPr>
      </w:pPr>
      <w:r w:rsidRPr="004B179B">
        <w:rPr>
          <w:color w:val="000000"/>
          <w:szCs w:val="24"/>
          <w:lang w:val="en-GB"/>
        </w:rPr>
        <w:t>Australia</w:t>
      </w:r>
    </w:p>
    <w:p w:rsidR="00875B83" w:rsidRPr="00890548" w:rsidRDefault="00875B83" w:rsidP="00875B83">
      <w:pPr>
        <w:pStyle w:val="Heading1"/>
        <w:rPr>
          <w:lang w:val="en-US"/>
        </w:rPr>
      </w:pPr>
      <w:r w:rsidRPr="00890548">
        <w:rPr>
          <w:lang w:val="en-US"/>
        </w:rPr>
        <w:t>Poison schedule of the medicine</w:t>
      </w:r>
    </w:p>
    <w:p w:rsidR="008F30DF" w:rsidRPr="00890548" w:rsidRDefault="00324221" w:rsidP="008F30DF">
      <w:pPr>
        <w:pStyle w:val="Text"/>
        <w:rPr>
          <w:lang w:val="en-US"/>
        </w:rPr>
      </w:pPr>
      <w:r>
        <w:rPr>
          <w:lang w:val="en-US"/>
        </w:rPr>
        <w:t>Exempt from Scheduling, Appendix A of the SUSMP</w:t>
      </w:r>
    </w:p>
    <w:p w:rsidR="00F22787" w:rsidRPr="00890548" w:rsidRDefault="00F22787" w:rsidP="008F30DF">
      <w:pPr>
        <w:pStyle w:val="Heading1"/>
        <w:rPr>
          <w:lang w:val="en-US"/>
        </w:rPr>
      </w:pPr>
      <w:r w:rsidRPr="00890548">
        <w:rPr>
          <w:lang w:val="en-US"/>
        </w:rPr>
        <w:t xml:space="preserve">Date of </w:t>
      </w:r>
      <w:r w:rsidR="008F30DF" w:rsidRPr="00890548">
        <w:rPr>
          <w:lang w:val="en-US"/>
        </w:rPr>
        <w:t>first inclusion on the ARTG</w:t>
      </w:r>
    </w:p>
    <w:p w:rsidR="00BF66F8" w:rsidRPr="00B90665" w:rsidRDefault="00B90665" w:rsidP="008F30DF">
      <w:pPr>
        <w:pStyle w:val="Text"/>
        <w:rPr>
          <w:lang w:val="en-AU"/>
        </w:rPr>
      </w:pPr>
      <w:r w:rsidRPr="00B90665">
        <w:rPr>
          <w:lang w:val="en-AU"/>
        </w:rPr>
        <w:t>5 November 2014</w:t>
      </w:r>
    </w:p>
    <w:p w:rsidR="008C4A15" w:rsidRPr="004B179B" w:rsidRDefault="008C4A15" w:rsidP="008C6591">
      <w:pPr>
        <w:pStyle w:val="Heading1"/>
        <w:rPr>
          <w:i/>
          <w:lang w:val="en-GB"/>
        </w:rPr>
      </w:pPr>
      <w:r w:rsidRPr="004B179B">
        <w:t>Date of Most Recent Amendment</w:t>
      </w:r>
    </w:p>
    <w:sectPr w:rsidR="008C4A15" w:rsidRPr="004B179B" w:rsidSect="00F144DE">
      <w:headerReference w:type="default" r:id="rId17"/>
      <w:footerReference w:type="default" r:id="rId18"/>
      <w:footnotePr>
        <w:numFmt w:val="chicago"/>
      </w:footnotePr>
      <w:pgSz w:w="11906" w:h="16838" w:code="9"/>
      <w:pgMar w:top="1191"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FF6" w:rsidRDefault="00E41FF6">
      <w:r>
        <w:separator/>
      </w:r>
    </w:p>
  </w:endnote>
  <w:endnote w:type="continuationSeparator" w:id="0">
    <w:p w:rsidR="00E41FF6" w:rsidRDefault="00E4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NewRomanPSMT">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w:altName w:val="Trade Gothic"/>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A92" w:rsidRPr="00D44780" w:rsidRDefault="00A91A92" w:rsidP="00D44780">
    <w:pPr>
      <w:pStyle w:val="Footer"/>
      <w:rPr>
        <w:rFonts w:ascii="Times New Roman" w:hAnsi="Times New Roman"/>
        <w:i/>
        <w:sz w:val="20"/>
      </w:rPr>
    </w:pPr>
    <w:r>
      <w:rPr>
        <w:rFonts w:ascii="Times New Roman" w:hAnsi="Times New Roman"/>
        <w:i/>
        <w:sz w:val="20"/>
      </w:rPr>
      <w:tab/>
    </w:r>
    <w:r w:rsidR="006E189C" w:rsidRPr="00D44780">
      <w:rPr>
        <w:rStyle w:val="PageNumber"/>
        <w:rFonts w:ascii="Times New Roman" w:hAnsi="Times New Roman"/>
        <w:i/>
        <w:sz w:val="20"/>
      </w:rPr>
      <w:fldChar w:fldCharType="begin"/>
    </w:r>
    <w:r w:rsidRPr="00D44780">
      <w:rPr>
        <w:rStyle w:val="PageNumber"/>
        <w:rFonts w:ascii="Times New Roman" w:hAnsi="Times New Roman"/>
        <w:i/>
        <w:sz w:val="20"/>
      </w:rPr>
      <w:instrText xml:space="preserve"> PAGE </w:instrText>
    </w:r>
    <w:r w:rsidR="006E189C" w:rsidRPr="00D44780">
      <w:rPr>
        <w:rStyle w:val="PageNumber"/>
        <w:rFonts w:ascii="Times New Roman" w:hAnsi="Times New Roman"/>
        <w:i/>
        <w:sz w:val="20"/>
      </w:rPr>
      <w:fldChar w:fldCharType="separate"/>
    </w:r>
    <w:r w:rsidR="00E467D4">
      <w:rPr>
        <w:rStyle w:val="PageNumber"/>
        <w:rFonts w:ascii="Times New Roman" w:hAnsi="Times New Roman"/>
        <w:i/>
        <w:noProof/>
        <w:sz w:val="20"/>
      </w:rPr>
      <w:t>15</w:t>
    </w:r>
    <w:r w:rsidR="006E189C" w:rsidRPr="00D44780">
      <w:rPr>
        <w:rStyle w:val="PageNumber"/>
        <w:rFonts w:ascii="Times New Roman" w:hAnsi="Times New Roman"/>
        <w:i/>
        <w:sz w:val="20"/>
      </w:rPr>
      <w:fldChar w:fldCharType="end"/>
    </w:r>
    <w:r w:rsidRPr="00D44780">
      <w:rPr>
        <w:rStyle w:val="PageNumber"/>
        <w:rFonts w:ascii="Times New Roman" w:hAnsi="Times New Roman"/>
        <w:i/>
        <w:sz w:val="20"/>
      </w:rPr>
      <w:t>/</w:t>
    </w:r>
    <w:r w:rsidR="006E189C" w:rsidRPr="00D44780">
      <w:rPr>
        <w:rStyle w:val="PageNumber"/>
        <w:rFonts w:ascii="Times New Roman" w:hAnsi="Times New Roman"/>
        <w:i/>
        <w:sz w:val="20"/>
      </w:rPr>
      <w:fldChar w:fldCharType="begin"/>
    </w:r>
    <w:r w:rsidRPr="00D44780">
      <w:rPr>
        <w:rStyle w:val="PageNumber"/>
        <w:rFonts w:ascii="Times New Roman" w:hAnsi="Times New Roman"/>
        <w:i/>
        <w:sz w:val="20"/>
      </w:rPr>
      <w:instrText xml:space="preserve"> NUMPAGES </w:instrText>
    </w:r>
    <w:r w:rsidR="006E189C" w:rsidRPr="00D44780">
      <w:rPr>
        <w:rStyle w:val="PageNumber"/>
        <w:rFonts w:ascii="Times New Roman" w:hAnsi="Times New Roman"/>
        <w:i/>
        <w:sz w:val="20"/>
      </w:rPr>
      <w:fldChar w:fldCharType="separate"/>
    </w:r>
    <w:r w:rsidR="00E467D4">
      <w:rPr>
        <w:rStyle w:val="PageNumber"/>
        <w:rFonts w:ascii="Times New Roman" w:hAnsi="Times New Roman"/>
        <w:i/>
        <w:noProof/>
        <w:sz w:val="20"/>
      </w:rPr>
      <w:t>17</w:t>
    </w:r>
    <w:r w:rsidR="006E189C" w:rsidRPr="00D44780">
      <w:rPr>
        <w:rStyle w:val="PageNumber"/>
        <w:rFonts w:ascii="Times New Roman" w:hAnsi="Times New Roman"/>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FF6" w:rsidRDefault="00E41FF6">
      <w:r>
        <w:separator/>
      </w:r>
    </w:p>
  </w:footnote>
  <w:footnote w:type="continuationSeparator" w:id="0">
    <w:p w:rsidR="00E41FF6" w:rsidRDefault="00E41FF6">
      <w:r>
        <w:continuationSeparator/>
      </w:r>
    </w:p>
  </w:footnote>
  <w:footnote w:id="1">
    <w:p w:rsidR="00A91A92" w:rsidRPr="001025D4" w:rsidRDefault="00A91A92" w:rsidP="001025D4">
      <w:pPr>
        <w:rPr>
          <w:sz w:val="20"/>
        </w:rPr>
      </w:pPr>
      <w:r w:rsidRPr="001025D4">
        <w:rPr>
          <w:sz w:val="20"/>
          <w:lang w:val="en-US"/>
        </w:rPr>
        <w:footnoteRef/>
      </w:r>
      <w:r w:rsidRPr="001025D4">
        <w:rPr>
          <w:sz w:val="20"/>
          <w:lang w:val="en-US"/>
        </w:rPr>
        <w:t xml:space="preserve"> Drugs which have been taken by only a limited number of pregnant women and women of childbearing age, without an increase in the frequency of malformation or other direct or indirect harmful effects on the human fetus having been observed. Studies in animals are inadequate or may be lacking, but available data show no evidence of an increased occurrence of fetal damage.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E467D4" w:rsidRPr="00E467D4" w:rsidTr="00616C64">
      <w:tc>
        <w:tcPr>
          <w:tcW w:w="8720" w:type="dxa"/>
          <w:shd w:val="clear" w:color="auto" w:fill="E4F2E0"/>
        </w:tcPr>
        <w:p w:rsidR="00E467D4" w:rsidRPr="00E467D4" w:rsidRDefault="00E467D4" w:rsidP="00616C64">
          <w:pPr>
            <w:spacing w:before="40" w:after="40"/>
            <w:rPr>
              <w:rFonts w:ascii="Cambria" w:hAnsi="Cambria"/>
              <w:b/>
              <w:sz w:val="20"/>
            </w:rPr>
          </w:pPr>
          <w:r w:rsidRPr="00E467D4">
            <w:rPr>
              <w:rFonts w:ascii="Cambria" w:hAnsi="Cambria"/>
              <w:b/>
              <w:sz w:val="20"/>
            </w:rPr>
            <w:t>Attachment 1: Product information for AusPAR Nuwiq  simoctocog alfa rhu Octapharma Australia Pty Ltd  PM-2013-02226-1-4 Final 7 June 2016. This Product Information was approved at the time this AusPAR was published.</w:t>
          </w:r>
        </w:p>
      </w:tc>
    </w:tr>
  </w:tbl>
  <w:p w:rsidR="00A91A92" w:rsidRDefault="00A91A92" w:rsidP="001C2BC2">
    <w:pPr>
      <w:pStyle w:val="Text"/>
      <w:jc w:val="center"/>
      <w:rPr>
        <w:b/>
        <w:bCs/>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9A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nsid w:val="07377BC3"/>
    <w:multiLevelType w:val="hybridMultilevel"/>
    <w:tmpl w:val="71EAB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53263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nsid w:val="0D7A3CE4"/>
    <w:multiLevelType w:val="hybridMultilevel"/>
    <w:tmpl w:val="A7306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E48B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nsid w:val="13972923"/>
    <w:multiLevelType w:val="hybridMultilevel"/>
    <w:tmpl w:val="B0FAD5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19CD0CC4"/>
    <w:multiLevelType w:val="hybridMultilevel"/>
    <w:tmpl w:val="FA482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EE00F7"/>
    <w:multiLevelType w:val="hybridMultilevel"/>
    <w:tmpl w:val="33D28F64"/>
    <w:lvl w:ilvl="0" w:tplc="6D062170">
      <w:start w:val="1"/>
      <w:numFmt w:val="lowerRoman"/>
      <w:lvlText w:val="%1)"/>
      <w:lvlJc w:val="left"/>
      <w:pPr>
        <w:tabs>
          <w:tab w:val="num" w:pos="1778"/>
        </w:tabs>
        <w:ind w:left="1778" w:hanging="720"/>
      </w:pPr>
      <w:rPr>
        <w:rFonts w:hint="default"/>
      </w:rPr>
    </w:lvl>
    <w:lvl w:ilvl="1" w:tplc="04090019" w:tentative="1">
      <w:start w:val="1"/>
      <w:numFmt w:val="lowerLetter"/>
      <w:lvlText w:val="%2."/>
      <w:lvlJc w:val="left"/>
      <w:pPr>
        <w:tabs>
          <w:tab w:val="num" w:pos="2138"/>
        </w:tabs>
        <w:ind w:left="2138" w:hanging="360"/>
      </w:pPr>
    </w:lvl>
    <w:lvl w:ilvl="2" w:tplc="0409001B" w:tentative="1">
      <w:start w:val="1"/>
      <w:numFmt w:val="lowerRoman"/>
      <w:lvlText w:val="%3."/>
      <w:lvlJc w:val="right"/>
      <w:pPr>
        <w:tabs>
          <w:tab w:val="num" w:pos="2858"/>
        </w:tabs>
        <w:ind w:left="2858" w:hanging="180"/>
      </w:pPr>
    </w:lvl>
    <w:lvl w:ilvl="3" w:tplc="0409000F" w:tentative="1">
      <w:start w:val="1"/>
      <w:numFmt w:val="decimal"/>
      <w:lvlText w:val="%4."/>
      <w:lvlJc w:val="left"/>
      <w:pPr>
        <w:tabs>
          <w:tab w:val="num" w:pos="3578"/>
        </w:tabs>
        <w:ind w:left="3578" w:hanging="360"/>
      </w:pPr>
    </w:lvl>
    <w:lvl w:ilvl="4" w:tplc="04090019" w:tentative="1">
      <w:start w:val="1"/>
      <w:numFmt w:val="lowerLetter"/>
      <w:lvlText w:val="%5."/>
      <w:lvlJc w:val="left"/>
      <w:pPr>
        <w:tabs>
          <w:tab w:val="num" w:pos="4298"/>
        </w:tabs>
        <w:ind w:left="4298" w:hanging="360"/>
      </w:pPr>
    </w:lvl>
    <w:lvl w:ilvl="5" w:tplc="0409001B" w:tentative="1">
      <w:start w:val="1"/>
      <w:numFmt w:val="lowerRoman"/>
      <w:lvlText w:val="%6."/>
      <w:lvlJc w:val="right"/>
      <w:pPr>
        <w:tabs>
          <w:tab w:val="num" w:pos="5018"/>
        </w:tabs>
        <w:ind w:left="5018" w:hanging="180"/>
      </w:pPr>
    </w:lvl>
    <w:lvl w:ilvl="6" w:tplc="0409000F" w:tentative="1">
      <w:start w:val="1"/>
      <w:numFmt w:val="decimal"/>
      <w:lvlText w:val="%7."/>
      <w:lvlJc w:val="left"/>
      <w:pPr>
        <w:tabs>
          <w:tab w:val="num" w:pos="5738"/>
        </w:tabs>
        <w:ind w:left="5738" w:hanging="360"/>
      </w:pPr>
    </w:lvl>
    <w:lvl w:ilvl="7" w:tplc="04090019" w:tentative="1">
      <w:start w:val="1"/>
      <w:numFmt w:val="lowerLetter"/>
      <w:lvlText w:val="%8."/>
      <w:lvlJc w:val="left"/>
      <w:pPr>
        <w:tabs>
          <w:tab w:val="num" w:pos="6458"/>
        </w:tabs>
        <w:ind w:left="6458" w:hanging="360"/>
      </w:pPr>
    </w:lvl>
    <w:lvl w:ilvl="8" w:tplc="0409001B" w:tentative="1">
      <w:start w:val="1"/>
      <w:numFmt w:val="lowerRoman"/>
      <w:lvlText w:val="%9."/>
      <w:lvlJc w:val="right"/>
      <w:pPr>
        <w:tabs>
          <w:tab w:val="num" w:pos="7178"/>
        </w:tabs>
        <w:ind w:left="7178" w:hanging="180"/>
      </w:pPr>
    </w:lvl>
  </w:abstractNum>
  <w:abstractNum w:abstractNumId="8">
    <w:nsid w:val="21752EE7"/>
    <w:multiLevelType w:val="hybridMultilevel"/>
    <w:tmpl w:val="D1A8D6FA"/>
    <w:lvl w:ilvl="0" w:tplc="0ABE547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9736C57"/>
    <w:multiLevelType w:val="hybridMultilevel"/>
    <w:tmpl w:val="36D87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B6112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nsid w:val="2C864AD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nsid w:val="37172745"/>
    <w:multiLevelType w:val="singleLevel"/>
    <w:tmpl w:val="5D9A7144"/>
    <w:lvl w:ilvl="0">
      <w:start w:val="9"/>
      <w:numFmt w:val="bullet"/>
      <w:lvlText w:val="-"/>
      <w:lvlJc w:val="left"/>
      <w:pPr>
        <w:tabs>
          <w:tab w:val="num" w:pos="360"/>
        </w:tabs>
        <w:ind w:left="360" w:hanging="360"/>
      </w:pPr>
      <w:rPr>
        <w:rFonts w:ascii="Times New Roman" w:hAnsi="Times New Roman" w:hint="default"/>
      </w:rPr>
    </w:lvl>
  </w:abstractNum>
  <w:abstractNum w:abstractNumId="13">
    <w:nsid w:val="39202DE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nsid w:val="3F3F184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nsid w:val="438A4DFE"/>
    <w:multiLevelType w:val="hybridMultilevel"/>
    <w:tmpl w:val="C6CE7440"/>
    <w:lvl w:ilvl="0" w:tplc="938E2F1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57020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nsid w:val="55A5559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nsid w:val="59240DA0"/>
    <w:multiLevelType w:val="hybridMultilevel"/>
    <w:tmpl w:val="B2C84B3C"/>
    <w:lvl w:ilvl="0" w:tplc="938E2F1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CBA0BDA"/>
    <w:multiLevelType w:val="hybridMultilevel"/>
    <w:tmpl w:val="B6AC7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E024B7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nsid w:val="5EC444C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nsid w:val="635B6EE9"/>
    <w:multiLevelType w:val="hybridMultilevel"/>
    <w:tmpl w:val="4E044C1A"/>
    <w:lvl w:ilvl="0" w:tplc="0C090001">
      <w:start w:val="1"/>
      <w:numFmt w:val="bullet"/>
      <w:lvlText w:val=""/>
      <w:lvlJc w:val="left"/>
      <w:pPr>
        <w:ind w:left="720" w:hanging="360"/>
      </w:pPr>
      <w:rPr>
        <w:rFonts w:ascii="Symbol" w:hAnsi="Symbol" w:hint="default"/>
      </w:rPr>
    </w:lvl>
    <w:lvl w:ilvl="1" w:tplc="160E6FC0">
      <w:numFmt w:val="bullet"/>
      <w:lvlText w:val="•"/>
      <w:lvlJc w:val="left"/>
      <w:pPr>
        <w:ind w:left="1440" w:hanging="360"/>
      </w:pPr>
      <w:rPr>
        <w:rFonts w:ascii="SymbolMT" w:eastAsia="SymbolMT" w:hAnsi="TimesNewRomanPSMT" w:cs="SymbolMT" w:hint="eastAsia"/>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5D57723"/>
    <w:multiLevelType w:val="singleLevel"/>
    <w:tmpl w:val="04070007"/>
    <w:lvl w:ilvl="0">
      <w:start w:val="1"/>
      <w:numFmt w:val="bullet"/>
      <w:lvlText w:val="-"/>
      <w:lvlJc w:val="left"/>
      <w:pPr>
        <w:tabs>
          <w:tab w:val="num" w:pos="360"/>
        </w:tabs>
        <w:ind w:left="360" w:hanging="360"/>
      </w:pPr>
      <w:rPr>
        <w:sz w:val="16"/>
      </w:rPr>
    </w:lvl>
  </w:abstractNum>
  <w:abstractNum w:abstractNumId="24">
    <w:nsid w:val="6A3B355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nsid w:val="6A5F050A"/>
    <w:multiLevelType w:val="hybridMultilevel"/>
    <w:tmpl w:val="6AD85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E77099A"/>
    <w:multiLevelType w:val="hybridMultilevel"/>
    <w:tmpl w:val="353E1BD2"/>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7">
    <w:nsid w:val="708863FC"/>
    <w:multiLevelType w:val="hybridMultilevel"/>
    <w:tmpl w:val="38D013C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4066CD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9">
    <w:nsid w:val="75A64128"/>
    <w:multiLevelType w:val="multilevel"/>
    <w:tmpl w:val="CDE4553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30">
    <w:nsid w:val="7697459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1">
    <w:nsid w:val="76F27BE8"/>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4"/>
  </w:num>
  <w:num w:numId="3">
    <w:abstractNumId w:val="21"/>
  </w:num>
  <w:num w:numId="4">
    <w:abstractNumId w:val="16"/>
  </w:num>
  <w:num w:numId="5">
    <w:abstractNumId w:val="2"/>
  </w:num>
  <w:num w:numId="6">
    <w:abstractNumId w:val="24"/>
  </w:num>
  <w:num w:numId="7">
    <w:abstractNumId w:val="14"/>
  </w:num>
  <w:num w:numId="8">
    <w:abstractNumId w:val="31"/>
  </w:num>
  <w:num w:numId="9">
    <w:abstractNumId w:val="13"/>
  </w:num>
  <w:num w:numId="10">
    <w:abstractNumId w:val="17"/>
  </w:num>
  <w:num w:numId="11">
    <w:abstractNumId w:val="20"/>
  </w:num>
  <w:num w:numId="12">
    <w:abstractNumId w:val="11"/>
  </w:num>
  <w:num w:numId="13">
    <w:abstractNumId w:val="0"/>
  </w:num>
  <w:num w:numId="14">
    <w:abstractNumId w:val="10"/>
  </w:num>
  <w:num w:numId="15">
    <w:abstractNumId w:val="23"/>
  </w:num>
  <w:num w:numId="16">
    <w:abstractNumId w:val="29"/>
  </w:num>
  <w:num w:numId="17">
    <w:abstractNumId w:val="28"/>
  </w:num>
  <w:num w:numId="18">
    <w:abstractNumId w:val="30"/>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9"/>
  </w:num>
  <w:num w:numId="22">
    <w:abstractNumId w:val="1"/>
  </w:num>
  <w:num w:numId="23">
    <w:abstractNumId w:val="18"/>
  </w:num>
  <w:num w:numId="24">
    <w:abstractNumId w:val="15"/>
  </w:num>
  <w:num w:numId="25">
    <w:abstractNumId w:val="7"/>
  </w:num>
  <w:num w:numId="26">
    <w:abstractNumId w:val="6"/>
  </w:num>
  <w:num w:numId="27">
    <w:abstractNumId w:val="26"/>
  </w:num>
  <w:num w:numId="28">
    <w:abstractNumId w:val="22"/>
  </w:num>
  <w:num w:numId="29">
    <w:abstractNumId w:val="8"/>
  </w:num>
  <w:num w:numId="30">
    <w:abstractNumId w:val="3"/>
  </w:num>
  <w:num w:numId="31">
    <w:abstractNumId w:val="19"/>
  </w:num>
  <w:num w:numId="32">
    <w:abstractNumId w:val="25"/>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41"/>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28F"/>
    <w:rsid w:val="0000294A"/>
    <w:rsid w:val="00005116"/>
    <w:rsid w:val="0000535C"/>
    <w:rsid w:val="000168E3"/>
    <w:rsid w:val="00022FBF"/>
    <w:rsid w:val="00041F87"/>
    <w:rsid w:val="00042351"/>
    <w:rsid w:val="00044936"/>
    <w:rsid w:val="0006627E"/>
    <w:rsid w:val="00071412"/>
    <w:rsid w:val="00076A0F"/>
    <w:rsid w:val="000823C0"/>
    <w:rsid w:val="0008546C"/>
    <w:rsid w:val="00085995"/>
    <w:rsid w:val="000A1BC1"/>
    <w:rsid w:val="000A44D3"/>
    <w:rsid w:val="000B0CF2"/>
    <w:rsid w:val="000B4D3D"/>
    <w:rsid w:val="000C121C"/>
    <w:rsid w:val="000C4306"/>
    <w:rsid w:val="000D51AB"/>
    <w:rsid w:val="000D7992"/>
    <w:rsid w:val="000E0ED4"/>
    <w:rsid w:val="000E1772"/>
    <w:rsid w:val="000E6269"/>
    <w:rsid w:val="000E6979"/>
    <w:rsid w:val="00101AE1"/>
    <w:rsid w:val="001025D4"/>
    <w:rsid w:val="00102755"/>
    <w:rsid w:val="00110B36"/>
    <w:rsid w:val="00113E5C"/>
    <w:rsid w:val="001202E9"/>
    <w:rsid w:val="00120DEF"/>
    <w:rsid w:val="00120FF4"/>
    <w:rsid w:val="0012477A"/>
    <w:rsid w:val="00124DC0"/>
    <w:rsid w:val="001256D1"/>
    <w:rsid w:val="00125C30"/>
    <w:rsid w:val="00133533"/>
    <w:rsid w:val="0013369E"/>
    <w:rsid w:val="00134D64"/>
    <w:rsid w:val="00151193"/>
    <w:rsid w:val="00151580"/>
    <w:rsid w:val="00160BC1"/>
    <w:rsid w:val="00171D54"/>
    <w:rsid w:val="001917FA"/>
    <w:rsid w:val="001960D4"/>
    <w:rsid w:val="001A086B"/>
    <w:rsid w:val="001A3455"/>
    <w:rsid w:val="001B0506"/>
    <w:rsid w:val="001B13D5"/>
    <w:rsid w:val="001C0688"/>
    <w:rsid w:val="001C2BC2"/>
    <w:rsid w:val="001C79CD"/>
    <w:rsid w:val="001D6A5F"/>
    <w:rsid w:val="001D733E"/>
    <w:rsid w:val="001E41A6"/>
    <w:rsid w:val="001E5679"/>
    <w:rsid w:val="001F4DD8"/>
    <w:rsid w:val="00200479"/>
    <w:rsid w:val="00205031"/>
    <w:rsid w:val="0020533B"/>
    <w:rsid w:val="002154E6"/>
    <w:rsid w:val="00224494"/>
    <w:rsid w:val="002312CC"/>
    <w:rsid w:val="00232779"/>
    <w:rsid w:val="00235859"/>
    <w:rsid w:val="00251E55"/>
    <w:rsid w:val="00260F84"/>
    <w:rsid w:val="00272539"/>
    <w:rsid w:val="002833B2"/>
    <w:rsid w:val="00285232"/>
    <w:rsid w:val="0029210F"/>
    <w:rsid w:val="00297A31"/>
    <w:rsid w:val="002C0360"/>
    <w:rsid w:val="002C041F"/>
    <w:rsid w:val="002C4D93"/>
    <w:rsid w:val="002C7321"/>
    <w:rsid w:val="002D0D17"/>
    <w:rsid w:val="002D18DB"/>
    <w:rsid w:val="002D455F"/>
    <w:rsid w:val="002D577C"/>
    <w:rsid w:val="002D6957"/>
    <w:rsid w:val="002E2690"/>
    <w:rsid w:val="002E2C73"/>
    <w:rsid w:val="002E60B0"/>
    <w:rsid w:val="002E6862"/>
    <w:rsid w:val="002F2254"/>
    <w:rsid w:val="0030323D"/>
    <w:rsid w:val="0030331E"/>
    <w:rsid w:val="00315FAD"/>
    <w:rsid w:val="00323B67"/>
    <w:rsid w:val="00324221"/>
    <w:rsid w:val="003314D8"/>
    <w:rsid w:val="00342508"/>
    <w:rsid w:val="0034252B"/>
    <w:rsid w:val="00342A85"/>
    <w:rsid w:val="00353DB9"/>
    <w:rsid w:val="00356CA0"/>
    <w:rsid w:val="00356F2E"/>
    <w:rsid w:val="003608E6"/>
    <w:rsid w:val="003632C8"/>
    <w:rsid w:val="0036344E"/>
    <w:rsid w:val="00374180"/>
    <w:rsid w:val="0037717D"/>
    <w:rsid w:val="00380408"/>
    <w:rsid w:val="00385E2E"/>
    <w:rsid w:val="0039182A"/>
    <w:rsid w:val="00392EC2"/>
    <w:rsid w:val="00393687"/>
    <w:rsid w:val="00394B49"/>
    <w:rsid w:val="003977C9"/>
    <w:rsid w:val="00397CB9"/>
    <w:rsid w:val="003A0D11"/>
    <w:rsid w:val="003B48EA"/>
    <w:rsid w:val="003C4DB3"/>
    <w:rsid w:val="003C67A7"/>
    <w:rsid w:val="003C726D"/>
    <w:rsid w:val="003D1934"/>
    <w:rsid w:val="003E2192"/>
    <w:rsid w:val="003E6834"/>
    <w:rsid w:val="003F16C6"/>
    <w:rsid w:val="003F5469"/>
    <w:rsid w:val="003F5499"/>
    <w:rsid w:val="003F697B"/>
    <w:rsid w:val="0040048E"/>
    <w:rsid w:val="004036F9"/>
    <w:rsid w:val="0040500F"/>
    <w:rsid w:val="00412979"/>
    <w:rsid w:val="00412CDB"/>
    <w:rsid w:val="00414670"/>
    <w:rsid w:val="00421286"/>
    <w:rsid w:val="004212FD"/>
    <w:rsid w:val="00421455"/>
    <w:rsid w:val="004239A2"/>
    <w:rsid w:val="00426C5B"/>
    <w:rsid w:val="00427C82"/>
    <w:rsid w:val="00430B64"/>
    <w:rsid w:val="00436185"/>
    <w:rsid w:val="00437AE1"/>
    <w:rsid w:val="00441076"/>
    <w:rsid w:val="00441FF2"/>
    <w:rsid w:val="0044460A"/>
    <w:rsid w:val="004572D0"/>
    <w:rsid w:val="00461464"/>
    <w:rsid w:val="004641FD"/>
    <w:rsid w:val="004652F7"/>
    <w:rsid w:val="00466741"/>
    <w:rsid w:val="0046677B"/>
    <w:rsid w:val="00471A52"/>
    <w:rsid w:val="004731F8"/>
    <w:rsid w:val="00493C69"/>
    <w:rsid w:val="00493E5F"/>
    <w:rsid w:val="004975DA"/>
    <w:rsid w:val="004A1419"/>
    <w:rsid w:val="004A72A4"/>
    <w:rsid w:val="004B0A1A"/>
    <w:rsid w:val="004B179B"/>
    <w:rsid w:val="004B1DED"/>
    <w:rsid w:val="004C0749"/>
    <w:rsid w:val="004D6DA0"/>
    <w:rsid w:val="004D7196"/>
    <w:rsid w:val="004D7BC1"/>
    <w:rsid w:val="004E5697"/>
    <w:rsid w:val="004E6353"/>
    <w:rsid w:val="004F3230"/>
    <w:rsid w:val="004F4F45"/>
    <w:rsid w:val="004F512A"/>
    <w:rsid w:val="004F731C"/>
    <w:rsid w:val="0050096A"/>
    <w:rsid w:val="005023A5"/>
    <w:rsid w:val="005076A2"/>
    <w:rsid w:val="005115D8"/>
    <w:rsid w:val="00513870"/>
    <w:rsid w:val="00515947"/>
    <w:rsid w:val="005176BF"/>
    <w:rsid w:val="00521823"/>
    <w:rsid w:val="00522C38"/>
    <w:rsid w:val="00542EC7"/>
    <w:rsid w:val="00544E81"/>
    <w:rsid w:val="00550726"/>
    <w:rsid w:val="00553335"/>
    <w:rsid w:val="00563FC9"/>
    <w:rsid w:val="0057066E"/>
    <w:rsid w:val="005715AF"/>
    <w:rsid w:val="00573D1A"/>
    <w:rsid w:val="00587220"/>
    <w:rsid w:val="00590D1D"/>
    <w:rsid w:val="005926D4"/>
    <w:rsid w:val="0059574A"/>
    <w:rsid w:val="00595AAE"/>
    <w:rsid w:val="00596900"/>
    <w:rsid w:val="005B431B"/>
    <w:rsid w:val="005D30F0"/>
    <w:rsid w:val="005E31A7"/>
    <w:rsid w:val="005E4945"/>
    <w:rsid w:val="005F3BAF"/>
    <w:rsid w:val="005F66FB"/>
    <w:rsid w:val="006069A7"/>
    <w:rsid w:val="00610270"/>
    <w:rsid w:val="00610F31"/>
    <w:rsid w:val="006246E3"/>
    <w:rsid w:val="00626CF9"/>
    <w:rsid w:val="006353F2"/>
    <w:rsid w:val="006426B8"/>
    <w:rsid w:val="0064540D"/>
    <w:rsid w:val="0065108C"/>
    <w:rsid w:val="00652868"/>
    <w:rsid w:val="00653645"/>
    <w:rsid w:val="00662C3E"/>
    <w:rsid w:val="0066390F"/>
    <w:rsid w:val="00664082"/>
    <w:rsid w:val="006671EC"/>
    <w:rsid w:val="006776A6"/>
    <w:rsid w:val="0068121B"/>
    <w:rsid w:val="00690745"/>
    <w:rsid w:val="00697AFE"/>
    <w:rsid w:val="006B5B83"/>
    <w:rsid w:val="006B7E57"/>
    <w:rsid w:val="006C1AF2"/>
    <w:rsid w:val="006C54A5"/>
    <w:rsid w:val="006C5DA4"/>
    <w:rsid w:val="006D46A0"/>
    <w:rsid w:val="006D4980"/>
    <w:rsid w:val="006E189C"/>
    <w:rsid w:val="006E2752"/>
    <w:rsid w:val="006E2BC4"/>
    <w:rsid w:val="006E2EDF"/>
    <w:rsid w:val="006E3127"/>
    <w:rsid w:val="006E39C8"/>
    <w:rsid w:val="006E6237"/>
    <w:rsid w:val="006F4172"/>
    <w:rsid w:val="006F472D"/>
    <w:rsid w:val="007001BC"/>
    <w:rsid w:val="00702063"/>
    <w:rsid w:val="0070219B"/>
    <w:rsid w:val="00705E3F"/>
    <w:rsid w:val="00707EAE"/>
    <w:rsid w:val="00716CD7"/>
    <w:rsid w:val="00722DCC"/>
    <w:rsid w:val="0072749B"/>
    <w:rsid w:val="007401B3"/>
    <w:rsid w:val="00741264"/>
    <w:rsid w:val="007477A3"/>
    <w:rsid w:val="00747DA2"/>
    <w:rsid w:val="0075719E"/>
    <w:rsid w:val="00764E76"/>
    <w:rsid w:val="00770147"/>
    <w:rsid w:val="00772513"/>
    <w:rsid w:val="00772AF9"/>
    <w:rsid w:val="00774507"/>
    <w:rsid w:val="00774895"/>
    <w:rsid w:val="00775877"/>
    <w:rsid w:val="00783901"/>
    <w:rsid w:val="007871DE"/>
    <w:rsid w:val="00797B19"/>
    <w:rsid w:val="007A3271"/>
    <w:rsid w:val="007A546F"/>
    <w:rsid w:val="007A6128"/>
    <w:rsid w:val="007A7F19"/>
    <w:rsid w:val="007B20CE"/>
    <w:rsid w:val="007B2E19"/>
    <w:rsid w:val="007B3403"/>
    <w:rsid w:val="007B38DC"/>
    <w:rsid w:val="007C0B59"/>
    <w:rsid w:val="007C2DBB"/>
    <w:rsid w:val="007C32EC"/>
    <w:rsid w:val="007C54AA"/>
    <w:rsid w:val="007E4043"/>
    <w:rsid w:val="007E5599"/>
    <w:rsid w:val="007E6046"/>
    <w:rsid w:val="007F3234"/>
    <w:rsid w:val="00812D73"/>
    <w:rsid w:val="008150AB"/>
    <w:rsid w:val="0082293B"/>
    <w:rsid w:val="00825E42"/>
    <w:rsid w:val="008301B5"/>
    <w:rsid w:val="00832066"/>
    <w:rsid w:val="00834587"/>
    <w:rsid w:val="0084076E"/>
    <w:rsid w:val="0084475D"/>
    <w:rsid w:val="00854336"/>
    <w:rsid w:val="00856F27"/>
    <w:rsid w:val="00857D1C"/>
    <w:rsid w:val="008628D1"/>
    <w:rsid w:val="008630BA"/>
    <w:rsid w:val="00864F17"/>
    <w:rsid w:val="00867FDD"/>
    <w:rsid w:val="00870285"/>
    <w:rsid w:val="00870B24"/>
    <w:rsid w:val="008726F0"/>
    <w:rsid w:val="00875B83"/>
    <w:rsid w:val="00876BAB"/>
    <w:rsid w:val="00887D2C"/>
    <w:rsid w:val="00890548"/>
    <w:rsid w:val="008927AD"/>
    <w:rsid w:val="008949FD"/>
    <w:rsid w:val="00894DC6"/>
    <w:rsid w:val="008978B6"/>
    <w:rsid w:val="008A389B"/>
    <w:rsid w:val="008A66CB"/>
    <w:rsid w:val="008B41C2"/>
    <w:rsid w:val="008C2BAA"/>
    <w:rsid w:val="008C4387"/>
    <w:rsid w:val="008C4A15"/>
    <w:rsid w:val="008C6591"/>
    <w:rsid w:val="008D61D1"/>
    <w:rsid w:val="008D7691"/>
    <w:rsid w:val="008D79C2"/>
    <w:rsid w:val="008E328F"/>
    <w:rsid w:val="008E38EE"/>
    <w:rsid w:val="008E494B"/>
    <w:rsid w:val="008F0BB6"/>
    <w:rsid w:val="008F30DF"/>
    <w:rsid w:val="008F66FF"/>
    <w:rsid w:val="00904A56"/>
    <w:rsid w:val="009062DE"/>
    <w:rsid w:val="009105C8"/>
    <w:rsid w:val="00913175"/>
    <w:rsid w:val="0091424F"/>
    <w:rsid w:val="00914C97"/>
    <w:rsid w:val="00917E76"/>
    <w:rsid w:val="00921FEE"/>
    <w:rsid w:val="0092643B"/>
    <w:rsid w:val="00926FD2"/>
    <w:rsid w:val="00947BA3"/>
    <w:rsid w:val="00950195"/>
    <w:rsid w:val="00951987"/>
    <w:rsid w:val="0096028D"/>
    <w:rsid w:val="00960F59"/>
    <w:rsid w:val="00967032"/>
    <w:rsid w:val="00970BE8"/>
    <w:rsid w:val="0097725A"/>
    <w:rsid w:val="00980187"/>
    <w:rsid w:val="009936A3"/>
    <w:rsid w:val="00994918"/>
    <w:rsid w:val="009A1120"/>
    <w:rsid w:val="009A22E4"/>
    <w:rsid w:val="009A5E76"/>
    <w:rsid w:val="009A6130"/>
    <w:rsid w:val="009B0690"/>
    <w:rsid w:val="009B30F5"/>
    <w:rsid w:val="009B623F"/>
    <w:rsid w:val="009E1AD2"/>
    <w:rsid w:val="009E6E57"/>
    <w:rsid w:val="009F2CF4"/>
    <w:rsid w:val="009F4CA8"/>
    <w:rsid w:val="009F4D1D"/>
    <w:rsid w:val="009F7594"/>
    <w:rsid w:val="00A00DD3"/>
    <w:rsid w:val="00A023E1"/>
    <w:rsid w:val="00A052D0"/>
    <w:rsid w:val="00A07F2C"/>
    <w:rsid w:val="00A31EBC"/>
    <w:rsid w:val="00A3227A"/>
    <w:rsid w:val="00A36CFD"/>
    <w:rsid w:val="00A37E0C"/>
    <w:rsid w:val="00A44C40"/>
    <w:rsid w:val="00A60A1D"/>
    <w:rsid w:val="00A61D6A"/>
    <w:rsid w:val="00A67B5A"/>
    <w:rsid w:val="00A75664"/>
    <w:rsid w:val="00A861FD"/>
    <w:rsid w:val="00A91A92"/>
    <w:rsid w:val="00A94452"/>
    <w:rsid w:val="00A95CAE"/>
    <w:rsid w:val="00AB609B"/>
    <w:rsid w:val="00AC1CC5"/>
    <w:rsid w:val="00AC3733"/>
    <w:rsid w:val="00AC3906"/>
    <w:rsid w:val="00AC686E"/>
    <w:rsid w:val="00AD3698"/>
    <w:rsid w:val="00AD7352"/>
    <w:rsid w:val="00AE40A7"/>
    <w:rsid w:val="00AE6815"/>
    <w:rsid w:val="00AF1C37"/>
    <w:rsid w:val="00AF6380"/>
    <w:rsid w:val="00B075B1"/>
    <w:rsid w:val="00B12A34"/>
    <w:rsid w:val="00B20A4C"/>
    <w:rsid w:val="00B36857"/>
    <w:rsid w:val="00B41DEF"/>
    <w:rsid w:val="00B51E81"/>
    <w:rsid w:val="00B520AD"/>
    <w:rsid w:val="00B52A32"/>
    <w:rsid w:val="00B54B89"/>
    <w:rsid w:val="00B564F3"/>
    <w:rsid w:val="00B62DA3"/>
    <w:rsid w:val="00B70A84"/>
    <w:rsid w:val="00B71A59"/>
    <w:rsid w:val="00B75D30"/>
    <w:rsid w:val="00B82A44"/>
    <w:rsid w:val="00B84B10"/>
    <w:rsid w:val="00B85417"/>
    <w:rsid w:val="00B8687C"/>
    <w:rsid w:val="00B8707F"/>
    <w:rsid w:val="00B9038E"/>
    <w:rsid w:val="00B90665"/>
    <w:rsid w:val="00BA46FD"/>
    <w:rsid w:val="00BA527D"/>
    <w:rsid w:val="00BA694B"/>
    <w:rsid w:val="00BA6AC1"/>
    <w:rsid w:val="00BC3589"/>
    <w:rsid w:val="00BC7B2B"/>
    <w:rsid w:val="00BD121E"/>
    <w:rsid w:val="00BD283E"/>
    <w:rsid w:val="00BE1CB7"/>
    <w:rsid w:val="00BE531D"/>
    <w:rsid w:val="00BE5608"/>
    <w:rsid w:val="00BE73DF"/>
    <w:rsid w:val="00BE784B"/>
    <w:rsid w:val="00BF66F8"/>
    <w:rsid w:val="00BF6B95"/>
    <w:rsid w:val="00BF6FAC"/>
    <w:rsid w:val="00C0500B"/>
    <w:rsid w:val="00C07446"/>
    <w:rsid w:val="00C16E75"/>
    <w:rsid w:val="00C24459"/>
    <w:rsid w:val="00C26805"/>
    <w:rsid w:val="00C30109"/>
    <w:rsid w:val="00C44160"/>
    <w:rsid w:val="00C45FD2"/>
    <w:rsid w:val="00C65212"/>
    <w:rsid w:val="00C77B2D"/>
    <w:rsid w:val="00C837DF"/>
    <w:rsid w:val="00C838EE"/>
    <w:rsid w:val="00C83E6F"/>
    <w:rsid w:val="00CA0CE1"/>
    <w:rsid w:val="00CA4453"/>
    <w:rsid w:val="00CB0713"/>
    <w:rsid w:val="00CB7A01"/>
    <w:rsid w:val="00CD23CB"/>
    <w:rsid w:val="00CD289A"/>
    <w:rsid w:val="00CD3160"/>
    <w:rsid w:val="00CE16BA"/>
    <w:rsid w:val="00CE2F94"/>
    <w:rsid w:val="00CE69AD"/>
    <w:rsid w:val="00CF5D13"/>
    <w:rsid w:val="00D03454"/>
    <w:rsid w:val="00D06068"/>
    <w:rsid w:val="00D1283A"/>
    <w:rsid w:val="00D165BB"/>
    <w:rsid w:val="00D2060D"/>
    <w:rsid w:val="00D31232"/>
    <w:rsid w:val="00D31AE8"/>
    <w:rsid w:val="00D35D99"/>
    <w:rsid w:val="00D36E6B"/>
    <w:rsid w:val="00D44780"/>
    <w:rsid w:val="00D60F32"/>
    <w:rsid w:val="00D6332A"/>
    <w:rsid w:val="00D65C2A"/>
    <w:rsid w:val="00D665A0"/>
    <w:rsid w:val="00D67E16"/>
    <w:rsid w:val="00D74890"/>
    <w:rsid w:val="00D77069"/>
    <w:rsid w:val="00D82F84"/>
    <w:rsid w:val="00D84160"/>
    <w:rsid w:val="00D93004"/>
    <w:rsid w:val="00D94E1F"/>
    <w:rsid w:val="00DC0886"/>
    <w:rsid w:val="00DC14AB"/>
    <w:rsid w:val="00DC1B92"/>
    <w:rsid w:val="00DD0785"/>
    <w:rsid w:val="00DD1A35"/>
    <w:rsid w:val="00DD6637"/>
    <w:rsid w:val="00DE0438"/>
    <w:rsid w:val="00DE1D32"/>
    <w:rsid w:val="00DE207E"/>
    <w:rsid w:val="00DE3D80"/>
    <w:rsid w:val="00DE784C"/>
    <w:rsid w:val="00DF1A1F"/>
    <w:rsid w:val="00DF71E3"/>
    <w:rsid w:val="00E01D51"/>
    <w:rsid w:val="00E04C57"/>
    <w:rsid w:val="00E07084"/>
    <w:rsid w:val="00E11CB4"/>
    <w:rsid w:val="00E22703"/>
    <w:rsid w:val="00E24EA1"/>
    <w:rsid w:val="00E315B0"/>
    <w:rsid w:val="00E345D1"/>
    <w:rsid w:val="00E350FB"/>
    <w:rsid w:val="00E41BCF"/>
    <w:rsid w:val="00E41FF6"/>
    <w:rsid w:val="00E423CA"/>
    <w:rsid w:val="00E441D3"/>
    <w:rsid w:val="00E46782"/>
    <w:rsid w:val="00E467D4"/>
    <w:rsid w:val="00E565FE"/>
    <w:rsid w:val="00E82FB8"/>
    <w:rsid w:val="00E872D5"/>
    <w:rsid w:val="00E90C11"/>
    <w:rsid w:val="00EB3AC3"/>
    <w:rsid w:val="00EC27CC"/>
    <w:rsid w:val="00EC3AB6"/>
    <w:rsid w:val="00ED26E3"/>
    <w:rsid w:val="00ED4A2E"/>
    <w:rsid w:val="00EE01C2"/>
    <w:rsid w:val="00EE4CC1"/>
    <w:rsid w:val="00EE64A8"/>
    <w:rsid w:val="00EF0DA3"/>
    <w:rsid w:val="00F00262"/>
    <w:rsid w:val="00F0355D"/>
    <w:rsid w:val="00F05107"/>
    <w:rsid w:val="00F07A1C"/>
    <w:rsid w:val="00F144DE"/>
    <w:rsid w:val="00F16BBE"/>
    <w:rsid w:val="00F204CE"/>
    <w:rsid w:val="00F20E5B"/>
    <w:rsid w:val="00F22112"/>
    <w:rsid w:val="00F22787"/>
    <w:rsid w:val="00F22D0E"/>
    <w:rsid w:val="00F27865"/>
    <w:rsid w:val="00F30548"/>
    <w:rsid w:val="00F40D03"/>
    <w:rsid w:val="00F413CB"/>
    <w:rsid w:val="00F4214F"/>
    <w:rsid w:val="00F43763"/>
    <w:rsid w:val="00F44BAC"/>
    <w:rsid w:val="00F50116"/>
    <w:rsid w:val="00F50F3B"/>
    <w:rsid w:val="00F67E1D"/>
    <w:rsid w:val="00F71E1A"/>
    <w:rsid w:val="00F8422C"/>
    <w:rsid w:val="00F94593"/>
    <w:rsid w:val="00F95017"/>
    <w:rsid w:val="00F9638D"/>
    <w:rsid w:val="00FA443D"/>
    <w:rsid w:val="00FA5D0A"/>
    <w:rsid w:val="00FA69F2"/>
    <w:rsid w:val="00FB3B96"/>
    <w:rsid w:val="00FC21DC"/>
    <w:rsid w:val="00FD3E00"/>
    <w:rsid w:val="00FD5A53"/>
    <w:rsid w:val="00FE3106"/>
    <w:rsid w:val="00FE68D6"/>
    <w:rsid w:val="00FF0949"/>
    <w:rsid w:val="00FF4D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823"/>
    <w:pPr>
      <w:spacing w:before="160" w:after="120"/>
    </w:pPr>
    <w:rPr>
      <w:sz w:val="24"/>
      <w:lang w:val="ru-RU" w:eastAsia="de-DE"/>
    </w:rPr>
  </w:style>
  <w:style w:type="paragraph" w:styleId="Heading1">
    <w:name w:val="heading 1"/>
    <w:basedOn w:val="reg"/>
    <w:next w:val="Text"/>
    <w:qFormat/>
    <w:rsid w:val="00151193"/>
    <w:pPr>
      <w:spacing w:before="240" w:after="160"/>
      <w:ind w:left="851" w:hanging="851"/>
      <w:outlineLvl w:val="0"/>
    </w:pPr>
    <w:rPr>
      <w:b/>
      <w:caps/>
    </w:rPr>
  </w:style>
  <w:style w:type="paragraph" w:styleId="Heading2">
    <w:name w:val="heading 2"/>
    <w:basedOn w:val="reg"/>
    <w:next w:val="Text"/>
    <w:qFormat/>
    <w:rsid w:val="00151193"/>
    <w:pPr>
      <w:spacing w:before="200" w:after="80"/>
      <w:ind w:left="851" w:hanging="851"/>
      <w:outlineLvl w:val="1"/>
    </w:pPr>
    <w:rPr>
      <w:rFonts w:ascii="Times New Roman Bold" w:hAnsi="Times New Roman Bold"/>
      <w:b/>
    </w:rPr>
  </w:style>
  <w:style w:type="paragraph" w:styleId="Heading3">
    <w:name w:val="heading 3"/>
    <w:basedOn w:val="reg"/>
    <w:next w:val="Text"/>
    <w:qFormat/>
    <w:rsid w:val="00151193"/>
    <w:pPr>
      <w:spacing w:after="80"/>
      <w:ind w:left="1134" w:hanging="1134"/>
      <w:outlineLvl w:val="2"/>
    </w:pPr>
    <w:rPr>
      <w:b/>
      <w:i/>
    </w:rPr>
  </w:style>
  <w:style w:type="paragraph" w:styleId="Heading4">
    <w:name w:val="heading 4"/>
    <w:basedOn w:val="Normal"/>
    <w:next w:val="Normal"/>
    <w:link w:val="Heading4Char"/>
    <w:qFormat/>
    <w:rsid w:val="00772513"/>
    <w:pPr>
      <w:keepNext/>
      <w:outlineLvl w:val="3"/>
    </w:pPr>
    <w:rPr>
      <w:b/>
      <w:bCs/>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2513"/>
    <w:pPr>
      <w:tabs>
        <w:tab w:val="center" w:pos="4536"/>
        <w:tab w:val="right" w:pos="9072"/>
      </w:tabs>
    </w:pPr>
    <w:rPr>
      <w:rFonts w:ascii="Arial" w:hAnsi="Arial"/>
      <w:sz w:val="22"/>
      <w:lang w:val="de-DE"/>
    </w:rPr>
  </w:style>
  <w:style w:type="paragraph" w:styleId="Footer">
    <w:name w:val="footer"/>
    <w:basedOn w:val="Normal"/>
    <w:rsid w:val="00772513"/>
    <w:pPr>
      <w:tabs>
        <w:tab w:val="center" w:pos="4536"/>
        <w:tab w:val="right" w:pos="9072"/>
      </w:tabs>
    </w:pPr>
    <w:rPr>
      <w:rFonts w:ascii="Arial" w:hAnsi="Arial"/>
      <w:sz w:val="22"/>
      <w:lang w:val="de-DE"/>
    </w:rPr>
  </w:style>
  <w:style w:type="paragraph" w:customStyle="1" w:styleId="reg">
    <w:name w:val="reg"/>
    <w:basedOn w:val="Normal"/>
    <w:rsid w:val="00772513"/>
    <w:rPr>
      <w:lang w:val="de-DE"/>
    </w:rPr>
  </w:style>
  <w:style w:type="paragraph" w:customStyle="1" w:styleId="Text">
    <w:name w:val="Text"/>
    <w:basedOn w:val="reg"/>
    <w:qFormat/>
    <w:rsid w:val="00772513"/>
  </w:style>
  <w:style w:type="paragraph" w:customStyle="1" w:styleId="Text1">
    <w:name w:val="Text 1"/>
    <w:basedOn w:val="Text"/>
    <w:rsid w:val="00772513"/>
    <w:pPr>
      <w:spacing w:after="0"/>
      <w:ind w:left="426"/>
    </w:pPr>
  </w:style>
  <w:style w:type="paragraph" w:customStyle="1" w:styleId="Text2">
    <w:name w:val="Text 2"/>
    <w:basedOn w:val="Heading3"/>
    <w:rsid w:val="00772513"/>
    <w:pPr>
      <w:spacing w:before="0" w:after="0"/>
      <w:ind w:left="993" w:hanging="567"/>
      <w:outlineLvl w:val="9"/>
    </w:pPr>
    <w:rPr>
      <w:b w:val="0"/>
    </w:rPr>
  </w:style>
  <w:style w:type="character" w:styleId="PageNumber">
    <w:name w:val="page number"/>
    <w:basedOn w:val="DefaultParagraphFont"/>
    <w:rsid w:val="00772513"/>
  </w:style>
  <w:style w:type="paragraph" w:styleId="BodyTextIndent">
    <w:name w:val="Body Text Indent"/>
    <w:basedOn w:val="Normal"/>
    <w:rsid w:val="00772513"/>
    <w:pPr>
      <w:ind w:left="993"/>
    </w:pPr>
    <w:rPr>
      <w:color w:val="0000FF"/>
      <w:lang w:val="de-DE"/>
    </w:rPr>
  </w:style>
  <w:style w:type="paragraph" w:styleId="BodyTextIndent2">
    <w:name w:val="Body Text Indent 2"/>
    <w:basedOn w:val="Normal"/>
    <w:rsid w:val="00772513"/>
    <w:pPr>
      <w:ind w:left="993"/>
    </w:pPr>
    <w:rPr>
      <w:lang w:val="en-GB"/>
    </w:rPr>
  </w:style>
  <w:style w:type="paragraph" w:styleId="BodyTextIndent3">
    <w:name w:val="Body Text Indent 3"/>
    <w:basedOn w:val="Normal"/>
    <w:rsid w:val="00772513"/>
    <w:pPr>
      <w:ind w:left="142"/>
    </w:pPr>
    <w:rPr>
      <w:lang w:val="en-GB"/>
    </w:rPr>
  </w:style>
  <w:style w:type="paragraph" w:styleId="BalloonText">
    <w:name w:val="Balloon Text"/>
    <w:basedOn w:val="Normal"/>
    <w:semiHidden/>
    <w:rsid w:val="00F22787"/>
    <w:rPr>
      <w:rFonts w:ascii="Tahoma" w:hAnsi="Tahoma" w:cs="Tahoma"/>
      <w:sz w:val="16"/>
      <w:szCs w:val="16"/>
    </w:rPr>
  </w:style>
  <w:style w:type="character" w:styleId="CommentReference">
    <w:name w:val="annotation reference"/>
    <w:basedOn w:val="DefaultParagraphFont"/>
    <w:rsid w:val="00421286"/>
    <w:rPr>
      <w:sz w:val="16"/>
      <w:szCs w:val="16"/>
    </w:rPr>
  </w:style>
  <w:style w:type="paragraph" w:styleId="CommentText">
    <w:name w:val="annotation text"/>
    <w:basedOn w:val="Normal"/>
    <w:link w:val="CommentTextChar"/>
    <w:rsid w:val="00421286"/>
    <w:rPr>
      <w:sz w:val="20"/>
    </w:rPr>
  </w:style>
  <w:style w:type="paragraph" w:styleId="CommentSubject">
    <w:name w:val="annotation subject"/>
    <w:basedOn w:val="CommentText"/>
    <w:next w:val="CommentText"/>
    <w:semiHidden/>
    <w:rsid w:val="00421286"/>
    <w:rPr>
      <w:b/>
      <w:bCs/>
    </w:rPr>
  </w:style>
  <w:style w:type="table" w:styleId="TableGrid">
    <w:name w:val="Table Grid"/>
    <w:basedOn w:val="TableNormal"/>
    <w:uiPriority w:val="59"/>
    <w:rsid w:val="000D7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ericht">
    <w:name w:val="table_bericht"/>
    <w:basedOn w:val="Normal"/>
    <w:next w:val="Normal"/>
    <w:rsid w:val="00DE1D32"/>
    <w:pPr>
      <w:spacing w:before="60" w:after="60"/>
    </w:pPr>
    <w:rPr>
      <w:sz w:val="22"/>
      <w:lang w:val="en-GB" w:eastAsia="en-AU"/>
    </w:rPr>
  </w:style>
  <w:style w:type="paragraph" w:customStyle="1" w:styleId="Default">
    <w:name w:val="Default"/>
    <w:rsid w:val="00DE1D32"/>
    <w:rPr>
      <w:rFonts w:ascii="Trade Gothic" w:hAnsi="Trade Gothic"/>
      <w:snapToGrid w:val="0"/>
      <w:color w:val="000000"/>
      <w:sz w:val="24"/>
      <w:lang w:val="de-DE" w:eastAsia="en-AU"/>
    </w:rPr>
  </w:style>
  <w:style w:type="paragraph" w:styleId="Revision">
    <w:name w:val="Revision"/>
    <w:hidden/>
    <w:uiPriority w:val="99"/>
    <w:semiHidden/>
    <w:rsid w:val="00C838EE"/>
    <w:rPr>
      <w:rFonts w:ascii="Helvetica" w:hAnsi="Helvetica"/>
      <w:sz w:val="24"/>
      <w:lang w:val="ru-RU" w:eastAsia="de-DE"/>
    </w:rPr>
  </w:style>
  <w:style w:type="paragraph" w:styleId="DocumentMap">
    <w:name w:val="Document Map"/>
    <w:basedOn w:val="Normal"/>
    <w:link w:val="DocumentMapChar"/>
    <w:uiPriority w:val="99"/>
    <w:semiHidden/>
    <w:unhideWhenUsed/>
    <w:rsid w:val="000C121C"/>
    <w:rPr>
      <w:rFonts w:ascii="Tahoma" w:hAnsi="Tahoma" w:cs="Tahoma"/>
      <w:sz w:val="16"/>
      <w:szCs w:val="16"/>
    </w:rPr>
  </w:style>
  <w:style w:type="character" w:customStyle="1" w:styleId="DocumentMapChar">
    <w:name w:val="Document Map Char"/>
    <w:basedOn w:val="DefaultParagraphFont"/>
    <w:link w:val="DocumentMap"/>
    <w:uiPriority w:val="99"/>
    <w:semiHidden/>
    <w:rsid w:val="000C121C"/>
    <w:rPr>
      <w:rFonts w:ascii="Tahoma" w:hAnsi="Tahoma" w:cs="Tahoma"/>
      <w:sz w:val="16"/>
      <w:szCs w:val="16"/>
      <w:lang w:val="ru-RU" w:eastAsia="de-DE"/>
    </w:rPr>
  </w:style>
  <w:style w:type="paragraph" w:customStyle="1" w:styleId="ATextBericht">
    <w:name w:val="A_Text_Bericht"/>
    <w:basedOn w:val="Normal"/>
    <w:qFormat/>
    <w:rsid w:val="007E5599"/>
    <w:pPr>
      <w:spacing w:before="120" w:after="60"/>
      <w:jc w:val="both"/>
    </w:pPr>
    <w:rPr>
      <w:lang w:val="en-GB"/>
    </w:rPr>
  </w:style>
  <w:style w:type="paragraph" w:styleId="Caption">
    <w:name w:val="caption"/>
    <w:basedOn w:val="Normal"/>
    <w:next w:val="Normal"/>
    <w:uiPriority w:val="99"/>
    <w:unhideWhenUsed/>
    <w:qFormat/>
    <w:rsid w:val="00E11CB4"/>
    <w:pPr>
      <w:tabs>
        <w:tab w:val="left" w:pos="964"/>
      </w:tabs>
      <w:spacing w:before="240"/>
      <w:ind w:left="964" w:hanging="964"/>
    </w:pPr>
    <w:rPr>
      <w:b/>
      <w:bCs/>
      <w:color w:val="000000"/>
      <w:lang w:val="en-GB" w:eastAsia="en-US"/>
    </w:rPr>
  </w:style>
  <w:style w:type="paragraph" w:customStyle="1" w:styleId="BodyText1">
    <w:name w:val="Body Text1"/>
    <w:basedOn w:val="Normal"/>
    <w:rsid w:val="00E11CB4"/>
    <w:pPr>
      <w:spacing w:before="120" w:after="60"/>
      <w:jc w:val="both"/>
    </w:pPr>
    <w:rPr>
      <w:szCs w:val="24"/>
      <w:lang w:val="en-GB"/>
    </w:rPr>
  </w:style>
  <w:style w:type="paragraph" w:customStyle="1" w:styleId="berschrift4ohneGliederung">
    <w:name w:val="Überschrift 4 ohne Gliederung"/>
    <w:basedOn w:val="Normal"/>
    <w:next w:val="Text"/>
    <w:rsid w:val="009062DE"/>
    <w:pPr>
      <w:spacing w:before="240"/>
    </w:pPr>
    <w:rPr>
      <w:b/>
      <w:bCs/>
      <w:color w:val="000000"/>
      <w:lang w:val="en-GB" w:eastAsia="en-US"/>
    </w:rPr>
  </w:style>
  <w:style w:type="paragraph" w:styleId="ListParagraph">
    <w:name w:val="List Paragraph"/>
    <w:basedOn w:val="Normal"/>
    <w:uiPriority w:val="34"/>
    <w:qFormat/>
    <w:rsid w:val="00EE64A8"/>
    <w:pPr>
      <w:tabs>
        <w:tab w:val="left" w:pos="567"/>
      </w:tabs>
      <w:spacing w:line="260" w:lineRule="exact"/>
      <w:ind w:left="720"/>
      <w:contextualSpacing/>
    </w:pPr>
    <w:rPr>
      <w:sz w:val="22"/>
      <w:lang w:val="en-GB" w:eastAsia="en-US"/>
    </w:rPr>
  </w:style>
  <w:style w:type="character" w:customStyle="1" w:styleId="Heading4Char">
    <w:name w:val="Heading 4 Char"/>
    <w:basedOn w:val="DefaultParagraphFont"/>
    <w:link w:val="Heading4"/>
    <w:rsid w:val="00947BA3"/>
    <w:rPr>
      <w:b/>
      <w:bCs/>
      <w:i/>
      <w:iCs/>
      <w:sz w:val="24"/>
      <w:lang w:val="en-GB" w:eastAsia="de-DE"/>
    </w:rPr>
  </w:style>
  <w:style w:type="paragraph" w:customStyle="1" w:styleId="tablefootnote">
    <w:name w:val="tablefootnote"/>
    <w:basedOn w:val="Normal"/>
    <w:qFormat/>
    <w:rsid w:val="001202E9"/>
    <w:pPr>
      <w:spacing w:before="0" w:after="0"/>
      <w:ind w:left="284"/>
    </w:pPr>
    <w:rPr>
      <w:sz w:val="20"/>
      <w:lang w:val="en-GB"/>
    </w:rPr>
  </w:style>
  <w:style w:type="paragraph" w:styleId="FootnoteText">
    <w:name w:val="footnote text"/>
    <w:basedOn w:val="Normal"/>
    <w:link w:val="FootnoteTextChar"/>
    <w:uiPriority w:val="99"/>
    <w:semiHidden/>
    <w:unhideWhenUsed/>
    <w:rsid w:val="001025D4"/>
    <w:pPr>
      <w:spacing w:before="0" w:after="0"/>
    </w:pPr>
    <w:rPr>
      <w:sz w:val="20"/>
    </w:rPr>
  </w:style>
  <w:style w:type="character" w:customStyle="1" w:styleId="FootnoteTextChar">
    <w:name w:val="Footnote Text Char"/>
    <w:basedOn w:val="DefaultParagraphFont"/>
    <w:link w:val="FootnoteText"/>
    <w:uiPriority w:val="99"/>
    <w:semiHidden/>
    <w:rsid w:val="001025D4"/>
    <w:rPr>
      <w:lang w:val="ru-RU" w:eastAsia="de-DE"/>
    </w:rPr>
  </w:style>
  <w:style w:type="character" w:styleId="FootnoteReference">
    <w:name w:val="footnote reference"/>
    <w:basedOn w:val="DefaultParagraphFont"/>
    <w:uiPriority w:val="99"/>
    <w:semiHidden/>
    <w:unhideWhenUsed/>
    <w:rsid w:val="001025D4"/>
    <w:rPr>
      <w:vertAlign w:val="superscript"/>
    </w:rPr>
  </w:style>
  <w:style w:type="paragraph" w:styleId="NormalWeb">
    <w:name w:val="Normal (Web)"/>
    <w:basedOn w:val="Normal"/>
    <w:uiPriority w:val="99"/>
    <w:semiHidden/>
    <w:unhideWhenUsed/>
    <w:rsid w:val="001025D4"/>
    <w:pPr>
      <w:spacing w:before="240" w:after="240"/>
    </w:pPr>
    <w:rPr>
      <w:szCs w:val="24"/>
      <w:lang w:val="de-AT" w:eastAsia="de-AT"/>
    </w:rPr>
  </w:style>
  <w:style w:type="character" w:customStyle="1" w:styleId="CommentTextChar">
    <w:name w:val="Comment Text Char"/>
    <w:basedOn w:val="DefaultParagraphFont"/>
    <w:link w:val="CommentText"/>
    <w:rsid w:val="00705E3F"/>
    <w:rPr>
      <w:lang w:val="ru-RU"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823"/>
    <w:pPr>
      <w:spacing w:before="160" w:after="120"/>
    </w:pPr>
    <w:rPr>
      <w:sz w:val="24"/>
      <w:lang w:val="ru-RU" w:eastAsia="de-DE"/>
    </w:rPr>
  </w:style>
  <w:style w:type="paragraph" w:styleId="Heading1">
    <w:name w:val="heading 1"/>
    <w:basedOn w:val="reg"/>
    <w:next w:val="Text"/>
    <w:qFormat/>
    <w:rsid w:val="00151193"/>
    <w:pPr>
      <w:spacing w:before="240" w:after="160"/>
      <w:ind w:left="851" w:hanging="851"/>
      <w:outlineLvl w:val="0"/>
    </w:pPr>
    <w:rPr>
      <w:b/>
      <w:caps/>
    </w:rPr>
  </w:style>
  <w:style w:type="paragraph" w:styleId="Heading2">
    <w:name w:val="heading 2"/>
    <w:basedOn w:val="reg"/>
    <w:next w:val="Text"/>
    <w:qFormat/>
    <w:rsid w:val="00151193"/>
    <w:pPr>
      <w:spacing w:before="200" w:after="80"/>
      <w:ind w:left="851" w:hanging="851"/>
      <w:outlineLvl w:val="1"/>
    </w:pPr>
    <w:rPr>
      <w:rFonts w:ascii="Times New Roman Bold" w:hAnsi="Times New Roman Bold"/>
      <w:b/>
    </w:rPr>
  </w:style>
  <w:style w:type="paragraph" w:styleId="Heading3">
    <w:name w:val="heading 3"/>
    <w:basedOn w:val="reg"/>
    <w:next w:val="Text"/>
    <w:qFormat/>
    <w:rsid w:val="00151193"/>
    <w:pPr>
      <w:spacing w:after="80"/>
      <w:ind w:left="1134" w:hanging="1134"/>
      <w:outlineLvl w:val="2"/>
    </w:pPr>
    <w:rPr>
      <w:b/>
      <w:i/>
    </w:rPr>
  </w:style>
  <w:style w:type="paragraph" w:styleId="Heading4">
    <w:name w:val="heading 4"/>
    <w:basedOn w:val="Normal"/>
    <w:next w:val="Normal"/>
    <w:link w:val="Heading4Char"/>
    <w:qFormat/>
    <w:rsid w:val="00772513"/>
    <w:pPr>
      <w:keepNext/>
      <w:outlineLvl w:val="3"/>
    </w:pPr>
    <w:rPr>
      <w:b/>
      <w:bCs/>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2513"/>
    <w:pPr>
      <w:tabs>
        <w:tab w:val="center" w:pos="4536"/>
        <w:tab w:val="right" w:pos="9072"/>
      </w:tabs>
    </w:pPr>
    <w:rPr>
      <w:rFonts w:ascii="Arial" w:hAnsi="Arial"/>
      <w:sz w:val="22"/>
      <w:lang w:val="de-DE"/>
    </w:rPr>
  </w:style>
  <w:style w:type="paragraph" w:styleId="Footer">
    <w:name w:val="footer"/>
    <w:basedOn w:val="Normal"/>
    <w:rsid w:val="00772513"/>
    <w:pPr>
      <w:tabs>
        <w:tab w:val="center" w:pos="4536"/>
        <w:tab w:val="right" w:pos="9072"/>
      </w:tabs>
    </w:pPr>
    <w:rPr>
      <w:rFonts w:ascii="Arial" w:hAnsi="Arial"/>
      <w:sz w:val="22"/>
      <w:lang w:val="de-DE"/>
    </w:rPr>
  </w:style>
  <w:style w:type="paragraph" w:customStyle="1" w:styleId="reg">
    <w:name w:val="reg"/>
    <w:basedOn w:val="Normal"/>
    <w:rsid w:val="00772513"/>
    <w:rPr>
      <w:lang w:val="de-DE"/>
    </w:rPr>
  </w:style>
  <w:style w:type="paragraph" w:customStyle="1" w:styleId="Text">
    <w:name w:val="Text"/>
    <w:basedOn w:val="reg"/>
    <w:qFormat/>
    <w:rsid w:val="00772513"/>
  </w:style>
  <w:style w:type="paragraph" w:customStyle="1" w:styleId="Text1">
    <w:name w:val="Text 1"/>
    <w:basedOn w:val="Text"/>
    <w:rsid w:val="00772513"/>
    <w:pPr>
      <w:spacing w:after="0"/>
      <w:ind w:left="426"/>
    </w:pPr>
  </w:style>
  <w:style w:type="paragraph" w:customStyle="1" w:styleId="Text2">
    <w:name w:val="Text 2"/>
    <w:basedOn w:val="Heading3"/>
    <w:rsid w:val="00772513"/>
    <w:pPr>
      <w:spacing w:before="0" w:after="0"/>
      <w:ind w:left="993" w:hanging="567"/>
      <w:outlineLvl w:val="9"/>
    </w:pPr>
    <w:rPr>
      <w:b w:val="0"/>
    </w:rPr>
  </w:style>
  <w:style w:type="character" w:styleId="PageNumber">
    <w:name w:val="page number"/>
    <w:basedOn w:val="DefaultParagraphFont"/>
    <w:rsid w:val="00772513"/>
  </w:style>
  <w:style w:type="paragraph" w:styleId="BodyTextIndent">
    <w:name w:val="Body Text Indent"/>
    <w:basedOn w:val="Normal"/>
    <w:rsid w:val="00772513"/>
    <w:pPr>
      <w:ind w:left="993"/>
    </w:pPr>
    <w:rPr>
      <w:color w:val="0000FF"/>
      <w:lang w:val="de-DE"/>
    </w:rPr>
  </w:style>
  <w:style w:type="paragraph" w:styleId="BodyTextIndent2">
    <w:name w:val="Body Text Indent 2"/>
    <w:basedOn w:val="Normal"/>
    <w:rsid w:val="00772513"/>
    <w:pPr>
      <w:ind w:left="993"/>
    </w:pPr>
    <w:rPr>
      <w:lang w:val="en-GB"/>
    </w:rPr>
  </w:style>
  <w:style w:type="paragraph" w:styleId="BodyTextIndent3">
    <w:name w:val="Body Text Indent 3"/>
    <w:basedOn w:val="Normal"/>
    <w:rsid w:val="00772513"/>
    <w:pPr>
      <w:ind w:left="142"/>
    </w:pPr>
    <w:rPr>
      <w:lang w:val="en-GB"/>
    </w:rPr>
  </w:style>
  <w:style w:type="paragraph" w:styleId="BalloonText">
    <w:name w:val="Balloon Text"/>
    <w:basedOn w:val="Normal"/>
    <w:semiHidden/>
    <w:rsid w:val="00F22787"/>
    <w:rPr>
      <w:rFonts w:ascii="Tahoma" w:hAnsi="Tahoma" w:cs="Tahoma"/>
      <w:sz w:val="16"/>
      <w:szCs w:val="16"/>
    </w:rPr>
  </w:style>
  <w:style w:type="character" w:styleId="CommentReference">
    <w:name w:val="annotation reference"/>
    <w:basedOn w:val="DefaultParagraphFont"/>
    <w:rsid w:val="00421286"/>
    <w:rPr>
      <w:sz w:val="16"/>
      <w:szCs w:val="16"/>
    </w:rPr>
  </w:style>
  <w:style w:type="paragraph" w:styleId="CommentText">
    <w:name w:val="annotation text"/>
    <w:basedOn w:val="Normal"/>
    <w:link w:val="CommentTextChar"/>
    <w:rsid w:val="00421286"/>
    <w:rPr>
      <w:sz w:val="20"/>
    </w:rPr>
  </w:style>
  <w:style w:type="paragraph" w:styleId="CommentSubject">
    <w:name w:val="annotation subject"/>
    <w:basedOn w:val="CommentText"/>
    <w:next w:val="CommentText"/>
    <w:semiHidden/>
    <w:rsid w:val="00421286"/>
    <w:rPr>
      <w:b/>
      <w:bCs/>
    </w:rPr>
  </w:style>
  <w:style w:type="table" w:styleId="TableGrid">
    <w:name w:val="Table Grid"/>
    <w:basedOn w:val="TableNormal"/>
    <w:uiPriority w:val="59"/>
    <w:rsid w:val="000D7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ericht">
    <w:name w:val="table_bericht"/>
    <w:basedOn w:val="Normal"/>
    <w:next w:val="Normal"/>
    <w:rsid w:val="00DE1D32"/>
    <w:pPr>
      <w:spacing w:before="60" w:after="60"/>
    </w:pPr>
    <w:rPr>
      <w:sz w:val="22"/>
      <w:lang w:val="en-GB" w:eastAsia="en-AU"/>
    </w:rPr>
  </w:style>
  <w:style w:type="paragraph" w:customStyle="1" w:styleId="Default">
    <w:name w:val="Default"/>
    <w:rsid w:val="00DE1D32"/>
    <w:rPr>
      <w:rFonts w:ascii="Trade Gothic" w:hAnsi="Trade Gothic"/>
      <w:snapToGrid w:val="0"/>
      <w:color w:val="000000"/>
      <w:sz w:val="24"/>
      <w:lang w:val="de-DE" w:eastAsia="en-AU"/>
    </w:rPr>
  </w:style>
  <w:style w:type="paragraph" w:styleId="Revision">
    <w:name w:val="Revision"/>
    <w:hidden/>
    <w:uiPriority w:val="99"/>
    <w:semiHidden/>
    <w:rsid w:val="00C838EE"/>
    <w:rPr>
      <w:rFonts w:ascii="Helvetica" w:hAnsi="Helvetica"/>
      <w:sz w:val="24"/>
      <w:lang w:val="ru-RU" w:eastAsia="de-DE"/>
    </w:rPr>
  </w:style>
  <w:style w:type="paragraph" w:styleId="DocumentMap">
    <w:name w:val="Document Map"/>
    <w:basedOn w:val="Normal"/>
    <w:link w:val="DocumentMapChar"/>
    <w:uiPriority w:val="99"/>
    <w:semiHidden/>
    <w:unhideWhenUsed/>
    <w:rsid w:val="000C121C"/>
    <w:rPr>
      <w:rFonts w:ascii="Tahoma" w:hAnsi="Tahoma" w:cs="Tahoma"/>
      <w:sz w:val="16"/>
      <w:szCs w:val="16"/>
    </w:rPr>
  </w:style>
  <w:style w:type="character" w:customStyle="1" w:styleId="DocumentMapChar">
    <w:name w:val="Document Map Char"/>
    <w:basedOn w:val="DefaultParagraphFont"/>
    <w:link w:val="DocumentMap"/>
    <w:uiPriority w:val="99"/>
    <w:semiHidden/>
    <w:rsid w:val="000C121C"/>
    <w:rPr>
      <w:rFonts w:ascii="Tahoma" w:hAnsi="Tahoma" w:cs="Tahoma"/>
      <w:sz w:val="16"/>
      <w:szCs w:val="16"/>
      <w:lang w:val="ru-RU" w:eastAsia="de-DE"/>
    </w:rPr>
  </w:style>
  <w:style w:type="paragraph" w:customStyle="1" w:styleId="ATextBericht">
    <w:name w:val="A_Text_Bericht"/>
    <w:basedOn w:val="Normal"/>
    <w:qFormat/>
    <w:rsid w:val="007E5599"/>
    <w:pPr>
      <w:spacing w:before="120" w:after="60"/>
      <w:jc w:val="both"/>
    </w:pPr>
    <w:rPr>
      <w:lang w:val="en-GB"/>
    </w:rPr>
  </w:style>
  <w:style w:type="paragraph" w:styleId="Caption">
    <w:name w:val="caption"/>
    <w:basedOn w:val="Normal"/>
    <w:next w:val="Normal"/>
    <w:uiPriority w:val="99"/>
    <w:unhideWhenUsed/>
    <w:qFormat/>
    <w:rsid w:val="00E11CB4"/>
    <w:pPr>
      <w:tabs>
        <w:tab w:val="left" w:pos="964"/>
      </w:tabs>
      <w:spacing w:before="240"/>
      <w:ind w:left="964" w:hanging="964"/>
    </w:pPr>
    <w:rPr>
      <w:b/>
      <w:bCs/>
      <w:color w:val="000000"/>
      <w:lang w:val="en-GB" w:eastAsia="en-US"/>
    </w:rPr>
  </w:style>
  <w:style w:type="paragraph" w:customStyle="1" w:styleId="BodyText1">
    <w:name w:val="Body Text1"/>
    <w:basedOn w:val="Normal"/>
    <w:rsid w:val="00E11CB4"/>
    <w:pPr>
      <w:spacing w:before="120" w:after="60"/>
      <w:jc w:val="both"/>
    </w:pPr>
    <w:rPr>
      <w:szCs w:val="24"/>
      <w:lang w:val="en-GB"/>
    </w:rPr>
  </w:style>
  <w:style w:type="paragraph" w:customStyle="1" w:styleId="berschrift4ohneGliederung">
    <w:name w:val="Überschrift 4 ohne Gliederung"/>
    <w:basedOn w:val="Normal"/>
    <w:next w:val="Text"/>
    <w:rsid w:val="009062DE"/>
    <w:pPr>
      <w:spacing w:before="240"/>
    </w:pPr>
    <w:rPr>
      <w:b/>
      <w:bCs/>
      <w:color w:val="000000"/>
      <w:lang w:val="en-GB" w:eastAsia="en-US"/>
    </w:rPr>
  </w:style>
  <w:style w:type="paragraph" w:styleId="ListParagraph">
    <w:name w:val="List Paragraph"/>
    <w:basedOn w:val="Normal"/>
    <w:uiPriority w:val="34"/>
    <w:qFormat/>
    <w:rsid w:val="00EE64A8"/>
    <w:pPr>
      <w:tabs>
        <w:tab w:val="left" w:pos="567"/>
      </w:tabs>
      <w:spacing w:line="260" w:lineRule="exact"/>
      <w:ind w:left="720"/>
      <w:contextualSpacing/>
    </w:pPr>
    <w:rPr>
      <w:sz w:val="22"/>
      <w:lang w:val="en-GB" w:eastAsia="en-US"/>
    </w:rPr>
  </w:style>
  <w:style w:type="character" w:customStyle="1" w:styleId="Heading4Char">
    <w:name w:val="Heading 4 Char"/>
    <w:basedOn w:val="DefaultParagraphFont"/>
    <w:link w:val="Heading4"/>
    <w:rsid w:val="00947BA3"/>
    <w:rPr>
      <w:b/>
      <w:bCs/>
      <w:i/>
      <w:iCs/>
      <w:sz w:val="24"/>
      <w:lang w:val="en-GB" w:eastAsia="de-DE"/>
    </w:rPr>
  </w:style>
  <w:style w:type="paragraph" w:customStyle="1" w:styleId="tablefootnote">
    <w:name w:val="tablefootnote"/>
    <w:basedOn w:val="Normal"/>
    <w:qFormat/>
    <w:rsid w:val="001202E9"/>
    <w:pPr>
      <w:spacing w:before="0" w:after="0"/>
      <w:ind w:left="284"/>
    </w:pPr>
    <w:rPr>
      <w:sz w:val="20"/>
      <w:lang w:val="en-GB"/>
    </w:rPr>
  </w:style>
  <w:style w:type="paragraph" w:styleId="FootnoteText">
    <w:name w:val="footnote text"/>
    <w:basedOn w:val="Normal"/>
    <w:link w:val="FootnoteTextChar"/>
    <w:uiPriority w:val="99"/>
    <w:semiHidden/>
    <w:unhideWhenUsed/>
    <w:rsid w:val="001025D4"/>
    <w:pPr>
      <w:spacing w:before="0" w:after="0"/>
    </w:pPr>
    <w:rPr>
      <w:sz w:val="20"/>
    </w:rPr>
  </w:style>
  <w:style w:type="character" w:customStyle="1" w:styleId="FootnoteTextChar">
    <w:name w:val="Footnote Text Char"/>
    <w:basedOn w:val="DefaultParagraphFont"/>
    <w:link w:val="FootnoteText"/>
    <w:uiPriority w:val="99"/>
    <w:semiHidden/>
    <w:rsid w:val="001025D4"/>
    <w:rPr>
      <w:lang w:val="ru-RU" w:eastAsia="de-DE"/>
    </w:rPr>
  </w:style>
  <w:style w:type="character" w:styleId="FootnoteReference">
    <w:name w:val="footnote reference"/>
    <w:basedOn w:val="DefaultParagraphFont"/>
    <w:uiPriority w:val="99"/>
    <w:semiHidden/>
    <w:unhideWhenUsed/>
    <w:rsid w:val="001025D4"/>
    <w:rPr>
      <w:vertAlign w:val="superscript"/>
    </w:rPr>
  </w:style>
  <w:style w:type="paragraph" w:styleId="NormalWeb">
    <w:name w:val="Normal (Web)"/>
    <w:basedOn w:val="Normal"/>
    <w:uiPriority w:val="99"/>
    <w:semiHidden/>
    <w:unhideWhenUsed/>
    <w:rsid w:val="001025D4"/>
    <w:pPr>
      <w:spacing w:before="240" w:after="240"/>
    </w:pPr>
    <w:rPr>
      <w:szCs w:val="24"/>
      <w:lang w:val="de-AT" w:eastAsia="de-AT"/>
    </w:rPr>
  </w:style>
  <w:style w:type="character" w:customStyle="1" w:styleId="CommentTextChar">
    <w:name w:val="Comment Text Char"/>
    <w:basedOn w:val="DefaultParagraphFont"/>
    <w:link w:val="CommentText"/>
    <w:rsid w:val="00705E3F"/>
    <w:rPr>
      <w:lang w:val="ru-RU"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871044">
      <w:bodyDiv w:val="1"/>
      <w:marLeft w:val="0"/>
      <w:marRight w:val="0"/>
      <w:marTop w:val="0"/>
      <w:marBottom w:val="0"/>
      <w:divBdr>
        <w:top w:val="none" w:sz="0" w:space="0" w:color="auto"/>
        <w:left w:val="none" w:sz="0" w:space="0" w:color="auto"/>
        <w:bottom w:val="none" w:sz="0" w:space="0" w:color="auto"/>
        <w:right w:val="none" w:sz="0" w:space="0" w:color="auto"/>
      </w:divBdr>
      <w:divsChild>
        <w:div w:id="236943035">
          <w:marLeft w:val="0"/>
          <w:marRight w:val="0"/>
          <w:marTop w:val="0"/>
          <w:marBottom w:val="0"/>
          <w:divBdr>
            <w:top w:val="none" w:sz="0" w:space="0" w:color="auto"/>
            <w:left w:val="none" w:sz="0" w:space="0" w:color="auto"/>
            <w:bottom w:val="none" w:sz="0" w:space="0" w:color="auto"/>
            <w:right w:val="none" w:sz="0" w:space="0" w:color="auto"/>
          </w:divBdr>
          <w:divsChild>
            <w:div w:id="2121410650">
              <w:marLeft w:val="0"/>
              <w:marRight w:val="0"/>
              <w:marTop w:val="0"/>
              <w:marBottom w:val="0"/>
              <w:divBdr>
                <w:top w:val="none" w:sz="0" w:space="0" w:color="auto"/>
                <w:left w:val="none" w:sz="0" w:space="0" w:color="auto"/>
                <w:bottom w:val="none" w:sz="0" w:space="0" w:color="auto"/>
                <w:right w:val="none" w:sz="0" w:space="0" w:color="auto"/>
              </w:divBdr>
              <w:divsChild>
                <w:div w:id="557520127">
                  <w:marLeft w:val="0"/>
                  <w:marRight w:val="0"/>
                  <w:marTop w:val="0"/>
                  <w:marBottom w:val="0"/>
                  <w:divBdr>
                    <w:top w:val="none" w:sz="0" w:space="0" w:color="auto"/>
                    <w:left w:val="none" w:sz="0" w:space="0" w:color="auto"/>
                    <w:bottom w:val="none" w:sz="0" w:space="0" w:color="auto"/>
                    <w:right w:val="none" w:sz="0" w:space="0" w:color="auto"/>
                  </w:divBdr>
                  <w:divsChild>
                    <w:div w:id="95830718">
                      <w:marLeft w:val="0"/>
                      <w:marRight w:val="0"/>
                      <w:marTop w:val="0"/>
                      <w:marBottom w:val="0"/>
                      <w:divBdr>
                        <w:top w:val="none" w:sz="0" w:space="0" w:color="auto"/>
                        <w:left w:val="none" w:sz="0" w:space="0" w:color="auto"/>
                        <w:bottom w:val="none" w:sz="0" w:space="0" w:color="auto"/>
                        <w:right w:val="none" w:sz="0" w:space="0" w:color="auto"/>
                      </w:divBdr>
                      <w:divsChild>
                        <w:div w:id="194419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6193F-00DA-44AB-94E2-1D3D03D72C7F}">
  <ds:schemaRefs>
    <ds:schemaRef ds:uri="http://schemas.openxmlformats.org/officeDocument/2006/bibliography"/>
  </ds:schemaRefs>
</ds:datastoreItem>
</file>

<file path=customXml/itemProps2.xml><?xml version="1.0" encoding="utf-8"?>
<ds:datastoreItem xmlns:ds="http://schemas.openxmlformats.org/officeDocument/2006/customXml" ds:itemID="{37B75EBB-49D5-4C61-9600-089248D19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5410</Words>
  <Characters>28349</Characters>
  <Application>Microsoft Office Word</Application>
  <DocSecurity>4</DocSecurity>
  <Lines>480</Lines>
  <Paragraphs>248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AusPAR Attachment 1: Product Information for Simoctocog alfa rhu</vt:lpstr>
      <vt:lpstr>Part II E:</vt:lpstr>
    </vt:vector>
  </TitlesOfParts>
  <Company>Octapharma</Company>
  <LinksUpToDate>false</LinksUpToDate>
  <CharactersWithSpaces>33511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Simoctocog alfa rhu</dc:title>
  <dc:subject>prescription medicines</dc:subject>
  <dc:creator>Moser</dc:creator>
  <cp:keywords>AusPARs</cp:keywords>
  <cp:lastModifiedBy>Lack, Janet</cp:lastModifiedBy>
  <cp:revision>2</cp:revision>
  <cp:lastPrinted>2014-10-28T06:32:00Z</cp:lastPrinted>
  <dcterms:created xsi:type="dcterms:W3CDTF">2016-06-09T03:34:00Z</dcterms:created>
  <dcterms:modified xsi:type="dcterms:W3CDTF">2016-06-09T03:34:00Z</dcterms:modified>
</cp:coreProperties>
</file>