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93620D" w:rsidP="0093620D">
            <w:pPr>
              <w:rPr>
                <w:rFonts w:ascii="Arial" w:hAnsi="Arial" w:cs="Arial"/>
                <w:b/>
                <w:color w:val="002C47"/>
                <w:sz w:val="36"/>
                <w:szCs w:val="36"/>
              </w:rPr>
            </w:pPr>
            <w:r>
              <w:rPr>
                <w:rFonts w:ascii="Arial" w:hAnsi="Arial" w:cs="Arial"/>
                <w:b/>
                <w:color w:val="002C47"/>
                <w:sz w:val="36"/>
                <w:szCs w:val="36"/>
              </w:rPr>
              <w:t xml:space="preserve">June </w:t>
            </w:r>
            <w:r w:rsidR="00DF4981">
              <w:rPr>
                <w:rFonts w:ascii="Arial" w:hAnsi="Arial" w:cs="Arial"/>
                <w:b/>
                <w:color w:val="002C47"/>
                <w:sz w:val="36"/>
                <w:szCs w:val="36"/>
              </w:rPr>
              <w:t>2016</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675A4F">
            <w:pPr>
              <w:pStyle w:val="Title"/>
              <w:rPr>
                <w:color w:val="FFFFFF" w:themeColor="background1"/>
              </w:rPr>
            </w:pPr>
            <w:r w:rsidRPr="00A964D1">
              <w:rPr>
                <w:color w:val="FFFFFF" w:themeColor="background1"/>
              </w:rPr>
              <w:t xml:space="preserve">Australian Public Assessment Report for </w:t>
            </w:r>
            <w:proofErr w:type="spellStart"/>
            <w:r w:rsidR="00FA190B">
              <w:rPr>
                <w:rFonts w:cs="Arial"/>
                <w:color w:val="FFFFFF" w:themeColor="background1"/>
                <w:szCs w:val="24"/>
              </w:rPr>
              <w:t>Simoctocog</w:t>
            </w:r>
            <w:proofErr w:type="spellEnd"/>
            <w:r w:rsidR="00FA190B">
              <w:rPr>
                <w:rFonts w:cs="Arial"/>
                <w:color w:val="FFFFFF" w:themeColor="background1"/>
                <w:szCs w:val="24"/>
              </w:rPr>
              <w:t xml:space="preserve"> </w:t>
            </w:r>
            <w:r w:rsidR="00FC63A1">
              <w:rPr>
                <w:rFonts w:cs="Arial"/>
                <w:color w:val="FFFFFF" w:themeColor="background1"/>
                <w:szCs w:val="24"/>
              </w:rPr>
              <w:t>alfa</w:t>
            </w:r>
            <w:r w:rsidR="00675A4F" w:rsidRPr="00675A4F">
              <w:rPr>
                <w:rFonts w:cs="Arial"/>
                <w:color w:val="FFFFFF" w:themeColor="background1"/>
                <w:szCs w:val="24"/>
              </w:rPr>
              <w:t xml:space="preserve"> </w:t>
            </w:r>
            <w:proofErr w:type="spellStart"/>
            <w:r w:rsidR="00675A4F" w:rsidRPr="00675A4F">
              <w:rPr>
                <w:rFonts w:cs="Arial"/>
                <w:i/>
                <w:color w:val="FFFFFF" w:themeColor="background1"/>
                <w:szCs w:val="24"/>
              </w:rPr>
              <w:t>rhu</w:t>
            </w:r>
            <w:proofErr w:type="spellEnd"/>
          </w:p>
        </w:tc>
      </w:tr>
      <w:tr w:rsidR="0032583B" w:rsidRPr="00B64760" w:rsidTr="0032583B">
        <w:tc>
          <w:tcPr>
            <w:tcW w:w="9079" w:type="dxa"/>
          </w:tcPr>
          <w:p w:rsidR="0032583B" w:rsidRPr="008E7846" w:rsidRDefault="0032583B" w:rsidP="00675A4F">
            <w:pPr>
              <w:pStyle w:val="Subtitle"/>
              <w:rPr>
                <w:color w:val="FFFFFF" w:themeColor="background1"/>
              </w:rPr>
            </w:pPr>
            <w:r w:rsidRPr="008E7846">
              <w:rPr>
                <w:color w:val="FFFFFF" w:themeColor="background1"/>
              </w:rPr>
              <w:t xml:space="preserve">Proprietary Product Name: </w:t>
            </w:r>
            <w:proofErr w:type="spellStart"/>
            <w:r w:rsidR="00675A4F">
              <w:rPr>
                <w:color w:val="FFFFFF" w:themeColor="background1"/>
              </w:rPr>
              <w:t>Nuwiq</w:t>
            </w:r>
            <w:proofErr w:type="spellEnd"/>
            <w:r w:rsidRPr="008E7846">
              <w:rPr>
                <w:color w:val="FFFFFF" w:themeColor="background1"/>
              </w:rPr>
              <w:t xml:space="preserve"> </w:t>
            </w:r>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Sponsor:</w:t>
            </w:r>
            <w:r w:rsidR="00FF5033">
              <w:rPr>
                <w:color w:val="FFFFFF" w:themeColor="background1"/>
              </w:rPr>
              <w:t xml:space="preserve"> </w:t>
            </w:r>
            <w:proofErr w:type="spellStart"/>
            <w:r w:rsidR="00675A4F" w:rsidRPr="00675A4F">
              <w:rPr>
                <w:rFonts w:cs="Arial"/>
                <w:color w:val="FFFFFF" w:themeColor="background1"/>
              </w:rPr>
              <w:t>Octapharma</w:t>
            </w:r>
            <w:proofErr w:type="spellEnd"/>
            <w:r w:rsidR="00675A4F" w:rsidRPr="00675A4F">
              <w:rPr>
                <w:rFonts w:cs="Arial"/>
                <w:color w:val="FFFFFF" w:themeColor="background1"/>
              </w:rPr>
              <w:t xml:space="preserve">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12698C">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12698C">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12698C">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12698C">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12698C">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4F47D6">
          <w:rPr>
            <w:rStyle w:val="Hyperlink"/>
          </w:rPr>
          <w:t>https://www.tga.gov.au</w:t>
        </w:r>
      </w:hyperlink>
      <w:r w:rsidR="00112F56">
        <w:t>&gt;</w:t>
      </w:r>
      <w:r>
        <w:t>.</w:t>
      </w:r>
    </w:p>
    <w:p w:rsidR="008E7846" w:rsidRDefault="008E7846" w:rsidP="008E7846">
      <w:pPr>
        <w:pStyle w:val="NonTOCHeading2"/>
      </w:pPr>
      <w:r>
        <w:t>About AusPARs</w:t>
      </w:r>
    </w:p>
    <w:p w:rsidR="008E7846" w:rsidRDefault="008E7846" w:rsidP="0012698C">
      <w:pPr>
        <w:pStyle w:val="ListBullet"/>
        <w:numPr>
          <w:ilvl w:val="0"/>
          <w:numId w:val="1"/>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12698C">
      <w:pPr>
        <w:pStyle w:val="ListBullet"/>
        <w:numPr>
          <w:ilvl w:val="0"/>
          <w:numId w:val="1"/>
        </w:numPr>
        <w:ind w:left="357" w:hanging="357"/>
      </w:pPr>
      <w:r>
        <w:t>AusPARs are prepared and published by the TGA.</w:t>
      </w:r>
    </w:p>
    <w:p w:rsidR="008E7846" w:rsidRDefault="008E7846" w:rsidP="0012698C">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12698C">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12698C">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CA287F">
        <w:rPr>
          <w:rFonts w:cs="Arial"/>
          <w:lang w:val="en-GB"/>
        </w:rPr>
        <w:t>6</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A5047D" w:rsidRDefault="00653C6C">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53683258" w:history="1">
            <w:r w:rsidR="00A5047D" w:rsidRPr="00AA7575">
              <w:rPr>
                <w:rStyle w:val="Hyperlink"/>
                <w:noProof/>
              </w:rPr>
              <w:t>List of the most common abbreviations used in this AusPAR</w:t>
            </w:r>
            <w:r w:rsidR="00A5047D">
              <w:rPr>
                <w:noProof/>
                <w:webHidden/>
              </w:rPr>
              <w:tab/>
            </w:r>
            <w:r w:rsidR="00A5047D">
              <w:rPr>
                <w:noProof/>
                <w:webHidden/>
              </w:rPr>
              <w:fldChar w:fldCharType="begin"/>
            </w:r>
            <w:r w:rsidR="00A5047D">
              <w:rPr>
                <w:noProof/>
                <w:webHidden/>
              </w:rPr>
              <w:instrText xml:space="preserve"> PAGEREF _Toc453683258 \h </w:instrText>
            </w:r>
            <w:r w:rsidR="00A5047D">
              <w:rPr>
                <w:noProof/>
                <w:webHidden/>
              </w:rPr>
            </w:r>
            <w:r w:rsidR="00A5047D">
              <w:rPr>
                <w:noProof/>
                <w:webHidden/>
              </w:rPr>
              <w:fldChar w:fldCharType="separate"/>
            </w:r>
            <w:r w:rsidR="00A5047D">
              <w:rPr>
                <w:noProof/>
                <w:webHidden/>
              </w:rPr>
              <w:t>5</w:t>
            </w:r>
            <w:r w:rsidR="00A5047D">
              <w:rPr>
                <w:noProof/>
                <w:webHidden/>
              </w:rPr>
              <w:fldChar w:fldCharType="end"/>
            </w:r>
          </w:hyperlink>
        </w:p>
        <w:p w:rsidR="00A5047D" w:rsidRDefault="00A5047D">
          <w:pPr>
            <w:pStyle w:val="TOC2"/>
            <w:rPr>
              <w:rFonts w:asciiTheme="minorHAnsi" w:eastAsiaTheme="minorEastAsia" w:hAnsiTheme="minorHAnsi" w:cstheme="minorBidi"/>
              <w:b w:val="0"/>
              <w:noProof/>
              <w:sz w:val="22"/>
              <w:lang w:eastAsia="en-AU"/>
            </w:rPr>
          </w:pPr>
          <w:hyperlink w:anchor="_Toc453683259" w:history="1">
            <w:r w:rsidRPr="00AA7575">
              <w:rPr>
                <w:rStyle w:val="Hyperlink"/>
                <w:noProof/>
              </w:rPr>
              <w:t>I. Introduction to product submission</w:t>
            </w:r>
            <w:r>
              <w:rPr>
                <w:noProof/>
                <w:webHidden/>
              </w:rPr>
              <w:tab/>
            </w:r>
            <w:r>
              <w:rPr>
                <w:noProof/>
                <w:webHidden/>
              </w:rPr>
              <w:fldChar w:fldCharType="begin"/>
            </w:r>
            <w:r>
              <w:rPr>
                <w:noProof/>
                <w:webHidden/>
              </w:rPr>
              <w:instrText xml:space="preserve"> PAGEREF _Toc453683259 \h </w:instrText>
            </w:r>
            <w:r>
              <w:rPr>
                <w:noProof/>
                <w:webHidden/>
              </w:rPr>
            </w:r>
            <w:r>
              <w:rPr>
                <w:noProof/>
                <w:webHidden/>
              </w:rPr>
              <w:fldChar w:fldCharType="separate"/>
            </w:r>
            <w:r>
              <w:rPr>
                <w:noProof/>
                <w:webHidden/>
              </w:rPr>
              <w:t>8</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60" w:history="1">
            <w:r w:rsidRPr="00AA7575">
              <w:rPr>
                <w:rStyle w:val="Hyperlink"/>
                <w:noProof/>
                <w:lang w:eastAsia="en-AU"/>
              </w:rPr>
              <w:t>Submission details</w:t>
            </w:r>
            <w:r>
              <w:rPr>
                <w:noProof/>
                <w:webHidden/>
              </w:rPr>
              <w:tab/>
            </w:r>
            <w:r>
              <w:rPr>
                <w:noProof/>
                <w:webHidden/>
              </w:rPr>
              <w:fldChar w:fldCharType="begin"/>
            </w:r>
            <w:r>
              <w:rPr>
                <w:noProof/>
                <w:webHidden/>
              </w:rPr>
              <w:instrText xml:space="preserve"> PAGEREF _Toc453683260 \h </w:instrText>
            </w:r>
            <w:r>
              <w:rPr>
                <w:noProof/>
                <w:webHidden/>
              </w:rPr>
            </w:r>
            <w:r>
              <w:rPr>
                <w:noProof/>
                <w:webHidden/>
              </w:rPr>
              <w:fldChar w:fldCharType="separate"/>
            </w:r>
            <w:r>
              <w:rPr>
                <w:noProof/>
                <w:webHidden/>
              </w:rPr>
              <w:t>8</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61" w:history="1">
            <w:r w:rsidRPr="00AA7575">
              <w:rPr>
                <w:rStyle w:val="Hyperlink"/>
                <w:noProof/>
              </w:rPr>
              <w:t>Product background</w:t>
            </w:r>
            <w:r>
              <w:rPr>
                <w:noProof/>
                <w:webHidden/>
              </w:rPr>
              <w:tab/>
            </w:r>
            <w:r>
              <w:rPr>
                <w:noProof/>
                <w:webHidden/>
              </w:rPr>
              <w:fldChar w:fldCharType="begin"/>
            </w:r>
            <w:r>
              <w:rPr>
                <w:noProof/>
                <w:webHidden/>
              </w:rPr>
              <w:instrText xml:space="preserve"> PAGEREF _Toc453683261 \h </w:instrText>
            </w:r>
            <w:r>
              <w:rPr>
                <w:noProof/>
                <w:webHidden/>
              </w:rPr>
            </w:r>
            <w:r>
              <w:rPr>
                <w:noProof/>
                <w:webHidden/>
              </w:rPr>
              <w:fldChar w:fldCharType="separate"/>
            </w:r>
            <w:r>
              <w:rPr>
                <w:noProof/>
                <w:webHidden/>
              </w:rPr>
              <w:t>8</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62" w:history="1">
            <w:r w:rsidRPr="00AA7575">
              <w:rPr>
                <w:rStyle w:val="Hyperlink"/>
                <w:noProof/>
              </w:rPr>
              <w:t>Regulatory status</w:t>
            </w:r>
            <w:r>
              <w:rPr>
                <w:noProof/>
                <w:webHidden/>
              </w:rPr>
              <w:tab/>
            </w:r>
            <w:r>
              <w:rPr>
                <w:noProof/>
                <w:webHidden/>
              </w:rPr>
              <w:fldChar w:fldCharType="begin"/>
            </w:r>
            <w:r>
              <w:rPr>
                <w:noProof/>
                <w:webHidden/>
              </w:rPr>
              <w:instrText xml:space="preserve"> PAGEREF _Toc453683262 \h </w:instrText>
            </w:r>
            <w:r>
              <w:rPr>
                <w:noProof/>
                <w:webHidden/>
              </w:rPr>
            </w:r>
            <w:r>
              <w:rPr>
                <w:noProof/>
                <w:webHidden/>
              </w:rPr>
              <w:fldChar w:fldCharType="separate"/>
            </w:r>
            <w:r>
              <w:rPr>
                <w:noProof/>
                <w:webHidden/>
              </w:rPr>
              <w:t>12</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63" w:history="1">
            <w:r w:rsidRPr="00AA7575">
              <w:rPr>
                <w:rStyle w:val="Hyperlink"/>
                <w:noProof/>
              </w:rPr>
              <w:t>Product Information</w:t>
            </w:r>
            <w:r>
              <w:rPr>
                <w:noProof/>
                <w:webHidden/>
              </w:rPr>
              <w:tab/>
            </w:r>
            <w:r>
              <w:rPr>
                <w:noProof/>
                <w:webHidden/>
              </w:rPr>
              <w:fldChar w:fldCharType="begin"/>
            </w:r>
            <w:r>
              <w:rPr>
                <w:noProof/>
                <w:webHidden/>
              </w:rPr>
              <w:instrText xml:space="preserve"> PAGEREF _Toc453683263 \h </w:instrText>
            </w:r>
            <w:r>
              <w:rPr>
                <w:noProof/>
                <w:webHidden/>
              </w:rPr>
            </w:r>
            <w:r>
              <w:rPr>
                <w:noProof/>
                <w:webHidden/>
              </w:rPr>
              <w:fldChar w:fldCharType="separate"/>
            </w:r>
            <w:r>
              <w:rPr>
                <w:noProof/>
                <w:webHidden/>
              </w:rPr>
              <w:t>12</w:t>
            </w:r>
            <w:r>
              <w:rPr>
                <w:noProof/>
                <w:webHidden/>
              </w:rPr>
              <w:fldChar w:fldCharType="end"/>
            </w:r>
          </w:hyperlink>
        </w:p>
        <w:p w:rsidR="00A5047D" w:rsidRDefault="00A5047D">
          <w:pPr>
            <w:pStyle w:val="TOC2"/>
            <w:rPr>
              <w:rFonts w:asciiTheme="minorHAnsi" w:eastAsiaTheme="minorEastAsia" w:hAnsiTheme="minorHAnsi" w:cstheme="minorBidi"/>
              <w:b w:val="0"/>
              <w:noProof/>
              <w:sz w:val="22"/>
              <w:lang w:eastAsia="en-AU"/>
            </w:rPr>
          </w:pPr>
          <w:hyperlink w:anchor="_Toc453683264" w:history="1">
            <w:r w:rsidRPr="00AA7575">
              <w:rPr>
                <w:rStyle w:val="Hyperlink"/>
                <w:noProof/>
              </w:rPr>
              <w:t>II. Quality findings</w:t>
            </w:r>
            <w:r>
              <w:rPr>
                <w:noProof/>
                <w:webHidden/>
              </w:rPr>
              <w:tab/>
            </w:r>
            <w:r>
              <w:rPr>
                <w:noProof/>
                <w:webHidden/>
              </w:rPr>
              <w:fldChar w:fldCharType="begin"/>
            </w:r>
            <w:r>
              <w:rPr>
                <w:noProof/>
                <w:webHidden/>
              </w:rPr>
              <w:instrText xml:space="preserve"> PAGEREF _Toc453683264 \h </w:instrText>
            </w:r>
            <w:r>
              <w:rPr>
                <w:noProof/>
                <w:webHidden/>
              </w:rPr>
            </w:r>
            <w:r>
              <w:rPr>
                <w:noProof/>
                <w:webHidden/>
              </w:rPr>
              <w:fldChar w:fldCharType="separate"/>
            </w:r>
            <w:r>
              <w:rPr>
                <w:noProof/>
                <w:webHidden/>
              </w:rPr>
              <w:t>13</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65" w:history="1">
            <w:r w:rsidRPr="00AA7575">
              <w:rPr>
                <w:rStyle w:val="Hyperlink"/>
                <w:noProof/>
              </w:rPr>
              <w:t>Drug substance (active ingredient)</w:t>
            </w:r>
            <w:r>
              <w:rPr>
                <w:noProof/>
                <w:webHidden/>
              </w:rPr>
              <w:tab/>
            </w:r>
            <w:r>
              <w:rPr>
                <w:noProof/>
                <w:webHidden/>
              </w:rPr>
              <w:fldChar w:fldCharType="begin"/>
            </w:r>
            <w:r>
              <w:rPr>
                <w:noProof/>
                <w:webHidden/>
              </w:rPr>
              <w:instrText xml:space="preserve"> PAGEREF _Toc453683265 \h </w:instrText>
            </w:r>
            <w:r>
              <w:rPr>
                <w:noProof/>
                <w:webHidden/>
              </w:rPr>
            </w:r>
            <w:r>
              <w:rPr>
                <w:noProof/>
                <w:webHidden/>
              </w:rPr>
              <w:fldChar w:fldCharType="separate"/>
            </w:r>
            <w:r>
              <w:rPr>
                <w:noProof/>
                <w:webHidden/>
              </w:rPr>
              <w:t>13</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66" w:history="1">
            <w:r w:rsidRPr="00AA7575">
              <w:rPr>
                <w:rStyle w:val="Hyperlink"/>
                <w:noProof/>
              </w:rPr>
              <w:t>Drug product</w:t>
            </w:r>
            <w:r>
              <w:rPr>
                <w:noProof/>
                <w:webHidden/>
              </w:rPr>
              <w:tab/>
            </w:r>
            <w:r>
              <w:rPr>
                <w:noProof/>
                <w:webHidden/>
              </w:rPr>
              <w:fldChar w:fldCharType="begin"/>
            </w:r>
            <w:r>
              <w:rPr>
                <w:noProof/>
                <w:webHidden/>
              </w:rPr>
              <w:instrText xml:space="preserve"> PAGEREF _Toc453683266 \h </w:instrText>
            </w:r>
            <w:r>
              <w:rPr>
                <w:noProof/>
                <w:webHidden/>
              </w:rPr>
            </w:r>
            <w:r>
              <w:rPr>
                <w:noProof/>
                <w:webHidden/>
              </w:rPr>
              <w:fldChar w:fldCharType="separate"/>
            </w:r>
            <w:r>
              <w:rPr>
                <w:noProof/>
                <w:webHidden/>
              </w:rPr>
              <w:t>14</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67" w:history="1">
            <w:r w:rsidRPr="00AA7575">
              <w:rPr>
                <w:rStyle w:val="Hyperlink"/>
                <w:noProof/>
              </w:rPr>
              <w:t>Biopharmaceutics</w:t>
            </w:r>
            <w:r>
              <w:rPr>
                <w:noProof/>
                <w:webHidden/>
              </w:rPr>
              <w:tab/>
            </w:r>
            <w:r>
              <w:rPr>
                <w:noProof/>
                <w:webHidden/>
              </w:rPr>
              <w:fldChar w:fldCharType="begin"/>
            </w:r>
            <w:r>
              <w:rPr>
                <w:noProof/>
                <w:webHidden/>
              </w:rPr>
              <w:instrText xml:space="preserve"> PAGEREF _Toc453683267 \h </w:instrText>
            </w:r>
            <w:r>
              <w:rPr>
                <w:noProof/>
                <w:webHidden/>
              </w:rPr>
            </w:r>
            <w:r>
              <w:rPr>
                <w:noProof/>
                <w:webHidden/>
              </w:rPr>
              <w:fldChar w:fldCharType="separate"/>
            </w:r>
            <w:r>
              <w:rPr>
                <w:noProof/>
                <w:webHidden/>
              </w:rPr>
              <w:t>14</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68" w:history="1">
            <w:r w:rsidRPr="00AA7575">
              <w:rPr>
                <w:rStyle w:val="Hyperlink"/>
                <w:noProof/>
              </w:rPr>
              <w:t>Quality summary and conclusions</w:t>
            </w:r>
            <w:r>
              <w:rPr>
                <w:noProof/>
                <w:webHidden/>
              </w:rPr>
              <w:tab/>
            </w:r>
            <w:r>
              <w:rPr>
                <w:noProof/>
                <w:webHidden/>
              </w:rPr>
              <w:fldChar w:fldCharType="begin"/>
            </w:r>
            <w:r>
              <w:rPr>
                <w:noProof/>
                <w:webHidden/>
              </w:rPr>
              <w:instrText xml:space="preserve"> PAGEREF _Toc453683268 \h </w:instrText>
            </w:r>
            <w:r>
              <w:rPr>
                <w:noProof/>
                <w:webHidden/>
              </w:rPr>
            </w:r>
            <w:r>
              <w:rPr>
                <w:noProof/>
                <w:webHidden/>
              </w:rPr>
              <w:fldChar w:fldCharType="separate"/>
            </w:r>
            <w:r>
              <w:rPr>
                <w:noProof/>
                <w:webHidden/>
              </w:rPr>
              <w:t>14</w:t>
            </w:r>
            <w:r>
              <w:rPr>
                <w:noProof/>
                <w:webHidden/>
              </w:rPr>
              <w:fldChar w:fldCharType="end"/>
            </w:r>
          </w:hyperlink>
        </w:p>
        <w:p w:rsidR="00A5047D" w:rsidRDefault="00A5047D">
          <w:pPr>
            <w:pStyle w:val="TOC2"/>
            <w:rPr>
              <w:rFonts w:asciiTheme="minorHAnsi" w:eastAsiaTheme="minorEastAsia" w:hAnsiTheme="minorHAnsi" w:cstheme="minorBidi"/>
              <w:b w:val="0"/>
              <w:noProof/>
              <w:sz w:val="22"/>
              <w:lang w:eastAsia="en-AU"/>
            </w:rPr>
          </w:pPr>
          <w:hyperlink w:anchor="_Toc453683269" w:history="1">
            <w:r w:rsidRPr="00AA7575">
              <w:rPr>
                <w:rStyle w:val="Hyperlink"/>
                <w:noProof/>
              </w:rPr>
              <w:t>III. Nonclinical findings</w:t>
            </w:r>
            <w:r>
              <w:rPr>
                <w:noProof/>
                <w:webHidden/>
              </w:rPr>
              <w:tab/>
            </w:r>
            <w:r>
              <w:rPr>
                <w:noProof/>
                <w:webHidden/>
              </w:rPr>
              <w:fldChar w:fldCharType="begin"/>
            </w:r>
            <w:r>
              <w:rPr>
                <w:noProof/>
                <w:webHidden/>
              </w:rPr>
              <w:instrText xml:space="preserve"> PAGEREF _Toc453683269 \h </w:instrText>
            </w:r>
            <w:r>
              <w:rPr>
                <w:noProof/>
                <w:webHidden/>
              </w:rPr>
            </w:r>
            <w:r>
              <w:rPr>
                <w:noProof/>
                <w:webHidden/>
              </w:rPr>
              <w:fldChar w:fldCharType="separate"/>
            </w:r>
            <w:r>
              <w:rPr>
                <w:noProof/>
                <w:webHidden/>
              </w:rPr>
              <w:t>15</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70" w:history="1">
            <w:r w:rsidRPr="00AA7575">
              <w:rPr>
                <w:rStyle w:val="Hyperlink"/>
                <w:noProof/>
              </w:rPr>
              <w:t>Introduction</w:t>
            </w:r>
            <w:r>
              <w:rPr>
                <w:noProof/>
                <w:webHidden/>
              </w:rPr>
              <w:tab/>
            </w:r>
            <w:r>
              <w:rPr>
                <w:noProof/>
                <w:webHidden/>
              </w:rPr>
              <w:fldChar w:fldCharType="begin"/>
            </w:r>
            <w:r>
              <w:rPr>
                <w:noProof/>
                <w:webHidden/>
              </w:rPr>
              <w:instrText xml:space="preserve"> PAGEREF _Toc453683270 \h </w:instrText>
            </w:r>
            <w:r>
              <w:rPr>
                <w:noProof/>
                <w:webHidden/>
              </w:rPr>
            </w:r>
            <w:r>
              <w:rPr>
                <w:noProof/>
                <w:webHidden/>
              </w:rPr>
              <w:fldChar w:fldCharType="separate"/>
            </w:r>
            <w:r>
              <w:rPr>
                <w:noProof/>
                <w:webHidden/>
              </w:rPr>
              <w:t>15</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71" w:history="1">
            <w:r w:rsidRPr="00AA7575">
              <w:rPr>
                <w:rStyle w:val="Hyperlink"/>
                <w:noProof/>
              </w:rPr>
              <w:t>Pharmacology</w:t>
            </w:r>
            <w:r>
              <w:rPr>
                <w:noProof/>
                <w:webHidden/>
              </w:rPr>
              <w:tab/>
            </w:r>
            <w:r>
              <w:rPr>
                <w:noProof/>
                <w:webHidden/>
              </w:rPr>
              <w:fldChar w:fldCharType="begin"/>
            </w:r>
            <w:r>
              <w:rPr>
                <w:noProof/>
                <w:webHidden/>
              </w:rPr>
              <w:instrText xml:space="preserve"> PAGEREF _Toc453683271 \h </w:instrText>
            </w:r>
            <w:r>
              <w:rPr>
                <w:noProof/>
                <w:webHidden/>
              </w:rPr>
            </w:r>
            <w:r>
              <w:rPr>
                <w:noProof/>
                <w:webHidden/>
              </w:rPr>
              <w:fldChar w:fldCharType="separate"/>
            </w:r>
            <w:r>
              <w:rPr>
                <w:noProof/>
                <w:webHidden/>
              </w:rPr>
              <w:t>16</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72" w:history="1">
            <w:r w:rsidRPr="00AA7575">
              <w:rPr>
                <w:rStyle w:val="Hyperlink"/>
                <w:noProof/>
              </w:rPr>
              <w:t>Pharmacokinetics</w:t>
            </w:r>
            <w:r>
              <w:rPr>
                <w:noProof/>
                <w:webHidden/>
              </w:rPr>
              <w:tab/>
            </w:r>
            <w:r>
              <w:rPr>
                <w:noProof/>
                <w:webHidden/>
              </w:rPr>
              <w:fldChar w:fldCharType="begin"/>
            </w:r>
            <w:r>
              <w:rPr>
                <w:noProof/>
                <w:webHidden/>
              </w:rPr>
              <w:instrText xml:space="preserve"> PAGEREF _Toc453683272 \h </w:instrText>
            </w:r>
            <w:r>
              <w:rPr>
                <w:noProof/>
                <w:webHidden/>
              </w:rPr>
            </w:r>
            <w:r>
              <w:rPr>
                <w:noProof/>
                <w:webHidden/>
              </w:rPr>
              <w:fldChar w:fldCharType="separate"/>
            </w:r>
            <w:r>
              <w:rPr>
                <w:noProof/>
                <w:webHidden/>
              </w:rPr>
              <w:t>17</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73" w:history="1">
            <w:r w:rsidRPr="00AA7575">
              <w:rPr>
                <w:rStyle w:val="Hyperlink"/>
                <w:noProof/>
              </w:rPr>
              <w:t>Toxicology</w:t>
            </w:r>
            <w:r>
              <w:rPr>
                <w:noProof/>
                <w:webHidden/>
              </w:rPr>
              <w:tab/>
            </w:r>
            <w:r>
              <w:rPr>
                <w:noProof/>
                <w:webHidden/>
              </w:rPr>
              <w:fldChar w:fldCharType="begin"/>
            </w:r>
            <w:r>
              <w:rPr>
                <w:noProof/>
                <w:webHidden/>
              </w:rPr>
              <w:instrText xml:space="preserve"> PAGEREF _Toc453683273 \h </w:instrText>
            </w:r>
            <w:r>
              <w:rPr>
                <w:noProof/>
                <w:webHidden/>
              </w:rPr>
            </w:r>
            <w:r>
              <w:rPr>
                <w:noProof/>
                <w:webHidden/>
              </w:rPr>
              <w:fldChar w:fldCharType="separate"/>
            </w:r>
            <w:r>
              <w:rPr>
                <w:noProof/>
                <w:webHidden/>
              </w:rPr>
              <w:t>17</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74" w:history="1">
            <w:r w:rsidRPr="00AA7575">
              <w:rPr>
                <w:rStyle w:val="Hyperlink"/>
                <w:noProof/>
              </w:rPr>
              <w:t>Nonclinical summary and conclusions</w:t>
            </w:r>
            <w:r>
              <w:rPr>
                <w:noProof/>
                <w:webHidden/>
              </w:rPr>
              <w:tab/>
            </w:r>
            <w:r>
              <w:rPr>
                <w:noProof/>
                <w:webHidden/>
              </w:rPr>
              <w:fldChar w:fldCharType="begin"/>
            </w:r>
            <w:r>
              <w:rPr>
                <w:noProof/>
                <w:webHidden/>
              </w:rPr>
              <w:instrText xml:space="preserve"> PAGEREF _Toc453683274 \h </w:instrText>
            </w:r>
            <w:r>
              <w:rPr>
                <w:noProof/>
                <w:webHidden/>
              </w:rPr>
            </w:r>
            <w:r>
              <w:rPr>
                <w:noProof/>
                <w:webHidden/>
              </w:rPr>
              <w:fldChar w:fldCharType="separate"/>
            </w:r>
            <w:r>
              <w:rPr>
                <w:noProof/>
                <w:webHidden/>
              </w:rPr>
              <w:t>20</w:t>
            </w:r>
            <w:r>
              <w:rPr>
                <w:noProof/>
                <w:webHidden/>
              </w:rPr>
              <w:fldChar w:fldCharType="end"/>
            </w:r>
          </w:hyperlink>
        </w:p>
        <w:p w:rsidR="00A5047D" w:rsidRDefault="00A5047D">
          <w:pPr>
            <w:pStyle w:val="TOC2"/>
            <w:rPr>
              <w:rFonts w:asciiTheme="minorHAnsi" w:eastAsiaTheme="minorEastAsia" w:hAnsiTheme="minorHAnsi" w:cstheme="minorBidi"/>
              <w:b w:val="0"/>
              <w:noProof/>
              <w:sz w:val="22"/>
              <w:lang w:eastAsia="en-AU"/>
            </w:rPr>
          </w:pPr>
          <w:hyperlink w:anchor="_Toc453683275" w:history="1">
            <w:r w:rsidRPr="00AA7575">
              <w:rPr>
                <w:rStyle w:val="Hyperlink"/>
                <w:noProof/>
              </w:rPr>
              <w:t>IV. Clinical findings</w:t>
            </w:r>
            <w:r>
              <w:rPr>
                <w:noProof/>
                <w:webHidden/>
              </w:rPr>
              <w:tab/>
            </w:r>
            <w:r>
              <w:rPr>
                <w:noProof/>
                <w:webHidden/>
              </w:rPr>
              <w:fldChar w:fldCharType="begin"/>
            </w:r>
            <w:r>
              <w:rPr>
                <w:noProof/>
                <w:webHidden/>
              </w:rPr>
              <w:instrText xml:space="preserve"> PAGEREF _Toc453683275 \h </w:instrText>
            </w:r>
            <w:r>
              <w:rPr>
                <w:noProof/>
                <w:webHidden/>
              </w:rPr>
            </w:r>
            <w:r>
              <w:rPr>
                <w:noProof/>
                <w:webHidden/>
              </w:rPr>
              <w:fldChar w:fldCharType="separate"/>
            </w:r>
            <w:r>
              <w:rPr>
                <w:noProof/>
                <w:webHidden/>
              </w:rPr>
              <w:t>21</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76" w:history="1">
            <w:r w:rsidRPr="00AA7575">
              <w:rPr>
                <w:rStyle w:val="Hyperlink"/>
                <w:noProof/>
              </w:rPr>
              <w:t>Introduction</w:t>
            </w:r>
            <w:r>
              <w:rPr>
                <w:noProof/>
                <w:webHidden/>
              </w:rPr>
              <w:tab/>
            </w:r>
            <w:r>
              <w:rPr>
                <w:noProof/>
                <w:webHidden/>
              </w:rPr>
              <w:fldChar w:fldCharType="begin"/>
            </w:r>
            <w:r>
              <w:rPr>
                <w:noProof/>
                <w:webHidden/>
              </w:rPr>
              <w:instrText xml:space="preserve"> PAGEREF _Toc453683276 \h </w:instrText>
            </w:r>
            <w:r>
              <w:rPr>
                <w:noProof/>
                <w:webHidden/>
              </w:rPr>
            </w:r>
            <w:r>
              <w:rPr>
                <w:noProof/>
                <w:webHidden/>
              </w:rPr>
              <w:fldChar w:fldCharType="separate"/>
            </w:r>
            <w:r>
              <w:rPr>
                <w:noProof/>
                <w:webHidden/>
              </w:rPr>
              <w:t>21</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77" w:history="1">
            <w:r w:rsidRPr="00AA7575">
              <w:rPr>
                <w:rStyle w:val="Hyperlink"/>
                <w:noProof/>
              </w:rPr>
              <w:t>Pharmacokinetics</w:t>
            </w:r>
            <w:r>
              <w:rPr>
                <w:noProof/>
                <w:webHidden/>
              </w:rPr>
              <w:tab/>
            </w:r>
            <w:r>
              <w:rPr>
                <w:noProof/>
                <w:webHidden/>
              </w:rPr>
              <w:fldChar w:fldCharType="begin"/>
            </w:r>
            <w:r>
              <w:rPr>
                <w:noProof/>
                <w:webHidden/>
              </w:rPr>
              <w:instrText xml:space="preserve"> PAGEREF _Toc453683277 \h </w:instrText>
            </w:r>
            <w:r>
              <w:rPr>
                <w:noProof/>
                <w:webHidden/>
              </w:rPr>
            </w:r>
            <w:r>
              <w:rPr>
                <w:noProof/>
                <w:webHidden/>
              </w:rPr>
              <w:fldChar w:fldCharType="separate"/>
            </w:r>
            <w:r>
              <w:rPr>
                <w:noProof/>
                <w:webHidden/>
              </w:rPr>
              <w:t>23</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78" w:history="1">
            <w:r w:rsidRPr="00AA7575">
              <w:rPr>
                <w:rStyle w:val="Hyperlink"/>
                <w:noProof/>
              </w:rPr>
              <w:t>Pharmacodynamics</w:t>
            </w:r>
            <w:r>
              <w:rPr>
                <w:noProof/>
                <w:webHidden/>
              </w:rPr>
              <w:tab/>
            </w:r>
            <w:r>
              <w:rPr>
                <w:noProof/>
                <w:webHidden/>
              </w:rPr>
              <w:fldChar w:fldCharType="begin"/>
            </w:r>
            <w:r>
              <w:rPr>
                <w:noProof/>
                <w:webHidden/>
              </w:rPr>
              <w:instrText xml:space="preserve"> PAGEREF _Toc453683278 \h </w:instrText>
            </w:r>
            <w:r>
              <w:rPr>
                <w:noProof/>
                <w:webHidden/>
              </w:rPr>
            </w:r>
            <w:r>
              <w:rPr>
                <w:noProof/>
                <w:webHidden/>
              </w:rPr>
              <w:fldChar w:fldCharType="separate"/>
            </w:r>
            <w:r>
              <w:rPr>
                <w:noProof/>
                <w:webHidden/>
              </w:rPr>
              <w:t>27</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79" w:history="1">
            <w:r w:rsidRPr="00AA7575">
              <w:rPr>
                <w:rStyle w:val="Hyperlink"/>
                <w:noProof/>
              </w:rPr>
              <w:t>Dosage selection for the pivotal studies</w:t>
            </w:r>
            <w:r>
              <w:rPr>
                <w:noProof/>
                <w:webHidden/>
              </w:rPr>
              <w:tab/>
            </w:r>
            <w:r>
              <w:rPr>
                <w:noProof/>
                <w:webHidden/>
              </w:rPr>
              <w:fldChar w:fldCharType="begin"/>
            </w:r>
            <w:r>
              <w:rPr>
                <w:noProof/>
                <w:webHidden/>
              </w:rPr>
              <w:instrText xml:space="preserve"> PAGEREF _Toc453683279 \h </w:instrText>
            </w:r>
            <w:r>
              <w:rPr>
                <w:noProof/>
                <w:webHidden/>
              </w:rPr>
            </w:r>
            <w:r>
              <w:rPr>
                <w:noProof/>
                <w:webHidden/>
              </w:rPr>
              <w:fldChar w:fldCharType="separate"/>
            </w:r>
            <w:r>
              <w:rPr>
                <w:noProof/>
                <w:webHidden/>
              </w:rPr>
              <w:t>27</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80" w:history="1">
            <w:r w:rsidRPr="00AA7575">
              <w:rPr>
                <w:rStyle w:val="Hyperlink"/>
                <w:noProof/>
              </w:rPr>
              <w:t>Efficacy</w:t>
            </w:r>
            <w:r>
              <w:rPr>
                <w:noProof/>
                <w:webHidden/>
              </w:rPr>
              <w:tab/>
            </w:r>
            <w:r>
              <w:rPr>
                <w:noProof/>
                <w:webHidden/>
              </w:rPr>
              <w:fldChar w:fldCharType="begin"/>
            </w:r>
            <w:r>
              <w:rPr>
                <w:noProof/>
                <w:webHidden/>
              </w:rPr>
              <w:instrText xml:space="preserve"> PAGEREF _Toc453683280 \h </w:instrText>
            </w:r>
            <w:r>
              <w:rPr>
                <w:noProof/>
                <w:webHidden/>
              </w:rPr>
            </w:r>
            <w:r>
              <w:rPr>
                <w:noProof/>
                <w:webHidden/>
              </w:rPr>
              <w:fldChar w:fldCharType="separate"/>
            </w:r>
            <w:r>
              <w:rPr>
                <w:noProof/>
                <w:webHidden/>
              </w:rPr>
              <w:t>28</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81" w:history="1">
            <w:r w:rsidRPr="00AA7575">
              <w:rPr>
                <w:rStyle w:val="Hyperlink"/>
                <w:noProof/>
              </w:rPr>
              <w:t>Safety</w:t>
            </w:r>
            <w:r>
              <w:rPr>
                <w:noProof/>
                <w:webHidden/>
              </w:rPr>
              <w:tab/>
            </w:r>
            <w:r>
              <w:rPr>
                <w:noProof/>
                <w:webHidden/>
              </w:rPr>
              <w:fldChar w:fldCharType="begin"/>
            </w:r>
            <w:r>
              <w:rPr>
                <w:noProof/>
                <w:webHidden/>
              </w:rPr>
              <w:instrText xml:space="preserve"> PAGEREF _Toc453683281 \h </w:instrText>
            </w:r>
            <w:r>
              <w:rPr>
                <w:noProof/>
                <w:webHidden/>
              </w:rPr>
            </w:r>
            <w:r>
              <w:rPr>
                <w:noProof/>
                <w:webHidden/>
              </w:rPr>
              <w:fldChar w:fldCharType="separate"/>
            </w:r>
            <w:r>
              <w:rPr>
                <w:noProof/>
                <w:webHidden/>
              </w:rPr>
              <w:t>39</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82" w:history="1">
            <w:r w:rsidRPr="00AA7575">
              <w:rPr>
                <w:rStyle w:val="Hyperlink"/>
                <w:noProof/>
              </w:rPr>
              <w:t>First round benefit-risk assessment</w:t>
            </w:r>
            <w:r>
              <w:rPr>
                <w:noProof/>
                <w:webHidden/>
              </w:rPr>
              <w:tab/>
            </w:r>
            <w:r>
              <w:rPr>
                <w:noProof/>
                <w:webHidden/>
              </w:rPr>
              <w:fldChar w:fldCharType="begin"/>
            </w:r>
            <w:r>
              <w:rPr>
                <w:noProof/>
                <w:webHidden/>
              </w:rPr>
              <w:instrText xml:space="preserve"> PAGEREF _Toc453683282 \h </w:instrText>
            </w:r>
            <w:r>
              <w:rPr>
                <w:noProof/>
                <w:webHidden/>
              </w:rPr>
            </w:r>
            <w:r>
              <w:rPr>
                <w:noProof/>
                <w:webHidden/>
              </w:rPr>
              <w:fldChar w:fldCharType="separate"/>
            </w:r>
            <w:r>
              <w:rPr>
                <w:noProof/>
                <w:webHidden/>
              </w:rPr>
              <w:t>42</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83" w:history="1">
            <w:r w:rsidRPr="00AA7575">
              <w:rPr>
                <w:rStyle w:val="Hyperlink"/>
                <w:noProof/>
              </w:rPr>
              <w:t>First round recommendation regarding authorisation</w:t>
            </w:r>
            <w:r>
              <w:rPr>
                <w:noProof/>
                <w:webHidden/>
              </w:rPr>
              <w:tab/>
            </w:r>
            <w:r>
              <w:rPr>
                <w:noProof/>
                <w:webHidden/>
              </w:rPr>
              <w:fldChar w:fldCharType="begin"/>
            </w:r>
            <w:r>
              <w:rPr>
                <w:noProof/>
                <w:webHidden/>
              </w:rPr>
              <w:instrText xml:space="preserve"> PAGEREF _Toc453683283 \h </w:instrText>
            </w:r>
            <w:r>
              <w:rPr>
                <w:noProof/>
                <w:webHidden/>
              </w:rPr>
            </w:r>
            <w:r>
              <w:rPr>
                <w:noProof/>
                <w:webHidden/>
              </w:rPr>
              <w:fldChar w:fldCharType="separate"/>
            </w:r>
            <w:r>
              <w:rPr>
                <w:noProof/>
                <w:webHidden/>
              </w:rPr>
              <w:t>46</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84" w:history="1">
            <w:r w:rsidRPr="00AA7575">
              <w:rPr>
                <w:rStyle w:val="Hyperlink"/>
                <w:noProof/>
              </w:rPr>
              <w:t>Clinical questions</w:t>
            </w:r>
            <w:r>
              <w:rPr>
                <w:noProof/>
                <w:webHidden/>
              </w:rPr>
              <w:tab/>
            </w:r>
            <w:r>
              <w:rPr>
                <w:noProof/>
                <w:webHidden/>
              </w:rPr>
              <w:fldChar w:fldCharType="begin"/>
            </w:r>
            <w:r>
              <w:rPr>
                <w:noProof/>
                <w:webHidden/>
              </w:rPr>
              <w:instrText xml:space="preserve"> PAGEREF _Toc453683284 \h </w:instrText>
            </w:r>
            <w:r>
              <w:rPr>
                <w:noProof/>
                <w:webHidden/>
              </w:rPr>
            </w:r>
            <w:r>
              <w:rPr>
                <w:noProof/>
                <w:webHidden/>
              </w:rPr>
              <w:fldChar w:fldCharType="separate"/>
            </w:r>
            <w:r>
              <w:rPr>
                <w:noProof/>
                <w:webHidden/>
              </w:rPr>
              <w:t>47</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85" w:history="1">
            <w:r w:rsidRPr="00AA7575">
              <w:rPr>
                <w:rStyle w:val="Hyperlink"/>
                <w:noProof/>
              </w:rPr>
              <w:t>Efficacy</w:t>
            </w:r>
            <w:r>
              <w:rPr>
                <w:noProof/>
                <w:webHidden/>
              </w:rPr>
              <w:tab/>
            </w:r>
            <w:r>
              <w:rPr>
                <w:noProof/>
                <w:webHidden/>
              </w:rPr>
              <w:fldChar w:fldCharType="begin"/>
            </w:r>
            <w:r>
              <w:rPr>
                <w:noProof/>
                <w:webHidden/>
              </w:rPr>
              <w:instrText xml:space="preserve"> PAGEREF _Toc453683285 \h </w:instrText>
            </w:r>
            <w:r>
              <w:rPr>
                <w:noProof/>
                <w:webHidden/>
              </w:rPr>
            </w:r>
            <w:r>
              <w:rPr>
                <w:noProof/>
                <w:webHidden/>
              </w:rPr>
              <w:fldChar w:fldCharType="separate"/>
            </w:r>
            <w:r>
              <w:rPr>
                <w:noProof/>
                <w:webHidden/>
              </w:rPr>
              <w:t>47</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86" w:history="1">
            <w:r w:rsidRPr="00AA7575">
              <w:rPr>
                <w:rStyle w:val="Hyperlink"/>
                <w:noProof/>
              </w:rPr>
              <w:t>Safety</w:t>
            </w:r>
            <w:r>
              <w:rPr>
                <w:noProof/>
                <w:webHidden/>
              </w:rPr>
              <w:tab/>
            </w:r>
            <w:r>
              <w:rPr>
                <w:noProof/>
                <w:webHidden/>
              </w:rPr>
              <w:fldChar w:fldCharType="begin"/>
            </w:r>
            <w:r>
              <w:rPr>
                <w:noProof/>
                <w:webHidden/>
              </w:rPr>
              <w:instrText xml:space="preserve"> PAGEREF _Toc453683286 \h </w:instrText>
            </w:r>
            <w:r>
              <w:rPr>
                <w:noProof/>
                <w:webHidden/>
              </w:rPr>
            </w:r>
            <w:r>
              <w:rPr>
                <w:noProof/>
                <w:webHidden/>
              </w:rPr>
              <w:fldChar w:fldCharType="separate"/>
            </w:r>
            <w:r>
              <w:rPr>
                <w:noProof/>
                <w:webHidden/>
              </w:rPr>
              <w:t>47</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87" w:history="1">
            <w:r w:rsidRPr="00AA7575">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_Toc453683287 \h </w:instrText>
            </w:r>
            <w:r>
              <w:rPr>
                <w:noProof/>
                <w:webHidden/>
              </w:rPr>
            </w:r>
            <w:r>
              <w:rPr>
                <w:noProof/>
                <w:webHidden/>
              </w:rPr>
              <w:fldChar w:fldCharType="separate"/>
            </w:r>
            <w:r>
              <w:rPr>
                <w:noProof/>
                <w:webHidden/>
              </w:rPr>
              <w:t>48</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88" w:history="1">
            <w:r w:rsidRPr="00AA7575">
              <w:rPr>
                <w:rStyle w:val="Hyperlink"/>
                <w:noProof/>
              </w:rPr>
              <w:t>Second round benefit-risk assessment</w:t>
            </w:r>
            <w:r>
              <w:rPr>
                <w:noProof/>
                <w:webHidden/>
              </w:rPr>
              <w:tab/>
            </w:r>
            <w:r>
              <w:rPr>
                <w:noProof/>
                <w:webHidden/>
              </w:rPr>
              <w:fldChar w:fldCharType="begin"/>
            </w:r>
            <w:r>
              <w:rPr>
                <w:noProof/>
                <w:webHidden/>
              </w:rPr>
              <w:instrText xml:space="preserve"> PAGEREF _Toc453683288 \h </w:instrText>
            </w:r>
            <w:r>
              <w:rPr>
                <w:noProof/>
                <w:webHidden/>
              </w:rPr>
            </w:r>
            <w:r>
              <w:rPr>
                <w:noProof/>
                <w:webHidden/>
              </w:rPr>
              <w:fldChar w:fldCharType="separate"/>
            </w:r>
            <w:r>
              <w:rPr>
                <w:noProof/>
                <w:webHidden/>
              </w:rPr>
              <w:t>48</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89" w:history="1">
            <w:r w:rsidRPr="00AA7575">
              <w:rPr>
                <w:rStyle w:val="Hyperlink"/>
                <w:noProof/>
              </w:rPr>
              <w:t>Second round recommendation regarding authorisation</w:t>
            </w:r>
            <w:r>
              <w:rPr>
                <w:noProof/>
                <w:webHidden/>
              </w:rPr>
              <w:tab/>
            </w:r>
            <w:r>
              <w:rPr>
                <w:noProof/>
                <w:webHidden/>
              </w:rPr>
              <w:fldChar w:fldCharType="begin"/>
            </w:r>
            <w:r>
              <w:rPr>
                <w:noProof/>
                <w:webHidden/>
              </w:rPr>
              <w:instrText xml:space="preserve"> PAGEREF _Toc453683289 \h </w:instrText>
            </w:r>
            <w:r>
              <w:rPr>
                <w:noProof/>
                <w:webHidden/>
              </w:rPr>
            </w:r>
            <w:r>
              <w:rPr>
                <w:noProof/>
                <w:webHidden/>
              </w:rPr>
              <w:fldChar w:fldCharType="separate"/>
            </w:r>
            <w:r>
              <w:rPr>
                <w:noProof/>
                <w:webHidden/>
              </w:rPr>
              <w:t>48</w:t>
            </w:r>
            <w:r>
              <w:rPr>
                <w:noProof/>
                <w:webHidden/>
              </w:rPr>
              <w:fldChar w:fldCharType="end"/>
            </w:r>
          </w:hyperlink>
        </w:p>
        <w:p w:rsidR="00A5047D" w:rsidRDefault="00A5047D">
          <w:pPr>
            <w:pStyle w:val="TOC2"/>
            <w:rPr>
              <w:rFonts w:asciiTheme="minorHAnsi" w:eastAsiaTheme="minorEastAsia" w:hAnsiTheme="minorHAnsi" w:cstheme="minorBidi"/>
              <w:b w:val="0"/>
              <w:noProof/>
              <w:sz w:val="22"/>
              <w:lang w:eastAsia="en-AU"/>
            </w:rPr>
          </w:pPr>
          <w:hyperlink w:anchor="_Toc453683290" w:history="1">
            <w:r w:rsidRPr="00AA7575">
              <w:rPr>
                <w:rStyle w:val="Hyperlink"/>
                <w:noProof/>
              </w:rPr>
              <w:t>V. Pharmacovigilance findings</w:t>
            </w:r>
            <w:r>
              <w:rPr>
                <w:noProof/>
                <w:webHidden/>
              </w:rPr>
              <w:tab/>
            </w:r>
            <w:r>
              <w:rPr>
                <w:noProof/>
                <w:webHidden/>
              </w:rPr>
              <w:fldChar w:fldCharType="begin"/>
            </w:r>
            <w:r>
              <w:rPr>
                <w:noProof/>
                <w:webHidden/>
              </w:rPr>
              <w:instrText xml:space="preserve"> PAGEREF _Toc453683290 \h </w:instrText>
            </w:r>
            <w:r>
              <w:rPr>
                <w:noProof/>
                <w:webHidden/>
              </w:rPr>
            </w:r>
            <w:r>
              <w:rPr>
                <w:noProof/>
                <w:webHidden/>
              </w:rPr>
              <w:fldChar w:fldCharType="separate"/>
            </w:r>
            <w:r>
              <w:rPr>
                <w:noProof/>
                <w:webHidden/>
              </w:rPr>
              <w:t>48</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91" w:history="1">
            <w:r w:rsidRPr="00AA7575">
              <w:rPr>
                <w:rStyle w:val="Hyperlink"/>
                <w:noProof/>
                <w:lang w:eastAsia="en-AU"/>
              </w:rPr>
              <w:t>Risk management plan</w:t>
            </w:r>
            <w:r>
              <w:rPr>
                <w:noProof/>
                <w:webHidden/>
              </w:rPr>
              <w:tab/>
            </w:r>
            <w:r>
              <w:rPr>
                <w:noProof/>
                <w:webHidden/>
              </w:rPr>
              <w:fldChar w:fldCharType="begin"/>
            </w:r>
            <w:r>
              <w:rPr>
                <w:noProof/>
                <w:webHidden/>
              </w:rPr>
              <w:instrText xml:space="preserve"> PAGEREF _Toc453683291 \h </w:instrText>
            </w:r>
            <w:r>
              <w:rPr>
                <w:noProof/>
                <w:webHidden/>
              </w:rPr>
            </w:r>
            <w:r>
              <w:rPr>
                <w:noProof/>
                <w:webHidden/>
              </w:rPr>
              <w:fldChar w:fldCharType="separate"/>
            </w:r>
            <w:r>
              <w:rPr>
                <w:noProof/>
                <w:webHidden/>
              </w:rPr>
              <w:t>48</w:t>
            </w:r>
            <w:r>
              <w:rPr>
                <w:noProof/>
                <w:webHidden/>
              </w:rPr>
              <w:fldChar w:fldCharType="end"/>
            </w:r>
          </w:hyperlink>
        </w:p>
        <w:p w:rsidR="00A5047D" w:rsidRDefault="00A5047D">
          <w:pPr>
            <w:pStyle w:val="TOC2"/>
            <w:rPr>
              <w:rFonts w:asciiTheme="minorHAnsi" w:eastAsiaTheme="minorEastAsia" w:hAnsiTheme="minorHAnsi" w:cstheme="minorBidi"/>
              <w:b w:val="0"/>
              <w:noProof/>
              <w:sz w:val="22"/>
              <w:lang w:eastAsia="en-AU"/>
            </w:rPr>
          </w:pPr>
          <w:hyperlink w:anchor="_Toc453683292" w:history="1">
            <w:r w:rsidRPr="00AA7575">
              <w:rPr>
                <w:rStyle w:val="Hyperlink"/>
                <w:noProof/>
              </w:rPr>
              <w:t>VI. Overall conclusion and risk/benefit assessment</w:t>
            </w:r>
            <w:r>
              <w:rPr>
                <w:noProof/>
                <w:webHidden/>
              </w:rPr>
              <w:tab/>
            </w:r>
            <w:r>
              <w:rPr>
                <w:noProof/>
                <w:webHidden/>
              </w:rPr>
              <w:fldChar w:fldCharType="begin"/>
            </w:r>
            <w:r>
              <w:rPr>
                <w:noProof/>
                <w:webHidden/>
              </w:rPr>
              <w:instrText xml:space="preserve"> PAGEREF _Toc453683292 \h </w:instrText>
            </w:r>
            <w:r>
              <w:rPr>
                <w:noProof/>
                <w:webHidden/>
              </w:rPr>
            </w:r>
            <w:r>
              <w:rPr>
                <w:noProof/>
                <w:webHidden/>
              </w:rPr>
              <w:fldChar w:fldCharType="separate"/>
            </w:r>
            <w:r>
              <w:rPr>
                <w:noProof/>
                <w:webHidden/>
              </w:rPr>
              <w:t>55</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93" w:history="1">
            <w:r w:rsidRPr="00AA7575">
              <w:rPr>
                <w:rStyle w:val="Hyperlink"/>
                <w:noProof/>
              </w:rPr>
              <w:t>Quality</w:t>
            </w:r>
            <w:r>
              <w:rPr>
                <w:noProof/>
                <w:webHidden/>
              </w:rPr>
              <w:tab/>
            </w:r>
            <w:r>
              <w:rPr>
                <w:noProof/>
                <w:webHidden/>
              </w:rPr>
              <w:fldChar w:fldCharType="begin"/>
            </w:r>
            <w:r>
              <w:rPr>
                <w:noProof/>
                <w:webHidden/>
              </w:rPr>
              <w:instrText xml:space="preserve"> PAGEREF _Toc453683293 \h </w:instrText>
            </w:r>
            <w:r>
              <w:rPr>
                <w:noProof/>
                <w:webHidden/>
              </w:rPr>
            </w:r>
            <w:r>
              <w:rPr>
                <w:noProof/>
                <w:webHidden/>
              </w:rPr>
              <w:fldChar w:fldCharType="separate"/>
            </w:r>
            <w:r>
              <w:rPr>
                <w:noProof/>
                <w:webHidden/>
              </w:rPr>
              <w:t>55</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94" w:history="1">
            <w:r w:rsidRPr="00AA7575">
              <w:rPr>
                <w:rStyle w:val="Hyperlink"/>
                <w:noProof/>
              </w:rPr>
              <w:t>Nonclinical</w:t>
            </w:r>
            <w:r>
              <w:rPr>
                <w:noProof/>
                <w:webHidden/>
              </w:rPr>
              <w:tab/>
            </w:r>
            <w:r>
              <w:rPr>
                <w:noProof/>
                <w:webHidden/>
              </w:rPr>
              <w:fldChar w:fldCharType="begin"/>
            </w:r>
            <w:r>
              <w:rPr>
                <w:noProof/>
                <w:webHidden/>
              </w:rPr>
              <w:instrText xml:space="preserve"> PAGEREF _Toc453683294 \h </w:instrText>
            </w:r>
            <w:r>
              <w:rPr>
                <w:noProof/>
                <w:webHidden/>
              </w:rPr>
            </w:r>
            <w:r>
              <w:rPr>
                <w:noProof/>
                <w:webHidden/>
              </w:rPr>
              <w:fldChar w:fldCharType="separate"/>
            </w:r>
            <w:r>
              <w:rPr>
                <w:noProof/>
                <w:webHidden/>
              </w:rPr>
              <w:t>55</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95" w:history="1">
            <w:r w:rsidRPr="00AA7575">
              <w:rPr>
                <w:rStyle w:val="Hyperlink"/>
                <w:noProof/>
              </w:rPr>
              <w:t>Clinical</w:t>
            </w:r>
            <w:r>
              <w:rPr>
                <w:noProof/>
                <w:webHidden/>
              </w:rPr>
              <w:tab/>
            </w:r>
            <w:r>
              <w:rPr>
                <w:noProof/>
                <w:webHidden/>
              </w:rPr>
              <w:fldChar w:fldCharType="begin"/>
            </w:r>
            <w:r>
              <w:rPr>
                <w:noProof/>
                <w:webHidden/>
              </w:rPr>
              <w:instrText xml:space="preserve"> PAGEREF _Toc453683295 \h </w:instrText>
            </w:r>
            <w:r>
              <w:rPr>
                <w:noProof/>
                <w:webHidden/>
              </w:rPr>
            </w:r>
            <w:r>
              <w:rPr>
                <w:noProof/>
                <w:webHidden/>
              </w:rPr>
              <w:fldChar w:fldCharType="separate"/>
            </w:r>
            <w:r>
              <w:rPr>
                <w:noProof/>
                <w:webHidden/>
              </w:rPr>
              <w:t>55</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96" w:history="1">
            <w:r w:rsidRPr="00AA7575">
              <w:rPr>
                <w:rStyle w:val="Hyperlink"/>
                <w:noProof/>
                <w:lang w:eastAsia="en-AU"/>
              </w:rPr>
              <w:t>Risk management plan</w:t>
            </w:r>
            <w:r>
              <w:rPr>
                <w:noProof/>
                <w:webHidden/>
              </w:rPr>
              <w:tab/>
            </w:r>
            <w:r>
              <w:rPr>
                <w:noProof/>
                <w:webHidden/>
              </w:rPr>
              <w:fldChar w:fldCharType="begin"/>
            </w:r>
            <w:r>
              <w:rPr>
                <w:noProof/>
                <w:webHidden/>
              </w:rPr>
              <w:instrText xml:space="preserve"> PAGEREF _Toc453683296 \h </w:instrText>
            </w:r>
            <w:r>
              <w:rPr>
                <w:noProof/>
                <w:webHidden/>
              </w:rPr>
            </w:r>
            <w:r>
              <w:rPr>
                <w:noProof/>
                <w:webHidden/>
              </w:rPr>
              <w:fldChar w:fldCharType="separate"/>
            </w:r>
            <w:r>
              <w:rPr>
                <w:noProof/>
                <w:webHidden/>
              </w:rPr>
              <w:t>59</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97" w:history="1">
            <w:r w:rsidRPr="00AA7575">
              <w:rPr>
                <w:rStyle w:val="Hyperlink"/>
                <w:noProof/>
              </w:rPr>
              <w:t>Risk-benefit analysis</w:t>
            </w:r>
            <w:r>
              <w:rPr>
                <w:noProof/>
                <w:webHidden/>
              </w:rPr>
              <w:tab/>
            </w:r>
            <w:r>
              <w:rPr>
                <w:noProof/>
                <w:webHidden/>
              </w:rPr>
              <w:fldChar w:fldCharType="begin"/>
            </w:r>
            <w:r>
              <w:rPr>
                <w:noProof/>
                <w:webHidden/>
              </w:rPr>
              <w:instrText xml:space="preserve"> PAGEREF _Toc453683297 \h </w:instrText>
            </w:r>
            <w:r>
              <w:rPr>
                <w:noProof/>
                <w:webHidden/>
              </w:rPr>
            </w:r>
            <w:r>
              <w:rPr>
                <w:noProof/>
                <w:webHidden/>
              </w:rPr>
              <w:fldChar w:fldCharType="separate"/>
            </w:r>
            <w:r>
              <w:rPr>
                <w:noProof/>
                <w:webHidden/>
              </w:rPr>
              <w:t>60</w:t>
            </w:r>
            <w:r>
              <w:rPr>
                <w:noProof/>
                <w:webHidden/>
              </w:rPr>
              <w:fldChar w:fldCharType="end"/>
            </w:r>
          </w:hyperlink>
        </w:p>
        <w:p w:rsidR="00A5047D" w:rsidRDefault="00A5047D">
          <w:pPr>
            <w:pStyle w:val="TOC3"/>
            <w:rPr>
              <w:rFonts w:asciiTheme="minorHAnsi" w:eastAsiaTheme="minorEastAsia" w:hAnsiTheme="minorHAnsi" w:cstheme="minorBidi"/>
              <w:noProof/>
              <w:lang w:eastAsia="en-AU"/>
            </w:rPr>
          </w:pPr>
          <w:hyperlink w:anchor="_Toc453683298" w:history="1">
            <w:r w:rsidRPr="00AA7575">
              <w:rPr>
                <w:rStyle w:val="Hyperlink"/>
                <w:noProof/>
              </w:rPr>
              <w:t>Outcome</w:t>
            </w:r>
            <w:r>
              <w:rPr>
                <w:noProof/>
                <w:webHidden/>
              </w:rPr>
              <w:tab/>
            </w:r>
            <w:r>
              <w:rPr>
                <w:noProof/>
                <w:webHidden/>
              </w:rPr>
              <w:fldChar w:fldCharType="begin"/>
            </w:r>
            <w:r>
              <w:rPr>
                <w:noProof/>
                <w:webHidden/>
              </w:rPr>
              <w:instrText xml:space="preserve"> PAGEREF _Toc453683298 \h </w:instrText>
            </w:r>
            <w:r>
              <w:rPr>
                <w:noProof/>
                <w:webHidden/>
              </w:rPr>
            </w:r>
            <w:r>
              <w:rPr>
                <w:noProof/>
                <w:webHidden/>
              </w:rPr>
              <w:fldChar w:fldCharType="separate"/>
            </w:r>
            <w:r>
              <w:rPr>
                <w:noProof/>
                <w:webHidden/>
              </w:rPr>
              <w:t>65</w:t>
            </w:r>
            <w:r>
              <w:rPr>
                <w:noProof/>
                <w:webHidden/>
              </w:rPr>
              <w:fldChar w:fldCharType="end"/>
            </w:r>
          </w:hyperlink>
        </w:p>
        <w:p w:rsidR="00A5047D" w:rsidRDefault="00A5047D">
          <w:pPr>
            <w:pStyle w:val="TOC2"/>
            <w:rPr>
              <w:rFonts w:asciiTheme="minorHAnsi" w:eastAsiaTheme="minorEastAsia" w:hAnsiTheme="minorHAnsi" w:cstheme="minorBidi"/>
              <w:b w:val="0"/>
              <w:noProof/>
              <w:sz w:val="22"/>
              <w:lang w:eastAsia="en-AU"/>
            </w:rPr>
          </w:pPr>
          <w:hyperlink w:anchor="_Toc453683299" w:history="1">
            <w:r w:rsidRPr="00AA7575">
              <w:rPr>
                <w:rStyle w:val="Hyperlink"/>
                <w:noProof/>
              </w:rPr>
              <w:t>Attachment 1. Product Information</w:t>
            </w:r>
            <w:r>
              <w:rPr>
                <w:noProof/>
                <w:webHidden/>
              </w:rPr>
              <w:tab/>
            </w:r>
            <w:r>
              <w:rPr>
                <w:noProof/>
                <w:webHidden/>
              </w:rPr>
              <w:fldChar w:fldCharType="begin"/>
            </w:r>
            <w:r>
              <w:rPr>
                <w:noProof/>
                <w:webHidden/>
              </w:rPr>
              <w:instrText xml:space="preserve"> PAGEREF _Toc453683299 \h </w:instrText>
            </w:r>
            <w:r>
              <w:rPr>
                <w:noProof/>
                <w:webHidden/>
              </w:rPr>
            </w:r>
            <w:r>
              <w:rPr>
                <w:noProof/>
                <w:webHidden/>
              </w:rPr>
              <w:fldChar w:fldCharType="separate"/>
            </w:r>
            <w:r>
              <w:rPr>
                <w:noProof/>
                <w:webHidden/>
              </w:rPr>
              <w:t>66</w:t>
            </w:r>
            <w:r>
              <w:rPr>
                <w:noProof/>
                <w:webHidden/>
              </w:rPr>
              <w:fldChar w:fldCharType="end"/>
            </w:r>
          </w:hyperlink>
        </w:p>
        <w:p w:rsidR="00A5047D" w:rsidRDefault="00A5047D">
          <w:pPr>
            <w:pStyle w:val="TOC2"/>
            <w:rPr>
              <w:rFonts w:asciiTheme="minorHAnsi" w:eastAsiaTheme="minorEastAsia" w:hAnsiTheme="minorHAnsi" w:cstheme="minorBidi"/>
              <w:b w:val="0"/>
              <w:noProof/>
              <w:sz w:val="22"/>
              <w:lang w:eastAsia="en-AU"/>
            </w:rPr>
          </w:pPr>
          <w:hyperlink w:anchor="_Toc453683300" w:history="1">
            <w:r w:rsidRPr="00AA7575">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_Toc453683300 \h </w:instrText>
            </w:r>
            <w:r>
              <w:rPr>
                <w:noProof/>
                <w:webHidden/>
              </w:rPr>
            </w:r>
            <w:r>
              <w:rPr>
                <w:noProof/>
                <w:webHidden/>
              </w:rPr>
              <w:fldChar w:fldCharType="separate"/>
            </w:r>
            <w:r>
              <w:rPr>
                <w:noProof/>
                <w:webHidden/>
              </w:rPr>
              <w:t>66</w:t>
            </w:r>
            <w:r>
              <w:rPr>
                <w:noProof/>
                <w:webHidden/>
              </w:rPr>
              <w:fldChar w:fldCharType="end"/>
            </w:r>
          </w:hyperlink>
        </w:p>
        <w:p w:rsidR="003A7F6C" w:rsidRPr="00B811C6" w:rsidRDefault="00653C6C" w:rsidP="00B811C6">
          <w:pPr>
            <w:pStyle w:val="TOC2"/>
          </w:pPr>
          <w:r>
            <w:fldChar w:fldCharType="end"/>
          </w:r>
        </w:p>
      </w:sdtContent>
    </w:sdt>
    <w:bookmarkStart w:id="2" w:name="_Toc314842482" w:displacedByCustomXml="prev"/>
    <w:p w:rsidR="00FD119B" w:rsidRDefault="00FD119B">
      <w:pPr>
        <w:spacing w:before="0" w:after="200" w:line="0" w:lineRule="auto"/>
      </w:pPr>
      <w:bookmarkStart w:id="3" w:name="_GoBack"/>
      <w:r>
        <w:br w:type="page"/>
      </w:r>
    </w:p>
    <w:p w:rsidR="00FD119B" w:rsidRDefault="00FD119B" w:rsidP="004F0C4A">
      <w:pPr>
        <w:pStyle w:val="Heading2"/>
      </w:pPr>
      <w:bookmarkStart w:id="4" w:name="_Toc351716269"/>
      <w:bookmarkStart w:id="5" w:name="_Toc351718881"/>
      <w:bookmarkStart w:id="6" w:name="_Toc355338616"/>
      <w:bookmarkStart w:id="7" w:name="_Toc356306144"/>
      <w:bookmarkStart w:id="8" w:name="_Toc453683258"/>
      <w:bookmarkEnd w:id="3"/>
      <w:r w:rsidRPr="00FD119B">
        <w:lastRenderedPageBreak/>
        <w:t>List of the most common abbreviations</w:t>
      </w:r>
      <w:bookmarkEnd w:id="4"/>
      <w:bookmarkEnd w:id="5"/>
      <w:bookmarkEnd w:id="6"/>
      <w:bookmarkEnd w:id="7"/>
      <w:r w:rsidRPr="00FD119B">
        <w:t xml:space="preserve"> used in this </w:t>
      </w:r>
      <w:r w:rsidRPr="004F0C4A">
        <w:t>AusPAR</w:t>
      </w:r>
      <w:bookmarkEnd w:id="8"/>
    </w:p>
    <w:tbl>
      <w:tblPr>
        <w:tblStyle w:val="TableTGAblue"/>
        <w:tblW w:w="0" w:type="auto"/>
        <w:tblLook w:val="04A0" w:firstRow="1" w:lastRow="0" w:firstColumn="1" w:lastColumn="0" w:noHBand="0" w:noVBand="1"/>
      </w:tblPr>
      <w:tblGrid>
        <w:gridCol w:w="1890"/>
        <w:gridCol w:w="6600"/>
      </w:tblGrid>
      <w:tr w:rsidR="009D1EFE" w:rsidRPr="008F210A" w:rsidTr="00CA287F">
        <w:trPr>
          <w:cnfStyle w:val="100000000000" w:firstRow="1" w:lastRow="0" w:firstColumn="0" w:lastColumn="0" w:oddVBand="0" w:evenVBand="0" w:oddHBand="0" w:evenHBand="0" w:firstRowFirstColumn="0" w:firstRowLastColumn="0" w:lastRowFirstColumn="0" w:lastRowLastColumn="0"/>
        </w:trPr>
        <w:tc>
          <w:tcPr>
            <w:tcW w:w="1884" w:type="dxa"/>
          </w:tcPr>
          <w:p w:rsidR="009D1EFE" w:rsidRPr="008F210A" w:rsidRDefault="009D1EFE" w:rsidP="00CA287F">
            <w:r w:rsidRPr="008F210A">
              <w:t>Abbreviation</w:t>
            </w:r>
          </w:p>
        </w:tc>
        <w:tc>
          <w:tcPr>
            <w:tcW w:w="6600" w:type="dxa"/>
          </w:tcPr>
          <w:p w:rsidR="009D1EFE" w:rsidRPr="008F210A" w:rsidRDefault="009D1EFE" w:rsidP="00CA287F">
            <w:r w:rsidRPr="008F210A">
              <w:t>Meaning</w:t>
            </w:r>
          </w:p>
        </w:tc>
      </w:tr>
      <w:tr w:rsidR="009D1EFE" w:rsidRPr="008F210A" w:rsidTr="00CA287F">
        <w:tc>
          <w:tcPr>
            <w:tcW w:w="1884" w:type="dxa"/>
          </w:tcPr>
          <w:p w:rsidR="009D1EFE" w:rsidRPr="008F210A" w:rsidRDefault="009D1EFE" w:rsidP="00CA287F">
            <w:r>
              <w:t>ABR</w:t>
            </w:r>
          </w:p>
        </w:tc>
        <w:tc>
          <w:tcPr>
            <w:tcW w:w="6600" w:type="dxa"/>
          </w:tcPr>
          <w:p w:rsidR="009D1EFE" w:rsidRPr="008F210A" w:rsidRDefault="009D1EFE" w:rsidP="00CA287F">
            <w:r>
              <w:t>Annualised bleeding rate</w:t>
            </w:r>
          </w:p>
        </w:tc>
      </w:tr>
      <w:tr w:rsidR="009D1EFE" w:rsidRPr="008F210A" w:rsidTr="00CA287F">
        <w:tc>
          <w:tcPr>
            <w:tcW w:w="1884" w:type="dxa"/>
          </w:tcPr>
          <w:p w:rsidR="009D1EFE" w:rsidRPr="008F210A" w:rsidRDefault="009D1EFE" w:rsidP="00CA287F">
            <w:r>
              <w:t>ADR</w:t>
            </w:r>
          </w:p>
        </w:tc>
        <w:tc>
          <w:tcPr>
            <w:tcW w:w="6600" w:type="dxa"/>
          </w:tcPr>
          <w:p w:rsidR="009D1EFE" w:rsidRPr="008F210A" w:rsidRDefault="009D1EFE" w:rsidP="00CA287F">
            <w:r w:rsidRPr="00035F41">
              <w:t>Adverse drug reaction</w:t>
            </w:r>
          </w:p>
        </w:tc>
      </w:tr>
      <w:tr w:rsidR="009D1EFE" w:rsidRPr="008F210A" w:rsidTr="00CA287F">
        <w:tc>
          <w:tcPr>
            <w:tcW w:w="1884" w:type="dxa"/>
          </w:tcPr>
          <w:p w:rsidR="009D1EFE" w:rsidRPr="008F210A" w:rsidRDefault="00CA287F" w:rsidP="00CA287F">
            <w:r>
              <w:t>AE</w:t>
            </w:r>
          </w:p>
        </w:tc>
        <w:tc>
          <w:tcPr>
            <w:tcW w:w="6600" w:type="dxa"/>
          </w:tcPr>
          <w:p w:rsidR="009D1EFE" w:rsidRPr="008F210A" w:rsidRDefault="009D1EFE" w:rsidP="00CA287F">
            <w:r w:rsidRPr="008F210A">
              <w:t>Adverse event</w:t>
            </w:r>
          </w:p>
        </w:tc>
      </w:tr>
      <w:tr w:rsidR="009D1EFE" w:rsidRPr="008F210A" w:rsidTr="00CA287F">
        <w:tc>
          <w:tcPr>
            <w:tcW w:w="1884" w:type="dxa"/>
          </w:tcPr>
          <w:p w:rsidR="009D1EFE" w:rsidRPr="008F210A" w:rsidRDefault="009D1EFE" w:rsidP="00CA287F">
            <w:r w:rsidRPr="008852D2">
              <w:t>ASA</w:t>
            </w:r>
          </w:p>
        </w:tc>
        <w:tc>
          <w:tcPr>
            <w:tcW w:w="6600" w:type="dxa"/>
          </w:tcPr>
          <w:p w:rsidR="009D1EFE" w:rsidRPr="008F210A" w:rsidRDefault="009D1EFE" w:rsidP="00CA287F">
            <w:r w:rsidRPr="008852D2">
              <w:t>Australian-specific annex</w:t>
            </w:r>
          </w:p>
        </w:tc>
      </w:tr>
      <w:tr w:rsidR="009D1EFE" w:rsidRPr="008F210A" w:rsidTr="00CA287F">
        <w:tc>
          <w:tcPr>
            <w:tcW w:w="1884" w:type="dxa"/>
          </w:tcPr>
          <w:p w:rsidR="009D1EFE" w:rsidRPr="008F210A" w:rsidRDefault="009D1EFE" w:rsidP="00CA287F">
            <w:r>
              <w:t>ACSOM</w:t>
            </w:r>
          </w:p>
        </w:tc>
        <w:tc>
          <w:tcPr>
            <w:tcW w:w="6600" w:type="dxa"/>
          </w:tcPr>
          <w:p w:rsidR="009D1EFE" w:rsidRPr="008F210A" w:rsidRDefault="009D1EFE" w:rsidP="00CA287F">
            <w:r w:rsidRPr="002464B8">
              <w:t>Advisory Commi</w:t>
            </w:r>
            <w:r>
              <w:t>ttee on the Safety of Medicines</w:t>
            </w:r>
          </w:p>
        </w:tc>
      </w:tr>
      <w:tr w:rsidR="009D1EFE" w:rsidRPr="008F210A" w:rsidTr="00CA287F">
        <w:tc>
          <w:tcPr>
            <w:tcW w:w="1884" w:type="dxa"/>
          </w:tcPr>
          <w:p w:rsidR="009D1EFE" w:rsidRPr="008F210A" w:rsidRDefault="00CA287F" w:rsidP="00CA287F">
            <w:r>
              <w:t>AUC</w:t>
            </w:r>
          </w:p>
        </w:tc>
        <w:tc>
          <w:tcPr>
            <w:tcW w:w="6600" w:type="dxa"/>
          </w:tcPr>
          <w:p w:rsidR="009D1EFE" w:rsidRPr="008F210A" w:rsidRDefault="009D1EFE" w:rsidP="00CA287F">
            <w:r w:rsidRPr="008F210A">
              <w:t>Area under the curve (from baseline to infinity)</w:t>
            </w:r>
          </w:p>
        </w:tc>
      </w:tr>
      <w:tr w:rsidR="009D1EFE" w:rsidRPr="008F210A" w:rsidTr="00CA287F">
        <w:tc>
          <w:tcPr>
            <w:tcW w:w="1884" w:type="dxa"/>
          </w:tcPr>
          <w:p w:rsidR="009D1EFE" w:rsidRPr="003A506C" w:rsidRDefault="009D1EFE" w:rsidP="00CA287F">
            <w:proofErr w:type="spellStart"/>
            <w:r w:rsidRPr="008F210A">
              <w:t>AUC</w:t>
            </w:r>
            <w:r w:rsidRPr="004D0CBD">
              <w:rPr>
                <w:vertAlign w:val="subscript"/>
              </w:rPr>
              <w:t>norm</w:t>
            </w:r>
            <w:proofErr w:type="spellEnd"/>
          </w:p>
        </w:tc>
        <w:tc>
          <w:tcPr>
            <w:tcW w:w="6600" w:type="dxa"/>
          </w:tcPr>
          <w:p w:rsidR="009D1EFE" w:rsidRPr="003A506C" w:rsidRDefault="009D1EFE" w:rsidP="00CA287F">
            <w:r w:rsidRPr="003A506C">
              <w:t>Area under the curve normalised to the dose administered</w:t>
            </w:r>
          </w:p>
        </w:tc>
      </w:tr>
      <w:tr w:rsidR="009D1EFE" w:rsidRPr="008F210A" w:rsidTr="00CA287F">
        <w:tc>
          <w:tcPr>
            <w:tcW w:w="1884" w:type="dxa"/>
          </w:tcPr>
          <w:p w:rsidR="009D1EFE" w:rsidRPr="008F210A" w:rsidRDefault="009D1EFE" w:rsidP="00CA287F">
            <w:r>
              <w:t>BDD</w:t>
            </w:r>
          </w:p>
        </w:tc>
        <w:tc>
          <w:tcPr>
            <w:tcW w:w="6600" w:type="dxa"/>
          </w:tcPr>
          <w:p w:rsidR="009D1EFE" w:rsidRPr="008F210A" w:rsidRDefault="009D1EFE" w:rsidP="00CA287F">
            <w:r>
              <w:rPr>
                <w:rFonts w:asciiTheme="minorHAnsi" w:hAnsiTheme="minorHAnsi" w:cs="O¯ø÷◊"/>
              </w:rPr>
              <w:t>B-domain-deleted</w:t>
            </w:r>
          </w:p>
        </w:tc>
      </w:tr>
      <w:tr w:rsidR="009D1EFE" w:rsidRPr="008F210A" w:rsidTr="00CA287F">
        <w:tc>
          <w:tcPr>
            <w:tcW w:w="1884" w:type="dxa"/>
          </w:tcPr>
          <w:p w:rsidR="009D1EFE" w:rsidRPr="008F210A" w:rsidRDefault="00CA287F" w:rsidP="00CA287F">
            <w:r>
              <w:t>BLEED</w:t>
            </w:r>
          </w:p>
        </w:tc>
        <w:tc>
          <w:tcPr>
            <w:tcW w:w="6600" w:type="dxa"/>
          </w:tcPr>
          <w:p w:rsidR="009D1EFE" w:rsidRPr="003A506C" w:rsidRDefault="009D1EFE" w:rsidP="00CA287F">
            <w:r w:rsidRPr="008F210A">
              <w:t xml:space="preserve">Study population of </w:t>
            </w:r>
            <w:r>
              <w:t>bleed</w:t>
            </w:r>
            <w:r w:rsidRPr="008F210A">
              <w:t xml:space="preserve">s treated with </w:t>
            </w:r>
            <w:proofErr w:type="spellStart"/>
            <w:r w:rsidR="009C1E6B">
              <w:t>simoctocog</w:t>
            </w:r>
            <w:proofErr w:type="spellEnd"/>
            <w:r w:rsidR="009C1E6B">
              <w:t xml:space="preserve"> </w:t>
            </w:r>
            <w:r w:rsidR="00FC63A1">
              <w:t>alfa</w:t>
            </w:r>
          </w:p>
        </w:tc>
      </w:tr>
      <w:tr w:rsidR="009D1EFE" w:rsidRPr="008F210A" w:rsidTr="00CA287F">
        <w:tc>
          <w:tcPr>
            <w:tcW w:w="1884" w:type="dxa"/>
          </w:tcPr>
          <w:p w:rsidR="009D1EFE" w:rsidRPr="008F210A" w:rsidRDefault="00CA287F" w:rsidP="00CA287F">
            <w:r>
              <w:t>BU</w:t>
            </w:r>
          </w:p>
        </w:tc>
        <w:tc>
          <w:tcPr>
            <w:tcW w:w="6600" w:type="dxa"/>
          </w:tcPr>
          <w:p w:rsidR="009D1EFE" w:rsidRPr="008F210A" w:rsidRDefault="009D1EFE" w:rsidP="00CA287F">
            <w:r w:rsidRPr="008F210A">
              <w:t>Bethesda units</w:t>
            </w:r>
          </w:p>
        </w:tc>
      </w:tr>
      <w:tr w:rsidR="009D1EFE" w:rsidRPr="008F210A" w:rsidTr="00CA287F">
        <w:tc>
          <w:tcPr>
            <w:tcW w:w="1884" w:type="dxa"/>
          </w:tcPr>
          <w:p w:rsidR="009D1EFE" w:rsidRPr="008F210A" w:rsidRDefault="00CA287F" w:rsidP="00CA287F">
            <w:r>
              <w:t>CER</w:t>
            </w:r>
          </w:p>
        </w:tc>
        <w:tc>
          <w:tcPr>
            <w:tcW w:w="6600" w:type="dxa"/>
          </w:tcPr>
          <w:p w:rsidR="009D1EFE" w:rsidRPr="008F210A" w:rsidRDefault="009D1EFE" w:rsidP="00CA287F">
            <w:r w:rsidRPr="008F210A">
              <w:t>Clinical evaluation report</w:t>
            </w:r>
          </w:p>
        </w:tc>
      </w:tr>
      <w:tr w:rsidR="009D1EFE" w:rsidRPr="008F210A" w:rsidTr="00CA287F">
        <w:tc>
          <w:tcPr>
            <w:tcW w:w="1884" w:type="dxa"/>
          </w:tcPr>
          <w:p w:rsidR="009D1EFE" w:rsidRPr="008F210A" w:rsidRDefault="00CA287F" w:rsidP="00CA287F">
            <w:r>
              <w:t>CHMP</w:t>
            </w:r>
          </w:p>
        </w:tc>
        <w:tc>
          <w:tcPr>
            <w:tcW w:w="6600" w:type="dxa"/>
          </w:tcPr>
          <w:p w:rsidR="009D1EFE" w:rsidRPr="008F210A" w:rsidRDefault="009D1EFE" w:rsidP="00CA287F">
            <w:r w:rsidRPr="008F210A">
              <w:t>Committee for Medicinal Products for Human Use</w:t>
            </w:r>
          </w:p>
        </w:tc>
      </w:tr>
      <w:tr w:rsidR="009D1EFE" w:rsidRPr="008F210A" w:rsidTr="00CA287F">
        <w:tc>
          <w:tcPr>
            <w:tcW w:w="1884" w:type="dxa"/>
          </w:tcPr>
          <w:p w:rsidR="009D1EFE" w:rsidRPr="008F210A" w:rsidRDefault="00CA287F" w:rsidP="00CA287F">
            <w:r>
              <w:t>CHR</w:t>
            </w:r>
          </w:p>
        </w:tc>
        <w:tc>
          <w:tcPr>
            <w:tcW w:w="6600" w:type="dxa"/>
          </w:tcPr>
          <w:p w:rsidR="009D1EFE" w:rsidRPr="008F210A" w:rsidRDefault="009D1EFE" w:rsidP="00CA287F">
            <w:r w:rsidRPr="008F210A">
              <w:t>Chromogenic</w:t>
            </w:r>
          </w:p>
        </w:tc>
      </w:tr>
      <w:tr w:rsidR="009D1EFE" w:rsidRPr="008F210A" w:rsidTr="00CA287F">
        <w:tc>
          <w:tcPr>
            <w:tcW w:w="1884" w:type="dxa"/>
          </w:tcPr>
          <w:p w:rsidR="009D1EFE" w:rsidRPr="008F210A" w:rsidRDefault="00CA287F" w:rsidP="00CA287F">
            <w:r>
              <w:t>CI</w:t>
            </w:r>
          </w:p>
        </w:tc>
        <w:tc>
          <w:tcPr>
            <w:tcW w:w="6600" w:type="dxa"/>
          </w:tcPr>
          <w:p w:rsidR="009D1EFE" w:rsidRPr="008F210A" w:rsidRDefault="009D1EFE" w:rsidP="00CA287F">
            <w:r w:rsidRPr="008F210A">
              <w:t>Confidence interval</w:t>
            </w:r>
          </w:p>
        </w:tc>
      </w:tr>
      <w:tr w:rsidR="009D1EFE" w:rsidRPr="008F210A" w:rsidTr="00CA287F">
        <w:tc>
          <w:tcPr>
            <w:tcW w:w="1884" w:type="dxa"/>
          </w:tcPr>
          <w:p w:rsidR="009D1EFE" w:rsidRPr="008F210A" w:rsidRDefault="00CA287F" w:rsidP="00CA287F">
            <w:r>
              <w:t>CL</w:t>
            </w:r>
          </w:p>
        </w:tc>
        <w:tc>
          <w:tcPr>
            <w:tcW w:w="6600" w:type="dxa"/>
          </w:tcPr>
          <w:p w:rsidR="009D1EFE" w:rsidRPr="008F210A" w:rsidRDefault="009D1EFE" w:rsidP="00CA287F">
            <w:r w:rsidRPr="008F210A">
              <w:t>Clearance</w:t>
            </w:r>
          </w:p>
        </w:tc>
      </w:tr>
      <w:tr w:rsidR="009D1EFE" w:rsidRPr="008F210A" w:rsidTr="00CA287F">
        <w:tc>
          <w:tcPr>
            <w:tcW w:w="1884" w:type="dxa"/>
          </w:tcPr>
          <w:p w:rsidR="009D1EFE" w:rsidRPr="003A506C" w:rsidRDefault="009D1EFE" w:rsidP="00CA287F">
            <w:proofErr w:type="spellStart"/>
            <w:r w:rsidRPr="008F210A">
              <w:t>C</w:t>
            </w:r>
            <w:r w:rsidRPr="004D0CBD">
              <w:rPr>
                <w:vertAlign w:val="subscript"/>
              </w:rPr>
              <w:t>max</w:t>
            </w:r>
            <w:proofErr w:type="spellEnd"/>
          </w:p>
        </w:tc>
        <w:tc>
          <w:tcPr>
            <w:tcW w:w="6600" w:type="dxa"/>
          </w:tcPr>
          <w:p w:rsidR="009D1EFE" w:rsidRPr="008F210A" w:rsidRDefault="009D1EFE" w:rsidP="00CA287F">
            <w:r w:rsidRPr="008F210A">
              <w:t>Maximum plasma concentration</w:t>
            </w:r>
          </w:p>
        </w:tc>
      </w:tr>
      <w:tr w:rsidR="009D1EFE" w:rsidRPr="008F210A" w:rsidTr="00CA287F">
        <w:tc>
          <w:tcPr>
            <w:tcW w:w="1884" w:type="dxa"/>
          </w:tcPr>
          <w:p w:rsidR="009D1EFE" w:rsidRPr="008F210A" w:rsidRDefault="009D1EFE" w:rsidP="00CA287F">
            <w:r>
              <w:t>CMI</w:t>
            </w:r>
          </w:p>
        </w:tc>
        <w:tc>
          <w:tcPr>
            <w:tcW w:w="6600" w:type="dxa"/>
          </w:tcPr>
          <w:p w:rsidR="009D1EFE" w:rsidRPr="008F210A" w:rsidRDefault="009D1EFE" w:rsidP="00CA287F">
            <w:r w:rsidRPr="008852D2">
              <w:t>Consumer Medicine Information</w:t>
            </w:r>
          </w:p>
        </w:tc>
      </w:tr>
      <w:tr w:rsidR="009D1EFE" w:rsidRPr="008F210A" w:rsidTr="00CA287F">
        <w:tc>
          <w:tcPr>
            <w:tcW w:w="1884" w:type="dxa"/>
          </w:tcPr>
          <w:p w:rsidR="009D1EFE" w:rsidRPr="00047CB8" w:rsidRDefault="009D1EFE" w:rsidP="00CA287F">
            <w:r w:rsidRPr="00047CB8">
              <w:t>DNA</w:t>
            </w:r>
          </w:p>
        </w:tc>
        <w:tc>
          <w:tcPr>
            <w:tcW w:w="6600" w:type="dxa"/>
          </w:tcPr>
          <w:p w:rsidR="009D1EFE" w:rsidRPr="00047CB8" w:rsidRDefault="009D1EFE" w:rsidP="00CA287F">
            <w:r w:rsidRPr="00047CB8">
              <w:t>Deoxyribonucleic acid</w:t>
            </w:r>
          </w:p>
        </w:tc>
      </w:tr>
      <w:tr w:rsidR="009D1EFE" w:rsidRPr="008F210A" w:rsidTr="00CA287F">
        <w:tc>
          <w:tcPr>
            <w:tcW w:w="1884" w:type="dxa"/>
          </w:tcPr>
          <w:p w:rsidR="009D1EFE" w:rsidRPr="008F210A" w:rsidRDefault="00CA287F" w:rsidP="00CA287F">
            <w:r>
              <w:t>ED</w:t>
            </w:r>
          </w:p>
        </w:tc>
        <w:tc>
          <w:tcPr>
            <w:tcW w:w="6600" w:type="dxa"/>
          </w:tcPr>
          <w:p w:rsidR="009D1EFE" w:rsidRPr="008F210A" w:rsidRDefault="009D1EFE" w:rsidP="00CA287F">
            <w:r w:rsidRPr="008F210A">
              <w:t>Exposure day</w:t>
            </w:r>
          </w:p>
        </w:tc>
      </w:tr>
      <w:tr w:rsidR="009D1EFE" w:rsidRPr="008F210A" w:rsidTr="00CA287F">
        <w:tc>
          <w:tcPr>
            <w:tcW w:w="1884" w:type="dxa"/>
          </w:tcPr>
          <w:p w:rsidR="009D1EFE" w:rsidRPr="008F210A" w:rsidRDefault="00CA287F" w:rsidP="00CA287F">
            <w:r>
              <w:t>EMA</w:t>
            </w:r>
          </w:p>
        </w:tc>
        <w:tc>
          <w:tcPr>
            <w:tcW w:w="6600" w:type="dxa"/>
          </w:tcPr>
          <w:p w:rsidR="009D1EFE" w:rsidRPr="008F210A" w:rsidRDefault="009D1EFE" w:rsidP="00CA287F">
            <w:r w:rsidRPr="008F210A">
              <w:t>European Medicines Agency</w:t>
            </w:r>
          </w:p>
        </w:tc>
      </w:tr>
      <w:tr w:rsidR="009D1EFE" w:rsidRPr="008F210A" w:rsidTr="00CA287F">
        <w:tc>
          <w:tcPr>
            <w:tcW w:w="1884" w:type="dxa"/>
          </w:tcPr>
          <w:p w:rsidR="009D1EFE" w:rsidRPr="008F210A" w:rsidRDefault="009D1EFE" w:rsidP="00CA287F">
            <w:r>
              <w:t>EU</w:t>
            </w:r>
          </w:p>
        </w:tc>
        <w:tc>
          <w:tcPr>
            <w:tcW w:w="6600" w:type="dxa"/>
          </w:tcPr>
          <w:p w:rsidR="009D1EFE" w:rsidRPr="008F210A" w:rsidRDefault="009D1EFE" w:rsidP="00CA287F">
            <w:r>
              <w:t>European Union</w:t>
            </w:r>
          </w:p>
        </w:tc>
      </w:tr>
      <w:tr w:rsidR="009D1EFE" w:rsidRPr="008F210A" w:rsidTr="00CA287F">
        <w:tc>
          <w:tcPr>
            <w:tcW w:w="1884" w:type="dxa"/>
          </w:tcPr>
          <w:p w:rsidR="009D1EFE" w:rsidRPr="008F210A" w:rsidRDefault="00CA287F" w:rsidP="00CA287F">
            <w:r>
              <w:t>FFP</w:t>
            </w:r>
          </w:p>
        </w:tc>
        <w:tc>
          <w:tcPr>
            <w:tcW w:w="6600" w:type="dxa"/>
          </w:tcPr>
          <w:p w:rsidR="009D1EFE" w:rsidRPr="008F210A" w:rsidRDefault="009D1EFE" w:rsidP="00CA287F">
            <w:r w:rsidRPr="008F210A">
              <w:t>Fresh frozen plasma</w:t>
            </w:r>
          </w:p>
        </w:tc>
      </w:tr>
      <w:tr w:rsidR="009D1EFE" w:rsidRPr="008F210A" w:rsidTr="00CA287F">
        <w:tc>
          <w:tcPr>
            <w:tcW w:w="1884" w:type="dxa"/>
          </w:tcPr>
          <w:p w:rsidR="009D1EFE" w:rsidRPr="008F210A" w:rsidRDefault="00CA287F" w:rsidP="00CA287F">
            <w:r>
              <w:t>FVIII</w:t>
            </w:r>
          </w:p>
        </w:tc>
        <w:tc>
          <w:tcPr>
            <w:tcW w:w="6600" w:type="dxa"/>
          </w:tcPr>
          <w:p w:rsidR="009D1EFE" w:rsidRPr="008F210A" w:rsidRDefault="009D1EFE" w:rsidP="00CA287F">
            <w:r w:rsidRPr="008F210A">
              <w:t xml:space="preserve">Coagulation </w:t>
            </w:r>
            <w:r w:rsidR="00BA154F">
              <w:t>FVIII</w:t>
            </w:r>
          </w:p>
        </w:tc>
      </w:tr>
      <w:tr w:rsidR="009D1EFE" w:rsidRPr="008F210A" w:rsidTr="00CA287F">
        <w:tc>
          <w:tcPr>
            <w:tcW w:w="1884" w:type="dxa"/>
          </w:tcPr>
          <w:p w:rsidR="009D1EFE" w:rsidRPr="008F210A" w:rsidRDefault="00CA287F" w:rsidP="00CA287F">
            <w:r>
              <w:t>FVIII:C</w:t>
            </w:r>
          </w:p>
        </w:tc>
        <w:tc>
          <w:tcPr>
            <w:tcW w:w="6600" w:type="dxa"/>
          </w:tcPr>
          <w:p w:rsidR="009D1EFE" w:rsidRPr="008F210A" w:rsidRDefault="009D1EFE" w:rsidP="00CA287F">
            <w:r w:rsidRPr="008F210A">
              <w:t>FVIII coagulant activity</w:t>
            </w:r>
          </w:p>
        </w:tc>
      </w:tr>
      <w:tr w:rsidR="009D1EFE" w:rsidRPr="008F210A" w:rsidTr="00CA287F">
        <w:tc>
          <w:tcPr>
            <w:tcW w:w="1884" w:type="dxa"/>
          </w:tcPr>
          <w:p w:rsidR="009D1EFE" w:rsidRPr="008F210A" w:rsidRDefault="009D1EFE" w:rsidP="00CA287F">
            <w:r>
              <w:lastRenderedPageBreak/>
              <w:t>GCP</w:t>
            </w:r>
          </w:p>
        </w:tc>
        <w:tc>
          <w:tcPr>
            <w:tcW w:w="6600" w:type="dxa"/>
          </w:tcPr>
          <w:p w:rsidR="009D1EFE" w:rsidRPr="008F210A" w:rsidRDefault="009D1EFE" w:rsidP="00CA287F">
            <w:r>
              <w:rPr>
                <w:rFonts w:asciiTheme="minorHAnsi" w:hAnsiTheme="minorHAnsi" w:cs="O¯ø÷◊"/>
              </w:rPr>
              <w:t>Good clinical practice</w:t>
            </w:r>
          </w:p>
        </w:tc>
      </w:tr>
      <w:tr w:rsidR="009D1EFE" w:rsidRPr="008F210A" w:rsidTr="00CA287F">
        <w:tc>
          <w:tcPr>
            <w:tcW w:w="1884" w:type="dxa"/>
          </w:tcPr>
          <w:p w:rsidR="009D1EFE" w:rsidRPr="008F210A" w:rsidRDefault="009D1EFE" w:rsidP="00CA287F">
            <w:r>
              <w:t>HLGT</w:t>
            </w:r>
          </w:p>
        </w:tc>
        <w:tc>
          <w:tcPr>
            <w:tcW w:w="6600" w:type="dxa"/>
          </w:tcPr>
          <w:p w:rsidR="009D1EFE" w:rsidRPr="008F210A" w:rsidRDefault="009D1EFE" w:rsidP="00CA287F">
            <w:r>
              <w:t>High-level group term</w:t>
            </w:r>
          </w:p>
        </w:tc>
      </w:tr>
      <w:tr w:rsidR="009D1EFE" w:rsidRPr="008F210A" w:rsidTr="00CA287F">
        <w:tc>
          <w:tcPr>
            <w:tcW w:w="1884" w:type="dxa"/>
          </w:tcPr>
          <w:p w:rsidR="009D1EFE" w:rsidRPr="008F210A" w:rsidRDefault="00CA287F" w:rsidP="00CA287F">
            <w:r>
              <w:t>HIV</w:t>
            </w:r>
          </w:p>
        </w:tc>
        <w:tc>
          <w:tcPr>
            <w:tcW w:w="6600" w:type="dxa"/>
          </w:tcPr>
          <w:p w:rsidR="009D1EFE" w:rsidRPr="008F210A" w:rsidRDefault="009D1EFE" w:rsidP="00CA287F">
            <w:r w:rsidRPr="008F210A">
              <w:t>Human immunodeficiency virus</w:t>
            </w:r>
          </w:p>
        </w:tc>
      </w:tr>
      <w:tr w:rsidR="009D1EFE" w:rsidRPr="008F210A" w:rsidTr="00CA287F">
        <w:tc>
          <w:tcPr>
            <w:tcW w:w="1884" w:type="dxa"/>
          </w:tcPr>
          <w:p w:rsidR="009D1EFE" w:rsidRPr="008F210A" w:rsidRDefault="009D1EFE" w:rsidP="00CA287F">
            <w:r w:rsidRPr="008F210A">
              <w:t xml:space="preserve">HJHS </w:t>
            </w:r>
            <w:r w:rsidRPr="008F210A">
              <w:tab/>
            </w:r>
          </w:p>
        </w:tc>
        <w:tc>
          <w:tcPr>
            <w:tcW w:w="6600" w:type="dxa"/>
          </w:tcPr>
          <w:p w:rsidR="009D1EFE" w:rsidRPr="008F210A" w:rsidRDefault="009D1EFE" w:rsidP="00CA287F">
            <w:r w:rsidRPr="008F210A">
              <w:t xml:space="preserve">Haemophilia </w:t>
            </w:r>
            <w:r>
              <w:t>J</w:t>
            </w:r>
            <w:r w:rsidRPr="008F210A">
              <w:t xml:space="preserve">oint </w:t>
            </w:r>
            <w:r>
              <w:t>H</w:t>
            </w:r>
            <w:r w:rsidRPr="008F210A">
              <w:t xml:space="preserve">ealth </w:t>
            </w:r>
            <w:r>
              <w:t>S</w:t>
            </w:r>
            <w:r w:rsidRPr="008F210A">
              <w:t>core</w:t>
            </w:r>
          </w:p>
        </w:tc>
      </w:tr>
      <w:tr w:rsidR="002F0A00" w:rsidRPr="008F210A" w:rsidTr="00CA287F">
        <w:tc>
          <w:tcPr>
            <w:tcW w:w="1884" w:type="dxa"/>
          </w:tcPr>
          <w:p w:rsidR="002F0A00" w:rsidRPr="008F210A" w:rsidRDefault="002F0A00" w:rsidP="00CA287F">
            <w:proofErr w:type="spellStart"/>
            <w:r>
              <w:t>HmA</w:t>
            </w:r>
            <w:proofErr w:type="spellEnd"/>
          </w:p>
        </w:tc>
        <w:tc>
          <w:tcPr>
            <w:tcW w:w="6600" w:type="dxa"/>
          </w:tcPr>
          <w:p w:rsidR="002F0A00" w:rsidRPr="008F210A" w:rsidRDefault="002F0A00" w:rsidP="00CA287F">
            <w:r>
              <w:t>Haemophilia A</w:t>
            </w:r>
          </w:p>
        </w:tc>
      </w:tr>
      <w:tr w:rsidR="009D1EFE" w:rsidRPr="008F210A" w:rsidTr="00CA287F">
        <w:tc>
          <w:tcPr>
            <w:tcW w:w="1884" w:type="dxa"/>
          </w:tcPr>
          <w:p w:rsidR="009D1EFE" w:rsidRPr="008F210A" w:rsidRDefault="009D1EFE" w:rsidP="00CA287F">
            <w:r>
              <w:t>ICH</w:t>
            </w:r>
          </w:p>
        </w:tc>
        <w:tc>
          <w:tcPr>
            <w:tcW w:w="6600" w:type="dxa"/>
          </w:tcPr>
          <w:p w:rsidR="009D1EFE" w:rsidRPr="008F210A" w:rsidRDefault="009D1EFE" w:rsidP="00CA287F">
            <w:r w:rsidRPr="00286C70">
              <w:rPr>
                <w:rFonts w:asciiTheme="minorHAnsi" w:hAnsiTheme="minorHAnsi"/>
              </w:rPr>
              <w:t>International Committee for Harmonization</w:t>
            </w:r>
          </w:p>
        </w:tc>
      </w:tr>
      <w:tr w:rsidR="009D1EFE" w:rsidRPr="008F210A" w:rsidTr="00CA287F">
        <w:tc>
          <w:tcPr>
            <w:tcW w:w="1884" w:type="dxa"/>
          </w:tcPr>
          <w:p w:rsidR="009D1EFE" w:rsidRPr="008F210A" w:rsidRDefault="00CA287F" w:rsidP="00CA287F">
            <w:r>
              <w:t>IDMC</w:t>
            </w:r>
          </w:p>
        </w:tc>
        <w:tc>
          <w:tcPr>
            <w:tcW w:w="6600" w:type="dxa"/>
          </w:tcPr>
          <w:p w:rsidR="009D1EFE" w:rsidRPr="008F210A" w:rsidRDefault="009D1EFE" w:rsidP="00CA287F">
            <w:r w:rsidRPr="008F210A">
              <w:t>Independent Data Monitoring Committee</w:t>
            </w:r>
          </w:p>
        </w:tc>
      </w:tr>
      <w:tr w:rsidR="009D1EFE" w:rsidRPr="008F210A" w:rsidTr="00CA287F">
        <w:tc>
          <w:tcPr>
            <w:tcW w:w="1884" w:type="dxa"/>
          </w:tcPr>
          <w:p w:rsidR="009D1EFE" w:rsidRPr="008F210A" w:rsidRDefault="00CA287F" w:rsidP="00CA287F">
            <w:r>
              <w:t>ITT</w:t>
            </w:r>
          </w:p>
        </w:tc>
        <w:tc>
          <w:tcPr>
            <w:tcW w:w="6600" w:type="dxa"/>
          </w:tcPr>
          <w:p w:rsidR="009D1EFE" w:rsidRPr="008F210A" w:rsidRDefault="009D1EFE" w:rsidP="00CA287F">
            <w:r w:rsidRPr="008F210A">
              <w:t>Intention-to-treat</w:t>
            </w:r>
          </w:p>
        </w:tc>
      </w:tr>
      <w:tr w:rsidR="009D1EFE" w:rsidRPr="008F210A" w:rsidTr="00CA287F">
        <w:tc>
          <w:tcPr>
            <w:tcW w:w="1884" w:type="dxa"/>
          </w:tcPr>
          <w:p w:rsidR="009D1EFE" w:rsidRPr="008F210A" w:rsidRDefault="00CA287F" w:rsidP="00CA287F">
            <w:r>
              <w:t>IU</w:t>
            </w:r>
          </w:p>
        </w:tc>
        <w:tc>
          <w:tcPr>
            <w:tcW w:w="6600" w:type="dxa"/>
          </w:tcPr>
          <w:p w:rsidR="009D1EFE" w:rsidRPr="008F210A" w:rsidRDefault="009D1EFE" w:rsidP="00CA287F">
            <w:r w:rsidRPr="008F210A">
              <w:t>International units</w:t>
            </w:r>
          </w:p>
        </w:tc>
      </w:tr>
      <w:tr w:rsidR="009D1EFE" w:rsidRPr="008F210A" w:rsidTr="00CA287F">
        <w:tc>
          <w:tcPr>
            <w:tcW w:w="1884" w:type="dxa"/>
          </w:tcPr>
          <w:p w:rsidR="009D1EFE" w:rsidRPr="008F210A" w:rsidRDefault="009D1EFE" w:rsidP="00CA287F">
            <w:r w:rsidRPr="008F210A">
              <w:t>IV</w:t>
            </w:r>
          </w:p>
        </w:tc>
        <w:tc>
          <w:tcPr>
            <w:tcW w:w="6600" w:type="dxa"/>
          </w:tcPr>
          <w:p w:rsidR="009D1EFE" w:rsidRPr="008F210A" w:rsidRDefault="009D1EFE" w:rsidP="00CA287F">
            <w:r w:rsidRPr="008F210A">
              <w:t>Intravenous</w:t>
            </w:r>
          </w:p>
        </w:tc>
      </w:tr>
      <w:tr w:rsidR="009D1EFE" w:rsidRPr="008F210A" w:rsidTr="00CA287F">
        <w:tc>
          <w:tcPr>
            <w:tcW w:w="1884" w:type="dxa"/>
          </w:tcPr>
          <w:p w:rsidR="009D1EFE" w:rsidRPr="008F210A" w:rsidRDefault="00CA287F" w:rsidP="00CA287F">
            <w:r>
              <w:t>IVR</w:t>
            </w:r>
          </w:p>
        </w:tc>
        <w:tc>
          <w:tcPr>
            <w:tcW w:w="6600" w:type="dxa"/>
          </w:tcPr>
          <w:p w:rsidR="009D1EFE" w:rsidRPr="008F210A" w:rsidRDefault="009D1EFE" w:rsidP="00CA287F">
            <w:r w:rsidRPr="008F210A">
              <w:t>In vivo recovery</w:t>
            </w:r>
          </w:p>
        </w:tc>
      </w:tr>
      <w:tr w:rsidR="009D1EFE" w:rsidRPr="008F210A" w:rsidTr="00CA287F">
        <w:tc>
          <w:tcPr>
            <w:tcW w:w="1884" w:type="dxa"/>
          </w:tcPr>
          <w:p w:rsidR="009D1EFE" w:rsidRPr="008F210A" w:rsidRDefault="00CA287F" w:rsidP="00CA287F">
            <w:proofErr w:type="spellStart"/>
            <w:r>
              <w:t>MedDRA</w:t>
            </w:r>
            <w:proofErr w:type="spellEnd"/>
          </w:p>
        </w:tc>
        <w:tc>
          <w:tcPr>
            <w:tcW w:w="6600" w:type="dxa"/>
          </w:tcPr>
          <w:p w:rsidR="009D1EFE" w:rsidRPr="008F210A" w:rsidRDefault="009D1EFE" w:rsidP="00CA287F">
            <w:r w:rsidRPr="008F210A">
              <w:t>Medical dictionary for regulatory activities</w:t>
            </w:r>
          </w:p>
        </w:tc>
      </w:tr>
      <w:tr w:rsidR="009D1EFE" w:rsidRPr="008F210A" w:rsidTr="00CA287F">
        <w:tc>
          <w:tcPr>
            <w:tcW w:w="1884" w:type="dxa"/>
          </w:tcPr>
          <w:p w:rsidR="009D1EFE" w:rsidRPr="008F210A" w:rsidRDefault="00CA287F" w:rsidP="00CA287F">
            <w:r>
              <w:t>MRT</w:t>
            </w:r>
          </w:p>
        </w:tc>
        <w:tc>
          <w:tcPr>
            <w:tcW w:w="6600" w:type="dxa"/>
          </w:tcPr>
          <w:p w:rsidR="009D1EFE" w:rsidRPr="008F210A" w:rsidRDefault="009D1EFE" w:rsidP="00CA287F">
            <w:r w:rsidRPr="008F210A">
              <w:t>Mean residence time</w:t>
            </w:r>
          </w:p>
        </w:tc>
      </w:tr>
      <w:tr w:rsidR="009D1EFE" w:rsidRPr="008F210A" w:rsidTr="00CA287F">
        <w:tc>
          <w:tcPr>
            <w:tcW w:w="1884" w:type="dxa"/>
          </w:tcPr>
          <w:p w:rsidR="009D1EFE" w:rsidRPr="008F210A" w:rsidRDefault="00CA287F" w:rsidP="00CA287F">
            <w:r>
              <w:t>N/A</w:t>
            </w:r>
          </w:p>
        </w:tc>
        <w:tc>
          <w:tcPr>
            <w:tcW w:w="6600" w:type="dxa"/>
          </w:tcPr>
          <w:p w:rsidR="009D1EFE" w:rsidRPr="008F210A" w:rsidRDefault="009D1EFE" w:rsidP="00CA287F">
            <w:r w:rsidRPr="008F210A">
              <w:t>Not available</w:t>
            </w:r>
          </w:p>
        </w:tc>
      </w:tr>
      <w:tr w:rsidR="009D1EFE" w:rsidRPr="008F210A" w:rsidTr="00CA287F">
        <w:tc>
          <w:tcPr>
            <w:tcW w:w="1884" w:type="dxa"/>
          </w:tcPr>
          <w:p w:rsidR="009D1EFE" w:rsidRPr="008F210A" w:rsidRDefault="009D1EFE" w:rsidP="00CA287F">
            <w:r>
              <w:t>OLSS</w:t>
            </w:r>
          </w:p>
        </w:tc>
        <w:tc>
          <w:tcPr>
            <w:tcW w:w="6600" w:type="dxa"/>
          </w:tcPr>
          <w:p w:rsidR="009D1EFE" w:rsidRPr="008F210A" w:rsidRDefault="009D1EFE" w:rsidP="00CA287F">
            <w:r w:rsidRPr="00686B7F">
              <w:t>Office of Laboratories and Scientific Services</w:t>
            </w:r>
          </w:p>
        </w:tc>
      </w:tr>
      <w:tr w:rsidR="009D1EFE" w:rsidRPr="008F210A" w:rsidTr="00CA287F">
        <w:tc>
          <w:tcPr>
            <w:tcW w:w="1884" w:type="dxa"/>
          </w:tcPr>
          <w:p w:rsidR="009D1EFE" w:rsidRPr="008F210A" w:rsidRDefault="00CA287F" w:rsidP="00CA287F">
            <w:r>
              <w:t>OS</w:t>
            </w:r>
          </w:p>
        </w:tc>
        <w:tc>
          <w:tcPr>
            <w:tcW w:w="6600" w:type="dxa"/>
          </w:tcPr>
          <w:p w:rsidR="009D1EFE" w:rsidRPr="008F210A" w:rsidRDefault="009D1EFE" w:rsidP="00CA287F">
            <w:r w:rsidRPr="008F210A">
              <w:t>One</w:t>
            </w:r>
            <w:r>
              <w:t>-</w:t>
            </w:r>
            <w:r w:rsidRPr="008F210A">
              <w:t>stage</w:t>
            </w:r>
          </w:p>
        </w:tc>
      </w:tr>
      <w:tr w:rsidR="009D1EFE" w:rsidRPr="008F210A" w:rsidTr="00CA287F">
        <w:tc>
          <w:tcPr>
            <w:tcW w:w="1884" w:type="dxa"/>
          </w:tcPr>
          <w:p w:rsidR="009D1EFE" w:rsidRPr="008F210A" w:rsidRDefault="00CA287F" w:rsidP="00CA287F">
            <w:proofErr w:type="spellStart"/>
            <w:r>
              <w:t>pdFVIII</w:t>
            </w:r>
            <w:proofErr w:type="spellEnd"/>
          </w:p>
        </w:tc>
        <w:tc>
          <w:tcPr>
            <w:tcW w:w="6600" w:type="dxa"/>
          </w:tcPr>
          <w:p w:rsidR="009D1EFE" w:rsidRPr="008F210A" w:rsidRDefault="009D1EFE" w:rsidP="00CA287F">
            <w:r w:rsidRPr="008F210A">
              <w:t>Plasma</w:t>
            </w:r>
            <w:r>
              <w:t>-</w:t>
            </w:r>
            <w:r w:rsidRPr="008F210A">
              <w:t xml:space="preserve">derived coagulation </w:t>
            </w:r>
            <w:r w:rsidR="00BA154F">
              <w:t>FVIII</w:t>
            </w:r>
          </w:p>
        </w:tc>
      </w:tr>
      <w:tr w:rsidR="009D1EFE" w:rsidRPr="008F210A" w:rsidTr="00CA287F">
        <w:tc>
          <w:tcPr>
            <w:tcW w:w="1884" w:type="dxa"/>
          </w:tcPr>
          <w:p w:rsidR="009D1EFE" w:rsidRPr="008F210A" w:rsidRDefault="009D1EFE" w:rsidP="00CA287F">
            <w:r>
              <w:t>PI</w:t>
            </w:r>
          </w:p>
        </w:tc>
        <w:tc>
          <w:tcPr>
            <w:tcW w:w="6600" w:type="dxa"/>
          </w:tcPr>
          <w:p w:rsidR="009D1EFE" w:rsidRPr="008F210A" w:rsidRDefault="009D1EFE" w:rsidP="00CA287F">
            <w:r>
              <w:t>Product Information</w:t>
            </w:r>
          </w:p>
        </w:tc>
      </w:tr>
      <w:tr w:rsidR="009D1EFE" w:rsidRPr="008F210A" w:rsidTr="00CA287F">
        <w:tc>
          <w:tcPr>
            <w:tcW w:w="1884" w:type="dxa"/>
          </w:tcPr>
          <w:p w:rsidR="009D1EFE" w:rsidRPr="008F210A" w:rsidRDefault="00CA287F" w:rsidP="00CA287F">
            <w:r>
              <w:t>PIP</w:t>
            </w:r>
          </w:p>
        </w:tc>
        <w:tc>
          <w:tcPr>
            <w:tcW w:w="6600" w:type="dxa"/>
          </w:tcPr>
          <w:p w:rsidR="009D1EFE" w:rsidRPr="008F210A" w:rsidRDefault="009D1EFE" w:rsidP="00CA287F">
            <w:r w:rsidRPr="008F210A">
              <w:t xml:space="preserve">Paediatric </w:t>
            </w:r>
            <w:r>
              <w:t>I</w:t>
            </w:r>
            <w:r w:rsidRPr="008F210A">
              <w:t xml:space="preserve">nvestigational </w:t>
            </w:r>
            <w:r>
              <w:t>P</w:t>
            </w:r>
            <w:r w:rsidRPr="008F210A">
              <w:t>lan</w:t>
            </w:r>
          </w:p>
        </w:tc>
      </w:tr>
      <w:tr w:rsidR="009D1EFE" w:rsidRPr="008F210A" w:rsidTr="00CA287F">
        <w:tc>
          <w:tcPr>
            <w:tcW w:w="1884" w:type="dxa"/>
          </w:tcPr>
          <w:p w:rsidR="009D1EFE" w:rsidRPr="008F210A" w:rsidRDefault="00CA287F" w:rsidP="00CA287F">
            <w:r>
              <w:t>PK</w:t>
            </w:r>
          </w:p>
        </w:tc>
        <w:tc>
          <w:tcPr>
            <w:tcW w:w="6600" w:type="dxa"/>
          </w:tcPr>
          <w:p w:rsidR="009D1EFE" w:rsidRPr="008F210A" w:rsidRDefault="009D1EFE" w:rsidP="00CA287F">
            <w:r w:rsidRPr="008F210A">
              <w:t>Pharmacokinetic</w:t>
            </w:r>
          </w:p>
        </w:tc>
      </w:tr>
      <w:tr w:rsidR="009D1EFE" w:rsidRPr="008F210A" w:rsidTr="00CA287F">
        <w:tc>
          <w:tcPr>
            <w:tcW w:w="1884" w:type="dxa"/>
          </w:tcPr>
          <w:p w:rsidR="009D1EFE" w:rsidRPr="008F210A" w:rsidRDefault="00CA287F" w:rsidP="00CA287F">
            <w:r>
              <w:t>PP</w:t>
            </w:r>
          </w:p>
        </w:tc>
        <w:tc>
          <w:tcPr>
            <w:tcW w:w="6600" w:type="dxa"/>
          </w:tcPr>
          <w:p w:rsidR="009D1EFE" w:rsidRPr="008F210A" w:rsidRDefault="009D1EFE" w:rsidP="00CA287F">
            <w:r w:rsidRPr="008F210A">
              <w:t>Per-protocol</w:t>
            </w:r>
          </w:p>
        </w:tc>
      </w:tr>
      <w:tr w:rsidR="009D1EFE" w:rsidRPr="008F210A" w:rsidTr="00CA287F">
        <w:tc>
          <w:tcPr>
            <w:tcW w:w="1884" w:type="dxa"/>
          </w:tcPr>
          <w:p w:rsidR="009D1EFE" w:rsidRPr="008F210A" w:rsidRDefault="00CA287F" w:rsidP="00CA287F">
            <w:r>
              <w:t>PROPH</w:t>
            </w:r>
          </w:p>
        </w:tc>
        <w:tc>
          <w:tcPr>
            <w:tcW w:w="6600" w:type="dxa"/>
          </w:tcPr>
          <w:p w:rsidR="009D1EFE" w:rsidRPr="008F210A" w:rsidRDefault="009D1EFE" w:rsidP="00CA287F">
            <w:r w:rsidRPr="008F210A">
              <w:t>Study population of patients receiving prophylaxis</w:t>
            </w:r>
            <w:r>
              <w:t xml:space="preserve"> with </w:t>
            </w:r>
            <w:proofErr w:type="spellStart"/>
            <w:r w:rsidR="009C1E6B">
              <w:t>simoctocog</w:t>
            </w:r>
            <w:proofErr w:type="spellEnd"/>
            <w:r w:rsidR="009C1E6B">
              <w:t xml:space="preserve"> </w:t>
            </w:r>
            <w:r w:rsidR="00FC63A1">
              <w:t>alfa</w:t>
            </w:r>
          </w:p>
        </w:tc>
      </w:tr>
      <w:tr w:rsidR="009D1EFE" w:rsidRPr="008F210A" w:rsidTr="00CA287F">
        <w:tc>
          <w:tcPr>
            <w:tcW w:w="1884" w:type="dxa"/>
          </w:tcPr>
          <w:p w:rsidR="009D1EFE" w:rsidRPr="008F210A" w:rsidRDefault="00CA287F" w:rsidP="00CA287F">
            <w:r>
              <w:t>PTP</w:t>
            </w:r>
          </w:p>
        </w:tc>
        <w:tc>
          <w:tcPr>
            <w:tcW w:w="6600" w:type="dxa"/>
          </w:tcPr>
          <w:p w:rsidR="009D1EFE" w:rsidRPr="008F210A" w:rsidRDefault="009D1EFE" w:rsidP="00CA287F">
            <w:r w:rsidRPr="008F210A">
              <w:t>Previously treated patient</w:t>
            </w:r>
          </w:p>
        </w:tc>
      </w:tr>
      <w:tr w:rsidR="009D1EFE" w:rsidRPr="008F210A" w:rsidTr="00CA287F">
        <w:tc>
          <w:tcPr>
            <w:tcW w:w="1884" w:type="dxa"/>
          </w:tcPr>
          <w:p w:rsidR="009D1EFE" w:rsidRPr="008F210A" w:rsidRDefault="00CA287F" w:rsidP="00CA287F">
            <w:r>
              <w:t>PUP</w:t>
            </w:r>
          </w:p>
        </w:tc>
        <w:tc>
          <w:tcPr>
            <w:tcW w:w="6600" w:type="dxa"/>
          </w:tcPr>
          <w:p w:rsidR="009D1EFE" w:rsidRPr="008F210A" w:rsidRDefault="009D1EFE" w:rsidP="00CA287F">
            <w:r w:rsidRPr="008F210A">
              <w:t>Previously untreated patient</w:t>
            </w:r>
          </w:p>
        </w:tc>
      </w:tr>
      <w:tr w:rsidR="009D1EFE" w:rsidRPr="008F210A" w:rsidTr="00CA287F">
        <w:tc>
          <w:tcPr>
            <w:tcW w:w="1884" w:type="dxa"/>
          </w:tcPr>
          <w:p w:rsidR="009D1EFE" w:rsidRPr="008F210A" w:rsidRDefault="00CA287F" w:rsidP="00CA287F">
            <w:proofErr w:type="spellStart"/>
            <w:r>
              <w:t>rFVIII</w:t>
            </w:r>
            <w:proofErr w:type="spellEnd"/>
          </w:p>
        </w:tc>
        <w:tc>
          <w:tcPr>
            <w:tcW w:w="6600" w:type="dxa"/>
          </w:tcPr>
          <w:p w:rsidR="009D1EFE" w:rsidRPr="008F210A" w:rsidRDefault="009D1EFE" w:rsidP="00CA287F">
            <w:r w:rsidRPr="008F210A">
              <w:t xml:space="preserve">Recombinant coagulation </w:t>
            </w:r>
            <w:r w:rsidR="00BA154F">
              <w:t>FVIII</w:t>
            </w:r>
          </w:p>
        </w:tc>
      </w:tr>
      <w:tr w:rsidR="009D1EFE" w:rsidRPr="008F210A" w:rsidTr="00CA287F">
        <w:tc>
          <w:tcPr>
            <w:tcW w:w="1884" w:type="dxa"/>
          </w:tcPr>
          <w:p w:rsidR="009D1EFE" w:rsidRPr="008F210A" w:rsidRDefault="009D1EFE" w:rsidP="00CA287F">
            <w:r>
              <w:lastRenderedPageBreak/>
              <w:t>RMP</w:t>
            </w:r>
          </w:p>
        </w:tc>
        <w:tc>
          <w:tcPr>
            <w:tcW w:w="6600" w:type="dxa"/>
          </w:tcPr>
          <w:p w:rsidR="009D1EFE" w:rsidRPr="008F210A" w:rsidRDefault="009D1EFE" w:rsidP="00CA287F">
            <w:r>
              <w:t>Risk management plan</w:t>
            </w:r>
          </w:p>
        </w:tc>
      </w:tr>
      <w:tr w:rsidR="009D1EFE" w:rsidRPr="008F210A" w:rsidTr="00CA287F">
        <w:tc>
          <w:tcPr>
            <w:tcW w:w="1884" w:type="dxa"/>
          </w:tcPr>
          <w:p w:rsidR="009D1EFE" w:rsidRPr="008F210A" w:rsidRDefault="00CA287F" w:rsidP="00CA287F">
            <w:r>
              <w:t>SAE</w:t>
            </w:r>
          </w:p>
        </w:tc>
        <w:tc>
          <w:tcPr>
            <w:tcW w:w="6600" w:type="dxa"/>
          </w:tcPr>
          <w:p w:rsidR="009D1EFE" w:rsidRPr="008F210A" w:rsidRDefault="009D1EFE" w:rsidP="00CA287F">
            <w:r w:rsidRPr="008F210A">
              <w:t>Serious adverse event</w:t>
            </w:r>
          </w:p>
        </w:tc>
      </w:tr>
      <w:tr w:rsidR="009D1EFE" w:rsidRPr="008F210A" w:rsidTr="00CA287F">
        <w:tc>
          <w:tcPr>
            <w:tcW w:w="1884" w:type="dxa"/>
          </w:tcPr>
          <w:p w:rsidR="009D1EFE" w:rsidRPr="008F210A" w:rsidRDefault="00CA287F" w:rsidP="00CA287F">
            <w:r>
              <w:t>SD</w:t>
            </w:r>
          </w:p>
        </w:tc>
        <w:tc>
          <w:tcPr>
            <w:tcW w:w="6600" w:type="dxa"/>
          </w:tcPr>
          <w:p w:rsidR="009D1EFE" w:rsidRPr="008F210A" w:rsidRDefault="009D1EFE" w:rsidP="00CA287F">
            <w:r w:rsidRPr="008F210A">
              <w:t>Standard deviation</w:t>
            </w:r>
          </w:p>
        </w:tc>
      </w:tr>
      <w:tr w:rsidR="009D1EFE" w:rsidRPr="008F210A" w:rsidTr="00CA287F">
        <w:tc>
          <w:tcPr>
            <w:tcW w:w="1884" w:type="dxa"/>
          </w:tcPr>
          <w:p w:rsidR="009D1EFE" w:rsidRPr="008F210A" w:rsidRDefault="009D1EFE" w:rsidP="00CA287F">
            <w:r>
              <w:t>SmPC</w:t>
            </w:r>
          </w:p>
        </w:tc>
        <w:tc>
          <w:tcPr>
            <w:tcW w:w="6600" w:type="dxa"/>
          </w:tcPr>
          <w:p w:rsidR="009D1EFE" w:rsidRPr="008F210A" w:rsidRDefault="009D1EFE" w:rsidP="00CA287F">
            <w:r w:rsidRPr="008F210A">
              <w:t>Summary of Product Characteristics</w:t>
            </w:r>
          </w:p>
        </w:tc>
      </w:tr>
      <w:tr w:rsidR="009D1EFE" w:rsidRPr="008F210A" w:rsidTr="00CA287F">
        <w:tc>
          <w:tcPr>
            <w:tcW w:w="1884" w:type="dxa"/>
          </w:tcPr>
          <w:p w:rsidR="009D1EFE" w:rsidRPr="008F210A" w:rsidRDefault="009D1EFE" w:rsidP="00CA287F">
            <w:r>
              <w:t>SMQ</w:t>
            </w:r>
          </w:p>
        </w:tc>
        <w:tc>
          <w:tcPr>
            <w:tcW w:w="6600" w:type="dxa"/>
          </w:tcPr>
          <w:p w:rsidR="009D1EFE" w:rsidRPr="008F210A" w:rsidRDefault="009D1EFE" w:rsidP="00CA287F">
            <w:r w:rsidRPr="001360BA">
              <w:t>Standardised MedDRA queries</w:t>
            </w:r>
          </w:p>
        </w:tc>
      </w:tr>
      <w:tr w:rsidR="009D1EFE" w:rsidRPr="008F210A" w:rsidTr="00CA287F">
        <w:tc>
          <w:tcPr>
            <w:tcW w:w="1884" w:type="dxa"/>
          </w:tcPr>
          <w:p w:rsidR="009D1EFE" w:rsidRPr="008F210A" w:rsidRDefault="00CA287F" w:rsidP="00CA287F">
            <w:r>
              <w:t>SOC</w:t>
            </w:r>
          </w:p>
        </w:tc>
        <w:tc>
          <w:tcPr>
            <w:tcW w:w="6600" w:type="dxa"/>
          </w:tcPr>
          <w:p w:rsidR="009D1EFE" w:rsidRPr="008F210A" w:rsidRDefault="009D1EFE" w:rsidP="00CA287F">
            <w:r w:rsidRPr="008F210A">
              <w:t>System organ class</w:t>
            </w:r>
          </w:p>
        </w:tc>
      </w:tr>
      <w:tr w:rsidR="009D1EFE" w:rsidRPr="008F210A" w:rsidTr="00CA287F">
        <w:tc>
          <w:tcPr>
            <w:tcW w:w="1884" w:type="dxa"/>
          </w:tcPr>
          <w:p w:rsidR="009D1EFE" w:rsidRPr="008F210A" w:rsidRDefault="00CA287F" w:rsidP="00CA287F">
            <w:r>
              <w:t>SURG</w:t>
            </w:r>
          </w:p>
        </w:tc>
        <w:tc>
          <w:tcPr>
            <w:tcW w:w="6600" w:type="dxa"/>
          </w:tcPr>
          <w:p w:rsidR="009D1EFE" w:rsidRPr="003A506C" w:rsidRDefault="009D1EFE" w:rsidP="00CA287F">
            <w:r w:rsidRPr="008F210A">
              <w:t xml:space="preserve">Study population of surgeries treated with </w:t>
            </w:r>
            <w:proofErr w:type="spellStart"/>
            <w:r w:rsidR="009C1E6B">
              <w:t>simoctocog</w:t>
            </w:r>
            <w:proofErr w:type="spellEnd"/>
            <w:r w:rsidR="009C1E6B">
              <w:t xml:space="preserve"> </w:t>
            </w:r>
            <w:r w:rsidR="00FC63A1">
              <w:t>alfa</w:t>
            </w:r>
          </w:p>
        </w:tc>
      </w:tr>
      <w:tr w:rsidR="009D1EFE" w:rsidRPr="008F210A" w:rsidTr="00CA287F">
        <w:tc>
          <w:tcPr>
            <w:tcW w:w="1884" w:type="dxa"/>
          </w:tcPr>
          <w:p w:rsidR="009D1EFE" w:rsidRPr="003A506C" w:rsidRDefault="00E935B3" w:rsidP="00CA287F">
            <w:r>
              <w:t>t</w:t>
            </w:r>
            <w:r w:rsidRPr="004D0CBD">
              <w:rPr>
                <w:vertAlign w:val="subscript"/>
              </w:rPr>
              <w:t>1</w:t>
            </w:r>
            <w:r w:rsidR="009D1EFE" w:rsidRPr="004D0CBD">
              <w:rPr>
                <w:vertAlign w:val="subscript"/>
              </w:rPr>
              <w:t xml:space="preserve">/2 </w:t>
            </w:r>
          </w:p>
        </w:tc>
        <w:tc>
          <w:tcPr>
            <w:tcW w:w="6600" w:type="dxa"/>
          </w:tcPr>
          <w:p w:rsidR="009D1EFE" w:rsidRPr="008F210A" w:rsidRDefault="009D1EFE" w:rsidP="00CA287F">
            <w:r w:rsidRPr="008F210A">
              <w:t>Half-life</w:t>
            </w:r>
          </w:p>
        </w:tc>
      </w:tr>
      <w:tr w:rsidR="009D1EFE" w:rsidRPr="008F210A" w:rsidTr="00CA287F">
        <w:tc>
          <w:tcPr>
            <w:tcW w:w="1884" w:type="dxa"/>
          </w:tcPr>
          <w:p w:rsidR="009D1EFE" w:rsidRPr="008F210A" w:rsidRDefault="009D1EFE" w:rsidP="00CA287F">
            <w:r>
              <w:t>TGA</w:t>
            </w:r>
          </w:p>
        </w:tc>
        <w:tc>
          <w:tcPr>
            <w:tcW w:w="6600" w:type="dxa"/>
          </w:tcPr>
          <w:p w:rsidR="009D1EFE" w:rsidRPr="008F210A" w:rsidRDefault="009D1EFE" w:rsidP="00CA287F">
            <w:r w:rsidRPr="00686B7F">
              <w:t>Therapeutic Goods Administration</w:t>
            </w:r>
          </w:p>
        </w:tc>
      </w:tr>
      <w:tr w:rsidR="002F0A00" w:rsidRPr="008F210A" w:rsidTr="00CA287F">
        <w:tc>
          <w:tcPr>
            <w:tcW w:w="1884" w:type="dxa"/>
          </w:tcPr>
          <w:p w:rsidR="002F0A00" w:rsidRDefault="002F0A00" w:rsidP="00CA287F">
            <w:r>
              <w:t>TKR</w:t>
            </w:r>
          </w:p>
        </w:tc>
        <w:tc>
          <w:tcPr>
            <w:tcW w:w="6600" w:type="dxa"/>
          </w:tcPr>
          <w:p w:rsidR="002F0A00" w:rsidRPr="00686B7F" w:rsidRDefault="002F0A00" w:rsidP="00CA287F">
            <w:r>
              <w:t>Total knee replacement</w:t>
            </w:r>
          </w:p>
        </w:tc>
      </w:tr>
      <w:tr w:rsidR="009D1EFE" w:rsidRPr="008F210A" w:rsidTr="00CA287F">
        <w:tc>
          <w:tcPr>
            <w:tcW w:w="1884" w:type="dxa"/>
          </w:tcPr>
          <w:p w:rsidR="009D1EFE" w:rsidRPr="008F210A" w:rsidRDefault="00CA287F" w:rsidP="00CA287F">
            <w:proofErr w:type="spellStart"/>
            <w:r>
              <w:t>vWD</w:t>
            </w:r>
            <w:proofErr w:type="spellEnd"/>
          </w:p>
        </w:tc>
        <w:tc>
          <w:tcPr>
            <w:tcW w:w="6600" w:type="dxa"/>
          </w:tcPr>
          <w:p w:rsidR="009D1EFE" w:rsidRPr="008F210A" w:rsidRDefault="009D1EFE" w:rsidP="00CA287F">
            <w:r w:rsidRPr="008F210A">
              <w:t xml:space="preserve">Von </w:t>
            </w:r>
            <w:proofErr w:type="spellStart"/>
            <w:r w:rsidRPr="008F210A">
              <w:t>Willebrand</w:t>
            </w:r>
            <w:r>
              <w:t>’s</w:t>
            </w:r>
            <w:proofErr w:type="spellEnd"/>
            <w:r w:rsidRPr="008F210A">
              <w:t xml:space="preserve"> disease</w:t>
            </w:r>
          </w:p>
        </w:tc>
      </w:tr>
      <w:tr w:rsidR="009D1EFE" w:rsidRPr="008F210A" w:rsidTr="00CA287F">
        <w:tc>
          <w:tcPr>
            <w:tcW w:w="1884" w:type="dxa"/>
          </w:tcPr>
          <w:p w:rsidR="009D1EFE" w:rsidRPr="008F210A" w:rsidRDefault="00CA287F" w:rsidP="00CA287F">
            <w:proofErr w:type="spellStart"/>
            <w:r>
              <w:t>vWF</w:t>
            </w:r>
            <w:proofErr w:type="spellEnd"/>
          </w:p>
        </w:tc>
        <w:tc>
          <w:tcPr>
            <w:tcW w:w="6600" w:type="dxa"/>
          </w:tcPr>
          <w:p w:rsidR="009D1EFE" w:rsidRPr="008F210A" w:rsidRDefault="009D1EFE" w:rsidP="00CA287F">
            <w:r w:rsidRPr="008F210A">
              <w:t xml:space="preserve">Von </w:t>
            </w:r>
            <w:proofErr w:type="spellStart"/>
            <w:r w:rsidRPr="008F210A">
              <w:t>Willebrand</w:t>
            </w:r>
            <w:proofErr w:type="spellEnd"/>
            <w:r w:rsidRPr="008F210A">
              <w:t xml:space="preserve"> factor</w:t>
            </w:r>
          </w:p>
        </w:tc>
      </w:tr>
    </w:tbl>
    <w:p w:rsidR="009D1EFE" w:rsidRDefault="009D1EFE">
      <w:pPr>
        <w:spacing w:before="0" w:after="200" w:line="0" w:lineRule="auto"/>
      </w:pPr>
      <w:r>
        <w:br w:type="page"/>
      </w:r>
    </w:p>
    <w:p w:rsidR="008E7846" w:rsidRDefault="00F53C07" w:rsidP="008E7846">
      <w:pPr>
        <w:pStyle w:val="Heading2"/>
      </w:pPr>
      <w:bookmarkStart w:id="9" w:name="_Toc453683259"/>
      <w:r>
        <w:lastRenderedPageBreak/>
        <w:t>I.</w:t>
      </w:r>
      <w:r w:rsidR="008E7846">
        <w:t xml:space="preserve"> Introduction to product submission</w:t>
      </w:r>
      <w:bookmarkEnd w:id="0"/>
      <w:bookmarkEnd w:id="2"/>
      <w:bookmarkEnd w:id="9"/>
    </w:p>
    <w:p w:rsidR="008E7846" w:rsidRDefault="008E7846" w:rsidP="008E7846">
      <w:pPr>
        <w:pStyle w:val="Heading3"/>
        <w:rPr>
          <w:lang w:eastAsia="en-AU"/>
        </w:rPr>
      </w:pPr>
      <w:bookmarkStart w:id="10" w:name="_Toc247691502"/>
      <w:bookmarkStart w:id="11" w:name="_Toc314842483"/>
      <w:bookmarkStart w:id="12" w:name="_Toc453683260"/>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rsidTr="00CA287F">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6069D7" w:rsidP="00A94FD5">
            <w:r>
              <w:t>N</w:t>
            </w:r>
            <w:r w:rsidRPr="004411EA">
              <w:t>ew biological entity</w:t>
            </w:r>
          </w:p>
        </w:tc>
      </w:tr>
      <w:tr w:rsidR="008E7846" w:rsidRPr="003D1E62" w:rsidTr="00CA287F">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8E7846" w:rsidP="00A94FD5">
            <w:r w:rsidRPr="003D1E62">
              <w:t xml:space="preserve">Approved </w:t>
            </w:r>
          </w:p>
        </w:tc>
      </w:tr>
      <w:tr w:rsidR="008E7846" w:rsidRPr="003D1E62" w:rsidTr="00CA287F">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6069D7" w:rsidP="00A94FD5">
            <w:r>
              <w:t>5 November 2014</w:t>
            </w:r>
          </w:p>
        </w:tc>
      </w:tr>
      <w:tr w:rsidR="008E7846" w:rsidRPr="00487162" w:rsidTr="00CA287F">
        <w:tc>
          <w:tcPr>
            <w:tcW w:w="2907" w:type="dxa"/>
          </w:tcPr>
          <w:p w:rsidR="008E7846" w:rsidRPr="00487162" w:rsidRDefault="001B5C90" w:rsidP="00E45619">
            <w:pPr>
              <w:rPr>
                <w:i/>
              </w:rPr>
            </w:pPr>
            <w:r>
              <w:rPr>
                <w:i/>
              </w:rPr>
              <w:t>Active ingredient(s):</w:t>
            </w:r>
          </w:p>
        </w:tc>
        <w:tc>
          <w:tcPr>
            <w:tcW w:w="6307" w:type="dxa"/>
          </w:tcPr>
          <w:p w:rsidR="008E7846" w:rsidRPr="00487162" w:rsidRDefault="00FA190B" w:rsidP="00A94FD5">
            <w:proofErr w:type="spellStart"/>
            <w:r>
              <w:rPr>
                <w:rFonts w:cs="Arial"/>
              </w:rPr>
              <w:t>Simoctocog</w:t>
            </w:r>
            <w:proofErr w:type="spellEnd"/>
            <w:r>
              <w:rPr>
                <w:rFonts w:cs="Arial"/>
              </w:rPr>
              <w:t xml:space="preserve"> </w:t>
            </w:r>
            <w:r w:rsidR="00FC63A1">
              <w:rPr>
                <w:rFonts w:cs="Arial"/>
              </w:rPr>
              <w:t>alfa</w:t>
            </w:r>
            <w:r w:rsidR="00675A4F">
              <w:rPr>
                <w:rFonts w:cs="Arial"/>
              </w:rPr>
              <w:t xml:space="preserve"> </w:t>
            </w:r>
            <w:proofErr w:type="spellStart"/>
            <w:r w:rsidR="00675A4F">
              <w:rPr>
                <w:rFonts w:cs="Arial"/>
                <w:i/>
              </w:rPr>
              <w:t>rhu</w:t>
            </w:r>
            <w:proofErr w:type="spellEnd"/>
          </w:p>
        </w:tc>
      </w:tr>
      <w:tr w:rsidR="008E7846" w:rsidRPr="00487162" w:rsidTr="00CA287F">
        <w:tc>
          <w:tcPr>
            <w:tcW w:w="2907" w:type="dxa"/>
          </w:tcPr>
          <w:p w:rsidR="008E7846" w:rsidRPr="00487162" w:rsidRDefault="008E7846" w:rsidP="001B5C90">
            <w:pPr>
              <w:rPr>
                <w:i/>
              </w:rPr>
            </w:pPr>
            <w:r w:rsidRPr="00487162">
              <w:rPr>
                <w:i/>
              </w:rPr>
              <w:t>Product</w:t>
            </w:r>
            <w:r w:rsidR="001B5C90">
              <w:rPr>
                <w:i/>
              </w:rPr>
              <w:t xml:space="preserve"> name(s):</w:t>
            </w:r>
          </w:p>
        </w:tc>
        <w:tc>
          <w:tcPr>
            <w:tcW w:w="6307" w:type="dxa"/>
          </w:tcPr>
          <w:p w:rsidR="008E7846" w:rsidRPr="00487162" w:rsidRDefault="00675A4F" w:rsidP="00A94FD5">
            <w:proofErr w:type="spellStart"/>
            <w:r>
              <w:t>Nuwiq</w:t>
            </w:r>
            <w:proofErr w:type="spellEnd"/>
          </w:p>
        </w:tc>
      </w:tr>
      <w:tr w:rsidR="008E7846" w:rsidRPr="00487162" w:rsidTr="00CA287F">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675A4F" w:rsidP="00A94FD5">
            <w:pPr>
              <w:rPr>
                <w:rFonts w:cs="Arial"/>
              </w:rPr>
            </w:pPr>
            <w:proofErr w:type="spellStart"/>
            <w:r w:rsidRPr="001D157D">
              <w:rPr>
                <w:rFonts w:cs="Arial"/>
              </w:rPr>
              <w:t>Octapharma</w:t>
            </w:r>
            <w:proofErr w:type="spellEnd"/>
            <w:r w:rsidRPr="001D157D">
              <w:rPr>
                <w:rFonts w:cs="Arial"/>
              </w:rPr>
              <w:t xml:space="preserve"> Australia Pty Ltd</w:t>
            </w:r>
          </w:p>
          <w:p w:rsidR="006069D7" w:rsidRDefault="006069D7" w:rsidP="00AD6A36">
            <w:r>
              <w:t xml:space="preserve">Jones Bay Wharf, Suite 42/26-32 </w:t>
            </w:r>
            <w:proofErr w:type="spellStart"/>
            <w:r>
              <w:t>Pirrama</w:t>
            </w:r>
            <w:proofErr w:type="spellEnd"/>
            <w:r>
              <w:t xml:space="preserve"> Rd </w:t>
            </w:r>
          </w:p>
          <w:p w:rsidR="006069D7" w:rsidRPr="00487162" w:rsidRDefault="006069D7">
            <w:r>
              <w:t>Pyrmont, NSW 2009</w:t>
            </w:r>
          </w:p>
        </w:tc>
      </w:tr>
      <w:tr w:rsidR="008E7846" w:rsidRPr="00487162" w:rsidTr="00CA287F">
        <w:tc>
          <w:tcPr>
            <w:tcW w:w="2907" w:type="dxa"/>
          </w:tcPr>
          <w:p w:rsidR="008E7846" w:rsidRPr="00487162" w:rsidRDefault="001B5C90" w:rsidP="00E45619">
            <w:pPr>
              <w:rPr>
                <w:i/>
              </w:rPr>
            </w:pPr>
            <w:r>
              <w:rPr>
                <w:i/>
              </w:rPr>
              <w:t>Dose form(s):</w:t>
            </w:r>
          </w:p>
        </w:tc>
        <w:tc>
          <w:tcPr>
            <w:tcW w:w="6307" w:type="dxa"/>
          </w:tcPr>
          <w:p w:rsidR="008E7846" w:rsidRPr="00487162" w:rsidRDefault="00675A4F" w:rsidP="00A94FD5">
            <w:r>
              <w:rPr>
                <w:rFonts w:cs="Arial"/>
              </w:rPr>
              <w:t>Powder for Injection</w:t>
            </w:r>
          </w:p>
        </w:tc>
      </w:tr>
      <w:tr w:rsidR="008E7846" w:rsidRPr="00487162" w:rsidTr="00CA287F">
        <w:tc>
          <w:tcPr>
            <w:tcW w:w="2907" w:type="dxa"/>
          </w:tcPr>
          <w:p w:rsidR="008E7846" w:rsidRPr="00487162" w:rsidRDefault="008E7846" w:rsidP="00E45619">
            <w:pPr>
              <w:rPr>
                <w:i/>
              </w:rPr>
            </w:pPr>
            <w:r w:rsidRPr="00487162">
              <w:rPr>
                <w:i/>
              </w:rPr>
              <w:t xml:space="preserve">Strength(s): </w:t>
            </w:r>
          </w:p>
        </w:tc>
        <w:tc>
          <w:tcPr>
            <w:tcW w:w="6307" w:type="dxa"/>
          </w:tcPr>
          <w:p w:rsidR="008E7846" w:rsidRPr="00487162" w:rsidRDefault="00675A4F" w:rsidP="00A94FD5">
            <w:r>
              <w:rPr>
                <w:rFonts w:cs="Arial"/>
              </w:rPr>
              <w:t>250IU, 500IU, 1000IU, 2000IU</w:t>
            </w:r>
          </w:p>
        </w:tc>
      </w:tr>
      <w:tr w:rsidR="008E7846" w:rsidRPr="00487162" w:rsidTr="00CA287F">
        <w:tc>
          <w:tcPr>
            <w:tcW w:w="2907" w:type="dxa"/>
          </w:tcPr>
          <w:p w:rsidR="008E7846" w:rsidRPr="00487162" w:rsidRDefault="008E7846" w:rsidP="00E45619">
            <w:pPr>
              <w:rPr>
                <w:i/>
              </w:rPr>
            </w:pPr>
            <w:r w:rsidRPr="00487162">
              <w:rPr>
                <w:i/>
              </w:rPr>
              <w:t>Container(s):</w:t>
            </w:r>
          </w:p>
        </w:tc>
        <w:tc>
          <w:tcPr>
            <w:tcW w:w="6307" w:type="dxa"/>
          </w:tcPr>
          <w:p w:rsidR="008E7846" w:rsidRPr="00487162" w:rsidRDefault="00675A4F" w:rsidP="00A94FD5">
            <w:r w:rsidRPr="004805EC">
              <w:rPr>
                <w:rFonts w:cs="Arial"/>
              </w:rPr>
              <w:t>Glass Type I Clear</w:t>
            </w:r>
          </w:p>
        </w:tc>
      </w:tr>
      <w:tr w:rsidR="008E7846" w:rsidRPr="00487162" w:rsidTr="00CA287F">
        <w:tc>
          <w:tcPr>
            <w:tcW w:w="2907" w:type="dxa"/>
          </w:tcPr>
          <w:p w:rsidR="008E7846" w:rsidRPr="00487162" w:rsidRDefault="008E7846" w:rsidP="00E45619">
            <w:pPr>
              <w:rPr>
                <w:i/>
              </w:rPr>
            </w:pPr>
            <w:r w:rsidRPr="00487162">
              <w:rPr>
                <w:i/>
              </w:rPr>
              <w:t>Pack size(s):</w:t>
            </w:r>
          </w:p>
        </w:tc>
        <w:tc>
          <w:tcPr>
            <w:tcW w:w="6307" w:type="dxa"/>
          </w:tcPr>
          <w:p w:rsidR="008E7846" w:rsidRPr="00487162" w:rsidRDefault="00675A4F" w:rsidP="002F0BEA">
            <w:r w:rsidRPr="001D157D">
              <w:rPr>
                <w:rFonts w:asciiTheme="minorHAnsi" w:hAnsiTheme="minorHAnsi" w:cs="Arial"/>
                <w:szCs w:val="24"/>
              </w:rPr>
              <w:t>1 vial</w:t>
            </w:r>
            <w:r>
              <w:rPr>
                <w:rFonts w:asciiTheme="minorHAnsi" w:hAnsiTheme="minorHAnsi" w:cs="Arial"/>
                <w:szCs w:val="24"/>
              </w:rPr>
              <w:t xml:space="preserve"> of </w:t>
            </w:r>
            <w:proofErr w:type="spellStart"/>
            <w:r w:rsidR="002F0BEA">
              <w:rPr>
                <w:rFonts w:asciiTheme="minorHAnsi" w:hAnsiTheme="minorHAnsi" w:cs="Arial"/>
                <w:szCs w:val="24"/>
              </w:rPr>
              <w:t>Nuw</w:t>
            </w:r>
            <w:r>
              <w:rPr>
                <w:rFonts w:asciiTheme="minorHAnsi" w:hAnsiTheme="minorHAnsi" w:cs="Arial"/>
                <w:szCs w:val="24"/>
              </w:rPr>
              <w:t>iq</w:t>
            </w:r>
            <w:proofErr w:type="spellEnd"/>
            <w:r>
              <w:rPr>
                <w:rFonts w:asciiTheme="minorHAnsi" w:hAnsiTheme="minorHAnsi" w:cs="Arial"/>
                <w:szCs w:val="24"/>
              </w:rPr>
              <w:t xml:space="preserve"> and 1 vial of </w:t>
            </w:r>
            <w:r w:rsidRPr="001D157D">
              <w:rPr>
                <w:rFonts w:asciiTheme="minorHAnsi" w:hAnsiTheme="minorHAnsi" w:cs="Arial"/>
                <w:szCs w:val="24"/>
              </w:rPr>
              <w:t>pre-filled syringe containing 2.5mL of sterile water</w:t>
            </w:r>
          </w:p>
        </w:tc>
      </w:tr>
      <w:tr w:rsidR="008E7846" w:rsidRPr="00487162" w:rsidTr="00CA287F">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6069D7" w:rsidRPr="006069D7" w:rsidRDefault="006069D7" w:rsidP="006069D7">
            <w:pPr>
              <w:rPr>
                <w:i/>
                <w:lang w:val="en-US"/>
              </w:rPr>
            </w:pPr>
            <w:r w:rsidRPr="006069D7">
              <w:rPr>
                <w:i/>
              </w:rPr>
              <w:t>Treatment and prophylaxis of bleeding (also during and after surgery) in</w:t>
            </w:r>
            <w:r w:rsidRPr="006069D7">
              <w:rPr>
                <w:i/>
                <w:lang w:val="en-US"/>
              </w:rPr>
              <w:t xml:space="preserve"> previously treated paediatric (≥ 2 years) and adult</w:t>
            </w:r>
            <w:r w:rsidRPr="006069D7">
              <w:rPr>
                <w:i/>
              </w:rPr>
              <w:t xml:space="preserve"> patients with haemophilia A (congenital </w:t>
            </w:r>
            <w:r w:rsidR="00BA154F">
              <w:rPr>
                <w:i/>
              </w:rPr>
              <w:t>FVIII</w:t>
            </w:r>
            <w:r w:rsidR="00CC4F20">
              <w:rPr>
                <w:i/>
              </w:rPr>
              <w:t xml:space="preserve"> </w:t>
            </w:r>
            <w:r w:rsidRPr="006069D7">
              <w:rPr>
                <w:i/>
              </w:rPr>
              <w:t xml:space="preserve">deficiency). </w:t>
            </w:r>
          </w:p>
          <w:p w:rsidR="008E7846" w:rsidRPr="006069D7" w:rsidRDefault="006069D7" w:rsidP="009D1EFE">
            <w:pPr>
              <w:rPr>
                <w:lang w:val="en-US"/>
              </w:rPr>
            </w:pPr>
            <w:proofErr w:type="spellStart"/>
            <w:r w:rsidRPr="006069D7">
              <w:rPr>
                <w:i/>
                <w:lang w:val="en-US"/>
              </w:rPr>
              <w:t>Nuwiq</w:t>
            </w:r>
            <w:proofErr w:type="spellEnd"/>
            <w:r w:rsidRPr="006069D7">
              <w:rPr>
                <w:i/>
                <w:lang w:val="en-US"/>
              </w:rPr>
              <w:t xml:space="preserve"> does not contain von </w:t>
            </w:r>
            <w:proofErr w:type="spellStart"/>
            <w:r w:rsidRPr="006069D7">
              <w:rPr>
                <w:i/>
                <w:lang w:val="en-US"/>
              </w:rPr>
              <w:t>Willebrand</w:t>
            </w:r>
            <w:proofErr w:type="spellEnd"/>
            <w:r w:rsidRPr="006069D7">
              <w:rPr>
                <w:i/>
                <w:lang w:val="en-US"/>
              </w:rPr>
              <w:t xml:space="preserve"> </w:t>
            </w:r>
            <w:r w:rsidR="009D1EFE">
              <w:rPr>
                <w:i/>
                <w:lang w:val="en-US"/>
              </w:rPr>
              <w:t>f</w:t>
            </w:r>
            <w:r w:rsidRPr="006069D7">
              <w:rPr>
                <w:i/>
                <w:lang w:val="en-US"/>
              </w:rPr>
              <w:t xml:space="preserve">actor and is thus not indicated to treat von </w:t>
            </w:r>
            <w:proofErr w:type="spellStart"/>
            <w:r w:rsidRPr="006069D7">
              <w:rPr>
                <w:i/>
                <w:lang w:val="en-US"/>
              </w:rPr>
              <w:t>Willebrand’s</w:t>
            </w:r>
            <w:proofErr w:type="spellEnd"/>
            <w:r w:rsidRPr="006069D7">
              <w:rPr>
                <w:i/>
                <w:lang w:val="en-US"/>
              </w:rPr>
              <w:t xml:space="preserve"> </w:t>
            </w:r>
            <w:r w:rsidR="009D1EFE">
              <w:rPr>
                <w:i/>
                <w:lang w:val="en-US"/>
              </w:rPr>
              <w:t>d</w:t>
            </w:r>
            <w:r w:rsidRPr="006069D7">
              <w:rPr>
                <w:i/>
                <w:lang w:val="en-US"/>
              </w:rPr>
              <w:t>isease.</w:t>
            </w:r>
          </w:p>
        </w:tc>
      </w:tr>
      <w:tr w:rsidR="008E7846" w:rsidRPr="00487162" w:rsidTr="00CA287F">
        <w:tc>
          <w:tcPr>
            <w:tcW w:w="2907" w:type="dxa"/>
          </w:tcPr>
          <w:p w:rsidR="008E7846" w:rsidRPr="00487162" w:rsidRDefault="008E7846" w:rsidP="00E45619">
            <w:pPr>
              <w:rPr>
                <w:i/>
              </w:rPr>
            </w:pPr>
            <w:r w:rsidRPr="00487162">
              <w:rPr>
                <w:i/>
              </w:rPr>
              <w:t>Route(s) of administration:</w:t>
            </w:r>
          </w:p>
        </w:tc>
        <w:tc>
          <w:tcPr>
            <w:tcW w:w="6307" w:type="dxa"/>
          </w:tcPr>
          <w:p w:rsidR="008E7846" w:rsidRPr="00487162" w:rsidRDefault="00675A4F" w:rsidP="00E45619">
            <w:r w:rsidRPr="001D157D">
              <w:rPr>
                <w:rFonts w:asciiTheme="minorHAnsi" w:hAnsiTheme="minorHAnsi" w:cs="Arial"/>
                <w:szCs w:val="24"/>
              </w:rPr>
              <w:t>Intravenous</w:t>
            </w:r>
            <w:r>
              <w:rPr>
                <w:rFonts w:asciiTheme="minorHAnsi" w:hAnsiTheme="minorHAnsi" w:cs="Arial"/>
                <w:szCs w:val="24"/>
              </w:rPr>
              <w:t xml:space="preserve"> (IV)</w:t>
            </w:r>
          </w:p>
        </w:tc>
      </w:tr>
      <w:tr w:rsidR="008E7846" w:rsidRPr="00487162" w:rsidTr="00CA287F">
        <w:tc>
          <w:tcPr>
            <w:tcW w:w="2907" w:type="dxa"/>
          </w:tcPr>
          <w:p w:rsidR="008E7846" w:rsidRPr="00487162" w:rsidRDefault="008E7846" w:rsidP="00E45619">
            <w:pPr>
              <w:rPr>
                <w:i/>
              </w:rPr>
            </w:pPr>
            <w:r w:rsidRPr="00487162">
              <w:rPr>
                <w:i/>
              </w:rPr>
              <w:t>Dosage:</w:t>
            </w:r>
          </w:p>
        </w:tc>
        <w:tc>
          <w:tcPr>
            <w:tcW w:w="6307" w:type="dxa"/>
          </w:tcPr>
          <w:p w:rsidR="008E7846" w:rsidRPr="00356785" w:rsidRDefault="00356785" w:rsidP="00E45619">
            <w:r w:rsidRPr="004B179B">
              <w:t xml:space="preserve">The dose and duration of the substitution therapy depend on the severity of the </w:t>
            </w:r>
            <w:r w:rsidR="00BA154F">
              <w:t>FVIII</w:t>
            </w:r>
            <w:r w:rsidR="00CC4F20">
              <w:t xml:space="preserve"> </w:t>
            </w:r>
            <w:r w:rsidRPr="004B179B">
              <w:t>deficiency, on the location and extent of the bleeding, and on the patient’s clinical condition.</w:t>
            </w:r>
            <w:r>
              <w:t xml:space="preserve"> See Attachment 1 Product information for further details.</w:t>
            </w:r>
            <w:r w:rsidRPr="004B179B">
              <w:rPr>
                <w:lang w:val="en-US"/>
              </w:rPr>
              <w:t xml:space="preserve"> </w:t>
            </w:r>
          </w:p>
        </w:tc>
      </w:tr>
      <w:tr w:rsidR="008E7846" w:rsidRPr="00487162" w:rsidTr="00CA287F">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rsidR="008E7846" w:rsidRPr="00487162" w:rsidRDefault="00356785" w:rsidP="00356785">
            <w:r>
              <w:t>213938, 213939, 213940 and 213941</w:t>
            </w:r>
          </w:p>
        </w:tc>
      </w:tr>
    </w:tbl>
    <w:p w:rsidR="008E7846" w:rsidRDefault="008E7846" w:rsidP="008E7846">
      <w:pPr>
        <w:pStyle w:val="Heading3"/>
      </w:pPr>
      <w:bookmarkStart w:id="13" w:name="_Toc247691503"/>
      <w:bookmarkStart w:id="14" w:name="_Toc314842484"/>
      <w:bookmarkStart w:id="15" w:name="_Toc453683261"/>
      <w:r>
        <w:t>Product background</w:t>
      </w:r>
      <w:bookmarkEnd w:id="13"/>
      <w:bookmarkEnd w:id="14"/>
      <w:bookmarkEnd w:id="15"/>
    </w:p>
    <w:p w:rsidR="00FB4AF7" w:rsidRDefault="00940A89" w:rsidP="006069D7">
      <w:r w:rsidRPr="00940A89">
        <w:t xml:space="preserve">This AusPAR describes the application by the </w:t>
      </w:r>
      <w:r w:rsidR="00C33CC6">
        <w:t xml:space="preserve">sponsor, </w:t>
      </w:r>
      <w:proofErr w:type="spellStart"/>
      <w:r w:rsidR="002F0BEA">
        <w:rPr>
          <w:kern w:val="2"/>
        </w:rPr>
        <w:t>Octa</w:t>
      </w:r>
      <w:r w:rsidR="00356785" w:rsidRPr="009D4EA1">
        <w:rPr>
          <w:kern w:val="2"/>
        </w:rPr>
        <w:t>pharma</w:t>
      </w:r>
      <w:proofErr w:type="spellEnd"/>
      <w:r w:rsidR="00356785" w:rsidRPr="009D4EA1">
        <w:rPr>
          <w:kern w:val="2"/>
        </w:rPr>
        <w:t xml:space="preserve"> Australia Pty Ltd</w:t>
      </w:r>
      <w:r w:rsidR="00C33CC6">
        <w:rPr>
          <w:kern w:val="2"/>
        </w:rPr>
        <w:t>,</w:t>
      </w:r>
      <w:r w:rsidR="00356785" w:rsidRPr="009D4EA1">
        <w:rPr>
          <w:kern w:val="2"/>
        </w:rPr>
        <w:t xml:space="preserve"> </w:t>
      </w:r>
      <w:r w:rsidRPr="00940A89">
        <w:t>to</w:t>
      </w:r>
      <w:r w:rsidR="00356785">
        <w:t xml:space="preserve"> </w:t>
      </w:r>
      <w:r w:rsidR="006069D7" w:rsidRPr="009D4EA1">
        <w:rPr>
          <w:kern w:val="2"/>
        </w:rPr>
        <w:t xml:space="preserve">register a new chemical entity, </w:t>
      </w:r>
      <w:proofErr w:type="spellStart"/>
      <w:r w:rsidR="009C1E6B">
        <w:rPr>
          <w:kern w:val="2"/>
        </w:rPr>
        <w:t>simoctocog</w:t>
      </w:r>
      <w:proofErr w:type="spellEnd"/>
      <w:r w:rsidR="009C1E6B">
        <w:rPr>
          <w:kern w:val="2"/>
        </w:rPr>
        <w:t xml:space="preserve"> </w:t>
      </w:r>
      <w:r w:rsidR="00FC63A1">
        <w:rPr>
          <w:kern w:val="2"/>
        </w:rPr>
        <w:t>alfa</w:t>
      </w:r>
      <w:r w:rsidR="006069D7" w:rsidRPr="009D4EA1">
        <w:rPr>
          <w:kern w:val="2"/>
        </w:rPr>
        <w:t xml:space="preserve"> </w:t>
      </w:r>
      <w:r w:rsidR="00C33CC6">
        <w:rPr>
          <w:kern w:val="2"/>
        </w:rPr>
        <w:t xml:space="preserve">as </w:t>
      </w:r>
      <w:proofErr w:type="spellStart"/>
      <w:r w:rsidR="00356785">
        <w:rPr>
          <w:kern w:val="2"/>
        </w:rPr>
        <w:t>Nuwiq</w:t>
      </w:r>
      <w:proofErr w:type="spellEnd"/>
      <w:r w:rsidR="006069D7" w:rsidRPr="009D4EA1">
        <w:rPr>
          <w:kern w:val="2"/>
        </w:rPr>
        <w:t>.</w:t>
      </w:r>
      <w:r w:rsidR="006069D7" w:rsidRPr="009D4EA1">
        <w:rPr>
          <w:color w:val="3366CC"/>
          <w:kern w:val="2"/>
        </w:rPr>
        <w:t xml:space="preserve"> </w:t>
      </w:r>
      <w:proofErr w:type="spellStart"/>
      <w:r w:rsidR="00356785" w:rsidRPr="00356785">
        <w:t>Nuwiq</w:t>
      </w:r>
      <w:proofErr w:type="spellEnd"/>
      <w:r w:rsidR="00FB4AF7">
        <w:t xml:space="preserve"> wa</w:t>
      </w:r>
      <w:r w:rsidR="006069D7" w:rsidRPr="009D225C">
        <w:t xml:space="preserve">s </w:t>
      </w:r>
      <w:r w:rsidR="00FB4AF7">
        <w:t xml:space="preserve">initially </w:t>
      </w:r>
      <w:r w:rsidR="006069D7" w:rsidRPr="009D225C">
        <w:t>proposed to be used</w:t>
      </w:r>
      <w:r w:rsidR="00FB4AF7">
        <w:t xml:space="preserve"> for</w:t>
      </w:r>
    </w:p>
    <w:p w:rsidR="00FB4AF7" w:rsidRPr="00FB4AF7" w:rsidRDefault="00FB4AF7" w:rsidP="00FB4AF7">
      <w:pPr>
        <w:ind w:left="720"/>
        <w:rPr>
          <w:rFonts w:asciiTheme="minorHAnsi" w:hAnsiTheme="minorHAnsi"/>
          <w:i/>
        </w:rPr>
      </w:pPr>
      <w:r w:rsidRPr="00FB4AF7">
        <w:rPr>
          <w:rFonts w:asciiTheme="minorHAnsi" w:hAnsiTheme="minorHAnsi"/>
          <w:i/>
        </w:rPr>
        <w:t xml:space="preserve">Treatment and prophylaxis of bleeding (also during and after surgery) in patients with haemophilia </w:t>
      </w:r>
      <w:proofErr w:type="gramStart"/>
      <w:r w:rsidRPr="00FB4AF7">
        <w:rPr>
          <w:rFonts w:asciiTheme="minorHAnsi" w:hAnsiTheme="minorHAnsi"/>
          <w:i/>
        </w:rPr>
        <w:t>A</w:t>
      </w:r>
      <w:proofErr w:type="gramEnd"/>
      <w:r w:rsidRPr="00FB4AF7">
        <w:rPr>
          <w:rFonts w:asciiTheme="minorHAnsi" w:hAnsiTheme="minorHAnsi"/>
          <w:i/>
        </w:rPr>
        <w:t xml:space="preserve"> (congenital </w:t>
      </w:r>
      <w:r w:rsidR="00BA154F">
        <w:rPr>
          <w:rFonts w:asciiTheme="minorHAnsi" w:hAnsiTheme="minorHAnsi"/>
          <w:i/>
        </w:rPr>
        <w:t>FVIII</w:t>
      </w:r>
      <w:r w:rsidRPr="00FB4AF7">
        <w:rPr>
          <w:rFonts w:asciiTheme="minorHAnsi" w:hAnsiTheme="minorHAnsi"/>
          <w:i/>
        </w:rPr>
        <w:t xml:space="preserve"> deficiency).</w:t>
      </w:r>
    </w:p>
    <w:p w:rsidR="00FB4AF7" w:rsidRPr="00FB4AF7" w:rsidRDefault="00FB4AF7" w:rsidP="00FB4AF7">
      <w:pPr>
        <w:ind w:left="720"/>
        <w:rPr>
          <w:rFonts w:asciiTheme="minorHAnsi" w:hAnsiTheme="minorHAnsi"/>
          <w:i/>
        </w:rPr>
      </w:pPr>
      <w:proofErr w:type="spellStart"/>
      <w:r w:rsidRPr="00FB4AF7">
        <w:rPr>
          <w:rFonts w:asciiTheme="minorHAnsi" w:hAnsiTheme="minorHAnsi"/>
          <w:i/>
        </w:rPr>
        <w:t>Nuwiq</w:t>
      </w:r>
      <w:proofErr w:type="spellEnd"/>
      <w:r w:rsidRPr="00FB4AF7">
        <w:rPr>
          <w:rFonts w:asciiTheme="minorHAnsi" w:hAnsiTheme="minorHAnsi"/>
          <w:i/>
        </w:rPr>
        <w:t xml:space="preserve"> is also indicated in haemophilia </w:t>
      </w:r>
      <w:proofErr w:type="gramStart"/>
      <w:r w:rsidRPr="00FB4AF7">
        <w:rPr>
          <w:rFonts w:asciiTheme="minorHAnsi" w:hAnsiTheme="minorHAnsi"/>
          <w:i/>
        </w:rPr>
        <w:t>A</w:t>
      </w:r>
      <w:proofErr w:type="gramEnd"/>
      <w:r w:rsidRPr="00FB4AF7">
        <w:rPr>
          <w:rFonts w:asciiTheme="minorHAnsi" w:hAnsiTheme="minorHAnsi"/>
          <w:i/>
        </w:rPr>
        <w:t xml:space="preserve"> patients with known allergic reactions to mouse or hamster protein, in which hamster cell derived </w:t>
      </w:r>
      <w:proofErr w:type="spellStart"/>
      <w:r w:rsidRPr="00FB4AF7">
        <w:rPr>
          <w:rFonts w:asciiTheme="minorHAnsi" w:hAnsiTheme="minorHAnsi"/>
          <w:i/>
        </w:rPr>
        <w:t>rFVIII</w:t>
      </w:r>
      <w:proofErr w:type="spellEnd"/>
      <w:r w:rsidRPr="00FB4AF7">
        <w:rPr>
          <w:rFonts w:asciiTheme="minorHAnsi" w:hAnsiTheme="minorHAnsi"/>
          <w:i/>
        </w:rPr>
        <w:t xml:space="preserve"> are contraindicated.</w:t>
      </w:r>
    </w:p>
    <w:p w:rsidR="00FB4AF7" w:rsidRPr="00FB4AF7" w:rsidRDefault="00FB4AF7" w:rsidP="00FB4AF7">
      <w:pPr>
        <w:ind w:left="720"/>
        <w:rPr>
          <w:rFonts w:asciiTheme="minorHAnsi" w:hAnsiTheme="minorHAnsi"/>
          <w:i/>
        </w:rPr>
      </w:pPr>
      <w:proofErr w:type="spellStart"/>
      <w:r w:rsidRPr="00FB4AF7">
        <w:rPr>
          <w:rFonts w:asciiTheme="minorHAnsi" w:hAnsiTheme="minorHAnsi"/>
          <w:i/>
        </w:rPr>
        <w:lastRenderedPageBreak/>
        <w:t>Nuwiq</w:t>
      </w:r>
      <w:proofErr w:type="spellEnd"/>
      <w:r w:rsidRPr="00FB4AF7">
        <w:rPr>
          <w:rFonts w:asciiTheme="minorHAnsi" w:hAnsiTheme="minorHAnsi"/>
          <w:i/>
        </w:rPr>
        <w:t xml:space="preserve"> is appropriate for use in adults and children of all ages, including newborns.</w:t>
      </w:r>
    </w:p>
    <w:p w:rsidR="00FB4AF7" w:rsidRDefault="00FB4AF7" w:rsidP="00C33CC6">
      <w:pPr>
        <w:widowControl w:val="0"/>
        <w:autoSpaceDE w:val="0"/>
        <w:autoSpaceDN w:val="0"/>
        <w:adjustRightInd w:val="0"/>
        <w:rPr>
          <w:rFonts w:asciiTheme="minorHAnsi" w:hAnsiTheme="minorHAnsi" w:cs="œÙøf€"/>
        </w:rPr>
      </w:pPr>
      <w:r>
        <w:rPr>
          <w:rFonts w:asciiTheme="minorHAnsi" w:hAnsiTheme="minorHAnsi" w:cs="œÙøf€"/>
        </w:rPr>
        <w:t>During the TGA’s evaluation process the proposed indication was modified to</w:t>
      </w:r>
    </w:p>
    <w:p w:rsidR="00FB4AF7" w:rsidRPr="00156DF5" w:rsidRDefault="00AE330F" w:rsidP="00FB4AF7">
      <w:pPr>
        <w:widowControl w:val="0"/>
        <w:autoSpaceDE w:val="0"/>
        <w:autoSpaceDN w:val="0"/>
        <w:adjustRightInd w:val="0"/>
        <w:ind w:left="720"/>
        <w:rPr>
          <w:rFonts w:asciiTheme="minorHAnsi" w:hAnsiTheme="minorHAnsi" w:cs="œÙøf€"/>
          <w:i/>
        </w:rPr>
      </w:pPr>
      <w:r w:rsidRPr="00587BCF">
        <w:rPr>
          <w:rFonts w:asciiTheme="minorHAnsi" w:eastAsiaTheme="minorHAnsi" w:hAnsiTheme="minorHAnsi" w:cs="TimesNewRoman"/>
          <w:i/>
          <w:szCs w:val="24"/>
        </w:rPr>
        <w:t xml:space="preserve">Treatment and prophylaxis of bleeding (also during and after surgery) in previously treated paediatric (≥ 2 years) and adult patients with haemophilia </w:t>
      </w:r>
      <w:proofErr w:type="gramStart"/>
      <w:r w:rsidRPr="00587BCF">
        <w:rPr>
          <w:rFonts w:asciiTheme="minorHAnsi" w:eastAsiaTheme="minorHAnsi" w:hAnsiTheme="minorHAnsi" w:cs="TimesNewRoman"/>
          <w:i/>
          <w:szCs w:val="24"/>
        </w:rPr>
        <w:t>A</w:t>
      </w:r>
      <w:proofErr w:type="gramEnd"/>
      <w:r w:rsidRPr="00587BCF">
        <w:rPr>
          <w:rFonts w:asciiTheme="minorHAnsi" w:eastAsiaTheme="minorHAnsi" w:hAnsiTheme="minorHAnsi" w:cs="TimesNewRoman"/>
          <w:i/>
          <w:szCs w:val="24"/>
        </w:rPr>
        <w:t xml:space="preserve"> (congenital FVIII deficiency).</w:t>
      </w:r>
    </w:p>
    <w:p w:rsidR="00C33CC6" w:rsidRPr="00192C5F" w:rsidRDefault="00C33CC6" w:rsidP="00C33CC6">
      <w:pPr>
        <w:widowControl w:val="0"/>
        <w:autoSpaceDE w:val="0"/>
        <w:autoSpaceDN w:val="0"/>
        <w:adjustRightInd w:val="0"/>
        <w:rPr>
          <w:rFonts w:asciiTheme="minorHAnsi" w:hAnsiTheme="minorHAnsi" w:cs="œÙøf€"/>
        </w:rPr>
      </w:pPr>
      <w:r w:rsidRPr="00192C5F">
        <w:rPr>
          <w:rFonts w:asciiTheme="minorHAnsi" w:hAnsiTheme="minorHAnsi" w:cs="œÙøf€"/>
        </w:rPr>
        <w:t xml:space="preserve">Haemophilia A is an inherited sex-linked disorder of blood coagulation in which affected males do not produce functional coagulation </w:t>
      </w:r>
      <w:r w:rsidR="00BA154F">
        <w:rPr>
          <w:rFonts w:asciiTheme="minorHAnsi" w:hAnsiTheme="minorHAnsi" w:cs="œÙøf€"/>
        </w:rPr>
        <w:t>Factor VIII (</w:t>
      </w:r>
      <w:r w:rsidRPr="00192C5F">
        <w:rPr>
          <w:rFonts w:asciiTheme="minorHAnsi" w:hAnsiTheme="minorHAnsi" w:cs="œÙøf€"/>
        </w:rPr>
        <w:t>FVIII</w:t>
      </w:r>
      <w:r w:rsidR="00BA154F">
        <w:rPr>
          <w:rFonts w:asciiTheme="minorHAnsi" w:hAnsiTheme="minorHAnsi" w:cs="œÙøf€"/>
        </w:rPr>
        <w:t>)</w:t>
      </w:r>
      <w:r w:rsidRPr="00192C5F">
        <w:rPr>
          <w:rFonts w:asciiTheme="minorHAnsi" w:hAnsiTheme="minorHAnsi" w:cs="œÙøf€"/>
        </w:rPr>
        <w:t xml:space="preserve"> in sufficient quantities to achieve satisfactory haemostasis.</w:t>
      </w:r>
      <w:r>
        <w:rPr>
          <w:rStyle w:val="FootnoteReference"/>
          <w:rFonts w:asciiTheme="minorHAnsi" w:hAnsiTheme="minorHAnsi" w:cs="œÙøf€"/>
        </w:rPr>
        <w:footnoteReference w:id="1"/>
      </w:r>
      <w:r w:rsidRPr="00192C5F">
        <w:rPr>
          <w:rFonts w:asciiTheme="minorHAnsi" w:hAnsiTheme="minorHAnsi" w:cs="œÙøf€"/>
          <w:vertAlign w:val="superscript"/>
        </w:rPr>
        <w:t>,</w:t>
      </w:r>
      <w:r>
        <w:rPr>
          <w:rStyle w:val="FootnoteReference"/>
          <w:rFonts w:asciiTheme="minorHAnsi" w:hAnsiTheme="minorHAnsi" w:cs="œÙøf€"/>
        </w:rPr>
        <w:footnoteReference w:id="2"/>
      </w:r>
      <w:r w:rsidRPr="00192C5F">
        <w:rPr>
          <w:rFonts w:asciiTheme="minorHAnsi" w:hAnsiTheme="minorHAnsi" w:cs="œÙøf€"/>
        </w:rPr>
        <w:t xml:space="preserve"> The incidence of congenital haemophilia A is approximately 1 in 10,000 births. Disease severity is classified according to the level of FVIII activity (</w:t>
      </w:r>
      <w:r w:rsidR="009D1EFE">
        <w:rPr>
          <w:rFonts w:asciiTheme="minorHAnsi" w:hAnsiTheme="minorHAnsi" w:cs="œÙøf€"/>
        </w:rPr>
        <w:t>FVIII</w:t>
      </w:r>
      <w:proofErr w:type="gramStart"/>
      <w:r w:rsidR="009D1EFE">
        <w:rPr>
          <w:rFonts w:asciiTheme="minorHAnsi" w:hAnsiTheme="minorHAnsi" w:cs="œÙøf€"/>
        </w:rPr>
        <w:t>:C</w:t>
      </w:r>
      <w:proofErr w:type="gramEnd"/>
      <w:r w:rsidR="009D1EFE">
        <w:rPr>
          <w:rFonts w:asciiTheme="minorHAnsi" w:hAnsiTheme="minorHAnsi" w:cs="œÙøf€"/>
        </w:rPr>
        <w:t xml:space="preserve"> [</w:t>
      </w:r>
      <w:r w:rsidRPr="00192C5F">
        <w:rPr>
          <w:rFonts w:asciiTheme="minorHAnsi" w:hAnsiTheme="minorHAnsi" w:cs="œÙøf€"/>
        </w:rPr>
        <w:t>% of normal</w:t>
      </w:r>
      <w:r w:rsidR="009D1EFE">
        <w:rPr>
          <w:rFonts w:asciiTheme="minorHAnsi" w:hAnsiTheme="minorHAnsi" w:cs="œÙøf€"/>
        </w:rPr>
        <w:t>]</w:t>
      </w:r>
      <w:r w:rsidRPr="00192C5F">
        <w:rPr>
          <w:rFonts w:asciiTheme="minorHAnsi" w:hAnsiTheme="minorHAnsi" w:cs="œÙøf€"/>
        </w:rPr>
        <w:t>) as mild (&gt;5% to &lt;40%), moderate (1% to 5%) or severe (&lt;1%).</w:t>
      </w:r>
      <w:r>
        <w:rPr>
          <w:rStyle w:val="FootnoteReference"/>
          <w:rFonts w:asciiTheme="minorHAnsi" w:hAnsiTheme="minorHAnsi" w:cs="œÙøf€"/>
        </w:rPr>
        <w:footnoteReference w:id="3"/>
      </w:r>
      <w:r w:rsidRPr="00192C5F">
        <w:rPr>
          <w:rFonts w:asciiTheme="minorHAnsi" w:hAnsiTheme="minorHAnsi" w:cs="œÙøf€"/>
        </w:rPr>
        <w:t xml:space="preserve"> </w:t>
      </w:r>
    </w:p>
    <w:p w:rsidR="00C33CC6" w:rsidRPr="00156DF5" w:rsidRDefault="00C33CC6" w:rsidP="00C33CC6">
      <w:pPr>
        <w:widowControl w:val="0"/>
        <w:autoSpaceDE w:val="0"/>
        <w:autoSpaceDN w:val="0"/>
        <w:adjustRightInd w:val="0"/>
        <w:rPr>
          <w:rFonts w:asciiTheme="minorHAnsi" w:hAnsiTheme="minorHAnsi" w:cs="œÙøf€"/>
        </w:rPr>
      </w:pPr>
      <w:r w:rsidRPr="00192C5F">
        <w:rPr>
          <w:rFonts w:asciiTheme="minorHAnsi" w:hAnsiTheme="minorHAnsi" w:cs="Ä‹Ùøf€"/>
        </w:rPr>
        <w:t xml:space="preserve">Due to deficiencies in FVIII, patients with haemophilia </w:t>
      </w:r>
      <w:proofErr w:type="gramStart"/>
      <w:r w:rsidRPr="00192C5F">
        <w:rPr>
          <w:rFonts w:asciiTheme="minorHAnsi" w:hAnsiTheme="minorHAnsi" w:cs="Ä‹Ùøf€"/>
        </w:rPr>
        <w:t>A</w:t>
      </w:r>
      <w:proofErr w:type="gramEnd"/>
      <w:r w:rsidRPr="00192C5F">
        <w:rPr>
          <w:rFonts w:asciiTheme="minorHAnsi" w:hAnsiTheme="minorHAnsi" w:cs="Ä‹Ùøf€"/>
        </w:rPr>
        <w:t xml:space="preserve"> are predisposed to recurrent</w:t>
      </w:r>
      <w:r w:rsidRPr="00192C5F">
        <w:rPr>
          <w:rFonts w:asciiTheme="minorHAnsi" w:hAnsiTheme="minorHAnsi" w:cs="œÙøf€"/>
        </w:rPr>
        <w:t xml:space="preserve"> </w:t>
      </w:r>
      <w:r w:rsidRPr="00192C5F">
        <w:rPr>
          <w:rFonts w:asciiTheme="minorHAnsi" w:hAnsiTheme="minorHAnsi" w:cs="Ä‹Ùøf€"/>
        </w:rPr>
        <w:t>bleed</w:t>
      </w:r>
      <w:r>
        <w:rPr>
          <w:rFonts w:asciiTheme="minorHAnsi" w:hAnsiTheme="minorHAnsi" w:cs="Ä‹Ùøf€"/>
        </w:rPr>
        <w:t xml:space="preserve">. </w:t>
      </w:r>
      <w:r w:rsidRPr="00192C5F">
        <w:rPr>
          <w:rFonts w:asciiTheme="minorHAnsi" w:hAnsiTheme="minorHAnsi" w:cs="Ä‹Ùøf€"/>
        </w:rPr>
        <w:t xml:space="preserve">Most </w:t>
      </w:r>
      <w:r w:rsidR="009D1EFE">
        <w:rPr>
          <w:rFonts w:asciiTheme="minorHAnsi" w:hAnsiTheme="minorHAnsi" w:cs="Ä‹Ùøf€"/>
        </w:rPr>
        <w:t>bleeds</w:t>
      </w:r>
      <w:r w:rsidRPr="00192C5F">
        <w:rPr>
          <w:rFonts w:asciiTheme="minorHAnsi" w:hAnsiTheme="minorHAnsi" w:cs="Ä‹Ùøf€"/>
        </w:rPr>
        <w:t xml:space="preserve"> occur in joints and muscles. Without adequate</w:t>
      </w:r>
      <w:r w:rsidRPr="00192C5F">
        <w:rPr>
          <w:rFonts w:asciiTheme="minorHAnsi" w:hAnsiTheme="minorHAnsi" w:cs="œÙøf€"/>
        </w:rPr>
        <w:t xml:space="preserve"> </w:t>
      </w:r>
      <w:r w:rsidRPr="00192C5F">
        <w:rPr>
          <w:rFonts w:asciiTheme="minorHAnsi" w:hAnsiTheme="minorHAnsi" w:cs="Ä‹Ùøf€"/>
        </w:rPr>
        <w:t xml:space="preserve">treatment these repeated </w:t>
      </w:r>
      <w:proofErr w:type="spellStart"/>
      <w:r w:rsidRPr="00192C5F">
        <w:rPr>
          <w:rFonts w:asciiTheme="minorHAnsi" w:hAnsiTheme="minorHAnsi" w:cs="Ä‹Ùøf€"/>
        </w:rPr>
        <w:t>haemarthroses</w:t>
      </w:r>
      <w:proofErr w:type="spellEnd"/>
      <w:r w:rsidRPr="00192C5F">
        <w:rPr>
          <w:rFonts w:asciiTheme="minorHAnsi" w:hAnsiTheme="minorHAnsi" w:cs="Ä‹Ùøf€"/>
        </w:rPr>
        <w:t xml:space="preserve"> and haematomas lead to long-term sequelae with</w:t>
      </w:r>
      <w:r w:rsidRPr="00192C5F">
        <w:rPr>
          <w:rFonts w:asciiTheme="minorHAnsi" w:hAnsiTheme="minorHAnsi" w:cs="œÙøf€"/>
        </w:rPr>
        <w:t xml:space="preserve"> </w:t>
      </w:r>
      <w:r w:rsidRPr="00192C5F">
        <w:rPr>
          <w:rFonts w:asciiTheme="minorHAnsi" w:hAnsiTheme="minorHAnsi" w:cs="Ä‹Ùøf€"/>
        </w:rPr>
        <w:t xml:space="preserve">severe disability. Patients with haemophilia </w:t>
      </w:r>
      <w:proofErr w:type="gramStart"/>
      <w:r w:rsidRPr="00192C5F">
        <w:rPr>
          <w:rFonts w:asciiTheme="minorHAnsi" w:hAnsiTheme="minorHAnsi" w:cs="Ä‹Ùøf€"/>
        </w:rPr>
        <w:t>A</w:t>
      </w:r>
      <w:proofErr w:type="gramEnd"/>
      <w:r w:rsidRPr="00192C5F">
        <w:rPr>
          <w:rFonts w:asciiTheme="minorHAnsi" w:hAnsiTheme="minorHAnsi" w:cs="Ä‹Ùøf€"/>
        </w:rPr>
        <w:t xml:space="preserve"> are at high risk of developing major and life-threatening</w:t>
      </w:r>
      <w:r w:rsidRPr="00192C5F">
        <w:rPr>
          <w:rFonts w:asciiTheme="minorHAnsi" w:hAnsiTheme="minorHAnsi" w:cs="œÙøf€"/>
        </w:rPr>
        <w:t xml:space="preserve"> </w:t>
      </w:r>
      <w:r w:rsidRPr="00192C5F">
        <w:rPr>
          <w:rFonts w:asciiTheme="minorHAnsi" w:hAnsiTheme="minorHAnsi" w:cs="Ä‹Ùøf€"/>
        </w:rPr>
        <w:t>bleeds after surgical procedures, even after minor procedures such as tooth extractio</w:t>
      </w:r>
      <w:r w:rsidRPr="00156DF5">
        <w:rPr>
          <w:rFonts w:asciiTheme="minorHAnsi" w:hAnsiTheme="minorHAnsi" w:cs="Ä‹Ùøf€"/>
        </w:rPr>
        <w:t>n.</w:t>
      </w:r>
      <w:r w:rsidR="00AE330F" w:rsidRPr="00277ACB">
        <w:rPr>
          <w:rFonts w:asciiTheme="minorHAnsi" w:hAnsiTheme="minorHAnsi"/>
        </w:rPr>
        <w:t xml:space="preserve"> Therapy rests on FVIII replacement. </w:t>
      </w:r>
    </w:p>
    <w:p w:rsidR="00C33CC6" w:rsidRDefault="00C33CC6" w:rsidP="00FB4AF7">
      <w:pPr>
        <w:rPr>
          <w:sz w:val="24"/>
          <w:szCs w:val="24"/>
        </w:rPr>
      </w:pPr>
      <w:r w:rsidRPr="00192C5F">
        <w:t>The development of cryoprecipitate and subsequently FVIII concentrates, obtained by fractionation of human plasma, provided replacement FVIII and greatly improved clinical management and life expectancy of patients with haemophilia A.</w:t>
      </w:r>
      <w:r w:rsidR="00FF5033">
        <w:t xml:space="preserve"> </w:t>
      </w:r>
    </w:p>
    <w:p w:rsidR="00823E9F" w:rsidRDefault="004B0C90" w:rsidP="00FB4AF7">
      <w:r>
        <w:t>The m</w:t>
      </w:r>
      <w:r w:rsidRPr="004411EA">
        <w:t xml:space="preserve">echanism of action </w:t>
      </w:r>
      <w:r>
        <w:t xml:space="preserve">of </w:t>
      </w:r>
      <w:proofErr w:type="spellStart"/>
      <w:r w:rsidR="009C1E6B">
        <w:t>simoctocog</w:t>
      </w:r>
      <w:proofErr w:type="spellEnd"/>
      <w:r w:rsidR="009C1E6B">
        <w:t xml:space="preserve"> </w:t>
      </w:r>
      <w:r w:rsidR="00FC63A1">
        <w:t>alfa</w:t>
      </w:r>
      <w:r>
        <w:t xml:space="preserve"> </w:t>
      </w:r>
      <w:r w:rsidRPr="004411EA">
        <w:t xml:space="preserve">is replacement, </w:t>
      </w:r>
      <w:r>
        <w:t>that is,</w:t>
      </w:r>
      <w:r w:rsidRPr="004411EA">
        <w:t xml:space="preserve"> correction of </w:t>
      </w:r>
      <w:r w:rsidR="00823E9F">
        <w:t xml:space="preserve">the </w:t>
      </w:r>
      <w:r w:rsidRPr="004411EA">
        <w:t>FVIII level.</w:t>
      </w:r>
      <w:r>
        <w:t xml:space="preserve"> </w:t>
      </w:r>
      <w:proofErr w:type="spellStart"/>
      <w:r w:rsidR="00FA190B">
        <w:t>Simoctocog</w:t>
      </w:r>
      <w:proofErr w:type="spellEnd"/>
      <w:r w:rsidR="00FA190B">
        <w:t xml:space="preserve"> </w:t>
      </w:r>
      <w:r w:rsidR="00FC63A1">
        <w:t>alfa</w:t>
      </w:r>
      <w:r w:rsidRPr="004411EA">
        <w:t xml:space="preserve"> is a B-domain deleted (BDD) recombinant human coagulation </w:t>
      </w:r>
      <w:r w:rsidR="00CC4F20">
        <w:t xml:space="preserve">FVIII </w:t>
      </w:r>
      <w:r w:rsidRPr="004411EA">
        <w:t>(</w:t>
      </w:r>
      <w:proofErr w:type="spellStart"/>
      <w:r w:rsidRPr="004411EA">
        <w:t>rFVIII</w:t>
      </w:r>
      <w:proofErr w:type="spellEnd"/>
      <w:r w:rsidR="00823E9F">
        <w:t>) derived from the</w:t>
      </w:r>
      <w:r w:rsidR="002F0A00">
        <w:t xml:space="preserve"> human</w:t>
      </w:r>
      <w:r w:rsidR="00823E9F">
        <w:t xml:space="preserve"> embryonic kidney 293F cell line</w:t>
      </w:r>
      <w:r w:rsidRPr="004411EA">
        <w:t>.</w:t>
      </w:r>
      <w:r w:rsidR="00FF5033">
        <w:t xml:space="preserve"> </w:t>
      </w:r>
    </w:p>
    <w:p w:rsidR="00C33CC6" w:rsidRPr="00277ACB" w:rsidRDefault="00AE330F" w:rsidP="00FB4AF7">
      <w:r w:rsidRPr="00277ACB">
        <w:t>Australian clinical gu</w:t>
      </w:r>
      <w:r w:rsidR="00896197">
        <w:t>idelines for treatment include:</w:t>
      </w:r>
    </w:p>
    <w:p w:rsidR="00C33CC6" w:rsidRPr="00277ACB" w:rsidRDefault="00AE330F" w:rsidP="00FB4AF7">
      <w:pPr>
        <w:pStyle w:val="ListParagraph"/>
        <w:numPr>
          <w:ilvl w:val="0"/>
          <w:numId w:val="33"/>
        </w:numPr>
        <w:rPr>
          <w:szCs w:val="22"/>
        </w:rPr>
      </w:pPr>
      <w:r w:rsidRPr="00277ACB">
        <w:rPr>
          <w:rFonts w:eastAsiaTheme="minorHAnsi" w:cs="Arial"/>
          <w:bCs/>
          <w:szCs w:val="22"/>
          <w:lang w:eastAsia="en-US"/>
        </w:rPr>
        <w:t>Evidence-based clinical practice guidelines for the use of recombinant and plasma-derived FVIII and FIX products (NBA/AHCDO, 2006).</w:t>
      </w:r>
    </w:p>
    <w:p w:rsidR="004B0C90" w:rsidRPr="004411EA" w:rsidRDefault="004B0C90" w:rsidP="00FB4AF7">
      <w:r w:rsidRPr="004411EA">
        <w:t xml:space="preserve">The </w:t>
      </w:r>
      <w:r>
        <w:t>current</w:t>
      </w:r>
      <w:r w:rsidRPr="004411EA">
        <w:t xml:space="preserve"> European </w:t>
      </w:r>
      <w:r w:rsidR="00FB4AF7">
        <w:t xml:space="preserve">Union (EU) </w:t>
      </w:r>
      <w:r w:rsidRPr="004411EA">
        <w:t>guideline</w:t>
      </w:r>
      <w:r>
        <w:t xml:space="preserve"> relevant to this application</w:t>
      </w:r>
      <w:r w:rsidRPr="004411EA">
        <w:rPr>
          <w:rStyle w:val="FootnoteReference"/>
          <w:rFonts w:asciiTheme="minorHAnsi" w:hAnsiTheme="minorHAnsi"/>
          <w:sz w:val="24"/>
          <w:szCs w:val="24"/>
        </w:rPr>
        <w:footnoteReference w:id="4"/>
      </w:r>
      <w:r w:rsidRPr="004411EA">
        <w:t xml:space="preserve"> was adopted by the TGA on 1</w:t>
      </w:r>
      <w:r>
        <w:t xml:space="preserve"> June 2014, </w:t>
      </w:r>
      <w:r w:rsidRPr="004411EA">
        <w:t>during the evaluation process for this application.</w:t>
      </w:r>
      <w:r w:rsidR="00FF5033">
        <w:t xml:space="preserve"> </w:t>
      </w:r>
      <w:r w:rsidRPr="004411EA">
        <w:t>Generally the sponsor’s dataset met the requirements of the new guideline.</w:t>
      </w:r>
    </w:p>
    <w:p w:rsidR="006069D7" w:rsidRDefault="006069D7" w:rsidP="00FB4AF7">
      <w:r w:rsidRPr="004B0C90">
        <w:t xml:space="preserve">Currently registered products </w:t>
      </w:r>
      <w:r w:rsidR="008A54AB">
        <w:t xml:space="preserve">in Australia </w:t>
      </w:r>
      <w:r w:rsidRPr="004B0C90">
        <w:t xml:space="preserve">are listed </w:t>
      </w:r>
      <w:r w:rsidR="00C33CC6" w:rsidRPr="004B0C90">
        <w:t>below</w:t>
      </w:r>
      <w:r w:rsidR="008A54AB">
        <w:t xml:space="preserve"> (Table 1).</w:t>
      </w:r>
    </w:p>
    <w:p w:rsidR="008A54AB" w:rsidRDefault="008A54AB" w:rsidP="00CA287F">
      <w:pPr>
        <w:pStyle w:val="TableTitle"/>
        <w:pageBreakBefore/>
      </w:pPr>
      <w:r>
        <w:lastRenderedPageBreak/>
        <w:t>Table 1: Currently registered products in Australia</w:t>
      </w:r>
    </w:p>
    <w:tbl>
      <w:tblPr>
        <w:tblStyle w:val="TableTGAblue"/>
        <w:tblW w:w="0" w:type="auto"/>
        <w:tblLook w:val="0660" w:firstRow="1" w:lastRow="1" w:firstColumn="0" w:lastColumn="0" w:noHBand="1" w:noVBand="1"/>
      </w:tblPr>
      <w:tblGrid>
        <w:gridCol w:w="2376"/>
        <w:gridCol w:w="6237"/>
      </w:tblGrid>
      <w:tr w:rsidR="00590DC1" w:rsidTr="00CA287F">
        <w:trPr>
          <w:cnfStyle w:val="100000000000" w:firstRow="1" w:lastRow="0" w:firstColumn="0" w:lastColumn="0" w:oddVBand="0" w:evenVBand="0" w:oddHBand="0" w:evenHBand="0" w:firstRowFirstColumn="0" w:firstRowLastColumn="0" w:lastRowFirstColumn="0" w:lastRowLastColumn="0"/>
        </w:trPr>
        <w:tc>
          <w:tcPr>
            <w:tcW w:w="2376" w:type="dxa"/>
          </w:tcPr>
          <w:p w:rsidR="00590DC1" w:rsidRPr="00587BCF" w:rsidRDefault="00590DC1" w:rsidP="00CA287F">
            <w:r w:rsidRPr="00587BCF">
              <w:t>Product</w:t>
            </w:r>
          </w:p>
        </w:tc>
        <w:tc>
          <w:tcPr>
            <w:tcW w:w="6237" w:type="dxa"/>
          </w:tcPr>
          <w:p w:rsidR="00590DC1" w:rsidRPr="00587BCF" w:rsidRDefault="00590DC1" w:rsidP="00CA287F">
            <w:r w:rsidRPr="00587BCF">
              <w:t>Approved indication</w:t>
            </w:r>
          </w:p>
        </w:tc>
      </w:tr>
      <w:tr w:rsidR="00BA154F" w:rsidTr="00CA287F">
        <w:tc>
          <w:tcPr>
            <w:tcW w:w="8613" w:type="dxa"/>
            <w:gridSpan w:val="2"/>
          </w:tcPr>
          <w:p w:rsidR="00BA154F" w:rsidRPr="00590DC1" w:rsidRDefault="00BA154F" w:rsidP="00CA287F">
            <w:r w:rsidRPr="00590DC1">
              <w:rPr>
                <w:i/>
              </w:rPr>
              <w:t xml:space="preserve">Plasma-derived </w:t>
            </w:r>
          </w:p>
        </w:tc>
      </w:tr>
      <w:tr w:rsidR="00590DC1" w:rsidTr="00CA287F">
        <w:tc>
          <w:tcPr>
            <w:tcW w:w="2376" w:type="dxa"/>
          </w:tcPr>
          <w:p w:rsidR="00590DC1" w:rsidRPr="00590DC1" w:rsidRDefault="00590DC1" w:rsidP="00CA287F">
            <w:proofErr w:type="spellStart"/>
            <w:r w:rsidRPr="00590DC1">
              <w:t>Biostate</w:t>
            </w:r>
            <w:proofErr w:type="spellEnd"/>
            <w:r w:rsidRPr="00590DC1">
              <w:t xml:space="preserve"> and </w:t>
            </w:r>
            <w:proofErr w:type="spellStart"/>
            <w:r w:rsidRPr="00590DC1">
              <w:t>Aleviate</w:t>
            </w:r>
            <w:proofErr w:type="spellEnd"/>
          </w:p>
        </w:tc>
        <w:tc>
          <w:tcPr>
            <w:tcW w:w="6237" w:type="dxa"/>
          </w:tcPr>
          <w:p w:rsidR="00590DC1" w:rsidRPr="00590DC1" w:rsidRDefault="00590DC1" w:rsidP="00CA287F">
            <w:r>
              <w:t>T</w:t>
            </w:r>
            <w:r w:rsidRPr="00590DC1">
              <w:t xml:space="preserve">he treatment of bleeding episodes including surgical bleeding in patients with von </w:t>
            </w:r>
            <w:proofErr w:type="spellStart"/>
            <w:r w:rsidRPr="00590DC1">
              <w:t>Willebrand</w:t>
            </w:r>
            <w:proofErr w:type="spellEnd"/>
            <w:r w:rsidRPr="00590DC1">
              <w:t xml:space="preserve"> disease when desmopressin (DDAVP) treatment is</w:t>
            </w:r>
            <w:r w:rsidR="00CA287F">
              <w:t xml:space="preserve"> ineffective or contraindicated</w:t>
            </w:r>
          </w:p>
          <w:p w:rsidR="00590DC1" w:rsidRPr="00590DC1" w:rsidRDefault="00590DC1" w:rsidP="00CA287F">
            <w:r>
              <w:t>T</w:t>
            </w:r>
            <w:r w:rsidRPr="00590DC1">
              <w:t>he treatment and prophylaxis of bleeding associated with FVIII deficiency due to haemophilia A.</w:t>
            </w:r>
          </w:p>
        </w:tc>
      </w:tr>
      <w:tr w:rsidR="00590DC1" w:rsidTr="00CA287F">
        <w:tc>
          <w:tcPr>
            <w:tcW w:w="2376" w:type="dxa"/>
          </w:tcPr>
          <w:p w:rsidR="00590DC1" w:rsidRPr="00590DC1" w:rsidRDefault="00590DC1" w:rsidP="00CA287F">
            <w:proofErr w:type="spellStart"/>
            <w:r w:rsidRPr="00590DC1">
              <w:t>Octanate</w:t>
            </w:r>
            <w:proofErr w:type="spellEnd"/>
          </w:p>
        </w:tc>
        <w:tc>
          <w:tcPr>
            <w:tcW w:w="6237" w:type="dxa"/>
          </w:tcPr>
          <w:p w:rsidR="00590DC1" w:rsidRPr="00590DC1" w:rsidRDefault="00590DC1" w:rsidP="00CA287F">
            <w:pPr>
              <w:rPr>
                <w:rFonts w:eastAsiaTheme="minorHAnsi" w:cs="TimesNewRomanPSMT"/>
              </w:rPr>
            </w:pPr>
            <w:r w:rsidRPr="00590DC1">
              <w:rPr>
                <w:rFonts w:eastAsiaTheme="minorHAnsi" w:cs="TimesNewRomanPSMT"/>
              </w:rPr>
              <w:t xml:space="preserve">Treatment and prophylaxis of bleeding in patients with haemophilia A (congenital </w:t>
            </w:r>
            <w:r w:rsidR="00BA154F">
              <w:rPr>
                <w:rFonts w:eastAsiaTheme="minorHAnsi" w:cs="TimesNewRomanPSMT"/>
              </w:rPr>
              <w:t>FVIII</w:t>
            </w:r>
            <w:r w:rsidR="00CC4F20">
              <w:rPr>
                <w:rFonts w:eastAsiaTheme="minorHAnsi" w:cs="TimesNewRomanPSMT"/>
              </w:rPr>
              <w:t xml:space="preserve"> </w:t>
            </w:r>
            <w:r w:rsidRPr="00590DC1">
              <w:rPr>
                <w:rFonts w:eastAsiaTheme="minorHAnsi" w:cs="TimesNewRomanPSMT"/>
              </w:rPr>
              <w:t>deficiency).</w:t>
            </w:r>
          </w:p>
          <w:p w:rsidR="00590DC1" w:rsidRPr="00590DC1" w:rsidRDefault="00590DC1" w:rsidP="00CA287F">
            <w:pPr>
              <w:rPr>
                <w:rFonts w:eastAsiaTheme="minorHAnsi" w:cs="TimesNewRomanPSMT"/>
              </w:rPr>
            </w:pPr>
            <w:r w:rsidRPr="00590DC1">
              <w:rPr>
                <w:rFonts w:eastAsiaTheme="minorHAnsi" w:cs="TimesNewRomanPSMT"/>
              </w:rPr>
              <w:t xml:space="preserve">This preparation does not contain von </w:t>
            </w:r>
            <w:proofErr w:type="spellStart"/>
            <w:r w:rsidRPr="00590DC1">
              <w:rPr>
                <w:rFonts w:eastAsiaTheme="minorHAnsi" w:cs="TimesNewRomanPSMT"/>
              </w:rPr>
              <w:t>Willebrand</w:t>
            </w:r>
            <w:proofErr w:type="spellEnd"/>
            <w:r w:rsidRPr="00590DC1">
              <w:rPr>
                <w:rFonts w:eastAsiaTheme="minorHAnsi" w:cs="TimesNewRomanPSMT"/>
              </w:rPr>
              <w:t xml:space="preserve"> factor in pharmacologically effective quantities and is therefore not indicated in von </w:t>
            </w:r>
            <w:proofErr w:type="spellStart"/>
            <w:r w:rsidRPr="00590DC1">
              <w:rPr>
                <w:rFonts w:eastAsiaTheme="minorHAnsi" w:cs="TimesNewRomanPSMT"/>
              </w:rPr>
              <w:t>Willebrand’s</w:t>
            </w:r>
            <w:proofErr w:type="spellEnd"/>
            <w:r w:rsidRPr="00590DC1">
              <w:rPr>
                <w:rFonts w:eastAsiaTheme="minorHAnsi" w:cs="TimesNewRomanPSMT"/>
              </w:rPr>
              <w:t xml:space="preserve"> disease.</w:t>
            </w:r>
          </w:p>
        </w:tc>
      </w:tr>
      <w:tr w:rsidR="00590DC1" w:rsidTr="00CA287F">
        <w:tc>
          <w:tcPr>
            <w:tcW w:w="2376" w:type="dxa"/>
          </w:tcPr>
          <w:p w:rsidR="00590DC1" w:rsidRPr="00590DC1" w:rsidRDefault="00590DC1" w:rsidP="00CA287F">
            <w:proofErr w:type="spellStart"/>
            <w:r w:rsidRPr="00590DC1">
              <w:t>Wilate</w:t>
            </w:r>
            <w:proofErr w:type="spellEnd"/>
          </w:p>
        </w:tc>
        <w:tc>
          <w:tcPr>
            <w:tcW w:w="6237" w:type="dxa"/>
          </w:tcPr>
          <w:p w:rsidR="00590DC1" w:rsidRPr="008A54AB" w:rsidRDefault="00590DC1" w:rsidP="00CA287F">
            <w:pPr>
              <w:rPr>
                <w:rFonts w:eastAsiaTheme="minorHAnsi" w:cs="TimesNewRomanPSMT"/>
                <w:i/>
              </w:rPr>
            </w:pPr>
            <w:r w:rsidRPr="008A54AB">
              <w:rPr>
                <w:rFonts w:eastAsiaTheme="minorHAnsi" w:cs="TimesNewRomanPSMT"/>
                <w:i/>
              </w:rPr>
              <w:t xml:space="preserve">Von </w:t>
            </w:r>
            <w:proofErr w:type="spellStart"/>
            <w:r w:rsidRPr="008A54AB">
              <w:rPr>
                <w:rFonts w:eastAsiaTheme="minorHAnsi" w:cs="TimesNewRomanPSMT"/>
                <w:i/>
              </w:rPr>
              <w:t>Willebrand</w:t>
            </w:r>
            <w:proofErr w:type="spellEnd"/>
            <w:r w:rsidRPr="008A54AB">
              <w:rPr>
                <w:rFonts w:eastAsiaTheme="minorHAnsi" w:cs="TimesNewRomanPSMT"/>
                <w:i/>
              </w:rPr>
              <w:t xml:space="preserve"> disease (VWD)</w:t>
            </w:r>
          </w:p>
          <w:p w:rsidR="00590DC1" w:rsidRPr="00590DC1" w:rsidRDefault="00590DC1" w:rsidP="00CA287F">
            <w:pPr>
              <w:rPr>
                <w:rFonts w:eastAsiaTheme="minorHAnsi" w:cs="TimesNewRomanPSMT"/>
              </w:rPr>
            </w:pPr>
            <w:r w:rsidRPr="00590DC1">
              <w:rPr>
                <w:rFonts w:eastAsiaTheme="minorHAnsi" w:cs="TimesNewRomanPSMT"/>
              </w:rPr>
              <w:t xml:space="preserve">Treatment of bleeding episodes including surgical bleeding in patients with von </w:t>
            </w:r>
            <w:proofErr w:type="spellStart"/>
            <w:r w:rsidRPr="00590DC1">
              <w:rPr>
                <w:rFonts w:eastAsiaTheme="minorHAnsi" w:cs="TimesNewRomanPSMT"/>
              </w:rPr>
              <w:t>Willebrand’s</w:t>
            </w:r>
            <w:proofErr w:type="spellEnd"/>
            <w:r w:rsidRPr="00590DC1">
              <w:rPr>
                <w:rFonts w:eastAsiaTheme="minorHAnsi" w:cs="TimesNewRomanPSMT"/>
              </w:rPr>
              <w:t xml:space="preserve"> disease when desmopressin treatment is ineffective or contraindicated.</w:t>
            </w:r>
          </w:p>
          <w:p w:rsidR="00590DC1" w:rsidRPr="008A54AB" w:rsidRDefault="00590DC1" w:rsidP="00CA287F">
            <w:pPr>
              <w:rPr>
                <w:rFonts w:eastAsiaTheme="minorHAnsi" w:cs="TimesNewRomanPSMT"/>
                <w:i/>
              </w:rPr>
            </w:pPr>
            <w:r w:rsidRPr="008A54AB">
              <w:rPr>
                <w:rFonts w:eastAsiaTheme="minorHAnsi" w:cs="TimesNewRomanPSMT"/>
                <w:i/>
              </w:rPr>
              <w:t>Haemophilia A</w:t>
            </w:r>
          </w:p>
          <w:p w:rsidR="00590DC1" w:rsidRPr="00590DC1" w:rsidRDefault="00590DC1" w:rsidP="00CA287F">
            <w:pPr>
              <w:rPr>
                <w:rFonts w:eastAsiaTheme="minorHAnsi" w:cs="TimesNewRomanPSMT"/>
              </w:rPr>
            </w:pPr>
            <w:r w:rsidRPr="00590DC1">
              <w:rPr>
                <w:rFonts w:eastAsiaTheme="minorHAnsi" w:cs="TimesNewRomanPSMT"/>
              </w:rPr>
              <w:t>Treatment and prophylaxis of bleeding including surgical bleeding in patients with haemophilia A (congenital FVIII deficiency).</w:t>
            </w:r>
          </w:p>
          <w:p w:rsidR="00590DC1" w:rsidRPr="00590DC1" w:rsidRDefault="00590DC1" w:rsidP="00CA287F">
            <w:pPr>
              <w:rPr>
                <w:rFonts w:eastAsiaTheme="minorHAnsi" w:cs="TimesNewRomanPSMT"/>
              </w:rPr>
            </w:pPr>
            <w:r w:rsidRPr="00590DC1">
              <w:rPr>
                <w:rFonts w:eastAsiaTheme="minorHAnsi" w:cs="TimesNewRomanPSMT"/>
              </w:rPr>
              <w:t>Controlled clinical trials to evaluate the safety and efficacy of WILATE® in major surgeries are ongoing in both VWD and haemophilia A patients. Therefore, limited data are presently available on which to evaluate or to base dosing recommendations in either of these settings. Thus, in the case of major surgical interventions, a precise monitoring of the substitution therapy by means of coagulation analysis (FVIII</w:t>
            </w:r>
            <w:proofErr w:type="gramStart"/>
            <w:r w:rsidRPr="00590DC1">
              <w:rPr>
                <w:rFonts w:eastAsiaTheme="minorHAnsi" w:cs="TimesNewRomanPSMT"/>
              </w:rPr>
              <w:t>:C</w:t>
            </w:r>
            <w:proofErr w:type="gramEnd"/>
            <w:r w:rsidRPr="00590DC1">
              <w:rPr>
                <w:rFonts w:eastAsiaTheme="minorHAnsi" w:cs="TimesNewRomanPSMT"/>
              </w:rPr>
              <w:t xml:space="preserve"> and possibly </w:t>
            </w:r>
            <w:proofErr w:type="spellStart"/>
            <w:r w:rsidR="00BA0064">
              <w:rPr>
                <w:rFonts w:eastAsiaTheme="minorHAnsi" w:cs="TimesNewRomanPSMT"/>
              </w:rPr>
              <w:t>vWF</w:t>
            </w:r>
            <w:r w:rsidRPr="00590DC1">
              <w:rPr>
                <w:rFonts w:eastAsiaTheme="minorHAnsi" w:cs="TimesNewRomanPSMT"/>
              </w:rPr>
              <w:t>:RCo</w:t>
            </w:r>
            <w:proofErr w:type="spellEnd"/>
            <w:r w:rsidRPr="00590DC1">
              <w:rPr>
                <w:rFonts w:eastAsiaTheme="minorHAnsi" w:cs="TimesNewRomanPSMT"/>
              </w:rPr>
              <w:t>) is indispensable.</w:t>
            </w:r>
          </w:p>
          <w:p w:rsidR="00590DC1" w:rsidRPr="00590DC1" w:rsidRDefault="00590DC1" w:rsidP="00CA287F">
            <w:pPr>
              <w:rPr>
                <w:rFonts w:eastAsiaTheme="minorHAnsi" w:cs="TimesNewRomanPSMT"/>
              </w:rPr>
            </w:pPr>
            <w:r w:rsidRPr="00590DC1">
              <w:rPr>
                <w:rFonts w:eastAsiaTheme="minorHAnsi" w:cs="TimesNewRomanPSMT"/>
              </w:rPr>
              <w:t>There are insufficient data to recommend the use of WILATE</w:t>
            </w:r>
            <w:r w:rsidRPr="00590DC1">
              <w:rPr>
                <w:rFonts w:eastAsiaTheme="minorHAnsi" w:cs="Arial"/>
              </w:rPr>
              <w:t xml:space="preserve">® </w:t>
            </w:r>
            <w:r w:rsidRPr="00590DC1">
              <w:rPr>
                <w:rFonts w:eastAsiaTheme="minorHAnsi" w:cs="TimesNewRomanPSMT"/>
              </w:rPr>
              <w:t>in children less than 12 years of age.</w:t>
            </w:r>
          </w:p>
        </w:tc>
      </w:tr>
      <w:tr w:rsidR="00BA154F" w:rsidTr="00CA287F">
        <w:tc>
          <w:tcPr>
            <w:tcW w:w="8613" w:type="dxa"/>
            <w:gridSpan w:val="2"/>
          </w:tcPr>
          <w:p w:rsidR="00BA154F" w:rsidRPr="00590DC1" w:rsidRDefault="00BA154F" w:rsidP="00CA287F">
            <w:r w:rsidRPr="00590DC1">
              <w:t xml:space="preserve">Recombinant </w:t>
            </w:r>
          </w:p>
        </w:tc>
      </w:tr>
      <w:tr w:rsidR="00590DC1" w:rsidTr="00CA287F">
        <w:tc>
          <w:tcPr>
            <w:tcW w:w="2376" w:type="dxa"/>
          </w:tcPr>
          <w:p w:rsidR="00590DC1" w:rsidRPr="00590DC1" w:rsidRDefault="00590DC1" w:rsidP="00CA287F">
            <w:r w:rsidRPr="00590DC1">
              <w:t xml:space="preserve">Increasing generation reflects theoretically less exposure to proteins other than </w:t>
            </w:r>
            <w:proofErr w:type="spellStart"/>
            <w:r w:rsidRPr="00590DC1">
              <w:t>rhFVIII</w:t>
            </w:r>
            <w:proofErr w:type="spellEnd"/>
            <w:r w:rsidRPr="00590DC1">
              <w:rPr>
                <w:rStyle w:val="FootnoteReference"/>
                <w:rFonts w:asciiTheme="minorHAnsi" w:hAnsiTheme="minorHAnsi"/>
                <w:sz w:val="18"/>
                <w:szCs w:val="18"/>
              </w:rPr>
              <w:footnoteReference w:id="5"/>
            </w:r>
            <w:r w:rsidRPr="00590DC1">
              <w:t>.</w:t>
            </w:r>
          </w:p>
          <w:p w:rsidR="00590DC1" w:rsidRPr="00590DC1" w:rsidRDefault="00590DC1" w:rsidP="00CA287F">
            <w:proofErr w:type="spellStart"/>
            <w:r w:rsidRPr="00590DC1">
              <w:lastRenderedPageBreak/>
              <w:t>Octocog</w:t>
            </w:r>
            <w:proofErr w:type="spellEnd"/>
            <w:r w:rsidRPr="00590DC1">
              <w:t xml:space="preserve"> alfa (</w:t>
            </w:r>
            <w:proofErr w:type="spellStart"/>
            <w:r w:rsidRPr="00590DC1">
              <w:t>Recombinate</w:t>
            </w:r>
            <w:proofErr w:type="spellEnd"/>
            <w:r w:rsidRPr="00590DC1">
              <w:t>)</w:t>
            </w:r>
          </w:p>
        </w:tc>
        <w:tc>
          <w:tcPr>
            <w:tcW w:w="6237" w:type="dxa"/>
          </w:tcPr>
          <w:p w:rsidR="00590DC1" w:rsidRPr="00590DC1" w:rsidRDefault="00590DC1" w:rsidP="00CA287F">
            <w:r w:rsidRPr="00590DC1">
              <w:lastRenderedPageBreak/>
              <w:t>First generation.</w:t>
            </w:r>
            <w:r w:rsidR="00FF5033">
              <w:t xml:space="preserve"> </w:t>
            </w:r>
            <w:r w:rsidRPr="00590DC1">
              <w:t>CHO cell line, i.e. hamster.</w:t>
            </w:r>
          </w:p>
          <w:p w:rsidR="00590DC1" w:rsidRPr="00590DC1" w:rsidRDefault="00590DC1" w:rsidP="00CA287F">
            <w:r w:rsidRPr="00590DC1">
              <w:rPr>
                <w:rFonts w:eastAsiaTheme="minorHAnsi"/>
              </w:rPr>
              <w:t xml:space="preserve">RECOMBINATE is indicated for use in haemophilia A (classical haemophilia) for the prevention and control of haemorrhagic episodes. Patients with haemophilia A may be treated with RECOMBINATE as perioperative management. RECOMBINATE is not indicated in von </w:t>
            </w:r>
            <w:proofErr w:type="spellStart"/>
            <w:r w:rsidRPr="00590DC1">
              <w:rPr>
                <w:rFonts w:eastAsiaTheme="minorHAnsi"/>
              </w:rPr>
              <w:t>Willebrand’s</w:t>
            </w:r>
            <w:proofErr w:type="spellEnd"/>
            <w:r w:rsidRPr="00590DC1">
              <w:rPr>
                <w:rFonts w:eastAsiaTheme="minorHAnsi"/>
              </w:rPr>
              <w:t xml:space="preserve"> disease.</w:t>
            </w:r>
          </w:p>
        </w:tc>
      </w:tr>
      <w:tr w:rsidR="00590DC1" w:rsidTr="00CA287F">
        <w:tc>
          <w:tcPr>
            <w:tcW w:w="2376" w:type="dxa"/>
          </w:tcPr>
          <w:p w:rsidR="00590DC1" w:rsidRPr="00590DC1" w:rsidRDefault="00590DC1" w:rsidP="00CA287F">
            <w:proofErr w:type="spellStart"/>
            <w:r w:rsidRPr="00590DC1">
              <w:lastRenderedPageBreak/>
              <w:t>Octocog</w:t>
            </w:r>
            <w:proofErr w:type="spellEnd"/>
            <w:r w:rsidRPr="00590DC1">
              <w:t xml:space="preserve"> alfa (</w:t>
            </w:r>
            <w:proofErr w:type="spellStart"/>
            <w:r w:rsidRPr="00590DC1">
              <w:t>Kogenate</w:t>
            </w:r>
            <w:proofErr w:type="spellEnd"/>
            <w:r w:rsidRPr="00590DC1">
              <w:t xml:space="preserve"> FS) (</w:t>
            </w:r>
            <w:proofErr w:type="spellStart"/>
            <w:r w:rsidRPr="00590DC1">
              <w:t>Helixate</w:t>
            </w:r>
            <w:proofErr w:type="spellEnd"/>
            <w:r w:rsidRPr="00590DC1">
              <w:t xml:space="preserve"> </w:t>
            </w:r>
            <w:proofErr w:type="spellStart"/>
            <w:r w:rsidRPr="00590DC1">
              <w:t>NexGen</w:t>
            </w:r>
            <w:proofErr w:type="spellEnd"/>
            <w:r w:rsidRPr="00590DC1">
              <w:t>)</w:t>
            </w:r>
          </w:p>
        </w:tc>
        <w:tc>
          <w:tcPr>
            <w:tcW w:w="6237" w:type="dxa"/>
          </w:tcPr>
          <w:p w:rsidR="00590DC1" w:rsidRPr="00590DC1" w:rsidRDefault="00590DC1" w:rsidP="00CA287F">
            <w:r w:rsidRPr="00590DC1">
              <w:t>Second generation.</w:t>
            </w:r>
            <w:r w:rsidR="00FF5033">
              <w:t xml:space="preserve"> </w:t>
            </w:r>
            <w:r w:rsidRPr="00590DC1">
              <w:t>Full length FVIII.</w:t>
            </w:r>
            <w:r w:rsidR="00FF5033">
              <w:t xml:space="preserve"> </w:t>
            </w:r>
            <w:r w:rsidRPr="00590DC1">
              <w:t xml:space="preserve">Baby hamster kidney </w:t>
            </w:r>
            <w:r w:rsidR="0041331E">
              <w:t xml:space="preserve">(BHK) </w:t>
            </w:r>
            <w:r w:rsidRPr="00590DC1">
              <w:t>cell line.</w:t>
            </w:r>
          </w:p>
          <w:p w:rsidR="00590DC1" w:rsidRPr="00590DC1" w:rsidRDefault="00590DC1" w:rsidP="00CA287F">
            <w:pPr>
              <w:rPr>
                <w:rFonts w:eastAsiaTheme="minorHAnsi" w:cs="Arial"/>
                <w:color w:val="000000"/>
              </w:rPr>
            </w:pPr>
            <w:r w:rsidRPr="00590DC1">
              <w:rPr>
                <w:rFonts w:eastAsiaTheme="minorHAnsi" w:cs="Arial"/>
                <w:color w:val="000000"/>
              </w:rPr>
              <w:t xml:space="preserve">KOGENATE FS is indicated for the treatment and prophylaxis of bleeding in patients with haemophilia A (congenital </w:t>
            </w:r>
            <w:r w:rsidR="00BA154F">
              <w:rPr>
                <w:rFonts w:eastAsiaTheme="minorHAnsi" w:cs="Arial"/>
                <w:color w:val="000000"/>
              </w:rPr>
              <w:t>FVIII</w:t>
            </w:r>
            <w:r w:rsidR="00CC4F20">
              <w:rPr>
                <w:rFonts w:eastAsiaTheme="minorHAnsi" w:cs="Arial"/>
                <w:color w:val="000000"/>
              </w:rPr>
              <w:t xml:space="preserve"> </w:t>
            </w:r>
            <w:r w:rsidRPr="00590DC1">
              <w:rPr>
                <w:rFonts w:eastAsiaTheme="minorHAnsi" w:cs="Arial"/>
                <w:color w:val="000000"/>
              </w:rPr>
              <w:t xml:space="preserve">deficiency). It may also be used in patients with </w:t>
            </w:r>
            <w:r w:rsidR="00BA154F">
              <w:rPr>
                <w:rFonts w:eastAsiaTheme="minorHAnsi" w:cs="Arial"/>
                <w:color w:val="000000"/>
              </w:rPr>
              <w:t>FVIII</w:t>
            </w:r>
            <w:r w:rsidR="00CC4F20">
              <w:rPr>
                <w:rFonts w:eastAsiaTheme="minorHAnsi" w:cs="Arial"/>
                <w:color w:val="000000"/>
              </w:rPr>
              <w:t xml:space="preserve"> </w:t>
            </w:r>
            <w:r w:rsidRPr="00590DC1">
              <w:rPr>
                <w:rFonts w:eastAsiaTheme="minorHAnsi" w:cs="Arial"/>
                <w:color w:val="000000"/>
              </w:rPr>
              <w:t xml:space="preserve">inhibitors (neutralising antibodies) who continue to respond to infused </w:t>
            </w:r>
            <w:r w:rsidR="00BA154F">
              <w:rPr>
                <w:rFonts w:eastAsiaTheme="minorHAnsi" w:cs="Arial"/>
                <w:color w:val="000000"/>
              </w:rPr>
              <w:t>FVIII</w:t>
            </w:r>
            <w:r w:rsidRPr="00590DC1">
              <w:rPr>
                <w:rFonts w:eastAsiaTheme="minorHAnsi" w:cs="Arial"/>
                <w:color w:val="000000"/>
              </w:rPr>
              <w:t xml:space="preserve">. </w:t>
            </w:r>
          </w:p>
          <w:p w:rsidR="00590DC1" w:rsidRPr="00590DC1" w:rsidRDefault="00590DC1" w:rsidP="00CA287F">
            <w:r w:rsidRPr="00590DC1">
              <w:rPr>
                <w:rFonts w:eastAsiaTheme="minorHAnsi" w:cs="Arial"/>
                <w:color w:val="000000"/>
              </w:rPr>
              <w:t xml:space="preserve">KOGENATE FS does not contain von </w:t>
            </w:r>
            <w:proofErr w:type="spellStart"/>
            <w:r w:rsidRPr="00590DC1">
              <w:rPr>
                <w:rFonts w:eastAsiaTheme="minorHAnsi" w:cs="Arial"/>
                <w:color w:val="000000"/>
              </w:rPr>
              <w:t>Willebrand</w:t>
            </w:r>
            <w:proofErr w:type="spellEnd"/>
            <w:r w:rsidRPr="00590DC1">
              <w:rPr>
                <w:rFonts w:eastAsiaTheme="minorHAnsi" w:cs="Arial"/>
                <w:color w:val="000000"/>
              </w:rPr>
              <w:t xml:space="preserve"> Factor and hence is not indicated in von </w:t>
            </w:r>
            <w:proofErr w:type="spellStart"/>
            <w:r w:rsidRPr="00590DC1">
              <w:rPr>
                <w:rFonts w:eastAsiaTheme="minorHAnsi" w:cs="Arial"/>
                <w:color w:val="000000"/>
              </w:rPr>
              <w:t>Willebrand’s</w:t>
            </w:r>
            <w:proofErr w:type="spellEnd"/>
            <w:r w:rsidRPr="00590DC1">
              <w:rPr>
                <w:rFonts w:eastAsiaTheme="minorHAnsi" w:cs="Arial"/>
                <w:color w:val="000000"/>
              </w:rPr>
              <w:t xml:space="preserve"> disease.</w:t>
            </w:r>
          </w:p>
        </w:tc>
      </w:tr>
      <w:tr w:rsidR="00590DC1" w:rsidTr="00CA287F">
        <w:tc>
          <w:tcPr>
            <w:tcW w:w="2376" w:type="dxa"/>
          </w:tcPr>
          <w:p w:rsidR="00590DC1" w:rsidRPr="00590DC1" w:rsidRDefault="00590DC1" w:rsidP="00CA287F">
            <w:proofErr w:type="spellStart"/>
            <w:r w:rsidRPr="00590DC1">
              <w:t>Octocog</w:t>
            </w:r>
            <w:proofErr w:type="spellEnd"/>
            <w:r w:rsidRPr="00590DC1">
              <w:t xml:space="preserve"> alfa (</w:t>
            </w:r>
            <w:proofErr w:type="spellStart"/>
            <w:r w:rsidRPr="00590DC1">
              <w:t>Advate</w:t>
            </w:r>
            <w:proofErr w:type="spellEnd"/>
            <w:r w:rsidRPr="00590DC1">
              <w:t>)</w:t>
            </w:r>
          </w:p>
        </w:tc>
        <w:tc>
          <w:tcPr>
            <w:tcW w:w="6237" w:type="dxa"/>
          </w:tcPr>
          <w:p w:rsidR="00590DC1" w:rsidRPr="00590DC1" w:rsidRDefault="00590DC1" w:rsidP="00CA287F">
            <w:r w:rsidRPr="00590DC1">
              <w:t>Third generation.</w:t>
            </w:r>
            <w:r w:rsidR="00FF5033">
              <w:t xml:space="preserve"> </w:t>
            </w:r>
            <w:r w:rsidRPr="00590DC1">
              <w:t>Full length FVIII.</w:t>
            </w:r>
            <w:r w:rsidR="00FF5033">
              <w:t xml:space="preserve"> </w:t>
            </w:r>
            <w:r w:rsidRPr="00590DC1">
              <w:t>CHO cell line.</w:t>
            </w:r>
          </w:p>
          <w:p w:rsidR="00590DC1" w:rsidRPr="00590DC1" w:rsidRDefault="00590DC1" w:rsidP="00CA287F">
            <w:r w:rsidRPr="00590DC1">
              <w:rPr>
                <w:rFonts w:eastAsiaTheme="minorHAnsi" w:cs="TimesNewRomanPSMT"/>
              </w:rPr>
              <w:t xml:space="preserve">ADVATE is indicated for use in haemophilia A for prevention and control of haemorrhagic episodes. Patients with haemophilia A may be treated with ADVATE as perioperative management. ADVATE is not indicated in von </w:t>
            </w:r>
            <w:proofErr w:type="spellStart"/>
            <w:r w:rsidRPr="00590DC1">
              <w:rPr>
                <w:rFonts w:eastAsiaTheme="minorHAnsi" w:cs="TimesNewRomanPSMT"/>
              </w:rPr>
              <w:t>Willebrand’s</w:t>
            </w:r>
            <w:proofErr w:type="spellEnd"/>
            <w:r w:rsidRPr="00590DC1">
              <w:rPr>
                <w:rFonts w:eastAsiaTheme="minorHAnsi" w:cs="TimesNewRomanPSMT"/>
              </w:rPr>
              <w:t xml:space="preserve"> disease.</w:t>
            </w:r>
          </w:p>
        </w:tc>
      </w:tr>
      <w:tr w:rsidR="00590DC1" w:rsidTr="00CA287F">
        <w:tc>
          <w:tcPr>
            <w:tcW w:w="2376" w:type="dxa"/>
          </w:tcPr>
          <w:p w:rsidR="00590DC1" w:rsidRPr="00590DC1" w:rsidRDefault="00590DC1" w:rsidP="00CA287F">
            <w:proofErr w:type="spellStart"/>
            <w:r w:rsidRPr="00590DC1">
              <w:t>Moroctocog</w:t>
            </w:r>
            <w:proofErr w:type="spellEnd"/>
            <w:r w:rsidRPr="00590DC1">
              <w:t xml:space="preserve"> alfa (</w:t>
            </w:r>
            <w:proofErr w:type="spellStart"/>
            <w:r w:rsidRPr="00590DC1">
              <w:t>Xyntha</w:t>
            </w:r>
            <w:proofErr w:type="spellEnd"/>
            <w:r w:rsidRPr="00590DC1">
              <w:t>)</w:t>
            </w:r>
          </w:p>
        </w:tc>
        <w:tc>
          <w:tcPr>
            <w:tcW w:w="6237" w:type="dxa"/>
          </w:tcPr>
          <w:p w:rsidR="00590DC1" w:rsidRPr="00590DC1" w:rsidRDefault="00590DC1" w:rsidP="00CA287F">
            <w:r w:rsidRPr="00590DC1">
              <w:t>Third generation.</w:t>
            </w:r>
            <w:r w:rsidR="00FF5033">
              <w:t xml:space="preserve"> </w:t>
            </w:r>
            <w:r w:rsidRPr="00590DC1">
              <w:t>B-domain deleted.</w:t>
            </w:r>
            <w:r w:rsidR="00FF5033">
              <w:t xml:space="preserve"> </w:t>
            </w:r>
            <w:r w:rsidRPr="00590DC1">
              <w:t>CHO cell line.</w:t>
            </w:r>
          </w:p>
          <w:p w:rsidR="00590DC1" w:rsidRPr="00590DC1" w:rsidRDefault="00590DC1" w:rsidP="00CA287F">
            <w:r w:rsidRPr="00590DC1">
              <w:t xml:space="preserve">XYNTHA is indicated for the control and prevention of haemorrhagic episodes in patients with haemophilia A, including control and prevention of bleeding in surgical settings. XYNTHA does not contain von </w:t>
            </w:r>
            <w:proofErr w:type="spellStart"/>
            <w:r w:rsidRPr="00590DC1">
              <w:t>Willebrand</w:t>
            </w:r>
            <w:proofErr w:type="spellEnd"/>
            <w:r w:rsidRPr="00590DC1">
              <w:t xml:space="preserve"> factor and should not be used by patients with von </w:t>
            </w:r>
            <w:proofErr w:type="spellStart"/>
            <w:r w:rsidRPr="00590DC1">
              <w:t>Willebrand’s</w:t>
            </w:r>
            <w:proofErr w:type="spellEnd"/>
            <w:r w:rsidRPr="00590DC1">
              <w:t xml:space="preserve"> disease.</w:t>
            </w:r>
          </w:p>
        </w:tc>
      </w:tr>
      <w:tr w:rsidR="00590DC1" w:rsidTr="00CA287F">
        <w:tc>
          <w:tcPr>
            <w:tcW w:w="2376" w:type="dxa"/>
          </w:tcPr>
          <w:p w:rsidR="00590DC1" w:rsidRPr="00590DC1" w:rsidRDefault="00590DC1" w:rsidP="00CA287F">
            <w:proofErr w:type="spellStart"/>
            <w:r w:rsidRPr="00590DC1">
              <w:t>Turoctocog</w:t>
            </w:r>
            <w:proofErr w:type="spellEnd"/>
            <w:r w:rsidRPr="00590DC1">
              <w:t xml:space="preserve"> alfa (</w:t>
            </w:r>
            <w:proofErr w:type="spellStart"/>
            <w:r w:rsidRPr="00590DC1">
              <w:t>NovoEight</w:t>
            </w:r>
            <w:proofErr w:type="spellEnd"/>
            <w:r w:rsidRPr="00590DC1">
              <w:t>)</w:t>
            </w:r>
          </w:p>
          <w:p w:rsidR="00590DC1" w:rsidRPr="00590DC1" w:rsidRDefault="00590DC1" w:rsidP="00CA287F"/>
        </w:tc>
        <w:tc>
          <w:tcPr>
            <w:tcW w:w="6237" w:type="dxa"/>
          </w:tcPr>
          <w:p w:rsidR="00590DC1" w:rsidRPr="00590DC1" w:rsidRDefault="00590DC1" w:rsidP="00CA287F">
            <w:r w:rsidRPr="00590DC1">
              <w:t>Third generation.</w:t>
            </w:r>
            <w:r w:rsidR="00FF5033">
              <w:t xml:space="preserve"> </w:t>
            </w:r>
            <w:r w:rsidRPr="00590DC1">
              <w:t>Truncated B domain.</w:t>
            </w:r>
            <w:r w:rsidR="00FF5033">
              <w:t xml:space="preserve"> </w:t>
            </w:r>
            <w:r w:rsidRPr="00590DC1">
              <w:t>CHO cell line.</w:t>
            </w:r>
          </w:p>
          <w:p w:rsidR="00590DC1" w:rsidRPr="00590DC1" w:rsidRDefault="00590DC1" w:rsidP="00CA287F">
            <w:proofErr w:type="spellStart"/>
            <w:r w:rsidRPr="00590DC1">
              <w:rPr>
                <w:rFonts w:eastAsiaTheme="minorHAnsi" w:cs="TimesNewRomanPSMT"/>
              </w:rPr>
              <w:t>NovoEight</w:t>
            </w:r>
            <w:proofErr w:type="spellEnd"/>
            <w:r w:rsidRPr="00590DC1">
              <w:rPr>
                <w:rFonts w:eastAsiaTheme="minorHAnsi" w:cs="TimesNewRomanPSMT"/>
              </w:rPr>
              <w:t xml:space="preserve"> is indicated for the treatment and prophylaxis of bleeding episodes in patients with haemophilia A, including control and prevention of bleeding in surgical settings.</w:t>
            </w:r>
          </w:p>
        </w:tc>
      </w:tr>
      <w:tr w:rsidR="00590DC1" w:rsidTr="00CA287F">
        <w:tc>
          <w:tcPr>
            <w:tcW w:w="2376" w:type="dxa"/>
          </w:tcPr>
          <w:p w:rsidR="00590DC1" w:rsidRPr="00590DC1" w:rsidRDefault="00590DC1" w:rsidP="00CA287F">
            <w:proofErr w:type="spellStart"/>
            <w:r w:rsidRPr="00590DC1">
              <w:t>Efraloctocog</w:t>
            </w:r>
            <w:proofErr w:type="spellEnd"/>
            <w:r w:rsidRPr="00590DC1">
              <w:t xml:space="preserve"> alfa (</w:t>
            </w:r>
            <w:proofErr w:type="spellStart"/>
            <w:r w:rsidRPr="00590DC1">
              <w:t>Eloctate</w:t>
            </w:r>
            <w:proofErr w:type="spellEnd"/>
            <w:r w:rsidRPr="00590DC1">
              <w:t>)</w:t>
            </w:r>
          </w:p>
        </w:tc>
        <w:tc>
          <w:tcPr>
            <w:tcW w:w="6237" w:type="dxa"/>
          </w:tcPr>
          <w:p w:rsidR="00590DC1" w:rsidRPr="00590DC1" w:rsidRDefault="00590DC1" w:rsidP="00CA287F">
            <w:r w:rsidRPr="00590DC1">
              <w:t>Long-acting via Fc-moiety.</w:t>
            </w:r>
            <w:r w:rsidR="00FF5033">
              <w:t xml:space="preserve"> </w:t>
            </w:r>
            <w:r w:rsidRPr="00590DC1">
              <w:t>B-domain deleted.</w:t>
            </w:r>
            <w:r w:rsidR="00FF5033">
              <w:t xml:space="preserve"> </w:t>
            </w:r>
            <w:r w:rsidRPr="00590DC1">
              <w:t>HEK cell line.</w:t>
            </w:r>
          </w:p>
          <w:p w:rsidR="00590DC1" w:rsidRPr="00590DC1" w:rsidRDefault="00590DC1" w:rsidP="00CA287F">
            <w:pPr>
              <w:rPr>
                <w:rFonts w:eastAsiaTheme="minorHAnsi" w:cs="ArialMT"/>
              </w:rPr>
            </w:pPr>
            <w:r w:rsidRPr="00590DC1">
              <w:rPr>
                <w:rFonts w:eastAsiaTheme="minorHAnsi" w:cs="ArialMT"/>
              </w:rPr>
              <w:t xml:space="preserve">ELOCTATE is a long-acting </w:t>
            </w:r>
            <w:proofErr w:type="spellStart"/>
            <w:r w:rsidRPr="00590DC1">
              <w:rPr>
                <w:rFonts w:eastAsiaTheme="minorHAnsi" w:cs="ArialMT"/>
              </w:rPr>
              <w:t>antihaemophilic</w:t>
            </w:r>
            <w:proofErr w:type="spellEnd"/>
            <w:r w:rsidRPr="00590DC1">
              <w:rPr>
                <w:rFonts w:eastAsiaTheme="minorHAnsi" w:cs="ArialMT"/>
              </w:rPr>
              <w:t xml:space="preserve"> factor (recombinant) indicated in adults and children (≥12 years) with haemophilia A (congenital </w:t>
            </w:r>
            <w:r w:rsidR="00BA154F">
              <w:rPr>
                <w:rFonts w:eastAsiaTheme="minorHAnsi" w:cs="ArialMT"/>
              </w:rPr>
              <w:t>FVIII</w:t>
            </w:r>
            <w:r w:rsidR="00CC4F20">
              <w:rPr>
                <w:rFonts w:eastAsiaTheme="minorHAnsi" w:cs="ArialMT"/>
              </w:rPr>
              <w:t xml:space="preserve"> </w:t>
            </w:r>
            <w:r w:rsidRPr="00590DC1">
              <w:rPr>
                <w:rFonts w:eastAsiaTheme="minorHAnsi" w:cs="ArialMT"/>
              </w:rPr>
              <w:t>deficiency) for:</w:t>
            </w:r>
          </w:p>
          <w:p w:rsidR="00590DC1" w:rsidRPr="00590DC1" w:rsidRDefault="00590DC1" w:rsidP="00CA287F">
            <w:pPr>
              <w:rPr>
                <w:rFonts w:eastAsiaTheme="minorHAnsi" w:cs="ArialMT"/>
              </w:rPr>
            </w:pPr>
            <w:r w:rsidRPr="00590DC1">
              <w:rPr>
                <w:rFonts w:eastAsiaTheme="minorHAnsi" w:cs="ArialMT"/>
              </w:rPr>
              <w:t>Control and prevention of bleeding episodes.</w:t>
            </w:r>
          </w:p>
          <w:p w:rsidR="00590DC1" w:rsidRPr="00590DC1" w:rsidRDefault="00590DC1" w:rsidP="00CA287F">
            <w:pPr>
              <w:rPr>
                <w:rFonts w:eastAsiaTheme="minorHAnsi" w:cs="ArialMT"/>
              </w:rPr>
            </w:pPr>
            <w:r w:rsidRPr="00590DC1">
              <w:rPr>
                <w:rFonts w:eastAsiaTheme="minorHAnsi" w:cs="ArialMT"/>
              </w:rPr>
              <w:t>Routine prophylaxis to prevent or reduce the frequency of bleeding episodes.</w:t>
            </w:r>
          </w:p>
          <w:p w:rsidR="00590DC1" w:rsidRPr="00590DC1" w:rsidRDefault="00590DC1" w:rsidP="00CA287F">
            <w:pPr>
              <w:rPr>
                <w:rFonts w:eastAsiaTheme="minorHAnsi" w:cs="ArialMT"/>
              </w:rPr>
            </w:pPr>
            <w:r w:rsidRPr="00590DC1">
              <w:rPr>
                <w:rFonts w:eastAsiaTheme="minorHAnsi" w:cs="ArialMT"/>
              </w:rPr>
              <w:t>Perioperative management (surgical prophylaxis).</w:t>
            </w:r>
          </w:p>
          <w:p w:rsidR="00590DC1" w:rsidRPr="00590DC1" w:rsidRDefault="00590DC1" w:rsidP="00CA287F">
            <w:r w:rsidRPr="00590DC1">
              <w:rPr>
                <w:rFonts w:eastAsiaTheme="minorHAnsi" w:cs="ArialMT"/>
              </w:rPr>
              <w:t xml:space="preserve">ELOCTATE does not contain von </w:t>
            </w:r>
            <w:proofErr w:type="spellStart"/>
            <w:r w:rsidRPr="00590DC1">
              <w:rPr>
                <w:rFonts w:eastAsiaTheme="minorHAnsi" w:cs="ArialMT"/>
              </w:rPr>
              <w:t>Willebrand</w:t>
            </w:r>
            <w:proofErr w:type="spellEnd"/>
            <w:r w:rsidRPr="00590DC1">
              <w:rPr>
                <w:rFonts w:eastAsiaTheme="minorHAnsi" w:cs="ArialMT"/>
              </w:rPr>
              <w:t xml:space="preserve"> factor, and therefore is not indicated in patients with von </w:t>
            </w:r>
            <w:proofErr w:type="spellStart"/>
            <w:r w:rsidRPr="00590DC1">
              <w:rPr>
                <w:rFonts w:eastAsiaTheme="minorHAnsi" w:cs="ArialMT"/>
              </w:rPr>
              <w:t>Willebrand’s</w:t>
            </w:r>
            <w:proofErr w:type="spellEnd"/>
            <w:r w:rsidRPr="00590DC1">
              <w:rPr>
                <w:rFonts w:eastAsiaTheme="minorHAnsi" w:cs="ArialMT"/>
              </w:rPr>
              <w:t xml:space="preserve"> disease.</w:t>
            </w:r>
          </w:p>
        </w:tc>
      </w:tr>
      <w:tr w:rsidR="00BA154F" w:rsidTr="00CA287F">
        <w:tc>
          <w:tcPr>
            <w:tcW w:w="8613" w:type="dxa"/>
            <w:gridSpan w:val="2"/>
          </w:tcPr>
          <w:p w:rsidR="00BA154F" w:rsidRPr="00590DC1" w:rsidRDefault="00BA154F" w:rsidP="00CA287F">
            <w:r w:rsidRPr="00590DC1">
              <w:t>Other</w:t>
            </w:r>
          </w:p>
        </w:tc>
      </w:tr>
      <w:tr w:rsidR="00590DC1" w:rsidTr="00CA287F">
        <w:tc>
          <w:tcPr>
            <w:tcW w:w="2376" w:type="dxa"/>
          </w:tcPr>
          <w:p w:rsidR="00590DC1" w:rsidRPr="00590DC1" w:rsidRDefault="00590DC1" w:rsidP="00CA287F">
            <w:proofErr w:type="spellStart"/>
            <w:r w:rsidRPr="00590DC1">
              <w:lastRenderedPageBreak/>
              <w:t>Feiba</w:t>
            </w:r>
            <w:proofErr w:type="spellEnd"/>
            <w:r w:rsidRPr="00590DC1">
              <w:t>-NF</w:t>
            </w:r>
          </w:p>
        </w:tc>
        <w:tc>
          <w:tcPr>
            <w:tcW w:w="6237" w:type="dxa"/>
          </w:tcPr>
          <w:p w:rsidR="00590DC1" w:rsidRPr="00590DC1" w:rsidRDefault="00590DC1" w:rsidP="00CA287F">
            <w:r w:rsidRPr="00590DC1">
              <w:t>A complex of coagulation factors; for use in patients with inhibitors.</w:t>
            </w:r>
          </w:p>
          <w:p w:rsidR="00590DC1" w:rsidRPr="00590DC1" w:rsidRDefault="00590DC1" w:rsidP="00CA287F">
            <w:r w:rsidRPr="00590DC1">
              <w:rPr>
                <w:rFonts w:eastAsiaTheme="minorHAnsi" w:cs="TimesNewRomanPSMT"/>
              </w:rPr>
              <w:t>FEIBA-NF is indicated for routine prophylaxis, control of spontaneous bleeding</w:t>
            </w:r>
            <w:r w:rsidR="008A54AB">
              <w:rPr>
                <w:rFonts w:eastAsiaTheme="minorHAnsi" w:cs="TimesNewRomanPSMT"/>
              </w:rPr>
              <w:t xml:space="preserve"> </w:t>
            </w:r>
            <w:r w:rsidRPr="00590DC1">
              <w:rPr>
                <w:rFonts w:eastAsiaTheme="minorHAnsi" w:cs="TimesNewRomanPSMT"/>
              </w:rPr>
              <w:t>episodes and use in surgery in haemophilia A or B patients with inhibitors.</w:t>
            </w:r>
          </w:p>
        </w:tc>
      </w:tr>
    </w:tbl>
    <w:p w:rsidR="00C9467F" w:rsidRPr="00586CDA" w:rsidRDefault="00C9467F" w:rsidP="00C9467F">
      <w:pPr>
        <w:rPr>
          <w:lang w:eastAsia="ja-JP"/>
        </w:rPr>
      </w:pPr>
      <w:bookmarkStart w:id="16" w:name="_Toc314842485"/>
      <w:bookmarkStart w:id="17" w:name="_Toc247691504"/>
      <w:r>
        <w:t>T</w:t>
      </w:r>
      <w:r w:rsidRPr="00523C88">
        <w:t xml:space="preserve">rade names of comparator products </w:t>
      </w:r>
      <w:r>
        <w:t xml:space="preserve">have been </w:t>
      </w:r>
      <w:r w:rsidRPr="00523C88">
        <w:t>replaced by general terms</w:t>
      </w:r>
      <w:r>
        <w:t xml:space="preserve"> in this AusPAR and in Attachment 2 Extract from the CER.</w:t>
      </w:r>
    </w:p>
    <w:p w:rsidR="008E7846" w:rsidRPr="003F31A2" w:rsidRDefault="00386150" w:rsidP="008E7846">
      <w:pPr>
        <w:pStyle w:val="Heading3"/>
      </w:pPr>
      <w:bookmarkStart w:id="18" w:name="_Toc453683262"/>
      <w:r>
        <w:t>Regulatory s</w:t>
      </w:r>
      <w:r w:rsidR="008E7846">
        <w:t>tatus</w:t>
      </w:r>
      <w:bookmarkEnd w:id="16"/>
      <w:bookmarkEnd w:id="18"/>
      <w:r w:rsidR="008E7846">
        <w:t xml:space="preserve"> </w:t>
      </w:r>
      <w:bookmarkEnd w:id="17"/>
    </w:p>
    <w:p w:rsidR="006069D7" w:rsidRDefault="00590DC1" w:rsidP="00590DC1">
      <w:bookmarkStart w:id="19" w:name="_Toc247691505"/>
      <w:bookmarkStart w:id="20" w:name="_Toc314842486"/>
      <w:r>
        <w:t>This is an application for a new biological entity for Australian regulatory purposes.</w:t>
      </w:r>
    </w:p>
    <w:p w:rsidR="006069D7" w:rsidRPr="00277ACB" w:rsidRDefault="00FA190B" w:rsidP="00590DC1">
      <w:pPr>
        <w:rPr>
          <w:rFonts w:asciiTheme="minorHAnsi" w:hAnsiTheme="minorHAnsi"/>
        </w:rPr>
      </w:pPr>
      <w:proofErr w:type="spellStart"/>
      <w:r w:rsidRPr="00156DF5">
        <w:t>Simoctocog</w:t>
      </w:r>
      <w:proofErr w:type="spellEnd"/>
      <w:r w:rsidRPr="00156DF5">
        <w:t xml:space="preserve"> </w:t>
      </w:r>
      <w:r w:rsidR="00FC63A1" w:rsidRPr="00156DF5">
        <w:t>alfa</w:t>
      </w:r>
      <w:r w:rsidR="00AE330F" w:rsidRPr="00277ACB">
        <w:rPr>
          <w:rFonts w:asciiTheme="minorHAnsi" w:hAnsiTheme="minorHAnsi"/>
        </w:rPr>
        <w:t xml:space="preserve"> was granted a European Commission marketing authorisation in July 2014 and was approved in Canada in November 2014 (Table 2). </w:t>
      </w:r>
      <w:proofErr w:type="spellStart"/>
      <w:r w:rsidR="00AE330F" w:rsidRPr="00277ACB">
        <w:rPr>
          <w:rFonts w:asciiTheme="minorHAnsi" w:hAnsiTheme="minorHAnsi"/>
        </w:rPr>
        <w:t>Simoctocog</w:t>
      </w:r>
      <w:proofErr w:type="spellEnd"/>
      <w:r w:rsidR="00AE330F" w:rsidRPr="00277ACB">
        <w:rPr>
          <w:rFonts w:asciiTheme="minorHAnsi" w:hAnsiTheme="minorHAnsi"/>
        </w:rPr>
        <w:t xml:space="preserve"> alfa has not been approved in the USA, Switzerland or New Zealand. </w:t>
      </w:r>
    </w:p>
    <w:p w:rsidR="00590DC1" w:rsidRDefault="00590DC1" w:rsidP="008A54AB">
      <w:pPr>
        <w:pStyle w:val="TableTitle"/>
      </w:pPr>
      <w:r>
        <w:t xml:space="preserve">Table </w:t>
      </w:r>
      <w:r w:rsidR="008A54AB">
        <w:t>2</w:t>
      </w:r>
      <w:r>
        <w:t>: International regulatory status</w:t>
      </w:r>
    </w:p>
    <w:tbl>
      <w:tblPr>
        <w:tblStyle w:val="TableTGAblue"/>
        <w:tblW w:w="0" w:type="auto"/>
        <w:tblLook w:val="04A0" w:firstRow="1" w:lastRow="0" w:firstColumn="1" w:lastColumn="0" w:noHBand="0" w:noVBand="1"/>
      </w:tblPr>
      <w:tblGrid>
        <w:gridCol w:w="2180"/>
        <w:gridCol w:w="2180"/>
        <w:gridCol w:w="2180"/>
        <w:gridCol w:w="2180"/>
      </w:tblGrid>
      <w:tr w:rsidR="005E691C" w:rsidTr="005E691C">
        <w:trPr>
          <w:cnfStyle w:val="100000000000" w:firstRow="1" w:lastRow="0" w:firstColumn="0" w:lastColumn="0" w:oddVBand="0" w:evenVBand="0" w:oddHBand="0" w:evenHBand="0" w:firstRowFirstColumn="0" w:firstRowLastColumn="0" w:lastRowFirstColumn="0" w:lastRowLastColumn="0"/>
        </w:trPr>
        <w:tc>
          <w:tcPr>
            <w:tcW w:w="2180" w:type="dxa"/>
          </w:tcPr>
          <w:p w:rsidR="005E691C" w:rsidRDefault="005E691C" w:rsidP="005E691C">
            <w:r>
              <w:t>Country</w:t>
            </w:r>
          </w:p>
        </w:tc>
        <w:tc>
          <w:tcPr>
            <w:tcW w:w="2180" w:type="dxa"/>
          </w:tcPr>
          <w:p w:rsidR="005E691C" w:rsidRDefault="005E691C" w:rsidP="005E691C">
            <w:r>
              <w:t>Trade name</w:t>
            </w:r>
          </w:p>
        </w:tc>
        <w:tc>
          <w:tcPr>
            <w:tcW w:w="2180" w:type="dxa"/>
          </w:tcPr>
          <w:p w:rsidR="005E691C" w:rsidRDefault="005E691C" w:rsidP="005E691C">
            <w:r>
              <w:t>Approval date</w:t>
            </w:r>
          </w:p>
        </w:tc>
        <w:tc>
          <w:tcPr>
            <w:tcW w:w="2180" w:type="dxa"/>
          </w:tcPr>
          <w:p w:rsidR="005E691C" w:rsidRDefault="005E691C" w:rsidP="005E691C">
            <w:r>
              <w:t>Approved indications</w:t>
            </w:r>
          </w:p>
        </w:tc>
      </w:tr>
      <w:tr w:rsidR="005E691C" w:rsidTr="005E691C">
        <w:tc>
          <w:tcPr>
            <w:tcW w:w="2180" w:type="dxa"/>
          </w:tcPr>
          <w:p w:rsidR="005E691C" w:rsidRPr="005E691C" w:rsidRDefault="005E691C" w:rsidP="005E691C">
            <w:pPr>
              <w:rPr>
                <w:szCs w:val="22"/>
              </w:rPr>
            </w:pPr>
            <w:r w:rsidRPr="005E691C">
              <w:rPr>
                <w:rFonts w:eastAsiaTheme="minorHAnsi"/>
                <w:color w:val="000000"/>
                <w:szCs w:val="22"/>
              </w:rPr>
              <w:t>Centralised procedure in EU including Norway, Liechtenstein, Iceland</w:t>
            </w:r>
          </w:p>
        </w:tc>
        <w:tc>
          <w:tcPr>
            <w:tcW w:w="2180" w:type="dxa"/>
          </w:tcPr>
          <w:p w:rsidR="005E691C" w:rsidRPr="005E691C" w:rsidRDefault="005E691C" w:rsidP="005E691C">
            <w:pPr>
              <w:rPr>
                <w:szCs w:val="22"/>
              </w:rPr>
            </w:pPr>
            <w:proofErr w:type="spellStart"/>
            <w:r w:rsidRPr="005E691C">
              <w:rPr>
                <w:rFonts w:eastAsiaTheme="minorEastAsia"/>
                <w:color w:val="000000"/>
                <w:szCs w:val="22"/>
              </w:rPr>
              <w:t>Nuwiq</w:t>
            </w:r>
            <w:proofErr w:type="spellEnd"/>
          </w:p>
        </w:tc>
        <w:tc>
          <w:tcPr>
            <w:tcW w:w="2180" w:type="dxa"/>
          </w:tcPr>
          <w:p w:rsidR="005E691C" w:rsidRPr="005E691C" w:rsidRDefault="005E691C" w:rsidP="005E691C">
            <w:pPr>
              <w:rPr>
                <w:szCs w:val="22"/>
              </w:rPr>
            </w:pPr>
            <w:r w:rsidRPr="005E691C">
              <w:rPr>
                <w:rFonts w:eastAsiaTheme="minorEastAsia"/>
                <w:color w:val="000000"/>
                <w:szCs w:val="22"/>
              </w:rPr>
              <w:t>July 2014</w:t>
            </w:r>
          </w:p>
        </w:tc>
        <w:tc>
          <w:tcPr>
            <w:tcW w:w="2180" w:type="dxa"/>
          </w:tcPr>
          <w:p w:rsidR="005E691C" w:rsidRPr="005E691C" w:rsidRDefault="005E691C" w:rsidP="005E691C">
            <w:pPr>
              <w:rPr>
                <w:szCs w:val="22"/>
              </w:rPr>
            </w:pPr>
            <w:r w:rsidRPr="005E691C">
              <w:rPr>
                <w:rFonts w:eastAsiaTheme="minorHAnsi"/>
                <w:color w:val="000000"/>
                <w:szCs w:val="22"/>
              </w:rPr>
              <w:t xml:space="preserve">Treatment and prophylaxis of bleeding in patients with haemophilia A (congenital FVIII deficiency). </w:t>
            </w:r>
            <w:proofErr w:type="spellStart"/>
            <w:r w:rsidRPr="005E691C">
              <w:rPr>
                <w:rFonts w:eastAsiaTheme="minorHAnsi"/>
                <w:color w:val="000000"/>
                <w:szCs w:val="22"/>
              </w:rPr>
              <w:t>Nuwiq</w:t>
            </w:r>
            <w:proofErr w:type="spellEnd"/>
            <w:r w:rsidRPr="005E691C">
              <w:rPr>
                <w:rFonts w:eastAsiaTheme="minorHAnsi"/>
                <w:color w:val="000000"/>
                <w:szCs w:val="22"/>
              </w:rPr>
              <w:t xml:space="preserve"> can be used for all age groups.</w:t>
            </w:r>
          </w:p>
        </w:tc>
      </w:tr>
      <w:tr w:rsidR="005E691C" w:rsidTr="005E691C">
        <w:tc>
          <w:tcPr>
            <w:tcW w:w="2180" w:type="dxa"/>
          </w:tcPr>
          <w:p w:rsidR="005E691C" w:rsidRPr="005E691C" w:rsidRDefault="005E691C" w:rsidP="005E691C">
            <w:pPr>
              <w:rPr>
                <w:szCs w:val="22"/>
              </w:rPr>
            </w:pPr>
            <w:r w:rsidRPr="005E691C">
              <w:rPr>
                <w:rFonts w:eastAsiaTheme="minorHAnsi"/>
                <w:color w:val="000000"/>
                <w:szCs w:val="22"/>
              </w:rPr>
              <w:t>Canada</w:t>
            </w:r>
          </w:p>
        </w:tc>
        <w:tc>
          <w:tcPr>
            <w:tcW w:w="2180" w:type="dxa"/>
          </w:tcPr>
          <w:p w:rsidR="005E691C" w:rsidRPr="005E691C" w:rsidRDefault="005E691C" w:rsidP="005E691C">
            <w:pPr>
              <w:rPr>
                <w:szCs w:val="22"/>
              </w:rPr>
            </w:pPr>
            <w:proofErr w:type="spellStart"/>
            <w:r w:rsidRPr="005E691C">
              <w:rPr>
                <w:rFonts w:eastAsiaTheme="minorEastAsia"/>
                <w:color w:val="000000"/>
                <w:szCs w:val="22"/>
              </w:rPr>
              <w:t>Nuwiq</w:t>
            </w:r>
            <w:proofErr w:type="spellEnd"/>
          </w:p>
        </w:tc>
        <w:tc>
          <w:tcPr>
            <w:tcW w:w="2180" w:type="dxa"/>
          </w:tcPr>
          <w:p w:rsidR="005E691C" w:rsidRPr="005E691C" w:rsidRDefault="005E691C" w:rsidP="005E691C">
            <w:pPr>
              <w:rPr>
                <w:szCs w:val="22"/>
              </w:rPr>
            </w:pPr>
            <w:r w:rsidRPr="005E691C">
              <w:rPr>
                <w:rFonts w:eastAsiaTheme="minorEastAsia"/>
                <w:color w:val="000000"/>
                <w:szCs w:val="22"/>
              </w:rPr>
              <w:t>November 2014</w:t>
            </w:r>
          </w:p>
        </w:tc>
        <w:tc>
          <w:tcPr>
            <w:tcW w:w="2180" w:type="dxa"/>
          </w:tcPr>
          <w:p w:rsidR="005E691C" w:rsidRPr="005E691C" w:rsidRDefault="005E691C" w:rsidP="005E691C">
            <w:pPr>
              <w:rPr>
                <w:szCs w:val="22"/>
              </w:rPr>
            </w:pPr>
            <w:r w:rsidRPr="005E691C">
              <w:rPr>
                <w:rFonts w:eastAsiaTheme="minorHAnsi"/>
                <w:color w:val="000000"/>
                <w:szCs w:val="22"/>
              </w:rPr>
              <w:t>Treatment and prophylaxis of bleeding in patients of all ages suffering with haemophilia A (congenital FVIII deficiency).</w:t>
            </w:r>
          </w:p>
        </w:tc>
      </w:tr>
    </w:tbl>
    <w:p w:rsidR="008E7846" w:rsidRDefault="008E7846" w:rsidP="00940A89">
      <w:pPr>
        <w:pStyle w:val="Heading3"/>
      </w:pPr>
      <w:bookmarkStart w:id="21" w:name="_Toc453683263"/>
      <w:r>
        <w:t>Product Information</w:t>
      </w:r>
      <w:bookmarkEnd w:id="19"/>
      <w:bookmarkEnd w:id="20"/>
      <w:bookmarkEnd w:id="21"/>
    </w:p>
    <w:p w:rsidR="00940A89" w:rsidRDefault="00940A89" w:rsidP="00940A89">
      <w:pPr>
        <w:rPr>
          <w:b/>
          <w:bCs/>
        </w:rPr>
      </w:pPr>
      <w:bookmarkStart w:id="22" w:name="_Toc247691506"/>
      <w:bookmarkStart w:id="23" w:name="_Toc314842487"/>
      <w:r w:rsidRPr="00940A89">
        <w:t xml:space="preserve">The approved Product Information (PI) current at the time this AusPAR was prepared can be found as Attachment 1. For the most recent </w:t>
      </w:r>
      <w:r w:rsidR="00823E9F">
        <w:t>PI</w:t>
      </w:r>
      <w:r w:rsidRPr="00940A89">
        <w:t xml:space="preserve"> please refer to the TGA website at &lt;</w:t>
      </w:r>
      <w:hyperlink r:id="rId14" w:history="1">
        <w:r w:rsidR="00383221">
          <w:rPr>
            <w:rStyle w:val="Hyperlink"/>
          </w:rPr>
          <w:t>https://www.tga.gov.au/product-information-pi</w:t>
        </w:r>
      </w:hyperlink>
      <w:r w:rsidRPr="00940A89">
        <w:t>&gt;.</w:t>
      </w:r>
    </w:p>
    <w:p w:rsidR="008E7846" w:rsidRPr="003602A9" w:rsidRDefault="008E7846" w:rsidP="008E7846">
      <w:pPr>
        <w:pStyle w:val="Heading2"/>
        <w:ind w:left="-11"/>
      </w:pPr>
      <w:bookmarkStart w:id="24" w:name="_Toc453683264"/>
      <w:r>
        <w:lastRenderedPageBreak/>
        <w:t>II. Quality</w:t>
      </w:r>
      <w:bookmarkEnd w:id="1"/>
      <w:r>
        <w:t xml:space="preserve"> findings</w:t>
      </w:r>
      <w:bookmarkEnd w:id="22"/>
      <w:bookmarkEnd w:id="23"/>
      <w:bookmarkEnd w:id="24"/>
    </w:p>
    <w:p w:rsidR="008E7846" w:rsidRDefault="008E7846" w:rsidP="00940A89">
      <w:pPr>
        <w:pStyle w:val="Heading3"/>
      </w:pPr>
      <w:bookmarkStart w:id="25" w:name="_Toc247691507"/>
      <w:bookmarkStart w:id="26" w:name="_Toc314842488"/>
      <w:bookmarkStart w:id="27" w:name="_Toc453683265"/>
      <w:r w:rsidRPr="008751DC">
        <w:t xml:space="preserve">Drug </w:t>
      </w:r>
      <w:r>
        <w:t>s</w:t>
      </w:r>
      <w:r w:rsidRPr="008751DC">
        <w:t>ubstance</w:t>
      </w:r>
      <w:r>
        <w:t xml:space="preserve"> (active ingredient)</w:t>
      </w:r>
      <w:bookmarkEnd w:id="25"/>
      <w:bookmarkEnd w:id="26"/>
      <w:bookmarkEnd w:id="27"/>
    </w:p>
    <w:p w:rsidR="00675A4F" w:rsidRPr="00935FF3" w:rsidRDefault="008A54AB" w:rsidP="00675A4F">
      <w:pPr>
        <w:rPr>
          <w:rFonts w:asciiTheme="minorHAnsi" w:hAnsiTheme="minorHAnsi" w:cs="Arial"/>
        </w:rPr>
      </w:pPr>
      <w:proofErr w:type="spellStart"/>
      <w:r w:rsidRPr="008A54AB">
        <w:t>Octapharma's</w:t>
      </w:r>
      <w:proofErr w:type="spellEnd"/>
      <w:r w:rsidRPr="008A54AB">
        <w:t xml:space="preserve"> human cell line recombinant </w:t>
      </w:r>
      <w:r w:rsidR="00CC4F20">
        <w:t xml:space="preserve">FVIII </w:t>
      </w:r>
      <w:r w:rsidRPr="008A54AB">
        <w:t>(Human</w:t>
      </w:r>
      <w:r w:rsidR="00675A4F" w:rsidRPr="008A54AB">
        <w:t xml:space="preserve">-cl </w:t>
      </w:r>
      <w:proofErr w:type="spellStart"/>
      <w:r w:rsidR="00675A4F" w:rsidRPr="008A54AB">
        <w:t>rhFVIII</w:t>
      </w:r>
      <w:proofErr w:type="spellEnd"/>
      <w:r w:rsidR="00823E9F">
        <w:t xml:space="preserve">, </w:t>
      </w:r>
      <w:proofErr w:type="spellStart"/>
      <w:r w:rsidR="009C1E6B">
        <w:t>simoctocog</w:t>
      </w:r>
      <w:proofErr w:type="spellEnd"/>
      <w:r w:rsidR="009C1E6B">
        <w:t xml:space="preserve"> </w:t>
      </w:r>
      <w:r w:rsidR="00FC63A1">
        <w:t>alfa</w:t>
      </w:r>
      <w:r w:rsidRPr="008A54AB">
        <w:t>)</w:t>
      </w:r>
      <w:r w:rsidR="00675A4F" w:rsidRPr="008A54AB">
        <w:t xml:space="preserve"> is a</w:t>
      </w:r>
      <w:r w:rsidR="00675A4F" w:rsidRPr="00935FF3">
        <w:rPr>
          <w:rFonts w:asciiTheme="minorHAnsi" w:hAnsiTheme="minorHAnsi" w:cs="Arial"/>
        </w:rPr>
        <w:t xml:space="preserve"> glycoprotein with an approximate molecular mass of 170 k</w:t>
      </w:r>
      <w:r>
        <w:rPr>
          <w:rFonts w:asciiTheme="minorHAnsi" w:hAnsiTheme="minorHAnsi" w:cs="Arial"/>
        </w:rPr>
        <w:t>ilo Daltons (k</w:t>
      </w:r>
      <w:r w:rsidR="00675A4F" w:rsidRPr="00935FF3">
        <w:rPr>
          <w:rFonts w:asciiTheme="minorHAnsi" w:hAnsiTheme="minorHAnsi" w:cs="Arial"/>
        </w:rPr>
        <w:t>Da</w:t>
      </w:r>
      <w:r>
        <w:rPr>
          <w:rFonts w:asciiTheme="minorHAnsi" w:hAnsiTheme="minorHAnsi" w:cs="Arial"/>
        </w:rPr>
        <w:t>)</w:t>
      </w:r>
      <w:r w:rsidR="00675A4F" w:rsidRPr="00935FF3">
        <w:rPr>
          <w:rFonts w:asciiTheme="minorHAnsi" w:hAnsiTheme="minorHAnsi" w:cs="Arial"/>
        </w:rPr>
        <w:t xml:space="preserve">, comprising the FVIII domains A1-A2 + A3-C1-C2 with the B-domain, present in the full-length plasma-derived FVIII </w:t>
      </w:r>
      <w:r w:rsidR="00823E9F">
        <w:rPr>
          <w:rFonts w:asciiTheme="minorHAnsi" w:hAnsiTheme="minorHAnsi" w:cs="Arial"/>
        </w:rPr>
        <w:t>(</w:t>
      </w:r>
      <w:proofErr w:type="spellStart"/>
      <w:r w:rsidR="00823E9F">
        <w:rPr>
          <w:rFonts w:asciiTheme="minorHAnsi" w:hAnsiTheme="minorHAnsi" w:cs="Arial"/>
        </w:rPr>
        <w:t>pdFVIII</w:t>
      </w:r>
      <w:proofErr w:type="spellEnd"/>
      <w:r w:rsidR="00823E9F">
        <w:rPr>
          <w:rFonts w:asciiTheme="minorHAnsi" w:hAnsiTheme="minorHAnsi" w:cs="Arial"/>
        </w:rPr>
        <w:t xml:space="preserve">) </w:t>
      </w:r>
      <w:r w:rsidR="00675A4F" w:rsidRPr="00935FF3">
        <w:rPr>
          <w:rFonts w:asciiTheme="minorHAnsi" w:hAnsiTheme="minorHAnsi" w:cs="Arial"/>
        </w:rPr>
        <w:t xml:space="preserve">deleted. </w:t>
      </w:r>
      <w:proofErr w:type="spellStart"/>
      <w:r w:rsidR="00FA190B">
        <w:rPr>
          <w:rFonts w:asciiTheme="minorHAnsi" w:hAnsiTheme="minorHAnsi" w:cs="Arial"/>
        </w:rPr>
        <w:t>Simoctocog</w:t>
      </w:r>
      <w:proofErr w:type="spellEnd"/>
      <w:r w:rsidR="00FA190B">
        <w:rPr>
          <w:rFonts w:asciiTheme="minorHAnsi" w:hAnsiTheme="minorHAnsi" w:cs="Arial"/>
        </w:rPr>
        <w:t xml:space="preserve"> </w:t>
      </w:r>
      <w:r w:rsidR="00FC63A1">
        <w:rPr>
          <w:rFonts w:asciiTheme="minorHAnsi" w:hAnsiTheme="minorHAnsi" w:cs="Arial"/>
        </w:rPr>
        <w:t>alfa</w:t>
      </w:r>
      <w:r w:rsidR="00823E9F">
        <w:rPr>
          <w:rFonts w:asciiTheme="minorHAnsi" w:hAnsiTheme="minorHAnsi" w:cs="Arial"/>
        </w:rPr>
        <w:t xml:space="preserve"> </w:t>
      </w:r>
      <w:r w:rsidR="00675A4F" w:rsidRPr="00935FF3">
        <w:rPr>
          <w:rFonts w:asciiTheme="minorHAnsi" w:hAnsiTheme="minorHAnsi" w:cs="Arial"/>
        </w:rPr>
        <w:t xml:space="preserve">consists of 1440 amino acids. A linker sequence consisting of 16 amino acids was inserted in the 170 kDa single chain molecule of </w:t>
      </w:r>
      <w:proofErr w:type="spellStart"/>
      <w:r w:rsidR="009C1E6B">
        <w:rPr>
          <w:rFonts w:asciiTheme="minorHAnsi" w:hAnsiTheme="minorHAnsi" w:cs="Arial"/>
        </w:rPr>
        <w:t>simoctocog</w:t>
      </w:r>
      <w:proofErr w:type="spellEnd"/>
      <w:r w:rsidR="009C1E6B">
        <w:rPr>
          <w:rFonts w:asciiTheme="minorHAnsi" w:hAnsiTheme="minorHAnsi" w:cs="Arial"/>
        </w:rPr>
        <w:t xml:space="preserve"> </w:t>
      </w:r>
      <w:r w:rsidR="00FC63A1">
        <w:rPr>
          <w:rFonts w:asciiTheme="minorHAnsi" w:hAnsiTheme="minorHAnsi" w:cs="Arial"/>
        </w:rPr>
        <w:t>alfa</w:t>
      </w:r>
      <w:r w:rsidR="00BA154F">
        <w:rPr>
          <w:rFonts w:asciiTheme="minorHAnsi" w:hAnsiTheme="minorHAnsi" w:cs="Arial"/>
        </w:rPr>
        <w:t xml:space="preserve"> </w:t>
      </w:r>
      <w:r w:rsidR="00675A4F" w:rsidRPr="00935FF3">
        <w:rPr>
          <w:rFonts w:asciiTheme="minorHAnsi" w:hAnsiTheme="minorHAnsi" w:cs="Arial"/>
        </w:rPr>
        <w:t xml:space="preserve">between the A2 and A3 domain in order to replace the B-domain. The first eight amino acids in the N-terminal part of the linker correspond to the first eight amino acids from the </w:t>
      </w:r>
      <w:r w:rsidR="00BA154F">
        <w:rPr>
          <w:rFonts w:asciiTheme="minorHAnsi" w:hAnsiTheme="minorHAnsi" w:cs="Arial"/>
        </w:rPr>
        <w:t>F</w:t>
      </w:r>
      <w:r w:rsidR="00CC4F20">
        <w:rPr>
          <w:rFonts w:asciiTheme="minorHAnsi" w:hAnsiTheme="minorHAnsi" w:cs="Arial"/>
        </w:rPr>
        <w:t xml:space="preserve">VIII </w:t>
      </w:r>
      <w:r w:rsidR="00675A4F" w:rsidRPr="00935FF3">
        <w:rPr>
          <w:rFonts w:asciiTheme="minorHAnsi" w:hAnsiTheme="minorHAnsi" w:cs="Arial"/>
        </w:rPr>
        <w:t>B-domain, while the remain</w:t>
      </w:r>
      <w:r w:rsidR="00BA154F">
        <w:rPr>
          <w:rFonts w:asciiTheme="minorHAnsi" w:hAnsiTheme="minorHAnsi" w:cs="Arial"/>
        </w:rPr>
        <w:t>ing</w:t>
      </w:r>
      <w:r w:rsidR="00675A4F" w:rsidRPr="00935FF3">
        <w:rPr>
          <w:rFonts w:asciiTheme="minorHAnsi" w:hAnsiTheme="minorHAnsi" w:cs="Arial"/>
        </w:rPr>
        <w:t xml:space="preserve"> arginine-rich </w:t>
      </w:r>
      <w:proofErr w:type="spellStart"/>
      <w:r w:rsidR="00675A4F" w:rsidRPr="00935FF3">
        <w:rPr>
          <w:rFonts w:asciiTheme="minorHAnsi" w:hAnsiTheme="minorHAnsi" w:cs="Arial"/>
        </w:rPr>
        <w:t>octapeptide</w:t>
      </w:r>
      <w:proofErr w:type="spellEnd"/>
      <w:r w:rsidR="00675A4F" w:rsidRPr="00935FF3">
        <w:rPr>
          <w:rFonts w:asciiTheme="minorHAnsi" w:hAnsiTheme="minorHAnsi" w:cs="Arial"/>
        </w:rPr>
        <w:t xml:space="preserve"> was chosen to provide a recognition site for </w:t>
      </w:r>
      <w:proofErr w:type="spellStart"/>
      <w:r w:rsidR="00675A4F" w:rsidRPr="00935FF3">
        <w:rPr>
          <w:rFonts w:asciiTheme="minorHAnsi" w:hAnsiTheme="minorHAnsi" w:cs="Arial"/>
        </w:rPr>
        <w:t>furin</w:t>
      </w:r>
      <w:proofErr w:type="spellEnd"/>
      <w:r w:rsidR="00675A4F" w:rsidRPr="00935FF3">
        <w:rPr>
          <w:rFonts w:asciiTheme="minorHAnsi" w:hAnsiTheme="minorHAnsi" w:cs="Arial"/>
        </w:rPr>
        <w:t xml:space="preserve"> or </w:t>
      </w:r>
      <w:proofErr w:type="spellStart"/>
      <w:r w:rsidR="00675A4F" w:rsidRPr="00935FF3">
        <w:rPr>
          <w:rFonts w:asciiTheme="minorHAnsi" w:hAnsiTheme="minorHAnsi" w:cs="Arial"/>
        </w:rPr>
        <w:t>furin</w:t>
      </w:r>
      <w:proofErr w:type="spellEnd"/>
      <w:r w:rsidR="00675A4F" w:rsidRPr="00935FF3">
        <w:rPr>
          <w:rFonts w:asciiTheme="minorHAnsi" w:hAnsiTheme="minorHAnsi" w:cs="Arial"/>
        </w:rPr>
        <w:t>-like proteases in order to ensure similar proteolytic processing as for the full-length FVIII molecule. Figure 1 below describes the structure of human FVIII.</w:t>
      </w:r>
    </w:p>
    <w:p w:rsidR="00BA154F" w:rsidRDefault="00356785" w:rsidP="00356785">
      <w:pPr>
        <w:pStyle w:val="FigureTitle"/>
      </w:pPr>
      <w:r>
        <w:t>F</w:t>
      </w:r>
      <w:r w:rsidRPr="00935FF3">
        <w:t>igure 1: Schematic structure</w:t>
      </w:r>
      <w:r w:rsidR="00BA154F">
        <w:t>s</w:t>
      </w:r>
    </w:p>
    <w:p w:rsidR="00675A4F" w:rsidRPr="00935FF3" w:rsidRDefault="00BA154F" w:rsidP="00BA154F">
      <w:pPr>
        <w:pStyle w:val="FigureTitle"/>
      </w:pPr>
      <w:r>
        <w:t>A: F</w:t>
      </w:r>
      <w:r w:rsidR="00356785" w:rsidRPr="00935FF3">
        <w:t xml:space="preserve">ull-length </w:t>
      </w:r>
      <w:r>
        <w:t>FVIII</w:t>
      </w:r>
      <w:r w:rsidR="00FF5033">
        <w:t xml:space="preserve"> </w:t>
      </w:r>
    </w:p>
    <w:p w:rsidR="00675A4F" w:rsidRPr="00935FF3" w:rsidRDefault="00675A4F" w:rsidP="00675A4F">
      <w:pPr>
        <w:rPr>
          <w:rFonts w:asciiTheme="minorHAnsi" w:hAnsiTheme="minorHAnsi" w:cs="Arial"/>
        </w:rPr>
      </w:pPr>
      <w:r w:rsidRPr="00935FF3">
        <w:rPr>
          <w:noProof/>
          <w:lang w:eastAsia="en-AU"/>
        </w:rPr>
        <w:drawing>
          <wp:inline distT="0" distB="0" distL="0" distR="0" wp14:anchorId="61D8299F" wp14:editId="3CC1A449">
            <wp:extent cx="3900379" cy="1963712"/>
            <wp:effectExtent l="0" t="0" r="5080" b="0"/>
            <wp:docPr id="89" name="Picture 89" descr="Figure 1: Schematic structure of full-length factor VII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lum bright="-20000" contrast="40000"/>
                      <a:extLst>
                        <a:ext uri="{28A0092B-C50C-407E-A947-70E740481C1C}">
                          <a14:useLocalDpi xmlns:a14="http://schemas.microsoft.com/office/drawing/2010/main" val="0"/>
                        </a:ext>
                      </a:extLst>
                    </a:blip>
                    <a:srcRect/>
                    <a:stretch>
                      <a:fillRect/>
                    </a:stretch>
                  </pic:blipFill>
                  <pic:spPr bwMode="auto">
                    <a:xfrm>
                      <a:off x="0" y="0"/>
                      <a:ext cx="3898303" cy="1962667"/>
                    </a:xfrm>
                    <a:prstGeom prst="rect">
                      <a:avLst/>
                    </a:prstGeom>
                    <a:noFill/>
                    <a:ln>
                      <a:noFill/>
                    </a:ln>
                  </pic:spPr>
                </pic:pic>
              </a:graphicData>
            </a:graphic>
          </wp:inline>
        </w:drawing>
      </w:r>
    </w:p>
    <w:p w:rsidR="00675A4F" w:rsidRPr="00935FF3" w:rsidRDefault="00BA154F" w:rsidP="008A54AB">
      <w:pPr>
        <w:pStyle w:val="FigureTitle"/>
        <w:rPr>
          <w:rFonts w:asciiTheme="minorHAnsi" w:hAnsiTheme="minorHAnsi" w:cs="Arial"/>
        </w:rPr>
      </w:pPr>
      <w:r>
        <w:t>B:</w:t>
      </w:r>
      <w:r w:rsidR="008A54AB">
        <w:t xml:space="preserve"> </w:t>
      </w:r>
      <w:proofErr w:type="spellStart"/>
      <w:r w:rsidR="00FA190B">
        <w:t>Simoctocog</w:t>
      </w:r>
      <w:proofErr w:type="spellEnd"/>
      <w:r w:rsidR="00FA190B">
        <w:t xml:space="preserve"> </w:t>
      </w:r>
      <w:r w:rsidR="00FC63A1">
        <w:t>alfa</w:t>
      </w:r>
    </w:p>
    <w:p w:rsidR="00675A4F" w:rsidRPr="00935FF3" w:rsidRDefault="00675A4F" w:rsidP="00675A4F">
      <w:pPr>
        <w:rPr>
          <w:rFonts w:asciiTheme="minorHAnsi" w:hAnsiTheme="minorHAnsi" w:cs="Arial"/>
        </w:rPr>
      </w:pPr>
      <w:r w:rsidRPr="00935FF3">
        <w:rPr>
          <w:noProof/>
          <w:lang w:eastAsia="en-AU"/>
        </w:rPr>
        <w:drawing>
          <wp:inline distT="0" distB="0" distL="0" distR="0" wp14:anchorId="6BC85118" wp14:editId="7EDBF7FB">
            <wp:extent cx="3852087" cy="3185410"/>
            <wp:effectExtent l="0" t="0" r="0" b="0"/>
            <wp:docPr id="90" name="Picture 90" descr="Figure 1b: Human-cl rhFVIII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lum bright="-20000" contrast="40000"/>
                      <a:extLst>
                        <a:ext uri="{28A0092B-C50C-407E-A947-70E740481C1C}">
                          <a14:useLocalDpi xmlns:a14="http://schemas.microsoft.com/office/drawing/2010/main" val="0"/>
                        </a:ext>
                      </a:extLst>
                    </a:blip>
                    <a:srcRect r="6029"/>
                    <a:stretch/>
                  </pic:blipFill>
                  <pic:spPr bwMode="auto">
                    <a:xfrm>
                      <a:off x="0" y="0"/>
                      <a:ext cx="3856172" cy="3188788"/>
                    </a:xfrm>
                    <a:prstGeom prst="rect">
                      <a:avLst/>
                    </a:prstGeom>
                    <a:noFill/>
                    <a:ln>
                      <a:noFill/>
                    </a:ln>
                    <a:extLst>
                      <a:ext uri="{53640926-AAD7-44D8-BBD7-CCE9431645EC}">
                        <a14:shadowObscured xmlns:a14="http://schemas.microsoft.com/office/drawing/2010/main"/>
                      </a:ext>
                    </a:extLst>
                  </pic:spPr>
                </pic:pic>
              </a:graphicData>
            </a:graphic>
          </wp:inline>
        </w:drawing>
      </w:r>
    </w:p>
    <w:p w:rsidR="00675A4F" w:rsidRPr="00935FF3" w:rsidRDefault="00675A4F" w:rsidP="00675A4F">
      <w:pPr>
        <w:rPr>
          <w:rFonts w:asciiTheme="minorHAnsi" w:hAnsiTheme="minorHAnsi" w:cs="Arial"/>
        </w:rPr>
      </w:pPr>
      <w:r w:rsidRPr="00935FF3">
        <w:rPr>
          <w:rFonts w:asciiTheme="minorHAnsi" w:hAnsiTheme="minorHAnsi" w:cs="Arial"/>
        </w:rPr>
        <w:lastRenderedPageBreak/>
        <w:t xml:space="preserve">Potential sites in </w:t>
      </w:r>
      <w:proofErr w:type="spellStart"/>
      <w:r w:rsidR="009C1E6B">
        <w:rPr>
          <w:rFonts w:asciiTheme="minorHAnsi" w:hAnsiTheme="minorHAnsi" w:cs="Arial"/>
        </w:rPr>
        <w:t>simoctocog</w:t>
      </w:r>
      <w:proofErr w:type="spellEnd"/>
      <w:r w:rsidR="009C1E6B">
        <w:rPr>
          <w:rFonts w:asciiTheme="minorHAnsi" w:hAnsiTheme="minorHAnsi" w:cs="Arial"/>
        </w:rPr>
        <w:t xml:space="preserve"> </w:t>
      </w:r>
      <w:r w:rsidR="00FC63A1">
        <w:rPr>
          <w:rFonts w:asciiTheme="minorHAnsi" w:hAnsiTheme="minorHAnsi" w:cs="Arial"/>
        </w:rPr>
        <w:t>alfa</w:t>
      </w:r>
      <w:r w:rsidR="00BB3E6F">
        <w:rPr>
          <w:rFonts w:asciiTheme="minorHAnsi" w:hAnsiTheme="minorHAnsi" w:cs="Arial"/>
        </w:rPr>
        <w:t xml:space="preserve"> </w:t>
      </w:r>
      <w:r w:rsidRPr="00935FF3">
        <w:rPr>
          <w:rFonts w:asciiTheme="minorHAnsi" w:hAnsiTheme="minorHAnsi" w:cs="Arial"/>
        </w:rPr>
        <w:t>for N-linked glycosylation, tyrosine sulfation, disulphide bridges, free cystein</w:t>
      </w:r>
      <w:r w:rsidR="00EA26F5">
        <w:rPr>
          <w:rFonts w:asciiTheme="minorHAnsi" w:hAnsiTheme="minorHAnsi" w:cs="Arial"/>
        </w:rPr>
        <w:t>e</w:t>
      </w:r>
      <w:r w:rsidRPr="00935FF3">
        <w:rPr>
          <w:rFonts w:asciiTheme="minorHAnsi" w:hAnsiTheme="minorHAnsi" w:cs="Arial"/>
        </w:rPr>
        <w:t>s and regions rich in acidic amino acids are shown in comparison with</w:t>
      </w:r>
      <w:r w:rsidR="00356785">
        <w:rPr>
          <w:rFonts w:asciiTheme="minorHAnsi" w:hAnsiTheme="minorHAnsi" w:cs="Arial"/>
        </w:rPr>
        <w:t xml:space="preserve"> </w:t>
      </w:r>
      <w:r w:rsidRPr="00935FF3">
        <w:rPr>
          <w:rFonts w:asciiTheme="minorHAnsi" w:hAnsiTheme="minorHAnsi" w:cs="Arial"/>
        </w:rPr>
        <w:t xml:space="preserve">full-length </w:t>
      </w:r>
      <w:r w:rsidR="00BA154F">
        <w:rPr>
          <w:rFonts w:asciiTheme="minorHAnsi" w:hAnsiTheme="minorHAnsi" w:cs="Arial"/>
        </w:rPr>
        <w:t>F</w:t>
      </w:r>
      <w:r w:rsidRPr="00935FF3">
        <w:rPr>
          <w:rFonts w:asciiTheme="minorHAnsi" w:hAnsiTheme="minorHAnsi" w:cs="Arial"/>
        </w:rPr>
        <w:t>VIII.</w:t>
      </w:r>
    </w:p>
    <w:p w:rsidR="00675A4F" w:rsidRPr="00E00659" w:rsidRDefault="00675A4F" w:rsidP="00675A4F">
      <w:pPr>
        <w:rPr>
          <w:rFonts w:asciiTheme="minorHAnsi" w:hAnsiTheme="minorHAnsi"/>
        </w:rPr>
      </w:pPr>
      <w:r w:rsidRPr="00E00659">
        <w:rPr>
          <w:rFonts w:asciiTheme="minorHAnsi" w:hAnsiTheme="minorHAnsi"/>
        </w:rPr>
        <w:t>Cell banking processes are satisfactory.</w:t>
      </w:r>
    </w:p>
    <w:p w:rsidR="00675A4F" w:rsidRPr="00E00659" w:rsidRDefault="00675A4F" w:rsidP="00675A4F">
      <w:pPr>
        <w:rPr>
          <w:rFonts w:asciiTheme="minorHAnsi" w:hAnsiTheme="minorHAnsi"/>
        </w:rPr>
      </w:pPr>
      <w:r w:rsidRPr="00E00659">
        <w:rPr>
          <w:rFonts w:asciiTheme="minorHAnsi" w:hAnsiTheme="minorHAnsi"/>
        </w:rPr>
        <w:t>All viral/prion safety issues have been addressed, including use of animal-derived excipients, supplements in the fermentation process and in cell banking.</w:t>
      </w:r>
    </w:p>
    <w:p w:rsidR="00675A4F" w:rsidRPr="008A54AB" w:rsidRDefault="00675A4F" w:rsidP="008A54AB">
      <w:pPr>
        <w:pStyle w:val="Heading4"/>
      </w:pPr>
      <w:r w:rsidRPr="00E00659">
        <w:t xml:space="preserve">Physical and </w:t>
      </w:r>
      <w:r w:rsidR="00081E62" w:rsidRPr="00E00659">
        <w:t xml:space="preserve">chemical </w:t>
      </w:r>
      <w:r w:rsidR="00081E62" w:rsidRPr="00356785">
        <w:t>properties</w:t>
      </w:r>
    </w:p>
    <w:p w:rsidR="00CC4F20" w:rsidRDefault="00FA190B" w:rsidP="00675A4F">
      <w:pPr>
        <w:pStyle w:val="GuidanceText"/>
        <w:rPr>
          <w:rFonts w:asciiTheme="minorHAnsi" w:hAnsiTheme="minorHAnsi"/>
          <w:b w:val="0"/>
          <w:color w:val="000000" w:themeColor="text1"/>
          <w:sz w:val="22"/>
          <w:szCs w:val="22"/>
        </w:rPr>
      </w:pPr>
      <w:proofErr w:type="spellStart"/>
      <w:r>
        <w:rPr>
          <w:rFonts w:asciiTheme="minorHAnsi" w:hAnsiTheme="minorHAnsi"/>
          <w:b w:val="0"/>
          <w:color w:val="000000" w:themeColor="text1"/>
          <w:sz w:val="22"/>
          <w:szCs w:val="22"/>
        </w:rPr>
        <w:t>Simoctocog</w:t>
      </w:r>
      <w:proofErr w:type="spellEnd"/>
      <w:r>
        <w:rPr>
          <w:rFonts w:asciiTheme="minorHAnsi" w:hAnsiTheme="minorHAnsi"/>
          <w:b w:val="0"/>
          <w:color w:val="000000" w:themeColor="text1"/>
          <w:sz w:val="22"/>
          <w:szCs w:val="22"/>
        </w:rPr>
        <w:t xml:space="preserve"> </w:t>
      </w:r>
      <w:r w:rsidR="00FC63A1">
        <w:rPr>
          <w:rFonts w:asciiTheme="minorHAnsi" w:hAnsiTheme="minorHAnsi"/>
          <w:b w:val="0"/>
          <w:color w:val="000000" w:themeColor="text1"/>
          <w:sz w:val="22"/>
          <w:szCs w:val="22"/>
        </w:rPr>
        <w:t>alfa</w:t>
      </w:r>
      <w:r w:rsidR="00BA154F">
        <w:rPr>
          <w:rFonts w:asciiTheme="minorHAnsi" w:hAnsiTheme="minorHAnsi"/>
          <w:b w:val="0"/>
          <w:color w:val="000000" w:themeColor="text1"/>
          <w:sz w:val="22"/>
          <w:szCs w:val="22"/>
        </w:rPr>
        <w:t xml:space="preserve"> </w:t>
      </w:r>
      <w:r w:rsidR="00675A4F" w:rsidRPr="00935FF3">
        <w:rPr>
          <w:rFonts w:asciiTheme="minorHAnsi" w:hAnsiTheme="minorHAnsi"/>
          <w:b w:val="0"/>
          <w:color w:val="000000" w:themeColor="text1"/>
          <w:sz w:val="22"/>
          <w:szCs w:val="22"/>
        </w:rPr>
        <w:t xml:space="preserve">drug substance is a clear, colourless solution with a pH ranging between 6.7 and 7.2. </w:t>
      </w:r>
      <w:r w:rsidR="00675A4F">
        <w:rPr>
          <w:rFonts w:asciiTheme="minorHAnsi" w:hAnsiTheme="minorHAnsi"/>
          <w:b w:val="0"/>
          <w:color w:val="000000" w:themeColor="text1"/>
          <w:sz w:val="22"/>
          <w:szCs w:val="22"/>
        </w:rPr>
        <w:t xml:space="preserve">A report provided showed </w:t>
      </w:r>
      <w:r w:rsidR="00675A4F" w:rsidRPr="00935FF3">
        <w:rPr>
          <w:rFonts w:asciiTheme="minorHAnsi" w:hAnsiTheme="minorHAnsi"/>
          <w:b w:val="0"/>
          <w:color w:val="000000" w:themeColor="text1"/>
          <w:sz w:val="22"/>
          <w:szCs w:val="22"/>
        </w:rPr>
        <w:t>physico-chemical consistency of the process validation batches of the drug substance. Characterisation of batches used in toxicological studies and of batches used in early</w:t>
      </w:r>
      <w:r w:rsidR="00675A4F">
        <w:rPr>
          <w:rFonts w:asciiTheme="minorHAnsi" w:hAnsiTheme="minorHAnsi"/>
          <w:b w:val="0"/>
          <w:color w:val="000000" w:themeColor="text1"/>
          <w:sz w:val="22"/>
          <w:szCs w:val="22"/>
        </w:rPr>
        <w:t xml:space="preserve"> </w:t>
      </w:r>
      <w:r w:rsidR="008A54AB">
        <w:rPr>
          <w:rFonts w:asciiTheme="minorHAnsi" w:hAnsiTheme="minorHAnsi"/>
          <w:b w:val="0"/>
          <w:color w:val="000000" w:themeColor="text1"/>
          <w:sz w:val="22"/>
          <w:szCs w:val="22"/>
        </w:rPr>
        <w:t xml:space="preserve">clinical development in 2008 </w:t>
      </w:r>
      <w:r w:rsidR="00675A4F" w:rsidRPr="00935FF3">
        <w:rPr>
          <w:rFonts w:asciiTheme="minorHAnsi" w:hAnsiTheme="minorHAnsi"/>
          <w:b w:val="0"/>
          <w:color w:val="000000" w:themeColor="text1"/>
          <w:sz w:val="22"/>
          <w:szCs w:val="22"/>
        </w:rPr>
        <w:t xml:space="preserve">was also provided for comparison. </w:t>
      </w:r>
    </w:p>
    <w:p w:rsidR="00675A4F" w:rsidRPr="00CC4EBD" w:rsidRDefault="00675A4F" w:rsidP="00675A4F">
      <w:pPr>
        <w:pStyle w:val="GuidanceText"/>
        <w:rPr>
          <w:rFonts w:asciiTheme="minorHAnsi" w:hAnsiTheme="minorHAnsi"/>
          <w:b w:val="0"/>
          <w:color w:val="000000" w:themeColor="text1"/>
          <w:sz w:val="22"/>
          <w:szCs w:val="22"/>
        </w:rPr>
      </w:pPr>
      <w:r w:rsidRPr="00CC4EBD">
        <w:rPr>
          <w:rFonts w:asciiTheme="minorHAnsi" w:hAnsiTheme="minorHAnsi"/>
          <w:b w:val="0"/>
          <w:color w:val="000000" w:themeColor="text1"/>
          <w:sz w:val="22"/>
          <w:szCs w:val="22"/>
        </w:rPr>
        <w:t>Overall, the physical and che</w:t>
      </w:r>
      <w:r w:rsidR="00BA154F">
        <w:rPr>
          <w:rFonts w:asciiTheme="minorHAnsi" w:hAnsiTheme="minorHAnsi"/>
          <w:b w:val="0"/>
          <w:color w:val="000000" w:themeColor="text1"/>
          <w:sz w:val="22"/>
          <w:szCs w:val="22"/>
        </w:rPr>
        <w:t>mical characteris</w:t>
      </w:r>
      <w:r w:rsidRPr="00CC4EBD">
        <w:rPr>
          <w:rFonts w:asciiTheme="minorHAnsi" w:hAnsiTheme="minorHAnsi"/>
          <w:b w:val="0"/>
          <w:color w:val="000000" w:themeColor="text1"/>
          <w:sz w:val="22"/>
          <w:szCs w:val="22"/>
        </w:rPr>
        <w:t xml:space="preserve">ation of </w:t>
      </w:r>
      <w:proofErr w:type="spellStart"/>
      <w:r w:rsidR="009C1E6B">
        <w:rPr>
          <w:rFonts w:asciiTheme="minorHAnsi" w:hAnsiTheme="minorHAnsi"/>
          <w:b w:val="0"/>
          <w:color w:val="000000" w:themeColor="text1"/>
          <w:sz w:val="22"/>
          <w:szCs w:val="22"/>
        </w:rPr>
        <w:t>simoctocog</w:t>
      </w:r>
      <w:proofErr w:type="spellEnd"/>
      <w:r w:rsidR="009C1E6B">
        <w:rPr>
          <w:rFonts w:asciiTheme="minorHAnsi" w:hAnsiTheme="minorHAnsi"/>
          <w:b w:val="0"/>
          <w:color w:val="000000" w:themeColor="text1"/>
          <w:sz w:val="22"/>
          <w:szCs w:val="22"/>
        </w:rPr>
        <w:t xml:space="preserve"> </w:t>
      </w:r>
      <w:r w:rsidR="00FC63A1">
        <w:rPr>
          <w:rFonts w:asciiTheme="minorHAnsi" w:hAnsiTheme="minorHAnsi"/>
          <w:b w:val="0"/>
          <w:color w:val="000000" w:themeColor="text1"/>
          <w:sz w:val="22"/>
          <w:szCs w:val="22"/>
        </w:rPr>
        <w:t>alfa</w:t>
      </w:r>
      <w:r w:rsidR="00BA154F">
        <w:rPr>
          <w:rFonts w:asciiTheme="minorHAnsi" w:hAnsiTheme="minorHAnsi"/>
          <w:b w:val="0"/>
          <w:color w:val="000000" w:themeColor="text1"/>
          <w:sz w:val="22"/>
          <w:szCs w:val="22"/>
        </w:rPr>
        <w:t xml:space="preserve"> </w:t>
      </w:r>
      <w:r w:rsidRPr="00CC4EBD">
        <w:rPr>
          <w:rFonts w:asciiTheme="minorHAnsi" w:hAnsiTheme="minorHAnsi"/>
          <w:b w:val="0"/>
          <w:color w:val="000000" w:themeColor="text1"/>
          <w:sz w:val="22"/>
          <w:szCs w:val="22"/>
        </w:rPr>
        <w:t xml:space="preserve">from process validation batches showed that the main structural features of this protein were those expected for a </w:t>
      </w:r>
      <w:r w:rsidR="00BA154F">
        <w:rPr>
          <w:rFonts w:asciiTheme="minorHAnsi" w:hAnsiTheme="minorHAnsi"/>
          <w:b w:val="0"/>
          <w:color w:val="000000" w:themeColor="text1"/>
          <w:sz w:val="22"/>
          <w:szCs w:val="22"/>
        </w:rPr>
        <w:t>BDD</w:t>
      </w:r>
      <w:r w:rsidRPr="00CC4EBD">
        <w:rPr>
          <w:rFonts w:asciiTheme="minorHAnsi" w:hAnsiTheme="minorHAnsi"/>
          <w:b w:val="0"/>
          <w:color w:val="000000" w:themeColor="text1"/>
          <w:sz w:val="22"/>
          <w:szCs w:val="22"/>
        </w:rPr>
        <w:t xml:space="preserve"> FVIII protein and thus very close to those of B-domain-less </w:t>
      </w:r>
      <w:proofErr w:type="spellStart"/>
      <w:r w:rsidR="00BA154F">
        <w:rPr>
          <w:rFonts w:asciiTheme="minorHAnsi" w:hAnsiTheme="minorHAnsi"/>
          <w:b w:val="0"/>
          <w:color w:val="000000" w:themeColor="text1"/>
          <w:sz w:val="22"/>
          <w:szCs w:val="22"/>
        </w:rPr>
        <w:t>pd</w:t>
      </w:r>
      <w:r w:rsidRPr="00CC4EBD">
        <w:rPr>
          <w:rFonts w:asciiTheme="minorHAnsi" w:hAnsiTheme="minorHAnsi"/>
          <w:b w:val="0"/>
          <w:color w:val="000000" w:themeColor="text1"/>
          <w:sz w:val="22"/>
          <w:szCs w:val="22"/>
        </w:rPr>
        <w:t>FVIII</w:t>
      </w:r>
      <w:proofErr w:type="spellEnd"/>
      <w:r w:rsidRPr="00CC4EBD">
        <w:rPr>
          <w:rFonts w:asciiTheme="minorHAnsi" w:hAnsiTheme="minorHAnsi"/>
          <w:b w:val="0"/>
          <w:color w:val="000000" w:themeColor="text1"/>
          <w:sz w:val="22"/>
          <w:szCs w:val="22"/>
        </w:rPr>
        <w:t xml:space="preserve">. The glycosylation </w:t>
      </w:r>
      <w:r w:rsidR="00F46268">
        <w:rPr>
          <w:rFonts w:asciiTheme="minorHAnsi" w:hAnsiTheme="minorHAnsi"/>
          <w:b w:val="0"/>
          <w:color w:val="000000" w:themeColor="text1"/>
          <w:sz w:val="22"/>
          <w:szCs w:val="22"/>
        </w:rPr>
        <w:t xml:space="preserve">pattern was </w:t>
      </w:r>
      <w:r w:rsidRPr="00CC4EBD">
        <w:rPr>
          <w:rFonts w:asciiTheme="minorHAnsi" w:hAnsiTheme="minorHAnsi"/>
          <w:b w:val="0"/>
          <w:color w:val="000000" w:themeColor="text1"/>
          <w:sz w:val="22"/>
          <w:szCs w:val="22"/>
        </w:rPr>
        <w:t>clearly mapped</w:t>
      </w:r>
      <w:r w:rsidR="00F46268">
        <w:rPr>
          <w:rFonts w:asciiTheme="minorHAnsi" w:hAnsiTheme="minorHAnsi"/>
          <w:b w:val="0"/>
          <w:color w:val="000000" w:themeColor="text1"/>
          <w:sz w:val="22"/>
          <w:szCs w:val="22"/>
        </w:rPr>
        <w:t>,</w:t>
      </w:r>
      <w:r w:rsidRPr="00CC4EBD">
        <w:rPr>
          <w:rFonts w:asciiTheme="minorHAnsi" w:hAnsiTheme="minorHAnsi"/>
          <w:b w:val="0"/>
          <w:color w:val="000000" w:themeColor="text1"/>
          <w:sz w:val="22"/>
          <w:szCs w:val="22"/>
        </w:rPr>
        <w:t xml:space="preserve"> and the antigenic </w:t>
      </w:r>
      <w:r w:rsidR="00BA154F">
        <w:rPr>
          <w:rFonts w:asciiTheme="minorHAnsi" w:hAnsiTheme="minorHAnsi"/>
          <w:b w:val="0"/>
          <w:color w:val="000000" w:themeColor="text1"/>
          <w:sz w:val="22"/>
          <w:szCs w:val="22"/>
        </w:rPr>
        <w:t>Gal-</w:t>
      </w:r>
      <w:r w:rsidRPr="00CC4EBD">
        <w:rPr>
          <w:rFonts w:asciiTheme="minorHAnsi" w:hAnsiTheme="minorHAnsi"/>
          <w:b w:val="0"/>
          <w:color w:val="000000" w:themeColor="text1"/>
          <w:sz w:val="22"/>
          <w:szCs w:val="22"/>
        </w:rPr>
        <w:t>α</w:t>
      </w:r>
      <w:r w:rsidR="00BA154F">
        <w:rPr>
          <w:rFonts w:asciiTheme="minorHAnsi" w:hAnsiTheme="minorHAnsi"/>
          <w:b w:val="0"/>
          <w:color w:val="000000" w:themeColor="text1"/>
          <w:sz w:val="22"/>
          <w:szCs w:val="22"/>
        </w:rPr>
        <w:t>1-3βGalβ1-(3)4GlcNAc-R (α</w:t>
      </w:r>
      <w:r w:rsidRPr="00CC4EBD">
        <w:rPr>
          <w:rFonts w:asciiTheme="minorHAnsi" w:hAnsiTheme="minorHAnsi"/>
          <w:b w:val="0"/>
          <w:color w:val="000000" w:themeColor="text1"/>
          <w:sz w:val="22"/>
          <w:szCs w:val="22"/>
        </w:rPr>
        <w:t>-Gal</w:t>
      </w:r>
      <w:r w:rsidR="00BA154F">
        <w:rPr>
          <w:rFonts w:asciiTheme="minorHAnsi" w:hAnsiTheme="minorHAnsi"/>
          <w:b w:val="0"/>
          <w:color w:val="000000" w:themeColor="text1"/>
          <w:sz w:val="22"/>
          <w:szCs w:val="22"/>
        </w:rPr>
        <w:t>)</w:t>
      </w:r>
      <w:r w:rsidRPr="00CC4EBD">
        <w:rPr>
          <w:rFonts w:asciiTheme="minorHAnsi" w:hAnsiTheme="minorHAnsi"/>
          <w:b w:val="0"/>
          <w:color w:val="000000" w:themeColor="text1"/>
          <w:sz w:val="22"/>
          <w:szCs w:val="22"/>
        </w:rPr>
        <w:t xml:space="preserve"> epitope as well as N-</w:t>
      </w:r>
      <w:proofErr w:type="spellStart"/>
      <w:r w:rsidRPr="00CC4EBD">
        <w:rPr>
          <w:rFonts w:asciiTheme="minorHAnsi" w:hAnsiTheme="minorHAnsi"/>
          <w:b w:val="0"/>
          <w:color w:val="000000" w:themeColor="text1"/>
          <w:sz w:val="22"/>
          <w:szCs w:val="22"/>
        </w:rPr>
        <w:t>glycolylneuraminic</w:t>
      </w:r>
      <w:proofErr w:type="spellEnd"/>
      <w:r w:rsidRPr="00CC4EBD">
        <w:rPr>
          <w:rFonts w:asciiTheme="minorHAnsi" w:hAnsiTheme="minorHAnsi"/>
          <w:b w:val="0"/>
          <w:color w:val="000000" w:themeColor="text1"/>
          <w:sz w:val="22"/>
          <w:szCs w:val="22"/>
        </w:rPr>
        <w:t xml:space="preserve"> acid was absent. For the clinical batches however, it was noted that</w:t>
      </w:r>
      <w:r w:rsidR="00F46268">
        <w:rPr>
          <w:rFonts w:asciiTheme="minorHAnsi" w:hAnsiTheme="minorHAnsi"/>
          <w:b w:val="0"/>
          <w:color w:val="000000" w:themeColor="text1"/>
          <w:sz w:val="22"/>
          <w:szCs w:val="22"/>
        </w:rPr>
        <w:t xml:space="preserve"> N-</w:t>
      </w:r>
      <w:proofErr w:type="spellStart"/>
      <w:r w:rsidR="00F46268">
        <w:rPr>
          <w:rFonts w:asciiTheme="minorHAnsi" w:hAnsiTheme="minorHAnsi"/>
          <w:b w:val="0"/>
          <w:color w:val="000000" w:themeColor="text1"/>
          <w:sz w:val="22"/>
          <w:szCs w:val="22"/>
        </w:rPr>
        <w:t>acetyl</w:t>
      </w:r>
      <w:r w:rsidR="00F46268" w:rsidRPr="00CC4EBD">
        <w:rPr>
          <w:rFonts w:asciiTheme="minorHAnsi" w:hAnsiTheme="minorHAnsi"/>
          <w:b w:val="0"/>
          <w:color w:val="000000" w:themeColor="text1"/>
          <w:sz w:val="22"/>
          <w:szCs w:val="22"/>
        </w:rPr>
        <w:t>neuraminic</w:t>
      </w:r>
      <w:proofErr w:type="spellEnd"/>
      <w:r w:rsidR="00F46268">
        <w:rPr>
          <w:rFonts w:asciiTheme="minorHAnsi" w:hAnsiTheme="minorHAnsi"/>
          <w:b w:val="0"/>
          <w:color w:val="000000" w:themeColor="text1"/>
          <w:sz w:val="22"/>
          <w:szCs w:val="22"/>
        </w:rPr>
        <w:t xml:space="preserve"> acid was the only</w:t>
      </w:r>
      <w:r w:rsidRPr="00CC4EBD">
        <w:rPr>
          <w:rFonts w:asciiTheme="minorHAnsi" w:hAnsiTheme="minorHAnsi"/>
          <w:b w:val="0"/>
          <w:color w:val="000000" w:themeColor="text1"/>
          <w:sz w:val="22"/>
          <w:szCs w:val="22"/>
        </w:rPr>
        <w:t xml:space="preserve"> sialic acid present.</w:t>
      </w:r>
    </w:p>
    <w:p w:rsidR="00675A4F" w:rsidRPr="00E00659" w:rsidRDefault="00675A4F" w:rsidP="00675A4F">
      <w:pPr>
        <w:rPr>
          <w:rFonts w:asciiTheme="minorHAnsi" w:hAnsiTheme="minorHAnsi"/>
        </w:rPr>
      </w:pPr>
      <w:r w:rsidRPr="00E00659">
        <w:rPr>
          <w:rFonts w:asciiTheme="minorHAnsi" w:hAnsiTheme="minorHAnsi"/>
        </w:rPr>
        <w:t xml:space="preserve">Appropriate validation data have been submitted in support of the </w:t>
      </w:r>
      <w:r w:rsidR="00CC4F20">
        <w:rPr>
          <w:rFonts w:asciiTheme="minorHAnsi" w:hAnsiTheme="minorHAnsi"/>
        </w:rPr>
        <w:t xml:space="preserve">specification </w:t>
      </w:r>
      <w:r w:rsidRPr="00E00659">
        <w:rPr>
          <w:rFonts w:asciiTheme="minorHAnsi" w:hAnsiTheme="minorHAnsi"/>
        </w:rPr>
        <w:t xml:space="preserve">test procedures. </w:t>
      </w:r>
    </w:p>
    <w:p w:rsidR="008E7846" w:rsidRDefault="008E7846" w:rsidP="008E7846">
      <w:pPr>
        <w:pStyle w:val="Heading3"/>
      </w:pPr>
      <w:bookmarkStart w:id="28" w:name="_Toc247691508"/>
      <w:bookmarkStart w:id="29" w:name="_Toc314842490"/>
      <w:bookmarkStart w:id="30" w:name="_Toc453683266"/>
      <w:r w:rsidRPr="008751DC">
        <w:t xml:space="preserve">Drug </w:t>
      </w:r>
      <w:r>
        <w:t>p</w:t>
      </w:r>
      <w:r w:rsidRPr="008751DC">
        <w:t>roduct</w:t>
      </w:r>
      <w:bookmarkEnd w:id="28"/>
      <w:bookmarkEnd w:id="29"/>
      <w:bookmarkEnd w:id="30"/>
    </w:p>
    <w:p w:rsidR="00675A4F" w:rsidRPr="00935FF3" w:rsidRDefault="00FA190B" w:rsidP="00675A4F">
      <w:pPr>
        <w:rPr>
          <w:rFonts w:asciiTheme="minorHAnsi" w:hAnsiTheme="minorHAnsi" w:cs="Arial"/>
          <w:color w:val="000000"/>
        </w:rPr>
      </w:pPr>
      <w:proofErr w:type="spellStart"/>
      <w:r>
        <w:rPr>
          <w:rFonts w:asciiTheme="minorHAnsi" w:hAnsiTheme="minorHAnsi" w:cs="Arial"/>
          <w:color w:val="000000"/>
        </w:rPr>
        <w:t>Simoctocog</w:t>
      </w:r>
      <w:proofErr w:type="spellEnd"/>
      <w:r>
        <w:rPr>
          <w:rFonts w:asciiTheme="minorHAnsi" w:hAnsiTheme="minorHAnsi" w:cs="Arial"/>
          <w:color w:val="000000"/>
        </w:rPr>
        <w:t xml:space="preserve"> </w:t>
      </w:r>
      <w:r w:rsidR="00FC63A1">
        <w:rPr>
          <w:rFonts w:asciiTheme="minorHAnsi" w:hAnsiTheme="minorHAnsi" w:cs="Arial"/>
          <w:color w:val="000000"/>
        </w:rPr>
        <w:t>alfa</w:t>
      </w:r>
      <w:r w:rsidR="00BA154F">
        <w:rPr>
          <w:rFonts w:asciiTheme="minorHAnsi" w:hAnsiTheme="minorHAnsi" w:cs="Arial"/>
          <w:color w:val="000000"/>
        </w:rPr>
        <w:t xml:space="preserve"> </w:t>
      </w:r>
      <w:r w:rsidR="00675A4F" w:rsidRPr="00935FF3">
        <w:rPr>
          <w:rFonts w:asciiTheme="minorHAnsi" w:hAnsiTheme="minorHAnsi" w:cs="Arial"/>
          <w:color w:val="000000"/>
        </w:rPr>
        <w:t>drug product is a white sterile lyophili</w:t>
      </w:r>
      <w:r w:rsidR="00BA154F">
        <w:rPr>
          <w:rFonts w:asciiTheme="minorHAnsi" w:hAnsiTheme="minorHAnsi" w:cs="Arial"/>
          <w:color w:val="000000"/>
        </w:rPr>
        <w:t>s</w:t>
      </w:r>
      <w:r w:rsidR="00675A4F" w:rsidRPr="00935FF3">
        <w:rPr>
          <w:rFonts w:asciiTheme="minorHAnsi" w:hAnsiTheme="minorHAnsi" w:cs="Arial"/>
          <w:color w:val="000000"/>
        </w:rPr>
        <w:t>ed powder and solvent for solut</w:t>
      </w:r>
      <w:r w:rsidR="00BA154F">
        <w:rPr>
          <w:rFonts w:asciiTheme="minorHAnsi" w:hAnsiTheme="minorHAnsi" w:cs="Arial"/>
          <w:color w:val="000000"/>
        </w:rPr>
        <w:t>ion for injection. The lyophilis</w:t>
      </w:r>
      <w:r w:rsidR="00675A4F" w:rsidRPr="00935FF3">
        <w:rPr>
          <w:rFonts w:asciiTheme="minorHAnsi" w:hAnsiTheme="minorHAnsi" w:cs="Arial"/>
          <w:color w:val="000000"/>
        </w:rPr>
        <w:t>ed powder is supplied in single</w:t>
      </w:r>
      <w:r w:rsidR="00CC4F20">
        <w:rPr>
          <w:rFonts w:asciiTheme="minorHAnsi" w:hAnsiTheme="minorHAnsi" w:cs="Arial"/>
          <w:color w:val="000000"/>
        </w:rPr>
        <w:t xml:space="preserve"> </w:t>
      </w:r>
      <w:r w:rsidR="00675A4F" w:rsidRPr="00935FF3">
        <w:rPr>
          <w:rFonts w:asciiTheme="minorHAnsi" w:hAnsiTheme="minorHAnsi" w:cs="Arial"/>
          <w:color w:val="000000"/>
        </w:rPr>
        <w:t xml:space="preserve">dose vials containing 250 </w:t>
      </w:r>
      <w:r w:rsidR="00CC4F20">
        <w:rPr>
          <w:rFonts w:asciiTheme="minorHAnsi" w:hAnsiTheme="minorHAnsi" w:cs="Arial"/>
          <w:color w:val="000000"/>
        </w:rPr>
        <w:t>international units (</w:t>
      </w:r>
      <w:r w:rsidR="00675A4F" w:rsidRPr="00935FF3">
        <w:rPr>
          <w:rFonts w:asciiTheme="minorHAnsi" w:hAnsiTheme="minorHAnsi" w:cs="Arial"/>
          <w:color w:val="000000"/>
        </w:rPr>
        <w:t>IU</w:t>
      </w:r>
      <w:r w:rsidR="00CC4F20">
        <w:rPr>
          <w:rFonts w:asciiTheme="minorHAnsi" w:hAnsiTheme="minorHAnsi" w:cs="Arial"/>
          <w:color w:val="000000"/>
        </w:rPr>
        <w:t>)</w:t>
      </w:r>
      <w:r w:rsidR="00675A4F" w:rsidRPr="00935FF3">
        <w:rPr>
          <w:rFonts w:asciiTheme="minorHAnsi" w:hAnsiTheme="minorHAnsi" w:cs="Arial"/>
          <w:color w:val="000000"/>
        </w:rPr>
        <w:t xml:space="preserve">, 500 IU, 1000 IU, and 2000 IU of recombinant </w:t>
      </w:r>
      <w:r w:rsidR="00BA154F">
        <w:rPr>
          <w:rFonts w:asciiTheme="minorHAnsi" w:hAnsiTheme="minorHAnsi" w:cs="Arial"/>
          <w:color w:val="000000"/>
        </w:rPr>
        <w:t>FVIII</w:t>
      </w:r>
      <w:r w:rsidR="00CC4F20">
        <w:rPr>
          <w:rFonts w:asciiTheme="minorHAnsi" w:hAnsiTheme="minorHAnsi" w:cs="Arial"/>
          <w:color w:val="000000"/>
        </w:rPr>
        <w:t xml:space="preserve"> </w:t>
      </w:r>
      <w:r w:rsidR="00675A4F" w:rsidRPr="00935FF3">
        <w:rPr>
          <w:rFonts w:asciiTheme="minorHAnsi" w:hAnsiTheme="minorHAnsi" w:cs="Arial"/>
          <w:color w:val="000000"/>
        </w:rPr>
        <w:t>per</w:t>
      </w:r>
      <w:r w:rsidR="00BA154F">
        <w:rPr>
          <w:rFonts w:asciiTheme="minorHAnsi" w:hAnsiTheme="minorHAnsi" w:cs="Arial"/>
          <w:color w:val="000000"/>
        </w:rPr>
        <w:t xml:space="preserve"> vial. Before use, the lyophilis</w:t>
      </w:r>
      <w:r w:rsidR="00675A4F" w:rsidRPr="00935FF3">
        <w:rPr>
          <w:rFonts w:asciiTheme="minorHAnsi" w:hAnsiTheme="minorHAnsi" w:cs="Arial"/>
          <w:color w:val="000000"/>
        </w:rPr>
        <w:t>ed powder is reconstituted with a single</w:t>
      </w:r>
      <w:r w:rsidR="00CC4F20">
        <w:rPr>
          <w:rFonts w:asciiTheme="minorHAnsi" w:hAnsiTheme="minorHAnsi" w:cs="Arial"/>
          <w:color w:val="000000"/>
        </w:rPr>
        <w:t xml:space="preserve"> </w:t>
      </w:r>
      <w:r w:rsidR="00675A4F" w:rsidRPr="00935FF3">
        <w:rPr>
          <w:rFonts w:asciiTheme="minorHAnsi" w:hAnsiTheme="minorHAnsi" w:cs="Arial"/>
          <w:color w:val="000000"/>
        </w:rPr>
        <w:t>dose solvent pre-filled syringe containing 2.5 mL of sterilised water for injections. The reconstituted solution is described as a clear, colourless solution, free from visible particles, containing 100 IU/200 IU/400 IU/800 IU FVIII</w:t>
      </w:r>
      <w:proofErr w:type="gramStart"/>
      <w:r w:rsidR="00675A4F" w:rsidRPr="00935FF3">
        <w:rPr>
          <w:rFonts w:asciiTheme="minorHAnsi" w:hAnsiTheme="minorHAnsi" w:cs="Arial"/>
          <w:color w:val="000000"/>
        </w:rPr>
        <w:t>:C</w:t>
      </w:r>
      <w:proofErr w:type="gramEnd"/>
      <w:r w:rsidR="00675A4F" w:rsidRPr="00935FF3">
        <w:rPr>
          <w:rFonts w:asciiTheme="minorHAnsi" w:hAnsiTheme="minorHAnsi" w:cs="Arial"/>
          <w:color w:val="000000"/>
        </w:rPr>
        <w:t>/mL. The concentration of each of the excipients is the same for all strengths, only the recombinant FVIII concentration varies.</w:t>
      </w:r>
    </w:p>
    <w:p w:rsidR="00081E62" w:rsidRDefault="00081E62" w:rsidP="00081E62">
      <w:pPr>
        <w:pStyle w:val="Heading4"/>
      </w:pPr>
      <w:r>
        <w:t>Stability</w:t>
      </w:r>
    </w:p>
    <w:p w:rsidR="00CC4F20" w:rsidRDefault="00CC4F20" w:rsidP="00675A4F">
      <w:pPr>
        <w:tabs>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rPr>
          <w:rFonts w:asciiTheme="minorHAnsi" w:hAnsiTheme="minorHAnsi"/>
        </w:rPr>
      </w:pPr>
      <w:r w:rsidRPr="001E6423">
        <w:rPr>
          <w:rFonts w:cs="Arial"/>
          <w:color w:val="000000"/>
        </w:rPr>
        <w:t xml:space="preserve">Expected shelf life is 24 months at +2°C to +8°C </w:t>
      </w:r>
      <w:r>
        <w:rPr>
          <w:rFonts w:cs="Arial"/>
          <w:color w:val="000000"/>
        </w:rPr>
        <w:t xml:space="preserve">when </w:t>
      </w:r>
      <w:r w:rsidRPr="001E6423">
        <w:rPr>
          <w:rFonts w:cs="Arial"/>
          <w:color w:val="000000"/>
        </w:rPr>
        <w:t>protected from light</w:t>
      </w:r>
      <w:r>
        <w:rPr>
          <w:rFonts w:cs="Arial"/>
          <w:color w:val="000000"/>
        </w:rPr>
        <w:t>.</w:t>
      </w:r>
    </w:p>
    <w:p w:rsidR="00675A4F" w:rsidRPr="00935FF3" w:rsidRDefault="00675A4F" w:rsidP="00675A4F">
      <w:r w:rsidRPr="00935FF3">
        <w:rPr>
          <w:rFonts w:asciiTheme="minorHAnsi" w:hAnsiTheme="minorHAnsi"/>
        </w:rPr>
        <w:t xml:space="preserve">Note: considering the data provided (especially on the commercial batches, </w:t>
      </w:r>
      <w:r w:rsidRPr="00935FF3">
        <w:rPr>
          <w:rFonts w:asciiTheme="minorHAnsi" w:hAnsiTheme="minorHAnsi" w:cs="Arial"/>
          <w:color w:val="000000"/>
        </w:rPr>
        <w:t>Stability Study report OC13-0068), excursion outside of this condition is not permitted.</w:t>
      </w:r>
      <w:r w:rsidR="00CC4F20">
        <w:rPr>
          <w:rFonts w:asciiTheme="minorHAnsi" w:hAnsiTheme="minorHAnsi" w:cs="Arial"/>
          <w:color w:val="000000"/>
        </w:rPr>
        <w:t xml:space="preserve"> </w:t>
      </w:r>
      <w:r w:rsidR="00CC4F20">
        <w:t>T</w:t>
      </w:r>
      <w:r w:rsidRPr="00935FF3">
        <w:t>he recommended maximum storage time as reconstituted drug product is 3 hours.</w:t>
      </w:r>
    </w:p>
    <w:p w:rsidR="00675A4F" w:rsidRPr="00E00659" w:rsidRDefault="00675A4F" w:rsidP="0012698C">
      <w:pPr>
        <w:pStyle w:val="Heading3"/>
      </w:pPr>
      <w:bookmarkStart w:id="31" w:name="_Toc453683267"/>
      <w:r w:rsidRPr="00E00659">
        <w:t>Biopharmaceutics</w:t>
      </w:r>
      <w:bookmarkEnd w:id="31"/>
    </w:p>
    <w:p w:rsidR="00675A4F" w:rsidRPr="00E00659" w:rsidRDefault="00675A4F" w:rsidP="00675A4F">
      <w:pPr>
        <w:rPr>
          <w:rFonts w:asciiTheme="minorHAnsi" w:hAnsiTheme="minorHAnsi"/>
        </w:rPr>
      </w:pPr>
      <w:r w:rsidRPr="00E00659">
        <w:rPr>
          <w:rFonts w:asciiTheme="minorHAnsi" w:hAnsiTheme="minorHAnsi"/>
        </w:rPr>
        <w:t xml:space="preserve">Biopharmaceutic data are not required for this product because </w:t>
      </w:r>
      <w:r>
        <w:rPr>
          <w:rFonts w:asciiTheme="minorHAnsi" w:hAnsiTheme="minorHAnsi"/>
        </w:rPr>
        <w:t>it is not a biosimilar product.</w:t>
      </w:r>
    </w:p>
    <w:p w:rsidR="008E7846" w:rsidRPr="008751DC" w:rsidRDefault="008E7846" w:rsidP="008E7846">
      <w:pPr>
        <w:pStyle w:val="Heading3"/>
      </w:pPr>
      <w:bookmarkStart w:id="32" w:name="_Toc247691509"/>
      <w:bookmarkStart w:id="33" w:name="_Toc314842493"/>
      <w:bookmarkStart w:id="34" w:name="_Toc453683268"/>
      <w:r>
        <w:t>Quality s</w:t>
      </w:r>
      <w:r w:rsidRPr="008751DC">
        <w:t>ummary</w:t>
      </w:r>
      <w:r>
        <w:t xml:space="preserve"> and conclusions</w:t>
      </w:r>
      <w:bookmarkEnd w:id="32"/>
      <w:bookmarkEnd w:id="33"/>
      <w:bookmarkEnd w:id="34"/>
    </w:p>
    <w:p w:rsidR="00675A4F" w:rsidRDefault="00675A4F" w:rsidP="00675A4F">
      <w:r>
        <w:t xml:space="preserve">The administrative, product usage, chemical, pharmaceutical, microbiological data submitted in support of this application have been evaluated in accordance with the </w:t>
      </w:r>
      <w:r>
        <w:lastRenderedPageBreak/>
        <w:t>Australian legislation, pharmacopoeial standards and relevant technical guidelines adopted by the TGA.</w:t>
      </w:r>
    </w:p>
    <w:p w:rsidR="00675A4F" w:rsidRDefault="00675A4F" w:rsidP="00675A4F">
      <w:r w:rsidRPr="0012698C">
        <w:rPr>
          <w:rFonts w:asciiTheme="minorHAnsi" w:hAnsiTheme="minorHAnsi" w:cs="Calibri"/>
        </w:rPr>
        <w:t>There are no outstanding issues</w:t>
      </w:r>
      <w:r w:rsidR="00CC4F20">
        <w:rPr>
          <w:rFonts w:asciiTheme="minorHAnsi" w:hAnsiTheme="minorHAnsi" w:cs="Calibri"/>
        </w:rPr>
        <w:t xml:space="preserve"> and t</w:t>
      </w:r>
      <w:r>
        <w:t xml:space="preserve">he </w:t>
      </w:r>
      <w:r w:rsidR="00CC4F20">
        <w:t xml:space="preserve">quality </w:t>
      </w:r>
      <w:r>
        <w:t>evaluator(s) recommend that</w:t>
      </w:r>
      <w:r w:rsidR="00FF5033">
        <w:t xml:space="preserve"> </w:t>
      </w:r>
      <w:proofErr w:type="spellStart"/>
      <w:r w:rsidR="00CC4F20">
        <w:t>Nuwiq</w:t>
      </w:r>
      <w:proofErr w:type="spellEnd"/>
      <w:r w:rsidR="00CC4F20">
        <w:t xml:space="preserve"> (</w:t>
      </w:r>
      <w:r>
        <w:t xml:space="preserve">Human cell line recombinant human </w:t>
      </w:r>
      <w:r w:rsidR="00BA154F">
        <w:t>FVIII</w:t>
      </w:r>
      <w:r w:rsidR="00CC4F20">
        <w:t xml:space="preserve"> </w:t>
      </w:r>
      <w:r>
        <w:t xml:space="preserve">(Human-cl </w:t>
      </w:r>
      <w:proofErr w:type="spellStart"/>
      <w:r>
        <w:t>rhFVIII</w:t>
      </w:r>
      <w:proofErr w:type="spellEnd"/>
      <w:r>
        <w:t xml:space="preserve">), </w:t>
      </w:r>
      <w:proofErr w:type="spellStart"/>
      <w:r w:rsidR="009C1E6B">
        <w:t>simoctocog</w:t>
      </w:r>
      <w:proofErr w:type="spellEnd"/>
      <w:r w:rsidR="009C1E6B">
        <w:t xml:space="preserve"> </w:t>
      </w:r>
      <w:r w:rsidR="00FC63A1">
        <w:t>alfa</w:t>
      </w:r>
      <w:r w:rsidR="003A6E2F">
        <w:t>)</w:t>
      </w:r>
      <w:r w:rsidR="00BA154F">
        <w:t xml:space="preserve">, </w:t>
      </w:r>
      <w:r>
        <w:t>2000IU</w:t>
      </w:r>
      <w:r w:rsidR="00CC4F20">
        <w:t>/1000IU/500IU/250IU</w:t>
      </w:r>
      <w:r>
        <w:t>, powder and solvent for solution for injection</w:t>
      </w:r>
      <w:r w:rsidR="00CC4F20">
        <w:t xml:space="preserve"> </w:t>
      </w:r>
      <w:r>
        <w:t>be approved.</w:t>
      </w:r>
    </w:p>
    <w:p w:rsidR="00CC4F20" w:rsidRPr="00FB4AF7" w:rsidRDefault="00675A4F" w:rsidP="00FB4AF7">
      <w:pPr>
        <w:pStyle w:val="Heading4"/>
      </w:pPr>
      <w:r w:rsidRPr="00AE7D3D">
        <w:t>Conditions of Registration</w:t>
      </w:r>
    </w:p>
    <w:p w:rsidR="00675A4F" w:rsidRPr="00FB4AF7" w:rsidRDefault="00081E62" w:rsidP="00FB4AF7">
      <w:pPr>
        <w:pStyle w:val="Heading5"/>
      </w:pPr>
      <w:r>
        <w:t>Batch Release Testing</w:t>
      </w:r>
    </w:p>
    <w:p w:rsidR="00675A4F" w:rsidRPr="00AE7D3D" w:rsidRDefault="00675A4F" w:rsidP="00675A4F">
      <w:pPr>
        <w:rPr>
          <w:rFonts w:asciiTheme="minorHAnsi" w:hAnsiTheme="minorHAnsi"/>
        </w:rPr>
      </w:pPr>
      <w:r w:rsidRPr="00AE7D3D">
        <w:rPr>
          <w:rFonts w:asciiTheme="minorHAnsi" w:hAnsiTheme="minorHAnsi"/>
        </w:rPr>
        <w:t xml:space="preserve">It is a condition of registration that, as a minimum, the first five independent batches of </w:t>
      </w:r>
    </w:p>
    <w:p w:rsidR="00675A4F" w:rsidRDefault="00675A4F" w:rsidP="00CC4F20">
      <w:pPr>
        <w:pStyle w:val="ListBullet"/>
      </w:pPr>
      <w:proofErr w:type="spellStart"/>
      <w:r>
        <w:t>Nuwiq</w:t>
      </w:r>
      <w:proofErr w:type="spellEnd"/>
      <w:r>
        <w:t xml:space="preserve"> Human cell line recombinant human </w:t>
      </w:r>
      <w:r w:rsidR="00BA154F">
        <w:t>FVIII</w:t>
      </w:r>
      <w:r w:rsidR="00CC4F20">
        <w:t xml:space="preserve"> </w:t>
      </w:r>
      <w:r>
        <w:t xml:space="preserve">(Human-cl </w:t>
      </w:r>
      <w:proofErr w:type="spellStart"/>
      <w:r>
        <w:t>rhFVIII</w:t>
      </w:r>
      <w:proofErr w:type="spellEnd"/>
      <w:r>
        <w:t>), 2000</w:t>
      </w:r>
      <w:r w:rsidR="00BA154F">
        <w:t xml:space="preserve"> </w:t>
      </w:r>
      <w:r>
        <w:t>IU, powder and solvent for solution for injection</w:t>
      </w:r>
    </w:p>
    <w:p w:rsidR="00675A4F" w:rsidRDefault="00675A4F" w:rsidP="00CC4F20">
      <w:pPr>
        <w:pStyle w:val="ListBullet"/>
      </w:pPr>
      <w:proofErr w:type="spellStart"/>
      <w:r>
        <w:t>Nuwiq</w:t>
      </w:r>
      <w:proofErr w:type="spellEnd"/>
      <w:r>
        <w:t xml:space="preserve"> Human cell line recombinant human </w:t>
      </w:r>
      <w:r w:rsidR="00BA154F">
        <w:t>FVIII</w:t>
      </w:r>
      <w:r w:rsidR="00CC4F20">
        <w:t xml:space="preserve"> </w:t>
      </w:r>
      <w:r>
        <w:t xml:space="preserve">(Human-cl </w:t>
      </w:r>
      <w:proofErr w:type="spellStart"/>
      <w:r>
        <w:t>rhFVIII</w:t>
      </w:r>
      <w:proofErr w:type="spellEnd"/>
      <w:r>
        <w:t>), 1000</w:t>
      </w:r>
      <w:r w:rsidR="00BA154F">
        <w:t xml:space="preserve"> </w:t>
      </w:r>
      <w:r>
        <w:t>IU, powder and solvent for solution for injection</w:t>
      </w:r>
    </w:p>
    <w:p w:rsidR="00675A4F" w:rsidRDefault="00675A4F" w:rsidP="00CC4F20">
      <w:pPr>
        <w:pStyle w:val="ListBullet"/>
      </w:pPr>
      <w:proofErr w:type="spellStart"/>
      <w:r>
        <w:t>Nuwiq</w:t>
      </w:r>
      <w:proofErr w:type="spellEnd"/>
      <w:r>
        <w:t xml:space="preserve"> Human cell line recombinant human </w:t>
      </w:r>
      <w:r w:rsidR="00BA154F">
        <w:t>FVIII</w:t>
      </w:r>
      <w:r w:rsidR="00CC4F20">
        <w:t xml:space="preserve"> </w:t>
      </w:r>
      <w:r>
        <w:t xml:space="preserve">(Human-cl </w:t>
      </w:r>
      <w:proofErr w:type="spellStart"/>
      <w:r>
        <w:t>rhFVIII</w:t>
      </w:r>
      <w:proofErr w:type="spellEnd"/>
      <w:r>
        <w:t>), 250</w:t>
      </w:r>
      <w:r w:rsidR="00BA154F">
        <w:t xml:space="preserve"> </w:t>
      </w:r>
      <w:r>
        <w:t>IU, powder and solvent for solution for injection</w:t>
      </w:r>
    </w:p>
    <w:p w:rsidR="00675A4F" w:rsidRDefault="00675A4F" w:rsidP="00CC4F20">
      <w:pPr>
        <w:pStyle w:val="ListBullet"/>
      </w:pPr>
      <w:proofErr w:type="spellStart"/>
      <w:r>
        <w:t>Nuwiq</w:t>
      </w:r>
      <w:proofErr w:type="spellEnd"/>
      <w:r>
        <w:t xml:space="preserve"> Human cell line recombinant human </w:t>
      </w:r>
      <w:r w:rsidR="00BA154F">
        <w:t>FVIII</w:t>
      </w:r>
      <w:r w:rsidR="00CC4F20">
        <w:t xml:space="preserve"> </w:t>
      </w:r>
      <w:r>
        <w:t xml:space="preserve">(Human-cl </w:t>
      </w:r>
      <w:proofErr w:type="spellStart"/>
      <w:r>
        <w:t>rhFVIII</w:t>
      </w:r>
      <w:proofErr w:type="spellEnd"/>
      <w:r>
        <w:t>), 500</w:t>
      </w:r>
      <w:r w:rsidR="00BA154F">
        <w:t xml:space="preserve"> </w:t>
      </w:r>
      <w:r>
        <w:t>IU, powder and solvent for solution for injection</w:t>
      </w:r>
    </w:p>
    <w:p w:rsidR="00675A4F" w:rsidRPr="00AE7D3D" w:rsidRDefault="00675A4F" w:rsidP="00675A4F">
      <w:pPr>
        <w:rPr>
          <w:rFonts w:asciiTheme="minorHAnsi" w:hAnsiTheme="minorHAnsi"/>
          <w:snapToGrid w:val="0"/>
        </w:rPr>
      </w:pPr>
      <w:r w:rsidRPr="0036414D">
        <w:rPr>
          <w:rFonts w:asciiTheme="minorHAnsi" w:hAnsiTheme="minorHAnsi"/>
        </w:rPr>
        <w:t xml:space="preserve">imported into/manufactured in Australia </w:t>
      </w:r>
      <w:r w:rsidRPr="00AE7D3D">
        <w:rPr>
          <w:rFonts w:asciiTheme="minorHAnsi" w:hAnsiTheme="minorHAnsi"/>
        </w:rPr>
        <w:t xml:space="preserve">are not released for sale until samples and/or the manufacturer’s release data have been assessed and endorsed for release by the TGA Office of Laboratories and Scientific Services (OLSS). </w:t>
      </w:r>
    </w:p>
    <w:p w:rsidR="008E7846" w:rsidRDefault="008E7846" w:rsidP="008E7846">
      <w:pPr>
        <w:pStyle w:val="Heading2"/>
      </w:pPr>
      <w:bookmarkStart w:id="35" w:name="_Toc196046439"/>
      <w:bookmarkStart w:id="36" w:name="_Toc247691510"/>
      <w:bookmarkStart w:id="37" w:name="_Toc314842494"/>
      <w:bookmarkStart w:id="38" w:name="_Toc453683269"/>
      <w:r>
        <w:t>III. Nonclinical</w:t>
      </w:r>
      <w:bookmarkEnd w:id="35"/>
      <w:r>
        <w:t xml:space="preserve"> findings</w:t>
      </w:r>
      <w:bookmarkEnd w:id="36"/>
      <w:bookmarkEnd w:id="37"/>
      <w:bookmarkEnd w:id="38"/>
    </w:p>
    <w:p w:rsidR="008E7846" w:rsidRDefault="008E7846" w:rsidP="00940A89">
      <w:pPr>
        <w:pStyle w:val="Heading3"/>
      </w:pPr>
      <w:bookmarkStart w:id="39" w:name="_Toc247691511"/>
      <w:bookmarkStart w:id="40" w:name="_Toc314842495"/>
      <w:bookmarkStart w:id="41" w:name="_Toc453683270"/>
      <w:r>
        <w:t>Introduction</w:t>
      </w:r>
      <w:bookmarkEnd w:id="39"/>
      <w:bookmarkEnd w:id="40"/>
      <w:bookmarkEnd w:id="41"/>
      <w:r>
        <w:tab/>
      </w:r>
    </w:p>
    <w:p w:rsidR="00675A4F" w:rsidRDefault="00675A4F" w:rsidP="00CC4F20">
      <w:r>
        <w:t>A limited data package was submitted and consisted of one combined pharmacology/</w:t>
      </w:r>
      <w:r w:rsidR="00577A56">
        <w:t xml:space="preserve"> </w:t>
      </w:r>
      <w:r>
        <w:t xml:space="preserve">pharmacokinetics </w:t>
      </w:r>
      <w:r w:rsidR="00BA154F">
        <w:t xml:space="preserve">(PK) </w:t>
      </w:r>
      <w:r>
        <w:t xml:space="preserve">study in a dog model of haemophilia A, one single dose toxicity and two repeat dose toxicity studies in monkeys, one local tolerance study and </w:t>
      </w:r>
      <w:r w:rsidR="00577A56">
        <w:t xml:space="preserve">four (4) </w:t>
      </w:r>
      <w:r>
        <w:t xml:space="preserve">immunogenicity studies. In addition, </w:t>
      </w:r>
      <w:r w:rsidRPr="00CC4F20">
        <w:t>in vitro</w:t>
      </w:r>
      <w:r>
        <w:t xml:space="preserve"> pharmacology studies were provided. The single and repeat-dose toxicity studies and the local tolerance study were conducted according to </w:t>
      </w:r>
      <w:r w:rsidR="00CC4F20">
        <w:t>Good Laboratory Practice (</w:t>
      </w:r>
      <w:r>
        <w:t>GLP</w:t>
      </w:r>
      <w:r w:rsidR="00CC4F20">
        <w:t>)</w:t>
      </w:r>
      <w:r>
        <w:t xml:space="preserve"> principles, with the key repeat-dose studies in </w:t>
      </w:r>
      <w:proofErr w:type="spellStart"/>
      <w:r w:rsidR="002F0BEA">
        <w:t>Cynomolgus</w:t>
      </w:r>
      <w:proofErr w:type="spellEnd"/>
      <w:r>
        <w:t xml:space="preserve"> monkeys lacking </w:t>
      </w:r>
      <w:proofErr w:type="spellStart"/>
      <w:r>
        <w:t>toxicokinetics</w:t>
      </w:r>
      <w:proofErr w:type="spellEnd"/>
      <w:r>
        <w:t xml:space="preserve">. Systemic exposure to </w:t>
      </w:r>
      <w:proofErr w:type="spellStart"/>
      <w:r w:rsidR="009C1E6B">
        <w:t>simoctocog</w:t>
      </w:r>
      <w:proofErr w:type="spellEnd"/>
      <w:r w:rsidR="009C1E6B">
        <w:t xml:space="preserve"> </w:t>
      </w:r>
      <w:r w:rsidR="00FC63A1">
        <w:t>alfa</w:t>
      </w:r>
      <w:r w:rsidR="00CB129B">
        <w:t xml:space="preserve"> </w:t>
      </w:r>
      <w:r>
        <w:t xml:space="preserve">in these studies would likely be comprehensive given administration was by </w:t>
      </w:r>
      <w:r w:rsidR="00CC4F20">
        <w:t>intravenous (</w:t>
      </w:r>
      <w:r>
        <w:t>IV</w:t>
      </w:r>
      <w:r w:rsidR="00CC4F20">
        <w:t>)</w:t>
      </w:r>
      <w:r>
        <w:t xml:space="preserve"> injection/infusion. </w:t>
      </w:r>
    </w:p>
    <w:p w:rsidR="00675A4F" w:rsidRDefault="00675A4F" w:rsidP="00CC4F20">
      <w:r>
        <w:t xml:space="preserve">Administration of </w:t>
      </w:r>
      <w:proofErr w:type="spellStart"/>
      <w:r w:rsidR="009C1E6B">
        <w:t>simoctocog</w:t>
      </w:r>
      <w:proofErr w:type="spellEnd"/>
      <w:r w:rsidR="009C1E6B">
        <w:t xml:space="preserve"> </w:t>
      </w:r>
      <w:r w:rsidR="00FC63A1">
        <w:t>alfa</w:t>
      </w:r>
      <w:r w:rsidR="00CB129B">
        <w:t xml:space="preserve"> </w:t>
      </w:r>
      <w:r>
        <w:t>followed treatment regimens covering haemorrhagic events and its use in surgery under on-demand conditions or in prophylaxis. Dose is calculated using the formula:</w:t>
      </w:r>
    </w:p>
    <w:p w:rsidR="00675A4F" w:rsidRDefault="00675A4F" w:rsidP="00CC4F20">
      <w:pPr>
        <w:pStyle w:val="Standard"/>
        <w:ind w:left="720"/>
        <w:rPr>
          <w:rFonts w:asciiTheme="minorHAnsi" w:eastAsiaTheme="minorHAnsi" w:hAnsiTheme="minorHAnsi"/>
          <w:szCs w:val="23"/>
        </w:rPr>
      </w:pPr>
      <w:r>
        <w:rPr>
          <w:rFonts w:asciiTheme="minorHAnsi" w:eastAsiaTheme="minorHAnsi" w:hAnsiTheme="minorHAnsi"/>
          <w:szCs w:val="23"/>
        </w:rPr>
        <w:t xml:space="preserve">Required units (IU) = body weight (kg) x desired </w:t>
      </w:r>
      <w:r w:rsidR="00BA154F">
        <w:rPr>
          <w:rFonts w:asciiTheme="minorHAnsi" w:eastAsiaTheme="minorHAnsi" w:hAnsiTheme="minorHAnsi"/>
          <w:szCs w:val="23"/>
        </w:rPr>
        <w:t>FVIII</w:t>
      </w:r>
      <w:r w:rsidR="00CC4F20">
        <w:rPr>
          <w:rFonts w:asciiTheme="minorHAnsi" w:eastAsiaTheme="minorHAnsi" w:hAnsiTheme="minorHAnsi"/>
          <w:szCs w:val="23"/>
        </w:rPr>
        <w:t xml:space="preserve"> </w:t>
      </w:r>
      <w:r>
        <w:rPr>
          <w:rFonts w:asciiTheme="minorHAnsi" w:eastAsiaTheme="minorHAnsi" w:hAnsiTheme="minorHAnsi"/>
          <w:szCs w:val="23"/>
        </w:rPr>
        <w:t>rise (% or IU/dL) x 0.5 (IU/kg per IU/dL)</w:t>
      </w:r>
    </w:p>
    <w:p w:rsidR="00675A4F" w:rsidRPr="00017068" w:rsidRDefault="00675A4F" w:rsidP="00675A4F">
      <w:pPr>
        <w:pStyle w:val="Standard"/>
        <w:rPr>
          <w:color w:val="3366CC"/>
          <w:kern w:val="2"/>
          <w:sz w:val="23"/>
          <w:szCs w:val="23"/>
        </w:rPr>
      </w:pPr>
      <w:r>
        <w:rPr>
          <w:rFonts w:asciiTheme="minorHAnsi" w:eastAsiaTheme="minorHAnsi" w:hAnsiTheme="minorHAnsi"/>
          <w:szCs w:val="23"/>
        </w:rPr>
        <w:t xml:space="preserve">Dosing for categories (shown below in table) of use varied but it was recommended that not more than 4 mL/minute be </w:t>
      </w:r>
      <w:r w:rsidRPr="00017068">
        <w:rPr>
          <w:rFonts w:asciiTheme="minorHAnsi" w:eastAsiaTheme="minorHAnsi" w:hAnsiTheme="minorHAnsi"/>
          <w:sz w:val="23"/>
          <w:szCs w:val="23"/>
        </w:rPr>
        <w:t>administered.</w:t>
      </w:r>
    </w:p>
    <w:tbl>
      <w:tblPr>
        <w:tblStyle w:val="TableTGAblue"/>
        <w:tblW w:w="0" w:type="auto"/>
        <w:tblLook w:val="04A0" w:firstRow="1" w:lastRow="0" w:firstColumn="1" w:lastColumn="0" w:noHBand="0" w:noVBand="1"/>
      </w:tblPr>
      <w:tblGrid>
        <w:gridCol w:w="3419"/>
        <w:gridCol w:w="1881"/>
        <w:gridCol w:w="3420"/>
      </w:tblGrid>
      <w:tr w:rsidR="00675A4F" w:rsidTr="00081E62">
        <w:trPr>
          <w:cnfStyle w:val="100000000000" w:firstRow="1" w:lastRow="0" w:firstColumn="0" w:lastColumn="0" w:oddVBand="0" w:evenVBand="0" w:oddHBand="0" w:evenHBand="0" w:firstRowFirstColumn="0" w:firstRowLastColumn="0" w:lastRowFirstColumn="0" w:lastRowLastColumn="0"/>
        </w:trPr>
        <w:tc>
          <w:tcPr>
            <w:tcW w:w="3794" w:type="dxa"/>
          </w:tcPr>
          <w:p w:rsidR="00675A4F" w:rsidRPr="00CC4F20" w:rsidRDefault="00675A4F" w:rsidP="00081E62">
            <w:r w:rsidRPr="00CC4F20">
              <w:lastRenderedPageBreak/>
              <w:t>Degree of haemorrhage/ Type of surgical procedure</w:t>
            </w:r>
          </w:p>
        </w:tc>
        <w:tc>
          <w:tcPr>
            <w:tcW w:w="1984" w:type="dxa"/>
          </w:tcPr>
          <w:p w:rsidR="00675A4F" w:rsidRPr="00CC4F20" w:rsidRDefault="00BA154F" w:rsidP="00081E62">
            <w:r>
              <w:t>FVIII</w:t>
            </w:r>
            <w:r w:rsidR="00CC4F20">
              <w:t xml:space="preserve"> </w:t>
            </w:r>
            <w:r w:rsidR="00675A4F" w:rsidRPr="00CC4F20">
              <w:t>level required (%) (IU/dL)</w:t>
            </w:r>
          </w:p>
        </w:tc>
        <w:tc>
          <w:tcPr>
            <w:tcW w:w="3906" w:type="dxa"/>
          </w:tcPr>
          <w:p w:rsidR="00675A4F" w:rsidRPr="00CC4F20" w:rsidRDefault="00675A4F" w:rsidP="00081E62">
            <w:r w:rsidRPr="00CC4F20">
              <w:t>Frequency of doses (hours)/ Duration of therapy (days)</w:t>
            </w:r>
          </w:p>
        </w:tc>
      </w:tr>
      <w:tr w:rsidR="00675A4F" w:rsidTr="00081E62">
        <w:tc>
          <w:tcPr>
            <w:tcW w:w="9684" w:type="dxa"/>
            <w:gridSpan w:val="3"/>
          </w:tcPr>
          <w:p w:rsidR="00675A4F" w:rsidRPr="00CC4F20" w:rsidRDefault="00675A4F" w:rsidP="00081E62">
            <w:r w:rsidRPr="00CC4F20">
              <w:t>Haemorrhage</w:t>
            </w:r>
          </w:p>
        </w:tc>
      </w:tr>
      <w:tr w:rsidR="00675A4F" w:rsidTr="00081E62">
        <w:tc>
          <w:tcPr>
            <w:tcW w:w="3794" w:type="dxa"/>
          </w:tcPr>
          <w:p w:rsidR="00675A4F" w:rsidRPr="00017068" w:rsidRDefault="00675A4F" w:rsidP="00081E62">
            <w:r>
              <w:t xml:space="preserve">Early </w:t>
            </w:r>
            <w:proofErr w:type="spellStart"/>
            <w:r>
              <w:t>haemarthrosis</w:t>
            </w:r>
            <w:proofErr w:type="spellEnd"/>
            <w:r>
              <w:t>, muscle bleeding or oral bleeding.</w:t>
            </w:r>
          </w:p>
        </w:tc>
        <w:tc>
          <w:tcPr>
            <w:tcW w:w="1984" w:type="dxa"/>
          </w:tcPr>
          <w:p w:rsidR="00675A4F" w:rsidRPr="00017068" w:rsidRDefault="00675A4F" w:rsidP="00081E62">
            <w:r>
              <w:t>20-40</w:t>
            </w:r>
          </w:p>
        </w:tc>
        <w:tc>
          <w:tcPr>
            <w:tcW w:w="3906" w:type="dxa"/>
          </w:tcPr>
          <w:p w:rsidR="00675A4F" w:rsidRPr="00017068" w:rsidRDefault="00675A4F" w:rsidP="00081E62">
            <w:r>
              <w:t>Repeat every 12 to 24 hrs. At least 1 day, until bleeding episode as indicated by pain is resolved of healing is achieved.</w:t>
            </w:r>
          </w:p>
        </w:tc>
      </w:tr>
      <w:tr w:rsidR="00675A4F" w:rsidTr="00081E62">
        <w:tc>
          <w:tcPr>
            <w:tcW w:w="3794" w:type="dxa"/>
          </w:tcPr>
          <w:p w:rsidR="00675A4F" w:rsidRPr="00017068" w:rsidRDefault="00675A4F" w:rsidP="00081E62">
            <w:r>
              <w:t xml:space="preserve">More extensive </w:t>
            </w:r>
            <w:proofErr w:type="spellStart"/>
            <w:r>
              <w:t>haemarthrosis</w:t>
            </w:r>
            <w:proofErr w:type="spellEnd"/>
            <w:r>
              <w:t>, muscle bleeding or haematoma.</w:t>
            </w:r>
          </w:p>
        </w:tc>
        <w:tc>
          <w:tcPr>
            <w:tcW w:w="1984" w:type="dxa"/>
          </w:tcPr>
          <w:p w:rsidR="00675A4F" w:rsidRPr="00017068" w:rsidRDefault="00675A4F" w:rsidP="00081E62">
            <w:r>
              <w:t>30-60</w:t>
            </w:r>
          </w:p>
        </w:tc>
        <w:tc>
          <w:tcPr>
            <w:tcW w:w="3906" w:type="dxa"/>
          </w:tcPr>
          <w:p w:rsidR="00675A4F" w:rsidRPr="00017068" w:rsidRDefault="00675A4F" w:rsidP="00081E62">
            <w:r>
              <w:t>Repeat infusion every 12 to 24 hrs for 3 to 4 days or more until pain and acute disability are resolved.</w:t>
            </w:r>
          </w:p>
        </w:tc>
      </w:tr>
      <w:tr w:rsidR="00675A4F" w:rsidTr="00081E62">
        <w:tc>
          <w:tcPr>
            <w:tcW w:w="3794" w:type="dxa"/>
          </w:tcPr>
          <w:p w:rsidR="00675A4F" w:rsidRPr="00017068" w:rsidRDefault="00675A4F" w:rsidP="00081E62">
            <w:r>
              <w:t xml:space="preserve">Life threatening haemorrhages. </w:t>
            </w:r>
          </w:p>
        </w:tc>
        <w:tc>
          <w:tcPr>
            <w:tcW w:w="1984" w:type="dxa"/>
          </w:tcPr>
          <w:p w:rsidR="00675A4F" w:rsidRPr="00017068" w:rsidRDefault="00675A4F" w:rsidP="00081E62">
            <w:r>
              <w:t>60-100</w:t>
            </w:r>
          </w:p>
        </w:tc>
        <w:tc>
          <w:tcPr>
            <w:tcW w:w="3906" w:type="dxa"/>
          </w:tcPr>
          <w:p w:rsidR="00675A4F" w:rsidRPr="00017068" w:rsidRDefault="00675A4F" w:rsidP="00081E62">
            <w:r>
              <w:t>Repeat infusion every 8 to 24 hrs until threat is resolved.</w:t>
            </w:r>
          </w:p>
        </w:tc>
      </w:tr>
      <w:tr w:rsidR="00675A4F" w:rsidTr="00081E62">
        <w:tc>
          <w:tcPr>
            <w:tcW w:w="9684" w:type="dxa"/>
            <w:gridSpan w:val="3"/>
          </w:tcPr>
          <w:p w:rsidR="00675A4F" w:rsidRPr="00CC4F20" w:rsidRDefault="00675A4F" w:rsidP="00081E62">
            <w:r w:rsidRPr="00CC4F20">
              <w:t>Surgery</w:t>
            </w:r>
          </w:p>
        </w:tc>
      </w:tr>
      <w:tr w:rsidR="00675A4F" w:rsidTr="00081E62">
        <w:tc>
          <w:tcPr>
            <w:tcW w:w="3794" w:type="dxa"/>
          </w:tcPr>
          <w:p w:rsidR="00675A4F" w:rsidRPr="00017068" w:rsidRDefault="00675A4F" w:rsidP="00081E62">
            <w:r>
              <w:t>Minor surgery including tooth extraction.</w:t>
            </w:r>
          </w:p>
        </w:tc>
        <w:tc>
          <w:tcPr>
            <w:tcW w:w="1984" w:type="dxa"/>
          </w:tcPr>
          <w:p w:rsidR="00675A4F" w:rsidRPr="00017068" w:rsidRDefault="00675A4F" w:rsidP="00081E62">
            <w:r>
              <w:t>30-60</w:t>
            </w:r>
          </w:p>
        </w:tc>
        <w:tc>
          <w:tcPr>
            <w:tcW w:w="3906" w:type="dxa"/>
          </w:tcPr>
          <w:p w:rsidR="00675A4F" w:rsidRPr="00017068" w:rsidRDefault="00675A4F" w:rsidP="00081E62">
            <w:r>
              <w:t>Every 24 hrs, at least 1 day, until healing is achieved.</w:t>
            </w:r>
          </w:p>
        </w:tc>
      </w:tr>
      <w:tr w:rsidR="00675A4F" w:rsidTr="00081E62">
        <w:tc>
          <w:tcPr>
            <w:tcW w:w="3794" w:type="dxa"/>
          </w:tcPr>
          <w:p w:rsidR="00675A4F" w:rsidRPr="00017068" w:rsidRDefault="00675A4F" w:rsidP="00081E62">
            <w:r>
              <w:t>Major surgery.</w:t>
            </w:r>
          </w:p>
        </w:tc>
        <w:tc>
          <w:tcPr>
            <w:tcW w:w="1984" w:type="dxa"/>
          </w:tcPr>
          <w:p w:rsidR="00675A4F" w:rsidRPr="00017068" w:rsidRDefault="00675A4F" w:rsidP="00081E62">
            <w:r>
              <w:t>80-100 pre- and post-operative.</w:t>
            </w:r>
          </w:p>
        </w:tc>
        <w:tc>
          <w:tcPr>
            <w:tcW w:w="3906" w:type="dxa"/>
          </w:tcPr>
          <w:p w:rsidR="00675A4F" w:rsidRPr="00017068" w:rsidRDefault="00675A4F" w:rsidP="00081E62">
            <w:r>
              <w:t xml:space="preserve">Repeat infusion every 8-24 hrs until adequate wound healing, then therapy for at least another 7 days to maintain a </w:t>
            </w:r>
            <w:r w:rsidR="00BA154F">
              <w:t>FVIII</w:t>
            </w:r>
            <w:r w:rsidR="00CC4F20">
              <w:t xml:space="preserve"> </w:t>
            </w:r>
            <w:r>
              <w:t>activity of 30% to 60% (IU/dL).</w:t>
            </w:r>
          </w:p>
        </w:tc>
      </w:tr>
    </w:tbl>
    <w:p w:rsidR="00675A4F" w:rsidRPr="00017068" w:rsidRDefault="00675A4F" w:rsidP="00CC4F20">
      <w:pPr>
        <w:pStyle w:val="Standard"/>
        <w:spacing w:before="240"/>
        <w:rPr>
          <w:sz w:val="23"/>
          <w:szCs w:val="23"/>
        </w:rPr>
      </w:pPr>
      <w:r w:rsidRPr="002D4904">
        <w:rPr>
          <w:szCs w:val="23"/>
        </w:rPr>
        <w:t>For long-term prophylaxis in patients with severe haemophilia A, the usual</w:t>
      </w:r>
      <w:r>
        <w:rPr>
          <w:szCs w:val="23"/>
        </w:rPr>
        <w:t xml:space="preserve"> </w:t>
      </w:r>
      <w:r w:rsidRPr="002D4904">
        <w:rPr>
          <w:szCs w:val="23"/>
        </w:rPr>
        <w:t xml:space="preserve">doses are 20 to 40 IU of </w:t>
      </w:r>
      <w:r w:rsidR="00BA154F">
        <w:rPr>
          <w:szCs w:val="23"/>
        </w:rPr>
        <w:t>FVIII</w:t>
      </w:r>
      <w:r w:rsidR="00CC4F20">
        <w:rPr>
          <w:szCs w:val="23"/>
        </w:rPr>
        <w:t xml:space="preserve"> </w:t>
      </w:r>
      <w:r w:rsidRPr="002D4904">
        <w:rPr>
          <w:szCs w:val="23"/>
        </w:rPr>
        <w:t>per kg body weight at intervals of 2 to 3 days. In some</w:t>
      </w:r>
      <w:r>
        <w:rPr>
          <w:szCs w:val="23"/>
        </w:rPr>
        <w:t xml:space="preserve"> </w:t>
      </w:r>
      <w:r w:rsidRPr="002D4904">
        <w:rPr>
          <w:szCs w:val="23"/>
        </w:rPr>
        <w:t>cases, especially in younger patients, shorter dosage intervals or higher doses may be</w:t>
      </w:r>
      <w:r>
        <w:rPr>
          <w:szCs w:val="23"/>
        </w:rPr>
        <w:t xml:space="preserve"> </w:t>
      </w:r>
      <w:r w:rsidRPr="002D4904">
        <w:rPr>
          <w:sz w:val="23"/>
          <w:szCs w:val="23"/>
        </w:rPr>
        <w:t>necessary.</w:t>
      </w:r>
      <w:r w:rsidRPr="002D4904" w:rsidDel="002D4904">
        <w:rPr>
          <w:sz w:val="23"/>
          <w:szCs w:val="23"/>
        </w:rPr>
        <w:t xml:space="preserve"> </w:t>
      </w:r>
    </w:p>
    <w:p w:rsidR="008E7846" w:rsidRDefault="008E7846" w:rsidP="008E7846">
      <w:pPr>
        <w:pStyle w:val="Heading3"/>
      </w:pPr>
      <w:bookmarkStart w:id="42" w:name="_Toc247691512"/>
      <w:bookmarkStart w:id="43" w:name="_Toc314842496"/>
      <w:bookmarkStart w:id="44" w:name="_Toc453683271"/>
      <w:r w:rsidRPr="00020030">
        <w:t>Pharmacology</w:t>
      </w:r>
      <w:bookmarkEnd w:id="42"/>
      <w:bookmarkEnd w:id="43"/>
      <w:bookmarkEnd w:id="44"/>
    </w:p>
    <w:p w:rsidR="00675A4F" w:rsidRDefault="00675A4F" w:rsidP="00FF5033">
      <w:pPr>
        <w:pStyle w:val="Heading4"/>
      </w:pPr>
      <w:r>
        <w:t>Primary pharmacology</w:t>
      </w:r>
    </w:p>
    <w:p w:rsidR="00675A4F" w:rsidRDefault="00675A4F" w:rsidP="00FF5033">
      <w:r>
        <w:t xml:space="preserve">The biological activity of </w:t>
      </w:r>
      <w:proofErr w:type="spellStart"/>
      <w:r w:rsidR="009C1E6B">
        <w:t>simoctocog</w:t>
      </w:r>
      <w:proofErr w:type="spellEnd"/>
      <w:r w:rsidR="009C1E6B">
        <w:t xml:space="preserve"> alfa</w:t>
      </w:r>
      <w:r>
        <w:t xml:space="preserve"> was demonstrated in </w:t>
      </w:r>
      <w:r w:rsidRPr="00FF5033">
        <w:t>in vitro</w:t>
      </w:r>
      <w:r>
        <w:t xml:space="preserve"> assays and in a dog model of haemophilia A. </w:t>
      </w:r>
    </w:p>
    <w:p w:rsidR="00675A4F" w:rsidRDefault="00675A4F" w:rsidP="00FF5033">
      <w:r w:rsidRPr="00FF5033">
        <w:rPr>
          <w:rFonts w:asciiTheme="minorHAnsi" w:eastAsiaTheme="minorHAnsi" w:hAnsiTheme="minorHAnsi"/>
        </w:rPr>
        <w:t>In vitro data</w:t>
      </w:r>
      <w:r w:rsidRPr="002A0452">
        <w:rPr>
          <w:rFonts w:asciiTheme="minorHAnsi" w:eastAsiaTheme="minorHAnsi" w:hAnsiTheme="minorHAnsi"/>
        </w:rPr>
        <w:t xml:space="preserve"> indicated</w:t>
      </w:r>
      <w:r>
        <w:rPr>
          <w:rFonts w:asciiTheme="minorHAnsi" w:eastAsiaTheme="minorHAnsi" w:hAnsiTheme="minorHAnsi"/>
        </w:rPr>
        <w:t xml:space="preserve"> </w:t>
      </w:r>
      <w:r w:rsidRPr="002A0452">
        <w:rPr>
          <w:rFonts w:asciiTheme="minorHAnsi" w:eastAsiaTheme="minorHAnsi" w:hAnsiTheme="minorHAnsi"/>
        </w:rPr>
        <w:t xml:space="preserve">that </w:t>
      </w:r>
      <w:proofErr w:type="spellStart"/>
      <w:r w:rsidR="009C1E6B">
        <w:t>simoctocog</w:t>
      </w:r>
      <w:proofErr w:type="spellEnd"/>
      <w:r w:rsidR="009C1E6B">
        <w:t xml:space="preserve"> alfa</w:t>
      </w:r>
      <w:r>
        <w:t xml:space="preserve"> </w:t>
      </w:r>
      <w:r w:rsidRPr="002A0452">
        <w:rPr>
          <w:rFonts w:asciiTheme="minorHAnsi" w:eastAsiaTheme="minorHAnsi" w:hAnsiTheme="minorHAnsi"/>
        </w:rPr>
        <w:t>ha</w:t>
      </w:r>
      <w:r>
        <w:rPr>
          <w:rFonts w:asciiTheme="minorHAnsi" w:eastAsiaTheme="minorHAnsi" w:hAnsiTheme="minorHAnsi"/>
        </w:rPr>
        <w:t>s</w:t>
      </w:r>
      <w:r w:rsidRPr="002A0452">
        <w:rPr>
          <w:rFonts w:asciiTheme="minorHAnsi" w:eastAsiaTheme="minorHAnsi" w:hAnsiTheme="minorHAnsi"/>
        </w:rPr>
        <w:t xml:space="preserve"> compara</w:t>
      </w:r>
      <w:r>
        <w:rPr>
          <w:rFonts w:asciiTheme="minorHAnsi" w:eastAsiaTheme="minorHAnsi" w:hAnsiTheme="minorHAnsi"/>
        </w:rPr>
        <w:t xml:space="preserve">ble </w:t>
      </w:r>
      <w:r w:rsidR="00BA154F">
        <w:rPr>
          <w:rFonts w:asciiTheme="minorHAnsi" w:eastAsiaTheme="minorHAnsi" w:hAnsiTheme="minorHAnsi"/>
        </w:rPr>
        <w:t>FVIII</w:t>
      </w:r>
      <w:r w:rsidR="00CC4F20">
        <w:rPr>
          <w:rFonts w:asciiTheme="minorHAnsi" w:eastAsiaTheme="minorHAnsi" w:hAnsiTheme="minorHAnsi"/>
        </w:rPr>
        <w:t xml:space="preserve"> </w:t>
      </w:r>
      <w:r w:rsidRPr="002A0452">
        <w:rPr>
          <w:rFonts w:asciiTheme="minorHAnsi" w:eastAsiaTheme="minorHAnsi" w:hAnsiTheme="minorHAnsi"/>
        </w:rPr>
        <w:t>activity</w:t>
      </w:r>
      <w:r>
        <w:rPr>
          <w:rFonts w:asciiTheme="minorHAnsi" w:eastAsiaTheme="minorHAnsi" w:hAnsiTheme="minorHAnsi"/>
        </w:rPr>
        <w:t xml:space="preserve"> with other </w:t>
      </w:r>
      <w:proofErr w:type="spellStart"/>
      <w:r w:rsidR="003A6E2F">
        <w:rPr>
          <w:rFonts w:asciiTheme="minorHAnsi" w:eastAsiaTheme="minorHAnsi" w:hAnsiTheme="minorHAnsi"/>
        </w:rPr>
        <w:t>rFVIII</w:t>
      </w:r>
      <w:proofErr w:type="spellEnd"/>
      <w:r>
        <w:rPr>
          <w:rFonts w:asciiTheme="minorHAnsi" w:eastAsiaTheme="minorHAnsi" w:hAnsiTheme="minorHAnsi"/>
        </w:rPr>
        <w:t xml:space="preserve"> or </w:t>
      </w:r>
      <w:proofErr w:type="spellStart"/>
      <w:r w:rsidR="003A6E2F">
        <w:rPr>
          <w:rFonts w:asciiTheme="minorHAnsi" w:eastAsiaTheme="minorHAnsi" w:hAnsiTheme="minorHAnsi"/>
        </w:rPr>
        <w:t>pd</w:t>
      </w:r>
      <w:r>
        <w:rPr>
          <w:rFonts w:asciiTheme="minorHAnsi" w:eastAsiaTheme="minorHAnsi" w:hAnsiTheme="minorHAnsi"/>
        </w:rPr>
        <w:t>FVIII</w:t>
      </w:r>
      <w:proofErr w:type="spellEnd"/>
      <w:r>
        <w:rPr>
          <w:rFonts w:asciiTheme="minorHAnsi" w:eastAsiaTheme="minorHAnsi" w:hAnsiTheme="minorHAnsi"/>
        </w:rPr>
        <w:t xml:space="preserve"> using a two-stage chromogenic assay and a one stage </w:t>
      </w:r>
      <w:r w:rsidR="009C1E6B">
        <w:rPr>
          <w:rFonts w:asciiTheme="minorHAnsi" w:eastAsiaTheme="minorHAnsi" w:hAnsiTheme="minorHAnsi"/>
        </w:rPr>
        <w:t xml:space="preserve">(OS) </w:t>
      </w:r>
      <w:r>
        <w:rPr>
          <w:rFonts w:asciiTheme="minorHAnsi" w:eastAsiaTheme="minorHAnsi" w:hAnsiTheme="minorHAnsi"/>
        </w:rPr>
        <w:t>assay</w:t>
      </w:r>
      <w:r w:rsidRPr="002A0452">
        <w:rPr>
          <w:rFonts w:asciiTheme="minorHAnsi" w:eastAsiaTheme="minorHAnsi" w:hAnsiTheme="minorHAnsi"/>
        </w:rPr>
        <w:t>.</w:t>
      </w:r>
      <w:r w:rsidR="00FF5033">
        <w:rPr>
          <w:rFonts w:asciiTheme="minorHAnsi" w:eastAsiaTheme="minorHAnsi" w:hAnsiTheme="minorHAnsi"/>
        </w:rPr>
        <w:t xml:space="preserve"> </w:t>
      </w:r>
      <w:r>
        <w:rPr>
          <w:rFonts w:asciiTheme="minorHAnsi" w:eastAsiaTheme="minorHAnsi" w:hAnsiTheme="minorHAnsi"/>
        </w:rPr>
        <w:t>T</w:t>
      </w:r>
      <w:r w:rsidRPr="001E7E12">
        <w:rPr>
          <w:rFonts w:asciiTheme="minorHAnsi" w:eastAsiaTheme="minorHAnsi" w:hAnsiTheme="minorHAnsi"/>
        </w:rPr>
        <w:t xml:space="preserve">he effect on </w:t>
      </w:r>
      <w:r w:rsidR="00BA154F">
        <w:rPr>
          <w:rFonts w:asciiTheme="minorHAnsi" w:eastAsiaTheme="minorHAnsi" w:hAnsiTheme="minorHAnsi"/>
        </w:rPr>
        <w:t>FVIII</w:t>
      </w:r>
      <w:r w:rsidR="00CC4F20">
        <w:rPr>
          <w:rFonts w:asciiTheme="minorHAnsi" w:eastAsiaTheme="minorHAnsi" w:hAnsiTheme="minorHAnsi"/>
        </w:rPr>
        <w:t xml:space="preserve"> </w:t>
      </w:r>
      <w:r w:rsidRPr="001E7E12">
        <w:rPr>
          <w:rFonts w:asciiTheme="minorHAnsi" w:eastAsiaTheme="minorHAnsi" w:hAnsiTheme="minorHAnsi"/>
        </w:rPr>
        <w:t xml:space="preserve">activity of </w:t>
      </w:r>
      <w:proofErr w:type="spellStart"/>
      <w:r w:rsidR="009C1E6B">
        <w:rPr>
          <w:rFonts w:asciiTheme="minorHAnsi" w:eastAsiaTheme="minorHAnsi" w:hAnsiTheme="minorHAnsi"/>
        </w:rPr>
        <w:t>simoctocog</w:t>
      </w:r>
      <w:proofErr w:type="spellEnd"/>
      <w:r w:rsidR="009C1E6B">
        <w:rPr>
          <w:rFonts w:asciiTheme="minorHAnsi" w:eastAsiaTheme="minorHAnsi" w:hAnsiTheme="minorHAnsi"/>
        </w:rPr>
        <w:t xml:space="preserve"> alfa</w:t>
      </w:r>
      <w:r>
        <w:rPr>
          <w:rFonts w:asciiTheme="minorHAnsi" w:eastAsiaTheme="minorHAnsi" w:hAnsiTheme="minorHAnsi"/>
        </w:rPr>
        <w:t xml:space="preserve"> </w:t>
      </w:r>
      <w:r w:rsidRPr="001E7E12">
        <w:rPr>
          <w:rFonts w:asciiTheme="minorHAnsi" w:eastAsiaTheme="minorHAnsi" w:hAnsiTheme="minorHAnsi"/>
        </w:rPr>
        <w:t xml:space="preserve">by thrombin </w:t>
      </w:r>
      <w:r>
        <w:rPr>
          <w:rFonts w:asciiTheme="minorHAnsi" w:eastAsiaTheme="minorHAnsi" w:hAnsiTheme="minorHAnsi"/>
        </w:rPr>
        <w:t xml:space="preserve">was similar to human </w:t>
      </w:r>
      <w:proofErr w:type="spellStart"/>
      <w:r w:rsidR="009C1E6B">
        <w:rPr>
          <w:rFonts w:asciiTheme="minorHAnsi" w:eastAsiaTheme="minorHAnsi" w:hAnsiTheme="minorHAnsi"/>
        </w:rPr>
        <w:t>pd</w:t>
      </w:r>
      <w:r w:rsidR="00BA154F">
        <w:rPr>
          <w:rFonts w:asciiTheme="minorHAnsi" w:eastAsiaTheme="minorHAnsi" w:hAnsiTheme="minorHAnsi"/>
        </w:rPr>
        <w:t>FVIII</w:t>
      </w:r>
      <w:proofErr w:type="spellEnd"/>
      <w:r w:rsidRPr="001E7E12">
        <w:rPr>
          <w:rFonts w:asciiTheme="minorHAnsi" w:eastAsiaTheme="minorHAnsi" w:hAnsiTheme="minorHAnsi"/>
        </w:rPr>
        <w:t>.</w:t>
      </w:r>
      <w:r>
        <w:rPr>
          <w:rFonts w:asciiTheme="minorHAnsi" w:eastAsiaTheme="minorHAnsi" w:hAnsiTheme="minorHAnsi"/>
        </w:rPr>
        <w:t xml:space="preserve"> The i</w:t>
      </w:r>
      <w:r w:rsidRPr="007920E1">
        <w:rPr>
          <w:rFonts w:asciiTheme="minorHAnsi" w:eastAsiaTheme="minorHAnsi" w:hAnsiTheme="minorHAnsi"/>
        </w:rPr>
        <w:t xml:space="preserve">nteraction of </w:t>
      </w:r>
      <w:proofErr w:type="spellStart"/>
      <w:r w:rsidR="009C1E6B">
        <w:rPr>
          <w:rFonts w:asciiTheme="minorHAnsi" w:eastAsiaTheme="minorHAnsi" w:hAnsiTheme="minorHAnsi"/>
        </w:rPr>
        <w:t>simoctocog</w:t>
      </w:r>
      <w:proofErr w:type="spellEnd"/>
      <w:r w:rsidR="009C1E6B">
        <w:rPr>
          <w:rFonts w:asciiTheme="minorHAnsi" w:eastAsiaTheme="minorHAnsi" w:hAnsiTheme="minorHAnsi"/>
        </w:rPr>
        <w:t xml:space="preserve"> alfa</w:t>
      </w:r>
      <w:r>
        <w:rPr>
          <w:rFonts w:asciiTheme="minorHAnsi" w:eastAsiaTheme="minorHAnsi" w:hAnsiTheme="minorHAnsi"/>
        </w:rPr>
        <w:t xml:space="preserve"> </w:t>
      </w:r>
      <w:r w:rsidRPr="007920E1">
        <w:rPr>
          <w:rFonts w:asciiTheme="minorHAnsi" w:eastAsiaTheme="minorHAnsi" w:hAnsiTheme="minorHAnsi"/>
        </w:rPr>
        <w:t xml:space="preserve">with thrombin </w:t>
      </w:r>
      <w:r>
        <w:rPr>
          <w:rFonts w:asciiTheme="minorHAnsi" w:eastAsiaTheme="minorHAnsi" w:hAnsiTheme="minorHAnsi"/>
        </w:rPr>
        <w:t xml:space="preserve">is similar to </w:t>
      </w:r>
      <w:r w:rsidR="003A6E2F">
        <w:rPr>
          <w:rFonts w:asciiTheme="minorHAnsi" w:eastAsiaTheme="minorHAnsi" w:hAnsiTheme="minorHAnsi"/>
        </w:rPr>
        <w:t xml:space="preserve">that of </w:t>
      </w:r>
      <w:proofErr w:type="spellStart"/>
      <w:r w:rsidR="003A6E2F">
        <w:rPr>
          <w:rFonts w:asciiTheme="minorHAnsi" w:eastAsiaTheme="minorHAnsi" w:hAnsiTheme="minorHAnsi"/>
        </w:rPr>
        <w:t>pdFVIII</w:t>
      </w:r>
      <w:proofErr w:type="spellEnd"/>
      <w:r w:rsidRPr="007920E1">
        <w:rPr>
          <w:rFonts w:asciiTheme="minorHAnsi" w:eastAsiaTheme="minorHAnsi" w:hAnsiTheme="minorHAnsi"/>
        </w:rPr>
        <w:t>.</w:t>
      </w:r>
      <w:r w:rsidRPr="00214C18">
        <w:rPr>
          <w:rFonts w:asciiTheme="minorHAnsi" w:eastAsiaTheme="minorHAnsi" w:hAnsiTheme="minorHAnsi"/>
        </w:rPr>
        <w:t xml:space="preserve"> </w:t>
      </w:r>
      <w:proofErr w:type="spellStart"/>
      <w:r w:rsidR="00FA190B">
        <w:rPr>
          <w:rFonts w:asciiTheme="minorHAnsi" w:eastAsiaTheme="minorHAnsi" w:hAnsiTheme="minorHAnsi"/>
        </w:rPr>
        <w:t>Simoctocog</w:t>
      </w:r>
      <w:proofErr w:type="spellEnd"/>
      <w:r w:rsidR="00FA190B">
        <w:rPr>
          <w:rFonts w:asciiTheme="minorHAnsi" w:eastAsiaTheme="minorHAnsi" w:hAnsiTheme="minorHAnsi"/>
        </w:rPr>
        <w:t xml:space="preserve"> alfa</w:t>
      </w:r>
      <w:r>
        <w:rPr>
          <w:rFonts w:asciiTheme="minorHAnsi" w:eastAsiaTheme="minorHAnsi" w:hAnsiTheme="minorHAnsi"/>
        </w:rPr>
        <w:t xml:space="preserve"> </w:t>
      </w:r>
      <w:r w:rsidRPr="001812D2">
        <w:rPr>
          <w:rFonts w:asciiTheme="minorHAnsi" w:eastAsiaTheme="minorHAnsi" w:hAnsiTheme="minorHAnsi"/>
        </w:rPr>
        <w:t>ex</w:t>
      </w:r>
      <w:r>
        <w:rPr>
          <w:rFonts w:asciiTheme="minorHAnsi" w:eastAsiaTheme="minorHAnsi" w:hAnsiTheme="minorHAnsi"/>
        </w:rPr>
        <w:t xml:space="preserve">hibits a similar pattern of </w:t>
      </w:r>
      <w:r w:rsidR="009C1E6B">
        <w:rPr>
          <w:rFonts w:asciiTheme="minorHAnsi" w:eastAsiaTheme="minorHAnsi" w:hAnsiTheme="minorHAnsi"/>
        </w:rPr>
        <w:t>Factor Xa (</w:t>
      </w:r>
      <w:r>
        <w:rPr>
          <w:rFonts w:asciiTheme="minorHAnsi" w:eastAsiaTheme="minorHAnsi" w:hAnsiTheme="minorHAnsi"/>
        </w:rPr>
        <w:t>FXa</w:t>
      </w:r>
      <w:r w:rsidR="009C1E6B">
        <w:rPr>
          <w:rFonts w:asciiTheme="minorHAnsi" w:eastAsiaTheme="minorHAnsi" w:hAnsiTheme="minorHAnsi"/>
        </w:rPr>
        <w:t>)</w:t>
      </w:r>
      <w:r>
        <w:rPr>
          <w:rFonts w:asciiTheme="minorHAnsi" w:eastAsiaTheme="minorHAnsi" w:hAnsiTheme="minorHAnsi"/>
        </w:rPr>
        <w:t xml:space="preserve"> </w:t>
      </w:r>
      <w:r w:rsidRPr="001812D2">
        <w:rPr>
          <w:rFonts w:asciiTheme="minorHAnsi" w:eastAsiaTheme="minorHAnsi" w:hAnsiTheme="minorHAnsi"/>
        </w:rPr>
        <w:t>generation as</w:t>
      </w:r>
      <w:r>
        <w:rPr>
          <w:rFonts w:asciiTheme="minorHAnsi" w:eastAsiaTheme="minorHAnsi" w:hAnsiTheme="minorHAnsi"/>
        </w:rPr>
        <w:t xml:space="preserve"> </w:t>
      </w:r>
      <w:r w:rsidRPr="001812D2">
        <w:rPr>
          <w:rFonts w:asciiTheme="minorHAnsi" w:eastAsiaTheme="minorHAnsi" w:hAnsiTheme="minorHAnsi"/>
        </w:rPr>
        <w:t xml:space="preserve">other </w:t>
      </w:r>
      <w:proofErr w:type="spellStart"/>
      <w:r w:rsidR="00357347">
        <w:rPr>
          <w:rFonts w:asciiTheme="minorHAnsi" w:eastAsiaTheme="minorHAnsi" w:hAnsiTheme="minorHAnsi"/>
        </w:rPr>
        <w:t>r</w:t>
      </w:r>
      <w:r w:rsidR="00BA154F">
        <w:rPr>
          <w:rFonts w:asciiTheme="minorHAnsi" w:eastAsiaTheme="minorHAnsi" w:hAnsiTheme="minorHAnsi"/>
        </w:rPr>
        <w:t>FVIII</w:t>
      </w:r>
      <w:proofErr w:type="spellEnd"/>
      <w:r w:rsidR="00CC4F20">
        <w:rPr>
          <w:rFonts w:asciiTheme="minorHAnsi" w:eastAsiaTheme="minorHAnsi" w:hAnsiTheme="minorHAnsi"/>
        </w:rPr>
        <w:t xml:space="preserve"> </w:t>
      </w:r>
      <w:r w:rsidR="009C1E6B">
        <w:rPr>
          <w:rFonts w:asciiTheme="minorHAnsi" w:eastAsiaTheme="minorHAnsi" w:hAnsiTheme="minorHAnsi"/>
        </w:rPr>
        <w:t xml:space="preserve">and </w:t>
      </w:r>
      <w:proofErr w:type="spellStart"/>
      <w:r w:rsidR="009C1E6B">
        <w:rPr>
          <w:rFonts w:asciiTheme="minorHAnsi" w:eastAsiaTheme="minorHAnsi" w:hAnsiTheme="minorHAnsi"/>
        </w:rPr>
        <w:t>pdFVIII</w:t>
      </w:r>
      <w:proofErr w:type="spellEnd"/>
      <w:r w:rsidR="009C1E6B" w:rsidRPr="001812D2">
        <w:rPr>
          <w:rFonts w:asciiTheme="minorHAnsi" w:eastAsiaTheme="minorHAnsi" w:hAnsiTheme="minorHAnsi"/>
        </w:rPr>
        <w:t xml:space="preserve"> </w:t>
      </w:r>
      <w:r w:rsidRPr="001812D2">
        <w:rPr>
          <w:rFonts w:asciiTheme="minorHAnsi" w:eastAsiaTheme="minorHAnsi" w:hAnsiTheme="minorHAnsi"/>
        </w:rPr>
        <w:t>products.</w:t>
      </w:r>
      <w:r w:rsidR="00FF5033">
        <w:rPr>
          <w:rFonts w:asciiTheme="minorHAnsi" w:eastAsiaTheme="minorHAnsi" w:hAnsiTheme="minorHAnsi"/>
        </w:rPr>
        <w:t xml:space="preserve"> </w:t>
      </w:r>
      <w:r>
        <w:rPr>
          <w:rFonts w:asciiTheme="minorHAnsi" w:eastAsiaTheme="minorHAnsi" w:hAnsiTheme="minorHAnsi"/>
        </w:rPr>
        <w:t xml:space="preserve">Studies also showed that </w:t>
      </w:r>
      <w:proofErr w:type="spellStart"/>
      <w:r w:rsidR="009C1E6B">
        <w:rPr>
          <w:rFonts w:asciiTheme="minorHAnsi" w:eastAsiaTheme="minorHAnsi" w:hAnsiTheme="minorHAnsi"/>
        </w:rPr>
        <w:t>simoctocog</w:t>
      </w:r>
      <w:proofErr w:type="spellEnd"/>
      <w:r w:rsidR="009C1E6B">
        <w:rPr>
          <w:rFonts w:asciiTheme="minorHAnsi" w:eastAsiaTheme="minorHAnsi" w:hAnsiTheme="minorHAnsi"/>
        </w:rPr>
        <w:t xml:space="preserve"> alfa</w:t>
      </w:r>
      <w:r w:rsidRPr="00791B96">
        <w:rPr>
          <w:rFonts w:asciiTheme="minorHAnsi" w:eastAsiaTheme="minorHAnsi" w:hAnsiTheme="minorHAnsi"/>
        </w:rPr>
        <w:t xml:space="preserve"> has the expected</w:t>
      </w:r>
      <w:r>
        <w:rPr>
          <w:rFonts w:asciiTheme="minorHAnsi" w:eastAsiaTheme="minorHAnsi" w:hAnsiTheme="minorHAnsi"/>
        </w:rPr>
        <w:t xml:space="preserve"> interaction with human Protein </w:t>
      </w:r>
      <w:r w:rsidRPr="00791B96">
        <w:rPr>
          <w:rFonts w:asciiTheme="minorHAnsi" w:eastAsiaTheme="minorHAnsi" w:hAnsiTheme="minorHAnsi"/>
        </w:rPr>
        <w:t xml:space="preserve">C for a </w:t>
      </w:r>
      <w:r w:rsidR="00BA154F">
        <w:rPr>
          <w:rFonts w:asciiTheme="minorHAnsi" w:eastAsiaTheme="minorHAnsi" w:hAnsiTheme="minorHAnsi"/>
        </w:rPr>
        <w:t>FVIII</w:t>
      </w:r>
      <w:r w:rsidR="00CC4F20">
        <w:rPr>
          <w:rFonts w:asciiTheme="minorHAnsi" w:eastAsiaTheme="minorHAnsi" w:hAnsiTheme="minorHAnsi"/>
        </w:rPr>
        <w:t xml:space="preserve"> </w:t>
      </w:r>
      <w:r w:rsidRPr="00791B96">
        <w:rPr>
          <w:rFonts w:asciiTheme="minorHAnsi" w:eastAsiaTheme="minorHAnsi" w:hAnsiTheme="minorHAnsi"/>
        </w:rPr>
        <w:t>protein</w:t>
      </w:r>
      <w:r>
        <w:rPr>
          <w:rFonts w:asciiTheme="minorHAnsi" w:eastAsiaTheme="minorHAnsi" w:hAnsiTheme="minorHAnsi"/>
        </w:rPr>
        <w:t xml:space="preserve">; </w:t>
      </w:r>
      <w:r w:rsidRPr="000151B4">
        <w:rPr>
          <w:rFonts w:asciiTheme="minorHAnsi" w:eastAsiaTheme="minorHAnsi" w:hAnsiTheme="minorHAnsi"/>
        </w:rPr>
        <w:t xml:space="preserve">inactivation of </w:t>
      </w:r>
      <w:proofErr w:type="spellStart"/>
      <w:r w:rsidR="009C1E6B">
        <w:rPr>
          <w:rFonts w:asciiTheme="minorHAnsi" w:eastAsiaTheme="minorHAnsi" w:hAnsiTheme="minorHAnsi"/>
        </w:rPr>
        <w:t>simoctocog</w:t>
      </w:r>
      <w:proofErr w:type="spellEnd"/>
      <w:r w:rsidR="009C1E6B">
        <w:rPr>
          <w:rFonts w:asciiTheme="minorHAnsi" w:eastAsiaTheme="minorHAnsi" w:hAnsiTheme="minorHAnsi"/>
        </w:rPr>
        <w:t xml:space="preserve"> alfa</w:t>
      </w:r>
      <w:r>
        <w:rPr>
          <w:rFonts w:asciiTheme="minorHAnsi" w:eastAsiaTheme="minorHAnsi" w:hAnsiTheme="minorHAnsi"/>
        </w:rPr>
        <w:t xml:space="preserve"> by activated </w:t>
      </w:r>
      <w:r w:rsidR="009C1E6B">
        <w:rPr>
          <w:rFonts w:asciiTheme="minorHAnsi" w:eastAsiaTheme="minorHAnsi" w:hAnsiTheme="minorHAnsi"/>
        </w:rPr>
        <w:t>P</w:t>
      </w:r>
      <w:r>
        <w:rPr>
          <w:rFonts w:asciiTheme="minorHAnsi" w:eastAsiaTheme="minorHAnsi" w:hAnsiTheme="minorHAnsi"/>
        </w:rPr>
        <w:t xml:space="preserve">rotein C was </w:t>
      </w:r>
      <w:r w:rsidRPr="000151B4">
        <w:rPr>
          <w:rFonts w:asciiTheme="minorHAnsi" w:eastAsiaTheme="minorHAnsi" w:hAnsiTheme="minorHAnsi"/>
        </w:rPr>
        <w:t>si</w:t>
      </w:r>
      <w:r>
        <w:rPr>
          <w:rFonts w:asciiTheme="minorHAnsi" w:eastAsiaTheme="minorHAnsi" w:hAnsiTheme="minorHAnsi"/>
        </w:rPr>
        <w:t xml:space="preserve">milar to the inactivation of </w:t>
      </w:r>
      <w:r w:rsidR="00E60F5E">
        <w:rPr>
          <w:rFonts w:asciiTheme="minorHAnsi" w:eastAsiaTheme="minorHAnsi" w:hAnsiTheme="minorHAnsi"/>
        </w:rPr>
        <w:t>ot</w:t>
      </w:r>
      <w:r w:rsidR="00D96B88">
        <w:rPr>
          <w:rFonts w:asciiTheme="minorHAnsi" w:eastAsiaTheme="minorHAnsi" w:hAnsiTheme="minorHAnsi"/>
        </w:rPr>
        <w:t>h</w:t>
      </w:r>
      <w:r w:rsidR="00E60F5E">
        <w:rPr>
          <w:rFonts w:asciiTheme="minorHAnsi" w:eastAsiaTheme="minorHAnsi" w:hAnsiTheme="minorHAnsi"/>
        </w:rPr>
        <w:t xml:space="preserve">er </w:t>
      </w:r>
      <w:proofErr w:type="spellStart"/>
      <w:r w:rsidR="00E60F5E">
        <w:rPr>
          <w:rFonts w:asciiTheme="minorHAnsi" w:eastAsiaTheme="minorHAnsi" w:hAnsiTheme="minorHAnsi"/>
        </w:rPr>
        <w:t>rFVIII</w:t>
      </w:r>
      <w:proofErr w:type="spellEnd"/>
      <w:r w:rsidRPr="00791B96">
        <w:rPr>
          <w:rFonts w:asciiTheme="minorHAnsi" w:eastAsiaTheme="minorHAnsi" w:hAnsiTheme="minorHAnsi"/>
        </w:rPr>
        <w:t>.</w:t>
      </w:r>
      <w:r w:rsidR="00FF5033">
        <w:rPr>
          <w:rFonts w:asciiTheme="minorHAnsi" w:eastAsiaTheme="minorHAnsi" w:hAnsiTheme="minorHAnsi"/>
        </w:rPr>
        <w:t xml:space="preserve"> </w:t>
      </w:r>
      <w:proofErr w:type="spellStart"/>
      <w:r w:rsidR="00FA190B">
        <w:rPr>
          <w:rFonts w:asciiTheme="minorHAnsi" w:eastAsiaTheme="minorHAnsi" w:hAnsiTheme="minorHAnsi"/>
        </w:rPr>
        <w:t>Simoctocog</w:t>
      </w:r>
      <w:proofErr w:type="spellEnd"/>
      <w:r w:rsidR="00FA190B">
        <w:rPr>
          <w:rFonts w:asciiTheme="minorHAnsi" w:eastAsiaTheme="minorHAnsi" w:hAnsiTheme="minorHAnsi"/>
        </w:rPr>
        <w:t xml:space="preserve"> alfa</w:t>
      </w:r>
      <w:r>
        <w:rPr>
          <w:rFonts w:asciiTheme="minorHAnsi" w:eastAsiaTheme="minorHAnsi" w:hAnsiTheme="minorHAnsi"/>
        </w:rPr>
        <w:t xml:space="preserve"> displays similar affinity for von </w:t>
      </w:r>
      <w:proofErr w:type="spellStart"/>
      <w:r>
        <w:rPr>
          <w:rFonts w:asciiTheme="minorHAnsi" w:eastAsiaTheme="minorHAnsi" w:hAnsiTheme="minorHAnsi"/>
        </w:rPr>
        <w:t>Willebrand</w:t>
      </w:r>
      <w:proofErr w:type="spellEnd"/>
      <w:r>
        <w:rPr>
          <w:rFonts w:asciiTheme="minorHAnsi" w:eastAsiaTheme="minorHAnsi" w:hAnsiTheme="minorHAnsi"/>
        </w:rPr>
        <w:t xml:space="preserve"> </w:t>
      </w:r>
      <w:r w:rsidRPr="00F147BB">
        <w:rPr>
          <w:rFonts w:asciiTheme="minorHAnsi" w:eastAsiaTheme="minorHAnsi" w:hAnsiTheme="minorHAnsi"/>
        </w:rPr>
        <w:t xml:space="preserve">factor </w:t>
      </w:r>
      <w:r w:rsidR="009C1E6B">
        <w:rPr>
          <w:rFonts w:asciiTheme="minorHAnsi" w:eastAsiaTheme="minorHAnsi" w:hAnsiTheme="minorHAnsi"/>
        </w:rPr>
        <w:t>(</w:t>
      </w:r>
      <w:proofErr w:type="spellStart"/>
      <w:r w:rsidR="009C1E6B">
        <w:rPr>
          <w:rFonts w:asciiTheme="minorHAnsi" w:eastAsiaTheme="minorHAnsi" w:hAnsiTheme="minorHAnsi"/>
        </w:rPr>
        <w:t>vWF</w:t>
      </w:r>
      <w:proofErr w:type="spellEnd"/>
      <w:r w:rsidR="009C1E6B">
        <w:rPr>
          <w:rFonts w:asciiTheme="minorHAnsi" w:eastAsiaTheme="minorHAnsi" w:hAnsiTheme="minorHAnsi"/>
        </w:rPr>
        <w:t xml:space="preserve">) </w:t>
      </w:r>
      <w:r>
        <w:rPr>
          <w:rFonts w:asciiTheme="minorHAnsi" w:eastAsiaTheme="minorHAnsi" w:hAnsiTheme="minorHAnsi"/>
        </w:rPr>
        <w:t xml:space="preserve">to </w:t>
      </w:r>
      <w:r w:rsidR="00E60F5E">
        <w:rPr>
          <w:rFonts w:asciiTheme="minorHAnsi" w:eastAsiaTheme="minorHAnsi" w:hAnsiTheme="minorHAnsi"/>
        </w:rPr>
        <w:t xml:space="preserve">a BDD </w:t>
      </w:r>
      <w:proofErr w:type="spellStart"/>
      <w:r w:rsidR="00E60F5E">
        <w:rPr>
          <w:rFonts w:asciiTheme="minorHAnsi" w:eastAsiaTheme="minorHAnsi" w:hAnsiTheme="minorHAnsi"/>
        </w:rPr>
        <w:t>rFVIII</w:t>
      </w:r>
      <w:proofErr w:type="spellEnd"/>
      <w:r w:rsidR="00E60F5E">
        <w:rPr>
          <w:rFonts w:asciiTheme="minorHAnsi" w:eastAsiaTheme="minorHAnsi" w:hAnsiTheme="minorHAnsi"/>
        </w:rPr>
        <w:t xml:space="preserve"> comparator</w:t>
      </w:r>
      <w:r>
        <w:rPr>
          <w:rFonts w:asciiTheme="minorHAnsi" w:eastAsiaTheme="minorHAnsi" w:hAnsiTheme="minorHAnsi"/>
        </w:rPr>
        <w:t xml:space="preserve"> but higher affinity than </w:t>
      </w:r>
      <w:r w:rsidR="009C1E6B" w:rsidRPr="00F147BB">
        <w:rPr>
          <w:rFonts w:asciiTheme="minorHAnsi" w:eastAsiaTheme="minorHAnsi" w:hAnsiTheme="minorHAnsi"/>
        </w:rPr>
        <w:t>fu</w:t>
      </w:r>
      <w:r w:rsidR="009C1E6B">
        <w:rPr>
          <w:rFonts w:asciiTheme="minorHAnsi" w:eastAsiaTheme="minorHAnsi" w:hAnsiTheme="minorHAnsi"/>
        </w:rPr>
        <w:t xml:space="preserve">ll-length </w:t>
      </w:r>
      <w:proofErr w:type="spellStart"/>
      <w:r w:rsidR="009C1E6B">
        <w:rPr>
          <w:rFonts w:asciiTheme="minorHAnsi" w:eastAsiaTheme="minorHAnsi" w:hAnsiTheme="minorHAnsi"/>
        </w:rPr>
        <w:t>rFVIII</w:t>
      </w:r>
      <w:proofErr w:type="spellEnd"/>
      <w:r w:rsidR="009C1E6B">
        <w:rPr>
          <w:rFonts w:asciiTheme="minorHAnsi" w:eastAsiaTheme="minorHAnsi" w:hAnsiTheme="minorHAnsi"/>
        </w:rPr>
        <w:t xml:space="preserve"> products</w:t>
      </w:r>
      <w:r>
        <w:rPr>
          <w:rFonts w:asciiTheme="minorHAnsi" w:eastAsiaTheme="minorHAnsi" w:hAnsiTheme="minorHAnsi"/>
        </w:rPr>
        <w:t xml:space="preserve">. It has a higher </w:t>
      </w:r>
      <w:r w:rsidRPr="00F147BB">
        <w:rPr>
          <w:rFonts w:asciiTheme="minorHAnsi" w:eastAsiaTheme="minorHAnsi" w:hAnsiTheme="minorHAnsi"/>
        </w:rPr>
        <w:t>binding capacity than</w:t>
      </w:r>
      <w:r>
        <w:rPr>
          <w:rFonts w:asciiTheme="minorHAnsi" w:eastAsiaTheme="minorHAnsi" w:hAnsiTheme="minorHAnsi"/>
        </w:rPr>
        <w:t xml:space="preserve"> </w:t>
      </w:r>
      <w:r w:rsidRPr="00F147BB">
        <w:rPr>
          <w:rFonts w:asciiTheme="minorHAnsi" w:eastAsiaTheme="minorHAnsi" w:hAnsiTheme="minorHAnsi"/>
        </w:rPr>
        <w:t xml:space="preserve">any of the </w:t>
      </w:r>
      <w:r w:rsidR="00BA154F">
        <w:rPr>
          <w:rFonts w:asciiTheme="minorHAnsi" w:eastAsiaTheme="minorHAnsi" w:hAnsiTheme="minorHAnsi"/>
        </w:rPr>
        <w:t>FVIII</w:t>
      </w:r>
      <w:r w:rsidR="00CC4F20">
        <w:rPr>
          <w:rFonts w:asciiTheme="minorHAnsi" w:eastAsiaTheme="minorHAnsi" w:hAnsiTheme="minorHAnsi"/>
        </w:rPr>
        <w:t xml:space="preserve"> </w:t>
      </w:r>
      <w:r w:rsidRPr="00F147BB">
        <w:rPr>
          <w:rFonts w:asciiTheme="minorHAnsi" w:eastAsiaTheme="minorHAnsi" w:hAnsiTheme="minorHAnsi"/>
        </w:rPr>
        <w:t xml:space="preserve">comparator </w:t>
      </w:r>
      <w:r w:rsidRPr="00F147BB">
        <w:rPr>
          <w:rFonts w:asciiTheme="minorHAnsi" w:eastAsiaTheme="minorHAnsi" w:hAnsiTheme="minorHAnsi"/>
        </w:rPr>
        <w:lastRenderedPageBreak/>
        <w:t>proteins</w:t>
      </w:r>
      <w:r>
        <w:rPr>
          <w:rFonts w:asciiTheme="minorHAnsi" w:eastAsiaTheme="minorHAnsi" w:hAnsiTheme="minorHAnsi"/>
        </w:rPr>
        <w:t>; t</w:t>
      </w:r>
      <w:r w:rsidRPr="00F147BB">
        <w:rPr>
          <w:rFonts w:asciiTheme="minorHAnsi" w:eastAsiaTheme="minorHAnsi" w:hAnsiTheme="minorHAnsi"/>
        </w:rPr>
        <w:t>he capacity was 10</w:t>
      </w:r>
      <w:r w:rsidR="00FF5033">
        <w:rPr>
          <w:rFonts w:asciiTheme="minorHAnsi" w:eastAsiaTheme="minorHAnsi" w:hAnsiTheme="minorHAnsi"/>
        </w:rPr>
        <w:t xml:space="preserve"> to </w:t>
      </w:r>
      <w:r w:rsidRPr="00F147BB">
        <w:rPr>
          <w:rFonts w:asciiTheme="minorHAnsi" w:eastAsiaTheme="minorHAnsi" w:hAnsiTheme="minorHAnsi"/>
        </w:rPr>
        <w:t>20 % higher than for</w:t>
      </w:r>
      <w:r>
        <w:rPr>
          <w:rFonts w:asciiTheme="minorHAnsi" w:eastAsiaTheme="minorHAnsi" w:hAnsiTheme="minorHAnsi"/>
        </w:rPr>
        <w:t xml:space="preserve"> </w:t>
      </w:r>
      <w:r w:rsidR="009C1E6B">
        <w:rPr>
          <w:rFonts w:asciiTheme="minorHAnsi" w:eastAsiaTheme="minorHAnsi" w:hAnsiTheme="minorHAnsi"/>
        </w:rPr>
        <w:t xml:space="preserve">a BDD </w:t>
      </w:r>
      <w:proofErr w:type="spellStart"/>
      <w:r w:rsidR="009C1E6B">
        <w:rPr>
          <w:rFonts w:asciiTheme="minorHAnsi" w:eastAsiaTheme="minorHAnsi" w:hAnsiTheme="minorHAnsi"/>
        </w:rPr>
        <w:t>rFVIII</w:t>
      </w:r>
      <w:proofErr w:type="spellEnd"/>
      <w:r w:rsidR="009C1E6B">
        <w:rPr>
          <w:rFonts w:asciiTheme="minorHAnsi" w:eastAsiaTheme="minorHAnsi" w:hAnsiTheme="minorHAnsi"/>
        </w:rPr>
        <w:t xml:space="preserve"> comparator </w:t>
      </w:r>
      <w:r>
        <w:rPr>
          <w:rFonts w:asciiTheme="minorHAnsi" w:eastAsiaTheme="minorHAnsi" w:hAnsiTheme="minorHAnsi"/>
        </w:rPr>
        <w:t>and 30</w:t>
      </w:r>
      <w:r w:rsidR="00FF5033">
        <w:rPr>
          <w:rFonts w:asciiTheme="minorHAnsi" w:eastAsiaTheme="minorHAnsi" w:hAnsiTheme="minorHAnsi"/>
        </w:rPr>
        <w:t xml:space="preserve"> to </w:t>
      </w:r>
      <w:r>
        <w:rPr>
          <w:rFonts w:asciiTheme="minorHAnsi" w:eastAsiaTheme="minorHAnsi" w:hAnsiTheme="minorHAnsi"/>
        </w:rPr>
        <w:t xml:space="preserve">40% higher than for </w:t>
      </w:r>
      <w:r w:rsidR="009C1E6B">
        <w:rPr>
          <w:rFonts w:asciiTheme="minorHAnsi" w:eastAsiaTheme="minorHAnsi" w:hAnsiTheme="minorHAnsi"/>
        </w:rPr>
        <w:t>full-length</w:t>
      </w:r>
      <w:r w:rsidR="00662E96">
        <w:rPr>
          <w:rFonts w:asciiTheme="minorHAnsi" w:eastAsiaTheme="minorHAnsi" w:hAnsiTheme="minorHAnsi"/>
        </w:rPr>
        <w:t xml:space="preserve"> </w:t>
      </w:r>
      <w:proofErr w:type="spellStart"/>
      <w:r w:rsidR="00662E96">
        <w:rPr>
          <w:rFonts w:asciiTheme="minorHAnsi" w:eastAsiaTheme="minorHAnsi" w:hAnsiTheme="minorHAnsi"/>
        </w:rPr>
        <w:t>rFVIII</w:t>
      </w:r>
      <w:proofErr w:type="spellEnd"/>
      <w:r>
        <w:rPr>
          <w:rFonts w:asciiTheme="minorHAnsi" w:eastAsiaTheme="minorHAnsi" w:hAnsiTheme="minorHAnsi"/>
        </w:rPr>
        <w:t xml:space="preserve">, suggesting that </w:t>
      </w:r>
      <w:proofErr w:type="spellStart"/>
      <w:r w:rsidR="009C1E6B">
        <w:rPr>
          <w:rFonts w:asciiTheme="minorHAnsi" w:eastAsiaTheme="minorHAnsi" w:hAnsiTheme="minorHAnsi"/>
        </w:rPr>
        <w:t>simoctocog</w:t>
      </w:r>
      <w:proofErr w:type="spellEnd"/>
      <w:r w:rsidR="009C1E6B">
        <w:rPr>
          <w:rFonts w:asciiTheme="minorHAnsi" w:eastAsiaTheme="minorHAnsi" w:hAnsiTheme="minorHAnsi"/>
        </w:rPr>
        <w:t xml:space="preserve"> alfa</w:t>
      </w:r>
      <w:r>
        <w:rPr>
          <w:rFonts w:asciiTheme="minorHAnsi" w:eastAsiaTheme="minorHAnsi" w:hAnsiTheme="minorHAnsi"/>
        </w:rPr>
        <w:t xml:space="preserve"> may have a better stability profile in patients than other </w:t>
      </w:r>
      <w:proofErr w:type="spellStart"/>
      <w:r w:rsidR="009C1E6B">
        <w:rPr>
          <w:rFonts w:asciiTheme="minorHAnsi" w:eastAsiaTheme="minorHAnsi" w:hAnsiTheme="minorHAnsi"/>
        </w:rPr>
        <w:t>r</w:t>
      </w:r>
      <w:r>
        <w:rPr>
          <w:rFonts w:asciiTheme="minorHAnsi" w:eastAsiaTheme="minorHAnsi" w:hAnsiTheme="minorHAnsi"/>
        </w:rPr>
        <w:t>FVIII</w:t>
      </w:r>
      <w:proofErr w:type="spellEnd"/>
      <w:r>
        <w:rPr>
          <w:rFonts w:asciiTheme="minorHAnsi" w:eastAsiaTheme="minorHAnsi" w:hAnsiTheme="minorHAnsi"/>
        </w:rPr>
        <w:t xml:space="preserve"> products. </w:t>
      </w:r>
    </w:p>
    <w:p w:rsidR="00675A4F" w:rsidRPr="00FF5033" w:rsidRDefault="00675A4F" w:rsidP="00FF5033">
      <w:r>
        <w:rPr>
          <w:rFonts w:asciiTheme="minorHAnsi" w:eastAsiaTheme="minorHAnsi" w:hAnsiTheme="minorHAnsi" w:cs="Verdana"/>
          <w:szCs w:val="23"/>
        </w:rPr>
        <w:t xml:space="preserve">A pharmacological assessment of </w:t>
      </w:r>
      <w:proofErr w:type="spellStart"/>
      <w:r w:rsidR="009C1E6B">
        <w:rPr>
          <w:rFonts w:asciiTheme="minorHAnsi" w:eastAsiaTheme="minorHAnsi" w:hAnsiTheme="minorHAnsi" w:cs="Verdana"/>
          <w:szCs w:val="23"/>
        </w:rPr>
        <w:t>simoctocog</w:t>
      </w:r>
      <w:proofErr w:type="spellEnd"/>
      <w:r w:rsidR="009C1E6B">
        <w:rPr>
          <w:rFonts w:asciiTheme="minorHAnsi" w:eastAsiaTheme="minorHAnsi" w:hAnsiTheme="minorHAnsi" w:cs="Verdana"/>
          <w:szCs w:val="23"/>
        </w:rPr>
        <w:t xml:space="preserve"> alfa</w:t>
      </w:r>
      <w:r>
        <w:rPr>
          <w:rFonts w:asciiTheme="minorHAnsi" w:eastAsiaTheme="minorHAnsi" w:hAnsiTheme="minorHAnsi" w:cs="Verdana"/>
          <w:szCs w:val="23"/>
        </w:rPr>
        <w:t xml:space="preserve">, in comparison to another </w:t>
      </w:r>
      <w:r w:rsidR="006147E7">
        <w:rPr>
          <w:rFonts w:asciiTheme="minorHAnsi" w:eastAsiaTheme="minorHAnsi" w:hAnsiTheme="minorHAnsi" w:cs="Verdana"/>
          <w:szCs w:val="23"/>
        </w:rPr>
        <w:t xml:space="preserve">BDD </w:t>
      </w:r>
      <w:proofErr w:type="spellStart"/>
      <w:r w:rsidR="006147E7">
        <w:rPr>
          <w:rFonts w:asciiTheme="minorHAnsi" w:eastAsiaTheme="minorHAnsi" w:hAnsiTheme="minorHAnsi" w:cs="Verdana"/>
          <w:szCs w:val="23"/>
        </w:rPr>
        <w:t>rFVIII</w:t>
      </w:r>
      <w:proofErr w:type="spellEnd"/>
      <w:r w:rsidR="006147E7">
        <w:rPr>
          <w:rFonts w:asciiTheme="minorHAnsi" w:eastAsiaTheme="minorHAnsi" w:hAnsiTheme="minorHAnsi" w:cs="Verdana"/>
          <w:szCs w:val="23"/>
        </w:rPr>
        <w:t xml:space="preserve"> product</w:t>
      </w:r>
      <w:r>
        <w:rPr>
          <w:rFonts w:asciiTheme="minorHAnsi" w:eastAsiaTheme="minorHAnsi" w:hAnsiTheme="minorHAnsi" w:cs="Verdana"/>
          <w:szCs w:val="23"/>
        </w:rPr>
        <w:t xml:space="preserve">, in two dogs with </w:t>
      </w:r>
      <w:r w:rsidRPr="009D225C">
        <w:rPr>
          <w:rFonts w:asciiTheme="minorHAnsi" w:eastAsiaTheme="minorHAnsi" w:hAnsiTheme="minorHAnsi" w:cs="Verdana"/>
          <w:szCs w:val="23"/>
        </w:rPr>
        <w:t xml:space="preserve">haemophilia </w:t>
      </w:r>
      <w:proofErr w:type="gramStart"/>
      <w:r w:rsidRPr="009D225C">
        <w:rPr>
          <w:rFonts w:asciiTheme="minorHAnsi" w:eastAsiaTheme="minorHAnsi" w:hAnsiTheme="minorHAnsi" w:cs="Verdana"/>
          <w:szCs w:val="23"/>
        </w:rPr>
        <w:t>A</w:t>
      </w:r>
      <w:proofErr w:type="gramEnd"/>
      <w:r>
        <w:rPr>
          <w:rFonts w:asciiTheme="minorHAnsi" w:eastAsiaTheme="minorHAnsi" w:hAnsiTheme="minorHAnsi" w:cs="Verdana"/>
          <w:szCs w:val="23"/>
        </w:rPr>
        <w:t xml:space="preserve"> showed </w:t>
      </w:r>
      <w:r>
        <w:rPr>
          <w:szCs w:val="23"/>
        </w:rPr>
        <w:t>c</w:t>
      </w:r>
      <w:r w:rsidRPr="00DF1450">
        <w:rPr>
          <w:szCs w:val="23"/>
        </w:rPr>
        <w:t xml:space="preserve">uticle bleeding </w:t>
      </w:r>
      <w:r w:rsidRPr="00FF5033">
        <w:t xml:space="preserve">time (CBT) was reduced by both agents. Neither treatment resulted in a shortening of </w:t>
      </w:r>
      <w:r w:rsidR="00FF5033" w:rsidRPr="00FF5033">
        <w:t>activated partial thromboplastin time (</w:t>
      </w:r>
      <w:r w:rsidRPr="00FF5033">
        <w:t>APTT</w:t>
      </w:r>
      <w:r w:rsidR="00FF5033" w:rsidRPr="00FF5033">
        <w:t>)</w:t>
      </w:r>
      <w:r w:rsidRPr="00FF5033">
        <w:t xml:space="preserve"> and whole blood clotting time. The dog study gave very limited evidence of potential efficacy in haemophilia </w:t>
      </w:r>
      <w:proofErr w:type="gramStart"/>
      <w:r w:rsidRPr="00FF5033">
        <w:t>A</w:t>
      </w:r>
      <w:proofErr w:type="gramEnd"/>
      <w:r w:rsidRPr="00FF5033">
        <w:t xml:space="preserve"> patients, although in vitro data demonstrated comparable activities with human derived or other recombinant FVIII products. </w:t>
      </w:r>
    </w:p>
    <w:p w:rsidR="004334C7" w:rsidRPr="004334C7" w:rsidRDefault="00675A4F" w:rsidP="00FF5033">
      <w:r>
        <w:t xml:space="preserve">There were no secondary or safety pharmacology studies for </w:t>
      </w:r>
      <w:proofErr w:type="spellStart"/>
      <w:r w:rsidR="009C1E6B">
        <w:t>simoctocog</w:t>
      </w:r>
      <w:proofErr w:type="spellEnd"/>
      <w:r w:rsidR="009C1E6B">
        <w:t xml:space="preserve"> alfa</w:t>
      </w:r>
      <w:r>
        <w:t xml:space="preserve">. This is acceptable given the extensive clinical experience with </w:t>
      </w:r>
      <w:proofErr w:type="spellStart"/>
      <w:r w:rsidR="009C1E6B">
        <w:t>r</w:t>
      </w:r>
      <w:r w:rsidR="00BA154F">
        <w:t>FVIII</w:t>
      </w:r>
      <w:proofErr w:type="spellEnd"/>
      <w:r w:rsidR="00CC4F20">
        <w:t xml:space="preserve"> </w:t>
      </w:r>
      <w:r>
        <w:t xml:space="preserve">products and the absence of adverse effects (including </w:t>
      </w:r>
      <w:r w:rsidR="00FF5033">
        <w:t>electrocardiogram (</w:t>
      </w:r>
      <w:r>
        <w:t>ECG</w:t>
      </w:r>
      <w:r w:rsidR="00FF5033">
        <w:t>)</w:t>
      </w:r>
      <w:r>
        <w:t>) in the repeat dose toxicity studies in mon</w:t>
      </w:r>
      <w:r w:rsidRPr="00AF77DE">
        <w:t>keys at IV doses up to 500 IU/kg</w:t>
      </w:r>
      <w:r w:rsidRPr="0008411E">
        <w:t>, which is 9</w:t>
      </w:r>
      <w:r w:rsidR="00FF5033">
        <w:t xml:space="preserve"> to </w:t>
      </w:r>
      <w:r w:rsidRPr="0008411E">
        <w:t xml:space="preserve">10 times the clinical exposure based on </w:t>
      </w:r>
      <w:r>
        <w:t xml:space="preserve">dose (IU/kg), </w:t>
      </w:r>
      <w:r w:rsidR="00FF5033">
        <w:t>peak plasma concentration (</w:t>
      </w:r>
      <w:r w:rsidRPr="0008411E">
        <w:t>C</w:t>
      </w:r>
      <w:r w:rsidRPr="0008411E">
        <w:rPr>
          <w:vertAlign w:val="subscript"/>
        </w:rPr>
        <w:t>max</w:t>
      </w:r>
      <w:r w:rsidR="00FF5033">
        <w:t xml:space="preserve">) </w:t>
      </w:r>
      <w:r w:rsidRPr="0008411E">
        <w:t xml:space="preserve">and </w:t>
      </w:r>
      <w:r w:rsidR="00FF5033">
        <w:t>area under the plasma concentration versus time curve (</w:t>
      </w:r>
      <w:r w:rsidRPr="0008411E">
        <w:t>AUC</w:t>
      </w:r>
      <w:r w:rsidR="00FF5033">
        <w:t>)</w:t>
      </w:r>
      <w:r w:rsidRPr="0008411E">
        <w:t>.</w:t>
      </w:r>
    </w:p>
    <w:p w:rsidR="008E7846" w:rsidRPr="00FF5033" w:rsidRDefault="008E7846" w:rsidP="00FF5033">
      <w:pPr>
        <w:pStyle w:val="Heading3"/>
      </w:pPr>
      <w:bookmarkStart w:id="45" w:name="_Toc247691513"/>
      <w:bookmarkStart w:id="46" w:name="_Toc314842497"/>
      <w:bookmarkStart w:id="47" w:name="_Toc453683272"/>
      <w:r>
        <w:t>Pharmacokinetics</w:t>
      </w:r>
      <w:bookmarkEnd w:id="45"/>
      <w:bookmarkEnd w:id="46"/>
      <w:bookmarkEnd w:id="47"/>
    </w:p>
    <w:p w:rsidR="00675A4F" w:rsidRPr="00E3789C" w:rsidRDefault="00675A4F" w:rsidP="00FF5033">
      <w:bookmarkStart w:id="48" w:name="_Toc247691514"/>
      <w:bookmarkStart w:id="49" w:name="_Toc314842498"/>
      <w:r>
        <w:t xml:space="preserve">Pharmacokinetic data were generated from </w:t>
      </w:r>
      <w:r w:rsidR="00577A56">
        <w:t>two (</w:t>
      </w:r>
      <w:r>
        <w:t>2</w:t>
      </w:r>
      <w:r w:rsidR="00577A56">
        <w:t>)</w:t>
      </w:r>
      <w:r>
        <w:t xml:space="preserve"> dogs (with </w:t>
      </w:r>
      <w:r w:rsidRPr="009D225C">
        <w:rPr>
          <w:rFonts w:asciiTheme="minorHAnsi" w:eastAsiaTheme="minorHAnsi" w:hAnsiTheme="minorHAnsi" w:cs="Verdana"/>
          <w:szCs w:val="23"/>
        </w:rPr>
        <w:t>haemophilia A</w:t>
      </w:r>
      <w:r>
        <w:t xml:space="preserve">) in the pharmacology study and </w:t>
      </w:r>
      <w:r w:rsidR="002F0BEA">
        <w:t>Cynomolgus</w:t>
      </w:r>
      <w:r>
        <w:t xml:space="preserve"> monkeys in the toxicity studies.</w:t>
      </w:r>
      <w:r w:rsidR="00FF5033">
        <w:t xml:space="preserve"> </w:t>
      </w:r>
      <w:r>
        <w:t xml:space="preserve">The limited pharmacokinetic data showed comparable </w:t>
      </w:r>
      <w:r w:rsidR="00FA190B">
        <w:t>PK</w:t>
      </w:r>
      <w:r>
        <w:t xml:space="preserve"> profiles for </w:t>
      </w:r>
      <w:proofErr w:type="spellStart"/>
      <w:r w:rsidR="009C1E6B">
        <w:t>simoctocog</w:t>
      </w:r>
      <w:proofErr w:type="spellEnd"/>
      <w:r w:rsidR="009C1E6B">
        <w:t xml:space="preserve"> alfa</w:t>
      </w:r>
      <w:r>
        <w:t xml:space="preserve"> and</w:t>
      </w:r>
      <w:r w:rsidR="006147E7">
        <w:t xml:space="preserve"> a BDD </w:t>
      </w:r>
      <w:proofErr w:type="spellStart"/>
      <w:r w:rsidR="006147E7">
        <w:t>rFVIII</w:t>
      </w:r>
      <w:proofErr w:type="spellEnd"/>
      <w:r w:rsidR="006147E7">
        <w:t xml:space="preserve"> comparator</w:t>
      </w:r>
      <w:r w:rsidR="00AD6A36">
        <w:t xml:space="preserve"> CHO</w:t>
      </w:r>
      <w:r>
        <w:t xml:space="preserve"> in haemophilia A dogs at 125 IU/kg, with clearance of 5</w:t>
      </w:r>
      <w:r w:rsidR="00FF5033">
        <w:t xml:space="preserve"> to </w:t>
      </w:r>
      <w:r>
        <w:t xml:space="preserve">6 mL/h/kg and </w:t>
      </w:r>
      <w:r w:rsidR="00FF5033">
        <w:t>half-life (</w:t>
      </w:r>
      <w:r w:rsidR="00653C6C" w:rsidRPr="0092208E">
        <w:rPr>
          <w:rFonts w:eastAsia="MS Mincho" w:cstheme="minorBidi"/>
        </w:rPr>
        <w:t>t</w:t>
      </w:r>
      <w:r w:rsidRPr="00D432A6">
        <w:rPr>
          <w:rFonts w:eastAsia="MS Mincho" w:cstheme="minorBidi"/>
          <w:sz w:val="23"/>
          <w:vertAlign w:val="subscript"/>
        </w:rPr>
        <w:t>1/2</w:t>
      </w:r>
      <w:r w:rsidR="00FF5033">
        <w:t xml:space="preserve">) </w:t>
      </w:r>
      <w:r>
        <w:t>of 7</w:t>
      </w:r>
      <w:r w:rsidR="00FF5033">
        <w:t xml:space="preserve"> to </w:t>
      </w:r>
      <w:r>
        <w:t xml:space="preserve">9 h. Similar pharmacokinetic profiles were seen in monkeys at 500 IU/kg but slower clearance </w:t>
      </w:r>
      <w:r w:rsidR="00FA190B">
        <w:t xml:space="preserve">(CL) </w:t>
      </w:r>
      <w:r>
        <w:t>(3</w:t>
      </w:r>
      <w:r w:rsidR="00FF5033">
        <w:t xml:space="preserve"> to </w:t>
      </w:r>
      <w:r>
        <w:t xml:space="preserve">4 mL/h/kg) and longer elimination </w:t>
      </w:r>
      <w:r w:rsidR="00653C6C" w:rsidRPr="0092208E">
        <w:rPr>
          <w:rFonts w:eastAsia="MS Mincho" w:cstheme="minorBidi"/>
        </w:rPr>
        <w:t>t</w:t>
      </w:r>
      <w:r w:rsidRPr="00D432A6">
        <w:rPr>
          <w:rFonts w:eastAsia="MS Mincho" w:cstheme="minorBidi"/>
          <w:sz w:val="23"/>
          <w:vertAlign w:val="subscript"/>
        </w:rPr>
        <w:t>1/2</w:t>
      </w:r>
      <w:r>
        <w:t xml:space="preserve"> (10</w:t>
      </w:r>
      <w:r w:rsidR="00FF5033">
        <w:t xml:space="preserve"> to </w:t>
      </w:r>
      <w:r>
        <w:t xml:space="preserve">11 h) at a lower dose (50 IU/kg), comparable to those in patients (CL 2.94 mg/h/kg, </w:t>
      </w:r>
      <w:r w:rsidR="00653C6C" w:rsidRPr="0092208E">
        <w:rPr>
          <w:rFonts w:eastAsia="MS Mincho"/>
        </w:rPr>
        <w:t>t</w:t>
      </w:r>
      <w:r w:rsidRPr="0003179C">
        <w:rPr>
          <w:rFonts w:eastAsia="MS Mincho"/>
          <w:sz w:val="23"/>
          <w:vertAlign w:val="subscript"/>
        </w:rPr>
        <w:t>1/2</w:t>
      </w:r>
      <w:r>
        <w:t xml:space="preserve"> 14.7 h). Repeated dosing in monkeys resulted in lower plasma FVIII levels due to the development of anti-FVIII antibodies, which is common </w:t>
      </w:r>
      <w:r w:rsidR="00FA190B">
        <w:t>when</w:t>
      </w:r>
      <w:r>
        <w:t xml:space="preserve"> testing recombinant human anticoagulant factors in animal species.</w:t>
      </w:r>
      <w:r w:rsidR="00FF5033">
        <w:t xml:space="preserve"> </w:t>
      </w:r>
    </w:p>
    <w:p w:rsidR="001B5C90" w:rsidRDefault="008E7846" w:rsidP="001B5C90">
      <w:pPr>
        <w:pStyle w:val="Heading3"/>
      </w:pPr>
      <w:bookmarkStart w:id="50" w:name="_Toc453683273"/>
      <w:r>
        <w:t>Toxicology</w:t>
      </w:r>
      <w:bookmarkEnd w:id="48"/>
      <w:bookmarkEnd w:id="49"/>
      <w:bookmarkEnd w:id="50"/>
    </w:p>
    <w:p w:rsidR="00675A4F" w:rsidRDefault="00675A4F" w:rsidP="00FF5033">
      <w:pPr>
        <w:pStyle w:val="Heading4"/>
        <w:rPr>
          <w:i/>
        </w:rPr>
      </w:pPr>
      <w:bookmarkStart w:id="51" w:name="_Toc294861727"/>
      <w:bookmarkStart w:id="52" w:name="_Toc247691515"/>
      <w:bookmarkStart w:id="53" w:name="_Toc314842499"/>
      <w:r w:rsidRPr="001258AE">
        <w:t>Acute toxicity</w:t>
      </w:r>
      <w:bookmarkEnd w:id="51"/>
    </w:p>
    <w:p w:rsidR="00675A4F" w:rsidRPr="004E304B" w:rsidRDefault="00675A4F" w:rsidP="00FF5033">
      <w:pPr>
        <w:rPr>
          <w:rFonts w:asciiTheme="minorHAnsi" w:eastAsiaTheme="minorHAnsi" w:hAnsiTheme="minorHAnsi"/>
          <w:szCs w:val="23"/>
        </w:rPr>
      </w:pPr>
      <w:r>
        <w:t>A single-dose toxicity study was conducted in the r</w:t>
      </w:r>
      <w:r w:rsidRPr="00576529">
        <w:t>at</w:t>
      </w:r>
      <w:r w:rsidRPr="00A976E6">
        <w:t xml:space="preserve"> </w:t>
      </w:r>
      <w:r>
        <w:t xml:space="preserve">at </w:t>
      </w:r>
      <w:r w:rsidRPr="00A976E6">
        <w:t>one dose level of 10000 IU/kg IV.</w:t>
      </w:r>
      <w:r>
        <w:t xml:space="preserve"> There were no clinical signs of toxicity, bodyweight gain was normal and all animals survived to terminal sacrifice. Gross pathology findings were limited to one male with</w:t>
      </w:r>
      <w:r w:rsidRPr="00A976E6">
        <w:t xml:space="preserve"> a pale liver and a female had congestion of the spleen and pale kidneys</w:t>
      </w:r>
      <w:r>
        <w:t xml:space="preserve"> (</w:t>
      </w:r>
      <w:r w:rsidR="00847E13">
        <w:t xml:space="preserve">findings considered to be of doubtful relevance to </w:t>
      </w:r>
      <w:r>
        <w:t>treatment)</w:t>
      </w:r>
      <w:r w:rsidRPr="00A976E6">
        <w:t>.</w:t>
      </w:r>
      <w:r>
        <w:t xml:space="preserve"> The dose in rats was 200 fold higher than the recommended maximum clinical dose of 50 IU/kg. </w:t>
      </w:r>
      <w:proofErr w:type="spellStart"/>
      <w:r w:rsidR="00FA190B">
        <w:rPr>
          <w:rFonts w:asciiTheme="minorHAnsi" w:eastAsiaTheme="minorHAnsi" w:hAnsiTheme="minorHAnsi"/>
          <w:szCs w:val="23"/>
        </w:rPr>
        <w:t>Simoctocog</w:t>
      </w:r>
      <w:proofErr w:type="spellEnd"/>
      <w:r w:rsidR="00FA190B">
        <w:rPr>
          <w:rFonts w:asciiTheme="minorHAnsi" w:eastAsiaTheme="minorHAnsi" w:hAnsiTheme="minorHAnsi"/>
          <w:szCs w:val="23"/>
        </w:rPr>
        <w:t xml:space="preserve"> alfa</w:t>
      </w:r>
      <w:r>
        <w:rPr>
          <w:rFonts w:asciiTheme="minorHAnsi" w:eastAsiaTheme="minorHAnsi" w:hAnsiTheme="minorHAnsi"/>
          <w:szCs w:val="23"/>
        </w:rPr>
        <w:t xml:space="preserve"> has low potential for acute toxic effects. </w:t>
      </w:r>
    </w:p>
    <w:p w:rsidR="00675A4F" w:rsidRDefault="00675A4F" w:rsidP="00FF5033">
      <w:pPr>
        <w:pStyle w:val="Heading4"/>
        <w:rPr>
          <w:i/>
        </w:rPr>
      </w:pPr>
      <w:bookmarkStart w:id="54" w:name="_Toc294861728"/>
      <w:r w:rsidRPr="001258AE">
        <w:t>Repeat-dose toxicity</w:t>
      </w:r>
      <w:bookmarkEnd w:id="54"/>
    </w:p>
    <w:p w:rsidR="00675A4F" w:rsidRDefault="00675A4F" w:rsidP="00FF5033">
      <w:r>
        <w:t xml:space="preserve">There were two repeat-dose IV toxicity studies both in </w:t>
      </w:r>
      <w:r w:rsidR="002F0BEA">
        <w:t>Cynomolgus</w:t>
      </w:r>
      <w:r>
        <w:t xml:space="preserve"> monkeys</w:t>
      </w:r>
      <w:r w:rsidR="00FF5033">
        <w:t>;</w:t>
      </w:r>
      <w:r>
        <w:t xml:space="preserve"> one pivotal 4</w:t>
      </w:r>
      <w:r w:rsidR="00FF5033">
        <w:t xml:space="preserve"> </w:t>
      </w:r>
      <w:r>
        <w:t>week study and one pilot dose range-finding study</w:t>
      </w:r>
      <w:r w:rsidR="00FF5033">
        <w:t>. B</w:t>
      </w:r>
      <w:r>
        <w:t>oth studies were conducted according to GLP principles and included recovery periods of 2 weeks. The 4</w:t>
      </w:r>
      <w:r w:rsidR="00FF5033">
        <w:t xml:space="preserve"> </w:t>
      </w:r>
      <w:r>
        <w:t xml:space="preserve">week pivotal study included a comparator group dosed with a </w:t>
      </w:r>
      <w:proofErr w:type="spellStart"/>
      <w:r w:rsidR="00FA190B">
        <w:t>pd</w:t>
      </w:r>
      <w:r w:rsidR="00BA154F">
        <w:t>FVIII</w:t>
      </w:r>
      <w:proofErr w:type="spellEnd"/>
      <w:r w:rsidR="00CC4F20">
        <w:t xml:space="preserve"> </w:t>
      </w:r>
      <w:r>
        <w:t>product</w:t>
      </w:r>
      <w:r w:rsidR="0092208E">
        <w:t xml:space="preserve"> </w:t>
      </w:r>
      <w:proofErr w:type="spellStart"/>
      <w:r w:rsidR="0041331E">
        <w:t>pdFVIII</w:t>
      </w:r>
      <w:proofErr w:type="spellEnd"/>
      <w:r>
        <w:t xml:space="preserve">. </w:t>
      </w:r>
    </w:p>
    <w:p w:rsidR="00675A4F" w:rsidRDefault="00675A4F" w:rsidP="00FF5033">
      <w:r>
        <w:t xml:space="preserve">The only treatment-related findings in the repeat dose toxicity studies were decreased blood coagulation times, APTT values, a pharmacological effect of </w:t>
      </w:r>
      <w:proofErr w:type="spellStart"/>
      <w:r w:rsidR="009C1E6B">
        <w:t>simoctocog</w:t>
      </w:r>
      <w:proofErr w:type="spellEnd"/>
      <w:r w:rsidR="009C1E6B">
        <w:t xml:space="preserve"> alfa</w:t>
      </w:r>
      <w:r>
        <w:t xml:space="preserve">, after the first dose and then, after repeated dosing, prolonged coagulation times and bruising on the groin, face and injection site in the high dose </w:t>
      </w:r>
      <w:proofErr w:type="spellStart"/>
      <w:r w:rsidR="009C1E6B">
        <w:t>simoctocog</w:t>
      </w:r>
      <w:proofErr w:type="spellEnd"/>
      <w:r w:rsidR="009C1E6B">
        <w:t xml:space="preserve"> alfa</w:t>
      </w:r>
      <w:r>
        <w:t xml:space="preserve"> group (500 IU/kg/day) </w:t>
      </w:r>
      <w:r>
        <w:lastRenderedPageBreak/>
        <w:t xml:space="preserve">due to the neutralisation of endogenous FVIII by anti-VIII antibodies. The findings were similar in </w:t>
      </w:r>
      <w:proofErr w:type="spellStart"/>
      <w:r w:rsidR="009C1E6B">
        <w:t>simoctocog</w:t>
      </w:r>
      <w:proofErr w:type="spellEnd"/>
      <w:r w:rsidR="009C1E6B">
        <w:t xml:space="preserve"> alfa</w:t>
      </w:r>
      <w:r>
        <w:t xml:space="preserve"> and </w:t>
      </w:r>
      <w:proofErr w:type="spellStart"/>
      <w:r w:rsidR="00313901">
        <w:t>pdFVIII</w:t>
      </w:r>
      <w:proofErr w:type="spellEnd"/>
      <w:r>
        <w:t xml:space="preserve"> treated animals except for higher anti-FVIII antibody titres in the </w:t>
      </w:r>
      <w:proofErr w:type="spellStart"/>
      <w:r w:rsidR="009C1E6B">
        <w:t>simoctocog</w:t>
      </w:r>
      <w:proofErr w:type="spellEnd"/>
      <w:r w:rsidR="009C1E6B">
        <w:t xml:space="preserve"> alfa</w:t>
      </w:r>
      <w:r>
        <w:t xml:space="preserve"> group than in the </w:t>
      </w:r>
      <w:proofErr w:type="spellStart"/>
      <w:r w:rsidR="00313901">
        <w:t>pdFVIII</w:t>
      </w:r>
      <w:proofErr w:type="spellEnd"/>
      <w:r>
        <w:t xml:space="preserve"> group and the absence of bruising in the </w:t>
      </w:r>
      <w:proofErr w:type="spellStart"/>
      <w:r w:rsidR="00313901">
        <w:t>pdFVIII</w:t>
      </w:r>
      <w:proofErr w:type="spellEnd"/>
      <w:r w:rsidR="00313901">
        <w:t xml:space="preserve"> </w:t>
      </w:r>
      <w:r>
        <w:t>group. In the 4</w:t>
      </w:r>
      <w:r w:rsidR="00FF5033">
        <w:t xml:space="preserve"> </w:t>
      </w:r>
      <w:r>
        <w:t xml:space="preserve">week study, one female given 500 IU/kg </w:t>
      </w:r>
      <w:proofErr w:type="spellStart"/>
      <w:r w:rsidR="009C1E6B">
        <w:t>simoctocog</w:t>
      </w:r>
      <w:proofErr w:type="spellEnd"/>
      <w:r w:rsidR="009C1E6B">
        <w:t xml:space="preserve"> alfa</w:t>
      </w:r>
      <w:r>
        <w:t xml:space="preserve"> was sacrificed on day 30 due to poor condition, internal bleeding, low </w:t>
      </w:r>
      <w:r w:rsidR="00FF5033">
        <w:t>red blood cell count (</w:t>
      </w:r>
      <w:r>
        <w:t>RBC</w:t>
      </w:r>
      <w:r w:rsidR="00FF5033">
        <w:t>)</w:t>
      </w:r>
      <w:r>
        <w:t>,</w:t>
      </w:r>
      <w:r w:rsidRPr="006B4F20">
        <w:rPr>
          <w:rFonts w:asciiTheme="minorHAnsi" w:eastAsiaTheme="minorHAnsi" w:hAnsiTheme="minorHAnsi" w:cs="TimesNewRoman"/>
          <w:szCs w:val="23"/>
        </w:rPr>
        <w:t xml:space="preserve"> </w:t>
      </w:r>
      <w:r>
        <w:rPr>
          <w:rFonts w:asciiTheme="minorHAnsi" w:eastAsiaTheme="minorHAnsi" w:hAnsiTheme="minorHAnsi" w:cs="TimesNewRoman"/>
          <w:szCs w:val="23"/>
        </w:rPr>
        <w:t>haemoglobin and haematocrit values</w:t>
      </w:r>
      <w:r>
        <w:t xml:space="preserve"> and </w:t>
      </w:r>
      <w:r>
        <w:rPr>
          <w:rFonts w:asciiTheme="minorHAnsi" w:eastAsiaTheme="minorHAnsi" w:hAnsiTheme="minorHAnsi" w:cs="TimesNewRoman"/>
          <w:szCs w:val="23"/>
        </w:rPr>
        <w:t>pale organs</w:t>
      </w:r>
      <w:r>
        <w:t>; this animal had very high levels (&gt;2 times other animals) of anti-FVIII antibodies.</w:t>
      </w:r>
      <w:r w:rsidR="00FF5033">
        <w:t xml:space="preserve"> </w:t>
      </w:r>
    </w:p>
    <w:p w:rsidR="00675A4F" w:rsidRDefault="00675A4F" w:rsidP="00FF5033">
      <w:pPr>
        <w:rPr>
          <w:rFonts w:asciiTheme="minorHAnsi" w:eastAsiaTheme="minorHAnsi" w:hAnsiTheme="minorHAnsi" w:cs="TimesNewRoman"/>
          <w:szCs w:val="23"/>
        </w:rPr>
      </w:pPr>
      <w:r>
        <w:t xml:space="preserve">Plasma FVIII concentrations were measured in the pivotal toxicity study only at one time point after dosing on several days. </w:t>
      </w:r>
      <w:r>
        <w:rPr>
          <w:rFonts w:asciiTheme="minorHAnsi" w:eastAsiaTheme="minorHAnsi" w:hAnsiTheme="minorHAnsi" w:cs="TimesNewRoman"/>
          <w:szCs w:val="23"/>
        </w:rPr>
        <w:t xml:space="preserve">High anti-FVIII antibodies were present in animals treated with 500 IU/kg </w:t>
      </w:r>
      <w:proofErr w:type="spellStart"/>
      <w:r w:rsidR="009C1E6B">
        <w:rPr>
          <w:rFonts w:asciiTheme="minorHAnsi" w:eastAsiaTheme="minorHAnsi" w:hAnsiTheme="minorHAnsi" w:cs="TimesNewRoman"/>
          <w:szCs w:val="23"/>
        </w:rPr>
        <w:t>simoctocog</w:t>
      </w:r>
      <w:proofErr w:type="spellEnd"/>
      <w:r w:rsidR="009C1E6B">
        <w:rPr>
          <w:rFonts w:asciiTheme="minorHAnsi" w:eastAsiaTheme="minorHAnsi" w:hAnsiTheme="minorHAnsi" w:cs="TimesNewRoman"/>
          <w:szCs w:val="23"/>
        </w:rPr>
        <w:t xml:space="preserve"> alfa</w:t>
      </w:r>
      <w:r>
        <w:rPr>
          <w:rFonts w:asciiTheme="minorHAnsi" w:eastAsiaTheme="minorHAnsi" w:hAnsiTheme="minorHAnsi" w:cs="TimesNewRoman"/>
          <w:szCs w:val="23"/>
        </w:rPr>
        <w:t xml:space="preserve"> and </w:t>
      </w:r>
      <w:proofErr w:type="spellStart"/>
      <w:r w:rsidR="00313901">
        <w:t>pdFVIII</w:t>
      </w:r>
      <w:proofErr w:type="spellEnd"/>
      <w:r w:rsidR="00313901">
        <w:t xml:space="preserve"> </w:t>
      </w:r>
      <w:r>
        <w:rPr>
          <w:rFonts w:asciiTheme="minorHAnsi" w:eastAsiaTheme="minorHAnsi" w:hAnsiTheme="minorHAnsi" w:cs="TimesNewRoman"/>
          <w:szCs w:val="23"/>
        </w:rPr>
        <w:t xml:space="preserve">from </w:t>
      </w:r>
      <w:r w:rsidR="00FF5033">
        <w:rPr>
          <w:rFonts w:asciiTheme="minorHAnsi" w:eastAsiaTheme="minorHAnsi" w:hAnsiTheme="minorHAnsi" w:cs="TimesNewRoman"/>
          <w:szCs w:val="23"/>
        </w:rPr>
        <w:t>D</w:t>
      </w:r>
      <w:r>
        <w:rPr>
          <w:rFonts w:asciiTheme="minorHAnsi" w:eastAsiaTheme="minorHAnsi" w:hAnsiTheme="minorHAnsi" w:cs="TimesNewRoman"/>
          <w:szCs w:val="23"/>
        </w:rPr>
        <w:t xml:space="preserve">ay 13 and resulted in low plasma FVIII activities (below baseline values) after repeated dosing and after the recovery period. The low dose (50 IU/kg) </w:t>
      </w:r>
      <w:r w:rsidR="00FA190B">
        <w:rPr>
          <w:rFonts w:asciiTheme="minorHAnsi" w:eastAsiaTheme="minorHAnsi" w:hAnsiTheme="minorHAnsi" w:cs="TimesNewRoman"/>
          <w:szCs w:val="23"/>
        </w:rPr>
        <w:t xml:space="preserve">of </w:t>
      </w:r>
      <w:proofErr w:type="spellStart"/>
      <w:r w:rsidR="009C1E6B">
        <w:rPr>
          <w:rFonts w:asciiTheme="minorHAnsi" w:eastAsiaTheme="minorHAnsi" w:hAnsiTheme="minorHAnsi" w:cs="TimesNewRoman"/>
          <w:szCs w:val="23"/>
        </w:rPr>
        <w:t>simoctocog</w:t>
      </w:r>
      <w:proofErr w:type="spellEnd"/>
      <w:r w:rsidR="009C1E6B">
        <w:rPr>
          <w:rFonts w:asciiTheme="minorHAnsi" w:eastAsiaTheme="minorHAnsi" w:hAnsiTheme="minorHAnsi" w:cs="TimesNewRoman"/>
          <w:szCs w:val="23"/>
        </w:rPr>
        <w:t xml:space="preserve"> alfa</w:t>
      </w:r>
      <w:r>
        <w:rPr>
          <w:rFonts w:asciiTheme="minorHAnsi" w:eastAsiaTheme="minorHAnsi" w:hAnsiTheme="minorHAnsi" w:cs="TimesNewRoman"/>
          <w:szCs w:val="23"/>
        </w:rPr>
        <w:t xml:space="preserve"> induced low levels of antibodies, maintaining plasma FVIII levels slightly above the baseline values in males and slightly below baseline values in females after 3 weeks of dosing. Exposures (based on </w:t>
      </w:r>
      <w:r w:rsidRPr="0019480D">
        <w:rPr>
          <w:rFonts w:asciiTheme="minorHAnsi" w:eastAsiaTheme="minorHAnsi" w:hAnsiTheme="minorHAnsi" w:cs="TimesNewRoman"/>
          <w:kern w:val="2"/>
          <w:sz w:val="23"/>
          <w:szCs w:val="20"/>
        </w:rPr>
        <w:t>C</w:t>
      </w:r>
      <w:r w:rsidRPr="0019480D">
        <w:rPr>
          <w:rFonts w:asciiTheme="minorHAnsi" w:eastAsiaTheme="minorHAnsi" w:hAnsiTheme="minorHAnsi" w:cs="TimesNewRoman"/>
          <w:kern w:val="2"/>
          <w:sz w:val="23"/>
          <w:szCs w:val="20"/>
          <w:vertAlign w:val="subscript"/>
        </w:rPr>
        <w:t>max</w:t>
      </w:r>
      <w:r>
        <w:rPr>
          <w:rFonts w:asciiTheme="minorHAnsi" w:eastAsiaTheme="minorHAnsi" w:hAnsiTheme="minorHAnsi" w:cs="TimesNewRoman"/>
          <w:szCs w:val="23"/>
        </w:rPr>
        <w:t xml:space="preserve"> and AUC) at the high dose (500 IU/kg) </w:t>
      </w:r>
      <w:r w:rsidR="00FA190B">
        <w:rPr>
          <w:rFonts w:asciiTheme="minorHAnsi" w:eastAsiaTheme="minorHAnsi" w:hAnsiTheme="minorHAnsi" w:cs="TimesNewRoman"/>
          <w:szCs w:val="23"/>
        </w:rPr>
        <w:t xml:space="preserve">were </w:t>
      </w:r>
      <w:r>
        <w:rPr>
          <w:rFonts w:asciiTheme="minorHAnsi" w:eastAsiaTheme="minorHAnsi" w:hAnsiTheme="minorHAnsi" w:cs="TimesNewRoman"/>
          <w:szCs w:val="23"/>
        </w:rPr>
        <w:t>9</w:t>
      </w:r>
      <w:r w:rsidR="00FF5033">
        <w:rPr>
          <w:rFonts w:asciiTheme="minorHAnsi" w:eastAsiaTheme="minorHAnsi" w:hAnsiTheme="minorHAnsi" w:cs="TimesNewRoman"/>
          <w:szCs w:val="23"/>
        </w:rPr>
        <w:t xml:space="preserve"> to </w:t>
      </w:r>
      <w:r>
        <w:rPr>
          <w:rFonts w:asciiTheme="minorHAnsi" w:eastAsiaTheme="minorHAnsi" w:hAnsiTheme="minorHAnsi" w:cs="TimesNewRoman"/>
          <w:szCs w:val="23"/>
        </w:rPr>
        <w:t xml:space="preserve">10 fold higher than the clinical exposure in haemophilia A patients with prophylactic therapy (see table below). </w:t>
      </w:r>
    </w:p>
    <w:p w:rsidR="00675A4F" w:rsidRPr="0068453C" w:rsidRDefault="00FF5033" w:rsidP="00675A4F">
      <w:pPr>
        <w:pStyle w:val="TableTitle"/>
      </w:pPr>
      <w:r>
        <w:t xml:space="preserve">Table 3: </w:t>
      </w:r>
      <w:r w:rsidR="00675A4F">
        <w:t>E</w:t>
      </w:r>
      <w:r w:rsidR="00675A4F" w:rsidRPr="0068453C">
        <w:t>xposure</w:t>
      </w:r>
      <w:r w:rsidR="00675A4F">
        <w:t>s</w:t>
      </w:r>
      <w:r w:rsidR="00675A4F" w:rsidRPr="0068453C">
        <w:t xml:space="preserve"> in repeat-d</w:t>
      </w:r>
      <w:r w:rsidR="00675A4F">
        <w:t xml:space="preserve">ose toxicity </w:t>
      </w:r>
      <w:r w:rsidR="00675A4F" w:rsidRPr="0068453C">
        <w:t>studies</w:t>
      </w:r>
      <w:r w:rsidR="00675A4F">
        <w:t xml:space="preserve"> compared with the clinical exposure</w:t>
      </w:r>
    </w:p>
    <w:tbl>
      <w:tblPr>
        <w:tblStyle w:val="TableTGAblue"/>
        <w:tblW w:w="8662" w:type="dxa"/>
        <w:tblLayout w:type="fixed"/>
        <w:tblLook w:val="01E0" w:firstRow="1" w:lastRow="1" w:firstColumn="1" w:lastColumn="1" w:noHBand="0" w:noVBand="0"/>
      </w:tblPr>
      <w:tblGrid>
        <w:gridCol w:w="1985"/>
        <w:gridCol w:w="1276"/>
        <w:gridCol w:w="1275"/>
        <w:gridCol w:w="1418"/>
        <w:gridCol w:w="1250"/>
        <w:gridCol w:w="1458"/>
      </w:tblGrid>
      <w:tr w:rsidR="00675A4F" w:rsidRPr="00921F44" w:rsidTr="00B30B5B">
        <w:trPr>
          <w:cnfStyle w:val="100000000000" w:firstRow="1" w:lastRow="0" w:firstColumn="0" w:lastColumn="0" w:oddVBand="0" w:evenVBand="0" w:oddHBand="0" w:evenHBand="0" w:firstRowFirstColumn="0" w:firstRowLastColumn="0" w:lastRowFirstColumn="0" w:lastRowLastColumn="0"/>
          <w:trHeight w:val="147"/>
        </w:trPr>
        <w:tc>
          <w:tcPr>
            <w:tcW w:w="1985" w:type="dxa"/>
            <w:vMerge w:val="restart"/>
          </w:tcPr>
          <w:p w:rsidR="00675A4F" w:rsidRPr="00FB4AF7" w:rsidRDefault="00675A4F" w:rsidP="00B30B5B">
            <w:r w:rsidRPr="00FB4AF7">
              <w:t>Species</w:t>
            </w:r>
          </w:p>
        </w:tc>
        <w:tc>
          <w:tcPr>
            <w:tcW w:w="1276" w:type="dxa"/>
            <w:vMerge w:val="restart"/>
          </w:tcPr>
          <w:p w:rsidR="00675A4F" w:rsidRPr="00FB4AF7" w:rsidRDefault="00675A4F" w:rsidP="00B30B5B">
            <w:r w:rsidRPr="00FB4AF7">
              <w:t>Dose</w:t>
            </w:r>
            <w:r w:rsidR="00B30B5B">
              <w:t xml:space="preserve"> </w:t>
            </w:r>
            <w:r w:rsidRPr="00FB4AF7">
              <w:t>IU/kg</w:t>
            </w:r>
          </w:p>
        </w:tc>
        <w:tc>
          <w:tcPr>
            <w:tcW w:w="1275" w:type="dxa"/>
            <w:vMerge w:val="restart"/>
          </w:tcPr>
          <w:p w:rsidR="00675A4F" w:rsidRPr="00FB4AF7" w:rsidRDefault="00675A4F" w:rsidP="00B30B5B">
            <w:proofErr w:type="spellStart"/>
            <w:r w:rsidRPr="00FB4AF7">
              <w:t>C</w:t>
            </w:r>
            <w:r w:rsidRPr="00FB4AF7">
              <w:rPr>
                <w:vertAlign w:val="subscript"/>
              </w:rPr>
              <w:t>max</w:t>
            </w:r>
            <w:proofErr w:type="spellEnd"/>
            <w:r w:rsidR="00B30B5B">
              <w:rPr>
                <w:vertAlign w:val="subscript"/>
              </w:rPr>
              <w:t xml:space="preserve"> </w:t>
            </w:r>
            <w:r w:rsidRPr="00FB4AF7">
              <w:t>IU/mL*</w:t>
            </w:r>
          </w:p>
        </w:tc>
        <w:tc>
          <w:tcPr>
            <w:tcW w:w="1418" w:type="dxa"/>
            <w:vMerge w:val="restart"/>
          </w:tcPr>
          <w:p w:rsidR="00675A4F" w:rsidRPr="00FB4AF7" w:rsidRDefault="00675A4F" w:rsidP="00B30B5B">
            <w:r w:rsidRPr="00FB4AF7">
              <w:t>AUC</w:t>
            </w:r>
          </w:p>
          <w:p w:rsidR="00675A4F" w:rsidRPr="00FB4AF7" w:rsidRDefault="00675A4F" w:rsidP="00B30B5B">
            <w:proofErr w:type="spellStart"/>
            <w:r w:rsidRPr="00FB4AF7">
              <w:t>IU.h</w:t>
            </w:r>
            <w:proofErr w:type="spellEnd"/>
            <w:r w:rsidRPr="00FB4AF7">
              <w:t>/mL</w:t>
            </w:r>
            <w:r w:rsidRPr="00FB4AF7">
              <w:rPr>
                <w:vertAlign w:val="superscript"/>
              </w:rPr>
              <w:t>#</w:t>
            </w:r>
          </w:p>
        </w:tc>
        <w:tc>
          <w:tcPr>
            <w:tcW w:w="2708" w:type="dxa"/>
            <w:gridSpan w:val="2"/>
          </w:tcPr>
          <w:p w:rsidR="00675A4F" w:rsidRPr="00FF5033" w:rsidRDefault="00675A4F" w:rsidP="00B30B5B">
            <w:r w:rsidRPr="00FF5033">
              <w:t>Animal/human exposure ratio</w:t>
            </w:r>
          </w:p>
        </w:tc>
      </w:tr>
      <w:tr w:rsidR="00675A4F" w:rsidRPr="00921F44" w:rsidTr="00B30B5B">
        <w:trPr>
          <w:trHeight w:val="146"/>
        </w:trPr>
        <w:tc>
          <w:tcPr>
            <w:tcW w:w="1985" w:type="dxa"/>
            <w:vMerge/>
          </w:tcPr>
          <w:p w:rsidR="00675A4F" w:rsidRPr="00FF5033" w:rsidRDefault="00675A4F" w:rsidP="00B30B5B"/>
        </w:tc>
        <w:tc>
          <w:tcPr>
            <w:tcW w:w="1276" w:type="dxa"/>
            <w:vMerge/>
          </w:tcPr>
          <w:p w:rsidR="00675A4F" w:rsidRPr="00FF5033" w:rsidRDefault="00675A4F" w:rsidP="00B30B5B"/>
        </w:tc>
        <w:tc>
          <w:tcPr>
            <w:tcW w:w="1275" w:type="dxa"/>
            <w:vMerge/>
          </w:tcPr>
          <w:p w:rsidR="00675A4F" w:rsidRPr="00FF5033" w:rsidRDefault="00675A4F" w:rsidP="00B30B5B"/>
        </w:tc>
        <w:tc>
          <w:tcPr>
            <w:tcW w:w="1418" w:type="dxa"/>
            <w:vMerge/>
          </w:tcPr>
          <w:p w:rsidR="00675A4F" w:rsidRPr="00FF5033" w:rsidRDefault="00675A4F" w:rsidP="00B30B5B"/>
        </w:tc>
        <w:tc>
          <w:tcPr>
            <w:tcW w:w="1250" w:type="dxa"/>
          </w:tcPr>
          <w:p w:rsidR="00675A4F" w:rsidRPr="00FF5033" w:rsidRDefault="00675A4F" w:rsidP="00B30B5B">
            <w:r w:rsidRPr="00FF5033">
              <w:t>C</w:t>
            </w:r>
            <w:r w:rsidRPr="00FF5033">
              <w:rPr>
                <w:vertAlign w:val="subscript"/>
              </w:rPr>
              <w:t>max</w:t>
            </w:r>
          </w:p>
        </w:tc>
        <w:tc>
          <w:tcPr>
            <w:tcW w:w="1458" w:type="dxa"/>
          </w:tcPr>
          <w:p w:rsidR="00675A4F" w:rsidRPr="00FF5033" w:rsidRDefault="00675A4F" w:rsidP="00B30B5B">
            <w:r w:rsidRPr="00FF5033">
              <w:t>AUC‡</w:t>
            </w:r>
          </w:p>
        </w:tc>
      </w:tr>
      <w:tr w:rsidR="00675A4F" w:rsidRPr="007068A9" w:rsidTr="00B30B5B">
        <w:trPr>
          <w:trHeight w:val="227"/>
        </w:trPr>
        <w:tc>
          <w:tcPr>
            <w:tcW w:w="1985" w:type="dxa"/>
            <w:vMerge w:val="restart"/>
          </w:tcPr>
          <w:p w:rsidR="00675A4F" w:rsidRPr="00FF5033" w:rsidRDefault="00675A4F" w:rsidP="00B30B5B">
            <w:pPr>
              <w:rPr>
                <w:kern w:val="2"/>
              </w:rPr>
            </w:pPr>
            <w:r w:rsidRPr="00FF5033">
              <w:rPr>
                <w:kern w:val="2"/>
              </w:rPr>
              <w:t>Monkey</w:t>
            </w:r>
            <w:r w:rsidR="00B30B5B">
              <w:rPr>
                <w:kern w:val="2"/>
              </w:rPr>
              <w:t xml:space="preserve"> </w:t>
            </w:r>
            <w:proofErr w:type="spellStart"/>
            <w:r w:rsidRPr="00FF5033">
              <w:rPr>
                <w:kern w:val="2"/>
              </w:rPr>
              <w:t>Cynomolgu</w:t>
            </w:r>
            <w:r w:rsidR="002F0BEA">
              <w:rPr>
                <w:kern w:val="2"/>
              </w:rPr>
              <w:t>s</w:t>
            </w:r>
            <w:proofErr w:type="spellEnd"/>
            <w:r w:rsidRPr="00FF5033">
              <w:rPr>
                <w:kern w:val="2"/>
              </w:rPr>
              <w:t>)</w:t>
            </w:r>
          </w:p>
        </w:tc>
        <w:tc>
          <w:tcPr>
            <w:tcW w:w="1276" w:type="dxa"/>
          </w:tcPr>
          <w:p w:rsidR="00675A4F" w:rsidRPr="00FF5033" w:rsidRDefault="00675A4F" w:rsidP="00B30B5B">
            <w:pPr>
              <w:rPr>
                <w:kern w:val="2"/>
              </w:rPr>
            </w:pPr>
            <w:r w:rsidRPr="00FF5033">
              <w:rPr>
                <w:kern w:val="2"/>
              </w:rPr>
              <w:t>50</w:t>
            </w:r>
          </w:p>
        </w:tc>
        <w:tc>
          <w:tcPr>
            <w:tcW w:w="1275" w:type="dxa"/>
          </w:tcPr>
          <w:p w:rsidR="00675A4F" w:rsidRPr="00FF5033" w:rsidRDefault="00675A4F" w:rsidP="00B30B5B">
            <w:pPr>
              <w:rPr>
                <w:kern w:val="2"/>
              </w:rPr>
            </w:pPr>
            <w:r w:rsidRPr="00FF5033">
              <w:rPr>
                <w:kern w:val="2"/>
              </w:rPr>
              <w:t>3.41</w:t>
            </w:r>
          </w:p>
        </w:tc>
        <w:tc>
          <w:tcPr>
            <w:tcW w:w="1418" w:type="dxa"/>
          </w:tcPr>
          <w:p w:rsidR="00675A4F" w:rsidRPr="00FF5033" w:rsidRDefault="00675A4F" w:rsidP="00B30B5B">
            <w:pPr>
              <w:rPr>
                <w:kern w:val="2"/>
              </w:rPr>
            </w:pPr>
            <w:r w:rsidRPr="00FF5033">
              <w:rPr>
                <w:kern w:val="2"/>
              </w:rPr>
              <w:t>11.4</w:t>
            </w:r>
          </w:p>
        </w:tc>
        <w:tc>
          <w:tcPr>
            <w:tcW w:w="1250" w:type="dxa"/>
          </w:tcPr>
          <w:p w:rsidR="00675A4F" w:rsidRPr="00FF5033" w:rsidRDefault="00675A4F" w:rsidP="00B30B5B">
            <w:pPr>
              <w:rPr>
                <w:kern w:val="2"/>
              </w:rPr>
            </w:pPr>
            <w:r w:rsidRPr="00FF5033">
              <w:rPr>
                <w:kern w:val="2"/>
              </w:rPr>
              <w:t>2.3</w:t>
            </w:r>
          </w:p>
        </w:tc>
        <w:tc>
          <w:tcPr>
            <w:tcW w:w="1458" w:type="dxa"/>
          </w:tcPr>
          <w:p w:rsidR="00675A4F" w:rsidRPr="00FF5033" w:rsidDel="00801D8E" w:rsidRDefault="00675A4F" w:rsidP="00B30B5B">
            <w:pPr>
              <w:rPr>
                <w:kern w:val="2"/>
              </w:rPr>
            </w:pPr>
            <w:r w:rsidRPr="00FF5033">
              <w:rPr>
                <w:kern w:val="2"/>
              </w:rPr>
              <w:t>1.2</w:t>
            </w:r>
          </w:p>
        </w:tc>
      </w:tr>
      <w:tr w:rsidR="00675A4F" w:rsidRPr="007068A9" w:rsidTr="00B30B5B">
        <w:trPr>
          <w:trHeight w:val="227"/>
        </w:trPr>
        <w:tc>
          <w:tcPr>
            <w:tcW w:w="1985" w:type="dxa"/>
            <w:vMerge/>
          </w:tcPr>
          <w:p w:rsidR="00675A4F" w:rsidRPr="00FF5033" w:rsidRDefault="00675A4F" w:rsidP="00B30B5B">
            <w:pPr>
              <w:rPr>
                <w:kern w:val="2"/>
              </w:rPr>
            </w:pPr>
          </w:p>
        </w:tc>
        <w:tc>
          <w:tcPr>
            <w:tcW w:w="1276" w:type="dxa"/>
          </w:tcPr>
          <w:p w:rsidR="00675A4F" w:rsidRPr="00FF5033" w:rsidRDefault="00675A4F" w:rsidP="00B30B5B">
            <w:pPr>
              <w:rPr>
                <w:kern w:val="2"/>
              </w:rPr>
            </w:pPr>
            <w:r w:rsidRPr="00FF5033">
              <w:rPr>
                <w:kern w:val="2"/>
              </w:rPr>
              <w:t>500</w:t>
            </w:r>
          </w:p>
        </w:tc>
        <w:tc>
          <w:tcPr>
            <w:tcW w:w="1275" w:type="dxa"/>
          </w:tcPr>
          <w:p w:rsidR="00675A4F" w:rsidRPr="00FF5033" w:rsidRDefault="00675A4F" w:rsidP="00B30B5B">
            <w:pPr>
              <w:rPr>
                <w:kern w:val="2"/>
              </w:rPr>
            </w:pPr>
            <w:r w:rsidRPr="00FF5033">
              <w:rPr>
                <w:kern w:val="2"/>
              </w:rPr>
              <w:t>12.59</w:t>
            </w:r>
          </w:p>
        </w:tc>
        <w:tc>
          <w:tcPr>
            <w:tcW w:w="1418" w:type="dxa"/>
          </w:tcPr>
          <w:p w:rsidR="00675A4F" w:rsidRPr="00FF5033" w:rsidRDefault="00675A4F" w:rsidP="00B30B5B">
            <w:pPr>
              <w:rPr>
                <w:kern w:val="2"/>
              </w:rPr>
            </w:pPr>
            <w:r w:rsidRPr="00FF5033">
              <w:rPr>
                <w:kern w:val="2"/>
              </w:rPr>
              <w:t>95.3</w:t>
            </w:r>
          </w:p>
        </w:tc>
        <w:tc>
          <w:tcPr>
            <w:tcW w:w="1250" w:type="dxa"/>
          </w:tcPr>
          <w:p w:rsidR="00675A4F" w:rsidRPr="00FF5033" w:rsidRDefault="00675A4F" w:rsidP="00B30B5B">
            <w:pPr>
              <w:rPr>
                <w:kern w:val="2"/>
              </w:rPr>
            </w:pPr>
            <w:r w:rsidRPr="00FF5033">
              <w:rPr>
                <w:kern w:val="2"/>
              </w:rPr>
              <w:t>8.6</w:t>
            </w:r>
          </w:p>
        </w:tc>
        <w:tc>
          <w:tcPr>
            <w:tcW w:w="1458" w:type="dxa"/>
          </w:tcPr>
          <w:p w:rsidR="00675A4F" w:rsidRPr="00FF5033" w:rsidRDefault="00675A4F" w:rsidP="00B30B5B">
            <w:pPr>
              <w:rPr>
                <w:kern w:val="2"/>
              </w:rPr>
            </w:pPr>
            <w:r w:rsidRPr="00FF5033">
              <w:rPr>
                <w:kern w:val="2"/>
              </w:rPr>
              <w:t>9.9</w:t>
            </w:r>
          </w:p>
        </w:tc>
      </w:tr>
      <w:tr w:rsidR="00675A4F" w:rsidRPr="007068A9" w:rsidTr="00B30B5B">
        <w:trPr>
          <w:trHeight w:val="227"/>
        </w:trPr>
        <w:tc>
          <w:tcPr>
            <w:tcW w:w="1985" w:type="dxa"/>
          </w:tcPr>
          <w:p w:rsidR="00675A4F" w:rsidRPr="00FF5033" w:rsidRDefault="00675A4F" w:rsidP="00B30B5B">
            <w:pPr>
              <w:rPr>
                <w:kern w:val="2"/>
              </w:rPr>
            </w:pPr>
            <w:r w:rsidRPr="00FF5033">
              <w:rPr>
                <w:kern w:val="2"/>
              </w:rPr>
              <w:t>Human</w:t>
            </w:r>
            <w:r w:rsidR="00B30B5B">
              <w:rPr>
                <w:kern w:val="2"/>
              </w:rPr>
              <w:t xml:space="preserve"> </w:t>
            </w:r>
            <w:r w:rsidRPr="00FF5033">
              <w:rPr>
                <w:kern w:val="2"/>
              </w:rPr>
              <w:t>Study GENA-01†</w:t>
            </w:r>
          </w:p>
        </w:tc>
        <w:tc>
          <w:tcPr>
            <w:tcW w:w="1276" w:type="dxa"/>
          </w:tcPr>
          <w:p w:rsidR="00675A4F" w:rsidRPr="00FF5033" w:rsidRDefault="00675A4F" w:rsidP="00B30B5B">
            <w:pPr>
              <w:rPr>
                <w:kern w:val="2"/>
              </w:rPr>
            </w:pPr>
            <w:r w:rsidRPr="00FF5033">
              <w:rPr>
                <w:kern w:val="2"/>
              </w:rPr>
              <w:t>~58</w:t>
            </w:r>
          </w:p>
        </w:tc>
        <w:tc>
          <w:tcPr>
            <w:tcW w:w="1275" w:type="dxa"/>
          </w:tcPr>
          <w:p w:rsidR="00675A4F" w:rsidRPr="00FF5033" w:rsidRDefault="00675A4F" w:rsidP="00B30B5B">
            <w:pPr>
              <w:rPr>
                <w:kern w:val="2"/>
              </w:rPr>
            </w:pPr>
            <w:r w:rsidRPr="00FF5033">
              <w:rPr>
                <w:kern w:val="2"/>
              </w:rPr>
              <w:t>1.46</w:t>
            </w:r>
          </w:p>
        </w:tc>
        <w:tc>
          <w:tcPr>
            <w:tcW w:w="1418" w:type="dxa"/>
          </w:tcPr>
          <w:p w:rsidR="00675A4F" w:rsidRPr="00FF5033" w:rsidRDefault="00675A4F" w:rsidP="00B30B5B">
            <w:pPr>
              <w:rPr>
                <w:kern w:val="2"/>
              </w:rPr>
            </w:pPr>
            <w:r w:rsidRPr="00FF5033">
              <w:rPr>
                <w:kern w:val="2"/>
              </w:rPr>
              <w:t>22.5</w:t>
            </w:r>
          </w:p>
        </w:tc>
        <w:tc>
          <w:tcPr>
            <w:tcW w:w="1250" w:type="dxa"/>
          </w:tcPr>
          <w:p w:rsidR="00675A4F" w:rsidRPr="00FF5033" w:rsidRDefault="00675A4F" w:rsidP="00B30B5B">
            <w:pPr>
              <w:rPr>
                <w:kern w:val="2"/>
              </w:rPr>
            </w:pPr>
            <w:r w:rsidRPr="00FF5033">
              <w:rPr>
                <w:kern w:val="2"/>
              </w:rPr>
              <w:t>–</w:t>
            </w:r>
          </w:p>
        </w:tc>
        <w:tc>
          <w:tcPr>
            <w:tcW w:w="1458" w:type="dxa"/>
          </w:tcPr>
          <w:p w:rsidR="00675A4F" w:rsidRPr="00FF5033" w:rsidRDefault="00675A4F" w:rsidP="00B30B5B">
            <w:pPr>
              <w:rPr>
                <w:kern w:val="2"/>
              </w:rPr>
            </w:pPr>
            <w:r w:rsidRPr="00FF5033">
              <w:rPr>
                <w:kern w:val="2"/>
              </w:rPr>
              <w:t>–</w:t>
            </w:r>
          </w:p>
        </w:tc>
      </w:tr>
    </w:tbl>
    <w:p w:rsidR="00675A4F" w:rsidRDefault="00675A4F" w:rsidP="00B30B5B">
      <w:pPr>
        <w:pStyle w:val="TableDescription"/>
      </w:pPr>
      <w:r w:rsidRPr="0019480D">
        <w:rPr>
          <w:position w:val="-2"/>
        </w:rPr>
        <w:t xml:space="preserve">* </w:t>
      </w:r>
      <w:r>
        <w:rPr>
          <w:position w:val="-2"/>
        </w:rPr>
        <w:t xml:space="preserve">Mean values of male and female monkeys (4/sex/dose level) 15 min after the first dose in the 4-week study. </w:t>
      </w:r>
      <w:r w:rsidRPr="00D7327D">
        <w:rPr>
          <w:position w:val="-2"/>
          <w:vertAlign w:val="superscript"/>
        </w:rPr>
        <w:t>#</w:t>
      </w:r>
      <w:r>
        <w:t xml:space="preserve"> Values from the pilot study in 2 monkeys (one/sex/dose level); AUC</w:t>
      </w:r>
      <w:r w:rsidRPr="0019480D">
        <w:rPr>
          <w:vertAlign w:val="subscript"/>
        </w:rPr>
        <w:t>0-24h</w:t>
      </w:r>
      <w:r>
        <w:t xml:space="preserve"> for monkeys and AUC</w:t>
      </w:r>
      <w:r w:rsidRPr="0019480D">
        <w:rPr>
          <w:vertAlign w:val="subscript"/>
        </w:rPr>
        <w:t>0-</w:t>
      </w:r>
      <w:r>
        <w:rPr>
          <w:vertAlign w:val="subscript"/>
        </w:rPr>
        <w:t>∞</w:t>
      </w:r>
      <w:r>
        <w:t xml:space="preserve"> for humans. </w:t>
      </w:r>
      <w:r>
        <w:rPr>
          <w:kern w:val="2"/>
        </w:rPr>
        <w:t xml:space="preserve">† Data in adolescent and adults (lower AUC and </w:t>
      </w:r>
      <w:r w:rsidRPr="0019480D">
        <w:rPr>
          <w:rFonts w:eastAsia="MS Mincho" w:cstheme="minorBidi"/>
          <w:kern w:val="2"/>
          <w:sz w:val="23"/>
          <w:szCs w:val="20"/>
        </w:rPr>
        <w:t>C</w:t>
      </w:r>
      <w:r w:rsidRPr="0019480D">
        <w:rPr>
          <w:rFonts w:eastAsia="MS Mincho" w:cstheme="minorBidi"/>
          <w:kern w:val="2"/>
          <w:sz w:val="23"/>
          <w:szCs w:val="20"/>
          <w:vertAlign w:val="subscript"/>
        </w:rPr>
        <w:t>max</w:t>
      </w:r>
      <w:r w:rsidDel="00F538F0">
        <w:t xml:space="preserve"> </w:t>
      </w:r>
      <w:r>
        <w:t xml:space="preserve">values were observed in children). </w:t>
      </w:r>
      <w:r>
        <w:rPr>
          <w:kern w:val="2"/>
        </w:rPr>
        <w:t>‡ Based on weekly exposure for prophylaxis (every 2-3 days), ratio = monkey AUCx7/human AUCx3.</w:t>
      </w:r>
      <w:r w:rsidR="00FF5033">
        <w:rPr>
          <w:kern w:val="2"/>
        </w:rPr>
        <w:t xml:space="preserve"> </w:t>
      </w:r>
    </w:p>
    <w:p w:rsidR="00675A4F" w:rsidRPr="0019480D" w:rsidRDefault="00675A4F" w:rsidP="00FF5033">
      <w:pPr>
        <w:pStyle w:val="Heading4"/>
      </w:pPr>
      <w:r w:rsidRPr="0019480D">
        <w:t>Genotoxicity and carcinogenicity</w:t>
      </w:r>
    </w:p>
    <w:p w:rsidR="00675A4F" w:rsidRDefault="00675A4F" w:rsidP="00FF5033">
      <w:r>
        <w:t>No genotoxicity or carcinogenicity studies were included in this submission. This omission is acceptable in accordance wi</w:t>
      </w:r>
      <w:r w:rsidR="00FF5033">
        <w:t>th the TGA adopted EU guideline.</w:t>
      </w:r>
      <w:r w:rsidR="00FF5033">
        <w:rPr>
          <w:rStyle w:val="FootnoteReference"/>
        </w:rPr>
        <w:footnoteReference w:id="6"/>
      </w:r>
      <w:r w:rsidR="00FF5033">
        <w:t xml:space="preserve"> </w:t>
      </w:r>
      <w:r>
        <w:t xml:space="preserve">Standard carcinogenicity assays of biotechnology-derived pharmaceuticals are generally inappropriate; the immunogenicity of </w:t>
      </w:r>
      <w:proofErr w:type="spellStart"/>
      <w:r w:rsidR="00FA190B">
        <w:t>r</w:t>
      </w:r>
      <w:r w:rsidR="00BA154F">
        <w:t>FVIII</w:t>
      </w:r>
      <w:proofErr w:type="spellEnd"/>
      <w:r w:rsidR="00CC4F20">
        <w:t xml:space="preserve"> </w:t>
      </w:r>
      <w:r>
        <w:t xml:space="preserve">in experimental species would not allow for </w:t>
      </w:r>
      <w:r w:rsidRPr="00FF5033">
        <w:t xml:space="preserve">carcinogenicity study of adequate duration. As a large protein the drug is not expected to interact directly with </w:t>
      </w:r>
      <w:r w:rsidR="00FF5033" w:rsidRPr="00FF5033">
        <w:t>deoxyribonucleic acid</w:t>
      </w:r>
      <w:r w:rsidR="00FF5033">
        <w:t xml:space="preserve"> </w:t>
      </w:r>
      <w:r w:rsidR="00FF5033" w:rsidRPr="00FF5033">
        <w:t>(</w:t>
      </w:r>
      <w:r w:rsidRPr="00FF5033">
        <w:t>DNA</w:t>
      </w:r>
      <w:r w:rsidR="00FF5033" w:rsidRPr="00FF5033">
        <w:t>)</w:t>
      </w:r>
      <w:r w:rsidRPr="00FF5033">
        <w:t xml:space="preserve"> or other chromosomal material. No causes for concern of a genotoxic nature have been identified for </w:t>
      </w:r>
      <w:proofErr w:type="spellStart"/>
      <w:r w:rsidR="00FA190B">
        <w:t>r</w:t>
      </w:r>
      <w:r w:rsidRPr="00FF5033">
        <w:t>FVIII</w:t>
      </w:r>
      <w:proofErr w:type="spellEnd"/>
      <w:r w:rsidRPr="00FF5033">
        <w:t xml:space="preserve"> products</w:t>
      </w:r>
      <w:r w:rsidR="00FA190B">
        <w:t xml:space="preserve">. </w:t>
      </w:r>
      <w:proofErr w:type="spellStart"/>
      <w:proofErr w:type="gramStart"/>
      <w:r w:rsidR="00FA190B">
        <w:t>r</w:t>
      </w:r>
      <w:r w:rsidR="00BA154F">
        <w:t>FVIII</w:t>
      </w:r>
      <w:proofErr w:type="spellEnd"/>
      <w:proofErr w:type="gramEnd"/>
      <w:r w:rsidR="00CC4F20">
        <w:t xml:space="preserve"> </w:t>
      </w:r>
      <w:r>
        <w:t xml:space="preserve">has been used for years in haemophilia A patients, and there are no mechanistic data to suggest a mutagenic or proliferative potential for </w:t>
      </w:r>
      <w:proofErr w:type="spellStart"/>
      <w:r w:rsidR="009C1E6B">
        <w:t>simoctocog</w:t>
      </w:r>
      <w:proofErr w:type="spellEnd"/>
      <w:r w:rsidR="009C1E6B">
        <w:t xml:space="preserve"> </w:t>
      </w:r>
      <w:r w:rsidR="00FC63A1">
        <w:t>alfa</w:t>
      </w:r>
      <w:r w:rsidR="00B30B5B">
        <w:t>.</w:t>
      </w:r>
    </w:p>
    <w:p w:rsidR="00675A4F" w:rsidRPr="0019480D" w:rsidRDefault="00675A4F" w:rsidP="00FF5033">
      <w:pPr>
        <w:pStyle w:val="Heading4"/>
      </w:pPr>
      <w:r w:rsidRPr="0019480D">
        <w:lastRenderedPageBreak/>
        <w:t>Reproductive toxicity</w:t>
      </w:r>
    </w:p>
    <w:p w:rsidR="00675A4F" w:rsidRPr="00C206A6" w:rsidRDefault="00675A4F" w:rsidP="00FF5033">
      <w:r>
        <w:rPr>
          <w:kern w:val="2"/>
        </w:rPr>
        <w:t xml:space="preserve">No reproductive toxicity studies were conducted with </w:t>
      </w:r>
      <w:proofErr w:type="spellStart"/>
      <w:r w:rsidR="009C1E6B">
        <w:rPr>
          <w:kern w:val="2"/>
        </w:rPr>
        <w:t>simoctocog</w:t>
      </w:r>
      <w:proofErr w:type="spellEnd"/>
      <w:r w:rsidR="009C1E6B">
        <w:rPr>
          <w:kern w:val="2"/>
        </w:rPr>
        <w:t xml:space="preserve"> alfa</w:t>
      </w:r>
      <w:r>
        <w:rPr>
          <w:kern w:val="2"/>
        </w:rPr>
        <w:t xml:space="preserve">. </w:t>
      </w:r>
      <w:r w:rsidRPr="00C206A6">
        <w:t xml:space="preserve">The absence of reproductive toxicity studies is appropriate given that the product is only intended for physiological replacement of normal </w:t>
      </w:r>
      <w:r w:rsidR="00BA154F">
        <w:t>FVIII</w:t>
      </w:r>
      <w:r w:rsidR="00CC4F20">
        <w:t xml:space="preserve"> </w:t>
      </w:r>
      <w:r w:rsidRPr="00C206A6">
        <w:t xml:space="preserve">activity and that haemophilia A is a sex-linked disease that effectively only occurs in males. No effects on the reproductive organs were seen in histopathology assessment of reproductive organs in the </w:t>
      </w:r>
      <w:r>
        <w:t>4</w:t>
      </w:r>
      <w:r w:rsidR="00FF5033">
        <w:t xml:space="preserve"> </w:t>
      </w:r>
      <w:r>
        <w:t xml:space="preserve">week </w:t>
      </w:r>
      <w:r w:rsidRPr="00C206A6">
        <w:t xml:space="preserve">repeat dose toxicity study </w:t>
      </w:r>
      <w:r>
        <w:t xml:space="preserve">in </w:t>
      </w:r>
      <w:r w:rsidRPr="00C206A6">
        <w:t xml:space="preserve">male and female </w:t>
      </w:r>
      <w:r>
        <w:t>monkeys</w:t>
      </w:r>
      <w:r w:rsidRPr="00C206A6">
        <w:t xml:space="preserve">. </w:t>
      </w:r>
      <w:proofErr w:type="spellStart"/>
      <w:proofErr w:type="gramStart"/>
      <w:r w:rsidR="00FA190B">
        <w:t>r</w:t>
      </w:r>
      <w:r w:rsidR="00BA154F">
        <w:t>FVIII</w:t>
      </w:r>
      <w:proofErr w:type="spellEnd"/>
      <w:proofErr w:type="gramEnd"/>
      <w:r w:rsidR="00CC4F20">
        <w:t xml:space="preserve"> </w:t>
      </w:r>
      <w:r w:rsidRPr="00C206A6">
        <w:t xml:space="preserve">has been used in haemophilia A patients for years and there is no evidence of adverse effects on fertility or </w:t>
      </w:r>
      <w:proofErr w:type="spellStart"/>
      <w:r w:rsidRPr="00C206A6">
        <w:t>embryof</w:t>
      </w:r>
      <w:r w:rsidR="00FA190B">
        <w:t>o</w:t>
      </w:r>
      <w:r w:rsidRPr="00C206A6">
        <w:t>etal</w:t>
      </w:r>
      <w:proofErr w:type="spellEnd"/>
      <w:r w:rsidRPr="00C206A6">
        <w:t xml:space="preserve"> development. </w:t>
      </w:r>
    </w:p>
    <w:p w:rsidR="00675A4F" w:rsidRDefault="00675A4F" w:rsidP="00FF5033">
      <w:pPr>
        <w:pStyle w:val="Heading5"/>
      </w:pPr>
      <w:r>
        <w:t>Pregnancy classification</w:t>
      </w:r>
    </w:p>
    <w:p w:rsidR="00675A4F" w:rsidRPr="002F1810" w:rsidRDefault="00675A4F" w:rsidP="00FF5033">
      <w:pPr>
        <w:rPr>
          <w:kern w:val="2"/>
          <w:szCs w:val="20"/>
        </w:rPr>
      </w:pPr>
      <w:r w:rsidRPr="002F1810">
        <w:rPr>
          <w:kern w:val="2"/>
          <w:szCs w:val="20"/>
        </w:rPr>
        <w:t xml:space="preserve">The sponsor has not proposed Pregnancy Category. A Pregnancy Category of </w:t>
      </w:r>
      <w:r w:rsidRPr="00FF5033">
        <w:rPr>
          <w:kern w:val="2"/>
          <w:szCs w:val="20"/>
        </w:rPr>
        <w:t>B2</w:t>
      </w:r>
      <w:r w:rsidR="00FF5033">
        <w:rPr>
          <w:rStyle w:val="FootnoteReference"/>
          <w:kern w:val="2"/>
          <w:szCs w:val="20"/>
        </w:rPr>
        <w:footnoteReference w:id="7"/>
      </w:r>
      <w:r w:rsidRPr="002F1810">
        <w:rPr>
          <w:kern w:val="2"/>
          <w:szCs w:val="20"/>
        </w:rPr>
        <w:t xml:space="preserve"> has been assigned to other </w:t>
      </w:r>
      <w:proofErr w:type="spellStart"/>
      <w:r w:rsidR="00FA190B">
        <w:rPr>
          <w:kern w:val="2"/>
          <w:szCs w:val="20"/>
        </w:rPr>
        <w:t>r</w:t>
      </w:r>
      <w:r w:rsidRPr="002F1810">
        <w:rPr>
          <w:kern w:val="2"/>
          <w:szCs w:val="20"/>
        </w:rPr>
        <w:t>FVIII</w:t>
      </w:r>
      <w:proofErr w:type="spellEnd"/>
      <w:r w:rsidRPr="002F1810">
        <w:rPr>
          <w:kern w:val="2"/>
          <w:szCs w:val="20"/>
        </w:rPr>
        <w:t xml:space="preserve"> replacement product</w:t>
      </w:r>
      <w:r>
        <w:rPr>
          <w:kern w:val="2"/>
          <w:szCs w:val="20"/>
        </w:rPr>
        <w:t>/s</w:t>
      </w:r>
      <w:r w:rsidRPr="002F1810">
        <w:rPr>
          <w:kern w:val="2"/>
          <w:szCs w:val="20"/>
        </w:rPr>
        <w:t xml:space="preserve"> and this category </w:t>
      </w:r>
      <w:r>
        <w:rPr>
          <w:kern w:val="2"/>
          <w:szCs w:val="20"/>
        </w:rPr>
        <w:t xml:space="preserve">is considered </w:t>
      </w:r>
      <w:r w:rsidRPr="002F1810">
        <w:rPr>
          <w:kern w:val="2"/>
          <w:szCs w:val="20"/>
        </w:rPr>
        <w:t xml:space="preserve">appropriate for </w:t>
      </w:r>
      <w:proofErr w:type="spellStart"/>
      <w:r w:rsidR="009C1E6B">
        <w:rPr>
          <w:kern w:val="2"/>
          <w:szCs w:val="20"/>
        </w:rPr>
        <w:t>simoctocog</w:t>
      </w:r>
      <w:proofErr w:type="spellEnd"/>
      <w:r w:rsidR="009C1E6B">
        <w:rPr>
          <w:kern w:val="2"/>
          <w:szCs w:val="20"/>
        </w:rPr>
        <w:t xml:space="preserve"> alfa</w:t>
      </w:r>
      <w:r w:rsidRPr="002F1810">
        <w:rPr>
          <w:kern w:val="2"/>
          <w:szCs w:val="20"/>
        </w:rPr>
        <w:t>.</w:t>
      </w:r>
    </w:p>
    <w:p w:rsidR="00675A4F" w:rsidRPr="005E7667" w:rsidRDefault="00675A4F" w:rsidP="008D1BBA">
      <w:pPr>
        <w:pStyle w:val="Heading4"/>
      </w:pPr>
      <w:r w:rsidRPr="005E7667">
        <w:t>Local tolerance</w:t>
      </w:r>
    </w:p>
    <w:p w:rsidR="00675A4F" w:rsidRPr="005E7667" w:rsidRDefault="00675A4F" w:rsidP="008D1BBA">
      <w:r w:rsidRPr="005E7667">
        <w:t xml:space="preserve">An investigation into the effect of </w:t>
      </w:r>
      <w:proofErr w:type="spellStart"/>
      <w:r w:rsidR="009C1E6B">
        <w:t>simoctocog</w:t>
      </w:r>
      <w:proofErr w:type="spellEnd"/>
      <w:r w:rsidR="009C1E6B">
        <w:t xml:space="preserve"> alfa</w:t>
      </w:r>
      <w:r w:rsidRPr="005E7667">
        <w:t xml:space="preserve"> on local tolerance in rabbits (N</w:t>
      </w:r>
      <w:r w:rsidR="008D1BBA">
        <w:t>ew Zealand (NZ)</w:t>
      </w:r>
      <w:r w:rsidRPr="005E7667">
        <w:t xml:space="preserve"> </w:t>
      </w:r>
      <w:r w:rsidR="00FA190B">
        <w:t>W</w:t>
      </w:r>
      <w:r w:rsidRPr="005E7667">
        <w:t>hite</w:t>
      </w:r>
      <w:r w:rsidR="00FA190B">
        <w:t>)</w:t>
      </w:r>
      <w:r w:rsidRPr="005E7667">
        <w:t xml:space="preserve"> following </w:t>
      </w:r>
      <w:proofErr w:type="spellStart"/>
      <w:r w:rsidRPr="005E7667">
        <w:t>perivenous</w:t>
      </w:r>
      <w:proofErr w:type="spellEnd"/>
      <w:r w:rsidRPr="005E7667">
        <w:t xml:space="preserve"> injection was submitted. A single </w:t>
      </w:r>
      <w:proofErr w:type="spellStart"/>
      <w:r w:rsidRPr="005E7667">
        <w:t>perivenous</w:t>
      </w:r>
      <w:proofErr w:type="spellEnd"/>
      <w:r w:rsidRPr="005E7667">
        <w:t xml:space="preserve"> dose (0.2 mL) of </w:t>
      </w:r>
      <w:proofErr w:type="spellStart"/>
      <w:r w:rsidR="009C1E6B">
        <w:t>simoctocog</w:t>
      </w:r>
      <w:proofErr w:type="spellEnd"/>
      <w:r w:rsidR="009C1E6B">
        <w:t xml:space="preserve"> alfa</w:t>
      </w:r>
      <w:r w:rsidRPr="005E7667">
        <w:t xml:space="preserve"> (200 IU/mL) was well tolerated with </w:t>
      </w:r>
      <w:r w:rsidRPr="005E7667">
        <w:rPr>
          <w:rFonts w:asciiTheme="minorHAnsi" w:eastAsiaTheme="minorHAnsi" w:hAnsiTheme="minorHAnsi" w:cs="TTDCE6o00"/>
        </w:rPr>
        <w:t xml:space="preserve">oedema, isolated cases of minimal haemorrhage, slight scab and minimal dermal inflammation observed in both the control ear and treatment ear. Although the excipients used in the test formulation differ from the clinical formulation (trehalose and histidine in the test formulation instead of sucrose and arginine), these excipients are not expected to cause significant adverse effects at the injection site. The </w:t>
      </w:r>
      <w:proofErr w:type="spellStart"/>
      <w:r w:rsidR="009C1E6B">
        <w:rPr>
          <w:rFonts w:asciiTheme="minorHAnsi" w:eastAsiaTheme="minorHAnsi" w:hAnsiTheme="minorHAnsi" w:cs="TTDCE6o00"/>
        </w:rPr>
        <w:t>simoctocog</w:t>
      </w:r>
      <w:proofErr w:type="spellEnd"/>
      <w:r w:rsidR="009C1E6B">
        <w:rPr>
          <w:rFonts w:asciiTheme="minorHAnsi" w:eastAsiaTheme="minorHAnsi" w:hAnsiTheme="minorHAnsi" w:cs="TTDCE6o00"/>
        </w:rPr>
        <w:t xml:space="preserve"> alfa</w:t>
      </w:r>
      <w:r w:rsidRPr="005E7667">
        <w:rPr>
          <w:rFonts w:asciiTheme="minorHAnsi" w:eastAsiaTheme="minorHAnsi" w:hAnsiTheme="minorHAnsi" w:cs="TTDCE6o00"/>
        </w:rPr>
        <w:t xml:space="preserve"> formulation is expected to</w:t>
      </w:r>
      <w:r w:rsidR="00B30B5B">
        <w:rPr>
          <w:rFonts w:asciiTheme="minorHAnsi" w:eastAsiaTheme="minorHAnsi" w:hAnsiTheme="minorHAnsi" w:cs="TTDCE6o00"/>
        </w:rPr>
        <w:t xml:space="preserve"> be well tolerated by patients.</w:t>
      </w:r>
    </w:p>
    <w:p w:rsidR="00675A4F" w:rsidRPr="005E7667" w:rsidRDefault="00675A4F" w:rsidP="008D1BBA">
      <w:pPr>
        <w:pStyle w:val="Heading4"/>
      </w:pPr>
      <w:r w:rsidRPr="005E7667">
        <w:t>Immunogenicity</w:t>
      </w:r>
    </w:p>
    <w:p w:rsidR="00675A4F" w:rsidRPr="005E7667" w:rsidRDefault="00675A4F" w:rsidP="008D1BBA">
      <w:r w:rsidRPr="005E7667">
        <w:t xml:space="preserve">As discussed above, </w:t>
      </w:r>
      <w:proofErr w:type="spellStart"/>
      <w:r w:rsidR="009C1E6B">
        <w:t>simoctocog</w:t>
      </w:r>
      <w:proofErr w:type="spellEnd"/>
      <w:r w:rsidR="009C1E6B">
        <w:t xml:space="preserve"> alfa</w:t>
      </w:r>
      <w:r w:rsidRPr="005E7667">
        <w:t xml:space="preserve"> was immunogenic in monkeys and induced neutralising anti-FVIII antibodies after repeated dosing, resulting in low plasma</w:t>
      </w:r>
      <w:r w:rsidR="00B30B5B">
        <w:t xml:space="preserve"> FVIII activities and bleeding.</w:t>
      </w:r>
    </w:p>
    <w:p w:rsidR="00F0388D" w:rsidRPr="005E7667" w:rsidRDefault="00675A4F" w:rsidP="00F0388D">
      <w:pPr>
        <w:rPr>
          <w:rFonts w:cs="Calibri"/>
        </w:rPr>
      </w:pPr>
      <w:r w:rsidRPr="005E7667">
        <w:t xml:space="preserve">Immunogenicity of </w:t>
      </w:r>
      <w:proofErr w:type="spellStart"/>
      <w:r w:rsidR="009C1E6B">
        <w:t>simoctocog</w:t>
      </w:r>
      <w:proofErr w:type="spellEnd"/>
      <w:r w:rsidR="009C1E6B">
        <w:t xml:space="preserve"> alfa</w:t>
      </w:r>
      <w:r w:rsidRPr="005E7667">
        <w:t xml:space="preserve"> was also assessed using an </w:t>
      </w:r>
      <w:r w:rsidRPr="008D1BBA">
        <w:t>in vitro</w:t>
      </w:r>
      <w:r w:rsidRPr="005E7667">
        <w:t xml:space="preserve"> T cell</w:t>
      </w:r>
      <w:r w:rsidR="008D1BBA">
        <w:rPr>
          <w:rStyle w:val="FootnoteReference"/>
        </w:rPr>
        <w:footnoteReference w:id="8"/>
      </w:r>
      <w:r w:rsidRPr="005E7667">
        <w:t xml:space="preserve"> assay (</w:t>
      </w:r>
      <w:proofErr w:type="spellStart"/>
      <w:r w:rsidRPr="005E7667">
        <w:t>EpiScreen</w:t>
      </w:r>
      <w:proofErr w:type="spellEnd"/>
      <w:r w:rsidRPr="005E7667">
        <w:t>™) using T cells from a panel of human donors.</w:t>
      </w:r>
      <w:r w:rsidR="00FF5033">
        <w:t xml:space="preserve"> </w:t>
      </w:r>
      <w:r w:rsidRPr="005E7667">
        <w:t>The assay was used to determine helper CD4+ T cell</w:t>
      </w:r>
      <w:r w:rsidR="008D1BBA">
        <w:rPr>
          <w:rStyle w:val="FootnoteReference"/>
        </w:rPr>
        <w:footnoteReference w:id="9"/>
      </w:r>
      <w:r w:rsidRPr="005E7667">
        <w:t xml:space="preserve"> responses to the test agent and thus potential immunogenicity </w:t>
      </w:r>
      <w:r w:rsidRPr="008D1BBA">
        <w:t>in vivo</w:t>
      </w:r>
      <w:r w:rsidRPr="005E7667">
        <w:t xml:space="preserve">. </w:t>
      </w:r>
      <w:r w:rsidRPr="005E7667">
        <w:rPr>
          <w:rFonts w:cs="Calibri"/>
        </w:rPr>
        <w:t>A</w:t>
      </w:r>
      <w:r w:rsidRPr="005E7667">
        <w:t xml:space="preserve">ssessment of T cell responses in the presence of </w:t>
      </w:r>
      <w:proofErr w:type="spellStart"/>
      <w:r w:rsidRPr="008D1BBA">
        <w:t>vWF</w:t>
      </w:r>
      <w:proofErr w:type="spellEnd"/>
      <w:r w:rsidRPr="008D1BBA">
        <w:t xml:space="preserve"> found that </w:t>
      </w:r>
      <w:proofErr w:type="spellStart"/>
      <w:r w:rsidRPr="008D1BBA">
        <w:t>vWF</w:t>
      </w:r>
      <w:proofErr w:type="spellEnd"/>
      <w:r w:rsidRPr="008D1BBA">
        <w:t xml:space="preserve"> reduced the immunogenicity of FVIII. Without </w:t>
      </w:r>
      <w:proofErr w:type="spellStart"/>
      <w:r w:rsidRPr="008D1BBA">
        <w:t>vWF</w:t>
      </w:r>
      <w:proofErr w:type="spellEnd"/>
      <w:r w:rsidRPr="008D1BBA">
        <w:t xml:space="preserve">, </w:t>
      </w:r>
      <w:proofErr w:type="spellStart"/>
      <w:r w:rsidR="009C1E6B">
        <w:t>simoctocog</w:t>
      </w:r>
      <w:proofErr w:type="spellEnd"/>
      <w:r w:rsidR="009C1E6B">
        <w:t xml:space="preserve"> alfa</w:t>
      </w:r>
      <w:r w:rsidRPr="008D1BBA">
        <w:t xml:space="preserve"> gave a positive response in 28% donors in the T cell proliferation assay and</w:t>
      </w:r>
      <w:r w:rsidRPr="005E7667">
        <w:t xml:space="preserve"> 26% in the </w:t>
      </w:r>
      <w:r w:rsidR="008D1BBA">
        <w:t>interleukin 2 (</w:t>
      </w:r>
      <w:r w:rsidRPr="005E7667">
        <w:t>IL-2</w:t>
      </w:r>
      <w:r w:rsidR="008D1BBA">
        <w:t>)</w:t>
      </w:r>
      <w:r w:rsidRPr="005E7667">
        <w:t xml:space="preserve"> secretion assay (ELISpot assay), with high correlation between the two assay results, compared to only 6% and 8%, respectively, for the human plasma derived FVIII. The response rate was reduced to 12% and 10%, respectively, in the presence of </w:t>
      </w:r>
      <w:proofErr w:type="spellStart"/>
      <w:r w:rsidR="008D1BBA">
        <w:t>v</w:t>
      </w:r>
      <w:r w:rsidRPr="005E7667">
        <w:t>WF</w:t>
      </w:r>
      <w:proofErr w:type="spellEnd"/>
      <w:r w:rsidRPr="005E7667">
        <w:t>.</w:t>
      </w:r>
      <w:r w:rsidR="00FF5033">
        <w:t xml:space="preserve"> </w:t>
      </w:r>
      <w:r w:rsidRPr="005E7667">
        <w:t xml:space="preserve">The findings suggest that </w:t>
      </w:r>
      <w:proofErr w:type="spellStart"/>
      <w:r w:rsidR="009C1E6B">
        <w:t>simoctocog</w:t>
      </w:r>
      <w:proofErr w:type="spellEnd"/>
      <w:r w:rsidR="009C1E6B">
        <w:t xml:space="preserve"> alfa</w:t>
      </w:r>
      <w:r w:rsidRPr="005E7667">
        <w:t xml:space="preserve"> is likely to be more immunogenic than human plasma derived FVIII but the endogenous </w:t>
      </w:r>
      <w:proofErr w:type="spellStart"/>
      <w:r w:rsidRPr="005E7667">
        <w:t>vWF</w:t>
      </w:r>
      <w:proofErr w:type="spellEnd"/>
      <w:r w:rsidRPr="005E7667">
        <w:t xml:space="preserve"> reduces the immunogenicity of </w:t>
      </w:r>
      <w:proofErr w:type="spellStart"/>
      <w:r w:rsidR="009C1E6B">
        <w:t>simoctocog</w:t>
      </w:r>
      <w:proofErr w:type="spellEnd"/>
      <w:r w:rsidR="009C1E6B">
        <w:t xml:space="preserve"> alfa</w:t>
      </w:r>
      <w:r w:rsidRPr="005E7667">
        <w:t>.</w:t>
      </w:r>
      <w:r w:rsidR="00FF5033">
        <w:t xml:space="preserve"> </w:t>
      </w:r>
      <w:r w:rsidRPr="005E7667">
        <w:t xml:space="preserve">Also studied for their effect on immunogenic potential (using the </w:t>
      </w:r>
      <w:proofErr w:type="spellStart"/>
      <w:r w:rsidRPr="005E7667">
        <w:t>EpiScreen</w:t>
      </w:r>
      <w:proofErr w:type="spellEnd"/>
      <w:r w:rsidRPr="005E7667">
        <w:t xml:space="preserve"> assay) were three </w:t>
      </w:r>
      <w:proofErr w:type="spellStart"/>
      <w:r w:rsidR="009C1E6B">
        <w:rPr>
          <w:rFonts w:cs="Calibri"/>
        </w:rPr>
        <w:t>simoctocog</w:t>
      </w:r>
      <w:proofErr w:type="spellEnd"/>
      <w:r w:rsidR="009C1E6B">
        <w:rPr>
          <w:rFonts w:cs="Calibri"/>
        </w:rPr>
        <w:t xml:space="preserve"> alfa</w:t>
      </w:r>
      <w:r w:rsidRPr="005E7667">
        <w:rPr>
          <w:rFonts w:cs="Calibri"/>
        </w:rPr>
        <w:t xml:space="preserve"> i</w:t>
      </w:r>
      <w:r w:rsidR="008D1BBA">
        <w:rPr>
          <w:rFonts w:cs="Calibri"/>
        </w:rPr>
        <w:t xml:space="preserve">soforms, with response rates (6 to </w:t>
      </w:r>
      <w:r w:rsidRPr="005E7667">
        <w:rPr>
          <w:rFonts w:cs="Calibri"/>
        </w:rPr>
        <w:t>10%) similar to the above study.</w:t>
      </w:r>
      <w:r w:rsidR="00FF5033">
        <w:rPr>
          <w:rFonts w:cs="Calibri"/>
        </w:rPr>
        <w:t xml:space="preserve"> </w:t>
      </w:r>
      <w:r w:rsidRPr="00DF4981">
        <w:t>Overall, the in vitro results suggest a low risk of immunogenicity in humans.</w:t>
      </w:r>
      <w:r w:rsidRPr="005E7667">
        <w:t xml:space="preserve"> </w:t>
      </w:r>
    </w:p>
    <w:p w:rsidR="00675A4F" w:rsidRPr="005E7667" w:rsidRDefault="00675A4F" w:rsidP="008D1BBA">
      <w:pPr>
        <w:pStyle w:val="Heading4"/>
      </w:pPr>
      <w:r w:rsidRPr="005E7667">
        <w:lastRenderedPageBreak/>
        <w:t>Paediatric use</w:t>
      </w:r>
    </w:p>
    <w:p w:rsidR="00675A4F" w:rsidRPr="005E7667" w:rsidRDefault="00FA190B" w:rsidP="008D1BBA">
      <w:proofErr w:type="spellStart"/>
      <w:r>
        <w:t>Simoctocog</w:t>
      </w:r>
      <w:proofErr w:type="spellEnd"/>
      <w:r>
        <w:t xml:space="preserve"> alfa</w:t>
      </w:r>
      <w:r w:rsidR="00675A4F" w:rsidRPr="005E7667">
        <w:t xml:space="preserve"> is proposed for paediatric use and no specific studies in juvenile animals were submitted.</w:t>
      </w:r>
      <w:r w:rsidR="00FF5033">
        <w:t xml:space="preserve"> </w:t>
      </w:r>
      <w:r w:rsidR="00675A4F" w:rsidRPr="005E7667">
        <w:rPr>
          <w:kern w:val="2"/>
        </w:rPr>
        <w:t>T</w:t>
      </w:r>
      <w:r w:rsidR="00675A4F" w:rsidRPr="005E7667">
        <w:t>he dosage is the same in adults and children, however, shorter dosage intervals or higher doses may be necessary for children.</w:t>
      </w:r>
      <w:r w:rsidR="00FF5033">
        <w:t xml:space="preserve"> </w:t>
      </w:r>
      <w:r w:rsidR="00675A4F" w:rsidRPr="005E7667">
        <w:t xml:space="preserve">The sponsor stated that the pharmacokinetics, safety and efficacy of </w:t>
      </w:r>
      <w:proofErr w:type="spellStart"/>
      <w:r w:rsidR="009C1E6B">
        <w:t>simoctocog</w:t>
      </w:r>
      <w:proofErr w:type="spellEnd"/>
      <w:r w:rsidR="009C1E6B">
        <w:t xml:space="preserve"> alfa</w:t>
      </w:r>
      <w:r w:rsidR="00675A4F" w:rsidRPr="005E7667">
        <w:t xml:space="preserve"> in previously treated children below the age of 13 had been established. Data has been obtained in 29 children between 2 and 5 years of age and 30 children between 6 and 12 years of age. Half-life and recovery are slightly less in children than in adults and </w:t>
      </w:r>
      <w:r w:rsidR="00813E38">
        <w:t>CL</w:t>
      </w:r>
      <w:r w:rsidR="00675A4F" w:rsidRPr="005E7667">
        <w:t xml:space="preserve"> is slightly higher. Efficacy in prophylaxis and the treatment of bleeds is comparable between children and adults. </w:t>
      </w:r>
    </w:p>
    <w:p w:rsidR="00675A4F" w:rsidRDefault="00675A4F" w:rsidP="008D1BBA">
      <w:r w:rsidRPr="005E7667">
        <w:t xml:space="preserve">Juvenile animal studies are not considered essential for </w:t>
      </w:r>
      <w:proofErr w:type="spellStart"/>
      <w:r w:rsidR="009C1E6B">
        <w:t>simoctocog</w:t>
      </w:r>
      <w:proofErr w:type="spellEnd"/>
      <w:r w:rsidR="009C1E6B">
        <w:t xml:space="preserve"> alfa</w:t>
      </w:r>
      <w:r w:rsidRPr="005E7667">
        <w:t xml:space="preserve"> considering the long history of clinical use of recombinant human FVIII products, therapeutic indication of the drug and availability of clinical data in paediatric patients. </w:t>
      </w:r>
    </w:p>
    <w:p w:rsidR="008E7846" w:rsidRPr="008D1BBA" w:rsidRDefault="008E7846" w:rsidP="008D1BBA">
      <w:pPr>
        <w:pStyle w:val="Heading3"/>
      </w:pPr>
      <w:bookmarkStart w:id="55" w:name="_Toc453683274"/>
      <w:r>
        <w:t>Nonclinical summary and conclusions</w:t>
      </w:r>
      <w:bookmarkEnd w:id="52"/>
      <w:bookmarkEnd w:id="53"/>
      <w:bookmarkEnd w:id="55"/>
    </w:p>
    <w:p w:rsidR="00675A4F" w:rsidRPr="00FA071B" w:rsidRDefault="00675A4F" w:rsidP="008D1BBA">
      <w:pPr>
        <w:pStyle w:val="ListBullet"/>
      </w:pPr>
      <w:bookmarkStart w:id="56" w:name="_Toc196046462"/>
      <w:bookmarkStart w:id="57" w:name="_Toc247691516"/>
      <w:bookmarkStart w:id="58" w:name="_Toc314842500"/>
      <w:bookmarkStart w:id="59" w:name="_Toc163441353"/>
      <w:bookmarkStart w:id="60" w:name="_Toc163441348"/>
      <w:r>
        <w:t xml:space="preserve">Limited studies were presented in this application but were sufficient to demonstrate the pharmacological properties and identify </w:t>
      </w:r>
      <w:r w:rsidR="00896197">
        <w:t>potential toxicity in patients.</w:t>
      </w:r>
    </w:p>
    <w:p w:rsidR="00675A4F" w:rsidRDefault="00675A4F" w:rsidP="008D1BBA">
      <w:pPr>
        <w:pStyle w:val="ListBullet"/>
      </w:pPr>
      <w:r>
        <w:rPr>
          <w:rFonts w:asciiTheme="minorHAnsi" w:eastAsiaTheme="minorHAnsi" w:hAnsiTheme="minorHAnsi"/>
          <w:szCs w:val="23"/>
        </w:rPr>
        <w:t>Pharmacology studies (</w:t>
      </w:r>
      <w:r w:rsidRPr="008D1BBA">
        <w:rPr>
          <w:rFonts w:asciiTheme="minorHAnsi" w:eastAsiaTheme="minorHAnsi" w:hAnsiTheme="minorHAnsi"/>
          <w:szCs w:val="23"/>
        </w:rPr>
        <w:t>in vivo and in vitro</w:t>
      </w:r>
      <w:r>
        <w:rPr>
          <w:rFonts w:asciiTheme="minorHAnsi" w:eastAsiaTheme="minorHAnsi" w:hAnsiTheme="minorHAnsi"/>
          <w:szCs w:val="23"/>
        </w:rPr>
        <w:t xml:space="preserve">) were available for assessment. </w:t>
      </w:r>
      <w:r w:rsidRPr="008D1BBA">
        <w:t>In vitro</w:t>
      </w:r>
      <w:r>
        <w:t xml:space="preserve"> studies with a range of </w:t>
      </w:r>
      <w:proofErr w:type="spellStart"/>
      <w:r w:rsidR="009C1E6B">
        <w:t>simoctocog</w:t>
      </w:r>
      <w:proofErr w:type="spellEnd"/>
      <w:r w:rsidR="009C1E6B">
        <w:t xml:space="preserve"> alfa</w:t>
      </w:r>
      <w:r>
        <w:t xml:space="preserve"> batches and marketed FVIII products showed comparable FVIII activity. </w:t>
      </w:r>
      <w:r>
        <w:rPr>
          <w:rFonts w:asciiTheme="minorHAnsi" w:hAnsiTheme="minorHAnsi"/>
        </w:rPr>
        <w:t>T</w:t>
      </w:r>
      <w:r w:rsidRPr="00DF2611">
        <w:rPr>
          <w:rFonts w:asciiTheme="minorHAnsi" w:eastAsiaTheme="minorHAnsi" w:hAnsiTheme="minorHAnsi"/>
        </w:rPr>
        <w:t xml:space="preserve">he effect on </w:t>
      </w:r>
      <w:r w:rsidR="00BA154F">
        <w:rPr>
          <w:rFonts w:asciiTheme="minorHAnsi" w:eastAsiaTheme="minorHAnsi" w:hAnsiTheme="minorHAnsi"/>
        </w:rPr>
        <w:t>FVIII</w:t>
      </w:r>
      <w:r w:rsidR="00CC4F20">
        <w:rPr>
          <w:rFonts w:asciiTheme="minorHAnsi" w:eastAsiaTheme="minorHAnsi" w:hAnsiTheme="minorHAnsi"/>
        </w:rPr>
        <w:t xml:space="preserve"> </w:t>
      </w:r>
      <w:r>
        <w:rPr>
          <w:rFonts w:asciiTheme="minorHAnsi" w:eastAsiaTheme="minorHAnsi" w:hAnsiTheme="minorHAnsi"/>
        </w:rPr>
        <w:t xml:space="preserve">activity of </w:t>
      </w:r>
      <w:proofErr w:type="spellStart"/>
      <w:r w:rsidR="009C1E6B">
        <w:rPr>
          <w:rFonts w:asciiTheme="minorHAnsi" w:eastAsiaTheme="minorHAnsi" w:hAnsiTheme="minorHAnsi"/>
        </w:rPr>
        <w:t>simoctocog</w:t>
      </w:r>
      <w:proofErr w:type="spellEnd"/>
      <w:r w:rsidR="009C1E6B">
        <w:rPr>
          <w:rFonts w:asciiTheme="minorHAnsi" w:eastAsiaTheme="minorHAnsi" w:hAnsiTheme="minorHAnsi"/>
        </w:rPr>
        <w:t xml:space="preserve"> alfa</w:t>
      </w:r>
      <w:r w:rsidRPr="001E7E12">
        <w:rPr>
          <w:rFonts w:asciiTheme="minorHAnsi" w:eastAsiaTheme="minorHAnsi" w:hAnsiTheme="minorHAnsi"/>
        </w:rPr>
        <w:t xml:space="preserve"> by thrombin showed th</w:t>
      </w:r>
      <w:r>
        <w:rPr>
          <w:rFonts w:asciiTheme="minorHAnsi" w:eastAsiaTheme="minorHAnsi" w:hAnsiTheme="minorHAnsi"/>
        </w:rPr>
        <w:t xml:space="preserve">at it </w:t>
      </w:r>
      <w:r w:rsidRPr="001E7E12">
        <w:rPr>
          <w:rFonts w:asciiTheme="minorHAnsi" w:eastAsiaTheme="minorHAnsi" w:hAnsiTheme="minorHAnsi"/>
        </w:rPr>
        <w:t>has good sensitivity for</w:t>
      </w:r>
      <w:r>
        <w:rPr>
          <w:rFonts w:asciiTheme="minorHAnsi" w:eastAsiaTheme="minorHAnsi" w:hAnsiTheme="minorHAnsi"/>
        </w:rPr>
        <w:t xml:space="preserve"> </w:t>
      </w:r>
      <w:r w:rsidRPr="001E7E12">
        <w:rPr>
          <w:rFonts w:asciiTheme="minorHAnsi" w:eastAsiaTheme="minorHAnsi" w:hAnsiTheme="minorHAnsi"/>
        </w:rPr>
        <w:t xml:space="preserve">activation with thrombin and that it behaves similarly to human </w:t>
      </w:r>
      <w:proofErr w:type="spellStart"/>
      <w:r w:rsidR="00813E38">
        <w:rPr>
          <w:rFonts w:asciiTheme="minorHAnsi" w:eastAsiaTheme="minorHAnsi" w:hAnsiTheme="minorHAnsi"/>
        </w:rPr>
        <w:t>pd</w:t>
      </w:r>
      <w:r w:rsidR="00BA154F">
        <w:rPr>
          <w:rFonts w:asciiTheme="minorHAnsi" w:eastAsiaTheme="minorHAnsi" w:hAnsiTheme="minorHAnsi"/>
        </w:rPr>
        <w:t>FVIII</w:t>
      </w:r>
      <w:proofErr w:type="spellEnd"/>
      <w:r w:rsidR="00CC4F20">
        <w:rPr>
          <w:rFonts w:asciiTheme="minorHAnsi" w:eastAsiaTheme="minorHAnsi" w:hAnsiTheme="minorHAnsi"/>
        </w:rPr>
        <w:t xml:space="preserve"> </w:t>
      </w:r>
      <w:r w:rsidRPr="001E7E12">
        <w:rPr>
          <w:rFonts w:asciiTheme="minorHAnsi" w:eastAsiaTheme="minorHAnsi" w:hAnsiTheme="minorHAnsi"/>
        </w:rPr>
        <w:t>in this respect.</w:t>
      </w:r>
      <w:r w:rsidRPr="00DF2611">
        <w:rPr>
          <w:rFonts w:asciiTheme="minorHAnsi" w:eastAsiaTheme="minorHAnsi" w:hAnsiTheme="minorHAnsi"/>
        </w:rPr>
        <w:t xml:space="preserve"> </w:t>
      </w:r>
      <w:proofErr w:type="spellStart"/>
      <w:r w:rsidR="00FA190B">
        <w:rPr>
          <w:rFonts w:asciiTheme="minorHAnsi" w:eastAsiaTheme="minorHAnsi" w:hAnsiTheme="minorHAnsi"/>
        </w:rPr>
        <w:t>Simoctocog</w:t>
      </w:r>
      <w:proofErr w:type="spellEnd"/>
      <w:r w:rsidR="00FA190B">
        <w:rPr>
          <w:rFonts w:asciiTheme="minorHAnsi" w:eastAsiaTheme="minorHAnsi" w:hAnsiTheme="minorHAnsi"/>
        </w:rPr>
        <w:t xml:space="preserve"> alfa</w:t>
      </w:r>
      <w:r w:rsidRPr="001812D2">
        <w:rPr>
          <w:rFonts w:asciiTheme="minorHAnsi" w:eastAsiaTheme="minorHAnsi" w:hAnsiTheme="minorHAnsi"/>
        </w:rPr>
        <w:t xml:space="preserve"> ex</w:t>
      </w:r>
      <w:r>
        <w:rPr>
          <w:rFonts w:asciiTheme="minorHAnsi" w:eastAsiaTheme="minorHAnsi" w:hAnsiTheme="minorHAnsi"/>
        </w:rPr>
        <w:t xml:space="preserve">hibits a similar pattern of </w:t>
      </w:r>
      <w:r w:rsidR="00C457A5">
        <w:rPr>
          <w:rFonts w:asciiTheme="minorHAnsi" w:eastAsiaTheme="minorHAnsi" w:hAnsiTheme="minorHAnsi"/>
        </w:rPr>
        <w:t>Factor Xa (</w:t>
      </w:r>
      <w:r>
        <w:rPr>
          <w:rFonts w:asciiTheme="minorHAnsi" w:eastAsiaTheme="minorHAnsi" w:hAnsiTheme="minorHAnsi"/>
        </w:rPr>
        <w:t>FXa</w:t>
      </w:r>
      <w:r w:rsidR="00C457A5">
        <w:rPr>
          <w:rFonts w:asciiTheme="minorHAnsi" w:eastAsiaTheme="minorHAnsi" w:hAnsiTheme="minorHAnsi"/>
        </w:rPr>
        <w:t>)</w:t>
      </w:r>
      <w:r w:rsidR="00C457A5">
        <w:rPr>
          <w:rStyle w:val="FootnoteReference"/>
          <w:rFonts w:asciiTheme="minorHAnsi" w:eastAsiaTheme="minorHAnsi" w:hAnsiTheme="minorHAnsi"/>
        </w:rPr>
        <w:footnoteReference w:id="10"/>
      </w:r>
      <w:r>
        <w:rPr>
          <w:rFonts w:asciiTheme="minorHAnsi" w:eastAsiaTheme="minorHAnsi" w:hAnsiTheme="minorHAnsi"/>
        </w:rPr>
        <w:t xml:space="preserve"> </w:t>
      </w:r>
      <w:r w:rsidRPr="001812D2">
        <w:rPr>
          <w:rFonts w:asciiTheme="minorHAnsi" w:eastAsiaTheme="minorHAnsi" w:hAnsiTheme="minorHAnsi"/>
        </w:rPr>
        <w:t>generation as</w:t>
      </w:r>
      <w:r>
        <w:rPr>
          <w:rFonts w:asciiTheme="minorHAnsi" w:eastAsiaTheme="minorHAnsi" w:hAnsiTheme="minorHAnsi"/>
        </w:rPr>
        <w:t xml:space="preserve"> </w:t>
      </w:r>
      <w:r w:rsidRPr="001812D2">
        <w:rPr>
          <w:rFonts w:asciiTheme="minorHAnsi" w:eastAsiaTheme="minorHAnsi" w:hAnsiTheme="minorHAnsi"/>
        </w:rPr>
        <w:t xml:space="preserve">other </w:t>
      </w:r>
      <w:r w:rsidR="00BA154F">
        <w:rPr>
          <w:rFonts w:asciiTheme="minorHAnsi" w:eastAsiaTheme="minorHAnsi" w:hAnsiTheme="minorHAnsi"/>
        </w:rPr>
        <w:t>FVIII</w:t>
      </w:r>
      <w:r w:rsidR="00CC4F20">
        <w:rPr>
          <w:rFonts w:asciiTheme="minorHAnsi" w:eastAsiaTheme="minorHAnsi" w:hAnsiTheme="minorHAnsi"/>
        </w:rPr>
        <w:t xml:space="preserve"> </w:t>
      </w:r>
      <w:r w:rsidRPr="001812D2">
        <w:rPr>
          <w:rFonts w:asciiTheme="minorHAnsi" w:eastAsiaTheme="minorHAnsi" w:hAnsiTheme="minorHAnsi"/>
        </w:rPr>
        <w:t>products, both plasma-derived and recombinant.</w:t>
      </w:r>
      <w:r w:rsidRPr="00DF2611">
        <w:rPr>
          <w:rFonts w:asciiTheme="minorHAnsi" w:eastAsiaTheme="minorHAnsi" w:hAnsiTheme="minorHAnsi"/>
        </w:rPr>
        <w:t xml:space="preserve"> </w:t>
      </w:r>
      <w:r>
        <w:rPr>
          <w:rFonts w:asciiTheme="minorHAnsi" w:eastAsiaTheme="minorHAnsi" w:hAnsiTheme="minorHAnsi"/>
        </w:rPr>
        <w:t xml:space="preserve">Studies also showed that </w:t>
      </w:r>
      <w:proofErr w:type="spellStart"/>
      <w:r w:rsidR="009C1E6B">
        <w:rPr>
          <w:rFonts w:asciiTheme="minorHAnsi" w:eastAsiaTheme="minorHAnsi" w:hAnsiTheme="minorHAnsi"/>
        </w:rPr>
        <w:t>simoctocog</w:t>
      </w:r>
      <w:proofErr w:type="spellEnd"/>
      <w:r w:rsidR="009C1E6B">
        <w:rPr>
          <w:rFonts w:asciiTheme="minorHAnsi" w:eastAsiaTheme="minorHAnsi" w:hAnsiTheme="minorHAnsi"/>
        </w:rPr>
        <w:t xml:space="preserve"> alfa</w:t>
      </w:r>
      <w:r w:rsidRPr="00791B96">
        <w:rPr>
          <w:rFonts w:asciiTheme="minorHAnsi" w:eastAsiaTheme="minorHAnsi" w:hAnsiTheme="minorHAnsi"/>
        </w:rPr>
        <w:t xml:space="preserve"> has the expected</w:t>
      </w:r>
      <w:r>
        <w:rPr>
          <w:rFonts w:asciiTheme="minorHAnsi" w:eastAsiaTheme="minorHAnsi" w:hAnsiTheme="minorHAnsi"/>
        </w:rPr>
        <w:t xml:space="preserve"> interaction with human Protein </w:t>
      </w:r>
      <w:r w:rsidRPr="00791B96">
        <w:rPr>
          <w:rFonts w:asciiTheme="minorHAnsi" w:eastAsiaTheme="minorHAnsi" w:hAnsiTheme="minorHAnsi"/>
        </w:rPr>
        <w:t xml:space="preserve">C for a </w:t>
      </w:r>
      <w:r w:rsidR="00BA154F">
        <w:rPr>
          <w:rFonts w:asciiTheme="minorHAnsi" w:eastAsiaTheme="minorHAnsi" w:hAnsiTheme="minorHAnsi"/>
        </w:rPr>
        <w:t>FVIII</w:t>
      </w:r>
      <w:r w:rsidR="00CC4F20">
        <w:rPr>
          <w:rFonts w:asciiTheme="minorHAnsi" w:eastAsiaTheme="minorHAnsi" w:hAnsiTheme="minorHAnsi"/>
        </w:rPr>
        <w:t xml:space="preserve"> </w:t>
      </w:r>
      <w:r w:rsidRPr="00791B96">
        <w:rPr>
          <w:rFonts w:asciiTheme="minorHAnsi" w:eastAsiaTheme="minorHAnsi" w:hAnsiTheme="minorHAnsi"/>
        </w:rPr>
        <w:t>protein.</w:t>
      </w:r>
      <w:r>
        <w:rPr>
          <w:rFonts w:asciiTheme="minorHAnsi" w:eastAsiaTheme="minorHAnsi" w:hAnsiTheme="minorHAnsi"/>
        </w:rPr>
        <w:t xml:space="preserve"> </w:t>
      </w:r>
      <w:proofErr w:type="spellStart"/>
      <w:r w:rsidR="00FA190B">
        <w:rPr>
          <w:rFonts w:asciiTheme="minorHAnsi" w:eastAsiaTheme="minorHAnsi" w:hAnsiTheme="minorHAnsi"/>
        </w:rPr>
        <w:t>Simoctocog</w:t>
      </w:r>
      <w:proofErr w:type="spellEnd"/>
      <w:r w:rsidR="00FA190B">
        <w:rPr>
          <w:rFonts w:asciiTheme="minorHAnsi" w:eastAsiaTheme="minorHAnsi" w:hAnsiTheme="minorHAnsi"/>
        </w:rPr>
        <w:t xml:space="preserve"> alfa</w:t>
      </w:r>
      <w:r w:rsidRPr="00F147BB">
        <w:rPr>
          <w:rFonts w:asciiTheme="minorHAnsi" w:eastAsiaTheme="minorHAnsi" w:hAnsiTheme="minorHAnsi"/>
        </w:rPr>
        <w:t xml:space="preserve"> </w:t>
      </w:r>
      <w:r>
        <w:rPr>
          <w:rFonts w:asciiTheme="minorHAnsi" w:eastAsiaTheme="minorHAnsi" w:hAnsiTheme="minorHAnsi"/>
        </w:rPr>
        <w:t xml:space="preserve">showed a higher </w:t>
      </w:r>
      <w:proofErr w:type="spellStart"/>
      <w:r>
        <w:rPr>
          <w:rFonts w:asciiTheme="minorHAnsi" w:eastAsiaTheme="minorHAnsi" w:hAnsiTheme="minorHAnsi"/>
        </w:rPr>
        <w:t>v</w:t>
      </w:r>
      <w:r w:rsidR="00813E38">
        <w:rPr>
          <w:rFonts w:asciiTheme="minorHAnsi" w:eastAsiaTheme="minorHAnsi" w:hAnsiTheme="minorHAnsi"/>
        </w:rPr>
        <w:t>WF</w:t>
      </w:r>
      <w:proofErr w:type="spellEnd"/>
      <w:r w:rsidRPr="00F147BB">
        <w:rPr>
          <w:rFonts w:asciiTheme="minorHAnsi" w:eastAsiaTheme="minorHAnsi" w:hAnsiTheme="minorHAnsi"/>
        </w:rPr>
        <w:t xml:space="preserve"> binding capacity than</w:t>
      </w:r>
      <w:r>
        <w:rPr>
          <w:rFonts w:asciiTheme="minorHAnsi" w:eastAsiaTheme="minorHAnsi" w:hAnsiTheme="minorHAnsi"/>
        </w:rPr>
        <w:t xml:space="preserve"> </w:t>
      </w:r>
      <w:r w:rsidRPr="00F147BB">
        <w:rPr>
          <w:rFonts w:asciiTheme="minorHAnsi" w:eastAsiaTheme="minorHAnsi" w:hAnsiTheme="minorHAnsi"/>
        </w:rPr>
        <w:t xml:space="preserve">any of the </w:t>
      </w:r>
      <w:r w:rsidR="00BA154F">
        <w:rPr>
          <w:rFonts w:asciiTheme="minorHAnsi" w:eastAsiaTheme="minorHAnsi" w:hAnsiTheme="minorHAnsi"/>
        </w:rPr>
        <w:t>FVIII</w:t>
      </w:r>
      <w:r w:rsidR="00CC4F20">
        <w:rPr>
          <w:rFonts w:asciiTheme="minorHAnsi" w:eastAsiaTheme="minorHAnsi" w:hAnsiTheme="minorHAnsi"/>
        </w:rPr>
        <w:t xml:space="preserve"> </w:t>
      </w:r>
      <w:r w:rsidRPr="00F147BB">
        <w:rPr>
          <w:rFonts w:asciiTheme="minorHAnsi" w:eastAsiaTheme="minorHAnsi" w:hAnsiTheme="minorHAnsi"/>
        </w:rPr>
        <w:t>comparator proteins</w:t>
      </w:r>
      <w:r>
        <w:rPr>
          <w:rFonts w:asciiTheme="minorHAnsi" w:eastAsiaTheme="minorHAnsi" w:hAnsiTheme="minorHAnsi"/>
        </w:rPr>
        <w:t xml:space="preserve">, suggesting that </w:t>
      </w:r>
      <w:proofErr w:type="spellStart"/>
      <w:r w:rsidR="009C1E6B">
        <w:rPr>
          <w:rFonts w:asciiTheme="minorHAnsi" w:eastAsiaTheme="minorHAnsi" w:hAnsiTheme="minorHAnsi"/>
        </w:rPr>
        <w:t>simoctocog</w:t>
      </w:r>
      <w:proofErr w:type="spellEnd"/>
      <w:r w:rsidR="009C1E6B">
        <w:rPr>
          <w:rFonts w:asciiTheme="minorHAnsi" w:eastAsiaTheme="minorHAnsi" w:hAnsiTheme="minorHAnsi"/>
        </w:rPr>
        <w:t xml:space="preserve"> alfa</w:t>
      </w:r>
      <w:r>
        <w:rPr>
          <w:rFonts w:asciiTheme="minorHAnsi" w:eastAsiaTheme="minorHAnsi" w:hAnsiTheme="minorHAnsi"/>
        </w:rPr>
        <w:t xml:space="preserve"> may have a better stability profile in patients than other </w:t>
      </w:r>
      <w:proofErr w:type="spellStart"/>
      <w:r w:rsidR="00813E38">
        <w:rPr>
          <w:rFonts w:asciiTheme="minorHAnsi" w:eastAsiaTheme="minorHAnsi" w:hAnsiTheme="minorHAnsi"/>
        </w:rPr>
        <w:t>r</w:t>
      </w:r>
      <w:r>
        <w:rPr>
          <w:rFonts w:asciiTheme="minorHAnsi" w:eastAsiaTheme="minorHAnsi" w:hAnsiTheme="minorHAnsi"/>
        </w:rPr>
        <w:t>FVIII</w:t>
      </w:r>
      <w:proofErr w:type="spellEnd"/>
      <w:r>
        <w:rPr>
          <w:rFonts w:asciiTheme="minorHAnsi" w:eastAsiaTheme="minorHAnsi" w:hAnsiTheme="minorHAnsi"/>
        </w:rPr>
        <w:t xml:space="preserve"> products (full length and B</w:t>
      </w:r>
      <w:r w:rsidR="00813E38">
        <w:rPr>
          <w:rFonts w:asciiTheme="minorHAnsi" w:eastAsiaTheme="minorHAnsi" w:hAnsiTheme="minorHAnsi"/>
        </w:rPr>
        <w:t>DD</w:t>
      </w:r>
      <w:r>
        <w:rPr>
          <w:rFonts w:asciiTheme="minorHAnsi" w:eastAsiaTheme="minorHAnsi" w:hAnsiTheme="minorHAnsi"/>
        </w:rPr>
        <w:t>)</w:t>
      </w:r>
      <w:r w:rsidRPr="00F147BB">
        <w:rPr>
          <w:rFonts w:asciiTheme="minorHAnsi" w:eastAsiaTheme="minorHAnsi" w:hAnsiTheme="minorHAnsi"/>
        </w:rPr>
        <w:t>.</w:t>
      </w:r>
      <w:r w:rsidRPr="00186781">
        <w:rPr>
          <w:rFonts w:asciiTheme="minorHAnsi" w:eastAsiaTheme="minorHAnsi" w:hAnsiTheme="minorHAnsi"/>
          <w:szCs w:val="23"/>
        </w:rPr>
        <w:t xml:space="preserve"> </w:t>
      </w:r>
      <w:r>
        <w:rPr>
          <w:rFonts w:asciiTheme="minorHAnsi" w:eastAsiaTheme="minorHAnsi" w:hAnsiTheme="minorHAnsi"/>
          <w:szCs w:val="23"/>
        </w:rPr>
        <w:t xml:space="preserve">A small </w:t>
      </w:r>
      <w:r w:rsidRPr="00C457A5">
        <w:rPr>
          <w:rFonts w:asciiTheme="minorHAnsi" w:eastAsiaTheme="minorHAnsi" w:hAnsiTheme="minorHAnsi"/>
          <w:szCs w:val="23"/>
        </w:rPr>
        <w:t>in vivo</w:t>
      </w:r>
      <w:r>
        <w:rPr>
          <w:rFonts w:asciiTheme="minorHAnsi" w:eastAsiaTheme="minorHAnsi" w:hAnsiTheme="minorHAnsi"/>
          <w:szCs w:val="23"/>
        </w:rPr>
        <w:t xml:space="preserve"> study in two dogs with </w:t>
      </w:r>
      <w:r>
        <w:t xml:space="preserve">haemophilia </w:t>
      </w:r>
      <w:proofErr w:type="gramStart"/>
      <w:r>
        <w:t>A</w:t>
      </w:r>
      <w:proofErr w:type="gramEnd"/>
      <w:r>
        <w:t xml:space="preserve"> showed reduced cuticle bleeding times by </w:t>
      </w:r>
      <w:proofErr w:type="spellStart"/>
      <w:r w:rsidR="009C1E6B">
        <w:t>simoctocog</w:t>
      </w:r>
      <w:proofErr w:type="spellEnd"/>
      <w:r w:rsidR="009C1E6B">
        <w:t xml:space="preserve"> alfa</w:t>
      </w:r>
      <w:r>
        <w:t xml:space="preserve"> and </w:t>
      </w:r>
      <w:r w:rsidR="007B1281">
        <w:t xml:space="preserve">a </w:t>
      </w:r>
      <w:r w:rsidR="00813E38">
        <w:t xml:space="preserve">BDD </w:t>
      </w:r>
      <w:proofErr w:type="spellStart"/>
      <w:r w:rsidR="00813E38">
        <w:t>rFVIII</w:t>
      </w:r>
      <w:proofErr w:type="spellEnd"/>
      <w:r w:rsidR="00813E38">
        <w:t xml:space="preserve"> </w:t>
      </w:r>
      <w:r>
        <w:t>comparator.</w:t>
      </w:r>
    </w:p>
    <w:p w:rsidR="00675A4F" w:rsidRPr="008252AE" w:rsidRDefault="00675A4F" w:rsidP="008D1BBA">
      <w:pPr>
        <w:pStyle w:val="ListBullet"/>
        <w:rPr>
          <w:kern w:val="2"/>
        </w:rPr>
      </w:pPr>
      <w:r w:rsidRPr="008252AE">
        <w:rPr>
          <w:kern w:val="2"/>
        </w:rPr>
        <w:t>No dedicated safety or secondary pharmacology studies were submitted.</w:t>
      </w:r>
      <w:r w:rsidRPr="008252AE">
        <w:rPr>
          <w:color w:val="3366CC"/>
          <w:kern w:val="2"/>
        </w:rPr>
        <w:t xml:space="preserve"> </w:t>
      </w:r>
      <w:r>
        <w:t xml:space="preserve">This is acceptable given the extensive clinical experience with </w:t>
      </w:r>
      <w:proofErr w:type="spellStart"/>
      <w:r w:rsidR="00813E38">
        <w:t>r</w:t>
      </w:r>
      <w:r w:rsidR="00BA154F">
        <w:t>FVIII</w:t>
      </w:r>
      <w:proofErr w:type="spellEnd"/>
      <w:r w:rsidR="00CC4F20">
        <w:t xml:space="preserve"> </w:t>
      </w:r>
      <w:r>
        <w:t>products and the absence of adverse effects (including ECG) in the repeat dose toxicity studies in mon</w:t>
      </w:r>
      <w:r w:rsidRPr="00AF77DE">
        <w:t>keys at IV doses up to 500 IU/kg</w:t>
      </w:r>
      <w:r w:rsidRPr="00351AFE">
        <w:t>, which is 9</w:t>
      </w:r>
      <w:r w:rsidR="00C457A5">
        <w:t xml:space="preserve"> to </w:t>
      </w:r>
      <w:r w:rsidRPr="00351AFE">
        <w:t xml:space="preserve">10 times the clinical exposure based on </w:t>
      </w:r>
      <w:r>
        <w:t xml:space="preserve">dose (IU/kg), </w:t>
      </w:r>
      <w:r w:rsidRPr="00351AFE">
        <w:t>C</w:t>
      </w:r>
      <w:r w:rsidRPr="00351AFE">
        <w:rPr>
          <w:vertAlign w:val="subscript"/>
        </w:rPr>
        <w:t>max</w:t>
      </w:r>
      <w:r w:rsidRPr="00351AFE">
        <w:t xml:space="preserve"> and AUC.</w:t>
      </w:r>
    </w:p>
    <w:p w:rsidR="00675A4F" w:rsidRPr="008252AE" w:rsidRDefault="00675A4F" w:rsidP="008D1BBA">
      <w:pPr>
        <w:pStyle w:val="ListBullet"/>
      </w:pPr>
      <w:r>
        <w:t>P</w:t>
      </w:r>
      <w:r w:rsidR="00813E38">
        <w:t>K</w:t>
      </w:r>
      <w:r>
        <w:t xml:space="preserve"> data were generated in dogs (with </w:t>
      </w:r>
      <w:r w:rsidRPr="00FC6613">
        <w:rPr>
          <w:rFonts w:eastAsiaTheme="minorHAnsi" w:cs="Verdana"/>
        </w:rPr>
        <w:t>haemophilia A</w:t>
      </w:r>
      <w:r>
        <w:t xml:space="preserve">) and </w:t>
      </w:r>
      <w:r w:rsidR="002F0BEA">
        <w:t>Cynomolgus</w:t>
      </w:r>
      <w:r>
        <w:t xml:space="preserve"> monkeys. The limited pharmacokinetic data in haemophilia </w:t>
      </w:r>
      <w:proofErr w:type="gramStart"/>
      <w:r>
        <w:t>A</w:t>
      </w:r>
      <w:proofErr w:type="gramEnd"/>
      <w:r>
        <w:t xml:space="preserve"> dogs showed comparable </w:t>
      </w:r>
      <w:r w:rsidR="00813E38">
        <w:t>PK</w:t>
      </w:r>
      <w:r>
        <w:t xml:space="preserve"> profiles for </w:t>
      </w:r>
      <w:proofErr w:type="spellStart"/>
      <w:r w:rsidR="009C1E6B">
        <w:t>simoctocog</w:t>
      </w:r>
      <w:proofErr w:type="spellEnd"/>
      <w:r w:rsidR="009C1E6B">
        <w:t xml:space="preserve"> alfa</w:t>
      </w:r>
      <w:r>
        <w:t xml:space="preserve"> and</w:t>
      </w:r>
      <w:r w:rsidR="007B1281">
        <w:t xml:space="preserve"> a BDD </w:t>
      </w:r>
      <w:proofErr w:type="spellStart"/>
      <w:r w:rsidR="007B1281">
        <w:t>rFVIII</w:t>
      </w:r>
      <w:proofErr w:type="spellEnd"/>
      <w:r w:rsidR="00AD6A36">
        <w:t xml:space="preserve"> CHO</w:t>
      </w:r>
      <w:r>
        <w:t xml:space="preserve">. In </w:t>
      </w:r>
      <w:r w:rsidR="002F0BEA">
        <w:t>Cynomolgus</w:t>
      </w:r>
      <w:r>
        <w:t xml:space="preserve"> monkeys given a bolus IV injection of 50 IU/kg </w:t>
      </w:r>
      <w:proofErr w:type="spellStart"/>
      <w:r w:rsidR="009C1E6B">
        <w:t>simoctocog</w:t>
      </w:r>
      <w:proofErr w:type="spellEnd"/>
      <w:r w:rsidR="009C1E6B">
        <w:t xml:space="preserve"> alfa</w:t>
      </w:r>
      <w:r>
        <w:t xml:space="preserve">, values for </w:t>
      </w:r>
      <w:r w:rsidR="00813E38">
        <w:t>CL</w:t>
      </w:r>
      <w:r>
        <w:t xml:space="preserve"> and elimination t</w:t>
      </w:r>
      <w:r w:rsidRPr="00C8673A">
        <w:rPr>
          <w:vertAlign w:val="subscript"/>
        </w:rPr>
        <w:t>1/2</w:t>
      </w:r>
      <w:r>
        <w:t xml:space="preserve"> </w:t>
      </w:r>
      <w:r>
        <w:rPr>
          <w:rFonts w:asciiTheme="minorHAnsi" w:eastAsiaTheme="minorHAnsi" w:hAnsiTheme="minorHAnsi" w:cs="TimesNewRoman"/>
          <w:szCs w:val="23"/>
        </w:rPr>
        <w:t>were similar to those in patients.</w:t>
      </w:r>
      <w:r w:rsidRPr="00D67F1D">
        <w:t xml:space="preserve"> </w:t>
      </w:r>
      <w:r>
        <w:t xml:space="preserve">Repeated dosing in monkeys resulted in lower plasma FVIII levels due to the development of anti-FVIII antibodies, which is common </w:t>
      </w:r>
      <w:r w:rsidR="00813E38">
        <w:t>when</w:t>
      </w:r>
      <w:r>
        <w:t xml:space="preserve"> testing recombinant human coagulant factors in animal species.</w:t>
      </w:r>
    </w:p>
    <w:p w:rsidR="00675A4F" w:rsidRPr="00C8673A" w:rsidRDefault="00675A4F" w:rsidP="008D1BBA">
      <w:pPr>
        <w:pStyle w:val="ListBullet"/>
        <w:rPr>
          <w:kern w:val="2"/>
        </w:rPr>
      </w:pPr>
      <w:r w:rsidRPr="00C8673A">
        <w:rPr>
          <w:kern w:val="2"/>
        </w:rPr>
        <w:t xml:space="preserve">A single-dose toxicity study in rats showed no overt signs of </w:t>
      </w:r>
      <w:r>
        <w:rPr>
          <w:kern w:val="2"/>
        </w:rPr>
        <w:t xml:space="preserve">treatment-related </w:t>
      </w:r>
      <w:r w:rsidRPr="00C8673A">
        <w:rPr>
          <w:kern w:val="2"/>
        </w:rPr>
        <w:t>toxicity at the highest</w:t>
      </w:r>
      <w:r w:rsidR="00896197">
        <w:rPr>
          <w:kern w:val="2"/>
        </w:rPr>
        <w:t xml:space="preserve"> single IV dose of 10000 IU/kg.</w:t>
      </w:r>
    </w:p>
    <w:p w:rsidR="00675A4F" w:rsidRPr="00DF4981" w:rsidRDefault="00675A4F" w:rsidP="009E02BC">
      <w:pPr>
        <w:pStyle w:val="ListBullet"/>
      </w:pPr>
      <w:r w:rsidRPr="00D67F1D">
        <w:rPr>
          <w:kern w:val="2"/>
        </w:rPr>
        <w:t xml:space="preserve">In </w:t>
      </w:r>
      <w:r>
        <w:rPr>
          <w:kern w:val="2"/>
        </w:rPr>
        <w:t xml:space="preserve">two </w:t>
      </w:r>
      <w:r w:rsidRPr="00D67F1D">
        <w:rPr>
          <w:kern w:val="2"/>
        </w:rPr>
        <w:t xml:space="preserve">repeat-dose toxicity studies in monkeys, </w:t>
      </w:r>
      <w:proofErr w:type="spellStart"/>
      <w:r w:rsidR="009C1E6B">
        <w:rPr>
          <w:kern w:val="2"/>
        </w:rPr>
        <w:t>simoctocog</w:t>
      </w:r>
      <w:proofErr w:type="spellEnd"/>
      <w:r w:rsidR="009C1E6B">
        <w:rPr>
          <w:kern w:val="2"/>
        </w:rPr>
        <w:t xml:space="preserve"> alfa</w:t>
      </w:r>
      <w:r w:rsidRPr="00D67F1D">
        <w:rPr>
          <w:kern w:val="2"/>
        </w:rPr>
        <w:t xml:space="preserve"> was administered IV</w:t>
      </w:r>
      <w:r w:rsidRPr="00D67F1D">
        <w:rPr>
          <w:color w:val="3366CC"/>
          <w:kern w:val="2"/>
        </w:rPr>
        <w:t xml:space="preserve"> </w:t>
      </w:r>
      <w:r>
        <w:t xml:space="preserve">to </w:t>
      </w:r>
      <w:r w:rsidR="002F0BEA">
        <w:t>Cynomolgus</w:t>
      </w:r>
      <w:r>
        <w:t xml:space="preserve"> monkeys; recovery periods were included in both studies. Human </w:t>
      </w:r>
      <w:proofErr w:type="spellStart"/>
      <w:r w:rsidR="007B1281">
        <w:t>pd</w:t>
      </w:r>
      <w:r w:rsidR="00BA154F">
        <w:t>FVIII</w:t>
      </w:r>
      <w:proofErr w:type="spellEnd"/>
      <w:r>
        <w:t xml:space="preserve"> was used as a comparator. </w:t>
      </w:r>
      <w:proofErr w:type="spellStart"/>
      <w:r w:rsidR="00FA190B">
        <w:rPr>
          <w:kern w:val="2"/>
        </w:rPr>
        <w:t>Simoctocog</w:t>
      </w:r>
      <w:proofErr w:type="spellEnd"/>
      <w:r w:rsidR="00FA190B">
        <w:rPr>
          <w:kern w:val="2"/>
        </w:rPr>
        <w:t xml:space="preserve"> alfa</w:t>
      </w:r>
      <w:r w:rsidRPr="00D51DEC">
        <w:rPr>
          <w:kern w:val="2"/>
        </w:rPr>
        <w:t xml:space="preserve"> was well tolerated by </w:t>
      </w:r>
      <w:r w:rsidR="002F0BEA" w:rsidRPr="00D51DEC">
        <w:rPr>
          <w:kern w:val="2"/>
        </w:rPr>
        <w:t>Cynomolgus</w:t>
      </w:r>
      <w:r w:rsidRPr="00D51DEC">
        <w:rPr>
          <w:kern w:val="2"/>
        </w:rPr>
        <w:t xml:space="preserve"> monkeys, with the only drug-related effects being shortened APTT after the first dose. </w:t>
      </w:r>
      <w:r w:rsidRPr="00D51DEC">
        <w:rPr>
          <w:kern w:val="2"/>
        </w:rPr>
        <w:lastRenderedPageBreak/>
        <w:t>However, bruising, haemorrhage and prolonged APTT were observed after repeated dosing at 500 IU/kg (9</w:t>
      </w:r>
      <w:r w:rsidR="00C457A5">
        <w:rPr>
          <w:kern w:val="2"/>
        </w:rPr>
        <w:t xml:space="preserve"> to </w:t>
      </w:r>
      <w:r w:rsidRPr="00D51DEC">
        <w:rPr>
          <w:kern w:val="2"/>
        </w:rPr>
        <w:t>10</w:t>
      </w:r>
      <w:r w:rsidR="00C457A5">
        <w:rPr>
          <w:kern w:val="2"/>
        </w:rPr>
        <w:t xml:space="preserve"> times</w:t>
      </w:r>
      <w:r w:rsidRPr="00D51DEC">
        <w:rPr>
          <w:kern w:val="2"/>
        </w:rPr>
        <w:t xml:space="preserve"> the clinical exposure based on </w:t>
      </w:r>
      <w:r w:rsidR="00C457A5">
        <w:rPr>
          <w:kern w:val="2"/>
        </w:rPr>
        <w:t>D</w:t>
      </w:r>
      <w:r w:rsidRPr="00D51DEC">
        <w:rPr>
          <w:kern w:val="2"/>
        </w:rPr>
        <w:t>ay 1 C</w:t>
      </w:r>
      <w:r w:rsidRPr="00EF60C4">
        <w:rPr>
          <w:kern w:val="2"/>
          <w:vertAlign w:val="subscript"/>
        </w:rPr>
        <w:t>max</w:t>
      </w:r>
      <w:r w:rsidRPr="00D51DEC">
        <w:rPr>
          <w:kern w:val="2"/>
        </w:rPr>
        <w:t xml:space="preserve"> and AUC), reflective of dose-dependent anti-FVIII antibo</w:t>
      </w:r>
      <w:r>
        <w:rPr>
          <w:kern w:val="2"/>
        </w:rPr>
        <w:t xml:space="preserve">dy formation neutralising </w:t>
      </w:r>
      <w:r w:rsidRPr="00D51DEC">
        <w:rPr>
          <w:kern w:val="2"/>
        </w:rPr>
        <w:t xml:space="preserve">activity of normal FVIII function. Anti-FVIII antibody formation was shown to peak at </w:t>
      </w:r>
      <w:r w:rsidR="00C457A5">
        <w:rPr>
          <w:kern w:val="2"/>
        </w:rPr>
        <w:t>D</w:t>
      </w:r>
      <w:r w:rsidRPr="00D51DEC">
        <w:rPr>
          <w:kern w:val="2"/>
        </w:rPr>
        <w:t xml:space="preserve">ay 35 at the 500 IU/kg dose level, with no sex difference. Similar findings were seen in animals dosed with </w:t>
      </w:r>
      <w:proofErr w:type="spellStart"/>
      <w:r w:rsidR="0041331E">
        <w:rPr>
          <w:kern w:val="2"/>
        </w:rPr>
        <w:t>pdFVIII</w:t>
      </w:r>
      <w:proofErr w:type="spellEnd"/>
      <w:r w:rsidRPr="00D51DEC">
        <w:rPr>
          <w:kern w:val="2"/>
        </w:rPr>
        <w:t xml:space="preserve"> but with lower antibody titres and no bruising, suggesting that </w:t>
      </w:r>
      <w:proofErr w:type="spellStart"/>
      <w:r w:rsidR="0041331E">
        <w:rPr>
          <w:kern w:val="2"/>
        </w:rPr>
        <w:t>pdFVIII</w:t>
      </w:r>
      <w:proofErr w:type="spellEnd"/>
      <w:r w:rsidRPr="00D51DEC">
        <w:rPr>
          <w:kern w:val="2"/>
        </w:rPr>
        <w:t xml:space="preserve"> was </w:t>
      </w:r>
      <w:r>
        <w:rPr>
          <w:kern w:val="2"/>
        </w:rPr>
        <w:t>less</w:t>
      </w:r>
      <w:r w:rsidRPr="00D51DEC">
        <w:rPr>
          <w:kern w:val="2"/>
        </w:rPr>
        <w:t xml:space="preserve"> immunogenic than </w:t>
      </w:r>
      <w:proofErr w:type="spellStart"/>
      <w:r w:rsidR="009C1E6B">
        <w:rPr>
          <w:kern w:val="2"/>
        </w:rPr>
        <w:t>simoctocog</w:t>
      </w:r>
      <w:proofErr w:type="spellEnd"/>
      <w:r w:rsidR="009C1E6B">
        <w:rPr>
          <w:kern w:val="2"/>
        </w:rPr>
        <w:t xml:space="preserve"> alfa</w:t>
      </w:r>
      <w:r w:rsidRPr="00D51DEC">
        <w:rPr>
          <w:kern w:val="2"/>
        </w:rPr>
        <w:t xml:space="preserve"> in monkeys.</w:t>
      </w:r>
      <w:r w:rsidR="00FF5033">
        <w:rPr>
          <w:kern w:val="2"/>
        </w:rPr>
        <w:t xml:space="preserve"> </w:t>
      </w:r>
      <w:r>
        <w:rPr>
          <w:kern w:val="2"/>
        </w:rPr>
        <w:t>Anti-FVIII antibody levels and FVIII levels recovered to some extent by the end of the 2</w:t>
      </w:r>
      <w:r w:rsidR="00C457A5">
        <w:rPr>
          <w:kern w:val="2"/>
        </w:rPr>
        <w:t xml:space="preserve"> </w:t>
      </w:r>
      <w:r>
        <w:rPr>
          <w:kern w:val="2"/>
        </w:rPr>
        <w:t>week recovery period</w:t>
      </w:r>
      <w:r w:rsidRPr="00DF4981">
        <w:rPr>
          <w:kern w:val="2"/>
        </w:rPr>
        <w:t xml:space="preserve">. </w:t>
      </w:r>
      <w:r w:rsidR="009E02BC" w:rsidRPr="00DF4981">
        <w:t xml:space="preserve">It is noted that animal models are not always reliable predictors of the immunogenicity of </w:t>
      </w:r>
      <w:r w:rsidR="000B1C06">
        <w:t>therapeutic proteins in humans.</w:t>
      </w:r>
    </w:p>
    <w:p w:rsidR="00675A4F" w:rsidRPr="005E0786" w:rsidRDefault="00675A4F" w:rsidP="008D1BBA">
      <w:pPr>
        <w:pStyle w:val="ListBullet"/>
        <w:rPr>
          <w:kern w:val="2"/>
        </w:rPr>
      </w:pPr>
      <w:r w:rsidRPr="005E0786">
        <w:rPr>
          <w:kern w:val="2"/>
        </w:rPr>
        <w:t xml:space="preserve">Genotoxicity and carcinogenicity studies were not conducted on </w:t>
      </w:r>
      <w:proofErr w:type="spellStart"/>
      <w:r w:rsidR="009C1E6B">
        <w:rPr>
          <w:kern w:val="2"/>
        </w:rPr>
        <w:t>simoctocog</w:t>
      </w:r>
      <w:proofErr w:type="spellEnd"/>
      <w:r w:rsidR="009C1E6B">
        <w:rPr>
          <w:kern w:val="2"/>
        </w:rPr>
        <w:t xml:space="preserve"> alfa</w:t>
      </w:r>
      <w:r w:rsidRPr="005E0786">
        <w:rPr>
          <w:kern w:val="2"/>
        </w:rPr>
        <w:t xml:space="preserve">, which is acceptable for a biological product. No reproductive toxicity data were provided, which is acceptable due to the chemical nature of </w:t>
      </w:r>
      <w:proofErr w:type="spellStart"/>
      <w:r w:rsidR="009C1E6B">
        <w:rPr>
          <w:kern w:val="2"/>
        </w:rPr>
        <w:t>simoctocog</w:t>
      </w:r>
      <w:proofErr w:type="spellEnd"/>
      <w:r w:rsidR="009C1E6B">
        <w:rPr>
          <w:kern w:val="2"/>
        </w:rPr>
        <w:t xml:space="preserve"> alfa</w:t>
      </w:r>
      <w:r w:rsidRPr="005E0786">
        <w:rPr>
          <w:kern w:val="2"/>
        </w:rPr>
        <w:t xml:space="preserve">. </w:t>
      </w:r>
      <w:r w:rsidRPr="00EF60C4">
        <w:t>No effects on the reproductive organs were seen in histopathology assessment of reproductive organs in the 4</w:t>
      </w:r>
      <w:r w:rsidR="00C457A5">
        <w:t xml:space="preserve"> </w:t>
      </w:r>
      <w:r w:rsidRPr="00EF60C4">
        <w:t>week repeat dose toxicity study in male and female monkeys.</w:t>
      </w:r>
      <w:r w:rsidRPr="00C206A6">
        <w:rPr>
          <w:i/>
        </w:rPr>
        <w:t xml:space="preserve"> </w:t>
      </w:r>
      <w:r w:rsidRPr="005E0786">
        <w:rPr>
          <w:kern w:val="2"/>
        </w:rPr>
        <w:t>Studies in juvenile animals have not been provided but this o</w:t>
      </w:r>
      <w:r>
        <w:rPr>
          <w:kern w:val="2"/>
        </w:rPr>
        <w:t xml:space="preserve">mission is not unexpected because of the extensive clinical experience with </w:t>
      </w:r>
      <w:proofErr w:type="spellStart"/>
      <w:r w:rsidR="00813E38">
        <w:rPr>
          <w:kern w:val="2"/>
        </w:rPr>
        <w:t>r</w:t>
      </w:r>
      <w:r>
        <w:rPr>
          <w:kern w:val="2"/>
        </w:rPr>
        <w:t>FVIII</w:t>
      </w:r>
      <w:proofErr w:type="spellEnd"/>
      <w:r>
        <w:rPr>
          <w:kern w:val="2"/>
        </w:rPr>
        <w:t xml:space="preserve"> products</w:t>
      </w:r>
      <w:r w:rsidRPr="005E0786">
        <w:rPr>
          <w:kern w:val="2"/>
        </w:rPr>
        <w:t>.</w:t>
      </w:r>
    </w:p>
    <w:p w:rsidR="00675A4F" w:rsidRPr="00EF60C4" w:rsidRDefault="00675A4F" w:rsidP="008D1BBA">
      <w:pPr>
        <w:pStyle w:val="ListBullet"/>
        <w:rPr>
          <w:kern w:val="2"/>
        </w:rPr>
      </w:pPr>
      <w:r w:rsidRPr="005669D0">
        <w:rPr>
          <w:kern w:val="2"/>
        </w:rPr>
        <w:t>Local tolerance associated with IV injection was tested in rabbits</w:t>
      </w:r>
      <w:r>
        <w:rPr>
          <w:kern w:val="2"/>
        </w:rPr>
        <w:t xml:space="preserve">. </w:t>
      </w:r>
      <w:r>
        <w:rPr>
          <w:rFonts w:asciiTheme="minorHAnsi" w:eastAsiaTheme="minorHAnsi" w:hAnsiTheme="minorHAnsi" w:cs="TTDCE6o00"/>
          <w:szCs w:val="23"/>
        </w:rPr>
        <w:t xml:space="preserve">The </w:t>
      </w:r>
      <w:proofErr w:type="spellStart"/>
      <w:r>
        <w:rPr>
          <w:rFonts w:asciiTheme="minorHAnsi" w:eastAsiaTheme="minorHAnsi" w:hAnsiTheme="minorHAnsi" w:cs="TTDCE6o00"/>
          <w:szCs w:val="23"/>
        </w:rPr>
        <w:t>perivenous</w:t>
      </w:r>
      <w:proofErr w:type="spellEnd"/>
      <w:r>
        <w:rPr>
          <w:rFonts w:asciiTheme="minorHAnsi" w:eastAsiaTheme="minorHAnsi" w:hAnsiTheme="minorHAnsi" w:cs="TTDCE6o00"/>
          <w:szCs w:val="23"/>
        </w:rPr>
        <w:t xml:space="preserve"> injection of </w:t>
      </w:r>
      <w:proofErr w:type="spellStart"/>
      <w:r w:rsidR="009C1E6B">
        <w:rPr>
          <w:rFonts w:asciiTheme="minorHAnsi" w:eastAsiaTheme="minorHAnsi" w:hAnsiTheme="minorHAnsi" w:cs="TTDCE6o00"/>
          <w:szCs w:val="23"/>
        </w:rPr>
        <w:t>simoctocog</w:t>
      </w:r>
      <w:proofErr w:type="spellEnd"/>
      <w:r w:rsidR="009C1E6B">
        <w:rPr>
          <w:rFonts w:asciiTheme="minorHAnsi" w:eastAsiaTheme="minorHAnsi" w:hAnsiTheme="minorHAnsi" w:cs="TTDCE6o00"/>
          <w:szCs w:val="23"/>
        </w:rPr>
        <w:t xml:space="preserve"> alfa</w:t>
      </w:r>
      <w:r w:rsidR="000B1C06">
        <w:rPr>
          <w:rFonts w:asciiTheme="minorHAnsi" w:eastAsiaTheme="minorHAnsi" w:hAnsiTheme="minorHAnsi" w:cs="TTDCE6o00"/>
          <w:szCs w:val="23"/>
        </w:rPr>
        <w:t xml:space="preserve"> was well tolerated.</w:t>
      </w:r>
    </w:p>
    <w:p w:rsidR="00675A4F" w:rsidRPr="0093620D" w:rsidRDefault="00675A4F" w:rsidP="008D1BBA">
      <w:pPr>
        <w:pStyle w:val="ListBullet"/>
        <w:rPr>
          <w:kern w:val="2"/>
        </w:rPr>
      </w:pPr>
      <w:r w:rsidRPr="00C457A5">
        <w:rPr>
          <w:rFonts w:asciiTheme="minorHAnsi" w:eastAsiaTheme="minorHAnsi" w:hAnsiTheme="minorHAnsi" w:cs="Calibri"/>
          <w:szCs w:val="23"/>
        </w:rPr>
        <w:t>I</w:t>
      </w:r>
      <w:r w:rsidRPr="00C457A5">
        <w:rPr>
          <w:rFonts w:asciiTheme="minorHAnsi" w:eastAsiaTheme="minorHAnsi" w:hAnsiTheme="minorHAnsi"/>
          <w:szCs w:val="23"/>
        </w:rPr>
        <w:t>n vitro</w:t>
      </w:r>
      <w:r>
        <w:rPr>
          <w:rFonts w:asciiTheme="minorHAnsi" w:eastAsiaTheme="minorHAnsi" w:hAnsiTheme="minorHAnsi"/>
          <w:szCs w:val="23"/>
        </w:rPr>
        <w:t xml:space="preserve"> tests using the </w:t>
      </w:r>
      <w:proofErr w:type="spellStart"/>
      <w:r w:rsidRPr="009750F1">
        <w:rPr>
          <w:rFonts w:asciiTheme="minorHAnsi" w:eastAsiaTheme="minorHAnsi" w:hAnsiTheme="minorHAnsi"/>
          <w:szCs w:val="23"/>
        </w:rPr>
        <w:t>EpiScreen</w:t>
      </w:r>
      <w:proofErr w:type="spellEnd"/>
      <w:r w:rsidRPr="009750F1">
        <w:rPr>
          <w:rFonts w:asciiTheme="minorHAnsi" w:eastAsiaTheme="minorHAnsi" w:hAnsiTheme="minorHAnsi"/>
          <w:szCs w:val="23"/>
        </w:rPr>
        <w:t>™</w:t>
      </w:r>
      <w:r>
        <w:rPr>
          <w:rFonts w:asciiTheme="minorHAnsi" w:eastAsiaTheme="minorHAnsi" w:hAnsiTheme="minorHAnsi"/>
          <w:szCs w:val="23"/>
        </w:rPr>
        <w:t xml:space="preserve"> assay with T cells from a panel of human donors </w:t>
      </w:r>
      <w:r>
        <w:rPr>
          <w:rFonts w:asciiTheme="minorHAnsi" w:eastAsiaTheme="minorHAnsi" w:hAnsiTheme="minorHAnsi" w:cs="Calibri"/>
          <w:szCs w:val="23"/>
        </w:rPr>
        <w:t xml:space="preserve">indicated that </w:t>
      </w:r>
      <w:proofErr w:type="spellStart"/>
      <w:r w:rsidR="009C1E6B">
        <w:rPr>
          <w:rFonts w:asciiTheme="minorHAnsi" w:eastAsiaTheme="minorHAnsi" w:hAnsiTheme="minorHAnsi" w:cs="Calibri"/>
          <w:szCs w:val="23"/>
        </w:rPr>
        <w:t>simoctocog</w:t>
      </w:r>
      <w:proofErr w:type="spellEnd"/>
      <w:r w:rsidR="009C1E6B">
        <w:rPr>
          <w:rFonts w:asciiTheme="minorHAnsi" w:eastAsiaTheme="minorHAnsi" w:hAnsiTheme="minorHAnsi" w:cs="Calibri"/>
          <w:szCs w:val="23"/>
        </w:rPr>
        <w:t xml:space="preserve"> alfa</w:t>
      </w:r>
      <w:r>
        <w:rPr>
          <w:rFonts w:asciiTheme="minorHAnsi" w:eastAsiaTheme="minorHAnsi" w:hAnsiTheme="minorHAnsi" w:cs="Calibri"/>
          <w:szCs w:val="23"/>
        </w:rPr>
        <w:t xml:space="preserve"> is more immunogenic than the human plasma derived FVIII. The immunogenicity of </w:t>
      </w:r>
      <w:proofErr w:type="spellStart"/>
      <w:r w:rsidR="009C1E6B">
        <w:rPr>
          <w:rFonts w:asciiTheme="minorHAnsi" w:eastAsiaTheme="minorHAnsi" w:hAnsiTheme="minorHAnsi" w:cs="Calibri"/>
          <w:szCs w:val="23"/>
        </w:rPr>
        <w:t>simoctocog</w:t>
      </w:r>
      <w:proofErr w:type="spellEnd"/>
      <w:r w:rsidR="009C1E6B">
        <w:rPr>
          <w:rFonts w:asciiTheme="minorHAnsi" w:eastAsiaTheme="minorHAnsi" w:hAnsiTheme="minorHAnsi" w:cs="Calibri"/>
          <w:szCs w:val="23"/>
        </w:rPr>
        <w:t xml:space="preserve"> alfa</w:t>
      </w:r>
      <w:r>
        <w:rPr>
          <w:rFonts w:asciiTheme="minorHAnsi" w:eastAsiaTheme="minorHAnsi" w:hAnsiTheme="minorHAnsi" w:cs="Calibri"/>
          <w:szCs w:val="23"/>
        </w:rPr>
        <w:t xml:space="preserve"> was reduced by </w:t>
      </w:r>
      <w:proofErr w:type="spellStart"/>
      <w:r>
        <w:rPr>
          <w:rFonts w:asciiTheme="minorHAnsi" w:eastAsiaTheme="minorHAnsi" w:hAnsiTheme="minorHAnsi" w:cs="Calibri"/>
          <w:szCs w:val="23"/>
        </w:rPr>
        <w:t>vWF</w:t>
      </w:r>
      <w:proofErr w:type="spellEnd"/>
      <w:r>
        <w:rPr>
          <w:rFonts w:asciiTheme="minorHAnsi" w:eastAsiaTheme="minorHAnsi" w:hAnsiTheme="minorHAnsi" w:cs="Calibri"/>
          <w:szCs w:val="23"/>
        </w:rPr>
        <w:t xml:space="preserve"> to levels similar to the responses observed for </w:t>
      </w:r>
      <w:r w:rsidR="009132D2">
        <w:rPr>
          <w:rFonts w:asciiTheme="minorHAnsi" w:eastAsiaTheme="minorHAnsi" w:hAnsiTheme="minorHAnsi" w:cs="Calibri"/>
          <w:szCs w:val="23"/>
        </w:rPr>
        <w:t xml:space="preserve">human plasma </w:t>
      </w:r>
      <w:r w:rsidR="009132D2" w:rsidRPr="0093620D">
        <w:rPr>
          <w:rFonts w:asciiTheme="minorHAnsi" w:eastAsiaTheme="minorHAnsi" w:hAnsiTheme="minorHAnsi" w:cs="Calibri"/>
          <w:szCs w:val="23"/>
        </w:rPr>
        <w:t>derived FVIII</w:t>
      </w:r>
      <w:r w:rsidRPr="0093620D">
        <w:rPr>
          <w:rFonts w:asciiTheme="minorHAnsi" w:eastAsiaTheme="minorHAnsi" w:hAnsiTheme="minorHAnsi" w:cs="Calibri"/>
          <w:szCs w:val="23"/>
        </w:rPr>
        <w:t xml:space="preserve">. </w:t>
      </w:r>
      <w:r w:rsidR="00922EC9" w:rsidRPr="0093620D">
        <w:t xml:space="preserve"> Overall, the in vitro results suggest a low ri</w:t>
      </w:r>
      <w:r w:rsidR="000B1C06">
        <w:t>sk of immunogenicity in humans.</w:t>
      </w:r>
    </w:p>
    <w:p w:rsidR="00675A4F" w:rsidRPr="00EF60C4" w:rsidRDefault="00675A4F" w:rsidP="008D1BBA">
      <w:pPr>
        <w:pStyle w:val="ListBullet"/>
        <w:rPr>
          <w:kern w:val="2"/>
        </w:rPr>
      </w:pPr>
      <w:r>
        <w:rPr>
          <w:rFonts w:asciiTheme="minorHAnsi" w:eastAsiaTheme="minorHAnsi" w:hAnsiTheme="minorHAnsi" w:cs="Calibri"/>
          <w:szCs w:val="23"/>
        </w:rPr>
        <w:t xml:space="preserve">There are no nonclinical objections to the registration of </w:t>
      </w:r>
      <w:proofErr w:type="spellStart"/>
      <w:r w:rsidR="00C457A5" w:rsidRPr="00B54EF8">
        <w:t>Nuwiq</w:t>
      </w:r>
      <w:proofErr w:type="spellEnd"/>
      <w:r>
        <w:rPr>
          <w:rFonts w:asciiTheme="minorHAnsi" w:eastAsiaTheme="minorHAnsi" w:hAnsiTheme="minorHAnsi" w:cs="Calibri"/>
          <w:szCs w:val="23"/>
        </w:rPr>
        <w:t xml:space="preserve"> for the proposed clinical use.</w:t>
      </w:r>
    </w:p>
    <w:p w:rsidR="00675A4F" w:rsidRPr="003A2C2D" w:rsidRDefault="00675A4F" w:rsidP="008D1BBA">
      <w:pPr>
        <w:pStyle w:val="ListBullet"/>
        <w:rPr>
          <w:kern w:val="2"/>
        </w:rPr>
      </w:pPr>
      <w:r>
        <w:rPr>
          <w:rFonts w:asciiTheme="minorHAnsi" w:eastAsiaTheme="minorHAnsi" w:hAnsiTheme="minorHAnsi" w:cs="TTDCE6o00"/>
          <w:szCs w:val="23"/>
        </w:rPr>
        <w:t xml:space="preserve">The </w:t>
      </w:r>
      <w:r w:rsidR="00C457A5">
        <w:rPr>
          <w:rFonts w:asciiTheme="minorHAnsi" w:eastAsiaTheme="minorHAnsi" w:hAnsiTheme="minorHAnsi" w:cs="TTDCE6o00"/>
          <w:szCs w:val="23"/>
        </w:rPr>
        <w:t xml:space="preserve">evaluator also recommended amendments to the draft </w:t>
      </w:r>
      <w:r>
        <w:rPr>
          <w:rFonts w:asciiTheme="minorHAnsi" w:eastAsiaTheme="minorHAnsi" w:hAnsiTheme="minorHAnsi" w:cs="TTDCE6o00"/>
          <w:szCs w:val="23"/>
        </w:rPr>
        <w:t xml:space="preserve">Product Information </w:t>
      </w:r>
      <w:r w:rsidR="00C457A5">
        <w:rPr>
          <w:rFonts w:asciiTheme="minorHAnsi" w:eastAsiaTheme="minorHAnsi" w:hAnsiTheme="minorHAnsi" w:cs="TTDCE6o00"/>
          <w:szCs w:val="23"/>
        </w:rPr>
        <w:t>but these are beyond the scope of this AusPAR</w:t>
      </w:r>
      <w:r>
        <w:rPr>
          <w:rFonts w:asciiTheme="minorHAnsi" w:eastAsiaTheme="minorHAnsi" w:hAnsiTheme="minorHAnsi" w:cs="TTDCE6o00"/>
          <w:szCs w:val="23"/>
        </w:rPr>
        <w:t>.</w:t>
      </w:r>
    </w:p>
    <w:p w:rsidR="008E7846" w:rsidRPr="00254787" w:rsidRDefault="008E7846" w:rsidP="008E7846">
      <w:pPr>
        <w:pStyle w:val="Heading2"/>
      </w:pPr>
      <w:bookmarkStart w:id="61" w:name="_Toc453683275"/>
      <w:r>
        <w:t xml:space="preserve">IV. </w:t>
      </w:r>
      <w:r w:rsidRPr="00254787">
        <w:t>Clinical</w:t>
      </w:r>
      <w:bookmarkEnd w:id="56"/>
      <w:r>
        <w:t xml:space="preserve"> </w:t>
      </w:r>
      <w:r w:rsidR="003A7F6C">
        <w:t>f</w:t>
      </w:r>
      <w:r>
        <w:t>indings</w:t>
      </w:r>
      <w:bookmarkEnd w:id="57"/>
      <w:bookmarkEnd w:id="58"/>
      <w:bookmarkEnd w:id="61"/>
    </w:p>
    <w:p w:rsidR="00C80137" w:rsidRDefault="00C80137" w:rsidP="00D425BB">
      <w:bookmarkStart w:id="62"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63" w:name="_Toc247691517"/>
      <w:bookmarkStart w:id="64" w:name="_Toc314842501"/>
      <w:bookmarkStart w:id="65" w:name="_Toc453683276"/>
      <w:r w:rsidRPr="00254787">
        <w:t>Introduction</w:t>
      </w:r>
      <w:bookmarkEnd w:id="62"/>
      <w:bookmarkEnd w:id="63"/>
      <w:bookmarkEnd w:id="64"/>
      <w:bookmarkEnd w:id="65"/>
    </w:p>
    <w:p w:rsidR="00605AD4" w:rsidRPr="00C457A5" w:rsidRDefault="00605AD4" w:rsidP="00C457A5">
      <w:pPr>
        <w:pStyle w:val="Heading4"/>
      </w:pPr>
      <w:bookmarkStart w:id="66" w:name="_Toc196046464"/>
      <w:bookmarkStart w:id="67" w:name="_Toc247691518"/>
      <w:bookmarkStart w:id="68" w:name="_Toc314842502"/>
      <w:r w:rsidRPr="00605AD4">
        <w:t xml:space="preserve">Clinical </w:t>
      </w:r>
      <w:r w:rsidR="000B1C06">
        <w:t>r</w:t>
      </w:r>
      <w:r w:rsidRPr="00605AD4">
        <w:t>ationale</w:t>
      </w:r>
    </w:p>
    <w:p w:rsidR="00675A4F" w:rsidRPr="004F3B08" w:rsidRDefault="00675A4F" w:rsidP="00675A4F">
      <w:r w:rsidRPr="004F3B08">
        <w:t xml:space="preserve">The following rationale for the submission to register </w:t>
      </w:r>
      <w:proofErr w:type="spellStart"/>
      <w:r w:rsidR="009C1E6B">
        <w:t>simoctocog</w:t>
      </w:r>
      <w:proofErr w:type="spellEnd"/>
      <w:r w:rsidR="009C1E6B">
        <w:t xml:space="preserve"> </w:t>
      </w:r>
      <w:r w:rsidR="00FC63A1">
        <w:t>alfa</w:t>
      </w:r>
      <w:r w:rsidRPr="004F3B08">
        <w:t xml:space="preserve"> </w:t>
      </w:r>
      <w:r w:rsidRPr="004F3B08">
        <w:rPr>
          <w:rFonts w:cs="Ä‹Ùøf€"/>
        </w:rPr>
        <w:t xml:space="preserve">was provided </w:t>
      </w:r>
      <w:r w:rsidR="00C457A5">
        <w:rPr>
          <w:rFonts w:cs="Ä‹Ùøf€"/>
        </w:rPr>
        <w:t>by the sponsor</w:t>
      </w:r>
      <w:r w:rsidRPr="004F3B08">
        <w:rPr>
          <w:rFonts w:cs="Ä‹Ùøf€"/>
        </w:rPr>
        <w:t xml:space="preserve"> and is considered to be acceptable: </w:t>
      </w:r>
    </w:p>
    <w:p w:rsidR="00675A4F" w:rsidRPr="00C457A5" w:rsidRDefault="00675A4F" w:rsidP="00675A4F">
      <w:pPr>
        <w:widowControl w:val="0"/>
        <w:autoSpaceDE w:val="0"/>
        <w:autoSpaceDN w:val="0"/>
        <w:adjustRightInd w:val="0"/>
        <w:rPr>
          <w:rFonts w:asciiTheme="minorHAnsi" w:hAnsiTheme="minorHAnsi" w:cs="œÙøf€"/>
          <w:i/>
        </w:rPr>
      </w:pPr>
      <w:r w:rsidRPr="00C457A5">
        <w:rPr>
          <w:rFonts w:asciiTheme="minorHAnsi" w:hAnsiTheme="minorHAnsi" w:cs="œÙøf€"/>
          <w:i/>
        </w:rPr>
        <w:t>Haemophilia A is an inherited sex-linked disorder of blood coagulation in which affected males do not produce functional coagulation FVIII in sufficient quantities to achieve satisfactory haemostasis</w:t>
      </w:r>
      <w:r w:rsidR="00C457A5">
        <w:rPr>
          <w:rFonts w:asciiTheme="minorHAnsi" w:hAnsiTheme="minorHAnsi" w:cs="œÙøf€"/>
          <w:i/>
        </w:rPr>
        <w:t xml:space="preserve"> </w:t>
      </w:r>
      <w:r w:rsidR="00C457A5">
        <w:rPr>
          <w:rStyle w:val="FootnoteReference"/>
          <w:rFonts w:asciiTheme="minorHAnsi" w:hAnsiTheme="minorHAnsi" w:cs="œÙøf€"/>
          <w:i/>
        </w:rPr>
        <w:footnoteReference w:id="11"/>
      </w:r>
      <w:r w:rsidR="00C457A5" w:rsidRPr="00C457A5">
        <w:rPr>
          <w:rFonts w:asciiTheme="minorHAnsi" w:hAnsiTheme="minorHAnsi" w:cs="œÙøf€"/>
          <w:i/>
          <w:vertAlign w:val="superscript"/>
        </w:rPr>
        <w:t>,</w:t>
      </w:r>
      <w:r w:rsidR="00C457A5">
        <w:rPr>
          <w:rFonts w:asciiTheme="minorHAnsi" w:hAnsiTheme="minorHAnsi" w:cs="œÙøf€"/>
          <w:i/>
          <w:vertAlign w:val="superscript"/>
        </w:rPr>
        <w:t xml:space="preserve"> </w:t>
      </w:r>
      <w:r w:rsidR="00C457A5">
        <w:rPr>
          <w:rStyle w:val="FootnoteReference"/>
          <w:rFonts w:asciiTheme="minorHAnsi" w:hAnsiTheme="minorHAnsi" w:cs="œÙøf€"/>
          <w:i/>
        </w:rPr>
        <w:footnoteReference w:id="12"/>
      </w:r>
      <w:r w:rsidRPr="00C457A5">
        <w:rPr>
          <w:rFonts w:asciiTheme="minorHAnsi" w:hAnsiTheme="minorHAnsi" w:cs="œÙøf€"/>
          <w:i/>
        </w:rPr>
        <w:t xml:space="preserve">. The incidence of congenital haemophilia A is approximately 1 in 10,000 births. Disease severity is classified according to the level of FVIII activity (% of </w:t>
      </w:r>
      <w:r w:rsidRPr="00C457A5">
        <w:rPr>
          <w:rFonts w:asciiTheme="minorHAnsi" w:hAnsiTheme="minorHAnsi" w:cs="œÙøf€"/>
          <w:i/>
        </w:rPr>
        <w:lastRenderedPageBreak/>
        <w:t>normal) as mild (&gt;5% to &lt;40%), moderate (1% to 5%) or severe (&lt;1%).</w:t>
      </w:r>
      <w:r w:rsidR="00C457A5">
        <w:rPr>
          <w:rStyle w:val="FootnoteReference"/>
          <w:rFonts w:asciiTheme="minorHAnsi" w:hAnsiTheme="minorHAnsi" w:cs="œÙøf€"/>
          <w:i/>
        </w:rPr>
        <w:footnoteReference w:id="13"/>
      </w:r>
      <w:r w:rsidRPr="00C457A5">
        <w:rPr>
          <w:rFonts w:asciiTheme="minorHAnsi" w:hAnsiTheme="minorHAnsi" w:cs="œÙøf€"/>
          <w:i/>
        </w:rPr>
        <w:t xml:space="preserve"> </w:t>
      </w:r>
    </w:p>
    <w:p w:rsidR="00675A4F" w:rsidRPr="00C457A5" w:rsidRDefault="00675A4F" w:rsidP="00675A4F">
      <w:pPr>
        <w:widowControl w:val="0"/>
        <w:autoSpaceDE w:val="0"/>
        <w:autoSpaceDN w:val="0"/>
        <w:adjustRightInd w:val="0"/>
        <w:rPr>
          <w:rFonts w:asciiTheme="minorHAnsi" w:hAnsiTheme="minorHAnsi" w:cs="œÙøf€"/>
          <w:i/>
        </w:rPr>
      </w:pPr>
      <w:r w:rsidRPr="00C457A5">
        <w:rPr>
          <w:rFonts w:asciiTheme="minorHAnsi" w:hAnsiTheme="minorHAnsi" w:cs="Ä‹Ùøf€"/>
          <w:i/>
        </w:rPr>
        <w:t xml:space="preserve">Due to deficiencies in FVIII, patients with haemophilia </w:t>
      </w:r>
      <w:proofErr w:type="gramStart"/>
      <w:r w:rsidRPr="00C457A5">
        <w:rPr>
          <w:rFonts w:asciiTheme="minorHAnsi" w:hAnsiTheme="minorHAnsi" w:cs="Ä‹Ùøf€"/>
          <w:i/>
        </w:rPr>
        <w:t>A</w:t>
      </w:r>
      <w:proofErr w:type="gramEnd"/>
      <w:r w:rsidRPr="00C457A5">
        <w:rPr>
          <w:rFonts w:asciiTheme="minorHAnsi" w:hAnsiTheme="minorHAnsi" w:cs="Ä‹Ùøf€"/>
          <w:i/>
        </w:rPr>
        <w:t xml:space="preserve"> are predisposed to recurrent</w:t>
      </w:r>
      <w:r w:rsidRPr="00C457A5">
        <w:rPr>
          <w:rFonts w:asciiTheme="minorHAnsi" w:hAnsiTheme="minorHAnsi" w:cs="œÙøf€"/>
          <w:i/>
        </w:rPr>
        <w:t xml:space="preserve"> </w:t>
      </w:r>
      <w:r w:rsidRPr="00C457A5">
        <w:rPr>
          <w:rFonts w:asciiTheme="minorHAnsi" w:hAnsiTheme="minorHAnsi" w:cs="Ä‹Ùøf€"/>
          <w:i/>
        </w:rPr>
        <w:t xml:space="preserve">bleeding episodes (BEs). Most BEs </w:t>
      </w:r>
      <w:proofErr w:type="gramStart"/>
      <w:r w:rsidRPr="00C457A5">
        <w:rPr>
          <w:rFonts w:asciiTheme="minorHAnsi" w:hAnsiTheme="minorHAnsi" w:cs="Ä‹Ùøf€"/>
          <w:i/>
        </w:rPr>
        <w:t>occur</w:t>
      </w:r>
      <w:proofErr w:type="gramEnd"/>
      <w:r w:rsidRPr="00C457A5">
        <w:rPr>
          <w:rFonts w:asciiTheme="minorHAnsi" w:hAnsiTheme="minorHAnsi" w:cs="Ä‹Ùøf€"/>
          <w:i/>
        </w:rPr>
        <w:t xml:space="preserve"> in joints and muscles. Without adequate</w:t>
      </w:r>
      <w:r w:rsidRPr="00C457A5">
        <w:rPr>
          <w:rFonts w:asciiTheme="minorHAnsi" w:hAnsiTheme="minorHAnsi" w:cs="œÙøf€"/>
          <w:i/>
        </w:rPr>
        <w:t xml:space="preserve"> </w:t>
      </w:r>
      <w:r w:rsidRPr="00C457A5">
        <w:rPr>
          <w:rFonts w:asciiTheme="minorHAnsi" w:hAnsiTheme="minorHAnsi" w:cs="Ä‹Ùøf€"/>
          <w:i/>
        </w:rPr>
        <w:t xml:space="preserve">treatment these repeated </w:t>
      </w:r>
      <w:proofErr w:type="spellStart"/>
      <w:r w:rsidRPr="00C457A5">
        <w:rPr>
          <w:rFonts w:asciiTheme="minorHAnsi" w:hAnsiTheme="minorHAnsi" w:cs="Ä‹Ùøf€"/>
          <w:i/>
        </w:rPr>
        <w:t>haemarthroses</w:t>
      </w:r>
      <w:proofErr w:type="spellEnd"/>
      <w:r w:rsidRPr="00C457A5">
        <w:rPr>
          <w:rFonts w:asciiTheme="minorHAnsi" w:hAnsiTheme="minorHAnsi" w:cs="Ä‹Ùøf€"/>
          <w:i/>
        </w:rPr>
        <w:t xml:space="preserve"> and haematomas lead to long-term sequelae with</w:t>
      </w:r>
      <w:r w:rsidRPr="00C457A5">
        <w:rPr>
          <w:rFonts w:asciiTheme="minorHAnsi" w:hAnsiTheme="minorHAnsi" w:cs="œÙøf€"/>
          <w:i/>
        </w:rPr>
        <w:t xml:space="preserve"> </w:t>
      </w:r>
      <w:r w:rsidRPr="00C457A5">
        <w:rPr>
          <w:rFonts w:asciiTheme="minorHAnsi" w:hAnsiTheme="minorHAnsi" w:cs="Ä‹Ùøf€"/>
          <w:i/>
        </w:rPr>
        <w:t>severe disability. Other less frequent, but more severe bleeding sites are the central</w:t>
      </w:r>
      <w:r w:rsidRPr="00C457A5">
        <w:rPr>
          <w:rFonts w:asciiTheme="minorHAnsi" w:hAnsiTheme="minorHAnsi" w:cs="œÙøf€"/>
          <w:i/>
        </w:rPr>
        <w:t xml:space="preserve"> </w:t>
      </w:r>
      <w:r w:rsidRPr="00C457A5">
        <w:rPr>
          <w:rFonts w:asciiTheme="minorHAnsi" w:hAnsiTheme="minorHAnsi" w:cs="Ä‹Ùøf€"/>
          <w:i/>
        </w:rPr>
        <w:t>nervous system, the urinary or gastrointestinal tract, eyes and the retro-peritoneum.</w:t>
      </w:r>
      <w:r w:rsidRPr="00C457A5">
        <w:rPr>
          <w:rFonts w:asciiTheme="minorHAnsi" w:hAnsiTheme="minorHAnsi" w:cs="œÙøf€"/>
          <w:i/>
        </w:rPr>
        <w:t xml:space="preserve"> </w:t>
      </w:r>
      <w:r w:rsidRPr="00C457A5">
        <w:rPr>
          <w:rFonts w:asciiTheme="minorHAnsi" w:hAnsiTheme="minorHAnsi" w:cs="Ä‹Ùøf€"/>
          <w:i/>
        </w:rPr>
        <w:t xml:space="preserve">Patients with haemophilia </w:t>
      </w:r>
      <w:proofErr w:type="gramStart"/>
      <w:r w:rsidRPr="00C457A5">
        <w:rPr>
          <w:rFonts w:asciiTheme="minorHAnsi" w:hAnsiTheme="minorHAnsi" w:cs="Ä‹Ùøf€"/>
          <w:i/>
        </w:rPr>
        <w:t>A</w:t>
      </w:r>
      <w:proofErr w:type="gramEnd"/>
      <w:r w:rsidRPr="00C457A5">
        <w:rPr>
          <w:rFonts w:asciiTheme="minorHAnsi" w:hAnsiTheme="minorHAnsi" w:cs="Ä‹Ùøf€"/>
          <w:i/>
        </w:rPr>
        <w:t xml:space="preserve"> are at high risk of developing major and life-threatening</w:t>
      </w:r>
      <w:r w:rsidRPr="00C457A5">
        <w:rPr>
          <w:rFonts w:asciiTheme="minorHAnsi" w:hAnsiTheme="minorHAnsi" w:cs="œÙøf€"/>
          <w:i/>
        </w:rPr>
        <w:t xml:space="preserve"> </w:t>
      </w:r>
      <w:r w:rsidRPr="00C457A5">
        <w:rPr>
          <w:rFonts w:asciiTheme="minorHAnsi" w:hAnsiTheme="minorHAnsi" w:cs="Ä‹Ùøf€"/>
          <w:i/>
        </w:rPr>
        <w:t>bleeds after surgical procedures, even after minor procedures such as tooth extraction.</w:t>
      </w:r>
    </w:p>
    <w:p w:rsidR="00675A4F" w:rsidRPr="00C457A5" w:rsidRDefault="00675A4F" w:rsidP="00675A4F">
      <w:pPr>
        <w:widowControl w:val="0"/>
        <w:autoSpaceDE w:val="0"/>
        <w:autoSpaceDN w:val="0"/>
        <w:adjustRightInd w:val="0"/>
        <w:rPr>
          <w:rFonts w:asciiTheme="minorHAnsi" w:hAnsiTheme="minorHAnsi" w:cs="œÙøf€"/>
          <w:i/>
        </w:rPr>
      </w:pPr>
      <w:r w:rsidRPr="00C457A5">
        <w:rPr>
          <w:rFonts w:asciiTheme="minorHAnsi" w:hAnsiTheme="minorHAnsi" w:cs="œÙøf€"/>
          <w:i/>
        </w:rPr>
        <w:t xml:space="preserve">The development of cryoprecipitate and subsequently FVIII concentrates, obtained by fractionation of human plasma, provided replacement FVIII and greatly improved clinical management and life expectancy of patients with haemophilia A. Concerns about virus transmission have largely been ameliorated by the development of FVIII products using recombinant deoxyribonucleic acid (DNA) technology, and full-length and modified </w:t>
      </w:r>
      <w:proofErr w:type="spellStart"/>
      <w:r w:rsidRPr="00C457A5">
        <w:rPr>
          <w:rFonts w:asciiTheme="minorHAnsi" w:hAnsiTheme="minorHAnsi" w:cs="œÙøf€"/>
          <w:i/>
        </w:rPr>
        <w:t>rFVIII</w:t>
      </w:r>
      <w:proofErr w:type="spellEnd"/>
      <w:r w:rsidRPr="00C457A5">
        <w:rPr>
          <w:rFonts w:asciiTheme="minorHAnsi" w:hAnsiTheme="minorHAnsi" w:cs="œÙøf€"/>
          <w:i/>
        </w:rPr>
        <w:t xml:space="preserve"> products produced in hamster cell lines (Chinese hamster ovary [CHO] cells or baby hamster kidney [BHK] cells) are now </w:t>
      </w:r>
      <w:r w:rsidRPr="00C457A5">
        <w:rPr>
          <w:rFonts w:asciiTheme="minorHAnsi" w:hAnsiTheme="minorHAnsi" w:cs="Ä‹Ùøf€"/>
          <w:i/>
        </w:rPr>
        <w:t xml:space="preserve">commercially available for clinical use. As the B-domain is dispensable for FVIII coagulation activity, BDD FVIII products have been used successfully to treat and prevent BEs in haemophilia </w:t>
      </w:r>
      <w:proofErr w:type="gramStart"/>
      <w:r w:rsidRPr="00C457A5">
        <w:rPr>
          <w:rFonts w:asciiTheme="minorHAnsi" w:hAnsiTheme="minorHAnsi" w:cs="Ä‹Ùøf€"/>
          <w:i/>
        </w:rPr>
        <w:t>A</w:t>
      </w:r>
      <w:proofErr w:type="gramEnd"/>
      <w:r w:rsidRPr="00C457A5">
        <w:rPr>
          <w:rFonts w:asciiTheme="minorHAnsi" w:hAnsiTheme="minorHAnsi" w:cs="Ä‹Ùøf€"/>
          <w:i/>
        </w:rPr>
        <w:t xml:space="preserve"> patients. Whilst the introduction of </w:t>
      </w:r>
      <w:proofErr w:type="spellStart"/>
      <w:r w:rsidRPr="00C457A5">
        <w:rPr>
          <w:rFonts w:asciiTheme="minorHAnsi" w:hAnsiTheme="minorHAnsi" w:cs="Ä‹Ùøf€"/>
          <w:i/>
        </w:rPr>
        <w:t>rFVIII</w:t>
      </w:r>
      <w:proofErr w:type="spellEnd"/>
      <w:r w:rsidRPr="00C457A5">
        <w:rPr>
          <w:rFonts w:asciiTheme="minorHAnsi" w:hAnsiTheme="minorHAnsi" w:cs="Ä‹Ùøf€"/>
          <w:i/>
        </w:rPr>
        <w:t xml:space="preserve"> products was a major advance in the management of haemophilia </w:t>
      </w:r>
      <w:proofErr w:type="gramStart"/>
      <w:r w:rsidRPr="00C457A5">
        <w:rPr>
          <w:rFonts w:asciiTheme="minorHAnsi" w:hAnsiTheme="minorHAnsi" w:cs="Ä‹Ùøf€"/>
          <w:i/>
        </w:rPr>
        <w:t>A</w:t>
      </w:r>
      <w:proofErr w:type="gramEnd"/>
      <w:r w:rsidRPr="00C457A5">
        <w:rPr>
          <w:rFonts w:asciiTheme="minorHAnsi" w:hAnsiTheme="minorHAnsi" w:cs="Ä‹Ùøf€"/>
          <w:i/>
        </w:rPr>
        <w:t xml:space="preserve">, inhibitors to FVIII have emerged as the major complication of haemophilia A treatment. </w:t>
      </w:r>
      <w:proofErr w:type="spellStart"/>
      <w:r w:rsidR="00FA190B">
        <w:rPr>
          <w:rFonts w:asciiTheme="minorHAnsi" w:hAnsiTheme="minorHAnsi" w:cs="Ä‹Ùøf€"/>
          <w:i/>
        </w:rPr>
        <w:t>Simoctocog</w:t>
      </w:r>
      <w:proofErr w:type="spellEnd"/>
      <w:r w:rsidR="00FA190B">
        <w:rPr>
          <w:rFonts w:asciiTheme="minorHAnsi" w:hAnsiTheme="minorHAnsi" w:cs="Ä‹Ùøf€"/>
          <w:i/>
        </w:rPr>
        <w:t xml:space="preserve"> </w:t>
      </w:r>
      <w:r w:rsidR="00FC63A1">
        <w:rPr>
          <w:rFonts w:asciiTheme="minorHAnsi" w:hAnsiTheme="minorHAnsi" w:cs="Ä‹Ùøf€"/>
          <w:i/>
        </w:rPr>
        <w:t>alfa</w:t>
      </w:r>
      <w:r w:rsidR="00015F5F">
        <w:rPr>
          <w:rFonts w:asciiTheme="minorHAnsi" w:hAnsiTheme="minorHAnsi" w:cs="Ä‹Ùøf€"/>
          <w:i/>
        </w:rPr>
        <w:t xml:space="preserve"> </w:t>
      </w:r>
      <w:r w:rsidRPr="00C457A5">
        <w:rPr>
          <w:rFonts w:asciiTheme="minorHAnsi" w:hAnsiTheme="minorHAnsi" w:cs="Ä‹Ùøf€"/>
          <w:i/>
        </w:rPr>
        <w:t xml:space="preserve">was developed with the intention to provide a new </w:t>
      </w:r>
      <w:proofErr w:type="spellStart"/>
      <w:r w:rsidRPr="00C457A5">
        <w:rPr>
          <w:rFonts w:asciiTheme="minorHAnsi" w:hAnsiTheme="minorHAnsi" w:cs="Ä‹Ùøf€"/>
          <w:i/>
        </w:rPr>
        <w:t>rFVIII</w:t>
      </w:r>
      <w:proofErr w:type="spellEnd"/>
      <w:r w:rsidRPr="00C457A5">
        <w:rPr>
          <w:rFonts w:asciiTheme="minorHAnsi" w:hAnsiTheme="minorHAnsi" w:cs="Ä‹Ùøf€"/>
          <w:i/>
        </w:rPr>
        <w:t xml:space="preserve"> from a human cell line that is potentially less immunogenic</w:t>
      </w:r>
      <w:r w:rsidR="00C457A5">
        <w:rPr>
          <w:rFonts w:asciiTheme="minorHAnsi" w:hAnsiTheme="minorHAnsi" w:cs="Ä‹Ùøf€"/>
          <w:i/>
        </w:rPr>
        <w:t>.</w:t>
      </w:r>
    </w:p>
    <w:p w:rsidR="00605AD4" w:rsidRDefault="00605AD4" w:rsidP="00605AD4">
      <w:pPr>
        <w:pStyle w:val="Heading4"/>
      </w:pPr>
      <w:r w:rsidRPr="00605AD4">
        <w:t>Guidance</w:t>
      </w:r>
    </w:p>
    <w:p w:rsidR="00675A4F" w:rsidRDefault="00675A4F" w:rsidP="00C457A5">
      <w:r>
        <w:t xml:space="preserve">There is a European Medicines Agency (EMA) clinical guideline relevant to the application that has been adopted by the Therapeutic Goods Administration (TGA): </w:t>
      </w:r>
      <w:r w:rsidRPr="00E44D64">
        <w:rPr>
          <w:i/>
        </w:rPr>
        <w:t xml:space="preserve">Note for guidance on the clinical investigation of recombinant </w:t>
      </w:r>
      <w:r w:rsidR="00BA154F">
        <w:rPr>
          <w:i/>
        </w:rPr>
        <w:t>FVIII</w:t>
      </w:r>
      <w:r w:rsidR="00CC4F20">
        <w:rPr>
          <w:i/>
        </w:rPr>
        <w:t xml:space="preserve"> </w:t>
      </w:r>
      <w:r w:rsidRPr="00E44D64">
        <w:rPr>
          <w:i/>
        </w:rPr>
        <w:t>and IX products (CPMP/BPWG/1561/99)</w:t>
      </w:r>
      <w:r>
        <w:t xml:space="preserve">. However, this document has been superseded in the EU by the </w:t>
      </w:r>
      <w:r w:rsidRPr="00E44D64">
        <w:rPr>
          <w:i/>
        </w:rPr>
        <w:t xml:space="preserve">Guideline on the clinical investigation of recombinant and human plasma-derived </w:t>
      </w:r>
      <w:r w:rsidR="00BA154F">
        <w:rPr>
          <w:i/>
        </w:rPr>
        <w:t>FVIII</w:t>
      </w:r>
      <w:r w:rsidR="00CC4F20">
        <w:rPr>
          <w:i/>
        </w:rPr>
        <w:t xml:space="preserve"> </w:t>
      </w:r>
      <w:r w:rsidRPr="00E44D64">
        <w:rPr>
          <w:i/>
        </w:rPr>
        <w:t>products (EMEA/CHMP/BPWP/144533/2009)</w:t>
      </w:r>
      <w:r>
        <w:t>, which came into effect in the EU on 1 February 2012. The updated EU guideline had not yet been adopted by the TGA at the time of preparing this Clinical Evaluation Report (CER).</w:t>
      </w:r>
      <w:r w:rsidR="00C457A5">
        <w:rPr>
          <w:rStyle w:val="FootnoteReference"/>
        </w:rPr>
        <w:footnoteReference w:id="14"/>
      </w:r>
      <w:r>
        <w:t xml:space="preserve"> </w:t>
      </w:r>
    </w:p>
    <w:p w:rsidR="00675A4F" w:rsidRDefault="00675A4F" w:rsidP="00C457A5">
      <w:r>
        <w:t>The recent updated guideline relating to FVIII products is more stringent than the previous guideline as it specifically requires that the pre-marketing data include children (</w:t>
      </w:r>
      <w:r w:rsidR="00C457A5">
        <w:t>that is,</w:t>
      </w:r>
      <w:r>
        <w:t xml:space="preserve"> 50 </w:t>
      </w:r>
      <w:r w:rsidR="00BA0064">
        <w:t>p</w:t>
      </w:r>
      <w:r w:rsidR="00BA0064" w:rsidRPr="00BA0064">
        <w:t>reviously treated patients</w:t>
      </w:r>
      <w:r w:rsidR="00BA0064">
        <w:t xml:space="preserve"> (</w:t>
      </w:r>
      <w:r>
        <w:t>PTPs</w:t>
      </w:r>
      <w:r w:rsidR="00BA0064">
        <w:t>)</w:t>
      </w:r>
      <w:r>
        <w:t xml:space="preserve"> children aged 0</w:t>
      </w:r>
      <w:r w:rsidR="00C457A5">
        <w:t xml:space="preserve"> to </w:t>
      </w:r>
      <w:r>
        <w:t xml:space="preserve">12 years for 50 </w:t>
      </w:r>
      <w:r w:rsidR="00BA0064">
        <w:t>exposure day</w:t>
      </w:r>
      <w:r w:rsidR="00015F5F">
        <w:t>s</w:t>
      </w:r>
      <w:r w:rsidR="00BA0064">
        <w:t xml:space="preserve"> (</w:t>
      </w:r>
      <w:r>
        <w:t>ED</w:t>
      </w:r>
      <w:r w:rsidR="00015F5F">
        <w:t>s</w:t>
      </w:r>
      <w:r w:rsidR="00BA0064">
        <w:t>)</w:t>
      </w:r>
      <w:r>
        <w:t>, including PKs in 12 aged 6</w:t>
      </w:r>
      <w:r w:rsidR="00C457A5">
        <w:t xml:space="preserve"> to </w:t>
      </w:r>
      <w:r>
        <w:t xml:space="preserve">12 years and 12 aged &lt; 6 years), whereas the previous guideline specified that data in children were to be submitted after </w:t>
      </w:r>
      <w:r w:rsidR="00C457A5">
        <w:t xml:space="preserve">the </w:t>
      </w:r>
      <w:r>
        <w:t>market authorisation (</w:t>
      </w:r>
      <w:r w:rsidR="00C457A5">
        <w:t>that is,</w:t>
      </w:r>
      <w:r>
        <w:t xml:space="preserve"> 20 PTPs aged &lt; 6 years for 50 ED</w:t>
      </w:r>
      <w:r w:rsidR="00015F5F">
        <w:t>s</w:t>
      </w:r>
      <w:r>
        <w:t xml:space="preserve"> or 6 months). In addition, the updated guideline has specific requirements relating to the submission of post</w:t>
      </w:r>
      <w:r w:rsidR="00C457A5">
        <w:t>marketing authoris</w:t>
      </w:r>
      <w:r>
        <w:t>ation data in previously untreated patients (PUPs), with suitable studies being initiated prior to market authori</w:t>
      </w:r>
      <w:r w:rsidR="00C457A5">
        <w:t>s</w:t>
      </w:r>
      <w:r>
        <w:t xml:space="preserve">ation. In contrast, the previous guideline did not specifically require studies to be undertaken in PUPs but simply specified that treatment in PUPs be documented. </w:t>
      </w:r>
    </w:p>
    <w:p w:rsidR="00605AD4" w:rsidRPr="00BA0064" w:rsidRDefault="00605AD4" w:rsidP="00BA0064">
      <w:pPr>
        <w:pStyle w:val="Heading4"/>
      </w:pPr>
      <w:r w:rsidRPr="00605AD4">
        <w:t>Contents of the clinical dossier</w:t>
      </w:r>
    </w:p>
    <w:p w:rsidR="00675A4F" w:rsidRDefault="00675A4F" w:rsidP="00675A4F">
      <w:pPr>
        <w:rPr>
          <w:rFonts w:ascii="œÙøf€" w:hAnsi="œÙøf€" w:cs="œÙøf€"/>
          <w:color w:val="000000"/>
        </w:rPr>
      </w:pPr>
      <w:r>
        <w:rPr>
          <w:rFonts w:ascii="œÙøf€" w:hAnsi="œÙøf€" w:cs="œÙøf€"/>
          <w:color w:val="000000"/>
        </w:rPr>
        <w:t xml:space="preserve">The </w:t>
      </w:r>
      <w:r w:rsidR="00BA0064">
        <w:rPr>
          <w:rFonts w:ascii="œÙøf€" w:hAnsi="œÙøf€" w:cs="œÙøf€"/>
          <w:color w:val="000000"/>
        </w:rPr>
        <w:t>submission</w:t>
      </w:r>
      <w:r>
        <w:rPr>
          <w:rFonts w:ascii="œÙøf€" w:hAnsi="œÙøf€" w:cs="œÙøf€"/>
          <w:color w:val="000000"/>
        </w:rPr>
        <w:t xml:space="preserve"> included a comprehensive data package supporting approval of </w:t>
      </w:r>
      <w:proofErr w:type="spellStart"/>
      <w:r w:rsidR="009C1E6B">
        <w:rPr>
          <w:rFonts w:ascii="œÙøf€" w:hAnsi="œÙøf€" w:cs="œÙøf€"/>
          <w:color w:val="000000"/>
        </w:rPr>
        <w:t>simoctocog</w:t>
      </w:r>
      <w:proofErr w:type="spellEnd"/>
      <w:r w:rsidR="009C1E6B">
        <w:rPr>
          <w:rFonts w:ascii="œÙøf€" w:hAnsi="œÙøf€" w:cs="œÙøf€"/>
          <w:color w:val="000000"/>
        </w:rPr>
        <w:t xml:space="preserve"> </w:t>
      </w:r>
      <w:r w:rsidR="00FC63A1">
        <w:rPr>
          <w:rFonts w:ascii="œÙøf€" w:hAnsi="œÙøf€" w:cs="œÙøf€"/>
          <w:color w:val="000000"/>
        </w:rPr>
        <w:t>alfa</w:t>
      </w:r>
      <w:r>
        <w:rPr>
          <w:rFonts w:ascii="œÙøf€" w:hAnsi="œÙøf€" w:cs="œÙøf€"/>
          <w:color w:val="000000"/>
        </w:rPr>
        <w:t xml:space="preserve"> for the treatment of severe haemophilia A in previously treated adults and </w:t>
      </w:r>
      <w:r>
        <w:rPr>
          <w:rFonts w:ascii="œÙøf€" w:hAnsi="œÙøf€" w:cs="œÙøf€"/>
          <w:color w:val="000000"/>
        </w:rPr>
        <w:lastRenderedPageBreak/>
        <w:t xml:space="preserve">children aged 2 years and above. There were no clinical data in the submission supporting approval of </w:t>
      </w:r>
      <w:proofErr w:type="spellStart"/>
      <w:r w:rsidR="009C1E6B">
        <w:rPr>
          <w:rFonts w:ascii="œÙøf€" w:hAnsi="œÙøf€" w:cs="œÙøf€"/>
          <w:color w:val="000000"/>
        </w:rPr>
        <w:t>simoctocog</w:t>
      </w:r>
      <w:proofErr w:type="spellEnd"/>
      <w:r w:rsidR="009C1E6B">
        <w:rPr>
          <w:rFonts w:ascii="œÙøf€" w:hAnsi="œÙøf€" w:cs="œÙøf€"/>
          <w:color w:val="000000"/>
        </w:rPr>
        <w:t xml:space="preserve"> </w:t>
      </w:r>
      <w:r w:rsidR="00FC63A1">
        <w:rPr>
          <w:rFonts w:ascii="œÙøf€" w:hAnsi="œÙøf€" w:cs="œÙøf€"/>
          <w:color w:val="000000"/>
        </w:rPr>
        <w:t>alfa</w:t>
      </w:r>
      <w:r>
        <w:rPr>
          <w:rFonts w:ascii="œÙøf€" w:hAnsi="œÙøf€" w:cs="œÙøf€"/>
          <w:color w:val="000000"/>
        </w:rPr>
        <w:t xml:space="preserve"> for the treatment of previously treated children aged less than 2 years of age (including newborns). There were no clinical data in the submission supporting approval of </w:t>
      </w:r>
      <w:proofErr w:type="spellStart"/>
      <w:r w:rsidR="009C1E6B">
        <w:rPr>
          <w:rFonts w:ascii="œÙøf€" w:hAnsi="œÙøf€" w:cs="œÙøf€"/>
          <w:color w:val="000000"/>
        </w:rPr>
        <w:t>simoctocog</w:t>
      </w:r>
      <w:proofErr w:type="spellEnd"/>
      <w:r w:rsidR="009C1E6B">
        <w:rPr>
          <w:rFonts w:ascii="œÙøf€" w:hAnsi="œÙøf€" w:cs="œÙøf€"/>
          <w:color w:val="000000"/>
        </w:rPr>
        <w:t xml:space="preserve"> alfa</w:t>
      </w:r>
      <w:r>
        <w:rPr>
          <w:rFonts w:ascii="œÙøf€" w:hAnsi="œÙøf€" w:cs="œÙøf€"/>
          <w:color w:val="000000"/>
        </w:rPr>
        <w:t xml:space="preserve"> for the treatment of </w:t>
      </w:r>
      <w:r w:rsidR="00015F5F">
        <w:rPr>
          <w:rFonts w:ascii="œÙøf€" w:hAnsi="œÙøf€" w:cs="œÙøf€"/>
          <w:color w:val="000000"/>
        </w:rPr>
        <w:t>PUPs</w:t>
      </w:r>
      <w:r w:rsidR="000B1C06">
        <w:rPr>
          <w:rFonts w:ascii="œÙøf€" w:hAnsi="œÙøf€" w:cs="œÙøf€"/>
          <w:color w:val="000000"/>
        </w:rPr>
        <w:t xml:space="preserve"> with severe haemophilia A.</w:t>
      </w:r>
    </w:p>
    <w:p w:rsidR="00675A4F" w:rsidRPr="006D0D1C" w:rsidRDefault="00675A4F" w:rsidP="00675A4F">
      <w:r>
        <w:rPr>
          <w:rFonts w:ascii="œÙøf€" w:hAnsi="œÙøf€" w:cs="œÙøf€"/>
          <w:color w:val="000000"/>
        </w:rPr>
        <w:t xml:space="preserve">The clinical information provided in the dossier </w:t>
      </w:r>
      <w:r w:rsidR="00BA0064">
        <w:rPr>
          <w:rFonts w:ascii="œÙøf€" w:hAnsi="œÙøf€" w:cs="œÙøf€"/>
          <w:color w:val="000000"/>
        </w:rPr>
        <w:t>was as follows</w:t>
      </w:r>
      <w:r>
        <w:rPr>
          <w:rFonts w:ascii="œÙøf€" w:hAnsi="œÙøf€" w:cs="œÙøf€"/>
          <w:color w:val="000000"/>
        </w:rPr>
        <w:t>:</w:t>
      </w:r>
    </w:p>
    <w:p w:rsidR="00675A4F" w:rsidRDefault="00675A4F" w:rsidP="00BA0064">
      <w:pPr>
        <w:pStyle w:val="ListBullet"/>
      </w:pPr>
      <w:r>
        <w:t>Five clinical studies includ</w:t>
      </w:r>
      <w:r w:rsidR="00887AFF">
        <w:t xml:space="preserve">ing </w:t>
      </w:r>
      <w:r>
        <w:t>GENA-01, -03, -08, -09</w:t>
      </w:r>
      <w:r w:rsidR="002F0BEA">
        <w:t xml:space="preserve"> and</w:t>
      </w:r>
      <w:r>
        <w:t xml:space="preserve"> -04; one of the five studies included data in childre</w:t>
      </w:r>
      <w:r w:rsidR="000B1C06">
        <w:t>n aged 2 to 12 years (GENA-03).</w:t>
      </w:r>
    </w:p>
    <w:p w:rsidR="00887AFF" w:rsidRPr="008F210A" w:rsidRDefault="00887AFF" w:rsidP="00887AFF">
      <w:pPr>
        <w:pStyle w:val="ListBullet2"/>
      </w:pPr>
      <w:r w:rsidRPr="008F210A">
        <w:t xml:space="preserve">GENA-01, GENA-08 and GENA-03 were multinational (predominantly Western countries), pivotal studies. GENA-09, and its extension study GENA-04 were supportive studies conducted at a single centre in Russia that enrolled patients with severely affected joints and high historical </w:t>
      </w:r>
      <w:r w:rsidRPr="00B7186F">
        <w:t>bleeding</w:t>
      </w:r>
      <w:r w:rsidRPr="008F210A">
        <w:t xml:space="preserve"> rates.</w:t>
      </w:r>
    </w:p>
    <w:p w:rsidR="00887AFF" w:rsidRPr="008F210A" w:rsidRDefault="00887AFF" w:rsidP="00887AFF">
      <w:pPr>
        <w:pStyle w:val="ListBullet2"/>
      </w:pPr>
      <w:r w:rsidRPr="008F210A">
        <w:t>PK data from two pivotal studies (GENA-01, GENA-03)</w:t>
      </w:r>
      <w:r>
        <w:t xml:space="preserve"> and one supportive</w:t>
      </w:r>
      <w:r w:rsidRPr="008F210A">
        <w:t xml:space="preserve"> study (GENA-09); IVR data from the three pivotal studies (GENA-01, GENA-08, GENA-03) and the two supportive studies (GENA-09, GENA-04).</w:t>
      </w:r>
    </w:p>
    <w:p w:rsidR="00887AFF" w:rsidRDefault="00887AFF" w:rsidP="00887AFF">
      <w:pPr>
        <w:pStyle w:val="ListBullet2"/>
      </w:pPr>
      <w:r w:rsidRPr="008F210A">
        <w:t>Efficacy and safety data from the three pivotal studies (GENA-01, GENA-08, GENA-03) and the two supportive studies (GENA-09, GENA-04).</w:t>
      </w:r>
    </w:p>
    <w:p w:rsidR="00675A4F" w:rsidRPr="006A08A1" w:rsidRDefault="000B1C06" w:rsidP="00BA0064">
      <w:pPr>
        <w:pStyle w:val="ListBullet"/>
      </w:pPr>
      <w:r>
        <w:t>Literature references</w:t>
      </w:r>
    </w:p>
    <w:p w:rsidR="00605AD4" w:rsidRDefault="00605AD4" w:rsidP="00605AD4">
      <w:pPr>
        <w:pStyle w:val="Heading4"/>
      </w:pPr>
      <w:r w:rsidRPr="00605AD4">
        <w:t>Paediatric data</w:t>
      </w:r>
    </w:p>
    <w:p w:rsidR="00675A4F" w:rsidRDefault="00675A4F" w:rsidP="00BA0064">
      <w:r>
        <w:t>The submission included one clinical study (GENA-03) providing PK, efficacy and safety data in 59 previously treated male children between aged 2 to 12 years (29 aged 2</w:t>
      </w:r>
      <w:r w:rsidR="00BA0064">
        <w:t xml:space="preserve"> to 5 years; 30 aged 6 to </w:t>
      </w:r>
      <w:r>
        <w:t xml:space="preserve">12 years). The submission included a statement concerning the </w:t>
      </w:r>
      <w:r w:rsidRPr="004E3D7C">
        <w:rPr>
          <w:i/>
        </w:rPr>
        <w:t xml:space="preserve">Paediatric </w:t>
      </w:r>
      <w:r w:rsidR="00887AFF">
        <w:rPr>
          <w:i/>
        </w:rPr>
        <w:t>D</w:t>
      </w:r>
      <w:r w:rsidRPr="004E3D7C">
        <w:rPr>
          <w:i/>
        </w:rPr>
        <w:t xml:space="preserve">evelopment </w:t>
      </w:r>
      <w:r w:rsidR="00887AFF">
        <w:rPr>
          <w:i/>
        </w:rPr>
        <w:t>P</w:t>
      </w:r>
      <w:r w:rsidRPr="004E3D7C">
        <w:rPr>
          <w:i/>
        </w:rPr>
        <w:t>rogram</w:t>
      </w:r>
      <w:r w:rsidR="00887AFF">
        <w:rPr>
          <w:i/>
        </w:rPr>
        <w:t>me</w:t>
      </w:r>
      <w:r>
        <w:t>. The statement indicated that the sponsor has an agreed European Paediatric Investigation Pla</w:t>
      </w:r>
      <w:r w:rsidR="000B1C06">
        <w:t>n (PIP) dated 22 February 2013.</w:t>
      </w:r>
    </w:p>
    <w:p w:rsidR="00605AD4" w:rsidRPr="00BA0064" w:rsidRDefault="00605AD4" w:rsidP="00BA0064">
      <w:pPr>
        <w:pStyle w:val="Heading4"/>
      </w:pPr>
      <w:r w:rsidRPr="00605AD4">
        <w:t>Good clinical practice</w:t>
      </w:r>
    </w:p>
    <w:p w:rsidR="00675A4F" w:rsidRDefault="00675A4F" w:rsidP="00BA0064">
      <w:r>
        <w:t xml:space="preserve">The sponsor stated that all clinical studies with </w:t>
      </w:r>
      <w:proofErr w:type="spellStart"/>
      <w:r w:rsidR="009C1E6B">
        <w:t>simoctocog</w:t>
      </w:r>
      <w:proofErr w:type="spellEnd"/>
      <w:r w:rsidR="009C1E6B">
        <w:t xml:space="preserve"> </w:t>
      </w:r>
      <w:r w:rsidR="00FC63A1">
        <w:t>alfa</w:t>
      </w:r>
      <w:r>
        <w:t xml:space="preserve"> were conducted in accordance with the regulations of the International Committee for Harmonization (ICH) on Good Clinical Practice (GCP).</w:t>
      </w:r>
    </w:p>
    <w:p w:rsidR="008E7846" w:rsidRPr="00254787" w:rsidRDefault="008E7846" w:rsidP="00605AD4">
      <w:pPr>
        <w:pStyle w:val="Heading3"/>
      </w:pPr>
      <w:bookmarkStart w:id="69" w:name="_Toc453683277"/>
      <w:r w:rsidRPr="00254787">
        <w:t>Pharmacokinetics</w:t>
      </w:r>
      <w:bookmarkEnd w:id="59"/>
      <w:bookmarkEnd w:id="66"/>
      <w:bookmarkEnd w:id="67"/>
      <w:bookmarkEnd w:id="68"/>
      <w:bookmarkEnd w:id="69"/>
    </w:p>
    <w:p w:rsidR="00605AD4" w:rsidRPr="00BA0064" w:rsidRDefault="00605AD4" w:rsidP="00BA0064">
      <w:pPr>
        <w:pStyle w:val="Heading4"/>
      </w:pPr>
      <w:r>
        <w:t>Studies</w:t>
      </w:r>
      <w:r w:rsidR="000B1C06">
        <w:t xml:space="preserve"> providing pharmacokinetic data</w:t>
      </w:r>
    </w:p>
    <w:p w:rsidR="008A62CD" w:rsidRPr="009C70A0" w:rsidRDefault="00675A4F" w:rsidP="00BA0064">
      <w:r w:rsidRPr="009C70A0">
        <w:t xml:space="preserve">FVIII is a normal constituent of human plasma and is predominantly produced in the liver but also by other tissues such as the kidney, lymph nodes and spleen. FVIII circulates in the plasma non-covalently bound to </w:t>
      </w:r>
      <w:proofErr w:type="spellStart"/>
      <w:r w:rsidR="00BA0064" w:rsidRPr="009C70A0">
        <w:t>v</w:t>
      </w:r>
      <w:r w:rsidRPr="009C70A0">
        <w:t>WF</w:t>
      </w:r>
      <w:proofErr w:type="spellEnd"/>
      <w:r w:rsidRPr="009C70A0">
        <w:t xml:space="preserve">. Each FVIII molecule can bind to a </w:t>
      </w:r>
      <w:proofErr w:type="spellStart"/>
      <w:r w:rsidR="00BA0064" w:rsidRPr="009C70A0">
        <w:t>vWF</w:t>
      </w:r>
      <w:proofErr w:type="spellEnd"/>
      <w:r w:rsidRPr="009C70A0">
        <w:t xml:space="preserve"> monomer</w:t>
      </w:r>
      <w:r w:rsidR="008A62CD" w:rsidRPr="009C70A0">
        <w:t xml:space="preserve"> but the actual ratio is 1:50</w:t>
      </w:r>
      <w:r w:rsidRPr="009C70A0">
        <w:t>. The sponsor states that it is commonly acknowledged that appropriate PK data (</w:t>
      </w:r>
      <w:r w:rsidR="009C70A0">
        <w:t xml:space="preserve">IVR, </w:t>
      </w:r>
      <w:r w:rsidR="008A62CD" w:rsidRPr="009C70A0">
        <w:t>t</w:t>
      </w:r>
      <w:r w:rsidRPr="009C70A0">
        <w:rPr>
          <w:vertAlign w:val="subscript"/>
        </w:rPr>
        <w:t>1/2</w:t>
      </w:r>
      <w:r w:rsidR="008A62CD" w:rsidRPr="009C70A0">
        <w:t>)</w:t>
      </w:r>
      <w:r w:rsidRPr="009C70A0">
        <w:t>, AUC and CL) are the most important (surrogate) endpoints for efficacy of a new FVIII product.</w:t>
      </w:r>
      <w:r w:rsidR="008A62CD" w:rsidRPr="009C70A0">
        <w:rPr>
          <w:rStyle w:val="FootnoteReference"/>
        </w:rPr>
        <w:footnoteReference w:id="15"/>
      </w:r>
    </w:p>
    <w:p w:rsidR="00675A4F" w:rsidRPr="008A62CD" w:rsidRDefault="00675A4F" w:rsidP="00BA0064">
      <w:pPr>
        <w:rPr>
          <w:i/>
        </w:rPr>
      </w:pPr>
      <w:r w:rsidRPr="009C70A0">
        <w:t>The primary PK data were derived from 3 multinational, multicentre studies, including GENA-01 and GENA-08 in adults and GENA-03 in children aged 2</w:t>
      </w:r>
      <w:r w:rsidR="008A62CD" w:rsidRPr="009C70A0">
        <w:t xml:space="preserve"> to </w:t>
      </w:r>
      <w:r w:rsidRPr="009C70A0">
        <w:t xml:space="preserve">12 years. The supportive PK data were provided by </w:t>
      </w:r>
      <w:r w:rsidR="009C70A0">
        <w:t>two</w:t>
      </w:r>
      <w:r w:rsidRPr="009C70A0">
        <w:t xml:space="preserve"> studies in adults, GENA-09 (a single-centre study undertaken in Russia that enrolled adult patients with severely affected joints and </w:t>
      </w:r>
      <w:r w:rsidRPr="009C70A0">
        <w:lastRenderedPageBreak/>
        <w:t xml:space="preserve">high historical bleeding rates) and GENA-04 (an extension study to GENA-09). The determination of PK parameters was the primary objective of both GENA-01 and GENA-09. In addition to PK data, all </w:t>
      </w:r>
      <w:r w:rsidR="009C70A0">
        <w:t>five</w:t>
      </w:r>
      <w:r w:rsidRPr="009C70A0">
        <w:t xml:space="preserve"> clinical studies included efficacy and safety data. Consequently, data from these </w:t>
      </w:r>
      <w:r w:rsidR="009C70A0">
        <w:t>five</w:t>
      </w:r>
      <w:r w:rsidRPr="009C70A0">
        <w:t xml:space="preserve"> studies have been evaluated in the </w:t>
      </w:r>
      <w:r w:rsidRPr="009C70A0">
        <w:rPr>
          <w:i/>
        </w:rPr>
        <w:t xml:space="preserve">Pharmacokinetics, Efficacy </w:t>
      </w:r>
      <w:r w:rsidRPr="009C70A0">
        <w:t>and</w:t>
      </w:r>
      <w:r w:rsidRPr="009C70A0">
        <w:rPr>
          <w:i/>
        </w:rPr>
        <w:t xml:space="preserve"> Safety Sections </w:t>
      </w:r>
      <w:r w:rsidRPr="009C70A0">
        <w:t>of th</w:t>
      </w:r>
      <w:r w:rsidR="008A62CD" w:rsidRPr="009C70A0">
        <w:t>e</w:t>
      </w:r>
      <w:r w:rsidRPr="009C70A0">
        <w:rPr>
          <w:i/>
        </w:rPr>
        <w:t xml:space="preserve"> CER.</w:t>
      </w:r>
    </w:p>
    <w:p w:rsidR="008A62CD" w:rsidRDefault="00675A4F" w:rsidP="00BA0064">
      <w:r>
        <w:t>Three studies (</w:t>
      </w:r>
      <w:r w:rsidRPr="007704D3">
        <w:t>GENA-01, GENA-03 and GENA-09</w:t>
      </w:r>
      <w:r>
        <w:t>)</w:t>
      </w:r>
      <w:r w:rsidRPr="007704D3">
        <w:t xml:space="preserve"> included full analyses of all relevant </w:t>
      </w:r>
      <w:r>
        <w:t>PK parameters. Two of these s</w:t>
      </w:r>
      <w:r w:rsidRPr="007704D3">
        <w:t xml:space="preserve">tudies (GENA-01 and GENA-09) used a randomised cross-over design to compare the PK parameters </w:t>
      </w:r>
      <w:r>
        <w:t xml:space="preserve">of </w:t>
      </w:r>
      <w:proofErr w:type="spellStart"/>
      <w:r w:rsidR="009C1E6B">
        <w:t>simoctocog</w:t>
      </w:r>
      <w:proofErr w:type="spellEnd"/>
      <w:r w:rsidR="009C1E6B">
        <w:t xml:space="preserve"> </w:t>
      </w:r>
      <w:r w:rsidR="00FC63A1">
        <w:t>alfa</w:t>
      </w:r>
      <w:r>
        <w:t xml:space="preserve"> </w:t>
      </w:r>
      <w:r w:rsidRPr="007704D3">
        <w:t xml:space="preserve">with those of full-length </w:t>
      </w:r>
      <w:proofErr w:type="spellStart"/>
      <w:r w:rsidRPr="007704D3">
        <w:t>rFVIII</w:t>
      </w:r>
      <w:proofErr w:type="spellEnd"/>
      <w:r w:rsidRPr="007704D3">
        <w:t xml:space="preserve"> concentrate</w:t>
      </w:r>
      <w:r w:rsidR="0041331E">
        <w:t xml:space="preserve"> BHK</w:t>
      </w:r>
      <w:r w:rsidRPr="007704D3">
        <w:t xml:space="preserve">. </w:t>
      </w:r>
      <w:r>
        <w:t xml:space="preserve">In addition, GENA-01 </w:t>
      </w:r>
      <w:r w:rsidRPr="007704D3">
        <w:t xml:space="preserve">included </w:t>
      </w:r>
      <w:r>
        <w:t xml:space="preserve">a </w:t>
      </w:r>
      <w:r w:rsidRPr="007704D3">
        <w:t xml:space="preserve">formal bioequivalence </w:t>
      </w:r>
      <w:r>
        <w:t xml:space="preserve">analysis </w:t>
      </w:r>
      <w:r w:rsidRPr="007704D3">
        <w:t xml:space="preserve">comparing </w:t>
      </w:r>
      <w:proofErr w:type="spellStart"/>
      <w:r w:rsidR="009C1E6B">
        <w:t>simoctocog</w:t>
      </w:r>
      <w:proofErr w:type="spellEnd"/>
      <w:r w:rsidR="009C1E6B">
        <w:t xml:space="preserve"> </w:t>
      </w:r>
      <w:r w:rsidR="00FC63A1">
        <w:t>alfa</w:t>
      </w:r>
      <w:r>
        <w:t xml:space="preserve"> </w:t>
      </w:r>
      <w:r w:rsidRPr="007704D3">
        <w:t>with</w:t>
      </w:r>
      <w:r w:rsidR="00DE4312">
        <w:t xml:space="preserve"> a full-length </w:t>
      </w:r>
      <w:proofErr w:type="spellStart"/>
      <w:r w:rsidR="00DE4312">
        <w:t>rFVIII</w:t>
      </w:r>
      <w:proofErr w:type="spellEnd"/>
      <w:r w:rsidR="0041331E">
        <w:t xml:space="preserve"> BHK</w:t>
      </w:r>
      <w:r w:rsidR="000B1C06">
        <w:t>.</w:t>
      </w:r>
    </w:p>
    <w:p w:rsidR="00675A4F" w:rsidRPr="007704D3" w:rsidRDefault="00675A4F" w:rsidP="00BA0064">
      <w:r>
        <w:t xml:space="preserve">In addition to initial bioequivalence testing and PK analysis, the PKs of </w:t>
      </w:r>
      <w:proofErr w:type="spellStart"/>
      <w:r w:rsidR="009C1E6B">
        <w:t>simoctocog</w:t>
      </w:r>
      <w:proofErr w:type="spellEnd"/>
      <w:r w:rsidR="009C1E6B">
        <w:t xml:space="preserve"> </w:t>
      </w:r>
      <w:r w:rsidR="00FC63A1">
        <w:t>alfa</w:t>
      </w:r>
      <w:r>
        <w:t xml:space="preserve"> were also assessed after 6 months treatment for on-demand bleeding in GENA-01 and for prophylaxis and on-demand treatment for breakthrough bleeding in GENA-09. </w:t>
      </w:r>
      <w:r w:rsidRPr="007704D3">
        <w:t>In accordance</w:t>
      </w:r>
      <w:r>
        <w:t xml:space="preserve"> with the </w:t>
      </w:r>
      <w:r w:rsidR="008A62CD">
        <w:t>TGA adopted EU</w:t>
      </w:r>
      <w:r w:rsidR="008A62CD">
        <w:rPr>
          <w:rStyle w:val="FootnoteReference"/>
        </w:rPr>
        <w:footnoteReference w:id="16"/>
      </w:r>
      <w:r w:rsidRPr="007704D3">
        <w:t xml:space="preserve">, PK parameters in </w:t>
      </w:r>
      <w:r>
        <w:t>the paediatric study (</w:t>
      </w:r>
      <w:r w:rsidRPr="007704D3">
        <w:t>GENA-03</w:t>
      </w:r>
      <w:r>
        <w:t xml:space="preserve">) </w:t>
      </w:r>
      <w:r w:rsidRPr="007704D3">
        <w:t xml:space="preserve">were determined </w:t>
      </w:r>
      <w:r>
        <w:t xml:space="preserve">only </w:t>
      </w:r>
      <w:r w:rsidRPr="007704D3">
        <w:t xml:space="preserve">at </w:t>
      </w:r>
      <w:r>
        <w:t xml:space="preserve">the start of the study, </w:t>
      </w:r>
      <w:r w:rsidRPr="007704D3">
        <w:t>first for the previously used FVIII concentrate (</w:t>
      </w:r>
      <w:proofErr w:type="spellStart"/>
      <w:r w:rsidRPr="007704D3">
        <w:t>pdFVIII</w:t>
      </w:r>
      <w:proofErr w:type="spellEnd"/>
      <w:r w:rsidRPr="007704D3">
        <w:t xml:space="preserve"> or </w:t>
      </w:r>
      <w:proofErr w:type="spellStart"/>
      <w:r w:rsidRPr="007704D3">
        <w:t>rFVIII</w:t>
      </w:r>
      <w:proofErr w:type="spellEnd"/>
      <w:r w:rsidRPr="007704D3">
        <w:t xml:space="preserve">) and subsequently for </w:t>
      </w:r>
      <w:proofErr w:type="spellStart"/>
      <w:r w:rsidR="009C1E6B">
        <w:t>simoctocog</w:t>
      </w:r>
      <w:proofErr w:type="spellEnd"/>
      <w:r w:rsidR="009C1E6B">
        <w:t xml:space="preserve"> </w:t>
      </w:r>
      <w:r w:rsidR="00FC63A1">
        <w:t>alfa</w:t>
      </w:r>
      <w:r w:rsidRPr="007704D3">
        <w:t xml:space="preserve">. In the remaining two studies, GENA-04 and GENA-08, only </w:t>
      </w:r>
      <w:r w:rsidRPr="008A62CD">
        <w:t>in vivo</w:t>
      </w:r>
      <w:r w:rsidRPr="007704D3">
        <w:t xml:space="preserve"> recovery (IVR) data were collected. </w:t>
      </w:r>
      <w:r w:rsidRPr="007704D3">
        <w:rPr>
          <w:color w:val="000000"/>
        </w:rPr>
        <w:t xml:space="preserve">An overview of the studies providing </w:t>
      </w:r>
      <w:r w:rsidRPr="007704D3">
        <w:t xml:space="preserve">PK assessment of </w:t>
      </w:r>
      <w:proofErr w:type="spellStart"/>
      <w:r w:rsidR="009C1E6B">
        <w:t>simoctocog</w:t>
      </w:r>
      <w:proofErr w:type="spellEnd"/>
      <w:r w:rsidR="009C1E6B">
        <w:t xml:space="preserve"> </w:t>
      </w:r>
      <w:r w:rsidR="00FC63A1">
        <w:t>alfa</w:t>
      </w:r>
      <w:r>
        <w:t xml:space="preserve"> </w:t>
      </w:r>
      <w:r w:rsidRPr="007704D3">
        <w:t xml:space="preserve">is provided below in Table </w:t>
      </w:r>
      <w:r w:rsidR="008A62CD">
        <w:t>4</w:t>
      </w:r>
      <w:r w:rsidR="000B1C06">
        <w:t>.</w:t>
      </w:r>
    </w:p>
    <w:p w:rsidR="00675A4F" w:rsidRPr="007C42EE" w:rsidRDefault="00675A4F" w:rsidP="000B1C06">
      <w:pPr>
        <w:pStyle w:val="TableTitle"/>
      </w:pPr>
      <w:bookmarkStart w:id="70" w:name="_Toc248202519"/>
      <w:proofErr w:type="gramStart"/>
      <w:r>
        <w:t>Table</w:t>
      </w:r>
      <w:r w:rsidR="008A62CD">
        <w:t xml:space="preserve"> 4</w:t>
      </w:r>
      <w:r>
        <w:t xml:space="preserve">: </w:t>
      </w:r>
      <w:r w:rsidRPr="0083621E">
        <w:t xml:space="preserve">Overview of studies providing PK data for </w:t>
      </w:r>
      <w:proofErr w:type="spellStart"/>
      <w:r w:rsidR="009C1E6B">
        <w:t>simoctocog</w:t>
      </w:r>
      <w:proofErr w:type="spellEnd"/>
      <w:r w:rsidR="009C1E6B">
        <w:t xml:space="preserve"> alfa</w:t>
      </w:r>
      <w:r w:rsidRPr="0083621E">
        <w:t>.</w:t>
      </w:r>
      <w:bookmarkEnd w:id="70"/>
      <w:proofErr w:type="gramEnd"/>
    </w:p>
    <w:tbl>
      <w:tblPr>
        <w:tblStyle w:val="TableTGAblue"/>
        <w:tblW w:w="8529" w:type="dxa"/>
        <w:tblInd w:w="108" w:type="dxa"/>
        <w:tblLook w:val="04A0" w:firstRow="1" w:lastRow="0" w:firstColumn="1" w:lastColumn="0" w:noHBand="0" w:noVBand="1"/>
      </w:tblPr>
      <w:tblGrid>
        <w:gridCol w:w="1716"/>
        <w:gridCol w:w="1436"/>
        <w:gridCol w:w="1145"/>
        <w:gridCol w:w="1535"/>
        <w:gridCol w:w="1436"/>
        <w:gridCol w:w="1344"/>
      </w:tblGrid>
      <w:tr w:rsidR="00B62283" w:rsidRPr="00382E4E" w:rsidTr="00D96B88">
        <w:trPr>
          <w:cnfStyle w:val="100000000000" w:firstRow="1" w:lastRow="0" w:firstColumn="0" w:lastColumn="0" w:oddVBand="0" w:evenVBand="0" w:oddHBand="0" w:evenHBand="0" w:firstRowFirstColumn="0" w:firstRowLastColumn="0" w:lastRowFirstColumn="0" w:lastRowLastColumn="0"/>
        </w:trPr>
        <w:tc>
          <w:tcPr>
            <w:tcW w:w="1621" w:type="dxa"/>
          </w:tcPr>
          <w:p w:rsidR="00B62283" w:rsidRPr="00382E4E" w:rsidRDefault="00B62283" w:rsidP="000B1C06"/>
        </w:tc>
        <w:tc>
          <w:tcPr>
            <w:tcW w:w="1301" w:type="dxa"/>
          </w:tcPr>
          <w:p w:rsidR="00B62283" w:rsidRPr="00382E4E" w:rsidRDefault="00B62283" w:rsidP="000B1C06">
            <w:r w:rsidRPr="00382E4E">
              <w:t>GENA-01</w:t>
            </w:r>
            <w:r w:rsidR="000B1C06">
              <w:t xml:space="preserve"> </w:t>
            </w:r>
            <w:r w:rsidRPr="005B504E">
              <w:rPr>
                <w:i/>
              </w:rPr>
              <w:t>Pivotal</w:t>
            </w:r>
          </w:p>
        </w:tc>
        <w:tc>
          <w:tcPr>
            <w:tcW w:w="1396" w:type="dxa"/>
          </w:tcPr>
          <w:p w:rsidR="00B62283" w:rsidRPr="00382E4E" w:rsidRDefault="00B62283" w:rsidP="000B1C06">
            <w:r w:rsidRPr="00382E4E">
              <w:t>GENA-08</w:t>
            </w:r>
            <w:r w:rsidR="000B1C06">
              <w:t xml:space="preserve"> </w:t>
            </w:r>
            <w:r w:rsidRPr="005B504E">
              <w:rPr>
                <w:i/>
              </w:rPr>
              <w:t>Pivotal</w:t>
            </w:r>
          </w:p>
        </w:tc>
        <w:tc>
          <w:tcPr>
            <w:tcW w:w="1399" w:type="dxa"/>
          </w:tcPr>
          <w:p w:rsidR="00B62283" w:rsidRPr="00382E4E" w:rsidRDefault="00B62283" w:rsidP="000B1C06">
            <w:r w:rsidRPr="00382E4E">
              <w:t>GENA-03</w:t>
            </w:r>
            <w:r w:rsidR="000B1C06">
              <w:t xml:space="preserve"> </w:t>
            </w:r>
            <w:r w:rsidRPr="005B504E">
              <w:rPr>
                <w:i/>
              </w:rPr>
              <w:t>Pivotal</w:t>
            </w:r>
          </w:p>
        </w:tc>
        <w:tc>
          <w:tcPr>
            <w:tcW w:w="1405" w:type="dxa"/>
          </w:tcPr>
          <w:p w:rsidR="00B62283" w:rsidRPr="00382E4E" w:rsidRDefault="00B62283" w:rsidP="000B1C06">
            <w:r w:rsidRPr="00382E4E">
              <w:t>GENA-09</w:t>
            </w:r>
            <w:r w:rsidR="000B1C06">
              <w:t xml:space="preserve"> </w:t>
            </w:r>
            <w:r w:rsidRPr="005B504E">
              <w:rPr>
                <w:i/>
              </w:rPr>
              <w:t>Supportive</w:t>
            </w:r>
          </w:p>
        </w:tc>
        <w:tc>
          <w:tcPr>
            <w:tcW w:w="1407" w:type="dxa"/>
          </w:tcPr>
          <w:p w:rsidR="00B62283" w:rsidRPr="00382E4E" w:rsidRDefault="00B62283" w:rsidP="000B1C06">
            <w:r w:rsidRPr="00382E4E">
              <w:t>GENA-04</w:t>
            </w:r>
            <w:r w:rsidR="000B1C06">
              <w:t xml:space="preserve"> </w:t>
            </w:r>
            <w:r w:rsidRPr="005B504E">
              <w:rPr>
                <w:i/>
              </w:rPr>
              <w:t>Supportive</w:t>
            </w:r>
          </w:p>
        </w:tc>
      </w:tr>
      <w:tr w:rsidR="00B62283" w:rsidRPr="00382E4E" w:rsidTr="00D96B88">
        <w:tc>
          <w:tcPr>
            <w:tcW w:w="1621" w:type="dxa"/>
          </w:tcPr>
          <w:p w:rsidR="00B62283" w:rsidRPr="00382E4E" w:rsidRDefault="00B62283" w:rsidP="000B1C06">
            <w:r w:rsidRPr="00382E4E">
              <w:t>Patients</w:t>
            </w:r>
            <w:r w:rsidRPr="0083621E">
              <w:t>‡</w:t>
            </w:r>
          </w:p>
        </w:tc>
        <w:tc>
          <w:tcPr>
            <w:tcW w:w="1301" w:type="dxa"/>
          </w:tcPr>
          <w:p w:rsidR="00B62283" w:rsidRPr="00382E4E" w:rsidRDefault="00B62283" w:rsidP="000B1C06">
            <w:r w:rsidRPr="00382E4E">
              <w:t>22 PTPs</w:t>
            </w:r>
            <w:r w:rsidR="000B1C06">
              <w:t xml:space="preserve"> </w:t>
            </w:r>
            <w:r w:rsidRPr="00382E4E">
              <w:t>12</w:t>
            </w:r>
            <w:r>
              <w:t>–</w:t>
            </w:r>
            <w:r w:rsidRPr="00382E4E">
              <w:t>65 years</w:t>
            </w:r>
          </w:p>
        </w:tc>
        <w:tc>
          <w:tcPr>
            <w:tcW w:w="1396" w:type="dxa"/>
          </w:tcPr>
          <w:p w:rsidR="00B62283" w:rsidRPr="00382E4E" w:rsidRDefault="00B62283" w:rsidP="000B1C06">
            <w:r w:rsidRPr="00382E4E">
              <w:t>32 PTPs 18</w:t>
            </w:r>
            <w:r>
              <w:t>–</w:t>
            </w:r>
            <w:r w:rsidRPr="00382E4E">
              <w:t>75 years</w:t>
            </w:r>
          </w:p>
        </w:tc>
        <w:tc>
          <w:tcPr>
            <w:tcW w:w="1399" w:type="dxa"/>
          </w:tcPr>
          <w:p w:rsidR="00B62283" w:rsidRPr="00382E4E" w:rsidRDefault="00B62283" w:rsidP="000B1C06">
            <w:r w:rsidRPr="00382E4E">
              <w:t>59 PTPs</w:t>
            </w:r>
            <w:r w:rsidR="000B1C06">
              <w:t xml:space="preserve"> </w:t>
            </w:r>
            <w:r w:rsidRPr="00382E4E">
              <w:t>2</w:t>
            </w:r>
            <w:r>
              <w:t>–</w:t>
            </w:r>
            <w:r w:rsidRPr="00382E4E">
              <w:t>12</w:t>
            </w:r>
            <w:r>
              <w:t xml:space="preserve"> years (26 for PK)</w:t>
            </w:r>
          </w:p>
        </w:tc>
        <w:tc>
          <w:tcPr>
            <w:tcW w:w="1405" w:type="dxa"/>
          </w:tcPr>
          <w:p w:rsidR="00B62283" w:rsidRPr="00382E4E" w:rsidRDefault="00B62283" w:rsidP="000B1C06">
            <w:r w:rsidRPr="00382E4E">
              <w:t>22 PTPs 18</w:t>
            </w:r>
            <w:r>
              <w:t>–</w:t>
            </w:r>
            <w:r w:rsidRPr="00382E4E">
              <w:t>62 years</w:t>
            </w:r>
          </w:p>
        </w:tc>
        <w:tc>
          <w:tcPr>
            <w:tcW w:w="1407" w:type="dxa"/>
          </w:tcPr>
          <w:p w:rsidR="00B62283" w:rsidRPr="00382E4E" w:rsidRDefault="00B62283" w:rsidP="000B1C06">
            <w:r w:rsidRPr="00382E4E">
              <w:t>18 PTPs who</w:t>
            </w:r>
            <w:r>
              <w:t xml:space="preserve"> completed GENA-09</w:t>
            </w:r>
          </w:p>
        </w:tc>
      </w:tr>
      <w:tr w:rsidR="00B62283" w:rsidRPr="00382E4E" w:rsidTr="00D96B88">
        <w:tc>
          <w:tcPr>
            <w:tcW w:w="1621" w:type="dxa"/>
          </w:tcPr>
          <w:p w:rsidR="00B62283" w:rsidRPr="00382E4E" w:rsidRDefault="00B62283" w:rsidP="000B1C06">
            <w:r>
              <w:t>PK investigation (including IVR)</w:t>
            </w:r>
          </w:p>
        </w:tc>
        <w:tc>
          <w:tcPr>
            <w:tcW w:w="1301" w:type="dxa"/>
          </w:tcPr>
          <w:p w:rsidR="00B62283" w:rsidRPr="00382E4E" w:rsidRDefault="00B62283" w:rsidP="000B1C06">
            <w:r>
              <w:t xml:space="preserve">At baseline (full-length </w:t>
            </w:r>
            <w:proofErr w:type="spellStart"/>
            <w:r>
              <w:t>rFVIII</w:t>
            </w:r>
            <w:proofErr w:type="spellEnd"/>
            <w:r>
              <w:t xml:space="preserve"> comparator) and 6 months (only </w:t>
            </w:r>
            <w:proofErr w:type="spellStart"/>
            <w:r>
              <w:t>simoctocog</w:t>
            </w:r>
            <w:proofErr w:type="spellEnd"/>
            <w:r>
              <w:t xml:space="preserve"> alfa)</w:t>
            </w:r>
          </w:p>
        </w:tc>
        <w:tc>
          <w:tcPr>
            <w:tcW w:w="1396" w:type="dxa"/>
          </w:tcPr>
          <w:p w:rsidR="00B62283" w:rsidRPr="00382E4E" w:rsidRDefault="00B62283" w:rsidP="000B1C06">
            <w:r w:rsidRPr="00382E4E">
              <w:t xml:space="preserve">– </w:t>
            </w:r>
          </w:p>
        </w:tc>
        <w:tc>
          <w:tcPr>
            <w:tcW w:w="1399" w:type="dxa"/>
          </w:tcPr>
          <w:p w:rsidR="00B62283" w:rsidRPr="00382E4E" w:rsidRDefault="00B62283" w:rsidP="000B1C06">
            <w:r>
              <w:t>At baseline (comparator: previous FVIII concentrate)†</w:t>
            </w:r>
          </w:p>
        </w:tc>
        <w:tc>
          <w:tcPr>
            <w:tcW w:w="1405" w:type="dxa"/>
          </w:tcPr>
          <w:p w:rsidR="00B62283" w:rsidRPr="00382E4E" w:rsidRDefault="00B62283" w:rsidP="000B1C06">
            <w:r>
              <w:t xml:space="preserve">At baseline (full-length </w:t>
            </w:r>
            <w:proofErr w:type="spellStart"/>
            <w:r>
              <w:t>rFVIII</w:t>
            </w:r>
            <w:proofErr w:type="spellEnd"/>
            <w:r>
              <w:t xml:space="preserve"> comparator) and 6 months (only </w:t>
            </w:r>
            <w:proofErr w:type="spellStart"/>
            <w:r>
              <w:t>simoctocog</w:t>
            </w:r>
            <w:proofErr w:type="spellEnd"/>
            <w:r>
              <w:t xml:space="preserve"> alfa)</w:t>
            </w:r>
          </w:p>
        </w:tc>
        <w:tc>
          <w:tcPr>
            <w:tcW w:w="1407" w:type="dxa"/>
          </w:tcPr>
          <w:p w:rsidR="00B62283" w:rsidRPr="00382E4E" w:rsidRDefault="00B62283" w:rsidP="000B1C06">
            <w:r w:rsidRPr="00382E4E">
              <w:t>–</w:t>
            </w:r>
          </w:p>
        </w:tc>
      </w:tr>
      <w:tr w:rsidR="00B62283" w:rsidRPr="00382E4E" w:rsidTr="00D96B88">
        <w:tc>
          <w:tcPr>
            <w:tcW w:w="1621" w:type="dxa"/>
          </w:tcPr>
          <w:p w:rsidR="00B62283" w:rsidRPr="00382E4E" w:rsidRDefault="00B62283" w:rsidP="000B1C06">
            <w:r>
              <w:t>IVR investigation only</w:t>
            </w:r>
          </w:p>
        </w:tc>
        <w:tc>
          <w:tcPr>
            <w:tcW w:w="1301" w:type="dxa"/>
          </w:tcPr>
          <w:p w:rsidR="00B62283" w:rsidRPr="00382E4E" w:rsidRDefault="00B62283" w:rsidP="000B1C06">
            <w:r>
              <w:t xml:space="preserve">At </w:t>
            </w:r>
            <w:r w:rsidRPr="00382E4E">
              <w:t xml:space="preserve">3 </w:t>
            </w:r>
            <w:r>
              <w:t>months</w:t>
            </w:r>
            <w:r>
              <w:br/>
            </w:r>
          </w:p>
        </w:tc>
        <w:tc>
          <w:tcPr>
            <w:tcW w:w="1396" w:type="dxa"/>
          </w:tcPr>
          <w:p w:rsidR="00B62283" w:rsidRPr="00382E4E" w:rsidRDefault="00B62283" w:rsidP="000B1C06">
            <w:r>
              <w:t xml:space="preserve">At baseline, </w:t>
            </w:r>
            <w:r w:rsidRPr="00382E4E">
              <w:t xml:space="preserve">3 </w:t>
            </w:r>
            <w:r>
              <w:t>and 6</w:t>
            </w:r>
            <w:r w:rsidRPr="00382E4E">
              <w:t xml:space="preserve"> </w:t>
            </w:r>
            <w:r w:rsidRPr="00382E4E">
              <w:lastRenderedPageBreak/>
              <w:t>months</w:t>
            </w:r>
          </w:p>
        </w:tc>
        <w:tc>
          <w:tcPr>
            <w:tcW w:w="1399" w:type="dxa"/>
          </w:tcPr>
          <w:p w:rsidR="00B62283" w:rsidRPr="00382E4E" w:rsidRDefault="00B62283" w:rsidP="000B1C06">
            <w:r>
              <w:lastRenderedPageBreak/>
              <w:t>At baseline</w:t>
            </w:r>
            <w:r w:rsidRPr="0083621E">
              <w:t>†</w:t>
            </w:r>
            <w:r>
              <w:t>, 3</w:t>
            </w:r>
            <w:r w:rsidRPr="0083621E">
              <w:t>‡</w:t>
            </w:r>
            <w:r>
              <w:t xml:space="preserve"> and </w:t>
            </w:r>
            <w:r w:rsidRPr="00382E4E">
              <w:t>6</w:t>
            </w:r>
            <w:r w:rsidRPr="0083621E">
              <w:t>‡</w:t>
            </w:r>
            <w:r w:rsidRPr="00382E4E">
              <w:t xml:space="preserve"> </w:t>
            </w:r>
            <w:r w:rsidRPr="00382E4E">
              <w:lastRenderedPageBreak/>
              <w:t>months</w:t>
            </w:r>
          </w:p>
        </w:tc>
        <w:tc>
          <w:tcPr>
            <w:tcW w:w="1405" w:type="dxa"/>
          </w:tcPr>
          <w:p w:rsidR="00B62283" w:rsidRPr="00382E4E" w:rsidRDefault="00B62283" w:rsidP="000B1C06">
            <w:r>
              <w:lastRenderedPageBreak/>
              <w:t xml:space="preserve">At </w:t>
            </w:r>
            <w:r w:rsidRPr="00382E4E">
              <w:t>3 months</w:t>
            </w:r>
          </w:p>
        </w:tc>
        <w:tc>
          <w:tcPr>
            <w:tcW w:w="1407" w:type="dxa"/>
          </w:tcPr>
          <w:p w:rsidR="00B62283" w:rsidRPr="00382E4E" w:rsidRDefault="00B62283" w:rsidP="000B1C06">
            <w:r>
              <w:t xml:space="preserve">At </w:t>
            </w:r>
            <w:r w:rsidRPr="00382E4E">
              <w:t>3 months</w:t>
            </w:r>
            <w:r>
              <w:t>,</w:t>
            </w:r>
            <w:r w:rsidRPr="00382E4E">
              <w:t xml:space="preserve"> </w:t>
            </w:r>
            <w:r>
              <w:t xml:space="preserve">then </w:t>
            </w:r>
            <w:r w:rsidRPr="00382E4E">
              <w:t>3 monthl</w:t>
            </w:r>
            <w:r w:rsidRPr="00382E4E">
              <w:lastRenderedPageBreak/>
              <w:t>y until study end</w:t>
            </w:r>
          </w:p>
        </w:tc>
      </w:tr>
      <w:tr w:rsidR="00B62283" w:rsidRPr="00382E4E" w:rsidTr="00D96B88">
        <w:tc>
          <w:tcPr>
            <w:tcW w:w="1621" w:type="dxa"/>
          </w:tcPr>
          <w:p w:rsidR="00B62283" w:rsidRPr="00382E4E" w:rsidRDefault="00B62283" w:rsidP="000B1C06">
            <w:r w:rsidRPr="00382E4E">
              <w:lastRenderedPageBreak/>
              <w:t>Immunogenicity</w:t>
            </w:r>
          </w:p>
        </w:tc>
        <w:tc>
          <w:tcPr>
            <w:tcW w:w="1301" w:type="dxa"/>
          </w:tcPr>
          <w:p w:rsidR="00B62283" w:rsidRPr="00382E4E" w:rsidRDefault="00B62283" w:rsidP="000B1C06">
            <w:r w:rsidRPr="00382E4E">
              <w:t>Yes</w:t>
            </w:r>
          </w:p>
        </w:tc>
        <w:tc>
          <w:tcPr>
            <w:tcW w:w="1396" w:type="dxa"/>
          </w:tcPr>
          <w:p w:rsidR="00B62283" w:rsidRPr="00382E4E" w:rsidRDefault="00B62283" w:rsidP="000B1C06">
            <w:r w:rsidRPr="00382E4E">
              <w:t>Yes</w:t>
            </w:r>
          </w:p>
        </w:tc>
        <w:tc>
          <w:tcPr>
            <w:tcW w:w="1399" w:type="dxa"/>
          </w:tcPr>
          <w:p w:rsidR="00B62283" w:rsidRPr="00382E4E" w:rsidRDefault="00B62283" w:rsidP="000B1C06">
            <w:r w:rsidRPr="00382E4E">
              <w:t>Yes</w:t>
            </w:r>
          </w:p>
        </w:tc>
        <w:tc>
          <w:tcPr>
            <w:tcW w:w="1405" w:type="dxa"/>
          </w:tcPr>
          <w:p w:rsidR="00B62283" w:rsidRPr="00382E4E" w:rsidRDefault="00B62283" w:rsidP="000B1C06">
            <w:r w:rsidRPr="00382E4E">
              <w:t>Yes</w:t>
            </w:r>
          </w:p>
        </w:tc>
        <w:tc>
          <w:tcPr>
            <w:tcW w:w="1407" w:type="dxa"/>
          </w:tcPr>
          <w:p w:rsidR="00B62283" w:rsidRPr="00382E4E" w:rsidRDefault="00B62283" w:rsidP="000B1C06">
            <w:r w:rsidRPr="00382E4E">
              <w:t>Yes</w:t>
            </w:r>
          </w:p>
        </w:tc>
      </w:tr>
      <w:tr w:rsidR="00B62283" w:rsidRPr="00382E4E" w:rsidTr="00D96B88">
        <w:tc>
          <w:tcPr>
            <w:tcW w:w="1621" w:type="dxa"/>
          </w:tcPr>
          <w:p w:rsidR="00B62283" w:rsidRPr="00382E4E" w:rsidRDefault="00B62283" w:rsidP="000B1C06">
            <w:r w:rsidRPr="00382E4E">
              <w:t>Efficacy</w:t>
            </w:r>
          </w:p>
        </w:tc>
        <w:tc>
          <w:tcPr>
            <w:tcW w:w="1301" w:type="dxa"/>
          </w:tcPr>
          <w:p w:rsidR="00B62283" w:rsidRPr="00382E4E" w:rsidRDefault="00B62283" w:rsidP="000B1C06">
            <w:r w:rsidRPr="00382E4E">
              <w:t>Yes</w:t>
            </w:r>
          </w:p>
        </w:tc>
        <w:tc>
          <w:tcPr>
            <w:tcW w:w="1396" w:type="dxa"/>
          </w:tcPr>
          <w:p w:rsidR="00B62283" w:rsidRPr="00382E4E" w:rsidRDefault="00B62283" w:rsidP="000B1C06">
            <w:r w:rsidRPr="00382E4E">
              <w:t>Yes</w:t>
            </w:r>
          </w:p>
        </w:tc>
        <w:tc>
          <w:tcPr>
            <w:tcW w:w="1399" w:type="dxa"/>
          </w:tcPr>
          <w:p w:rsidR="00B62283" w:rsidRPr="00382E4E" w:rsidRDefault="00B62283" w:rsidP="000B1C06">
            <w:r w:rsidRPr="00382E4E">
              <w:t>Yes</w:t>
            </w:r>
          </w:p>
        </w:tc>
        <w:tc>
          <w:tcPr>
            <w:tcW w:w="1405" w:type="dxa"/>
          </w:tcPr>
          <w:p w:rsidR="00B62283" w:rsidRPr="00382E4E" w:rsidRDefault="00B62283" w:rsidP="000B1C06">
            <w:r w:rsidRPr="00382E4E">
              <w:t>Yes</w:t>
            </w:r>
          </w:p>
        </w:tc>
        <w:tc>
          <w:tcPr>
            <w:tcW w:w="1407" w:type="dxa"/>
          </w:tcPr>
          <w:p w:rsidR="00B62283" w:rsidRPr="00382E4E" w:rsidRDefault="00B62283" w:rsidP="000B1C06">
            <w:r w:rsidRPr="00382E4E">
              <w:t>Yes</w:t>
            </w:r>
          </w:p>
        </w:tc>
      </w:tr>
      <w:tr w:rsidR="00B62283" w:rsidRPr="00382E4E" w:rsidTr="00D96B88">
        <w:tc>
          <w:tcPr>
            <w:tcW w:w="1621" w:type="dxa"/>
          </w:tcPr>
          <w:p w:rsidR="00B62283" w:rsidRPr="00382E4E" w:rsidRDefault="00B62283" w:rsidP="000B1C06">
            <w:r w:rsidRPr="00382E4E">
              <w:t>Safety</w:t>
            </w:r>
          </w:p>
        </w:tc>
        <w:tc>
          <w:tcPr>
            <w:tcW w:w="1301" w:type="dxa"/>
          </w:tcPr>
          <w:p w:rsidR="00B62283" w:rsidRPr="00382E4E" w:rsidRDefault="00B62283" w:rsidP="000B1C06">
            <w:r w:rsidRPr="00382E4E">
              <w:t>Yes</w:t>
            </w:r>
          </w:p>
        </w:tc>
        <w:tc>
          <w:tcPr>
            <w:tcW w:w="1396" w:type="dxa"/>
          </w:tcPr>
          <w:p w:rsidR="00B62283" w:rsidRPr="00382E4E" w:rsidRDefault="00B62283" w:rsidP="000B1C06">
            <w:r w:rsidRPr="00382E4E">
              <w:t>Yes</w:t>
            </w:r>
          </w:p>
        </w:tc>
        <w:tc>
          <w:tcPr>
            <w:tcW w:w="1399" w:type="dxa"/>
          </w:tcPr>
          <w:p w:rsidR="00B62283" w:rsidRPr="00382E4E" w:rsidRDefault="00B62283" w:rsidP="000B1C06">
            <w:r w:rsidRPr="00382E4E">
              <w:t>Yes</w:t>
            </w:r>
          </w:p>
        </w:tc>
        <w:tc>
          <w:tcPr>
            <w:tcW w:w="1405" w:type="dxa"/>
          </w:tcPr>
          <w:p w:rsidR="00B62283" w:rsidRPr="00382E4E" w:rsidRDefault="00B62283" w:rsidP="000B1C06">
            <w:r w:rsidRPr="00382E4E">
              <w:t>Yes</w:t>
            </w:r>
          </w:p>
        </w:tc>
        <w:tc>
          <w:tcPr>
            <w:tcW w:w="1407" w:type="dxa"/>
          </w:tcPr>
          <w:p w:rsidR="00B62283" w:rsidRPr="00382E4E" w:rsidRDefault="00B62283" w:rsidP="000B1C06">
            <w:r w:rsidRPr="00382E4E">
              <w:t>Yes</w:t>
            </w:r>
          </w:p>
        </w:tc>
      </w:tr>
    </w:tbl>
    <w:p w:rsidR="00675A4F" w:rsidRPr="00675A4F" w:rsidRDefault="00675A4F" w:rsidP="000B1C06">
      <w:pPr>
        <w:pStyle w:val="TableDescription"/>
      </w:pPr>
      <w:r w:rsidRPr="0083621E">
        <w:t xml:space="preserve">‡ All patients. † Patients not participating in the PK phase of the study. FVIII = coagulation </w:t>
      </w:r>
      <w:r w:rsidR="00BA154F">
        <w:t>FVIII</w:t>
      </w:r>
      <w:r w:rsidRPr="0083621E">
        <w:t>; IVR = in vivo recovery; PK = pharmacokinetic; PTP = previously treated patient.</w:t>
      </w:r>
    </w:p>
    <w:p w:rsidR="00605AD4" w:rsidRDefault="00605AD4" w:rsidP="00605AD4">
      <w:pPr>
        <w:pStyle w:val="Heading4"/>
      </w:pPr>
      <w:r>
        <w:t>Evaluator’s conclusions on pharmacokinetics</w:t>
      </w:r>
    </w:p>
    <w:p w:rsidR="009622D4" w:rsidRPr="00654C7A" w:rsidRDefault="009622D4" w:rsidP="009622D4">
      <w:pPr>
        <w:widowControl w:val="0"/>
        <w:autoSpaceDE w:val="0"/>
        <w:autoSpaceDN w:val="0"/>
        <w:adjustRightInd w:val="0"/>
      </w:pPr>
      <w:r w:rsidRPr="00654C7A">
        <w:t xml:space="preserve">The PKs of </w:t>
      </w:r>
      <w:proofErr w:type="spellStart"/>
      <w:r w:rsidR="009C1E6B">
        <w:t>simoctocog</w:t>
      </w:r>
      <w:proofErr w:type="spellEnd"/>
      <w:r w:rsidR="009C1E6B">
        <w:t xml:space="preserve"> </w:t>
      </w:r>
      <w:r w:rsidR="00FC63A1">
        <w:t>alfa</w:t>
      </w:r>
      <w:r>
        <w:t xml:space="preserve"> </w:t>
      </w:r>
      <w:r w:rsidRPr="00654C7A">
        <w:t>have be</w:t>
      </w:r>
      <w:r>
        <w:t xml:space="preserve">en satisfactorily characterised </w:t>
      </w:r>
      <w:r w:rsidRPr="00654C7A">
        <w:t xml:space="preserve">in </w:t>
      </w:r>
      <w:r>
        <w:t xml:space="preserve">previously treated adults and </w:t>
      </w:r>
      <w:r w:rsidRPr="00654C7A">
        <w:t xml:space="preserve">children aged </w:t>
      </w:r>
      <w:r>
        <w:t>2</w:t>
      </w:r>
      <w:r w:rsidR="008A62CD">
        <w:t xml:space="preserve"> to </w:t>
      </w:r>
      <w:r>
        <w:t xml:space="preserve">12 </w:t>
      </w:r>
      <w:r w:rsidRPr="00654C7A">
        <w:t>years with seve</w:t>
      </w:r>
      <w:r>
        <w:t>re haemophilia A (FVIII:</w:t>
      </w:r>
      <w:r w:rsidR="002F0BEA">
        <w:t xml:space="preserve"> </w:t>
      </w:r>
      <w:r>
        <w:t xml:space="preserve">C </w:t>
      </w:r>
      <w:r w:rsidR="008A62CD">
        <w:t>≤</w:t>
      </w:r>
      <w:r>
        <w:t xml:space="preserve"> 1%). The submission included five clinical studies with PK data for </w:t>
      </w:r>
      <w:proofErr w:type="spellStart"/>
      <w:r w:rsidR="009C1E6B">
        <w:t>simoctocog</w:t>
      </w:r>
      <w:proofErr w:type="spellEnd"/>
      <w:r w:rsidR="009C1E6B">
        <w:t xml:space="preserve"> </w:t>
      </w:r>
      <w:r w:rsidR="00FC63A1">
        <w:t>alfa</w:t>
      </w:r>
      <w:r>
        <w:t xml:space="preserve">. </w:t>
      </w:r>
      <w:r w:rsidRPr="00654C7A">
        <w:t xml:space="preserve">The primary PK </w:t>
      </w:r>
      <w:r>
        <w:t>data were provided in</w:t>
      </w:r>
      <w:r w:rsidRPr="00654C7A">
        <w:t xml:space="preserve"> GENA-01 (22 adult patients), GENA-03 (26 children aged 2 to 12 years), and GENA-01 (32 adult patients). The </w:t>
      </w:r>
      <w:r>
        <w:t xml:space="preserve">supportive </w:t>
      </w:r>
      <w:r w:rsidRPr="00654C7A">
        <w:t xml:space="preserve">PK </w:t>
      </w:r>
      <w:r>
        <w:t xml:space="preserve">data were provided in two </w:t>
      </w:r>
      <w:r w:rsidRPr="00654C7A">
        <w:t>studies in adults, GENA-09 (n=22) and its extension GENA-04 (n=18). Studies GENA-01, GENA-03 and</w:t>
      </w:r>
      <w:r>
        <w:t xml:space="preserve"> GENA-09 included comprehensive </w:t>
      </w:r>
      <w:r w:rsidRPr="00654C7A">
        <w:t xml:space="preserve">PK </w:t>
      </w:r>
      <w:r>
        <w:t>data</w:t>
      </w:r>
      <w:r w:rsidRPr="00654C7A">
        <w:t>, while studies GENA-08 and GENA-04 provided data</w:t>
      </w:r>
      <w:r>
        <w:t xml:space="preserve"> relating to IVR. No </w:t>
      </w:r>
      <w:r w:rsidRPr="00654C7A">
        <w:rPr>
          <w:rFonts w:cs="Ä¨˙ø¶’"/>
        </w:rPr>
        <w:t xml:space="preserve">patients </w:t>
      </w:r>
      <w:r>
        <w:rPr>
          <w:rFonts w:cs="Ä¨˙ø¶’"/>
        </w:rPr>
        <w:t xml:space="preserve">in the five clinical studies </w:t>
      </w:r>
      <w:r w:rsidRPr="00654C7A">
        <w:rPr>
          <w:rFonts w:cs="Ä¨˙ø¶’"/>
        </w:rPr>
        <w:t xml:space="preserve">had </w:t>
      </w:r>
      <w:r>
        <w:rPr>
          <w:rFonts w:cs="Ä¨˙ø¶’"/>
        </w:rPr>
        <w:t xml:space="preserve">FVIII inhibitors at study entry. All patients in the five studies were males and </w:t>
      </w:r>
      <w:r w:rsidRPr="00654C7A">
        <w:t>were predominantly</w:t>
      </w:r>
      <w:r w:rsidR="008A62CD">
        <w:t xml:space="preserve"> W</w:t>
      </w:r>
      <w:r w:rsidRPr="00654C7A">
        <w:t xml:space="preserve">hite. </w:t>
      </w:r>
      <w:r>
        <w:t>T</w:t>
      </w:r>
      <w:r w:rsidRPr="00654C7A">
        <w:t>here were no PK data in patients younger than 2 years of age.</w:t>
      </w:r>
      <w:r>
        <w:t xml:space="preserve"> There were no PK data in </w:t>
      </w:r>
      <w:r w:rsidR="00FC63A1">
        <w:t>PUPs</w:t>
      </w:r>
      <w:r>
        <w:t xml:space="preserve">. There were no PK studies specifically in adolescents aged &gt; 12 years to ≤ 18 years, or in patients aged ≥ 65 years. </w:t>
      </w:r>
    </w:p>
    <w:p w:rsidR="009622D4" w:rsidRPr="00A94FD5" w:rsidRDefault="009622D4" w:rsidP="00B62283">
      <w:r w:rsidRPr="00654C7A">
        <w:t>In all studies, the FVIII products were administered at a dose of 50 IU/kg (labelled potency). FVIII:</w:t>
      </w:r>
      <w:r w:rsidR="008A62CD">
        <w:t xml:space="preserve"> </w:t>
      </w:r>
      <w:r w:rsidRPr="00654C7A">
        <w:t xml:space="preserve">C plasma levels were determined by validated </w:t>
      </w:r>
      <w:r w:rsidR="008A62CD" w:rsidRPr="00151DCE">
        <w:rPr>
          <w:lang w:eastAsia="en-AU"/>
        </w:rPr>
        <w:t>Chromogenic</w:t>
      </w:r>
      <w:r w:rsidR="008A62CD">
        <w:rPr>
          <w:lang w:eastAsia="en-AU"/>
        </w:rPr>
        <w:t xml:space="preserve"> </w:t>
      </w:r>
      <w:r w:rsidR="008A62CD">
        <w:t>(</w:t>
      </w:r>
      <w:r w:rsidRPr="00654C7A">
        <w:t>CHR</w:t>
      </w:r>
      <w:r w:rsidR="008A62CD">
        <w:t>)</w:t>
      </w:r>
      <w:r w:rsidRPr="00654C7A">
        <w:t xml:space="preserve"> and </w:t>
      </w:r>
      <w:proofErr w:type="gramStart"/>
      <w:r w:rsidR="008A62CD" w:rsidRPr="008A62CD">
        <w:t>One-</w:t>
      </w:r>
      <w:proofErr w:type="gramEnd"/>
      <w:r w:rsidR="008A62CD" w:rsidRPr="008A62CD">
        <w:t>stage</w:t>
      </w:r>
      <w:r w:rsidR="008A62CD" w:rsidRPr="00654C7A">
        <w:t xml:space="preserve"> </w:t>
      </w:r>
      <w:r w:rsidR="008A62CD">
        <w:t>(</w:t>
      </w:r>
      <w:r w:rsidRPr="00654C7A">
        <w:t>OS</w:t>
      </w:r>
      <w:r w:rsidR="008A62CD">
        <w:t>)</w:t>
      </w:r>
      <w:r w:rsidRPr="00654C7A">
        <w:t xml:space="preserve"> assays </w:t>
      </w:r>
      <w:r>
        <w:t>undertaken by</w:t>
      </w:r>
      <w:r w:rsidRPr="00654C7A">
        <w:t xml:space="preserve"> the same central</w:t>
      </w:r>
      <w:r>
        <w:t xml:space="preserve"> laboratory located in the USA. </w:t>
      </w:r>
      <w:r w:rsidRPr="00654C7A">
        <w:t>Actual potenc</w:t>
      </w:r>
      <w:r>
        <w:t>ies as determined by the CHR and OS assays were</w:t>
      </w:r>
      <w:r w:rsidRPr="00654C7A">
        <w:t xml:space="preserve"> used to calculate PK parameters. </w:t>
      </w:r>
      <w:r w:rsidRPr="00654C7A">
        <w:rPr>
          <w:rFonts w:cs="ü˙ø¶’"/>
        </w:rPr>
        <w:t xml:space="preserve">For </w:t>
      </w:r>
      <w:proofErr w:type="spellStart"/>
      <w:r w:rsidR="009C1E6B">
        <w:rPr>
          <w:rFonts w:cs="ü˙ø¶’"/>
        </w:rPr>
        <w:t>simoctocog</w:t>
      </w:r>
      <w:proofErr w:type="spellEnd"/>
      <w:r w:rsidR="009C1E6B">
        <w:rPr>
          <w:rFonts w:cs="ü˙ø¶’"/>
        </w:rPr>
        <w:t xml:space="preserve"> </w:t>
      </w:r>
      <w:r w:rsidR="00FC63A1">
        <w:rPr>
          <w:rFonts w:cs="ü˙ø¶’"/>
        </w:rPr>
        <w:t>alfa</w:t>
      </w:r>
      <w:r w:rsidRPr="00654C7A">
        <w:rPr>
          <w:rFonts w:cs="ü˙ø¶’"/>
        </w:rPr>
        <w:t>, FVIII:</w:t>
      </w:r>
      <w:r w:rsidR="008A62CD">
        <w:rPr>
          <w:rFonts w:cs="ü˙ø¶’"/>
        </w:rPr>
        <w:t xml:space="preserve"> </w:t>
      </w:r>
      <w:r w:rsidRPr="00654C7A">
        <w:rPr>
          <w:rFonts w:cs="ü˙ø¶’"/>
        </w:rPr>
        <w:t xml:space="preserve">C values obtained by the OS assay were about 15% lower than </w:t>
      </w:r>
      <w:r>
        <w:rPr>
          <w:rFonts w:cs="ü˙ø¶’"/>
        </w:rPr>
        <w:t>those obtained by the CHR assay</w:t>
      </w:r>
      <w:r w:rsidRPr="00654C7A">
        <w:rPr>
          <w:rFonts w:cs="ü˙ø¶’"/>
        </w:rPr>
        <w:t xml:space="preserve">. However, the OS assay results for full-length </w:t>
      </w:r>
      <w:proofErr w:type="spellStart"/>
      <w:r w:rsidRPr="00654C7A">
        <w:rPr>
          <w:rFonts w:cs="ü˙ø¶’"/>
        </w:rPr>
        <w:t>rFVIII</w:t>
      </w:r>
      <w:proofErr w:type="spellEnd"/>
      <w:r w:rsidRPr="00654C7A">
        <w:rPr>
          <w:rFonts w:cs="ü˙ø¶’"/>
        </w:rPr>
        <w:t xml:space="preserve"> products (5 lots of </w:t>
      </w:r>
      <w:r w:rsidR="0041331E">
        <w:rPr>
          <w:rFonts w:cs="ü˙ø¶’"/>
        </w:rPr>
        <w:t xml:space="preserve">full-length </w:t>
      </w:r>
      <w:proofErr w:type="spellStart"/>
      <w:r w:rsidR="0041331E">
        <w:rPr>
          <w:rFonts w:cs="ü˙ø¶’"/>
        </w:rPr>
        <w:t>rFVIII</w:t>
      </w:r>
      <w:proofErr w:type="spellEnd"/>
      <w:r w:rsidRPr="00654C7A">
        <w:rPr>
          <w:rFonts w:cs="ü˙ø¶’"/>
        </w:rPr>
        <w:t xml:space="preserve"> </w:t>
      </w:r>
      <w:r w:rsidR="0041331E">
        <w:rPr>
          <w:rFonts w:cs="ü˙ø¶’"/>
        </w:rPr>
        <w:t xml:space="preserve">BHK </w:t>
      </w:r>
      <w:r w:rsidRPr="00654C7A">
        <w:rPr>
          <w:rFonts w:cs="ü˙ø¶’"/>
        </w:rPr>
        <w:t xml:space="preserve">in GENA-01 and 3 lots in GENA-03, one lot each of </w:t>
      </w:r>
      <w:r w:rsidR="00B70F98">
        <w:rPr>
          <w:rFonts w:cs="ü˙ø¶’"/>
        </w:rPr>
        <w:t xml:space="preserve">third generation full-length </w:t>
      </w:r>
      <w:proofErr w:type="spellStart"/>
      <w:r w:rsidR="00B70F98">
        <w:rPr>
          <w:rFonts w:cs="ü˙ø¶’"/>
        </w:rPr>
        <w:t>rFVIII</w:t>
      </w:r>
      <w:proofErr w:type="spellEnd"/>
      <w:r w:rsidR="00B70F98">
        <w:rPr>
          <w:rFonts w:cs="ü˙ø¶’"/>
        </w:rPr>
        <w:t xml:space="preserve"> (CHO) and first generation full-length </w:t>
      </w:r>
      <w:proofErr w:type="spellStart"/>
      <w:r w:rsidR="00B70F98">
        <w:rPr>
          <w:rFonts w:cs="ü˙ø¶’"/>
        </w:rPr>
        <w:t>rFVIII</w:t>
      </w:r>
      <w:proofErr w:type="spellEnd"/>
      <w:r w:rsidR="00B70F98">
        <w:rPr>
          <w:rFonts w:cs="ü˙ø¶’"/>
        </w:rPr>
        <w:t xml:space="preserve"> (CHO) </w:t>
      </w:r>
      <w:r w:rsidRPr="00654C7A">
        <w:rPr>
          <w:rFonts w:cs="ü˙ø¶’"/>
        </w:rPr>
        <w:t xml:space="preserve">in GENA-03) were approximately 15% higher than the CHR assay results, except for one lot </w:t>
      </w:r>
      <w:r w:rsidRPr="0041331E">
        <w:rPr>
          <w:rFonts w:cs="ü˙ø¶’"/>
        </w:rPr>
        <w:t xml:space="preserve">of </w:t>
      </w:r>
      <w:r w:rsidR="0041331E" w:rsidRPr="0041331E">
        <w:t xml:space="preserve">full-length </w:t>
      </w:r>
      <w:proofErr w:type="spellStart"/>
      <w:r w:rsidR="0041331E" w:rsidRPr="0041331E">
        <w:t>rFVIII</w:t>
      </w:r>
      <w:proofErr w:type="spellEnd"/>
      <w:r w:rsidR="0041331E">
        <w:t xml:space="preserve"> BHK</w:t>
      </w:r>
      <w:r w:rsidRPr="0041331E">
        <w:rPr>
          <w:rFonts w:cs="ü˙ø¶’"/>
        </w:rPr>
        <w:t xml:space="preserve"> in GENA-09, where there</w:t>
      </w:r>
      <w:r w:rsidRPr="00A94FD5">
        <w:t xml:space="preserve"> </w:t>
      </w:r>
      <w:r w:rsidRPr="00A94FD5">
        <w:rPr>
          <w:rFonts w:cs="ü˙ø¶’"/>
        </w:rPr>
        <w:t>was no difference between the OS and CHR assays.</w:t>
      </w:r>
    </w:p>
    <w:p w:rsidR="009622D4" w:rsidRPr="00654C7A" w:rsidRDefault="009622D4" w:rsidP="00B62283">
      <w:r w:rsidRPr="0041331E">
        <w:t>In GENA-01, the mean FVIII</w:t>
      </w:r>
      <w:r w:rsidR="002F0BEA" w:rsidRPr="0041331E">
        <w:t>: C</w:t>
      </w:r>
      <w:r w:rsidRPr="0041331E">
        <w:t xml:space="preserve"> levels standardised to a dose of 50 IU/kg were comparable over time (to 48 hours) for </w:t>
      </w:r>
      <w:proofErr w:type="spellStart"/>
      <w:r w:rsidR="009C1E6B" w:rsidRPr="0041331E">
        <w:t>simoctocog</w:t>
      </w:r>
      <w:proofErr w:type="spellEnd"/>
      <w:r w:rsidR="009C1E6B" w:rsidRPr="0041331E">
        <w:t xml:space="preserve"> </w:t>
      </w:r>
      <w:r w:rsidR="00FC63A1" w:rsidRPr="0041331E">
        <w:t>alfa</w:t>
      </w:r>
      <w:r w:rsidRPr="0041331E">
        <w:t xml:space="preserve"> and </w:t>
      </w:r>
      <w:r w:rsidR="00FF5033" w:rsidRPr="0041331E">
        <w:t>‘</w:t>
      </w:r>
      <w:r w:rsidRPr="0041331E">
        <w:t>licensed</w:t>
      </w:r>
      <w:r w:rsidR="00FF5033" w:rsidRPr="0041331E">
        <w:t>’</w:t>
      </w:r>
      <w:r w:rsidRPr="0041331E">
        <w:t xml:space="preserve"> </w:t>
      </w:r>
      <w:r w:rsidR="0041331E" w:rsidRPr="0041331E">
        <w:t xml:space="preserve">full-length </w:t>
      </w:r>
      <w:proofErr w:type="spellStart"/>
      <w:r w:rsidR="0041331E" w:rsidRPr="0041331E">
        <w:t>rFVIII</w:t>
      </w:r>
      <w:proofErr w:type="spellEnd"/>
      <w:r w:rsidR="0041331E">
        <w:t xml:space="preserve"> BHK</w:t>
      </w:r>
      <w:r w:rsidRPr="0041331E">
        <w:t xml:space="preserve">, as measured by both the CHR and OS assays. In this study, </w:t>
      </w:r>
      <w:proofErr w:type="spellStart"/>
      <w:r w:rsidR="009C1E6B" w:rsidRPr="0041331E">
        <w:t>simoctocog</w:t>
      </w:r>
      <w:proofErr w:type="spellEnd"/>
      <w:r w:rsidR="009C1E6B" w:rsidRPr="0041331E">
        <w:t xml:space="preserve"> </w:t>
      </w:r>
      <w:r w:rsidR="00FC63A1" w:rsidRPr="0041331E">
        <w:t>alfa</w:t>
      </w:r>
      <w:r w:rsidRPr="0041331E">
        <w:t xml:space="preserve"> and </w:t>
      </w:r>
      <w:r w:rsidR="00FF5033" w:rsidRPr="0041331E">
        <w:t>‘</w:t>
      </w:r>
      <w:r w:rsidRPr="0041331E">
        <w:t>licensed</w:t>
      </w:r>
      <w:r w:rsidR="00FF5033" w:rsidRPr="0041331E">
        <w:t>’</w:t>
      </w:r>
      <w:r w:rsidRPr="0041331E">
        <w:t xml:space="preserve"> </w:t>
      </w:r>
      <w:r w:rsidR="0041331E" w:rsidRPr="0041331E">
        <w:t xml:space="preserve">full-length </w:t>
      </w:r>
      <w:proofErr w:type="spellStart"/>
      <w:r w:rsidR="0041331E" w:rsidRPr="0041331E">
        <w:t>rFVIII</w:t>
      </w:r>
      <w:proofErr w:type="spellEnd"/>
      <w:r w:rsidR="0041331E" w:rsidRPr="0041331E">
        <w:t xml:space="preserve"> BHK</w:t>
      </w:r>
      <w:r w:rsidR="00B70F98">
        <w:t xml:space="preserve"> </w:t>
      </w:r>
      <w:r w:rsidRPr="0041331E">
        <w:t>were bioequivalent based on the 90%</w:t>
      </w:r>
      <w:r w:rsidRPr="00654C7A">
        <w:t xml:space="preserve"> </w:t>
      </w:r>
      <w:r w:rsidR="008A62CD">
        <w:t>confidence interval (</w:t>
      </w:r>
      <w:r w:rsidRPr="00654C7A">
        <w:t>CI</w:t>
      </w:r>
      <w:r w:rsidR="008A62CD">
        <w:t>)</w:t>
      </w:r>
      <w:r w:rsidRPr="00654C7A">
        <w:t xml:space="preserve"> for the geometric ratio of </w:t>
      </w:r>
      <w:proofErr w:type="spellStart"/>
      <w:r w:rsidRPr="00654C7A">
        <w:t>AUC</w:t>
      </w:r>
      <w:r w:rsidRPr="00654C7A">
        <w:rPr>
          <w:vertAlign w:val="subscript"/>
        </w:rPr>
        <w:t>norm</w:t>
      </w:r>
      <w:proofErr w:type="spellEnd"/>
      <w:r w:rsidRPr="00654C7A">
        <w:t xml:space="preserve"> </w:t>
      </w:r>
      <w:r>
        <w:t xml:space="preserve">(CHR and OS assays) </w:t>
      </w:r>
      <w:r w:rsidRPr="00654C7A">
        <w:t xml:space="preserve">for the two products being within the standard bioequivalence limits of 0.80 to 1.25. Overall, the key PK parameters assessed in Part 1 (PK phase) of GENA-01 were similar for </w:t>
      </w:r>
      <w:proofErr w:type="spellStart"/>
      <w:r w:rsidR="009C1E6B">
        <w:t>simoctocog</w:t>
      </w:r>
      <w:proofErr w:type="spellEnd"/>
      <w:r w:rsidR="009C1E6B">
        <w:t xml:space="preserve"> </w:t>
      </w:r>
      <w:r w:rsidR="00FC63A1">
        <w:t>alfa</w:t>
      </w:r>
      <w:r>
        <w:t xml:space="preserve"> </w:t>
      </w:r>
      <w:r w:rsidRPr="00654C7A">
        <w:t xml:space="preserve">and </w:t>
      </w:r>
      <w:r w:rsidR="00FF5033">
        <w:t>‘</w:t>
      </w:r>
      <w:r w:rsidRPr="00654C7A">
        <w:t>licensed</w:t>
      </w:r>
      <w:r w:rsidR="00FF5033">
        <w:t>’</w:t>
      </w:r>
      <w:r w:rsidRPr="00654C7A">
        <w:t xml:space="preserve"> </w:t>
      </w:r>
      <w:r w:rsidR="0041331E">
        <w:t xml:space="preserve">full-length </w:t>
      </w:r>
      <w:proofErr w:type="spellStart"/>
      <w:r w:rsidR="0041331E">
        <w:t>rFVIII</w:t>
      </w:r>
      <w:proofErr w:type="spellEnd"/>
      <w:r w:rsidR="0041331E">
        <w:t xml:space="preserve"> BHK</w:t>
      </w:r>
      <w:r>
        <w:t>,</w:t>
      </w:r>
      <w:r w:rsidRPr="00654C7A">
        <w:t xml:space="preserve"> as measured by both the CHR and OS assays. The main difference in the PK parameters between the two FVIII products was the shorter mean half-life observed with </w:t>
      </w:r>
      <w:proofErr w:type="spellStart"/>
      <w:r w:rsidR="009C1E6B">
        <w:lastRenderedPageBreak/>
        <w:t>simoctocog</w:t>
      </w:r>
      <w:proofErr w:type="spellEnd"/>
      <w:r w:rsidR="009C1E6B">
        <w:t xml:space="preserve"> </w:t>
      </w:r>
      <w:r w:rsidR="00FC63A1">
        <w:t>alfa</w:t>
      </w:r>
      <w:r>
        <w:t xml:space="preserve"> </w:t>
      </w:r>
      <w:r w:rsidRPr="00654C7A">
        <w:t xml:space="preserve">compared with </w:t>
      </w:r>
      <w:r w:rsidR="00FF5033">
        <w:t>‘</w:t>
      </w:r>
      <w:r w:rsidRPr="00654C7A">
        <w:t>licensed</w:t>
      </w:r>
      <w:r w:rsidR="00FF5033">
        <w:t>’</w:t>
      </w:r>
      <w:r w:rsidRPr="00654C7A">
        <w:t xml:space="preserve"> </w:t>
      </w:r>
      <w:r w:rsidR="0041331E">
        <w:t xml:space="preserve">full-length </w:t>
      </w:r>
      <w:proofErr w:type="spellStart"/>
      <w:r w:rsidR="0041331E">
        <w:t>rFVIII</w:t>
      </w:r>
      <w:proofErr w:type="spellEnd"/>
      <w:r w:rsidRPr="00654C7A">
        <w:t xml:space="preserve"> </w:t>
      </w:r>
      <w:r w:rsidR="0041331E">
        <w:t xml:space="preserve">BHK </w:t>
      </w:r>
      <w:r>
        <w:t xml:space="preserve">observed with both assays </w:t>
      </w:r>
      <w:r w:rsidRPr="00654C7A">
        <w:t>(14.7 v</w:t>
      </w:r>
      <w:r w:rsidR="008A62CD">
        <w:t>ersu</w:t>
      </w:r>
      <w:r w:rsidRPr="00654C7A">
        <w:t>s 16.1 hours [CHR assay]; 17.1 v</w:t>
      </w:r>
      <w:r w:rsidR="008A62CD">
        <w:t>ersu</w:t>
      </w:r>
      <w:r w:rsidR="000B1C06">
        <w:t>s 18.8 hours [OS assay]).</w:t>
      </w:r>
    </w:p>
    <w:p w:rsidR="009622D4" w:rsidRPr="00423DED" w:rsidRDefault="009622D4" w:rsidP="00B62283">
      <w:pPr>
        <w:rPr>
          <w:rFonts w:cs="Ä¨˙ø¶’"/>
        </w:rPr>
      </w:pPr>
      <w:r w:rsidRPr="0041331E">
        <w:t xml:space="preserve">In GENA-09, </w:t>
      </w:r>
      <w:r w:rsidRPr="00A94FD5">
        <w:t xml:space="preserve">supportive data for the bioequivalence of </w:t>
      </w:r>
      <w:proofErr w:type="spellStart"/>
      <w:r w:rsidR="009C1E6B" w:rsidRPr="00A94FD5">
        <w:t>simoctocog</w:t>
      </w:r>
      <w:proofErr w:type="spellEnd"/>
      <w:r w:rsidR="009C1E6B" w:rsidRPr="00A94FD5">
        <w:t xml:space="preserve"> </w:t>
      </w:r>
      <w:r w:rsidR="00FC63A1" w:rsidRPr="00A94FD5">
        <w:t>alfa</w:t>
      </w:r>
      <w:r w:rsidRPr="00A94FD5">
        <w:t xml:space="preserve"> and </w:t>
      </w:r>
      <w:r w:rsidR="0041331E" w:rsidRPr="0092208E">
        <w:t xml:space="preserve">full-length </w:t>
      </w:r>
      <w:proofErr w:type="spellStart"/>
      <w:r w:rsidR="0041331E" w:rsidRPr="0092208E">
        <w:t>rFVIII</w:t>
      </w:r>
      <w:proofErr w:type="spellEnd"/>
      <w:r w:rsidR="0041331E" w:rsidRPr="0041331E">
        <w:t xml:space="preserve"> BHK</w:t>
      </w:r>
      <w:r w:rsidRPr="00654C7A">
        <w:t xml:space="preserve"> were </w:t>
      </w:r>
      <w:r>
        <w:t>provided</w:t>
      </w:r>
      <w:r w:rsidRPr="00654C7A">
        <w:t xml:space="preserve"> based on the 90% CI of the </w:t>
      </w:r>
      <w:r>
        <w:t xml:space="preserve">geometric ratio for the </w:t>
      </w:r>
      <w:proofErr w:type="spellStart"/>
      <w:r>
        <w:t>AUC</w:t>
      </w:r>
      <w:r w:rsidRPr="00CD5282">
        <w:rPr>
          <w:vertAlign w:val="subscript"/>
        </w:rPr>
        <w:t>norm</w:t>
      </w:r>
      <w:proofErr w:type="spellEnd"/>
      <w:r>
        <w:t xml:space="preserve"> (</w:t>
      </w:r>
      <w:r w:rsidRPr="00654C7A">
        <w:t>CHR assay</w:t>
      </w:r>
      <w:r>
        <w:t xml:space="preserve">) for the two products being within the standard bioequivalence limits. </w:t>
      </w:r>
      <w:r w:rsidRPr="00654C7A">
        <w:t xml:space="preserve">However, the 90% CI of the geometric ratio for the </w:t>
      </w:r>
      <w:proofErr w:type="spellStart"/>
      <w:r w:rsidRPr="00654C7A">
        <w:t>AUC</w:t>
      </w:r>
      <w:r w:rsidRPr="007A2DCB">
        <w:rPr>
          <w:vertAlign w:val="subscript"/>
        </w:rPr>
        <w:t>norm</w:t>
      </w:r>
      <w:proofErr w:type="spellEnd"/>
      <w:r w:rsidRPr="007A2DCB">
        <w:rPr>
          <w:vertAlign w:val="subscript"/>
        </w:rPr>
        <w:t xml:space="preserve"> </w:t>
      </w:r>
      <w:r w:rsidRPr="00654C7A">
        <w:t>for the two products was not enclosed entirely within the standard bioequivalence limits of 0.80 to 1.25 when t</w:t>
      </w:r>
      <w:r>
        <w:t xml:space="preserve">he parameters were assessed by the OS assay. </w:t>
      </w:r>
      <w:r w:rsidRPr="00654C7A">
        <w:rPr>
          <w:rFonts w:cs="Ä¨˙ø¶’"/>
        </w:rPr>
        <w:t xml:space="preserve">The sponsor </w:t>
      </w:r>
      <w:r>
        <w:rPr>
          <w:rFonts w:cs="Ä¨˙ø¶’"/>
        </w:rPr>
        <w:t xml:space="preserve">comments that the potencies of the </w:t>
      </w:r>
      <w:proofErr w:type="spellStart"/>
      <w:r w:rsidR="009C1E6B">
        <w:rPr>
          <w:rFonts w:cs="Ä¨˙ø¶’"/>
        </w:rPr>
        <w:t>simoctocog</w:t>
      </w:r>
      <w:proofErr w:type="spellEnd"/>
      <w:r w:rsidR="009C1E6B">
        <w:rPr>
          <w:rFonts w:cs="Ä¨˙ø¶’"/>
        </w:rPr>
        <w:t xml:space="preserve"> </w:t>
      </w:r>
      <w:r w:rsidR="00FC63A1">
        <w:rPr>
          <w:rFonts w:cs="Ä¨˙ø¶’"/>
        </w:rPr>
        <w:t>alfa</w:t>
      </w:r>
      <w:r>
        <w:rPr>
          <w:rFonts w:cs="Ä¨˙ø¶’"/>
        </w:rPr>
        <w:t xml:space="preserve"> batches used in GENA-09 were approximately 20% lower than labelled when assessed by the OS assay. </w:t>
      </w:r>
      <w:r>
        <w:t xml:space="preserve">Consequently, </w:t>
      </w:r>
      <w:r w:rsidRPr="00654C7A">
        <w:rPr>
          <w:rFonts w:cs="Ä¨˙ø¶’"/>
        </w:rPr>
        <w:t xml:space="preserve">FVIII:C </w:t>
      </w:r>
      <w:r>
        <w:rPr>
          <w:rFonts w:cs="Ä¨˙ø¶’"/>
        </w:rPr>
        <w:t>levels</w:t>
      </w:r>
      <w:r w:rsidRPr="00654C7A">
        <w:rPr>
          <w:rFonts w:cs="Ä¨˙ø¶’"/>
        </w:rPr>
        <w:t xml:space="preserve"> </w:t>
      </w:r>
      <w:r>
        <w:rPr>
          <w:rFonts w:cs="Ä¨˙ø¶’"/>
        </w:rPr>
        <w:t xml:space="preserve">measured by the OS assay </w:t>
      </w:r>
      <w:r w:rsidRPr="00654C7A">
        <w:rPr>
          <w:rFonts w:cs="Ä¨˙ø¶’"/>
        </w:rPr>
        <w:t xml:space="preserve">in samples taken late </w:t>
      </w:r>
      <w:r>
        <w:rPr>
          <w:rFonts w:cs="Ä¨˙ø¶’"/>
        </w:rPr>
        <w:t xml:space="preserve">in the elimination phase were close to, or below, </w:t>
      </w:r>
      <w:r w:rsidRPr="00654C7A">
        <w:rPr>
          <w:rFonts w:cs="Ä¨˙ø¶’"/>
        </w:rPr>
        <w:t xml:space="preserve">the detection limit </w:t>
      </w:r>
      <w:r>
        <w:rPr>
          <w:rFonts w:cs="Ä¨˙ø¶’"/>
        </w:rPr>
        <w:t>resulting in imprecise assessment of those PK parameters which are dependent on accurate levels taken during this period (</w:t>
      </w:r>
      <w:r w:rsidR="008A62CD">
        <w:rPr>
          <w:rFonts w:cs="Ä¨˙ø¶’"/>
        </w:rPr>
        <w:t>for example</w:t>
      </w:r>
      <w:r>
        <w:rPr>
          <w:rFonts w:cs="Ä¨˙ø¶’"/>
        </w:rPr>
        <w:t xml:space="preserve">, AUC, </w:t>
      </w:r>
      <w:r w:rsidR="008A62CD">
        <w:rPr>
          <w:rFonts w:cs="Ä¨˙ø¶’"/>
        </w:rPr>
        <w:t>t</w:t>
      </w:r>
      <w:r w:rsidRPr="00CD5282">
        <w:rPr>
          <w:rFonts w:cs="Ä¨˙ø¶’"/>
          <w:vertAlign w:val="subscript"/>
        </w:rPr>
        <w:t>1/2</w:t>
      </w:r>
      <w:r>
        <w:rPr>
          <w:rFonts w:cs="Ä¨˙ø¶’"/>
        </w:rPr>
        <w:t xml:space="preserve"> and CL). </w:t>
      </w:r>
      <w:r w:rsidRPr="00654C7A">
        <w:rPr>
          <w:rFonts w:cs="Ä¨˙ø¶’"/>
        </w:rPr>
        <w:t xml:space="preserve">In addition, the sponsor states that the </w:t>
      </w:r>
      <w:r>
        <w:rPr>
          <w:rFonts w:cs="Ä¨˙ø¶’"/>
        </w:rPr>
        <w:t xml:space="preserve">adult </w:t>
      </w:r>
      <w:r w:rsidRPr="00654C7A">
        <w:rPr>
          <w:rFonts w:cs="Ä¨˙ø¶’"/>
        </w:rPr>
        <w:t>patient population in GENA-0</w:t>
      </w:r>
      <w:r>
        <w:rPr>
          <w:rFonts w:cs="Ä¨˙ø¶’"/>
        </w:rPr>
        <w:t xml:space="preserve">9 differed from that in GENA-01 </w:t>
      </w:r>
      <w:r w:rsidRPr="00654C7A">
        <w:rPr>
          <w:rFonts w:cs="Ä¨˙ø¶’"/>
        </w:rPr>
        <w:t xml:space="preserve">as </w:t>
      </w:r>
      <w:r>
        <w:rPr>
          <w:rFonts w:cs="Ä¨˙ø¶’"/>
        </w:rPr>
        <w:t xml:space="preserve">the patients </w:t>
      </w:r>
      <w:r w:rsidRPr="00654C7A">
        <w:rPr>
          <w:rFonts w:cs="Ä¨˙ø¶’"/>
        </w:rPr>
        <w:t>appeared to have been inadequately treated in the past as evidenced by the presence of severely affected joints and historically high bleeding rates. Furthermore, all patients included in GENA-09 were from a single Russian centre, while patients included in GENA-01 were from multiple centres predominantly in Western Europe.</w:t>
      </w:r>
    </w:p>
    <w:p w:rsidR="009622D4" w:rsidRDefault="009622D4" w:rsidP="009622D4">
      <w:r w:rsidRPr="00654C7A">
        <w:t xml:space="preserve">In both GENA-01 and GENA-09, PK parameters for </w:t>
      </w:r>
      <w:proofErr w:type="spellStart"/>
      <w:r w:rsidR="009C1E6B">
        <w:t>simoctocog</w:t>
      </w:r>
      <w:proofErr w:type="spellEnd"/>
      <w:r w:rsidR="009C1E6B">
        <w:t xml:space="preserve"> </w:t>
      </w:r>
      <w:r w:rsidR="00FC63A1">
        <w:t>alfa</w:t>
      </w:r>
      <w:r>
        <w:t xml:space="preserve"> </w:t>
      </w:r>
      <w:r w:rsidRPr="00654C7A">
        <w:t xml:space="preserve">at 6 months were assessed and in general were consistent with </w:t>
      </w:r>
      <w:r>
        <w:t xml:space="preserve">the </w:t>
      </w:r>
      <w:r w:rsidRPr="00654C7A">
        <w:t>corresponding values obtained at the start of the study when measured by the CHR</w:t>
      </w:r>
      <w:r>
        <w:t xml:space="preserve"> assay</w:t>
      </w:r>
      <w:r w:rsidRPr="00654C7A">
        <w:t>. However, when measured by the OS assay the differences in</w:t>
      </w:r>
      <w:r w:rsidR="008A62CD">
        <w:t xml:space="preserve"> the key PK parameters between M</w:t>
      </w:r>
      <w:r w:rsidRPr="00654C7A">
        <w:t xml:space="preserve">onth 6 relative to study start were more marked </w:t>
      </w:r>
      <w:r>
        <w:t xml:space="preserve">than when measured by </w:t>
      </w:r>
      <w:r w:rsidRPr="00654C7A">
        <w:t>the CHR a</w:t>
      </w:r>
      <w:r>
        <w:t xml:space="preserve">ssay (particularly in GENA-09). </w:t>
      </w:r>
      <w:r w:rsidRPr="00654C7A">
        <w:t>In GENA-01</w:t>
      </w:r>
      <w:r>
        <w:t xml:space="preserve"> (CHR assay)</w:t>
      </w:r>
      <w:r w:rsidRPr="00654C7A">
        <w:t xml:space="preserve">, the 90% CIs for the geometric ratios </w:t>
      </w:r>
      <w:r>
        <w:t xml:space="preserve">for the key PK parameters </w:t>
      </w:r>
      <w:r w:rsidRPr="00654C7A">
        <w:t xml:space="preserve">at </w:t>
      </w:r>
      <w:r w:rsidR="008A62CD">
        <w:t>M</w:t>
      </w:r>
      <w:r w:rsidRPr="00654C7A">
        <w:t xml:space="preserve">onth 6 relative to study start were within the standard bioequivalence interval of 0.80 to 1.25, apart from </w:t>
      </w:r>
      <w:r w:rsidR="008A62CD">
        <w:t>t</w:t>
      </w:r>
      <w:r w:rsidRPr="00D1012E">
        <w:rPr>
          <w:vertAlign w:val="subscript"/>
        </w:rPr>
        <w:t xml:space="preserve">1/2 </w:t>
      </w:r>
      <w:r w:rsidRPr="00654C7A">
        <w:t>an</w:t>
      </w:r>
      <w:r>
        <w:t xml:space="preserve">d </w:t>
      </w:r>
      <w:r w:rsidR="008A62CD">
        <w:t>mean residence time (</w:t>
      </w:r>
      <w:r>
        <w:t>MRT</w:t>
      </w:r>
      <w:r w:rsidR="008A62CD">
        <w:t>)</w:t>
      </w:r>
      <w:r>
        <w:t xml:space="preserve"> which were both </w:t>
      </w:r>
      <w:r w:rsidRPr="00654C7A">
        <w:t xml:space="preserve">shorter at </w:t>
      </w:r>
      <w:r w:rsidR="008A62CD">
        <w:t>M</w:t>
      </w:r>
      <w:r>
        <w:t xml:space="preserve">onth 6 </w:t>
      </w:r>
      <w:r w:rsidRPr="00654C7A">
        <w:t>than at study start</w:t>
      </w:r>
      <w:r>
        <w:t>.</w:t>
      </w:r>
      <w:r w:rsidRPr="00654C7A">
        <w:t xml:space="preserve"> </w:t>
      </w:r>
      <w:r>
        <w:t xml:space="preserve">In GENA-01 (OS), the 90% CIs for the geometric mean ratios for the key PK parameters at </w:t>
      </w:r>
      <w:r w:rsidR="008A62CD">
        <w:t>M</w:t>
      </w:r>
      <w:r>
        <w:t xml:space="preserve">onth 6 relative to study start were within the standard bioequivalence interval of 0.80 to 1.25, apart from </w:t>
      </w:r>
      <w:proofErr w:type="spellStart"/>
      <w:r>
        <w:t>AUC</w:t>
      </w:r>
      <w:r w:rsidRPr="00D1012E">
        <w:rPr>
          <w:vertAlign w:val="subscript"/>
        </w:rPr>
        <w:t>norm</w:t>
      </w:r>
      <w:proofErr w:type="spellEnd"/>
      <w:r>
        <w:t xml:space="preserve"> (lower at </w:t>
      </w:r>
      <w:r w:rsidR="008A62CD">
        <w:t>M</w:t>
      </w:r>
      <w:r>
        <w:t xml:space="preserve">onth 6), and </w:t>
      </w:r>
      <w:r w:rsidR="008A62CD">
        <w:t>t</w:t>
      </w:r>
      <w:r w:rsidRPr="00DB51C0">
        <w:rPr>
          <w:vertAlign w:val="subscript"/>
        </w:rPr>
        <w:t xml:space="preserve">1/2 </w:t>
      </w:r>
      <w:r>
        <w:t xml:space="preserve">and MRT (both shorter at </w:t>
      </w:r>
      <w:r w:rsidR="008A62CD">
        <w:t>M</w:t>
      </w:r>
      <w:r w:rsidR="000B1C06">
        <w:t>onth 6).</w:t>
      </w:r>
    </w:p>
    <w:p w:rsidR="009622D4" w:rsidRPr="007A2DCB" w:rsidRDefault="009622D4" w:rsidP="009622D4">
      <w:pPr>
        <w:widowControl w:val="0"/>
        <w:autoSpaceDE w:val="0"/>
        <w:autoSpaceDN w:val="0"/>
        <w:adjustRightInd w:val="0"/>
      </w:pPr>
      <w:r w:rsidRPr="00654C7A">
        <w:t xml:space="preserve">In GENA-03, the PKs of </w:t>
      </w:r>
      <w:proofErr w:type="spellStart"/>
      <w:r w:rsidR="009C1E6B">
        <w:t>simoctocog</w:t>
      </w:r>
      <w:proofErr w:type="spellEnd"/>
      <w:r w:rsidR="009C1E6B">
        <w:t xml:space="preserve"> </w:t>
      </w:r>
      <w:r w:rsidR="00FC63A1">
        <w:t>alfa</w:t>
      </w:r>
      <w:r>
        <w:t xml:space="preserve"> were compared with </w:t>
      </w:r>
      <w:r w:rsidRPr="00654C7A">
        <w:t xml:space="preserve">previously used FVIII concentrates (recombinant and </w:t>
      </w:r>
      <w:r w:rsidRPr="007A2DCB">
        <w:t>plasm</w:t>
      </w:r>
      <w:r>
        <w:t>a derived) in children aged 2</w:t>
      </w:r>
      <w:r w:rsidR="008A62CD">
        <w:t xml:space="preserve"> to </w:t>
      </w:r>
      <w:r w:rsidRPr="007A2DCB">
        <w:t>12 years</w:t>
      </w:r>
      <w:r>
        <w:t xml:space="preserve">. </w:t>
      </w:r>
      <w:r w:rsidRPr="007A2DCB">
        <w:t xml:space="preserve">In </w:t>
      </w:r>
      <w:r>
        <w:t>children aged 2</w:t>
      </w:r>
      <w:r w:rsidR="008A62CD">
        <w:t xml:space="preserve">  to </w:t>
      </w:r>
      <w:r>
        <w:t>12 years</w:t>
      </w:r>
      <w:r w:rsidRPr="007A2DCB">
        <w:t xml:space="preserve"> (n=25), the </w:t>
      </w:r>
      <w:proofErr w:type="spellStart"/>
      <w:r w:rsidRPr="007A2DCB">
        <w:t>AUC</w:t>
      </w:r>
      <w:r w:rsidRPr="007A2DCB">
        <w:rPr>
          <w:vertAlign w:val="subscript"/>
        </w:rPr>
        <w:t>norm</w:t>
      </w:r>
      <w:proofErr w:type="spellEnd"/>
      <w:r w:rsidRPr="007A2DCB">
        <w:rPr>
          <w:vertAlign w:val="subscript"/>
        </w:rPr>
        <w:t xml:space="preserve"> </w:t>
      </w:r>
      <w:r w:rsidRPr="007A2DCB">
        <w:t xml:space="preserve">and </w:t>
      </w:r>
      <w:proofErr w:type="spellStart"/>
      <w:r w:rsidRPr="007A2DCB">
        <w:t>C</w:t>
      </w:r>
      <w:r w:rsidRPr="007A2DCB">
        <w:rPr>
          <w:vertAlign w:val="subscript"/>
        </w:rPr>
        <w:t>max.norm</w:t>
      </w:r>
      <w:proofErr w:type="spellEnd"/>
      <w:r w:rsidRPr="007A2DCB">
        <w:rPr>
          <w:vertAlign w:val="subscript"/>
        </w:rPr>
        <w:t xml:space="preserve"> </w:t>
      </w:r>
      <w:r>
        <w:t>values</w:t>
      </w:r>
      <w:r w:rsidRPr="007A2DCB">
        <w:t xml:space="preserve"> were almost identical for </w:t>
      </w:r>
      <w:proofErr w:type="spellStart"/>
      <w:r w:rsidR="009C1E6B">
        <w:t>simoctocog</w:t>
      </w:r>
      <w:proofErr w:type="spellEnd"/>
      <w:r w:rsidR="009C1E6B">
        <w:t xml:space="preserve"> </w:t>
      </w:r>
      <w:r w:rsidR="00FC63A1">
        <w:t>alfa</w:t>
      </w:r>
      <w:r>
        <w:t xml:space="preserve"> </w:t>
      </w:r>
      <w:r w:rsidRPr="007A2DCB">
        <w:t xml:space="preserve">and previously used FVIII concentrates when measured by both the CHR and OS assays. </w:t>
      </w:r>
      <w:r>
        <w:t>However, the</w:t>
      </w:r>
      <w:r w:rsidRPr="007A2DCB">
        <w:t xml:space="preserve"> mean </w:t>
      </w:r>
      <w:proofErr w:type="spellStart"/>
      <w:r w:rsidRPr="007A2DCB">
        <w:t>AUC</w:t>
      </w:r>
      <w:r w:rsidRPr="007A2DCB">
        <w:rPr>
          <w:vertAlign w:val="subscript"/>
        </w:rPr>
        <w:t>norm</w:t>
      </w:r>
      <w:proofErr w:type="spellEnd"/>
      <w:r w:rsidRPr="007A2DCB">
        <w:t xml:space="preserve"> (CHR assay) for </w:t>
      </w:r>
      <w:proofErr w:type="spellStart"/>
      <w:r w:rsidR="009C1E6B">
        <w:t>simoctocog</w:t>
      </w:r>
      <w:proofErr w:type="spellEnd"/>
      <w:r w:rsidR="009C1E6B">
        <w:t xml:space="preserve"> </w:t>
      </w:r>
      <w:r w:rsidR="00FC63A1">
        <w:t>alfa</w:t>
      </w:r>
      <w:r>
        <w:t xml:space="preserve"> was slightly lower in the 2</w:t>
      </w:r>
      <w:r w:rsidR="008A62CD">
        <w:t xml:space="preserve"> to </w:t>
      </w:r>
      <w:r w:rsidRPr="007A2DCB">
        <w:t xml:space="preserve">5 years age </w:t>
      </w:r>
      <w:r>
        <w:t>cohort compared with the 6</w:t>
      </w:r>
      <w:r w:rsidR="008A62CD">
        <w:t xml:space="preserve"> to </w:t>
      </w:r>
      <w:r w:rsidRPr="007A2DCB">
        <w:t xml:space="preserve">12 years age </w:t>
      </w:r>
      <w:r>
        <w:t>cohort</w:t>
      </w:r>
      <w:r w:rsidRPr="007A2DCB">
        <w:t xml:space="preserve"> (0.22 v</w:t>
      </w:r>
      <w:r w:rsidR="008A62CD">
        <w:t>ersu</w:t>
      </w:r>
      <w:r w:rsidRPr="007A2DCB">
        <w:t xml:space="preserve">s 0.25 </w:t>
      </w:r>
      <w:proofErr w:type="spellStart"/>
      <w:r w:rsidRPr="007A2DCB">
        <w:t>h</w:t>
      </w:r>
      <w:r w:rsidR="00FB2FAC">
        <w:t>•</w:t>
      </w:r>
      <w:r w:rsidRPr="007A2DCB">
        <w:t>IU</w:t>
      </w:r>
      <w:proofErr w:type="spellEnd"/>
      <w:r w:rsidRPr="007A2DCB">
        <w:t xml:space="preserve">/mL per IU/kg, respectively), while the mean </w:t>
      </w:r>
      <w:proofErr w:type="spellStart"/>
      <w:r w:rsidRPr="007A2DCB">
        <w:t>C</w:t>
      </w:r>
      <w:r w:rsidRPr="007A2DCB">
        <w:rPr>
          <w:vertAlign w:val="subscript"/>
        </w:rPr>
        <w:t>max.norm</w:t>
      </w:r>
      <w:proofErr w:type="spellEnd"/>
      <w:r w:rsidRPr="007A2DCB">
        <w:rPr>
          <w:vertAlign w:val="subscript"/>
        </w:rPr>
        <w:t xml:space="preserve"> </w:t>
      </w:r>
      <w:r w:rsidRPr="007A2DCB">
        <w:t xml:space="preserve">(CHR assay) was identical for both age </w:t>
      </w:r>
      <w:r>
        <w:t>cohorts</w:t>
      </w:r>
      <w:r w:rsidRPr="007A2DCB">
        <w:t xml:space="preserve"> (0.019 IU/mL per IU/kg). In addition, the mean </w:t>
      </w:r>
      <w:r w:rsidR="00FB2FAC">
        <w:t>t</w:t>
      </w:r>
      <w:r w:rsidRPr="007A2DCB">
        <w:rPr>
          <w:vertAlign w:val="subscript"/>
        </w:rPr>
        <w:t xml:space="preserve">1/2 </w:t>
      </w:r>
      <w:r w:rsidRPr="007A2DCB">
        <w:t xml:space="preserve">(CHR assay) for </w:t>
      </w:r>
      <w:proofErr w:type="spellStart"/>
      <w:r w:rsidR="009C1E6B">
        <w:t>simoctocog</w:t>
      </w:r>
      <w:proofErr w:type="spellEnd"/>
      <w:r w:rsidR="009C1E6B">
        <w:t xml:space="preserve"> </w:t>
      </w:r>
      <w:r w:rsidR="00FC63A1">
        <w:t>alfa</w:t>
      </w:r>
      <w:r>
        <w:t xml:space="preserve"> </w:t>
      </w:r>
      <w:r w:rsidRPr="007A2DCB">
        <w:t>w</w:t>
      </w:r>
      <w:r>
        <w:t>as slightly shorter in the 2</w:t>
      </w:r>
      <w:r w:rsidR="00FB2FAC">
        <w:t xml:space="preserve"> to </w:t>
      </w:r>
      <w:r w:rsidRPr="007A2DCB">
        <w:t xml:space="preserve">5 years age </w:t>
      </w:r>
      <w:r>
        <w:t>cohort compared with the 6</w:t>
      </w:r>
      <w:r w:rsidR="00FB2FAC">
        <w:t xml:space="preserve"> to </w:t>
      </w:r>
      <w:r w:rsidRPr="007A2DCB">
        <w:t xml:space="preserve">12 years age </w:t>
      </w:r>
      <w:r>
        <w:t>cohort</w:t>
      </w:r>
      <w:r w:rsidRPr="007A2DCB">
        <w:t xml:space="preserve"> (9.49 v</w:t>
      </w:r>
      <w:r w:rsidR="00FB2FAC">
        <w:t>ersu</w:t>
      </w:r>
      <w:r w:rsidRPr="007A2DCB">
        <w:t>s 9.99 hours, respectively), while the mean CL was higher (5.40 v</w:t>
      </w:r>
      <w:r w:rsidR="00FB2FAC">
        <w:t>ersu</w:t>
      </w:r>
      <w:r w:rsidRPr="007A2DCB">
        <w:t>s 4.33 mL/min/kg, respectively)</w:t>
      </w:r>
      <w:r w:rsidR="000B1C06">
        <w:t>.</w:t>
      </w:r>
    </w:p>
    <w:p w:rsidR="009622D4" w:rsidRPr="00654C7A" w:rsidRDefault="009622D4" w:rsidP="009622D4">
      <w:r w:rsidRPr="00654C7A">
        <w:t xml:space="preserve">In </w:t>
      </w:r>
      <w:r>
        <w:t>children aged 2</w:t>
      </w:r>
      <w:r w:rsidR="00FB2FAC">
        <w:t xml:space="preserve"> to </w:t>
      </w:r>
      <w:r w:rsidRPr="00654C7A">
        <w:t xml:space="preserve">12 years (n=25) in GENA-03, the mean </w:t>
      </w:r>
      <w:proofErr w:type="spellStart"/>
      <w:r w:rsidRPr="00654C7A">
        <w:t>AUC</w:t>
      </w:r>
      <w:r w:rsidRPr="007323F4">
        <w:rPr>
          <w:vertAlign w:val="subscript"/>
        </w:rPr>
        <w:t>norm</w:t>
      </w:r>
      <w:proofErr w:type="spellEnd"/>
      <w:r w:rsidRPr="00654C7A">
        <w:t xml:space="preserve"> (CHR assay) at study start with </w:t>
      </w:r>
      <w:proofErr w:type="spellStart"/>
      <w:r w:rsidR="009C1E6B">
        <w:t>simoctocog</w:t>
      </w:r>
      <w:proofErr w:type="spellEnd"/>
      <w:r w:rsidR="009C1E6B">
        <w:t xml:space="preserve"> </w:t>
      </w:r>
      <w:r w:rsidR="00FC63A1">
        <w:t>alfa</w:t>
      </w:r>
      <w:r>
        <w:t xml:space="preserve"> </w:t>
      </w:r>
      <w:r w:rsidRPr="00654C7A">
        <w:t>was lower than in the adult population (n=22) in GENA-01 (0.23 v</w:t>
      </w:r>
      <w:r w:rsidR="00FB2FAC">
        <w:t>ersu</w:t>
      </w:r>
      <w:r w:rsidRPr="00654C7A">
        <w:t xml:space="preserve">s 0.39 </w:t>
      </w:r>
      <w:proofErr w:type="spellStart"/>
      <w:r w:rsidRPr="00654C7A">
        <w:t>h</w:t>
      </w:r>
      <w:r w:rsidR="00FB2FAC">
        <w:t>•</w:t>
      </w:r>
      <w:r w:rsidRPr="00654C7A">
        <w:t>IU</w:t>
      </w:r>
      <w:proofErr w:type="spellEnd"/>
      <w:r w:rsidRPr="00654C7A">
        <w:t xml:space="preserve">/mL per IU/kg, respectively), while the </w:t>
      </w:r>
      <w:r>
        <w:t xml:space="preserve">mean </w:t>
      </w:r>
      <w:r w:rsidR="00FB2FAC">
        <w:t>t</w:t>
      </w:r>
      <w:r w:rsidRPr="00654C7A">
        <w:rPr>
          <w:vertAlign w:val="subscript"/>
        </w:rPr>
        <w:t xml:space="preserve">1/2 </w:t>
      </w:r>
      <w:r w:rsidRPr="00654C7A">
        <w:t>was shorter (9.73 v</w:t>
      </w:r>
      <w:r w:rsidR="00FB2FAC">
        <w:t>ersu</w:t>
      </w:r>
      <w:r w:rsidRPr="00654C7A">
        <w:t xml:space="preserve">s 14.73 hours, respectively) and </w:t>
      </w:r>
      <w:r>
        <w:t xml:space="preserve">the mean </w:t>
      </w:r>
      <w:r w:rsidRPr="00654C7A">
        <w:t xml:space="preserve">CL </w:t>
      </w:r>
      <w:r>
        <w:t xml:space="preserve">was </w:t>
      </w:r>
      <w:r w:rsidRPr="00654C7A">
        <w:t>higher (4.89 v</w:t>
      </w:r>
      <w:r w:rsidR="00FB2FAC">
        <w:t>ersu</w:t>
      </w:r>
      <w:r w:rsidRPr="00654C7A">
        <w:t xml:space="preserve">s 2.94 mL/h/kg, respectively). </w:t>
      </w:r>
      <w:r>
        <w:t xml:space="preserve">The observed PK </w:t>
      </w:r>
      <w:r w:rsidRPr="00654C7A">
        <w:t xml:space="preserve">differences </w:t>
      </w:r>
      <w:r>
        <w:t xml:space="preserve">between children and adults were not unexpected and the sponsor notes that these differences </w:t>
      </w:r>
      <w:r w:rsidRPr="00654C7A">
        <w:t xml:space="preserve">have been observed with other FVIII products. In </w:t>
      </w:r>
      <w:r w:rsidR="00FB2FAC">
        <w:t>the paper by Bjorkman et al</w:t>
      </w:r>
      <w:bookmarkStart w:id="71" w:name="_Ref412631713"/>
      <w:r w:rsidR="00FB2FAC" w:rsidRPr="00FB2FAC">
        <w:rPr>
          <w:rStyle w:val="FootnoteReference"/>
        </w:rPr>
        <w:footnoteReference w:id="17"/>
      </w:r>
      <w:bookmarkEnd w:id="71"/>
      <w:r w:rsidRPr="00654C7A">
        <w:t xml:space="preserve">, IVR was lower, weight-adjusted clearance </w:t>
      </w:r>
      <w:r w:rsidRPr="00654C7A">
        <w:lastRenderedPageBreak/>
        <w:t>was higher and FVIII half-life was lower in children with severe haemophilia A (</w:t>
      </w:r>
      <w:r>
        <w:t xml:space="preserve">aged </w:t>
      </w:r>
      <w:r w:rsidRPr="00654C7A">
        <w:t>1</w:t>
      </w:r>
      <w:r w:rsidR="00FB2FAC">
        <w:t xml:space="preserve"> to </w:t>
      </w:r>
      <w:r w:rsidRPr="00654C7A">
        <w:t>6 years of age) tha</w:t>
      </w:r>
      <w:r>
        <w:t>n in older patients (aged 10</w:t>
      </w:r>
      <w:r w:rsidR="00FB2FAC">
        <w:t xml:space="preserve"> to </w:t>
      </w:r>
      <w:r w:rsidRPr="00654C7A">
        <w:t>65 years).</w:t>
      </w:r>
    </w:p>
    <w:p w:rsidR="009622D4" w:rsidRDefault="009622D4" w:rsidP="009622D4">
      <w:r w:rsidRPr="00654C7A">
        <w:t>The IVR was assessed in all studies and was generally consistent across the studies. In GENA-08 (CHR assay), the mean</w:t>
      </w:r>
      <w:r w:rsidR="00FB2FAC">
        <w:t xml:space="preserve"> </w:t>
      </w:r>
      <w:r w:rsidRPr="00654C7A">
        <w:t>±</w:t>
      </w:r>
      <w:r w:rsidR="00FB2FAC">
        <w:t xml:space="preserve"> standard deviation (</w:t>
      </w:r>
      <w:r w:rsidRPr="00654C7A">
        <w:t>SD</w:t>
      </w:r>
      <w:r w:rsidR="00FB2FAC">
        <w:t>)</w:t>
      </w:r>
      <w:r w:rsidRPr="00654C7A">
        <w:t xml:space="preserve"> IVR </w:t>
      </w:r>
      <w:r>
        <w:t xml:space="preserve">in adult patients </w:t>
      </w:r>
      <w:r w:rsidRPr="00654C7A">
        <w:t>at</w:t>
      </w:r>
      <w:r>
        <w:t xml:space="preserve"> visit 1 (n=32) was 2.57±0.54</w:t>
      </w:r>
      <w:r w:rsidRPr="00654C7A">
        <w:t xml:space="preserve">% per IU/kg and this </w:t>
      </w:r>
      <w:r>
        <w:t xml:space="preserve">value was consistent with values </w:t>
      </w:r>
      <w:r w:rsidR="00FB2FAC">
        <w:t>at M</w:t>
      </w:r>
      <w:r w:rsidRPr="00654C7A">
        <w:t xml:space="preserve">onth 3 (n=31) and </w:t>
      </w:r>
      <w:r w:rsidR="00FB2FAC">
        <w:t>M</w:t>
      </w:r>
      <w:r w:rsidRPr="00654C7A">
        <w:t>onth 6 (n=30) of 2.37</w:t>
      </w:r>
      <w:r>
        <w:t>±0.50% per IU/kg and 2.34±0.40</w:t>
      </w:r>
      <w:r w:rsidRPr="00654C7A">
        <w:t>% per IU/kg</w:t>
      </w:r>
      <w:r>
        <w:t>, respectively</w:t>
      </w:r>
      <w:r w:rsidRPr="00654C7A">
        <w:t>. The IVR (CHR assay) was also generally consistent over time in adult patients in</w:t>
      </w:r>
      <w:r>
        <w:t xml:space="preserve"> GENA-01, GENA-09 and GENA-04. </w:t>
      </w:r>
      <w:r w:rsidRPr="00654C7A">
        <w:t xml:space="preserve">In GENA-03 (CHR assay), the </w:t>
      </w:r>
      <w:proofErr w:type="spellStart"/>
      <w:r w:rsidRPr="00654C7A">
        <w:t>mean±SD</w:t>
      </w:r>
      <w:proofErr w:type="spellEnd"/>
      <w:r w:rsidRPr="00654C7A">
        <w:t xml:space="preserve"> IVR at the start of the study in </w:t>
      </w:r>
      <w:r>
        <w:t>children</w:t>
      </w:r>
      <w:r w:rsidRPr="00654C7A">
        <w:t xml:space="preserve"> age</w:t>
      </w:r>
      <w:r>
        <w:t>d 2</w:t>
      </w:r>
      <w:r w:rsidR="00FB2FAC">
        <w:t xml:space="preserve"> to </w:t>
      </w:r>
      <w:r w:rsidRPr="00654C7A">
        <w:t>12 years (n=25) was notably lower than in adult patients (n=22) in GENA-01 (CHR assay), with the respective values being 1.83±0.</w:t>
      </w:r>
      <w:r>
        <w:t>41% per IU/kg and 2.50±0.37</w:t>
      </w:r>
      <w:r w:rsidRPr="00654C7A">
        <w:t xml:space="preserve">% per IU/kg. The IVR (CHR assay) was consistent over time in the paediatric population aged </w:t>
      </w:r>
      <w:r>
        <w:t>2</w:t>
      </w:r>
      <w:r w:rsidR="00FB2FAC">
        <w:t xml:space="preserve"> to </w:t>
      </w:r>
      <w:r w:rsidRPr="00654C7A">
        <w:t>12 years in GENA-03 (</w:t>
      </w:r>
      <w:r w:rsidR="00FB2FAC">
        <w:t>that is,</w:t>
      </w:r>
      <w:r w:rsidRPr="00654C7A">
        <w:t xml:space="preserve"> start, 3 months, 6 months). The sponsor comments that lower IVR values have been observed in children compared with ad</w:t>
      </w:r>
      <w:r>
        <w:t>ults with other FVIII products.</w:t>
      </w:r>
      <w:r w:rsidR="00803EB5">
        <w:fldChar w:fldCharType="begin"/>
      </w:r>
      <w:r w:rsidR="00803EB5">
        <w:instrText xml:space="preserve"> NOTEREF _Ref412631713 \h  \* MERGEFORMAT </w:instrText>
      </w:r>
      <w:r w:rsidR="00803EB5">
        <w:fldChar w:fldCharType="separate"/>
      </w:r>
      <w:r w:rsidR="009349BD" w:rsidRPr="009349BD">
        <w:rPr>
          <w:vertAlign w:val="superscript"/>
        </w:rPr>
        <w:t>17</w:t>
      </w:r>
      <w:r w:rsidR="00803EB5">
        <w:fldChar w:fldCharType="end"/>
      </w:r>
      <w:r w:rsidRPr="0085598F">
        <w:t xml:space="preserve"> </w:t>
      </w:r>
      <w:r>
        <w:t>However, the</w:t>
      </w:r>
      <w:r w:rsidR="00B62283">
        <w:t xml:space="preserve"> lower</w:t>
      </w:r>
      <w:r>
        <w:t xml:space="preserve"> FVIII recovery in children compared with adults suggests that higher doses of </w:t>
      </w:r>
      <w:proofErr w:type="spellStart"/>
      <w:r w:rsidR="009C1E6B">
        <w:t>simoctocog</w:t>
      </w:r>
      <w:proofErr w:type="spellEnd"/>
      <w:r w:rsidR="009C1E6B">
        <w:t xml:space="preserve"> </w:t>
      </w:r>
      <w:r w:rsidR="00FC63A1">
        <w:t>alfa</w:t>
      </w:r>
      <w:r>
        <w:t xml:space="preserve"> might be required in children compared with adults to treat haemophilia and this was in fact observed</w:t>
      </w:r>
      <w:r w:rsidR="000B1C06">
        <w:t xml:space="preserve"> in the clinical efficacy data.</w:t>
      </w:r>
    </w:p>
    <w:p w:rsidR="009622D4" w:rsidRDefault="009622D4" w:rsidP="009622D4">
      <w:r>
        <w:t xml:space="preserve">There were no PK studies in humans relating to metabolism, excretion, hepatic impairment, renal impairment or drug-drug interactions. However, FVIII is a well characterised coagulation factor and a normal constituent of human plasma. Consequently, it can be reasonably anticipated that the metabolism, excretion, PKs in hepatic impairment, PKs in renal impairment and PK drug-drug interactions of </w:t>
      </w:r>
      <w:proofErr w:type="spellStart"/>
      <w:r w:rsidR="009C1E6B">
        <w:t>simoctocog</w:t>
      </w:r>
      <w:proofErr w:type="spellEnd"/>
      <w:r w:rsidR="009C1E6B">
        <w:t xml:space="preserve"> </w:t>
      </w:r>
      <w:r w:rsidR="00FC63A1">
        <w:t>alfa</w:t>
      </w:r>
      <w:r>
        <w:t xml:space="preserve"> </w:t>
      </w:r>
      <w:r w:rsidR="00B62283">
        <w:t xml:space="preserve">are </w:t>
      </w:r>
      <w:r>
        <w:t xml:space="preserve">unlikely to differ from endogenous FVIII. There were no PK studies in females, in elderly patients (≥ 65 years of age) or in patients from different racial groups. However, the absence of PK data for </w:t>
      </w:r>
      <w:proofErr w:type="spellStart"/>
      <w:r w:rsidR="009C1E6B">
        <w:t>simoctocog</w:t>
      </w:r>
      <w:proofErr w:type="spellEnd"/>
      <w:r w:rsidR="009C1E6B">
        <w:t xml:space="preserve"> </w:t>
      </w:r>
      <w:r w:rsidR="00FC63A1">
        <w:t>alfa</w:t>
      </w:r>
      <w:r>
        <w:t xml:space="preserve"> in these patient groups is not con</w:t>
      </w:r>
      <w:r w:rsidR="000B1C06">
        <w:t>sidered to be a critical issue.</w:t>
      </w:r>
    </w:p>
    <w:p w:rsidR="008E7846" w:rsidRDefault="008E7846" w:rsidP="008E7846">
      <w:pPr>
        <w:pStyle w:val="Heading3"/>
      </w:pPr>
      <w:bookmarkStart w:id="72" w:name="_Toc196046481"/>
      <w:bookmarkStart w:id="73" w:name="_Toc247691520"/>
      <w:bookmarkStart w:id="74" w:name="_Toc314842503"/>
      <w:bookmarkStart w:id="75" w:name="_Toc453683278"/>
      <w:r w:rsidRPr="00254787">
        <w:t>Pharmacodynamics</w:t>
      </w:r>
      <w:bookmarkEnd w:id="60"/>
      <w:bookmarkEnd w:id="72"/>
      <w:bookmarkEnd w:id="73"/>
      <w:bookmarkEnd w:id="74"/>
      <w:bookmarkEnd w:id="75"/>
    </w:p>
    <w:p w:rsidR="009622D4" w:rsidRDefault="009622D4" w:rsidP="009622D4">
      <w:r>
        <w:t xml:space="preserve">The pharmacodynamics of </w:t>
      </w:r>
      <w:proofErr w:type="spellStart"/>
      <w:r w:rsidR="009C1E6B">
        <w:t>simoctocog</w:t>
      </w:r>
      <w:proofErr w:type="spellEnd"/>
      <w:r w:rsidR="009C1E6B">
        <w:t xml:space="preserve"> </w:t>
      </w:r>
      <w:r w:rsidR="00FC63A1">
        <w:t>alfa</w:t>
      </w:r>
      <w:r>
        <w:t xml:space="preserve"> </w:t>
      </w:r>
      <w:proofErr w:type="gramStart"/>
      <w:r>
        <w:t>appear</w:t>
      </w:r>
      <w:proofErr w:type="gramEnd"/>
      <w:r>
        <w:t xml:space="preserve"> to have been extensively investigated in the </w:t>
      </w:r>
      <w:r w:rsidR="00FB2FAC">
        <w:t>non</w:t>
      </w:r>
      <w:r w:rsidR="000B1C06">
        <w:t>clinical data.</w:t>
      </w:r>
    </w:p>
    <w:p w:rsidR="008E7846" w:rsidRDefault="00605AD4" w:rsidP="00605AD4">
      <w:pPr>
        <w:pStyle w:val="Heading3"/>
      </w:pPr>
      <w:bookmarkStart w:id="76" w:name="_Toc453683279"/>
      <w:r>
        <w:t>Dosage selection for the pivotal studies</w:t>
      </w:r>
      <w:bookmarkEnd w:id="76"/>
    </w:p>
    <w:p w:rsidR="009622D4" w:rsidRPr="00D66C87" w:rsidRDefault="009622D4" w:rsidP="009622D4">
      <w:r w:rsidRPr="00D66C87">
        <w:t xml:space="preserve">The </w:t>
      </w:r>
      <w:proofErr w:type="spellStart"/>
      <w:r w:rsidR="009C1E6B">
        <w:t>simoctocog</w:t>
      </w:r>
      <w:proofErr w:type="spellEnd"/>
      <w:r w:rsidR="009C1E6B">
        <w:t xml:space="preserve"> </w:t>
      </w:r>
      <w:r w:rsidR="00FC63A1">
        <w:t>alfa</w:t>
      </w:r>
      <w:r w:rsidRPr="00D66C87">
        <w:t xml:space="preserve"> dosage used in all five clinical studies for PK assessment was 50 IU FVIII/kg according to the labelled potency. This dose is in accordance with published guidelines for the design and analysis of pharmacokinetic studies of FVIII.</w:t>
      </w:r>
      <w:r w:rsidR="00FB2FAC">
        <w:rPr>
          <w:rStyle w:val="FootnoteReference"/>
        </w:rPr>
        <w:footnoteReference w:id="18"/>
      </w:r>
      <w:r w:rsidRPr="00D66C87">
        <w:t xml:space="preserve"> In each of the clinical studies, assessment of efficacy and safety foll</w:t>
      </w:r>
      <w:r w:rsidR="000B1C06">
        <w:t>owed on from the PK assessment.</w:t>
      </w:r>
    </w:p>
    <w:p w:rsidR="009622D4" w:rsidRPr="00D66C87" w:rsidRDefault="009622D4" w:rsidP="009622D4">
      <w:r w:rsidRPr="00D66C87">
        <w:t xml:space="preserve">In the two pivotal studies assessing </w:t>
      </w:r>
      <w:proofErr w:type="spellStart"/>
      <w:r w:rsidR="009C1E6B">
        <w:t>simoctocog</w:t>
      </w:r>
      <w:proofErr w:type="spellEnd"/>
      <w:r w:rsidR="009C1E6B">
        <w:t xml:space="preserve"> </w:t>
      </w:r>
      <w:r w:rsidR="00FC63A1">
        <w:t>alfa</w:t>
      </w:r>
      <w:r w:rsidRPr="00D66C87">
        <w:t xml:space="preserve"> for prophylaxis, the dose in adults was 30-40 IU FVIII/kg every day until 6 months and at least 50 days had been reached (GENA-08), and the dose in children was 30</w:t>
      </w:r>
      <w:r w:rsidR="00FB2FAC">
        <w:t xml:space="preserve"> to </w:t>
      </w:r>
      <w:r w:rsidRPr="00D66C87">
        <w:t xml:space="preserve">40 IU FVIII/kg every other day or 3 times weekly, with two dose escalations of +5 IU/kg each allowed in case of inadequate response defined </w:t>
      </w:r>
      <w:r w:rsidRPr="009C70A0">
        <w:t xml:space="preserve">as ≥ </w:t>
      </w:r>
      <w:r w:rsidR="00FC63A1" w:rsidRPr="009C70A0">
        <w:t xml:space="preserve">2 </w:t>
      </w:r>
      <w:r w:rsidR="009C70A0" w:rsidRPr="009C70A0">
        <w:t>spontaneous</w:t>
      </w:r>
      <w:r w:rsidR="009C70A0">
        <w:t xml:space="preserve"> bleeds</w:t>
      </w:r>
      <w:r w:rsidR="000B1C06">
        <w:t xml:space="preserve"> during one month.</w:t>
      </w:r>
    </w:p>
    <w:p w:rsidR="009622D4" w:rsidRPr="00D66C87" w:rsidRDefault="009622D4" w:rsidP="009622D4">
      <w:r w:rsidRPr="00D66C87">
        <w:t xml:space="preserve">In the three pivotal studies (GENA-01, GENA-08, GENA-03), the </w:t>
      </w:r>
      <w:proofErr w:type="spellStart"/>
      <w:r w:rsidR="009C1E6B">
        <w:t>simoctocog</w:t>
      </w:r>
      <w:proofErr w:type="spellEnd"/>
      <w:r w:rsidR="009C1E6B">
        <w:t xml:space="preserve"> </w:t>
      </w:r>
      <w:r w:rsidR="00FC63A1">
        <w:t>alfa</w:t>
      </w:r>
      <w:r w:rsidRPr="00D66C87">
        <w:t xml:space="preserve"> dose for treating </w:t>
      </w:r>
      <w:r w:rsidR="00FC63A1">
        <w:t>bleeds</w:t>
      </w:r>
      <w:r w:rsidRPr="00D66C87">
        <w:t xml:space="preserve"> depended on the severity of bleeding. For minor </w:t>
      </w:r>
      <w:r w:rsidR="00FC63A1">
        <w:t>bleeds</w:t>
      </w:r>
      <w:r w:rsidRPr="00D66C87">
        <w:t>, the dose was 20</w:t>
      </w:r>
      <w:r w:rsidR="00FB2FAC">
        <w:t xml:space="preserve"> to </w:t>
      </w:r>
      <w:r w:rsidRPr="00D66C87">
        <w:t>30 IU FVIII/kg every 12</w:t>
      </w:r>
      <w:r w:rsidR="00FB2FAC">
        <w:t xml:space="preserve"> to </w:t>
      </w:r>
      <w:r w:rsidRPr="00D66C87">
        <w:t xml:space="preserve">24 hours until </w:t>
      </w:r>
      <w:r w:rsidR="00FC63A1">
        <w:t>bleed</w:t>
      </w:r>
      <w:r w:rsidRPr="00D66C87">
        <w:t xml:space="preserve"> resolution. For major </w:t>
      </w:r>
      <w:r w:rsidR="00FC63A1">
        <w:t>bleeds</w:t>
      </w:r>
      <w:r w:rsidRPr="00D66C87">
        <w:t xml:space="preserve"> the dose was 30</w:t>
      </w:r>
      <w:r w:rsidR="00FB2FAC">
        <w:t xml:space="preserve"> to </w:t>
      </w:r>
      <w:r w:rsidRPr="00D66C87">
        <w:t>40 IU FVIII/kg, repeated every 12</w:t>
      </w:r>
      <w:r w:rsidR="00FB2FAC">
        <w:t xml:space="preserve"> to </w:t>
      </w:r>
      <w:r w:rsidRPr="00D66C87">
        <w:t xml:space="preserve">24 hours until </w:t>
      </w:r>
      <w:r w:rsidR="00FC63A1">
        <w:t>bleed</w:t>
      </w:r>
      <w:r w:rsidRPr="00D66C87">
        <w:t xml:space="preserve"> resolution. Fo</w:t>
      </w:r>
      <w:r>
        <w:t>r</w:t>
      </w:r>
      <w:r w:rsidRPr="00D66C87">
        <w:t xml:space="preserve"> major to life</w:t>
      </w:r>
      <w:r w:rsidR="00FB2FAC">
        <w:t xml:space="preserve"> </w:t>
      </w:r>
      <w:r w:rsidRPr="00D66C87">
        <w:lastRenderedPageBreak/>
        <w:t xml:space="preserve">threatening </w:t>
      </w:r>
      <w:r w:rsidR="00FC63A1">
        <w:t>bleeds</w:t>
      </w:r>
      <w:r w:rsidRPr="00D66C87">
        <w:t xml:space="preserve"> the initial dose was 50</w:t>
      </w:r>
      <w:r w:rsidR="00FB2FAC">
        <w:t xml:space="preserve"> to </w:t>
      </w:r>
      <w:r w:rsidRPr="00D66C87">
        <w:t>60 IU FVIII/kg with subsequent doses of 20</w:t>
      </w:r>
      <w:r w:rsidR="00FB2FAC">
        <w:t xml:space="preserve"> to </w:t>
      </w:r>
      <w:r w:rsidRPr="00D66C87">
        <w:t>25 IU FVIII/kg every 8</w:t>
      </w:r>
      <w:r w:rsidR="00FB2FAC">
        <w:t xml:space="preserve"> to </w:t>
      </w:r>
      <w:r w:rsidRPr="00D66C87">
        <w:t xml:space="preserve">12 hours until </w:t>
      </w:r>
      <w:r w:rsidR="00FC63A1">
        <w:t>bleed</w:t>
      </w:r>
      <w:r w:rsidRPr="00D66C87">
        <w:t xml:space="preserve"> resolution.</w:t>
      </w:r>
    </w:p>
    <w:p w:rsidR="009622D4" w:rsidRDefault="009622D4" w:rsidP="009622D4">
      <w:r w:rsidRPr="00D66C87">
        <w:t xml:space="preserve">In the three pivotal studies (GENA-01, GENA-08, GENA-03), the </w:t>
      </w:r>
      <w:proofErr w:type="spellStart"/>
      <w:r w:rsidR="009C1E6B">
        <w:t>simoctocog</w:t>
      </w:r>
      <w:proofErr w:type="spellEnd"/>
      <w:r w:rsidR="009C1E6B">
        <w:t xml:space="preserve"> </w:t>
      </w:r>
      <w:r w:rsidR="00FC63A1">
        <w:t>alfa</w:t>
      </w:r>
      <w:r w:rsidRPr="00D66C87">
        <w:t xml:space="preserve"> dose for prophylaxis during surgical procedures depended on whether the procedure was minor or major. For minor procedures (including tooth extraction), the dose was 25</w:t>
      </w:r>
      <w:r w:rsidR="00FB2FAC">
        <w:t xml:space="preserve"> to </w:t>
      </w:r>
      <w:r w:rsidRPr="00D66C87">
        <w:t xml:space="preserve">30 IU FVIII/kg within 3 hours prior to surgery to achieve peak target level of </w:t>
      </w:r>
      <w:r w:rsidR="00FB2FAC">
        <w:t>approximately 5</w:t>
      </w:r>
      <w:r w:rsidRPr="00D66C87">
        <w:t>0</w:t>
      </w:r>
      <w:r w:rsidR="00FB2FAC">
        <w:t xml:space="preserve"> to </w:t>
      </w:r>
      <w:r w:rsidRPr="00D66C87">
        <w:t>6</w:t>
      </w:r>
      <w:r>
        <w:t>0%, repeated every 12</w:t>
      </w:r>
      <w:r w:rsidR="00FB2FAC">
        <w:t xml:space="preserve"> to </w:t>
      </w:r>
      <w:r>
        <w:t xml:space="preserve">24 hours </w:t>
      </w:r>
      <w:r w:rsidRPr="00D66C87">
        <w:t>until healing is complete</w:t>
      </w:r>
      <w:r w:rsidR="00FC63A1">
        <w:t>, with t</w:t>
      </w:r>
      <w:r w:rsidRPr="00D66C87">
        <w:t>rough level to be maintaine</w:t>
      </w:r>
      <w:r>
        <w:t>d</w:t>
      </w:r>
      <w:r w:rsidRPr="00D66C87">
        <w:t xml:space="preserve"> at </w:t>
      </w:r>
      <w:r w:rsidR="00FB2FAC">
        <w:t xml:space="preserve">approximately </w:t>
      </w:r>
      <w:r w:rsidRPr="00D66C87">
        <w:t xml:space="preserve">30%. For major surgical procedures, the dose was 50 IU FVIII/kg within 3 hours prior to surgery to achieve </w:t>
      </w:r>
      <w:r w:rsidR="00FC63A1">
        <w:t xml:space="preserve">a </w:t>
      </w:r>
      <w:r w:rsidRPr="00D66C87">
        <w:t xml:space="preserve">target peak level of </w:t>
      </w:r>
      <w:r w:rsidR="00FB2FAC">
        <w:t xml:space="preserve">approximately </w:t>
      </w:r>
      <w:r w:rsidRPr="00D66C87">
        <w:t>100%, repeated if necessary after 6</w:t>
      </w:r>
      <w:r w:rsidR="00FB2FAC">
        <w:t xml:space="preserve"> to </w:t>
      </w:r>
      <w:r w:rsidRPr="00D66C87">
        <w:t>12 hours initially and for ≥6 days until healing is complete</w:t>
      </w:r>
      <w:r w:rsidR="00FC63A1">
        <w:t>, with t</w:t>
      </w:r>
      <w:r w:rsidRPr="00D66C87">
        <w:t>rough level to b</w:t>
      </w:r>
      <w:r>
        <w:t>e</w:t>
      </w:r>
      <w:r w:rsidRPr="00D66C87">
        <w:t xml:space="preserve"> maintained at </w:t>
      </w:r>
      <w:r w:rsidR="00FB2FAC">
        <w:t xml:space="preserve">approximately </w:t>
      </w:r>
      <w:r w:rsidRPr="00D66C87">
        <w:t>50%.</w:t>
      </w:r>
    </w:p>
    <w:p w:rsidR="008E7846" w:rsidRPr="00254787" w:rsidRDefault="008E7846" w:rsidP="008E7846">
      <w:pPr>
        <w:pStyle w:val="Heading3"/>
      </w:pPr>
      <w:bookmarkStart w:id="77" w:name="_Toc163441372"/>
      <w:bookmarkStart w:id="78" w:name="_Toc196046485"/>
      <w:bookmarkStart w:id="79" w:name="_Toc247691521"/>
      <w:bookmarkStart w:id="80" w:name="_Toc314842504"/>
      <w:bookmarkStart w:id="81" w:name="_Toc453683280"/>
      <w:r w:rsidRPr="00254787">
        <w:t>Efficacy</w:t>
      </w:r>
      <w:bookmarkEnd w:id="77"/>
      <w:bookmarkEnd w:id="78"/>
      <w:bookmarkEnd w:id="79"/>
      <w:bookmarkEnd w:id="80"/>
      <w:bookmarkEnd w:id="81"/>
    </w:p>
    <w:p w:rsidR="00605AD4" w:rsidRDefault="00605AD4" w:rsidP="00605AD4">
      <w:pPr>
        <w:pStyle w:val="Heading4"/>
      </w:pPr>
      <w:bookmarkStart w:id="82" w:name="_Toc184439992"/>
      <w:bookmarkStart w:id="83" w:name="_Toc184440279"/>
      <w:bookmarkStart w:id="84" w:name="_Toc184444657"/>
      <w:bookmarkStart w:id="85" w:name="_Toc196046487"/>
      <w:r>
        <w:t>Studies providing efficacy data</w:t>
      </w:r>
    </w:p>
    <w:p w:rsidR="009622D4" w:rsidRPr="00742305" w:rsidRDefault="009622D4" w:rsidP="009622D4">
      <w:pPr>
        <w:widowControl w:val="0"/>
        <w:autoSpaceDE w:val="0"/>
        <w:autoSpaceDN w:val="0"/>
        <w:adjustRightInd w:val="0"/>
      </w:pPr>
      <w:r w:rsidRPr="00742305">
        <w:t xml:space="preserve">The sponsor nominated three, multicentre, multinational studies as providing primary efficacy data (GENA-01, GENA-08 and GENA-03), and two, single-centre studies as providing supportive efficacy data (GENA-09 and its extension GENA-04). The five studies have been fully evaluated and </w:t>
      </w:r>
      <w:r w:rsidR="00FB2FAC">
        <w:t>S</w:t>
      </w:r>
      <w:r w:rsidRPr="00742305">
        <w:t xml:space="preserve">tudies GENA-01, GENA-08 and GENA-03 are considered to be the pivotal efficacy and safety studies, while </w:t>
      </w:r>
      <w:r w:rsidR="00FB2FAC">
        <w:t>S</w:t>
      </w:r>
      <w:r w:rsidRPr="00742305">
        <w:t xml:space="preserve">tudies GENA-09 and GENA-04 are considered to the supportive efficacy and safety studies. The five studies are outlined below in Table </w:t>
      </w:r>
      <w:r w:rsidR="00FB2FAC">
        <w:t>5</w:t>
      </w:r>
      <w:r w:rsidRPr="00742305">
        <w:t xml:space="preserve">. </w:t>
      </w:r>
    </w:p>
    <w:p w:rsidR="009622D4" w:rsidRPr="00A978BE" w:rsidRDefault="009622D4" w:rsidP="00FB2FAC">
      <w:pPr>
        <w:pStyle w:val="TableTitle"/>
      </w:pPr>
      <w:bookmarkStart w:id="86" w:name="_Toc248202533"/>
      <w:proofErr w:type="gramStart"/>
      <w:r>
        <w:t xml:space="preserve">Table </w:t>
      </w:r>
      <w:r w:rsidR="00FB2FAC">
        <w:t>5</w:t>
      </w:r>
      <w:r>
        <w:t xml:space="preserve">: </w:t>
      </w:r>
      <w:r w:rsidRPr="00A978BE">
        <w:t>Five studies providing efficacy data.</w:t>
      </w:r>
      <w:bookmarkEnd w:id="86"/>
      <w:proofErr w:type="gramEnd"/>
    </w:p>
    <w:tbl>
      <w:tblPr>
        <w:tblStyle w:val="TableTGAblue"/>
        <w:tblW w:w="9039" w:type="dxa"/>
        <w:tblLayout w:type="fixed"/>
        <w:tblLook w:val="04A0" w:firstRow="1" w:lastRow="0" w:firstColumn="1" w:lastColumn="0" w:noHBand="0" w:noVBand="1"/>
      </w:tblPr>
      <w:tblGrid>
        <w:gridCol w:w="1101"/>
        <w:gridCol w:w="1984"/>
        <w:gridCol w:w="1701"/>
        <w:gridCol w:w="1843"/>
        <w:gridCol w:w="2410"/>
      </w:tblGrid>
      <w:tr w:rsidR="00A96A41" w:rsidTr="000B1C06">
        <w:trPr>
          <w:cnfStyle w:val="100000000000" w:firstRow="1" w:lastRow="0" w:firstColumn="0" w:lastColumn="0" w:oddVBand="0" w:evenVBand="0" w:oddHBand="0" w:evenHBand="0" w:firstRowFirstColumn="0" w:firstRowLastColumn="0" w:lastRowFirstColumn="0" w:lastRowLastColumn="0"/>
        </w:trPr>
        <w:tc>
          <w:tcPr>
            <w:tcW w:w="1101" w:type="dxa"/>
          </w:tcPr>
          <w:p w:rsidR="009622D4" w:rsidRPr="00FB2FAC" w:rsidRDefault="009622D4" w:rsidP="000B1C06">
            <w:r w:rsidRPr="00FB2FAC">
              <w:t xml:space="preserve">Study </w:t>
            </w:r>
          </w:p>
        </w:tc>
        <w:tc>
          <w:tcPr>
            <w:tcW w:w="1984" w:type="dxa"/>
          </w:tcPr>
          <w:p w:rsidR="009622D4" w:rsidRPr="00FB2FAC" w:rsidRDefault="009622D4" w:rsidP="000B1C06">
            <w:r w:rsidRPr="00FB2FAC">
              <w:t xml:space="preserve">Design </w:t>
            </w:r>
          </w:p>
        </w:tc>
        <w:tc>
          <w:tcPr>
            <w:tcW w:w="1701" w:type="dxa"/>
          </w:tcPr>
          <w:p w:rsidR="009622D4" w:rsidRPr="00FB2FAC" w:rsidRDefault="009622D4" w:rsidP="000B1C06">
            <w:r w:rsidRPr="00FB2FAC">
              <w:t>Patients</w:t>
            </w:r>
          </w:p>
        </w:tc>
        <w:tc>
          <w:tcPr>
            <w:tcW w:w="1843" w:type="dxa"/>
          </w:tcPr>
          <w:p w:rsidR="009622D4" w:rsidRPr="00FB2FAC" w:rsidRDefault="009622D4" w:rsidP="000B1C06">
            <w:r w:rsidRPr="00FB2FAC">
              <w:t>Primary objectives</w:t>
            </w:r>
          </w:p>
        </w:tc>
        <w:tc>
          <w:tcPr>
            <w:tcW w:w="2410" w:type="dxa"/>
          </w:tcPr>
          <w:p w:rsidR="009622D4" w:rsidRPr="00FB2FAC" w:rsidRDefault="009622D4" w:rsidP="000B1C06">
            <w:r w:rsidRPr="00FB2FAC">
              <w:t>Secondary objectives</w:t>
            </w:r>
          </w:p>
        </w:tc>
      </w:tr>
      <w:tr w:rsidR="009622D4" w:rsidTr="000B1C06">
        <w:tc>
          <w:tcPr>
            <w:tcW w:w="1101" w:type="dxa"/>
          </w:tcPr>
          <w:p w:rsidR="009622D4" w:rsidRPr="00FB2FAC" w:rsidRDefault="009622D4" w:rsidP="000B1C06">
            <w:r w:rsidRPr="00FB2FAC">
              <w:t>GENA-01</w:t>
            </w:r>
            <w:r w:rsidR="000B1C06">
              <w:t xml:space="preserve"> </w:t>
            </w:r>
            <w:r w:rsidRPr="00FB2FAC">
              <w:t>Phase II</w:t>
            </w:r>
            <w:r w:rsidR="000B1C06">
              <w:t xml:space="preserve"> </w:t>
            </w:r>
            <w:r w:rsidRPr="00FB2FAC">
              <w:t xml:space="preserve">Pivotal </w:t>
            </w:r>
          </w:p>
        </w:tc>
        <w:tc>
          <w:tcPr>
            <w:tcW w:w="1984" w:type="dxa"/>
          </w:tcPr>
          <w:p w:rsidR="009622D4" w:rsidRPr="00FB2FAC" w:rsidRDefault="009622D4" w:rsidP="000B1C06">
            <w:r w:rsidRPr="00FB2FAC">
              <w:t>Phase II, prospective, randomised, active-contro</w:t>
            </w:r>
            <w:r w:rsidR="000B1C06">
              <w:t>lled, open-label, multi-centre.</w:t>
            </w:r>
          </w:p>
          <w:p w:rsidR="009622D4" w:rsidRPr="00FB2FAC" w:rsidRDefault="009622D4" w:rsidP="000B1C06">
            <w:r w:rsidRPr="00FB2FAC">
              <w:t>Start: 27/04/2012</w:t>
            </w:r>
            <w:r w:rsidR="000B1C06">
              <w:t xml:space="preserve"> </w:t>
            </w:r>
            <w:r w:rsidRPr="00FB2FAC">
              <w:t xml:space="preserve">End: 18/09/2012. </w:t>
            </w:r>
          </w:p>
        </w:tc>
        <w:tc>
          <w:tcPr>
            <w:tcW w:w="1701" w:type="dxa"/>
          </w:tcPr>
          <w:p w:rsidR="009622D4" w:rsidRPr="00FB2FAC" w:rsidRDefault="009622D4" w:rsidP="000B1C06">
            <w:r w:rsidRPr="00FB2FAC">
              <w:t>22 adult PTPs enrolled: all 22</w:t>
            </w:r>
            <w:r w:rsidR="00FF5033" w:rsidRPr="00FB2FAC">
              <w:t xml:space="preserve"> </w:t>
            </w:r>
            <w:r w:rsidRPr="00FB2FAC">
              <w:t>in ITT and SAF</w:t>
            </w:r>
            <w:r w:rsidR="00FF5033" w:rsidRPr="00FB2FAC">
              <w:t xml:space="preserve"> </w:t>
            </w:r>
            <w:r w:rsidRPr="00FB2FAC">
              <w:t xml:space="preserve">populations, and 14 in the PP population </w:t>
            </w:r>
          </w:p>
        </w:tc>
        <w:tc>
          <w:tcPr>
            <w:tcW w:w="1843" w:type="dxa"/>
          </w:tcPr>
          <w:p w:rsidR="009622D4" w:rsidRPr="00FB2FAC" w:rsidRDefault="009622D4" w:rsidP="000B1C06">
            <w:r w:rsidRPr="00FB2FAC">
              <w:t xml:space="preserve">Determine the PKs of </w:t>
            </w:r>
            <w:proofErr w:type="spellStart"/>
            <w:r w:rsidR="009C1E6B">
              <w:t>simoctocog</w:t>
            </w:r>
            <w:proofErr w:type="spellEnd"/>
            <w:r w:rsidR="009C1E6B">
              <w:t xml:space="preserve"> </w:t>
            </w:r>
            <w:r w:rsidR="00FC63A1">
              <w:t>alfa</w:t>
            </w:r>
            <w:r w:rsidRPr="00FB2FAC">
              <w:t xml:space="preserve"> and compare with PKs of </w:t>
            </w:r>
            <w:r w:rsidR="001238B9">
              <w:t xml:space="preserve">full-length </w:t>
            </w:r>
            <w:proofErr w:type="spellStart"/>
            <w:r w:rsidR="001238B9">
              <w:t>rFVIII</w:t>
            </w:r>
            <w:proofErr w:type="spellEnd"/>
            <w:r w:rsidR="00A94FD5">
              <w:t xml:space="preserve"> BHK</w:t>
            </w:r>
          </w:p>
        </w:tc>
        <w:tc>
          <w:tcPr>
            <w:tcW w:w="2410" w:type="dxa"/>
          </w:tcPr>
          <w:p w:rsidR="009622D4" w:rsidRPr="00FB2FAC" w:rsidRDefault="009622D4" w:rsidP="000B1C06">
            <w:r w:rsidRPr="00FB2FAC">
              <w:t>Calculate incremental</w:t>
            </w:r>
            <w:r w:rsidR="00FF5033" w:rsidRPr="00FB2FAC">
              <w:t xml:space="preserve"> </w:t>
            </w:r>
            <w:r w:rsidRPr="00FB2FAC">
              <w:t xml:space="preserve">recovery; Investigate immunogenicity; Assess clinical efficacy and safety in the treatment of BEs and in surgical prophylaxis. </w:t>
            </w:r>
          </w:p>
        </w:tc>
      </w:tr>
      <w:tr w:rsidR="009622D4" w:rsidTr="000B1C06">
        <w:tc>
          <w:tcPr>
            <w:tcW w:w="1101" w:type="dxa"/>
          </w:tcPr>
          <w:p w:rsidR="009622D4" w:rsidRPr="00FB2FAC" w:rsidRDefault="009622D4" w:rsidP="000B1C06">
            <w:r w:rsidRPr="00FB2FAC">
              <w:t>GENA-08</w:t>
            </w:r>
          </w:p>
          <w:p w:rsidR="009622D4" w:rsidRPr="00FB2FAC" w:rsidRDefault="009622D4" w:rsidP="000B1C06">
            <w:r w:rsidRPr="00FB2FAC">
              <w:t>Phase III</w:t>
            </w:r>
          </w:p>
          <w:p w:rsidR="009622D4" w:rsidRPr="00FB2FAC" w:rsidRDefault="009622D4" w:rsidP="000B1C06">
            <w:r w:rsidRPr="00FB2FAC">
              <w:t>Pivotal</w:t>
            </w:r>
          </w:p>
        </w:tc>
        <w:tc>
          <w:tcPr>
            <w:tcW w:w="1984" w:type="dxa"/>
          </w:tcPr>
          <w:p w:rsidR="009622D4" w:rsidRPr="00FB2FAC" w:rsidRDefault="009622D4" w:rsidP="000B1C06">
            <w:r w:rsidRPr="00FB2FAC">
              <w:t xml:space="preserve">Phase III, prospective, multinational, multicentre, open-label, </w:t>
            </w:r>
            <w:proofErr w:type="gramStart"/>
            <w:r w:rsidRPr="00FB2FAC">
              <w:t>single</w:t>
            </w:r>
            <w:proofErr w:type="gramEnd"/>
            <w:r w:rsidRPr="00FB2FAC">
              <w:t xml:space="preserve">-arm. </w:t>
            </w:r>
          </w:p>
          <w:p w:rsidR="000B1C06" w:rsidRDefault="009622D4" w:rsidP="000B1C06">
            <w:r w:rsidRPr="00FB2FAC">
              <w:t>Start: 22/07/2010.</w:t>
            </w:r>
          </w:p>
          <w:p w:rsidR="009622D4" w:rsidRPr="00FB2FAC" w:rsidRDefault="009622D4" w:rsidP="000B1C06">
            <w:r w:rsidRPr="00FB2FAC">
              <w:t>End:</w:t>
            </w:r>
            <w:r w:rsidR="00FB2FAC">
              <w:t xml:space="preserve"> </w:t>
            </w:r>
            <w:r w:rsidRPr="00FB2FAC">
              <w:t>31/01/2012.</w:t>
            </w:r>
          </w:p>
        </w:tc>
        <w:tc>
          <w:tcPr>
            <w:tcW w:w="1701" w:type="dxa"/>
          </w:tcPr>
          <w:p w:rsidR="009622D4" w:rsidRPr="00FB2FAC" w:rsidRDefault="009622D4" w:rsidP="000B1C06">
            <w:r w:rsidRPr="00FB2FAC">
              <w:t xml:space="preserve">32 adult PTPs enrolled: all 32 in ITT and SAF populations; </w:t>
            </w:r>
          </w:p>
        </w:tc>
        <w:tc>
          <w:tcPr>
            <w:tcW w:w="1843" w:type="dxa"/>
          </w:tcPr>
          <w:p w:rsidR="009622D4" w:rsidRPr="00FB2FAC" w:rsidRDefault="009622D4" w:rsidP="000B1C06">
            <w:r w:rsidRPr="00FB2FAC">
              <w:t xml:space="preserve">Determine the efficacy of </w:t>
            </w:r>
            <w:proofErr w:type="spellStart"/>
            <w:r w:rsidR="009C1E6B">
              <w:t>simoctocog</w:t>
            </w:r>
            <w:proofErr w:type="spellEnd"/>
            <w:r w:rsidR="009C1E6B">
              <w:t xml:space="preserve"> </w:t>
            </w:r>
            <w:r w:rsidR="00FC63A1">
              <w:t>alfa</w:t>
            </w:r>
            <w:r w:rsidRPr="00FB2FAC">
              <w:t xml:space="preserve"> during prophylactic treatment, treatment of BEs and in surgical prophylaxis. </w:t>
            </w:r>
          </w:p>
        </w:tc>
        <w:tc>
          <w:tcPr>
            <w:tcW w:w="2410" w:type="dxa"/>
          </w:tcPr>
          <w:p w:rsidR="009622D4" w:rsidRPr="00FB2FAC" w:rsidRDefault="009622D4" w:rsidP="000B1C06">
            <w:r w:rsidRPr="00FB2FAC">
              <w:t>Calculate incremental recovery;</w:t>
            </w:r>
          </w:p>
          <w:p w:rsidR="009622D4" w:rsidRPr="00FB2FAC" w:rsidRDefault="009622D4" w:rsidP="000B1C06">
            <w:r w:rsidRPr="00FB2FAC">
              <w:t xml:space="preserve">Investigate immunogenicity; </w:t>
            </w:r>
          </w:p>
          <w:p w:rsidR="009622D4" w:rsidRPr="00FB2FAC" w:rsidRDefault="000B1C06" w:rsidP="000B1C06">
            <w:r>
              <w:t>Assess safety.</w:t>
            </w:r>
          </w:p>
        </w:tc>
      </w:tr>
      <w:tr w:rsidR="009622D4" w:rsidTr="000B1C06">
        <w:tc>
          <w:tcPr>
            <w:tcW w:w="1101" w:type="dxa"/>
          </w:tcPr>
          <w:p w:rsidR="009622D4" w:rsidRPr="00FB2FAC" w:rsidRDefault="009622D4" w:rsidP="000B1C06">
            <w:r w:rsidRPr="00FB2FAC">
              <w:lastRenderedPageBreak/>
              <w:t>GENA-03</w:t>
            </w:r>
          </w:p>
          <w:p w:rsidR="009622D4" w:rsidRPr="00FB2FAC" w:rsidRDefault="009622D4" w:rsidP="000B1C06">
            <w:r w:rsidRPr="00FB2FAC">
              <w:t>Phase III</w:t>
            </w:r>
          </w:p>
          <w:p w:rsidR="009622D4" w:rsidRPr="00FB2FAC" w:rsidRDefault="009622D4" w:rsidP="000B1C06">
            <w:r w:rsidRPr="00FB2FAC">
              <w:t xml:space="preserve">Pivotal </w:t>
            </w:r>
          </w:p>
        </w:tc>
        <w:tc>
          <w:tcPr>
            <w:tcW w:w="1984" w:type="dxa"/>
          </w:tcPr>
          <w:p w:rsidR="009622D4" w:rsidRPr="00FB2FAC" w:rsidRDefault="009622D4" w:rsidP="000B1C06">
            <w:r w:rsidRPr="00FB2FAC">
              <w:t>Phase III, prospective, multinational, multicentre, open-label, non-controlled.</w:t>
            </w:r>
          </w:p>
          <w:p w:rsidR="009622D4" w:rsidRPr="00FB2FAC" w:rsidRDefault="009622D4" w:rsidP="000B1C06">
            <w:r w:rsidRPr="00FB2FAC">
              <w:t>Start: 27/12/2010.</w:t>
            </w:r>
          </w:p>
          <w:p w:rsidR="009622D4" w:rsidRPr="00FB2FAC" w:rsidRDefault="009622D4" w:rsidP="000B1C06">
            <w:r w:rsidRPr="00FB2FAC">
              <w:t>End: 06/11/2012.</w:t>
            </w:r>
            <w:r w:rsidR="00FF5033" w:rsidRPr="00FB2FAC">
              <w:t xml:space="preserve"> </w:t>
            </w:r>
          </w:p>
        </w:tc>
        <w:tc>
          <w:tcPr>
            <w:tcW w:w="1701" w:type="dxa"/>
          </w:tcPr>
          <w:p w:rsidR="009622D4" w:rsidRPr="00FB2FAC" w:rsidRDefault="009622D4" w:rsidP="000B1C06">
            <w:r w:rsidRPr="00FB2FAC">
              <w:t xml:space="preserve">59 paediatric PTPs enrolled; all 59 patients were analysed for efficacy; patients aged from 2 to 12 years (inclusive). </w:t>
            </w:r>
          </w:p>
        </w:tc>
        <w:tc>
          <w:tcPr>
            <w:tcW w:w="1843" w:type="dxa"/>
          </w:tcPr>
          <w:p w:rsidR="009622D4" w:rsidRPr="00FB2FAC" w:rsidRDefault="009622D4" w:rsidP="000B1C06">
            <w:r w:rsidRPr="00FB2FAC">
              <w:t xml:space="preserve">Assess clinical efficacy of </w:t>
            </w:r>
            <w:proofErr w:type="spellStart"/>
            <w:r w:rsidR="009C1E6B">
              <w:t>simoctocog</w:t>
            </w:r>
            <w:proofErr w:type="spellEnd"/>
            <w:r w:rsidR="009C1E6B">
              <w:t xml:space="preserve"> </w:t>
            </w:r>
            <w:r w:rsidR="00FC63A1">
              <w:t>alfa</w:t>
            </w:r>
            <w:r w:rsidRPr="00FB2FAC">
              <w:t xml:space="preserve"> in terms of prevention &amp; treatment of (breakthrough) BEs. </w:t>
            </w:r>
          </w:p>
        </w:tc>
        <w:tc>
          <w:tcPr>
            <w:tcW w:w="2410" w:type="dxa"/>
          </w:tcPr>
          <w:p w:rsidR="009622D4" w:rsidRPr="00FB2FAC" w:rsidRDefault="009622D4" w:rsidP="000B1C06">
            <w:r w:rsidRPr="00FB2FAC">
              <w:t>Determine PKs;</w:t>
            </w:r>
          </w:p>
          <w:p w:rsidR="009622D4" w:rsidRPr="00FB2FAC" w:rsidRDefault="009622D4" w:rsidP="000B1C06">
            <w:r w:rsidRPr="00FB2FAC">
              <w:t xml:space="preserve">Determine incremental recovery; </w:t>
            </w:r>
          </w:p>
          <w:p w:rsidR="009622D4" w:rsidRPr="00FB2FAC" w:rsidRDefault="009622D4" w:rsidP="000B1C06">
            <w:r w:rsidRPr="00FB2FAC">
              <w:t>Investigate immunogenicity;</w:t>
            </w:r>
          </w:p>
          <w:p w:rsidR="009622D4" w:rsidRPr="00FB2FAC" w:rsidRDefault="009622D4" w:rsidP="000B1C06">
            <w:r w:rsidRPr="00FB2FAC">
              <w:t>Assess efficacy in surgical procedures;</w:t>
            </w:r>
          </w:p>
          <w:p w:rsidR="009622D4" w:rsidRPr="00FB2FAC" w:rsidRDefault="000B1C06" w:rsidP="000B1C06">
            <w:r>
              <w:t>Assess safety by AE monitoring.</w:t>
            </w:r>
          </w:p>
        </w:tc>
      </w:tr>
      <w:tr w:rsidR="009622D4" w:rsidTr="000B1C06">
        <w:tc>
          <w:tcPr>
            <w:tcW w:w="1101" w:type="dxa"/>
          </w:tcPr>
          <w:p w:rsidR="009622D4" w:rsidRPr="00DF4981" w:rsidRDefault="00653C6C" w:rsidP="000B1C06">
            <w:r w:rsidRPr="00DF4981">
              <w:t>GENA-09</w:t>
            </w:r>
          </w:p>
          <w:p w:rsidR="009622D4" w:rsidRPr="00DF4981" w:rsidRDefault="00653C6C" w:rsidP="000B1C06">
            <w:r w:rsidRPr="00DF4981">
              <w:t>Phase II</w:t>
            </w:r>
          </w:p>
          <w:p w:rsidR="009622D4" w:rsidRPr="00DF4981" w:rsidRDefault="00653C6C" w:rsidP="000B1C06">
            <w:proofErr w:type="spellStart"/>
            <w:r w:rsidRPr="00DF4981">
              <w:t>Suppo-rtive</w:t>
            </w:r>
            <w:proofErr w:type="spellEnd"/>
          </w:p>
        </w:tc>
        <w:tc>
          <w:tcPr>
            <w:tcW w:w="1984" w:type="dxa"/>
          </w:tcPr>
          <w:p w:rsidR="009622D4" w:rsidRPr="00DF4981" w:rsidRDefault="00653C6C" w:rsidP="000B1C06">
            <w:r w:rsidRPr="00DF4981">
              <w:t>Phase II, prospective, single-centre, open-label, randomised cross-over PK part and uncontr</w:t>
            </w:r>
            <w:r w:rsidR="000B1C06">
              <w:t>olled efficacy part.</w:t>
            </w:r>
          </w:p>
          <w:p w:rsidR="009622D4" w:rsidRPr="00DF4981" w:rsidRDefault="00653C6C" w:rsidP="000B1C06">
            <w:r w:rsidRPr="00DF4981">
              <w:t>Start: 16/03/2009.</w:t>
            </w:r>
          </w:p>
          <w:p w:rsidR="009622D4" w:rsidRPr="00DF4981" w:rsidRDefault="00653C6C" w:rsidP="000B1C06">
            <w:r w:rsidRPr="00DF4981">
              <w:t xml:space="preserve">End: 26/05/2010. </w:t>
            </w:r>
          </w:p>
        </w:tc>
        <w:tc>
          <w:tcPr>
            <w:tcW w:w="1701" w:type="dxa"/>
          </w:tcPr>
          <w:p w:rsidR="009622D4" w:rsidRPr="00DF4981" w:rsidRDefault="00653C6C" w:rsidP="000B1C06">
            <w:r w:rsidRPr="00DF4981">
              <w:t xml:space="preserve">22 adult PTPs enrolled: all 22 were included in the analyses (safety, ITT, PROPH populations). </w:t>
            </w:r>
          </w:p>
        </w:tc>
        <w:tc>
          <w:tcPr>
            <w:tcW w:w="1843" w:type="dxa"/>
          </w:tcPr>
          <w:p w:rsidR="009622D4" w:rsidRPr="00DF4981" w:rsidRDefault="00653C6C" w:rsidP="000B1C06">
            <w:r w:rsidRPr="00DF4981">
              <w:t xml:space="preserve">• Determine the PKs of </w:t>
            </w:r>
            <w:proofErr w:type="spellStart"/>
            <w:r w:rsidRPr="00DF4981">
              <w:t>simoctocog</w:t>
            </w:r>
            <w:proofErr w:type="spellEnd"/>
            <w:r w:rsidRPr="00DF4981">
              <w:t xml:space="preserve"> alfa and compare with previously used full-length </w:t>
            </w:r>
            <w:proofErr w:type="spellStart"/>
            <w:r w:rsidRPr="00DF4981">
              <w:t>rFVIII</w:t>
            </w:r>
            <w:proofErr w:type="spellEnd"/>
            <w:r w:rsidR="00A94FD5" w:rsidRPr="00DF4981">
              <w:t xml:space="preserve"> BHK</w:t>
            </w:r>
            <w:r w:rsidRPr="00DF4981">
              <w:t>.</w:t>
            </w:r>
          </w:p>
        </w:tc>
        <w:tc>
          <w:tcPr>
            <w:tcW w:w="2410" w:type="dxa"/>
          </w:tcPr>
          <w:p w:rsidR="009622D4" w:rsidRPr="00DF4981" w:rsidRDefault="00653C6C" w:rsidP="000B1C06">
            <w:r w:rsidRPr="00DF4981">
              <w:t>Calculate incremental recovery.</w:t>
            </w:r>
          </w:p>
          <w:p w:rsidR="009622D4" w:rsidRPr="00DF4981" w:rsidRDefault="00653C6C" w:rsidP="000B1C06">
            <w:r w:rsidRPr="00DF4981">
              <w:t>Investigate immunogenicity.</w:t>
            </w:r>
          </w:p>
          <w:p w:rsidR="009622D4" w:rsidRPr="00DF4981" w:rsidRDefault="00653C6C" w:rsidP="000B1C06">
            <w:r w:rsidRPr="00DF4981">
              <w:t>Assess clinical efficacy and safety during prophylactic treatment.</w:t>
            </w:r>
          </w:p>
          <w:p w:rsidR="009622D4" w:rsidRPr="00DF4981" w:rsidRDefault="00653C6C" w:rsidP="000B1C06">
            <w:r w:rsidRPr="00DF4981">
              <w:t>Assess clinical efficacy and safety for</w:t>
            </w:r>
            <w:r w:rsidR="000B1C06">
              <w:t xml:space="preserve"> treatment of breakthrough BEs.</w:t>
            </w:r>
          </w:p>
          <w:p w:rsidR="009622D4" w:rsidRPr="00DF4981" w:rsidRDefault="00653C6C" w:rsidP="000B1C06">
            <w:r w:rsidRPr="00DF4981">
              <w:t xml:space="preserve">Assess clinical efficacy and safety in surgical prophylaxis. </w:t>
            </w:r>
          </w:p>
        </w:tc>
      </w:tr>
      <w:tr w:rsidR="009622D4" w:rsidTr="000B1C06">
        <w:tc>
          <w:tcPr>
            <w:tcW w:w="1101" w:type="dxa"/>
          </w:tcPr>
          <w:p w:rsidR="009622D4" w:rsidRPr="00FB2FAC" w:rsidRDefault="009622D4" w:rsidP="000B1C06">
            <w:r w:rsidRPr="00FB2FAC">
              <w:t>GENA-04</w:t>
            </w:r>
          </w:p>
          <w:p w:rsidR="009622D4" w:rsidRPr="00FB2FAC" w:rsidRDefault="009622D4" w:rsidP="000B1C06">
            <w:r w:rsidRPr="00FB2FAC">
              <w:t>Phase IIIb</w:t>
            </w:r>
          </w:p>
          <w:p w:rsidR="009622D4" w:rsidRPr="00FB2FAC" w:rsidRDefault="009622D4" w:rsidP="000B1C06">
            <w:proofErr w:type="spellStart"/>
            <w:r w:rsidRPr="00FB2FAC">
              <w:t>Suppo</w:t>
            </w:r>
            <w:r w:rsidR="008C53FF">
              <w:t>-</w:t>
            </w:r>
            <w:r w:rsidRPr="00FB2FAC">
              <w:t>rtive</w:t>
            </w:r>
            <w:proofErr w:type="spellEnd"/>
            <w:r w:rsidRPr="00FB2FAC">
              <w:t xml:space="preserve"> </w:t>
            </w:r>
          </w:p>
        </w:tc>
        <w:tc>
          <w:tcPr>
            <w:tcW w:w="1984" w:type="dxa"/>
          </w:tcPr>
          <w:p w:rsidR="009622D4" w:rsidRPr="00FB2FAC" w:rsidRDefault="009622D4" w:rsidP="000B1C06">
            <w:r w:rsidRPr="00FB2FAC">
              <w:t>Phase IIIb extension study to GENA-09 to investigate long-term safety and efficacy.</w:t>
            </w:r>
          </w:p>
          <w:p w:rsidR="009622D4" w:rsidRPr="00FB2FAC" w:rsidRDefault="009622D4" w:rsidP="000B1C06">
            <w:r w:rsidRPr="00FB2FAC">
              <w:t>Start: 21/11/2009.</w:t>
            </w:r>
          </w:p>
          <w:p w:rsidR="009622D4" w:rsidRPr="00FB2FAC" w:rsidRDefault="009622D4" w:rsidP="000B1C06">
            <w:r w:rsidRPr="00FB2FAC">
              <w:t xml:space="preserve">End: 28/07/2011. </w:t>
            </w:r>
          </w:p>
        </w:tc>
        <w:tc>
          <w:tcPr>
            <w:tcW w:w="1701" w:type="dxa"/>
          </w:tcPr>
          <w:p w:rsidR="009622D4" w:rsidRPr="00FB2FAC" w:rsidRDefault="009622D4" w:rsidP="000B1C06">
            <w:r w:rsidRPr="00FB2FAC">
              <w:t xml:space="preserve">18 adult patients who completed GENA-09; all 18 patients included in the ITT efficacy and the safety population, and 16 in the PP population. </w:t>
            </w:r>
          </w:p>
        </w:tc>
        <w:tc>
          <w:tcPr>
            <w:tcW w:w="1843" w:type="dxa"/>
          </w:tcPr>
          <w:p w:rsidR="009622D4" w:rsidRPr="00FB2FAC" w:rsidRDefault="009622D4" w:rsidP="000B1C06">
            <w:r w:rsidRPr="00FB2FAC">
              <w:t xml:space="preserve">Determine long-term immunogenic potential of </w:t>
            </w:r>
            <w:proofErr w:type="spellStart"/>
            <w:r w:rsidR="009C1E6B">
              <w:t>simoctocog</w:t>
            </w:r>
            <w:proofErr w:type="spellEnd"/>
            <w:r w:rsidR="009C1E6B">
              <w:t xml:space="preserve"> </w:t>
            </w:r>
            <w:r w:rsidR="00FC63A1">
              <w:t>alfa</w:t>
            </w:r>
            <w:r w:rsidR="000B1C06">
              <w:t>.</w:t>
            </w:r>
          </w:p>
          <w:p w:rsidR="009622D4" w:rsidRPr="00FB2FAC" w:rsidRDefault="009622D4" w:rsidP="000B1C06">
            <w:r w:rsidRPr="00FB2FAC">
              <w:t xml:space="preserve">Assess long-term tolerability of </w:t>
            </w:r>
            <w:proofErr w:type="spellStart"/>
            <w:r w:rsidR="009C1E6B">
              <w:t>simoctocog</w:t>
            </w:r>
            <w:proofErr w:type="spellEnd"/>
            <w:r w:rsidR="009C1E6B">
              <w:t xml:space="preserve"> </w:t>
            </w:r>
            <w:r w:rsidR="00FC63A1">
              <w:t>alfa</w:t>
            </w:r>
            <w:r w:rsidRPr="00FB2FAC">
              <w:t>.</w:t>
            </w:r>
          </w:p>
        </w:tc>
        <w:tc>
          <w:tcPr>
            <w:tcW w:w="2410" w:type="dxa"/>
          </w:tcPr>
          <w:p w:rsidR="009622D4" w:rsidRPr="00FB2FAC" w:rsidRDefault="009622D4" w:rsidP="000B1C06">
            <w:r w:rsidRPr="00FB2FAC">
              <w:t xml:space="preserve">Determine long-term efficacy of </w:t>
            </w:r>
            <w:proofErr w:type="spellStart"/>
            <w:r w:rsidR="009C1E6B">
              <w:t>simoctocog</w:t>
            </w:r>
            <w:proofErr w:type="spellEnd"/>
            <w:r w:rsidR="009C1E6B">
              <w:t xml:space="preserve"> </w:t>
            </w:r>
            <w:r w:rsidR="00FC63A1">
              <w:t>alfa</w:t>
            </w:r>
            <w:r w:rsidRPr="00FB2FAC">
              <w:t xml:space="preserve"> during prophylactic treatment, for treatment of breakthrough BEs, and for prophylaxis during surgical procedures.</w:t>
            </w:r>
          </w:p>
          <w:p w:rsidR="009622D4" w:rsidRPr="00FB2FAC" w:rsidRDefault="009622D4" w:rsidP="000B1C06">
            <w:r w:rsidRPr="00FB2FAC">
              <w:t xml:space="preserve">Calculate long-term incremental recovery of FVIII. </w:t>
            </w:r>
          </w:p>
        </w:tc>
      </w:tr>
    </w:tbl>
    <w:p w:rsidR="008E7846" w:rsidRDefault="00605AD4" w:rsidP="00605AD4">
      <w:pPr>
        <w:pStyle w:val="Heading4"/>
      </w:pPr>
      <w:r>
        <w:lastRenderedPageBreak/>
        <w:t>Evaluator’s conclusions on efficacy</w:t>
      </w:r>
    </w:p>
    <w:p w:rsidR="009622D4" w:rsidRPr="005E0252" w:rsidRDefault="009622D4" w:rsidP="009622D4">
      <w:r w:rsidRPr="005E0252">
        <w:t xml:space="preserve">The submitted data are considered to have satisfactorily established the efficacy of </w:t>
      </w:r>
      <w:proofErr w:type="spellStart"/>
      <w:r w:rsidR="009C1E6B">
        <w:t>simoctocog</w:t>
      </w:r>
      <w:proofErr w:type="spellEnd"/>
      <w:r w:rsidR="009C1E6B">
        <w:t xml:space="preserve"> </w:t>
      </w:r>
      <w:r w:rsidR="00FC63A1">
        <w:t>alfa</w:t>
      </w:r>
      <w:r>
        <w:t xml:space="preserve"> </w:t>
      </w:r>
      <w:r w:rsidRPr="005E0252">
        <w:t xml:space="preserve">for </w:t>
      </w:r>
      <w:r>
        <w:t xml:space="preserve">routine prophylaxis against </w:t>
      </w:r>
      <w:r w:rsidR="00365758">
        <w:t>bleeds</w:t>
      </w:r>
      <w:r>
        <w:t xml:space="preserve">, </w:t>
      </w:r>
      <w:r w:rsidRPr="005E0252">
        <w:t xml:space="preserve">treatment of breakthrough </w:t>
      </w:r>
      <w:r w:rsidR="00365758">
        <w:t>bleeds</w:t>
      </w:r>
      <w:r w:rsidRPr="005E0252">
        <w:t xml:space="preserve"> </w:t>
      </w:r>
      <w:r>
        <w:t xml:space="preserve">while on prophylaxis </w:t>
      </w:r>
      <w:r w:rsidRPr="005E0252">
        <w:t>and surgical prophylaxis</w:t>
      </w:r>
      <w:r>
        <w:t xml:space="preserve"> in </w:t>
      </w:r>
      <w:r w:rsidRPr="005E0252">
        <w:t xml:space="preserve">previously treated children </w:t>
      </w:r>
      <w:r>
        <w:t xml:space="preserve">aged 2 to 12 years </w:t>
      </w:r>
      <w:r w:rsidRPr="005E0252">
        <w:t>and adults with severe haemophilia A</w:t>
      </w:r>
      <w:r>
        <w:t xml:space="preserve">. </w:t>
      </w:r>
      <w:r w:rsidRPr="005E0252">
        <w:t xml:space="preserve">The submission provided efficacy data </w:t>
      </w:r>
      <w:r>
        <w:t>from</w:t>
      </w:r>
      <w:r w:rsidRPr="005E0252">
        <w:t xml:space="preserve"> 135 patients treated with </w:t>
      </w:r>
      <w:proofErr w:type="spellStart"/>
      <w:r w:rsidR="009C1E6B">
        <w:t>simoctocog</w:t>
      </w:r>
      <w:proofErr w:type="spellEnd"/>
      <w:r w:rsidR="009C1E6B">
        <w:t xml:space="preserve"> </w:t>
      </w:r>
      <w:r w:rsidR="00FC63A1">
        <w:t>alfa</w:t>
      </w:r>
      <w:r>
        <w:t xml:space="preserve">, including </w:t>
      </w:r>
      <w:r w:rsidRPr="005E0252">
        <w:t>76 patients aged &gt; 12 years</w:t>
      </w:r>
      <w:r>
        <w:t xml:space="preserve"> and </w:t>
      </w:r>
      <w:r w:rsidRPr="005E0252">
        <w:t>59 patients aged 2 to 12 years</w:t>
      </w:r>
      <w:r w:rsidR="000B1C06">
        <w:t>.</w:t>
      </w:r>
    </w:p>
    <w:p w:rsidR="009622D4" w:rsidRPr="005067F2" w:rsidRDefault="009622D4" w:rsidP="009622D4">
      <w:pPr>
        <w:widowControl w:val="0"/>
        <w:autoSpaceDE w:val="0"/>
        <w:autoSpaceDN w:val="0"/>
        <w:adjustRightInd w:val="0"/>
      </w:pPr>
      <w:r w:rsidRPr="005E0252">
        <w:t>The submission included five completed clinical studies with efficacy data (GENA-01, GENA-08, GENA-03, GENA-09 and GENA-04).</w:t>
      </w:r>
      <w:r w:rsidR="00FF5033">
        <w:t xml:space="preserve"> </w:t>
      </w:r>
      <w:r>
        <w:t>Of these five studies, t</w:t>
      </w:r>
      <w:r w:rsidRPr="005E0252">
        <w:t xml:space="preserve">hree, multinational (predominantly Western countries), multicentre studies were nominated by the sponsor as providing primary efficacy data (GENA-01, GENA-08, GENA-03), and the single centre Russian </w:t>
      </w:r>
      <w:r w:rsidR="00A96A41">
        <w:t>S</w:t>
      </w:r>
      <w:r w:rsidRPr="005E0252">
        <w:t>tudy GENA-09 and its extension GENA-04 were nominated as providing supportive efficacy data</w:t>
      </w:r>
      <w:r>
        <w:t>. Therefore, for efficacy and safety GENA-01, GENA-08, and GENA-03 can be considered to be pivotal studies and GENA-09 and GENA-04 can be consi</w:t>
      </w:r>
      <w:r w:rsidR="000B1C06">
        <w:t>dered to be supportive studies.</w:t>
      </w:r>
    </w:p>
    <w:p w:rsidR="009622D4" w:rsidRPr="005E0252" w:rsidRDefault="009622D4" w:rsidP="009622D4">
      <w:r>
        <w:t xml:space="preserve">The </w:t>
      </w:r>
      <w:r w:rsidRPr="005E0252">
        <w:t xml:space="preserve">five clinical studies </w:t>
      </w:r>
      <w:r>
        <w:t xml:space="preserve">were conducted in accordance with </w:t>
      </w:r>
      <w:r w:rsidRPr="005E0252">
        <w:t>the recommendations of the latest E</w:t>
      </w:r>
      <w:r w:rsidR="00A96A41">
        <w:t>U (and TGA adopted) guideline</w:t>
      </w:r>
      <w:r w:rsidRPr="00365758">
        <w:t>.</w:t>
      </w:r>
      <w:r w:rsidR="00A96A41" w:rsidRPr="00365758">
        <w:rPr>
          <w:rStyle w:val="FootnoteReference"/>
        </w:rPr>
        <w:footnoteReference w:id="19"/>
      </w:r>
      <w:r w:rsidRPr="00365758">
        <w:t xml:space="preserve"> O</w:t>
      </w:r>
      <w:r>
        <w:t xml:space="preserve">verall, this </w:t>
      </w:r>
      <w:r w:rsidRPr="005E0252">
        <w:t xml:space="preserve">guideline is </w:t>
      </w:r>
      <w:r>
        <w:t xml:space="preserve">more stringent than </w:t>
      </w:r>
      <w:r w:rsidRPr="005E0252">
        <w:t>the previous E</w:t>
      </w:r>
      <w:r w:rsidR="00A96A41">
        <w:t>U</w:t>
      </w:r>
      <w:r w:rsidR="00365758">
        <w:t xml:space="preserve"> guidance</w:t>
      </w:r>
      <w:r w:rsidR="00365758">
        <w:rPr>
          <w:rStyle w:val="FootnoteReference"/>
        </w:rPr>
        <w:footnoteReference w:id="20"/>
      </w:r>
      <w:r>
        <w:t xml:space="preserve">. </w:t>
      </w:r>
      <w:r w:rsidRPr="005E0252">
        <w:rPr>
          <w:color w:val="000000"/>
        </w:rPr>
        <w:t xml:space="preserve">All studies enrolled patients who had been previously treated with FVIII products (defined as having ≥ 150 EDs in patients at least 12 years </w:t>
      </w:r>
      <w:r>
        <w:rPr>
          <w:color w:val="000000"/>
        </w:rPr>
        <w:t>of age</w:t>
      </w:r>
      <w:r w:rsidRPr="005E0252">
        <w:rPr>
          <w:color w:val="000000"/>
        </w:rPr>
        <w:t xml:space="preserve">, and ≥ 50 EDs in patients less than 12 years </w:t>
      </w:r>
      <w:r>
        <w:rPr>
          <w:color w:val="000000"/>
        </w:rPr>
        <w:t>of age</w:t>
      </w:r>
      <w:r w:rsidRPr="005E0252">
        <w:rPr>
          <w:color w:val="000000"/>
        </w:rPr>
        <w:t>). In addition, the study duration per patient was the same in all studies (</w:t>
      </w:r>
      <w:r w:rsidR="00A96A41">
        <w:rPr>
          <w:color w:val="000000"/>
        </w:rPr>
        <w:t>that is,</w:t>
      </w:r>
      <w:r w:rsidRPr="005E0252">
        <w:rPr>
          <w:color w:val="000000"/>
        </w:rPr>
        <w:t xml:space="preserve"> at least</w:t>
      </w:r>
      <w:r w:rsidR="000B1C06">
        <w:rPr>
          <w:color w:val="000000"/>
        </w:rPr>
        <w:t xml:space="preserve"> 6 months and at least 50 EDs).</w:t>
      </w:r>
    </w:p>
    <w:p w:rsidR="009622D4" w:rsidRPr="002319E2" w:rsidRDefault="009622D4" w:rsidP="009622D4">
      <w:pPr>
        <w:widowControl w:val="0"/>
        <w:autoSpaceDE w:val="0"/>
        <w:autoSpaceDN w:val="0"/>
        <w:adjustRightInd w:val="0"/>
        <w:rPr>
          <w:rFonts w:cs="ÄåÛøñ‹"/>
        </w:rPr>
      </w:pPr>
      <w:r w:rsidRPr="005E0252">
        <w:t xml:space="preserve">GENA-08, GENA-03, GENA-09 and GENA-04 investigated the efficacy of </w:t>
      </w:r>
      <w:proofErr w:type="spellStart"/>
      <w:r w:rsidR="009C1E6B">
        <w:t>simoctocog</w:t>
      </w:r>
      <w:proofErr w:type="spellEnd"/>
      <w:r w:rsidR="009C1E6B">
        <w:t xml:space="preserve"> </w:t>
      </w:r>
      <w:r w:rsidR="00FC63A1">
        <w:t>alfa</w:t>
      </w:r>
      <w:r>
        <w:t xml:space="preserve"> </w:t>
      </w:r>
      <w:r w:rsidRPr="005E0252">
        <w:t xml:space="preserve">for </w:t>
      </w:r>
      <w:r>
        <w:t>routine prophylaxis</w:t>
      </w:r>
      <w:r w:rsidRPr="005E0252">
        <w:t xml:space="preserve">, the treatment of breakthrough bleeding </w:t>
      </w:r>
      <w:r>
        <w:t>occurring during</w:t>
      </w:r>
      <w:r w:rsidRPr="005E0252">
        <w:t xml:space="preserve"> prophylaxis and </w:t>
      </w:r>
      <w:r>
        <w:t xml:space="preserve">for </w:t>
      </w:r>
      <w:r w:rsidRPr="005E0252">
        <w:t xml:space="preserve">surgical prophylaxis. GENA-01 investigated the efficacy of </w:t>
      </w:r>
      <w:proofErr w:type="spellStart"/>
      <w:r w:rsidR="009C1E6B">
        <w:t>simoctocog</w:t>
      </w:r>
      <w:proofErr w:type="spellEnd"/>
      <w:r w:rsidR="009C1E6B">
        <w:t xml:space="preserve"> </w:t>
      </w:r>
      <w:r w:rsidR="00FC63A1">
        <w:t>alfa</w:t>
      </w:r>
      <w:r>
        <w:t xml:space="preserve"> </w:t>
      </w:r>
      <w:r w:rsidRPr="005E0252">
        <w:t>for the on-demand treatment of BEs and for surgical prophylaxis</w:t>
      </w:r>
      <w:r>
        <w:t xml:space="preserve">, but not for routine prophylaxis. </w:t>
      </w:r>
      <w:r w:rsidRPr="005E0252">
        <w:rPr>
          <w:rFonts w:cs="Ûøñ‹"/>
        </w:rPr>
        <w:t xml:space="preserve">In GENA-01, GENA-08, GENA-09, and GENA-04, all patients had at least 150 previous EDs, and paediatric patients in GENA-03 had at least 50 </w:t>
      </w:r>
      <w:proofErr w:type="spellStart"/>
      <w:r w:rsidRPr="005E0252">
        <w:rPr>
          <w:rFonts w:cs="Ûøñ‹"/>
        </w:rPr>
        <w:t>EDs.</w:t>
      </w:r>
      <w:proofErr w:type="spellEnd"/>
      <w:r w:rsidRPr="005E0252">
        <w:rPr>
          <w:rFonts w:cs="Ûøñ‹"/>
        </w:rPr>
        <w:t xml:space="preserve"> </w:t>
      </w:r>
      <w:r>
        <w:t xml:space="preserve">GENA-04, the long-term extension study, </w:t>
      </w:r>
      <w:r w:rsidRPr="005E0252">
        <w:t xml:space="preserve">was terminated after a mean of 226 EDs </w:t>
      </w:r>
      <w:r>
        <w:t xml:space="preserve">of routine prophylaxis. </w:t>
      </w:r>
      <w:r>
        <w:rPr>
          <w:rFonts w:cs="ÄåÛøñ‹"/>
        </w:rPr>
        <w:t>The relevant TGA adopted E</w:t>
      </w:r>
      <w:r w:rsidR="00A96A41">
        <w:rPr>
          <w:rFonts w:cs="ÄåÛøñ‹"/>
        </w:rPr>
        <w:t>U</w:t>
      </w:r>
      <w:r>
        <w:rPr>
          <w:rFonts w:cs="ÄåÛøñ‹"/>
        </w:rPr>
        <w:t xml:space="preserve"> guideline </w:t>
      </w:r>
      <w:r w:rsidRPr="005E0252">
        <w:rPr>
          <w:rFonts w:cs="ÄåÛøñ‹"/>
        </w:rPr>
        <w:t>recommend</w:t>
      </w:r>
      <w:r>
        <w:rPr>
          <w:rFonts w:cs="ÄåÛøñ‹"/>
        </w:rPr>
        <w:t xml:space="preserve">s that for FVIII products at least </w:t>
      </w:r>
      <w:r w:rsidRPr="005E0252">
        <w:rPr>
          <w:rFonts w:cs="ÄåÛøñ‹"/>
        </w:rPr>
        <w:t>50 PTPs aged &gt; 12 years should be followed for at least 50 EDs or 6 months whichever is sooner</w:t>
      </w:r>
      <w:r>
        <w:rPr>
          <w:rFonts w:cs="ÄåÛøñ‹"/>
        </w:rPr>
        <w:t xml:space="preserve"> and </w:t>
      </w:r>
      <w:r w:rsidRPr="005E0252">
        <w:rPr>
          <w:rFonts w:cs="ÄåÛøñ‹"/>
        </w:rPr>
        <w:t xml:space="preserve">that at least 20 children under the age of 6 years (irrespective of previous treatment) should be </w:t>
      </w:r>
      <w:r>
        <w:rPr>
          <w:rFonts w:cs="ÄåÛøñ‹"/>
        </w:rPr>
        <w:t>studied. However, the adopted TGA guideline specifies that the mandatory study in children may be su</w:t>
      </w:r>
      <w:r w:rsidR="00A96A41">
        <w:rPr>
          <w:rFonts w:cs="ÄåÛøñ‹"/>
        </w:rPr>
        <w:t>bmitted after marketing authoris</w:t>
      </w:r>
      <w:r>
        <w:rPr>
          <w:rFonts w:cs="ÄåÛøñ‹"/>
        </w:rPr>
        <w:t xml:space="preserve">ation is granted. </w:t>
      </w:r>
      <w:r w:rsidRPr="005E0252">
        <w:rPr>
          <w:rFonts w:cs="ÄåÛøñ‹"/>
        </w:rPr>
        <w:t xml:space="preserve">Overall, patient numbers and exposure to </w:t>
      </w:r>
      <w:proofErr w:type="spellStart"/>
      <w:r w:rsidR="009C1E6B">
        <w:rPr>
          <w:rFonts w:cs="ÄåÛøñ‹"/>
        </w:rPr>
        <w:t>simoctocog</w:t>
      </w:r>
      <w:proofErr w:type="spellEnd"/>
      <w:r w:rsidR="009C1E6B">
        <w:rPr>
          <w:rFonts w:cs="ÄåÛøñ‹"/>
        </w:rPr>
        <w:t xml:space="preserve"> </w:t>
      </w:r>
      <w:r w:rsidR="00FC63A1">
        <w:rPr>
          <w:rFonts w:cs="ÄåÛøñ‹"/>
        </w:rPr>
        <w:t>alfa</w:t>
      </w:r>
      <w:r>
        <w:rPr>
          <w:rFonts w:cs="ÄåÛøñ‹"/>
        </w:rPr>
        <w:t xml:space="preserve"> are greater than required by the relevant TGA adopted guideline</w:t>
      </w:r>
      <w:r w:rsidR="000B1C06">
        <w:rPr>
          <w:rFonts w:cs="ÄåÛøñ‹"/>
        </w:rPr>
        <w:t>.</w:t>
      </w:r>
    </w:p>
    <w:p w:rsidR="009622D4" w:rsidRDefault="009622D4" w:rsidP="009622D4">
      <w:r w:rsidRPr="005E0252">
        <w:t>The inclusion and exclusion criteria were similar for all five clinical studies. All patients were males with severe haemophilia A (FVIII</w:t>
      </w:r>
      <w:proofErr w:type="gramStart"/>
      <w:r w:rsidR="002F0BEA" w:rsidRPr="005E0252">
        <w:t>:C</w:t>
      </w:r>
      <w:proofErr w:type="gramEnd"/>
      <w:r w:rsidRPr="005E0252">
        <w:t xml:space="preserve"> &lt;1%). The inclusion criteria stipulated that all patients were required to be immuno-competent (CD4+ lymphocytes &gt;200/</w:t>
      </w:r>
      <w:r w:rsidR="00A96A41">
        <w:t>µ</w:t>
      </w:r>
      <w:r w:rsidRPr="005E0252">
        <w:t xml:space="preserve">L), and negative for </w:t>
      </w:r>
      <w:r w:rsidR="00A96A41">
        <w:t>human immunodeficiency virus (</w:t>
      </w:r>
      <w:r w:rsidRPr="005E0252">
        <w:t>HIV</w:t>
      </w:r>
      <w:r w:rsidR="00A96A41">
        <w:t>)</w:t>
      </w:r>
      <w:r w:rsidRPr="005E0252">
        <w:t xml:space="preserve"> or if positive have a viral load of less than 200 particles/μL or less than 400,000 copies/mL. Therefore, patients could be HIV positive provided that they met the inclusion criteria relating to immuno-competence and viral load/viral particles. The </w:t>
      </w:r>
      <w:r>
        <w:t>studies excluded</w:t>
      </w:r>
      <w:r w:rsidRPr="005E0252">
        <w:t xml:space="preserve"> patients with coagulation</w:t>
      </w:r>
      <w:r w:rsidRPr="00494BD6">
        <w:t xml:space="preserve"> disorders other than haemophilia </w:t>
      </w:r>
      <w:proofErr w:type="gramStart"/>
      <w:r w:rsidRPr="00494BD6">
        <w:t>A</w:t>
      </w:r>
      <w:proofErr w:type="gramEnd"/>
      <w:r w:rsidRPr="00494BD6">
        <w:t xml:space="preserve">, </w:t>
      </w:r>
      <w:r>
        <w:t xml:space="preserve">patients with </w:t>
      </w:r>
      <w:r w:rsidRPr="00494BD6">
        <w:t xml:space="preserve">present or past FVIII inhibitory activity </w:t>
      </w:r>
      <w:r w:rsidRPr="00A96A41">
        <w:t xml:space="preserve">over 0.6 </w:t>
      </w:r>
      <w:r w:rsidR="00A96A41" w:rsidRPr="00A96A41">
        <w:t>Bethesda unit (</w:t>
      </w:r>
      <w:r w:rsidRPr="00A96A41">
        <w:t>BU</w:t>
      </w:r>
      <w:r w:rsidR="00A96A41" w:rsidRPr="00A96A41">
        <w:t>)</w:t>
      </w:r>
      <w:r w:rsidRPr="00A96A41">
        <w:t>, patients with severe liver or kidney disease and patients receiving immuno-</w:t>
      </w:r>
      <w:r w:rsidRPr="00494BD6">
        <w:t>modulating drugs.</w:t>
      </w:r>
      <w:r>
        <w:t xml:space="preserve"> Overall, the inclusion and exclusion criteria are considered to be satisfactory and representative of Australian patients likely to be offered treatment with </w:t>
      </w:r>
      <w:proofErr w:type="spellStart"/>
      <w:r w:rsidR="009C1E6B">
        <w:t>simoctocog</w:t>
      </w:r>
      <w:proofErr w:type="spellEnd"/>
      <w:r w:rsidR="009C1E6B">
        <w:t xml:space="preserve"> </w:t>
      </w:r>
      <w:r w:rsidR="00FC63A1">
        <w:t>alfa</w:t>
      </w:r>
      <w:r w:rsidR="000B1C06">
        <w:t>.</w:t>
      </w:r>
    </w:p>
    <w:p w:rsidR="009622D4" w:rsidRDefault="009622D4" w:rsidP="009622D4">
      <w:r w:rsidRPr="009B7521">
        <w:lastRenderedPageBreak/>
        <w:t xml:space="preserve">GENA-01 planned to recruit patients </w:t>
      </w:r>
      <w:r>
        <w:t xml:space="preserve">of </w:t>
      </w:r>
      <w:r w:rsidRPr="009B7521">
        <w:t>at least 12 years</w:t>
      </w:r>
      <w:r>
        <w:t xml:space="preserve"> of age</w:t>
      </w:r>
      <w:r w:rsidRPr="009B7521">
        <w:t xml:space="preserve"> but only 2 of the 22 enrolled patients were </w:t>
      </w:r>
      <w:r>
        <w:t xml:space="preserve">actually under 18 years of age. </w:t>
      </w:r>
      <w:r w:rsidRPr="009B7521">
        <w:t>GENA-08 also planned to include adolescents over 12 years of age but none of the 3</w:t>
      </w:r>
      <w:r>
        <w:t xml:space="preserve">2 enrolled patients were </w:t>
      </w:r>
      <w:r w:rsidRPr="009B7521">
        <w:t xml:space="preserve">younger than 18 years of age. In GENA-09, all 22 enrolled patients were at least 18 years of age and 18 of these patients subsequently enrolled in GENA-04 (extension study to GENA-09). </w:t>
      </w:r>
      <w:r>
        <w:t>I</w:t>
      </w:r>
      <w:r w:rsidRPr="009B7521">
        <w:t>n GENA-03, all 59 enrolled patients were aged between 2 and 12 years</w:t>
      </w:r>
      <w:r>
        <w:t xml:space="preserve"> (29 aged from 2</w:t>
      </w:r>
      <w:r w:rsidR="00A96A41">
        <w:t xml:space="preserve"> to </w:t>
      </w:r>
      <w:r>
        <w:t>6 years; 30 aged from 6</w:t>
      </w:r>
      <w:r w:rsidR="00A96A41">
        <w:t xml:space="preserve"> to </w:t>
      </w:r>
      <w:r>
        <w:t>12 years)</w:t>
      </w:r>
      <w:r w:rsidRPr="009B7521">
        <w:t xml:space="preserve">. </w:t>
      </w:r>
      <w:r>
        <w:t xml:space="preserve">Overall, the studies included 2 adolescent patients aged older than 12 years and younger than 18 years. </w:t>
      </w:r>
      <w:r w:rsidRPr="009B7521">
        <w:rPr>
          <w:rFonts w:cs="ÄåÛøñ‹"/>
        </w:rPr>
        <w:t xml:space="preserve">No </w:t>
      </w:r>
      <w:r>
        <w:rPr>
          <w:rFonts w:cs="ÄåÛøñ‹"/>
        </w:rPr>
        <w:t>patients</w:t>
      </w:r>
      <w:r w:rsidRPr="009B7521">
        <w:rPr>
          <w:rFonts w:cs="ÄåÛøñ‹"/>
        </w:rPr>
        <w:t xml:space="preserve"> under </w:t>
      </w:r>
      <w:r>
        <w:rPr>
          <w:rFonts w:cs="ÄåÛøñ‹"/>
        </w:rPr>
        <w:t>the</w:t>
      </w:r>
      <w:r w:rsidRPr="009B7521">
        <w:rPr>
          <w:rFonts w:cs="ÄåÛøñ‹"/>
        </w:rPr>
        <w:t xml:space="preserve"> age of 2 </w:t>
      </w:r>
      <w:r>
        <w:rPr>
          <w:rFonts w:cs="ÄåÛøñ‹"/>
        </w:rPr>
        <w:t xml:space="preserve">years or older than 75 years of age were included in the studies. </w:t>
      </w:r>
      <w:r w:rsidRPr="009B7521">
        <w:t xml:space="preserve">The key baseline characteristics of the study populations in the five submitted studies are summarised below in Table </w:t>
      </w:r>
      <w:r w:rsidR="00A96A41">
        <w:t>6</w:t>
      </w:r>
      <w:r w:rsidR="000B1C06">
        <w:t>.</w:t>
      </w:r>
    </w:p>
    <w:p w:rsidR="009622D4" w:rsidRPr="00E864BD" w:rsidRDefault="009622D4" w:rsidP="00A96A41">
      <w:pPr>
        <w:pStyle w:val="TableTitle"/>
      </w:pPr>
      <w:bookmarkStart w:id="87" w:name="_Toc248202556"/>
      <w:r>
        <w:t xml:space="preserve">Table </w:t>
      </w:r>
      <w:r w:rsidR="00A96A41">
        <w:t>6</w:t>
      </w:r>
      <w:r>
        <w:t>: Key baseline characteristics for patients in the 5 submitted clinical studies.</w:t>
      </w:r>
      <w:bookmarkEnd w:id="87"/>
    </w:p>
    <w:tbl>
      <w:tblPr>
        <w:tblStyle w:val="TableTGAblue"/>
        <w:tblW w:w="9712" w:type="dxa"/>
        <w:tblLook w:val="04A0" w:firstRow="1" w:lastRow="0" w:firstColumn="1" w:lastColumn="0" w:noHBand="0" w:noVBand="1"/>
      </w:tblPr>
      <w:tblGrid>
        <w:gridCol w:w="1669"/>
        <w:gridCol w:w="1578"/>
        <w:gridCol w:w="1578"/>
        <w:gridCol w:w="1579"/>
        <w:gridCol w:w="1673"/>
        <w:gridCol w:w="1635"/>
      </w:tblGrid>
      <w:tr w:rsidR="009622D4" w:rsidRPr="005A3004" w:rsidTr="00A96A41">
        <w:trPr>
          <w:cnfStyle w:val="100000000000" w:firstRow="1" w:lastRow="0" w:firstColumn="0" w:lastColumn="0" w:oddVBand="0" w:evenVBand="0" w:oddHBand="0" w:evenHBand="0" w:firstRowFirstColumn="0" w:firstRowLastColumn="0" w:lastRowFirstColumn="0" w:lastRowLastColumn="0"/>
        </w:trPr>
        <w:tc>
          <w:tcPr>
            <w:tcW w:w="1526" w:type="dxa"/>
          </w:tcPr>
          <w:p w:rsidR="009622D4" w:rsidRPr="00A96A41" w:rsidRDefault="00365758" w:rsidP="000B1C06">
            <w:r>
              <w:t>Parameter</w:t>
            </w:r>
          </w:p>
        </w:tc>
        <w:tc>
          <w:tcPr>
            <w:tcW w:w="1604" w:type="dxa"/>
          </w:tcPr>
          <w:p w:rsidR="009622D4" w:rsidRPr="00A96A41" w:rsidRDefault="009622D4" w:rsidP="000B1C06">
            <w:r w:rsidRPr="00A96A41">
              <w:t>GENA-01 (n=22)</w:t>
            </w:r>
          </w:p>
        </w:tc>
        <w:tc>
          <w:tcPr>
            <w:tcW w:w="1604" w:type="dxa"/>
          </w:tcPr>
          <w:p w:rsidR="009622D4" w:rsidRPr="00A96A41" w:rsidRDefault="009622D4" w:rsidP="000B1C06">
            <w:r w:rsidRPr="00A96A41">
              <w:t>GENA-08 (n=32)</w:t>
            </w:r>
          </w:p>
        </w:tc>
        <w:tc>
          <w:tcPr>
            <w:tcW w:w="1605" w:type="dxa"/>
          </w:tcPr>
          <w:p w:rsidR="009622D4" w:rsidRPr="00A96A41" w:rsidRDefault="009622D4" w:rsidP="000B1C06">
            <w:r w:rsidRPr="00A96A41">
              <w:t>GENA-03 (n=59)</w:t>
            </w:r>
          </w:p>
        </w:tc>
        <w:tc>
          <w:tcPr>
            <w:tcW w:w="1707" w:type="dxa"/>
          </w:tcPr>
          <w:p w:rsidR="009622D4" w:rsidRPr="00A96A41" w:rsidRDefault="009622D4" w:rsidP="000B1C06">
            <w:r w:rsidRPr="00A96A41">
              <w:t>GENA-09 (n=22)</w:t>
            </w:r>
          </w:p>
        </w:tc>
        <w:tc>
          <w:tcPr>
            <w:tcW w:w="1666" w:type="dxa"/>
          </w:tcPr>
          <w:p w:rsidR="009622D4" w:rsidRPr="00A96A41" w:rsidRDefault="009622D4" w:rsidP="000B1C06">
            <w:r w:rsidRPr="00A96A41">
              <w:t>GENA-04 (n=18) *</w:t>
            </w:r>
          </w:p>
        </w:tc>
      </w:tr>
      <w:tr w:rsidR="009622D4" w:rsidRPr="005A3004" w:rsidTr="00A96A41">
        <w:tc>
          <w:tcPr>
            <w:tcW w:w="1526" w:type="dxa"/>
          </w:tcPr>
          <w:p w:rsidR="009622D4" w:rsidRPr="00A96A41" w:rsidRDefault="009622D4" w:rsidP="000B1C06">
            <w:r w:rsidRPr="00A96A41">
              <w:t xml:space="preserve">Age [years] </w:t>
            </w:r>
          </w:p>
        </w:tc>
        <w:tc>
          <w:tcPr>
            <w:tcW w:w="1604" w:type="dxa"/>
          </w:tcPr>
          <w:p w:rsidR="009622D4" w:rsidRPr="00A96A41" w:rsidRDefault="009622D4" w:rsidP="000B1C06">
            <w:r w:rsidRPr="00A96A41">
              <w:t xml:space="preserve">39.6 (12–65) </w:t>
            </w:r>
          </w:p>
        </w:tc>
        <w:tc>
          <w:tcPr>
            <w:tcW w:w="1604" w:type="dxa"/>
          </w:tcPr>
          <w:p w:rsidR="009622D4" w:rsidRPr="00A96A41" w:rsidRDefault="009622D4" w:rsidP="000B1C06">
            <w:r w:rsidRPr="00A96A41">
              <w:t>37.3 (18–75)</w:t>
            </w:r>
          </w:p>
        </w:tc>
        <w:tc>
          <w:tcPr>
            <w:tcW w:w="1605" w:type="dxa"/>
          </w:tcPr>
          <w:p w:rsidR="009622D4" w:rsidRPr="00A96A41" w:rsidRDefault="009622D4" w:rsidP="000B1C06">
            <w:r w:rsidRPr="00A96A41">
              <w:t>6.1 (2–12)</w:t>
            </w:r>
          </w:p>
        </w:tc>
        <w:tc>
          <w:tcPr>
            <w:tcW w:w="1707" w:type="dxa"/>
          </w:tcPr>
          <w:p w:rsidR="009622D4" w:rsidRPr="00A96A41" w:rsidRDefault="009622D4" w:rsidP="000B1C06">
            <w:r w:rsidRPr="00A96A41">
              <w:t>24.5 (18–62)</w:t>
            </w:r>
          </w:p>
        </w:tc>
        <w:tc>
          <w:tcPr>
            <w:tcW w:w="1666" w:type="dxa"/>
          </w:tcPr>
          <w:p w:rsidR="009622D4" w:rsidRPr="00A96A41" w:rsidRDefault="009622D4" w:rsidP="000B1C06">
            <w:r w:rsidRPr="00A96A41">
              <w:t>25.83 (18–62)</w:t>
            </w:r>
          </w:p>
        </w:tc>
      </w:tr>
      <w:tr w:rsidR="009622D4" w:rsidRPr="005A3004" w:rsidTr="00A96A41">
        <w:tc>
          <w:tcPr>
            <w:tcW w:w="1526" w:type="dxa"/>
          </w:tcPr>
          <w:p w:rsidR="009622D4" w:rsidRPr="00A96A41" w:rsidRDefault="009622D4" w:rsidP="000B1C06">
            <w:r w:rsidRPr="00A96A41">
              <w:t xml:space="preserve">Height [cm] </w:t>
            </w:r>
          </w:p>
        </w:tc>
        <w:tc>
          <w:tcPr>
            <w:tcW w:w="1604" w:type="dxa"/>
          </w:tcPr>
          <w:p w:rsidR="009622D4" w:rsidRPr="00A96A41" w:rsidRDefault="009622D4" w:rsidP="000B1C06">
            <w:r w:rsidRPr="00A96A41">
              <w:t>174 (154-188)</w:t>
            </w:r>
          </w:p>
        </w:tc>
        <w:tc>
          <w:tcPr>
            <w:tcW w:w="1604" w:type="dxa"/>
          </w:tcPr>
          <w:p w:rsidR="009622D4" w:rsidRPr="00A96A41" w:rsidRDefault="009622D4" w:rsidP="000B1C06">
            <w:r w:rsidRPr="00A96A41">
              <w:t>178 (158-192)</w:t>
            </w:r>
          </w:p>
        </w:tc>
        <w:tc>
          <w:tcPr>
            <w:tcW w:w="1605" w:type="dxa"/>
          </w:tcPr>
          <w:p w:rsidR="009622D4" w:rsidRPr="00A96A41" w:rsidRDefault="009622D4" w:rsidP="000B1C06">
            <w:r w:rsidRPr="00A96A41">
              <w:t>123 (82-173)</w:t>
            </w:r>
          </w:p>
        </w:tc>
        <w:tc>
          <w:tcPr>
            <w:tcW w:w="1707" w:type="dxa"/>
          </w:tcPr>
          <w:p w:rsidR="009622D4" w:rsidRPr="00A96A41" w:rsidRDefault="009622D4" w:rsidP="000B1C06">
            <w:r w:rsidRPr="00A96A41">
              <w:t xml:space="preserve">178 (166-191) </w:t>
            </w:r>
          </w:p>
        </w:tc>
        <w:tc>
          <w:tcPr>
            <w:tcW w:w="1666" w:type="dxa"/>
          </w:tcPr>
          <w:p w:rsidR="009622D4" w:rsidRPr="00A96A41" w:rsidRDefault="009622D4" w:rsidP="000B1C06">
            <w:r w:rsidRPr="00A96A41">
              <w:t>N/A</w:t>
            </w:r>
          </w:p>
        </w:tc>
      </w:tr>
      <w:tr w:rsidR="009622D4" w:rsidRPr="005A3004" w:rsidTr="00A96A41">
        <w:tc>
          <w:tcPr>
            <w:tcW w:w="1526" w:type="dxa"/>
          </w:tcPr>
          <w:p w:rsidR="009622D4" w:rsidRPr="00A96A41" w:rsidRDefault="009622D4" w:rsidP="000B1C06">
            <w:r w:rsidRPr="00A96A41">
              <w:t xml:space="preserve">Weight [kg] </w:t>
            </w:r>
          </w:p>
        </w:tc>
        <w:tc>
          <w:tcPr>
            <w:tcW w:w="1604" w:type="dxa"/>
          </w:tcPr>
          <w:p w:rsidR="009622D4" w:rsidRPr="00A96A41" w:rsidRDefault="009622D4" w:rsidP="000B1C06">
            <w:r w:rsidRPr="00A96A41">
              <w:t>73 (46-105)</w:t>
            </w:r>
          </w:p>
        </w:tc>
        <w:tc>
          <w:tcPr>
            <w:tcW w:w="1604" w:type="dxa"/>
          </w:tcPr>
          <w:p w:rsidR="009622D4" w:rsidRPr="00A96A41" w:rsidRDefault="009622D4" w:rsidP="000B1C06">
            <w:r w:rsidRPr="00A96A41">
              <w:t>83 (47-127)</w:t>
            </w:r>
          </w:p>
        </w:tc>
        <w:tc>
          <w:tcPr>
            <w:tcW w:w="1605" w:type="dxa"/>
          </w:tcPr>
          <w:p w:rsidR="009622D4" w:rsidRPr="00A96A41" w:rsidRDefault="009622D4" w:rsidP="000B1C06">
            <w:r w:rsidRPr="00A96A41">
              <w:t>27 (8-73)</w:t>
            </w:r>
          </w:p>
        </w:tc>
        <w:tc>
          <w:tcPr>
            <w:tcW w:w="1707" w:type="dxa"/>
          </w:tcPr>
          <w:p w:rsidR="009622D4" w:rsidRPr="00A96A41" w:rsidRDefault="009622D4" w:rsidP="000B1C06">
            <w:r w:rsidRPr="00A96A41">
              <w:t>69 (50-105)</w:t>
            </w:r>
          </w:p>
        </w:tc>
        <w:tc>
          <w:tcPr>
            <w:tcW w:w="1666" w:type="dxa"/>
          </w:tcPr>
          <w:p w:rsidR="009622D4" w:rsidRPr="00A96A41" w:rsidRDefault="009622D4" w:rsidP="000B1C06">
            <w:r w:rsidRPr="00A96A41">
              <w:t>73 (55-110)</w:t>
            </w:r>
          </w:p>
        </w:tc>
      </w:tr>
      <w:tr w:rsidR="009622D4" w:rsidRPr="005A3004" w:rsidTr="00A96A41">
        <w:tc>
          <w:tcPr>
            <w:tcW w:w="1526" w:type="dxa"/>
          </w:tcPr>
          <w:p w:rsidR="009622D4" w:rsidRPr="00A96A41" w:rsidRDefault="009622D4" w:rsidP="000B1C06">
            <w:r w:rsidRPr="00A96A41">
              <w:t xml:space="preserve">Race [% </w:t>
            </w:r>
            <w:r w:rsidR="00A96A41">
              <w:t>W</w:t>
            </w:r>
            <w:r w:rsidRPr="00A96A41">
              <w:t>hite]</w:t>
            </w:r>
          </w:p>
        </w:tc>
        <w:tc>
          <w:tcPr>
            <w:tcW w:w="1604" w:type="dxa"/>
          </w:tcPr>
          <w:p w:rsidR="009622D4" w:rsidRPr="00A96A41" w:rsidRDefault="009622D4" w:rsidP="000B1C06">
            <w:r w:rsidRPr="00A96A41">
              <w:t>81.8%</w:t>
            </w:r>
          </w:p>
        </w:tc>
        <w:tc>
          <w:tcPr>
            <w:tcW w:w="1604" w:type="dxa"/>
          </w:tcPr>
          <w:p w:rsidR="009622D4" w:rsidRPr="00A96A41" w:rsidRDefault="009622D4" w:rsidP="000B1C06">
            <w:r w:rsidRPr="00A96A41">
              <w:t>90.6%</w:t>
            </w:r>
          </w:p>
        </w:tc>
        <w:tc>
          <w:tcPr>
            <w:tcW w:w="1605" w:type="dxa"/>
          </w:tcPr>
          <w:p w:rsidR="009622D4" w:rsidRPr="00A96A41" w:rsidRDefault="009622D4" w:rsidP="000B1C06">
            <w:r w:rsidRPr="00A96A41">
              <w:t>100%</w:t>
            </w:r>
          </w:p>
        </w:tc>
        <w:tc>
          <w:tcPr>
            <w:tcW w:w="1707" w:type="dxa"/>
          </w:tcPr>
          <w:p w:rsidR="009622D4" w:rsidRPr="00A96A41" w:rsidRDefault="009622D4" w:rsidP="000B1C06">
            <w:r w:rsidRPr="00A96A41">
              <w:t>100%</w:t>
            </w:r>
          </w:p>
        </w:tc>
        <w:tc>
          <w:tcPr>
            <w:tcW w:w="1666" w:type="dxa"/>
          </w:tcPr>
          <w:p w:rsidR="009622D4" w:rsidRPr="00A96A41" w:rsidRDefault="009622D4" w:rsidP="000B1C06">
            <w:r w:rsidRPr="00A96A41">
              <w:t>100%</w:t>
            </w:r>
          </w:p>
        </w:tc>
      </w:tr>
      <w:tr w:rsidR="009622D4" w:rsidRPr="005A3004" w:rsidTr="00A96A41">
        <w:tc>
          <w:tcPr>
            <w:tcW w:w="1526" w:type="dxa"/>
          </w:tcPr>
          <w:p w:rsidR="009622D4" w:rsidRPr="00A96A41" w:rsidRDefault="009622D4" w:rsidP="000B1C06">
            <w:r w:rsidRPr="00A96A41">
              <w:t>HJHS (gait)</w:t>
            </w:r>
          </w:p>
        </w:tc>
        <w:tc>
          <w:tcPr>
            <w:tcW w:w="1604" w:type="dxa"/>
          </w:tcPr>
          <w:p w:rsidR="009622D4" w:rsidRPr="00A96A41" w:rsidRDefault="009622D4" w:rsidP="000B1C06">
            <w:r w:rsidRPr="00A96A41">
              <w:t>1.6 (0-4)</w:t>
            </w:r>
          </w:p>
        </w:tc>
        <w:tc>
          <w:tcPr>
            <w:tcW w:w="1604" w:type="dxa"/>
          </w:tcPr>
          <w:p w:rsidR="009622D4" w:rsidRPr="00A96A41" w:rsidRDefault="009622D4" w:rsidP="000B1C06">
            <w:r w:rsidRPr="00A96A41">
              <w:t>1.6 (0-4)</w:t>
            </w:r>
          </w:p>
        </w:tc>
        <w:tc>
          <w:tcPr>
            <w:tcW w:w="1605" w:type="dxa"/>
          </w:tcPr>
          <w:p w:rsidR="009622D4" w:rsidRPr="00A96A41" w:rsidRDefault="009622D4" w:rsidP="000B1C06">
            <w:r w:rsidRPr="00A96A41">
              <w:t>0.1 (0-2)</w:t>
            </w:r>
          </w:p>
        </w:tc>
        <w:tc>
          <w:tcPr>
            <w:tcW w:w="1707" w:type="dxa"/>
          </w:tcPr>
          <w:p w:rsidR="009622D4" w:rsidRPr="00A96A41" w:rsidRDefault="009622D4" w:rsidP="000B1C06">
            <w:r w:rsidRPr="00A96A41">
              <w:t>2.5 (0-4)</w:t>
            </w:r>
          </w:p>
        </w:tc>
        <w:tc>
          <w:tcPr>
            <w:tcW w:w="1666" w:type="dxa"/>
          </w:tcPr>
          <w:p w:rsidR="009622D4" w:rsidRPr="00A96A41" w:rsidRDefault="009622D4" w:rsidP="000B1C06">
            <w:r w:rsidRPr="00A96A41">
              <w:t>2.6 (0-4)</w:t>
            </w:r>
          </w:p>
        </w:tc>
      </w:tr>
      <w:tr w:rsidR="009622D4" w:rsidRPr="005A3004" w:rsidTr="00A96A41">
        <w:tc>
          <w:tcPr>
            <w:tcW w:w="1526" w:type="dxa"/>
          </w:tcPr>
          <w:p w:rsidR="009622D4" w:rsidRPr="00A96A41" w:rsidRDefault="009622D4" w:rsidP="000B1C06">
            <w:r w:rsidRPr="00A96A41">
              <w:t>HJHS (total)</w:t>
            </w:r>
          </w:p>
        </w:tc>
        <w:tc>
          <w:tcPr>
            <w:tcW w:w="1604" w:type="dxa"/>
          </w:tcPr>
          <w:p w:rsidR="009622D4" w:rsidRPr="00A96A41" w:rsidRDefault="009622D4" w:rsidP="000B1C06">
            <w:r w:rsidRPr="00A96A41">
              <w:t>38.4 (0-84)</w:t>
            </w:r>
          </w:p>
        </w:tc>
        <w:tc>
          <w:tcPr>
            <w:tcW w:w="1604" w:type="dxa"/>
          </w:tcPr>
          <w:p w:rsidR="009622D4" w:rsidRPr="00A96A41" w:rsidRDefault="009622D4" w:rsidP="000B1C06">
            <w:r w:rsidRPr="00A96A41">
              <w:t>34.6 (0-117)</w:t>
            </w:r>
          </w:p>
        </w:tc>
        <w:tc>
          <w:tcPr>
            <w:tcW w:w="1605" w:type="dxa"/>
          </w:tcPr>
          <w:p w:rsidR="009622D4" w:rsidRPr="00A96A41" w:rsidRDefault="009622D4" w:rsidP="000B1C06">
            <w:r w:rsidRPr="00A96A41">
              <w:t>0.8 (0-11)</w:t>
            </w:r>
          </w:p>
        </w:tc>
        <w:tc>
          <w:tcPr>
            <w:tcW w:w="1707" w:type="dxa"/>
          </w:tcPr>
          <w:p w:rsidR="009622D4" w:rsidRPr="00A96A41" w:rsidRDefault="009622D4" w:rsidP="000B1C06">
            <w:r w:rsidRPr="00A96A41">
              <w:t>45.3 (17-82)</w:t>
            </w:r>
          </w:p>
        </w:tc>
        <w:tc>
          <w:tcPr>
            <w:tcW w:w="1666" w:type="dxa"/>
          </w:tcPr>
          <w:p w:rsidR="009622D4" w:rsidRPr="00A96A41" w:rsidRDefault="009622D4" w:rsidP="000B1C06">
            <w:r w:rsidRPr="00A96A41">
              <w:t>46.5 (17-82)</w:t>
            </w:r>
          </w:p>
        </w:tc>
      </w:tr>
      <w:tr w:rsidR="009622D4" w:rsidRPr="005A3004" w:rsidTr="00A96A41">
        <w:tc>
          <w:tcPr>
            <w:tcW w:w="1526" w:type="dxa"/>
          </w:tcPr>
          <w:p w:rsidR="009622D4" w:rsidRPr="00A96A41" w:rsidRDefault="009622D4" w:rsidP="000B1C06">
            <w:r w:rsidRPr="00A96A41">
              <w:t>FH of Haem A (%)</w:t>
            </w:r>
          </w:p>
        </w:tc>
        <w:tc>
          <w:tcPr>
            <w:tcW w:w="1604" w:type="dxa"/>
          </w:tcPr>
          <w:p w:rsidR="009622D4" w:rsidRPr="00A96A41" w:rsidRDefault="009622D4" w:rsidP="000B1C06">
            <w:r w:rsidRPr="00A96A41">
              <w:t>63.6%</w:t>
            </w:r>
          </w:p>
        </w:tc>
        <w:tc>
          <w:tcPr>
            <w:tcW w:w="1604" w:type="dxa"/>
          </w:tcPr>
          <w:p w:rsidR="009622D4" w:rsidRPr="00A96A41" w:rsidRDefault="009622D4" w:rsidP="000B1C06">
            <w:r w:rsidRPr="00A96A41">
              <w:t>56.3%</w:t>
            </w:r>
          </w:p>
        </w:tc>
        <w:tc>
          <w:tcPr>
            <w:tcW w:w="1605" w:type="dxa"/>
          </w:tcPr>
          <w:p w:rsidR="009622D4" w:rsidRPr="00A96A41" w:rsidRDefault="009622D4" w:rsidP="000B1C06">
            <w:r w:rsidRPr="00A96A41">
              <w:t>40.7%</w:t>
            </w:r>
          </w:p>
        </w:tc>
        <w:tc>
          <w:tcPr>
            <w:tcW w:w="1707" w:type="dxa"/>
          </w:tcPr>
          <w:p w:rsidR="009622D4" w:rsidRPr="00A96A41" w:rsidRDefault="009622D4" w:rsidP="000B1C06">
            <w:r w:rsidRPr="00A96A41">
              <w:t>54.5%</w:t>
            </w:r>
          </w:p>
        </w:tc>
        <w:tc>
          <w:tcPr>
            <w:tcW w:w="1666" w:type="dxa"/>
          </w:tcPr>
          <w:p w:rsidR="009622D4" w:rsidRPr="00A96A41" w:rsidRDefault="00A96A41" w:rsidP="000B1C06">
            <w:r>
              <w:t>N/A</w:t>
            </w:r>
          </w:p>
        </w:tc>
      </w:tr>
      <w:tr w:rsidR="009622D4" w:rsidRPr="005A3004" w:rsidTr="00A96A41">
        <w:tc>
          <w:tcPr>
            <w:tcW w:w="1526" w:type="dxa"/>
          </w:tcPr>
          <w:p w:rsidR="009622D4" w:rsidRPr="00A96A41" w:rsidRDefault="009622D4" w:rsidP="000B1C06">
            <w:r w:rsidRPr="00A96A41">
              <w:t>FVIII inhibitors**</w:t>
            </w:r>
          </w:p>
        </w:tc>
        <w:tc>
          <w:tcPr>
            <w:tcW w:w="1604" w:type="dxa"/>
          </w:tcPr>
          <w:p w:rsidR="009622D4" w:rsidRPr="00A96A41" w:rsidRDefault="009622D4" w:rsidP="000B1C06">
            <w:r w:rsidRPr="00A96A41">
              <w:t>0%</w:t>
            </w:r>
          </w:p>
        </w:tc>
        <w:tc>
          <w:tcPr>
            <w:tcW w:w="1604" w:type="dxa"/>
          </w:tcPr>
          <w:p w:rsidR="009622D4" w:rsidRPr="00A96A41" w:rsidRDefault="009622D4" w:rsidP="000B1C06">
            <w:r w:rsidRPr="00A96A41">
              <w:t>0%</w:t>
            </w:r>
          </w:p>
        </w:tc>
        <w:tc>
          <w:tcPr>
            <w:tcW w:w="1605" w:type="dxa"/>
          </w:tcPr>
          <w:p w:rsidR="009622D4" w:rsidRPr="00A96A41" w:rsidRDefault="009622D4" w:rsidP="000B1C06">
            <w:r w:rsidRPr="00A96A41">
              <w:t>0%</w:t>
            </w:r>
          </w:p>
        </w:tc>
        <w:tc>
          <w:tcPr>
            <w:tcW w:w="1707" w:type="dxa"/>
          </w:tcPr>
          <w:p w:rsidR="009622D4" w:rsidRPr="00A96A41" w:rsidRDefault="009622D4" w:rsidP="000B1C06">
            <w:r w:rsidRPr="00A96A41">
              <w:t>0%</w:t>
            </w:r>
          </w:p>
        </w:tc>
        <w:tc>
          <w:tcPr>
            <w:tcW w:w="1666" w:type="dxa"/>
          </w:tcPr>
          <w:p w:rsidR="009622D4" w:rsidRPr="00A96A41" w:rsidRDefault="00A96A41" w:rsidP="000B1C06">
            <w:r>
              <w:t>N/A</w:t>
            </w:r>
          </w:p>
        </w:tc>
      </w:tr>
    </w:tbl>
    <w:p w:rsidR="00365758" w:rsidRDefault="00365758" w:rsidP="000B1C06">
      <w:pPr>
        <w:pStyle w:val="TableDescription"/>
      </w:pPr>
      <w:r>
        <w:t>Data expressed as mean (range) unless otherwise indicated.</w:t>
      </w:r>
    </w:p>
    <w:p w:rsidR="009622D4" w:rsidRPr="00042F16" w:rsidRDefault="009622D4" w:rsidP="000B1C06">
      <w:pPr>
        <w:pStyle w:val="TableDescription"/>
      </w:pPr>
      <w:r w:rsidRPr="00042F16">
        <w:t xml:space="preserve">* All </w:t>
      </w:r>
      <w:r>
        <w:t xml:space="preserve">18 </w:t>
      </w:r>
      <w:r w:rsidRPr="00042F16">
        <w:t>patients in GENA-04 participated in GENA-09</w:t>
      </w:r>
      <w:r>
        <w:t xml:space="preserve">. ** FVIII inhibitors (&lt; 0.6 BUs). FH of Haem A = Family history of haemophilia A. </w:t>
      </w:r>
      <w:r w:rsidR="00A96A41">
        <w:t>N/A=not applicable</w:t>
      </w:r>
    </w:p>
    <w:p w:rsidR="009622D4" w:rsidRPr="000B5DD3" w:rsidRDefault="000B1C06" w:rsidP="00A96A41">
      <w:pPr>
        <w:pStyle w:val="Heading5"/>
      </w:pPr>
      <w:r>
        <w:t>Prophylaxis</w:t>
      </w:r>
    </w:p>
    <w:p w:rsidR="009622D4" w:rsidRDefault="009622D4" w:rsidP="009622D4">
      <w:r w:rsidRPr="000B5DD3">
        <w:t xml:space="preserve">The efficacy of </w:t>
      </w:r>
      <w:r>
        <w:t>routine</w:t>
      </w:r>
      <w:r w:rsidRPr="000B5DD3">
        <w:t xml:space="preserve"> prophylaxis with </w:t>
      </w:r>
      <w:proofErr w:type="spellStart"/>
      <w:r w:rsidR="009C1E6B">
        <w:t>simoctocog</w:t>
      </w:r>
      <w:proofErr w:type="spellEnd"/>
      <w:r w:rsidR="009C1E6B">
        <w:t xml:space="preserve"> </w:t>
      </w:r>
      <w:r w:rsidR="00FC63A1">
        <w:t>alfa</w:t>
      </w:r>
      <w:r w:rsidRPr="000B5DD3">
        <w:t xml:space="preserve"> was assessed in two of the three pivotal studies (GENA-08 and GENA-03) and in the two supportive studies (GENA-09 and GENA-04). A total of 113 patients received prophylactic treatment with </w:t>
      </w:r>
      <w:proofErr w:type="spellStart"/>
      <w:r w:rsidR="009C1E6B">
        <w:t>simoctocog</w:t>
      </w:r>
      <w:proofErr w:type="spellEnd"/>
      <w:r w:rsidR="009C1E6B">
        <w:t xml:space="preserve"> </w:t>
      </w:r>
      <w:r w:rsidR="00FC63A1">
        <w:t>alfa</w:t>
      </w:r>
      <w:r w:rsidRPr="000B5DD3">
        <w:t xml:space="preserve"> every other day, while in GENA-03 prophylaxis could also be administered to paediatric patients 3 times per week. The majority of the 113 patients were from two of the three pivotal studies GENA-08 and GENA-03 (</w:t>
      </w:r>
      <w:r w:rsidR="007221D1" w:rsidRPr="000B5DD3">
        <w:t>8</w:t>
      </w:r>
      <w:r w:rsidR="007221D1">
        <w:t>0.5</w:t>
      </w:r>
      <w:r w:rsidRPr="000B5DD3">
        <w:t>% [n=</w:t>
      </w:r>
      <w:r w:rsidR="007221D1" w:rsidRPr="000B5DD3">
        <w:t>9</w:t>
      </w:r>
      <w:r w:rsidR="007221D1">
        <w:t>1</w:t>
      </w:r>
      <w:r w:rsidRPr="000B5DD3">
        <w:t>]) with the remainder coming from the two supportive studies GENA-09 and GENA-04 (</w:t>
      </w:r>
      <w:r w:rsidR="007221D1">
        <w:t>19.5</w:t>
      </w:r>
      <w:r w:rsidRPr="000B5DD3">
        <w:t>% [n=</w:t>
      </w:r>
      <w:r w:rsidR="007221D1">
        <w:t>22</w:t>
      </w:r>
      <w:r w:rsidRPr="000B5DD3">
        <w:t>])</w:t>
      </w:r>
      <w:r>
        <w:t xml:space="preserve">. Prophylactic treatment across the </w:t>
      </w:r>
      <w:r w:rsidR="00B0617C">
        <w:t xml:space="preserve">two </w:t>
      </w:r>
      <w:proofErr w:type="gramStart"/>
      <w:r w:rsidR="00B0617C">
        <w:t xml:space="preserve">pivotal </w:t>
      </w:r>
      <w:r w:rsidR="0002448E">
        <w:t xml:space="preserve"> and</w:t>
      </w:r>
      <w:proofErr w:type="gramEnd"/>
      <w:r w:rsidR="0002448E">
        <w:t xml:space="preserve"> two supportive </w:t>
      </w:r>
      <w:r>
        <w:t xml:space="preserve">studies with data is summarised below in Table </w:t>
      </w:r>
      <w:r w:rsidR="00A96A41">
        <w:t>7</w:t>
      </w:r>
      <w:r>
        <w:t>.</w:t>
      </w:r>
    </w:p>
    <w:p w:rsidR="009622D4" w:rsidRDefault="009622D4" w:rsidP="00A96A41">
      <w:pPr>
        <w:pStyle w:val="TableTitle"/>
      </w:pPr>
      <w:bookmarkStart w:id="88" w:name="_Toc248202557"/>
      <w:proofErr w:type="gramStart"/>
      <w:r>
        <w:lastRenderedPageBreak/>
        <w:t xml:space="preserve">Table </w:t>
      </w:r>
      <w:r w:rsidR="00A96A41">
        <w:t>7</w:t>
      </w:r>
      <w:r>
        <w:t>: Summary of prophylactic treatment</w:t>
      </w:r>
      <w:r w:rsidR="00922EDD">
        <w:t xml:space="preserve"> in pivotal studies</w:t>
      </w:r>
      <w:r>
        <w:t>.</w:t>
      </w:r>
      <w:bookmarkEnd w:id="88"/>
      <w:proofErr w:type="gramEnd"/>
    </w:p>
    <w:tbl>
      <w:tblPr>
        <w:tblStyle w:val="TableTGAblue"/>
        <w:tblW w:w="8755" w:type="dxa"/>
        <w:tblLook w:val="04A0" w:firstRow="1" w:lastRow="0" w:firstColumn="1" w:lastColumn="0" w:noHBand="0" w:noVBand="1"/>
      </w:tblPr>
      <w:tblGrid>
        <w:gridCol w:w="2235"/>
        <w:gridCol w:w="1559"/>
        <w:gridCol w:w="1843"/>
        <w:gridCol w:w="1559"/>
        <w:gridCol w:w="1559"/>
      </w:tblGrid>
      <w:tr w:rsidR="009622D4" w:rsidTr="000B1C06">
        <w:trPr>
          <w:cnfStyle w:val="100000000000" w:firstRow="1" w:lastRow="0" w:firstColumn="0" w:lastColumn="0" w:oddVBand="0" w:evenVBand="0" w:oddHBand="0" w:evenHBand="0" w:firstRowFirstColumn="0" w:firstRowLastColumn="0" w:lastRowFirstColumn="0" w:lastRowLastColumn="0"/>
          <w:trHeight w:val="220"/>
        </w:trPr>
        <w:tc>
          <w:tcPr>
            <w:tcW w:w="2235" w:type="dxa"/>
          </w:tcPr>
          <w:p w:rsidR="009622D4" w:rsidRPr="00F30D16" w:rsidRDefault="009622D4" w:rsidP="000B1C06"/>
        </w:tc>
        <w:tc>
          <w:tcPr>
            <w:tcW w:w="1559" w:type="dxa"/>
          </w:tcPr>
          <w:p w:rsidR="009622D4" w:rsidRPr="00F30D16" w:rsidRDefault="009622D4" w:rsidP="000B1C06">
            <w:r w:rsidRPr="00F30D16">
              <w:t xml:space="preserve">GENA-08 (n=32) </w:t>
            </w:r>
          </w:p>
        </w:tc>
        <w:tc>
          <w:tcPr>
            <w:tcW w:w="1843" w:type="dxa"/>
          </w:tcPr>
          <w:p w:rsidR="009622D4" w:rsidRPr="00F30D16" w:rsidRDefault="009622D4" w:rsidP="000B1C06">
            <w:r w:rsidRPr="00F30D16">
              <w:t xml:space="preserve">GENA-03 (n=59) </w:t>
            </w:r>
          </w:p>
        </w:tc>
        <w:tc>
          <w:tcPr>
            <w:tcW w:w="1559" w:type="dxa"/>
          </w:tcPr>
          <w:p w:rsidR="009622D4" w:rsidRPr="00F30D16" w:rsidRDefault="009622D4" w:rsidP="000B1C06">
            <w:r w:rsidRPr="00F30D16">
              <w:t>GENA-09 (n=22)</w:t>
            </w:r>
          </w:p>
        </w:tc>
        <w:tc>
          <w:tcPr>
            <w:tcW w:w="1559" w:type="dxa"/>
          </w:tcPr>
          <w:p w:rsidR="009622D4" w:rsidRPr="00F30D16" w:rsidRDefault="009622D4" w:rsidP="000B1C06">
            <w:r w:rsidRPr="00F30D16">
              <w:t xml:space="preserve">GENA-04 (n=18) </w:t>
            </w:r>
            <w:r>
              <w:t>*</w:t>
            </w:r>
          </w:p>
        </w:tc>
      </w:tr>
      <w:tr w:rsidR="009622D4" w:rsidTr="000B1C06">
        <w:trPr>
          <w:trHeight w:val="220"/>
        </w:trPr>
        <w:tc>
          <w:tcPr>
            <w:tcW w:w="2235" w:type="dxa"/>
          </w:tcPr>
          <w:p w:rsidR="009622D4" w:rsidRPr="00F30D16" w:rsidRDefault="009622D4" w:rsidP="000B1C06">
            <w:r>
              <w:t xml:space="preserve">Administered Dose </w:t>
            </w:r>
          </w:p>
        </w:tc>
        <w:tc>
          <w:tcPr>
            <w:tcW w:w="1559" w:type="dxa"/>
          </w:tcPr>
          <w:p w:rsidR="009622D4" w:rsidRPr="00F30D16" w:rsidRDefault="009622D4" w:rsidP="000B1C06">
            <w:r>
              <w:t>30-40 IU/kg ever</w:t>
            </w:r>
            <w:r w:rsidR="002F0BEA">
              <w:t>y</w:t>
            </w:r>
            <w:r>
              <w:t xml:space="preserve"> other day</w:t>
            </w:r>
          </w:p>
        </w:tc>
        <w:tc>
          <w:tcPr>
            <w:tcW w:w="1843" w:type="dxa"/>
          </w:tcPr>
          <w:p w:rsidR="009622D4" w:rsidRPr="00F30D16" w:rsidRDefault="009622D4" w:rsidP="000B1C06">
            <w:r>
              <w:t>30-40 IU/kg every other day or 3x/w</w:t>
            </w:r>
            <w:r w:rsidR="002F0BEA">
              <w:t>ee</w:t>
            </w:r>
            <w:r>
              <w:t>k</w:t>
            </w:r>
          </w:p>
        </w:tc>
        <w:tc>
          <w:tcPr>
            <w:tcW w:w="1559" w:type="dxa"/>
          </w:tcPr>
          <w:p w:rsidR="009622D4" w:rsidRPr="00F30D16" w:rsidRDefault="009622D4" w:rsidP="000B1C06">
            <w:r>
              <w:t>30 + 5 IU/kg every other day</w:t>
            </w:r>
          </w:p>
        </w:tc>
        <w:tc>
          <w:tcPr>
            <w:tcW w:w="1559" w:type="dxa"/>
          </w:tcPr>
          <w:p w:rsidR="009622D4" w:rsidRPr="00F30D16" w:rsidRDefault="009622D4" w:rsidP="000B1C06">
            <w:r>
              <w:t xml:space="preserve">30 + X IU/kg every other day </w:t>
            </w:r>
          </w:p>
        </w:tc>
      </w:tr>
      <w:tr w:rsidR="009622D4" w:rsidTr="000B1C06">
        <w:trPr>
          <w:trHeight w:val="220"/>
        </w:trPr>
        <w:tc>
          <w:tcPr>
            <w:tcW w:w="2235" w:type="dxa"/>
          </w:tcPr>
          <w:p w:rsidR="009622D4" w:rsidRPr="00F30D16" w:rsidRDefault="009622D4" w:rsidP="000B1C06">
            <w:r>
              <w:t xml:space="preserve">Mean Dose (range) IU/kg </w:t>
            </w:r>
          </w:p>
        </w:tc>
        <w:tc>
          <w:tcPr>
            <w:tcW w:w="1559" w:type="dxa"/>
          </w:tcPr>
          <w:p w:rsidR="009622D4" w:rsidRPr="00F30D16" w:rsidRDefault="009622D4" w:rsidP="000B1C06">
            <w:r>
              <w:t>32.8 (24.0, 39.3)</w:t>
            </w:r>
          </w:p>
        </w:tc>
        <w:tc>
          <w:tcPr>
            <w:tcW w:w="1843" w:type="dxa"/>
          </w:tcPr>
          <w:p w:rsidR="009622D4" w:rsidRPr="00F30D16" w:rsidRDefault="009622D4" w:rsidP="000B1C06">
            <w:r>
              <w:t>38.9 (26.0, 56.7)</w:t>
            </w:r>
          </w:p>
        </w:tc>
        <w:tc>
          <w:tcPr>
            <w:tcW w:w="1559" w:type="dxa"/>
          </w:tcPr>
          <w:p w:rsidR="009622D4" w:rsidRPr="00F30D16" w:rsidRDefault="009622D4" w:rsidP="000B1C06">
            <w:r>
              <w:t>32.8 (27.7, 36.6)</w:t>
            </w:r>
          </w:p>
        </w:tc>
        <w:tc>
          <w:tcPr>
            <w:tcW w:w="1559" w:type="dxa"/>
          </w:tcPr>
          <w:p w:rsidR="009622D4" w:rsidRPr="00F30D16" w:rsidRDefault="009622D4" w:rsidP="000B1C06">
            <w:r>
              <w:t>34.6 (31.1, 45.3)</w:t>
            </w:r>
          </w:p>
        </w:tc>
      </w:tr>
      <w:tr w:rsidR="009622D4" w:rsidTr="000B1C06">
        <w:trPr>
          <w:trHeight w:val="220"/>
        </w:trPr>
        <w:tc>
          <w:tcPr>
            <w:tcW w:w="2235" w:type="dxa"/>
          </w:tcPr>
          <w:p w:rsidR="009622D4" w:rsidRPr="00F30D16" w:rsidRDefault="009622D4" w:rsidP="000B1C06">
            <w:r w:rsidRPr="00F30D16">
              <w:t>Number of EDs (</w:t>
            </w:r>
            <w:proofErr w:type="spellStart"/>
            <w:r w:rsidRPr="00F30D16">
              <w:t>mean±SD</w:t>
            </w:r>
            <w:proofErr w:type="spellEnd"/>
            <w:r w:rsidRPr="00F30D16">
              <w:t>)</w:t>
            </w:r>
          </w:p>
        </w:tc>
        <w:tc>
          <w:tcPr>
            <w:tcW w:w="1559" w:type="dxa"/>
          </w:tcPr>
          <w:p w:rsidR="009622D4" w:rsidRPr="00F30D16" w:rsidRDefault="009622D4" w:rsidP="000B1C06">
            <w:r w:rsidRPr="00F30D16">
              <w:t>85.1±15.4</w:t>
            </w:r>
          </w:p>
        </w:tc>
        <w:tc>
          <w:tcPr>
            <w:tcW w:w="1843" w:type="dxa"/>
          </w:tcPr>
          <w:p w:rsidR="009622D4" w:rsidRPr="00F30D16" w:rsidRDefault="009622D4" w:rsidP="000B1C06">
            <w:r w:rsidRPr="00F30D16">
              <w:t>89.8±22.33</w:t>
            </w:r>
          </w:p>
        </w:tc>
        <w:tc>
          <w:tcPr>
            <w:tcW w:w="1559" w:type="dxa"/>
          </w:tcPr>
          <w:p w:rsidR="009622D4" w:rsidRPr="00F30D16" w:rsidRDefault="009622D4" w:rsidP="000B1C06">
            <w:r w:rsidRPr="00F30D16">
              <w:t>90±9.1</w:t>
            </w:r>
          </w:p>
        </w:tc>
        <w:tc>
          <w:tcPr>
            <w:tcW w:w="1559" w:type="dxa"/>
          </w:tcPr>
          <w:p w:rsidR="009622D4" w:rsidRPr="00F30D16" w:rsidRDefault="009622D4" w:rsidP="000B1C06">
            <w:r w:rsidRPr="00F30D16">
              <w:t>219±6.3</w:t>
            </w:r>
          </w:p>
        </w:tc>
      </w:tr>
      <w:tr w:rsidR="009622D4" w:rsidTr="000B1C06">
        <w:trPr>
          <w:trHeight w:val="220"/>
        </w:trPr>
        <w:tc>
          <w:tcPr>
            <w:tcW w:w="2235" w:type="dxa"/>
          </w:tcPr>
          <w:p w:rsidR="009622D4" w:rsidRPr="00F30D16" w:rsidRDefault="009622D4" w:rsidP="000B1C06">
            <w:r w:rsidRPr="00F30D16">
              <w:t>Patients without BE, n (%)</w:t>
            </w:r>
          </w:p>
        </w:tc>
        <w:tc>
          <w:tcPr>
            <w:tcW w:w="1559" w:type="dxa"/>
          </w:tcPr>
          <w:p w:rsidR="009622D4" w:rsidRPr="00F30D16" w:rsidRDefault="009622D4" w:rsidP="000B1C06">
            <w:r w:rsidRPr="00F30D16">
              <w:t>16 (50.0%)</w:t>
            </w:r>
          </w:p>
        </w:tc>
        <w:tc>
          <w:tcPr>
            <w:tcW w:w="1843" w:type="dxa"/>
          </w:tcPr>
          <w:p w:rsidR="009622D4" w:rsidRPr="00F30D16" w:rsidRDefault="009622D4" w:rsidP="000B1C06">
            <w:r w:rsidRPr="00F30D16">
              <w:t>27 (45.8%)</w:t>
            </w:r>
          </w:p>
        </w:tc>
        <w:tc>
          <w:tcPr>
            <w:tcW w:w="1559" w:type="dxa"/>
          </w:tcPr>
          <w:p w:rsidR="009622D4" w:rsidRPr="00F30D16" w:rsidRDefault="009622D4" w:rsidP="000B1C06">
            <w:r w:rsidRPr="00F30D16">
              <w:t>8 (36.4%)</w:t>
            </w:r>
          </w:p>
        </w:tc>
        <w:tc>
          <w:tcPr>
            <w:tcW w:w="1559" w:type="dxa"/>
          </w:tcPr>
          <w:p w:rsidR="009622D4" w:rsidRPr="00F30D16" w:rsidRDefault="009622D4" w:rsidP="000B1C06">
            <w:r w:rsidRPr="00F30D16">
              <w:t xml:space="preserve">10 (55.6%) </w:t>
            </w:r>
          </w:p>
        </w:tc>
      </w:tr>
      <w:tr w:rsidR="009622D4" w:rsidTr="000B1C06">
        <w:trPr>
          <w:trHeight w:val="220"/>
        </w:trPr>
        <w:tc>
          <w:tcPr>
            <w:tcW w:w="2235" w:type="dxa"/>
          </w:tcPr>
          <w:p w:rsidR="009622D4" w:rsidRPr="00F30D16" w:rsidRDefault="009622D4" w:rsidP="000B1C06">
            <w:r w:rsidRPr="00F30D16">
              <w:t xml:space="preserve">Patients with ≥ 1 </w:t>
            </w:r>
            <w:proofErr w:type="gramStart"/>
            <w:r w:rsidRPr="00F30D16">
              <w:t>BE</w:t>
            </w:r>
            <w:proofErr w:type="gramEnd"/>
            <w:r w:rsidRPr="00F30D16">
              <w:t>, n (%)</w:t>
            </w:r>
          </w:p>
        </w:tc>
        <w:tc>
          <w:tcPr>
            <w:tcW w:w="1559" w:type="dxa"/>
          </w:tcPr>
          <w:p w:rsidR="009622D4" w:rsidRPr="00F30D16" w:rsidRDefault="009622D4" w:rsidP="000B1C06">
            <w:r w:rsidRPr="00F30D16">
              <w:t>16 (50.0%)</w:t>
            </w:r>
          </w:p>
        </w:tc>
        <w:tc>
          <w:tcPr>
            <w:tcW w:w="1843" w:type="dxa"/>
          </w:tcPr>
          <w:p w:rsidR="009622D4" w:rsidRPr="00F30D16" w:rsidRDefault="009622D4" w:rsidP="000B1C06">
            <w:r w:rsidRPr="00F30D16">
              <w:t>32 (54.2%)</w:t>
            </w:r>
          </w:p>
        </w:tc>
        <w:tc>
          <w:tcPr>
            <w:tcW w:w="1559" w:type="dxa"/>
          </w:tcPr>
          <w:p w:rsidR="009622D4" w:rsidRPr="00F30D16" w:rsidRDefault="009622D4" w:rsidP="000B1C06">
            <w:r w:rsidRPr="00F30D16">
              <w:t>14 (63.6%)</w:t>
            </w:r>
          </w:p>
        </w:tc>
        <w:tc>
          <w:tcPr>
            <w:tcW w:w="1559" w:type="dxa"/>
          </w:tcPr>
          <w:p w:rsidR="009622D4" w:rsidRPr="00F30D16" w:rsidRDefault="009622D4" w:rsidP="000B1C06">
            <w:r w:rsidRPr="00F30D16">
              <w:t xml:space="preserve">8 (44.4%) </w:t>
            </w:r>
          </w:p>
        </w:tc>
      </w:tr>
      <w:tr w:rsidR="009622D4" w:rsidTr="000B1C06">
        <w:trPr>
          <w:trHeight w:val="220"/>
        </w:trPr>
        <w:tc>
          <w:tcPr>
            <w:tcW w:w="2235" w:type="dxa"/>
          </w:tcPr>
          <w:p w:rsidR="009622D4" w:rsidRPr="00F30D16" w:rsidRDefault="009622D4" w:rsidP="000B1C06">
            <w:r w:rsidRPr="00F30D16">
              <w:t>Spontaneous BEs/month</w:t>
            </w:r>
          </w:p>
        </w:tc>
        <w:tc>
          <w:tcPr>
            <w:tcW w:w="1559" w:type="dxa"/>
          </w:tcPr>
          <w:p w:rsidR="009622D4" w:rsidRPr="00F30D16" w:rsidRDefault="009622D4" w:rsidP="000B1C06">
            <w:r w:rsidRPr="00F30D16">
              <w:t>0.095 (range: 0, 0.71)</w:t>
            </w:r>
          </w:p>
        </w:tc>
        <w:tc>
          <w:tcPr>
            <w:tcW w:w="1843" w:type="dxa"/>
          </w:tcPr>
          <w:p w:rsidR="009622D4" w:rsidRPr="00F30D16" w:rsidRDefault="009622D4" w:rsidP="000B1C06">
            <w:r w:rsidRPr="00F30D16">
              <w:t>0.123 (range: 0, 1.13)</w:t>
            </w:r>
          </w:p>
        </w:tc>
        <w:tc>
          <w:tcPr>
            <w:tcW w:w="1559" w:type="dxa"/>
          </w:tcPr>
          <w:p w:rsidR="009622D4" w:rsidRPr="00F30D16" w:rsidRDefault="009622D4" w:rsidP="000B1C06">
            <w:r w:rsidRPr="00F30D16">
              <w:t>0.24 (range: 0, 1.44)</w:t>
            </w:r>
          </w:p>
        </w:tc>
        <w:tc>
          <w:tcPr>
            <w:tcW w:w="1559" w:type="dxa"/>
          </w:tcPr>
          <w:p w:rsidR="009622D4" w:rsidRPr="00F30D16" w:rsidRDefault="009622D4" w:rsidP="000B1C06">
            <w:r w:rsidRPr="00F30D16">
              <w:t>0.11 (range: 0.1, 0.86)</w:t>
            </w:r>
          </w:p>
        </w:tc>
      </w:tr>
      <w:tr w:rsidR="009622D4" w:rsidTr="000B1C06">
        <w:trPr>
          <w:trHeight w:val="220"/>
        </w:trPr>
        <w:tc>
          <w:tcPr>
            <w:tcW w:w="2235" w:type="dxa"/>
          </w:tcPr>
          <w:p w:rsidR="009622D4" w:rsidRPr="00F30D16" w:rsidRDefault="009622D4" w:rsidP="000B1C06">
            <w:r w:rsidRPr="00F30D16">
              <w:t xml:space="preserve">Traumatic BEs/Month </w:t>
            </w:r>
          </w:p>
        </w:tc>
        <w:tc>
          <w:tcPr>
            <w:tcW w:w="1559" w:type="dxa"/>
          </w:tcPr>
          <w:p w:rsidR="009622D4" w:rsidRPr="00F30D16" w:rsidRDefault="009622D4" w:rsidP="000B1C06">
            <w:r w:rsidRPr="00F30D16">
              <w:t>0.082 (range: 0, 0.68)</w:t>
            </w:r>
          </w:p>
        </w:tc>
        <w:tc>
          <w:tcPr>
            <w:tcW w:w="1843" w:type="dxa"/>
          </w:tcPr>
          <w:p w:rsidR="009622D4" w:rsidRPr="00F30D16" w:rsidRDefault="009622D4" w:rsidP="000B1C06">
            <w:r w:rsidRPr="00F30D16">
              <w:t>0.192 (range: 0, 1.53)</w:t>
            </w:r>
          </w:p>
        </w:tc>
        <w:tc>
          <w:tcPr>
            <w:tcW w:w="1559" w:type="dxa"/>
          </w:tcPr>
          <w:p w:rsidR="009622D4" w:rsidRPr="00F30D16" w:rsidRDefault="009622D4" w:rsidP="000B1C06">
            <w:r w:rsidRPr="00F30D16">
              <w:t xml:space="preserve">0.093 (range:0, 0.48) </w:t>
            </w:r>
          </w:p>
        </w:tc>
        <w:tc>
          <w:tcPr>
            <w:tcW w:w="1559" w:type="dxa"/>
          </w:tcPr>
          <w:p w:rsidR="009622D4" w:rsidRPr="00F30D16" w:rsidRDefault="009622D4" w:rsidP="000B1C06">
            <w:r>
              <w:t>Not Available **</w:t>
            </w:r>
          </w:p>
        </w:tc>
      </w:tr>
      <w:tr w:rsidR="009622D4" w:rsidTr="000B1C06">
        <w:trPr>
          <w:trHeight w:val="220"/>
        </w:trPr>
        <w:tc>
          <w:tcPr>
            <w:tcW w:w="2235" w:type="dxa"/>
          </w:tcPr>
          <w:p w:rsidR="009622D4" w:rsidRPr="00F30D16" w:rsidRDefault="009622D4" w:rsidP="000B1C06">
            <w:r w:rsidRPr="00F30D16">
              <w:t xml:space="preserve">All BEs/month </w:t>
            </w:r>
          </w:p>
        </w:tc>
        <w:tc>
          <w:tcPr>
            <w:tcW w:w="1559" w:type="dxa"/>
          </w:tcPr>
          <w:p w:rsidR="009622D4" w:rsidRPr="00F30D16" w:rsidRDefault="009622D4" w:rsidP="000B1C06">
            <w:r w:rsidRPr="00F30D16">
              <w:t>0.188 (range: 0, 1.21)</w:t>
            </w:r>
          </w:p>
        </w:tc>
        <w:tc>
          <w:tcPr>
            <w:tcW w:w="1843" w:type="dxa"/>
          </w:tcPr>
          <w:p w:rsidR="009622D4" w:rsidRPr="00F30D16" w:rsidRDefault="009622D4" w:rsidP="000B1C06">
            <w:r w:rsidRPr="00F30D16">
              <w:t>0.338 (range: 0, 1.70)</w:t>
            </w:r>
          </w:p>
        </w:tc>
        <w:tc>
          <w:tcPr>
            <w:tcW w:w="1559" w:type="dxa"/>
          </w:tcPr>
          <w:p w:rsidR="009622D4" w:rsidRPr="00F30D16" w:rsidRDefault="009622D4" w:rsidP="000B1C06">
            <w:r w:rsidRPr="00F30D16">
              <w:t>0.345 (range:0, 1.76)</w:t>
            </w:r>
          </w:p>
        </w:tc>
        <w:tc>
          <w:tcPr>
            <w:tcW w:w="1559" w:type="dxa"/>
          </w:tcPr>
          <w:p w:rsidR="009622D4" w:rsidRPr="00F30D16" w:rsidRDefault="009622D4" w:rsidP="000B1C06">
            <w:r>
              <w:t>Not Available</w:t>
            </w:r>
            <w:r w:rsidR="00FF5033">
              <w:t xml:space="preserve"> </w:t>
            </w:r>
            <w:r>
              <w:t>**</w:t>
            </w:r>
          </w:p>
        </w:tc>
      </w:tr>
    </w:tbl>
    <w:p w:rsidR="009622D4" w:rsidRPr="009371E4" w:rsidRDefault="009622D4" w:rsidP="000B1C06">
      <w:pPr>
        <w:pStyle w:val="TableDescription"/>
      </w:pPr>
      <w:r w:rsidRPr="009371E4">
        <w:t xml:space="preserve">Notes: </w:t>
      </w:r>
      <w:r>
        <w:t xml:space="preserve">* </w:t>
      </w:r>
      <w:r w:rsidRPr="009371E4">
        <w:t xml:space="preserve">All patients in GENA-04 also </w:t>
      </w:r>
      <w:r>
        <w:t>participated</w:t>
      </w:r>
      <w:r w:rsidRPr="009371E4">
        <w:t xml:space="preserve"> in GENA-09. </w:t>
      </w:r>
      <w:r>
        <w:t xml:space="preserve">** Only 1 traumatic </w:t>
      </w:r>
      <w:proofErr w:type="gramStart"/>
      <w:r>
        <w:t>BE</w:t>
      </w:r>
      <w:proofErr w:type="gramEnd"/>
      <w:r>
        <w:t xml:space="preserve"> occurred in this study. GENA-08, BEs were ass</w:t>
      </w:r>
      <w:r w:rsidRPr="009371E4">
        <w:t>es</w:t>
      </w:r>
      <w:r>
        <w:t>s</w:t>
      </w:r>
      <w:r w:rsidRPr="009371E4">
        <w:t>ed betwe</w:t>
      </w:r>
      <w:r>
        <w:t>e</w:t>
      </w:r>
      <w:r w:rsidRPr="009371E4">
        <w:t>n visit 1 and study comp</w:t>
      </w:r>
      <w:r>
        <w:t>l</w:t>
      </w:r>
      <w:r w:rsidRPr="009371E4">
        <w:t>etion visit.</w:t>
      </w:r>
      <w:r>
        <w:t xml:space="preserve"> </w:t>
      </w:r>
      <w:r w:rsidRPr="009371E4">
        <w:t>GENA-03 and GENA-09, BEs assessed between start and end of prophylactic treatment phase. GENA-04, spontaneous BES between the start and the end of the prophylactic treatment phase (only one trauma</w:t>
      </w:r>
      <w:r w:rsidR="000B1C06">
        <w:t>tic BE occurred in this study).</w:t>
      </w:r>
    </w:p>
    <w:p w:rsidR="00B75A69" w:rsidRDefault="009622D4" w:rsidP="00A96A41">
      <w:r w:rsidRPr="000B5DD3">
        <w:t xml:space="preserve">The mean number of EDs ranged from </w:t>
      </w:r>
      <w:r>
        <w:t xml:space="preserve">approximately </w:t>
      </w:r>
      <w:r w:rsidRPr="000B5DD3">
        <w:t xml:space="preserve">85 to 90 across GENA-08, GENA-03, and GENA-09, while the mean number of EDs for GENA-04 was 219 (see Table </w:t>
      </w:r>
      <w:r w:rsidR="00A96A41">
        <w:t>7</w:t>
      </w:r>
      <w:r w:rsidRPr="000B5DD3">
        <w:t xml:space="preserve"> </w:t>
      </w:r>
      <w:r>
        <w:t>above</w:t>
      </w:r>
      <w:r w:rsidRPr="000B5DD3">
        <w:t xml:space="preserve">). The percentage of patients experiencing BEs while on prophylaxis ranged from 44% to 64%, and was highest in GENA-09 followed by GENA-03. The sponsor comments that the relatively high number of BEs in GENA-09 might be attributed to pre-existing severe joint damage due to inadequate previous treatment of the adult patients in this study, whereas in GENA-03 the relatively high number of BEs might be due to an increased risk of accidents or falls in the paediatric patients in this study. In addition, it is possible that the lower potency of vials used in GENA-09 may have </w:t>
      </w:r>
      <w:r w:rsidR="000B1C06">
        <w:t>contributed to higher BE rates.</w:t>
      </w:r>
    </w:p>
    <w:p w:rsidR="009622D4" w:rsidRPr="000B5DD3" w:rsidRDefault="009622D4" w:rsidP="00A96A41">
      <w:r w:rsidRPr="000B5DD3">
        <w:t xml:space="preserve">The sponsor’s explanations for the findings in GENA-09 and GENA-03 are not unreasonable. Of note, the BE/month rate of the end of the prophylactic treatment phase in GENA-04 was 54% lower compared with the corresponding rate in GENA-09. This suggests that long-term prophylactic treatment with </w:t>
      </w:r>
      <w:proofErr w:type="spellStart"/>
      <w:r w:rsidR="009C1E6B">
        <w:t>simoctocog</w:t>
      </w:r>
      <w:proofErr w:type="spellEnd"/>
      <w:r w:rsidR="009C1E6B">
        <w:t xml:space="preserve"> </w:t>
      </w:r>
      <w:r w:rsidR="00FC63A1">
        <w:t>alfa</w:t>
      </w:r>
      <w:r w:rsidRPr="000B5DD3">
        <w:t xml:space="preserve"> is efficacious in patients with severe haemophilia, including </w:t>
      </w:r>
      <w:r w:rsidR="000B1C06">
        <w:t>those with severe joint damage.</w:t>
      </w:r>
    </w:p>
    <w:p w:rsidR="009622D4" w:rsidRDefault="009622D4" w:rsidP="00A96A41">
      <w:r w:rsidRPr="000B5DD3">
        <w:lastRenderedPageBreak/>
        <w:t xml:space="preserve">The overall efficacy of prophylactic treatment with </w:t>
      </w:r>
      <w:proofErr w:type="spellStart"/>
      <w:r w:rsidR="009C1E6B">
        <w:t>simoctocog</w:t>
      </w:r>
      <w:proofErr w:type="spellEnd"/>
      <w:r w:rsidR="009C1E6B">
        <w:t xml:space="preserve"> </w:t>
      </w:r>
      <w:r w:rsidR="00FC63A1">
        <w:t>alfa</w:t>
      </w:r>
      <w:r w:rsidRPr="000B5DD3">
        <w:t xml:space="preserve"> was based on the objective criteria of the monthly </w:t>
      </w:r>
      <w:r w:rsidR="00B75A69">
        <w:t>bleeding</w:t>
      </w:r>
      <w:r w:rsidRPr="000B5DD3">
        <w:t xml:space="preserve"> rate. The sponsor comments that this is a more stringent criteri</w:t>
      </w:r>
      <w:r w:rsidR="002F0BEA">
        <w:t>on</w:t>
      </w:r>
      <w:r w:rsidRPr="000B5DD3">
        <w:t xml:space="preserve"> than subjective criteria based on an individual investigator's assessment of </w:t>
      </w:r>
      <w:r w:rsidR="00B75A69">
        <w:t>the</w:t>
      </w:r>
      <w:r w:rsidRPr="000B5DD3">
        <w:t xml:space="preserve"> patient. In all four studies, a substantial majority of patients achieved excellent efficacy ratings (</w:t>
      </w:r>
      <w:r w:rsidR="00B75A69">
        <w:t>bleed</w:t>
      </w:r>
      <w:r w:rsidRPr="000B5DD3">
        <w:t xml:space="preserve">&lt; 0.75) for all </w:t>
      </w:r>
      <w:r w:rsidR="00B75A69">
        <w:t>bleeds</w:t>
      </w:r>
      <w:r w:rsidRPr="000B5DD3">
        <w:t xml:space="preserve"> and for spontaneous </w:t>
      </w:r>
      <w:r w:rsidR="00B75A69">
        <w:t>bleeds</w:t>
      </w:r>
      <w:r w:rsidRPr="000B5DD3">
        <w:t xml:space="preserve">. The efficacy ratings for the three clinical studies with data for </w:t>
      </w:r>
      <w:r w:rsidRPr="000B5DD3">
        <w:rPr>
          <w:b/>
        </w:rPr>
        <w:t xml:space="preserve">all </w:t>
      </w:r>
      <w:r w:rsidR="00B75A69" w:rsidRPr="00B75A69">
        <w:rPr>
          <w:b/>
        </w:rPr>
        <w:t>bleeds</w:t>
      </w:r>
      <w:r w:rsidRPr="000B5DD3">
        <w:t xml:space="preserve"> at the end of the study are summarised below in Table </w:t>
      </w:r>
      <w:r w:rsidR="00A96A41">
        <w:t>8</w:t>
      </w:r>
      <w:r w:rsidR="000B1C06">
        <w:t>.</w:t>
      </w:r>
    </w:p>
    <w:p w:rsidR="009622D4" w:rsidRDefault="009622D4" w:rsidP="00A96A41">
      <w:pPr>
        <w:pStyle w:val="TableTitle"/>
      </w:pPr>
      <w:bookmarkStart w:id="89" w:name="_Toc248202558"/>
      <w:proofErr w:type="gramStart"/>
      <w:r>
        <w:t xml:space="preserve">Table </w:t>
      </w:r>
      <w:r w:rsidR="00A96A41">
        <w:t>8</w:t>
      </w:r>
      <w:r>
        <w:t>: Efficacy of prophylactic treatment for A</w:t>
      </w:r>
      <w:r w:rsidR="00B75A69">
        <w:t>ll</w:t>
      </w:r>
      <w:r>
        <w:t xml:space="preserve"> </w:t>
      </w:r>
      <w:r w:rsidR="00B75A69">
        <w:t>Bleeds</w:t>
      </w:r>
      <w:r>
        <w:t>.</w:t>
      </w:r>
      <w:bookmarkEnd w:id="89"/>
      <w:proofErr w:type="gramEnd"/>
    </w:p>
    <w:tbl>
      <w:tblPr>
        <w:tblStyle w:val="TableTGAblue"/>
        <w:tblW w:w="7849" w:type="dxa"/>
        <w:tblLook w:val="04A0" w:firstRow="1" w:lastRow="0" w:firstColumn="1" w:lastColumn="0" w:noHBand="0" w:noVBand="1"/>
      </w:tblPr>
      <w:tblGrid>
        <w:gridCol w:w="2235"/>
        <w:gridCol w:w="1794"/>
        <w:gridCol w:w="1910"/>
        <w:gridCol w:w="1910"/>
      </w:tblGrid>
      <w:tr w:rsidR="009622D4" w:rsidTr="000B1C06">
        <w:trPr>
          <w:cnfStyle w:val="100000000000" w:firstRow="1" w:lastRow="0" w:firstColumn="0" w:lastColumn="0" w:oddVBand="0" w:evenVBand="0" w:oddHBand="0" w:evenHBand="0" w:firstRowFirstColumn="0" w:firstRowLastColumn="0" w:lastRowFirstColumn="0" w:lastRowLastColumn="0"/>
          <w:trHeight w:val="220"/>
        </w:trPr>
        <w:tc>
          <w:tcPr>
            <w:tcW w:w="2235" w:type="dxa"/>
          </w:tcPr>
          <w:p w:rsidR="009622D4" w:rsidRPr="00F30D16" w:rsidRDefault="009622D4" w:rsidP="000B1C06">
            <w:r>
              <w:t>Monthly BE rate</w:t>
            </w:r>
            <w:r w:rsidR="00FF5033">
              <w:t xml:space="preserve"> </w:t>
            </w:r>
          </w:p>
        </w:tc>
        <w:tc>
          <w:tcPr>
            <w:tcW w:w="1794" w:type="dxa"/>
          </w:tcPr>
          <w:p w:rsidR="009622D4" w:rsidRPr="00F30D16" w:rsidRDefault="009622D4" w:rsidP="000B1C06">
            <w:r w:rsidRPr="00F30D16">
              <w:t xml:space="preserve">GENA-08 (n=32) </w:t>
            </w:r>
          </w:p>
        </w:tc>
        <w:tc>
          <w:tcPr>
            <w:tcW w:w="1910" w:type="dxa"/>
          </w:tcPr>
          <w:p w:rsidR="009622D4" w:rsidRPr="00F30D16" w:rsidRDefault="009622D4" w:rsidP="000B1C06">
            <w:r w:rsidRPr="00F30D16">
              <w:t xml:space="preserve">GENA-03 (n=59) </w:t>
            </w:r>
          </w:p>
        </w:tc>
        <w:tc>
          <w:tcPr>
            <w:tcW w:w="1910" w:type="dxa"/>
          </w:tcPr>
          <w:p w:rsidR="009622D4" w:rsidRPr="00F30D16" w:rsidRDefault="009622D4" w:rsidP="000B1C06">
            <w:r w:rsidRPr="00F30D16">
              <w:t>GENA-09 (n=22)</w:t>
            </w:r>
          </w:p>
        </w:tc>
      </w:tr>
      <w:tr w:rsidR="009622D4" w:rsidTr="000B1C06">
        <w:trPr>
          <w:trHeight w:val="220"/>
        </w:trPr>
        <w:tc>
          <w:tcPr>
            <w:tcW w:w="2235" w:type="dxa"/>
          </w:tcPr>
          <w:p w:rsidR="009622D4" w:rsidRPr="00F30D16" w:rsidRDefault="009622D4" w:rsidP="000B1C06">
            <w:r w:rsidRPr="00F30D16">
              <w:t>Excellent (&lt; 0.75)</w:t>
            </w:r>
          </w:p>
        </w:tc>
        <w:tc>
          <w:tcPr>
            <w:tcW w:w="1794" w:type="dxa"/>
          </w:tcPr>
          <w:p w:rsidR="009622D4" w:rsidRPr="00F30D16" w:rsidRDefault="009622D4" w:rsidP="000B1C06">
            <w:r>
              <w:t>29 (90.6%)</w:t>
            </w:r>
          </w:p>
        </w:tc>
        <w:tc>
          <w:tcPr>
            <w:tcW w:w="1910" w:type="dxa"/>
          </w:tcPr>
          <w:p w:rsidR="009622D4" w:rsidRPr="00F30D16" w:rsidRDefault="009622D4" w:rsidP="000B1C06">
            <w:r>
              <w:t>49 (83.1%)</w:t>
            </w:r>
          </w:p>
        </w:tc>
        <w:tc>
          <w:tcPr>
            <w:tcW w:w="1910" w:type="dxa"/>
          </w:tcPr>
          <w:p w:rsidR="009622D4" w:rsidRPr="00F30D16" w:rsidRDefault="009622D4" w:rsidP="000B1C06">
            <w:r w:rsidRPr="00F30D16">
              <w:t>18 (81.8%)</w:t>
            </w:r>
          </w:p>
        </w:tc>
      </w:tr>
      <w:tr w:rsidR="009622D4" w:rsidTr="000B1C06">
        <w:trPr>
          <w:trHeight w:val="220"/>
        </w:trPr>
        <w:tc>
          <w:tcPr>
            <w:tcW w:w="2235" w:type="dxa"/>
          </w:tcPr>
          <w:p w:rsidR="009622D4" w:rsidRPr="00F30D16" w:rsidRDefault="009622D4" w:rsidP="000B1C06">
            <w:r w:rsidRPr="00F30D16">
              <w:t>Good (0.75 - 1.0)</w:t>
            </w:r>
          </w:p>
        </w:tc>
        <w:tc>
          <w:tcPr>
            <w:tcW w:w="1794" w:type="dxa"/>
          </w:tcPr>
          <w:p w:rsidR="009622D4" w:rsidRPr="00F30D16" w:rsidRDefault="009622D4" w:rsidP="000B1C06">
            <w:r>
              <w:t>2 (6.3%)</w:t>
            </w:r>
          </w:p>
        </w:tc>
        <w:tc>
          <w:tcPr>
            <w:tcW w:w="1910" w:type="dxa"/>
          </w:tcPr>
          <w:p w:rsidR="009622D4" w:rsidRPr="00F30D16" w:rsidRDefault="009622D4" w:rsidP="000B1C06">
            <w:r>
              <w:t>5 (8.5%)</w:t>
            </w:r>
          </w:p>
        </w:tc>
        <w:tc>
          <w:tcPr>
            <w:tcW w:w="1910" w:type="dxa"/>
          </w:tcPr>
          <w:p w:rsidR="009622D4" w:rsidRPr="00F30D16" w:rsidRDefault="009622D4" w:rsidP="000B1C06">
            <w:r>
              <w:t>1 (4.5%)</w:t>
            </w:r>
          </w:p>
        </w:tc>
      </w:tr>
      <w:tr w:rsidR="009622D4" w:rsidTr="000B1C06">
        <w:trPr>
          <w:trHeight w:val="220"/>
        </w:trPr>
        <w:tc>
          <w:tcPr>
            <w:tcW w:w="2235" w:type="dxa"/>
          </w:tcPr>
          <w:p w:rsidR="009622D4" w:rsidRPr="00F30D16" w:rsidRDefault="009622D4" w:rsidP="000B1C06">
            <w:r w:rsidRPr="00F30D16">
              <w:t>Moderate (&gt;1.0 - 1.5)</w:t>
            </w:r>
          </w:p>
        </w:tc>
        <w:tc>
          <w:tcPr>
            <w:tcW w:w="1794" w:type="dxa"/>
          </w:tcPr>
          <w:p w:rsidR="009622D4" w:rsidRPr="00F30D16" w:rsidRDefault="009622D4" w:rsidP="000B1C06">
            <w:r>
              <w:t xml:space="preserve">1 (3.1%) </w:t>
            </w:r>
          </w:p>
        </w:tc>
        <w:tc>
          <w:tcPr>
            <w:tcW w:w="1910" w:type="dxa"/>
          </w:tcPr>
          <w:p w:rsidR="009622D4" w:rsidRPr="00F30D16" w:rsidRDefault="009622D4" w:rsidP="000B1C06">
            <w:r>
              <w:t>3 (5.1%)</w:t>
            </w:r>
          </w:p>
        </w:tc>
        <w:tc>
          <w:tcPr>
            <w:tcW w:w="1910" w:type="dxa"/>
          </w:tcPr>
          <w:p w:rsidR="009622D4" w:rsidRPr="00F30D16" w:rsidRDefault="009622D4" w:rsidP="000B1C06">
            <w:r w:rsidRPr="00F30D16">
              <w:t>2 (9.1%)</w:t>
            </w:r>
          </w:p>
        </w:tc>
      </w:tr>
      <w:tr w:rsidR="009622D4" w:rsidTr="000B1C06">
        <w:trPr>
          <w:trHeight w:val="220"/>
        </w:trPr>
        <w:tc>
          <w:tcPr>
            <w:tcW w:w="2235" w:type="dxa"/>
          </w:tcPr>
          <w:p w:rsidR="009622D4" w:rsidRPr="00F30D16" w:rsidRDefault="009622D4" w:rsidP="000B1C06">
            <w:r w:rsidRPr="00F30D16">
              <w:t>Poor (&gt;1.5)</w:t>
            </w:r>
          </w:p>
        </w:tc>
        <w:tc>
          <w:tcPr>
            <w:tcW w:w="1794" w:type="dxa"/>
          </w:tcPr>
          <w:p w:rsidR="009622D4" w:rsidRPr="00F30D16" w:rsidRDefault="009622D4" w:rsidP="000B1C06">
            <w:r w:rsidRPr="00F30D16">
              <w:t>-</w:t>
            </w:r>
          </w:p>
        </w:tc>
        <w:tc>
          <w:tcPr>
            <w:tcW w:w="1910" w:type="dxa"/>
          </w:tcPr>
          <w:p w:rsidR="009622D4" w:rsidRPr="00F30D16" w:rsidRDefault="009622D4" w:rsidP="000B1C06">
            <w:r>
              <w:t>2 (3.4%)</w:t>
            </w:r>
          </w:p>
        </w:tc>
        <w:tc>
          <w:tcPr>
            <w:tcW w:w="1910" w:type="dxa"/>
          </w:tcPr>
          <w:p w:rsidR="009622D4" w:rsidRPr="00F30D16" w:rsidRDefault="00896197" w:rsidP="000B1C06">
            <w:r>
              <w:t>1 (4.5%)</w:t>
            </w:r>
          </w:p>
        </w:tc>
      </w:tr>
    </w:tbl>
    <w:p w:rsidR="009622D4" w:rsidRDefault="009622D4" w:rsidP="009622D4">
      <w:pPr>
        <w:widowControl w:val="0"/>
        <w:autoSpaceDE w:val="0"/>
        <w:autoSpaceDN w:val="0"/>
        <w:adjustRightInd w:val="0"/>
        <w:rPr>
          <w:sz w:val="21"/>
          <w:szCs w:val="21"/>
        </w:rPr>
      </w:pPr>
      <w:r w:rsidRPr="00E864BD">
        <w:rPr>
          <w:sz w:val="21"/>
          <w:szCs w:val="21"/>
        </w:rPr>
        <w:t xml:space="preserve">The efficacy ratings for the </w:t>
      </w:r>
      <w:r>
        <w:rPr>
          <w:sz w:val="21"/>
          <w:szCs w:val="21"/>
        </w:rPr>
        <w:t xml:space="preserve">four </w:t>
      </w:r>
      <w:r w:rsidRPr="00E864BD">
        <w:rPr>
          <w:sz w:val="21"/>
          <w:szCs w:val="21"/>
        </w:rPr>
        <w:t xml:space="preserve">clinical studies </w:t>
      </w:r>
      <w:r>
        <w:rPr>
          <w:sz w:val="21"/>
          <w:szCs w:val="21"/>
        </w:rPr>
        <w:t xml:space="preserve">for </w:t>
      </w:r>
      <w:r w:rsidRPr="00A96A41">
        <w:rPr>
          <w:i/>
          <w:sz w:val="21"/>
          <w:szCs w:val="21"/>
        </w:rPr>
        <w:t>spontaneous</w:t>
      </w:r>
      <w:r>
        <w:rPr>
          <w:sz w:val="21"/>
          <w:szCs w:val="21"/>
        </w:rPr>
        <w:t xml:space="preserve"> BEs at the end of the study </w:t>
      </w:r>
      <w:r w:rsidRPr="00E864BD">
        <w:rPr>
          <w:sz w:val="21"/>
          <w:szCs w:val="21"/>
        </w:rPr>
        <w:t xml:space="preserve">are summarised below in Table </w:t>
      </w:r>
      <w:r w:rsidR="00A96A41">
        <w:rPr>
          <w:sz w:val="21"/>
          <w:szCs w:val="21"/>
        </w:rPr>
        <w:t>9</w:t>
      </w:r>
      <w:r>
        <w:rPr>
          <w:sz w:val="21"/>
          <w:szCs w:val="21"/>
        </w:rPr>
        <w:t>.</w:t>
      </w:r>
    </w:p>
    <w:p w:rsidR="009622D4" w:rsidRDefault="009622D4" w:rsidP="00A96A41">
      <w:pPr>
        <w:pStyle w:val="TableTitle"/>
      </w:pPr>
      <w:bookmarkStart w:id="90" w:name="_Toc248202559"/>
      <w:r>
        <w:t xml:space="preserve">Table </w:t>
      </w:r>
      <w:r w:rsidR="00A96A41">
        <w:t>9</w:t>
      </w:r>
      <w:r>
        <w:t xml:space="preserve">: Efficacy of prophylactic treatment for </w:t>
      </w:r>
      <w:r w:rsidR="00B75A69">
        <w:t xml:space="preserve">Spontaneous </w:t>
      </w:r>
      <w:r>
        <w:t>B</w:t>
      </w:r>
      <w:r w:rsidR="00B75A69">
        <w:t>leeds</w:t>
      </w:r>
      <w:r>
        <w:t>*.</w:t>
      </w:r>
      <w:bookmarkEnd w:id="90"/>
    </w:p>
    <w:tbl>
      <w:tblPr>
        <w:tblStyle w:val="TableTGAblue"/>
        <w:tblW w:w="8613" w:type="dxa"/>
        <w:tblLook w:val="04A0" w:firstRow="1" w:lastRow="0" w:firstColumn="1" w:lastColumn="0" w:noHBand="0" w:noVBand="1"/>
      </w:tblPr>
      <w:tblGrid>
        <w:gridCol w:w="2220"/>
        <w:gridCol w:w="1453"/>
        <w:gridCol w:w="1693"/>
        <w:gridCol w:w="1554"/>
        <w:gridCol w:w="1693"/>
      </w:tblGrid>
      <w:tr w:rsidR="009622D4" w:rsidTr="00896197">
        <w:trPr>
          <w:cnfStyle w:val="100000000000" w:firstRow="1" w:lastRow="0" w:firstColumn="0" w:lastColumn="0" w:oddVBand="0" w:evenVBand="0" w:oddHBand="0" w:evenHBand="0" w:firstRowFirstColumn="0" w:firstRowLastColumn="0" w:lastRowFirstColumn="0" w:lastRowLastColumn="0"/>
          <w:trHeight w:val="220"/>
        </w:trPr>
        <w:tc>
          <w:tcPr>
            <w:tcW w:w="2235" w:type="dxa"/>
          </w:tcPr>
          <w:p w:rsidR="009622D4" w:rsidRPr="00F30D16" w:rsidRDefault="009622D4" w:rsidP="00896197">
            <w:r>
              <w:t>Monthly BE rate</w:t>
            </w:r>
          </w:p>
        </w:tc>
        <w:tc>
          <w:tcPr>
            <w:tcW w:w="1417" w:type="dxa"/>
          </w:tcPr>
          <w:p w:rsidR="009622D4" w:rsidRPr="00F30D16" w:rsidRDefault="00896197" w:rsidP="00896197">
            <w:r>
              <w:t>GENA-08 (n=32)</w:t>
            </w:r>
          </w:p>
        </w:tc>
        <w:tc>
          <w:tcPr>
            <w:tcW w:w="1701" w:type="dxa"/>
          </w:tcPr>
          <w:p w:rsidR="009622D4" w:rsidRPr="00F30D16" w:rsidRDefault="00896197" w:rsidP="00896197">
            <w:r>
              <w:t>GENA-03 (n=59)</w:t>
            </w:r>
          </w:p>
        </w:tc>
        <w:tc>
          <w:tcPr>
            <w:tcW w:w="1559" w:type="dxa"/>
          </w:tcPr>
          <w:p w:rsidR="009622D4" w:rsidRPr="00F30D16" w:rsidRDefault="009622D4" w:rsidP="00896197">
            <w:r w:rsidRPr="00F30D16">
              <w:t>GENA-09 (n=22)</w:t>
            </w:r>
          </w:p>
        </w:tc>
        <w:tc>
          <w:tcPr>
            <w:tcW w:w="1701" w:type="dxa"/>
          </w:tcPr>
          <w:p w:rsidR="009622D4" w:rsidRPr="00F30D16" w:rsidRDefault="009622D4" w:rsidP="00896197">
            <w:r w:rsidRPr="00F30D16">
              <w:t>GENA-04 (n=18) *</w:t>
            </w:r>
          </w:p>
        </w:tc>
      </w:tr>
      <w:tr w:rsidR="009622D4" w:rsidTr="00896197">
        <w:trPr>
          <w:trHeight w:val="220"/>
        </w:trPr>
        <w:tc>
          <w:tcPr>
            <w:tcW w:w="2235" w:type="dxa"/>
          </w:tcPr>
          <w:p w:rsidR="009622D4" w:rsidRPr="00F30D16" w:rsidRDefault="009622D4" w:rsidP="00896197">
            <w:r w:rsidRPr="00F30D16">
              <w:t>Excellent (&lt; 0.75)</w:t>
            </w:r>
          </w:p>
        </w:tc>
        <w:tc>
          <w:tcPr>
            <w:tcW w:w="1417" w:type="dxa"/>
          </w:tcPr>
          <w:p w:rsidR="009622D4" w:rsidRPr="00F30D16" w:rsidRDefault="009622D4" w:rsidP="00896197">
            <w:r>
              <w:t>32 (100.0%)</w:t>
            </w:r>
          </w:p>
        </w:tc>
        <w:tc>
          <w:tcPr>
            <w:tcW w:w="1701" w:type="dxa"/>
          </w:tcPr>
          <w:p w:rsidR="009622D4" w:rsidRPr="00F30D16" w:rsidRDefault="009622D4" w:rsidP="00896197">
            <w:r>
              <w:t>56 (94.9%)</w:t>
            </w:r>
          </w:p>
        </w:tc>
        <w:tc>
          <w:tcPr>
            <w:tcW w:w="1559" w:type="dxa"/>
          </w:tcPr>
          <w:p w:rsidR="009622D4" w:rsidRPr="00F30D16" w:rsidRDefault="009622D4" w:rsidP="00896197">
            <w:r>
              <w:t>18 (81.8%)</w:t>
            </w:r>
          </w:p>
        </w:tc>
        <w:tc>
          <w:tcPr>
            <w:tcW w:w="1701" w:type="dxa"/>
          </w:tcPr>
          <w:p w:rsidR="009622D4" w:rsidRPr="00F30D16" w:rsidRDefault="009622D4" w:rsidP="00896197">
            <w:r w:rsidRPr="00F30D16">
              <w:t>17 (94.9%)</w:t>
            </w:r>
          </w:p>
        </w:tc>
      </w:tr>
      <w:tr w:rsidR="009622D4" w:rsidTr="00896197">
        <w:trPr>
          <w:trHeight w:val="220"/>
        </w:trPr>
        <w:tc>
          <w:tcPr>
            <w:tcW w:w="2235" w:type="dxa"/>
          </w:tcPr>
          <w:p w:rsidR="009622D4" w:rsidRPr="00F30D16" w:rsidRDefault="009622D4" w:rsidP="00896197">
            <w:r w:rsidRPr="00F30D16">
              <w:t>Good (0.75 - 1.0)</w:t>
            </w:r>
          </w:p>
        </w:tc>
        <w:tc>
          <w:tcPr>
            <w:tcW w:w="1417" w:type="dxa"/>
          </w:tcPr>
          <w:p w:rsidR="009622D4" w:rsidRPr="00F30D16" w:rsidRDefault="009622D4" w:rsidP="00896197">
            <w:r>
              <w:t>-</w:t>
            </w:r>
          </w:p>
        </w:tc>
        <w:tc>
          <w:tcPr>
            <w:tcW w:w="1701" w:type="dxa"/>
          </w:tcPr>
          <w:p w:rsidR="009622D4" w:rsidRPr="00F30D16" w:rsidRDefault="009622D4" w:rsidP="00896197">
            <w:r>
              <w:t>1 (1.7%)</w:t>
            </w:r>
          </w:p>
        </w:tc>
        <w:tc>
          <w:tcPr>
            <w:tcW w:w="1559" w:type="dxa"/>
          </w:tcPr>
          <w:p w:rsidR="009622D4" w:rsidRPr="00F30D16" w:rsidRDefault="009622D4" w:rsidP="00896197">
            <w:r>
              <w:t xml:space="preserve">2 (9.1%) </w:t>
            </w:r>
          </w:p>
        </w:tc>
        <w:tc>
          <w:tcPr>
            <w:tcW w:w="1701" w:type="dxa"/>
          </w:tcPr>
          <w:p w:rsidR="009622D4" w:rsidRPr="00F30D16" w:rsidRDefault="009622D4" w:rsidP="00896197">
            <w:r w:rsidRPr="00F30D16">
              <w:t>1 (5.8%)</w:t>
            </w:r>
          </w:p>
        </w:tc>
      </w:tr>
      <w:tr w:rsidR="009622D4" w:rsidTr="00896197">
        <w:trPr>
          <w:trHeight w:val="220"/>
        </w:trPr>
        <w:tc>
          <w:tcPr>
            <w:tcW w:w="2235" w:type="dxa"/>
          </w:tcPr>
          <w:p w:rsidR="009622D4" w:rsidRPr="00F30D16" w:rsidRDefault="009622D4" w:rsidP="00896197">
            <w:r w:rsidRPr="00F30D16">
              <w:t>Moderate (&gt;1.0 - 1.5)</w:t>
            </w:r>
          </w:p>
        </w:tc>
        <w:tc>
          <w:tcPr>
            <w:tcW w:w="1417" w:type="dxa"/>
          </w:tcPr>
          <w:p w:rsidR="009622D4" w:rsidRPr="00F30D16" w:rsidRDefault="009622D4" w:rsidP="00896197">
            <w:r>
              <w:t>-</w:t>
            </w:r>
          </w:p>
        </w:tc>
        <w:tc>
          <w:tcPr>
            <w:tcW w:w="1701" w:type="dxa"/>
          </w:tcPr>
          <w:p w:rsidR="009622D4" w:rsidRPr="00F30D16" w:rsidRDefault="009622D4" w:rsidP="00896197">
            <w:r>
              <w:t>2 (3.4%)</w:t>
            </w:r>
          </w:p>
        </w:tc>
        <w:tc>
          <w:tcPr>
            <w:tcW w:w="1559" w:type="dxa"/>
          </w:tcPr>
          <w:p w:rsidR="009622D4" w:rsidRPr="00F30D16" w:rsidRDefault="009622D4" w:rsidP="00896197">
            <w:r>
              <w:t xml:space="preserve">2 (9.1%) </w:t>
            </w:r>
          </w:p>
        </w:tc>
        <w:tc>
          <w:tcPr>
            <w:tcW w:w="1701" w:type="dxa"/>
          </w:tcPr>
          <w:p w:rsidR="009622D4" w:rsidRPr="00F30D16" w:rsidRDefault="009622D4" w:rsidP="00896197">
            <w:r w:rsidRPr="00F30D16">
              <w:t>-</w:t>
            </w:r>
          </w:p>
        </w:tc>
      </w:tr>
      <w:tr w:rsidR="009622D4" w:rsidTr="00896197">
        <w:trPr>
          <w:trHeight w:val="220"/>
        </w:trPr>
        <w:tc>
          <w:tcPr>
            <w:tcW w:w="2235" w:type="dxa"/>
          </w:tcPr>
          <w:p w:rsidR="009622D4" w:rsidRPr="00F30D16" w:rsidRDefault="009622D4" w:rsidP="00896197">
            <w:r w:rsidRPr="00F30D16">
              <w:t>Poor (&gt;1.5)</w:t>
            </w:r>
          </w:p>
        </w:tc>
        <w:tc>
          <w:tcPr>
            <w:tcW w:w="1417" w:type="dxa"/>
          </w:tcPr>
          <w:p w:rsidR="009622D4" w:rsidRPr="00F30D16" w:rsidRDefault="009622D4" w:rsidP="00896197">
            <w:r>
              <w:t>-</w:t>
            </w:r>
          </w:p>
        </w:tc>
        <w:tc>
          <w:tcPr>
            <w:tcW w:w="1701" w:type="dxa"/>
          </w:tcPr>
          <w:p w:rsidR="009622D4" w:rsidRPr="00F30D16" w:rsidRDefault="009622D4" w:rsidP="00896197">
            <w:r>
              <w:t>-</w:t>
            </w:r>
          </w:p>
        </w:tc>
        <w:tc>
          <w:tcPr>
            <w:tcW w:w="1559" w:type="dxa"/>
          </w:tcPr>
          <w:p w:rsidR="009622D4" w:rsidRPr="00F30D16" w:rsidRDefault="009622D4" w:rsidP="00896197">
            <w:r>
              <w:t>-</w:t>
            </w:r>
          </w:p>
        </w:tc>
        <w:tc>
          <w:tcPr>
            <w:tcW w:w="1701" w:type="dxa"/>
          </w:tcPr>
          <w:p w:rsidR="009622D4" w:rsidRPr="00F30D16" w:rsidRDefault="009622D4" w:rsidP="00896197">
            <w:r w:rsidRPr="00F30D16">
              <w:t>-</w:t>
            </w:r>
          </w:p>
        </w:tc>
      </w:tr>
    </w:tbl>
    <w:p w:rsidR="009622D4" w:rsidRDefault="009622D4" w:rsidP="00896197">
      <w:pPr>
        <w:pStyle w:val="TableDescription"/>
      </w:pPr>
      <w:r>
        <w:t xml:space="preserve">* </w:t>
      </w:r>
      <w:r w:rsidRPr="009371E4">
        <w:t>All these patient</w:t>
      </w:r>
      <w:r>
        <w:t>s also participated in GENA-09, and data relate to spontaneo</w:t>
      </w:r>
      <w:r w:rsidR="00896197">
        <w:t>us bleeds only for this study).</w:t>
      </w:r>
    </w:p>
    <w:p w:rsidR="00A921F0" w:rsidRPr="00587BCF" w:rsidRDefault="009622D4" w:rsidP="00896197">
      <w:pPr>
        <w:rPr>
          <w:lang w:val="en-US"/>
        </w:rPr>
      </w:pPr>
      <w:r w:rsidRPr="007A25BD">
        <w:t xml:space="preserve">The dose of </w:t>
      </w:r>
      <w:proofErr w:type="spellStart"/>
      <w:r w:rsidR="009C1E6B">
        <w:t>simoctocog</w:t>
      </w:r>
      <w:proofErr w:type="spellEnd"/>
      <w:r w:rsidR="009C1E6B">
        <w:t xml:space="preserve"> alfa</w:t>
      </w:r>
      <w:r w:rsidRPr="007A25BD">
        <w:t xml:space="preserve"> for routine prophylaxis was 30 to 40 IU/kg for both children and adults in the </w:t>
      </w:r>
      <w:r>
        <w:t xml:space="preserve">two </w:t>
      </w:r>
      <w:r w:rsidRPr="007A25BD">
        <w:t>pivotal studies (GENA-08, GENA-03) and was administered every second day in adults and children with the option to administer the product three times a week in children. However, the sponsor is proposing a lower dose for prophylaxis of 20 to 40 IU/kg at intervals of 2 to 3 days for both children and adults (</w:t>
      </w:r>
      <w:r w:rsidRPr="007A25BD">
        <w:rPr>
          <w:i/>
        </w:rPr>
        <w:t>Dosage and Administration,</w:t>
      </w:r>
      <w:r w:rsidRPr="007A25BD">
        <w:t xml:space="preserve"> PI). The sponsor comments that shorter dosage intervals or higher doses may be necessary in some patients, </w:t>
      </w:r>
      <w:r w:rsidR="00FF5033">
        <w:t>‘</w:t>
      </w:r>
      <w:r w:rsidRPr="007A25BD">
        <w:t>especially in younger patients</w:t>
      </w:r>
      <w:r w:rsidR="00FF5033">
        <w:t>’</w:t>
      </w:r>
      <w:r w:rsidRPr="007A25BD">
        <w:t xml:space="preserve">. </w:t>
      </w:r>
      <w:r>
        <w:t xml:space="preserve">In addition, the sponsor advises that FVIII levels should be determined during the course of treatment to guide the dose to be administered and the frequency of repeated infusions. </w:t>
      </w:r>
      <w:r w:rsidRPr="007A25BD">
        <w:t xml:space="preserve">It is unclear why the sponsor is proposing a dose for prophylaxis that differs from that used in the pivotal studies. </w:t>
      </w:r>
      <w:r>
        <w:t xml:space="preserve">The mean dose used in adults for prophylaxis in GENA-08 was 32.8 IU/kg (range: 24.0, 39.3), and the mean dose used in children for prophylaxis in GENA-03 was 38.9 IU/kg (range: 26.0, 56.7). </w:t>
      </w:r>
      <w:r w:rsidRPr="007A25BD">
        <w:t xml:space="preserve">The sponsor will be asked to comment on this matter in response to the questions arising from the first round evaluation of the submission. </w:t>
      </w:r>
      <w:r w:rsidR="00A921F0">
        <w:t xml:space="preserve">The </w:t>
      </w:r>
      <w:proofErr w:type="gramStart"/>
      <w:r w:rsidR="00A921F0">
        <w:lastRenderedPageBreak/>
        <w:t>sponsor’s</w:t>
      </w:r>
      <w:proofErr w:type="gramEnd"/>
      <w:r w:rsidR="00A921F0">
        <w:t xml:space="preserve"> responses to the Clinical questions and the evaluator’s comments on the sponsor’s responses are detailed in the Extract from the CER, Attachment 2.</w:t>
      </w:r>
    </w:p>
    <w:p w:rsidR="009622D4" w:rsidRPr="000B5DD3" w:rsidRDefault="00644F3D" w:rsidP="00644F3D">
      <w:pPr>
        <w:pStyle w:val="Heading5"/>
      </w:pPr>
      <w:r>
        <w:t>On-demand treatment for BEs</w:t>
      </w:r>
    </w:p>
    <w:p w:rsidR="009622D4" w:rsidRPr="000B5DD3" w:rsidRDefault="009622D4" w:rsidP="009622D4">
      <w:r w:rsidRPr="000B5DD3">
        <w:t xml:space="preserve">The efficacy of on-demand treatment with </w:t>
      </w:r>
      <w:proofErr w:type="spellStart"/>
      <w:r w:rsidR="009C1E6B">
        <w:t>simoctocog</w:t>
      </w:r>
      <w:proofErr w:type="spellEnd"/>
      <w:r w:rsidR="009C1E6B">
        <w:t xml:space="preserve"> </w:t>
      </w:r>
      <w:r w:rsidR="00FC63A1">
        <w:t>alfa</w:t>
      </w:r>
      <w:r w:rsidRPr="000B5DD3">
        <w:t xml:space="preserve"> was assessed in the three pivotal studies (GENA-01, GENA-08 and GENA-03) and in the two supportive studies (GENA-09 and GENA-04). A total of 135 patients across the five studies received on-demand treatment of BEs with </w:t>
      </w:r>
      <w:proofErr w:type="spellStart"/>
      <w:r w:rsidR="009C1E6B">
        <w:t>simoctocog</w:t>
      </w:r>
      <w:proofErr w:type="spellEnd"/>
      <w:r w:rsidR="009C1E6B">
        <w:t xml:space="preserve"> </w:t>
      </w:r>
      <w:r w:rsidR="00FC63A1">
        <w:t>alfa</w:t>
      </w:r>
      <w:r w:rsidRPr="000B5DD3">
        <w:t>. The majority of the 135 patients were from the three pivotal studies (</w:t>
      </w:r>
      <w:r w:rsidR="00C30B86">
        <w:t>83.7</w:t>
      </w:r>
      <w:r w:rsidRPr="000B5DD3">
        <w:t>% [n=</w:t>
      </w:r>
      <w:r w:rsidR="00C30B86">
        <w:t>113</w:t>
      </w:r>
      <w:r w:rsidRPr="000B5DD3">
        <w:t>]) with the remainder coming from the two supportive studies (</w:t>
      </w:r>
      <w:r w:rsidR="00C30B86">
        <w:t>16.3</w:t>
      </w:r>
      <w:r w:rsidRPr="000B5DD3">
        <w:t>% [n=</w:t>
      </w:r>
      <w:r w:rsidR="00C30B86">
        <w:t>22</w:t>
      </w:r>
      <w:r w:rsidRPr="000B5DD3">
        <w:t xml:space="preserve">]). The number of BEs across the five studies was 1208, with the majority coming from GENA-01 (81.6% [n=986]), which was specifically designed to assess the on-demand efficacy of </w:t>
      </w:r>
      <w:proofErr w:type="spellStart"/>
      <w:r w:rsidR="009C1E6B">
        <w:t>simoctocog</w:t>
      </w:r>
      <w:proofErr w:type="spellEnd"/>
      <w:r w:rsidR="009C1E6B">
        <w:t xml:space="preserve"> </w:t>
      </w:r>
      <w:r w:rsidR="00FC63A1">
        <w:t>alfa</w:t>
      </w:r>
      <w:r w:rsidRPr="000B5DD3">
        <w:t xml:space="preserve">. However, patients in GENA-01 did not receive </w:t>
      </w:r>
      <w:r>
        <w:t>routine prophylaxis</w:t>
      </w:r>
      <w:r w:rsidRPr="000B5DD3">
        <w:t xml:space="preserve"> </w:t>
      </w:r>
      <w:r>
        <w:t>aimed</w:t>
      </w:r>
      <w:r w:rsidRPr="000B5DD3">
        <w:t xml:space="preserve"> to prevent BEs. The number of infusions and the dose per infusion used to treat BEs across the five studies are summarised below in Table </w:t>
      </w:r>
      <w:r w:rsidR="00644F3D">
        <w:t>10</w:t>
      </w:r>
      <w:r w:rsidR="00896197">
        <w:t>.</w:t>
      </w:r>
    </w:p>
    <w:p w:rsidR="009622D4" w:rsidRPr="00F30D16" w:rsidRDefault="009622D4" w:rsidP="00644F3D">
      <w:pPr>
        <w:pStyle w:val="TableTitle"/>
      </w:pPr>
      <w:bookmarkStart w:id="91" w:name="_Toc248202560"/>
      <w:proofErr w:type="gramStart"/>
      <w:r>
        <w:t xml:space="preserve">Table </w:t>
      </w:r>
      <w:r w:rsidR="00644F3D">
        <w:t>10</w:t>
      </w:r>
      <w:r>
        <w:t xml:space="preserve">: Summary of BEs requiring on-demand treatment with </w:t>
      </w:r>
      <w:proofErr w:type="spellStart"/>
      <w:r w:rsidR="009C1E6B">
        <w:t>simoctocog</w:t>
      </w:r>
      <w:proofErr w:type="spellEnd"/>
      <w:r w:rsidR="009C1E6B">
        <w:t xml:space="preserve"> </w:t>
      </w:r>
      <w:r w:rsidR="00FC63A1">
        <w:t>alfa</w:t>
      </w:r>
      <w:r>
        <w:t>.</w:t>
      </w:r>
      <w:bookmarkEnd w:id="91"/>
      <w:proofErr w:type="gramEnd"/>
    </w:p>
    <w:tbl>
      <w:tblPr>
        <w:tblStyle w:val="TableTGAblue"/>
        <w:tblW w:w="0" w:type="auto"/>
        <w:tblLook w:val="04A0" w:firstRow="1" w:lastRow="0" w:firstColumn="1" w:lastColumn="0" w:noHBand="0" w:noVBand="1"/>
      </w:tblPr>
      <w:tblGrid>
        <w:gridCol w:w="2078"/>
        <w:gridCol w:w="1317"/>
        <w:gridCol w:w="1316"/>
        <w:gridCol w:w="1351"/>
        <w:gridCol w:w="1276"/>
        <w:gridCol w:w="1275"/>
      </w:tblGrid>
      <w:tr w:rsidR="009622D4" w:rsidTr="00B75A69">
        <w:trPr>
          <w:cnfStyle w:val="100000000000" w:firstRow="1" w:lastRow="0" w:firstColumn="0" w:lastColumn="0" w:oddVBand="0" w:evenVBand="0" w:oddHBand="0" w:evenHBand="0" w:firstRowFirstColumn="0" w:firstRowLastColumn="0" w:lastRowFirstColumn="0" w:lastRowLastColumn="0"/>
        </w:trPr>
        <w:tc>
          <w:tcPr>
            <w:tcW w:w="2078" w:type="dxa"/>
          </w:tcPr>
          <w:p w:rsidR="009622D4" w:rsidRPr="00F30D16" w:rsidRDefault="009622D4" w:rsidP="00896197">
            <w:r>
              <w:t>Parameter</w:t>
            </w:r>
            <w:r w:rsidR="00FF5033">
              <w:t xml:space="preserve"> </w:t>
            </w:r>
          </w:p>
        </w:tc>
        <w:tc>
          <w:tcPr>
            <w:tcW w:w="1317" w:type="dxa"/>
          </w:tcPr>
          <w:p w:rsidR="009622D4" w:rsidRPr="00F30D16" w:rsidRDefault="009622D4" w:rsidP="00896197">
            <w:r w:rsidRPr="00F30D16">
              <w:t xml:space="preserve">GENA-01 </w:t>
            </w:r>
            <w:r>
              <w:t>(n=22)</w:t>
            </w:r>
          </w:p>
        </w:tc>
        <w:tc>
          <w:tcPr>
            <w:tcW w:w="1316" w:type="dxa"/>
          </w:tcPr>
          <w:p w:rsidR="009622D4" w:rsidRPr="00F30D16" w:rsidRDefault="009622D4" w:rsidP="00896197">
            <w:r w:rsidRPr="00F30D16">
              <w:t>GENA-08</w:t>
            </w:r>
            <w:r>
              <w:t xml:space="preserve"> (n=32)</w:t>
            </w:r>
          </w:p>
        </w:tc>
        <w:tc>
          <w:tcPr>
            <w:tcW w:w="1351" w:type="dxa"/>
          </w:tcPr>
          <w:p w:rsidR="009622D4" w:rsidRPr="00F30D16" w:rsidRDefault="009622D4" w:rsidP="00896197">
            <w:r w:rsidRPr="00F30D16">
              <w:t>GENA-03</w:t>
            </w:r>
            <w:r>
              <w:t xml:space="preserve"> (n=59) </w:t>
            </w:r>
          </w:p>
        </w:tc>
        <w:tc>
          <w:tcPr>
            <w:tcW w:w="1276" w:type="dxa"/>
          </w:tcPr>
          <w:p w:rsidR="009622D4" w:rsidRPr="00F30D16" w:rsidRDefault="009622D4" w:rsidP="00896197">
            <w:r w:rsidRPr="00F30D16">
              <w:t xml:space="preserve">GENA-09 </w:t>
            </w:r>
            <w:r>
              <w:t xml:space="preserve">(n=22) </w:t>
            </w:r>
          </w:p>
        </w:tc>
        <w:tc>
          <w:tcPr>
            <w:tcW w:w="1275" w:type="dxa"/>
          </w:tcPr>
          <w:p w:rsidR="009622D4" w:rsidRPr="00F30D16" w:rsidRDefault="009622D4" w:rsidP="00896197">
            <w:r w:rsidRPr="00F30D16">
              <w:t>GENA-04</w:t>
            </w:r>
            <w:r>
              <w:t xml:space="preserve"> (n=18)</w:t>
            </w:r>
          </w:p>
        </w:tc>
      </w:tr>
      <w:tr w:rsidR="009622D4" w:rsidTr="00B75A69">
        <w:tc>
          <w:tcPr>
            <w:tcW w:w="2078" w:type="dxa"/>
          </w:tcPr>
          <w:p w:rsidR="009622D4" w:rsidRPr="00F30D16" w:rsidRDefault="009622D4" w:rsidP="00896197">
            <w:r w:rsidRPr="00F30D16">
              <w:t xml:space="preserve">Number of </w:t>
            </w:r>
            <w:r>
              <w:t xml:space="preserve">treated </w:t>
            </w:r>
            <w:r w:rsidRPr="00F30D16">
              <w:t>BEs</w:t>
            </w:r>
            <w:r>
              <w:t xml:space="preserve"> </w:t>
            </w:r>
          </w:p>
        </w:tc>
        <w:tc>
          <w:tcPr>
            <w:tcW w:w="1317" w:type="dxa"/>
          </w:tcPr>
          <w:p w:rsidR="009622D4" w:rsidRPr="00F30D16" w:rsidRDefault="009622D4" w:rsidP="00896197">
            <w:r w:rsidRPr="00F30D16">
              <w:t>986</w:t>
            </w:r>
          </w:p>
        </w:tc>
        <w:tc>
          <w:tcPr>
            <w:tcW w:w="1316" w:type="dxa"/>
          </w:tcPr>
          <w:p w:rsidR="009622D4" w:rsidRPr="00F30D16" w:rsidRDefault="009622D4" w:rsidP="00896197">
            <w:r w:rsidRPr="00F30D16">
              <w:t>30</w:t>
            </w:r>
          </w:p>
        </w:tc>
        <w:tc>
          <w:tcPr>
            <w:tcW w:w="1351" w:type="dxa"/>
          </w:tcPr>
          <w:p w:rsidR="009622D4" w:rsidRPr="00F30D16" w:rsidRDefault="009622D4" w:rsidP="00896197">
            <w:r w:rsidRPr="00F30D16">
              <w:t xml:space="preserve">108 </w:t>
            </w:r>
          </w:p>
        </w:tc>
        <w:tc>
          <w:tcPr>
            <w:tcW w:w="1276" w:type="dxa"/>
          </w:tcPr>
          <w:p w:rsidR="009622D4" w:rsidRPr="00F30D16" w:rsidRDefault="009622D4" w:rsidP="00896197">
            <w:r w:rsidRPr="00F30D16">
              <w:t>47</w:t>
            </w:r>
          </w:p>
        </w:tc>
        <w:tc>
          <w:tcPr>
            <w:tcW w:w="1275" w:type="dxa"/>
          </w:tcPr>
          <w:p w:rsidR="009622D4" w:rsidRPr="00F30D16" w:rsidRDefault="009622D4" w:rsidP="00896197">
            <w:r w:rsidRPr="00F30D16">
              <w:t>37</w:t>
            </w:r>
          </w:p>
        </w:tc>
      </w:tr>
      <w:tr w:rsidR="009622D4" w:rsidTr="00B75A69">
        <w:tc>
          <w:tcPr>
            <w:tcW w:w="2078" w:type="dxa"/>
          </w:tcPr>
          <w:p w:rsidR="009622D4" w:rsidRPr="00F30D16" w:rsidRDefault="009622D4" w:rsidP="00896197">
            <w:r>
              <w:t>Patients with treated BE (n)</w:t>
            </w:r>
          </w:p>
        </w:tc>
        <w:tc>
          <w:tcPr>
            <w:tcW w:w="1317" w:type="dxa"/>
          </w:tcPr>
          <w:p w:rsidR="009622D4" w:rsidRPr="00F30D16" w:rsidRDefault="009622D4" w:rsidP="00896197">
            <w:r>
              <w:t xml:space="preserve">22 </w:t>
            </w:r>
          </w:p>
        </w:tc>
        <w:tc>
          <w:tcPr>
            <w:tcW w:w="1316" w:type="dxa"/>
          </w:tcPr>
          <w:p w:rsidR="009622D4" w:rsidRPr="00F30D16" w:rsidRDefault="009622D4" w:rsidP="00896197">
            <w:r>
              <w:t>15</w:t>
            </w:r>
          </w:p>
        </w:tc>
        <w:tc>
          <w:tcPr>
            <w:tcW w:w="1351" w:type="dxa"/>
          </w:tcPr>
          <w:p w:rsidR="009622D4" w:rsidRPr="00F30D16" w:rsidRDefault="009622D4" w:rsidP="00896197">
            <w:r>
              <w:t xml:space="preserve">32 </w:t>
            </w:r>
          </w:p>
        </w:tc>
        <w:tc>
          <w:tcPr>
            <w:tcW w:w="1276" w:type="dxa"/>
          </w:tcPr>
          <w:p w:rsidR="009622D4" w:rsidRPr="00F30D16" w:rsidRDefault="009622D4" w:rsidP="00896197">
            <w:r>
              <w:t>14</w:t>
            </w:r>
          </w:p>
        </w:tc>
        <w:tc>
          <w:tcPr>
            <w:tcW w:w="1275" w:type="dxa"/>
          </w:tcPr>
          <w:p w:rsidR="009622D4" w:rsidRPr="00F30D16" w:rsidRDefault="009622D4" w:rsidP="00896197">
            <w:r>
              <w:t xml:space="preserve">8 </w:t>
            </w:r>
          </w:p>
        </w:tc>
      </w:tr>
      <w:tr w:rsidR="009622D4" w:rsidTr="00B75A69">
        <w:tc>
          <w:tcPr>
            <w:tcW w:w="2078" w:type="dxa"/>
          </w:tcPr>
          <w:p w:rsidR="009622D4" w:rsidRPr="00F30D16" w:rsidRDefault="009622D4" w:rsidP="00896197">
            <w:r w:rsidRPr="00F30D16">
              <w:t xml:space="preserve">Number of infusions </w:t>
            </w:r>
            <w:r>
              <w:t>(median)</w:t>
            </w:r>
          </w:p>
        </w:tc>
        <w:tc>
          <w:tcPr>
            <w:tcW w:w="1317" w:type="dxa"/>
          </w:tcPr>
          <w:p w:rsidR="009622D4" w:rsidRPr="00F30D16" w:rsidRDefault="009622D4" w:rsidP="00896197">
            <w:r w:rsidRPr="00F30D16">
              <w:t>1.0 (range: 1, 13)</w:t>
            </w:r>
          </w:p>
        </w:tc>
        <w:tc>
          <w:tcPr>
            <w:tcW w:w="1316" w:type="dxa"/>
          </w:tcPr>
          <w:p w:rsidR="009622D4" w:rsidRPr="00F30D16" w:rsidRDefault="009622D4" w:rsidP="00896197">
            <w:r w:rsidRPr="00F30D16">
              <w:t>1.0 (range: 1, 12)</w:t>
            </w:r>
          </w:p>
        </w:tc>
        <w:tc>
          <w:tcPr>
            <w:tcW w:w="1351" w:type="dxa"/>
          </w:tcPr>
          <w:p w:rsidR="009622D4" w:rsidRPr="00F30D16" w:rsidRDefault="009622D4" w:rsidP="00896197">
            <w:r w:rsidRPr="00F30D16">
              <w:t>1.0 (range: 1, 22)</w:t>
            </w:r>
          </w:p>
        </w:tc>
        <w:tc>
          <w:tcPr>
            <w:tcW w:w="1276" w:type="dxa"/>
          </w:tcPr>
          <w:p w:rsidR="009622D4" w:rsidRPr="00F30D16" w:rsidRDefault="009622D4" w:rsidP="00896197">
            <w:r w:rsidRPr="00F30D16">
              <w:t>1.5 (range: 1, 6)</w:t>
            </w:r>
          </w:p>
        </w:tc>
        <w:tc>
          <w:tcPr>
            <w:tcW w:w="1275" w:type="dxa"/>
          </w:tcPr>
          <w:p w:rsidR="009622D4" w:rsidRPr="00F30D16" w:rsidRDefault="009622D4" w:rsidP="00896197">
            <w:r w:rsidRPr="00F30D16">
              <w:t>1.0 (range: 1, 12)</w:t>
            </w:r>
          </w:p>
        </w:tc>
      </w:tr>
      <w:tr w:rsidR="009622D4" w:rsidTr="00B75A69">
        <w:tc>
          <w:tcPr>
            <w:tcW w:w="2078" w:type="dxa"/>
          </w:tcPr>
          <w:p w:rsidR="009622D4" w:rsidRDefault="009622D4" w:rsidP="00896197">
            <w:r>
              <w:t>Mean d</w:t>
            </w:r>
            <w:r w:rsidRPr="00F30D16">
              <w:t>ose per infusion (IU/kg)</w:t>
            </w:r>
          </w:p>
          <w:p w:rsidR="009622D4" w:rsidRPr="00F30D16" w:rsidRDefault="009622D4" w:rsidP="00896197">
            <w:r>
              <w:t>Dose range /infusion</w:t>
            </w:r>
            <w:r w:rsidR="00FF5033">
              <w:t xml:space="preserve"> </w:t>
            </w:r>
            <w:r>
              <w:t>(IU/kg)</w:t>
            </w:r>
          </w:p>
        </w:tc>
        <w:tc>
          <w:tcPr>
            <w:tcW w:w="1317" w:type="dxa"/>
          </w:tcPr>
          <w:p w:rsidR="009622D4" w:rsidRDefault="009622D4" w:rsidP="00896197">
            <w:r w:rsidRPr="00F30D16">
              <w:t xml:space="preserve">32.3 ± 10.6 </w:t>
            </w:r>
          </w:p>
          <w:p w:rsidR="009622D4" w:rsidRPr="00F30D16" w:rsidRDefault="009622D4" w:rsidP="00896197">
            <w:r>
              <w:t>(7, 61)</w:t>
            </w:r>
          </w:p>
        </w:tc>
        <w:tc>
          <w:tcPr>
            <w:tcW w:w="1316" w:type="dxa"/>
          </w:tcPr>
          <w:p w:rsidR="009622D4" w:rsidRDefault="009622D4" w:rsidP="00896197">
            <w:r w:rsidRPr="00F30D16">
              <w:t>33.3 ± 6.7</w:t>
            </w:r>
          </w:p>
          <w:p w:rsidR="009622D4" w:rsidRPr="00F30D16" w:rsidRDefault="009622D4" w:rsidP="00896197">
            <w:r>
              <w:t>(20, 53)</w:t>
            </w:r>
          </w:p>
        </w:tc>
        <w:tc>
          <w:tcPr>
            <w:tcW w:w="1351" w:type="dxa"/>
          </w:tcPr>
          <w:p w:rsidR="009622D4" w:rsidRDefault="009622D4" w:rsidP="00896197">
            <w:r w:rsidRPr="00F30D16">
              <w:t xml:space="preserve">45.1 ± 12.6 </w:t>
            </w:r>
          </w:p>
          <w:p w:rsidR="009622D4" w:rsidRPr="00F30D16" w:rsidRDefault="009622D4" w:rsidP="00896197">
            <w:r>
              <w:t>(25, 88)</w:t>
            </w:r>
          </w:p>
        </w:tc>
        <w:tc>
          <w:tcPr>
            <w:tcW w:w="1276" w:type="dxa"/>
          </w:tcPr>
          <w:p w:rsidR="009622D4" w:rsidRDefault="009622D4" w:rsidP="00896197">
            <w:r w:rsidRPr="00F30D16">
              <w:t xml:space="preserve">32.6 ± 5.9 </w:t>
            </w:r>
          </w:p>
          <w:p w:rsidR="009622D4" w:rsidRPr="00F30D16" w:rsidRDefault="009622D4" w:rsidP="00896197">
            <w:r>
              <w:t>(8, 50)</w:t>
            </w:r>
          </w:p>
        </w:tc>
        <w:tc>
          <w:tcPr>
            <w:tcW w:w="1275" w:type="dxa"/>
          </w:tcPr>
          <w:p w:rsidR="009622D4" w:rsidRDefault="009622D4" w:rsidP="00896197">
            <w:r w:rsidRPr="00F30D16">
              <w:t xml:space="preserve">34.6 ± 5.4 </w:t>
            </w:r>
          </w:p>
          <w:p w:rsidR="009622D4" w:rsidRPr="00F30D16" w:rsidRDefault="009622D4" w:rsidP="00896197">
            <w:r>
              <w:t>(24, 44)</w:t>
            </w:r>
          </w:p>
        </w:tc>
      </w:tr>
    </w:tbl>
    <w:p w:rsidR="009622D4" w:rsidRPr="00F30D16" w:rsidRDefault="009622D4" w:rsidP="00896197">
      <w:pPr>
        <w:pStyle w:val="TableDescription"/>
      </w:pPr>
      <w:r w:rsidRPr="00F30D16">
        <w:t>Note: Number of infusions = median (range);</w:t>
      </w:r>
      <w:r>
        <w:t xml:space="preserve"> Dose per infusion = mean ± SD; n = number of patients in the study and all patients in GENA-04 had been pr</w:t>
      </w:r>
      <w:r w:rsidR="00896197">
        <w:t>eviously in GENA-09.</w:t>
      </w:r>
    </w:p>
    <w:p w:rsidR="009622D4" w:rsidRPr="00F30D16" w:rsidRDefault="009622D4" w:rsidP="009622D4">
      <w:r w:rsidRPr="00F30D16">
        <w:t xml:space="preserve">The mean dose per infusion was comparable across the four adult studies but the </w:t>
      </w:r>
      <w:r>
        <w:t xml:space="preserve">median </w:t>
      </w:r>
      <w:r w:rsidRPr="00F30D16">
        <w:t xml:space="preserve">number of infusions in GENA-09 was 50% higher than in the three other studies. The mean dose per infusion in the paediatric study (GENA-03) was 30% to 40% </w:t>
      </w:r>
      <w:r>
        <w:t>higher</w:t>
      </w:r>
      <w:r w:rsidRPr="00F30D16">
        <w:t xml:space="preserve"> than the mean dose per infusion across the four adult studies. Furthermore, the IVR (CHR assay) was approximately 24% lower in children than in adults based on the results </w:t>
      </w:r>
      <w:r>
        <w:t xml:space="preserve">from </w:t>
      </w:r>
      <w:r w:rsidRPr="00F30D16">
        <w:t xml:space="preserve">the paediatric study GENA-03 and </w:t>
      </w:r>
      <w:r>
        <w:t>the adult study GENA-01 (</w:t>
      </w:r>
      <w:r w:rsidR="00644F3D">
        <w:t>that is,</w:t>
      </w:r>
      <w:r>
        <w:t xml:space="preserve"> </w:t>
      </w:r>
      <w:r w:rsidRPr="00F30D16">
        <w:t>IVR = 1.9% v</w:t>
      </w:r>
      <w:r w:rsidR="00644F3D">
        <w:t>ersu</w:t>
      </w:r>
      <w:r w:rsidRPr="00F30D16">
        <w:t>s 2.5% per IU/kg</w:t>
      </w:r>
      <w:r>
        <w:t>, respectively</w:t>
      </w:r>
      <w:r w:rsidRPr="00F30D16">
        <w:t xml:space="preserve">). Therefore, the higher dose per infusion used to treat breakthrough BEs in children aged </w:t>
      </w:r>
      <w:r>
        <w:t>2</w:t>
      </w:r>
      <w:r w:rsidRPr="00F30D16">
        <w:t xml:space="preserve"> to 12 years compared with adults might be due to lower </w:t>
      </w:r>
      <w:r>
        <w:t xml:space="preserve">FVIII recovery following </w:t>
      </w:r>
      <w:proofErr w:type="spellStart"/>
      <w:r w:rsidR="009C1E6B">
        <w:t>simoctocog</w:t>
      </w:r>
      <w:proofErr w:type="spellEnd"/>
      <w:r w:rsidR="009C1E6B">
        <w:t xml:space="preserve"> </w:t>
      </w:r>
      <w:r w:rsidR="00FC63A1">
        <w:t>alfa</w:t>
      </w:r>
      <w:r>
        <w:t xml:space="preserve"> </w:t>
      </w:r>
      <w:r w:rsidRPr="00F30D16">
        <w:t xml:space="preserve">in children than in adults. However, the sponsor comments that exact dosing was complicated in the paediatric study due to </w:t>
      </w:r>
      <w:proofErr w:type="spellStart"/>
      <w:r w:rsidR="009C1E6B">
        <w:t>simoctocog</w:t>
      </w:r>
      <w:proofErr w:type="spellEnd"/>
      <w:r w:rsidR="009C1E6B">
        <w:t xml:space="preserve"> </w:t>
      </w:r>
      <w:r w:rsidR="00FC63A1">
        <w:t>alfa</w:t>
      </w:r>
      <w:r>
        <w:t xml:space="preserve"> for this study being supplied </w:t>
      </w:r>
      <w:r w:rsidRPr="00F30D16">
        <w:t>exclusively in vials containing 500 IU and typically the entire contents of vials were infused</w:t>
      </w:r>
      <w:r>
        <w:t xml:space="preserve"> </w:t>
      </w:r>
      <w:r w:rsidRPr="00F30D16">
        <w:t>for practical reasons. The sponsor states that a hypothetical patient with the mean bod</w:t>
      </w:r>
      <w:r>
        <w:t xml:space="preserve">y weight observed in the study of 27.3 kg </w:t>
      </w:r>
      <w:r w:rsidRPr="00F30D16">
        <w:t>would require a dose of 546 to 819 IU (20 to 30 IU/kg) for minor BEs according to the</w:t>
      </w:r>
      <w:r>
        <w:t xml:space="preserve"> </w:t>
      </w:r>
      <w:r w:rsidRPr="00F30D16">
        <w:t>dosing recommendations, but 1000 IU (</w:t>
      </w:r>
      <w:r w:rsidR="00644F3D">
        <w:t>that is,</w:t>
      </w:r>
      <w:r w:rsidRPr="00F30D16">
        <w:t xml:space="preserve"> 2 vials; 36.6 IU/kg) were probably infused </w:t>
      </w:r>
      <w:r w:rsidRPr="00F30D16">
        <w:lastRenderedPageBreak/>
        <w:t xml:space="preserve">because investigators may have preferred to infuse more rather than less FVIII in these paediatric patients. </w:t>
      </w:r>
      <w:r>
        <w:t>However, no</w:t>
      </w:r>
      <w:r w:rsidRPr="00F30D16">
        <w:t xml:space="preserve"> data could be identified in the submission supporting </w:t>
      </w:r>
      <w:r>
        <w:t>the</w:t>
      </w:r>
      <w:r w:rsidRPr="00F30D16">
        <w:t xml:space="preserve"> </w:t>
      </w:r>
      <w:r>
        <w:t xml:space="preserve">suggestion </w:t>
      </w:r>
      <w:r w:rsidRPr="00F30D16">
        <w:t>that investigators in study GENA-03</w:t>
      </w:r>
      <w:r>
        <w:t xml:space="preserve"> </w:t>
      </w:r>
      <w:r w:rsidRPr="00F30D16">
        <w:t>administer</w:t>
      </w:r>
      <w:r>
        <w:t>ed</w:t>
      </w:r>
      <w:r w:rsidRPr="00F30D16">
        <w:t xml:space="preserve"> </w:t>
      </w:r>
      <w:r>
        <w:t xml:space="preserve">more than </w:t>
      </w:r>
      <w:r w:rsidRPr="00F30D16">
        <w:t>the recommended doses to children</w:t>
      </w:r>
      <w:r>
        <w:t xml:space="preserve"> in the circumst</w:t>
      </w:r>
      <w:r w:rsidR="00896197">
        <w:t>ances described by the sponsor.</w:t>
      </w:r>
    </w:p>
    <w:p w:rsidR="009622D4" w:rsidRPr="00E864BD" w:rsidRDefault="009622D4" w:rsidP="009622D4">
      <w:r w:rsidRPr="00F30D16">
        <w:t xml:space="preserve">The proportion of </w:t>
      </w:r>
      <w:r w:rsidR="00B75A69">
        <w:t>bleeds</w:t>
      </w:r>
      <w:r w:rsidRPr="00F30D16">
        <w:t xml:space="preserve"> requiring only 1 or 2 infusions was 96.8% in GENA-01, 88.9% in GENA-08 and 81.3% in GENA-03. For GENA-09, only data on the number of treatment days per BE were available, and the proportion of BEs requiring only 1 or 2 treatment days was 68.1%. The sponsor comments that </w:t>
      </w:r>
      <w:r>
        <w:t xml:space="preserve">the </w:t>
      </w:r>
      <w:r w:rsidRPr="00F30D16">
        <w:t xml:space="preserve">lower proportion of patients in GENA-09 </w:t>
      </w:r>
      <w:r>
        <w:t>requiring</w:t>
      </w:r>
      <w:r w:rsidRPr="00F30D16">
        <w:t xml:space="preserve"> 1 or 2 infusions compared with GENA-01 and GENA-03, </w:t>
      </w:r>
      <w:r w:rsidR="00FF5033">
        <w:t>‘</w:t>
      </w:r>
      <w:r w:rsidRPr="00644F3D">
        <w:rPr>
          <w:i/>
        </w:rPr>
        <w:t>is very likely to be explained by the severe baseline condition of the patients enrolled in GENA-09 and the high proportion of moderate to major BEs observed in this study</w:t>
      </w:r>
      <w:r w:rsidR="00FF5033">
        <w:t>’</w:t>
      </w:r>
      <w:r w:rsidR="00896197">
        <w:t>.</w:t>
      </w:r>
    </w:p>
    <w:p w:rsidR="009622D4" w:rsidRDefault="009622D4" w:rsidP="009622D4">
      <w:r w:rsidRPr="00F30D16">
        <w:t xml:space="preserve">The overall efficacy results </w:t>
      </w:r>
      <w:r>
        <w:t>for</w:t>
      </w:r>
      <w:r w:rsidRPr="00F30D16">
        <w:t xml:space="preserve"> treatment of breakthrough BEs for any, minor and moderate to </w:t>
      </w:r>
      <w:proofErr w:type="gramStart"/>
      <w:r w:rsidRPr="00F30D16">
        <w:t>major</w:t>
      </w:r>
      <w:proofErr w:type="gramEnd"/>
      <w:r w:rsidRPr="00F30D16">
        <w:t xml:space="preserve"> BEs for the five studies are summarised below in Table </w:t>
      </w:r>
      <w:r w:rsidR="00644F3D">
        <w:t>11</w:t>
      </w:r>
      <w:r w:rsidRPr="00F30D16">
        <w:t xml:space="preserve">. </w:t>
      </w:r>
      <w:r>
        <w:t xml:space="preserve">The table does not include data for major to life-threatening BEs, as the 5 studies included only 3 BEs in this category. The 3 </w:t>
      </w:r>
      <w:r w:rsidRPr="00F801A7">
        <w:t xml:space="preserve">major to life-threatening BEs all occurred in GENA-01 and treatments were rated as </w:t>
      </w:r>
      <w:r w:rsidR="00F40234" w:rsidRPr="00F801A7">
        <w:t xml:space="preserve">good </w:t>
      </w:r>
      <w:r w:rsidRPr="00F801A7">
        <w:t xml:space="preserve">for 2 of these bleeds and </w:t>
      </w:r>
      <w:r w:rsidR="00F40234" w:rsidRPr="00F801A7">
        <w:t>moderate</w:t>
      </w:r>
      <w:r w:rsidRPr="00F801A7">
        <w:t xml:space="preserve"> for 1 of the bleeds. Overall, the highest efficacy was observed in GENA-08, with 100% of available efficacy assessments for the total number of BEs being excellent or good. The</w:t>
      </w:r>
      <w:r w:rsidRPr="00F30D16">
        <w:t xml:space="preserve"> lowest overall prop</w:t>
      </w:r>
      <w:r>
        <w:t xml:space="preserve">ortion of successful treatments </w:t>
      </w:r>
      <w:r w:rsidRPr="00F30D16">
        <w:t>was seen in GENA-09 with 61.7%</w:t>
      </w:r>
      <w:r>
        <w:t xml:space="preserve"> of the total number of </w:t>
      </w:r>
      <w:r w:rsidR="00F40234">
        <w:t>bleeds</w:t>
      </w:r>
      <w:r>
        <w:t xml:space="preserve"> with available efficacy assessments being rated as excellent or good</w:t>
      </w:r>
      <w:r w:rsidRPr="00F30D16">
        <w:t xml:space="preserve">. Across all studies, efficacy was higher for minor </w:t>
      </w:r>
      <w:r>
        <w:t xml:space="preserve">than for moderate to major </w:t>
      </w:r>
      <w:r w:rsidR="00F40234">
        <w:t xml:space="preserve">bleeds </w:t>
      </w:r>
      <w:r>
        <w:t>and n</w:t>
      </w:r>
      <w:r w:rsidRPr="00F30D16">
        <w:t xml:space="preserve">early all treatments for minor </w:t>
      </w:r>
      <w:r w:rsidR="00F40234">
        <w:t>bleeds</w:t>
      </w:r>
      <w:r w:rsidRPr="00F30D16">
        <w:t xml:space="preserve"> across the five studies were rated as excellent or good. The percentage of children with moderate to major </w:t>
      </w:r>
      <w:r w:rsidR="00F40234">
        <w:t>bleeds</w:t>
      </w:r>
      <w:r w:rsidRPr="00F30D16">
        <w:t xml:space="preserve"> reporting excellent </w:t>
      </w:r>
      <w:r>
        <w:t>or</w:t>
      </w:r>
      <w:r w:rsidRPr="00F30D16">
        <w:t xml:space="preserve"> good efficacy was notably lower than the percentage of adults from GENA-01 and GENA-08 reporting excellent </w:t>
      </w:r>
      <w:r>
        <w:t xml:space="preserve">or </w:t>
      </w:r>
      <w:r w:rsidR="00896197">
        <w:t>good efficacy.</w:t>
      </w:r>
    </w:p>
    <w:p w:rsidR="009622D4" w:rsidRPr="00E277A9" w:rsidRDefault="009622D4" w:rsidP="00644F3D">
      <w:pPr>
        <w:pStyle w:val="TableTitle"/>
      </w:pPr>
      <w:bookmarkStart w:id="92" w:name="_Toc248202561"/>
      <w:r>
        <w:t xml:space="preserve">Table </w:t>
      </w:r>
      <w:r w:rsidR="00644F3D">
        <w:t>11</w:t>
      </w:r>
      <w:r>
        <w:t>: Efficacy assessment for treatment of BEs with available data according to severity of the BE (any, minor, moderate to m</w:t>
      </w:r>
      <w:r w:rsidR="00F40234">
        <w:t>ajor</w:t>
      </w:r>
      <w:r>
        <w:t>).</w:t>
      </w:r>
      <w:bookmarkEnd w:id="92"/>
    </w:p>
    <w:tbl>
      <w:tblPr>
        <w:tblStyle w:val="TableTGAblue"/>
        <w:tblW w:w="8755" w:type="dxa"/>
        <w:tblLayout w:type="fixed"/>
        <w:tblLook w:val="04A0" w:firstRow="1" w:lastRow="0" w:firstColumn="1" w:lastColumn="0" w:noHBand="0" w:noVBand="1"/>
      </w:tblPr>
      <w:tblGrid>
        <w:gridCol w:w="1668"/>
        <w:gridCol w:w="1417"/>
        <w:gridCol w:w="1418"/>
        <w:gridCol w:w="1417"/>
        <w:gridCol w:w="1418"/>
        <w:gridCol w:w="1417"/>
      </w:tblGrid>
      <w:tr w:rsidR="009622D4" w:rsidRPr="00F30D16" w:rsidTr="00644F3D">
        <w:trPr>
          <w:cnfStyle w:val="100000000000" w:firstRow="1" w:lastRow="0" w:firstColumn="0" w:lastColumn="0" w:oddVBand="0" w:evenVBand="0" w:oddHBand="0" w:evenHBand="0" w:firstRowFirstColumn="0" w:firstRowLastColumn="0" w:lastRowFirstColumn="0" w:lastRowLastColumn="0"/>
        </w:trPr>
        <w:tc>
          <w:tcPr>
            <w:tcW w:w="1668" w:type="dxa"/>
          </w:tcPr>
          <w:p w:rsidR="009622D4" w:rsidRPr="00F30D16" w:rsidRDefault="009622D4" w:rsidP="00896197"/>
        </w:tc>
        <w:tc>
          <w:tcPr>
            <w:tcW w:w="1417" w:type="dxa"/>
          </w:tcPr>
          <w:p w:rsidR="009622D4" w:rsidRPr="00F30D16" w:rsidRDefault="009622D4" w:rsidP="00896197">
            <w:r w:rsidRPr="00F30D16">
              <w:t>GENA-01</w:t>
            </w:r>
            <w:r w:rsidR="00FF5033">
              <w:t xml:space="preserve"> </w:t>
            </w:r>
          </w:p>
        </w:tc>
        <w:tc>
          <w:tcPr>
            <w:tcW w:w="1418" w:type="dxa"/>
          </w:tcPr>
          <w:p w:rsidR="009622D4" w:rsidRPr="00F30D16" w:rsidRDefault="009622D4" w:rsidP="00896197">
            <w:r w:rsidRPr="00F30D16">
              <w:t xml:space="preserve">GENA-08 </w:t>
            </w:r>
          </w:p>
        </w:tc>
        <w:tc>
          <w:tcPr>
            <w:tcW w:w="1417" w:type="dxa"/>
          </w:tcPr>
          <w:p w:rsidR="009622D4" w:rsidRPr="00F30D16" w:rsidRDefault="009622D4" w:rsidP="00896197">
            <w:r w:rsidRPr="00F30D16">
              <w:t xml:space="preserve">GENA-03 </w:t>
            </w:r>
          </w:p>
        </w:tc>
        <w:tc>
          <w:tcPr>
            <w:tcW w:w="1418" w:type="dxa"/>
          </w:tcPr>
          <w:p w:rsidR="009622D4" w:rsidRPr="00F30D16" w:rsidRDefault="009622D4" w:rsidP="00896197">
            <w:r w:rsidRPr="00F30D16">
              <w:t xml:space="preserve">GENA-09 </w:t>
            </w:r>
          </w:p>
        </w:tc>
        <w:tc>
          <w:tcPr>
            <w:tcW w:w="1417" w:type="dxa"/>
          </w:tcPr>
          <w:p w:rsidR="009622D4" w:rsidRPr="00F30D16" w:rsidRDefault="009622D4" w:rsidP="00896197">
            <w:r w:rsidRPr="00F30D16">
              <w:t xml:space="preserve">GENA-04 </w:t>
            </w:r>
          </w:p>
        </w:tc>
      </w:tr>
      <w:tr w:rsidR="009622D4" w:rsidRPr="00F30D16" w:rsidTr="00644F3D">
        <w:tc>
          <w:tcPr>
            <w:tcW w:w="1668" w:type="dxa"/>
          </w:tcPr>
          <w:p w:rsidR="009622D4" w:rsidRPr="00F30D16" w:rsidRDefault="009622D4" w:rsidP="00896197">
            <w:r w:rsidRPr="00F30D16">
              <w:t>Any BE</w:t>
            </w:r>
          </w:p>
        </w:tc>
        <w:tc>
          <w:tcPr>
            <w:tcW w:w="1417" w:type="dxa"/>
          </w:tcPr>
          <w:p w:rsidR="009622D4" w:rsidRPr="00F30D16" w:rsidRDefault="009622D4" w:rsidP="00896197">
            <w:r w:rsidRPr="00F30D16">
              <w:t>986</w:t>
            </w:r>
          </w:p>
        </w:tc>
        <w:tc>
          <w:tcPr>
            <w:tcW w:w="1418" w:type="dxa"/>
          </w:tcPr>
          <w:p w:rsidR="009622D4" w:rsidRPr="00F30D16" w:rsidRDefault="009622D4" w:rsidP="00896197">
            <w:r w:rsidRPr="00F30D16">
              <w:t>28</w:t>
            </w:r>
          </w:p>
        </w:tc>
        <w:tc>
          <w:tcPr>
            <w:tcW w:w="1417" w:type="dxa"/>
          </w:tcPr>
          <w:p w:rsidR="009622D4" w:rsidRPr="00F30D16" w:rsidRDefault="009622D4" w:rsidP="00896197">
            <w:r w:rsidRPr="00F30D16">
              <w:t>108</w:t>
            </w:r>
          </w:p>
        </w:tc>
        <w:tc>
          <w:tcPr>
            <w:tcW w:w="1418" w:type="dxa"/>
          </w:tcPr>
          <w:p w:rsidR="009622D4" w:rsidRPr="00F30D16" w:rsidRDefault="009622D4" w:rsidP="00896197">
            <w:r w:rsidRPr="00F30D16">
              <w:t>47</w:t>
            </w:r>
          </w:p>
        </w:tc>
        <w:tc>
          <w:tcPr>
            <w:tcW w:w="1417" w:type="dxa"/>
          </w:tcPr>
          <w:p w:rsidR="009622D4" w:rsidRPr="00F30D16" w:rsidRDefault="009622D4" w:rsidP="00896197">
            <w:r w:rsidRPr="00F30D16">
              <w:t>37</w:t>
            </w:r>
          </w:p>
        </w:tc>
      </w:tr>
      <w:tr w:rsidR="009622D4" w:rsidRPr="00F30D16" w:rsidTr="00644F3D">
        <w:tc>
          <w:tcPr>
            <w:tcW w:w="1668" w:type="dxa"/>
          </w:tcPr>
          <w:p w:rsidR="009622D4" w:rsidRPr="00F30D16" w:rsidRDefault="00FF5033" w:rsidP="00896197">
            <w:r>
              <w:t xml:space="preserve"> </w:t>
            </w:r>
            <w:r w:rsidR="009622D4" w:rsidRPr="00F30D16">
              <w:t xml:space="preserve">Excellent </w:t>
            </w:r>
          </w:p>
        </w:tc>
        <w:tc>
          <w:tcPr>
            <w:tcW w:w="1417" w:type="dxa"/>
          </w:tcPr>
          <w:p w:rsidR="009622D4" w:rsidRPr="00F30D16" w:rsidRDefault="009622D4" w:rsidP="00896197">
            <w:r w:rsidRPr="00F30D16">
              <w:t>60.3%</w:t>
            </w:r>
          </w:p>
        </w:tc>
        <w:tc>
          <w:tcPr>
            <w:tcW w:w="1418" w:type="dxa"/>
          </w:tcPr>
          <w:p w:rsidR="009622D4" w:rsidRPr="00F30D16" w:rsidRDefault="009622D4" w:rsidP="00896197">
            <w:r w:rsidRPr="00F30D16">
              <w:t>71.4%</w:t>
            </w:r>
          </w:p>
        </w:tc>
        <w:tc>
          <w:tcPr>
            <w:tcW w:w="1417" w:type="dxa"/>
          </w:tcPr>
          <w:p w:rsidR="009622D4" w:rsidRPr="00F30D16" w:rsidRDefault="009622D4" w:rsidP="00896197">
            <w:r w:rsidRPr="00F30D16">
              <w:t>71.3%</w:t>
            </w:r>
          </w:p>
        </w:tc>
        <w:tc>
          <w:tcPr>
            <w:tcW w:w="1418" w:type="dxa"/>
          </w:tcPr>
          <w:p w:rsidR="009622D4" w:rsidRPr="00F30D16" w:rsidRDefault="009622D4" w:rsidP="00896197">
            <w:r w:rsidRPr="00F30D16">
              <w:t>29.8%</w:t>
            </w:r>
          </w:p>
        </w:tc>
        <w:tc>
          <w:tcPr>
            <w:tcW w:w="1417" w:type="dxa"/>
          </w:tcPr>
          <w:p w:rsidR="009622D4" w:rsidRPr="00F30D16" w:rsidRDefault="009622D4" w:rsidP="00896197">
            <w:r w:rsidRPr="00F30D16">
              <w:t>37.9%</w:t>
            </w:r>
          </w:p>
        </w:tc>
      </w:tr>
      <w:tr w:rsidR="009622D4" w:rsidRPr="00F30D16" w:rsidTr="00644F3D">
        <w:tc>
          <w:tcPr>
            <w:tcW w:w="1668" w:type="dxa"/>
          </w:tcPr>
          <w:p w:rsidR="009622D4" w:rsidRPr="00F30D16" w:rsidRDefault="00FF5033" w:rsidP="00896197">
            <w:r>
              <w:t xml:space="preserve"> </w:t>
            </w:r>
            <w:r w:rsidR="009622D4" w:rsidRPr="00F30D16">
              <w:t>Good</w:t>
            </w:r>
          </w:p>
          <w:p w:rsidR="009622D4" w:rsidRPr="00F30D16" w:rsidRDefault="00FF5033" w:rsidP="00896197">
            <w:r>
              <w:t xml:space="preserve"> </w:t>
            </w:r>
            <w:r w:rsidR="009622D4" w:rsidRPr="00F30D16">
              <w:t>Moderate</w:t>
            </w:r>
          </w:p>
        </w:tc>
        <w:tc>
          <w:tcPr>
            <w:tcW w:w="1417" w:type="dxa"/>
          </w:tcPr>
          <w:p w:rsidR="009622D4" w:rsidRPr="00F30D16" w:rsidRDefault="009622D4" w:rsidP="00896197">
            <w:r w:rsidRPr="00F30D16">
              <w:t>34.1%</w:t>
            </w:r>
          </w:p>
          <w:p w:rsidR="009622D4" w:rsidRPr="00F30D16" w:rsidRDefault="009622D4" w:rsidP="00896197">
            <w:r w:rsidRPr="00F30D16">
              <w:t>5.5%</w:t>
            </w:r>
          </w:p>
        </w:tc>
        <w:tc>
          <w:tcPr>
            <w:tcW w:w="1418" w:type="dxa"/>
          </w:tcPr>
          <w:p w:rsidR="009622D4" w:rsidRPr="00F30D16" w:rsidRDefault="009622D4" w:rsidP="00896197">
            <w:r w:rsidRPr="00F30D16">
              <w:t>28.6%</w:t>
            </w:r>
          </w:p>
          <w:p w:rsidR="009622D4" w:rsidRPr="00F30D16" w:rsidRDefault="009622D4" w:rsidP="00896197">
            <w:r w:rsidRPr="00F30D16">
              <w:t>-</w:t>
            </w:r>
          </w:p>
        </w:tc>
        <w:tc>
          <w:tcPr>
            <w:tcW w:w="1417" w:type="dxa"/>
          </w:tcPr>
          <w:p w:rsidR="009622D4" w:rsidRPr="00F30D16" w:rsidRDefault="009622D4" w:rsidP="00896197">
            <w:r w:rsidRPr="00F30D16">
              <w:t>11.1%</w:t>
            </w:r>
          </w:p>
          <w:p w:rsidR="009622D4" w:rsidRPr="00F30D16" w:rsidRDefault="009622D4" w:rsidP="00896197">
            <w:r w:rsidRPr="00F30D16">
              <w:t>15.7%</w:t>
            </w:r>
          </w:p>
        </w:tc>
        <w:tc>
          <w:tcPr>
            <w:tcW w:w="1418" w:type="dxa"/>
          </w:tcPr>
          <w:p w:rsidR="009622D4" w:rsidRPr="00F30D16" w:rsidRDefault="009622D4" w:rsidP="00896197">
            <w:r w:rsidRPr="00F30D16">
              <w:t>31.9%</w:t>
            </w:r>
          </w:p>
          <w:p w:rsidR="009622D4" w:rsidRPr="00F30D16" w:rsidRDefault="009622D4" w:rsidP="00896197">
            <w:r w:rsidRPr="00F30D16">
              <w:t>38.3%</w:t>
            </w:r>
          </w:p>
        </w:tc>
        <w:tc>
          <w:tcPr>
            <w:tcW w:w="1417" w:type="dxa"/>
          </w:tcPr>
          <w:p w:rsidR="009622D4" w:rsidRPr="00F30D16" w:rsidRDefault="009622D4" w:rsidP="00896197">
            <w:r w:rsidRPr="00F30D16">
              <w:t>45.9%</w:t>
            </w:r>
          </w:p>
          <w:p w:rsidR="009622D4" w:rsidRPr="00F30D16" w:rsidRDefault="009622D4" w:rsidP="00896197">
            <w:r w:rsidRPr="00F30D16">
              <w:t>8.1%</w:t>
            </w:r>
          </w:p>
        </w:tc>
      </w:tr>
      <w:tr w:rsidR="009622D4" w:rsidRPr="00F30D16" w:rsidTr="00644F3D">
        <w:tc>
          <w:tcPr>
            <w:tcW w:w="1668" w:type="dxa"/>
          </w:tcPr>
          <w:p w:rsidR="009622D4" w:rsidRPr="00F30D16" w:rsidRDefault="00FF5033" w:rsidP="00896197">
            <w:r>
              <w:t xml:space="preserve"> </w:t>
            </w:r>
            <w:r w:rsidR="009622D4" w:rsidRPr="00F30D16">
              <w:t>None</w:t>
            </w:r>
          </w:p>
        </w:tc>
        <w:tc>
          <w:tcPr>
            <w:tcW w:w="1417" w:type="dxa"/>
          </w:tcPr>
          <w:p w:rsidR="009622D4" w:rsidRPr="00F30D16" w:rsidRDefault="009622D4" w:rsidP="00896197">
            <w:r w:rsidRPr="00F30D16">
              <w:t>-</w:t>
            </w:r>
          </w:p>
        </w:tc>
        <w:tc>
          <w:tcPr>
            <w:tcW w:w="1418" w:type="dxa"/>
          </w:tcPr>
          <w:p w:rsidR="009622D4" w:rsidRPr="00F30D16" w:rsidRDefault="009622D4" w:rsidP="00896197">
            <w:r w:rsidRPr="00F30D16">
              <w:t>-</w:t>
            </w:r>
          </w:p>
        </w:tc>
        <w:tc>
          <w:tcPr>
            <w:tcW w:w="1417" w:type="dxa"/>
          </w:tcPr>
          <w:p w:rsidR="009622D4" w:rsidRPr="00F30D16" w:rsidRDefault="009622D4" w:rsidP="00896197">
            <w:r w:rsidRPr="00F30D16">
              <w:t>1.9%</w:t>
            </w:r>
          </w:p>
        </w:tc>
        <w:tc>
          <w:tcPr>
            <w:tcW w:w="1418" w:type="dxa"/>
          </w:tcPr>
          <w:p w:rsidR="009622D4" w:rsidRPr="00F30D16" w:rsidRDefault="009622D4" w:rsidP="00896197">
            <w:r w:rsidRPr="00F30D16">
              <w:t>-</w:t>
            </w:r>
          </w:p>
        </w:tc>
        <w:tc>
          <w:tcPr>
            <w:tcW w:w="1417" w:type="dxa"/>
          </w:tcPr>
          <w:p w:rsidR="009622D4" w:rsidRPr="00F30D16" w:rsidRDefault="009622D4" w:rsidP="00896197"/>
        </w:tc>
      </w:tr>
      <w:tr w:rsidR="009622D4" w:rsidRPr="00F30D16" w:rsidTr="00644F3D">
        <w:tc>
          <w:tcPr>
            <w:tcW w:w="1668" w:type="dxa"/>
          </w:tcPr>
          <w:p w:rsidR="009622D4" w:rsidRPr="00F30D16" w:rsidRDefault="009622D4" w:rsidP="00896197">
            <w:r w:rsidRPr="00F30D16">
              <w:t>Minor BE</w:t>
            </w:r>
          </w:p>
        </w:tc>
        <w:tc>
          <w:tcPr>
            <w:tcW w:w="1417" w:type="dxa"/>
          </w:tcPr>
          <w:p w:rsidR="009622D4" w:rsidRPr="00F30D16" w:rsidRDefault="009622D4" w:rsidP="00896197">
            <w:r w:rsidRPr="00F30D16">
              <w:t>416</w:t>
            </w:r>
          </w:p>
        </w:tc>
        <w:tc>
          <w:tcPr>
            <w:tcW w:w="1418" w:type="dxa"/>
          </w:tcPr>
          <w:p w:rsidR="009622D4" w:rsidRPr="00F30D16" w:rsidRDefault="009622D4" w:rsidP="00896197">
            <w:r w:rsidRPr="00F30D16">
              <w:t>14</w:t>
            </w:r>
          </w:p>
        </w:tc>
        <w:tc>
          <w:tcPr>
            <w:tcW w:w="1417" w:type="dxa"/>
          </w:tcPr>
          <w:p w:rsidR="009622D4" w:rsidRPr="00F30D16" w:rsidRDefault="009622D4" w:rsidP="00896197">
            <w:r w:rsidRPr="00F30D16">
              <w:t>61</w:t>
            </w:r>
          </w:p>
        </w:tc>
        <w:tc>
          <w:tcPr>
            <w:tcW w:w="1418" w:type="dxa"/>
          </w:tcPr>
          <w:p w:rsidR="009622D4" w:rsidRPr="00F30D16" w:rsidRDefault="009622D4" w:rsidP="00896197">
            <w:r w:rsidRPr="00F30D16">
              <w:t>17</w:t>
            </w:r>
          </w:p>
        </w:tc>
        <w:tc>
          <w:tcPr>
            <w:tcW w:w="1417" w:type="dxa"/>
          </w:tcPr>
          <w:p w:rsidR="009622D4" w:rsidRPr="00F30D16" w:rsidRDefault="009622D4" w:rsidP="00896197">
            <w:r w:rsidRPr="00F30D16">
              <w:t>20</w:t>
            </w:r>
          </w:p>
        </w:tc>
      </w:tr>
      <w:tr w:rsidR="009622D4" w:rsidRPr="00F30D16" w:rsidTr="00644F3D">
        <w:tc>
          <w:tcPr>
            <w:tcW w:w="1668" w:type="dxa"/>
          </w:tcPr>
          <w:p w:rsidR="009622D4" w:rsidRPr="00F30D16" w:rsidRDefault="00FF5033" w:rsidP="00896197">
            <w:r>
              <w:t xml:space="preserve"> </w:t>
            </w:r>
            <w:r w:rsidR="009622D4" w:rsidRPr="00F30D16">
              <w:t xml:space="preserve">Excellent </w:t>
            </w:r>
          </w:p>
        </w:tc>
        <w:tc>
          <w:tcPr>
            <w:tcW w:w="1417" w:type="dxa"/>
          </w:tcPr>
          <w:p w:rsidR="009622D4" w:rsidRPr="00F30D16" w:rsidRDefault="009622D4" w:rsidP="00896197">
            <w:r w:rsidRPr="00F30D16">
              <w:t>75.0%</w:t>
            </w:r>
          </w:p>
        </w:tc>
        <w:tc>
          <w:tcPr>
            <w:tcW w:w="1418" w:type="dxa"/>
          </w:tcPr>
          <w:p w:rsidR="009622D4" w:rsidRPr="00F30D16" w:rsidRDefault="009622D4" w:rsidP="00896197">
            <w:r w:rsidRPr="00F30D16">
              <w:t>85.7%</w:t>
            </w:r>
          </w:p>
        </w:tc>
        <w:tc>
          <w:tcPr>
            <w:tcW w:w="1417" w:type="dxa"/>
          </w:tcPr>
          <w:p w:rsidR="009622D4" w:rsidRPr="00F30D16" w:rsidRDefault="009622D4" w:rsidP="00896197">
            <w:r w:rsidRPr="00F30D16">
              <w:t>86.9%</w:t>
            </w:r>
          </w:p>
        </w:tc>
        <w:tc>
          <w:tcPr>
            <w:tcW w:w="1418" w:type="dxa"/>
          </w:tcPr>
          <w:p w:rsidR="009622D4" w:rsidRPr="00F30D16" w:rsidRDefault="009622D4" w:rsidP="00896197">
            <w:r w:rsidRPr="00F30D16">
              <w:t>58.8%</w:t>
            </w:r>
          </w:p>
        </w:tc>
        <w:tc>
          <w:tcPr>
            <w:tcW w:w="1417" w:type="dxa"/>
          </w:tcPr>
          <w:p w:rsidR="009622D4" w:rsidRPr="00F30D16" w:rsidRDefault="009622D4" w:rsidP="00896197">
            <w:r w:rsidRPr="00F30D16">
              <w:t>70.0%</w:t>
            </w:r>
          </w:p>
        </w:tc>
      </w:tr>
      <w:tr w:rsidR="009622D4" w:rsidRPr="00F30D16" w:rsidTr="00644F3D">
        <w:tc>
          <w:tcPr>
            <w:tcW w:w="1668" w:type="dxa"/>
          </w:tcPr>
          <w:p w:rsidR="009622D4" w:rsidRPr="00F30D16" w:rsidRDefault="00FF5033" w:rsidP="00896197">
            <w:r>
              <w:t xml:space="preserve"> </w:t>
            </w:r>
            <w:r w:rsidR="009622D4" w:rsidRPr="00F30D16">
              <w:t>Good</w:t>
            </w:r>
          </w:p>
        </w:tc>
        <w:tc>
          <w:tcPr>
            <w:tcW w:w="1417" w:type="dxa"/>
          </w:tcPr>
          <w:p w:rsidR="009622D4" w:rsidRPr="00F30D16" w:rsidRDefault="009622D4" w:rsidP="00896197">
            <w:r w:rsidRPr="00F30D16">
              <w:t>23.6%</w:t>
            </w:r>
          </w:p>
        </w:tc>
        <w:tc>
          <w:tcPr>
            <w:tcW w:w="1418" w:type="dxa"/>
          </w:tcPr>
          <w:p w:rsidR="009622D4" w:rsidRPr="00F30D16" w:rsidRDefault="009622D4" w:rsidP="00896197">
            <w:r w:rsidRPr="00F30D16">
              <w:t>14.3%</w:t>
            </w:r>
          </w:p>
        </w:tc>
        <w:tc>
          <w:tcPr>
            <w:tcW w:w="1417" w:type="dxa"/>
          </w:tcPr>
          <w:p w:rsidR="009622D4" w:rsidRPr="00F30D16" w:rsidRDefault="009622D4" w:rsidP="00896197">
            <w:r w:rsidRPr="00F30D16">
              <w:t>11.5%</w:t>
            </w:r>
          </w:p>
        </w:tc>
        <w:tc>
          <w:tcPr>
            <w:tcW w:w="1418" w:type="dxa"/>
          </w:tcPr>
          <w:p w:rsidR="009622D4" w:rsidRPr="00F30D16" w:rsidRDefault="009622D4" w:rsidP="00896197">
            <w:r w:rsidRPr="00F30D16">
              <w:t>35.3%</w:t>
            </w:r>
          </w:p>
        </w:tc>
        <w:tc>
          <w:tcPr>
            <w:tcW w:w="1417" w:type="dxa"/>
          </w:tcPr>
          <w:p w:rsidR="009622D4" w:rsidRPr="00F30D16" w:rsidRDefault="009622D4" w:rsidP="00896197">
            <w:r w:rsidRPr="00F30D16">
              <w:t>30.0%</w:t>
            </w:r>
          </w:p>
        </w:tc>
      </w:tr>
      <w:tr w:rsidR="009622D4" w:rsidRPr="00F30D16" w:rsidTr="00644F3D">
        <w:tc>
          <w:tcPr>
            <w:tcW w:w="1668" w:type="dxa"/>
          </w:tcPr>
          <w:p w:rsidR="009622D4" w:rsidRPr="00F30D16" w:rsidRDefault="00FF5033" w:rsidP="00896197">
            <w:r>
              <w:t xml:space="preserve"> </w:t>
            </w:r>
            <w:r w:rsidR="009622D4" w:rsidRPr="00F30D16">
              <w:t>Moderate</w:t>
            </w:r>
          </w:p>
        </w:tc>
        <w:tc>
          <w:tcPr>
            <w:tcW w:w="1417" w:type="dxa"/>
          </w:tcPr>
          <w:p w:rsidR="009622D4" w:rsidRPr="00F30D16" w:rsidRDefault="009622D4" w:rsidP="00896197">
            <w:r w:rsidRPr="00F30D16">
              <w:t>1.4%</w:t>
            </w:r>
          </w:p>
        </w:tc>
        <w:tc>
          <w:tcPr>
            <w:tcW w:w="1418" w:type="dxa"/>
          </w:tcPr>
          <w:p w:rsidR="009622D4" w:rsidRPr="00F30D16" w:rsidRDefault="009622D4" w:rsidP="00896197">
            <w:r w:rsidRPr="00F30D16">
              <w:t>-</w:t>
            </w:r>
          </w:p>
        </w:tc>
        <w:tc>
          <w:tcPr>
            <w:tcW w:w="1417" w:type="dxa"/>
          </w:tcPr>
          <w:p w:rsidR="009622D4" w:rsidRPr="00F30D16" w:rsidRDefault="009622D4" w:rsidP="00896197">
            <w:r w:rsidRPr="00F30D16">
              <w:t>1.6%</w:t>
            </w:r>
          </w:p>
        </w:tc>
        <w:tc>
          <w:tcPr>
            <w:tcW w:w="1418" w:type="dxa"/>
          </w:tcPr>
          <w:p w:rsidR="009622D4" w:rsidRPr="00F30D16" w:rsidRDefault="009622D4" w:rsidP="00896197">
            <w:r w:rsidRPr="00F30D16">
              <w:t>5.9%</w:t>
            </w:r>
          </w:p>
        </w:tc>
        <w:tc>
          <w:tcPr>
            <w:tcW w:w="1417" w:type="dxa"/>
          </w:tcPr>
          <w:p w:rsidR="009622D4" w:rsidRPr="00F30D16" w:rsidRDefault="009622D4" w:rsidP="00896197">
            <w:r w:rsidRPr="00F30D16">
              <w:t>-</w:t>
            </w:r>
          </w:p>
        </w:tc>
      </w:tr>
      <w:tr w:rsidR="009622D4" w:rsidRPr="00F30D16" w:rsidTr="00644F3D">
        <w:tc>
          <w:tcPr>
            <w:tcW w:w="1668" w:type="dxa"/>
          </w:tcPr>
          <w:p w:rsidR="009622D4" w:rsidRPr="00F30D16" w:rsidRDefault="00FF5033" w:rsidP="00896197">
            <w:r>
              <w:t xml:space="preserve"> </w:t>
            </w:r>
            <w:r w:rsidR="009622D4" w:rsidRPr="00F30D16">
              <w:t>None</w:t>
            </w:r>
          </w:p>
        </w:tc>
        <w:tc>
          <w:tcPr>
            <w:tcW w:w="1417" w:type="dxa"/>
          </w:tcPr>
          <w:p w:rsidR="009622D4" w:rsidRPr="00F30D16" w:rsidRDefault="009622D4" w:rsidP="00896197">
            <w:r w:rsidRPr="00F30D16">
              <w:t>-</w:t>
            </w:r>
          </w:p>
        </w:tc>
        <w:tc>
          <w:tcPr>
            <w:tcW w:w="1418" w:type="dxa"/>
          </w:tcPr>
          <w:p w:rsidR="009622D4" w:rsidRPr="00F30D16" w:rsidRDefault="009622D4" w:rsidP="00896197">
            <w:r w:rsidRPr="00F30D16">
              <w:t>-</w:t>
            </w:r>
          </w:p>
        </w:tc>
        <w:tc>
          <w:tcPr>
            <w:tcW w:w="1417" w:type="dxa"/>
          </w:tcPr>
          <w:p w:rsidR="009622D4" w:rsidRPr="00F30D16" w:rsidRDefault="009622D4" w:rsidP="00896197">
            <w:r w:rsidRPr="00F30D16">
              <w:t>-</w:t>
            </w:r>
          </w:p>
        </w:tc>
        <w:tc>
          <w:tcPr>
            <w:tcW w:w="1418" w:type="dxa"/>
          </w:tcPr>
          <w:p w:rsidR="009622D4" w:rsidRPr="00F30D16" w:rsidRDefault="009622D4" w:rsidP="00896197">
            <w:r w:rsidRPr="00F30D16">
              <w:t>-</w:t>
            </w:r>
          </w:p>
        </w:tc>
        <w:tc>
          <w:tcPr>
            <w:tcW w:w="1417" w:type="dxa"/>
          </w:tcPr>
          <w:p w:rsidR="009622D4" w:rsidRPr="00F30D16" w:rsidRDefault="009622D4" w:rsidP="00896197">
            <w:r w:rsidRPr="00F30D16">
              <w:t>-</w:t>
            </w:r>
          </w:p>
        </w:tc>
      </w:tr>
      <w:tr w:rsidR="009622D4" w:rsidRPr="00F30D16" w:rsidTr="00644F3D">
        <w:tc>
          <w:tcPr>
            <w:tcW w:w="1668" w:type="dxa"/>
          </w:tcPr>
          <w:p w:rsidR="009622D4" w:rsidRPr="00F30D16" w:rsidRDefault="009622D4" w:rsidP="00896197">
            <w:r w:rsidRPr="00F30D16">
              <w:t xml:space="preserve">Moderate - </w:t>
            </w:r>
            <w:r>
              <w:t>Major</w:t>
            </w:r>
            <w:r w:rsidRPr="00F30D16">
              <w:t xml:space="preserve"> BE </w:t>
            </w:r>
          </w:p>
        </w:tc>
        <w:tc>
          <w:tcPr>
            <w:tcW w:w="1417" w:type="dxa"/>
          </w:tcPr>
          <w:p w:rsidR="009622D4" w:rsidRPr="00F30D16" w:rsidRDefault="009622D4" w:rsidP="00896197">
            <w:r w:rsidRPr="00F30D16">
              <w:t>566</w:t>
            </w:r>
          </w:p>
        </w:tc>
        <w:tc>
          <w:tcPr>
            <w:tcW w:w="1418" w:type="dxa"/>
          </w:tcPr>
          <w:p w:rsidR="009622D4" w:rsidRPr="00F30D16" w:rsidRDefault="009622D4" w:rsidP="00896197">
            <w:r w:rsidRPr="00F30D16">
              <w:t>14</w:t>
            </w:r>
          </w:p>
        </w:tc>
        <w:tc>
          <w:tcPr>
            <w:tcW w:w="1417" w:type="dxa"/>
          </w:tcPr>
          <w:p w:rsidR="009622D4" w:rsidRPr="00F30D16" w:rsidRDefault="009622D4" w:rsidP="00896197">
            <w:r w:rsidRPr="00F30D16">
              <w:t>46</w:t>
            </w:r>
          </w:p>
        </w:tc>
        <w:tc>
          <w:tcPr>
            <w:tcW w:w="1418" w:type="dxa"/>
          </w:tcPr>
          <w:p w:rsidR="009622D4" w:rsidRPr="00F30D16" w:rsidRDefault="009622D4" w:rsidP="00896197">
            <w:r w:rsidRPr="00F30D16">
              <w:t>30</w:t>
            </w:r>
          </w:p>
        </w:tc>
        <w:tc>
          <w:tcPr>
            <w:tcW w:w="1417" w:type="dxa"/>
          </w:tcPr>
          <w:p w:rsidR="009622D4" w:rsidRPr="00F30D16" w:rsidRDefault="009622D4" w:rsidP="00896197">
            <w:r w:rsidRPr="00F30D16">
              <w:t>17</w:t>
            </w:r>
          </w:p>
        </w:tc>
      </w:tr>
      <w:tr w:rsidR="009622D4" w:rsidRPr="00F30D16" w:rsidTr="00644F3D">
        <w:tc>
          <w:tcPr>
            <w:tcW w:w="1668" w:type="dxa"/>
          </w:tcPr>
          <w:p w:rsidR="009622D4" w:rsidRPr="00F30D16" w:rsidRDefault="00FF5033" w:rsidP="00896197">
            <w:r>
              <w:lastRenderedPageBreak/>
              <w:t xml:space="preserve"> </w:t>
            </w:r>
            <w:r w:rsidR="009622D4" w:rsidRPr="00F30D16">
              <w:t xml:space="preserve">Excellent </w:t>
            </w:r>
          </w:p>
        </w:tc>
        <w:tc>
          <w:tcPr>
            <w:tcW w:w="1417" w:type="dxa"/>
          </w:tcPr>
          <w:p w:rsidR="009622D4" w:rsidRPr="00F30D16" w:rsidRDefault="009622D4" w:rsidP="00896197">
            <w:r w:rsidRPr="00F30D16">
              <w:t>50.0%</w:t>
            </w:r>
          </w:p>
        </w:tc>
        <w:tc>
          <w:tcPr>
            <w:tcW w:w="1418" w:type="dxa"/>
          </w:tcPr>
          <w:p w:rsidR="009622D4" w:rsidRPr="00F30D16" w:rsidRDefault="009622D4" w:rsidP="00896197">
            <w:r w:rsidRPr="00F30D16">
              <w:t>57.1%</w:t>
            </w:r>
          </w:p>
        </w:tc>
        <w:tc>
          <w:tcPr>
            <w:tcW w:w="1417" w:type="dxa"/>
          </w:tcPr>
          <w:p w:rsidR="009622D4" w:rsidRPr="00F30D16" w:rsidRDefault="009622D4" w:rsidP="00896197">
            <w:r w:rsidRPr="00F30D16">
              <w:t>50.0%</w:t>
            </w:r>
          </w:p>
        </w:tc>
        <w:tc>
          <w:tcPr>
            <w:tcW w:w="1418" w:type="dxa"/>
          </w:tcPr>
          <w:p w:rsidR="009622D4" w:rsidRPr="00F30D16" w:rsidRDefault="009622D4" w:rsidP="00896197">
            <w:r w:rsidRPr="00F30D16">
              <w:t>13.3%</w:t>
            </w:r>
          </w:p>
        </w:tc>
        <w:tc>
          <w:tcPr>
            <w:tcW w:w="1417" w:type="dxa"/>
          </w:tcPr>
          <w:p w:rsidR="009622D4" w:rsidRPr="00F30D16" w:rsidRDefault="009622D4" w:rsidP="00896197">
            <w:r w:rsidRPr="00F30D16">
              <w:t>-</w:t>
            </w:r>
          </w:p>
        </w:tc>
      </w:tr>
      <w:tr w:rsidR="009622D4" w:rsidRPr="00F30D16" w:rsidTr="00644F3D">
        <w:tc>
          <w:tcPr>
            <w:tcW w:w="1668" w:type="dxa"/>
          </w:tcPr>
          <w:p w:rsidR="009622D4" w:rsidRPr="00F30D16" w:rsidRDefault="00FF5033" w:rsidP="00896197">
            <w:r>
              <w:t xml:space="preserve"> </w:t>
            </w:r>
            <w:r w:rsidR="009622D4" w:rsidRPr="00F30D16">
              <w:t>Good</w:t>
            </w:r>
          </w:p>
        </w:tc>
        <w:tc>
          <w:tcPr>
            <w:tcW w:w="1417" w:type="dxa"/>
          </w:tcPr>
          <w:p w:rsidR="009622D4" w:rsidRPr="00F30D16" w:rsidRDefault="009622D4" w:rsidP="00896197">
            <w:r w:rsidRPr="00F30D16">
              <w:t>41.7%</w:t>
            </w:r>
          </w:p>
        </w:tc>
        <w:tc>
          <w:tcPr>
            <w:tcW w:w="1418" w:type="dxa"/>
          </w:tcPr>
          <w:p w:rsidR="009622D4" w:rsidRPr="00F30D16" w:rsidRDefault="009622D4" w:rsidP="00896197">
            <w:r w:rsidRPr="00F30D16">
              <w:t>42.9%</w:t>
            </w:r>
          </w:p>
        </w:tc>
        <w:tc>
          <w:tcPr>
            <w:tcW w:w="1417" w:type="dxa"/>
          </w:tcPr>
          <w:p w:rsidR="009622D4" w:rsidRPr="00F30D16" w:rsidRDefault="009622D4" w:rsidP="00896197">
            <w:r w:rsidRPr="00F30D16">
              <w:t>10.9%</w:t>
            </w:r>
          </w:p>
        </w:tc>
        <w:tc>
          <w:tcPr>
            <w:tcW w:w="1418" w:type="dxa"/>
          </w:tcPr>
          <w:p w:rsidR="009622D4" w:rsidRPr="00F30D16" w:rsidRDefault="009622D4" w:rsidP="00896197">
            <w:r w:rsidRPr="00F30D16">
              <w:t>30.0%</w:t>
            </w:r>
          </w:p>
        </w:tc>
        <w:tc>
          <w:tcPr>
            <w:tcW w:w="1417" w:type="dxa"/>
          </w:tcPr>
          <w:p w:rsidR="009622D4" w:rsidRPr="00F30D16" w:rsidRDefault="009622D4" w:rsidP="00896197">
            <w:r w:rsidRPr="00F30D16">
              <w:t>64.7%</w:t>
            </w:r>
          </w:p>
        </w:tc>
      </w:tr>
      <w:tr w:rsidR="009622D4" w:rsidRPr="00F30D16" w:rsidTr="00644F3D">
        <w:tc>
          <w:tcPr>
            <w:tcW w:w="1668" w:type="dxa"/>
          </w:tcPr>
          <w:p w:rsidR="009622D4" w:rsidRPr="00F30D16" w:rsidRDefault="00FF5033" w:rsidP="00896197">
            <w:r>
              <w:t xml:space="preserve"> </w:t>
            </w:r>
            <w:r w:rsidR="009622D4" w:rsidRPr="00F30D16">
              <w:t>Moderate</w:t>
            </w:r>
          </w:p>
        </w:tc>
        <w:tc>
          <w:tcPr>
            <w:tcW w:w="1417" w:type="dxa"/>
          </w:tcPr>
          <w:p w:rsidR="009622D4" w:rsidRPr="00F30D16" w:rsidRDefault="009622D4" w:rsidP="00896197">
            <w:r w:rsidRPr="00F30D16">
              <w:t>8.3%</w:t>
            </w:r>
          </w:p>
        </w:tc>
        <w:tc>
          <w:tcPr>
            <w:tcW w:w="1418" w:type="dxa"/>
          </w:tcPr>
          <w:p w:rsidR="009622D4" w:rsidRPr="00F30D16" w:rsidRDefault="009622D4" w:rsidP="00896197">
            <w:r w:rsidRPr="00F30D16">
              <w:t>-</w:t>
            </w:r>
          </w:p>
        </w:tc>
        <w:tc>
          <w:tcPr>
            <w:tcW w:w="1417" w:type="dxa"/>
          </w:tcPr>
          <w:p w:rsidR="009622D4" w:rsidRPr="00F30D16" w:rsidRDefault="009622D4" w:rsidP="00896197">
            <w:r w:rsidRPr="00F30D16">
              <w:t>34.8%</w:t>
            </w:r>
          </w:p>
        </w:tc>
        <w:tc>
          <w:tcPr>
            <w:tcW w:w="1418" w:type="dxa"/>
          </w:tcPr>
          <w:p w:rsidR="009622D4" w:rsidRPr="00F30D16" w:rsidRDefault="009622D4" w:rsidP="00896197">
            <w:r w:rsidRPr="00F30D16">
              <w:t>56.7%</w:t>
            </w:r>
          </w:p>
        </w:tc>
        <w:tc>
          <w:tcPr>
            <w:tcW w:w="1417" w:type="dxa"/>
          </w:tcPr>
          <w:p w:rsidR="009622D4" w:rsidRPr="00F30D16" w:rsidRDefault="009622D4" w:rsidP="00896197">
            <w:r w:rsidRPr="00F30D16">
              <w:t>17.6%</w:t>
            </w:r>
          </w:p>
        </w:tc>
      </w:tr>
      <w:tr w:rsidR="009622D4" w:rsidRPr="00F30D16" w:rsidTr="00644F3D">
        <w:tc>
          <w:tcPr>
            <w:tcW w:w="1668" w:type="dxa"/>
          </w:tcPr>
          <w:p w:rsidR="009622D4" w:rsidRPr="00F30D16" w:rsidRDefault="00FF5033" w:rsidP="00896197">
            <w:r>
              <w:t xml:space="preserve"> </w:t>
            </w:r>
            <w:r w:rsidR="009622D4" w:rsidRPr="00F30D16">
              <w:t>None</w:t>
            </w:r>
          </w:p>
        </w:tc>
        <w:tc>
          <w:tcPr>
            <w:tcW w:w="1417" w:type="dxa"/>
          </w:tcPr>
          <w:p w:rsidR="009622D4" w:rsidRPr="00F30D16" w:rsidRDefault="009622D4" w:rsidP="00896197">
            <w:r w:rsidRPr="00F30D16">
              <w:t>-</w:t>
            </w:r>
          </w:p>
        </w:tc>
        <w:tc>
          <w:tcPr>
            <w:tcW w:w="1418" w:type="dxa"/>
          </w:tcPr>
          <w:p w:rsidR="009622D4" w:rsidRPr="00F30D16" w:rsidRDefault="009622D4" w:rsidP="00896197">
            <w:r w:rsidRPr="00F30D16">
              <w:t>-</w:t>
            </w:r>
          </w:p>
        </w:tc>
        <w:tc>
          <w:tcPr>
            <w:tcW w:w="1417" w:type="dxa"/>
          </w:tcPr>
          <w:p w:rsidR="009622D4" w:rsidRPr="00F30D16" w:rsidRDefault="009622D4" w:rsidP="00896197">
            <w:r w:rsidRPr="00F30D16">
              <w:t>4.3%</w:t>
            </w:r>
          </w:p>
        </w:tc>
        <w:tc>
          <w:tcPr>
            <w:tcW w:w="1418" w:type="dxa"/>
          </w:tcPr>
          <w:p w:rsidR="009622D4" w:rsidRPr="00F30D16" w:rsidRDefault="009622D4" w:rsidP="00896197"/>
        </w:tc>
        <w:tc>
          <w:tcPr>
            <w:tcW w:w="1417" w:type="dxa"/>
          </w:tcPr>
          <w:p w:rsidR="009622D4" w:rsidRPr="00F30D16" w:rsidRDefault="009622D4" w:rsidP="00896197">
            <w:r w:rsidRPr="00F30D16">
              <w:t>17.6%</w:t>
            </w:r>
          </w:p>
        </w:tc>
      </w:tr>
    </w:tbl>
    <w:p w:rsidR="009622D4" w:rsidRDefault="009622D4" w:rsidP="009622D4">
      <w:r>
        <w:t xml:space="preserve">The on-demand doses for the treatment of </w:t>
      </w:r>
      <w:r w:rsidR="00F40234">
        <w:t>bleeds</w:t>
      </w:r>
      <w:r>
        <w:t xml:space="preserve"> in the three pivotal studies (GENA-01, GENA-08, GENA-03) were higher than the doses being proposed by the sponsor in the </w:t>
      </w:r>
      <w:r w:rsidRPr="007B6454">
        <w:rPr>
          <w:i/>
        </w:rPr>
        <w:t>Dosage and Administration</w:t>
      </w:r>
      <w:r>
        <w:t xml:space="preserve"> section of the PI (see Table </w:t>
      </w:r>
      <w:r w:rsidR="00644F3D">
        <w:t>12</w:t>
      </w:r>
      <w:r>
        <w:t xml:space="preserve"> below). However, the sponsor states that taking into consideration that almost 50% of the </w:t>
      </w:r>
      <w:r w:rsidR="00F40234">
        <w:t>bleeds</w:t>
      </w:r>
      <w:r w:rsidR="00DC4C51">
        <w:t xml:space="preserve"> </w:t>
      </w:r>
      <w:r>
        <w:t xml:space="preserve">were moderate to major and that nearly 50% of the surgeries were major, the average actual doses administered are in line with proposed doses. The mean dose per infusion for the treatment of on-demand </w:t>
      </w:r>
      <w:r w:rsidR="00F40234">
        <w:t>bleeds</w:t>
      </w:r>
      <w:r>
        <w:t xml:space="preserve"> ranged across the three pivotal studies from 32 IU/kg to 45 IU/kg, and the administered doses ranged from 7 to 88 IU/kg. In the 5 studies, the highest mean dose was reported in children (45 IU/kg) and the highest dose across the 5 studies was administered to a child (88 IU/kg).</w:t>
      </w:r>
    </w:p>
    <w:p w:rsidR="009622D4" w:rsidRDefault="009622D4" w:rsidP="00644F3D">
      <w:pPr>
        <w:pStyle w:val="TableTitle"/>
      </w:pPr>
      <w:bookmarkStart w:id="93" w:name="_Toc248202562"/>
      <w:r>
        <w:t xml:space="preserve">Table </w:t>
      </w:r>
      <w:r w:rsidR="00644F3D">
        <w:t>12</w:t>
      </w:r>
      <w:r>
        <w:t>: Proposed dose (based on the PI) for on-demand BEs and the administered dosing recommendations from the five clinical studies.</w:t>
      </w:r>
      <w:bookmarkEnd w:id="93"/>
    </w:p>
    <w:tbl>
      <w:tblPr>
        <w:tblStyle w:val="TableTGAblue"/>
        <w:tblW w:w="0" w:type="auto"/>
        <w:tblLook w:val="04A0" w:firstRow="1" w:lastRow="0" w:firstColumn="1" w:lastColumn="0" w:noHBand="0" w:noVBand="1"/>
      </w:tblPr>
      <w:tblGrid>
        <w:gridCol w:w="1655"/>
        <w:gridCol w:w="2794"/>
        <w:gridCol w:w="1936"/>
        <w:gridCol w:w="2335"/>
      </w:tblGrid>
      <w:tr w:rsidR="009622D4" w:rsidRPr="00C23138" w:rsidTr="00896197">
        <w:trPr>
          <w:cnfStyle w:val="100000000000" w:firstRow="1" w:lastRow="0" w:firstColumn="0" w:lastColumn="0" w:oddVBand="0" w:evenVBand="0" w:oddHBand="0" w:evenHBand="0" w:firstRowFirstColumn="0" w:firstRowLastColumn="0" w:lastRowFirstColumn="0" w:lastRowLastColumn="0"/>
        </w:trPr>
        <w:tc>
          <w:tcPr>
            <w:tcW w:w="1456" w:type="dxa"/>
          </w:tcPr>
          <w:p w:rsidR="009622D4" w:rsidRPr="00C23138" w:rsidRDefault="009622D4" w:rsidP="00896197">
            <w:r w:rsidRPr="00C23138">
              <w:t xml:space="preserve">Severity BE </w:t>
            </w:r>
          </w:p>
        </w:tc>
        <w:tc>
          <w:tcPr>
            <w:tcW w:w="2905" w:type="dxa"/>
          </w:tcPr>
          <w:p w:rsidR="009622D4" w:rsidRPr="00C23138" w:rsidRDefault="009622D4" w:rsidP="00896197">
            <w:r w:rsidRPr="00C23138">
              <w:t xml:space="preserve">Proposed Dose - based on PI </w:t>
            </w:r>
          </w:p>
        </w:tc>
        <w:tc>
          <w:tcPr>
            <w:tcW w:w="1953" w:type="dxa"/>
          </w:tcPr>
          <w:p w:rsidR="009622D4" w:rsidRPr="00C23138" w:rsidRDefault="009622D4" w:rsidP="00896197">
            <w:r w:rsidRPr="00C23138">
              <w:t>GENA-01, -08, -03, -04</w:t>
            </w:r>
          </w:p>
        </w:tc>
        <w:tc>
          <w:tcPr>
            <w:tcW w:w="2406" w:type="dxa"/>
          </w:tcPr>
          <w:p w:rsidR="009622D4" w:rsidRPr="00C23138" w:rsidRDefault="009622D4" w:rsidP="00896197">
            <w:r w:rsidRPr="00C23138">
              <w:t>GENA-09</w:t>
            </w:r>
          </w:p>
        </w:tc>
      </w:tr>
      <w:tr w:rsidR="009622D4" w:rsidRPr="00C23138" w:rsidTr="00896197">
        <w:tc>
          <w:tcPr>
            <w:tcW w:w="1456" w:type="dxa"/>
          </w:tcPr>
          <w:p w:rsidR="009622D4" w:rsidRPr="00C23138" w:rsidRDefault="009622D4" w:rsidP="00896197">
            <w:r w:rsidRPr="00C23138">
              <w:t>Minor</w:t>
            </w:r>
          </w:p>
        </w:tc>
        <w:tc>
          <w:tcPr>
            <w:tcW w:w="2905" w:type="dxa"/>
          </w:tcPr>
          <w:p w:rsidR="009622D4" w:rsidRPr="00C23138" w:rsidRDefault="009622D4" w:rsidP="00896197">
            <w:r>
              <w:rPr>
                <w:color w:val="000000"/>
              </w:rPr>
              <w:t xml:space="preserve">FVIII required levels 20-40%; </w:t>
            </w:r>
            <w:r w:rsidRPr="00C23138">
              <w:rPr>
                <w:color w:val="000000"/>
              </w:rPr>
              <w:t>repeat every 12–24 h. At least 1 day, until the BE, as indicated by pain is resolved or healing is achieved</w:t>
            </w:r>
            <w:r>
              <w:rPr>
                <w:color w:val="000000"/>
              </w:rPr>
              <w:t xml:space="preserve">. </w:t>
            </w:r>
            <w:r w:rsidRPr="00E46089">
              <w:rPr>
                <w:i/>
                <w:color w:val="000000"/>
              </w:rPr>
              <w:t>(Recommended dose is not stated in the PI but would be 10-20 IU/kg based on the required FVIII levels).</w:t>
            </w:r>
            <w:r w:rsidR="00FF5033">
              <w:rPr>
                <w:color w:val="000000"/>
              </w:rPr>
              <w:t xml:space="preserve"> </w:t>
            </w:r>
          </w:p>
        </w:tc>
        <w:tc>
          <w:tcPr>
            <w:tcW w:w="1953" w:type="dxa"/>
          </w:tcPr>
          <w:p w:rsidR="009622D4" w:rsidRPr="00C23138" w:rsidRDefault="009622D4" w:rsidP="00896197">
            <w:r w:rsidRPr="00C23138">
              <w:t>FVIII peak levels 40-60%; dose 20-30 IU/kg every 12-24</w:t>
            </w:r>
            <w:r>
              <w:t xml:space="preserve"> </w:t>
            </w:r>
            <w:r w:rsidRPr="00C23138">
              <w:t>h</w:t>
            </w:r>
            <w:r>
              <w:t>r</w:t>
            </w:r>
            <w:r w:rsidRPr="00C23138">
              <w:t xml:space="preserve"> until BE resolution.</w:t>
            </w:r>
          </w:p>
        </w:tc>
        <w:tc>
          <w:tcPr>
            <w:tcW w:w="2406" w:type="dxa"/>
          </w:tcPr>
          <w:p w:rsidR="009622D4" w:rsidRPr="00C23138" w:rsidRDefault="009622D4" w:rsidP="00896197">
            <w:r w:rsidRPr="00C23138">
              <w:t>FVIII peak levels 40-60%; dose 10-20 IU/kg every 12-24 h</w:t>
            </w:r>
            <w:r>
              <w:t>r</w:t>
            </w:r>
            <w:r w:rsidRPr="00C23138">
              <w:t xml:space="preserve"> until BE resolution.</w:t>
            </w:r>
          </w:p>
        </w:tc>
      </w:tr>
      <w:tr w:rsidR="009622D4" w:rsidRPr="00C23138" w:rsidTr="00896197">
        <w:tc>
          <w:tcPr>
            <w:tcW w:w="1456" w:type="dxa"/>
          </w:tcPr>
          <w:p w:rsidR="009622D4" w:rsidRPr="00C23138" w:rsidRDefault="009622D4" w:rsidP="00896197">
            <w:r w:rsidRPr="00C23138">
              <w:t>Moderate to Major</w:t>
            </w:r>
          </w:p>
        </w:tc>
        <w:tc>
          <w:tcPr>
            <w:tcW w:w="2905" w:type="dxa"/>
          </w:tcPr>
          <w:p w:rsidR="009622D4" w:rsidRPr="00C23138" w:rsidRDefault="009622D4" w:rsidP="00896197">
            <w:pPr>
              <w:rPr>
                <w:color w:val="000000"/>
              </w:rPr>
            </w:pPr>
            <w:r w:rsidRPr="00C23138">
              <w:rPr>
                <w:color w:val="000000"/>
              </w:rPr>
              <w:t>FVIII required levels 30-60%; repeat every 3 to 4 days of more until pain and acute disability are resolved.</w:t>
            </w:r>
            <w:r>
              <w:rPr>
                <w:color w:val="000000"/>
              </w:rPr>
              <w:t xml:space="preserve"> </w:t>
            </w:r>
            <w:r w:rsidRPr="00E46089">
              <w:rPr>
                <w:i/>
                <w:color w:val="000000"/>
              </w:rPr>
              <w:t>(Recommended dose is not stated in the PI but would be 15-30 IU/kg based on the required FVIII levels).</w:t>
            </w:r>
            <w:r w:rsidR="00FF5033">
              <w:rPr>
                <w:color w:val="000000"/>
              </w:rPr>
              <w:t xml:space="preserve"> </w:t>
            </w:r>
          </w:p>
        </w:tc>
        <w:tc>
          <w:tcPr>
            <w:tcW w:w="1953" w:type="dxa"/>
          </w:tcPr>
          <w:p w:rsidR="009622D4" w:rsidRPr="00C23138" w:rsidRDefault="009622D4" w:rsidP="00896197">
            <w:r w:rsidRPr="00C23138">
              <w:t>FVIII peak levels 60-80%; dose 30-40 IU/kg every 12-24 h until BE resolution.</w:t>
            </w:r>
          </w:p>
        </w:tc>
        <w:tc>
          <w:tcPr>
            <w:tcW w:w="2406" w:type="dxa"/>
          </w:tcPr>
          <w:p w:rsidR="009622D4" w:rsidRPr="00C23138" w:rsidRDefault="009622D4" w:rsidP="00896197">
            <w:r w:rsidRPr="00C23138">
              <w:t>FVIII peak levels 40-60%; dose 15-30 IU/kg every 12-24 h</w:t>
            </w:r>
            <w:r>
              <w:t>r</w:t>
            </w:r>
            <w:r w:rsidRPr="00C23138">
              <w:t xml:space="preserve"> until BE resolution.</w:t>
            </w:r>
          </w:p>
        </w:tc>
      </w:tr>
      <w:tr w:rsidR="009622D4" w:rsidRPr="00C23138" w:rsidTr="00896197">
        <w:tc>
          <w:tcPr>
            <w:tcW w:w="1456" w:type="dxa"/>
          </w:tcPr>
          <w:p w:rsidR="009622D4" w:rsidRPr="00C23138" w:rsidRDefault="009622D4" w:rsidP="00896197">
            <w:r w:rsidRPr="00C23138">
              <w:t>Major to life-</w:t>
            </w:r>
            <w:r w:rsidRPr="00C23138">
              <w:lastRenderedPageBreak/>
              <w:t>threatening</w:t>
            </w:r>
          </w:p>
        </w:tc>
        <w:tc>
          <w:tcPr>
            <w:tcW w:w="2905" w:type="dxa"/>
          </w:tcPr>
          <w:p w:rsidR="009622D4" w:rsidRPr="00C23138" w:rsidRDefault="009622D4" w:rsidP="00896197">
            <w:pPr>
              <w:rPr>
                <w:color w:val="000000"/>
              </w:rPr>
            </w:pPr>
            <w:r w:rsidRPr="00C23138">
              <w:rPr>
                <w:color w:val="000000"/>
              </w:rPr>
              <w:lastRenderedPageBreak/>
              <w:t>FVIII required levels 60-100%; dose</w:t>
            </w:r>
            <w:r>
              <w:rPr>
                <w:color w:val="000000"/>
              </w:rPr>
              <w:t xml:space="preserve"> 30-50 </w:t>
            </w:r>
            <w:r>
              <w:rPr>
                <w:color w:val="000000"/>
              </w:rPr>
              <w:lastRenderedPageBreak/>
              <w:t xml:space="preserve">IU/kg, repeat every 8-12 hr until threat is </w:t>
            </w:r>
            <w:r w:rsidRPr="00C23138">
              <w:rPr>
                <w:color w:val="000000"/>
              </w:rPr>
              <w:t>resolved.</w:t>
            </w:r>
            <w:r>
              <w:rPr>
                <w:color w:val="000000"/>
              </w:rPr>
              <w:t xml:space="preserve"> </w:t>
            </w:r>
            <w:r w:rsidRPr="00E46089">
              <w:rPr>
                <w:i/>
                <w:color w:val="000000"/>
              </w:rPr>
              <w:t>(Recommended dose is not stated in the PI but would be 30-50 IU/kg based on the required FVIII levels).</w:t>
            </w:r>
            <w:r w:rsidR="00FF5033">
              <w:rPr>
                <w:color w:val="000000"/>
              </w:rPr>
              <w:t xml:space="preserve"> </w:t>
            </w:r>
          </w:p>
        </w:tc>
        <w:tc>
          <w:tcPr>
            <w:tcW w:w="1953" w:type="dxa"/>
          </w:tcPr>
          <w:p w:rsidR="009622D4" w:rsidRPr="00C23138" w:rsidRDefault="009622D4" w:rsidP="00896197">
            <w:r w:rsidRPr="00C23138">
              <w:lastRenderedPageBreak/>
              <w:t>FVIII peak levels 100-</w:t>
            </w:r>
            <w:r>
              <w:lastRenderedPageBreak/>
              <w:t>120</w:t>
            </w:r>
            <w:r w:rsidRPr="00C23138">
              <w:t xml:space="preserve">%; initial dose 50-60 IU/kg and subsequently 20-25 IU/kg every 8-12 h until BE resolution. </w:t>
            </w:r>
          </w:p>
        </w:tc>
        <w:tc>
          <w:tcPr>
            <w:tcW w:w="2406" w:type="dxa"/>
          </w:tcPr>
          <w:p w:rsidR="009622D4" w:rsidRPr="00C23138" w:rsidRDefault="009622D4" w:rsidP="00896197">
            <w:r>
              <w:lastRenderedPageBreak/>
              <w:t>FVIII peak levels 100-</w:t>
            </w:r>
            <w:r w:rsidRPr="00C23138">
              <w:t xml:space="preserve">120%; initial </w:t>
            </w:r>
            <w:r w:rsidRPr="00C23138">
              <w:lastRenderedPageBreak/>
              <w:t>dose every 8-12 h</w:t>
            </w:r>
            <w:r>
              <w:t>r</w:t>
            </w:r>
            <w:r w:rsidRPr="00C23138">
              <w:t xml:space="preserve"> and subsequently a dose of 20-25 IU/kg until BE resolution. </w:t>
            </w:r>
          </w:p>
        </w:tc>
      </w:tr>
    </w:tbl>
    <w:p w:rsidR="009622D4" w:rsidRDefault="009622D4" w:rsidP="009622D4">
      <w:r>
        <w:lastRenderedPageBreak/>
        <w:t xml:space="preserve">The sponsor states that </w:t>
      </w:r>
      <w:r w:rsidR="00FF5033">
        <w:t>‘</w:t>
      </w:r>
      <w:r>
        <w:t>the amount and frequency of administration should always be orientated the clinical effectiveness in the individual case</w:t>
      </w:r>
      <w:r w:rsidR="00FF5033">
        <w:t>’</w:t>
      </w:r>
      <w:r>
        <w:t xml:space="preserve"> and that this is outlined in the European </w:t>
      </w:r>
      <w:r w:rsidR="00644F3D">
        <w:t xml:space="preserve">Summary of </w:t>
      </w:r>
      <w:r w:rsidR="00DC4C51">
        <w:t>P</w:t>
      </w:r>
      <w:r w:rsidR="00644F3D">
        <w:t>roduct Characteristics (</w:t>
      </w:r>
      <w:r>
        <w:t>S</w:t>
      </w:r>
      <w:r w:rsidR="00644F3D">
        <w:t>m</w:t>
      </w:r>
      <w:r>
        <w:t>PC</w:t>
      </w:r>
      <w:r w:rsidR="00644F3D">
        <w:t>)</w:t>
      </w:r>
      <w:r>
        <w:t>. (The information in the S</w:t>
      </w:r>
      <w:r w:rsidR="00644F3D">
        <w:t>m</w:t>
      </w:r>
      <w:r>
        <w:t xml:space="preserve">PC is the same as that provided in the PI). Furthermore, the sponsor states that calculation of </w:t>
      </w:r>
      <w:proofErr w:type="spellStart"/>
      <w:r w:rsidR="009C1E6B">
        <w:t>simoctocog</w:t>
      </w:r>
      <w:proofErr w:type="spellEnd"/>
      <w:r w:rsidR="009C1E6B">
        <w:t xml:space="preserve"> </w:t>
      </w:r>
      <w:r w:rsidR="00FC63A1">
        <w:t>alfa</w:t>
      </w:r>
      <w:r>
        <w:t xml:space="preserve"> dosage required for prophylaxis or treatment of bleeding in each of the clinical studies was based on the assumption that 1 IU FVIII/kg would raise the plasma FVIII activity by 1.5% to 2% of normal, and that the dosing scheme for on-demand treatment was validated by the results obtained for incremental recovery of FVIII in each of the studies. The results for IVR for the three pivotal efficacy studies for actual doses of </w:t>
      </w:r>
      <w:proofErr w:type="spellStart"/>
      <w:r w:rsidR="009C1E6B">
        <w:t>simoctocog</w:t>
      </w:r>
      <w:proofErr w:type="spellEnd"/>
      <w:r w:rsidR="009C1E6B">
        <w:t xml:space="preserve"> </w:t>
      </w:r>
      <w:r w:rsidR="00FC63A1">
        <w:t>alfa</w:t>
      </w:r>
      <w:r>
        <w:t xml:space="preserve"> as determined by the CHR and OS assays are summarised below in Table </w:t>
      </w:r>
      <w:r w:rsidR="00644F3D">
        <w:t>13</w:t>
      </w:r>
      <w:r>
        <w:t>. The data show that the IVR was notably lower in children (GENA-03) tha</w:t>
      </w:r>
      <w:r w:rsidR="00BC37E2">
        <w:t>n in adults (GENA-01, GENA-08).</w:t>
      </w:r>
    </w:p>
    <w:p w:rsidR="009622D4" w:rsidRDefault="009622D4" w:rsidP="00644F3D">
      <w:pPr>
        <w:pStyle w:val="TableTitle"/>
      </w:pPr>
      <w:bookmarkStart w:id="94" w:name="_Toc248202563"/>
      <w:r>
        <w:t xml:space="preserve">Table </w:t>
      </w:r>
      <w:r w:rsidR="00644F3D">
        <w:t>13</w:t>
      </w:r>
      <w:r>
        <w:t>: Summary of recovery (IVR) for the three pivotal studies, doses are actual doses received as determined by the CHR and OS assays.</w:t>
      </w:r>
      <w:bookmarkEnd w:id="94"/>
    </w:p>
    <w:tbl>
      <w:tblPr>
        <w:tblStyle w:val="TableTGAblue"/>
        <w:tblW w:w="9180" w:type="dxa"/>
        <w:tblLayout w:type="fixed"/>
        <w:tblLook w:val="04A0" w:firstRow="1" w:lastRow="0" w:firstColumn="1" w:lastColumn="0" w:noHBand="0" w:noVBand="1"/>
      </w:tblPr>
      <w:tblGrid>
        <w:gridCol w:w="959"/>
        <w:gridCol w:w="850"/>
        <w:gridCol w:w="851"/>
        <w:gridCol w:w="992"/>
        <w:gridCol w:w="1134"/>
        <w:gridCol w:w="1134"/>
        <w:gridCol w:w="1134"/>
        <w:gridCol w:w="992"/>
        <w:gridCol w:w="1134"/>
      </w:tblGrid>
      <w:tr w:rsidR="009622D4" w:rsidRPr="00C23138" w:rsidTr="00486489">
        <w:trPr>
          <w:cnfStyle w:val="100000000000" w:firstRow="1" w:lastRow="0" w:firstColumn="0" w:lastColumn="0" w:oddVBand="0" w:evenVBand="0" w:oddHBand="0" w:evenHBand="0" w:firstRowFirstColumn="0" w:firstRowLastColumn="0" w:lastRowFirstColumn="0" w:lastRowLastColumn="0"/>
        </w:trPr>
        <w:tc>
          <w:tcPr>
            <w:tcW w:w="959" w:type="dxa"/>
          </w:tcPr>
          <w:p w:rsidR="009622D4" w:rsidRPr="00C23138" w:rsidRDefault="009622D4" w:rsidP="00BC37E2"/>
        </w:tc>
        <w:tc>
          <w:tcPr>
            <w:tcW w:w="850" w:type="dxa"/>
          </w:tcPr>
          <w:p w:rsidR="009622D4" w:rsidRPr="00C23138" w:rsidRDefault="009622D4" w:rsidP="00BC37E2">
            <w:r w:rsidRPr="00C23138">
              <w:t>n</w:t>
            </w:r>
          </w:p>
        </w:tc>
        <w:tc>
          <w:tcPr>
            <w:tcW w:w="851" w:type="dxa"/>
          </w:tcPr>
          <w:p w:rsidR="009622D4" w:rsidRPr="00C23138" w:rsidRDefault="009622D4" w:rsidP="00BC37E2"/>
        </w:tc>
        <w:tc>
          <w:tcPr>
            <w:tcW w:w="2126" w:type="dxa"/>
            <w:gridSpan w:val="2"/>
          </w:tcPr>
          <w:p w:rsidR="009622D4" w:rsidRPr="00C23138" w:rsidRDefault="009622D4" w:rsidP="00BC37E2">
            <w:r w:rsidRPr="00C23138">
              <w:t>IVR Start</w:t>
            </w:r>
          </w:p>
        </w:tc>
        <w:tc>
          <w:tcPr>
            <w:tcW w:w="2268" w:type="dxa"/>
            <w:gridSpan w:val="2"/>
          </w:tcPr>
          <w:p w:rsidR="009622D4" w:rsidRPr="00C23138" w:rsidRDefault="009622D4" w:rsidP="00BC37E2">
            <w:r w:rsidRPr="00C23138">
              <w:t>IVR 3 months</w:t>
            </w:r>
          </w:p>
        </w:tc>
        <w:tc>
          <w:tcPr>
            <w:tcW w:w="2126" w:type="dxa"/>
            <w:gridSpan w:val="2"/>
          </w:tcPr>
          <w:p w:rsidR="009622D4" w:rsidRPr="00C23138" w:rsidRDefault="009622D4" w:rsidP="00BC37E2">
            <w:r w:rsidRPr="00C23138">
              <w:t>IVR 6 months</w:t>
            </w:r>
          </w:p>
        </w:tc>
      </w:tr>
      <w:tr w:rsidR="00486489" w:rsidRPr="00C23138" w:rsidTr="00486489">
        <w:tc>
          <w:tcPr>
            <w:tcW w:w="959" w:type="dxa"/>
          </w:tcPr>
          <w:p w:rsidR="00B058FB" w:rsidRDefault="00B058FB" w:rsidP="00BC37E2">
            <w:pPr>
              <w:rPr>
                <w:color w:val="auto"/>
                <w:lang w:eastAsia="en-US"/>
              </w:rPr>
            </w:pPr>
          </w:p>
        </w:tc>
        <w:tc>
          <w:tcPr>
            <w:tcW w:w="850" w:type="dxa"/>
          </w:tcPr>
          <w:p w:rsidR="00B058FB" w:rsidRDefault="00B058FB" w:rsidP="00BC37E2">
            <w:pPr>
              <w:rPr>
                <w:color w:val="auto"/>
                <w:lang w:eastAsia="en-US"/>
              </w:rPr>
            </w:pPr>
          </w:p>
        </w:tc>
        <w:tc>
          <w:tcPr>
            <w:tcW w:w="851" w:type="dxa"/>
          </w:tcPr>
          <w:p w:rsidR="00B058FB" w:rsidRDefault="00B058FB" w:rsidP="00BC37E2">
            <w:pPr>
              <w:rPr>
                <w:color w:val="auto"/>
                <w:lang w:eastAsia="en-US"/>
              </w:rPr>
            </w:pPr>
          </w:p>
        </w:tc>
        <w:tc>
          <w:tcPr>
            <w:tcW w:w="992" w:type="dxa"/>
          </w:tcPr>
          <w:p w:rsidR="00B058FB" w:rsidRDefault="009622D4" w:rsidP="00BC37E2">
            <w:pPr>
              <w:rPr>
                <w:color w:val="auto"/>
                <w:lang w:eastAsia="en-US"/>
              </w:rPr>
            </w:pPr>
            <w:r w:rsidRPr="00C23138">
              <w:t>Dose IU/kg</w:t>
            </w:r>
          </w:p>
        </w:tc>
        <w:tc>
          <w:tcPr>
            <w:tcW w:w="1134" w:type="dxa"/>
          </w:tcPr>
          <w:p w:rsidR="00B058FB" w:rsidRDefault="009622D4" w:rsidP="00BC37E2">
            <w:pPr>
              <w:rPr>
                <w:color w:val="auto"/>
                <w:lang w:eastAsia="en-US"/>
              </w:rPr>
            </w:pPr>
            <w:r w:rsidRPr="00C23138">
              <w:t>IVR % per IU/kg</w:t>
            </w:r>
          </w:p>
        </w:tc>
        <w:tc>
          <w:tcPr>
            <w:tcW w:w="1134" w:type="dxa"/>
          </w:tcPr>
          <w:p w:rsidR="00B058FB" w:rsidRDefault="009622D4" w:rsidP="00BC37E2">
            <w:pPr>
              <w:rPr>
                <w:color w:val="000000"/>
                <w:lang w:eastAsia="en-US"/>
              </w:rPr>
            </w:pPr>
            <w:r w:rsidRPr="00C23138">
              <w:rPr>
                <w:color w:val="000000"/>
              </w:rPr>
              <w:t>Dose IU/kg</w:t>
            </w:r>
          </w:p>
        </w:tc>
        <w:tc>
          <w:tcPr>
            <w:tcW w:w="1134" w:type="dxa"/>
          </w:tcPr>
          <w:p w:rsidR="00B058FB" w:rsidRDefault="009622D4" w:rsidP="00BC37E2">
            <w:pPr>
              <w:rPr>
                <w:color w:val="000000"/>
                <w:lang w:eastAsia="en-US"/>
              </w:rPr>
            </w:pPr>
            <w:r w:rsidRPr="00C23138">
              <w:rPr>
                <w:color w:val="000000"/>
              </w:rPr>
              <w:t>IVR % per IU/kg</w:t>
            </w:r>
          </w:p>
        </w:tc>
        <w:tc>
          <w:tcPr>
            <w:tcW w:w="992" w:type="dxa"/>
          </w:tcPr>
          <w:p w:rsidR="00B058FB" w:rsidRDefault="00BC37E2" w:rsidP="00BC37E2">
            <w:pPr>
              <w:rPr>
                <w:color w:val="auto"/>
                <w:lang w:eastAsia="en-US"/>
              </w:rPr>
            </w:pPr>
            <w:r>
              <w:t>Dose IU/kg</w:t>
            </w:r>
          </w:p>
        </w:tc>
        <w:tc>
          <w:tcPr>
            <w:tcW w:w="1134" w:type="dxa"/>
          </w:tcPr>
          <w:p w:rsidR="00B058FB" w:rsidRDefault="00BC37E2" w:rsidP="00BC37E2">
            <w:pPr>
              <w:rPr>
                <w:color w:val="000000"/>
                <w:lang w:eastAsia="en-US"/>
              </w:rPr>
            </w:pPr>
            <w:r>
              <w:rPr>
                <w:color w:val="000000"/>
              </w:rPr>
              <w:t>IVR % per IU/kg</w:t>
            </w:r>
          </w:p>
        </w:tc>
      </w:tr>
      <w:tr w:rsidR="00486489" w:rsidRPr="00C23138" w:rsidTr="00486489">
        <w:tc>
          <w:tcPr>
            <w:tcW w:w="959" w:type="dxa"/>
          </w:tcPr>
          <w:p w:rsidR="00B058FB" w:rsidRDefault="009622D4" w:rsidP="00BC37E2">
            <w:pPr>
              <w:rPr>
                <w:color w:val="auto"/>
                <w:lang w:eastAsia="en-US"/>
              </w:rPr>
            </w:pPr>
            <w:r w:rsidRPr="00C23138">
              <w:t>GENA-01</w:t>
            </w:r>
          </w:p>
        </w:tc>
        <w:tc>
          <w:tcPr>
            <w:tcW w:w="850" w:type="dxa"/>
          </w:tcPr>
          <w:p w:rsidR="00B058FB" w:rsidRDefault="009622D4" w:rsidP="00BC37E2">
            <w:pPr>
              <w:rPr>
                <w:color w:val="auto"/>
                <w:lang w:eastAsia="en-US"/>
              </w:rPr>
            </w:pPr>
            <w:r w:rsidRPr="00C23138">
              <w:t>20-22</w:t>
            </w:r>
            <w:r w:rsidRPr="00C23138">
              <w:rPr>
                <w:vertAlign w:val="superscript"/>
              </w:rPr>
              <w:t>1</w:t>
            </w:r>
          </w:p>
        </w:tc>
        <w:tc>
          <w:tcPr>
            <w:tcW w:w="851" w:type="dxa"/>
          </w:tcPr>
          <w:p w:rsidR="00B058FB" w:rsidRDefault="009622D4" w:rsidP="00BC37E2">
            <w:pPr>
              <w:rPr>
                <w:color w:val="auto"/>
                <w:lang w:eastAsia="en-US"/>
              </w:rPr>
            </w:pPr>
            <w:r w:rsidRPr="00C23138">
              <w:t>CHR</w:t>
            </w:r>
          </w:p>
        </w:tc>
        <w:tc>
          <w:tcPr>
            <w:tcW w:w="992" w:type="dxa"/>
          </w:tcPr>
          <w:p w:rsidR="00B058FB" w:rsidRDefault="009622D4" w:rsidP="00BC37E2">
            <w:pPr>
              <w:rPr>
                <w:color w:val="auto"/>
                <w:lang w:eastAsia="en-US"/>
              </w:rPr>
            </w:pPr>
            <w:r w:rsidRPr="00C23138">
              <w:t>58.7 ± 3.7</w:t>
            </w:r>
          </w:p>
        </w:tc>
        <w:tc>
          <w:tcPr>
            <w:tcW w:w="1134" w:type="dxa"/>
          </w:tcPr>
          <w:p w:rsidR="00B058FB" w:rsidRDefault="009622D4" w:rsidP="00BC37E2">
            <w:pPr>
              <w:rPr>
                <w:color w:val="auto"/>
                <w:lang w:eastAsia="en-US"/>
              </w:rPr>
            </w:pPr>
            <w:r w:rsidRPr="00C23138">
              <w:t>2.50 ± 0.37</w:t>
            </w:r>
          </w:p>
        </w:tc>
        <w:tc>
          <w:tcPr>
            <w:tcW w:w="1134" w:type="dxa"/>
          </w:tcPr>
          <w:p w:rsidR="00B058FB" w:rsidRDefault="009622D4" w:rsidP="00BC37E2">
            <w:pPr>
              <w:rPr>
                <w:color w:val="auto"/>
                <w:vertAlign w:val="superscript"/>
                <w:lang w:eastAsia="en-US"/>
              </w:rPr>
            </w:pPr>
            <w:r w:rsidRPr="00C23138">
              <w:rPr>
                <w:color w:val="000000"/>
              </w:rPr>
              <w:t>59.0 ± 5.2</w:t>
            </w:r>
          </w:p>
        </w:tc>
        <w:tc>
          <w:tcPr>
            <w:tcW w:w="1134" w:type="dxa"/>
          </w:tcPr>
          <w:p w:rsidR="00B058FB" w:rsidRDefault="009622D4" w:rsidP="00BC37E2">
            <w:pPr>
              <w:rPr>
                <w:color w:val="auto"/>
                <w:lang w:eastAsia="en-US"/>
              </w:rPr>
            </w:pPr>
            <w:r w:rsidRPr="00C23138">
              <w:rPr>
                <w:color w:val="000000"/>
              </w:rPr>
              <w:t xml:space="preserve">2.44±0.56 </w:t>
            </w:r>
          </w:p>
        </w:tc>
        <w:tc>
          <w:tcPr>
            <w:tcW w:w="992" w:type="dxa"/>
          </w:tcPr>
          <w:p w:rsidR="00B058FB" w:rsidRDefault="009622D4" w:rsidP="00BC37E2">
            <w:pPr>
              <w:rPr>
                <w:color w:val="auto"/>
                <w:lang w:eastAsia="en-US"/>
              </w:rPr>
            </w:pPr>
            <w:r w:rsidRPr="00C23138">
              <w:t xml:space="preserve">58.7 ± 4.8 </w:t>
            </w:r>
          </w:p>
        </w:tc>
        <w:tc>
          <w:tcPr>
            <w:tcW w:w="1134" w:type="dxa"/>
          </w:tcPr>
          <w:p w:rsidR="00B058FB" w:rsidRDefault="009622D4" w:rsidP="00BC37E2">
            <w:pPr>
              <w:rPr>
                <w:color w:val="auto"/>
                <w:lang w:eastAsia="en-US"/>
              </w:rPr>
            </w:pPr>
            <w:r w:rsidRPr="00C23138">
              <w:rPr>
                <w:color w:val="000000"/>
              </w:rPr>
              <w:t>2.34 ± 0.50</w:t>
            </w:r>
          </w:p>
        </w:tc>
      </w:tr>
      <w:tr w:rsidR="00486489" w:rsidRPr="00C23138" w:rsidTr="00486489">
        <w:tc>
          <w:tcPr>
            <w:tcW w:w="959" w:type="dxa"/>
          </w:tcPr>
          <w:p w:rsidR="00B058FB" w:rsidRDefault="00B058FB" w:rsidP="00BC37E2">
            <w:pPr>
              <w:rPr>
                <w:color w:val="auto"/>
                <w:lang w:eastAsia="en-US"/>
              </w:rPr>
            </w:pPr>
          </w:p>
        </w:tc>
        <w:tc>
          <w:tcPr>
            <w:tcW w:w="850" w:type="dxa"/>
          </w:tcPr>
          <w:p w:rsidR="00B058FB" w:rsidRDefault="00B058FB" w:rsidP="00BC37E2">
            <w:pPr>
              <w:rPr>
                <w:color w:val="auto"/>
                <w:lang w:eastAsia="en-US"/>
              </w:rPr>
            </w:pPr>
          </w:p>
        </w:tc>
        <w:tc>
          <w:tcPr>
            <w:tcW w:w="851" w:type="dxa"/>
          </w:tcPr>
          <w:p w:rsidR="00B058FB" w:rsidRDefault="009622D4" w:rsidP="00BC37E2">
            <w:pPr>
              <w:rPr>
                <w:color w:val="auto"/>
                <w:lang w:eastAsia="en-US"/>
              </w:rPr>
            </w:pPr>
            <w:r w:rsidRPr="00C23138">
              <w:t>OS</w:t>
            </w:r>
          </w:p>
        </w:tc>
        <w:tc>
          <w:tcPr>
            <w:tcW w:w="992" w:type="dxa"/>
          </w:tcPr>
          <w:p w:rsidR="00B058FB" w:rsidRDefault="009622D4" w:rsidP="00BC37E2">
            <w:pPr>
              <w:rPr>
                <w:color w:val="auto"/>
                <w:vertAlign w:val="superscript"/>
                <w:lang w:eastAsia="en-US"/>
              </w:rPr>
            </w:pPr>
            <w:r w:rsidRPr="00C23138">
              <w:t xml:space="preserve">48.6 ± 3.3 </w:t>
            </w:r>
          </w:p>
        </w:tc>
        <w:tc>
          <w:tcPr>
            <w:tcW w:w="1134" w:type="dxa"/>
          </w:tcPr>
          <w:p w:rsidR="00B058FB" w:rsidRDefault="009622D4" w:rsidP="00BC37E2">
            <w:pPr>
              <w:rPr>
                <w:color w:val="auto"/>
                <w:lang w:eastAsia="en-US"/>
              </w:rPr>
            </w:pPr>
            <w:r w:rsidRPr="00C23138">
              <w:t>2.14 ± 0.27</w:t>
            </w:r>
          </w:p>
        </w:tc>
        <w:tc>
          <w:tcPr>
            <w:tcW w:w="1134" w:type="dxa"/>
          </w:tcPr>
          <w:p w:rsidR="00B058FB" w:rsidRDefault="009622D4" w:rsidP="00BC37E2">
            <w:pPr>
              <w:rPr>
                <w:color w:val="auto"/>
                <w:lang w:eastAsia="en-US"/>
              </w:rPr>
            </w:pPr>
            <w:r w:rsidRPr="00C23138">
              <w:t>50.3 ± 4.2</w:t>
            </w:r>
          </w:p>
        </w:tc>
        <w:tc>
          <w:tcPr>
            <w:tcW w:w="1134" w:type="dxa"/>
          </w:tcPr>
          <w:p w:rsidR="00B058FB" w:rsidRDefault="009622D4" w:rsidP="00BC37E2">
            <w:pPr>
              <w:rPr>
                <w:color w:val="auto"/>
                <w:vertAlign w:val="superscript"/>
                <w:lang w:eastAsia="en-US"/>
              </w:rPr>
            </w:pPr>
            <w:r w:rsidRPr="00C23138">
              <w:t>2.06 ± 0.39</w:t>
            </w:r>
          </w:p>
        </w:tc>
        <w:tc>
          <w:tcPr>
            <w:tcW w:w="992" w:type="dxa"/>
          </w:tcPr>
          <w:p w:rsidR="00B058FB" w:rsidRDefault="009622D4" w:rsidP="00BC37E2">
            <w:pPr>
              <w:rPr>
                <w:color w:val="auto"/>
                <w:lang w:eastAsia="en-US"/>
              </w:rPr>
            </w:pPr>
            <w:r w:rsidRPr="00C23138">
              <w:t>50.0 ± 4.0</w:t>
            </w:r>
          </w:p>
        </w:tc>
        <w:tc>
          <w:tcPr>
            <w:tcW w:w="1134" w:type="dxa"/>
          </w:tcPr>
          <w:p w:rsidR="00B058FB" w:rsidRDefault="009622D4" w:rsidP="00BC37E2">
            <w:pPr>
              <w:rPr>
                <w:color w:val="auto"/>
                <w:lang w:eastAsia="en-US"/>
              </w:rPr>
            </w:pPr>
            <w:r w:rsidRPr="00C23138">
              <w:t>2.01 ± 0.33</w:t>
            </w:r>
          </w:p>
        </w:tc>
      </w:tr>
      <w:tr w:rsidR="00486489" w:rsidRPr="00C23138" w:rsidTr="00486489">
        <w:tc>
          <w:tcPr>
            <w:tcW w:w="959" w:type="dxa"/>
          </w:tcPr>
          <w:p w:rsidR="00B058FB" w:rsidRDefault="009622D4" w:rsidP="00BC37E2">
            <w:pPr>
              <w:rPr>
                <w:color w:val="auto"/>
                <w:lang w:eastAsia="en-US"/>
              </w:rPr>
            </w:pPr>
            <w:r w:rsidRPr="00C23138">
              <w:t>GENA-08</w:t>
            </w:r>
          </w:p>
        </w:tc>
        <w:tc>
          <w:tcPr>
            <w:tcW w:w="850" w:type="dxa"/>
          </w:tcPr>
          <w:p w:rsidR="00B058FB" w:rsidRDefault="009622D4" w:rsidP="00BC37E2">
            <w:pPr>
              <w:rPr>
                <w:color w:val="auto"/>
                <w:lang w:eastAsia="en-US"/>
              </w:rPr>
            </w:pPr>
            <w:r w:rsidRPr="00C23138">
              <w:t>30-32</w:t>
            </w:r>
            <w:r w:rsidRPr="00C23138">
              <w:rPr>
                <w:vertAlign w:val="superscript"/>
              </w:rPr>
              <w:t>2</w:t>
            </w:r>
          </w:p>
        </w:tc>
        <w:tc>
          <w:tcPr>
            <w:tcW w:w="851" w:type="dxa"/>
          </w:tcPr>
          <w:p w:rsidR="00B058FB" w:rsidRDefault="009622D4" w:rsidP="00BC37E2">
            <w:pPr>
              <w:rPr>
                <w:color w:val="auto"/>
                <w:lang w:eastAsia="en-US"/>
              </w:rPr>
            </w:pPr>
            <w:r w:rsidRPr="00C23138">
              <w:t>CHR</w:t>
            </w:r>
          </w:p>
        </w:tc>
        <w:tc>
          <w:tcPr>
            <w:tcW w:w="992" w:type="dxa"/>
          </w:tcPr>
          <w:p w:rsidR="00B058FB" w:rsidRDefault="009622D4" w:rsidP="00BC37E2">
            <w:pPr>
              <w:rPr>
                <w:color w:val="auto"/>
                <w:lang w:eastAsia="en-US"/>
              </w:rPr>
            </w:pPr>
            <w:r w:rsidRPr="00C23138">
              <w:t>55.6 ± 2.8</w:t>
            </w:r>
          </w:p>
        </w:tc>
        <w:tc>
          <w:tcPr>
            <w:tcW w:w="1134" w:type="dxa"/>
          </w:tcPr>
          <w:p w:rsidR="00B058FB" w:rsidRDefault="009622D4" w:rsidP="00BC37E2">
            <w:pPr>
              <w:rPr>
                <w:color w:val="auto"/>
                <w:lang w:eastAsia="en-US"/>
              </w:rPr>
            </w:pPr>
            <w:r w:rsidRPr="00C23138">
              <w:t>2.57 ± 0.54</w:t>
            </w:r>
          </w:p>
        </w:tc>
        <w:tc>
          <w:tcPr>
            <w:tcW w:w="1134" w:type="dxa"/>
          </w:tcPr>
          <w:p w:rsidR="00B058FB" w:rsidRDefault="009622D4" w:rsidP="00BC37E2">
            <w:pPr>
              <w:rPr>
                <w:color w:val="auto"/>
                <w:lang w:eastAsia="en-US"/>
              </w:rPr>
            </w:pPr>
            <w:r w:rsidRPr="00C23138">
              <w:t>53.5 ± 4.6</w:t>
            </w:r>
          </w:p>
        </w:tc>
        <w:tc>
          <w:tcPr>
            <w:tcW w:w="1134" w:type="dxa"/>
          </w:tcPr>
          <w:p w:rsidR="00B058FB" w:rsidRDefault="009622D4" w:rsidP="00BC37E2">
            <w:pPr>
              <w:rPr>
                <w:color w:val="auto"/>
                <w:lang w:eastAsia="en-US"/>
              </w:rPr>
            </w:pPr>
            <w:r w:rsidRPr="00C23138">
              <w:t>2.37 ± 0.50</w:t>
            </w:r>
          </w:p>
        </w:tc>
        <w:tc>
          <w:tcPr>
            <w:tcW w:w="992" w:type="dxa"/>
          </w:tcPr>
          <w:p w:rsidR="00B058FB" w:rsidRDefault="009622D4" w:rsidP="00BC37E2">
            <w:pPr>
              <w:rPr>
                <w:color w:val="auto"/>
                <w:lang w:eastAsia="en-US"/>
              </w:rPr>
            </w:pPr>
            <w:r w:rsidRPr="00C23138">
              <w:t>53.6 ± 2.3</w:t>
            </w:r>
          </w:p>
        </w:tc>
        <w:tc>
          <w:tcPr>
            <w:tcW w:w="1134" w:type="dxa"/>
          </w:tcPr>
          <w:p w:rsidR="00B058FB" w:rsidRDefault="009622D4" w:rsidP="00BC37E2">
            <w:pPr>
              <w:rPr>
                <w:color w:val="auto"/>
                <w:lang w:eastAsia="en-US"/>
              </w:rPr>
            </w:pPr>
            <w:r w:rsidRPr="00C23138">
              <w:t>2.34 ± 0.40</w:t>
            </w:r>
          </w:p>
        </w:tc>
      </w:tr>
      <w:tr w:rsidR="00486489" w:rsidRPr="00C23138" w:rsidTr="00486489">
        <w:tc>
          <w:tcPr>
            <w:tcW w:w="959" w:type="dxa"/>
          </w:tcPr>
          <w:p w:rsidR="00B058FB" w:rsidRDefault="00B058FB" w:rsidP="00BC37E2">
            <w:pPr>
              <w:rPr>
                <w:color w:val="auto"/>
                <w:lang w:eastAsia="en-US"/>
              </w:rPr>
            </w:pPr>
          </w:p>
        </w:tc>
        <w:tc>
          <w:tcPr>
            <w:tcW w:w="850" w:type="dxa"/>
          </w:tcPr>
          <w:p w:rsidR="00B058FB" w:rsidRDefault="00B058FB" w:rsidP="00BC37E2">
            <w:pPr>
              <w:rPr>
                <w:color w:val="auto"/>
                <w:lang w:eastAsia="en-US"/>
              </w:rPr>
            </w:pPr>
          </w:p>
        </w:tc>
        <w:tc>
          <w:tcPr>
            <w:tcW w:w="851" w:type="dxa"/>
          </w:tcPr>
          <w:p w:rsidR="00B058FB" w:rsidRDefault="009622D4" w:rsidP="00BC37E2">
            <w:pPr>
              <w:rPr>
                <w:color w:val="auto"/>
                <w:lang w:eastAsia="en-US"/>
              </w:rPr>
            </w:pPr>
            <w:r w:rsidRPr="00C23138">
              <w:t xml:space="preserve">OS </w:t>
            </w:r>
          </w:p>
        </w:tc>
        <w:tc>
          <w:tcPr>
            <w:tcW w:w="992" w:type="dxa"/>
          </w:tcPr>
          <w:p w:rsidR="00B058FB" w:rsidRDefault="009622D4" w:rsidP="00BC37E2">
            <w:pPr>
              <w:rPr>
                <w:color w:val="auto"/>
                <w:lang w:eastAsia="en-US"/>
              </w:rPr>
            </w:pPr>
            <w:r w:rsidRPr="00C23138">
              <w:t>47.8 ± 2.8</w:t>
            </w:r>
          </w:p>
        </w:tc>
        <w:tc>
          <w:tcPr>
            <w:tcW w:w="1134" w:type="dxa"/>
          </w:tcPr>
          <w:p w:rsidR="00B058FB" w:rsidRDefault="009622D4" w:rsidP="00BC37E2">
            <w:pPr>
              <w:rPr>
                <w:color w:val="auto"/>
                <w:lang w:eastAsia="en-US"/>
              </w:rPr>
            </w:pPr>
            <w:r w:rsidRPr="00C23138">
              <w:t>2.20 ± 0.47</w:t>
            </w:r>
          </w:p>
        </w:tc>
        <w:tc>
          <w:tcPr>
            <w:tcW w:w="1134" w:type="dxa"/>
          </w:tcPr>
          <w:p w:rsidR="00B058FB" w:rsidRDefault="009622D4" w:rsidP="00BC37E2">
            <w:pPr>
              <w:rPr>
                <w:color w:val="auto"/>
                <w:lang w:eastAsia="en-US"/>
              </w:rPr>
            </w:pPr>
            <w:r w:rsidRPr="00C23138">
              <w:t>45.1 ± 4.2</w:t>
            </w:r>
          </w:p>
        </w:tc>
        <w:tc>
          <w:tcPr>
            <w:tcW w:w="1134" w:type="dxa"/>
          </w:tcPr>
          <w:p w:rsidR="00B058FB" w:rsidRDefault="009622D4" w:rsidP="00BC37E2">
            <w:pPr>
              <w:rPr>
                <w:color w:val="auto"/>
                <w:lang w:eastAsia="en-US"/>
              </w:rPr>
            </w:pPr>
            <w:r w:rsidRPr="00C23138">
              <w:t>2.05 ± 0.35</w:t>
            </w:r>
          </w:p>
        </w:tc>
        <w:tc>
          <w:tcPr>
            <w:tcW w:w="992" w:type="dxa"/>
          </w:tcPr>
          <w:p w:rsidR="00B058FB" w:rsidRDefault="00BC37E2" w:rsidP="00BC37E2">
            <w:pPr>
              <w:rPr>
                <w:color w:val="auto"/>
                <w:lang w:eastAsia="en-US"/>
              </w:rPr>
            </w:pPr>
            <w:r>
              <w:t>45.3 ± 2.5</w:t>
            </w:r>
          </w:p>
        </w:tc>
        <w:tc>
          <w:tcPr>
            <w:tcW w:w="1134" w:type="dxa"/>
          </w:tcPr>
          <w:p w:rsidR="00B058FB" w:rsidRDefault="00BC37E2" w:rsidP="00BC37E2">
            <w:pPr>
              <w:rPr>
                <w:color w:val="auto"/>
                <w:lang w:eastAsia="en-US"/>
              </w:rPr>
            </w:pPr>
            <w:r>
              <w:t>2.01 ± 0.30</w:t>
            </w:r>
          </w:p>
        </w:tc>
      </w:tr>
      <w:tr w:rsidR="00486489" w:rsidRPr="00C23138" w:rsidTr="00486489">
        <w:tc>
          <w:tcPr>
            <w:tcW w:w="959" w:type="dxa"/>
          </w:tcPr>
          <w:p w:rsidR="00B058FB" w:rsidRDefault="009622D4" w:rsidP="00BC37E2">
            <w:pPr>
              <w:rPr>
                <w:color w:val="auto"/>
                <w:lang w:eastAsia="en-US"/>
              </w:rPr>
            </w:pPr>
            <w:r w:rsidRPr="00C23138">
              <w:t>GENA-</w:t>
            </w:r>
            <w:r w:rsidRPr="00C23138">
              <w:lastRenderedPageBreak/>
              <w:t xml:space="preserve">03 </w:t>
            </w:r>
          </w:p>
        </w:tc>
        <w:tc>
          <w:tcPr>
            <w:tcW w:w="850" w:type="dxa"/>
          </w:tcPr>
          <w:p w:rsidR="00B058FB" w:rsidRDefault="009622D4" w:rsidP="00BC37E2">
            <w:pPr>
              <w:rPr>
                <w:color w:val="auto"/>
                <w:lang w:eastAsia="en-US"/>
              </w:rPr>
            </w:pPr>
            <w:r w:rsidRPr="00C23138">
              <w:lastRenderedPageBreak/>
              <w:t>26-</w:t>
            </w:r>
            <w:r w:rsidRPr="00C23138">
              <w:lastRenderedPageBreak/>
              <w:t>55</w:t>
            </w:r>
            <w:r w:rsidRPr="00C23138">
              <w:rPr>
                <w:vertAlign w:val="superscript"/>
              </w:rPr>
              <w:t>3</w:t>
            </w:r>
          </w:p>
        </w:tc>
        <w:tc>
          <w:tcPr>
            <w:tcW w:w="851" w:type="dxa"/>
          </w:tcPr>
          <w:p w:rsidR="00B058FB" w:rsidRDefault="009622D4" w:rsidP="00BC37E2">
            <w:pPr>
              <w:rPr>
                <w:color w:val="auto"/>
                <w:lang w:eastAsia="en-US"/>
              </w:rPr>
            </w:pPr>
            <w:r w:rsidRPr="00C23138">
              <w:lastRenderedPageBreak/>
              <w:t>CH</w:t>
            </w:r>
            <w:r w:rsidRPr="00C23138">
              <w:lastRenderedPageBreak/>
              <w:t xml:space="preserve">R </w:t>
            </w:r>
          </w:p>
        </w:tc>
        <w:tc>
          <w:tcPr>
            <w:tcW w:w="992" w:type="dxa"/>
          </w:tcPr>
          <w:p w:rsidR="00B058FB" w:rsidRDefault="009622D4" w:rsidP="00BC37E2">
            <w:pPr>
              <w:rPr>
                <w:color w:val="auto"/>
                <w:lang w:eastAsia="en-US"/>
              </w:rPr>
            </w:pPr>
            <w:r w:rsidRPr="00C23138">
              <w:lastRenderedPageBreak/>
              <w:t xml:space="preserve">53.1 ± </w:t>
            </w:r>
            <w:r w:rsidRPr="00C23138">
              <w:lastRenderedPageBreak/>
              <w:t>1.5</w:t>
            </w:r>
          </w:p>
        </w:tc>
        <w:tc>
          <w:tcPr>
            <w:tcW w:w="1134" w:type="dxa"/>
          </w:tcPr>
          <w:p w:rsidR="00B058FB" w:rsidRDefault="009622D4" w:rsidP="00BC37E2">
            <w:pPr>
              <w:rPr>
                <w:color w:val="auto"/>
                <w:lang w:eastAsia="en-US"/>
              </w:rPr>
            </w:pPr>
            <w:r w:rsidRPr="00C23138">
              <w:lastRenderedPageBreak/>
              <w:t xml:space="preserve">1.83 ± </w:t>
            </w:r>
            <w:r w:rsidRPr="00C23138">
              <w:lastRenderedPageBreak/>
              <w:t xml:space="preserve">0.41 </w:t>
            </w:r>
            <w:r w:rsidRPr="00C23138">
              <w:rPr>
                <w:vertAlign w:val="superscript"/>
              </w:rPr>
              <w:t>4</w:t>
            </w:r>
          </w:p>
        </w:tc>
        <w:tc>
          <w:tcPr>
            <w:tcW w:w="1134" w:type="dxa"/>
          </w:tcPr>
          <w:p w:rsidR="00B058FB" w:rsidRDefault="009622D4" w:rsidP="00BC37E2">
            <w:pPr>
              <w:rPr>
                <w:color w:val="auto"/>
                <w:lang w:eastAsia="en-US"/>
              </w:rPr>
            </w:pPr>
            <w:r w:rsidRPr="00C23138">
              <w:lastRenderedPageBreak/>
              <w:t xml:space="preserve">52.2 </w:t>
            </w:r>
            <w:r w:rsidRPr="00C23138">
              <w:lastRenderedPageBreak/>
              <w:t>± 4.3</w:t>
            </w:r>
          </w:p>
        </w:tc>
        <w:tc>
          <w:tcPr>
            <w:tcW w:w="1134" w:type="dxa"/>
          </w:tcPr>
          <w:p w:rsidR="00B058FB" w:rsidRDefault="009622D4" w:rsidP="00BC37E2">
            <w:pPr>
              <w:rPr>
                <w:color w:val="auto"/>
                <w:lang w:eastAsia="en-US"/>
              </w:rPr>
            </w:pPr>
            <w:r w:rsidRPr="00C23138">
              <w:lastRenderedPageBreak/>
              <w:t xml:space="preserve">1.70 ± </w:t>
            </w:r>
            <w:r w:rsidRPr="00C23138">
              <w:lastRenderedPageBreak/>
              <w:t>0.40</w:t>
            </w:r>
          </w:p>
        </w:tc>
        <w:tc>
          <w:tcPr>
            <w:tcW w:w="992" w:type="dxa"/>
          </w:tcPr>
          <w:p w:rsidR="00B058FB" w:rsidRDefault="009622D4" w:rsidP="00BC37E2">
            <w:pPr>
              <w:rPr>
                <w:color w:val="auto"/>
                <w:lang w:eastAsia="en-US"/>
              </w:rPr>
            </w:pPr>
            <w:r w:rsidRPr="00C23138">
              <w:lastRenderedPageBreak/>
              <w:t xml:space="preserve">51.6 ± </w:t>
            </w:r>
            <w:r w:rsidRPr="00C23138">
              <w:lastRenderedPageBreak/>
              <w:t>3.1</w:t>
            </w:r>
          </w:p>
        </w:tc>
        <w:tc>
          <w:tcPr>
            <w:tcW w:w="1134" w:type="dxa"/>
          </w:tcPr>
          <w:p w:rsidR="00B058FB" w:rsidRDefault="009622D4" w:rsidP="00BC37E2">
            <w:pPr>
              <w:rPr>
                <w:color w:val="auto"/>
                <w:lang w:eastAsia="en-US"/>
              </w:rPr>
            </w:pPr>
            <w:r w:rsidRPr="00C23138">
              <w:lastRenderedPageBreak/>
              <w:t xml:space="preserve">1.77 ± </w:t>
            </w:r>
            <w:r w:rsidRPr="00C23138">
              <w:lastRenderedPageBreak/>
              <w:t>0.46</w:t>
            </w:r>
          </w:p>
        </w:tc>
      </w:tr>
      <w:tr w:rsidR="00486489" w:rsidRPr="00C23138" w:rsidTr="00486489">
        <w:tc>
          <w:tcPr>
            <w:tcW w:w="959" w:type="dxa"/>
          </w:tcPr>
          <w:p w:rsidR="00B058FB" w:rsidRDefault="00B058FB" w:rsidP="00BC37E2">
            <w:pPr>
              <w:rPr>
                <w:color w:val="auto"/>
                <w:lang w:eastAsia="en-US"/>
              </w:rPr>
            </w:pPr>
          </w:p>
        </w:tc>
        <w:tc>
          <w:tcPr>
            <w:tcW w:w="850" w:type="dxa"/>
          </w:tcPr>
          <w:p w:rsidR="00B058FB" w:rsidRDefault="00B058FB" w:rsidP="00BC37E2">
            <w:pPr>
              <w:rPr>
                <w:color w:val="auto"/>
                <w:lang w:eastAsia="en-US"/>
              </w:rPr>
            </w:pPr>
          </w:p>
        </w:tc>
        <w:tc>
          <w:tcPr>
            <w:tcW w:w="851" w:type="dxa"/>
          </w:tcPr>
          <w:p w:rsidR="00B058FB" w:rsidRDefault="009622D4" w:rsidP="00BC37E2">
            <w:pPr>
              <w:rPr>
                <w:color w:val="auto"/>
                <w:lang w:eastAsia="en-US"/>
              </w:rPr>
            </w:pPr>
            <w:r w:rsidRPr="00C23138">
              <w:t>OS</w:t>
            </w:r>
          </w:p>
        </w:tc>
        <w:tc>
          <w:tcPr>
            <w:tcW w:w="992" w:type="dxa"/>
          </w:tcPr>
          <w:p w:rsidR="00B058FB" w:rsidRDefault="009622D4" w:rsidP="00BC37E2">
            <w:pPr>
              <w:rPr>
                <w:color w:val="auto"/>
                <w:lang w:eastAsia="en-US"/>
              </w:rPr>
            </w:pPr>
            <w:r w:rsidRPr="00C23138">
              <w:t>45.1 ± 1.1</w:t>
            </w:r>
          </w:p>
        </w:tc>
        <w:tc>
          <w:tcPr>
            <w:tcW w:w="1134" w:type="dxa"/>
          </w:tcPr>
          <w:p w:rsidR="00B058FB" w:rsidRDefault="009622D4" w:rsidP="00BC37E2">
            <w:pPr>
              <w:rPr>
                <w:color w:val="auto"/>
                <w:lang w:eastAsia="en-US"/>
              </w:rPr>
            </w:pPr>
            <w:r w:rsidRPr="00C23138">
              <w:t xml:space="preserve">1.58 ± 0.33 </w:t>
            </w:r>
            <w:r w:rsidRPr="00C23138">
              <w:rPr>
                <w:vertAlign w:val="superscript"/>
              </w:rPr>
              <w:t>4</w:t>
            </w:r>
          </w:p>
        </w:tc>
        <w:tc>
          <w:tcPr>
            <w:tcW w:w="1134" w:type="dxa"/>
          </w:tcPr>
          <w:p w:rsidR="00B058FB" w:rsidRDefault="009622D4" w:rsidP="00BC37E2">
            <w:pPr>
              <w:rPr>
                <w:color w:val="auto"/>
                <w:lang w:eastAsia="en-US"/>
              </w:rPr>
            </w:pPr>
            <w:r w:rsidRPr="00C23138">
              <w:t>44.4 ± 4.0</w:t>
            </w:r>
          </w:p>
        </w:tc>
        <w:tc>
          <w:tcPr>
            <w:tcW w:w="1134" w:type="dxa"/>
          </w:tcPr>
          <w:p w:rsidR="00B058FB" w:rsidRDefault="009622D4" w:rsidP="00BC37E2">
            <w:pPr>
              <w:rPr>
                <w:color w:val="auto"/>
                <w:lang w:eastAsia="en-US"/>
              </w:rPr>
            </w:pPr>
            <w:r w:rsidRPr="00C23138">
              <w:t>1.47 ± 0.36</w:t>
            </w:r>
          </w:p>
        </w:tc>
        <w:tc>
          <w:tcPr>
            <w:tcW w:w="992" w:type="dxa"/>
          </w:tcPr>
          <w:p w:rsidR="00B058FB" w:rsidRDefault="009622D4" w:rsidP="00BC37E2">
            <w:pPr>
              <w:rPr>
                <w:color w:val="auto"/>
                <w:lang w:eastAsia="en-US"/>
              </w:rPr>
            </w:pPr>
            <w:r w:rsidRPr="00C23138">
              <w:t>43.9 ± 2.7</w:t>
            </w:r>
          </w:p>
        </w:tc>
        <w:tc>
          <w:tcPr>
            <w:tcW w:w="1134" w:type="dxa"/>
          </w:tcPr>
          <w:p w:rsidR="00B058FB" w:rsidRDefault="009622D4" w:rsidP="00BC37E2">
            <w:pPr>
              <w:rPr>
                <w:color w:val="auto"/>
                <w:lang w:eastAsia="en-US"/>
              </w:rPr>
            </w:pPr>
            <w:r w:rsidRPr="00C23138">
              <w:t>1.53 ± 0.34</w:t>
            </w:r>
          </w:p>
        </w:tc>
      </w:tr>
      <w:tr w:rsidR="00486489" w:rsidRPr="00C23138" w:rsidTr="00486489">
        <w:tc>
          <w:tcPr>
            <w:tcW w:w="959" w:type="dxa"/>
          </w:tcPr>
          <w:p w:rsidR="00B058FB" w:rsidRDefault="00B058FB" w:rsidP="00BC37E2">
            <w:pPr>
              <w:rPr>
                <w:color w:val="auto"/>
                <w:lang w:eastAsia="en-US"/>
              </w:rPr>
            </w:pPr>
          </w:p>
        </w:tc>
        <w:tc>
          <w:tcPr>
            <w:tcW w:w="850" w:type="dxa"/>
          </w:tcPr>
          <w:p w:rsidR="00B058FB" w:rsidRDefault="00B058FB" w:rsidP="00BC37E2">
            <w:pPr>
              <w:rPr>
                <w:color w:val="auto"/>
                <w:lang w:eastAsia="en-US"/>
              </w:rPr>
            </w:pPr>
          </w:p>
        </w:tc>
        <w:tc>
          <w:tcPr>
            <w:tcW w:w="851" w:type="dxa"/>
          </w:tcPr>
          <w:p w:rsidR="00B058FB" w:rsidRDefault="009622D4" w:rsidP="00BC37E2">
            <w:pPr>
              <w:rPr>
                <w:color w:val="auto"/>
                <w:lang w:eastAsia="en-US"/>
              </w:rPr>
            </w:pPr>
            <w:r w:rsidRPr="00C23138">
              <w:t>CHR</w:t>
            </w:r>
          </w:p>
        </w:tc>
        <w:tc>
          <w:tcPr>
            <w:tcW w:w="992" w:type="dxa"/>
          </w:tcPr>
          <w:p w:rsidR="00B058FB" w:rsidRDefault="009622D4" w:rsidP="00BC37E2">
            <w:pPr>
              <w:rPr>
                <w:color w:val="auto"/>
                <w:lang w:eastAsia="en-US"/>
              </w:rPr>
            </w:pPr>
            <w:r w:rsidRPr="00C23138">
              <w:t>52.7 ± 2.9</w:t>
            </w:r>
          </w:p>
        </w:tc>
        <w:tc>
          <w:tcPr>
            <w:tcW w:w="1134" w:type="dxa"/>
          </w:tcPr>
          <w:p w:rsidR="00B058FB" w:rsidRDefault="009622D4" w:rsidP="00BC37E2">
            <w:pPr>
              <w:rPr>
                <w:color w:val="auto"/>
                <w:lang w:eastAsia="en-US"/>
              </w:rPr>
            </w:pPr>
            <w:r w:rsidRPr="00C23138">
              <w:t xml:space="preserve">1.57 ± 0.51 </w:t>
            </w:r>
            <w:r w:rsidRPr="00C23138">
              <w:rPr>
                <w:vertAlign w:val="superscript"/>
              </w:rPr>
              <w:t>5</w:t>
            </w:r>
          </w:p>
        </w:tc>
        <w:tc>
          <w:tcPr>
            <w:tcW w:w="1134" w:type="dxa"/>
          </w:tcPr>
          <w:p w:rsidR="00B058FB" w:rsidRDefault="00B058FB" w:rsidP="00BC37E2">
            <w:pPr>
              <w:rPr>
                <w:color w:val="auto"/>
                <w:lang w:eastAsia="en-US"/>
              </w:rPr>
            </w:pPr>
          </w:p>
        </w:tc>
        <w:tc>
          <w:tcPr>
            <w:tcW w:w="1134" w:type="dxa"/>
          </w:tcPr>
          <w:p w:rsidR="00B058FB" w:rsidRDefault="00B058FB" w:rsidP="00BC37E2">
            <w:pPr>
              <w:rPr>
                <w:color w:val="auto"/>
                <w:lang w:eastAsia="en-US"/>
              </w:rPr>
            </w:pPr>
          </w:p>
        </w:tc>
        <w:tc>
          <w:tcPr>
            <w:tcW w:w="992" w:type="dxa"/>
          </w:tcPr>
          <w:p w:rsidR="00B058FB" w:rsidRDefault="00B058FB" w:rsidP="00BC37E2">
            <w:pPr>
              <w:rPr>
                <w:color w:val="auto"/>
                <w:lang w:eastAsia="en-US"/>
              </w:rPr>
            </w:pPr>
          </w:p>
        </w:tc>
        <w:tc>
          <w:tcPr>
            <w:tcW w:w="1134" w:type="dxa"/>
          </w:tcPr>
          <w:p w:rsidR="00B058FB" w:rsidRDefault="00B058FB" w:rsidP="00BC37E2">
            <w:pPr>
              <w:rPr>
                <w:color w:val="auto"/>
                <w:lang w:eastAsia="en-US"/>
              </w:rPr>
            </w:pPr>
          </w:p>
        </w:tc>
      </w:tr>
      <w:tr w:rsidR="00486489" w:rsidRPr="00C23138" w:rsidTr="00486489">
        <w:tc>
          <w:tcPr>
            <w:tcW w:w="959" w:type="dxa"/>
          </w:tcPr>
          <w:p w:rsidR="00B058FB" w:rsidRDefault="00B058FB" w:rsidP="00BC37E2">
            <w:pPr>
              <w:rPr>
                <w:color w:val="auto"/>
                <w:lang w:eastAsia="en-US"/>
              </w:rPr>
            </w:pPr>
          </w:p>
        </w:tc>
        <w:tc>
          <w:tcPr>
            <w:tcW w:w="850" w:type="dxa"/>
          </w:tcPr>
          <w:p w:rsidR="00B058FB" w:rsidRDefault="00B058FB" w:rsidP="00BC37E2">
            <w:pPr>
              <w:rPr>
                <w:color w:val="auto"/>
                <w:lang w:eastAsia="en-US"/>
              </w:rPr>
            </w:pPr>
          </w:p>
        </w:tc>
        <w:tc>
          <w:tcPr>
            <w:tcW w:w="851" w:type="dxa"/>
          </w:tcPr>
          <w:p w:rsidR="00B058FB" w:rsidRDefault="009622D4" w:rsidP="00BC37E2">
            <w:pPr>
              <w:rPr>
                <w:color w:val="auto"/>
                <w:lang w:eastAsia="en-US"/>
              </w:rPr>
            </w:pPr>
            <w:r w:rsidRPr="00C23138">
              <w:t>OS</w:t>
            </w:r>
          </w:p>
        </w:tc>
        <w:tc>
          <w:tcPr>
            <w:tcW w:w="992" w:type="dxa"/>
          </w:tcPr>
          <w:p w:rsidR="00B058FB" w:rsidRDefault="009622D4" w:rsidP="00BC37E2">
            <w:pPr>
              <w:rPr>
                <w:color w:val="auto"/>
                <w:lang w:eastAsia="en-US"/>
              </w:rPr>
            </w:pPr>
            <w:r w:rsidRPr="00C23138">
              <w:t xml:space="preserve">45.0 ± 2.7 </w:t>
            </w:r>
          </w:p>
        </w:tc>
        <w:tc>
          <w:tcPr>
            <w:tcW w:w="1134" w:type="dxa"/>
          </w:tcPr>
          <w:p w:rsidR="00B058FB" w:rsidRDefault="009622D4" w:rsidP="00BC37E2">
            <w:pPr>
              <w:rPr>
                <w:color w:val="auto"/>
                <w:lang w:eastAsia="en-US"/>
              </w:rPr>
            </w:pPr>
            <w:r w:rsidRPr="00C23138">
              <w:t xml:space="preserve">1.42 ± 0.36 </w:t>
            </w:r>
            <w:r w:rsidRPr="00C23138">
              <w:rPr>
                <w:vertAlign w:val="superscript"/>
              </w:rPr>
              <w:t>5</w:t>
            </w:r>
          </w:p>
        </w:tc>
        <w:tc>
          <w:tcPr>
            <w:tcW w:w="1134" w:type="dxa"/>
          </w:tcPr>
          <w:p w:rsidR="00B058FB" w:rsidRDefault="00B058FB" w:rsidP="00BC37E2">
            <w:pPr>
              <w:rPr>
                <w:color w:val="auto"/>
                <w:lang w:eastAsia="en-US"/>
              </w:rPr>
            </w:pPr>
          </w:p>
        </w:tc>
        <w:tc>
          <w:tcPr>
            <w:tcW w:w="1134" w:type="dxa"/>
          </w:tcPr>
          <w:p w:rsidR="00B058FB" w:rsidRDefault="00B058FB" w:rsidP="00BC37E2">
            <w:pPr>
              <w:rPr>
                <w:color w:val="auto"/>
                <w:lang w:eastAsia="en-US"/>
              </w:rPr>
            </w:pPr>
          </w:p>
        </w:tc>
        <w:tc>
          <w:tcPr>
            <w:tcW w:w="992" w:type="dxa"/>
          </w:tcPr>
          <w:p w:rsidR="00B058FB" w:rsidRDefault="00B058FB" w:rsidP="00BC37E2">
            <w:pPr>
              <w:rPr>
                <w:color w:val="auto"/>
                <w:lang w:eastAsia="en-US"/>
              </w:rPr>
            </w:pPr>
          </w:p>
        </w:tc>
        <w:tc>
          <w:tcPr>
            <w:tcW w:w="1134" w:type="dxa"/>
          </w:tcPr>
          <w:p w:rsidR="00B058FB" w:rsidRDefault="00B058FB" w:rsidP="00BC37E2">
            <w:pPr>
              <w:rPr>
                <w:color w:val="auto"/>
                <w:lang w:eastAsia="en-US"/>
              </w:rPr>
            </w:pPr>
          </w:p>
        </w:tc>
      </w:tr>
    </w:tbl>
    <w:p w:rsidR="009622D4" w:rsidRDefault="00644F3D" w:rsidP="00BC37E2">
      <w:pPr>
        <w:pStyle w:val="TableDescription"/>
      </w:pPr>
      <w:r>
        <w:t>1 = GENA-01, n=20 at M</w:t>
      </w:r>
      <w:r w:rsidR="009622D4" w:rsidRPr="003C05B0">
        <w:t>onth 3. 2 = GENA-08, n=32 at start, n=31 at 3 months, n=30 at 6 months</w:t>
      </w:r>
      <w:r w:rsidR="00821AFA">
        <w:t>,</w:t>
      </w:r>
      <w:r>
        <w:t xml:space="preserve"> </w:t>
      </w:r>
      <w:r w:rsidR="009622D4" w:rsidRPr="003C05B0">
        <w:t>3 = GENA-03, n=26 at start Phase I, n=31 at Phase II start, n=55 at 3 months; n=53 at 6 months.</w:t>
      </w:r>
      <w:r>
        <w:t xml:space="preserve"> </w:t>
      </w:r>
      <w:r w:rsidR="009622D4" w:rsidRPr="003C05B0">
        <w:t xml:space="preserve">4 = </w:t>
      </w:r>
      <w:proofErr w:type="gramStart"/>
      <w:r w:rsidR="009622D4" w:rsidRPr="003C05B0">
        <w:t>The</w:t>
      </w:r>
      <w:proofErr w:type="gramEnd"/>
      <w:r w:rsidR="009622D4" w:rsidRPr="003C05B0">
        <w:t xml:space="preserve"> results for IVR start are those for Phase I of the study.</w:t>
      </w:r>
      <w:r>
        <w:t xml:space="preserve"> </w:t>
      </w:r>
      <w:r w:rsidR="009622D4" w:rsidRPr="003C05B0">
        <w:t xml:space="preserve">5 = </w:t>
      </w:r>
      <w:proofErr w:type="gramStart"/>
      <w:r w:rsidR="009622D4" w:rsidRPr="003C05B0">
        <w:t>The</w:t>
      </w:r>
      <w:proofErr w:type="gramEnd"/>
      <w:r w:rsidR="009622D4" w:rsidRPr="003C05B0">
        <w:t xml:space="preserve"> results for IVR start are those for Phase II of the stud</w:t>
      </w:r>
      <w:r w:rsidR="009622D4">
        <w:t>y.</w:t>
      </w:r>
    </w:p>
    <w:p w:rsidR="008C636C" w:rsidRPr="00605AD4" w:rsidRDefault="009622D4" w:rsidP="008C636C">
      <w:r>
        <w:t xml:space="preserve">Despite the sponsor's justification for the proposed dosage regimen for on-demand treatment of BEs it remains unclear why the proposed dosage regimen should differ from that used in 4 of the 5 clinical studies (including the 3 pivotal studies). </w:t>
      </w:r>
      <w:r w:rsidRPr="007A25BD">
        <w:t xml:space="preserve">The sponsor will be asked to comment on this matter in the response to the questions arising from the first round evaluation of the submission. </w:t>
      </w:r>
      <w:r w:rsidR="008C636C" w:rsidRPr="008C636C">
        <w:t xml:space="preserve"> </w:t>
      </w:r>
      <w:r w:rsidR="008C636C">
        <w:t>The sponsor’s responses to the Clinical questions and the evaluator’s comments on the sponsor’s responses are detailed in the Extract from the CER, Attachment 2.</w:t>
      </w:r>
    </w:p>
    <w:p w:rsidR="009622D4" w:rsidRPr="003258B0" w:rsidRDefault="009622D4" w:rsidP="00644F3D">
      <w:pPr>
        <w:pStyle w:val="Heading5"/>
        <w:rPr>
          <w:noProof/>
        </w:rPr>
      </w:pPr>
      <w:r w:rsidRPr="003258B0">
        <w:rPr>
          <w:noProof/>
        </w:rPr>
        <w:t>Surgical prophylaxis</w:t>
      </w:r>
    </w:p>
    <w:p w:rsidR="009622D4" w:rsidRPr="003258B0" w:rsidRDefault="009622D4" w:rsidP="009622D4">
      <w:r w:rsidRPr="003258B0">
        <w:t xml:space="preserve">In the five studies, the efficacy of </w:t>
      </w:r>
      <w:proofErr w:type="spellStart"/>
      <w:r w:rsidR="009C1E6B">
        <w:t>simoctocog</w:t>
      </w:r>
      <w:proofErr w:type="spellEnd"/>
      <w:r w:rsidR="009C1E6B">
        <w:t xml:space="preserve"> </w:t>
      </w:r>
      <w:r w:rsidR="00FC63A1">
        <w:t>alfa</w:t>
      </w:r>
      <w:r w:rsidRPr="003258B0">
        <w:t xml:space="preserve"> for surgical prophylaxis was assessed in a total of 33 surgical procedures in 19 patients, with 20 procedures in 7 patients being classed as minor and 13 procedures in 12 patients being classed as major. </w:t>
      </w:r>
      <w:r>
        <w:t xml:space="preserve">For surgical procedures, </w:t>
      </w:r>
      <w:proofErr w:type="spellStart"/>
      <w:r w:rsidR="009C1E6B">
        <w:t>simoctocog</w:t>
      </w:r>
      <w:proofErr w:type="spellEnd"/>
      <w:r w:rsidR="009C1E6B">
        <w:t xml:space="preserve"> </w:t>
      </w:r>
      <w:r w:rsidR="00FC63A1">
        <w:t>alfa</w:t>
      </w:r>
      <w:r w:rsidRPr="003258B0">
        <w:t xml:space="preserve"> </w:t>
      </w:r>
      <w:r>
        <w:t xml:space="preserve">mean dose ranged from </w:t>
      </w:r>
      <w:r w:rsidRPr="003258B0">
        <w:t>35.0 IU/kg per infusion in GENA-09 to 50.2 IU/kg per infusion in GENA-0</w:t>
      </w:r>
      <w:r>
        <w:t>1</w:t>
      </w:r>
      <w:r w:rsidRPr="003258B0">
        <w:t xml:space="preserve">. The overall number of infusions administered ranged from 1 to 5 for minor surgical procedures and from 4 to 35 for major surgical procedures. For all surgical procedures, actual blood loss was no higher than the maximum expected blood loss. Intra-operative </w:t>
      </w:r>
      <w:proofErr w:type="spellStart"/>
      <w:r w:rsidR="009C1E6B">
        <w:t>simoctocog</w:t>
      </w:r>
      <w:proofErr w:type="spellEnd"/>
      <w:r w:rsidR="009C1E6B">
        <w:t xml:space="preserve"> </w:t>
      </w:r>
      <w:r w:rsidR="00FC63A1">
        <w:t>alfa</w:t>
      </w:r>
      <w:r w:rsidRPr="003258B0">
        <w:t xml:space="preserve"> was required for only one patient undergoing major </w:t>
      </w:r>
      <w:r w:rsidRPr="00486489">
        <w:t>surgery (</w:t>
      </w:r>
      <w:r w:rsidR="00486489" w:rsidRPr="00486489">
        <w:t>total knee replacement</w:t>
      </w:r>
      <w:r w:rsidR="00486489">
        <w:rPr>
          <w:rStyle w:val="st1"/>
          <w:rFonts w:ascii="Arial" w:hAnsi="Arial" w:cs="Arial"/>
          <w:color w:val="545454"/>
        </w:rPr>
        <w:t xml:space="preserve"> (</w:t>
      </w:r>
      <w:r w:rsidRPr="003258B0">
        <w:t>TKR</w:t>
      </w:r>
      <w:r w:rsidR="00486489">
        <w:t>)</w:t>
      </w:r>
      <w:r w:rsidRPr="003258B0">
        <w:t xml:space="preserve"> in GENA-04). Blood transfusions/</w:t>
      </w:r>
      <w:r w:rsidR="00FC6CD1">
        <w:t>fresh frozen plasma (</w:t>
      </w:r>
      <w:r w:rsidRPr="003258B0">
        <w:t>FFP</w:t>
      </w:r>
      <w:r w:rsidR="00FC6CD1">
        <w:t>)</w:t>
      </w:r>
      <w:r w:rsidRPr="003258B0">
        <w:t xml:space="preserve"> were administered on 3 occasions to 2 patients in GENA</w:t>
      </w:r>
      <w:r w:rsidR="00486489">
        <w:t xml:space="preserve">-04 undergoing major surgery (1 </w:t>
      </w:r>
      <w:r w:rsidR="00486489" w:rsidRPr="00486489">
        <w:t xml:space="preserve">total </w:t>
      </w:r>
      <w:r w:rsidR="00486489">
        <w:t>hip</w:t>
      </w:r>
      <w:r w:rsidR="00486489" w:rsidRPr="00486489">
        <w:t xml:space="preserve"> replacement</w:t>
      </w:r>
      <w:r w:rsidR="00486489">
        <w:rPr>
          <w:rStyle w:val="st1"/>
          <w:rFonts w:ascii="Arial" w:hAnsi="Arial" w:cs="Arial"/>
          <w:color w:val="545454"/>
        </w:rPr>
        <w:t xml:space="preserve"> (</w:t>
      </w:r>
      <w:r w:rsidRPr="003258B0">
        <w:t>THR</w:t>
      </w:r>
      <w:r w:rsidR="00486489">
        <w:t>)</w:t>
      </w:r>
      <w:r w:rsidRPr="003258B0">
        <w:t xml:space="preserve"> and 1 revision in 1 patient; 1</w:t>
      </w:r>
      <w:r w:rsidR="00486489">
        <w:t xml:space="preserve"> </w:t>
      </w:r>
      <w:r w:rsidRPr="003258B0">
        <w:t xml:space="preserve">TKR in 1 patient), and treatment with anti-fibrinolytics was given to 1 patient undergoing joint replacement surgery in GENA-08 and 1 patient undergoing circumcision in GENA-03. Post-operative wound haematoma was reported in only 1 patient (GENA-03) and this patient was subsequently diagnosed with </w:t>
      </w:r>
      <w:r w:rsidR="00486489">
        <w:t xml:space="preserve">von </w:t>
      </w:r>
      <w:proofErr w:type="spellStart"/>
      <w:r w:rsidR="00486489">
        <w:t>Willebrand</w:t>
      </w:r>
      <w:proofErr w:type="spellEnd"/>
      <w:r w:rsidR="00486489">
        <w:t xml:space="preserve"> disease (</w:t>
      </w:r>
      <w:proofErr w:type="spellStart"/>
      <w:r w:rsidR="00FC6CD1">
        <w:t>v</w:t>
      </w:r>
      <w:r w:rsidRPr="003258B0">
        <w:t>WD</w:t>
      </w:r>
      <w:proofErr w:type="spellEnd"/>
      <w:r w:rsidR="00486489">
        <w:t>)</w:t>
      </w:r>
      <w:r w:rsidRPr="003258B0">
        <w:t xml:space="preserve">. </w:t>
      </w:r>
    </w:p>
    <w:p w:rsidR="009622D4" w:rsidRDefault="009622D4" w:rsidP="009622D4">
      <w:pPr>
        <w:widowControl w:val="0"/>
        <w:autoSpaceDE w:val="0"/>
        <w:autoSpaceDN w:val="0"/>
        <w:adjustRightInd w:val="0"/>
      </w:pPr>
      <w:r w:rsidRPr="003258B0">
        <w:t xml:space="preserve">The overall efficacy of </w:t>
      </w:r>
      <w:proofErr w:type="spellStart"/>
      <w:r w:rsidR="009C1E6B">
        <w:t>simoctocog</w:t>
      </w:r>
      <w:proofErr w:type="spellEnd"/>
      <w:r w:rsidR="009C1E6B">
        <w:t xml:space="preserve"> </w:t>
      </w:r>
      <w:r w:rsidR="00FC63A1">
        <w:t>alfa</w:t>
      </w:r>
      <w:r w:rsidRPr="003258B0">
        <w:t xml:space="preserve"> for surgical procedures was evaluated intra-operatively and postoperatively, following the final suture of the surgical incision until at least 2 days (minor surgery) or at least 6 days (major surgery) after surgery or until healing was complete. Efficacy criteria included the amount of </w:t>
      </w:r>
      <w:r>
        <w:t xml:space="preserve">blood loss (compared to </w:t>
      </w:r>
      <w:r w:rsidR="002F0BEA">
        <w:t xml:space="preserve">the </w:t>
      </w:r>
      <w:r w:rsidRPr="003258B0">
        <w:t>expected) and the need for additional infusions not originally anticipated for the type of procedure. For all surgical procedures combined (</w:t>
      </w:r>
      <w:r w:rsidR="00486489">
        <w:t>that is</w:t>
      </w:r>
      <w:r w:rsidRPr="003258B0">
        <w:t xml:space="preserve">, minor and major), efficacy was rated as excellent for 87.9% (29/33), good for 9.1% (3/33), moderate for 3.0% (1/33), and none for 0% (0/33). For the 20 minor surgical procedures, efficacy was rated as excellent for all procedures. For the 13 major surgical procedures efficacy was rated as </w:t>
      </w:r>
      <w:r w:rsidRPr="003258B0">
        <w:lastRenderedPageBreak/>
        <w:t xml:space="preserve">excellent for 69.2% (9/13), good for 23.1% (3/13), and moderate for 7.6% (1/13). </w:t>
      </w:r>
    </w:p>
    <w:p w:rsidR="008C636C" w:rsidRPr="00605AD4" w:rsidRDefault="009622D4" w:rsidP="008C636C">
      <w:r>
        <w:t xml:space="preserve">The proposed dose (based on the PI) and the recommended dose used in all studies for surgical prophylaxis are summarised below in Table </w:t>
      </w:r>
      <w:r w:rsidR="00486489">
        <w:t>14</w:t>
      </w:r>
      <w:r>
        <w:t xml:space="preserve">. It is unclear why the proposed dosage regimens differ from those used in all 5 clinical studies. In particular, no pre-operative dose is being proposed for minor surgical procedures (including tooth extraction) although this was recommended in all studies. </w:t>
      </w:r>
      <w:r w:rsidRPr="007A25BD">
        <w:t>The sponsor will be asked to comment on this matter in the response to the questions arising from the first round evaluation of the submission.</w:t>
      </w:r>
      <w:r w:rsidR="008C636C" w:rsidRPr="008C636C">
        <w:t xml:space="preserve"> </w:t>
      </w:r>
      <w:r w:rsidR="008C636C">
        <w:t>The sponsor’s responses to the Clinical questions and the evaluator’s comments on the sponsor’s responses are detailed in the Extract from the CER, Attachment 2.</w:t>
      </w:r>
    </w:p>
    <w:p w:rsidR="009622D4" w:rsidRPr="00B17521" w:rsidRDefault="009622D4" w:rsidP="00486489">
      <w:pPr>
        <w:pStyle w:val="TableTitle"/>
      </w:pPr>
      <w:bookmarkStart w:id="95" w:name="_Toc248202564"/>
      <w:proofErr w:type="gramStart"/>
      <w:r>
        <w:t xml:space="preserve">Table </w:t>
      </w:r>
      <w:r w:rsidR="00486489">
        <w:t>14</w:t>
      </w:r>
      <w:r>
        <w:t>: Proposed dose (based on PI) and the recommended dose for surgical prophylaxis used in all 5 clinical studies.</w:t>
      </w:r>
      <w:bookmarkEnd w:id="95"/>
      <w:proofErr w:type="gramEnd"/>
    </w:p>
    <w:tbl>
      <w:tblPr>
        <w:tblStyle w:val="TableTGAblue"/>
        <w:tblW w:w="8613" w:type="dxa"/>
        <w:tblLayout w:type="fixed"/>
        <w:tblLook w:val="04A0" w:firstRow="1" w:lastRow="0" w:firstColumn="1" w:lastColumn="0" w:noHBand="0" w:noVBand="1"/>
      </w:tblPr>
      <w:tblGrid>
        <w:gridCol w:w="1526"/>
        <w:gridCol w:w="3685"/>
        <w:gridCol w:w="3402"/>
      </w:tblGrid>
      <w:tr w:rsidR="009622D4" w:rsidRPr="009B5112" w:rsidTr="00BC37E2">
        <w:trPr>
          <w:cnfStyle w:val="100000000000" w:firstRow="1" w:lastRow="0" w:firstColumn="0" w:lastColumn="0" w:oddVBand="0" w:evenVBand="0" w:oddHBand="0" w:evenHBand="0" w:firstRowFirstColumn="0" w:firstRowLastColumn="0" w:lastRowFirstColumn="0" w:lastRowLastColumn="0"/>
        </w:trPr>
        <w:tc>
          <w:tcPr>
            <w:tcW w:w="1526" w:type="dxa"/>
          </w:tcPr>
          <w:p w:rsidR="009622D4" w:rsidRPr="009B5112" w:rsidRDefault="009622D4" w:rsidP="00BC37E2">
            <w:r>
              <w:t>Procedures</w:t>
            </w:r>
          </w:p>
        </w:tc>
        <w:tc>
          <w:tcPr>
            <w:tcW w:w="3685" w:type="dxa"/>
          </w:tcPr>
          <w:p w:rsidR="009622D4" w:rsidRPr="009B5112" w:rsidRDefault="009622D4" w:rsidP="00BC37E2">
            <w:r w:rsidRPr="009B5112">
              <w:t xml:space="preserve">Proposed Dose - based on PI </w:t>
            </w:r>
          </w:p>
        </w:tc>
        <w:tc>
          <w:tcPr>
            <w:tcW w:w="3402" w:type="dxa"/>
          </w:tcPr>
          <w:p w:rsidR="009622D4" w:rsidRPr="009B5112" w:rsidRDefault="009622D4" w:rsidP="00BC37E2">
            <w:r w:rsidRPr="009B5112">
              <w:t xml:space="preserve">All studies - GENA-01, -08, -03, -09, -04, </w:t>
            </w:r>
          </w:p>
        </w:tc>
      </w:tr>
      <w:tr w:rsidR="009622D4" w:rsidRPr="009B5112" w:rsidTr="00BC37E2">
        <w:tc>
          <w:tcPr>
            <w:tcW w:w="1526" w:type="dxa"/>
          </w:tcPr>
          <w:p w:rsidR="009622D4" w:rsidRPr="009B5112" w:rsidRDefault="009622D4" w:rsidP="00BC37E2">
            <w:r w:rsidRPr="009B5112">
              <w:t>Minor including tooth extraction</w:t>
            </w:r>
          </w:p>
        </w:tc>
        <w:tc>
          <w:tcPr>
            <w:tcW w:w="3685" w:type="dxa"/>
          </w:tcPr>
          <w:p w:rsidR="009622D4" w:rsidRPr="009B5112" w:rsidRDefault="009622D4" w:rsidP="00BC37E2">
            <w:r w:rsidRPr="009B5112">
              <w:rPr>
                <w:color w:val="000000"/>
              </w:rPr>
              <w:t>FVIII level required 30-60%; (15-30 IU/kg) every 24 hours at least 1 day until healing is achieved</w:t>
            </w:r>
            <w:r>
              <w:rPr>
                <w:color w:val="000000"/>
              </w:rPr>
              <w:t xml:space="preserve">. </w:t>
            </w:r>
            <w:r w:rsidRPr="00E46089">
              <w:rPr>
                <w:i/>
                <w:color w:val="000000"/>
              </w:rPr>
              <w:t xml:space="preserve">(Recommended dose is not stated in the PI but would be </w:t>
            </w:r>
            <w:r>
              <w:rPr>
                <w:i/>
                <w:color w:val="000000"/>
              </w:rPr>
              <w:t>15-30</w:t>
            </w:r>
            <w:r w:rsidRPr="00E46089">
              <w:rPr>
                <w:i/>
                <w:color w:val="000000"/>
              </w:rPr>
              <w:t xml:space="preserve"> IU/kg based on the required FVIII levels).</w:t>
            </w:r>
            <w:r w:rsidR="00FF5033">
              <w:rPr>
                <w:color w:val="000000"/>
              </w:rPr>
              <w:t xml:space="preserve"> </w:t>
            </w:r>
          </w:p>
        </w:tc>
        <w:tc>
          <w:tcPr>
            <w:tcW w:w="3402" w:type="dxa"/>
          </w:tcPr>
          <w:p w:rsidR="009622D4" w:rsidRPr="009B5112" w:rsidRDefault="009622D4" w:rsidP="00BC37E2">
            <w:r w:rsidRPr="009B5112">
              <w:t>25–30 IU FVIII/kg within 3 h prior to surgery to achieve peak target level of approximately 50–60</w:t>
            </w:r>
            <w:r w:rsidR="002F0BEA" w:rsidRPr="009B5112">
              <w:t>%</w:t>
            </w:r>
            <w:r w:rsidRPr="009B5112">
              <w:t xml:space="preserve"> repeated every 12–24 h</w:t>
            </w:r>
            <w:r>
              <w:t xml:space="preserve"> </w:t>
            </w:r>
            <w:r w:rsidRPr="009B5112">
              <w:t>until healing is complete. Trough level maintained</w:t>
            </w:r>
            <w:r>
              <w:t xml:space="preserve"> </w:t>
            </w:r>
            <w:r w:rsidRPr="009B5112">
              <w:t>at approximately 30%.</w:t>
            </w:r>
          </w:p>
        </w:tc>
      </w:tr>
      <w:tr w:rsidR="009622D4" w:rsidRPr="009B5112" w:rsidTr="00BC37E2">
        <w:tc>
          <w:tcPr>
            <w:tcW w:w="1526" w:type="dxa"/>
          </w:tcPr>
          <w:p w:rsidR="009622D4" w:rsidRPr="009B5112" w:rsidRDefault="00BC37E2" w:rsidP="00BC37E2">
            <w:r>
              <w:t>Major</w:t>
            </w:r>
          </w:p>
        </w:tc>
        <w:tc>
          <w:tcPr>
            <w:tcW w:w="3685" w:type="dxa"/>
          </w:tcPr>
          <w:p w:rsidR="009622D4" w:rsidRPr="00E46089" w:rsidRDefault="009622D4" w:rsidP="00BC37E2">
            <w:pPr>
              <w:rPr>
                <w:i/>
                <w:color w:val="000000"/>
              </w:rPr>
            </w:pPr>
            <w:r w:rsidRPr="009B5112">
              <w:rPr>
                <w:color w:val="000000"/>
              </w:rPr>
              <w:t xml:space="preserve">FVIII level 80-100% (pre- and post-operatively); </w:t>
            </w:r>
            <w:r>
              <w:rPr>
                <w:color w:val="000000"/>
              </w:rPr>
              <w:t>r</w:t>
            </w:r>
            <w:r w:rsidRPr="009B5112">
              <w:rPr>
                <w:color w:val="000000"/>
              </w:rPr>
              <w:t xml:space="preserve">epeat infusion every 8-12 hours until adequate wound healing, then therapy for at least another 7 days to maintain a FVIII level of 30 to 60%. </w:t>
            </w:r>
            <w:r w:rsidRPr="00E46089">
              <w:rPr>
                <w:i/>
                <w:color w:val="000000"/>
              </w:rPr>
              <w:t xml:space="preserve">(Recommended dose is not stated in the PI but would be </w:t>
            </w:r>
            <w:r>
              <w:rPr>
                <w:i/>
                <w:color w:val="000000"/>
              </w:rPr>
              <w:t>40</w:t>
            </w:r>
            <w:r w:rsidRPr="00E46089">
              <w:rPr>
                <w:i/>
                <w:color w:val="000000"/>
              </w:rPr>
              <w:t xml:space="preserve">-50 IU/kg </w:t>
            </w:r>
            <w:r>
              <w:rPr>
                <w:i/>
                <w:color w:val="000000"/>
              </w:rPr>
              <w:t xml:space="preserve">initially and 15-30 IU/kg subsequently </w:t>
            </w:r>
            <w:r w:rsidRPr="00E46089">
              <w:rPr>
                <w:i/>
                <w:color w:val="000000"/>
              </w:rPr>
              <w:t>based on the required FVIII levels).</w:t>
            </w:r>
            <w:r w:rsidR="00FF5033">
              <w:rPr>
                <w:color w:val="000000"/>
              </w:rPr>
              <w:t xml:space="preserve"> </w:t>
            </w:r>
          </w:p>
        </w:tc>
        <w:tc>
          <w:tcPr>
            <w:tcW w:w="3402" w:type="dxa"/>
          </w:tcPr>
          <w:p w:rsidR="009622D4" w:rsidRPr="009B5112" w:rsidRDefault="009622D4" w:rsidP="00BC37E2">
            <w:r w:rsidRPr="009B5112">
              <w:t>50 IU FVIII/kg within 3 h prior to surgery</w:t>
            </w:r>
            <w:r>
              <w:t xml:space="preserve"> </w:t>
            </w:r>
            <w:r w:rsidRPr="009B5112">
              <w:t>to achieve target peak level of approximately 100</w:t>
            </w:r>
            <w:r w:rsidR="002F0BEA" w:rsidRPr="009B5112">
              <w:t>%</w:t>
            </w:r>
            <w:r w:rsidRPr="009B5112">
              <w:t xml:space="preserve"> repeated if necessary after 6–12 h initially and for </w:t>
            </w:r>
            <w:r w:rsidRPr="009B5112">
              <w:rPr>
                <w:rFonts w:cs="ÄÂ'FFø6—"/>
              </w:rPr>
              <w:t xml:space="preserve">≥ </w:t>
            </w:r>
            <w:r w:rsidRPr="009B5112">
              <w:t>6 days until healing is complete. Trough level maintained at approximately 50%.</w:t>
            </w:r>
          </w:p>
        </w:tc>
      </w:tr>
    </w:tbl>
    <w:p w:rsidR="008E7846" w:rsidRPr="002E238E" w:rsidRDefault="008E7846" w:rsidP="008E7846">
      <w:pPr>
        <w:pStyle w:val="Heading3"/>
      </w:pPr>
      <w:bookmarkStart w:id="96" w:name="_Toc163441378"/>
      <w:bookmarkStart w:id="97" w:name="_Toc196046495"/>
      <w:bookmarkStart w:id="98" w:name="_Toc247691522"/>
      <w:bookmarkStart w:id="99" w:name="_Toc314842505"/>
      <w:bookmarkStart w:id="100" w:name="_Toc453683281"/>
      <w:bookmarkEnd w:id="82"/>
      <w:bookmarkEnd w:id="83"/>
      <w:bookmarkEnd w:id="84"/>
      <w:bookmarkEnd w:id="85"/>
      <w:r w:rsidRPr="002E238E">
        <w:t>Safety</w:t>
      </w:r>
      <w:bookmarkEnd w:id="96"/>
      <w:bookmarkEnd w:id="97"/>
      <w:bookmarkEnd w:id="98"/>
      <w:bookmarkEnd w:id="99"/>
      <w:bookmarkEnd w:id="100"/>
    </w:p>
    <w:p w:rsidR="00605AD4" w:rsidRPr="00486489" w:rsidRDefault="00605AD4" w:rsidP="00486489">
      <w:pPr>
        <w:pStyle w:val="Heading4"/>
      </w:pPr>
      <w:bookmarkStart w:id="101" w:name="_Toc247691524"/>
      <w:bookmarkStart w:id="102" w:name="_Toc314842508"/>
      <w:bookmarkStart w:id="103" w:name="_Toc196046504"/>
      <w:bookmarkStart w:id="104" w:name="_Toc163441390"/>
      <w:r w:rsidRPr="00605AD4">
        <w:t>Studies providing safety data</w:t>
      </w:r>
    </w:p>
    <w:p w:rsidR="009622D4" w:rsidRDefault="009622D4" w:rsidP="009622D4">
      <w:r>
        <w:t xml:space="preserve">All five completed studies included safety data on </w:t>
      </w:r>
      <w:proofErr w:type="spellStart"/>
      <w:r w:rsidR="009C1E6B">
        <w:t>simoctocog</w:t>
      </w:r>
      <w:proofErr w:type="spellEnd"/>
      <w:r w:rsidR="009C1E6B">
        <w:t xml:space="preserve"> </w:t>
      </w:r>
      <w:r w:rsidR="00FC63A1">
        <w:t>alfa</w:t>
      </w:r>
      <w:r>
        <w:t xml:space="preserve"> for the treatment of severe haemophilia A. The submission included an integrated summary of the safety data from the five clinical studies. In this CER, the evaluation of safety includes a review of the integrated safety data, supplemented where relevant from the individual study reports, and a separate review of the safety data from the paediatric </w:t>
      </w:r>
      <w:r w:rsidR="00486489">
        <w:t>S</w:t>
      </w:r>
      <w:r>
        <w:t xml:space="preserve">tudy GENA-03. </w:t>
      </w:r>
    </w:p>
    <w:p w:rsidR="00605AD4" w:rsidRPr="00486489" w:rsidRDefault="00605AD4" w:rsidP="00486489">
      <w:pPr>
        <w:pStyle w:val="Heading4"/>
      </w:pPr>
      <w:r w:rsidRPr="00605AD4">
        <w:t>Patient exposure</w:t>
      </w:r>
    </w:p>
    <w:p w:rsidR="009622D4" w:rsidRDefault="009622D4" w:rsidP="009622D4">
      <w:r>
        <w:t xml:space="preserve">A total of 135 individual patients underwent treatment with </w:t>
      </w:r>
      <w:proofErr w:type="spellStart"/>
      <w:r w:rsidR="009C1E6B">
        <w:t>simoctocog</w:t>
      </w:r>
      <w:proofErr w:type="spellEnd"/>
      <w:r w:rsidR="009C1E6B">
        <w:t xml:space="preserve"> </w:t>
      </w:r>
      <w:r w:rsidR="00FC63A1">
        <w:t>alfa</w:t>
      </w:r>
      <w:r>
        <w:t xml:space="preserve"> in the four completed studies and are included in the safety population (GENA-01, GENA-08, GENA-03</w:t>
      </w:r>
      <w:r w:rsidR="002F0BEA">
        <w:t xml:space="preserve"> and</w:t>
      </w:r>
      <w:r>
        <w:t xml:space="preserve"> GENA-09) and 18 of the patients from GENA-09 continued into the long-term </w:t>
      </w:r>
      <w:r>
        <w:lastRenderedPageBreak/>
        <w:t xml:space="preserve">extension </w:t>
      </w:r>
      <w:r w:rsidR="00486489">
        <w:t>S</w:t>
      </w:r>
      <w:r>
        <w:t xml:space="preserve">tudy GENA-04. The exposure data for the safety populations from the five completed studies are summarised below in Table </w:t>
      </w:r>
      <w:r w:rsidR="00486489">
        <w:t>15</w:t>
      </w:r>
      <w:r w:rsidR="001963C4">
        <w:t>.</w:t>
      </w:r>
    </w:p>
    <w:p w:rsidR="009622D4" w:rsidRDefault="009622D4" w:rsidP="00486489">
      <w:pPr>
        <w:pStyle w:val="TableTitle"/>
      </w:pPr>
      <w:bookmarkStart w:id="105" w:name="_Toc248202565"/>
      <w:proofErr w:type="gramStart"/>
      <w:r>
        <w:t xml:space="preserve">Table </w:t>
      </w:r>
      <w:r w:rsidR="00486489">
        <w:t>15</w:t>
      </w:r>
      <w:r>
        <w:t xml:space="preserve">: Study drug exposure data; </w:t>
      </w:r>
      <w:r w:rsidR="00951396">
        <w:t>S</w:t>
      </w:r>
      <w:r>
        <w:t>afety populations.</w:t>
      </w:r>
      <w:bookmarkEnd w:id="105"/>
      <w:proofErr w:type="gramEnd"/>
    </w:p>
    <w:tbl>
      <w:tblPr>
        <w:tblStyle w:val="TableTGAblue"/>
        <w:tblW w:w="8104" w:type="dxa"/>
        <w:tblLayout w:type="fixed"/>
        <w:tblLook w:val="04A0" w:firstRow="1" w:lastRow="0" w:firstColumn="1" w:lastColumn="0" w:noHBand="0" w:noVBand="1"/>
      </w:tblPr>
      <w:tblGrid>
        <w:gridCol w:w="1526"/>
        <w:gridCol w:w="1168"/>
        <w:gridCol w:w="1275"/>
        <w:gridCol w:w="1418"/>
        <w:gridCol w:w="1417"/>
        <w:gridCol w:w="1300"/>
      </w:tblGrid>
      <w:tr w:rsidR="00951396" w:rsidRPr="00723039" w:rsidTr="001963C4">
        <w:trPr>
          <w:cnfStyle w:val="100000000000" w:firstRow="1" w:lastRow="0" w:firstColumn="0" w:lastColumn="0" w:oddVBand="0" w:evenVBand="0" w:oddHBand="0" w:evenHBand="0" w:firstRowFirstColumn="0" w:firstRowLastColumn="0" w:lastRowFirstColumn="0" w:lastRowLastColumn="0"/>
        </w:trPr>
        <w:tc>
          <w:tcPr>
            <w:tcW w:w="1526" w:type="dxa"/>
          </w:tcPr>
          <w:p w:rsidR="00951396" w:rsidRPr="00723039" w:rsidRDefault="00951396" w:rsidP="001963C4">
            <w:pPr>
              <w:ind w:left="0"/>
              <w:rPr>
                <w:rFonts w:asciiTheme="minorHAnsi" w:hAnsiTheme="minorHAnsi"/>
              </w:rPr>
            </w:pPr>
            <w:r w:rsidRPr="00723039">
              <w:t>Parameter</w:t>
            </w:r>
          </w:p>
        </w:tc>
        <w:tc>
          <w:tcPr>
            <w:tcW w:w="1168" w:type="dxa"/>
          </w:tcPr>
          <w:p w:rsidR="00951396" w:rsidRPr="00723039" w:rsidRDefault="00951396" w:rsidP="001963C4">
            <w:pPr>
              <w:ind w:left="34"/>
              <w:rPr>
                <w:rFonts w:asciiTheme="minorHAnsi" w:hAnsiTheme="minorHAnsi"/>
              </w:rPr>
            </w:pPr>
            <w:r w:rsidRPr="00723039">
              <w:t>GENA-01</w:t>
            </w:r>
            <w:r w:rsidR="001963C4">
              <w:t xml:space="preserve"> </w:t>
            </w:r>
            <w:r w:rsidRPr="00723039">
              <w:t>(n = 22)</w:t>
            </w:r>
          </w:p>
        </w:tc>
        <w:tc>
          <w:tcPr>
            <w:tcW w:w="1275" w:type="dxa"/>
          </w:tcPr>
          <w:p w:rsidR="00951396" w:rsidRPr="00723039" w:rsidRDefault="00951396" w:rsidP="001963C4">
            <w:pPr>
              <w:ind w:left="0"/>
              <w:rPr>
                <w:rFonts w:asciiTheme="minorHAnsi" w:hAnsiTheme="minorHAnsi"/>
              </w:rPr>
            </w:pPr>
            <w:r w:rsidRPr="00723039">
              <w:t>GENA-08</w:t>
            </w:r>
            <w:r w:rsidR="001963C4">
              <w:t xml:space="preserve"> </w:t>
            </w:r>
            <w:r w:rsidRPr="00723039">
              <w:t>(n = 32)</w:t>
            </w:r>
          </w:p>
        </w:tc>
        <w:tc>
          <w:tcPr>
            <w:tcW w:w="1418" w:type="dxa"/>
          </w:tcPr>
          <w:p w:rsidR="00951396" w:rsidRPr="00723039" w:rsidRDefault="00951396" w:rsidP="001963C4">
            <w:pPr>
              <w:ind w:left="0"/>
              <w:rPr>
                <w:rFonts w:asciiTheme="minorHAnsi" w:hAnsiTheme="minorHAnsi"/>
              </w:rPr>
            </w:pPr>
            <w:r w:rsidRPr="00723039">
              <w:t>GENA-03</w:t>
            </w:r>
            <w:r w:rsidR="001963C4">
              <w:t xml:space="preserve"> </w:t>
            </w:r>
            <w:r w:rsidRPr="00723039">
              <w:t>(n= 59)</w:t>
            </w:r>
          </w:p>
        </w:tc>
        <w:tc>
          <w:tcPr>
            <w:tcW w:w="1417" w:type="dxa"/>
          </w:tcPr>
          <w:p w:rsidR="00951396" w:rsidRPr="00723039" w:rsidRDefault="00951396" w:rsidP="001963C4">
            <w:pPr>
              <w:ind w:left="0"/>
              <w:rPr>
                <w:rFonts w:asciiTheme="minorHAnsi" w:hAnsiTheme="minorHAnsi"/>
              </w:rPr>
            </w:pPr>
            <w:r w:rsidRPr="00723039">
              <w:t>GENA-09</w:t>
            </w:r>
            <w:r w:rsidR="001963C4">
              <w:t xml:space="preserve"> </w:t>
            </w:r>
            <w:r w:rsidRPr="00723039">
              <w:t>(n = 22)</w:t>
            </w:r>
          </w:p>
        </w:tc>
        <w:tc>
          <w:tcPr>
            <w:tcW w:w="1300" w:type="dxa"/>
          </w:tcPr>
          <w:p w:rsidR="00951396" w:rsidRPr="00723039" w:rsidRDefault="00951396" w:rsidP="001963C4">
            <w:pPr>
              <w:ind w:left="0"/>
              <w:rPr>
                <w:rFonts w:asciiTheme="minorHAnsi" w:hAnsiTheme="minorHAnsi"/>
              </w:rPr>
            </w:pPr>
            <w:r>
              <w:t>GENA-04</w:t>
            </w:r>
            <w:r w:rsidR="001963C4">
              <w:t xml:space="preserve"> </w:t>
            </w:r>
            <w:r w:rsidRPr="00723039">
              <w:t>(n = 18)</w:t>
            </w:r>
            <w:r>
              <w:t>*</w:t>
            </w:r>
          </w:p>
        </w:tc>
      </w:tr>
      <w:tr w:rsidR="00951396" w:rsidRPr="00723039" w:rsidTr="001963C4">
        <w:tc>
          <w:tcPr>
            <w:tcW w:w="1526" w:type="dxa"/>
          </w:tcPr>
          <w:p w:rsidR="00951396" w:rsidRPr="00723039" w:rsidRDefault="00951396" w:rsidP="001963C4">
            <w:pPr>
              <w:ind w:left="0"/>
              <w:rPr>
                <w:rFonts w:asciiTheme="minorHAnsi" w:hAnsiTheme="minorHAnsi"/>
              </w:rPr>
            </w:pPr>
            <w:r w:rsidRPr="00723039">
              <w:t>EDs per patient, n</w:t>
            </w:r>
          </w:p>
        </w:tc>
        <w:tc>
          <w:tcPr>
            <w:tcW w:w="1168" w:type="dxa"/>
          </w:tcPr>
          <w:p w:rsidR="00951396" w:rsidRPr="00723039" w:rsidRDefault="00951396" w:rsidP="001963C4">
            <w:pPr>
              <w:ind w:left="34"/>
              <w:rPr>
                <w:rFonts w:asciiTheme="minorHAnsi" w:hAnsiTheme="minorHAnsi"/>
              </w:rPr>
            </w:pPr>
            <w:r w:rsidRPr="00723039">
              <w:t>53.3</w:t>
            </w:r>
            <w:r w:rsidR="001963C4">
              <w:t xml:space="preserve"> </w:t>
            </w:r>
            <w:r w:rsidRPr="00723039">
              <w:t>18, 97</w:t>
            </w:r>
          </w:p>
        </w:tc>
        <w:tc>
          <w:tcPr>
            <w:tcW w:w="1275" w:type="dxa"/>
          </w:tcPr>
          <w:p w:rsidR="00951396" w:rsidRPr="00723039" w:rsidRDefault="00951396" w:rsidP="001963C4">
            <w:pPr>
              <w:ind w:left="0"/>
              <w:rPr>
                <w:rFonts w:asciiTheme="minorHAnsi" w:hAnsiTheme="minorHAnsi"/>
              </w:rPr>
            </w:pPr>
            <w:r w:rsidRPr="00723039">
              <w:t>90.3</w:t>
            </w:r>
            <w:r w:rsidR="001963C4">
              <w:t xml:space="preserve"> </w:t>
            </w:r>
            <w:r w:rsidRPr="00723039">
              <w:t>17, 105</w:t>
            </w:r>
          </w:p>
        </w:tc>
        <w:tc>
          <w:tcPr>
            <w:tcW w:w="1418" w:type="dxa"/>
          </w:tcPr>
          <w:p w:rsidR="00951396" w:rsidRPr="00723039" w:rsidRDefault="00951396" w:rsidP="001963C4">
            <w:pPr>
              <w:ind w:left="0"/>
              <w:rPr>
                <w:rFonts w:asciiTheme="minorHAnsi" w:hAnsiTheme="minorHAnsi"/>
              </w:rPr>
            </w:pPr>
            <w:r w:rsidRPr="00723039">
              <w:t>96.1</w:t>
            </w:r>
            <w:r w:rsidR="001963C4">
              <w:t xml:space="preserve">, </w:t>
            </w:r>
            <w:r w:rsidRPr="00723039">
              <w:t>24, 152</w:t>
            </w:r>
          </w:p>
        </w:tc>
        <w:tc>
          <w:tcPr>
            <w:tcW w:w="1417" w:type="dxa"/>
          </w:tcPr>
          <w:p w:rsidR="00951396" w:rsidRPr="00723039" w:rsidRDefault="00951396" w:rsidP="001963C4">
            <w:pPr>
              <w:ind w:left="0"/>
              <w:rPr>
                <w:rFonts w:asciiTheme="minorHAnsi" w:hAnsiTheme="minorHAnsi"/>
              </w:rPr>
            </w:pPr>
            <w:r w:rsidRPr="00723039">
              <w:t>97.7</w:t>
            </w:r>
            <w:r w:rsidR="001963C4">
              <w:t xml:space="preserve">, </w:t>
            </w:r>
            <w:r w:rsidRPr="00723039">
              <w:t>79, 132</w:t>
            </w:r>
          </w:p>
        </w:tc>
        <w:tc>
          <w:tcPr>
            <w:tcW w:w="1300" w:type="dxa"/>
          </w:tcPr>
          <w:p w:rsidR="00951396" w:rsidRPr="00723039" w:rsidRDefault="00951396" w:rsidP="001963C4">
            <w:pPr>
              <w:ind w:left="0"/>
              <w:rPr>
                <w:rFonts w:asciiTheme="minorHAnsi" w:hAnsiTheme="minorHAnsi"/>
              </w:rPr>
            </w:pPr>
            <w:r w:rsidRPr="00723039">
              <w:t>226</w:t>
            </w:r>
            <w:r w:rsidR="001963C4">
              <w:t xml:space="preserve">, </w:t>
            </w:r>
            <w:r w:rsidRPr="00723039">
              <w:t>14, 299</w:t>
            </w:r>
          </w:p>
        </w:tc>
      </w:tr>
      <w:tr w:rsidR="00951396" w:rsidRPr="00723039" w:rsidTr="001963C4">
        <w:tc>
          <w:tcPr>
            <w:tcW w:w="1526" w:type="dxa"/>
          </w:tcPr>
          <w:p w:rsidR="00951396" w:rsidRPr="00723039" w:rsidRDefault="00951396" w:rsidP="001963C4">
            <w:pPr>
              <w:ind w:left="0"/>
              <w:rPr>
                <w:rFonts w:asciiTheme="minorHAnsi" w:hAnsiTheme="minorHAnsi"/>
              </w:rPr>
            </w:pPr>
            <w:r w:rsidRPr="00723039">
              <w:t>Infusions per patient, n</w:t>
            </w:r>
          </w:p>
        </w:tc>
        <w:tc>
          <w:tcPr>
            <w:tcW w:w="1168" w:type="dxa"/>
          </w:tcPr>
          <w:p w:rsidR="00951396" w:rsidRPr="00723039" w:rsidRDefault="00951396" w:rsidP="001963C4">
            <w:pPr>
              <w:ind w:left="34"/>
              <w:rPr>
                <w:rFonts w:asciiTheme="minorHAnsi" w:hAnsiTheme="minorHAnsi"/>
              </w:rPr>
            </w:pPr>
            <w:r w:rsidRPr="00723039">
              <w:t>54.9</w:t>
            </w:r>
            <w:r w:rsidR="001963C4">
              <w:t xml:space="preserve">, </w:t>
            </w:r>
            <w:r w:rsidRPr="00723039">
              <w:t>18, 115</w:t>
            </w:r>
          </w:p>
        </w:tc>
        <w:tc>
          <w:tcPr>
            <w:tcW w:w="1275" w:type="dxa"/>
          </w:tcPr>
          <w:p w:rsidR="00951396" w:rsidRPr="00723039" w:rsidRDefault="00951396" w:rsidP="001963C4">
            <w:pPr>
              <w:ind w:left="0"/>
              <w:rPr>
                <w:rFonts w:asciiTheme="minorHAnsi" w:hAnsiTheme="minorHAnsi"/>
              </w:rPr>
            </w:pPr>
            <w:r w:rsidRPr="00723039">
              <w:t>91.3</w:t>
            </w:r>
            <w:r w:rsidR="001963C4">
              <w:t xml:space="preserve">, </w:t>
            </w:r>
            <w:r w:rsidRPr="00723039">
              <w:t>17, 113</w:t>
            </w:r>
          </w:p>
        </w:tc>
        <w:tc>
          <w:tcPr>
            <w:tcW w:w="1418" w:type="dxa"/>
          </w:tcPr>
          <w:p w:rsidR="00951396" w:rsidRPr="00723039" w:rsidRDefault="00951396" w:rsidP="001963C4">
            <w:pPr>
              <w:ind w:left="0"/>
              <w:rPr>
                <w:rFonts w:asciiTheme="minorHAnsi" w:hAnsiTheme="minorHAnsi"/>
              </w:rPr>
            </w:pPr>
            <w:r w:rsidRPr="00723039">
              <w:t>97.4</w:t>
            </w:r>
            <w:r w:rsidR="001963C4">
              <w:t xml:space="preserve">, </w:t>
            </w:r>
            <w:r w:rsidRPr="00723039">
              <w:t>26, 152</w:t>
            </w:r>
          </w:p>
        </w:tc>
        <w:tc>
          <w:tcPr>
            <w:tcW w:w="1417" w:type="dxa"/>
          </w:tcPr>
          <w:p w:rsidR="00951396" w:rsidRPr="00723039" w:rsidRDefault="00951396" w:rsidP="001963C4">
            <w:pPr>
              <w:ind w:left="0"/>
              <w:rPr>
                <w:rFonts w:asciiTheme="minorHAnsi" w:hAnsiTheme="minorHAnsi"/>
              </w:rPr>
            </w:pPr>
            <w:r w:rsidRPr="00723039">
              <w:t>97.9</w:t>
            </w:r>
            <w:r w:rsidR="001963C4">
              <w:t xml:space="preserve">, </w:t>
            </w:r>
            <w:r w:rsidRPr="00723039">
              <w:t>79, 132</w:t>
            </w:r>
          </w:p>
        </w:tc>
        <w:tc>
          <w:tcPr>
            <w:tcW w:w="1300" w:type="dxa"/>
          </w:tcPr>
          <w:p w:rsidR="00951396" w:rsidRPr="00723039" w:rsidRDefault="00951396" w:rsidP="001963C4">
            <w:pPr>
              <w:ind w:left="0"/>
              <w:rPr>
                <w:rFonts w:asciiTheme="minorHAnsi" w:hAnsiTheme="minorHAnsi"/>
              </w:rPr>
            </w:pPr>
            <w:r w:rsidRPr="00723039">
              <w:t>228</w:t>
            </w:r>
            <w:r w:rsidR="001963C4">
              <w:t xml:space="preserve">, </w:t>
            </w:r>
            <w:r w:rsidRPr="00723039">
              <w:t>14, 319</w:t>
            </w:r>
          </w:p>
        </w:tc>
      </w:tr>
      <w:tr w:rsidR="00951396" w:rsidRPr="00723039" w:rsidTr="001963C4">
        <w:tc>
          <w:tcPr>
            <w:tcW w:w="1526" w:type="dxa"/>
          </w:tcPr>
          <w:p w:rsidR="00951396" w:rsidRPr="00723039" w:rsidRDefault="00951396" w:rsidP="001963C4">
            <w:pPr>
              <w:ind w:left="0"/>
              <w:rPr>
                <w:rFonts w:asciiTheme="minorHAnsi" w:hAnsiTheme="minorHAnsi"/>
              </w:rPr>
            </w:pPr>
            <w:r w:rsidRPr="00723039">
              <w:t>Total dose, IU</w:t>
            </w:r>
          </w:p>
        </w:tc>
        <w:tc>
          <w:tcPr>
            <w:tcW w:w="1168" w:type="dxa"/>
          </w:tcPr>
          <w:p w:rsidR="00951396" w:rsidRPr="00723039" w:rsidRDefault="00951396" w:rsidP="001963C4">
            <w:pPr>
              <w:ind w:left="34"/>
              <w:rPr>
                <w:rFonts w:asciiTheme="minorHAnsi" w:hAnsiTheme="minorHAnsi"/>
              </w:rPr>
            </w:pPr>
            <w:r w:rsidRPr="00723039">
              <w:t>135,947</w:t>
            </w:r>
            <w:r w:rsidR="001963C4">
              <w:t xml:space="preserve">, </w:t>
            </w:r>
            <w:r w:rsidRPr="00723039">
              <w:t>68,395, 279,150</w:t>
            </w:r>
          </w:p>
        </w:tc>
        <w:tc>
          <w:tcPr>
            <w:tcW w:w="1275" w:type="dxa"/>
          </w:tcPr>
          <w:p w:rsidR="00951396" w:rsidRPr="00723039" w:rsidRDefault="00951396" w:rsidP="001963C4">
            <w:pPr>
              <w:ind w:left="0"/>
              <w:rPr>
                <w:rFonts w:asciiTheme="minorHAnsi" w:hAnsiTheme="minorHAnsi"/>
              </w:rPr>
            </w:pPr>
            <w:r w:rsidRPr="00723039">
              <w:t>248,516</w:t>
            </w:r>
            <w:r w:rsidR="001963C4">
              <w:t xml:space="preserve">, </w:t>
            </w:r>
            <w:r w:rsidRPr="00723039">
              <w:t>61,545, 389,728</w:t>
            </w:r>
          </w:p>
        </w:tc>
        <w:tc>
          <w:tcPr>
            <w:tcW w:w="1418" w:type="dxa"/>
          </w:tcPr>
          <w:p w:rsidR="00951396" w:rsidRPr="00723039" w:rsidRDefault="00951396" w:rsidP="001963C4">
            <w:pPr>
              <w:ind w:left="0"/>
              <w:rPr>
                <w:rFonts w:asciiTheme="minorHAnsi" w:hAnsiTheme="minorHAnsi"/>
              </w:rPr>
            </w:pPr>
            <w:r w:rsidRPr="00723039">
              <w:t>104,813</w:t>
            </w:r>
            <w:r w:rsidR="001963C4">
              <w:t xml:space="preserve">, </w:t>
            </w:r>
            <w:r w:rsidRPr="00723039">
              <w:t>24,005, 374,225</w:t>
            </w:r>
          </w:p>
        </w:tc>
        <w:tc>
          <w:tcPr>
            <w:tcW w:w="1417" w:type="dxa"/>
          </w:tcPr>
          <w:p w:rsidR="00951396" w:rsidRPr="00723039" w:rsidRDefault="00951396" w:rsidP="001963C4">
            <w:pPr>
              <w:ind w:left="0"/>
              <w:rPr>
                <w:rFonts w:asciiTheme="minorHAnsi" w:hAnsiTheme="minorHAnsi"/>
              </w:rPr>
            </w:pPr>
            <w:r w:rsidRPr="00723039">
              <w:t>226,576</w:t>
            </w:r>
            <w:r w:rsidR="001963C4">
              <w:t xml:space="preserve">, </w:t>
            </w:r>
            <w:r w:rsidRPr="00723039">
              <w:t>143,500, 371,250</w:t>
            </w:r>
          </w:p>
        </w:tc>
        <w:tc>
          <w:tcPr>
            <w:tcW w:w="1300" w:type="dxa"/>
          </w:tcPr>
          <w:p w:rsidR="00951396" w:rsidRPr="00723039" w:rsidRDefault="00951396" w:rsidP="001963C4">
            <w:pPr>
              <w:ind w:left="0"/>
              <w:rPr>
                <w:rFonts w:asciiTheme="minorHAnsi" w:hAnsiTheme="minorHAnsi"/>
              </w:rPr>
            </w:pPr>
            <w:r w:rsidRPr="00723039">
              <w:t>585,489</w:t>
            </w:r>
            <w:r w:rsidR="001963C4">
              <w:t xml:space="preserve">, </w:t>
            </w:r>
            <w:r w:rsidRPr="00723039">
              <w:t>34,000, 996,550</w:t>
            </w:r>
          </w:p>
        </w:tc>
      </w:tr>
      <w:tr w:rsidR="00951396" w:rsidRPr="00723039" w:rsidTr="001963C4">
        <w:tc>
          <w:tcPr>
            <w:tcW w:w="1526" w:type="dxa"/>
          </w:tcPr>
          <w:p w:rsidR="00951396" w:rsidRPr="00723039" w:rsidRDefault="00951396" w:rsidP="001963C4">
            <w:pPr>
              <w:ind w:left="0"/>
              <w:rPr>
                <w:rFonts w:asciiTheme="minorHAnsi" w:hAnsiTheme="minorHAnsi"/>
              </w:rPr>
            </w:pPr>
            <w:r w:rsidRPr="00723039">
              <w:t>Total dose, IU/kg</w:t>
            </w:r>
          </w:p>
        </w:tc>
        <w:tc>
          <w:tcPr>
            <w:tcW w:w="1168" w:type="dxa"/>
          </w:tcPr>
          <w:p w:rsidR="00951396" w:rsidRPr="00723039" w:rsidRDefault="00951396" w:rsidP="001963C4">
            <w:pPr>
              <w:ind w:left="34"/>
              <w:rPr>
                <w:rFonts w:asciiTheme="minorHAnsi" w:hAnsiTheme="minorHAnsi"/>
              </w:rPr>
            </w:pPr>
            <w:r w:rsidRPr="00723039">
              <w:t>1835</w:t>
            </w:r>
            <w:r w:rsidR="001963C4">
              <w:t xml:space="preserve">, </w:t>
            </w:r>
            <w:r w:rsidRPr="00723039">
              <w:t>768, 3443</w:t>
            </w:r>
          </w:p>
        </w:tc>
        <w:tc>
          <w:tcPr>
            <w:tcW w:w="1275" w:type="dxa"/>
          </w:tcPr>
          <w:p w:rsidR="00951396" w:rsidRPr="00723039" w:rsidRDefault="00951396" w:rsidP="001963C4">
            <w:pPr>
              <w:ind w:left="0"/>
              <w:rPr>
                <w:rFonts w:asciiTheme="minorHAnsi" w:hAnsiTheme="minorHAnsi"/>
              </w:rPr>
            </w:pPr>
            <w:r w:rsidRPr="00723039">
              <w:t>3062</w:t>
            </w:r>
            <w:r w:rsidR="001963C4">
              <w:t xml:space="preserve">, </w:t>
            </w:r>
            <w:r w:rsidRPr="00723039">
              <w:t>555, 3949</w:t>
            </w:r>
          </w:p>
        </w:tc>
        <w:tc>
          <w:tcPr>
            <w:tcW w:w="1418" w:type="dxa"/>
          </w:tcPr>
          <w:p w:rsidR="00951396" w:rsidRPr="00723039" w:rsidRDefault="00951396" w:rsidP="001963C4">
            <w:pPr>
              <w:ind w:left="0"/>
              <w:rPr>
                <w:rFonts w:asciiTheme="minorHAnsi" w:hAnsiTheme="minorHAnsi"/>
              </w:rPr>
            </w:pPr>
            <w:r w:rsidRPr="00723039">
              <w:t>3829</w:t>
            </w:r>
            <w:r w:rsidR="001963C4">
              <w:t xml:space="preserve">, </w:t>
            </w:r>
            <w:r w:rsidRPr="00723039">
              <w:t>1050, 7180</w:t>
            </w:r>
          </w:p>
        </w:tc>
        <w:tc>
          <w:tcPr>
            <w:tcW w:w="1417" w:type="dxa"/>
          </w:tcPr>
          <w:p w:rsidR="00951396" w:rsidRPr="00723039" w:rsidRDefault="00951396" w:rsidP="001963C4">
            <w:pPr>
              <w:ind w:left="0"/>
              <w:rPr>
                <w:rFonts w:asciiTheme="minorHAnsi" w:hAnsiTheme="minorHAnsi"/>
              </w:rPr>
            </w:pPr>
            <w:r w:rsidRPr="00723039">
              <w:t>3253</w:t>
            </w:r>
            <w:r w:rsidR="001963C4">
              <w:t xml:space="preserve">, </w:t>
            </w:r>
            <w:r w:rsidRPr="00723039">
              <w:t>2670, 4474</w:t>
            </w:r>
          </w:p>
        </w:tc>
        <w:tc>
          <w:tcPr>
            <w:tcW w:w="1300" w:type="dxa"/>
          </w:tcPr>
          <w:p w:rsidR="00951396" w:rsidRPr="00723039" w:rsidRDefault="00951396" w:rsidP="001963C4">
            <w:pPr>
              <w:ind w:left="0"/>
              <w:rPr>
                <w:rFonts w:asciiTheme="minorHAnsi" w:hAnsiTheme="minorHAnsi"/>
              </w:rPr>
            </w:pPr>
            <w:r w:rsidRPr="00723039">
              <w:t>6289</w:t>
            </w:r>
            <w:r w:rsidR="001963C4">
              <w:t xml:space="preserve">, </w:t>
            </w:r>
            <w:r w:rsidRPr="00723039">
              <w:t>4825, 8629</w:t>
            </w:r>
          </w:p>
        </w:tc>
      </w:tr>
      <w:tr w:rsidR="00951396" w:rsidRPr="00723039" w:rsidTr="001963C4">
        <w:tc>
          <w:tcPr>
            <w:tcW w:w="1526" w:type="dxa"/>
          </w:tcPr>
          <w:p w:rsidR="00951396" w:rsidRPr="00723039" w:rsidRDefault="00951396" w:rsidP="001963C4">
            <w:pPr>
              <w:ind w:left="0"/>
              <w:rPr>
                <w:rFonts w:asciiTheme="minorHAnsi" w:hAnsiTheme="minorHAnsi"/>
              </w:rPr>
            </w:pPr>
            <w:r w:rsidRPr="00723039">
              <w:t>Duration of study, days</w:t>
            </w:r>
          </w:p>
        </w:tc>
        <w:tc>
          <w:tcPr>
            <w:tcW w:w="1168" w:type="dxa"/>
          </w:tcPr>
          <w:p w:rsidR="00951396" w:rsidRPr="00723039" w:rsidRDefault="00951396" w:rsidP="001963C4">
            <w:pPr>
              <w:ind w:left="34"/>
              <w:rPr>
                <w:rFonts w:asciiTheme="minorHAnsi" w:hAnsiTheme="minorHAnsi"/>
              </w:rPr>
            </w:pPr>
            <w:r w:rsidRPr="00723039">
              <w:t>342.7</w:t>
            </w:r>
            <w:r w:rsidRPr="00723039">
              <w:rPr>
                <w:highlight w:val="yellow"/>
              </w:rPr>
              <w:br/>
            </w:r>
            <w:r w:rsidRPr="00723039">
              <w:t>205, 674</w:t>
            </w:r>
          </w:p>
        </w:tc>
        <w:tc>
          <w:tcPr>
            <w:tcW w:w="1275" w:type="dxa"/>
          </w:tcPr>
          <w:p w:rsidR="00951396" w:rsidRPr="00723039" w:rsidRDefault="00951396" w:rsidP="001963C4">
            <w:pPr>
              <w:ind w:left="0"/>
              <w:rPr>
                <w:rFonts w:asciiTheme="minorHAnsi" w:hAnsiTheme="minorHAnsi"/>
              </w:rPr>
            </w:pPr>
            <w:r w:rsidRPr="00723039">
              <w:t>179.9</w:t>
            </w:r>
            <w:r w:rsidRPr="00723039">
              <w:br/>
              <w:t>39, 218</w:t>
            </w:r>
          </w:p>
        </w:tc>
        <w:tc>
          <w:tcPr>
            <w:tcW w:w="1418" w:type="dxa"/>
          </w:tcPr>
          <w:p w:rsidR="00951396" w:rsidRPr="00723039" w:rsidRDefault="00951396" w:rsidP="001963C4">
            <w:pPr>
              <w:ind w:left="0"/>
              <w:rPr>
                <w:rFonts w:asciiTheme="minorHAnsi" w:hAnsiTheme="minorHAnsi"/>
              </w:rPr>
            </w:pPr>
            <w:r w:rsidRPr="00723039">
              <w:t>208.6</w:t>
            </w:r>
            <w:r w:rsidRPr="00723039">
              <w:br/>
              <w:t>49, 338</w:t>
            </w:r>
          </w:p>
        </w:tc>
        <w:tc>
          <w:tcPr>
            <w:tcW w:w="1417" w:type="dxa"/>
          </w:tcPr>
          <w:p w:rsidR="00951396" w:rsidRPr="00723039" w:rsidRDefault="00951396" w:rsidP="001963C4">
            <w:pPr>
              <w:ind w:left="0"/>
              <w:rPr>
                <w:rFonts w:asciiTheme="minorHAnsi" w:hAnsiTheme="minorHAnsi"/>
              </w:rPr>
            </w:pPr>
            <w:r w:rsidRPr="00723039">
              <w:t>201.8</w:t>
            </w:r>
            <w:r w:rsidRPr="00723039">
              <w:br/>
              <w:t>191, 241</w:t>
            </w:r>
          </w:p>
        </w:tc>
        <w:tc>
          <w:tcPr>
            <w:tcW w:w="1300" w:type="dxa"/>
          </w:tcPr>
          <w:p w:rsidR="00951396" w:rsidRPr="00723039" w:rsidRDefault="00951396" w:rsidP="001963C4">
            <w:pPr>
              <w:ind w:left="0"/>
              <w:rPr>
                <w:rFonts w:asciiTheme="minorHAnsi" w:hAnsiTheme="minorHAnsi"/>
              </w:rPr>
            </w:pPr>
            <w:r w:rsidRPr="00723039">
              <w:t>455.6</w:t>
            </w:r>
            <w:r w:rsidRPr="00723039">
              <w:br/>
              <w:t>33, 563</w:t>
            </w:r>
          </w:p>
        </w:tc>
      </w:tr>
    </w:tbl>
    <w:p w:rsidR="00951396" w:rsidRPr="00723039" w:rsidRDefault="00951396" w:rsidP="001963C4">
      <w:pPr>
        <w:pStyle w:val="TableDescription"/>
      </w:pPr>
      <w:r w:rsidRPr="00723039">
        <w:t>Data</w:t>
      </w:r>
      <w:r w:rsidR="001963C4">
        <w:t xml:space="preserve"> are expressed as mean (range).</w:t>
      </w:r>
      <w:r w:rsidRPr="00723039">
        <w:t>* The 18 patients in GENA-04 had completed GENA-09.</w:t>
      </w:r>
      <w:r w:rsidR="001963C4">
        <w:t xml:space="preserve"> </w:t>
      </w:r>
      <w:r w:rsidRPr="00723039">
        <w:t>ED = exposure day; IU = international units.</w:t>
      </w:r>
    </w:p>
    <w:p w:rsidR="009622D4" w:rsidRPr="005D1D3E" w:rsidRDefault="009622D4" w:rsidP="009622D4">
      <w:r w:rsidRPr="000436D9">
        <w:rPr>
          <w:i/>
        </w:rPr>
        <w:t>Adverse events (AEs)</w:t>
      </w:r>
      <w:r w:rsidRPr="000436D9">
        <w:rPr>
          <w:b/>
        </w:rPr>
        <w:t xml:space="preserve"> </w:t>
      </w:r>
      <w:r w:rsidRPr="000436D9">
        <w:t xml:space="preserve">were defined as untoward medical occurrences not necessarily </w:t>
      </w:r>
      <w:r>
        <w:t>having</w:t>
      </w:r>
      <w:r w:rsidRPr="000436D9">
        <w:t xml:space="preserve"> a causal relationship with treatment. </w:t>
      </w:r>
      <w:r>
        <w:t xml:space="preserve">The outcomes were documented for each AE. </w:t>
      </w:r>
      <w:r w:rsidRPr="000436D9">
        <w:rPr>
          <w:i/>
        </w:rPr>
        <w:t>Adverse drug reactions (ADRs)</w:t>
      </w:r>
      <w:r w:rsidRPr="000436D9">
        <w:t xml:space="preserve"> included AEs for which a causal relationship was at least possible</w:t>
      </w:r>
      <w:r>
        <w:t xml:space="preserve">. The potential causal ratings were probable, possible, unlikely, unrelated and unclassified. </w:t>
      </w:r>
      <w:r w:rsidRPr="005D1D3E">
        <w:rPr>
          <w:i/>
        </w:rPr>
        <w:t xml:space="preserve">Serious AEs (SAEs) </w:t>
      </w:r>
      <w:r>
        <w:t>were any untoward medical occurrence resulting in death, is life-threatening, requires hospitalisation or prolongation of existing hospitalisation, results in persistent or significant disability/incapacity, is a congenital anomaly/birth defect or is another important medical event. Hospitalisation was not considered a SAE in cases where the hospitalisation took place because of study related procedure (</w:t>
      </w:r>
      <w:r w:rsidR="00486489">
        <w:t>such as</w:t>
      </w:r>
      <w:r>
        <w:t xml:space="preserve"> PK assessment) or was a scheduled surgical procedure pl</w:t>
      </w:r>
      <w:r w:rsidR="001963C4">
        <w:t>anned prior to study enrolment.</w:t>
      </w:r>
    </w:p>
    <w:p w:rsidR="009622D4" w:rsidRPr="000436D9" w:rsidRDefault="009622D4" w:rsidP="009622D4">
      <w:r w:rsidRPr="005D1D3E">
        <w:rPr>
          <w:i/>
        </w:rPr>
        <w:t xml:space="preserve">ADRs </w:t>
      </w:r>
      <w:r>
        <w:t xml:space="preserve">were classified by the sponsor as expected (listed in the Investigator's Brochure) or unexpected. </w:t>
      </w:r>
      <w:r w:rsidRPr="000436D9">
        <w:rPr>
          <w:i/>
          <w:color w:val="000000"/>
        </w:rPr>
        <w:t>Significant AEs</w:t>
      </w:r>
      <w:r w:rsidRPr="000436D9">
        <w:rPr>
          <w:color w:val="000000"/>
        </w:rPr>
        <w:t xml:space="preserve"> were any marked laboratory abnormalities or any AEs that led to an intervention, including withdrawal of drug treatment, dose reduction or significant additional concomitant therapy.</w:t>
      </w:r>
      <w:r>
        <w:rPr>
          <w:color w:val="000000"/>
        </w:rPr>
        <w:t xml:space="preserve"> </w:t>
      </w:r>
      <w:r w:rsidRPr="000436D9">
        <w:rPr>
          <w:i/>
          <w:color w:val="000000"/>
        </w:rPr>
        <w:t>Severity of AEs</w:t>
      </w:r>
      <w:r>
        <w:rPr>
          <w:color w:val="000000"/>
        </w:rPr>
        <w:t xml:space="preserve"> was categorised as mild, moderate or severe based on limitations of activity and extent of medical intervention required for treatment. </w:t>
      </w:r>
      <w:r w:rsidRPr="005D1D3E">
        <w:rPr>
          <w:i/>
          <w:color w:val="000000"/>
        </w:rPr>
        <w:t>AEs requiring therapy</w:t>
      </w:r>
      <w:r>
        <w:rPr>
          <w:color w:val="000000"/>
        </w:rPr>
        <w:t xml:space="preserve"> were to be treated with recognised standards of medical care to protect the health and well</w:t>
      </w:r>
      <w:r w:rsidR="00486489">
        <w:rPr>
          <w:color w:val="000000"/>
        </w:rPr>
        <w:t>-</w:t>
      </w:r>
      <w:r w:rsidR="001963C4">
        <w:rPr>
          <w:color w:val="000000"/>
        </w:rPr>
        <w:t>being of the subject.</w:t>
      </w:r>
    </w:p>
    <w:p w:rsidR="009622D4" w:rsidRPr="00E36EAE" w:rsidRDefault="009622D4" w:rsidP="00486489">
      <w:r w:rsidRPr="00125BB9">
        <w:t>The condition of the patients was monitored</w:t>
      </w:r>
      <w:r>
        <w:t xml:space="preserve"> throughout the study. At each scheduled or unscheduled </w:t>
      </w:r>
      <w:r w:rsidRPr="00125BB9">
        <w:t>study visit, AEs were documented by the investigator</w:t>
      </w:r>
      <w:r>
        <w:t xml:space="preserve"> and p</w:t>
      </w:r>
      <w:r w:rsidRPr="00E36EAE">
        <w:t>atient diaries were checked for any documented event.</w:t>
      </w:r>
      <w:r>
        <w:t xml:space="preserve"> </w:t>
      </w:r>
      <w:r w:rsidR="00486489">
        <w:t>For further details see Extract from the CER Attachment 2.</w:t>
      </w:r>
    </w:p>
    <w:p w:rsidR="009622D4" w:rsidRPr="00486489" w:rsidRDefault="009622D4" w:rsidP="00486489">
      <w:pPr>
        <w:ind w:left="1134" w:hanging="1134"/>
      </w:pPr>
      <w:r w:rsidRPr="00486489">
        <w:lastRenderedPageBreak/>
        <w:t>Comment:</w:t>
      </w:r>
      <w:r w:rsidRPr="00486489">
        <w:tab/>
        <w:t xml:space="preserve">The relevant definitions for </w:t>
      </w:r>
      <w:r w:rsidR="00B06337">
        <w:t>AEs</w:t>
      </w:r>
      <w:r w:rsidRPr="00486489">
        <w:t xml:space="preserve"> were standard for clinical trials of the type included in the submission. All </w:t>
      </w:r>
      <w:r w:rsidR="00B06337">
        <w:t>AEs</w:t>
      </w:r>
      <w:r w:rsidRPr="00486489">
        <w:t xml:space="preserve"> were treatment-emergent. No time interval for collect</w:t>
      </w:r>
      <w:r w:rsidR="001963C4">
        <w:t>ion of AEs could be identified.</w:t>
      </w:r>
    </w:p>
    <w:p w:rsidR="00605AD4" w:rsidRDefault="00605AD4" w:rsidP="00605AD4">
      <w:pPr>
        <w:pStyle w:val="Heading4"/>
      </w:pPr>
      <w:r w:rsidRPr="00605AD4">
        <w:t>Postmarketing data</w:t>
      </w:r>
    </w:p>
    <w:p w:rsidR="009622D4" w:rsidRPr="00314326" w:rsidRDefault="009622D4" w:rsidP="009622D4">
      <w:r>
        <w:t xml:space="preserve">Not applicable. </w:t>
      </w:r>
      <w:proofErr w:type="spellStart"/>
      <w:r w:rsidR="00FA190B">
        <w:t>Simoctocog</w:t>
      </w:r>
      <w:proofErr w:type="spellEnd"/>
      <w:r w:rsidR="00FA190B">
        <w:t xml:space="preserve"> </w:t>
      </w:r>
      <w:r w:rsidR="00FC63A1">
        <w:t>alfa</w:t>
      </w:r>
      <w:r>
        <w:t xml:space="preserve"> </w:t>
      </w:r>
      <w:r w:rsidR="00486489">
        <w:t>had not been</w:t>
      </w:r>
      <w:r>
        <w:t xml:space="preserve"> marketed in any country at the time of the submission. </w:t>
      </w:r>
    </w:p>
    <w:p w:rsidR="00605AD4" w:rsidRPr="00605AD4" w:rsidRDefault="00605AD4" w:rsidP="00605AD4">
      <w:pPr>
        <w:pStyle w:val="Heading4"/>
      </w:pPr>
      <w:r w:rsidRPr="00605AD4">
        <w:t>Evaluator’s conclusions on safety</w:t>
      </w:r>
    </w:p>
    <w:p w:rsidR="009622D4" w:rsidRPr="00AA733B" w:rsidRDefault="009622D4" w:rsidP="009622D4">
      <w:r w:rsidRPr="00AA733B">
        <w:t xml:space="preserve">The safety of </w:t>
      </w:r>
      <w:proofErr w:type="spellStart"/>
      <w:r w:rsidR="009C1E6B">
        <w:t>simoctocog</w:t>
      </w:r>
      <w:proofErr w:type="spellEnd"/>
      <w:r w:rsidR="009C1E6B">
        <w:t xml:space="preserve"> </w:t>
      </w:r>
      <w:r w:rsidR="00FC63A1">
        <w:t>alfa</w:t>
      </w:r>
      <w:r>
        <w:t xml:space="preserve"> </w:t>
      </w:r>
      <w:r w:rsidRPr="00AA733B">
        <w:t>for the treatment of severe haemophilia A has been satisfactorily established in 135 patients, including 59 patients aged 2 to 12 years (29 aged 2</w:t>
      </w:r>
      <w:r w:rsidR="00486489">
        <w:t xml:space="preserve"> to </w:t>
      </w:r>
      <w:r w:rsidRPr="00AA733B">
        <w:t>5 years, 30 aged 6</w:t>
      </w:r>
      <w:r w:rsidR="00486489">
        <w:t xml:space="preserve"> to </w:t>
      </w:r>
      <w:r w:rsidRPr="00AA733B">
        <w:t xml:space="preserve">12 years). However, based on the </w:t>
      </w:r>
      <w:r w:rsidR="00FF5033">
        <w:t>‘</w:t>
      </w:r>
      <w:r w:rsidRPr="00AA733B">
        <w:t>rul</w:t>
      </w:r>
      <w:r>
        <w:t>e of three</w:t>
      </w:r>
      <w:r w:rsidR="00FF5033">
        <w:t>’</w:t>
      </w:r>
      <w:r>
        <w:t xml:space="preserve"> it is unlikely that </w:t>
      </w:r>
      <w:r w:rsidRPr="00AA733B">
        <w:t xml:space="preserve">adverse </w:t>
      </w:r>
      <w:r>
        <w:t>reactions</w:t>
      </w:r>
      <w:r w:rsidRPr="00AA733B">
        <w:t xml:space="preserve"> </w:t>
      </w:r>
      <w:r>
        <w:t xml:space="preserve">associated with </w:t>
      </w:r>
      <w:proofErr w:type="spellStart"/>
      <w:r w:rsidR="009C1E6B">
        <w:t>simoctocog</w:t>
      </w:r>
      <w:proofErr w:type="spellEnd"/>
      <w:r w:rsidR="009C1E6B">
        <w:t xml:space="preserve"> </w:t>
      </w:r>
      <w:r w:rsidR="00FC63A1">
        <w:t>alfa</w:t>
      </w:r>
      <w:r>
        <w:t xml:space="preserve"> and </w:t>
      </w:r>
      <w:r w:rsidRPr="00AA733B">
        <w:t xml:space="preserve">occurring with an incidence of &lt; 2% </w:t>
      </w:r>
      <w:r>
        <w:t xml:space="preserve">have </w:t>
      </w:r>
      <w:r w:rsidRPr="00AA733B">
        <w:t>been detected</w:t>
      </w:r>
      <w:r>
        <w:t xml:space="preserve"> in the total safety population of 135 patients</w:t>
      </w:r>
      <w:r w:rsidRPr="00AA733B">
        <w:t>.</w:t>
      </w:r>
      <w:r w:rsidR="00486489">
        <w:rPr>
          <w:rStyle w:val="FootnoteReference"/>
        </w:rPr>
        <w:footnoteReference w:id="21"/>
      </w:r>
      <w:r w:rsidR="00486489" w:rsidRPr="00486489">
        <w:rPr>
          <w:vertAlign w:val="superscript"/>
        </w:rPr>
        <w:t>,</w:t>
      </w:r>
      <w:r w:rsidR="00486489">
        <w:t xml:space="preserve"> </w:t>
      </w:r>
      <w:r w:rsidR="00486489">
        <w:rPr>
          <w:rStyle w:val="FootnoteReference"/>
        </w:rPr>
        <w:footnoteReference w:id="22"/>
      </w:r>
    </w:p>
    <w:p w:rsidR="009622D4" w:rsidRPr="00AA733B" w:rsidRDefault="009622D4" w:rsidP="009622D4">
      <w:r w:rsidRPr="00AA733B">
        <w:t>The pooled safety data from the 5 clinical studies have been reviewed. In addition, the safety data in children aged 2</w:t>
      </w:r>
      <w:r w:rsidR="00486489">
        <w:t xml:space="preserve"> to </w:t>
      </w:r>
      <w:r w:rsidRPr="00AA733B">
        <w:t xml:space="preserve">12 years </w:t>
      </w:r>
      <w:r>
        <w:t xml:space="preserve">from GENA-03 </w:t>
      </w:r>
      <w:r w:rsidRPr="00AA733B">
        <w:t xml:space="preserve">have been separately reviewed. The mean age of the 135 patients in </w:t>
      </w:r>
      <w:r>
        <w:t xml:space="preserve">the </w:t>
      </w:r>
      <w:r w:rsidRPr="00AA733B">
        <w:t>five clinical studies ranged from 6 to 40 years, and the overall age ranged from 2 to 75 years</w:t>
      </w:r>
      <w:r>
        <w:t>. N</w:t>
      </w:r>
      <w:r w:rsidRPr="00AA733B">
        <w:t>early all patients in the studies were</w:t>
      </w:r>
      <w:r w:rsidR="005C00B2">
        <w:t xml:space="preserve"> W</w:t>
      </w:r>
      <w:r w:rsidRPr="00AA733B">
        <w:t>hite. The safety profile</w:t>
      </w:r>
      <w:r>
        <w:t>s</w:t>
      </w:r>
      <w:r w:rsidRPr="00AA733B">
        <w:t xml:space="preserve"> </w:t>
      </w:r>
      <w:r>
        <w:t xml:space="preserve">from the </w:t>
      </w:r>
      <w:r w:rsidRPr="00AA733B">
        <w:t xml:space="preserve">total </w:t>
      </w:r>
      <w:r>
        <w:t xml:space="preserve">safety </w:t>
      </w:r>
      <w:r w:rsidRPr="00AA733B">
        <w:t xml:space="preserve">population and </w:t>
      </w:r>
      <w:r>
        <w:t xml:space="preserve">from the paediatric safety population are consistent. </w:t>
      </w:r>
    </w:p>
    <w:p w:rsidR="009622D4" w:rsidRDefault="009622D4" w:rsidP="009622D4">
      <w:r w:rsidRPr="00AA733B">
        <w:t xml:space="preserve">In the total safety population, 135 patients underwent treatment with </w:t>
      </w:r>
      <w:proofErr w:type="spellStart"/>
      <w:r w:rsidR="009C1E6B">
        <w:t>simoctocog</w:t>
      </w:r>
      <w:proofErr w:type="spellEnd"/>
      <w:r w:rsidR="009C1E6B">
        <w:t xml:space="preserve"> </w:t>
      </w:r>
      <w:r w:rsidR="00FC63A1">
        <w:t>alfa</w:t>
      </w:r>
      <w:r w:rsidRPr="00AA733B">
        <w:t xml:space="preserve">. These patients received total mean </w:t>
      </w:r>
      <w:r>
        <w:t xml:space="preserve">doses of </w:t>
      </w:r>
      <w:proofErr w:type="spellStart"/>
      <w:r w:rsidR="009C1E6B">
        <w:t>simoctocog</w:t>
      </w:r>
      <w:proofErr w:type="spellEnd"/>
      <w:r w:rsidR="009C1E6B">
        <w:t xml:space="preserve"> </w:t>
      </w:r>
      <w:r w:rsidR="00FC63A1">
        <w:t>alfa</w:t>
      </w:r>
      <w:r>
        <w:t xml:space="preserve"> ranging from </w:t>
      </w:r>
      <w:r w:rsidRPr="00AA733B">
        <w:t xml:space="preserve">104,813 to 585,489 IU (1835 to 6289 IU/kg) administered by </w:t>
      </w:r>
      <w:r>
        <w:t xml:space="preserve">total mean number of infusions ranging from 54.9 to 228 </w:t>
      </w:r>
      <w:r w:rsidRPr="00AA733B">
        <w:t xml:space="preserve">over </w:t>
      </w:r>
      <w:r>
        <w:t xml:space="preserve">total </w:t>
      </w:r>
      <w:r w:rsidRPr="00AA733B">
        <w:t xml:space="preserve">mean </w:t>
      </w:r>
      <w:r>
        <w:t>ED</w:t>
      </w:r>
      <w:r w:rsidR="005C00B2">
        <w:t>s</w:t>
      </w:r>
      <w:r>
        <w:t xml:space="preserve"> ranging from </w:t>
      </w:r>
      <w:r w:rsidRPr="00AA733B">
        <w:t>53.3 to 226</w:t>
      </w:r>
      <w:r>
        <w:t xml:space="preserve">, and over total </w:t>
      </w:r>
      <w:r w:rsidRPr="00AA733B">
        <w:t xml:space="preserve">mean </w:t>
      </w:r>
      <w:r>
        <w:t xml:space="preserve">treatment </w:t>
      </w:r>
      <w:r w:rsidRPr="00AA733B">
        <w:t>period</w:t>
      </w:r>
      <w:r>
        <w:t>s</w:t>
      </w:r>
      <w:r w:rsidRPr="00AA733B">
        <w:t xml:space="preserve"> </w:t>
      </w:r>
      <w:r>
        <w:t xml:space="preserve">ranging from </w:t>
      </w:r>
      <w:r w:rsidRPr="00AA733B">
        <w:t xml:space="preserve">179.9 to 455.6 days. </w:t>
      </w:r>
    </w:p>
    <w:p w:rsidR="009622D4" w:rsidRDefault="009622D4" w:rsidP="009622D4">
      <w:r w:rsidRPr="00AA733B">
        <w:t xml:space="preserve">In the </w:t>
      </w:r>
      <w:r>
        <w:t xml:space="preserve">four studies with </w:t>
      </w:r>
      <w:r w:rsidRPr="00AA733B">
        <w:t xml:space="preserve">prophylaxis </w:t>
      </w:r>
      <w:r>
        <w:t xml:space="preserve">data, 113 patients </w:t>
      </w:r>
      <w:r w:rsidRPr="00AA733B">
        <w:t xml:space="preserve">received prophylactic treatment with </w:t>
      </w:r>
      <w:proofErr w:type="spellStart"/>
      <w:r w:rsidR="009C1E6B">
        <w:t>simoctocog</w:t>
      </w:r>
      <w:proofErr w:type="spellEnd"/>
      <w:r w:rsidR="009C1E6B">
        <w:t xml:space="preserve"> </w:t>
      </w:r>
      <w:r w:rsidR="00FC63A1">
        <w:t>alfa</w:t>
      </w:r>
      <w:r>
        <w:t xml:space="preserve"> </w:t>
      </w:r>
      <w:r w:rsidRPr="00AA733B">
        <w:t>with mean doses ranging from 32.8 to 38.9 IU/kg per infusion for a tot</w:t>
      </w:r>
      <w:r>
        <w:t xml:space="preserve">al of approximately 14,000 </w:t>
      </w:r>
      <w:proofErr w:type="spellStart"/>
      <w:r>
        <w:t>EDs.</w:t>
      </w:r>
      <w:proofErr w:type="spellEnd"/>
      <w:r>
        <w:t xml:space="preserve"> </w:t>
      </w:r>
      <w:r w:rsidRPr="00AA733B">
        <w:t xml:space="preserve">In the long-term </w:t>
      </w:r>
      <w:r w:rsidR="005C00B2">
        <w:t>S</w:t>
      </w:r>
      <w:r w:rsidRPr="00AA733B">
        <w:t xml:space="preserve">tudy GENA-04, the average duration of </w:t>
      </w:r>
      <w:r>
        <w:t>treatment</w:t>
      </w:r>
      <w:r w:rsidRPr="00AA733B">
        <w:t xml:space="preserve"> was 455.61 days (range: 33, 563 days) and the 18 patients </w:t>
      </w:r>
      <w:r>
        <w:t xml:space="preserve">in the study </w:t>
      </w:r>
      <w:r w:rsidRPr="00AA733B">
        <w:t xml:space="preserve">received </w:t>
      </w:r>
      <w:proofErr w:type="spellStart"/>
      <w:r w:rsidR="009C1E6B">
        <w:t>simoctocog</w:t>
      </w:r>
      <w:proofErr w:type="spellEnd"/>
      <w:r w:rsidR="009C1E6B">
        <w:t xml:space="preserve"> </w:t>
      </w:r>
      <w:r w:rsidR="00FC63A1">
        <w:t>alfa</w:t>
      </w:r>
      <w:r>
        <w:t xml:space="preserve"> </w:t>
      </w:r>
      <w:r w:rsidRPr="00AA733B">
        <w:t xml:space="preserve">over a total of 3,940 </w:t>
      </w:r>
      <w:proofErr w:type="spellStart"/>
      <w:r w:rsidRPr="00AA733B">
        <w:t>EDs.</w:t>
      </w:r>
      <w:proofErr w:type="spellEnd"/>
      <w:r w:rsidRPr="00AA733B">
        <w:t xml:space="preserve"> </w:t>
      </w:r>
      <w:r>
        <w:t>I</w:t>
      </w:r>
      <w:r w:rsidRPr="00AA733B">
        <w:t xml:space="preserve">n the five studies with </w:t>
      </w:r>
      <w:r>
        <w:t xml:space="preserve">relevant </w:t>
      </w:r>
      <w:r w:rsidRPr="00AA733B">
        <w:t>data</w:t>
      </w:r>
      <w:r>
        <w:t xml:space="preserve">, </w:t>
      </w:r>
      <w:r w:rsidRPr="00AA733B">
        <w:t xml:space="preserve">the mean dose of </w:t>
      </w:r>
      <w:proofErr w:type="spellStart"/>
      <w:r w:rsidR="009C1E6B">
        <w:t>simoctocog</w:t>
      </w:r>
      <w:proofErr w:type="spellEnd"/>
      <w:r w:rsidR="009C1E6B">
        <w:t xml:space="preserve"> </w:t>
      </w:r>
      <w:r w:rsidR="00FC63A1">
        <w:t>alfa</w:t>
      </w:r>
      <w:r>
        <w:t xml:space="preserve"> for the on-demand treatment of </w:t>
      </w:r>
      <w:r w:rsidR="00B06337">
        <w:t>bleeds</w:t>
      </w:r>
      <w:r w:rsidRPr="00AA733B">
        <w:t xml:space="preserve"> ranged from 32.3 to 45.1 IU/kg per infusion</w:t>
      </w:r>
      <w:r>
        <w:t xml:space="preserve"> and </w:t>
      </w:r>
      <w:r w:rsidRPr="00AA733B">
        <w:t>from 35.1 to 50.2 IU/kg per</w:t>
      </w:r>
      <w:r>
        <w:t xml:space="preserve"> infusion for surgical prophylaxis. </w:t>
      </w:r>
    </w:p>
    <w:p w:rsidR="009622D4" w:rsidRPr="00AA733B" w:rsidRDefault="009622D4" w:rsidP="009622D4">
      <w:pPr>
        <w:widowControl w:val="0"/>
        <w:autoSpaceDE w:val="0"/>
        <w:autoSpaceDN w:val="0"/>
        <w:adjustRightInd w:val="0"/>
      </w:pPr>
      <w:r w:rsidRPr="00AA733B">
        <w:t>Of the 135 patients</w:t>
      </w:r>
      <w:r>
        <w:t xml:space="preserve"> in the total safety population</w:t>
      </w:r>
      <w:r w:rsidRPr="00AA733B">
        <w:t xml:space="preserve">, 79 (58.5%) </w:t>
      </w:r>
      <w:r>
        <w:t xml:space="preserve">patients experienced a total of 272 AEs. In this population, </w:t>
      </w:r>
      <w:r w:rsidRPr="00AA733B">
        <w:t xml:space="preserve">AEs occurring in ≥ 2% of patients (≥ 3 patients) in descending order of frequency were nasopharyngitis (8.1%), pyrexia (7.4%), headache (7.4%), rhinitis (5.2%), cough (4.4%), diarrhoea (3.7%), chills (3.7%), injury (3.7%), rash (3.7%), abdominal pain (3.0%), varicella (3.0%), arthralgia, (3.0%), back pain (3.0%), bronchitis (2.2%), upper RTI (2.2%) and head injury (2.2%). </w:t>
      </w:r>
    </w:p>
    <w:p w:rsidR="009622D4" w:rsidRPr="007304D6" w:rsidRDefault="009622D4" w:rsidP="009622D4">
      <w:pPr>
        <w:widowControl w:val="0"/>
        <w:autoSpaceDE w:val="0"/>
        <w:autoSpaceDN w:val="0"/>
        <w:adjustRightInd w:val="0"/>
      </w:pPr>
      <w:r w:rsidRPr="00AA733B">
        <w:t>The investigators identified 5 (3.7%) patients with 8 AEs classified as treatment-related. These included injection site pain in 1 patient, back pain in 1 patient, headache in</w:t>
      </w:r>
      <w:r>
        <w:t xml:space="preserve"> </w:t>
      </w:r>
      <w:r w:rsidRPr="00AA733B">
        <w:t>1 patient, ant</w:t>
      </w:r>
      <w:r>
        <w:t>i</w:t>
      </w:r>
      <w:r w:rsidRPr="00AA733B">
        <w:t xml:space="preserve">-FVIII antibody in 1 patient, and vertigo, dry mouth, paraesthesia, and injection site pain all in the same patient. In addition, review of the paediatric data from GENA-03 by the IDMC identified a further 6 AEs </w:t>
      </w:r>
      <w:r>
        <w:t xml:space="preserve">in 5 patients </w:t>
      </w:r>
      <w:r w:rsidRPr="00AA733B">
        <w:t xml:space="preserve">which were judged to be </w:t>
      </w:r>
      <w:r w:rsidR="00FF5033">
        <w:t>‘</w:t>
      </w:r>
      <w:r w:rsidRPr="00AA733B">
        <w:t>possibly</w:t>
      </w:r>
      <w:r w:rsidR="00FF5033">
        <w:t>’</w:t>
      </w:r>
      <w:r w:rsidRPr="00AA733B">
        <w:t xml:space="preserve"> related to treatment (</w:t>
      </w:r>
      <w:r>
        <w:t xml:space="preserve">3 patients each with the AE of chills, 2 patients with the AE of rash on 2 separate occasions, 1 patient with the AE of rash). </w:t>
      </w:r>
      <w:r w:rsidRPr="00AA733B">
        <w:t xml:space="preserve">There were no </w:t>
      </w:r>
      <w:r w:rsidRPr="00AA733B">
        <w:lastRenderedPageBreak/>
        <w:t xml:space="preserve">inconsistencies between </w:t>
      </w:r>
      <w:r w:rsidRPr="005C00B2">
        <w:t xml:space="preserve">investigator and </w:t>
      </w:r>
      <w:r w:rsidRPr="00AA733B">
        <w:t xml:space="preserve">IDMC safety assessments in </w:t>
      </w:r>
      <w:r w:rsidR="005C00B2">
        <w:t>S</w:t>
      </w:r>
      <w:r w:rsidRPr="00AA733B">
        <w:t>tudies GENA-01, GENA-08, GENA-09 or GENA-04.</w:t>
      </w:r>
      <w:r>
        <w:t xml:space="preserve"> In the total safety population, 10 (7.4%) patients experienced 14 (5.1%) AEs judged to be possibly or probably related to </w:t>
      </w:r>
      <w:proofErr w:type="spellStart"/>
      <w:r w:rsidR="009C1E6B">
        <w:t>simoctocog</w:t>
      </w:r>
      <w:proofErr w:type="spellEnd"/>
      <w:r w:rsidR="009C1E6B">
        <w:t xml:space="preserve"> </w:t>
      </w:r>
      <w:r w:rsidR="00FC63A1">
        <w:t>alfa</w:t>
      </w:r>
      <w:r>
        <w:t xml:space="preserve"> by investigators and/or the IDMC. All </w:t>
      </w:r>
      <w:r w:rsidRPr="00AA733B">
        <w:t>of the treatment-related AEs recov</w:t>
      </w:r>
      <w:r>
        <w:t xml:space="preserve">ered/resolved without sequelae, </w:t>
      </w:r>
      <w:r w:rsidRPr="00AA733B">
        <w:t>apart from 1 event of anti-FVIII antibody positive for which th</w:t>
      </w:r>
      <w:r>
        <w:t>e outcome was unknown</w:t>
      </w:r>
      <w:r w:rsidRPr="00AA733B">
        <w:t xml:space="preserve">. </w:t>
      </w:r>
    </w:p>
    <w:p w:rsidR="009622D4" w:rsidRDefault="009622D4" w:rsidP="009622D4">
      <w:pPr>
        <w:widowControl w:val="0"/>
        <w:autoSpaceDE w:val="0"/>
        <w:autoSpaceDN w:val="0"/>
        <w:adjustRightInd w:val="0"/>
      </w:pPr>
      <w:r w:rsidRPr="00AA733B">
        <w:t xml:space="preserve">One death occurred in the total safety population </w:t>
      </w:r>
      <w:r>
        <w:t xml:space="preserve">and was considered to be unrelated to treatment </w:t>
      </w:r>
      <w:r w:rsidRPr="00AA733B">
        <w:t xml:space="preserve">(acute respiratory and cardiovascular failure associated with status epilepticus in 1 patient with a known history of epilepsy). Excluding </w:t>
      </w:r>
      <w:r>
        <w:t xml:space="preserve">the one </w:t>
      </w:r>
      <w:r w:rsidRPr="00AA733B">
        <w:t xml:space="preserve">death, there were 11 other SAEs in 8 patients and all events were considered to be unrelated to treatment. The 11 SAEs included depression/suicidal in 1 patient, traumatic fracture in 1 patient, device-related infection in 1 patient, head injury in 2 patients, </w:t>
      </w:r>
      <w:proofErr w:type="spellStart"/>
      <w:r w:rsidRPr="00AA733B">
        <w:t>haemarthrosis</w:t>
      </w:r>
      <w:proofErr w:type="spellEnd"/>
      <w:r w:rsidRPr="00AA733B">
        <w:t xml:space="preserve"> in 1 patient, hepatic encephalopathy/hepatic cirrhosis in 1 patient, and acute tonsillitis/RTI/lower RTI in 1 patient.</w:t>
      </w:r>
      <w:r>
        <w:t xml:space="preserve"> All 11 SAEs recovered/resolved, </w:t>
      </w:r>
      <w:r w:rsidRPr="00AA733B">
        <w:t xml:space="preserve">except for the </w:t>
      </w:r>
      <w:r>
        <w:t xml:space="preserve">one event of hepatic cirrhosis. </w:t>
      </w:r>
      <w:r w:rsidRPr="00AA733B">
        <w:t xml:space="preserve">Withdrawals from treatment (all reasons) were reported in 7 (5.1%) patients, and </w:t>
      </w:r>
      <w:r>
        <w:t xml:space="preserve">withdrawal due to AEs occurred only in the one patient who died during the study. </w:t>
      </w:r>
    </w:p>
    <w:p w:rsidR="009622D4" w:rsidRPr="00AA733B" w:rsidRDefault="009622D4" w:rsidP="009622D4">
      <w:r w:rsidRPr="00AA733B">
        <w:t xml:space="preserve">The immunogenicity of </w:t>
      </w:r>
      <w:proofErr w:type="spellStart"/>
      <w:r w:rsidR="009C1E6B">
        <w:t>simoctocog</w:t>
      </w:r>
      <w:proofErr w:type="spellEnd"/>
      <w:r w:rsidR="009C1E6B">
        <w:t xml:space="preserve"> </w:t>
      </w:r>
      <w:r w:rsidR="00FC63A1">
        <w:t>alfa</w:t>
      </w:r>
      <w:r w:rsidRPr="00AA733B">
        <w:t xml:space="preserve"> was assessed throughout </w:t>
      </w:r>
      <w:r>
        <w:t xml:space="preserve">each of </w:t>
      </w:r>
      <w:r w:rsidRPr="00AA733B">
        <w:t xml:space="preserve">the studies and no FVIII inhibitors were identified in any of the 135 patients in the </w:t>
      </w:r>
      <w:r>
        <w:t>safety population</w:t>
      </w:r>
      <w:r w:rsidRPr="00AA733B">
        <w:t>. Non-inhibitory anti-</w:t>
      </w:r>
      <w:proofErr w:type="spellStart"/>
      <w:r w:rsidRPr="00AA733B">
        <w:t>rhFVIII</w:t>
      </w:r>
      <w:proofErr w:type="spellEnd"/>
      <w:r w:rsidRPr="00AA733B">
        <w:t xml:space="preserve"> </w:t>
      </w:r>
      <w:r>
        <w:t xml:space="preserve">antibodies </w:t>
      </w:r>
      <w:r w:rsidRPr="00AA733B">
        <w:t xml:space="preserve">were identified in 4 patients, including 3 patients who were positive at screening. The efficacy of </w:t>
      </w:r>
      <w:proofErr w:type="spellStart"/>
      <w:r w:rsidR="009C1E6B">
        <w:t>simoctocog</w:t>
      </w:r>
      <w:proofErr w:type="spellEnd"/>
      <w:r w:rsidR="009C1E6B">
        <w:t xml:space="preserve"> </w:t>
      </w:r>
      <w:r w:rsidR="00FC63A1">
        <w:t>alfa</w:t>
      </w:r>
      <w:r>
        <w:t xml:space="preserve"> </w:t>
      </w:r>
      <w:r w:rsidRPr="00AA733B">
        <w:t xml:space="preserve">was judged as excellent </w:t>
      </w:r>
      <w:r>
        <w:t>in</w:t>
      </w:r>
      <w:r w:rsidRPr="00AA733B">
        <w:t xml:space="preserve"> all 4 patients with non-inhibitory </w:t>
      </w:r>
      <w:r>
        <w:t xml:space="preserve">FVIII </w:t>
      </w:r>
      <w:r w:rsidRPr="00AA733B">
        <w:t xml:space="preserve">antibodies. In the </w:t>
      </w:r>
      <w:r w:rsidR="005C00B2">
        <w:t>System Organ Class (</w:t>
      </w:r>
      <w:r w:rsidRPr="00AA733B">
        <w:t>SOC</w:t>
      </w:r>
      <w:r w:rsidR="005C00B2">
        <w:t>)</w:t>
      </w:r>
      <w:r w:rsidRPr="00AA733B">
        <w:t xml:space="preserve"> of </w:t>
      </w:r>
      <w:r w:rsidR="00FF5033">
        <w:t>‘</w:t>
      </w:r>
      <w:r w:rsidRPr="00AA733B">
        <w:t>immune system disorders</w:t>
      </w:r>
      <w:r w:rsidR="00FF5033">
        <w:t>’</w:t>
      </w:r>
      <w:r w:rsidRPr="00AA733B">
        <w:t xml:space="preserve"> there was 1 case of allergic oedema in a paediatric patient, and 1 case of seasonal allergy in </w:t>
      </w:r>
      <w:r>
        <w:t xml:space="preserve">an </w:t>
      </w:r>
      <w:r w:rsidRPr="00AA733B">
        <w:t xml:space="preserve">adult patient. </w:t>
      </w:r>
      <w:r>
        <w:t xml:space="preserve">No AEs relating to hypersensitivity disorders were reported. </w:t>
      </w:r>
      <w:r w:rsidRPr="00AA733B">
        <w:t xml:space="preserve">No thromboembolic events were reported. </w:t>
      </w:r>
    </w:p>
    <w:p w:rsidR="009622D4" w:rsidRPr="005C00B2" w:rsidRDefault="009622D4" w:rsidP="009622D4">
      <w:pPr>
        <w:widowControl w:val="0"/>
        <w:autoSpaceDE w:val="0"/>
        <w:autoSpaceDN w:val="0"/>
        <w:adjustRightInd w:val="0"/>
      </w:pPr>
      <w:r w:rsidRPr="00AA733B">
        <w:t xml:space="preserve">Clinically significant laboratory abnormalities (haematological, biochemical, urinalysis) were uncommon, as were clinically significant abnormalities in vital signs. No patients were found to be positive </w:t>
      </w:r>
      <w:r w:rsidRPr="005C00B2">
        <w:t xml:space="preserve">for </w:t>
      </w:r>
      <w:r w:rsidR="005C00B2" w:rsidRPr="005C00B2">
        <w:t>Hepatitis B virus (</w:t>
      </w:r>
      <w:r w:rsidRPr="005C00B2">
        <w:t>HBV</w:t>
      </w:r>
      <w:r w:rsidR="005C00B2" w:rsidRPr="005C00B2">
        <w:t>)</w:t>
      </w:r>
      <w:r w:rsidRPr="005C00B2">
        <w:t xml:space="preserve"> or </w:t>
      </w:r>
      <w:r w:rsidR="005C00B2" w:rsidRPr="005C00B2">
        <w:t>Hepatitis C virus (</w:t>
      </w:r>
      <w:r w:rsidRPr="005C00B2">
        <w:t>HCV</w:t>
      </w:r>
      <w:r w:rsidR="005C00B2" w:rsidRPr="005C00B2">
        <w:t>)</w:t>
      </w:r>
      <w:r w:rsidRPr="005C00B2">
        <w:t xml:space="preserve"> infection during the study. </w:t>
      </w:r>
    </w:p>
    <w:p w:rsidR="009622D4" w:rsidRPr="00AA733B" w:rsidRDefault="009622D4" w:rsidP="009622D4">
      <w:pPr>
        <w:widowControl w:val="0"/>
        <w:autoSpaceDE w:val="0"/>
        <w:autoSpaceDN w:val="0"/>
        <w:adjustRightInd w:val="0"/>
      </w:pPr>
      <w:r w:rsidRPr="00AA733B">
        <w:t xml:space="preserve">There were no safety studies with </w:t>
      </w:r>
      <w:proofErr w:type="spellStart"/>
      <w:r w:rsidR="009C1E6B">
        <w:t>simoctocog</w:t>
      </w:r>
      <w:proofErr w:type="spellEnd"/>
      <w:r w:rsidR="009C1E6B">
        <w:t xml:space="preserve"> </w:t>
      </w:r>
      <w:r w:rsidR="00FC63A1">
        <w:t>alfa</w:t>
      </w:r>
      <w:r>
        <w:t xml:space="preserve"> </w:t>
      </w:r>
      <w:r w:rsidRPr="00AA733B">
        <w:t xml:space="preserve">in patients with hepatic or renal impairment. There were no drug-drug interaction studies involving </w:t>
      </w:r>
      <w:proofErr w:type="spellStart"/>
      <w:r w:rsidR="009C1E6B">
        <w:t>simoctocog</w:t>
      </w:r>
      <w:proofErr w:type="spellEnd"/>
      <w:r w:rsidR="009C1E6B">
        <w:t xml:space="preserve"> </w:t>
      </w:r>
      <w:r w:rsidR="00FC63A1">
        <w:t>alfa</w:t>
      </w:r>
      <w:r w:rsidRPr="00AA733B">
        <w:t xml:space="preserve">. </w:t>
      </w:r>
      <w:r>
        <w:t xml:space="preserve">There were no safety data in patients younger than 2 years of age or older than 75 years of age. There were no safety data in racial groups other than that classified as </w:t>
      </w:r>
      <w:r w:rsidR="00FF5033">
        <w:t>‘</w:t>
      </w:r>
      <w:r w:rsidR="005C00B2">
        <w:t>W</w:t>
      </w:r>
      <w:r>
        <w:t>hi</w:t>
      </w:r>
      <w:r w:rsidR="005C00B2">
        <w:t>t</w:t>
      </w:r>
      <w:r>
        <w:t>e</w:t>
      </w:r>
      <w:r w:rsidR="00FF5033">
        <w:t>’</w:t>
      </w:r>
      <w:r>
        <w:t xml:space="preserve">. There were no safety data in female patients. There were no safety data in </w:t>
      </w:r>
      <w:r w:rsidR="00B06337">
        <w:t>PUPs</w:t>
      </w:r>
      <w:r>
        <w:t xml:space="preserve"> with severe haemophilia A. </w:t>
      </w:r>
    </w:p>
    <w:p w:rsidR="00605AD4" w:rsidRPr="00605AD4" w:rsidRDefault="00605AD4" w:rsidP="00605AD4">
      <w:pPr>
        <w:pStyle w:val="Heading3"/>
        <w:rPr>
          <w:rFonts w:eastAsia="Cambria"/>
        </w:rPr>
      </w:pPr>
      <w:bookmarkStart w:id="106" w:name="_Toc453683282"/>
      <w:r w:rsidRPr="00605AD4">
        <w:rPr>
          <w:rFonts w:eastAsia="Cambria"/>
        </w:rPr>
        <w:t xml:space="preserve">First </w:t>
      </w:r>
      <w:r w:rsidR="001963C4" w:rsidRPr="00605AD4">
        <w:rPr>
          <w:rFonts w:eastAsia="Cambria"/>
        </w:rPr>
        <w:t>round benefit-risk assessment</w:t>
      </w:r>
      <w:bookmarkEnd w:id="106"/>
    </w:p>
    <w:p w:rsidR="00605AD4" w:rsidRDefault="00605AD4" w:rsidP="00605AD4">
      <w:pPr>
        <w:pStyle w:val="Heading4"/>
      </w:pPr>
      <w:r w:rsidRPr="00605AD4">
        <w:t>First round assessment of benefits</w:t>
      </w:r>
    </w:p>
    <w:p w:rsidR="009622D4" w:rsidRPr="00D64CEA" w:rsidRDefault="009622D4" w:rsidP="009622D4">
      <w:pPr>
        <w:widowControl w:val="0"/>
        <w:autoSpaceDE w:val="0"/>
        <w:autoSpaceDN w:val="0"/>
        <w:adjustRightInd w:val="0"/>
      </w:pPr>
      <w:r w:rsidRPr="00D64CEA">
        <w:t xml:space="preserve">The benefits of </w:t>
      </w:r>
      <w:proofErr w:type="spellStart"/>
      <w:r w:rsidR="009C1E6B">
        <w:t>simoctocog</w:t>
      </w:r>
      <w:proofErr w:type="spellEnd"/>
      <w:r w:rsidR="009C1E6B">
        <w:t xml:space="preserve"> </w:t>
      </w:r>
      <w:r w:rsidR="00FC63A1">
        <w:t>alfa</w:t>
      </w:r>
      <w:r w:rsidRPr="00D64CEA">
        <w:t xml:space="preserve"> for </w:t>
      </w:r>
      <w:r>
        <w:t xml:space="preserve">routine </w:t>
      </w:r>
      <w:r w:rsidRPr="00D64CEA">
        <w:t xml:space="preserve">prophylaxis, treatment of breakthrough BEs and prophylactic use in surgical procedures </w:t>
      </w:r>
      <w:r>
        <w:t>have</w:t>
      </w:r>
      <w:r w:rsidRPr="00D64CEA">
        <w:t xml:space="preserve"> been satisfactorily established in previously pre-treated adults and children </w:t>
      </w:r>
      <w:r>
        <w:t>(</w:t>
      </w:r>
      <w:r w:rsidRPr="00D64CEA">
        <w:t>aged 2</w:t>
      </w:r>
      <w:r w:rsidR="005C00B2">
        <w:t xml:space="preserve"> to </w:t>
      </w:r>
      <w:r>
        <w:t xml:space="preserve">12 years) </w:t>
      </w:r>
      <w:r w:rsidRPr="00D64CEA">
        <w:t xml:space="preserve">with severe haemophilia A (FVIII:C &lt; 1%). However, there were no data in the submission </w:t>
      </w:r>
      <w:r>
        <w:t>in</w:t>
      </w:r>
      <w:r w:rsidRPr="00D64CEA">
        <w:t xml:space="preserve"> children aged &lt; 2 years of age, and there were only 2 patients in the submitted data </w:t>
      </w:r>
      <w:proofErr w:type="gramStart"/>
      <w:r w:rsidRPr="00D64CEA">
        <w:t>who</w:t>
      </w:r>
      <w:proofErr w:type="gramEnd"/>
      <w:r w:rsidRPr="00D64CEA">
        <w:t xml:space="preserve"> were aged 65 years or older. Nearly all patients in the studies were </w:t>
      </w:r>
      <w:r w:rsidR="005C00B2">
        <w:t>W</w:t>
      </w:r>
      <w:r w:rsidRPr="00D64CEA">
        <w:t>hite and there were no data on the benefits of treatment in other racial groups. There were no data in female patients, however, as the disease occurs almost exclusively in males this deficiency is not considered to be significant. In terms of FVIII genotypes, most known FVIII gene mutations were single occurrence with the exception of intron 22 inversions</w:t>
      </w:r>
      <w:r w:rsidRPr="00D64CEA">
        <w:rPr>
          <w:i/>
        </w:rPr>
        <w:t xml:space="preserve">. </w:t>
      </w:r>
      <w:r w:rsidRPr="00D64CEA">
        <w:t>There were no data on previously untreated pati</w:t>
      </w:r>
      <w:r w:rsidR="001963C4">
        <w:t>ents with severe haemophilia A.</w:t>
      </w:r>
    </w:p>
    <w:p w:rsidR="009622D4" w:rsidRPr="00D64CEA" w:rsidRDefault="009622D4" w:rsidP="009622D4">
      <w:pPr>
        <w:widowControl w:val="0"/>
        <w:autoSpaceDE w:val="0"/>
        <w:autoSpaceDN w:val="0"/>
        <w:adjustRightInd w:val="0"/>
      </w:pPr>
      <w:r w:rsidRPr="00D64CEA">
        <w:t xml:space="preserve">The benefits of treatment outlined below are based </w:t>
      </w:r>
      <w:r w:rsidR="00420DAC">
        <w:t xml:space="preserve">on </w:t>
      </w:r>
      <w:r w:rsidRPr="00D64CEA">
        <w:t xml:space="preserve">the data from the three pivotal </w:t>
      </w:r>
      <w:r w:rsidRPr="00D64CEA">
        <w:lastRenderedPageBreak/>
        <w:t xml:space="preserve">studies (2 adult, 1 paediatric). The adult patients from the two supportive single-centre Russian studies differed from the adult patients from the two pivotal studies due to the presence of severe pre-existing joint disease, which the sponsor considers to be due to inadequate treatment. Nevertheless, the benefits of treatment with </w:t>
      </w:r>
      <w:proofErr w:type="spellStart"/>
      <w:r w:rsidR="009C1E6B">
        <w:t>simoctocog</w:t>
      </w:r>
      <w:proofErr w:type="spellEnd"/>
      <w:r w:rsidR="009C1E6B">
        <w:t xml:space="preserve"> </w:t>
      </w:r>
      <w:r w:rsidR="00FC63A1">
        <w:t>alfa</w:t>
      </w:r>
      <w:r w:rsidRPr="00D64CEA">
        <w:t xml:space="preserve"> for patients in the Russian study are</w:t>
      </w:r>
      <w:r w:rsidR="001963C4">
        <w:t xml:space="preserve"> considered to be satisfactory.</w:t>
      </w:r>
    </w:p>
    <w:p w:rsidR="009622D4" w:rsidRPr="009704FF" w:rsidRDefault="001963C4" w:rsidP="005C00B2">
      <w:pPr>
        <w:pStyle w:val="Heading5"/>
      </w:pPr>
      <w:r>
        <w:t>Prophylaxis</w:t>
      </w:r>
    </w:p>
    <w:p w:rsidR="009622D4" w:rsidRDefault="009622D4" w:rsidP="009622D4">
      <w:r>
        <w:t xml:space="preserve">In the pivotal study in previously treated adults investigating </w:t>
      </w:r>
      <w:proofErr w:type="spellStart"/>
      <w:r w:rsidR="009C1E6B">
        <w:t>simoctocog</w:t>
      </w:r>
      <w:proofErr w:type="spellEnd"/>
      <w:r w:rsidR="009C1E6B">
        <w:t xml:space="preserve"> </w:t>
      </w:r>
      <w:r w:rsidR="00FC63A1">
        <w:t>alfa</w:t>
      </w:r>
      <w:r>
        <w:t xml:space="preserve"> as prophylaxis (GENA-08), the </w:t>
      </w:r>
      <w:r w:rsidRPr="00F30D16">
        <w:t xml:space="preserve">percentage of patients experiencing </w:t>
      </w:r>
      <w:r>
        <w:t xml:space="preserve">BEs </w:t>
      </w:r>
      <w:r w:rsidRPr="00F30D16">
        <w:t xml:space="preserve">while on prophylaxis </w:t>
      </w:r>
      <w:r>
        <w:t>was 50% (16/32), the number of exposure days (</w:t>
      </w:r>
      <w:proofErr w:type="spellStart"/>
      <w:r>
        <w:t>mean±SD</w:t>
      </w:r>
      <w:proofErr w:type="spellEnd"/>
      <w:r>
        <w:t xml:space="preserve">) was 85.1±15.4 and the overall mean monthly BE rate was 0.188 (range: 0, 1.21) (spontaneous BEs/month 0.095 [range: 0, 0.71]; traumatic BEs/month 0.082 [range: 0, 0.68]). In this study, the overall efficacy of prophylactic treatment with </w:t>
      </w:r>
      <w:proofErr w:type="spellStart"/>
      <w:r w:rsidR="009C1E6B">
        <w:t>simoctocog</w:t>
      </w:r>
      <w:proofErr w:type="spellEnd"/>
      <w:r w:rsidR="009C1E6B">
        <w:t xml:space="preserve"> </w:t>
      </w:r>
      <w:r w:rsidR="00FC63A1">
        <w:t>alfa</w:t>
      </w:r>
      <w:r>
        <w:t xml:space="preserve"> as regards </w:t>
      </w:r>
      <w:r w:rsidRPr="005C00B2">
        <w:rPr>
          <w:i/>
        </w:rPr>
        <w:t>all</w:t>
      </w:r>
      <w:r>
        <w:t xml:space="preserve"> BEs was classed as excellent (&lt;</w:t>
      </w:r>
      <w:r w:rsidR="005C00B2">
        <w:t> </w:t>
      </w:r>
      <w:r>
        <w:t>0.75 BEs/month) in 90.6% (n=29) of patients, good (BEs 0.75 - 1.0 BEs/month) in 6.3% (n=2) of patients, and moderate (&gt; 1.0 - 1.5 BEs/month) in 3.1% (n=1) of patients. Using the same efficacy criteria for spontaneous BEs, the efficacy of prophylactic treatment was classed as excel</w:t>
      </w:r>
      <w:r w:rsidR="001963C4">
        <w:t>lent in all 32 patients (100%).</w:t>
      </w:r>
    </w:p>
    <w:p w:rsidR="009622D4" w:rsidRDefault="009622D4" w:rsidP="009622D4">
      <w:r>
        <w:t>In the pivotal study in previously treated children aged 2</w:t>
      </w:r>
      <w:r w:rsidR="005C00B2">
        <w:t xml:space="preserve"> to </w:t>
      </w:r>
      <w:r>
        <w:t xml:space="preserve">12 years investigating </w:t>
      </w:r>
      <w:proofErr w:type="spellStart"/>
      <w:r w:rsidR="009C1E6B">
        <w:t>simoctocog</w:t>
      </w:r>
      <w:proofErr w:type="spellEnd"/>
      <w:r w:rsidR="009C1E6B">
        <w:t xml:space="preserve"> </w:t>
      </w:r>
      <w:r w:rsidR="00FC63A1">
        <w:t>alfa</w:t>
      </w:r>
      <w:r>
        <w:t xml:space="preserve"> as prophylaxis (GENA-03), the percentage of patients experiencing BEs while on prophylaxis was 54.2% (32/59), the number of exposure days (</w:t>
      </w:r>
      <w:proofErr w:type="spellStart"/>
      <w:r>
        <w:t>mean±SD</w:t>
      </w:r>
      <w:proofErr w:type="spellEnd"/>
      <w:r>
        <w:t>) was 89.8±22.3, and the overall monthly BE rate was 0.338 (range: 0, 1.70)</w:t>
      </w:r>
      <w:r w:rsidRPr="00BC173C">
        <w:t xml:space="preserve"> </w:t>
      </w:r>
      <w:r>
        <w:t xml:space="preserve">(spontaneous BEs/month 0.123 [range: 0, 1.13]; traumatic BEs/month 0.192 [range: 0. 1.53]). The risk of experiencing a traumatic </w:t>
      </w:r>
      <w:proofErr w:type="gramStart"/>
      <w:r>
        <w:t>BE</w:t>
      </w:r>
      <w:proofErr w:type="gramEnd"/>
      <w:r>
        <w:t xml:space="preserve"> was greater than the risk of experiencing a spontaneous BE which is not unexpected in children aged 2 to 12 years. The efficacy of prophylactic treatment with </w:t>
      </w:r>
      <w:proofErr w:type="spellStart"/>
      <w:r w:rsidR="009C1E6B">
        <w:t>simoctocog</w:t>
      </w:r>
      <w:proofErr w:type="spellEnd"/>
      <w:r w:rsidR="009C1E6B">
        <w:t xml:space="preserve"> </w:t>
      </w:r>
      <w:r w:rsidR="00FC63A1">
        <w:t>alfa</w:t>
      </w:r>
      <w:r>
        <w:t xml:space="preserve"> for </w:t>
      </w:r>
      <w:r w:rsidRPr="005C00B2">
        <w:rPr>
          <w:i/>
        </w:rPr>
        <w:t>all</w:t>
      </w:r>
      <w:r w:rsidRPr="00A311E5">
        <w:rPr>
          <w:b/>
        </w:rPr>
        <w:t xml:space="preserve"> </w:t>
      </w:r>
      <w:r>
        <w:t xml:space="preserve">BEs was classed as excellent (&lt; 0.75 BEs/month) in 83.1% (49/59) of patients, good (0.75 - 1.0 BEs/month) in 8.5% (3/59) of patients, moderate (&gt; 1.0 - 1.5 BEs/month) in 5.1% (3/59) of patients, and poor (≥ 1.5 BEs/month) in 3.4% (2/59) of patients. Using the same efficacy criteria for spontaneous bleeds, 94.9% (56/59) of patients had excellent efficacy, 1.7% (1/59) had good efficacy, and 3.4% (2/59) had moderate efficacy. The efficacy of prophylactic treatment with </w:t>
      </w:r>
      <w:proofErr w:type="spellStart"/>
      <w:r w:rsidR="009C1E6B">
        <w:t>simoctocog</w:t>
      </w:r>
      <w:proofErr w:type="spellEnd"/>
      <w:r w:rsidR="009C1E6B">
        <w:t xml:space="preserve"> </w:t>
      </w:r>
      <w:r w:rsidR="00FC63A1">
        <w:t>alfa</w:t>
      </w:r>
      <w:r>
        <w:t xml:space="preserve"> was better in the subgroup of children aged 2</w:t>
      </w:r>
      <w:r w:rsidR="005C00B2">
        <w:t xml:space="preserve"> to </w:t>
      </w:r>
      <w:r>
        <w:t xml:space="preserve">5 years compared with the sub-group of children with aged 6 </w:t>
      </w:r>
      <w:r w:rsidR="005C00B2">
        <w:t xml:space="preserve">to </w:t>
      </w:r>
      <w:r>
        <w:t>12 years with respect to any BEs, spo</w:t>
      </w:r>
      <w:r w:rsidR="001963C4">
        <w:t>ntaneous BEs and traumatic BEs.</w:t>
      </w:r>
    </w:p>
    <w:p w:rsidR="009622D4" w:rsidRPr="009704FF" w:rsidRDefault="009622D4" w:rsidP="005C00B2">
      <w:pPr>
        <w:pStyle w:val="Heading5"/>
      </w:pPr>
      <w:r w:rsidRPr="009704FF">
        <w:t xml:space="preserve">On-demand treatment </w:t>
      </w:r>
      <w:r>
        <w:t>for BEs in patients not receiving prophylaxis</w:t>
      </w:r>
    </w:p>
    <w:p w:rsidR="009622D4" w:rsidRPr="00277E17" w:rsidRDefault="009622D4" w:rsidP="009622D4">
      <w:pPr>
        <w:widowControl w:val="0"/>
        <w:autoSpaceDE w:val="0"/>
        <w:autoSpaceDN w:val="0"/>
        <w:adjustRightInd w:val="0"/>
      </w:pPr>
      <w:r w:rsidRPr="00277E17">
        <w:t xml:space="preserve">In the </w:t>
      </w:r>
      <w:r>
        <w:t xml:space="preserve">pivotal </w:t>
      </w:r>
      <w:r w:rsidRPr="00277E17">
        <w:t xml:space="preserve">study of on-demand treatment in previously treated adults </w:t>
      </w:r>
      <w:r>
        <w:t xml:space="preserve">not receiving routine prophylaxis </w:t>
      </w:r>
      <w:r w:rsidRPr="00277E17">
        <w:t>(GENA-0</w:t>
      </w:r>
      <w:r>
        <w:t>1</w:t>
      </w:r>
      <w:r w:rsidRPr="00277E17">
        <w:t>), the 22 patients enrolled in the study experienced a total of 986 BE</w:t>
      </w:r>
      <w:r>
        <w:t xml:space="preserve">s treated with </w:t>
      </w:r>
      <w:proofErr w:type="spellStart"/>
      <w:r w:rsidR="009C1E6B">
        <w:t>simoctocog</w:t>
      </w:r>
      <w:proofErr w:type="spellEnd"/>
      <w:r w:rsidR="009C1E6B">
        <w:t xml:space="preserve"> </w:t>
      </w:r>
      <w:r w:rsidR="00FC63A1">
        <w:t>alfa</w:t>
      </w:r>
      <w:r>
        <w:t xml:space="preserve">. </w:t>
      </w:r>
      <w:r w:rsidRPr="00277E17">
        <w:t>Of the 986 BEs, 65.1% (n=642) were spontaneous, 34.6% (n=341)</w:t>
      </w:r>
      <w:r>
        <w:t xml:space="preserve"> were traumatic, and 0.3% (n=3) </w:t>
      </w:r>
      <w:r w:rsidRPr="00277E17">
        <w:t xml:space="preserve">were due to other causes. In total, 42.2% (n=416) </w:t>
      </w:r>
      <w:r>
        <w:t xml:space="preserve">of the BEs </w:t>
      </w:r>
      <w:r w:rsidRPr="00277E17">
        <w:t xml:space="preserve">were </w:t>
      </w:r>
      <w:r>
        <w:t xml:space="preserve">classed as </w:t>
      </w:r>
      <w:r w:rsidRPr="00277E17">
        <w:t xml:space="preserve">minor, 57.4% (n=566) were </w:t>
      </w:r>
      <w:r>
        <w:t xml:space="preserve">classed as </w:t>
      </w:r>
      <w:r w:rsidRPr="00277E17">
        <w:t xml:space="preserve">moderate to major and 0.3% (n=3) were </w:t>
      </w:r>
      <w:r>
        <w:t xml:space="preserve">classed as </w:t>
      </w:r>
      <w:r w:rsidRPr="00277E17">
        <w:t xml:space="preserve">major to life-threatening. </w:t>
      </w:r>
      <w:r>
        <w:t xml:space="preserve">Overall, the </w:t>
      </w:r>
      <w:r w:rsidRPr="00277E17">
        <w:t xml:space="preserve">mean duration of treatment of BEs overall </w:t>
      </w:r>
      <w:proofErr w:type="gramStart"/>
      <w:r w:rsidRPr="00277E17">
        <w:t>was</w:t>
      </w:r>
      <w:r w:rsidR="005C00B2">
        <w:t xml:space="preserve"> </w:t>
      </w:r>
      <w:r w:rsidRPr="00277E17">
        <w:t>1.1±0.75 days</w:t>
      </w:r>
      <w:proofErr w:type="gramEnd"/>
      <w:r w:rsidRPr="00277E17">
        <w:t xml:space="preserve"> (range</w:t>
      </w:r>
      <w:r>
        <w:t xml:space="preserve">: 1, </w:t>
      </w:r>
      <w:r w:rsidRPr="00277E17">
        <w:t xml:space="preserve">19 days). The median number of infusions administered to treat a BE was 1.0 (range: 1, 13) and the </w:t>
      </w:r>
      <w:proofErr w:type="spellStart"/>
      <w:r w:rsidRPr="00277E17">
        <w:t>mean±SD</w:t>
      </w:r>
      <w:proofErr w:type="spellEnd"/>
      <w:r w:rsidRPr="00277E17">
        <w:t xml:space="preserve"> dose per infusion was 32.3±10.6 IU/kg. The proportion of BEs requiring 1 infusion was 91.4% (841/986) and the proportion of BEs requiring 2 infusions was 5.8% (53/986). For all 986 BEs, personal efficacy was </w:t>
      </w:r>
      <w:r>
        <w:t>classed</w:t>
      </w:r>
      <w:r w:rsidRPr="00277E17">
        <w:t xml:space="preserve"> as excellent for 60.3%, good for 34.1% and moderate for 5.5%. For the 416 minor BEs, personal efficacy was </w:t>
      </w:r>
      <w:r>
        <w:t>classed</w:t>
      </w:r>
      <w:r w:rsidRPr="00277E17">
        <w:t xml:space="preserve"> as excellent for 75.0%, good for 23.6%, and</w:t>
      </w:r>
      <w:r>
        <w:t xml:space="preserve"> moderate for 1.4%. For the 566 </w:t>
      </w:r>
      <w:r w:rsidRPr="00277E17">
        <w:t xml:space="preserve">moderate to </w:t>
      </w:r>
      <w:proofErr w:type="gramStart"/>
      <w:r w:rsidRPr="00277E17">
        <w:t>major</w:t>
      </w:r>
      <w:proofErr w:type="gramEnd"/>
      <w:r w:rsidRPr="00277E17">
        <w:t xml:space="preserve"> BEs, personal efficacy was </w:t>
      </w:r>
      <w:r>
        <w:t>classed</w:t>
      </w:r>
      <w:r w:rsidRPr="00277E17">
        <w:t xml:space="preserve"> as excellent for 50.0%, good for 41.7% and moderate for 8.3%. For the 3 major to life-threatening BEs, personal efficacy was </w:t>
      </w:r>
      <w:r>
        <w:t xml:space="preserve">classed </w:t>
      </w:r>
      <w:r w:rsidRPr="00277E17">
        <w:t>as excellent fo</w:t>
      </w:r>
      <w:r w:rsidR="001963C4">
        <w:t>r 66.7% and moderate for 33.3%.</w:t>
      </w:r>
    </w:p>
    <w:p w:rsidR="009622D4" w:rsidRPr="009704FF" w:rsidRDefault="009622D4" w:rsidP="005C00B2">
      <w:pPr>
        <w:pStyle w:val="Heading5"/>
      </w:pPr>
      <w:r w:rsidRPr="009704FF">
        <w:lastRenderedPageBreak/>
        <w:t>On-demand treatment for breakth</w:t>
      </w:r>
      <w:r>
        <w:t xml:space="preserve">rough </w:t>
      </w:r>
      <w:r w:rsidRPr="009704FF">
        <w:t>BEs in</w:t>
      </w:r>
      <w:r w:rsidR="001963C4">
        <w:t xml:space="preserve"> patients receiving prophylaxis</w:t>
      </w:r>
    </w:p>
    <w:p w:rsidR="009622D4" w:rsidRDefault="009622D4" w:rsidP="009622D4">
      <w:r>
        <w:t xml:space="preserve">In the pivotal study in previously treated adults assessing breakthrough BEs while on prophylactic treatment with </w:t>
      </w:r>
      <w:proofErr w:type="spellStart"/>
      <w:r w:rsidR="009C1E6B">
        <w:t>simoctocog</w:t>
      </w:r>
      <w:proofErr w:type="spellEnd"/>
      <w:r w:rsidR="009C1E6B">
        <w:t xml:space="preserve"> </w:t>
      </w:r>
      <w:r w:rsidR="00FC63A1">
        <w:t>alfa</w:t>
      </w:r>
      <w:r>
        <w:t xml:space="preserve"> (GENA-08), 15 of the 32 patients experienced 30 BEs requiring treatment with </w:t>
      </w:r>
      <w:proofErr w:type="spellStart"/>
      <w:r w:rsidR="009C1E6B">
        <w:t>simoctocog</w:t>
      </w:r>
      <w:proofErr w:type="spellEnd"/>
      <w:r w:rsidR="009C1E6B">
        <w:t xml:space="preserve"> </w:t>
      </w:r>
      <w:r w:rsidR="00FC63A1">
        <w:t>alfa</w:t>
      </w:r>
      <w:r>
        <w:t xml:space="preserve">. The median number of </w:t>
      </w:r>
      <w:proofErr w:type="spellStart"/>
      <w:r w:rsidR="009C1E6B">
        <w:t>simoctocog</w:t>
      </w:r>
      <w:proofErr w:type="spellEnd"/>
      <w:r w:rsidR="009C1E6B">
        <w:t xml:space="preserve"> </w:t>
      </w:r>
      <w:r w:rsidR="00FC63A1">
        <w:t>alfa</w:t>
      </w:r>
      <w:r>
        <w:t xml:space="preserve"> infusions administered to treat a BE was 1.0 (range: 1, 12) and the </w:t>
      </w:r>
      <w:proofErr w:type="spellStart"/>
      <w:r>
        <w:t>mean±SD</w:t>
      </w:r>
      <w:proofErr w:type="spellEnd"/>
      <w:r>
        <w:t xml:space="preserve"> dose per infusion was 33.3±6.7 IU/kg. The proportion of the 30 BEs requiring only 1 or 2 infusions was 88.9% (1 infusion for 81.5% of BEs, 2 infusions for 7.4% of BEs). Personal efficacy assessments were available for 28 BEs, with 14 (50%) being classed a minor and 14 (50%) being classed as moderate to major. No BEs in this study </w:t>
      </w:r>
      <w:proofErr w:type="gramStart"/>
      <w:r>
        <w:t>were</w:t>
      </w:r>
      <w:proofErr w:type="gramEnd"/>
      <w:r>
        <w:t xml:space="preserve"> classed as major to life-threatening. For all 28 BEs, personal efficacy was rated as excellent for 71.4% (n=20) and good for 28.8% (n=8). For the 14 minor BEs, personal efficacy was rated as excellent for 85.7% (n=12) and good for 14.3% (n=2). For the 14 moderate to </w:t>
      </w:r>
      <w:proofErr w:type="gramStart"/>
      <w:r>
        <w:t>major</w:t>
      </w:r>
      <w:proofErr w:type="gramEnd"/>
      <w:r>
        <w:t xml:space="preserve"> BEs, personal efficacy was rated as excellent for 57.1% (n=8) and good for 42.9% (n=6). Overall, personal efficacy was rated as excellent or good for all 28 break</w:t>
      </w:r>
      <w:r w:rsidR="00976BF8">
        <w:t>-</w:t>
      </w:r>
      <w:r>
        <w:t xml:space="preserve">through BEs requiring treatment with </w:t>
      </w:r>
      <w:proofErr w:type="spellStart"/>
      <w:r w:rsidR="009C1E6B">
        <w:t>simoctocog</w:t>
      </w:r>
      <w:proofErr w:type="spellEnd"/>
      <w:r w:rsidR="009C1E6B">
        <w:t xml:space="preserve"> </w:t>
      </w:r>
      <w:r w:rsidR="00FC63A1">
        <w:t>alfa</w:t>
      </w:r>
      <w:r w:rsidR="001963C4">
        <w:t>.</w:t>
      </w:r>
    </w:p>
    <w:p w:rsidR="009622D4" w:rsidRDefault="009622D4" w:rsidP="009622D4">
      <w:r w:rsidRPr="00D34D17">
        <w:t xml:space="preserve">In the primary study in previously treated children aged 2 to 12 years assessing breakthrough BEs while on prophylactic treatment with </w:t>
      </w:r>
      <w:proofErr w:type="spellStart"/>
      <w:r w:rsidR="009C1E6B">
        <w:t>simoctocog</w:t>
      </w:r>
      <w:proofErr w:type="spellEnd"/>
      <w:r w:rsidR="009C1E6B">
        <w:t xml:space="preserve"> </w:t>
      </w:r>
      <w:r w:rsidR="00FC63A1">
        <w:t>alfa</w:t>
      </w:r>
      <w:r>
        <w:t xml:space="preserve"> </w:t>
      </w:r>
      <w:r w:rsidRPr="00D34D17">
        <w:t xml:space="preserve">(GENA-03), </w:t>
      </w:r>
      <w:r>
        <w:t>32</w:t>
      </w:r>
      <w:r w:rsidRPr="00D34D17">
        <w:t xml:space="preserve"> </w:t>
      </w:r>
      <w:r>
        <w:t xml:space="preserve">of the 59 </w:t>
      </w:r>
      <w:r w:rsidRPr="00D34D17">
        <w:t>patients experienced 108 BEs</w:t>
      </w:r>
      <w:r>
        <w:t xml:space="preserve"> requiring treatment with </w:t>
      </w:r>
      <w:proofErr w:type="spellStart"/>
      <w:r w:rsidR="009C1E6B">
        <w:t>simoctocog</w:t>
      </w:r>
      <w:proofErr w:type="spellEnd"/>
      <w:r w:rsidR="009C1E6B">
        <w:t xml:space="preserve"> </w:t>
      </w:r>
      <w:r w:rsidR="00FC63A1">
        <w:t>alfa</w:t>
      </w:r>
      <w:r>
        <w:t xml:space="preserve">. </w:t>
      </w:r>
      <w:r w:rsidRPr="00D34D17">
        <w:t xml:space="preserve">The median number of infusions administered to treat a BE was 1.0 (range: 1, 22) and the </w:t>
      </w:r>
      <w:proofErr w:type="spellStart"/>
      <w:r w:rsidRPr="00D34D17">
        <w:t>mean±SD</w:t>
      </w:r>
      <w:proofErr w:type="spellEnd"/>
      <w:r w:rsidRPr="00D34D17">
        <w:t xml:space="preserve"> dose per infusion was 45.1±12.6 IU/kg. The proportion of </w:t>
      </w:r>
      <w:r>
        <w:t xml:space="preserve">the 108 </w:t>
      </w:r>
      <w:r w:rsidRPr="00D34D17">
        <w:t>BEs requiring only 1 or 2 infusions was 81.3%</w:t>
      </w:r>
      <w:r>
        <w:t xml:space="preserve"> (1 infusion for 68.6% of BEs, 2 infusions for 12.7% of BEs). Of </w:t>
      </w:r>
      <w:r w:rsidRPr="00D34D17">
        <w:t>the 10</w:t>
      </w:r>
      <w:r>
        <w:t xml:space="preserve">8 BEs, 60.2% (n=65) were traumatic, 33.3% (n=65) were spontaneous, and 6.5% (n=7) were classified as </w:t>
      </w:r>
      <w:r w:rsidR="00FF5033">
        <w:t>‘</w:t>
      </w:r>
      <w:r>
        <w:t>other</w:t>
      </w:r>
      <w:r w:rsidR="00FF5033">
        <w:t>’</w:t>
      </w:r>
      <w:r>
        <w:t xml:space="preserve">. Of the 108 BEs, 56.5% (n=61) were classed as minor, 42.6% (n=46) as moderate to major and 1 (0.9%) was of unknown severity. There </w:t>
      </w:r>
      <w:r w:rsidRPr="00D34D17">
        <w:t xml:space="preserve">were </w:t>
      </w:r>
      <w:r>
        <w:t xml:space="preserve">no </w:t>
      </w:r>
      <w:r w:rsidRPr="00D34D17">
        <w:t>major to life threatening</w:t>
      </w:r>
      <w:r>
        <w:t xml:space="preserve"> BEs</w:t>
      </w:r>
      <w:r w:rsidRPr="00D34D17">
        <w:t xml:space="preserve">. </w:t>
      </w:r>
      <w:r>
        <w:t>Of all 108 BEs, personal</w:t>
      </w:r>
      <w:r w:rsidRPr="00D34D17">
        <w:t xml:space="preserve"> efficacy was </w:t>
      </w:r>
      <w:r>
        <w:t>rated as excellent for 71.3%</w:t>
      </w:r>
      <w:r w:rsidR="00420DAC">
        <w:t>,</w:t>
      </w:r>
      <w:r w:rsidRPr="00D34D17">
        <w:t xml:space="preserve"> good for 11.1%, moderate for 15.7%, and none for 1.9%. For the 61 minor BEs, </w:t>
      </w:r>
      <w:r>
        <w:t xml:space="preserve">personal </w:t>
      </w:r>
      <w:r w:rsidRPr="00D34D17">
        <w:t xml:space="preserve">efficacy was </w:t>
      </w:r>
      <w:r>
        <w:t>rated</w:t>
      </w:r>
      <w:r w:rsidRPr="00D34D17">
        <w:t xml:space="preserve"> as excellent for 86.9%, good for 11.5%, </w:t>
      </w:r>
      <w:r>
        <w:t xml:space="preserve">and </w:t>
      </w:r>
      <w:r w:rsidRPr="00D34D17">
        <w:t xml:space="preserve">moderate for </w:t>
      </w:r>
      <w:r>
        <w:t xml:space="preserve">the remaining </w:t>
      </w:r>
      <w:r w:rsidRPr="00D34D17">
        <w:t>1.6%</w:t>
      </w:r>
      <w:r>
        <w:t xml:space="preserve">. Overall, efficacy for all minor BEs was rated as at least moderate. </w:t>
      </w:r>
      <w:r w:rsidRPr="00D34D17">
        <w:t xml:space="preserve">For the 46 moderate to </w:t>
      </w:r>
      <w:proofErr w:type="gramStart"/>
      <w:r w:rsidRPr="00D34D17">
        <w:t>major</w:t>
      </w:r>
      <w:proofErr w:type="gramEnd"/>
      <w:r w:rsidRPr="00D34D17">
        <w:t xml:space="preserve"> BEs, </w:t>
      </w:r>
      <w:r>
        <w:t xml:space="preserve">personal </w:t>
      </w:r>
      <w:r w:rsidRPr="00D34D17">
        <w:t xml:space="preserve">efficacy was </w:t>
      </w:r>
      <w:r>
        <w:t>rated</w:t>
      </w:r>
      <w:r w:rsidRPr="00D34D17">
        <w:t xml:space="preserve"> as excellent for 50.0%, good for 10.9%, moderate</w:t>
      </w:r>
      <w:r w:rsidR="001963C4">
        <w:t xml:space="preserve"> for 34.8%, and none for 4.3%.</w:t>
      </w:r>
    </w:p>
    <w:p w:rsidR="009622D4" w:rsidRPr="003C7641" w:rsidRDefault="009622D4" w:rsidP="009622D4">
      <w:pPr>
        <w:widowControl w:val="0"/>
        <w:autoSpaceDE w:val="0"/>
        <w:autoSpaceDN w:val="0"/>
        <w:adjustRightInd w:val="0"/>
      </w:pPr>
      <w:r w:rsidRPr="00192177">
        <w:t xml:space="preserve">In the paediatric study (GENA-03), sub-group analysis showed that the benefits of treatment with </w:t>
      </w:r>
      <w:proofErr w:type="spellStart"/>
      <w:r w:rsidR="009C1E6B">
        <w:t>simoctocog</w:t>
      </w:r>
      <w:proofErr w:type="spellEnd"/>
      <w:r w:rsidR="009C1E6B">
        <w:t xml:space="preserve"> </w:t>
      </w:r>
      <w:r w:rsidR="00FC63A1">
        <w:t>alfa</w:t>
      </w:r>
      <w:r w:rsidRPr="00192177">
        <w:t xml:space="preserve"> were applicable to children aged 2 to 5 years and aged 6 to 12 years. BEs occurring while on prophylactic treatment with </w:t>
      </w:r>
      <w:proofErr w:type="spellStart"/>
      <w:r w:rsidR="009C1E6B">
        <w:t>simoctocog</w:t>
      </w:r>
      <w:proofErr w:type="spellEnd"/>
      <w:r w:rsidR="009C1E6B">
        <w:t xml:space="preserve"> </w:t>
      </w:r>
      <w:r w:rsidR="00FC63A1">
        <w:t>alfa</w:t>
      </w:r>
      <w:r w:rsidRPr="00192177">
        <w:t xml:space="preserve"> occurred more frequently in children in the older age sub-group group compared with the younger age sub-group group</w:t>
      </w:r>
      <w:r>
        <w:t xml:space="preserve">. The </w:t>
      </w:r>
      <w:r w:rsidRPr="00192177">
        <w:t>efficacy of prophylactic treatment for all BEs was rated as excellent or good in 96.6% (93.1% and 3.4%, respectively)</w:t>
      </w:r>
      <w:r w:rsidR="001871D9">
        <w:t xml:space="preserve"> of</w:t>
      </w:r>
      <w:r w:rsidRPr="00192177">
        <w:t xml:space="preserve"> chi</w:t>
      </w:r>
      <w:r w:rsidRPr="003C7641">
        <w:t xml:space="preserve">ldren in the younger age sub-group and 86.7% (73.3% and 13.3%, respectively) of children in the older age sub-group. Furthermore, the </w:t>
      </w:r>
      <w:r w:rsidR="00AE330F" w:rsidRPr="00587BCF">
        <w:rPr>
          <w:rFonts w:eastAsia="Times New Roman"/>
          <w:lang w:eastAsia="en-AU"/>
        </w:rPr>
        <w:t xml:space="preserve">efficacy of prophylactic </w:t>
      </w:r>
      <w:proofErr w:type="spellStart"/>
      <w:r w:rsidR="00AE330F" w:rsidRPr="00587BCF">
        <w:rPr>
          <w:rFonts w:eastAsia="Times New Roman"/>
          <w:lang w:eastAsia="en-AU"/>
        </w:rPr>
        <w:t>simoctocog</w:t>
      </w:r>
      <w:proofErr w:type="spellEnd"/>
      <w:r w:rsidR="00AE330F" w:rsidRPr="00587BCF">
        <w:rPr>
          <w:rFonts w:eastAsia="Times New Roman"/>
          <w:lang w:eastAsia="en-AU"/>
        </w:rPr>
        <w:t xml:space="preserve"> alfa treatment for spontaneous BEs was rated as excellent in the majority of patients in both the younger and older age sub-groups </w:t>
      </w:r>
      <w:r w:rsidR="001963C4">
        <w:rPr>
          <w:rFonts w:eastAsia="Times New Roman"/>
          <w:lang w:eastAsia="en-AU"/>
        </w:rPr>
        <w:t>(96.6% vs 93.3%, respectively).</w:t>
      </w:r>
    </w:p>
    <w:p w:rsidR="009622D4" w:rsidRDefault="009622D4" w:rsidP="009622D4">
      <w:pPr>
        <w:widowControl w:val="0"/>
        <w:autoSpaceDE w:val="0"/>
        <w:autoSpaceDN w:val="0"/>
        <w:adjustRightInd w:val="0"/>
      </w:pPr>
      <w:r>
        <w:t xml:space="preserve">In the sub-group analysis based on age (GENA-03), of the 108 breakthrough BEs treated with </w:t>
      </w:r>
      <w:proofErr w:type="spellStart"/>
      <w:r w:rsidR="009C1E6B">
        <w:t>simoctocog</w:t>
      </w:r>
      <w:proofErr w:type="spellEnd"/>
      <w:r w:rsidR="009C1E6B">
        <w:t xml:space="preserve"> </w:t>
      </w:r>
      <w:r w:rsidR="00FC63A1">
        <w:t>alfa</w:t>
      </w:r>
      <w:r>
        <w:t>, 33 (30.6%) occurred in the 2</w:t>
      </w:r>
      <w:r w:rsidR="005C00B2">
        <w:t xml:space="preserve"> to </w:t>
      </w:r>
      <w:r>
        <w:t>5 years sub-group and 75 (69.4%) occurred in the 6</w:t>
      </w:r>
      <w:r w:rsidR="005C00B2">
        <w:t xml:space="preserve"> to </w:t>
      </w:r>
      <w:r>
        <w:t xml:space="preserve">12 years sub-group. For all breakthrough BEs treated with </w:t>
      </w:r>
      <w:proofErr w:type="spellStart"/>
      <w:r w:rsidR="009C1E6B">
        <w:t>simoctocog</w:t>
      </w:r>
      <w:proofErr w:type="spellEnd"/>
      <w:r w:rsidR="009C1E6B">
        <w:t xml:space="preserve"> </w:t>
      </w:r>
      <w:r w:rsidR="00FC63A1">
        <w:t>alfa</w:t>
      </w:r>
      <w:r>
        <w:t xml:space="preserve"> efficacy in the 2</w:t>
      </w:r>
      <w:r w:rsidR="005C00B2">
        <w:t xml:space="preserve"> to </w:t>
      </w:r>
      <w:r>
        <w:t>5 years (n=33) sub-group v</w:t>
      </w:r>
      <w:r w:rsidR="005C00B2">
        <w:t>ersu</w:t>
      </w:r>
      <w:r>
        <w:t>s the 6</w:t>
      </w:r>
      <w:r w:rsidR="005C00B2">
        <w:t xml:space="preserve"> to </w:t>
      </w:r>
      <w:r>
        <w:t>12 years (n=75) sub-group, efficacy was rated as excellent for 63.6% vs 74.7%, good for 18.2% v</w:t>
      </w:r>
      <w:r w:rsidR="005C00B2">
        <w:t>ersu</w:t>
      </w:r>
      <w:r>
        <w:t>s 8.0%, moderate for 18.2% v</w:t>
      </w:r>
      <w:r w:rsidR="005C00B2">
        <w:t>ersu</w:t>
      </w:r>
      <w:r>
        <w:t>s 14.7%, and none for 0% v</w:t>
      </w:r>
      <w:r w:rsidR="005C00B2">
        <w:t>ersu</w:t>
      </w:r>
      <w:r>
        <w:t xml:space="preserve">s 2.7%. For the minor breakthrough BEs treated with </w:t>
      </w:r>
      <w:proofErr w:type="spellStart"/>
      <w:r w:rsidR="009C1E6B">
        <w:t>simoctocog</w:t>
      </w:r>
      <w:proofErr w:type="spellEnd"/>
      <w:r w:rsidR="009C1E6B">
        <w:t xml:space="preserve"> </w:t>
      </w:r>
      <w:r w:rsidR="00FC63A1">
        <w:t>alfa</w:t>
      </w:r>
      <w:r>
        <w:t xml:space="preserve"> in the 2-5 years (n=20) sub-group vs the 6</w:t>
      </w:r>
      <w:r w:rsidR="005C00B2">
        <w:t xml:space="preserve"> to </w:t>
      </w:r>
      <w:r>
        <w:t>12 years (n=41) sub-group, efficacy was rated as excellent for 75.0% v</w:t>
      </w:r>
      <w:r w:rsidR="005C00B2">
        <w:t>ersu</w:t>
      </w:r>
      <w:r>
        <w:t xml:space="preserve">s 92.7%, good for 25.0% </w:t>
      </w:r>
      <w:r w:rsidR="005C00B2">
        <w:t>versus</w:t>
      </w:r>
      <w:r>
        <w:t xml:space="preserve"> 4.9%, moderate for 0% </w:t>
      </w:r>
      <w:r w:rsidR="005C00B2">
        <w:t>versus</w:t>
      </w:r>
      <w:r>
        <w:t xml:space="preserve"> 2.4%, and none for no patients in either sub-group. For moderate to major breakthrough BEs treated with </w:t>
      </w:r>
      <w:proofErr w:type="spellStart"/>
      <w:r w:rsidR="009C1E6B">
        <w:t>simoctocog</w:t>
      </w:r>
      <w:proofErr w:type="spellEnd"/>
      <w:r w:rsidR="009C1E6B">
        <w:t xml:space="preserve"> </w:t>
      </w:r>
      <w:r w:rsidR="00FC63A1">
        <w:t>alfa</w:t>
      </w:r>
      <w:r>
        <w:t xml:space="preserve"> in the 2</w:t>
      </w:r>
      <w:r w:rsidR="005C00B2">
        <w:t xml:space="preserve"> to </w:t>
      </w:r>
      <w:r>
        <w:t xml:space="preserve">5 years (n=13) sub-group </w:t>
      </w:r>
      <w:r w:rsidR="005C00B2">
        <w:t xml:space="preserve">versus </w:t>
      </w:r>
      <w:r>
        <w:t>the 6</w:t>
      </w:r>
      <w:r w:rsidR="005C00B2">
        <w:t xml:space="preserve"> to </w:t>
      </w:r>
      <w:r>
        <w:t xml:space="preserve">12 years (n=33) sub-group, efficacy was rated as excellent for 46.2% </w:t>
      </w:r>
      <w:r w:rsidR="005C00B2">
        <w:t>versus</w:t>
      </w:r>
      <w:r>
        <w:t xml:space="preserve"> 51.5%, good for 7.7% </w:t>
      </w:r>
      <w:r w:rsidR="005C00B2">
        <w:t>versus</w:t>
      </w:r>
      <w:r>
        <w:t xml:space="preserve"> 12.1%, moderate for </w:t>
      </w:r>
      <w:r>
        <w:lastRenderedPageBreak/>
        <w:t xml:space="preserve">46.2% </w:t>
      </w:r>
      <w:r w:rsidR="005C00B2">
        <w:t>versus</w:t>
      </w:r>
      <w:r>
        <w:t xml:space="preserve"> 30.3%, and none for 0% </w:t>
      </w:r>
      <w:r w:rsidR="005C00B2">
        <w:t>versus</w:t>
      </w:r>
      <w:r w:rsidR="001963C4">
        <w:t xml:space="preserve"> 6.1%.</w:t>
      </w:r>
    </w:p>
    <w:p w:rsidR="009622D4" w:rsidRPr="000D1808" w:rsidRDefault="001963C4" w:rsidP="005C00B2">
      <w:pPr>
        <w:pStyle w:val="Heading5"/>
      </w:pPr>
      <w:r>
        <w:t>Surgical prophylaxis</w:t>
      </w:r>
    </w:p>
    <w:p w:rsidR="009622D4" w:rsidRPr="009622D4" w:rsidRDefault="009622D4" w:rsidP="009622D4">
      <w:r>
        <w:t xml:space="preserve">In the total patient population from the five submitted studies (adults and children), 19 patients underwent 33 surgical procedures. </w:t>
      </w:r>
      <w:r w:rsidRPr="009131E6">
        <w:t>For all surgical procedures combined (</w:t>
      </w:r>
      <w:r w:rsidR="005C00B2">
        <w:t>that is,</w:t>
      </w:r>
      <w:r w:rsidRPr="009131E6">
        <w:t xml:space="preserve"> minor and major), efficacy was rated as excellent for 87.9% (29/33), good for 9.1% (3/33), </w:t>
      </w:r>
      <w:r>
        <w:t xml:space="preserve">and </w:t>
      </w:r>
      <w:r w:rsidRPr="009131E6">
        <w:t>moderate for 3.0%</w:t>
      </w:r>
      <w:r>
        <w:t xml:space="preserve"> </w:t>
      </w:r>
      <w:r w:rsidRPr="009131E6">
        <w:t>(1/33)</w:t>
      </w:r>
      <w:r>
        <w:t xml:space="preserve">. All 33 surgical procedures were reported as having at least moderate efficacy. </w:t>
      </w:r>
      <w:r w:rsidRPr="009131E6">
        <w:t xml:space="preserve">For the 13 major surgical procedures </w:t>
      </w:r>
      <w:r>
        <w:t xml:space="preserve">in 12 patients, </w:t>
      </w:r>
      <w:r w:rsidRPr="009131E6">
        <w:t>efficacy was rated as excellent for 69.2% (9/13), good for 23.1% (3/13)</w:t>
      </w:r>
      <w:r>
        <w:t>, and moderate for 7.6% (1/13). In the paediatric study (GENA-03), 6 patients (5 with haemophilia A and 1 with VWD) underwent 6 planned major surgical procedures.</w:t>
      </w:r>
      <w:r w:rsidR="00FF5033">
        <w:t xml:space="preserve"> </w:t>
      </w:r>
      <w:r>
        <w:t xml:space="preserve">In all 5 surgical procedures in the 5 children with haemophilia </w:t>
      </w:r>
      <w:proofErr w:type="gramStart"/>
      <w:r>
        <w:t>A</w:t>
      </w:r>
      <w:proofErr w:type="gramEnd"/>
      <w:r>
        <w:t xml:space="preserve"> overall efficacy was rated as excellent by both the surgeon and the haematologist.</w:t>
      </w:r>
    </w:p>
    <w:p w:rsidR="00605AD4" w:rsidRDefault="00605AD4" w:rsidP="00605AD4">
      <w:pPr>
        <w:pStyle w:val="Heading4"/>
      </w:pPr>
      <w:r w:rsidRPr="00605AD4">
        <w:t>First round assessment of risks</w:t>
      </w:r>
    </w:p>
    <w:p w:rsidR="009622D4" w:rsidRDefault="009622D4" w:rsidP="009622D4">
      <w:r w:rsidRPr="00150A89">
        <w:t xml:space="preserve">The risks of </w:t>
      </w:r>
      <w:proofErr w:type="spellStart"/>
      <w:r w:rsidR="009C1E6B">
        <w:t>simoctocog</w:t>
      </w:r>
      <w:proofErr w:type="spellEnd"/>
      <w:r w:rsidR="009C1E6B">
        <w:t xml:space="preserve"> </w:t>
      </w:r>
      <w:r w:rsidR="00FC63A1">
        <w:t>alfa</w:t>
      </w:r>
      <w:r>
        <w:t xml:space="preserve"> </w:t>
      </w:r>
      <w:r w:rsidRPr="00150A89">
        <w:t xml:space="preserve">have been investigated in 135 </w:t>
      </w:r>
      <w:r>
        <w:t xml:space="preserve">previously treated </w:t>
      </w:r>
      <w:r w:rsidRPr="00150A89">
        <w:t xml:space="preserve">male patients with severe haemophilia </w:t>
      </w:r>
      <w:proofErr w:type="gramStart"/>
      <w:r w:rsidRPr="00150A89">
        <w:t>A</w:t>
      </w:r>
      <w:proofErr w:type="gramEnd"/>
      <w:r w:rsidRPr="00150A89">
        <w:t xml:space="preserve"> aged 2 to 75 years, including 59 patients aged 2 to 12 years of age. It is considered that the risks of treatment with </w:t>
      </w:r>
      <w:proofErr w:type="spellStart"/>
      <w:r w:rsidR="009C1E6B">
        <w:t>simoctocog</w:t>
      </w:r>
      <w:proofErr w:type="spellEnd"/>
      <w:r w:rsidR="009C1E6B">
        <w:t xml:space="preserve"> </w:t>
      </w:r>
      <w:r w:rsidR="00FC63A1">
        <w:t>alfa</w:t>
      </w:r>
      <w:r>
        <w:t xml:space="preserve"> are acceptable for the proposed indications in patients aged 2 years and above. There are no safety data in patients aged &lt; 2 years or aged &gt; 75 years. There are no safety data in previously untreated patients with severe haemophilia </w:t>
      </w:r>
      <w:r w:rsidR="001963C4">
        <w:t>A.</w:t>
      </w:r>
    </w:p>
    <w:p w:rsidR="009622D4" w:rsidRPr="000651A1" w:rsidRDefault="009622D4" w:rsidP="009622D4">
      <w:r>
        <w:t xml:space="preserve">None of the 135 patients in the total safety population had developed </w:t>
      </w:r>
      <w:r w:rsidRPr="00150A89">
        <w:t xml:space="preserve">FVIII inhibitors </w:t>
      </w:r>
      <w:r>
        <w:t>(</w:t>
      </w:r>
      <w:r w:rsidR="00FE38FF">
        <w:t>that is,</w:t>
      </w:r>
      <w:r>
        <w:t xml:space="preserve"> neutralising antibodies) at the data-lock point but it is possible that longer periods of exposure to </w:t>
      </w:r>
      <w:proofErr w:type="spellStart"/>
      <w:r w:rsidR="009C1E6B">
        <w:t>simoctocog</w:t>
      </w:r>
      <w:proofErr w:type="spellEnd"/>
      <w:r w:rsidR="009C1E6B">
        <w:t xml:space="preserve"> </w:t>
      </w:r>
      <w:r w:rsidR="00FC63A1">
        <w:t>alfa</w:t>
      </w:r>
      <w:r>
        <w:t xml:space="preserve"> might result in the formation of inhibitors in some patients. It has been estimated that the incidence of inhibitor development in previously treated patients with haemophilia A, treated on at least 150 EDs is </w:t>
      </w:r>
      <w:r w:rsidR="00FE38FF">
        <w:t xml:space="preserve">approximately </w:t>
      </w:r>
      <w:r>
        <w:t>2 per 1000 patient-years.</w:t>
      </w:r>
      <w:r w:rsidR="00FE38FF">
        <w:rPr>
          <w:rStyle w:val="FootnoteReference"/>
        </w:rPr>
        <w:footnoteReference w:id="23"/>
      </w:r>
      <w:r>
        <w:rPr>
          <w:vertAlign w:val="superscript"/>
        </w:rPr>
        <w:t xml:space="preserve"> </w:t>
      </w:r>
    </w:p>
    <w:p w:rsidR="009622D4" w:rsidRPr="00150A89" w:rsidRDefault="009622D4" w:rsidP="009622D4">
      <w:r>
        <w:t xml:space="preserve">The sponsor stated that no hypersensitivity or allergic reactions (including anaphylactic shock) </w:t>
      </w:r>
      <w:r w:rsidRPr="00150A89">
        <w:t xml:space="preserve">were </w:t>
      </w:r>
      <w:r>
        <w:t xml:space="preserve">observed in any of the clinical studies. However, </w:t>
      </w:r>
      <w:r w:rsidRPr="00150A89">
        <w:t xml:space="preserve">5 cases of rash were reported in the total safety population, including 4 in the paediatric study (GENA-03). In addition, </w:t>
      </w:r>
      <w:r>
        <w:t xml:space="preserve">in GENA-03 </w:t>
      </w:r>
      <w:r w:rsidRPr="00150A89">
        <w:t xml:space="preserve">the IDMC identified 3 cases of rash </w:t>
      </w:r>
      <w:r>
        <w:t xml:space="preserve">in 3 children and 3 cases of chills in 2 children </w:t>
      </w:r>
      <w:r w:rsidRPr="00150A89">
        <w:t xml:space="preserve">as being </w:t>
      </w:r>
      <w:r w:rsidR="00FF5033">
        <w:t>‘</w:t>
      </w:r>
      <w:r w:rsidRPr="00150A89">
        <w:t>possibly</w:t>
      </w:r>
      <w:r w:rsidR="00FF5033">
        <w:t>’</w:t>
      </w:r>
      <w:r w:rsidRPr="00150A89">
        <w:t xml:space="preserve"> related to treatment</w:t>
      </w:r>
      <w:r>
        <w:t xml:space="preserve"> with </w:t>
      </w:r>
      <w:proofErr w:type="spellStart"/>
      <w:r w:rsidR="009C1E6B">
        <w:t>simoctocog</w:t>
      </w:r>
      <w:proofErr w:type="spellEnd"/>
      <w:r w:rsidR="009C1E6B">
        <w:t xml:space="preserve"> </w:t>
      </w:r>
      <w:r w:rsidR="00FC63A1">
        <w:t>alfa</w:t>
      </w:r>
      <w:r>
        <w:t>. Furthermore, t</w:t>
      </w:r>
      <w:r w:rsidRPr="00150A89">
        <w:t xml:space="preserve">here was 1 case of </w:t>
      </w:r>
      <w:r w:rsidR="00FF5033">
        <w:t>‘</w:t>
      </w:r>
      <w:r w:rsidRPr="00150A89">
        <w:t>allergic oedema</w:t>
      </w:r>
      <w:r w:rsidR="00FF5033">
        <w:t>’</w:t>
      </w:r>
      <w:r w:rsidRPr="00150A89">
        <w:t xml:space="preserve"> identified in </w:t>
      </w:r>
      <w:r>
        <w:t xml:space="preserve">the paediatric study </w:t>
      </w:r>
      <w:r w:rsidRPr="00150A89">
        <w:t>GENA-0</w:t>
      </w:r>
      <w:r>
        <w:t>3</w:t>
      </w:r>
      <w:r w:rsidRPr="00150A89">
        <w:t>, and 2 cases of pruritus identified in GENA-01 (1 case</w:t>
      </w:r>
      <w:r>
        <w:t>, adult</w:t>
      </w:r>
      <w:r w:rsidRPr="00150A89">
        <w:t>) and in GENA-03 (1 case</w:t>
      </w:r>
      <w:r>
        <w:t>, paediatric</w:t>
      </w:r>
      <w:r w:rsidRPr="00150A89">
        <w:t>)</w:t>
      </w:r>
      <w:r>
        <w:t xml:space="preserve">. </w:t>
      </w:r>
      <w:r w:rsidRPr="00150A89">
        <w:t xml:space="preserve">Although no hypersensitivity </w:t>
      </w:r>
      <w:r>
        <w:t xml:space="preserve">or allergic </w:t>
      </w:r>
      <w:r w:rsidRPr="00150A89">
        <w:t>reactions have been reported</w:t>
      </w:r>
      <w:r>
        <w:t xml:space="preserve"> in the safety population</w:t>
      </w:r>
      <w:r w:rsidRPr="00150A89">
        <w:t xml:space="preserve">, </w:t>
      </w:r>
      <w:r>
        <w:t xml:space="preserve">the sponsor will be requested to provide </w:t>
      </w:r>
      <w:r w:rsidRPr="00150A89">
        <w:t>further information on t</w:t>
      </w:r>
      <w:r>
        <w:t xml:space="preserve">he cases of rash, chills, pruritus, and </w:t>
      </w:r>
      <w:r w:rsidRPr="00150A89">
        <w:t xml:space="preserve">allergic oedema </w:t>
      </w:r>
      <w:r>
        <w:t>in order</w:t>
      </w:r>
      <w:r w:rsidRPr="00150A89">
        <w:t xml:space="preserve"> to clar</w:t>
      </w:r>
      <w:r w:rsidR="001963C4">
        <w:t>ify the nature of these events.</w:t>
      </w:r>
    </w:p>
    <w:p w:rsidR="009622D4" w:rsidRPr="000651A1" w:rsidRDefault="009622D4" w:rsidP="009622D4">
      <w:pPr>
        <w:widowControl w:val="0"/>
        <w:autoSpaceDE w:val="0"/>
        <w:autoSpaceDN w:val="0"/>
        <w:adjustRightInd w:val="0"/>
        <w:rPr>
          <w:sz w:val="21"/>
          <w:szCs w:val="21"/>
        </w:rPr>
      </w:pPr>
      <w:r w:rsidRPr="00150A89">
        <w:rPr>
          <w:sz w:val="21"/>
          <w:szCs w:val="21"/>
        </w:rPr>
        <w:t>Of the 135 patients</w:t>
      </w:r>
      <w:r>
        <w:rPr>
          <w:sz w:val="21"/>
          <w:szCs w:val="21"/>
        </w:rPr>
        <w:t xml:space="preserve"> in the total safety population</w:t>
      </w:r>
      <w:r w:rsidRPr="00150A89">
        <w:rPr>
          <w:sz w:val="21"/>
          <w:szCs w:val="21"/>
        </w:rPr>
        <w:t>, 79 (58.5%)</w:t>
      </w:r>
      <w:r>
        <w:rPr>
          <w:sz w:val="21"/>
          <w:szCs w:val="21"/>
        </w:rPr>
        <w:t xml:space="preserve"> experienced a total of 272 AEs. </w:t>
      </w:r>
      <w:r w:rsidRPr="00150A89">
        <w:t>None of the reported AEs</w:t>
      </w:r>
      <w:r>
        <w:t xml:space="preserve"> are considered to raise safety signals for </w:t>
      </w:r>
      <w:proofErr w:type="spellStart"/>
      <w:r w:rsidR="009C1E6B">
        <w:t>simoctocog</w:t>
      </w:r>
      <w:proofErr w:type="spellEnd"/>
      <w:r w:rsidR="009C1E6B">
        <w:t xml:space="preserve"> </w:t>
      </w:r>
      <w:r w:rsidR="00FC63A1">
        <w:t>alfa</w:t>
      </w:r>
      <w:r>
        <w:t xml:space="preserve">. </w:t>
      </w:r>
      <w:r>
        <w:rPr>
          <w:sz w:val="21"/>
          <w:szCs w:val="21"/>
        </w:rPr>
        <w:t>In the total safety population</w:t>
      </w:r>
      <w:r w:rsidRPr="00150A89">
        <w:rPr>
          <w:sz w:val="21"/>
          <w:szCs w:val="21"/>
        </w:rPr>
        <w:t>, AEs occurring in ≥ 2% of patients (</w:t>
      </w:r>
      <w:r w:rsidR="00FE38FF">
        <w:rPr>
          <w:sz w:val="21"/>
          <w:szCs w:val="21"/>
        </w:rPr>
        <w:t>that is,</w:t>
      </w:r>
      <w:r w:rsidRPr="00150A89">
        <w:rPr>
          <w:sz w:val="21"/>
          <w:szCs w:val="21"/>
        </w:rPr>
        <w:t xml:space="preserve"> ≥ 3 patients) in descending order of frequency were </w:t>
      </w:r>
      <w:r w:rsidRPr="00150A89">
        <w:t xml:space="preserve">nasopharyngitis (8.1%), pyrexia (7.4%), headache (7.4%), rhinitis (5.2%), cough (4.4%), diarrhoea (3.7%), chills (3.7%), injury (3.7%), rash (3.7%), abdominal pain (3.0%), varicella (3.0%), arthralgia, (3.0%), back pain (3.0%), bronchitis (2.2%), upper RTI (2.2%), and head injury (2.2%). </w:t>
      </w:r>
      <w:r>
        <w:t xml:space="preserve">Increased ALT and AST levels were reported in 1 patient each, and no cases of increased serum creatinine were reported. </w:t>
      </w:r>
      <w:r w:rsidRPr="00150A89">
        <w:t xml:space="preserve">No thromboembolic </w:t>
      </w:r>
      <w:r>
        <w:t>AEs</w:t>
      </w:r>
      <w:r w:rsidR="001963C4">
        <w:t xml:space="preserve"> were reported.</w:t>
      </w:r>
    </w:p>
    <w:p w:rsidR="009622D4" w:rsidRDefault="009622D4" w:rsidP="009622D4">
      <w:pPr>
        <w:widowControl w:val="0"/>
        <w:autoSpaceDE w:val="0"/>
        <w:autoSpaceDN w:val="0"/>
        <w:adjustRightInd w:val="0"/>
      </w:pPr>
      <w:r>
        <w:t xml:space="preserve">In the total safety population, there were 10 (7.4%) patients with 14 AEs (5.1%) judged by the investigator and/or IDMC to be possibly or probably related to </w:t>
      </w:r>
      <w:proofErr w:type="spellStart"/>
      <w:r w:rsidR="009C1E6B">
        <w:t>simoctocog</w:t>
      </w:r>
      <w:proofErr w:type="spellEnd"/>
      <w:r w:rsidR="009C1E6B">
        <w:t xml:space="preserve"> </w:t>
      </w:r>
      <w:r w:rsidR="00FC63A1">
        <w:t>alfa</w:t>
      </w:r>
      <w:r>
        <w:t xml:space="preserve"> (</w:t>
      </w:r>
      <w:r w:rsidR="00FE38FF">
        <w:t>that is,</w:t>
      </w:r>
      <w:r>
        <w:t xml:space="preserve"> 6 AEs in 3 adults; 8 AEs in 7 children). These 14 events included </w:t>
      </w:r>
      <w:r w:rsidRPr="00150A89">
        <w:t xml:space="preserve">injection site pain in 1 </w:t>
      </w:r>
      <w:r w:rsidRPr="00150A89">
        <w:lastRenderedPageBreak/>
        <w:t xml:space="preserve">patient, back pain in 1 patient, headache in 1 patient, anti-FVIII antibody in 1 patient, </w:t>
      </w:r>
      <w:r>
        <w:t xml:space="preserve">rash in 3 patients, chills in 2 patients, and </w:t>
      </w:r>
      <w:r w:rsidRPr="00150A89">
        <w:t xml:space="preserve">vertigo, dry mouth, paraesthesia, and injection site pain all in the same patient. </w:t>
      </w:r>
      <w:r>
        <w:t>In the paediatric population (</w:t>
      </w:r>
      <w:r w:rsidRPr="00FE38FF">
        <w:t xml:space="preserve">GENA-03), there were 7 (11.9%) patients with 8 (6.5%) AEs judged by the investigator and/or </w:t>
      </w:r>
      <w:r w:rsidR="00FE38FF" w:rsidRPr="00FE38FF">
        <w:t>Independent Data Monitoring Committee (</w:t>
      </w:r>
      <w:r w:rsidRPr="00FE38FF">
        <w:t>IDMC</w:t>
      </w:r>
      <w:r w:rsidR="00FE38FF" w:rsidRPr="00FE38FF">
        <w:t>)</w:t>
      </w:r>
      <w:r w:rsidRPr="00FE38FF">
        <w:t xml:space="preserve"> to be possibly or probably related to </w:t>
      </w:r>
      <w:proofErr w:type="spellStart"/>
      <w:r w:rsidR="009C1E6B">
        <w:t>simoctocog</w:t>
      </w:r>
      <w:proofErr w:type="spellEnd"/>
      <w:r w:rsidR="009C1E6B">
        <w:t xml:space="preserve"> </w:t>
      </w:r>
      <w:r w:rsidR="00FC63A1">
        <w:t>alfa</w:t>
      </w:r>
      <w:r w:rsidRPr="00FE38FF">
        <w:t>. These 8 events were 1 event of chills in each of 3 patients, 2 separate events of rash in 1 patient, 1 event of rash in 1 patient, 1 event of back pain in 1 patient, and 1 event of headache</w:t>
      </w:r>
      <w:r w:rsidR="001963C4">
        <w:t xml:space="preserve"> in1 patient.</w:t>
      </w:r>
    </w:p>
    <w:p w:rsidR="009622D4" w:rsidRPr="00150A89" w:rsidRDefault="009622D4" w:rsidP="009622D4">
      <w:pPr>
        <w:widowControl w:val="0"/>
        <w:autoSpaceDE w:val="0"/>
        <w:autoSpaceDN w:val="0"/>
        <w:adjustRightInd w:val="0"/>
      </w:pPr>
      <w:r w:rsidRPr="00150A89">
        <w:t>One death occurred in the total safety population</w:t>
      </w:r>
      <w:r>
        <w:t xml:space="preserve"> </w:t>
      </w:r>
      <w:r w:rsidRPr="00150A89">
        <w:t>(acute respiratory and cardiovascular failure associated with status epilepticus in 1 patient with a known history of epilepsy)</w:t>
      </w:r>
      <w:r>
        <w:t xml:space="preserve">, and this death was considered to be unrelated to treatment. </w:t>
      </w:r>
      <w:r w:rsidRPr="00150A89">
        <w:t xml:space="preserve">Excluding death, there were 11 other SAEs in 8 patients and all events were considered to be unrelated to treatment. The 11 SAEs included depression/suicidal in 1 patient, traumatic fracture in 1 patient, device-related infection in 1 patient, head injury in 2 patients, </w:t>
      </w:r>
      <w:proofErr w:type="spellStart"/>
      <w:r w:rsidRPr="00150A89">
        <w:t>haemarthrosis</w:t>
      </w:r>
      <w:proofErr w:type="spellEnd"/>
      <w:r w:rsidRPr="00150A89">
        <w:t xml:space="preserve"> in 1 patient, hepatic encephalopathy/hepatic cirrhosis in 1</w:t>
      </w:r>
      <w:r>
        <w:t xml:space="preserve"> patient, and acute tonsillitis, upper </w:t>
      </w:r>
      <w:r w:rsidR="00FE38FF">
        <w:t>respiratory tract infection (</w:t>
      </w:r>
      <w:r>
        <w:t>RTI</w:t>
      </w:r>
      <w:r w:rsidR="00FE38FF">
        <w:t>)</w:t>
      </w:r>
      <w:r>
        <w:t xml:space="preserve">, and </w:t>
      </w:r>
      <w:r w:rsidRPr="00150A89">
        <w:t xml:space="preserve">lower RTI </w:t>
      </w:r>
      <w:r>
        <w:t xml:space="preserve">all occurring </w:t>
      </w:r>
      <w:r w:rsidRPr="00150A89">
        <w:t xml:space="preserve">in 1 patient. All 11 SAEs recovered/resolved except for the </w:t>
      </w:r>
      <w:r>
        <w:t>one case of hepatic cirrhosis, which had still not recovered/not resolved at the data cut-off date. Premature w</w:t>
      </w:r>
      <w:r w:rsidRPr="00150A89">
        <w:t>ithdrawals from treatment (all reasons) were reported in 7 (5.1%) patients, and the only AEs resulting in withdrawal were those associated with</w:t>
      </w:r>
      <w:r w:rsidR="00FF5033">
        <w:t xml:space="preserve"> </w:t>
      </w:r>
      <w:r w:rsidRPr="00150A89">
        <w:t xml:space="preserve">the </w:t>
      </w:r>
      <w:r w:rsidR="001963C4">
        <w:t>one death.</w:t>
      </w:r>
    </w:p>
    <w:p w:rsidR="009622D4" w:rsidRPr="00FE38FF" w:rsidRDefault="009622D4" w:rsidP="00FE38FF">
      <w:r w:rsidRPr="00150A89">
        <w:t xml:space="preserve">Clinically significant laboratory abnormalities (haematological, biochemical, urinalysis) were uncommon, as </w:t>
      </w:r>
      <w:r w:rsidRPr="00FE38FF">
        <w:t xml:space="preserve">were clinically significant abnormalities in vital signs. No patients were found to be positive for </w:t>
      </w:r>
      <w:r w:rsidR="00FE38FF" w:rsidRPr="00FE38FF">
        <w:t>Hepatitis B virus</w:t>
      </w:r>
      <w:r w:rsidR="00FE38FF">
        <w:t xml:space="preserve"> </w:t>
      </w:r>
      <w:r w:rsidR="00FE38FF" w:rsidRPr="00FE38FF">
        <w:t>(</w:t>
      </w:r>
      <w:r w:rsidRPr="00FE38FF">
        <w:t>HBV</w:t>
      </w:r>
      <w:r w:rsidR="00FE38FF" w:rsidRPr="00FE38FF">
        <w:t>)</w:t>
      </w:r>
      <w:r w:rsidRPr="00FE38FF">
        <w:t xml:space="preserve"> or </w:t>
      </w:r>
      <w:r w:rsidR="00FE38FF" w:rsidRPr="00FE38FF">
        <w:t>Hepatitis C virus</w:t>
      </w:r>
      <w:r w:rsidR="00FE38FF">
        <w:t xml:space="preserve"> </w:t>
      </w:r>
      <w:r w:rsidR="00FE38FF" w:rsidRPr="00FE38FF">
        <w:t>(</w:t>
      </w:r>
      <w:r w:rsidRPr="00FE38FF">
        <w:t>HCV</w:t>
      </w:r>
      <w:r w:rsidR="00FE38FF" w:rsidRPr="00FE38FF">
        <w:t>)</w:t>
      </w:r>
      <w:r w:rsidRPr="00FE38FF">
        <w:t xml:space="preserve"> infection.</w:t>
      </w:r>
    </w:p>
    <w:p w:rsidR="00605AD4" w:rsidRPr="00605AD4" w:rsidRDefault="00605AD4" w:rsidP="00605AD4">
      <w:pPr>
        <w:pStyle w:val="Heading4"/>
      </w:pPr>
      <w:r w:rsidRPr="00605AD4">
        <w:t>First round assessment of benefit-risk balance</w:t>
      </w:r>
    </w:p>
    <w:p w:rsidR="009622D4" w:rsidRPr="0024715B" w:rsidRDefault="009622D4" w:rsidP="009622D4">
      <w:r>
        <w:t xml:space="preserve">The benefit-risk benefit for </w:t>
      </w:r>
      <w:proofErr w:type="spellStart"/>
      <w:r w:rsidR="009C1E6B">
        <w:t>simoctocog</w:t>
      </w:r>
      <w:proofErr w:type="spellEnd"/>
      <w:r w:rsidR="009C1E6B">
        <w:t xml:space="preserve"> </w:t>
      </w:r>
      <w:r w:rsidR="00FC63A1">
        <w:t>alfa</w:t>
      </w:r>
      <w:r>
        <w:t xml:space="preserve"> for the proposed indications is considered to be favourable for patients with severe haemophilia A in adults and children aged 2 years and older. </w:t>
      </w:r>
    </w:p>
    <w:p w:rsidR="00605AD4" w:rsidRPr="00605AD4" w:rsidRDefault="00605AD4" w:rsidP="00605AD4">
      <w:pPr>
        <w:pStyle w:val="Heading3"/>
        <w:rPr>
          <w:rFonts w:eastAsia="Cambria"/>
        </w:rPr>
      </w:pPr>
      <w:bookmarkStart w:id="107" w:name="_Toc453683283"/>
      <w:r w:rsidRPr="00605AD4">
        <w:rPr>
          <w:rFonts w:eastAsia="Cambria"/>
        </w:rPr>
        <w:t xml:space="preserve">First </w:t>
      </w:r>
      <w:r w:rsidR="001963C4" w:rsidRPr="00605AD4">
        <w:rPr>
          <w:rFonts w:eastAsia="Cambria"/>
        </w:rPr>
        <w:t>round recommendation regarding authorisation</w:t>
      </w:r>
      <w:bookmarkEnd w:id="107"/>
    </w:p>
    <w:p w:rsidR="009622D4" w:rsidRDefault="009622D4" w:rsidP="009622D4">
      <w:r>
        <w:t xml:space="preserve">It is recommended that </w:t>
      </w:r>
      <w:proofErr w:type="spellStart"/>
      <w:r w:rsidR="00B06337">
        <w:t>simoctocog</w:t>
      </w:r>
      <w:proofErr w:type="spellEnd"/>
      <w:r w:rsidR="00B06337">
        <w:t xml:space="preserve"> alfa (</w:t>
      </w:r>
      <w:proofErr w:type="spellStart"/>
      <w:r>
        <w:t>N</w:t>
      </w:r>
      <w:r w:rsidR="00B06337">
        <w:t>uwiq</w:t>
      </w:r>
      <w:proofErr w:type="spellEnd"/>
      <w:r w:rsidR="00B06337">
        <w:t>)</w:t>
      </w:r>
      <w:r>
        <w:t xml:space="preserve"> be approved for:</w:t>
      </w:r>
    </w:p>
    <w:p w:rsidR="009622D4" w:rsidRPr="00FE38FF" w:rsidRDefault="009622D4" w:rsidP="00FE38FF">
      <w:pPr>
        <w:ind w:left="720"/>
        <w:rPr>
          <w:i/>
        </w:rPr>
      </w:pPr>
      <w:r w:rsidRPr="00FE38FF">
        <w:rPr>
          <w:i/>
        </w:rPr>
        <w:t xml:space="preserve">Treatment and prophylaxis of bleeding (also during and after surgery) in previously treated patients with haemophilia </w:t>
      </w:r>
      <w:proofErr w:type="gramStart"/>
      <w:r w:rsidRPr="00FE38FF">
        <w:rPr>
          <w:i/>
        </w:rPr>
        <w:t>A</w:t>
      </w:r>
      <w:proofErr w:type="gramEnd"/>
      <w:r w:rsidRPr="00FE38FF">
        <w:rPr>
          <w:i/>
        </w:rPr>
        <w:t xml:space="preserve"> (congenital </w:t>
      </w:r>
      <w:r w:rsidR="00BA154F">
        <w:rPr>
          <w:i/>
        </w:rPr>
        <w:t>FVIII</w:t>
      </w:r>
      <w:r w:rsidR="00CC4F20" w:rsidRPr="00FE38FF">
        <w:rPr>
          <w:i/>
        </w:rPr>
        <w:t xml:space="preserve"> </w:t>
      </w:r>
      <w:r w:rsidRPr="00FE38FF">
        <w:rPr>
          <w:i/>
        </w:rPr>
        <w:t>deficiency).</w:t>
      </w:r>
    </w:p>
    <w:p w:rsidR="009622D4" w:rsidRPr="00FE38FF" w:rsidRDefault="009622D4" w:rsidP="00FE38FF">
      <w:pPr>
        <w:ind w:left="720"/>
        <w:rPr>
          <w:i/>
        </w:rPr>
      </w:pPr>
      <w:proofErr w:type="spellStart"/>
      <w:r w:rsidRPr="00FE38FF">
        <w:rPr>
          <w:i/>
        </w:rPr>
        <w:t>Nuwiq</w:t>
      </w:r>
      <w:proofErr w:type="spellEnd"/>
      <w:r w:rsidRPr="00FE38FF">
        <w:rPr>
          <w:i/>
        </w:rPr>
        <w:t xml:space="preserve"> is also indicated in haemophilia </w:t>
      </w:r>
      <w:proofErr w:type="gramStart"/>
      <w:r w:rsidRPr="00FE38FF">
        <w:rPr>
          <w:i/>
        </w:rPr>
        <w:t>A</w:t>
      </w:r>
      <w:proofErr w:type="gramEnd"/>
      <w:r w:rsidRPr="00FE38FF">
        <w:rPr>
          <w:i/>
        </w:rPr>
        <w:t xml:space="preserve"> patients with known allergic reactions to mouse or hamster protein, in which hamster cell derived </w:t>
      </w:r>
      <w:proofErr w:type="spellStart"/>
      <w:r w:rsidRPr="00FE38FF">
        <w:rPr>
          <w:i/>
        </w:rPr>
        <w:t>rFVIII</w:t>
      </w:r>
      <w:proofErr w:type="spellEnd"/>
      <w:r w:rsidRPr="00FE38FF">
        <w:rPr>
          <w:i/>
        </w:rPr>
        <w:t xml:space="preserve"> are contraindicated.</w:t>
      </w:r>
    </w:p>
    <w:p w:rsidR="009622D4" w:rsidRPr="00FE38FF" w:rsidRDefault="009622D4" w:rsidP="00FE38FF">
      <w:pPr>
        <w:ind w:left="720"/>
        <w:rPr>
          <w:i/>
        </w:rPr>
      </w:pPr>
      <w:proofErr w:type="spellStart"/>
      <w:r w:rsidRPr="00FE38FF">
        <w:rPr>
          <w:i/>
        </w:rPr>
        <w:t>Nuwiq</w:t>
      </w:r>
      <w:proofErr w:type="spellEnd"/>
      <w:r w:rsidRPr="00FE38FF">
        <w:rPr>
          <w:i/>
        </w:rPr>
        <w:t xml:space="preserve"> is appropriate for use in adults and children aged 2 years and above. There are no data in children (including newborns) under the age of 2 years. </w:t>
      </w:r>
    </w:p>
    <w:p w:rsidR="009622D4" w:rsidRPr="00FE38FF" w:rsidRDefault="009622D4" w:rsidP="00FE38FF">
      <w:pPr>
        <w:tabs>
          <w:tab w:val="left" w:pos="1134"/>
        </w:tabs>
        <w:ind w:left="1134" w:hanging="1134"/>
      </w:pPr>
      <w:r w:rsidRPr="00FE38FF">
        <w:t>Comment:</w:t>
      </w:r>
      <w:r w:rsidRPr="00FE38FF">
        <w:tab/>
        <w:t xml:space="preserve">The indication should refer to previously treated patients, as there are no data in untreated patients with severe haemophilia A. It is not recommended that </w:t>
      </w:r>
      <w:proofErr w:type="spellStart"/>
      <w:r w:rsidR="00FE38FF" w:rsidRPr="00FE38FF">
        <w:t>Nuwiq</w:t>
      </w:r>
      <w:proofErr w:type="spellEnd"/>
      <w:r w:rsidR="00FE38FF" w:rsidRPr="00FE38FF">
        <w:t xml:space="preserve"> </w:t>
      </w:r>
      <w:r w:rsidRPr="00FE38FF">
        <w:t xml:space="preserve">be approved for use in children under the age of 2 years (including newborns) as there </w:t>
      </w:r>
      <w:proofErr w:type="gramStart"/>
      <w:r w:rsidRPr="00FE38FF">
        <w:t>are</w:t>
      </w:r>
      <w:proofErr w:type="gramEnd"/>
      <w:r w:rsidRPr="00FE38FF">
        <w:t xml:space="preserve"> no PK, efficacy, or safety data for the product in this patient population. The sponsor indicates that children under the age of 2 years are eligible to participate in on-going study GENA-05 which is enrolling </w:t>
      </w:r>
      <w:r w:rsidR="00B06337">
        <w:t>PUPs</w:t>
      </w:r>
      <w:r w:rsidRPr="00FE38FF">
        <w:t xml:space="preserve"> with severe haemophilia A with no age restrictions. The submission indicates that a </w:t>
      </w:r>
      <w:r w:rsidR="002F0BEA" w:rsidRPr="00FE38FF">
        <w:t>post authorisation</w:t>
      </w:r>
      <w:r w:rsidRPr="00FE38FF">
        <w:t xml:space="preserve"> study to document the long-term immunogenicity, safety and efficacy of </w:t>
      </w:r>
      <w:proofErr w:type="spellStart"/>
      <w:r w:rsidR="009C1E6B">
        <w:t>simoctocog</w:t>
      </w:r>
      <w:proofErr w:type="spellEnd"/>
      <w:r w:rsidR="009C1E6B">
        <w:t xml:space="preserve"> </w:t>
      </w:r>
      <w:r w:rsidR="00FC63A1">
        <w:t>alfa</w:t>
      </w:r>
      <w:r w:rsidRPr="00FE38FF">
        <w:t xml:space="preserve"> in patients with haemophilia A treated in routine clinical practice is planned to start in </w:t>
      </w:r>
      <w:r w:rsidR="00FE38FF">
        <w:t xml:space="preserve">the second quarter of </w:t>
      </w:r>
      <w:r w:rsidRPr="00FE38FF">
        <w:t xml:space="preserve">2015 (GENA-99). </w:t>
      </w:r>
    </w:p>
    <w:p w:rsidR="00605AD4" w:rsidRPr="00605AD4" w:rsidRDefault="00605AD4" w:rsidP="00605AD4">
      <w:pPr>
        <w:pStyle w:val="Heading3"/>
        <w:rPr>
          <w:rFonts w:eastAsia="Cambria"/>
        </w:rPr>
      </w:pPr>
      <w:bookmarkStart w:id="108" w:name="_Toc453683284"/>
      <w:r w:rsidRPr="00605AD4">
        <w:rPr>
          <w:rFonts w:eastAsia="Cambria"/>
        </w:rPr>
        <w:lastRenderedPageBreak/>
        <w:t xml:space="preserve">Clinical </w:t>
      </w:r>
      <w:r w:rsidR="001963C4">
        <w:rPr>
          <w:rFonts w:eastAsia="Cambria"/>
        </w:rPr>
        <w:t>q</w:t>
      </w:r>
      <w:r w:rsidRPr="00605AD4">
        <w:rPr>
          <w:rFonts w:eastAsia="Cambria"/>
        </w:rPr>
        <w:t>uestions</w:t>
      </w:r>
      <w:bookmarkEnd w:id="108"/>
    </w:p>
    <w:p w:rsidR="009622D4" w:rsidRDefault="009622D4" w:rsidP="00FE38FF">
      <w:pPr>
        <w:pStyle w:val="Heading4"/>
      </w:pPr>
      <w:bookmarkStart w:id="109" w:name="_Toc266446537"/>
      <w:r>
        <w:t>Pharmacokinetics</w:t>
      </w:r>
      <w:bookmarkEnd w:id="109"/>
    </w:p>
    <w:p w:rsidR="009622D4" w:rsidRDefault="009622D4" w:rsidP="00FE38FF">
      <w:pPr>
        <w:pStyle w:val="Numberbullet0"/>
      </w:pPr>
      <w:r>
        <w:t>For GENA-03, please provide the demographic characteristics of the</w:t>
      </w:r>
      <w:r w:rsidR="00B06337">
        <w:t xml:space="preserve"> 26 patients included in the PK per protocol (</w:t>
      </w:r>
      <w:r>
        <w:t>PP</w:t>
      </w:r>
      <w:r w:rsidR="00B06337">
        <w:t>)</w:t>
      </w:r>
      <w:r>
        <w:t xml:space="preserve"> population. </w:t>
      </w:r>
    </w:p>
    <w:p w:rsidR="009622D4" w:rsidRDefault="009622D4" w:rsidP="009622D4">
      <w:pPr>
        <w:pStyle w:val="Heading3"/>
      </w:pPr>
      <w:bookmarkStart w:id="110" w:name="_Toc266446538"/>
      <w:bookmarkStart w:id="111" w:name="_Toc453683285"/>
      <w:r>
        <w:t>Efficacy</w:t>
      </w:r>
      <w:bookmarkEnd w:id="110"/>
      <w:bookmarkEnd w:id="111"/>
    </w:p>
    <w:p w:rsidR="009622D4" w:rsidRDefault="009622D4" w:rsidP="00FE38FF">
      <w:pPr>
        <w:pStyle w:val="Numberbullet0"/>
      </w:pPr>
      <w:r w:rsidRPr="00EB5862">
        <w:t xml:space="preserve">In GENA-03, for prophylaxis children </w:t>
      </w:r>
      <w:r>
        <w:t xml:space="preserve">were treated with </w:t>
      </w:r>
      <w:proofErr w:type="spellStart"/>
      <w:r w:rsidR="009C1E6B">
        <w:t>simoctocog</w:t>
      </w:r>
      <w:proofErr w:type="spellEnd"/>
      <w:r w:rsidR="009C1E6B">
        <w:t xml:space="preserve"> </w:t>
      </w:r>
      <w:r w:rsidR="00FC63A1">
        <w:t>alfa</w:t>
      </w:r>
      <w:r>
        <w:t xml:space="preserve"> </w:t>
      </w:r>
      <w:r w:rsidRPr="00EB5862">
        <w:t xml:space="preserve">every other day or 3 times a week. Does the sponsor have any data comparing the </w:t>
      </w:r>
      <w:r>
        <w:t xml:space="preserve">efficacy of the </w:t>
      </w:r>
      <w:r w:rsidRPr="00EB5862">
        <w:t xml:space="preserve">every other day </w:t>
      </w:r>
      <w:r>
        <w:t xml:space="preserve">versus </w:t>
      </w:r>
      <w:r w:rsidRPr="00EB5862">
        <w:t>3 times a week regimens?</w:t>
      </w:r>
      <w:r>
        <w:t xml:space="preserve"> Please comment on the potential efficacy difference between the two regimens in children aged 2 to 12 years. </w:t>
      </w:r>
    </w:p>
    <w:p w:rsidR="009622D4" w:rsidRDefault="009622D4" w:rsidP="00FE38FF">
      <w:pPr>
        <w:pStyle w:val="Numberbullet0"/>
      </w:pPr>
      <w:r>
        <w:t>In GENA-03, please provide the number and percentage of children with p</w:t>
      </w:r>
      <w:r w:rsidRPr="00DD4C85">
        <w:t>lasma FVIII</w:t>
      </w:r>
      <w:r w:rsidR="002F0BEA" w:rsidRPr="00DD4C85">
        <w:t>: C</w:t>
      </w:r>
      <w:r w:rsidRPr="00DD4C85">
        <w:t xml:space="preserve"> ≥ 0.01 IU/mL </w:t>
      </w:r>
      <w:r>
        <w:t xml:space="preserve">before the first PK and IVR assessments as assessed by both the CHR and OS assays, and compare these results with the corresponding assessments obtained in the screening period. </w:t>
      </w:r>
    </w:p>
    <w:p w:rsidR="009622D4" w:rsidRDefault="009622D4" w:rsidP="00FE38FF">
      <w:pPr>
        <w:pStyle w:val="Numberbullet0"/>
      </w:pPr>
      <w:r>
        <w:t>It was stated that GENA-04 was terminated prematurely due to substantial changes in data requirements introduced by the Russian authorities. What were the changes in the data requirements required by the Russian authorities?</w:t>
      </w:r>
    </w:p>
    <w:p w:rsidR="009622D4" w:rsidRDefault="009622D4" w:rsidP="009622D4">
      <w:pPr>
        <w:pStyle w:val="Heading3"/>
      </w:pPr>
      <w:bookmarkStart w:id="112" w:name="_Toc266446539"/>
      <w:bookmarkStart w:id="113" w:name="_Toc453683286"/>
      <w:r>
        <w:t>Safety</w:t>
      </w:r>
      <w:bookmarkEnd w:id="112"/>
      <w:bookmarkEnd w:id="113"/>
    </w:p>
    <w:p w:rsidR="009622D4" w:rsidRPr="00E36EAE" w:rsidRDefault="009622D4" w:rsidP="00FE38FF">
      <w:pPr>
        <w:pStyle w:val="Numberbullet0"/>
      </w:pPr>
      <w:r>
        <w:t xml:space="preserve">How long after the last dose of </w:t>
      </w:r>
      <w:proofErr w:type="spellStart"/>
      <w:r w:rsidR="009C1E6B">
        <w:t>simoctocog</w:t>
      </w:r>
      <w:proofErr w:type="spellEnd"/>
      <w:r w:rsidR="009C1E6B">
        <w:t xml:space="preserve"> </w:t>
      </w:r>
      <w:r w:rsidR="00FC63A1">
        <w:t>alfa</w:t>
      </w:r>
      <w:r>
        <w:t xml:space="preserve"> were </w:t>
      </w:r>
      <w:r w:rsidR="00B06337">
        <w:t>AE</w:t>
      </w:r>
      <w:r>
        <w:t xml:space="preserve"> data collected in the five submitted studies with safety data (</w:t>
      </w:r>
      <w:r w:rsidR="00FE38FF">
        <w:t>for example</w:t>
      </w:r>
      <w:r>
        <w:t xml:space="preserve">, were events occurring up to and including 30 days after the last dose considered to be treatment-emergent </w:t>
      </w:r>
      <w:r w:rsidR="00B06337">
        <w:t>AEs</w:t>
      </w:r>
      <w:r>
        <w:t xml:space="preserve">)? </w:t>
      </w:r>
    </w:p>
    <w:p w:rsidR="009622D4" w:rsidRDefault="009622D4" w:rsidP="00FE38FF">
      <w:pPr>
        <w:pStyle w:val="Numberbullet0"/>
      </w:pPr>
      <w:r>
        <w:t xml:space="preserve">In the total safety population (n=135), 5 cases of rash were identified (1 in GENA-01, 4 in GENA-03). The IDMC identified 3 cases of rash (2 separate events in 1 patient, 1 event in 1 patient) in GENA-03 as being </w:t>
      </w:r>
      <w:r w:rsidR="00FF5033">
        <w:t>‘</w:t>
      </w:r>
      <w:r>
        <w:t>possibly</w:t>
      </w:r>
      <w:r w:rsidR="00FF5033">
        <w:t>’</w:t>
      </w:r>
      <w:r>
        <w:t xml:space="preserve"> related to treatment. Does the sponsor have any information on the 5 cases of rash identified in the safety population? In particular, can it be determined if any of the rashes were likely to be hypersensitivity or allergic reactions to </w:t>
      </w:r>
      <w:proofErr w:type="spellStart"/>
      <w:r w:rsidR="009C1E6B">
        <w:t>simoctocog</w:t>
      </w:r>
      <w:proofErr w:type="spellEnd"/>
      <w:r w:rsidR="009C1E6B">
        <w:t xml:space="preserve"> </w:t>
      </w:r>
      <w:r w:rsidR="00FC63A1">
        <w:t>alfa</w:t>
      </w:r>
      <w:r>
        <w:t xml:space="preserve"> (</w:t>
      </w:r>
      <w:r w:rsidR="00FE38FF">
        <w:t>for example</w:t>
      </w:r>
      <w:r>
        <w:t>, urticaria)?</w:t>
      </w:r>
    </w:p>
    <w:p w:rsidR="009622D4" w:rsidRDefault="009622D4" w:rsidP="00FE38FF">
      <w:pPr>
        <w:pStyle w:val="Numberbullet0"/>
      </w:pPr>
      <w:r>
        <w:t xml:space="preserve">In GENA-03, 3 cases of chills (1 event in each of 3 paediatric patients) were reported by the IDMC as </w:t>
      </w:r>
      <w:r w:rsidR="00FF5033">
        <w:t>‘</w:t>
      </w:r>
      <w:r>
        <w:t>possibly</w:t>
      </w:r>
      <w:r w:rsidR="00FF5033">
        <w:t>’</w:t>
      </w:r>
      <w:r>
        <w:t xml:space="preserve"> related to treatment with </w:t>
      </w:r>
      <w:proofErr w:type="spellStart"/>
      <w:r w:rsidR="009C1E6B">
        <w:t>simoctocog</w:t>
      </w:r>
      <w:proofErr w:type="spellEnd"/>
      <w:r w:rsidR="009C1E6B">
        <w:t xml:space="preserve"> </w:t>
      </w:r>
      <w:r w:rsidR="00FC63A1">
        <w:t>alfa</w:t>
      </w:r>
      <w:r>
        <w:t xml:space="preserve">. Please explain why these events are not considered to be hypersensitivity reactions? </w:t>
      </w:r>
    </w:p>
    <w:p w:rsidR="009622D4" w:rsidRDefault="009622D4" w:rsidP="00FE38FF">
      <w:pPr>
        <w:pStyle w:val="Numberbullet0"/>
      </w:pPr>
      <w:r>
        <w:t>In the total safety population (n=135), 2 cases of pruritus were identified (1 in GENA-01, 1 in GENA-03). Does the sponsor have any information on the 2 cases of prurit</w:t>
      </w:r>
      <w:r w:rsidR="002F0BEA">
        <w:t>u</w:t>
      </w:r>
      <w:r>
        <w:t>s identified in the safety population?</w:t>
      </w:r>
      <w:r w:rsidR="00FF5033">
        <w:t xml:space="preserve"> </w:t>
      </w:r>
      <w:r>
        <w:t xml:space="preserve">In particular, can it be determined if these cases were likely to be hypersensitivity or allergic reactions to </w:t>
      </w:r>
      <w:proofErr w:type="spellStart"/>
      <w:r w:rsidR="009C1E6B">
        <w:t>simoctocog</w:t>
      </w:r>
      <w:proofErr w:type="spellEnd"/>
      <w:r w:rsidR="009C1E6B">
        <w:t xml:space="preserve"> </w:t>
      </w:r>
      <w:r w:rsidR="00FC63A1">
        <w:t>alfa</w:t>
      </w:r>
      <w:r>
        <w:t xml:space="preserve">. </w:t>
      </w:r>
    </w:p>
    <w:p w:rsidR="009622D4" w:rsidRDefault="009622D4" w:rsidP="00FE38FF">
      <w:pPr>
        <w:pStyle w:val="Numberbullet0"/>
      </w:pPr>
      <w:r>
        <w:t xml:space="preserve">In GENA-03 (n=59), 1 paediatric patient was identified has having </w:t>
      </w:r>
      <w:r w:rsidR="00FF5033">
        <w:t>‘</w:t>
      </w:r>
      <w:r>
        <w:t>allergic oedema</w:t>
      </w:r>
      <w:r w:rsidR="00FF5033">
        <w:t>’</w:t>
      </w:r>
      <w:r>
        <w:t xml:space="preserve">. Does the sponsor have any information on this case? In particular, what part of the body was involved and was the reaction an allergy to </w:t>
      </w:r>
      <w:proofErr w:type="spellStart"/>
      <w:r w:rsidR="009C1E6B">
        <w:t>simoctocog</w:t>
      </w:r>
      <w:proofErr w:type="spellEnd"/>
      <w:r w:rsidR="009C1E6B">
        <w:t xml:space="preserve"> </w:t>
      </w:r>
      <w:r w:rsidR="00FC63A1">
        <w:t>alfa</w:t>
      </w:r>
      <w:r>
        <w:t>?</w:t>
      </w:r>
    </w:p>
    <w:p w:rsidR="009622D4" w:rsidRDefault="009622D4" w:rsidP="00FE38FF">
      <w:pPr>
        <w:pStyle w:val="Numberbullet0"/>
      </w:pPr>
      <w:r>
        <w:t xml:space="preserve">Please comment on potential hypersensitivity and allergic reactions to </w:t>
      </w:r>
      <w:proofErr w:type="spellStart"/>
      <w:r w:rsidR="009C1E6B">
        <w:t>simoctocog</w:t>
      </w:r>
      <w:proofErr w:type="spellEnd"/>
      <w:r w:rsidR="009C1E6B">
        <w:t xml:space="preserve"> </w:t>
      </w:r>
      <w:r w:rsidR="00FC63A1">
        <w:t>alfa</w:t>
      </w:r>
      <w:r>
        <w:t xml:space="preserve"> identified in the total safety population (all five studies) and in the paediatric population (GENA-03). Have any analyses of the safety data been undertaken using </w:t>
      </w:r>
      <w:r w:rsidR="000B5714">
        <w:t>the standardised m</w:t>
      </w:r>
      <w:r w:rsidR="000B5714" w:rsidRPr="00FC6369">
        <w:t xml:space="preserve">edical dictionary for regulatory activities </w:t>
      </w:r>
      <w:r w:rsidR="000B5714">
        <w:t>(</w:t>
      </w:r>
      <w:r w:rsidR="000B5714" w:rsidRPr="008F210A">
        <w:t>MedDRA</w:t>
      </w:r>
      <w:r w:rsidR="000B5714">
        <w:t>)</w:t>
      </w:r>
      <w:r>
        <w:t xml:space="preserve"> </w:t>
      </w:r>
      <w:r w:rsidR="000B5714">
        <w:t xml:space="preserve">queries (SMQ) </w:t>
      </w:r>
      <w:r>
        <w:t xml:space="preserve">search criteria for </w:t>
      </w:r>
      <w:r w:rsidR="00FF5033">
        <w:t>‘</w:t>
      </w:r>
      <w:r>
        <w:t>hypersensitivity</w:t>
      </w:r>
      <w:r w:rsidR="00FF5033">
        <w:t>’</w:t>
      </w:r>
      <w:r>
        <w:t xml:space="preserve">, </w:t>
      </w:r>
      <w:r w:rsidR="00FF5033">
        <w:t>‘</w:t>
      </w:r>
      <w:r>
        <w:t>anaphylactic reactions</w:t>
      </w:r>
      <w:r w:rsidR="00FF5033">
        <w:t>’</w:t>
      </w:r>
      <w:r>
        <w:t xml:space="preserve"> or </w:t>
      </w:r>
      <w:r w:rsidR="00FF5033">
        <w:t>‘</w:t>
      </w:r>
      <w:r>
        <w:t>allergic conditions</w:t>
      </w:r>
      <w:r w:rsidR="00FF5033">
        <w:t>’</w:t>
      </w:r>
      <w:r>
        <w:t xml:space="preserve"> (</w:t>
      </w:r>
      <w:r w:rsidR="00B06337">
        <w:t>high level group term (</w:t>
      </w:r>
      <w:r>
        <w:t>HLGT</w:t>
      </w:r>
      <w:r w:rsidR="00B06337">
        <w:t>)</w:t>
      </w:r>
      <w:r>
        <w:t xml:space="preserve">)? </w:t>
      </w:r>
    </w:p>
    <w:p w:rsidR="00605AD4" w:rsidRPr="00605AD4" w:rsidRDefault="00605AD4" w:rsidP="00605AD4">
      <w:pPr>
        <w:pStyle w:val="Heading3"/>
        <w:rPr>
          <w:rFonts w:eastAsia="Cambria"/>
        </w:rPr>
      </w:pPr>
      <w:bookmarkStart w:id="114" w:name="_Toc453683287"/>
      <w:r w:rsidRPr="00FE38FF">
        <w:rPr>
          <w:rFonts w:eastAsia="Cambria"/>
        </w:rPr>
        <w:lastRenderedPageBreak/>
        <w:t xml:space="preserve">Second </w:t>
      </w:r>
      <w:r w:rsidR="001963C4" w:rsidRPr="00FE38FF">
        <w:rPr>
          <w:rFonts w:eastAsia="Cambria"/>
        </w:rPr>
        <w:t xml:space="preserve">round evaluation </w:t>
      </w:r>
      <w:r w:rsidRPr="00FE38FF">
        <w:rPr>
          <w:rFonts w:eastAsia="Cambria"/>
        </w:rPr>
        <w:t>of clinical data submitted in response to questions</w:t>
      </w:r>
      <w:bookmarkEnd w:id="114"/>
    </w:p>
    <w:p w:rsidR="00605AD4" w:rsidRPr="00605AD4" w:rsidRDefault="00FE38FF" w:rsidP="00605AD4">
      <w:r>
        <w:t>The sponsor’s responses to the Clinical questions and the evaluator’s comments on the sponsor’s responses are detailed in the Extract from the CER, Attachment 2.</w:t>
      </w:r>
    </w:p>
    <w:p w:rsidR="00605AD4" w:rsidRPr="00605AD4" w:rsidRDefault="00605AD4" w:rsidP="00546154">
      <w:pPr>
        <w:pStyle w:val="Heading3"/>
        <w:rPr>
          <w:rFonts w:eastAsia="Cambria"/>
        </w:rPr>
      </w:pPr>
      <w:bookmarkStart w:id="115" w:name="_Toc453683288"/>
      <w:r w:rsidRPr="00605AD4">
        <w:rPr>
          <w:rFonts w:eastAsia="Cambria"/>
        </w:rPr>
        <w:t xml:space="preserve">Second </w:t>
      </w:r>
      <w:r w:rsidR="001963C4" w:rsidRPr="00605AD4">
        <w:rPr>
          <w:rFonts w:eastAsia="Cambria"/>
        </w:rPr>
        <w:t>round benefit-risk assessment</w:t>
      </w:r>
      <w:bookmarkEnd w:id="115"/>
    </w:p>
    <w:p w:rsidR="009622D4" w:rsidRDefault="009622D4" w:rsidP="0012698C">
      <w:pPr>
        <w:pStyle w:val="Heading4"/>
      </w:pPr>
      <w:bookmarkStart w:id="116" w:name="_Toc272414709"/>
      <w:bookmarkStart w:id="117" w:name="_Toc290846349"/>
      <w:bookmarkStart w:id="118" w:name="_Toc266446554"/>
      <w:r>
        <w:t>Second round assessment of benefits</w:t>
      </w:r>
      <w:bookmarkEnd w:id="116"/>
      <w:bookmarkEnd w:id="117"/>
      <w:bookmarkEnd w:id="118"/>
    </w:p>
    <w:p w:rsidR="009622D4" w:rsidRPr="00211210" w:rsidRDefault="009622D4" w:rsidP="009622D4">
      <w:r>
        <w:t xml:space="preserve">After consideration of the sponsor's responses to the clinical questions raised following the first round evaluation, the benefits of </w:t>
      </w:r>
      <w:proofErr w:type="spellStart"/>
      <w:r w:rsidR="009C1E6B">
        <w:t>simoctocog</w:t>
      </w:r>
      <w:proofErr w:type="spellEnd"/>
      <w:r w:rsidR="009C1E6B">
        <w:t xml:space="preserve"> </w:t>
      </w:r>
      <w:r w:rsidR="00FC63A1">
        <w:t>alfa</w:t>
      </w:r>
      <w:r>
        <w:t xml:space="preserve"> remain unchanged from those identified</w:t>
      </w:r>
      <w:r w:rsidR="00FE38FF">
        <w:t xml:space="preserve"> </w:t>
      </w:r>
      <w:r w:rsidR="000B5714">
        <w:t xml:space="preserve">in </w:t>
      </w:r>
      <w:r w:rsidR="00FE38FF">
        <w:t>the first round evaluation</w:t>
      </w:r>
      <w:r>
        <w:t xml:space="preserve">. </w:t>
      </w:r>
    </w:p>
    <w:p w:rsidR="009622D4" w:rsidRDefault="009622D4" w:rsidP="0012698C">
      <w:pPr>
        <w:pStyle w:val="Heading4"/>
      </w:pPr>
      <w:bookmarkStart w:id="119" w:name="_Toc272414710"/>
      <w:bookmarkStart w:id="120" w:name="_Toc290846350"/>
      <w:bookmarkStart w:id="121" w:name="_Toc266446555"/>
      <w:r>
        <w:t>Second round assessment of risks</w:t>
      </w:r>
      <w:bookmarkEnd w:id="119"/>
      <w:bookmarkEnd w:id="120"/>
      <w:bookmarkEnd w:id="121"/>
    </w:p>
    <w:p w:rsidR="009622D4" w:rsidRPr="00E46262" w:rsidRDefault="009622D4" w:rsidP="009622D4">
      <w:r>
        <w:t xml:space="preserve">After consideration of the sponsor's responses to the clinical questions raised following the first round evaluation, the risks of </w:t>
      </w:r>
      <w:proofErr w:type="spellStart"/>
      <w:r w:rsidR="009C1E6B">
        <w:t>simoctocog</w:t>
      </w:r>
      <w:proofErr w:type="spellEnd"/>
      <w:r w:rsidR="009C1E6B">
        <w:t xml:space="preserve"> </w:t>
      </w:r>
      <w:r w:rsidR="00FC63A1">
        <w:t>alfa</w:t>
      </w:r>
      <w:r>
        <w:t xml:space="preserve"> remain unchanged from those identified </w:t>
      </w:r>
      <w:r w:rsidR="00FE38FF">
        <w:t>in the first round evaluation</w:t>
      </w:r>
      <w:r>
        <w:t xml:space="preserve">. </w:t>
      </w:r>
    </w:p>
    <w:p w:rsidR="009622D4" w:rsidRDefault="009622D4" w:rsidP="0012698C">
      <w:pPr>
        <w:pStyle w:val="Heading4"/>
      </w:pPr>
      <w:bookmarkStart w:id="122" w:name="_Toc272414711"/>
      <w:bookmarkStart w:id="123" w:name="_Toc290846351"/>
      <w:bookmarkStart w:id="124" w:name="_Toc266446556"/>
      <w:r>
        <w:t>Second round assessment of benefit-risk balance</w:t>
      </w:r>
      <w:bookmarkEnd w:id="122"/>
      <w:bookmarkEnd w:id="123"/>
      <w:bookmarkEnd w:id="124"/>
    </w:p>
    <w:p w:rsidR="009622D4" w:rsidRPr="005D6453" w:rsidRDefault="009622D4" w:rsidP="009622D4">
      <w:r>
        <w:t xml:space="preserve">The benefit-risk balance for </w:t>
      </w:r>
      <w:proofErr w:type="spellStart"/>
      <w:r w:rsidR="009C1E6B">
        <w:t>simoctocog</w:t>
      </w:r>
      <w:proofErr w:type="spellEnd"/>
      <w:r w:rsidR="009C1E6B">
        <w:t xml:space="preserve"> </w:t>
      </w:r>
      <w:r w:rsidR="00FC63A1">
        <w:t>alfa</w:t>
      </w:r>
      <w:r>
        <w:t xml:space="preserve"> for the proposed indications is considered to be favourable for patients with severe haemophilia A in adults and children aged 2 years and older. </w:t>
      </w:r>
    </w:p>
    <w:p w:rsidR="009622D4" w:rsidRDefault="009622D4" w:rsidP="0012698C">
      <w:pPr>
        <w:pStyle w:val="Heading3"/>
      </w:pPr>
      <w:bookmarkStart w:id="125" w:name="_Ref272160677"/>
      <w:bookmarkStart w:id="126" w:name="_Toc272414713"/>
      <w:bookmarkStart w:id="127" w:name="_Toc290846352"/>
      <w:bookmarkStart w:id="128" w:name="_Toc266446557"/>
      <w:bookmarkStart w:id="129" w:name="_Toc453683289"/>
      <w:r>
        <w:t>Second round recommendation regarding authorisation</w:t>
      </w:r>
      <w:bookmarkEnd w:id="125"/>
      <w:bookmarkEnd w:id="126"/>
      <w:bookmarkEnd w:id="127"/>
      <w:bookmarkEnd w:id="128"/>
      <w:bookmarkEnd w:id="129"/>
      <w:r>
        <w:t xml:space="preserve"> </w:t>
      </w:r>
    </w:p>
    <w:p w:rsidR="00FE38FF" w:rsidRDefault="009622D4" w:rsidP="009622D4">
      <w:pPr>
        <w:widowControl w:val="0"/>
        <w:autoSpaceDE w:val="0"/>
        <w:autoSpaceDN w:val="0"/>
        <w:adjustRightInd w:val="0"/>
        <w:rPr>
          <w:rFonts w:eastAsia="Times New Roman" w:cs="‡oˆøª&amp;Â"/>
          <w:lang w:eastAsia="en-AU"/>
        </w:rPr>
      </w:pPr>
      <w:r w:rsidRPr="00BF0D5C">
        <w:rPr>
          <w:rFonts w:eastAsia="Times New Roman" w:cs="‡oˆøª&amp;Â"/>
          <w:lang w:eastAsia="en-AU"/>
        </w:rPr>
        <w:t xml:space="preserve">It is recommended that </w:t>
      </w:r>
      <w:proofErr w:type="spellStart"/>
      <w:r w:rsidR="000B5714">
        <w:t>simoctocog</w:t>
      </w:r>
      <w:proofErr w:type="spellEnd"/>
      <w:r w:rsidR="000B5714">
        <w:t xml:space="preserve"> alfa (</w:t>
      </w:r>
      <w:proofErr w:type="spellStart"/>
      <w:r w:rsidR="00FE38FF" w:rsidRPr="00BF0D5C">
        <w:rPr>
          <w:rFonts w:eastAsia="Times New Roman" w:cs="‡oˆøª&amp;Â"/>
          <w:lang w:eastAsia="en-AU"/>
        </w:rPr>
        <w:t>Nuwiq</w:t>
      </w:r>
      <w:proofErr w:type="spellEnd"/>
      <w:r w:rsidR="000B5714">
        <w:rPr>
          <w:rFonts w:eastAsia="Times New Roman" w:cs="‡oˆøª&amp;Â"/>
          <w:lang w:eastAsia="en-AU"/>
        </w:rPr>
        <w:t>)</w:t>
      </w:r>
      <w:r w:rsidR="00FE38FF" w:rsidRPr="00BF0D5C">
        <w:rPr>
          <w:rFonts w:eastAsia="Times New Roman" w:cs="‡oˆøª&amp;Â"/>
          <w:lang w:eastAsia="en-AU"/>
        </w:rPr>
        <w:t xml:space="preserve"> </w:t>
      </w:r>
      <w:r w:rsidRPr="00BF0D5C">
        <w:rPr>
          <w:rFonts w:eastAsia="Times New Roman" w:cs="‡oˆøª&amp;Â"/>
          <w:lang w:eastAsia="en-AU"/>
        </w:rPr>
        <w:t xml:space="preserve">be approved for the </w:t>
      </w:r>
    </w:p>
    <w:p w:rsidR="009622D4" w:rsidRPr="00BF0D5C" w:rsidRDefault="009622D4" w:rsidP="00FE38FF">
      <w:pPr>
        <w:widowControl w:val="0"/>
        <w:autoSpaceDE w:val="0"/>
        <w:autoSpaceDN w:val="0"/>
        <w:adjustRightInd w:val="0"/>
        <w:ind w:left="720"/>
        <w:rPr>
          <w:rFonts w:eastAsia="Times New Roman" w:cs="‡oˆøª&amp;Â"/>
          <w:lang w:eastAsia="en-AU"/>
        </w:rPr>
      </w:pPr>
      <w:proofErr w:type="gramStart"/>
      <w:r w:rsidRPr="00FE38FF">
        <w:rPr>
          <w:rFonts w:eastAsia="Times New Roman" w:cs="‡oˆøª&amp;Â"/>
          <w:i/>
          <w:lang w:eastAsia="en-AU"/>
        </w:rPr>
        <w:t>treatment</w:t>
      </w:r>
      <w:proofErr w:type="gramEnd"/>
      <w:r w:rsidRPr="00FE38FF">
        <w:rPr>
          <w:rFonts w:eastAsia="Times New Roman" w:cs="‡oˆøª&amp;Â"/>
          <w:i/>
          <w:lang w:eastAsia="en-AU"/>
        </w:rPr>
        <w:t xml:space="preserve"> and prophylaxis of bleeding (also during and after surgery) in previously treated paediatric (≥ 2 years) and adult patients with </w:t>
      </w:r>
      <w:r w:rsidRPr="00FE38FF">
        <w:rPr>
          <w:rFonts w:eastAsia="Times New Roman" w:cs="‡oˆøª&amp;Â"/>
          <w:i/>
          <w:u w:val="single"/>
          <w:lang w:eastAsia="en-AU"/>
        </w:rPr>
        <w:t>severe</w:t>
      </w:r>
      <w:r w:rsidRPr="00FE38FF">
        <w:rPr>
          <w:rFonts w:eastAsia="Times New Roman" w:cs="‡oˆøª&amp;Â"/>
          <w:i/>
          <w:lang w:eastAsia="en-AU"/>
        </w:rPr>
        <w:t xml:space="preserve"> haemophilia A (congenital </w:t>
      </w:r>
      <w:r w:rsidR="00BA154F">
        <w:rPr>
          <w:rFonts w:eastAsia="Times New Roman" w:cs="‡oˆøª&amp;Â"/>
          <w:i/>
          <w:lang w:eastAsia="en-AU"/>
        </w:rPr>
        <w:t>FVIII</w:t>
      </w:r>
      <w:r w:rsidR="00CC4F20" w:rsidRPr="00FE38FF">
        <w:rPr>
          <w:rFonts w:eastAsia="Times New Roman" w:cs="‡oˆøª&amp;Â"/>
          <w:i/>
          <w:lang w:eastAsia="en-AU"/>
        </w:rPr>
        <w:t xml:space="preserve"> </w:t>
      </w:r>
      <w:r w:rsidRPr="00FE38FF">
        <w:rPr>
          <w:rFonts w:eastAsia="Times New Roman" w:cs="‡oˆøª&amp;Â"/>
          <w:i/>
          <w:lang w:eastAsia="en-AU"/>
        </w:rPr>
        <w:t>deficiency)</w:t>
      </w:r>
      <w:r w:rsidRPr="00BF0D5C">
        <w:rPr>
          <w:rFonts w:eastAsia="Times New Roman" w:cs="‡oˆøª&amp;Â"/>
          <w:lang w:eastAsia="en-AU"/>
        </w:rPr>
        <w:t xml:space="preserve">. </w:t>
      </w:r>
    </w:p>
    <w:p w:rsidR="009622D4" w:rsidRPr="00BF0D5C" w:rsidRDefault="009622D4" w:rsidP="009622D4">
      <w:pPr>
        <w:widowControl w:val="0"/>
        <w:autoSpaceDE w:val="0"/>
        <w:autoSpaceDN w:val="0"/>
        <w:adjustRightInd w:val="0"/>
        <w:rPr>
          <w:rFonts w:eastAsia="Times New Roman" w:cs="‡oˆøª&amp;Â"/>
          <w:lang w:eastAsia="en-AU"/>
        </w:rPr>
      </w:pPr>
      <w:r w:rsidRPr="00BF0D5C">
        <w:rPr>
          <w:rFonts w:eastAsia="Times New Roman" w:cs="‡oˆøª&amp;Â"/>
          <w:lang w:eastAsia="en-AU"/>
        </w:rPr>
        <w:t xml:space="preserve">The indication recommended for authorisation includes reference to </w:t>
      </w:r>
      <w:r w:rsidRPr="00FE38FF">
        <w:rPr>
          <w:rFonts w:eastAsia="Times New Roman" w:cs="‡oˆøª&amp;Â"/>
          <w:i/>
          <w:lang w:eastAsia="en-AU"/>
        </w:rPr>
        <w:t>severe</w:t>
      </w:r>
      <w:r w:rsidRPr="00BF0D5C">
        <w:rPr>
          <w:rFonts w:eastAsia="Times New Roman" w:cs="‡oˆøª&amp;Â"/>
          <w:lang w:eastAsia="en-AU"/>
        </w:rPr>
        <w:t xml:space="preserve"> haemophilia A. The indication proposed by the sponsor excludes the reference to </w:t>
      </w:r>
      <w:r w:rsidRPr="00FE38FF">
        <w:rPr>
          <w:rFonts w:eastAsia="Times New Roman" w:cs="‡oˆøª&amp;Â"/>
          <w:i/>
          <w:lang w:eastAsia="en-AU"/>
        </w:rPr>
        <w:t>severe</w:t>
      </w:r>
      <w:r w:rsidRPr="00BF0D5C">
        <w:rPr>
          <w:rFonts w:eastAsia="Times New Roman" w:cs="‡oˆøª&amp;Â"/>
          <w:lang w:eastAsia="en-AU"/>
        </w:rPr>
        <w:t xml:space="preserve"> haemophilia A. </w:t>
      </w:r>
    </w:p>
    <w:p w:rsidR="008E7846" w:rsidRPr="00E41208" w:rsidRDefault="008E7846" w:rsidP="00546154">
      <w:pPr>
        <w:pStyle w:val="Heading2"/>
      </w:pPr>
      <w:bookmarkStart w:id="130" w:name="_Toc453683290"/>
      <w:r w:rsidRPr="00E41208">
        <w:t xml:space="preserve">V. Pharmacovigilance </w:t>
      </w:r>
      <w:r>
        <w:t>f</w:t>
      </w:r>
      <w:r w:rsidRPr="00E41208">
        <w:t>indings</w:t>
      </w:r>
      <w:bookmarkEnd w:id="101"/>
      <w:bookmarkEnd w:id="102"/>
      <w:bookmarkEnd w:id="130"/>
    </w:p>
    <w:p w:rsidR="008E7846" w:rsidRDefault="00386150" w:rsidP="008E7846">
      <w:pPr>
        <w:pStyle w:val="Heading3"/>
        <w:rPr>
          <w:lang w:eastAsia="en-AU"/>
        </w:rPr>
      </w:pPr>
      <w:bookmarkStart w:id="131" w:name="_Toc247691526"/>
      <w:bookmarkStart w:id="132" w:name="_Toc314842509"/>
      <w:bookmarkStart w:id="133" w:name="_Toc453683291"/>
      <w:r>
        <w:rPr>
          <w:lang w:eastAsia="en-AU"/>
        </w:rPr>
        <w:t>Risk m</w:t>
      </w:r>
      <w:r w:rsidR="008E7846">
        <w:rPr>
          <w:lang w:eastAsia="en-AU"/>
        </w:rPr>
        <w:t xml:space="preserve">anagement </w:t>
      </w:r>
      <w:r>
        <w:rPr>
          <w:lang w:eastAsia="en-AU"/>
        </w:rPr>
        <w:t>p</w:t>
      </w:r>
      <w:r w:rsidR="008E7846">
        <w:rPr>
          <w:lang w:eastAsia="en-AU"/>
        </w:rPr>
        <w:t>lan</w:t>
      </w:r>
      <w:bookmarkEnd w:id="131"/>
      <w:bookmarkEnd w:id="132"/>
      <w:bookmarkEnd w:id="133"/>
    </w:p>
    <w:p w:rsidR="008E7846" w:rsidRDefault="008E7846" w:rsidP="009622D4">
      <w:pPr>
        <w:rPr>
          <w:lang w:eastAsia="en-AU"/>
        </w:rPr>
      </w:pPr>
      <w:r>
        <w:rPr>
          <w:lang w:eastAsia="en-AU"/>
        </w:rPr>
        <w:t>The sponsor submitted a</w:t>
      </w:r>
      <w:r w:rsidR="00FE38FF">
        <w:rPr>
          <w:lang w:eastAsia="en-AU"/>
        </w:rPr>
        <w:t>n EU</w:t>
      </w:r>
      <w:r>
        <w:rPr>
          <w:lang w:eastAsia="en-AU"/>
        </w:rPr>
        <w:t xml:space="preserve"> Risk Management Plan</w:t>
      </w:r>
      <w:r w:rsidR="006F25B8">
        <w:rPr>
          <w:lang w:eastAsia="en-AU"/>
        </w:rPr>
        <w:t xml:space="preserve"> </w:t>
      </w:r>
      <w:r w:rsidR="00FE38FF">
        <w:rPr>
          <w:lang w:eastAsia="en-AU"/>
        </w:rPr>
        <w:t>(</w:t>
      </w:r>
      <w:r w:rsidR="009622D4" w:rsidRPr="00D83DC5">
        <w:t>EU-RMP</w:t>
      </w:r>
      <w:r w:rsidR="00FE38FF">
        <w:t>)</w:t>
      </w:r>
      <w:r w:rsidR="009622D4" w:rsidRPr="00D83DC5">
        <w:t>, version 3, dated 8</w:t>
      </w:r>
      <w:r w:rsidR="00FE38FF">
        <w:t xml:space="preserve"> </w:t>
      </w:r>
      <w:r w:rsidR="009622D4" w:rsidRPr="00D83DC5">
        <w:t>Aug</w:t>
      </w:r>
      <w:r w:rsidR="00FE38FF">
        <w:t xml:space="preserve">ust </w:t>
      </w:r>
      <w:r w:rsidR="009622D4" w:rsidRPr="00D83DC5">
        <w:t xml:space="preserve">2013 </w:t>
      </w:r>
      <w:r w:rsidR="00FE38FF">
        <w:t>and an Australian Specific Annex (</w:t>
      </w:r>
      <w:r w:rsidR="009622D4" w:rsidRPr="00D83DC5">
        <w:t>ASA</w:t>
      </w:r>
      <w:r w:rsidR="00FE38FF">
        <w:t>)</w:t>
      </w:r>
      <w:r w:rsidR="009622D4" w:rsidRPr="00D83DC5">
        <w:t>, version 1, dated 12</w:t>
      </w:r>
      <w:r w:rsidR="00FE38FF">
        <w:t xml:space="preserve"> </w:t>
      </w:r>
      <w:r w:rsidR="009622D4" w:rsidRPr="00D83DC5">
        <w:t>Aug</w:t>
      </w:r>
      <w:r w:rsidR="00FE38FF">
        <w:t xml:space="preserve">ust </w:t>
      </w:r>
      <w:r w:rsidR="009622D4" w:rsidRPr="00D83DC5">
        <w:t>2013 and EU-RMP, version 6.0, dated 16</w:t>
      </w:r>
      <w:r w:rsidR="00FE38FF">
        <w:t xml:space="preserve"> </w:t>
      </w:r>
      <w:r w:rsidR="009622D4" w:rsidRPr="00D83DC5">
        <w:t>May</w:t>
      </w:r>
      <w:r w:rsidR="00FE38FF">
        <w:t xml:space="preserve"> </w:t>
      </w:r>
      <w:r w:rsidR="009622D4" w:rsidRPr="00D83DC5">
        <w:t xml:space="preserve">2014 </w:t>
      </w:r>
      <w:r w:rsidR="00FE38FF">
        <w:t>and</w:t>
      </w:r>
      <w:r w:rsidR="009622D4" w:rsidRPr="00D83DC5">
        <w:t xml:space="preserve"> ASA, version 3.0, dated 19</w:t>
      </w:r>
      <w:r w:rsidR="00FE38FF">
        <w:t xml:space="preserve"> </w:t>
      </w:r>
      <w:r w:rsidR="009622D4" w:rsidRPr="00D83DC5">
        <w:t>May</w:t>
      </w:r>
      <w:r w:rsidR="00FE38FF">
        <w:t xml:space="preserve"> </w:t>
      </w:r>
      <w:r w:rsidR="009622D4" w:rsidRPr="00D83DC5">
        <w:t>2014</w:t>
      </w:r>
      <w:r w:rsidR="00FF5033">
        <w:t xml:space="preserve"> </w:t>
      </w:r>
      <w:r>
        <w:rPr>
          <w:lang w:eastAsia="en-AU"/>
        </w:rPr>
        <w:t>which w</w:t>
      </w:r>
      <w:r w:rsidR="00FE38FF">
        <w:rPr>
          <w:lang w:eastAsia="en-AU"/>
        </w:rPr>
        <w:t>ere</w:t>
      </w:r>
      <w:r>
        <w:rPr>
          <w:lang w:eastAsia="en-AU"/>
        </w:rPr>
        <w:t xml:space="preserve"> reviewed by the TGA’s Office of Product Review (OPR).</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FE38FF">
        <w:rPr>
          <w:lang w:eastAsia="en-AU"/>
        </w:rPr>
        <w:t>16</w:t>
      </w:r>
      <w:r>
        <w:rPr>
          <w:lang w:eastAsia="en-AU"/>
        </w:rPr>
        <w:t>.</w:t>
      </w:r>
    </w:p>
    <w:p w:rsidR="000B5714" w:rsidRDefault="00FE38FF" w:rsidP="000B5714">
      <w:pPr>
        <w:pStyle w:val="TableTitle"/>
        <w:rPr>
          <w:lang w:eastAsia="en-AU"/>
        </w:rPr>
      </w:pPr>
      <w:proofErr w:type="gramStart"/>
      <w:r>
        <w:rPr>
          <w:lang w:eastAsia="en-AU"/>
        </w:rPr>
        <w:t>Table 16.</w:t>
      </w:r>
      <w:proofErr w:type="gramEnd"/>
      <w:r>
        <w:rPr>
          <w:lang w:eastAsia="en-AU"/>
        </w:rPr>
        <w:t xml:space="preserve"> Sponsor’s summary of ongoing safety concerns</w:t>
      </w:r>
    </w:p>
    <w:tbl>
      <w:tblPr>
        <w:tblStyle w:val="TableTGAblue"/>
        <w:tblW w:w="8505" w:type="dxa"/>
        <w:tblLayout w:type="fixed"/>
        <w:tblLook w:val="04A0" w:firstRow="1" w:lastRow="0" w:firstColumn="1" w:lastColumn="0" w:noHBand="0" w:noVBand="1"/>
      </w:tblPr>
      <w:tblGrid>
        <w:gridCol w:w="2835"/>
        <w:gridCol w:w="5670"/>
      </w:tblGrid>
      <w:tr w:rsidR="000B5714" w:rsidRPr="008F210A" w:rsidTr="001963C4">
        <w:trPr>
          <w:cnfStyle w:val="100000000000" w:firstRow="1" w:lastRow="0" w:firstColumn="0" w:lastColumn="0" w:oddVBand="0" w:evenVBand="0" w:oddHBand="0" w:evenHBand="0" w:firstRowFirstColumn="0" w:firstRowLastColumn="0" w:lastRowFirstColumn="0" w:lastRowLastColumn="0"/>
        </w:trPr>
        <w:tc>
          <w:tcPr>
            <w:tcW w:w="8505" w:type="dxa"/>
            <w:gridSpan w:val="2"/>
          </w:tcPr>
          <w:p w:rsidR="000B5714" w:rsidRPr="008F210A" w:rsidRDefault="000B5714" w:rsidP="001963C4">
            <w:r>
              <w:t>Summary of safety concerns</w:t>
            </w:r>
          </w:p>
        </w:tc>
      </w:tr>
      <w:tr w:rsidR="000B5714" w:rsidRPr="009812D3" w:rsidTr="001963C4">
        <w:tc>
          <w:tcPr>
            <w:tcW w:w="2835" w:type="dxa"/>
          </w:tcPr>
          <w:p w:rsidR="000B5714" w:rsidRPr="008F210A" w:rsidRDefault="000B5714" w:rsidP="001963C4">
            <w:r>
              <w:t xml:space="preserve">Important identified </w:t>
            </w:r>
            <w:r>
              <w:lastRenderedPageBreak/>
              <w:t>risks</w:t>
            </w:r>
          </w:p>
        </w:tc>
        <w:tc>
          <w:tcPr>
            <w:tcW w:w="5670" w:type="dxa"/>
          </w:tcPr>
          <w:p w:rsidR="000B5714" w:rsidRPr="009812D3" w:rsidRDefault="000B5714" w:rsidP="001963C4">
            <w:r w:rsidRPr="009812D3">
              <w:lastRenderedPageBreak/>
              <w:t>None</w:t>
            </w:r>
          </w:p>
        </w:tc>
      </w:tr>
      <w:tr w:rsidR="000B5714" w:rsidRPr="009812D3" w:rsidTr="001963C4">
        <w:tc>
          <w:tcPr>
            <w:tcW w:w="2835" w:type="dxa"/>
          </w:tcPr>
          <w:p w:rsidR="000B5714" w:rsidRPr="008F210A" w:rsidRDefault="000B5714" w:rsidP="001963C4">
            <w:r>
              <w:lastRenderedPageBreak/>
              <w:t>Important potential risks</w:t>
            </w:r>
          </w:p>
        </w:tc>
        <w:tc>
          <w:tcPr>
            <w:tcW w:w="5670" w:type="dxa"/>
          </w:tcPr>
          <w:p w:rsidR="000B5714" w:rsidRDefault="000B5714" w:rsidP="001963C4">
            <w:r w:rsidRPr="009812D3">
              <w:t>Inhibitor development</w:t>
            </w:r>
            <w:r>
              <w:t xml:space="preserve"> (antibodies against </w:t>
            </w:r>
            <w:proofErr w:type="spellStart"/>
            <w:r>
              <w:t>r</w:t>
            </w:r>
            <w:r w:rsidRPr="009812D3">
              <w:t>FVIII</w:t>
            </w:r>
            <w:proofErr w:type="spellEnd"/>
            <w:r w:rsidRPr="009812D3">
              <w:t>)</w:t>
            </w:r>
          </w:p>
          <w:p w:rsidR="000B5714" w:rsidRPr="009812D3" w:rsidRDefault="000B5714" w:rsidP="001963C4">
            <w:r w:rsidRPr="009812D3">
              <w:t xml:space="preserve">General tolerability </w:t>
            </w:r>
            <w:r>
              <w:t>(hypersensitivity and allergic reactions)</w:t>
            </w:r>
          </w:p>
        </w:tc>
      </w:tr>
      <w:tr w:rsidR="000B5714" w:rsidRPr="009812D3" w:rsidTr="001963C4">
        <w:tc>
          <w:tcPr>
            <w:tcW w:w="2835" w:type="dxa"/>
          </w:tcPr>
          <w:p w:rsidR="000B5714" w:rsidRDefault="000B5714" w:rsidP="001963C4">
            <w:r>
              <w:t>Important missing information</w:t>
            </w:r>
          </w:p>
        </w:tc>
        <w:tc>
          <w:tcPr>
            <w:tcW w:w="5670" w:type="dxa"/>
          </w:tcPr>
          <w:p w:rsidR="000B5714" w:rsidRDefault="000B5714" w:rsidP="001963C4">
            <w:r w:rsidRPr="009812D3">
              <w:t>Safety in PUPs</w:t>
            </w:r>
          </w:p>
          <w:p w:rsidR="000B5714" w:rsidRPr="009812D3" w:rsidRDefault="000B5714" w:rsidP="001963C4">
            <w:r>
              <w:t>Use in pregnant or breast-feeding women</w:t>
            </w:r>
          </w:p>
        </w:tc>
      </w:tr>
    </w:tbl>
    <w:p w:rsidR="000B5714" w:rsidRPr="009812D3" w:rsidRDefault="000B5714" w:rsidP="001963C4">
      <w:pPr>
        <w:pStyle w:val="TableDescription"/>
        <w:rPr>
          <w:lang w:eastAsia="en-AU"/>
        </w:rPr>
      </w:pPr>
      <w:r w:rsidRPr="009812D3">
        <w:rPr>
          <w:lang w:eastAsia="en-AU"/>
        </w:rPr>
        <w:t xml:space="preserve">PUP = previously </w:t>
      </w:r>
      <w:r w:rsidR="001871D9">
        <w:rPr>
          <w:lang w:eastAsia="en-AU"/>
        </w:rPr>
        <w:t>un</w:t>
      </w:r>
      <w:r w:rsidRPr="009812D3">
        <w:rPr>
          <w:lang w:eastAsia="en-AU"/>
        </w:rPr>
        <w:t>treated patient</w:t>
      </w:r>
      <w:r>
        <w:rPr>
          <w:lang w:eastAsia="en-AU"/>
        </w:rPr>
        <w:t xml:space="preserve">; </w:t>
      </w:r>
      <w:proofErr w:type="spellStart"/>
      <w:r w:rsidRPr="009812D3">
        <w:rPr>
          <w:lang w:eastAsia="en-AU"/>
        </w:rPr>
        <w:t>rFVIII</w:t>
      </w:r>
      <w:proofErr w:type="spellEnd"/>
      <w:r w:rsidRPr="009812D3">
        <w:rPr>
          <w:lang w:eastAsia="en-AU"/>
        </w:rPr>
        <w:t xml:space="preserve"> = recombinant </w:t>
      </w:r>
      <w:r>
        <w:rPr>
          <w:lang w:eastAsia="en-AU"/>
        </w:rPr>
        <w:t>coagulation factor VIII</w:t>
      </w:r>
      <w:r w:rsidRPr="009812D3">
        <w:rPr>
          <w:lang w:eastAsia="en-AU"/>
        </w:rPr>
        <w:t>.</w:t>
      </w:r>
    </w:p>
    <w:p w:rsidR="008E7846" w:rsidRDefault="008E7846" w:rsidP="00FE38FF">
      <w:pPr>
        <w:pStyle w:val="TableTitle"/>
        <w:rPr>
          <w:lang w:eastAsia="en-AU"/>
        </w:rPr>
      </w:pPr>
      <w:r>
        <w:rPr>
          <w:lang w:eastAsia="en-AU"/>
        </w:rPr>
        <w:t xml:space="preserve">Pharmacovigilance </w:t>
      </w:r>
      <w:r w:rsidR="003A7F6C">
        <w:rPr>
          <w:lang w:eastAsia="en-AU"/>
        </w:rPr>
        <w:t>p</w:t>
      </w:r>
      <w:r>
        <w:rPr>
          <w:lang w:eastAsia="en-AU"/>
        </w:rPr>
        <w:t>lan</w:t>
      </w:r>
    </w:p>
    <w:p w:rsidR="008E7846" w:rsidRDefault="009622D4" w:rsidP="006F25B8">
      <w:pPr>
        <w:rPr>
          <w:lang w:eastAsia="en-AU"/>
        </w:rPr>
      </w:pPr>
      <w:r>
        <w:t xml:space="preserve">The sponsor proposes routine pharmacovigilance activities for all ongoing safety concerns. In addition, one clinical study to investigate the immunogenicity in </w:t>
      </w:r>
      <w:r w:rsidR="000B5714">
        <w:t>PUPs</w:t>
      </w:r>
      <w:r>
        <w:t xml:space="preserve"> is ongoing, and a second clinical study to investigate the immunogenicity and long-term tolerability in </w:t>
      </w:r>
      <w:r w:rsidR="000B5714">
        <w:t>PTPs</w:t>
      </w:r>
      <w:r>
        <w:t xml:space="preserve"> is planned</w:t>
      </w:r>
      <w:r w:rsidR="000B5556">
        <w:t>.</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9622D4" w:rsidRDefault="009622D4" w:rsidP="009622D4">
      <w:pPr>
        <w:jc w:val="both"/>
      </w:pPr>
      <w:bookmarkStart w:id="134" w:name="_Toc247691527"/>
      <w:r>
        <w:t>The sponsor proposes routine risk-minimisation activities for all ongoing safety concerns.</w:t>
      </w:r>
    </w:p>
    <w:p w:rsidR="006F25B8" w:rsidRDefault="006F25B8" w:rsidP="006F25B8">
      <w:pPr>
        <w:pStyle w:val="Heading4"/>
        <w:rPr>
          <w:lang w:eastAsia="en-AU"/>
        </w:rPr>
      </w:pPr>
      <w:r w:rsidRPr="006F25B8">
        <w:rPr>
          <w:lang w:eastAsia="en-AU"/>
        </w:rPr>
        <w:t>Reconciliation of is</w:t>
      </w:r>
      <w:r w:rsidR="001963C4">
        <w:rPr>
          <w:lang w:eastAsia="en-AU"/>
        </w:rPr>
        <w:t>sues outlined in the RMP report</w:t>
      </w:r>
    </w:p>
    <w:p w:rsidR="006F25B8" w:rsidRDefault="006F25B8" w:rsidP="006F25B8">
      <w:pPr>
        <w:rPr>
          <w:lang w:eastAsia="en-AU"/>
        </w:rPr>
      </w:pPr>
      <w:r>
        <w:rPr>
          <w:lang w:eastAsia="en-AU"/>
        </w:rPr>
        <w:t xml:space="preserve">Table </w:t>
      </w:r>
      <w:r w:rsidR="000B5556">
        <w:rPr>
          <w:lang w:eastAsia="en-AU"/>
        </w:rPr>
        <w:t>17</w:t>
      </w:r>
      <w:r>
        <w:rPr>
          <w:lang w:eastAsia="en-AU"/>
        </w:rPr>
        <w:t xml:space="preserve"> summarises the OPR’s first round evaluation of the RMP, the sponsor’s responses to issues raised by the OPR and the OPR’s evaluat</w:t>
      </w:r>
      <w:r w:rsidR="006069D7">
        <w:rPr>
          <w:lang w:eastAsia="en-AU"/>
        </w:rPr>
        <w:t>ion of the sponsor’s responses.</w:t>
      </w:r>
    </w:p>
    <w:p w:rsidR="006069D7" w:rsidRPr="007848B3" w:rsidRDefault="000B5556" w:rsidP="000B5556">
      <w:pPr>
        <w:pStyle w:val="TableTitle"/>
      </w:pPr>
      <w:r>
        <w:t xml:space="preserve">Table 17: </w:t>
      </w:r>
      <w:r w:rsidR="006069D7" w:rsidRPr="00107999">
        <w:t>Reconciliation of issues outlined in the RMP report</w:t>
      </w:r>
    </w:p>
    <w:tbl>
      <w:tblPr>
        <w:tblStyle w:val="TableTGAblue"/>
        <w:tblW w:w="5020" w:type="pct"/>
        <w:tblLayout w:type="fixed"/>
        <w:tblLook w:val="04A0" w:firstRow="1" w:lastRow="0" w:firstColumn="1" w:lastColumn="0" w:noHBand="0" w:noVBand="1"/>
      </w:tblPr>
      <w:tblGrid>
        <w:gridCol w:w="3611"/>
        <w:gridCol w:w="2444"/>
        <w:gridCol w:w="2700"/>
      </w:tblGrid>
      <w:tr w:rsidR="006069D7" w:rsidRPr="00107999" w:rsidTr="001963C4">
        <w:trPr>
          <w:cnfStyle w:val="100000000000" w:firstRow="1" w:lastRow="0" w:firstColumn="0" w:lastColumn="0" w:oddVBand="0" w:evenVBand="0" w:oddHBand="0" w:evenHBand="0" w:firstRowFirstColumn="0" w:firstRowLastColumn="0" w:lastRowFirstColumn="0" w:lastRowLastColumn="0"/>
        </w:trPr>
        <w:tc>
          <w:tcPr>
            <w:tcW w:w="2062" w:type="pct"/>
            <w:noWrap/>
          </w:tcPr>
          <w:p w:rsidR="006069D7" w:rsidRPr="000B5556" w:rsidRDefault="006069D7" w:rsidP="001963C4">
            <w:r w:rsidRPr="000B5556">
              <w:t>Recommendation in RMP evaluation report</w:t>
            </w:r>
          </w:p>
        </w:tc>
        <w:tc>
          <w:tcPr>
            <w:tcW w:w="1396" w:type="pct"/>
            <w:noWrap/>
          </w:tcPr>
          <w:p w:rsidR="006069D7" w:rsidRPr="000B5556" w:rsidRDefault="006069D7" w:rsidP="001963C4">
            <w:r w:rsidRPr="000B5556">
              <w:t>Sponsor’s response</w:t>
            </w:r>
          </w:p>
        </w:tc>
        <w:tc>
          <w:tcPr>
            <w:tcW w:w="1542" w:type="pct"/>
            <w:noWrap/>
          </w:tcPr>
          <w:p w:rsidR="006069D7" w:rsidRPr="000B5556" w:rsidRDefault="006069D7" w:rsidP="001963C4">
            <w:r w:rsidRPr="000B5556">
              <w:t>OPR evaluator’s comment</w:t>
            </w:r>
          </w:p>
        </w:tc>
      </w:tr>
      <w:tr w:rsidR="006069D7" w:rsidRPr="00107999" w:rsidTr="001963C4">
        <w:tc>
          <w:tcPr>
            <w:tcW w:w="2062" w:type="pct"/>
            <w:noWrap/>
          </w:tcPr>
          <w:p w:rsidR="006069D7" w:rsidRPr="000B5556" w:rsidRDefault="000B5556" w:rsidP="001963C4">
            <w:r>
              <w:t xml:space="preserve">1. </w:t>
            </w:r>
            <w:r w:rsidR="006069D7" w:rsidRPr="000B5556">
              <w:t>Safety considerations may be raised by the nonclinical and clinical evaluators through the consolidated section 31 request and/or the Nonclinical and Clinical Evaluation Reports respectively. It is important to ensure that the information provided in response to these include</w:t>
            </w:r>
            <w:r w:rsidR="002F0BEA">
              <w:t>s</w:t>
            </w:r>
            <w:r w:rsidR="006069D7" w:rsidRPr="000B5556">
              <w:t xml:space="preserve"> a consideration of the relevance for the </w:t>
            </w:r>
            <w:r w:rsidR="000B5714">
              <w:t>RMP</w:t>
            </w:r>
            <w:r w:rsidR="006069D7" w:rsidRPr="000B5556">
              <w:t>, and any specific information needed to address this issue in the RMP. For any safety considerations so raised, the sponsor should provide information that is relevant and necessary to address the issue in the RMP.</w:t>
            </w:r>
          </w:p>
        </w:tc>
        <w:tc>
          <w:tcPr>
            <w:tcW w:w="1396" w:type="pct"/>
            <w:noWrap/>
          </w:tcPr>
          <w:p w:rsidR="006069D7" w:rsidRPr="000B5556" w:rsidRDefault="006069D7" w:rsidP="001963C4">
            <w:r w:rsidRPr="000B5556">
              <w:t>No safety considerations have been raised by the nonclinical evaluators. The responses to the safety considerations raised by the clinical evaluators have been evaluated. No impact for the RMP could be identified.</w:t>
            </w:r>
          </w:p>
        </w:tc>
        <w:tc>
          <w:tcPr>
            <w:tcW w:w="1542" w:type="pct"/>
            <w:noWrap/>
          </w:tcPr>
          <w:p w:rsidR="006069D7" w:rsidRPr="000B5556" w:rsidRDefault="006069D7" w:rsidP="001963C4">
            <w:r w:rsidRPr="000B5556">
              <w:t>The response has been noted.</w:t>
            </w:r>
          </w:p>
        </w:tc>
      </w:tr>
      <w:tr w:rsidR="006069D7" w:rsidRPr="00107999" w:rsidTr="001963C4">
        <w:tc>
          <w:tcPr>
            <w:tcW w:w="2062" w:type="pct"/>
            <w:noWrap/>
          </w:tcPr>
          <w:p w:rsidR="000B5556" w:rsidRDefault="000B5714" w:rsidP="001963C4">
            <w:r>
              <w:t>2</w:t>
            </w:r>
            <w:r w:rsidR="000B5556">
              <w:t xml:space="preserve">. </w:t>
            </w:r>
            <w:r w:rsidR="006069D7" w:rsidRPr="000B5556">
              <w:t>Amendments to the table of ongoing safety concerns.</w:t>
            </w:r>
          </w:p>
          <w:p w:rsidR="006069D7" w:rsidRPr="000B5556" w:rsidRDefault="006069D7" w:rsidP="001963C4">
            <w:r w:rsidRPr="000B5556">
              <w:lastRenderedPageBreak/>
              <w:t xml:space="preserve">Notwithstanding the evaluation of the non-clinical and clinical aspects of the </w:t>
            </w:r>
            <w:r w:rsidR="000B5556" w:rsidRPr="000B5556">
              <w:t>safety specifications (</w:t>
            </w:r>
            <w:r w:rsidRPr="000B5556">
              <w:t>SS</w:t>
            </w:r>
            <w:r w:rsidR="000B5556" w:rsidRPr="000B5556">
              <w:t>)</w:t>
            </w:r>
            <w:r w:rsidRPr="000B5556">
              <w:t>, the table of ongoing safety concerns is considered incomplete. Recommendations for changes are as follows.</w:t>
            </w:r>
          </w:p>
          <w:p w:rsidR="006069D7" w:rsidRPr="000B5556" w:rsidRDefault="000B5714" w:rsidP="001963C4">
            <w:r>
              <w:t>2.</w:t>
            </w:r>
            <w:r w:rsidR="006069D7" w:rsidRPr="000B5556">
              <w:t>1) Patients with mild and moderate haemophilia were not included in the clinical development program. Consequently, it is recommended that this patient group be included in the table of ongoing safety concerns as missing information.</w:t>
            </w:r>
          </w:p>
          <w:p w:rsidR="006069D7" w:rsidRPr="000B5556" w:rsidRDefault="000B5714" w:rsidP="001963C4">
            <w:r>
              <w:t>2.</w:t>
            </w:r>
            <w:r w:rsidR="006069D7" w:rsidRPr="000B5556">
              <w:t>2) Patients with severe renal and hepatic impairment were excluded from clinical development program. Consequently, it is recommended that this patient group be included in the table of ongoing safety concerns as missing information.</w:t>
            </w:r>
          </w:p>
          <w:p w:rsidR="006069D7" w:rsidRPr="000B5556" w:rsidRDefault="000B5714" w:rsidP="001963C4">
            <w:r>
              <w:t>2.</w:t>
            </w:r>
            <w:r w:rsidR="006069D7" w:rsidRPr="000B5556">
              <w:t>3) Only a very small number of patients (n=7) in the clinical development prog</w:t>
            </w:r>
            <w:r w:rsidR="000B5556" w:rsidRPr="000B5556">
              <w:t>ram were not C</w:t>
            </w:r>
            <w:r w:rsidR="006069D7" w:rsidRPr="000B5556">
              <w:t>aucasian. Since the risk of development of antibodies is higher in the non-</w:t>
            </w:r>
            <w:r w:rsidR="000B5556" w:rsidRPr="000B5556">
              <w:t>C</w:t>
            </w:r>
            <w:r w:rsidR="006069D7" w:rsidRPr="000B5556">
              <w:t xml:space="preserve">aucasian patient population, it is recommended that </w:t>
            </w:r>
            <w:r w:rsidR="00FF5033" w:rsidRPr="000B5556">
              <w:t>‘</w:t>
            </w:r>
            <w:r w:rsidR="006069D7" w:rsidRPr="000B5556">
              <w:t>Safety in patients with different ethnic origins</w:t>
            </w:r>
            <w:r w:rsidR="00FF5033" w:rsidRPr="000B5556">
              <w:t>’</w:t>
            </w:r>
            <w:r w:rsidR="006069D7" w:rsidRPr="000B5556">
              <w:t xml:space="preserve"> be included in the table of ongoing safety concerns as missing information.</w:t>
            </w:r>
          </w:p>
          <w:p w:rsidR="006069D7" w:rsidRPr="000B5556" w:rsidRDefault="000B5714" w:rsidP="001963C4">
            <w:r>
              <w:t>2.</w:t>
            </w:r>
            <w:r w:rsidR="006069D7" w:rsidRPr="000B5556">
              <w:t xml:space="preserve">4) Only one patient in </w:t>
            </w:r>
            <w:r w:rsidR="000B5556" w:rsidRPr="000B5556">
              <w:t>S</w:t>
            </w:r>
            <w:r w:rsidR="006069D7" w:rsidRPr="000B5556">
              <w:t xml:space="preserve">tudy GENA-08 was aged older than 65 years. Consequently, it is recommended that </w:t>
            </w:r>
            <w:proofErr w:type="gramStart"/>
            <w:r w:rsidR="006069D7" w:rsidRPr="000B5556">
              <w:t>patients</w:t>
            </w:r>
            <w:proofErr w:type="gramEnd"/>
            <w:r w:rsidR="006069D7" w:rsidRPr="000B5556">
              <w:t xml:space="preserve"> ≥65 years be included in the table of ongoing safety concerns as missing information.</w:t>
            </w:r>
          </w:p>
          <w:p w:rsidR="006069D7" w:rsidRPr="000B5556" w:rsidRDefault="000B5714" w:rsidP="001963C4">
            <w:r>
              <w:t>2.</w:t>
            </w:r>
            <w:r w:rsidR="006069D7" w:rsidRPr="000B5556">
              <w:t xml:space="preserve">5) Paediatric patients ≤2 years were excluded from the clinical development program and therefore, it is recommended </w:t>
            </w:r>
            <w:r w:rsidR="006069D7" w:rsidRPr="000B5556">
              <w:lastRenderedPageBreak/>
              <w:t>that this patient group be included in the table of ongoing safety concerns as missing information.</w:t>
            </w:r>
          </w:p>
          <w:p w:rsidR="006069D7" w:rsidRPr="000B5556" w:rsidRDefault="000B5714" w:rsidP="001963C4">
            <w:r>
              <w:t>2.</w:t>
            </w:r>
            <w:r w:rsidR="006069D7" w:rsidRPr="000B5556">
              <w:t>6) It appears that the sponsor does not specify the number of HIV positive patients or patients with other infections (including Hepatitis) in the RMP. It is recommended that the sponsor provides this information, and if only a small number of patients with these conditions were enrolled, then these patient groups should be included in the table of ongoing safety concerns as missing information.</w:t>
            </w:r>
          </w:p>
          <w:p w:rsidR="006069D7" w:rsidRPr="000B5556" w:rsidRDefault="000B5714" w:rsidP="001963C4">
            <w:r>
              <w:t>2.</w:t>
            </w:r>
            <w:r w:rsidR="006069D7" w:rsidRPr="000B5556">
              <w:t xml:space="preserve">7) Since this product will be administered by patients in a home treatment setting, it is recommended that </w:t>
            </w:r>
            <w:r w:rsidR="00FF5033" w:rsidRPr="000B5556">
              <w:t>‘</w:t>
            </w:r>
            <w:r w:rsidR="006069D7" w:rsidRPr="000B5556">
              <w:t>Medication errors in the home treatment setting</w:t>
            </w:r>
            <w:r w:rsidR="00FF5033" w:rsidRPr="000B5556">
              <w:t>’</w:t>
            </w:r>
            <w:r w:rsidR="006069D7" w:rsidRPr="000B5556">
              <w:t xml:space="preserve"> be included as missing information in the table of ongoing safety concerns.</w:t>
            </w:r>
          </w:p>
          <w:p w:rsidR="006069D7" w:rsidRPr="000B5556" w:rsidRDefault="000B5714" w:rsidP="001963C4">
            <w:r>
              <w:t>2.</w:t>
            </w:r>
            <w:r w:rsidR="006069D7" w:rsidRPr="000B5556">
              <w:t xml:space="preserve">8) The risk for antibody development is increased in patients with high risk gene mutations and therefore, it is recommended that the sponsor adds </w:t>
            </w:r>
            <w:r w:rsidR="00FF5033" w:rsidRPr="000B5556">
              <w:t>‘</w:t>
            </w:r>
            <w:r w:rsidR="006069D7" w:rsidRPr="000B5556">
              <w:t xml:space="preserve">Safety and tolerability in patients with high risk </w:t>
            </w:r>
            <w:proofErr w:type="gramStart"/>
            <w:r w:rsidR="006069D7" w:rsidRPr="000B5556">
              <w:t>gene</w:t>
            </w:r>
            <w:r w:rsidR="00EA26F5">
              <w:t xml:space="preserve"> </w:t>
            </w:r>
            <w:r w:rsidR="00DF4981">
              <w:t xml:space="preserve"> </w:t>
            </w:r>
            <w:r w:rsidR="006069D7" w:rsidRPr="000B5556">
              <w:t>mutations</w:t>
            </w:r>
            <w:r w:rsidR="00FF5033" w:rsidRPr="000B5556">
              <w:t>’</w:t>
            </w:r>
            <w:proofErr w:type="gramEnd"/>
            <w:r w:rsidR="006069D7" w:rsidRPr="000B5556">
              <w:t xml:space="preserve"> as missing information in the table of ongoing safety concerns.</w:t>
            </w:r>
          </w:p>
        </w:tc>
        <w:tc>
          <w:tcPr>
            <w:tcW w:w="1396" w:type="pct"/>
            <w:noWrap/>
          </w:tcPr>
          <w:p w:rsidR="006069D7" w:rsidRPr="000B5556" w:rsidRDefault="000B5714" w:rsidP="001963C4">
            <w:r>
              <w:lastRenderedPageBreak/>
              <w:t>2.</w:t>
            </w:r>
            <w:r w:rsidR="006069D7" w:rsidRPr="000B5556">
              <w:t xml:space="preserve">1) </w:t>
            </w:r>
            <w:r w:rsidR="00FF5033" w:rsidRPr="000B5556">
              <w:t>‘</w:t>
            </w:r>
            <w:r w:rsidR="006069D7" w:rsidRPr="000B5556">
              <w:t xml:space="preserve">Safety in patients with mild or moderate </w:t>
            </w:r>
            <w:r w:rsidR="006069D7" w:rsidRPr="000B5556">
              <w:lastRenderedPageBreak/>
              <w:t>haemophilia A</w:t>
            </w:r>
            <w:r w:rsidR="00FF5033" w:rsidRPr="000B5556">
              <w:t>’</w:t>
            </w:r>
            <w:r w:rsidR="006069D7" w:rsidRPr="000B5556">
              <w:t xml:space="preserve"> has been included as missing information in the appropriate Sections of the </w:t>
            </w:r>
            <w:r>
              <w:t>RMP</w:t>
            </w:r>
            <w:r w:rsidR="006069D7" w:rsidRPr="000B5556">
              <w:t>.</w:t>
            </w:r>
          </w:p>
          <w:p w:rsidR="006069D7" w:rsidRPr="000B5556" w:rsidRDefault="000B5714" w:rsidP="001963C4">
            <w:r>
              <w:t>2.</w:t>
            </w:r>
            <w:r w:rsidR="006069D7" w:rsidRPr="000B5556">
              <w:t xml:space="preserve">2) </w:t>
            </w:r>
            <w:r w:rsidR="00FF5033" w:rsidRPr="000B5556">
              <w:t>‘</w:t>
            </w:r>
            <w:r w:rsidR="006069D7" w:rsidRPr="000B5556">
              <w:t>Safety in patients with renal or hepatic impairment</w:t>
            </w:r>
            <w:r w:rsidR="00FF5033" w:rsidRPr="000B5556">
              <w:t>’</w:t>
            </w:r>
            <w:r w:rsidR="006069D7" w:rsidRPr="000B5556">
              <w:t xml:space="preserve"> has been included as missing information in the appropriate Sections of the </w:t>
            </w:r>
            <w:r>
              <w:t>RMP</w:t>
            </w:r>
            <w:r w:rsidR="006069D7" w:rsidRPr="000B5556">
              <w:t>.</w:t>
            </w:r>
          </w:p>
          <w:p w:rsidR="006069D7" w:rsidRPr="000B5556" w:rsidRDefault="000B5714" w:rsidP="001963C4">
            <w:r>
              <w:t>2.</w:t>
            </w:r>
            <w:r w:rsidR="006069D7" w:rsidRPr="000B5556">
              <w:t xml:space="preserve">3) </w:t>
            </w:r>
            <w:r w:rsidR="00FF5033" w:rsidRPr="000B5556">
              <w:t>‘</w:t>
            </w:r>
            <w:r w:rsidR="006069D7" w:rsidRPr="000B5556">
              <w:t>Safety in patients with different ethnic origins</w:t>
            </w:r>
            <w:r w:rsidR="00FF5033" w:rsidRPr="000B5556">
              <w:t>’</w:t>
            </w:r>
            <w:r w:rsidR="006069D7" w:rsidRPr="000B5556">
              <w:t xml:space="preserve"> has been included as missing information in the appropriate Sections of the </w:t>
            </w:r>
            <w:r>
              <w:t>RMP</w:t>
            </w:r>
            <w:r w:rsidR="006069D7" w:rsidRPr="000B5556">
              <w:t>.</w:t>
            </w:r>
          </w:p>
          <w:p w:rsidR="006069D7" w:rsidRPr="000B5556" w:rsidRDefault="000B5714" w:rsidP="001963C4">
            <w:r>
              <w:t>2.</w:t>
            </w:r>
            <w:r w:rsidR="006069D7" w:rsidRPr="000B5556">
              <w:t xml:space="preserve">4) </w:t>
            </w:r>
            <w:r w:rsidR="00FF5033" w:rsidRPr="000B5556">
              <w:t>‘</w:t>
            </w:r>
            <w:r w:rsidR="006069D7" w:rsidRPr="000B5556">
              <w:t>Safety in elderly patients</w:t>
            </w:r>
            <w:r w:rsidR="00FF5033" w:rsidRPr="000B5556">
              <w:t>’</w:t>
            </w:r>
            <w:r w:rsidR="006069D7" w:rsidRPr="000B5556">
              <w:t xml:space="preserve"> has been included as missing information in the appropriate Sections of the </w:t>
            </w:r>
            <w:r>
              <w:t>RMP</w:t>
            </w:r>
            <w:r w:rsidR="006069D7" w:rsidRPr="000B5556">
              <w:t>.</w:t>
            </w:r>
          </w:p>
          <w:p w:rsidR="006069D7" w:rsidRPr="000B5556" w:rsidRDefault="000B5714" w:rsidP="001963C4">
            <w:r>
              <w:t>2.</w:t>
            </w:r>
            <w:r w:rsidR="006069D7" w:rsidRPr="000B5556">
              <w:t xml:space="preserve">5) </w:t>
            </w:r>
            <w:r w:rsidR="00FF5033" w:rsidRPr="000B5556">
              <w:t>‘</w:t>
            </w:r>
            <w:r w:rsidR="006069D7" w:rsidRPr="000B5556">
              <w:t>Children &lt; 2 years</w:t>
            </w:r>
            <w:r w:rsidR="00FF5033" w:rsidRPr="000B5556">
              <w:t>’</w:t>
            </w:r>
            <w:r w:rsidR="006069D7" w:rsidRPr="000B5556">
              <w:t xml:space="preserve"> has already been included as missing information in the Risk Management Plan in response to the evaluation of the RMP by the European Medicines Agency (EMA).</w:t>
            </w:r>
          </w:p>
          <w:p w:rsidR="006069D7" w:rsidRPr="000B5556" w:rsidRDefault="000B5714" w:rsidP="001963C4">
            <w:r>
              <w:t>2.</w:t>
            </w:r>
            <w:r w:rsidR="006069D7" w:rsidRPr="000B5556">
              <w:t xml:space="preserve">6) The number of HIV positive patients or patients </w:t>
            </w:r>
            <w:r w:rsidR="006069D7" w:rsidRPr="000B5556">
              <w:lastRenderedPageBreak/>
              <w:t xml:space="preserve">with other infections enrolled in the clinical trial programme with </w:t>
            </w:r>
            <w:proofErr w:type="spellStart"/>
            <w:r w:rsidR="00FA190B">
              <w:t>Simoctocog</w:t>
            </w:r>
            <w:proofErr w:type="spellEnd"/>
            <w:r w:rsidR="00FA190B">
              <w:t xml:space="preserve"> </w:t>
            </w:r>
            <w:r w:rsidR="00FC63A1">
              <w:t>alfa</w:t>
            </w:r>
            <w:r w:rsidR="00EA26F5">
              <w:t xml:space="preserve"> </w:t>
            </w:r>
            <w:r w:rsidR="006069D7" w:rsidRPr="000B5556">
              <w:t>was included in Section SIV.3.9 of the RMP. Out of 135 patients, 48 patients were suffering from (an) infection(s) at study entry. Thereof, 8 patients were positive for HIV and 44 patients were positive for Hepatitis C. Some of the patients suffered from more than one infection. A detailed overview of the patients with infections in the clinical trial programme is presented in the RMP.</w:t>
            </w:r>
          </w:p>
          <w:p w:rsidR="006069D7" w:rsidRPr="000B5556" w:rsidRDefault="006069D7" w:rsidP="001963C4">
            <w:r w:rsidRPr="000B5556">
              <w:t>No cases of FVIII inhibitors were observed in any of these patients.</w:t>
            </w:r>
          </w:p>
          <w:p w:rsidR="006069D7" w:rsidRPr="000B5556" w:rsidRDefault="00FF5033" w:rsidP="001963C4">
            <w:r w:rsidRPr="000B5556">
              <w:t>‘</w:t>
            </w:r>
            <w:r w:rsidR="006069D7" w:rsidRPr="000B5556">
              <w:t>Safety in patients with HIV or other infections</w:t>
            </w:r>
            <w:r w:rsidRPr="000B5556">
              <w:t>’</w:t>
            </w:r>
            <w:r w:rsidR="006069D7" w:rsidRPr="000B5556">
              <w:t xml:space="preserve"> has been included as missing information in the appropriate Sections of the </w:t>
            </w:r>
            <w:r w:rsidR="000B5714">
              <w:t>RMP</w:t>
            </w:r>
            <w:r w:rsidR="006069D7" w:rsidRPr="000B5556">
              <w:t>.</w:t>
            </w:r>
          </w:p>
          <w:p w:rsidR="006069D7" w:rsidRPr="000B5556" w:rsidRDefault="000B5714" w:rsidP="001963C4">
            <w:r>
              <w:t>2.</w:t>
            </w:r>
            <w:r w:rsidR="006069D7" w:rsidRPr="000B5556">
              <w:t xml:space="preserve">7) </w:t>
            </w:r>
            <w:r w:rsidR="00FF5033" w:rsidRPr="000B5556">
              <w:t>‘</w:t>
            </w:r>
            <w:r w:rsidR="006069D7" w:rsidRPr="000B5556">
              <w:t>Medication error including safety in home therapy setting</w:t>
            </w:r>
            <w:r w:rsidR="00FF5033" w:rsidRPr="000B5556">
              <w:t>’</w:t>
            </w:r>
            <w:r w:rsidR="006069D7" w:rsidRPr="000B5556">
              <w:t xml:space="preserve"> has already been included as a potential risk in the Risk Management Plan in response to the evaluation of </w:t>
            </w:r>
            <w:r w:rsidR="006069D7" w:rsidRPr="000B5556">
              <w:lastRenderedPageBreak/>
              <w:t>the RMP by EMA.</w:t>
            </w:r>
          </w:p>
          <w:p w:rsidR="006069D7" w:rsidRPr="000B5556" w:rsidRDefault="000B5714" w:rsidP="001963C4">
            <w:r>
              <w:t>2.</w:t>
            </w:r>
            <w:r w:rsidR="006069D7" w:rsidRPr="000B5556">
              <w:t xml:space="preserve">8) </w:t>
            </w:r>
            <w:r w:rsidR="00FF5033" w:rsidRPr="000B5556">
              <w:t>‘</w:t>
            </w:r>
            <w:r w:rsidR="006069D7" w:rsidRPr="000B5556">
              <w:t>Safety in patients with high risk gene mutations</w:t>
            </w:r>
            <w:r w:rsidR="00FF5033" w:rsidRPr="000B5556">
              <w:t>’</w:t>
            </w:r>
            <w:r w:rsidR="006069D7" w:rsidRPr="000B5556">
              <w:t xml:space="preserve"> has been included as missing information in the appropriate Sections of the </w:t>
            </w:r>
            <w:r>
              <w:t>RMP</w:t>
            </w:r>
            <w:r w:rsidR="006069D7" w:rsidRPr="000B5556">
              <w:t>.</w:t>
            </w:r>
          </w:p>
        </w:tc>
        <w:tc>
          <w:tcPr>
            <w:tcW w:w="1542" w:type="pct"/>
            <w:noWrap/>
          </w:tcPr>
          <w:p w:rsidR="006069D7" w:rsidRPr="000B5556" w:rsidRDefault="000B5714" w:rsidP="001963C4">
            <w:r>
              <w:lastRenderedPageBreak/>
              <w:t>2.</w:t>
            </w:r>
            <w:r w:rsidR="006069D7" w:rsidRPr="000B5556">
              <w:t xml:space="preserve">1.) The addition of this ongoing safety concern to the table of </w:t>
            </w:r>
            <w:r w:rsidR="006069D7" w:rsidRPr="000B5556">
              <w:lastRenderedPageBreak/>
              <w:t xml:space="preserve">ongoing safety concerns is considered acceptable. However, it is recommended to the </w:t>
            </w:r>
            <w:r w:rsidR="000B5556" w:rsidRPr="000B5556">
              <w:t>D</w:t>
            </w:r>
            <w:r w:rsidR="006069D7" w:rsidRPr="000B5556">
              <w:t xml:space="preserve">elegate that the wording used to address this ongoing safety concern </w:t>
            </w:r>
            <w:r>
              <w:t>in the PI be revised.</w:t>
            </w:r>
          </w:p>
          <w:p w:rsidR="006069D7" w:rsidRPr="000B5556" w:rsidRDefault="000B5714" w:rsidP="001963C4">
            <w:r>
              <w:t>2.</w:t>
            </w:r>
            <w:r w:rsidR="006069D7" w:rsidRPr="000B5556">
              <w:t xml:space="preserve">2.) The addition of this ongoing safety concern to the table of ongoing safety concerns is considered acceptable. However, it is recommended to the </w:t>
            </w:r>
            <w:r w:rsidR="000B5556" w:rsidRPr="000B5556">
              <w:t>D</w:t>
            </w:r>
            <w:r w:rsidR="006069D7" w:rsidRPr="000B5556">
              <w:t>elegate that the wording used to address this ongoing safety concern in the PI be re</w:t>
            </w:r>
            <w:r>
              <w:t>vised.</w:t>
            </w:r>
          </w:p>
          <w:p w:rsidR="006069D7" w:rsidRPr="000B5556" w:rsidRDefault="000B5714" w:rsidP="001963C4">
            <w:r>
              <w:t>2.</w:t>
            </w:r>
            <w:r w:rsidR="006069D7" w:rsidRPr="000B5556">
              <w:t xml:space="preserve">3.) The addition of this ongoing safety concern to the table of ongoing safety concerns is considered acceptable. However, it is recommended to the </w:t>
            </w:r>
            <w:r w:rsidR="000B5556" w:rsidRPr="000B5556">
              <w:t>D</w:t>
            </w:r>
            <w:r w:rsidR="006069D7" w:rsidRPr="000B5556">
              <w:t>elegate that the wording used to address this ongoing safety concern in the PI be revised.</w:t>
            </w:r>
          </w:p>
          <w:p w:rsidR="006069D7" w:rsidRPr="000B5556" w:rsidRDefault="000B5714" w:rsidP="001963C4">
            <w:r>
              <w:t>2.</w:t>
            </w:r>
            <w:r w:rsidR="006069D7" w:rsidRPr="000B5556">
              <w:t xml:space="preserve">4.) The addition of this ongoing safety concern to the table of ongoing safety concerns is considered acceptable. Pending the </w:t>
            </w:r>
            <w:r w:rsidR="000B5556" w:rsidRPr="000B5556">
              <w:t>D</w:t>
            </w:r>
            <w:r w:rsidR="006069D7" w:rsidRPr="000B5556">
              <w:t>elegate’s approval, the wording used in the PI to address this safety concern is considered acceptable.</w:t>
            </w:r>
          </w:p>
          <w:p w:rsidR="006069D7" w:rsidRPr="000B5556" w:rsidRDefault="000B5714" w:rsidP="001963C4">
            <w:r>
              <w:t>2.</w:t>
            </w:r>
            <w:r w:rsidR="006069D7" w:rsidRPr="000B5556">
              <w:t xml:space="preserve">5.) The addition of this ongoing safety concern to the table of ongoing safety </w:t>
            </w:r>
            <w:r w:rsidR="006069D7" w:rsidRPr="000B5556">
              <w:lastRenderedPageBreak/>
              <w:t>concerns is considered acceptable. Pending the delegate’s approval, the wording used in the PI to address this safety concern is considered acceptable.</w:t>
            </w:r>
          </w:p>
          <w:p w:rsidR="006069D7" w:rsidRPr="000B5556" w:rsidRDefault="000B5714" w:rsidP="001963C4">
            <w:r>
              <w:t>2.</w:t>
            </w:r>
            <w:r w:rsidR="006069D7" w:rsidRPr="000B5556">
              <w:t xml:space="preserve">6.) The addition of this ongoing safety concern to the table of ongoing safety concerns is considered acceptable. However, it is recommended to the </w:t>
            </w:r>
            <w:r w:rsidR="000B5556" w:rsidRPr="000B5556">
              <w:t>D</w:t>
            </w:r>
            <w:r w:rsidR="006069D7" w:rsidRPr="000B5556">
              <w:t>elegate that the wording used to address this ongoing safety concern in the PI be revised.*</w:t>
            </w:r>
          </w:p>
          <w:p w:rsidR="006069D7" w:rsidRPr="000B5556" w:rsidRDefault="000B5714" w:rsidP="001963C4">
            <w:r>
              <w:t>2.</w:t>
            </w:r>
            <w:r w:rsidR="006069D7" w:rsidRPr="000B5556">
              <w:t xml:space="preserve">7.) The addition of this ongoing safety concern to the table of ongoing safety concerns is considered acceptable. Pending the </w:t>
            </w:r>
            <w:r w:rsidR="000B5556" w:rsidRPr="000B5556">
              <w:t>D</w:t>
            </w:r>
            <w:r w:rsidR="006069D7" w:rsidRPr="000B5556">
              <w:t>elegate’s approval, the wording used in the PI to address this safety concern is considered acceptable.</w:t>
            </w:r>
          </w:p>
          <w:p w:rsidR="006069D7" w:rsidRPr="000B5556" w:rsidRDefault="000B5714" w:rsidP="001963C4">
            <w:r>
              <w:t>2.</w:t>
            </w:r>
            <w:r w:rsidR="006069D7" w:rsidRPr="000B5556">
              <w:t xml:space="preserve">8.) The addition of this ongoing safety concern to the table of ongoing safety concerns is considered acceptable. However, it is recommended to the </w:t>
            </w:r>
            <w:r w:rsidR="000B5556" w:rsidRPr="000B5556">
              <w:t>D</w:t>
            </w:r>
            <w:r w:rsidR="006069D7" w:rsidRPr="000B5556">
              <w:t>elegate that the wording used to address this ongoing safety concern in the PI be revised.*</w:t>
            </w:r>
          </w:p>
          <w:p w:rsidR="006069D7" w:rsidRPr="000B5556" w:rsidRDefault="006069D7" w:rsidP="001963C4">
            <w:r w:rsidRPr="000B5556">
              <w:t>* The sponsor has proposed to use the same generic wording to address all these saf</w:t>
            </w:r>
            <w:r w:rsidR="000B5556" w:rsidRPr="000B5556">
              <w:t xml:space="preserve">ety concerns in the </w:t>
            </w:r>
            <w:r w:rsidR="000B5556" w:rsidRPr="000B5556">
              <w:lastRenderedPageBreak/>
              <w:t xml:space="preserve">PI and </w:t>
            </w:r>
            <w:r w:rsidR="002F0BEA" w:rsidRPr="000B5556">
              <w:t xml:space="preserve">CMI. </w:t>
            </w:r>
            <w:r w:rsidRPr="000B5556">
              <w:t>This is considered not acceptable as it does not inform the health care professional and the patient about the absence of clinical data which could inform these ongoing safety concerns. It is recommended that the sponsor amends the PI and CMI to provide more precise information</w:t>
            </w:r>
            <w:r w:rsidR="000B5714">
              <w:t>/</w:t>
            </w:r>
            <w:r w:rsidRPr="000B5556">
              <w:t>recommendations.</w:t>
            </w:r>
          </w:p>
        </w:tc>
      </w:tr>
      <w:tr w:rsidR="006069D7" w:rsidRPr="00107999" w:rsidTr="001963C4">
        <w:tc>
          <w:tcPr>
            <w:tcW w:w="2062" w:type="pct"/>
            <w:noWrap/>
          </w:tcPr>
          <w:p w:rsidR="006069D7" w:rsidRPr="000B5556" w:rsidRDefault="000B5556" w:rsidP="001963C4">
            <w:r>
              <w:lastRenderedPageBreak/>
              <w:t xml:space="preserve">3. </w:t>
            </w:r>
            <w:r w:rsidR="006069D7" w:rsidRPr="000B5556">
              <w:t xml:space="preserve">It is recommended that the pharmacovigilance section of the ASA be amended to include reference to the TGA document </w:t>
            </w:r>
            <w:r w:rsidR="00FF5033" w:rsidRPr="000B5556">
              <w:t>‘</w:t>
            </w:r>
            <w:r w:rsidR="006069D7" w:rsidRPr="000B5556">
              <w:t>Australian requirements and recommendations for pharmacovigilance responsibilities of sponsors of medicines</w:t>
            </w:r>
            <w:r w:rsidR="00FF5033" w:rsidRPr="000B5556">
              <w:t>’</w:t>
            </w:r>
            <w:r w:rsidRPr="000B5556">
              <w:t>, Version 1.1, December 2012</w:t>
            </w:r>
            <w:r w:rsidR="006069D7" w:rsidRPr="000B5556">
              <w:t>.</w:t>
            </w:r>
          </w:p>
        </w:tc>
        <w:tc>
          <w:tcPr>
            <w:tcW w:w="1396" w:type="pct"/>
            <w:noWrap/>
          </w:tcPr>
          <w:p w:rsidR="006069D7" w:rsidRPr="000B5556" w:rsidRDefault="006069D7" w:rsidP="001963C4">
            <w:pPr>
              <w:rPr>
                <w:highlight w:val="yellow"/>
              </w:rPr>
            </w:pPr>
            <w:r w:rsidRPr="000B5556">
              <w:t xml:space="preserve">Section 2 </w:t>
            </w:r>
            <w:r w:rsidR="00FF5033" w:rsidRPr="000B5556">
              <w:t>‘</w:t>
            </w:r>
            <w:r w:rsidRPr="000B5556">
              <w:t>Pharmacovigilance Practice</w:t>
            </w:r>
            <w:r w:rsidR="00FF5033" w:rsidRPr="000B5556">
              <w:t>’</w:t>
            </w:r>
            <w:r w:rsidRPr="000B5556">
              <w:t xml:space="preserve"> of the ASA has been amended to include reference to the TGA document </w:t>
            </w:r>
            <w:r w:rsidR="00FF5033" w:rsidRPr="000B5556">
              <w:t>‘</w:t>
            </w:r>
            <w:r w:rsidRPr="000B5556">
              <w:t>Australian requirements and recommendations for pharmacovigilance responsibilities of sponsors of medicines</w:t>
            </w:r>
            <w:r w:rsidR="00FF5033" w:rsidRPr="000B5556">
              <w:t>’</w:t>
            </w:r>
            <w:r w:rsidRPr="000B5556">
              <w:t>, Version 1.2, August 2013.</w:t>
            </w:r>
          </w:p>
        </w:tc>
        <w:tc>
          <w:tcPr>
            <w:tcW w:w="1542" w:type="pct"/>
            <w:noWrap/>
          </w:tcPr>
          <w:p w:rsidR="006069D7" w:rsidRPr="000B5556" w:rsidRDefault="006069D7" w:rsidP="001963C4">
            <w:r w:rsidRPr="000B5556">
              <w:t>This is considered acceptable.</w:t>
            </w:r>
          </w:p>
        </w:tc>
      </w:tr>
      <w:tr w:rsidR="006069D7" w:rsidRPr="00107999" w:rsidTr="001963C4">
        <w:tc>
          <w:tcPr>
            <w:tcW w:w="2062" w:type="pct"/>
            <w:noWrap/>
          </w:tcPr>
          <w:p w:rsidR="006069D7" w:rsidRPr="000B5556" w:rsidRDefault="000B5556" w:rsidP="001963C4">
            <w:r>
              <w:t xml:space="preserve">4. </w:t>
            </w:r>
            <w:r w:rsidR="006069D7" w:rsidRPr="000B5556">
              <w:t>The sponsor should amend the ASA to include reference to study GENA-13. If this study has been finalised, then the sponsor should update the EU-RMP to reflect this.</w:t>
            </w:r>
          </w:p>
        </w:tc>
        <w:tc>
          <w:tcPr>
            <w:tcW w:w="1396" w:type="pct"/>
            <w:noWrap/>
          </w:tcPr>
          <w:p w:rsidR="006069D7" w:rsidRPr="000B5556" w:rsidRDefault="006069D7" w:rsidP="001963C4">
            <w:r w:rsidRPr="000B5556">
              <w:t>Reference to study GENA-13 has been included in Sections 2.2 and 2.3 of the ASA. This study is still ongoing.</w:t>
            </w:r>
          </w:p>
        </w:tc>
        <w:tc>
          <w:tcPr>
            <w:tcW w:w="1542" w:type="pct"/>
            <w:noWrap/>
          </w:tcPr>
          <w:p w:rsidR="006069D7" w:rsidRPr="000B5556" w:rsidRDefault="006069D7" w:rsidP="001963C4">
            <w:r w:rsidRPr="000B5556">
              <w:t>This is considered acceptable.</w:t>
            </w:r>
          </w:p>
        </w:tc>
      </w:tr>
      <w:tr w:rsidR="006069D7" w:rsidRPr="00107999" w:rsidTr="001963C4">
        <w:tc>
          <w:tcPr>
            <w:tcW w:w="2062" w:type="pct"/>
            <w:noWrap/>
          </w:tcPr>
          <w:p w:rsidR="006069D7" w:rsidRPr="000B5556" w:rsidRDefault="000B5556" w:rsidP="001963C4">
            <w:r>
              <w:t xml:space="preserve">5. </w:t>
            </w:r>
            <w:r w:rsidR="006069D7" w:rsidRPr="000B5556">
              <w:t>The sponsor should provide an attachment to the ASA setting out all the forthcoming studies and the anticipated dates for their submission in Australia.</w:t>
            </w:r>
          </w:p>
        </w:tc>
        <w:tc>
          <w:tcPr>
            <w:tcW w:w="1396" w:type="pct"/>
            <w:noWrap/>
          </w:tcPr>
          <w:p w:rsidR="006069D7" w:rsidRPr="000B5556" w:rsidRDefault="006069D7" w:rsidP="001963C4">
            <w:pPr>
              <w:rPr>
                <w:noProof/>
              </w:rPr>
            </w:pPr>
            <w:r w:rsidRPr="000B5556">
              <w:rPr>
                <w:noProof/>
              </w:rPr>
              <w:t>An overview of the forthcoming studies and the anticipated dates for submission of the study reports in Australia has been included in Sections 2.2 and 2.3 of the ASA.</w:t>
            </w:r>
          </w:p>
        </w:tc>
        <w:tc>
          <w:tcPr>
            <w:tcW w:w="1542" w:type="pct"/>
            <w:noWrap/>
          </w:tcPr>
          <w:p w:rsidR="006069D7" w:rsidRPr="000B5556" w:rsidRDefault="006069D7" w:rsidP="001963C4">
            <w:r w:rsidRPr="000B5556">
              <w:t>This is considered acceptable.</w:t>
            </w:r>
          </w:p>
        </w:tc>
      </w:tr>
      <w:tr w:rsidR="006069D7" w:rsidRPr="00107999" w:rsidTr="001963C4">
        <w:tc>
          <w:tcPr>
            <w:tcW w:w="2062" w:type="pct"/>
            <w:noWrap/>
          </w:tcPr>
          <w:p w:rsidR="006069D7" w:rsidRPr="000B5556" w:rsidRDefault="000B5556" w:rsidP="001963C4">
            <w:r>
              <w:lastRenderedPageBreak/>
              <w:t xml:space="preserve">6. </w:t>
            </w:r>
            <w:r w:rsidR="006069D7" w:rsidRPr="000B5556">
              <w:t>It is recommended that the sponsor implements follow-up forms to collect data linked to inhibitor development and hypersensitivity reactions. These forms should be provid</w:t>
            </w:r>
            <w:r w:rsidRPr="000B5556">
              <w:t>ed for review prior to approval</w:t>
            </w:r>
            <w:r w:rsidR="006069D7" w:rsidRPr="000B5556">
              <w:t>.</w:t>
            </w:r>
          </w:p>
        </w:tc>
        <w:tc>
          <w:tcPr>
            <w:tcW w:w="1396" w:type="pct"/>
            <w:noWrap/>
          </w:tcPr>
          <w:p w:rsidR="006069D7" w:rsidRPr="000B5556" w:rsidRDefault="006069D7" w:rsidP="001963C4">
            <w:r w:rsidRPr="000B5556">
              <w:t xml:space="preserve">Follow-up forms for inhibitor development and hypersensitivity reactions have already been prepared and included in Annex 7 of the </w:t>
            </w:r>
            <w:r w:rsidR="000B5714">
              <w:t>RMP</w:t>
            </w:r>
            <w:r w:rsidRPr="000B5556">
              <w:t xml:space="preserve"> in response to the evaluation of the RMP by EMA. Additionally, according to the requirements received from the EMA, a follow-up questionnaire on suspected thromboembolic events has also been included in the RMP.</w:t>
            </w:r>
          </w:p>
        </w:tc>
        <w:tc>
          <w:tcPr>
            <w:tcW w:w="1542" w:type="pct"/>
            <w:noWrap/>
          </w:tcPr>
          <w:p w:rsidR="006069D7" w:rsidRPr="000B5556" w:rsidRDefault="006069D7" w:rsidP="001963C4">
            <w:r w:rsidRPr="000B5556">
              <w:t>This is considered acceptable.</w:t>
            </w:r>
          </w:p>
        </w:tc>
      </w:tr>
      <w:tr w:rsidR="006069D7" w:rsidRPr="00107999" w:rsidTr="001963C4">
        <w:tc>
          <w:tcPr>
            <w:tcW w:w="2062" w:type="pct"/>
            <w:noWrap/>
          </w:tcPr>
          <w:p w:rsidR="006069D7" w:rsidRPr="000B5556" w:rsidRDefault="000B5556" w:rsidP="001963C4">
            <w:r>
              <w:t xml:space="preserve">7. </w:t>
            </w:r>
            <w:r w:rsidR="006069D7" w:rsidRPr="000B5556">
              <w:t>The sponsor should provide a table summarising the safety specification, pharmacovigilance plan and planned risk minimisation measures in Australian context in the ASA. Wording pertaining to important safety concerns in the proposed Australian PI and CMI should be included in the table.</w:t>
            </w:r>
          </w:p>
        </w:tc>
        <w:tc>
          <w:tcPr>
            <w:tcW w:w="1396" w:type="pct"/>
            <w:noWrap/>
          </w:tcPr>
          <w:p w:rsidR="000B5556" w:rsidRDefault="006069D7" w:rsidP="001963C4">
            <w:r w:rsidRPr="000B5556">
              <w:t>Tables including the safety specification (Section 1) and the planned risk minimisation measures (Section 3) in the Australian context have been included in the ASA. Wording pertaining to safety concerns in the proposed Australian PI and CMI have also been included.</w:t>
            </w:r>
          </w:p>
          <w:p w:rsidR="006069D7" w:rsidRPr="000B5556" w:rsidRDefault="006069D7" w:rsidP="001963C4">
            <w:r w:rsidRPr="000B5556">
              <w:t xml:space="preserve">The pharmacovigilance plan for Australia does not differ from the actions described in the EU-RMP. Section 2.3 of the ASA includes a table showing the safety </w:t>
            </w:r>
            <w:r w:rsidRPr="000B5556">
              <w:lastRenderedPageBreak/>
              <w:t>concerns that will be addressed by all ongoing and planned studies as well as the date of submission of the study reports in Australia.</w:t>
            </w:r>
          </w:p>
        </w:tc>
        <w:tc>
          <w:tcPr>
            <w:tcW w:w="1542" w:type="pct"/>
            <w:noWrap/>
          </w:tcPr>
          <w:p w:rsidR="006069D7" w:rsidRPr="000B5556" w:rsidRDefault="006069D7" w:rsidP="001963C4">
            <w:r w:rsidRPr="000B5556">
              <w:lastRenderedPageBreak/>
              <w:t>This is considered acceptable.</w:t>
            </w:r>
          </w:p>
        </w:tc>
      </w:tr>
      <w:tr w:rsidR="006069D7" w:rsidRPr="00107999" w:rsidTr="001963C4">
        <w:tc>
          <w:tcPr>
            <w:tcW w:w="2062" w:type="pct"/>
            <w:noWrap/>
          </w:tcPr>
          <w:p w:rsidR="006069D7" w:rsidRPr="000B5556" w:rsidRDefault="000B5556" w:rsidP="001963C4">
            <w:r>
              <w:lastRenderedPageBreak/>
              <w:t xml:space="preserve">8. </w:t>
            </w:r>
            <w:r w:rsidR="006069D7" w:rsidRPr="000B5556">
              <w:t xml:space="preserve">It is recommended to the </w:t>
            </w:r>
            <w:r w:rsidRPr="000B5556">
              <w:t>D</w:t>
            </w:r>
            <w:r w:rsidR="006069D7" w:rsidRPr="000B5556">
              <w:t xml:space="preserve">elegate to draw the attention of the nonclinical evaluator to assess whether </w:t>
            </w:r>
            <w:r w:rsidR="00FF5033" w:rsidRPr="000B5556">
              <w:t>‘</w:t>
            </w:r>
            <w:r w:rsidR="006069D7" w:rsidRPr="000B5556">
              <w:t>Transmission for infectious reagents</w:t>
            </w:r>
            <w:r w:rsidR="00FF5033" w:rsidRPr="000B5556">
              <w:t>’</w:t>
            </w:r>
            <w:r w:rsidR="006069D7" w:rsidRPr="000B5556">
              <w:t xml:space="preserve"> should be added to the table of ongoing safety concerns as missing information.</w:t>
            </w:r>
          </w:p>
        </w:tc>
        <w:tc>
          <w:tcPr>
            <w:tcW w:w="1396" w:type="pct"/>
            <w:noWrap/>
          </w:tcPr>
          <w:p w:rsidR="006069D7" w:rsidRPr="000B5556" w:rsidRDefault="006069D7" w:rsidP="001963C4">
            <w:r w:rsidRPr="000B5556">
              <w:t>No safety concerns were raised by the nonclinical evaluator.</w:t>
            </w:r>
          </w:p>
        </w:tc>
        <w:tc>
          <w:tcPr>
            <w:tcW w:w="1542" w:type="pct"/>
            <w:noWrap/>
          </w:tcPr>
          <w:p w:rsidR="006069D7" w:rsidRPr="000B5556" w:rsidRDefault="006069D7" w:rsidP="001963C4">
            <w:r w:rsidRPr="000B5556">
              <w:t>The response has been noted.</w:t>
            </w:r>
          </w:p>
        </w:tc>
      </w:tr>
      <w:tr w:rsidR="006069D7" w:rsidRPr="00107999" w:rsidTr="001963C4">
        <w:tc>
          <w:tcPr>
            <w:tcW w:w="2062" w:type="pct"/>
            <w:noWrap/>
          </w:tcPr>
          <w:p w:rsidR="006069D7" w:rsidRPr="000B5556" w:rsidRDefault="000B5556" w:rsidP="001963C4">
            <w:r>
              <w:t xml:space="preserve">9. </w:t>
            </w:r>
            <w:r w:rsidR="006069D7" w:rsidRPr="000B5556">
              <w:t xml:space="preserve">Amendments to the CMI/PI </w:t>
            </w:r>
            <w:r w:rsidRPr="000B5556">
              <w:t>were recommended but are beyond the scope of this AusPAR</w:t>
            </w:r>
            <w:r w:rsidR="006069D7" w:rsidRPr="000B5556">
              <w:t>.</w:t>
            </w:r>
          </w:p>
        </w:tc>
        <w:tc>
          <w:tcPr>
            <w:tcW w:w="1396" w:type="pct"/>
            <w:noWrap/>
          </w:tcPr>
          <w:p w:rsidR="006069D7" w:rsidRPr="000B5556" w:rsidRDefault="006069D7" w:rsidP="001963C4">
            <w:r w:rsidRPr="000B5556">
              <w:t>The CMI has been updated according to the recommendations.</w:t>
            </w:r>
            <w:r w:rsidR="000B5556">
              <w:t xml:space="preserve"> </w:t>
            </w:r>
            <w:r w:rsidRPr="000B5556">
              <w:t>A tracked and clean copy of the CMI is provided.</w:t>
            </w:r>
          </w:p>
        </w:tc>
        <w:tc>
          <w:tcPr>
            <w:tcW w:w="1542" w:type="pct"/>
            <w:noWrap/>
          </w:tcPr>
          <w:p w:rsidR="006069D7" w:rsidRPr="000B5556" w:rsidRDefault="006069D7" w:rsidP="001963C4">
            <w:r w:rsidRPr="000B5556">
              <w:t>This is considered acceptable.</w:t>
            </w:r>
          </w:p>
        </w:tc>
      </w:tr>
    </w:tbl>
    <w:p w:rsidR="000B5714" w:rsidRPr="006A6182" w:rsidRDefault="000B5714" w:rsidP="001963C4">
      <w:pPr>
        <w:pStyle w:val="TableDescription"/>
        <w:rPr>
          <w:lang w:eastAsia="en-AU"/>
        </w:rPr>
      </w:pPr>
      <w:r w:rsidRPr="009229DC">
        <w:t>ASA = Australian</w:t>
      </w:r>
      <w:r w:rsidR="001871D9">
        <w:t xml:space="preserve"> S</w:t>
      </w:r>
      <w:r w:rsidRPr="009229DC">
        <w:t xml:space="preserve">pecific </w:t>
      </w:r>
      <w:r w:rsidR="001871D9">
        <w:t>A</w:t>
      </w:r>
      <w:r w:rsidRPr="009229DC">
        <w:t xml:space="preserve">nnex; CMI = Consumer Medicine Information; EMA = European Medicines Agency; HIV = human immunodeficiency virus; </w:t>
      </w:r>
      <w:r>
        <w:t xml:space="preserve">OPR = </w:t>
      </w:r>
      <w:r w:rsidRPr="00E36C05">
        <w:t>Office of Product Review</w:t>
      </w:r>
      <w:r>
        <w:t>;</w:t>
      </w:r>
      <w:r w:rsidRPr="00E36C05">
        <w:t xml:space="preserve"> </w:t>
      </w:r>
      <w:r w:rsidRPr="009229DC">
        <w:t>PI = Product Information; RMP = risk management plan</w:t>
      </w:r>
      <w:r>
        <w:t>.</w:t>
      </w:r>
    </w:p>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9622D4" w:rsidRDefault="009622D4" w:rsidP="002A55BE">
      <w:bookmarkStart w:id="135" w:name="_Toc314842510"/>
      <w:r w:rsidRPr="00107999">
        <w:t xml:space="preserve">It is considered that the sponsor’s response to the TGA S31 Request </w:t>
      </w:r>
      <w:r w:rsidRPr="002F2E22">
        <w:t>has</w:t>
      </w:r>
      <w:r>
        <w:t xml:space="preserve"> not </w:t>
      </w:r>
      <w:r w:rsidRPr="00107999">
        <w:t>adequately addressed all of the issues identified in the RMP evaluation report</w:t>
      </w:r>
      <w:r>
        <w:t xml:space="preserve"> (please refer to outstanding issues below).</w:t>
      </w:r>
    </w:p>
    <w:p w:rsidR="009622D4" w:rsidRPr="00107999" w:rsidRDefault="009622D4" w:rsidP="000B5556">
      <w:pPr>
        <w:pStyle w:val="Heading5"/>
      </w:pPr>
      <w:r w:rsidRPr="00107999">
        <w:t>Outstanding issues</w:t>
      </w:r>
    </w:p>
    <w:p w:rsidR="009622D4" w:rsidRDefault="009622D4" w:rsidP="000B5556">
      <w:pPr>
        <w:pStyle w:val="Heading6"/>
      </w:pPr>
      <w:r w:rsidRPr="00107999">
        <w:t xml:space="preserve">Issues in relation to the RMP </w:t>
      </w:r>
    </w:p>
    <w:p w:rsidR="009622D4" w:rsidRPr="000B5556" w:rsidRDefault="009622D4" w:rsidP="002A55BE">
      <w:r w:rsidRPr="000B5556">
        <w:t xml:space="preserve">It is recommended to the </w:t>
      </w:r>
      <w:r w:rsidR="000B5556">
        <w:t>D</w:t>
      </w:r>
      <w:r w:rsidRPr="000B5556">
        <w:t xml:space="preserve">elegate, that the sponsor amends the PI and </w:t>
      </w:r>
      <w:r w:rsidR="000B5556">
        <w:t>Consumer Medicine Information (</w:t>
      </w:r>
      <w:r w:rsidRPr="000B5556">
        <w:t>CMI</w:t>
      </w:r>
      <w:r w:rsidR="000B5556">
        <w:t>)</w:t>
      </w:r>
      <w:r w:rsidRPr="000B5556">
        <w:t>, to provide more precise information about missing information in the PI and CMI.</w:t>
      </w:r>
    </w:p>
    <w:p w:rsidR="009622D4" w:rsidRPr="00107999" w:rsidRDefault="009622D4" w:rsidP="000B5556">
      <w:pPr>
        <w:pStyle w:val="Heading5"/>
      </w:pPr>
      <w:r w:rsidRPr="00107999">
        <w:t xml:space="preserve">Advice from the </w:t>
      </w:r>
      <w:r w:rsidRPr="00107999">
        <w:rPr>
          <w:rStyle w:val="st1"/>
          <w:rFonts w:asciiTheme="minorHAnsi" w:hAnsiTheme="minorHAnsi" w:cstheme="majorHAnsi"/>
          <w:b w:val="0"/>
          <w:bCs w:val="0"/>
          <w:color w:val="000000"/>
        </w:rPr>
        <w:t>Advisory Committee on the Safety of Medicines</w:t>
      </w:r>
      <w:r w:rsidRPr="00107999">
        <w:rPr>
          <w:rStyle w:val="st1"/>
          <w:rFonts w:asciiTheme="minorHAnsi" w:hAnsiTheme="minorHAnsi" w:cstheme="majorHAnsi"/>
          <w:b w:val="0"/>
          <w:color w:val="222222"/>
        </w:rPr>
        <w:t xml:space="preserve"> (</w:t>
      </w:r>
      <w:r w:rsidRPr="00107999">
        <w:rPr>
          <w:rStyle w:val="st1"/>
          <w:rFonts w:asciiTheme="minorHAnsi" w:hAnsiTheme="minorHAnsi" w:cstheme="majorHAnsi"/>
          <w:b w:val="0"/>
          <w:bCs w:val="0"/>
          <w:color w:val="000000"/>
        </w:rPr>
        <w:t>ACSOM</w:t>
      </w:r>
      <w:r w:rsidRPr="00107999">
        <w:rPr>
          <w:rStyle w:val="st1"/>
          <w:rFonts w:asciiTheme="minorHAnsi" w:hAnsiTheme="minorHAnsi" w:cstheme="majorHAnsi"/>
          <w:b w:val="0"/>
          <w:color w:val="222222"/>
        </w:rPr>
        <w:t>)</w:t>
      </w:r>
    </w:p>
    <w:p w:rsidR="009622D4" w:rsidRPr="00107999" w:rsidRDefault="009622D4" w:rsidP="009622D4">
      <w:pPr>
        <w:spacing w:before="100" w:beforeAutospacing="1" w:after="100" w:afterAutospacing="1" w:line="240" w:lineRule="auto"/>
        <w:rPr>
          <w:rFonts w:asciiTheme="minorHAnsi" w:hAnsiTheme="minorHAnsi"/>
        </w:rPr>
      </w:pPr>
      <w:r w:rsidRPr="003064E4">
        <w:rPr>
          <w:rFonts w:asciiTheme="minorHAnsi" w:hAnsiTheme="minorHAnsi"/>
        </w:rPr>
        <w:t>ACSOM advice was not sought for this submission.</w:t>
      </w:r>
    </w:p>
    <w:p w:rsidR="009622D4" w:rsidRPr="00DA7ECA" w:rsidRDefault="009622D4" w:rsidP="002A55BE">
      <w:pPr>
        <w:pStyle w:val="Heading5"/>
      </w:pPr>
      <w:r w:rsidRPr="00DA7ECA">
        <w:t>Key changes to the updated RMP</w:t>
      </w:r>
    </w:p>
    <w:p w:rsidR="009622D4" w:rsidRDefault="009622D4" w:rsidP="002A55BE">
      <w:r w:rsidRPr="00DA7ECA">
        <w:t>In their response to the TGA</w:t>
      </w:r>
      <w:r w:rsidR="002A55BE">
        <w:t>’s</w:t>
      </w:r>
      <w:r w:rsidRPr="00DA7ECA">
        <w:t xml:space="preserve"> </w:t>
      </w:r>
      <w:r w:rsidR="002A55BE">
        <w:t>r</w:t>
      </w:r>
      <w:r w:rsidRPr="00DA7ECA">
        <w:t xml:space="preserve">equests </w:t>
      </w:r>
      <w:r w:rsidR="002A55BE">
        <w:t xml:space="preserve">for further information </w:t>
      </w:r>
      <w:r w:rsidRPr="00DA7ECA">
        <w:t>the sponsor provided an updated RMP (version 6.0, dated 16</w:t>
      </w:r>
      <w:r w:rsidR="002A55BE">
        <w:t xml:space="preserve"> May </w:t>
      </w:r>
      <w:r w:rsidRPr="00DA7ECA">
        <w:t xml:space="preserve">2014) </w:t>
      </w:r>
      <w:r w:rsidR="002A55BE">
        <w:t>and</w:t>
      </w:r>
      <w:r w:rsidRPr="00DA7ECA">
        <w:t xml:space="preserve"> ASA, version 3.0, dated 19</w:t>
      </w:r>
      <w:r w:rsidR="002A55BE">
        <w:t xml:space="preserve"> </w:t>
      </w:r>
      <w:r w:rsidRPr="00DA7ECA">
        <w:t>May</w:t>
      </w:r>
      <w:r w:rsidR="002A55BE">
        <w:t xml:space="preserve"> </w:t>
      </w:r>
      <w:r w:rsidRPr="00DA7ECA">
        <w:t xml:space="preserve">2014). Key changes from the version evaluated </w:t>
      </w:r>
      <w:r w:rsidR="002A55BE">
        <w:t>in the first round</w:t>
      </w:r>
      <w:r w:rsidRPr="00DA7ECA">
        <w:t xml:space="preserve"> are the addition of various missing information as requested by the RMP evaluator.</w:t>
      </w:r>
    </w:p>
    <w:p w:rsidR="009622D4" w:rsidRPr="00DA7ECA" w:rsidRDefault="001963C4" w:rsidP="002A55BE">
      <w:pPr>
        <w:pStyle w:val="Heading6"/>
      </w:pPr>
      <w:r>
        <w:lastRenderedPageBreak/>
        <w:t>OPR evaluator’s comments</w:t>
      </w:r>
    </w:p>
    <w:p w:rsidR="009622D4" w:rsidRPr="00107999" w:rsidRDefault="009622D4" w:rsidP="002A55BE">
      <w:r>
        <w:t xml:space="preserve">The addition of the missing information in the table of ongoing safety concerns is considered acceptable. However, the risk-minimisation activities proposed for some of the missing information is </w:t>
      </w:r>
      <w:r w:rsidR="002F0BEA">
        <w:t xml:space="preserve">not </w:t>
      </w:r>
      <w:r>
        <w:t>considered acceptable.</w:t>
      </w:r>
    </w:p>
    <w:p w:rsidR="009622D4" w:rsidRPr="00107999" w:rsidRDefault="009622D4" w:rsidP="008C53FF">
      <w:pPr>
        <w:pStyle w:val="Heading5"/>
      </w:pPr>
      <w:r w:rsidRPr="00107999">
        <w:t>Suggested wording</w:t>
      </w:r>
      <w:r w:rsidR="001963C4">
        <w:t xml:space="preserve"> for conditions of registration</w:t>
      </w:r>
    </w:p>
    <w:p w:rsidR="009622D4" w:rsidRPr="008C53FF" w:rsidRDefault="009622D4" w:rsidP="008C53FF">
      <w:pPr>
        <w:pStyle w:val="Heading6"/>
      </w:pPr>
      <w:r w:rsidRPr="00107999">
        <w:t>RMP</w:t>
      </w:r>
    </w:p>
    <w:p w:rsidR="009622D4" w:rsidRDefault="009622D4" w:rsidP="008C53FF">
      <w:r>
        <w:t xml:space="preserve">Implement </w:t>
      </w:r>
      <w:r w:rsidRPr="009F6F58">
        <w:t>EU-RMP, version 6.0, dated 16</w:t>
      </w:r>
      <w:r w:rsidR="002A55BE">
        <w:t xml:space="preserve"> </w:t>
      </w:r>
      <w:r w:rsidRPr="009F6F58">
        <w:t>May</w:t>
      </w:r>
      <w:r w:rsidR="002A55BE">
        <w:t xml:space="preserve"> </w:t>
      </w:r>
      <w:r w:rsidRPr="009F6F58">
        <w:t xml:space="preserve">2014 </w:t>
      </w:r>
      <w:r w:rsidR="002A55BE">
        <w:t>and</w:t>
      </w:r>
      <w:r w:rsidRPr="009F6F58">
        <w:t xml:space="preserve"> ASA, version 3.0, dated 19</w:t>
      </w:r>
      <w:r w:rsidR="002A55BE">
        <w:t xml:space="preserve"> </w:t>
      </w:r>
      <w:r w:rsidRPr="009F6F58">
        <w:t>May</w:t>
      </w:r>
      <w:r w:rsidR="002A55BE">
        <w:t xml:space="preserve"> </w:t>
      </w:r>
      <w:r w:rsidRPr="009F6F58">
        <w:t>2014</w:t>
      </w:r>
      <w:r>
        <w:t xml:space="preserve"> and any future updates as</w:t>
      </w:r>
      <w:r w:rsidRPr="00107999">
        <w:t xml:space="preserve"> </w:t>
      </w:r>
      <w:r>
        <w:t xml:space="preserve">agreed with the TGA as a </w:t>
      </w:r>
      <w:r w:rsidRPr="00107999">
        <w:t>condition of registration.</w:t>
      </w:r>
      <w:r>
        <w:t xml:space="preserve"> </w:t>
      </w:r>
    </w:p>
    <w:p w:rsidR="008E7846" w:rsidRPr="00792A32" w:rsidRDefault="008E7846" w:rsidP="008E7846">
      <w:pPr>
        <w:pStyle w:val="Heading2"/>
      </w:pPr>
      <w:bookmarkStart w:id="136" w:name="_Toc453683292"/>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3"/>
      <w:bookmarkEnd w:id="134"/>
      <w:bookmarkEnd w:id="135"/>
      <w:bookmarkEnd w:id="136"/>
    </w:p>
    <w:p w:rsidR="008E7846" w:rsidRDefault="008E7846" w:rsidP="008E7846">
      <w:bookmarkStart w:id="137"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38" w:name="_Toc314842511"/>
      <w:bookmarkStart w:id="139" w:name="_Toc453683293"/>
      <w:r>
        <w:t>Quality</w:t>
      </w:r>
      <w:bookmarkEnd w:id="137"/>
      <w:bookmarkEnd w:id="138"/>
      <w:bookmarkEnd w:id="139"/>
    </w:p>
    <w:p w:rsidR="006069D7" w:rsidRPr="004411EA" w:rsidRDefault="006069D7" w:rsidP="002A55BE">
      <w:bookmarkStart w:id="140" w:name="_Toc314842512"/>
      <w:r w:rsidRPr="004411EA">
        <w:t xml:space="preserve">There were no outstanding </w:t>
      </w:r>
      <w:r w:rsidR="002A55BE">
        <w:t>quality</w:t>
      </w:r>
      <w:r w:rsidRPr="004411EA">
        <w:t xml:space="preserve"> issues identified.</w:t>
      </w:r>
    </w:p>
    <w:p w:rsidR="006069D7" w:rsidRPr="004411EA" w:rsidRDefault="006069D7" w:rsidP="002A55BE">
      <w:r w:rsidRPr="004411EA">
        <w:t>Batch Release Conditions were proposed for inclusion as spec</w:t>
      </w:r>
      <w:r w:rsidR="002A55BE">
        <w:t>ific conditions of registration</w:t>
      </w:r>
      <w:r w:rsidRPr="004411EA">
        <w:t>.</w:t>
      </w:r>
    </w:p>
    <w:p w:rsidR="008E7846" w:rsidRDefault="008E7846" w:rsidP="008E7846">
      <w:pPr>
        <w:pStyle w:val="Heading3"/>
      </w:pPr>
      <w:bookmarkStart w:id="141" w:name="_Toc453683294"/>
      <w:r>
        <w:t>Nonclinical</w:t>
      </w:r>
      <w:bookmarkEnd w:id="140"/>
      <w:bookmarkEnd w:id="141"/>
    </w:p>
    <w:p w:rsidR="006069D7" w:rsidRPr="004411EA" w:rsidRDefault="006069D7" w:rsidP="002A55BE">
      <w:bookmarkStart w:id="142" w:name="_Toc247691530"/>
      <w:bookmarkStart w:id="143" w:name="_Toc314842513"/>
      <w:r w:rsidRPr="004411EA">
        <w:t>Th</w:t>
      </w:r>
      <w:r w:rsidR="002A55BE">
        <w:t>e nonclinical</w:t>
      </w:r>
      <w:r w:rsidRPr="004411EA">
        <w:t xml:space="preserve"> evaluation raise</w:t>
      </w:r>
      <w:r w:rsidR="002A55BE">
        <w:t>d no objections to registration</w:t>
      </w:r>
      <w:r w:rsidRPr="004411EA">
        <w:t>.</w:t>
      </w:r>
    </w:p>
    <w:p w:rsidR="008E7846" w:rsidRDefault="008E7846" w:rsidP="008E7846">
      <w:pPr>
        <w:pStyle w:val="Heading3"/>
      </w:pPr>
      <w:bookmarkStart w:id="144" w:name="_Toc453683295"/>
      <w:r>
        <w:t>Clinical</w:t>
      </w:r>
      <w:bookmarkEnd w:id="142"/>
      <w:bookmarkEnd w:id="143"/>
      <w:bookmarkEnd w:id="144"/>
    </w:p>
    <w:p w:rsidR="006069D7" w:rsidRPr="002A55BE" w:rsidRDefault="006069D7" w:rsidP="002A55BE">
      <w:pPr>
        <w:pStyle w:val="Heading4"/>
      </w:pPr>
      <w:bookmarkStart w:id="145" w:name="_Toc314842514"/>
      <w:r w:rsidRPr="004411EA">
        <w:t>Overview of data</w:t>
      </w:r>
      <w:r w:rsidRPr="002A55BE">
        <w:rPr>
          <w:rStyle w:val="FootnoteReference"/>
          <w:rFonts w:asciiTheme="minorHAnsi" w:hAnsiTheme="minorHAnsi"/>
          <w:b w:val="0"/>
          <w:sz w:val="24"/>
          <w:szCs w:val="24"/>
        </w:rPr>
        <w:footnoteReference w:id="24"/>
      </w:r>
    </w:p>
    <w:p w:rsidR="006069D7" w:rsidRPr="004411EA" w:rsidRDefault="006069D7" w:rsidP="002A55BE">
      <w:r w:rsidRPr="004411EA">
        <w:t>There were five clinical studies: GENA-01, -03, -04, -08 and -09.</w:t>
      </w:r>
      <w:r w:rsidR="00FF5033">
        <w:t xml:space="preserve"> </w:t>
      </w:r>
      <w:r w:rsidRPr="004411EA">
        <w:t>No study provided evidence for use in (a) previously untreated patients; and (b) patients &lt;2 y</w:t>
      </w:r>
      <w:r w:rsidR="002A55BE">
        <w:t>ea</w:t>
      </w:r>
      <w:r w:rsidRPr="004411EA">
        <w:t>rs of age.</w:t>
      </w:r>
      <w:r w:rsidR="00FF5033">
        <w:t xml:space="preserve"> </w:t>
      </w:r>
      <w:r w:rsidRPr="004411EA">
        <w:t>GENA-03 studied previously treated children (n=29 ages 2</w:t>
      </w:r>
      <w:r w:rsidR="002A55BE">
        <w:t xml:space="preserve"> to </w:t>
      </w:r>
      <w:r w:rsidRPr="004411EA">
        <w:t>5; n=30 aged 6</w:t>
      </w:r>
      <w:r w:rsidR="002A55BE">
        <w:t xml:space="preserve"> to </w:t>
      </w:r>
      <w:r w:rsidRPr="004411EA">
        <w:t>12).</w:t>
      </w:r>
    </w:p>
    <w:p w:rsidR="006069D7" w:rsidRPr="002A55BE" w:rsidRDefault="006069D7" w:rsidP="002A55BE">
      <w:pPr>
        <w:pStyle w:val="Heading4"/>
      </w:pPr>
      <w:r w:rsidRPr="004411EA">
        <w:t>Pharmacokinetics (PK)</w:t>
      </w:r>
    </w:p>
    <w:p w:rsidR="006069D7" w:rsidRDefault="006069D7" w:rsidP="002A55BE">
      <w:r w:rsidRPr="004411EA">
        <w:t xml:space="preserve">Primary PK data </w:t>
      </w:r>
      <w:r w:rsidR="000B5714">
        <w:t xml:space="preserve">were </w:t>
      </w:r>
      <w:r w:rsidRPr="004411EA">
        <w:t xml:space="preserve">derived from GENA-01 and </w:t>
      </w:r>
      <w:r w:rsidR="00CA3F42" w:rsidRPr="004411EA">
        <w:t xml:space="preserve">GENA </w:t>
      </w:r>
      <w:r w:rsidRPr="004411EA">
        <w:t xml:space="preserve">-08 in adults, and </w:t>
      </w:r>
      <w:r w:rsidR="00CA3F42" w:rsidRPr="004411EA">
        <w:t xml:space="preserve">GENA </w:t>
      </w:r>
      <w:r w:rsidRPr="004411EA">
        <w:t>-03 in children.</w:t>
      </w:r>
    </w:p>
    <w:p w:rsidR="006069D7" w:rsidRPr="004411EA" w:rsidRDefault="006069D7" w:rsidP="002A55BE">
      <w:r w:rsidRPr="004411EA">
        <w:t>GENA-01 generated PK data in 22 PTPs 12</w:t>
      </w:r>
      <w:r w:rsidR="002A55BE">
        <w:t xml:space="preserve"> to </w:t>
      </w:r>
      <w:r w:rsidRPr="004411EA">
        <w:t>65 y</w:t>
      </w:r>
      <w:r w:rsidR="002A55BE">
        <w:t>ea</w:t>
      </w:r>
      <w:r w:rsidRPr="004411EA">
        <w:t>rs of age (median age 40 y</w:t>
      </w:r>
      <w:r w:rsidR="002A55BE">
        <w:t>ea</w:t>
      </w:r>
      <w:r w:rsidRPr="004411EA">
        <w:t>rs; only 2 patients &lt;18 y</w:t>
      </w:r>
      <w:r w:rsidR="002A55BE">
        <w:t>ea</w:t>
      </w:r>
      <w:r w:rsidRPr="004411EA">
        <w:t xml:space="preserve">rs) with severe </w:t>
      </w:r>
      <w:r w:rsidR="00CA3F42">
        <w:t>haemophilia A (</w:t>
      </w:r>
      <w:proofErr w:type="spellStart"/>
      <w:r w:rsidRPr="004411EA">
        <w:t>HmA</w:t>
      </w:r>
      <w:proofErr w:type="spellEnd"/>
      <w:r w:rsidR="00CA3F42">
        <w:t>)</w:t>
      </w:r>
      <w:r w:rsidRPr="004411EA">
        <w:t>.</w:t>
      </w:r>
    </w:p>
    <w:p w:rsidR="006069D7" w:rsidRPr="004411EA" w:rsidRDefault="006069D7" w:rsidP="002A55BE">
      <w:pPr>
        <w:pStyle w:val="ListBullet"/>
      </w:pPr>
      <w:r w:rsidRPr="004411EA">
        <w:t xml:space="preserve">In the first part of the study, comparison was made with </w:t>
      </w:r>
      <w:r w:rsidR="0041331E">
        <w:t xml:space="preserve">full-length </w:t>
      </w:r>
      <w:proofErr w:type="spellStart"/>
      <w:r w:rsidR="0041331E">
        <w:t>rFVIII</w:t>
      </w:r>
      <w:proofErr w:type="spellEnd"/>
      <w:r w:rsidR="00A94FD5">
        <w:t xml:space="preserve"> BHK</w:t>
      </w:r>
      <w:r w:rsidRPr="004411EA">
        <w:t>, using a cross-over design.</w:t>
      </w:r>
      <w:r w:rsidR="00FF5033">
        <w:t xml:space="preserve"> </w:t>
      </w:r>
      <w:r w:rsidRPr="004411EA">
        <w:t>Blood samples were taken at baseline and 11 more time-points over 48 hrs.</w:t>
      </w:r>
      <w:r w:rsidR="00FF5033">
        <w:t xml:space="preserve"> </w:t>
      </w:r>
      <w:r w:rsidRPr="004411EA">
        <w:t>Suitable PK endpoints were used.</w:t>
      </w:r>
      <w:r w:rsidR="00FF5033">
        <w:t xml:space="preserve"> </w:t>
      </w:r>
      <w:r w:rsidRPr="004411EA">
        <w:t>FVIII</w:t>
      </w:r>
      <w:r w:rsidR="002F0BEA" w:rsidRPr="004411EA">
        <w:t>: C</w:t>
      </w:r>
      <w:r w:rsidRPr="004411EA">
        <w:t xml:space="preserve"> / time curves were superimposable f</w:t>
      </w:r>
      <w:r w:rsidR="002A55BE">
        <w:t xml:space="preserve">or </w:t>
      </w:r>
      <w:proofErr w:type="spellStart"/>
      <w:r w:rsidR="009C1E6B">
        <w:t>simoctocog</w:t>
      </w:r>
      <w:proofErr w:type="spellEnd"/>
      <w:r w:rsidR="009C1E6B">
        <w:t xml:space="preserve"> </w:t>
      </w:r>
      <w:r w:rsidR="00FC63A1">
        <w:t>alfa</w:t>
      </w:r>
      <w:r w:rsidR="002A55BE">
        <w:t xml:space="preserve"> </w:t>
      </w:r>
      <w:r w:rsidR="002A55BE" w:rsidRPr="00DF4981">
        <w:t xml:space="preserve">and </w:t>
      </w:r>
      <w:r w:rsidR="0041331E" w:rsidRPr="00DF4981">
        <w:t xml:space="preserve">full-length </w:t>
      </w:r>
      <w:proofErr w:type="spellStart"/>
      <w:r w:rsidR="0041331E" w:rsidRPr="00DF4981">
        <w:t>rFVIII</w:t>
      </w:r>
      <w:proofErr w:type="spellEnd"/>
      <w:r w:rsidR="00A94FD5">
        <w:t xml:space="preserve"> BHK</w:t>
      </w:r>
      <w:r w:rsidRPr="004411EA">
        <w:t>; minor differences in half-life and mean residence time across products were deemed by the evaluator to be clinically insignificant.</w:t>
      </w:r>
    </w:p>
    <w:p w:rsidR="006069D7" w:rsidRPr="004411EA" w:rsidRDefault="006069D7" w:rsidP="002A55BE">
      <w:pPr>
        <w:pStyle w:val="ListBullet"/>
      </w:pPr>
      <w:r w:rsidRPr="004411EA">
        <w:t xml:space="preserve">In the second part of the study, PK for </w:t>
      </w:r>
      <w:proofErr w:type="spellStart"/>
      <w:r w:rsidR="009C1E6B">
        <w:t>simoctocog</w:t>
      </w:r>
      <w:proofErr w:type="spellEnd"/>
      <w:r w:rsidR="009C1E6B">
        <w:t xml:space="preserve"> </w:t>
      </w:r>
      <w:r w:rsidR="00FC63A1">
        <w:t>alfa</w:t>
      </w:r>
      <w:r w:rsidRPr="004411EA">
        <w:t xml:space="preserve"> was assessed at 6 months in 21 patients.</w:t>
      </w:r>
      <w:r w:rsidR="00FF5033">
        <w:t xml:space="preserve"> </w:t>
      </w:r>
      <w:r w:rsidRPr="004411EA">
        <w:t>Minor differences were seen relative to PK at study</w:t>
      </w:r>
      <w:r w:rsidR="00B55EB9">
        <w:t xml:space="preserve"> start</w:t>
      </w:r>
      <w:r w:rsidRPr="004411EA">
        <w:t xml:space="preserve">, with a decline in </w:t>
      </w:r>
      <w:r w:rsidRPr="004411EA">
        <w:lastRenderedPageBreak/>
        <w:t xml:space="preserve">exposure of </w:t>
      </w:r>
      <w:r w:rsidR="002A55BE">
        <w:t xml:space="preserve">approximately </w:t>
      </w:r>
      <w:r w:rsidRPr="004411EA">
        <w:t>5-10% apparent across various endpoints.</w:t>
      </w:r>
      <w:r w:rsidR="00FF5033">
        <w:t xml:space="preserve"> </w:t>
      </w:r>
      <w:r w:rsidRPr="004411EA">
        <w:t>An exploratory analysis excluding results from 6 patients at 1 Bulgarian study centre found less of a difference between time-points.</w:t>
      </w:r>
    </w:p>
    <w:p w:rsidR="006069D7" w:rsidRPr="004411EA" w:rsidRDefault="006069D7" w:rsidP="002A55BE">
      <w:pPr>
        <w:pStyle w:val="ListBullet"/>
      </w:pPr>
      <w:r w:rsidRPr="004411EA">
        <w:t>Mean in vivo recovery (IVR) over time was in the 2.0</w:t>
      </w:r>
      <w:r w:rsidR="002A55BE">
        <w:t xml:space="preserve"> to </w:t>
      </w:r>
      <w:r w:rsidRPr="004411EA">
        <w:t>2.5% per IU/kg range, being closer to 2.5% with the chromogenic assay and 2.0% with the one stage assay.</w:t>
      </w:r>
    </w:p>
    <w:p w:rsidR="006069D7" w:rsidRDefault="006069D7" w:rsidP="002A55BE">
      <w:pPr>
        <w:pStyle w:val="ListBullet"/>
      </w:pPr>
      <w:r w:rsidRPr="004411EA">
        <w:t>The one stage assay tended to deliver lower estimates of plasma FVIII than the chromogenic assay.</w:t>
      </w:r>
      <w:r w:rsidR="00FF5033">
        <w:t xml:space="preserve"> </w:t>
      </w:r>
      <w:r w:rsidRPr="004411EA">
        <w:t>The sponsor notes this has been observed with other B-domain deleted products.</w:t>
      </w:r>
    </w:p>
    <w:p w:rsidR="00577A56" w:rsidRDefault="006069D7" w:rsidP="00DF4981">
      <w:pPr>
        <w:pStyle w:val="ListBullet"/>
        <w:numPr>
          <w:ilvl w:val="0"/>
          <w:numId w:val="0"/>
        </w:numPr>
        <w:ind w:left="360"/>
      </w:pPr>
      <w:r w:rsidRPr="004411EA">
        <w:t xml:space="preserve">GENA-03 </w:t>
      </w:r>
      <w:r>
        <w:t>studied</w:t>
      </w:r>
      <w:r w:rsidRPr="004411EA">
        <w:t xml:space="preserve"> PK in 59 PTPs 2-12 y</w:t>
      </w:r>
      <w:r w:rsidR="002A55BE">
        <w:t>ea</w:t>
      </w:r>
      <w:r w:rsidRPr="004411EA">
        <w:t xml:space="preserve">rs of age with severe </w:t>
      </w:r>
      <w:proofErr w:type="spellStart"/>
      <w:r w:rsidRPr="004411EA">
        <w:t>HmA</w:t>
      </w:r>
      <w:proofErr w:type="spellEnd"/>
      <w:r w:rsidRPr="004411EA">
        <w:t>.</w:t>
      </w:r>
    </w:p>
    <w:p w:rsidR="006069D7" w:rsidRPr="004411EA" w:rsidRDefault="006069D7" w:rsidP="00FE02CD">
      <w:pPr>
        <w:pStyle w:val="ListBullet"/>
      </w:pPr>
      <w:r w:rsidRPr="004411EA">
        <w:t>In the first part of the study (n=13 ages 2-5 y</w:t>
      </w:r>
      <w:r w:rsidR="002A55BE">
        <w:t>ea</w:t>
      </w:r>
      <w:r w:rsidRPr="004411EA">
        <w:t>rs; n=13 ages 6-12 y</w:t>
      </w:r>
      <w:r w:rsidR="002A55BE">
        <w:t>ea</w:t>
      </w:r>
      <w:r w:rsidRPr="004411EA">
        <w:t xml:space="preserve">rs), comparison was made with previously used FVIII (previous FVIII in cycle 1 then </w:t>
      </w:r>
      <w:proofErr w:type="spellStart"/>
      <w:r w:rsidR="009C1E6B">
        <w:t>simoctocog</w:t>
      </w:r>
      <w:proofErr w:type="spellEnd"/>
      <w:r w:rsidR="009C1E6B">
        <w:t xml:space="preserve"> </w:t>
      </w:r>
      <w:r w:rsidR="00FC63A1">
        <w:t>alfa</w:t>
      </w:r>
      <w:r w:rsidRPr="004411EA">
        <w:t xml:space="preserve"> in cycle 2).</w:t>
      </w:r>
      <w:r w:rsidR="00FF5033">
        <w:t xml:space="preserve"> </w:t>
      </w:r>
      <w:r w:rsidRPr="004411EA">
        <w:t>Blood samples were taken at baseline and 6 more time</w:t>
      </w:r>
      <w:r w:rsidR="002A55BE">
        <w:t xml:space="preserve"> </w:t>
      </w:r>
      <w:r w:rsidRPr="004411EA">
        <w:t>points over 48 h</w:t>
      </w:r>
      <w:r w:rsidR="002A55BE">
        <w:t>ou</w:t>
      </w:r>
      <w:r w:rsidRPr="004411EA">
        <w:t>rs.</w:t>
      </w:r>
      <w:r w:rsidR="00FF5033">
        <w:t xml:space="preserve"> </w:t>
      </w:r>
      <w:r w:rsidRPr="004411EA">
        <w:t>FVIII</w:t>
      </w:r>
      <w:r w:rsidR="002F0BEA" w:rsidRPr="004411EA">
        <w:t>: C</w:t>
      </w:r>
      <w:r w:rsidRPr="004411EA">
        <w:t xml:space="preserve">/time curves were superimposable for </w:t>
      </w:r>
      <w:proofErr w:type="spellStart"/>
      <w:r w:rsidR="009C1E6B">
        <w:t>simoctocog</w:t>
      </w:r>
      <w:proofErr w:type="spellEnd"/>
      <w:r w:rsidR="009C1E6B">
        <w:t xml:space="preserve"> </w:t>
      </w:r>
      <w:r w:rsidR="00FC63A1">
        <w:t>alfa</w:t>
      </w:r>
      <w:r w:rsidRPr="004411EA">
        <w:t xml:space="preserve"> and previous </w:t>
      </w:r>
      <w:r w:rsidR="002F0BEA" w:rsidRPr="004411EA">
        <w:t>FVIII and</w:t>
      </w:r>
      <w:r w:rsidRPr="004411EA">
        <w:t xml:space="preserve"> PK parameters were similar, once dose-normalised.</w:t>
      </w:r>
      <w:r w:rsidR="00FF5033">
        <w:t xml:space="preserve"> </w:t>
      </w:r>
      <w:r w:rsidR="002A55BE">
        <w:t>Time to C</w:t>
      </w:r>
      <w:r w:rsidR="002A55BE" w:rsidRPr="002A55BE">
        <w:rPr>
          <w:vertAlign w:val="subscript"/>
        </w:rPr>
        <w:t>max</w:t>
      </w:r>
      <w:r w:rsidR="002A55BE">
        <w:t xml:space="preserve"> (</w:t>
      </w:r>
      <w:r w:rsidRPr="004411EA">
        <w:t>T</w:t>
      </w:r>
      <w:r w:rsidRPr="00D57FF7">
        <w:rPr>
          <w:vertAlign w:val="subscript"/>
        </w:rPr>
        <w:t>max</w:t>
      </w:r>
      <w:r w:rsidR="002A55BE">
        <w:t xml:space="preserve">) </w:t>
      </w:r>
      <w:r w:rsidRPr="004411EA">
        <w:t xml:space="preserve">was lower for </w:t>
      </w:r>
      <w:proofErr w:type="spellStart"/>
      <w:r w:rsidR="009C1E6B">
        <w:t>simoctocog</w:t>
      </w:r>
      <w:proofErr w:type="spellEnd"/>
      <w:r w:rsidR="009C1E6B">
        <w:t xml:space="preserve"> </w:t>
      </w:r>
      <w:r w:rsidR="00FC63A1">
        <w:t>alfa</w:t>
      </w:r>
      <w:r w:rsidRPr="004411EA">
        <w:t xml:space="preserve"> than for previous FVIII.</w:t>
      </w:r>
      <w:r w:rsidR="00FF5033">
        <w:t xml:space="preserve"> </w:t>
      </w:r>
      <w:r w:rsidRPr="004411EA">
        <w:t>Most previous FVIII was plasma-derived (in 20/26), and PK results for previous FVIII varied according to whether recombinant or plasma-derived FVIII had been used</w:t>
      </w:r>
      <w:r w:rsidR="00E00E5B">
        <w:t>;</w:t>
      </w:r>
      <w:r w:rsidRPr="004411EA">
        <w:t xml:space="preserve"> </w:t>
      </w:r>
      <w:proofErr w:type="spellStart"/>
      <w:r w:rsidR="009C1E6B">
        <w:t>simoctocog</w:t>
      </w:r>
      <w:proofErr w:type="spellEnd"/>
      <w:r w:rsidR="009C1E6B">
        <w:t xml:space="preserve"> </w:t>
      </w:r>
      <w:r w:rsidR="00FC63A1">
        <w:t>alfa</w:t>
      </w:r>
      <w:r w:rsidRPr="004411EA">
        <w:t xml:space="preserve"> PK more closely resembled PK after </w:t>
      </w:r>
      <w:proofErr w:type="spellStart"/>
      <w:r w:rsidRPr="004411EA">
        <w:t>pdFVIII</w:t>
      </w:r>
      <w:proofErr w:type="spellEnd"/>
      <w:r w:rsidRPr="004411EA">
        <w:t xml:space="preserve">, perhaps because only 6 subjects used </w:t>
      </w:r>
      <w:proofErr w:type="spellStart"/>
      <w:r w:rsidRPr="004411EA">
        <w:t>rhFVIII</w:t>
      </w:r>
      <w:proofErr w:type="spellEnd"/>
      <w:r w:rsidRPr="004411EA">
        <w:t xml:space="preserve"> so more variability may have been introduced because of the small sample.</w:t>
      </w:r>
    </w:p>
    <w:p w:rsidR="006069D7" w:rsidRDefault="006069D7" w:rsidP="002A55BE">
      <w:pPr>
        <w:pStyle w:val="ListBullet"/>
      </w:pPr>
      <w:r w:rsidRPr="004411EA">
        <w:t>Results were analysed in the 2</w:t>
      </w:r>
      <w:r w:rsidR="00E00E5B">
        <w:t xml:space="preserve"> to </w:t>
      </w:r>
      <w:r w:rsidRPr="004411EA">
        <w:t>5 y</w:t>
      </w:r>
      <w:r w:rsidR="00E00E5B">
        <w:t>ea</w:t>
      </w:r>
      <w:r w:rsidRPr="004411EA">
        <w:t>r subgroup and the 6</w:t>
      </w:r>
      <w:r w:rsidR="00E00E5B">
        <w:t xml:space="preserve"> to </w:t>
      </w:r>
      <w:r w:rsidRPr="004411EA">
        <w:t>12 y</w:t>
      </w:r>
      <w:r w:rsidR="00E00E5B">
        <w:t>ea</w:t>
      </w:r>
      <w:r w:rsidRPr="004411EA">
        <w:t>r subgroup.</w:t>
      </w:r>
      <w:r w:rsidR="00FF5033">
        <w:t xml:space="preserve"> </w:t>
      </w:r>
      <w:r w:rsidRPr="004411EA">
        <w:t xml:space="preserve">There was a signal of a modest increase in dose-normalised exposure with </w:t>
      </w:r>
      <w:proofErr w:type="spellStart"/>
      <w:r w:rsidR="009C1E6B">
        <w:t>simoctocog</w:t>
      </w:r>
      <w:proofErr w:type="spellEnd"/>
      <w:r w:rsidR="009C1E6B">
        <w:t xml:space="preserve"> </w:t>
      </w:r>
      <w:r w:rsidR="00FC63A1">
        <w:t>alfa</w:t>
      </w:r>
      <w:r w:rsidRPr="004411EA">
        <w:t xml:space="preserve"> relative to previous FVIII, in these younger subjects; but in the 6</w:t>
      </w:r>
      <w:r w:rsidR="00E00E5B">
        <w:t xml:space="preserve"> to </w:t>
      </w:r>
      <w:r w:rsidRPr="004411EA">
        <w:t>12 y</w:t>
      </w:r>
      <w:r w:rsidR="00E00E5B">
        <w:t>ea</w:t>
      </w:r>
      <w:r w:rsidRPr="004411EA">
        <w:t>r group the opposite trend emerged, suggesting variability due to sample size may have influenced outcomes.</w:t>
      </w:r>
    </w:p>
    <w:p w:rsidR="006069D7" w:rsidRDefault="006069D7" w:rsidP="002A55BE">
      <w:pPr>
        <w:pStyle w:val="ListBullet"/>
      </w:pPr>
      <w:r w:rsidRPr="004411EA">
        <w:t>In the second part of the study, a further 32 patients were added and followed for at least 6 months and 50 exposure days, for safety / efficacy outcomes.</w:t>
      </w:r>
      <w:r w:rsidR="00FF5033">
        <w:t xml:space="preserve"> </w:t>
      </w:r>
      <w:r w:rsidRPr="004411EA">
        <w:t>In vivo recovery was also studied, at the start of Phase II, at 3 months and at 6 months.</w:t>
      </w:r>
      <w:r w:rsidR="00FF5033">
        <w:t xml:space="preserve"> </w:t>
      </w:r>
      <w:r w:rsidRPr="004411EA">
        <w:t>IVR ranged from 1.6</w:t>
      </w:r>
      <w:r w:rsidR="00E00E5B">
        <w:t xml:space="preserve"> to </w:t>
      </w:r>
      <w:r w:rsidRPr="004411EA">
        <w:t>1.8% per IU/kg, by the chromogenic assay (1.3</w:t>
      </w:r>
      <w:r w:rsidR="00E00E5B">
        <w:t xml:space="preserve"> to </w:t>
      </w:r>
      <w:r w:rsidRPr="004411EA">
        <w:t>1.6% per IU/kg by the one stage assay).</w:t>
      </w:r>
    </w:p>
    <w:p w:rsidR="006069D7" w:rsidRDefault="006069D7" w:rsidP="00E00E5B">
      <w:r w:rsidRPr="004411EA">
        <w:t>GENA-08 generated PK data in 32 PTPs 18-75</w:t>
      </w:r>
      <w:r w:rsidR="00E00E5B">
        <w:t xml:space="preserve"> years </w:t>
      </w:r>
      <w:r w:rsidRPr="004411EA">
        <w:t>of age (mean age 37 y</w:t>
      </w:r>
      <w:r w:rsidR="00E00E5B">
        <w:t>ea</w:t>
      </w:r>
      <w:r w:rsidRPr="004411EA">
        <w:t xml:space="preserve">rs) with severe </w:t>
      </w:r>
      <w:proofErr w:type="spellStart"/>
      <w:r w:rsidRPr="004411EA">
        <w:t>HmA</w:t>
      </w:r>
      <w:proofErr w:type="spellEnd"/>
      <w:r w:rsidRPr="004411EA">
        <w:t>.</w:t>
      </w:r>
      <w:r w:rsidR="00FF5033">
        <w:t xml:space="preserve"> </w:t>
      </w:r>
      <w:r w:rsidRPr="004411EA">
        <w:t>In vivo recovery was assessed as a secondary endpoint (n=32 at visit 1; n=31 at 3 months; n=30 at 6 months); there was no other PK assessment.</w:t>
      </w:r>
      <w:r w:rsidR="00FF5033">
        <w:t xml:space="preserve"> </w:t>
      </w:r>
      <w:r w:rsidRPr="004411EA">
        <w:t xml:space="preserve">At </w:t>
      </w:r>
      <w:r w:rsidR="00E00E5B">
        <w:t>M</w:t>
      </w:r>
      <w:r w:rsidRPr="004411EA">
        <w:t xml:space="preserve">onth 3 and at </w:t>
      </w:r>
      <w:r w:rsidR="00E00E5B">
        <w:t>M</w:t>
      </w:r>
      <w:r w:rsidRPr="004411EA">
        <w:t>onth 6, IVR was 90</w:t>
      </w:r>
      <w:r w:rsidR="00E00E5B">
        <w:t xml:space="preserve"> to 94% that of IVR at visit 1 </w:t>
      </w:r>
      <w:r w:rsidRPr="004411EA">
        <w:t>but the clinical evaluator considered this of limited clinical significance.</w:t>
      </w:r>
    </w:p>
    <w:p w:rsidR="006069D7" w:rsidRDefault="006069D7" w:rsidP="00E00E5B">
      <w:r w:rsidRPr="004411EA">
        <w:t xml:space="preserve">GENA-09 was a PK study conducted at a single centre in Russia, in 22 PTPs with severe </w:t>
      </w:r>
      <w:proofErr w:type="spellStart"/>
      <w:r w:rsidRPr="004411EA">
        <w:t>HmA</w:t>
      </w:r>
      <w:proofErr w:type="spellEnd"/>
      <w:r w:rsidRPr="004411EA">
        <w:t xml:space="preserve"> (mean age 24.5 y</w:t>
      </w:r>
      <w:r w:rsidR="00E00E5B">
        <w:t>ea</w:t>
      </w:r>
      <w:r w:rsidRPr="004411EA">
        <w:t>rs; range 18</w:t>
      </w:r>
      <w:r w:rsidR="00E00E5B">
        <w:t xml:space="preserve"> to </w:t>
      </w:r>
      <w:r w:rsidRPr="004411EA">
        <w:t xml:space="preserve">62), </w:t>
      </w:r>
      <w:r w:rsidRPr="00DF4981">
        <w:t xml:space="preserve">with evidence of inadequate prior treatment of </w:t>
      </w:r>
      <w:proofErr w:type="spellStart"/>
      <w:r w:rsidRPr="00DF4981">
        <w:t>HmA</w:t>
      </w:r>
      <w:proofErr w:type="spellEnd"/>
      <w:r w:rsidRPr="00DF4981">
        <w:t>.</w:t>
      </w:r>
      <w:r w:rsidR="00FF5033" w:rsidRPr="00DF4981">
        <w:t xml:space="preserve"> </w:t>
      </w:r>
      <w:r w:rsidRPr="00DF4981">
        <w:t xml:space="preserve">Part I was a randomised cross-over with </w:t>
      </w:r>
      <w:r w:rsidR="0041331E" w:rsidRPr="00DF4981">
        <w:t xml:space="preserve">full-length </w:t>
      </w:r>
      <w:proofErr w:type="spellStart"/>
      <w:r w:rsidR="0041331E" w:rsidRPr="00DF4981">
        <w:t>rFVIII</w:t>
      </w:r>
      <w:proofErr w:type="spellEnd"/>
      <w:r w:rsidR="00A94FD5" w:rsidRPr="00DF4981">
        <w:t xml:space="preserve"> BHK</w:t>
      </w:r>
      <w:r w:rsidRPr="00DF4981">
        <w:t>; Part II was an uncontrolled assessment of prophylaxis.</w:t>
      </w:r>
      <w:r w:rsidR="00FF5033" w:rsidRPr="00DF4981">
        <w:t xml:space="preserve"> </w:t>
      </w:r>
      <w:r w:rsidR="00E00E5B" w:rsidRPr="00DF4981">
        <w:t>In Part I</w:t>
      </w:r>
      <w:r w:rsidRPr="00DF4981">
        <w:t xml:space="preserve">, after dose-normalisation, systemic exposure was lower for </w:t>
      </w:r>
      <w:proofErr w:type="spellStart"/>
      <w:r w:rsidR="009C1E6B" w:rsidRPr="00DF4981">
        <w:t>simoctocog</w:t>
      </w:r>
      <w:proofErr w:type="spellEnd"/>
      <w:r w:rsidR="009C1E6B" w:rsidRPr="00DF4981">
        <w:t xml:space="preserve"> </w:t>
      </w:r>
      <w:r w:rsidR="00FC63A1" w:rsidRPr="00DF4981">
        <w:t>alfa</w:t>
      </w:r>
      <w:r w:rsidRPr="00DF4981">
        <w:t xml:space="preserve"> than for </w:t>
      </w:r>
      <w:r w:rsidR="0041331E" w:rsidRPr="00DF4981">
        <w:t xml:space="preserve">full-length </w:t>
      </w:r>
      <w:proofErr w:type="spellStart"/>
      <w:r w:rsidR="0041331E" w:rsidRPr="00DF4981">
        <w:t>rFVIII</w:t>
      </w:r>
      <w:proofErr w:type="spellEnd"/>
      <w:r w:rsidR="00A94FD5" w:rsidRPr="00DF4981">
        <w:t xml:space="preserve"> BHK</w:t>
      </w:r>
      <w:r w:rsidRPr="00DF4981">
        <w:t>.</w:t>
      </w:r>
      <w:r w:rsidR="00FF5033" w:rsidRPr="00DF4981">
        <w:t xml:space="preserve"> </w:t>
      </w:r>
      <w:r w:rsidRPr="00DF4981">
        <w:t xml:space="preserve">The explanation given by the sponsor, copied </w:t>
      </w:r>
      <w:r w:rsidR="00E00E5B" w:rsidRPr="00DF4981">
        <w:t>into</w:t>
      </w:r>
      <w:r w:rsidRPr="00DF4981">
        <w:t xml:space="preserve"> the CER</w:t>
      </w:r>
      <w:r w:rsidR="00E00E5B" w:rsidRPr="00DF4981">
        <w:t xml:space="preserve"> (Attachment 2)</w:t>
      </w:r>
      <w:r w:rsidRPr="00DF4981">
        <w:t>, is plausible</w:t>
      </w:r>
      <w:r w:rsidRPr="004411EA">
        <w:t>.</w:t>
      </w:r>
      <w:r w:rsidR="00FF5033">
        <w:t xml:space="preserve"> </w:t>
      </w:r>
      <w:r w:rsidRPr="004411EA">
        <w:t>At the 6 month time</w:t>
      </w:r>
      <w:r w:rsidR="00E00E5B">
        <w:t xml:space="preserve"> </w:t>
      </w:r>
      <w:r w:rsidRPr="004411EA">
        <w:t xml:space="preserve">point, PK results for </w:t>
      </w:r>
      <w:proofErr w:type="spellStart"/>
      <w:r w:rsidR="009C1E6B">
        <w:t>simoctocog</w:t>
      </w:r>
      <w:proofErr w:type="spellEnd"/>
      <w:r w:rsidR="009C1E6B">
        <w:t xml:space="preserve"> </w:t>
      </w:r>
      <w:r w:rsidR="00FC63A1">
        <w:t>alfa</w:t>
      </w:r>
      <w:r w:rsidRPr="004411EA">
        <w:t xml:space="preserve"> we</w:t>
      </w:r>
      <w:r w:rsidR="00E00E5B">
        <w:t>re broadly similar to those at V</w:t>
      </w:r>
      <w:r w:rsidRPr="004411EA">
        <w:t>isit 1.</w:t>
      </w:r>
      <w:r w:rsidR="00FF5033">
        <w:t xml:space="preserve"> </w:t>
      </w:r>
      <w:r w:rsidRPr="004411EA">
        <w:t xml:space="preserve">IVR was assessed at </w:t>
      </w:r>
      <w:r w:rsidR="00E00E5B">
        <w:t>V</w:t>
      </w:r>
      <w:r w:rsidRPr="004411EA">
        <w:t>isit 1, 3 months and 6 months.</w:t>
      </w:r>
      <w:r w:rsidR="00FF5033">
        <w:t xml:space="preserve"> </w:t>
      </w:r>
      <w:r w:rsidRPr="004411EA">
        <w:t xml:space="preserve">At the later time-points, IVR using the OS </w:t>
      </w:r>
      <w:r w:rsidR="00E00E5B">
        <w:t>assay was lower than at Visit 1,</w:t>
      </w:r>
      <w:r w:rsidRPr="004411EA">
        <w:t xml:space="preserve"> although the evaluator considered differences clinically unremarkable.</w:t>
      </w:r>
      <w:r w:rsidR="00FF5033">
        <w:t xml:space="preserve"> </w:t>
      </w:r>
      <w:r w:rsidRPr="004411EA">
        <w:t>In the follow-up study GENA-04 IVR was consistent to at least 15 months.</w:t>
      </w:r>
    </w:p>
    <w:p w:rsidR="006069D7" w:rsidRDefault="006069D7" w:rsidP="00E00E5B">
      <w:r w:rsidRPr="004411EA">
        <w:t xml:space="preserve">Differences in PK between children and adults are noted </w:t>
      </w:r>
      <w:r w:rsidR="00E00E5B">
        <w:t>in</w:t>
      </w:r>
      <w:r w:rsidRPr="004411EA">
        <w:t xml:space="preserve"> the CER; differences observed were consistent with previously observed differences in PK of FVIII products between adults and children</w:t>
      </w:r>
      <w:r w:rsidR="00FF25AE">
        <w:t>.</w:t>
      </w:r>
    </w:p>
    <w:p w:rsidR="006069D7" w:rsidRPr="004411EA" w:rsidRDefault="006069D7" w:rsidP="006069D7">
      <w:pPr>
        <w:pStyle w:val="Heading4"/>
        <w:tabs>
          <w:tab w:val="left" w:pos="1545"/>
        </w:tabs>
        <w:spacing w:before="0" w:after="120" w:line="240" w:lineRule="auto"/>
        <w:rPr>
          <w:rFonts w:asciiTheme="minorHAnsi" w:hAnsiTheme="minorHAnsi" w:cs="Calibri"/>
          <w:sz w:val="24"/>
          <w:szCs w:val="24"/>
        </w:rPr>
      </w:pPr>
      <w:r w:rsidRPr="004411EA">
        <w:rPr>
          <w:rFonts w:asciiTheme="minorHAnsi" w:hAnsiTheme="minorHAnsi" w:cs="Calibri"/>
          <w:sz w:val="24"/>
          <w:szCs w:val="24"/>
        </w:rPr>
        <w:t>Efficacy</w:t>
      </w:r>
    </w:p>
    <w:p w:rsidR="006069D7" w:rsidRDefault="006069D7" w:rsidP="00E00E5B">
      <w:r w:rsidRPr="004411EA">
        <w:t xml:space="preserve">Studies GENA-01, </w:t>
      </w:r>
      <w:r w:rsidR="00CA3F42">
        <w:t>GENA</w:t>
      </w:r>
      <w:r w:rsidRPr="004411EA">
        <w:t xml:space="preserve">-08 and </w:t>
      </w:r>
      <w:r w:rsidR="00CA3F42">
        <w:t>GENA</w:t>
      </w:r>
      <w:r w:rsidRPr="004411EA">
        <w:t>-03 were considered pivotal.</w:t>
      </w:r>
    </w:p>
    <w:p w:rsidR="006069D7" w:rsidRPr="004411EA" w:rsidRDefault="001963C4" w:rsidP="00E00E5B">
      <w:pPr>
        <w:pStyle w:val="Heading5"/>
      </w:pPr>
      <w:r>
        <w:lastRenderedPageBreak/>
        <w:t>GENA-01</w:t>
      </w:r>
    </w:p>
    <w:p w:rsidR="006069D7" w:rsidRPr="004411EA" w:rsidRDefault="006069D7" w:rsidP="00E00E5B">
      <w:r w:rsidRPr="004411EA">
        <w:t>GENA-01 enrolled 22 PTPs (≥150 EDs) 12</w:t>
      </w:r>
      <w:r w:rsidR="00E00E5B">
        <w:t xml:space="preserve"> to </w:t>
      </w:r>
      <w:r w:rsidRPr="004411EA">
        <w:t>65</w:t>
      </w:r>
      <w:r w:rsidR="00E00E5B">
        <w:t xml:space="preserve"> years </w:t>
      </w:r>
      <w:r w:rsidRPr="004411EA">
        <w:t xml:space="preserve">of age with severe </w:t>
      </w:r>
      <w:proofErr w:type="spellStart"/>
      <w:r w:rsidRPr="004411EA">
        <w:t>HmA</w:t>
      </w:r>
      <w:proofErr w:type="spellEnd"/>
      <w:r w:rsidRPr="004411EA">
        <w:t xml:space="preserve"> (FVIII</w:t>
      </w:r>
      <w:proofErr w:type="gramStart"/>
      <w:r w:rsidR="002F0BEA" w:rsidRPr="004411EA">
        <w:t>:C</w:t>
      </w:r>
      <w:proofErr w:type="gramEnd"/>
      <w:r w:rsidRPr="004411EA">
        <w:t xml:space="preserve"> ≤1%).</w:t>
      </w:r>
      <w:r w:rsidR="00FF5033">
        <w:t xml:space="preserve"> </w:t>
      </w:r>
      <w:r w:rsidRPr="004411EA">
        <w:t>Reference has been made to Part I (PK) above.</w:t>
      </w:r>
      <w:r w:rsidR="00FF5033">
        <w:t xml:space="preserve"> </w:t>
      </w:r>
      <w:r w:rsidRPr="004411EA">
        <w:t>In Part II (efficacy), patients completing Part I were followed for 6 months or until 50 EDs were reached, whichever came last.</w:t>
      </w:r>
      <w:r w:rsidR="00FF5033">
        <w:t xml:space="preserve"> </w:t>
      </w:r>
      <w:r w:rsidRPr="004411EA">
        <w:t>Patients with prior inhibitor activity were excluded.</w:t>
      </w:r>
    </w:p>
    <w:p w:rsidR="006069D7" w:rsidRPr="004411EA" w:rsidRDefault="006069D7" w:rsidP="00E00E5B">
      <w:r w:rsidRPr="004411EA">
        <w:t xml:space="preserve">Part II assessed efficacy of on-demand and surgical use of </w:t>
      </w:r>
      <w:proofErr w:type="spellStart"/>
      <w:r w:rsidR="009C1E6B">
        <w:t>simoctocog</w:t>
      </w:r>
      <w:proofErr w:type="spellEnd"/>
      <w:r w:rsidR="009C1E6B">
        <w:t xml:space="preserve"> </w:t>
      </w:r>
      <w:r w:rsidR="00FC63A1">
        <w:t>alfa</w:t>
      </w:r>
      <w:r w:rsidRPr="004411EA">
        <w:t>.</w:t>
      </w:r>
      <w:r w:rsidR="00FF5033">
        <w:t xml:space="preserve"> </w:t>
      </w:r>
      <w:r w:rsidRPr="004411EA">
        <w:t>It did not study prophylaxis (but short-term prophylaxis to prevent recurrent bleeding after a bleeding event [BE] was allowed).</w:t>
      </w:r>
      <w:r w:rsidR="00FF5033">
        <w:t xml:space="preserve"> </w:t>
      </w:r>
      <w:r w:rsidRPr="004411EA">
        <w:t xml:space="preserve">Dosages </w:t>
      </w:r>
      <w:r w:rsidR="00E00E5B">
        <w:t>used to treat BEs were standard</w:t>
      </w:r>
      <w:r w:rsidRPr="004411EA">
        <w:t>.</w:t>
      </w:r>
      <w:r w:rsidR="00FF5033">
        <w:t xml:space="preserve"> </w:t>
      </w:r>
      <w:r w:rsidRPr="004411EA">
        <w:t xml:space="preserve">Frequency and treatment of bleeds is described </w:t>
      </w:r>
      <w:r w:rsidR="00E00E5B">
        <w:t>in the</w:t>
      </w:r>
      <w:r w:rsidRPr="004411EA">
        <w:t xml:space="preserve"> CER </w:t>
      </w:r>
      <w:r w:rsidR="00E00E5B">
        <w:t>(Attachment 2)</w:t>
      </w:r>
      <w:r w:rsidRPr="004411EA">
        <w:t>.</w:t>
      </w:r>
      <w:r w:rsidR="00FF5033">
        <w:t xml:space="preserve"> </w:t>
      </w:r>
      <w:r w:rsidR="00E00E5B">
        <w:t xml:space="preserve">Efficacy was summarised in </w:t>
      </w:r>
      <w:r w:rsidR="002F0BEA">
        <w:t>the</w:t>
      </w:r>
      <w:r w:rsidR="00E00E5B">
        <w:t xml:space="preserve"> CER </w:t>
      </w:r>
      <w:r w:rsidRPr="004411EA">
        <w:t>as follows:</w:t>
      </w:r>
    </w:p>
    <w:p w:rsidR="006069D7" w:rsidRPr="004411EA" w:rsidRDefault="00E00E5B" w:rsidP="00E00E5B">
      <w:pPr>
        <w:pStyle w:val="TableTitle"/>
      </w:pPr>
      <w:bookmarkStart w:id="146" w:name="_Toc248202536"/>
      <w:proofErr w:type="gramStart"/>
      <w:r>
        <w:t xml:space="preserve">Table 18: </w:t>
      </w:r>
      <w:r w:rsidR="006069D7" w:rsidRPr="004411EA">
        <w:t>GENA-01 - Efficacy rating - severity of BE (number of BEs).</w:t>
      </w:r>
      <w:bookmarkEnd w:id="146"/>
      <w:proofErr w:type="gramEnd"/>
    </w:p>
    <w:tbl>
      <w:tblPr>
        <w:tblStyle w:val="TableTGAblue"/>
        <w:tblW w:w="0" w:type="auto"/>
        <w:tblLook w:val="04A0" w:firstRow="1" w:lastRow="0" w:firstColumn="1" w:lastColumn="0" w:noHBand="0" w:noVBand="1"/>
      </w:tblPr>
      <w:tblGrid>
        <w:gridCol w:w="1463"/>
        <w:gridCol w:w="1551"/>
        <w:gridCol w:w="1549"/>
        <w:gridCol w:w="1955"/>
        <w:gridCol w:w="2202"/>
      </w:tblGrid>
      <w:tr w:rsidR="006069D7" w:rsidRPr="004411EA" w:rsidTr="00E64C32">
        <w:trPr>
          <w:cnfStyle w:val="100000000000" w:firstRow="1" w:lastRow="0" w:firstColumn="0" w:lastColumn="0" w:oddVBand="0" w:evenVBand="0" w:oddHBand="0" w:evenHBand="0" w:firstRowFirstColumn="0" w:firstRowLastColumn="0" w:lastRowFirstColumn="0" w:lastRowLastColumn="0"/>
        </w:trPr>
        <w:tc>
          <w:tcPr>
            <w:tcW w:w="1381" w:type="dxa"/>
          </w:tcPr>
          <w:p w:rsidR="006069D7" w:rsidRPr="00E00E5B" w:rsidRDefault="00E64C32" w:rsidP="001963C4">
            <w:r>
              <w:t>Efficacy rating</w:t>
            </w:r>
          </w:p>
        </w:tc>
        <w:tc>
          <w:tcPr>
            <w:tcW w:w="1562" w:type="dxa"/>
          </w:tcPr>
          <w:p w:rsidR="006069D7" w:rsidRPr="00E00E5B" w:rsidRDefault="006069D7" w:rsidP="001963C4">
            <w:r w:rsidRPr="00E00E5B">
              <w:t>Any (n=986) *</w:t>
            </w:r>
          </w:p>
        </w:tc>
        <w:tc>
          <w:tcPr>
            <w:tcW w:w="1560" w:type="dxa"/>
          </w:tcPr>
          <w:p w:rsidR="006069D7" w:rsidRPr="00E00E5B" w:rsidRDefault="006069D7" w:rsidP="001963C4">
            <w:r w:rsidRPr="00E00E5B">
              <w:t>Minor (n=416)</w:t>
            </w:r>
            <w:r w:rsidR="00FF5033" w:rsidRPr="00E00E5B">
              <w:t xml:space="preserve">     </w:t>
            </w:r>
            <w:r w:rsidRPr="00E00E5B">
              <w:t xml:space="preserve"> </w:t>
            </w:r>
          </w:p>
        </w:tc>
        <w:tc>
          <w:tcPr>
            <w:tcW w:w="1984" w:type="dxa"/>
          </w:tcPr>
          <w:p w:rsidR="006069D7" w:rsidRPr="00E00E5B" w:rsidRDefault="006069D7" w:rsidP="001963C4">
            <w:r w:rsidRPr="00E00E5B">
              <w:t>Moderate</w:t>
            </w:r>
            <w:r w:rsidR="00FF5033" w:rsidRPr="00E00E5B">
              <w:t xml:space="preserve"> </w:t>
            </w:r>
            <w:r w:rsidRPr="00E00E5B">
              <w:t>to Major (n=566)</w:t>
            </w:r>
          </w:p>
        </w:tc>
        <w:tc>
          <w:tcPr>
            <w:tcW w:w="2233" w:type="dxa"/>
          </w:tcPr>
          <w:p w:rsidR="006069D7" w:rsidRPr="00E00E5B" w:rsidRDefault="006069D7" w:rsidP="001963C4">
            <w:r w:rsidRPr="00E00E5B">
              <w:t>Major to life-threatening (n=3)</w:t>
            </w:r>
          </w:p>
        </w:tc>
      </w:tr>
      <w:tr w:rsidR="006069D7" w:rsidRPr="004411EA" w:rsidTr="00E64C32">
        <w:tc>
          <w:tcPr>
            <w:tcW w:w="1381" w:type="dxa"/>
          </w:tcPr>
          <w:p w:rsidR="006069D7" w:rsidRPr="00E00E5B" w:rsidRDefault="006069D7" w:rsidP="001963C4">
            <w:r w:rsidRPr="00E00E5B">
              <w:t>Excellent</w:t>
            </w:r>
          </w:p>
        </w:tc>
        <w:tc>
          <w:tcPr>
            <w:tcW w:w="1562" w:type="dxa"/>
          </w:tcPr>
          <w:p w:rsidR="006069D7" w:rsidRPr="00E00E5B" w:rsidRDefault="006069D7" w:rsidP="001963C4">
            <w:r w:rsidRPr="00E00E5B">
              <w:rPr>
                <w:color w:val="000000"/>
              </w:rPr>
              <w:t>595 (60.3%)</w:t>
            </w:r>
          </w:p>
        </w:tc>
        <w:tc>
          <w:tcPr>
            <w:tcW w:w="1560" w:type="dxa"/>
          </w:tcPr>
          <w:p w:rsidR="006069D7" w:rsidRPr="00E00E5B" w:rsidRDefault="006069D7" w:rsidP="001963C4">
            <w:r w:rsidRPr="00E00E5B">
              <w:t>312 (75.0%)</w:t>
            </w:r>
          </w:p>
        </w:tc>
        <w:tc>
          <w:tcPr>
            <w:tcW w:w="1984" w:type="dxa"/>
          </w:tcPr>
          <w:p w:rsidR="006069D7" w:rsidRPr="00E00E5B" w:rsidRDefault="006069D7" w:rsidP="001963C4">
            <w:r w:rsidRPr="00E00E5B">
              <w:t>283 (50.0%)</w:t>
            </w:r>
          </w:p>
        </w:tc>
        <w:tc>
          <w:tcPr>
            <w:tcW w:w="2233" w:type="dxa"/>
          </w:tcPr>
          <w:p w:rsidR="006069D7" w:rsidRPr="00E00E5B" w:rsidRDefault="006069D7" w:rsidP="001963C4">
            <w:r w:rsidRPr="00E00E5B">
              <w:t>-</w:t>
            </w:r>
          </w:p>
        </w:tc>
      </w:tr>
      <w:tr w:rsidR="006069D7" w:rsidRPr="004411EA" w:rsidTr="00E64C32">
        <w:tc>
          <w:tcPr>
            <w:tcW w:w="1381" w:type="dxa"/>
          </w:tcPr>
          <w:p w:rsidR="006069D7" w:rsidRPr="00E00E5B" w:rsidRDefault="006069D7" w:rsidP="001963C4">
            <w:r w:rsidRPr="00E00E5B">
              <w:t>Good</w:t>
            </w:r>
          </w:p>
        </w:tc>
        <w:tc>
          <w:tcPr>
            <w:tcW w:w="1562" w:type="dxa"/>
          </w:tcPr>
          <w:p w:rsidR="006069D7" w:rsidRPr="00E00E5B" w:rsidRDefault="006069D7" w:rsidP="001963C4">
            <w:r w:rsidRPr="00E00E5B">
              <w:rPr>
                <w:color w:val="000000"/>
              </w:rPr>
              <w:t>336 (34.1%)</w:t>
            </w:r>
          </w:p>
        </w:tc>
        <w:tc>
          <w:tcPr>
            <w:tcW w:w="1560" w:type="dxa"/>
          </w:tcPr>
          <w:p w:rsidR="006069D7" w:rsidRPr="00E00E5B" w:rsidRDefault="006069D7" w:rsidP="001963C4">
            <w:r w:rsidRPr="00E00E5B">
              <w:t>98 (23.6%)</w:t>
            </w:r>
          </w:p>
        </w:tc>
        <w:tc>
          <w:tcPr>
            <w:tcW w:w="1984" w:type="dxa"/>
          </w:tcPr>
          <w:p w:rsidR="006069D7" w:rsidRPr="00E00E5B" w:rsidRDefault="006069D7" w:rsidP="001963C4">
            <w:r w:rsidRPr="00E00E5B">
              <w:t>236 (41.7%)</w:t>
            </w:r>
          </w:p>
        </w:tc>
        <w:tc>
          <w:tcPr>
            <w:tcW w:w="2233" w:type="dxa"/>
          </w:tcPr>
          <w:p w:rsidR="006069D7" w:rsidRPr="00E00E5B" w:rsidRDefault="006069D7" w:rsidP="001963C4">
            <w:r w:rsidRPr="00E00E5B">
              <w:t>2 (66.7%)</w:t>
            </w:r>
          </w:p>
        </w:tc>
      </w:tr>
      <w:tr w:rsidR="006069D7" w:rsidRPr="004411EA" w:rsidTr="00E64C32">
        <w:tc>
          <w:tcPr>
            <w:tcW w:w="1381" w:type="dxa"/>
          </w:tcPr>
          <w:p w:rsidR="006069D7" w:rsidRPr="00E00E5B" w:rsidRDefault="006069D7" w:rsidP="001963C4">
            <w:r w:rsidRPr="00E00E5B">
              <w:t>Moderate</w:t>
            </w:r>
          </w:p>
        </w:tc>
        <w:tc>
          <w:tcPr>
            <w:tcW w:w="1562" w:type="dxa"/>
          </w:tcPr>
          <w:p w:rsidR="006069D7" w:rsidRPr="00E00E5B" w:rsidRDefault="006069D7" w:rsidP="001963C4">
            <w:r w:rsidRPr="00E00E5B">
              <w:rPr>
                <w:color w:val="000000"/>
              </w:rPr>
              <w:t>54 (5.5%)</w:t>
            </w:r>
          </w:p>
        </w:tc>
        <w:tc>
          <w:tcPr>
            <w:tcW w:w="1560" w:type="dxa"/>
          </w:tcPr>
          <w:p w:rsidR="006069D7" w:rsidRPr="00E00E5B" w:rsidRDefault="006069D7" w:rsidP="001963C4">
            <w:r w:rsidRPr="00E00E5B">
              <w:t>6 (1.4%)</w:t>
            </w:r>
          </w:p>
        </w:tc>
        <w:tc>
          <w:tcPr>
            <w:tcW w:w="1984" w:type="dxa"/>
          </w:tcPr>
          <w:p w:rsidR="006069D7" w:rsidRPr="00E00E5B" w:rsidRDefault="006069D7" w:rsidP="001963C4">
            <w:r w:rsidRPr="00E00E5B">
              <w:t>47 (8.3%)</w:t>
            </w:r>
          </w:p>
        </w:tc>
        <w:tc>
          <w:tcPr>
            <w:tcW w:w="2233" w:type="dxa"/>
          </w:tcPr>
          <w:p w:rsidR="006069D7" w:rsidRPr="00E00E5B" w:rsidRDefault="006069D7" w:rsidP="001963C4">
            <w:r w:rsidRPr="00E00E5B">
              <w:t>1 (33.3%)</w:t>
            </w:r>
          </w:p>
        </w:tc>
      </w:tr>
      <w:tr w:rsidR="006069D7" w:rsidRPr="004411EA" w:rsidTr="00E64C32">
        <w:tc>
          <w:tcPr>
            <w:tcW w:w="1381" w:type="dxa"/>
          </w:tcPr>
          <w:p w:rsidR="006069D7" w:rsidRPr="00E00E5B" w:rsidRDefault="006069D7" w:rsidP="001963C4">
            <w:r w:rsidRPr="00E00E5B">
              <w:t>None</w:t>
            </w:r>
          </w:p>
        </w:tc>
        <w:tc>
          <w:tcPr>
            <w:tcW w:w="1562" w:type="dxa"/>
          </w:tcPr>
          <w:p w:rsidR="006069D7" w:rsidRPr="00E00E5B" w:rsidRDefault="006069D7" w:rsidP="001963C4">
            <w:r w:rsidRPr="00E00E5B">
              <w:rPr>
                <w:color w:val="000000"/>
              </w:rPr>
              <w:t>--</w:t>
            </w:r>
          </w:p>
        </w:tc>
        <w:tc>
          <w:tcPr>
            <w:tcW w:w="1560" w:type="dxa"/>
          </w:tcPr>
          <w:p w:rsidR="006069D7" w:rsidRPr="00E00E5B" w:rsidRDefault="006069D7" w:rsidP="001963C4">
            <w:r w:rsidRPr="00E00E5B">
              <w:t>-</w:t>
            </w:r>
          </w:p>
        </w:tc>
        <w:tc>
          <w:tcPr>
            <w:tcW w:w="1984" w:type="dxa"/>
          </w:tcPr>
          <w:p w:rsidR="006069D7" w:rsidRPr="00E00E5B" w:rsidRDefault="006069D7" w:rsidP="001963C4">
            <w:r w:rsidRPr="00E00E5B">
              <w:t xml:space="preserve">- </w:t>
            </w:r>
          </w:p>
        </w:tc>
        <w:tc>
          <w:tcPr>
            <w:tcW w:w="2233" w:type="dxa"/>
          </w:tcPr>
          <w:p w:rsidR="006069D7" w:rsidRPr="00E00E5B" w:rsidRDefault="006069D7" w:rsidP="001963C4">
            <w:r w:rsidRPr="00E00E5B">
              <w:t>-</w:t>
            </w:r>
          </w:p>
        </w:tc>
      </w:tr>
      <w:tr w:rsidR="006069D7" w:rsidRPr="004411EA" w:rsidTr="00E64C32">
        <w:tc>
          <w:tcPr>
            <w:tcW w:w="1381" w:type="dxa"/>
          </w:tcPr>
          <w:p w:rsidR="006069D7" w:rsidRPr="00E00E5B" w:rsidRDefault="006069D7" w:rsidP="001963C4">
            <w:r w:rsidRPr="00E00E5B">
              <w:t xml:space="preserve">Missing </w:t>
            </w:r>
          </w:p>
        </w:tc>
        <w:tc>
          <w:tcPr>
            <w:tcW w:w="1562" w:type="dxa"/>
          </w:tcPr>
          <w:p w:rsidR="006069D7" w:rsidRPr="00E00E5B" w:rsidRDefault="006069D7" w:rsidP="001963C4">
            <w:r w:rsidRPr="00E00E5B">
              <w:rPr>
                <w:color w:val="000000"/>
              </w:rPr>
              <w:t>1 (0.1%)</w:t>
            </w:r>
          </w:p>
        </w:tc>
        <w:tc>
          <w:tcPr>
            <w:tcW w:w="1560" w:type="dxa"/>
          </w:tcPr>
          <w:p w:rsidR="006069D7" w:rsidRPr="00E00E5B" w:rsidRDefault="006069D7" w:rsidP="001963C4">
            <w:r w:rsidRPr="00E00E5B">
              <w:t>-</w:t>
            </w:r>
          </w:p>
        </w:tc>
        <w:tc>
          <w:tcPr>
            <w:tcW w:w="1984" w:type="dxa"/>
          </w:tcPr>
          <w:p w:rsidR="006069D7" w:rsidRPr="00E00E5B" w:rsidRDefault="006069D7" w:rsidP="001963C4">
            <w:r w:rsidRPr="00E00E5B">
              <w:t xml:space="preserve">- </w:t>
            </w:r>
          </w:p>
        </w:tc>
        <w:tc>
          <w:tcPr>
            <w:tcW w:w="2233" w:type="dxa"/>
          </w:tcPr>
          <w:p w:rsidR="006069D7" w:rsidRPr="00E00E5B" w:rsidRDefault="006069D7" w:rsidP="001963C4">
            <w:r w:rsidRPr="00E00E5B">
              <w:t xml:space="preserve">- </w:t>
            </w:r>
          </w:p>
        </w:tc>
      </w:tr>
    </w:tbl>
    <w:p w:rsidR="006069D7" w:rsidRPr="004411EA" w:rsidRDefault="006069D7" w:rsidP="001963C4">
      <w:pPr>
        <w:pStyle w:val="TableDescription"/>
      </w:pPr>
      <w:r w:rsidRPr="004411EA">
        <w:t xml:space="preserve">* BEs = 986 (severity rating for 1 event was missing). </w:t>
      </w:r>
    </w:p>
    <w:p w:rsidR="006069D7" w:rsidRPr="004411EA" w:rsidRDefault="006069D7" w:rsidP="00E00E5B">
      <w:r w:rsidRPr="004411EA">
        <w:t xml:space="preserve">Increasing severity of </w:t>
      </w:r>
      <w:r w:rsidR="00E64C32">
        <w:t>bleeds</w:t>
      </w:r>
      <w:r w:rsidRPr="004411EA">
        <w:t xml:space="preserve"> was matched by a shift towards lower efficacy, although there were few ‘major to life-threatening’ BEs (the three such BEs are described on CER</w:t>
      </w:r>
      <w:r w:rsidR="00E00E5B">
        <w:t xml:space="preserve"> Attachment 2</w:t>
      </w:r>
      <w:r w:rsidRPr="004411EA">
        <w:t>).</w:t>
      </w:r>
      <w:r w:rsidR="00FF5033">
        <w:t xml:space="preserve"> </w:t>
      </w:r>
      <w:r w:rsidR="00E00E5B">
        <w:t xml:space="preserve">Some </w:t>
      </w:r>
      <w:r w:rsidRPr="004411EA">
        <w:t xml:space="preserve">96.8% of BEs </w:t>
      </w:r>
      <w:proofErr w:type="gramStart"/>
      <w:r w:rsidRPr="004411EA">
        <w:t>were</w:t>
      </w:r>
      <w:proofErr w:type="gramEnd"/>
      <w:r w:rsidRPr="004411EA">
        <w:t xml:space="preserve"> treated successfully with 1</w:t>
      </w:r>
      <w:r w:rsidR="00E00E5B">
        <w:t xml:space="preserve"> to </w:t>
      </w:r>
      <w:r w:rsidRPr="004411EA">
        <w:t>2 infusions.</w:t>
      </w:r>
      <w:r w:rsidR="00FF5033">
        <w:t xml:space="preserve"> </w:t>
      </w:r>
      <w:r w:rsidRPr="004411EA">
        <w:t>Of individual infusions (n=1041), 90.4% were considered as having excellent or good efficacy, 8.5% as having moderate efficacy and 0.9% (n=9) as having no efficacy.</w:t>
      </w:r>
      <w:r w:rsidR="00FF5033">
        <w:t xml:space="preserve"> </w:t>
      </w:r>
      <w:r w:rsidRPr="004411EA">
        <w:t>The infusions with no efficacy were in two individual patients.</w:t>
      </w:r>
    </w:p>
    <w:p w:rsidR="006069D7" w:rsidRDefault="006069D7" w:rsidP="00E00E5B">
      <w:r w:rsidRPr="004411EA">
        <w:t>Two patients underwent surgery (1 major, 1 minor).</w:t>
      </w:r>
      <w:r w:rsidR="00FF5033">
        <w:t xml:space="preserve"> </w:t>
      </w:r>
      <w:r w:rsidRPr="004411EA">
        <w:t>There was no indication of poor haemostatic control in either case.</w:t>
      </w:r>
    </w:p>
    <w:p w:rsidR="006069D7" w:rsidRPr="00E00E5B" w:rsidRDefault="006069D7" w:rsidP="00E00E5B">
      <w:pPr>
        <w:pStyle w:val="Heading5"/>
      </w:pPr>
      <w:r w:rsidRPr="004411EA">
        <w:t>GENA-08</w:t>
      </w:r>
    </w:p>
    <w:p w:rsidR="006069D7" w:rsidRPr="004411EA" w:rsidRDefault="006069D7" w:rsidP="00E00E5B">
      <w:r w:rsidRPr="004411EA">
        <w:t>GENA-08 enrolled 32 PTPs (≥150 EDs) 18</w:t>
      </w:r>
      <w:r w:rsidR="00E00E5B">
        <w:t xml:space="preserve"> to </w:t>
      </w:r>
      <w:r w:rsidRPr="004411EA">
        <w:t>75</w:t>
      </w:r>
      <w:r w:rsidR="00E00E5B">
        <w:t xml:space="preserve"> years </w:t>
      </w:r>
      <w:r w:rsidRPr="004411EA">
        <w:t xml:space="preserve">of age with severe </w:t>
      </w:r>
      <w:proofErr w:type="spellStart"/>
      <w:r w:rsidRPr="004411EA">
        <w:t>HmA</w:t>
      </w:r>
      <w:proofErr w:type="spellEnd"/>
      <w:r w:rsidRPr="004411EA">
        <w:t xml:space="preserve"> (FVIII</w:t>
      </w:r>
      <w:r w:rsidR="002F0BEA" w:rsidRPr="004411EA">
        <w:t>: C</w:t>
      </w:r>
      <w:r w:rsidRPr="004411EA">
        <w:t xml:space="preserve"> ≤1%).</w:t>
      </w:r>
      <w:r w:rsidR="00FF5033">
        <w:t xml:space="preserve"> </w:t>
      </w:r>
      <w:r w:rsidRPr="004411EA">
        <w:t>The study assessed efficacy in prophylaxis, on-demand (</w:t>
      </w:r>
      <w:r w:rsidR="00E00E5B">
        <w:t>that is,</w:t>
      </w:r>
      <w:r w:rsidRPr="004411EA">
        <w:t xml:space="preserve"> breakthrough BEs while on prophylaxis) and surgical settings.</w:t>
      </w:r>
      <w:r w:rsidR="00FF5033">
        <w:t xml:space="preserve"> </w:t>
      </w:r>
      <w:r w:rsidRPr="004411EA">
        <w:t xml:space="preserve">Treatment was to 6 months / 50+ </w:t>
      </w:r>
      <w:proofErr w:type="spellStart"/>
      <w:r w:rsidRPr="004411EA">
        <w:t>EDs.</w:t>
      </w:r>
      <w:proofErr w:type="spellEnd"/>
      <w:r w:rsidR="00FF5033">
        <w:t xml:space="preserve"> </w:t>
      </w:r>
      <w:r w:rsidRPr="004411EA">
        <w:t>Prophylaxis involved 30-40 IU/kg every other day; two dose escalations of 5 IU/kg were allowed in case of an inadequate response (2+ spontaneous BEs in a month).</w:t>
      </w:r>
    </w:p>
    <w:p w:rsidR="006069D7" w:rsidRPr="004411EA" w:rsidRDefault="006069D7" w:rsidP="00E00E5B">
      <w:r w:rsidRPr="004411EA">
        <w:t>No BEs were reported in 16/32 subjects.</w:t>
      </w:r>
      <w:r w:rsidR="00FF5033">
        <w:t xml:space="preserve"> </w:t>
      </w:r>
      <w:r w:rsidRPr="004411EA">
        <w:t>11/32 subjects reported 1 BE in the study; 5/32 subjects reported 5-8 BEs.</w:t>
      </w:r>
      <w:r w:rsidR="00FF5033">
        <w:t xml:space="preserve"> </w:t>
      </w:r>
      <w:r w:rsidRPr="004411EA">
        <w:t xml:space="preserve">Excluding BEs during surgical prophylaxis and BEs prior to prophylactic treatment, the mean monthly bleeding rate per patient was 0.188 (median 0.074); </w:t>
      </w:r>
      <w:r w:rsidR="00E64C32">
        <w:t>the Delegate’s</w:t>
      </w:r>
      <w:r w:rsidRPr="004411EA">
        <w:t xml:space="preserve"> calculation of the annualised bleeding rate is therefore 2.3 (mean) and 0.9 (median).</w:t>
      </w:r>
      <w:r w:rsidR="00FF5033">
        <w:t xml:space="preserve"> </w:t>
      </w:r>
      <w:r w:rsidRPr="004411EA">
        <w:t>Comparison with pre-study outcomes is described on CER and copied below:</w:t>
      </w:r>
    </w:p>
    <w:p w:rsidR="006069D7" w:rsidRPr="004411EA" w:rsidRDefault="00E00E5B" w:rsidP="00E00E5B">
      <w:pPr>
        <w:pStyle w:val="TableTitle"/>
      </w:pPr>
      <w:bookmarkStart w:id="147" w:name="_Toc248202541"/>
      <w:r>
        <w:t xml:space="preserve">Table 19: </w:t>
      </w:r>
      <w:r w:rsidR="006069D7" w:rsidRPr="004411EA">
        <w:t>GENA-08 - Historical (pre-study) and on-study (study) data (</w:t>
      </w:r>
      <w:proofErr w:type="spellStart"/>
      <w:r w:rsidR="006069D7" w:rsidRPr="004411EA">
        <w:t>mean±SD</w:t>
      </w:r>
      <w:proofErr w:type="spellEnd"/>
      <w:r w:rsidR="006069D7" w:rsidRPr="004411EA">
        <w:t xml:space="preserve">) for monthly BE rate and prophylactic dosage in patients in the study categorised by </w:t>
      </w:r>
      <w:r w:rsidR="006069D7" w:rsidRPr="004411EA">
        <w:lastRenderedPageBreak/>
        <w:t>patients who received previous prophylaxis, patients who received</w:t>
      </w:r>
      <w:r w:rsidR="00FF5033">
        <w:t xml:space="preserve"> </w:t>
      </w:r>
      <w:r w:rsidR="006069D7" w:rsidRPr="004411EA">
        <w:t>previous on-demand treatment and all patients combined; PROPH population, n=32.</w:t>
      </w:r>
      <w:bookmarkEnd w:id="147"/>
    </w:p>
    <w:tbl>
      <w:tblPr>
        <w:tblStyle w:val="TableTGAblue"/>
        <w:tblW w:w="9322" w:type="dxa"/>
        <w:tblLook w:val="04A0" w:firstRow="1" w:lastRow="0" w:firstColumn="1" w:lastColumn="0" w:noHBand="0" w:noVBand="1"/>
      </w:tblPr>
      <w:tblGrid>
        <w:gridCol w:w="1715"/>
        <w:gridCol w:w="800"/>
        <w:gridCol w:w="1837"/>
        <w:gridCol w:w="1621"/>
        <w:gridCol w:w="1865"/>
        <w:gridCol w:w="1743"/>
      </w:tblGrid>
      <w:tr w:rsidR="006069D7" w:rsidRPr="004411EA" w:rsidTr="00E64C32">
        <w:trPr>
          <w:cnfStyle w:val="100000000000" w:firstRow="1" w:lastRow="0" w:firstColumn="0" w:lastColumn="0" w:oddVBand="0" w:evenVBand="0" w:oddHBand="0" w:evenHBand="0" w:firstRowFirstColumn="0" w:firstRowLastColumn="0" w:lastRowFirstColumn="0" w:lastRowLastColumn="0"/>
        </w:trPr>
        <w:tc>
          <w:tcPr>
            <w:tcW w:w="1809" w:type="dxa"/>
          </w:tcPr>
          <w:p w:rsidR="006069D7" w:rsidRPr="00E00E5B" w:rsidRDefault="006069D7" w:rsidP="001963C4">
            <w:r w:rsidRPr="00E00E5B">
              <w:t xml:space="preserve">Patient group </w:t>
            </w:r>
          </w:p>
        </w:tc>
        <w:tc>
          <w:tcPr>
            <w:tcW w:w="778" w:type="dxa"/>
          </w:tcPr>
          <w:p w:rsidR="006069D7" w:rsidRPr="00E00E5B" w:rsidRDefault="006069D7" w:rsidP="001963C4"/>
        </w:tc>
        <w:tc>
          <w:tcPr>
            <w:tcW w:w="3354" w:type="dxa"/>
            <w:gridSpan w:val="2"/>
          </w:tcPr>
          <w:p w:rsidR="006069D7" w:rsidRPr="00E00E5B" w:rsidRDefault="006069D7" w:rsidP="001963C4">
            <w:r w:rsidRPr="00E00E5B">
              <w:t>PROPH dose (IU/kg/month)</w:t>
            </w:r>
          </w:p>
        </w:tc>
        <w:tc>
          <w:tcPr>
            <w:tcW w:w="3381" w:type="dxa"/>
            <w:gridSpan w:val="2"/>
          </w:tcPr>
          <w:p w:rsidR="006069D7" w:rsidRPr="00E00E5B" w:rsidRDefault="006069D7" w:rsidP="001963C4">
            <w:r w:rsidRPr="00E00E5B">
              <w:t>BEs/month</w:t>
            </w:r>
          </w:p>
        </w:tc>
      </w:tr>
      <w:tr w:rsidR="006069D7" w:rsidRPr="004411EA" w:rsidTr="00E64C32">
        <w:tc>
          <w:tcPr>
            <w:tcW w:w="1809" w:type="dxa"/>
          </w:tcPr>
          <w:p w:rsidR="006069D7" w:rsidRPr="00E00E5B" w:rsidRDefault="006069D7" w:rsidP="001963C4"/>
        </w:tc>
        <w:tc>
          <w:tcPr>
            <w:tcW w:w="778" w:type="dxa"/>
          </w:tcPr>
          <w:p w:rsidR="006069D7" w:rsidRPr="00E00E5B" w:rsidRDefault="006069D7" w:rsidP="001963C4">
            <w:r w:rsidRPr="00E00E5B">
              <w:t>n</w:t>
            </w:r>
          </w:p>
        </w:tc>
        <w:tc>
          <w:tcPr>
            <w:tcW w:w="1830" w:type="dxa"/>
          </w:tcPr>
          <w:p w:rsidR="006069D7" w:rsidRPr="00E00E5B" w:rsidRDefault="006069D7" w:rsidP="001963C4">
            <w:r w:rsidRPr="00E00E5B">
              <w:t>Historical</w:t>
            </w:r>
          </w:p>
        </w:tc>
        <w:tc>
          <w:tcPr>
            <w:tcW w:w="1524" w:type="dxa"/>
          </w:tcPr>
          <w:p w:rsidR="006069D7" w:rsidRPr="00E00E5B" w:rsidRDefault="006069D7" w:rsidP="001963C4">
            <w:r w:rsidRPr="00E00E5B">
              <w:t>Study</w:t>
            </w:r>
          </w:p>
        </w:tc>
        <w:tc>
          <w:tcPr>
            <w:tcW w:w="1746" w:type="dxa"/>
          </w:tcPr>
          <w:p w:rsidR="006069D7" w:rsidRPr="00E00E5B" w:rsidRDefault="006069D7" w:rsidP="001963C4">
            <w:r w:rsidRPr="00E00E5B">
              <w:t>Historical</w:t>
            </w:r>
          </w:p>
        </w:tc>
        <w:tc>
          <w:tcPr>
            <w:tcW w:w="1635" w:type="dxa"/>
          </w:tcPr>
          <w:p w:rsidR="006069D7" w:rsidRPr="00E00E5B" w:rsidRDefault="006069D7" w:rsidP="001963C4">
            <w:r w:rsidRPr="00E00E5B">
              <w:t>Study</w:t>
            </w:r>
          </w:p>
        </w:tc>
      </w:tr>
      <w:tr w:rsidR="006069D7" w:rsidRPr="004411EA" w:rsidTr="00E64C32">
        <w:tc>
          <w:tcPr>
            <w:tcW w:w="1809" w:type="dxa"/>
          </w:tcPr>
          <w:p w:rsidR="006069D7" w:rsidRPr="00E00E5B" w:rsidRDefault="006069D7" w:rsidP="001963C4">
            <w:r w:rsidRPr="00E00E5B">
              <w:t>Previous prophylaxis, patients</w:t>
            </w:r>
          </w:p>
        </w:tc>
        <w:tc>
          <w:tcPr>
            <w:tcW w:w="778" w:type="dxa"/>
          </w:tcPr>
          <w:p w:rsidR="006069D7" w:rsidRPr="00E00E5B" w:rsidRDefault="006069D7" w:rsidP="001963C4">
            <w:r w:rsidRPr="00E00E5B">
              <w:t>21</w:t>
            </w:r>
          </w:p>
        </w:tc>
        <w:tc>
          <w:tcPr>
            <w:tcW w:w="1830" w:type="dxa"/>
          </w:tcPr>
          <w:p w:rsidR="006069D7" w:rsidRPr="00E00E5B" w:rsidRDefault="006069D7" w:rsidP="001963C4">
            <w:r w:rsidRPr="00E00E5B">
              <w:t>292.6±117.1</w:t>
            </w:r>
          </w:p>
        </w:tc>
        <w:tc>
          <w:tcPr>
            <w:tcW w:w="1524" w:type="dxa"/>
          </w:tcPr>
          <w:p w:rsidR="006069D7" w:rsidRPr="00E00E5B" w:rsidRDefault="006069D7" w:rsidP="001963C4">
            <w:r w:rsidRPr="00E00E5B">
              <w:t>451.2±73.4</w:t>
            </w:r>
          </w:p>
        </w:tc>
        <w:tc>
          <w:tcPr>
            <w:tcW w:w="1746" w:type="dxa"/>
          </w:tcPr>
          <w:p w:rsidR="006069D7" w:rsidRPr="00E00E5B" w:rsidRDefault="006069D7" w:rsidP="001963C4">
            <w:r w:rsidRPr="00E00E5B">
              <w:t>0.540±0.927</w:t>
            </w:r>
          </w:p>
        </w:tc>
        <w:tc>
          <w:tcPr>
            <w:tcW w:w="1635" w:type="dxa"/>
          </w:tcPr>
          <w:p w:rsidR="006069D7" w:rsidRPr="00E00E5B" w:rsidRDefault="006069D7" w:rsidP="001963C4">
            <w:r w:rsidRPr="00E00E5B">
              <w:t>0.263±0.354</w:t>
            </w:r>
          </w:p>
        </w:tc>
      </w:tr>
      <w:tr w:rsidR="006069D7" w:rsidRPr="004411EA" w:rsidTr="00E64C32">
        <w:tc>
          <w:tcPr>
            <w:tcW w:w="1809" w:type="dxa"/>
          </w:tcPr>
          <w:p w:rsidR="006069D7" w:rsidRPr="00E00E5B" w:rsidRDefault="006069D7" w:rsidP="001963C4">
            <w:r w:rsidRPr="00E00E5B">
              <w:t>Previous on-demand, patients</w:t>
            </w:r>
          </w:p>
        </w:tc>
        <w:tc>
          <w:tcPr>
            <w:tcW w:w="778" w:type="dxa"/>
          </w:tcPr>
          <w:p w:rsidR="006069D7" w:rsidRPr="00E00E5B" w:rsidRDefault="006069D7" w:rsidP="001963C4">
            <w:r w:rsidRPr="00E00E5B">
              <w:t>11</w:t>
            </w:r>
          </w:p>
        </w:tc>
        <w:tc>
          <w:tcPr>
            <w:tcW w:w="1830" w:type="dxa"/>
          </w:tcPr>
          <w:p w:rsidR="006069D7" w:rsidRPr="00E00E5B" w:rsidRDefault="006069D7" w:rsidP="001963C4">
            <w:r w:rsidRPr="00E00E5B">
              <w:t>-</w:t>
            </w:r>
          </w:p>
        </w:tc>
        <w:tc>
          <w:tcPr>
            <w:tcW w:w="1524" w:type="dxa"/>
          </w:tcPr>
          <w:p w:rsidR="006069D7" w:rsidRPr="00E00E5B" w:rsidRDefault="006069D7" w:rsidP="001963C4">
            <w:r w:rsidRPr="00E00E5B">
              <w:t>494.6±33.7</w:t>
            </w:r>
          </w:p>
        </w:tc>
        <w:tc>
          <w:tcPr>
            <w:tcW w:w="1746" w:type="dxa"/>
          </w:tcPr>
          <w:p w:rsidR="006069D7" w:rsidRPr="00E00E5B" w:rsidRDefault="006069D7" w:rsidP="001963C4">
            <w:r w:rsidRPr="00E00E5B">
              <w:t>3.924±2.845</w:t>
            </w:r>
          </w:p>
        </w:tc>
        <w:tc>
          <w:tcPr>
            <w:tcW w:w="1635" w:type="dxa"/>
          </w:tcPr>
          <w:p w:rsidR="006069D7" w:rsidRPr="00E00E5B" w:rsidRDefault="006069D7" w:rsidP="001963C4">
            <w:r w:rsidRPr="00E00E5B">
              <w:t>0.043±0.074</w:t>
            </w:r>
          </w:p>
        </w:tc>
      </w:tr>
      <w:tr w:rsidR="006069D7" w:rsidRPr="004411EA" w:rsidTr="00E64C32">
        <w:tc>
          <w:tcPr>
            <w:tcW w:w="1809" w:type="dxa"/>
          </w:tcPr>
          <w:p w:rsidR="006069D7" w:rsidRPr="00E00E5B" w:rsidRDefault="006069D7" w:rsidP="001963C4">
            <w:r w:rsidRPr="00E00E5B">
              <w:t>All patients</w:t>
            </w:r>
          </w:p>
        </w:tc>
        <w:tc>
          <w:tcPr>
            <w:tcW w:w="778" w:type="dxa"/>
          </w:tcPr>
          <w:p w:rsidR="006069D7" w:rsidRPr="00E00E5B" w:rsidRDefault="006069D7" w:rsidP="001963C4">
            <w:r w:rsidRPr="00E00E5B">
              <w:t>32</w:t>
            </w:r>
          </w:p>
        </w:tc>
        <w:tc>
          <w:tcPr>
            <w:tcW w:w="1830" w:type="dxa"/>
          </w:tcPr>
          <w:p w:rsidR="006069D7" w:rsidRPr="00E00E5B" w:rsidRDefault="006069D7" w:rsidP="001963C4">
            <w:r w:rsidRPr="00E00E5B">
              <w:t>292.6±117.1*</w:t>
            </w:r>
          </w:p>
        </w:tc>
        <w:tc>
          <w:tcPr>
            <w:tcW w:w="1524" w:type="dxa"/>
          </w:tcPr>
          <w:p w:rsidR="006069D7" w:rsidRPr="00E00E5B" w:rsidRDefault="006069D7" w:rsidP="001963C4">
            <w:r w:rsidRPr="00E00E5B">
              <w:t>466.1±65.5</w:t>
            </w:r>
          </w:p>
        </w:tc>
        <w:tc>
          <w:tcPr>
            <w:tcW w:w="1746" w:type="dxa"/>
          </w:tcPr>
          <w:p w:rsidR="006069D7" w:rsidRPr="00E00E5B" w:rsidRDefault="006069D7" w:rsidP="001963C4">
            <w:r w:rsidRPr="00E00E5B">
              <w:t>1.703±2.4152</w:t>
            </w:r>
          </w:p>
        </w:tc>
        <w:tc>
          <w:tcPr>
            <w:tcW w:w="1635" w:type="dxa"/>
          </w:tcPr>
          <w:p w:rsidR="006069D7" w:rsidRPr="00E00E5B" w:rsidRDefault="006069D7" w:rsidP="001963C4">
            <w:r w:rsidRPr="00E00E5B">
              <w:t>0.188±0.307</w:t>
            </w:r>
          </w:p>
        </w:tc>
      </w:tr>
    </w:tbl>
    <w:p w:rsidR="006069D7" w:rsidRPr="004411EA" w:rsidRDefault="006069D7" w:rsidP="001963C4">
      <w:pPr>
        <w:pStyle w:val="TableDescription"/>
      </w:pPr>
      <w:r w:rsidRPr="004411EA">
        <w:t>* Only patients who had received prophylaxis prior to the study were considered for this calculation. BE = bleeding episode; IU = international unit; PROPH = study population of patients receiving prophylaxis.</w:t>
      </w:r>
    </w:p>
    <w:p w:rsidR="006069D7" w:rsidRPr="004411EA" w:rsidRDefault="006069D7" w:rsidP="00E00E5B">
      <w:r w:rsidRPr="004411EA">
        <w:t>While dose increased, so did efficacy.</w:t>
      </w:r>
      <w:r w:rsidR="00FF5033">
        <w:t xml:space="preserve"> </w:t>
      </w:r>
      <w:r w:rsidRPr="004411EA">
        <w:t>A patient was identified with a prior low BE rate, where the BE frequency was 10</w:t>
      </w:r>
      <w:r w:rsidR="00E00E5B">
        <w:t xml:space="preserve"> </w:t>
      </w:r>
      <w:r w:rsidRPr="004411EA">
        <w:t>fold higher on-study (4 of the 5 BEs were traumatic).</w:t>
      </w:r>
      <w:r w:rsidR="00FF5033">
        <w:t xml:space="preserve"> </w:t>
      </w:r>
      <w:r w:rsidRPr="004411EA">
        <w:t xml:space="preserve">Efficacy of </w:t>
      </w:r>
      <w:proofErr w:type="spellStart"/>
      <w:r w:rsidR="009C1E6B">
        <w:t>simoctocog</w:t>
      </w:r>
      <w:proofErr w:type="spellEnd"/>
      <w:r w:rsidR="009C1E6B">
        <w:t xml:space="preserve"> </w:t>
      </w:r>
      <w:r w:rsidR="00FC63A1">
        <w:t>alfa</w:t>
      </w:r>
      <w:r w:rsidRPr="004411EA">
        <w:t xml:space="preserve"> in treating breakthrough BEs was acceptable, with a median of 1 infusion required (3 subject required 6- 12 infusions).</w:t>
      </w:r>
    </w:p>
    <w:p w:rsidR="006069D7" w:rsidRDefault="006069D7" w:rsidP="00E00E5B">
      <w:r w:rsidRPr="004411EA">
        <w:t xml:space="preserve">There were five surgical procedures in 5 patients where ≥1 dose of </w:t>
      </w:r>
      <w:proofErr w:type="spellStart"/>
      <w:r w:rsidR="009C1E6B">
        <w:t>simoctocog</w:t>
      </w:r>
      <w:proofErr w:type="spellEnd"/>
      <w:r w:rsidR="009C1E6B">
        <w:t xml:space="preserve"> </w:t>
      </w:r>
      <w:r w:rsidR="00FC63A1">
        <w:t>alfa</w:t>
      </w:r>
      <w:r w:rsidRPr="004411EA">
        <w:t xml:space="preserve"> was given; 4 procedures were major.</w:t>
      </w:r>
      <w:r w:rsidR="00FF5033">
        <w:t xml:space="preserve"> </w:t>
      </w:r>
      <w:r w:rsidRPr="004411EA">
        <w:t>Efficacy in one joint arthroscopy (‘major’) was rated as moderate – requiring 25 infusions – after intra-operative assessment of good efficacy; but otherwise efficacy was rated as excellent.</w:t>
      </w:r>
    </w:p>
    <w:p w:rsidR="006069D7" w:rsidRPr="004411EA" w:rsidRDefault="001963C4" w:rsidP="006069D7">
      <w:pPr>
        <w:pStyle w:val="Heading5"/>
        <w:spacing w:before="0" w:line="240" w:lineRule="auto"/>
        <w:rPr>
          <w:rFonts w:asciiTheme="minorHAnsi" w:hAnsiTheme="minorHAnsi"/>
          <w:sz w:val="24"/>
          <w:szCs w:val="24"/>
        </w:rPr>
      </w:pPr>
      <w:r>
        <w:rPr>
          <w:rFonts w:asciiTheme="minorHAnsi" w:hAnsiTheme="minorHAnsi"/>
          <w:sz w:val="24"/>
          <w:szCs w:val="24"/>
        </w:rPr>
        <w:t>GENA-03</w:t>
      </w:r>
    </w:p>
    <w:p w:rsidR="006069D7" w:rsidRPr="004411EA" w:rsidRDefault="006069D7" w:rsidP="00E00E5B">
      <w:r w:rsidRPr="004411EA">
        <w:t xml:space="preserve">GENA-03 enrolled 29 patients </w:t>
      </w:r>
      <w:r w:rsidR="00E64C32">
        <w:t xml:space="preserve">aged </w:t>
      </w:r>
      <w:r w:rsidRPr="004411EA">
        <w:t>2</w:t>
      </w:r>
      <w:r w:rsidR="00E00E5B">
        <w:t xml:space="preserve"> to </w:t>
      </w:r>
      <w:r w:rsidRPr="004411EA">
        <w:t xml:space="preserve">5 </w:t>
      </w:r>
      <w:r w:rsidR="00E64C32">
        <w:t xml:space="preserve">years </w:t>
      </w:r>
      <w:r w:rsidRPr="004411EA">
        <w:t xml:space="preserve">and 30 patients </w:t>
      </w:r>
      <w:r w:rsidR="00E64C32">
        <w:t xml:space="preserve">aged </w:t>
      </w:r>
      <w:r w:rsidRPr="004411EA">
        <w:t>6</w:t>
      </w:r>
      <w:r w:rsidR="00E00E5B">
        <w:t xml:space="preserve"> to </w:t>
      </w:r>
      <w:r w:rsidRPr="004411EA">
        <w:t>12</w:t>
      </w:r>
      <w:r w:rsidR="00E00E5B">
        <w:t xml:space="preserve"> years </w:t>
      </w:r>
      <w:r w:rsidRPr="004411EA">
        <w:t xml:space="preserve">of age who were previously treated (≥50 EDs) for severe </w:t>
      </w:r>
      <w:proofErr w:type="spellStart"/>
      <w:r w:rsidRPr="004411EA">
        <w:t>HmA</w:t>
      </w:r>
      <w:proofErr w:type="spellEnd"/>
      <w:r w:rsidRPr="004411EA">
        <w:t xml:space="preserve"> (FVIII:C &lt;1%).</w:t>
      </w:r>
      <w:r w:rsidR="00FF5033">
        <w:t xml:space="preserve"> </w:t>
      </w:r>
      <w:r w:rsidRPr="004411EA">
        <w:t>PK aspects (Phase I of the study) were described earlier.</w:t>
      </w:r>
      <w:r w:rsidR="00FF5033">
        <w:t xml:space="preserve"> </w:t>
      </w:r>
      <w:r w:rsidRPr="004411EA">
        <w:t xml:space="preserve">Phase II assessed prophylaxis and use of </w:t>
      </w:r>
      <w:proofErr w:type="spellStart"/>
      <w:r w:rsidR="009C1E6B">
        <w:t>simoctocog</w:t>
      </w:r>
      <w:proofErr w:type="spellEnd"/>
      <w:r w:rsidR="009C1E6B">
        <w:t xml:space="preserve"> </w:t>
      </w:r>
      <w:r w:rsidR="00FC63A1">
        <w:t>alfa</w:t>
      </w:r>
      <w:r w:rsidRPr="004411EA">
        <w:t xml:space="preserve"> on-demand in the treatment of breakthrough bleeding events.</w:t>
      </w:r>
      <w:r w:rsidR="00FF5033">
        <w:t xml:space="preserve"> </w:t>
      </w:r>
      <w:r w:rsidRPr="004411EA">
        <w:t xml:space="preserve">Dosing was every other day or three times weekly, for at least 6 months and at least 50 </w:t>
      </w:r>
      <w:proofErr w:type="spellStart"/>
      <w:r w:rsidRPr="004411EA">
        <w:t>EDs.</w:t>
      </w:r>
      <w:proofErr w:type="spellEnd"/>
      <w:r w:rsidR="00FF5033">
        <w:t xml:space="preserve"> </w:t>
      </w:r>
      <w:r w:rsidRPr="004411EA">
        <w:t>Two dose escalations of 5 IU/kg were allowed in case of 2+ BEs in a month.</w:t>
      </w:r>
    </w:p>
    <w:p w:rsidR="006069D7" w:rsidRPr="004411EA" w:rsidRDefault="006069D7" w:rsidP="00E00E5B">
      <w:r>
        <w:t>A</w:t>
      </w:r>
      <w:r w:rsidRPr="004411EA">
        <w:t xml:space="preserve"> patient discontinued after failure of </w:t>
      </w:r>
      <w:proofErr w:type="spellStart"/>
      <w:r w:rsidR="009C1E6B">
        <w:t>simoctocog</w:t>
      </w:r>
      <w:proofErr w:type="spellEnd"/>
      <w:r w:rsidR="009C1E6B">
        <w:t xml:space="preserve"> </w:t>
      </w:r>
      <w:r w:rsidR="00FC63A1">
        <w:t>alfa</w:t>
      </w:r>
      <w:r w:rsidRPr="004411EA">
        <w:t xml:space="preserve"> to prevent</w:t>
      </w:r>
      <w:r>
        <w:t>/</w:t>
      </w:r>
      <w:r w:rsidRPr="004411EA">
        <w:t>treat a spontaneous ankle joint bleed.</w:t>
      </w:r>
      <w:r w:rsidR="00FF5033">
        <w:t xml:space="preserve"> </w:t>
      </w:r>
      <w:r w:rsidR="00E00E5B">
        <w:t>Eleven patients had dose escalations</w:t>
      </w:r>
      <w:r w:rsidRPr="004411EA">
        <w:t>.</w:t>
      </w:r>
    </w:p>
    <w:p w:rsidR="006069D7" w:rsidRPr="004411EA" w:rsidRDefault="006069D7" w:rsidP="00E00E5B">
      <w:r w:rsidRPr="004411EA">
        <w:t xml:space="preserve">Overall efficacy of prophylaxis is summarised </w:t>
      </w:r>
      <w:r w:rsidR="00E00E5B">
        <w:t>in the</w:t>
      </w:r>
      <w:r w:rsidRPr="004411EA">
        <w:t xml:space="preserve"> CER </w:t>
      </w:r>
      <w:r w:rsidR="00E00E5B">
        <w:t>(Attachment 2</w:t>
      </w:r>
      <w:r w:rsidRPr="004411EA">
        <w:t>).</w:t>
      </w:r>
      <w:r w:rsidR="00FF5033">
        <w:t xml:space="preserve"> </w:t>
      </w:r>
      <w:r w:rsidRPr="004411EA">
        <w:t>Of 59 subjects, outcomes were excellent in 49, good in 5, moderate in 3 and poor in 2.</w:t>
      </w:r>
      <w:r w:rsidR="00FF5033">
        <w:t xml:space="preserve"> </w:t>
      </w:r>
      <w:r w:rsidRPr="004411EA">
        <w:t>Four of five moderate to poor outcomes were in the 30 patients aged 6</w:t>
      </w:r>
      <w:r w:rsidR="00E00E5B">
        <w:t xml:space="preserve"> to </w:t>
      </w:r>
      <w:r w:rsidRPr="004411EA">
        <w:t>12 y</w:t>
      </w:r>
      <w:r w:rsidR="00E00E5B">
        <w:t>ea</w:t>
      </w:r>
      <w:r w:rsidRPr="004411EA">
        <w:t>rs.</w:t>
      </w:r>
      <w:r w:rsidR="00FF5033">
        <w:t xml:space="preserve"> </w:t>
      </w:r>
      <w:r w:rsidRPr="004411EA">
        <w:t>Based on the monthly rate of bleeding events, mean (median) annualised bleeding rates were 2.6 (0) for 2</w:t>
      </w:r>
      <w:r w:rsidR="00E00E5B">
        <w:t xml:space="preserve"> to </w:t>
      </w:r>
      <w:r w:rsidRPr="004411EA">
        <w:t>5 y</w:t>
      </w:r>
      <w:r w:rsidR="00E00E5B">
        <w:t>ea</w:t>
      </w:r>
      <w:r w:rsidRPr="004411EA">
        <w:t>r olds and 5.5 (3.6) for 6-12 y</w:t>
      </w:r>
      <w:r w:rsidR="00E00E5B">
        <w:t>ea</w:t>
      </w:r>
      <w:r w:rsidRPr="004411EA">
        <w:t>r olds.</w:t>
      </w:r>
      <w:r w:rsidR="00FF5033">
        <w:t xml:space="preserve"> </w:t>
      </w:r>
      <w:r w:rsidRPr="004411EA">
        <w:t xml:space="preserve">Comparison with historical outcomes is presented </w:t>
      </w:r>
      <w:r w:rsidR="00E00E5B">
        <w:t>in</w:t>
      </w:r>
      <w:r w:rsidRPr="004411EA">
        <w:t xml:space="preserve"> the CER; results were comparable.</w:t>
      </w:r>
    </w:p>
    <w:p w:rsidR="006069D7" w:rsidRPr="004411EA" w:rsidRDefault="006069D7" w:rsidP="00E00E5B">
      <w:r w:rsidRPr="004411EA">
        <w:t xml:space="preserve">Overall efficacy of treatment of BEs is described </w:t>
      </w:r>
      <w:r w:rsidR="00E00E5B">
        <w:t>in</w:t>
      </w:r>
      <w:r w:rsidRPr="004411EA">
        <w:t xml:space="preserve"> the CER</w:t>
      </w:r>
      <w:r w:rsidR="00E00E5B">
        <w:t>;</w:t>
      </w:r>
      <w:r w:rsidR="00FF5033">
        <w:t xml:space="preserve"> </w:t>
      </w:r>
      <w:r w:rsidRPr="004411EA">
        <w:t>81% of bleeds were treated with 1</w:t>
      </w:r>
      <w:r w:rsidR="00E00E5B">
        <w:t xml:space="preserve"> to </w:t>
      </w:r>
      <w:r w:rsidRPr="004411EA">
        <w:t>2 infusions but 9/108 BEs required 5</w:t>
      </w:r>
      <w:r w:rsidR="00E00E5B">
        <w:t xml:space="preserve"> to </w:t>
      </w:r>
      <w:r w:rsidRPr="004411EA">
        <w:t>22 infusions.</w:t>
      </w:r>
      <w:r w:rsidR="00FF5033">
        <w:t xml:space="preserve"> </w:t>
      </w:r>
      <w:r w:rsidRPr="004411EA">
        <w:t>Efficacy was rated only as moderate in 46.2% of moderate to major bleeds in 2</w:t>
      </w:r>
      <w:r w:rsidR="00E00E5B">
        <w:t xml:space="preserve"> to </w:t>
      </w:r>
      <w:r w:rsidRPr="004411EA">
        <w:t>5 y</w:t>
      </w:r>
      <w:r w:rsidR="00E00E5B">
        <w:t>ea</w:t>
      </w:r>
      <w:r w:rsidRPr="004411EA">
        <w:t>r olds and 30.3% of moderate to major bleeds in 6</w:t>
      </w:r>
      <w:r w:rsidR="00E00E5B">
        <w:t xml:space="preserve"> to </w:t>
      </w:r>
      <w:r w:rsidRPr="004411EA">
        <w:t>12 y</w:t>
      </w:r>
      <w:r w:rsidR="00E00E5B">
        <w:t>ea</w:t>
      </w:r>
      <w:r w:rsidRPr="004411EA">
        <w:t>r olds; 2/33 moderate to major bleeds in 6</w:t>
      </w:r>
      <w:r w:rsidR="00E00E5B">
        <w:t xml:space="preserve"> to </w:t>
      </w:r>
      <w:r w:rsidRPr="004411EA">
        <w:t>12 y</w:t>
      </w:r>
      <w:r w:rsidR="00E00E5B">
        <w:t>ea</w:t>
      </w:r>
      <w:r w:rsidRPr="004411EA">
        <w:t>r olds had poor efficacy.</w:t>
      </w:r>
    </w:p>
    <w:p w:rsidR="006069D7" w:rsidRDefault="006069D7" w:rsidP="00E00E5B">
      <w:r w:rsidRPr="004411EA">
        <w:t xml:space="preserve">Efficacy in surgery is described </w:t>
      </w:r>
      <w:r w:rsidR="00E00E5B">
        <w:t>in</w:t>
      </w:r>
      <w:r w:rsidRPr="004411EA">
        <w:t xml:space="preserve"> the CER.</w:t>
      </w:r>
      <w:r w:rsidR="00FF5033">
        <w:t xml:space="preserve"> </w:t>
      </w:r>
      <w:r w:rsidRPr="004411EA">
        <w:t xml:space="preserve">There were 6 major procedures where prophylactic </w:t>
      </w:r>
      <w:proofErr w:type="spellStart"/>
      <w:r w:rsidR="009C1E6B">
        <w:t>simoctocog</w:t>
      </w:r>
      <w:proofErr w:type="spellEnd"/>
      <w:r w:rsidR="009C1E6B">
        <w:t xml:space="preserve"> </w:t>
      </w:r>
      <w:r w:rsidR="00FC63A1">
        <w:t>alfa</w:t>
      </w:r>
      <w:r w:rsidRPr="004411EA">
        <w:t xml:space="preserve"> was used, one in a patient diagnosed with </w:t>
      </w:r>
      <w:proofErr w:type="spellStart"/>
      <w:r w:rsidRPr="004411EA">
        <w:t>vWD</w:t>
      </w:r>
      <w:proofErr w:type="spellEnd"/>
      <w:r w:rsidRPr="004411EA">
        <w:t xml:space="preserve"> who was withdrawn from study (</w:t>
      </w:r>
      <w:proofErr w:type="spellStart"/>
      <w:r w:rsidR="009C1E6B">
        <w:t>simoctocog</w:t>
      </w:r>
      <w:proofErr w:type="spellEnd"/>
      <w:r w:rsidR="009C1E6B">
        <w:t xml:space="preserve"> </w:t>
      </w:r>
      <w:r w:rsidR="00FC63A1">
        <w:t>alfa</w:t>
      </w:r>
      <w:r w:rsidRPr="004411EA">
        <w:t xml:space="preserve"> was not efficacious and the patient needed </w:t>
      </w:r>
      <w:proofErr w:type="spellStart"/>
      <w:r w:rsidR="0041331E">
        <w:lastRenderedPageBreak/>
        <w:t>pdFVIII</w:t>
      </w:r>
      <w:r w:rsidR="00EA26F5">
        <w:t>a</w:t>
      </w:r>
      <w:proofErr w:type="spellEnd"/>
      <w:r w:rsidR="00EA26F5">
        <w:t xml:space="preserve"> product</w:t>
      </w:r>
      <w:r w:rsidRPr="004411EA">
        <w:t xml:space="preserve"> containing both </w:t>
      </w:r>
      <w:proofErr w:type="spellStart"/>
      <w:r w:rsidRPr="004411EA">
        <w:t>vWF</w:t>
      </w:r>
      <w:proofErr w:type="spellEnd"/>
      <w:r w:rsidRPr="004411EA">
        <w:t xml:space="preserve"> and FVIII – for a moderate to major bleed following the procedure).</w:t>
      </w:r>
      <w:r w:rsidR="00FF5033">
        <w:t xml:space="preserve"> </w:t>
      </w:r>
      <w:r w:rsidR="00E00E5B">
        <w:t>Five out of six</w:t>
      </w:r>
      <w:r w:rsidRPr="004411EA">
        <w:t xml:space="preserve"> procedures were port implants or replacements.</w:t>
      </w:r>
      <w:r w:rsidR="00FF5033">
        <w:t xml:space="preserve"> </w:t>
      </w:r>
      <w:r w:rsidRPr="004411EA">
        <w:t>One patient undergoing port implantation needed 20 infusions over 7 days but there were no associated BEs or complications reported.</w:t>
      </w:r>
      <w:r w:rsidR="00FF5033">
        <w:t xml:space="preserve"> </w:t>
      </w:r>
      <w:r w:rsidRPr="004411EA">
        <w:t>Efficacy was assessed as excellent in all 5 procedures where an assessment was made.</w:t>
      </w:r>
    </w:p>
    <w:p w:rsidR="006069D7" w:rsidRPr="00FE4A81" w:rsidRDefault="006069D7" w:rsidP="00FE4A81">
      <w:pPr>
        <w:pStyle w:val="Heading5"/>
      </w:pPr>
      <w:r w:rsidRPr="004411EA">
        <w:t>Other studies</w:t>
      </w:r>
    </w:p>
    <w:p w:rsidR="006069D7" w:rsidRPr="004411EA" w:rsidRDefault="006069D7" w:rsidP="00FE4A81">
      <w:r w:rsidRPr="004411EA">
        <w:t xml:space="preserve">Studies GENA-09 (single Russian centre study of every other day prophylaxis in adult PTPs with severe </w:t>
      </w:r>
      <w:proofErr w:type="spellStart"/>
      <w:r w:rsidRPr="004411EA">
        <w:t>HmA</w:t>
      </w:r>
      <w:proofErr w:type="spellEnd"/>
      <w:r w:rsidRPr="004411EA">
        <w:t>) and GENA-04 (extension of GENA-09) were considered supportive.</w:t>
      </w:r>
    </w:p>
    <w:p w:rsidR="006069D7" w:rsidRPr="004411EA" w:rsidRDefault="006069D7" w:rsidP="00FE4A81">
      <w:r w:rsidRPr="004411EA">
        <w:t>The 22 patients in GENA-09 had severe joint damage.</w:t>
      </w:r>
      <w:r w:rsidR="00FF5033">
        <w:t xml:space="preserve"> </w:t>
      </w:r>
      <w:r w:rsidRPr="004411EA">
        <w:t>Mean annualised bleeding rate (calculated from monthly rates) was 4.1.</w:t>
      </w:r>
      <w:r w:rsidR="00FF5033">
        <w:t xml:space="preserve"> </w:t>
      </w:r>
      <w:r w:rsidRPr="004411EA">
        <w:t>For spontaneous bleeds, efficacy of treatment was often excellent or good but in 38% of cases was rated only moderate.</w:t>
      </w:r>
      <w:r w:rsidR="00FF5033">
        <w:t xml:space="preserve"> </w:t>
      </w:r>
      <w:r w:rsidRPr="004411EA">
        <w:t>Compared with historical outcomes, dose of FVIII rose while bleeding rates fell substantially.</w:t>
      </w:r>
      <w:r w:rsidR="00FF5033">
        <w:t xml:space="preserve"> </w:t>
      </w:r>
      <w:r w:rsidRPr="004411EA">
        <w:t>There were no major surgical procedures.</w:t>
      </w:r>
    </w:p>
    <w:p w:rsidR="006069D7" w:rsidRPr="004411EA" w:rsidRDefault="006069D7" w:rsidP="00FE4A81">
      <w:r w:rsidRPr="004411EA">
        <w:t>In GENA-04, with a mean 226 EDs per patient there was evidence of ongoing efficacy of prophylaxis.</w:t>
      </w:r>
      <w:r w:rsidR="00FF5033">
        <w:t xml:space="preserve"> </w:t>
      </w:r>
      <w:r w:rsidRPr="004411EA">
        <w:t>Mean number of infusions used to stop breakthrough bleeding was 2.</w:t>
      </w:r>
      <w:r w:rsidR="00FF5033">
        <w:t xml:space="preserve"> </w:t>
      </w:r>
      <w:r w:rsidRPr="004411EA">
        <w:t>For some moderate to major bleeds, efficacy was rated as moderate (17.6% of BEs) or none (17.6%).</w:t>
      </w:r>
      <w:r w:rsidR="00FF5033">
        <w:t xml:space="preserve"> </w:t>
      </w:r>
      <w:r w:rsidRPr="004411EA">
        <w:t>There were 3 major surgeries, requiring 23-35 infusions over 15-20 EDs</w:t>
      </w:r>
      <w:r w:rsidR="00FE4A81">
        <w:t>,</w:t>
      </w:r>
      <w:r w:rsidRPr="004411EA">
        <w:t xml:space="preserve"> but blood loss was lower than predicted and overall efficacy was rated </w:t>
      </w:r>
      <w:proofErr w:type="gramStart"/>
      <w:r w:rsidRPr="004411EA">
        <w:t>good</w:t>
      </w:r>
      <w:proofErr w:type="gramEnd"/>
      <w:r w:rsidRPr="004411EA">
        <w:t xml:space="preserve"> in 3/3 cases.</w:t>
      </w:r>
    </w:p>
    <w:p w:rsidR="006069D7" w:rsidRPr="00FE4A81" w:rsidRDefault="006069D7" w:rsidP="00FE4A81">
      <w:pPr>
        <w:pStyle w:val="Heading4"/>
      </w:pPr>
      <w:r w:rsidRPr="004411EA">
        <w:t>Safety</w:t>
      </w:r>
    </w:p>
    <w:p w:rsidR="006069D7" w:rsidRPr="004411EA" w:rsidRDefault="00FE4A81" w:rsidP="00FE4A81">
      <w:r>
        <w:t xml:space="preserve">Some </w:t>
      </w:r>
      <w:r w:rsidR="006069D7" w:rsidRPr="004411EA">
        <w:t xml:space="preserve">135 patients received </w:t>
      </w:r>
      <w:proofErr w:type="spellStart"/>
      <w:r w:rsidR="009C1E6B">
        <w:t>simoctocog</w:t>
      </w:r>
      <w:proofErr w:type="spellEnd"/>
      <w:r w:rsidR="009C1E6B">
        <w:t xml:space="preserve"> </w:t>
      </w:r>
      <w:r w:rsidR="00FC63A1">
        <w:t>alfa</w:t>
      </w:r>
      <w:r w:rsidR="006069D7" w:rsidRPr="004411EA">
        <w:t xml:space="preserve">; exposure is summarised </w:t>
      </w:r>
      <w:r>
        <w:t xml:space="preserve">in </w:t>
      </w:r>
      <w:r w:rsidR="006069D7" w:rsidRPr="004411EA">
        <w:t>the CER.</w:t>
      </w:r>
      <w:r w:rsidR="00FF5033">
        <w:t xml:space="preserve"> </w:t>
      </w:r>
      <w:r w:rsidR="006069D7" w:rsidRPr="004411EA">
        <w:t>Commoner AEs included nasopharyngitis (8.1%), pyrexia (7.4%), headache (7.4%) and rhinitis (5.2%).</w:t>
      </w:r>
      <w:r w:rsidR="00FF5033">
        <w:t xml:space="preserve"> </w:t>
      </w:r>
      <w:r w:rsidR="006069D7" w:rsidRPr="004411EA">
        <w:t xml:space="preserve">Cases of chills, rash and pruritus, and a case of allergic oedema of the left hand, were thought by the sponsor unlikely to be allergic reactions to </w:t>
      </w:r>
      <w:proofErr w:type="spellStart"/>
      <w:r w:rsidR="009C1E6B">
        <w:t>simoctocog</w:t>
      </w:r>
      <w:proofErr w:type="spellEnd"/>
      <w:r w:rsidR="009C1E6B">
        <w:t xml:space="preserve"> </w:t>
      </w:r>
      <w:r w:rsidR="00FC63A1">
        <w:t>alfa</w:t>
      </w:r>
      <w:r w:rsidR="006069D7" w:rsidRPr="004411EA">
        <w:t>, and the clinical evaluator accepted this.</w:t>
      </w:r>
    </w:p>
    <w:p w:rsidR="006069D7" w:rsidRPr="004411EA" w:rsidRDefault="006069D7" w:rsidP="00FE4A81">
      <w:r w:rsidRPr="004411EA">
        <w:t xml:space="preserve">There were no hypersensitivity reactions to </w:t>
      </w:r>
      <w:proofErr w:type="spellStart"/>
      <w:r w:rsidR="009C1E6B">
        <w:t>simoctocog</w:t>
      </w:r>
      <w:proofErr w:type="spellEnd"/>
      <w:r w:rsidR="009C1E6B">
        <w:t xml:space="preserve"> </w:t>
      </w:r>
      <w:r w:rsidR="00FC63A1">
        <w:t>alfa</w:t>
      </w:r>
      <w:r w:rsidRPr="004411EA">
        <w:t xml:space="preserve"> and no thromboembolic events identified.</w:t>
      </w:r>
      <w:r w:rsidR="00FF5033">
        <w:t xml:space="preserve"> </w:t>
      </w:r>
      <w:r w:rsidRPr="004411EA">
        <w:t xml:space="preserve">No FVIII inhibitors were detected (although 4 patients developed anti-FVIII antibodies described as non-inhibitory; indicates 3/4 had these prior to using </w:t>
      </w:r>
      <w:proofErr w:type="spellStart"/>
      <w:r w:rsidR="009C1E6B">
        <w:t>simoctocog</w:t>
      </w:r>
      <w:proofErr w:type="spellEnd"/>
      <w:r w:rsidR="009C1E6B">
        <w:t xml:space="preserve"> </w:t>
      </w:r>
      <w:r w:rsidR="00FC63A1">
        <w:t>alfa</w:t>
      </w:r>
      <w:r w:rsidRPr="004411EA">
        <w:t xml:space="preserve"> and the other one patient had low levels that did not affect efficacy).</w:t>
      </w:r>
      <w:r w:rsidR="00FF5033">
        <w:t xml:space="preserve"> </w:t>
      </w:r>
      <w:r>
        <w:t>In 0/4 patients was there a sign of functional impairment of FVIII.</w:t>
      </w:r>
    </w:p>
    <w:p w:rsidR="006069D7" w:rsidRPr="004411EA" w:rsidRDefault="006069D7" w:rsidP="00FE4A81">
      <w:r w:rsidRPr="004411EA">
        <w:t xml:space="preserve">In GENA-08, one patient died after 76 EDs from an epileptic seizure on </w:t>
      </w:r>
      <w:r w:rsidR="00FE4A81">
        <w:t>D</w:t>
      </w:r>
      <w:r w:rsidRPr="004411EA">
        <w:t>ay 202.</w:t>
      </w:r>
      <w:r w:rsidR="00FF5033">
        <w:t xml:space="preserve"> </w:t>
      </w:r>
      <w:r w:rsidRPr="004411EA">
        <w:t>This was deemed unrelated to study treatment.</w:t>
      </w:r>
      <w:r w:rsidR="00FF5033">
        <w:t xml:space="preserve"> </w:t>
      </w:r>
      <w:r w:rsidRPr="004411EA">
        <w:t xml:space="preserve">The patient had been on long-term therapy with </w:t>
      </w:r>
      <w:proofErr w:type="spellStart"/>
      <w:r w:rsidRPr="004411EA">
        <w:t>oxycarbazepin</w:t>
      </w:r>
      <w:proofErr w:type="spellEnd"/>
      <w:r w:rsidRPr="004411EA">
        <w:t xml:space="preserve"> for epilepsy, but </w:t>
      </w:r>
      <w:r>
        <w:t>died after status epilepticus.</w:t>
      </w:r>
    </w:p>
    <w:p w:rsidR="007B6132" w:rsidRDefault="007B6132" w:rsidP="00555280">
      <w:pPr>
        <w:pStyle w:val="Heading4"/>
      </w:pPr>
      <w:r w:rsidRPr="00FC5A2A">
        <w:t>Clinical evaluator’s recommendation (if applicable)</w:t>
      </w:r>
    </w:p>
    <w:p w:rsidR="00FC5A2A" w:rsidRDefault="00FC5A2A" w:rsidP="00FC5A2A">
      <w:pPr>
        <w:widowControl w:val="0"/>
        <w:autoSpaceDE w:val="0"/>
        <w:autoSpaceDN w:val="0"/>
        <w:adjustRightInd w:val="0"/>
        <w:rPr>
          <w:rFonts w:eastAsia="Times New Roman" w:cs="‡oˆøª&amp;Â"/>
          <w:lang w:eastAsia="en-AU"/>
        </w:rPr>
      </w:pPr>
      <w:r>
        <w:rPr>
          <w:rFonts w:eastAsia="Times New Roman" w:cs="‡oˆøª&amp;Â"/>
          <w:lang w:eastAsia="en-AU"/>
        </w:rPr>
        <w:t xml:space="preserve">The clinical evaluator </w:t>
      </w:r>
      <w:r w:rsidRPr="00BF0D5C">
        <w:rPr>
          <w:rFonts w:eastAsia="Times New Roman" w:cs="‡oˆøª&amp;Â"/>
          <w:lang w:eastAsia="en-AU"/>
        </w:rPr>
        <w:t xml:space="preserve">recommended that </w:t>
      </w:r>
      <w:proofErr w:type="spellStart"/>
      <w:r w:rsidRPr="00BF0D5C">
        <w:rPr>
          <w:rFonts w:eastAsia="Times New Roman" w:cs="‡oˆøª&amp;Â"/>
          <w:lang w:eastAsia="en-AU"/>
        </w:rPr>
        <w:t>Nuwiq</w:t>
      </w:r>
      <w:proofErr w:type="spellEnd"/>
      <w:r w:rsidRPr="00BF0D5C">
        <w:rPr>
          <w:rFonts w:eastAsia="Times New Roman" w:cs="‡oˆøª&amp;Â"/>
          <w:lang w:eastAsia="en-AU"/>
        </w:rPr>
        <w:t xml:space="preserve"> be approved for the </w:t>
      </w:r>
    </w:p>
    <w:p w:rsidR="00FC5A2A" w:rsidRPr="00BF0D5C" w:rsidRDefault="00FC5A2A" w:rsidP="00FC5A2A">
      <w:pPr>
        <w:widowControl w:val="0"/>
        <w:autoSpaceDE w:val="0"/>
        <w:autoSpaceDN w:val="0"/>
        <w:adjustRightInd w:val="0"/>
        <w:ind w:left="720"/>
        <w:rPr>
          <w:rFonts w:eastAsia="Times New Roman" w:cs="‡oˆøª&amp;Â"/>
          <w:lang w:eastAsia="en-AU"/>
        </w:rPr>
      </w:pPr>
      <w:proofErr w:type="gramStart"/>
      <w:r w:rsidRPr="00FE38FF">
        <w:rPr>
          <w:rFonts w:eastAsia="Times New Roman" w:cs="‡oˆøª&amp;Â"/>
          <w:i/>
          <w:lang w:eastAsia="en-AU"/>
        </w:rPr>
        <w:t>treatment</w:t>
      </w:r>
      <w:proofErr w:type="gramEnd"/>
      <w:r w:rsidRPr="00FE38FF">
        <w:rPr>
          <w:rFonts w:eastAsia="Times New Roman" w:cs="‡oˆøª&amp;Â"/>
          <w:i/>
          <w:lang w:eastAsia="en-AU"/>
        </w:rPr>
        <w:t xml:space="preserve"> and prophylaxis of bleeding (also during and after surgery) in previously treated paediatric (≥ 2 years) and adult patients with </w:t>
      </w:r>
      <w:r w:rsidRPr="00FE38FF">
        <w:rPr>
          <w:rFonts w:eastAsia="Times New Roman" w:cs="‡oˆøª&amp;Â"/>
          <w:i/>
          <w:u w:val="single"/>
          <w:lang w:eastAsia="en-AU"/>
        </w:rPr>
        <w:t>severe</w:t>
      </w:r>
      <w:r w:rsidRPr="00FE38FF">
        <w:rPr>
          <w:rFonts w:eastAsia="Times New Roman" w:cs="‡oˆøª&amp;Â"/>
          <w:i/>
          <w:lang w:eastAsia="en-AU"/>
        </w:rPr>
        <w:t xml:space="preserve"> haemophilia A (congenital </w:t>
      </w:r>
      <w:r w:rsidR="00BA154F">
        <w:rPr>
          <w:rFonts w:eastAsia="Times New Roman" w:cs="‡oˆøª&amp;Â"/>
          <w:i/>
          <w:lang w:eastAsia="en-AU"/>
        </w:rPr>
        <w:t>FVIII</w:t>
      </w:r>
      <w:r w:rsidRPr="00FE38FF">
        <w:rPr>
          <w:rFonts w:eastAsia="Times New Roman" w:cs="‡oˆøª&amp;Â"/>
          <w:i/>
          <w:lang w:eastAsia="en-AU"/>
        </w:rPr>
        <w:t xml:space="preserve"> deficiency)</w:t>
      </w:r>
      <w:r w:rsidRPr="00BF0D5C">
        <w:rPr>
          <w:rFonts w:eastAsia="Times New Roman" w:cs="‡oˆøª&amp;Â"/>
          <w:lang w:eastAsia="en-AU"/>
        </w:rPr>
        <w:t xml:space="preserve">. </w:t>
      </w:r>
    </w:p>
    <w:p w:rsidR="00FC5A2A" w:rsidRPr="00BF0D5C" w:rsidRDefault="00FC5A2A" w:rsidP="00FC5A2A">
      <w:pPr>
        <w:widowControl w:val="0"/>
        <w:autoSpaceDE w:val="0"/>
        <w:autoSpaceDN w:val="0"/>
        <w:adjustRightInd w:val="0"/>
        <w:rPr>
          <w:rFonts w:eastAsia="Times New Roman" w:cs="‡oˆøª&amp;Â"/>
          <w:lang w:eastAsia="en-AU"/>
        </w:rPr>
      </w:pPr>
      <w:r w:rsidRPr="00BF0D5C">
        <w:rPr>
          <w:rFonts w:eastAsia="Times New Roman" w:cs="‡oˆøª&amp;Â"/>
          <w:lang w:eastAsia="en-AU"/>
        </w:rPr>
        <w:t xml:space="preserve">The indication recommended for authorisation includes reference to </w:t>
      </w:r>
      <w:r w:rsidRPr="00FE38FF">
        <w:rPr>
          <w:rFonts w:eastAsia="Times New Roman" w:cs="‡oˆøª&amp;Â"/>
          <w:i/>
          <w:lang w:eastAsia="en-AU"/>
        </w:rPr>
        <w:t>severe</w:t>
      </w:r>
      <w:r w:rsidRPr="00BF0D5C">
        <w:rPr>
          <w:rFonts w:eastAsia="Times New Roman" w:cs="‡oˆøª&amp;Â"/>
          <w:lang w:eastAsia="en-AU"/>
        </w:rPr>
        <w:t xml:space="preserve"> haemophilia A. The indication proposed by the sponsor excludes the reference to </w:t>
      </w:r>
      <w:r w:rsidRPr="00FE38FF">
        <w:rPr>
          <w:rFonts w:eastAsia="Times New Roman" w:cs="‡oˆøª&amp;Â"/>
          <w:i/>
          <w:lang w:eastAsia="en-AU"/>
        </w:rPr>
        <w:t>severe</w:t>
      </w:r>
      <w:r w:rsidRPr="00BF0D5C">
        <w:rPr>
          <w:rFonts w:eastAsia="Times New Roman" w:cs="‡oˆøª&amp;Â"/>
          <w:lang w:eastAsia="en-AU"/>
        </w:rPr>
        <w:t xml:space="preserve"> haemophilia A. </w:t>
      </w:r>
    </w:p>
    <w:p w:rsidR="008E7846" w:rsidRDefault="00386150" w:rsidP="007B6132">
      <w:pPr>
        <w:pStyle w:val="Heading3"/>
        <w:rPr>
          <w:lang w:eastAsia="en-AU"/>
        </w:rPr>
      </w:pPr>
      <w:bookmarkStart w:id="148" w:name="_Toc453683296"/>
      <w:r>
        <w:rPr>
          <w:lang w:eastAsia="en-AU"/>
        </w:rPr>
        <w:t>Risk m</w:t>
      </w:r>
      <w:r w:rsidR="008E7846">
        <w:rPr>
          <w:lang w:eastAsia="en-AU"/>
        </w:rPr>
        <w:t xml:space="preserve">anagement </w:t>
      </w:r>
      <w:r>
        <w:rPr>
          <w:lang w:eastAsia="en-AU"/>
        </w:rPr>
        <w:t>p</w:t>
      </w:r>
      <w:r w:rsidR="008E7846">
        <w:rPr>
          <w:lang w:eastAsia="en-AU"/>
        </w:rPr>
        <w:t>lan</w:t>
      </w:r>
      <w:bookmarkEnd w:id="145"/>
      <w:bookmarkEnd w:id="148"/>
    </w:p>
    <w:p w:rsidR="006069D7" w:rsidRPr="00587BCF" w:rsidRDefault="00AE330F" w:rsidP="006069D7">
      <w:pPr>
        <w:tabs>
          <w:tab w:val="left" w:pos="567"/>
          <w:tab w:val="right" w:pos="7088"/>
        </w:tabs>
        <w:spacing w:before="0" w:line="240" w:lineRule="auto"/>
        <w:rPr>
          <w:rFonts w:asciiTheme="minorHAnsi" w:hAnsiTheme="minorHAnsi" w:cs="Calibri"/>
          <w:szCs w:val="24"/>
        </w:rPr>
      </w:pPr>
      <w:r w:rsidRPr="00587BCF">
        <w:rPr>
          <w:rFonts w:asciiTheme="minorHAnsi" w:hAnsiTheme="minorHAnsi" w:cs="Calibri"/>
          <w:szCs w:val="24"/>
        </w:rPr>
        <w:t>No objections to registration were raised. A proposed condition of registration was:</w:t>
      </w:r>
    </w:p>
    <w:p w:rsidR="006069D7" w:rsidRPr="004411EA" w:rsidRDefault="006069D7" w:rsidP="00FE4A81">
      <w:pPr>
        <w:ind w:left="720"/>
      </w:pPr>
      <w:r w:rsidRPr="004411EA">
        <w:t>Implement EU-RMP, version 6.0, dated 16</w:t>
      </w:r>
      <w:r w:rsidR="00FE4A81">
        <w:t xml:space="preserve"> </w:t>
      </w:r>
      <w:r w:rsidRPr="004411EA">
        <w:t>May</w:t>
      </w:r>
      <w:r w:rsidR="00FE4A81">
        <w:t xml:space="preserve"> </w:t>
      </w:r>
      <w:r w:rsidR="002F0BEA" w:rsidRPr="004411EA">
        <w:t xml:space="preserve">2014 </w:t>
      </w:r>
      <w:r w:rsidR="002F0BEA">
        <w:t>and</w:t>
      </w:r>
      <w:r w:rsidRPr="004411EA">
        <w:t xml:space="preserve"> ASA, version 3.0, dated 19</w:t>
      </w:r>
      <w:r w:rsidR="00FE4A81">
        <w:t xml:space="preserve"> </w:t>
      </w:r>
      <w:r w:rsidRPr="004411EA">
        <w:t>May</w:t>
      </w:r>
      <w:r w:rsidR="00FE4A81">
        <w:t xml:space="preserve"> </w:t>
      </w:r>
      <w:r w:rsidRPr="004411EA">
        <w:t>2014 and any future updates as agreed with the TGA as a condition of registration.</w:t>
      </w:r>
    </w:p>
    <w:p w:rsidR="008E7846" w:rsidRDefault="00AA0ED0" w:rsidP="008E7846">
      <w:pPr>
        <w:pStyle w:val="Heading3"/>
      </w:pPr>
      <w:bookmarkStart w:id="149" w:name="_Toc247691531"/>
      <w:bookmarkStart w:id="150" w:name="_Toc314842515"/>
      <w:bookmarkStart w:id="151" w:name="_Toc196046505"/>
      <w:bookmarkStart w:id="152" w:name="_Toc196046949"/>
      <w:bookmarkStart w:id="153" w:name="_Toc453683297"/>
      <w:r>
        <w:lastRenderedPageBreak/>
        <w:t>Risk-benefit a</w:t>
      </w:r>
      <w:r w:rsidR="008E7846">
        <w:t>nalysis</w:t>
      </w:r>
      <w:bookmarkEnd w:id="149"/>
      <w:bookmarkEnd w:id="150"/>
      <w:bookmarkEnd w:id="153"/>
    </w:p>
    <w:p w:rsidR="00D23139" w:rsidRDefault="001963C4" w:rsidP="00D23139">
      <w:pPr>
        <w:pStyle w:val="Heading4"/>
      </w:pPr>
      <w:r>
        <w:t>Delegate’s considerations</w:t>
      </w:r>
    </w:p>
    <w:p w:rsidR="006069D7" w:rsidRPr="004411EA" w:rsidRDefault="006069D7" w:rsidP="00FE4A81">
      <w:pPr>
        <w:pStyle w:val="Heading5"/>
      </w:pPr>
      <w:r w:rsidRPr="004411EA">
        <w:t>Dosing</w:t>
      </w:r>
    </w:p>
    <w:p w:rsidR="006069D7" w:rsidRDefault="006069D7" w:rsidP="00FE4A81">
      <w:r w:rsidRPr="004411EA">
        <w:t>The dose regimens recommended in the proposed PI are based on the European Core S</w:t>
      </w:r>
      <w:r w:rsidR="00E64C32">
        <w:t>ummary of Product Characteristics (S</w:t>
      </w:r>
      <w:r w:rsidRPr="004411EA">
        <w:t>mPC</w:t>
      </w:r>
      <w:r w:rsidR="00E64C32">
        <w:t>)</w:t>
      </w:r>
      <w:r w:rsidRPr="004411EA">
        <w:t xml:space="preserve"> for FVIII products</w:t>
      </w:r>
      <w:r w:rsidRPr="00FE4A81">
        <w:rPr>
          <w:rStyle w:val="FootnoteReference"/>
          <w:rFonts w:asciiTheme="minorHAnsi" w:hAnsiTheme="minorHAnsi"/>
          <w:sz w:val="24"/>
          <w:szCs w:val="24"/>
        </w:rPr>
        <w:footnoteReference w:id="25"/>
      </w:r>
      <w:r w:rsidRPr="00FE4A81">
        <w:t>, and</w:t>
      </w:r>
      <w:r w:rsidRPr="004411EA">
        <w:t xml:space="preserve"> do not align perfectly with dosing protocols used in GENA studies.</w:t>
      </w:r>
      <w:r w:rsidR="00FF5033">
        <w:t xml:space="preserve"> </w:t>
      </w:r>
      <w:r w:rsidR="00FE4A81">
        <w:t>The Delegate</w:t>
      </w:r>
      <w:r w:rsidRPr="004411EA">
        <w:t xml:space="preserve"> agree</w:t>
      </w:r>
      <w:r w:rsidR="00FE4A81">
        <w:t>s</w:t>
      </w:r>
      <w:r w:rsidRPr="004411EA">
        <w:t xml:space="preserve"> with the clinical evaluator that the sponsor’s approach as indicated in the latest PI is acceptable.</w:t>
      </w:r>
    </w:p>
    <w:p w:rsidR="006069D7" w:rsidRPr="004411EA" w:rsidRDefault="006069D7" w:rsidP="00FE4A81">
      <w:pPr>
        <w:pStyle w:val="Heading5"/>
      </w:pPr>
      <w:r w:rsidRPr="004411EA">
        <w:t>Inhibitors</w:t>
      </w:r>
    </w:p>
    <w:p w:rsidR="006069D7" w:rsidRPr="00E64C32" w:rsidRDefault="006069D7" w:rsidP="00FE4A81">
      <w:r w:rsidRPr="004411EA">
        <w:t xml:space="preserve">Absence of inhibitors in the clinical trial population of previously treated patients </w:t>
      </w:r>
      <w:r>
        <w:t xml:space="preserve">with no history of inhibitors </w:t>
      </w:r>
      <w:r w:rsidRPr="004411EA">
        <w:t xml:space="preserve">does not indicate </w:t>
      </w:r>
      <w:r>
        <w:t xml:space="preserve">absence of </w:t>
      </w:r>
      <w:r w:rsidRPr="004411EA">
        <w:t>risk of inhibitor development in previously untreated patients.</w:t>
      </w:r>
      <w:r w:rsidR="00FF5033">
        <w:t xml:space="preserve"> </w:t>
      </w:r>
      <w:r w:rsidRPr="004411EA">
        <w:t xml:space="preserve">Inhibitors in children mostly develop within 20 EDs or by 20 months of </w:t>
      </w:r>
      <w:r w:rsidRPr="00E64C32">
        <w:t>age.</w:t>
      </w:r>
      <w:r w:rsidR="00FC5A2A" w:rsidRPr="00E64C32">
        <w:rPr>
          <w:rStyle w:val="FootnoteReference"/>
        </w:rPr>
        <w:footnoteReference w:id="26"/>
      </w:r>
      <w:r w:rsidR="00FF5033" w:rsidRPr="00E64C32">
        <w:t xml:space="preserve"> </w:t>
      </w:r>
      <w:r w:rsidRPr="00E64C32">
        <w:t>Throughout life, a bimodal distribution of inhibitor onset has been described</w:t>
      </w:r>
      <w:r w:rsidR="00E64C32" w:rsidRPr="00E64C32">
        <w:rPr>
          <w:rStyle w:val="FootnoteReference"/>
        </w:rPr>
        <w:footnoteReference w:id="27"/>
      </w:r>
      <w:r w:rsidRPr="00E64C32">
        <w:t>; but the trial program did not study many older patients.</w:t>
      </w:r>
    </w:p>
    <w:p w:rsidR="006069D7" w:rsidRPr="004411EA" w:rsidRDefault="006069D7" w:rsidP="00FE4A81">
      <w:r w:rsidRPr="00E64C32">
        <w:t>Furthermore, too few patient</w:t>
      </w:r>
      <w:r w:rsidRPr="004411EA">
        <w:t>-years were accumulated in this population at low risk for inhibitor development (</w:t>
      </w:r>
      <w:r w:rsidR="00FE4A81">
        <w:t>that is,</w:t>
      </w:r>
      <w:r w:rsidRPr="004411EA">
        <w:t xml:space="preserve"> non-elderly PTPs) to determine whether </w:t>
      </w:r>
      <w:r w:rsidR="00FE4A81">
        <w:t xml:space="preserve">the </w:t>
      </w:r>
      <w:r w:rsidR="00FE4A81" w:rsidRPr="004411EA">
        <w:t xml:space="preserve">risk of inhibitor development </w:t>
      </w:r>
      <w:r w:rsidR="00FE4A81">
        <w:t xml:space="preserve">with </w:t>
      </w:r>
      <w:proofErr w:type="spellStart"/>
      <w:r w:rsidR="009C1E6B">
        <w:t>simoctocog</w:t>
      </w:r>
      <w:proofErr w:type="spellEnd"/>
      <w:r w:rsidR="009C1E6B">
        <w:t xml:space="preserve"> </w:t>
      </w:r>
      <w:r w:rsidR="00FC63A1">
        <w:t>alfa</w:t>
      </w:r>
      <w:r w:rsidRPr="004411EA">
        <w:t xml:space="preserve"> is in line with other FVIII agents.</w:t>
      </w:r>
      <w:r w:rsidR="00FF5033">
        <w:t xml:space="preserve"> </w:t>
      </w:r>
      <w:r w:rsidRPr="004411EA">
        <w:t>Absence of inhibitors is reassuring to only a limited extent.</w:t>
      </w:r>
    </w:p>
    <w:p w:rsidR="006069D7" w:rsidRDefault="006069D7" w:rsidP="00FE4A81">
      <w:r w:rsidRPr="004411EA">
        <w:t xml:space="preserve">There were some individual episodes equating to treatment failure or poor efficacy; it would have been reassuring to have inhibitor assay results around the time of these events of inefficacy, </w:t>
      </w:r>
      <w:r>
        <w:t xml:space="preserve">or subsequently, </w:t>
      </w:r>
      <w:r w:rsidRPr="004411EA">
        <w:t>to rule out inhibitor development as a cause.</w:t>
      </w:r>
      <w:r w:rsidR="00FF5033">
        <w:t xml:space="preserve"> </w:t>
      </w:r>
      <w:r w:rsidRPr="004411EA">
        <w:t>The sponsor is invited to discuss in the Pre-</w:t>
      </w:r>
      <w:r w:rsidR="00FE4A81">
        <w:t>Advisory Committee on Prescription Medicines (</w:t>
      </w:r>
      <w:r w:rsidRPr="004411EA">
        <w:t>ACPM</w:t>
      </w:r>
      <w:r w:rsidR="00FE4A81">
        <w:t>)</w:t>
      </w:r>
      <w:r w:rsidRPr="004411EA">
        <w:t xml:space="preserve"> </w:t>
      </w:r>
      <w:r w:rsidR="00FE4A81">
        <w:t>r</w:t>
      </w:r>
      <w:r w:rsidRPr="004411EA">
        <w:t xml:space="preserve">esponse </w:t>
      </w:r>
      <w:r>
        <w:t>if</w:t>
      </w:r>
      <w:r w:rsidRPr="004411EA">
        <w:t xml:space="preserve"> inhibitors were measured around the time of events of poor or no efficacy, </w:t>
      </w:r>
      <w:r>
        <w:t xml:space="preserve">or subsequently, </w:t>
      </w:r>
      <w:r w:rsidR="00FE4A81">
        <w:t>for example</w:t>
      </w:r>
      <w:r w:rsidRPr="004411EA">
        <w:t xml:space="preserve"> the two patients in GENA-01 discussed </w:t>
      </w:r>
      <w:r w:rsidR="00FE4A81">
        <w:t>in</w:t>
      </w:r>
      <w:r w:rsidRPr="004411EA">
        <w:t xml:space="preserve"> the CER who </w:t>
      </w:r>
      <w:r>
        <w:t xml:space="preserve">had in total </w:t>
      </w:r>
      <w:r w:rsidRPr="004411EA">
        <w:t xml:space="preserve">9 infusions without efficacy; the patient in GENA-03 whose bleeding was not managed by </w:t>
      </w:r>
      <w:proofErr w:type="spellStart"/>
      <w:r w:rsidR="009C1E6B">
        <w:t>simoctocog</w:t>
      </w:r>
      <w:proofErr w:type="spellEnd"/>
      <w:r w:rsidR="009C1E6B">
        <w:t xml:space="preserve"> </w:t>
      </w:r>
      <w:r w:rsidR="00FC63A1">
        <w:t>alfa</w:t>
      </w:r>
      <w:r w:rsidRPr="004411EA">
        <w:t xml:space="preserve"> and who discontinued as a result; others in GENA-03 rated as ha</w:t>
      </w:r>
      <w:r>
        <w:t>ving poor prophylactic efficacy</w:t>
      </w:r>
      <w:r w:rsidR="00FE4A81">
        <w:t xml:space="preserve">. </w:t>
      </w:r>
      <w:r>
        <w:t>The sponsor is also invited to comment on the trend across PK studies for mean IVR to decline at 6 months compared with baseline; was this mean decline due to outliers with significant declines, and, if so, could this be linked to untested / unrecognised inhibitor development?</w:t>
      </w:r>
    </w:p>
    <w:p w:rsidR="006069D7" w:rsidRPr="004411EA" w:rsidRDefault="006069D7" w:rsidP="00FE4A81">
      <w:pPr>
        <w:pStyle w:val="Heading5"/>
      </w:pPr>
      <w:r w:rsidRPr="004411EA">
        <w:t>Surgery</w:t>
      </w:r>
    </w:p>
    <w:p w:rsidR="006069D7" w:rsidRDefault="006069D7" w:rsidP="00FE4A81">
      <w:r w:rsidRPr="004411EA">
        <w:t>Across studies, there were 13 ‘major’ procedures in 12 patients.</w:t>
      </w:r>
      <w:r w:rsidR="00FF5033">
        <w:t xml:space="preserve"> </w:t>
      </w:r>
      <w:r w:rsidRPr="004411EA">
        <w:t>Efficacy was excellent in 9/13 (69.2%), good for 3/13 (23.1%) and moderate for 1/13 (7.6%).</w:t>
      </w:r>
    </w:p>
    <w:p w:rsidR="006069D7" w:rsidRPr="004411EA" w:rsidRDefault="006069D7" w:rsidP="00FE4A81">
      <w:pPr>
        <w:pStyle w:val="Heading5"/>
      </w:pPr>
      <w:r w:rsidRPr="004411EA">
        <w:t>Indication</w:t>
      </w:r>
    </w:p>
    <w:p w:rsidR="006069D7" w:rsidRPr="004411EA" w:rsidRDefault="006069D7" w:rsidP="00FE4A81">
      <w:r w:rsidRPr="004411EA">
        <w:t>The currently proposed indication from the sponsor is:</w:t>
      </w:r>
    </w:p>
    <w:p w:rsidR="006069D7" w:rsidRPr="00FE4A81" w:rsidRDefault="006069D7" w:rsidP="00FE4A81">
      <w:pPr>
        <w:ind w:left="720"/>
        <w:rPr>
          <w:i/>
        </w:rPr>
      </w:pPr>
      <w:r w:rsidRPr="00FE4A81">
        <w:rPr>
          <w:i/>
        </w:rPr>
        <w:t xml:space="preserve">Treatment and prophylaxis of bleeding (also during and after surgery) in previously treated paediatric (≥ 2 years) and adult patients with haemophilia </w:t>
      </w:r>
      <w:proofErr w:type="gramStart"/>
      <w:r w:rsidRPr="00FE4A81">
        <w:rPr>
          <w:i/>
        </w:rPr>
        <w:t>A</w:t>
      </w:r>
      <w:proofErr w:type="gramEnd"/>
      <w:r w:rsidRPr="00FE4A81">
        <w:rPr>
          <w:i/>
        </w:rPr>
        <w:t xml:space="preserve"> (congenital </w:t>
      </w:r>
      <w:r w:rsidR="00BA154F">
        <w:rPr>
          <w:i/>
        </w:rPr>
        <w:t>FVIII</w:t>
      </w:r>
      <w:r w:rsidR="00CC4F20" w:rsidRPr="00FE4A81">
        <w:rPr>
          <w:i/>
        </w:rPr>
        <w:t xml:space="preserve"> </w:t>
      </w:r>
      <w:r w:rsidRPr="00FE4A81">
        <w:rPr>
          <w:i/>
        </w:rPr>
        <w:t>deficiency).</w:t>
      </w:r>
    </w:p>
    <w:p w:rsidR="006069D7" w:rsidRPr="00587BCF" w:rsidRDefault="006069D7" w:rsidP="006069D7">
      <w:pPr>
        <w:spacing w:before="0" w:line="240" w:lineRule="auto"/>
        <w:rPr>
          <w:rFonts w:asciiTheme="minorHAnsi" w:hAnsiTheme="minorHAnsi"/>
        </w:rPr>
      </w:pPr>
      <w:r w:rsidRPr="00587BCF">
        <w:rPr>
          <w:rFonts w:asciiTheme="minorHAnsi" w:hAnsiTheme="minorHAnsi"/>
        </w:rPr>
        <w:t xml:space="preserve">The </w:t>
      </w:r>
      <w:r w:rsidR="00FE4A81" w:rsidRPr="00587BCF">
        <w:rPr>
          <w:rFonts w:asciiTheme="minorHAnsi" w:hAnsiTheme="minorHAnsi"/>
        </w:rPr>
        <w:t>c</w:t>
      </w:r>
      <w:r w:rsidRPr="00587BCF">
        <w:rPr>
          <w:rFonts w:asciiTheme="minorHAnsi" w:hAnsiTheme="minorHAnsi"/>
        </w:rPr>
        <w:t xml:space="preserve">linical </w:t>
      </w:r>
      <w:r w:rsidR="00FE4A81" w:rsidRPr="00587BCF">
        <w:rPr>
          <w:rFonts w:asciiTheme="minorHAnsi" w:hAnsiTheme="minorHAnsi"/>
        </w:rPr>
        <w:t>e</w:t>
      </w:r>
      <w:r w:rsidRPr="00587BCF">
        <w:rPr>
          <w:rFonts w:asciiTheme="minorHAnsi" w:hAnsiTheme="minorHAnsi"/>
        </w:rPr>
        <w:t xml:space="preserve">valuator suggests that the indication be restricted to those subjects with severe </w:t>
      </w:r>
      <w:proofErr w:type="spellStart"/>
      <w:r w:rsidRPr="00587BCF">
        <w:rPr>
          <w:rFonts w:asciiTheme="minorHAnsi" w:hAnsiTheme="minorHAnsi"/>
        </w:rPr>
        <w:t>HmA</w:t>
      </w:r>
      <w:proofErr w:type="spellEnd"/>
      <w:r w:rsidRPr="00587BCF">
        <w:rPr>
          <w:rFonts w:asciiTheme="minorHAnsi" w:hAnsiTheme="minorHAnsi"/>
        </w:rPr>
        <w:t>.</w:t>
      </w:r>
      <w:r w:rsidR="00FF5033" w:rsidRPr="00587BCF">
        <w:rPr>
          <w:rFonts w:asciiTheme="minorHAnsi" w:hAnsiTheme="minorHAnsi"/>
        </w:rPr>
        <w:t xml:space="preserve"> </w:t>
      </w:r>
      <w:r w:rsidRPr="00587BCF">
        <w:rPr>
          <w:rFonts w:asciiTheme="minorHAnsi" w:hAnsiTheme="minorHAnsi"/>
        </w:rPr>
        <w:t>This approach reflects study inclusion criteria.</w:t>
      </w:r>
      <w:r w:rsidR="00FF5033" w:rsidRPr="00587BCF">
        <w:rPr>
          <w:rFonts w:asciiTheme="minorHAnsi" w:hAnsiTheme="minorHAnsi"/>
        </w:rPr>
        <w:t xml:space="preserve"> </w:t>
      </w:r>
      <w:r w:rsidR="00FE4A81" w:rsidRPr="00587BCF">
        <w:rPr>
          <w:rFonts w:asciiTheme="minorHAnsi" w:hAnsiTheme="minorHAnsi"/>
        </w:rPr>
        <w:t xml:space="preserve">The Delegate </w:t>
      </w:r>
      <w:r w:rsidRPr="00587BCF">
        <w:rPr>
          <w:rFonts w:asciiTheme="minorHAnsi" w:hAnsiTheme="minorHAnsi"/>
        </w:rPr>
        <w:t>consider</w:t>
      </w:r>
      <w:r w:rsidR="00FE4A81" w:rsidRPr="00587BCF">
        <w:rPr>
          <w:rFonts w:asciiTheme="minorHAnsi" w:hAnsiTheme="minorHAnsi"/>
        </w:rPr>
        <w:t>s</w:t>
      </w:r>
      <w:r w:rsidRPr="00587BCF">
        <w:rPr>
          <w:rFonts w:asciiTheme="minorHAnsi" w:hAnsiTheme="minorHAnsi"/>
        </w:rPr>
        <w:t xml:space="preserve"> the currently proposed indication acceptable.</w:t>
      </w:r>
      <w:r w:rsidR="00FF5033" w:rsidRPr="00587BCF">
        <w:rPr>
          <w:rFonts w:asciiTheme="minorHAnsi" w:hAnsiTheme="minorHAnsi"/>
        </w:rPr>
        <w:t xml:space="preserve"> </w:t>
      </w:r>
      <w:r w:rsidRPr="00587BCF">
        <w:rPr>
          <w:rFonts w:asciiTheme="minorHAnsi" w:hAnsiTheme="minorHAnsi"/>
        </w:rPr>
        <w:t xml:space="preserve">Recent precedent has been to approve </w:t>
      </w:r>
      <w:r w:rsidRPr="00587BCF">
        <w:rPr>
          <w:rFonts w:asciiTheme="minorHAnsi" w:hAnsiTheme="minorHAnsi"/>
        </w:rPr>
        <w:lastRenderedPageBreak/>
        <w:t>treatment without reference to disease severity, which allows clinicians more flexibility in use of the agent.</w:t>
      </w:r>
    </w:p>
    <w:p w:rsidR="006069D7" w:rsidRDefault="006069D7" w:rsidP="00FE4A81">
      <w:r w:rsidRPr="004411EA">
        <w:t xml:space="preserve">A question for the ACPM is whether there should be a statement that </w:t>
      </w:r>
      <w:proofErr w:type="spellStart"/>
      <w:r w:rsidRPr="004411EA">
        <w:t>Nuwiq</w:t>
      </w:r>
      <w:proofErr w:type="spellEnd"/>
      <w:r w:rsidRPr="004411EA">
        <w:t xml:space="preserve"> does not contain von </w:t>
      </w:r>
      <w:proofErr w:type="spellStart"/>
      <w:r w:rsidRPr="004411EA">
        <w:t>Willebrand</w:t>
      </w:r>
      <w:proofErr w:type="spellEnd"/>
      <w:r w:rsidRPr="004411EA">
        <w:t xml:space="preserve"> Factor and is not indicated in </w:t>
      </w:r>
      <w:r>
        <w:t xml:space="preserve">von </w:t>
      </w:r>
      <w:proofErr w:type="spellStart"/>
      <w:r w:rsidRPr="002F0BEA">
        <w:t>Willebrand’s</w:t>
      </w:r>
      <w:proofErr w:type="spellEnd"/>
      <w:r w:rsidRPr="002F0BEA">
        <w:t xml:space="preserve"> disease (see </w:t>
      </w:r>
      <w:r w:rsidR="00FC5A2A" w:rsidRPr="002F0BEA">
        <w:t>Product background for some currently registered agents and their approved indications.)</w:t>
      </w:r>
    </w:p>
    <w:p w:rsidR="006069D7" w:rsidRPr="004411EA" w:rsidRDefault="006069D7" w:rsidP="00FE4A81">
      <w:pPr>
        <w:rPr>
          <w:rFonts w:cs="Calibri"/>
        </w:rPr>
      </w:pPr>
      <w:r w:rsidRPr="004411EA">
        <w:rPr>
          <w:rFonts w:cs="Calibri"/>
        </w:rPr>
        <w:t>The ACPM is invited to comment on any aspect of the PI/CMI that could be improved.</w:t>
      </w:r>
    </w:p>
    <w:p w:rsidR="006069D7" w:rsidRPr="00FE4A81" w:rsidRDefault="006069D7" w:rsidP="00FE4A81">
      <w:pPr>
        <w:pStyle w:val="Heading4"/>
      </w:pPr>
      <w:r w:rsidRPr="004411EA">
        <w:t xml:space="preserve">Summary of </w:t>
      </w:r>
      <w:r w:rsidR="00FC3E98">
        <w:t>i</w:t>
      </w:r>
      <w:r w:rsidRPr="004411EA">
        <w:t>ssue/s</w:t>
      </w:r>
    </w:p>
    <w:p w:rsidR="006069D7" w:rsidRPr="004411EA" w:rsidRDefault="006069D7" w:rsidP="00FE4A81">
      <w:r w:rsidRPr="004411EA">
        <w:t>Previously untreated patients were not studied.</w:t>
      </w:r>
      <w:r w:rsidR="00FF5033">
        <w:t xml:space="preserve"> </w:t>
      </w:r>
      <w:r w:rsidRPr="004411EA">
        <w:t>Patients under 2</w:t>
      </w:r>
      <w:r w:rsidR="00E00E5B">
        <w:t xml:space="preserve"> years </w:t>
      </w:r>
      <w:r w:rsidRPr="004411EA">
        <w:t>of age were not studied.</w:t>
      </w:r>
      <w:r w:rsidR="00FF5033">
        <w:t xml:space="preserve"> </w:t>
      </w:r>
      <w:r w:rsidRPr="004411EA">
        <w:t>Only those with severe haemophilia A were studied.</w:t>
      </w:r>
    </w:p>
    <w:p w:rsidR="006069D7" w:rsidRPr="006069D7" w:rsidRDefault="006069D7" w:rsidP="00FE4A81">
      <w:r w:rsidRPr="004411EA">
        <w:t xml:space="preserve">Dosing recommendations </w:t>
      </w:r>
      <w:r>
        <w:t xml:space="preserve">in PI </w:t>
      </w:r>
      <w:r w:rsidRPr="004411EA">
        <w:t>are different to dose regimens used in the trial program.</w:t>
      </w:r>
    </w:p>
    <w:p w:rsidR="00D23139" w:rsidRDefault="00D23139" w:rsidP="00D23139">
      <w:pPr>
        <w:pStyle w:val="Heading4"/>
      </w:pPr>
      <w:r w:rsidRPr="00D23139">
        <w:t>Proposed action</w:t>
      </w:r>
    </w:p>
    <w:p w:rsidR="006069D7" w:rsidRPr="004411EA" w:rsidRDefault="00FE4A81" w:rsidP="00FE4A81">
      <w:r>
        <w:t>The Delegate</w:t>
      </w:r>
      <w:r w:rsidR="006069D7" w:rsidRPr="004411EA">
        <w:t xml:space="preserve"> ha</w:t>
      </w:r>
      <w:r>
        <w:t>d</w:t>
      </w:r>
      <w:r w:rsidR="006069D7" w:rsidRPr="004411EA">
        <w:t xml:space="preserve"> no reason to say, at this time, that the application for </w:t>
      </w:r>
      <w:proofErr w:type="spellStart"/>
      <w:r w:rsidR="006069D7" w:rsidRPr="004411EA">
        <w:t>Nuwiq</w:t>
      </w:r>
      <w:proofErr w:type="spellEnd"/>
      <w:r w:rsidR="006069D7" w:rsidRPr="004411EA">
        <w:t xml:space="preserve"> should not be approved for registration but the advice of the Committee is requested.</w:t>
      </w:r>
      <w:r w:rsidR="00FF5033">
        <w:t xml:space="preserve"> </w:t>
      </w:r>
      <w:r w:rsidR="006069D7" w:rsidRPr="004411EA">
        <w:t xml:space="preserve">See </w:t>
      </w:r>
      <w:r>
        <w:t>below</w:t>
      </w:r>
      <w:r w:rsidR="006069D7" w:rsidRPr="004411EA">
        <w:t>.</w:t>
      </w:r>
    </w:p>
    <w:p w:rsidR="00D23139" w:rsidRDefault="00D23139" w:rsidP="00FE4A81">
      <w:pPr>
        <w:pStyle w:val="Heading4"/>
      </w:pPr>
      <w:r w:rsidRPr="00D23139">
        <w:t>Request for ACPM advice</w:t>
      </w:r>
    </w:p>
    <w:p w:rsidR="006069D7" w:rsidRPr="004411EA" w:rsidRDefault="006069D7" w:rsidP="00FE4A81">
      <w:r w:rsidRPr="004411EA">
        <w:t>The committee is requested to provide advice on the following specific issues:</w:t>
      </w:r>
    </w:p>
    <w:p w:rsidR="006069D7" w:rsidRPr="004411EA" w:rsidRDefault="006069D7" w:rsidP="00FE4A81">
      <w:pPr>
        <w:pStyle w:val="Numberbullet0"/>
        <w:numPr>
          <w:ilvl w:val="0"/>
          <w:numId w:val="27"/>
        </w:numPr>
      </w:pPr>
      <w:r w:rsidRPr="004411EA">
        <w:t>Should the indication limit use to subjects with severe Haemophilia A?</w:t>
      </w:r>
    </w:p>
    <w:p w:rsidR="006069D7" w:rsidRPr="004411EA" w:rsidRDefault="006069D7" w:rsidP="00FE4A81">
      <w:pPr>
        <w:pStyle w:val="Numberbullet0"/>
        <w:numPr>
          <w:ilvl w:val="0"/>
          <w:numId w:val="27"/>
        </w:numPr>
      </w:pPr>
      <w:r w:rsidRPr="004411EA">
        <w:t xml:space="preserve">Should the indication include a statement that the product does not contain </w:t>
      </w:r>
      <w:proofErr w:type="spellStart"/>
      <w:r w:rsidRPr="004411EA">
        <w:t>vWF</w:t>
      </w:r>
      <w:proofErr w:type="spellEnd"/>
      <w:r w:rsidRPr="004411EA">
        <w:t xml:space="preserve"> and is not indicated to treat von </w:t>
      </w:r>
      <w:proofErr w:type="spellStart"/>
      <w:r w:rsidRPr="004411EA">
        <w:t>Willebrand’s</w:t>
      </w:r>
      <w:proofErr w:type="spellEnd"/>
      <w:r w:rsidRPr="004411EA">
        <w:t xml:space="preserve"> Disease?</w:t>
      </w:r>
    </w:p>
    <w:p w:rsidR="006069D7" w:rsidRPr="004411EA" w:rsidRDefault="006069D7" w:rsidP="00FE4A81">
      <w:pPr>
        <w:pStyle w:val="Numberbullet0"/>
        <w:numPr>
          <w:ilvl w:val="0"/>
          <w:numId w:val="27"/>
        </w:numPr>
      </w:pPr>
      <w:r w:rsidRPr="004411EA">
        <w:t>Are dosing recommendations acceptable given their departure from dosing in pivotal studies?</w:t>
      </w:r>
    </w:p>
    <w:p w:rsidR="006069D7" w:rsidRPr="006069D7" w:rsidRDefault="006069D7" w:rsidP="00FE4A81">
      <w:r w:rsidRPr="004411EA">
        <w:t>The committee is also requested to provide advice on any other</w:t>
      </w:r>
      <w:r>
        <w:t xml:space="preserve"> </w:t>
      </w:r>
      <w:r w:rsidRPr="004411EA">
        <w:t>issues that it thinks may be relevant to a decision on whether or not to approve this application.</w:t>
      </w:r>
    </w:p>
    <w:p w:rsidR="00D23139" w:rsidRDefault="00D23139" w:rsidP="00D23139">
      <w:pPr>
        <w:pStyle w:val="Heading4"/>
      </w:pPr>
      <w:r w:rsidRPr="00D23139">
        <w:t xml:space="preserve">Response from </w:t>
      </w:r>
      <w:r w:rsidR="00FC3E98">
        <w:t>s</w:t>
      </w:r>
      <w:r w:rsidRPr="00D23139">
        <w:t xml:space="preserve">ponsor </w:t>
      </w:r>
    </w:p>
    <w:p w:rsidR="00E64C32" w:rsidRDefault="00E64C32" w:rsidP="00E64C32">
      <w:pPr>
        <w:pStyle w:val="Heading5"/>
        <w:rPr>
          <w:lang w:eastAsia="de-DE"/>
        </w:rPr>
      </w:pPr>
      <w:r w:rsidRPr="00B40E35">
        <w:t xml:space="preserve">Issue 1: </w:t>
      </w:r>
      <w:r w:rsidRPr="00B40E35">
        <w:rPr>
          <w:lang w:eastAsia="de-DE"/>
        </w:rPr>
        <w:t>Inhibitors</w:t>
      </w:r>
    </w:p>
    <w:p w:rsidR="00E64C32" w:rsidRPr="009449AE" w:rsidRDefault="00E64C32" w:rsidP="00E64C32">
      <w:pPr>
        <w:rPr>
          <w:i/>
          <w:lang w:eastAsia="de-DE"/>
        </w:rPr>
      </w:pPr>
      <w:r>
        <w:rPr>
          <w:lang w:eastAsia="de-DE"/>
        </w:rPr>
        <w:t xml:space="preserve">The Sponsor was invited to comment on whether inhibitor development be ruled out as a cause of individual episodes equating to </w:t>
      </w:r>
      <w:r w:rsidRPr="00815F7B">
        <w:rPr>
          <w:lang w:eastAsia="de-DE"/>
        </w:rPr>
        <w:t>treatment failure or poor efficacy</w:t>
      </w:r>
      <w:r>
        <w:rPr>
          <w:lang w:eastAsia="de-DE"/>
        </w:rPr>
        <w:t xml:space="preserve">. </w:t>
      </w:r>
      <w:r w:rsidRPr="002808A9">
        <w:rPr>
          <w:lang w:eastAsia="de-DE"/>
        </w:rPr>
        <w:t>The sponsor was also invited to comment on the trend across PK studies for mean IVR to decline at 6 months compared with baseline; was this mean decline due to outliers with significant declines, and, if so, could this be linked to untested / unrecognised inhibitor development?</w:t>
      </w:r>
    </w:p>
    <w:p w:rsidR="00E64C32" w:rsidRPr="009449AE" w:rsidRDefault="00E64C32" w:rsidP="00E64C32">
      <w:pPr>
        <w:pStyle w:val="Heading6"/>
        <w:rPr>
          <w:lang w:eastAsia="de-DE"/>
        </w:rPr>
      </w:pPr>
      <w:r w:rsidRPr="009449AE">
        <w:rPr>
          <w:lang w:eastAsia="de-DE"/>
        </w:rPr>
        <w:t>Sponsor’s comment:</w:t>
      </w:r>
    </w:p>
    <w:p w:rsidR="00E64C32" w:rsidRDefault="00E64C32" w:rsidP="00E64C32">
      <w:pPr>
        <w:pStyle w:val="ListBullet"/>
        <w:numPr>
          <w:ilvl w:val="0"/>
          <w:numId w:val="0"/>
        </w:numPr>
        <w:rPr>
          <w:lang w:eastAsia="de-DE"/>
        </w:rPr>
      </w:pPr>
      <w:r>
        <w:rPr>
          <w:lang w:eastAsia="de-DE"/>
        </w:rPr>
        <w:t>Poor efficacy and inhibitor development</w:t>
      </w:r>
    </w:p>
    <w:p w:rsidR="00E64C32" w:rsidRPr="009449AE" w:rsidRDefault="00E64C32" w:rsidP="00E64C32">
      <w:pPr>
        <w:rPr>
          <w:lang w:eastAsia="de-DE"/>
        </w:rPr>
      </w:pPr>
      <w:r>
        <w:rPr>
          <w:lang w:eastAsia="de-DE"/>
        </w:rPr>
        <w:t xml:space="preserve">In 3 patients (9 infusions) in GENA-01 for which the efficacy rating for bleed treatment was ‘none’. </w:t>
      </w:r>
      <w:r w:rsidRPr="009449AE">
        <w:rPr>
          <w:lang w:eastAsia="de-DE"/>
        </w:rPr>
        <w:t xml:space="preserve">Inhibitor tests with plasma samples obtained </w:t>
      </w:r>
      <w:r>
        <w:rPr>
          <w:lang w:eastAsia="de-DE"/>
        </w:rPr>
        <w:t>around</w:t>
      </w:r>
      <w:r w:rsidRPr="009449AE">
        <w:rPr>
          <w:lang w:eastAsia="de-DE"/>
        </w:rPr>
        <w:t xml:space="preserve"> the time of the infusions with an efficacy rating as ‘none’ were negative</w:t>
      </w:r>
      <w:r>
        <w:rPr>
          <w:lang w:eastAsia="de-DE"/>
        </w:rPr>
        <w:t xml:space="preserve"> (Table 17)</w:t>
      </w:r>
      <w:r w:rsidRPr="009449AE">
        <w:rPr>
          <w:lang w:eastAsia="de-DE"/>
        </w:rPr>
        <w:t xml:space="preserve">. Efficacy ratings for the next infusions for the subsequent </w:t>
      </w:r>
      <w:r>
        <w:t>bleeds</w:t>
      </w:r>
      <w:r w:rsidRPr="009449AE">
        <w:rPr>
          <w:lang w:eastAsia="de-DE"/>
        </w:rPr>
        <w:t xml:space="preserve"> were ‘moderate’ or ‘good’. This suggests that the negative efficacy ratings were not related to the development of an inhibitor</w:t>
      </w:r>
      <w:r>
        <w:rPr>
          <w:lang w:eastAsia="de-DE"/>
        </w:rPr>
        <w:t>,</w:t>
      </w:r>
      <w:r w:rsidRPr="009449AE">
        <w:rPr>
          <w:lang w:eastAsia="de-DE"/>
        </w:rPr>
        <w:t xml:space="preserve"> but rather were incidental singular events.</w:t>
      </w:r>
    </w:p>
    <w:p w:rsidR="00E64C32" w:rsidRDefault="00E64C32" w:rsidP="00E64C32">
      <w:pPr>
        <w:pStyle w:val="TableTitle"/>
        <w:rPr>
          <w:lang w:eastAsia="de-DE"/>
        </w:rPr>
      </w:pPr>
      <w:proofErr w:type="gramStart"/>
      <w:r w:rsidRPr="009449AE">
        <w:rPr>
          <w:lang w:eastAsia="de-DE"/>
        </w:rPr>
        <w:lastRenderedPageBreak/>
        <w:t xml:space="preserve">Table </w:t>
      </w:r>
      <w:r>
        <w:rPr>
          <w:lang w:eastAsia="de-DE"/>
        </w:rPr>
        <w:t>17</w:t>
      </w:r>
      <w:r w:rsidRPr="009449AE">
        <w:rPr>
          <w:lang w:eastAsia="de-DE"/>
        </w:rPr>
        <w:t>: Individual patient results</w:t>
      </w:r>
      <w:r>
        <w:rPr>
          <w:lang w:eastAsia="de-DE"/>
        </w:rPr>
        <w:t>.</w:t>
      </w:r>
      <w:proofErr w:type="gramEnd"/>
    </w:p>
    <w:tbl>
      <w:tblPr>
        <w:tblStyle w:val="TableTGAblue"/>
        <w:tblW w:w="4800" w:type="pct"/>
        <w:tblLook w:val="04A0" w:firstRow="1" w:lastRow="0" w:firstColumn="1" w:lastColumn="0" w:noHBand="0" w:noVBand="1"/>
      </w:tblPr>
      <w:tblGrid>
        <w:gridCol w:w="1289"/>
        <w:gridCol w:w="1939"/>
        <w:gridCol w:w="2834"/>
        <w:gridCol w:w="2309"/>
      </w:tblGrid>
      <w:tr w:rsidR="00E64C32" w:rsidRPr="00C22460" w:rsidTr="00A5047D">
        <w:trPr>
          <w:cnfStyle w:val="100000000000" w:firstRow="1" w:lastRow="0" w:firstColumn="0" w:lastColumn="0" w:oddVBand="0" w:evenVBand="0" w:oddHBand="0" w:evenHBand="0" w:firstRowFirstColumn="0" w:firstRowLastColumn="0" w:lastRowFirstColumn="0" w:lastRowLastColumn="0"/>
        </w:trPr>
        <w:tc>
          <w:tcPr>
            <w:tcW w:w="770" w:type="pct"/>
          </w:tcPr>
          <w:p w:rsidR="00E64C32" w:rsidRPr="00064EBD" w:rsidRDefault="00E64C32" w:rsidP="00FC3E98">
            <w:pPr>
              <w:rPr>
                <w:lang w:eastAsia="de-DE"/>
              </w:rPr>
            </w:pPr>
            <w:r w:rsidRPr="00064EBD">
              <w:rPr>
                <w:lang w:eastAsia="de-DE"/>
              </w:rPr>
              <w:t xml:space="preserve">Patient </w:t>
            </w:r>
          </w:p>
        </w:tc>
        <w:tc>
          <w:tcPr>
            <w:tcW w:w="1158" w:type="pct"/>
          </w:tcPr>
          <w:p w:rsidR="00E64C32" w:rsidRPr="00C22460" w:rsidRDefault="00E64C32" w:rsidP="00FC3E98">
            <w:pPr>
              <w:rPr>
                <w:lang w:eastAsia="de-DE"/>
              </w:rPr>
            </w:pPr>
            <w:r w:rsidRPr="00173BF1">
              <w:rPr>
                <w:lang w:eastAsia="de-DE"/>
              </w:rPr>
              <w:t xml:space="preserve">Efficacy rating as </w:t>
            </w:r>
            <w:r w:rsidRPr="00C22460">
              <w:rPr>
                <w:lang w:eastAsia="de-DE"/>
              </w:rPr>
              <w:t>‘none’ for individual infusions</w:t>
            </w:r>
          </w:p>
        </w:tc>
        <w:tc>
          <w:tcPr>
            <w:tcW w:w="1693" w:type="pct"/>
          </w:tcPr>
          <w:p w:rsidR="00E64C32" w:rsidRPr="00C22460" w:rsidRDefault="00E64C32" w:rsidP="00FC3E98">
            <w:pPr>
              <w:rPr>
                <w:lang w:eastAsia="de-DE"/>
              </w:rPr>
            </w:pPr>
            <w:r w:rsidRPr="00C22460">
              <w:rPr>
                <w:lang w:eastAsia="de-DE"/>
              </w:rPr>
              <w:t xml:space="preserve">Date and efficacy rating of next individual infusion for next </w:t>
            </w:r>
            <w:r>
              <w:rPr>
                <w:lang w:eastAsia="de-DE"/>
              </w:rPr>
              <w:t>bleed</w:t>
            </w:r>
          </w:p>
        </w:tc>
        <w:tc>
          <w:tcPr>
            <w:tcW w:w="1379" w:type="pct"/>
          </w:tcPr>
          <w:p w:rsidR="00E64C32" w:rsidRPr="00C22460" w:rsidRDefault="00E64C32" w:rsidP="00FC3E98">
            <w:pPr>
              <w:rPr>
                <w:lang w:eastAsia="de-DE"/>
              </w:rPr>
            </w:pPr>
            <w:r w:rsidRPr="00C22460">
              <w:rPr>
                <w:lang w:eastAsia="de-DE"/>
              </w:rPr>
              <w:t>Negative inhibitor results* around time infusions with efficacy rating of ‘none’</w:t>
            </w:r>
          </w:p>
        </w:tc>
      </w:tr>
      <w:tr w:rsidR="00E64C32" w:rsidRPr="004A0521" w:rsidTr="00A5047D">
        <w:tc>
          <w:tcPr>
            <w:tcW w:w="770" w:type="pct"/>
          </w:tcPr>
          <w:p w:rsidR="00E64C32" w:rsidRPr="004A0521" w:rsidRDefault="00E64C32" w:rsidP="00FC3E98">
            <w:pPr>
              <w:rPr>
                <w:rFonts w:asciiTheme="minorHAnsi" w:hAnsiTheme="minorHAnsi"/>
                <w:lang w:eastAsia="de-DE"/>
              </w:rPr>
            </w:pPr>
            <w:r w:rsidRPr="004A0521">
              <w:rPr>
                <w:rFonts w:asciiTheme="minorHAnsi" w:hAnsiTheme="minorHAnsi"/>
                <w:lang w:eastAsia="de-DE"/>
              </w:rPr>
              <w:t>1</w:t>
            </w:r>
          </w:p>
        </w:tc>
        <w:tc>
          <w:tcPr>
            <w:tcW w:w="1158" w:type="pct"/>
          </w:tcPr>
          <w:p w:rsidR="00E64C32" w:rsidRPr="004A0521" w:rsidRDefault="00E64C32" w:rsidP="00FC3E98">
            <w:pPr>
              <w:rPr>
                <w:rFonts w:asciiTheme="minorHAnsi" w:hAnsiTheme="minorHAnsi"/>
                <w:lang w:eastAsia="de-DE"/>
              </w:rPr>
            </w:pPr>
            <w:r>
              <w:rPr>
                <w:rFonts w:asciiTheme="minorHAnsi" w:hAnsiTheme="minorHAnsi"/>
                <w:lang w:eastAsia="de-DE"/>
              </w:rPr>
              <w:t xml:space="preserve">24 </w:t>
            </w:r>
            <w:r w:rsidRPr="004A0521">
              <w:rPr>
                <w:rFonts w:asciiTheme="minorHAnsi" w:hAnsiTheme="minorHAnsi"/>
                <w:lang w:eastAsia="de-DE"/>
              </w:rPr>
              <w:t>Jan</w:t>
            </w:r>
            <w:r>
              <w:rPr>
                <w:rFonts w:asciiTheme="minorHAnsi" w:hAnsiTheme="minorHAnsi"/>
                <w:lang w:eastAsia="de-DE"/>
              </w:rPr>
              <w:t xml:space="preserve">uary </w:t>
            </w:r>
            <w:r w:rsidRPr="004A0521">
              <w:rPr>
                <w:rFonts w:asciiTheme="minorHAnsi" w:hAnsiTheme="minorHAnsi"/>
                <w:lang w:eastAsia="de-DE"/>
              </w:rPr>
              <w:t>2011 (2x)</w:t>
            </w:r>
            <w:r w:rsidR="00FC3E98">
              <w:rPr>
                <w:rFonts w:asciiTheme="minorHAnsi" w:hAnsiTheme="minorHAnsi"/>
                <w:lang w:eastAsia="de-DE"/>
              </w:rPr>
              <w:t xml:space="preserve"> </w:t>
            </w:r>
            <w:r w:rsidRPr="004A0521">
              <w:rPr>
                <w:rFonts w:asciiTheme="minorHAnsi" w:hAnsiTheme="minorHAnsi"/>
                <w:lang w:eastAsia="de-DE"/>
              </w:rPr>
              <w:t>2</w:t>
            </w:r>
            <w:r>
              <w:rPr>
                <w:rFonts w:asciiTheme="minorHAnsi" w:hAnsiTheme="minorHAnsi"/>
                <w:lang w:eastAsia="de-DE"/>
              </w:rPr>
              <w:t xml:space="preserve">7 </w:t>
            </w:r>
            <w:r w:rsidRPr="004A0521">
              <w:rPr>
                <w:rFonts w:asciiTheme="minorHAnsi" w:hAnsiTheme="minorHAnsi"/>
                <w:lang w:eastAsia="de-DE"/>
              </w:rPr>
              <w:t>Jan</w:t>
            </w:r>
            <w:r>
              <w:rPr>
                <w:rFonts w:asciiTheme="minorHAnsi" w:hAnsiTheme="minorHAnsi"/>
                <w:lang w:eastAsia="de-DE"/>
              </w:rPr>
              <w:t xml:space="preserve">uary </w:t>
            </w:r>
            <w:r w:rsidRPr="004A0521">
              <w:rPr>
                <w:rFonts w:asciiTheme="minorHAnsi" w:hAnsiTheme="minorHAnsi"/>
                <w:lang w:eastAsia="de-DE"/>
              </w:rPr>
              <w:t>2011</w:t>
            </w:r>
          </w:p>
        </w:tc>
        <w:tc>
          <w:tcPr>
            <w:tcW w:w="1693" w:type="pct"/>
          </w:tcPr>
          <w:p w:rsidR="00E64C32" w:rsidRPr="004A0521" w:rsidRDefault="00E64C32" w:rsidP="00A5047D">
            <w:pPr>
              <w:rPr>
                <w:rFonts w:asciiTheme="minorHAnsi" w:hAnsiTheme="minorHAnsi"/>
                <w:lang w:eastAsia="de-DE"/>
              </w:rPr>
            </w:pPr>
            <w:r>
              <w:rPr>
                <w:rFonts w:asciiTheme="minorHAnsi" w:hAnsiTheme="minorHAnsi"/>
                <w:lang w:eastAsia="de-DE"/>
              </w:rPr>
              <w:t xml:space="preserve">10 </w:t>
            </w:r>
            <w:r w:rsidRPr="004A0521">
              <w:rPr>
                <w:rFonts w:asciiTheme="minorHAnsi" w:hAnsiTheme="minorHAnsi"/>
                <w:lang w:eastAsia="de-DE"/>
              </w:rPr>
              <w:t>Feb</w:t>
            </w:r>
            <w:r>
              <w:rPr>
                <w:rFonts w:asciiTheme="minorHAnsi" w:hAnsiTheme="minorHAnsi"/>
                <w:lang w:eastAsia="de-DE"/>
              </w:rPr>
              <w:t>ruary 2011</w:t>
            </w:r>
            <w:r w:rsidR="00A5047D">
              <w:rPr>
                <w:rFonts w:asciiTheme="minorHAnsi" w:hAnsiTheme="minorHAnsi"/>
                <w:lang w:eastAsia="de-DE"/>
              </w:rPr>
              <w:t xml:space="preserve"> </w:t>
            </w:r>
            <w:r w:rsidRPr="00F549F3">
              <w:rPr>
                <w:rFonts w:asciiTheme="minorHAnsi" w:hAnsiTheme="minorHAnsi"/>
                <w:i/>
                <w:lang w:eastAsia="de-DE"/>
              </w:rPr>
              <w:t>‘Good’</w:t>
            </w:r>
          </w:p>
        </w:tc>
        <w:tc>
          <w:tcPr>
            <w:tcW w:w="1379" w:type="pct"/>
          </w:tcPr>
          <w:p w:rsidR="00E64C32" w:rsidRPr="004A0521" w:rsidRDefault="00E64C32" w:rsidP="00A5047D">
            <w:pPr>
              <w:rPr>
                <w:rFonts w:asciiTheme="minorHAnsi" w:hAnsiTheme="minorHAnsi"/>
                <w:lang w:eastAsia="de-DE"/>
              </w:rPr>
            </w:pPr>
            <w:r w:rsidRPr="004A0521">
              <w:rPr>
                <w:rFonts w:asciiTheme="minorHAnsi" w:hAnsiTheme="minorHAnsi"/>
                <w:lang w:eastAsia="de-DE"/>
              </w:rPr>
              <w:t>10</w:t>
            </w:r>
            <w:r>
              <w:rPr>
                <w:rFonts w:asciiTheme="minorHAnsi" w:hAnsiTheme="minorHAnsi"/>
                <w:lang w:eastAsia="de-DE"/>
              </w:rPr>
              <w:t xml:space="preserve"> </w:t>
            </w:r>
            <w:r w:rsidRPr="004A0521">
              <w:rPr>
                <w:rFonts w:asciiTheme="minorHAnsi" w:hAnsiTheme="minorHAnsi"/>
                <w:lang w:eastAsia="de-DE"/>
              </w:rPr>
              <w:t>Jan</w:t>
            </w:r>
            <w:r>
              <w:rPr>
                <w:rFonts w:asciiTheme="minorHAnsi" w:hAnsiTheme="minorHAnsi"/>
                <w:lang w:eastAsia="de-DE"/>
              </w:rPr>
              <w:t>uary 2011</w:t>
            </w:r>
            <w:r w:rsidR="00A5047D">
              <w:rPr>
                <w:rFonts w:asciiTheme="minorHAnsi" w:hAnsiTheme="minorHAnsi"/>
                <w:lang w:eastAsia="de-DE"/>
              </w:rPr>
              <w:t xml:space="preserve"> </w:t>
            </w:r>
            <w:r>
              <w:rPr>
                <w:rFonts w:asciiTheme="minorHAnsi" w:hAnsiTheme="minorHAnsi"/>
                <w:lang w:eastAsia="de-DE"/>
              </w:rPr>
              <w:t xml:space="preserve">7 </w:t>
            </w:r>
            <w:r w:rsidRPr="004A0521">
              <w:rPr>
                <w:rFonts w:asciiTheme="minorHAnsi" w:hAnsiTheme="minorHAnsi"/>
                <w:lang w:eastAsia="de-DE"/>
              </w:rPr>
              <w:t>Apr</w:t>
            </w:r>
            <w:r>
              <w:rPr>
                <w:rFonts w:asciiTheme="minorHAnsi" w:hAnsiTheme="minorHAnsi"/>
                <w:lang w:eastAsia="de-DE"/>
              </w:rPr>
              <w:t xml:space="preserve">il </w:t>
            </w:r>
            <w:r w:rsidRPr="004A0521">
              <w:rPr>
                <w:rFonts w:asciiTheme="minorHAnsi" w:hAnsiTheme="minorHAnsi"/>
                <w:lang w:eastAsia="de-DE"/>
              </w:rPr>
              <w:t>2011</w:t>
            </w:r>
          </w:p>
        </w:tc>
      </w:tr>
      <w:tr w:rsidR="00E64C32" w:rsidRPr="004A0521" w:rsidTr="00A5047D">
        <w:tc>
          <w:tcPr>
            <w:tcW w:w="770" w:type="pct"/>
          </w:tcPr>
          <w:p w:rsidR="00E64C32" w:rsidRPr="004A0521" w:rsidRDefault="00E64C32" w:rsidP="00FC3E98">
            <w:pPr>
              <w:rPr>
                <w:rFonts w:asciiTheme="minorHAnsi" w:hAnsiTheme="minorHAnsi"/>
                <w:lang w:eastAsia="de-DE"/>
              </w:rPr>
            </w:pPr>
            <w:r w:rsidRPr="004A0521">
              <w:rPr>
                <w:rFonts w:asciiTheme="minorHAnsi" w:hAnsiTheme="minorHAnsi"/>
                <w:lang w:eastAsia="de-DE"/>
              </w:rPr>
              <w:t>2</w:t>
            </w:r>
          </w:p>
        </w:tc>
        <w:tc>
          <w:tcPr>
            <w:tcW w:w="1158" w:type="pct"/>
          </w:tcPr>
          <w:p w:rsidR="00E64C32" w:rsidRPr="004A0521" w:rsidRDefault="00E64C32" w:rsidP="00FC3E98">
            <w:pPr>
              <w:rPr>
                <w:rFonts w:asciiTheme="minorHAnsi" w:hAnsiTheme="minorHAnsi"/>
                <w:lang w:eastAsia="de-DE"/>
              </w:rPr>
            </w:pPr>
            <w:r>
              <w:rPr>
                <w:rFonts w:asciiTheme="minorHAnsi" w:hAnsiTheme="minorHAnsi"/>
                <w:lang w:eastAsia="de-DE"/>
              </w:rPr>
              <w:t xml:space="preserve">16 </w:t>
            </w:r>
            <w:r w:rsidRPr="004A0521">
              <w:rPr>
                <w:rFonts w:asciiTheme="minorHAnsi" w:hAnsiTheme="minorHAnsi"/>
                <w:lang w:eastAsia="de-DE"/>
              </w:rPr>
              <w:t>Apr</w:t>
            </w:r>
            <w:r>
              <w:rPr>
                <w:rFonts w:asciiTheme="minorHAnsi" w:hAnsiTheme="minorHAnsi"/>
                <w:lang w:eastAsia="de-DE"/>
              </w:rPr>
              <w:t>il 2011 (2x)</w:t>
            </w:r>
            <w:r w:rsidR="00FC3E98">
              <w:rPr>
                <w:rFonts w:asciiTheme="minorHAnsi" w:hAnsiTheme="minorHAnsi"/>
                <w:lang w:eastAsia="de-DE"/>
              </w:rPr>
              <w:t xml:space="preserve"> </w:t>
            </w:r>
            <w:r>
              <w:rPr>
                <w:rFonts w:asciiTheme="minorHAnsi" w:hAnsiTheme="minorHAnsi"/>
                <w:lang w:eastAsia="de-DE"/>
              </w:rPr>
              <w:t xml:space="preserve">18 </w:t>
            </w:r>
            <w:r w:rsidRPr="004A0521">
              <w:rPr>
                <w:rFonts w:asciiTheme="minorHAnsi" w:hAnsiTheme="minorHAnsi"/>
                <w:lang w:eastAsia="de-DE"/>
              </w:rPr>
              <w:t>Apr</w:t>
            </w:r>
            <w:r>
              <w:rPr>
                <w:rFonts w:asciiTheme="minorHAnsi" w:hAnsiTheme="minorHAnsi"/>
                <w:lang w:eastAsia="de-DE"/>
              </w:rPr>
              <w:t xml:space="preserve">il </w:t>
            </w:r>
            <w:r w:rsidRPr="004A0521">
              <w:rPr>
                <w:rFonts w:asciiTheme="minorHAnsi" w:hAnsiTheme="minorHAnsi"/>
                <w:lang w:eastAsia="de-DE"/>
              </w:rPr>
              <w:t>2011</w:t>
            </w:r>
          </w:p>
        </w:tc>
        <w:tc>
          <w:tcPr>
            <w:tcW w:w="1693" w:type="pct"/>
          </w:tcPr>
          <w:p w:rsidR="00E64C32" w:rsidRPr="004A0521" w:rsidRDefault="00E64C32" w:rsidP="00A5047D">
            <w:pPr>
              <w:rPr>
                <w:rFonts w:asciiTheme="minorHAnsi" w:hAnsiTheme="minorHAnsi"/>
                <w:lang w:eastAsia="de-DE"/>
              </w:rPr>
            </w:pPr>
            <w:r>
              <w:rPr>
                <w:rFonts w:asciiTheme="minorHAnsi" w:hAnsiTheme="minorHAnsi"/>
                <w:lang w:eastAsia="de-DE"/>
              </w:rPr>
              <w:t xml:space="preserve">20 </w:t>
            </w:r>
            <w:r w:rsidRPr="004A0521">
              <w:rPr>
                <w:rFonts w:asciiTheme="minorHAnsi" w:hAnsiTheme="minorHAnsi"/>
                <w:lang w:eastAsia="de-DE"/>
              </w:rPr>
              <w:t>Apr</w:t>
            </w:r>
            <w:r>
              <w:rPr>
                <w:rFonts w:asciiTheme="minorHAnsi" w:hAnsiTheme="minorHAnsi"/>
                <w:lang w:eastAsia="de-DE"/>
              </w:rPr>
              <w:t>il 2011</w:t>
            </w:r>
            <w:r w:rsidR="00A5047D">
              <w:rPr>
                <w:rFonts w:asciiTheme="minorHAnsi" w:hAnsiTheme="minorHAnsi"/>
                <w:lang w:eastAsia="de-DE"/>
              </w:rPr>
              <w:t xml:space="preserve"> </w:t>
            </w:r>
            <w:r>
              <w:rPr>
                <w:rFonts w:asciiTheme="minorHAnsi" w:hAnsiTheme="minorHAnsi"/>
                <w:lang w:eastAsia="de-DE"/>
              </w:rPr>
              <w:t>‘</w:t>
            </w:r>
            <w:r w:rsidRPr="00F549F3">
              <w:rPr>
                <w:rFonts w:asciiTheme="minorHAnsi" w:hAnsiTheme="minorHAnsi"/>
                <w:i/>
                <w:lang w:eastAsia="de-DE"/>
              </w:rPr>
              <w:t>Moderate’</w:t>
            </w:r>
          </w:p>
        </w:tc>
        <w:tc>
          <w:tcPr>
            <w:tcW w:w="1379" w:type="pct"/>
          </w:tcPr>
          <w:p w:rsidR="00E64C32" w:rsidRPr="004A0521" w:rsidRDefault="00E64C32" w:rsidP="00A5047D">
            <w:pPr>
              <w:rPr>
                <w:rFonts w:asciiTheme="minorHAnsi" w:hAnsiTheme="minorHAnsi"/>
                <w:lang w:eastAsia="de-DE"/>
              </w:rPr>
            </w:pPr>
            <w:r>
              <w:rPr>
                <w:rFonts w:asciiTheme="minorHAnsi" w:hAnsiTheme="minorHAnsi"/>
                <w:lang w:eastAsia="de-DE"/>
              </w:rPr>
              <w:t xml:space="preserve">18 </w:t>
            </w:r>
            <w:r w:rsidRPr="004A0521">
              <w:rPr>
                <w:rFonts w:asciiTheme="minorHAnsi" w:hAnsiTheme="minorHAnsi"/>
                <w:lang w:eastAsia="de-DE"/>
              </w:rPr>
              <w:t>Feb</w:t>
            </w:r>
            <w:r>
              <w:rPr>
                <w:rFonts w:asciiTheme="minorHAnsi" w:hAnsiTheme="minorHAnsi"/>
                <w:lang w:eastAsia="de-DE"/>
              </w:rPr>
              <w:t>ruary 2011</w:t>
            </w:r>
            <w:r w:rsidR="00A5047D">
              <w:rPr>
                <w:rFonts w:asciiTheme="minorHAnsi" w:hAnsiTheme="minorHAnsi"/>
                <w:lang w:eastAsia="de-DE"/>
              </w:rPr>
              <w:t xml:space="preserve"> </w:t>
            </w:r>
            <w:r>
              <w:rPr>
                <w:rFonts w:asciiTheme="minorHAnsi" w:hAnsiTheme="minorHAnsi"/>
                <w:lang w:eastAsia="de-DE"/>
              </w:rPr>
              <w:t xml:space="preserve">06 May </w:t>
            </w:r>
            <w:r w:rsidRPr="004A0521">
              <w:rPr>
                <w:rFonts w:asciiTheme="minorHAnsi" w:hAnsiTheme="minorHAnsi"/>
                <w:lang w:eastAsia="de-DE"/>
              </w:rPr>
              <w:t>2011</w:t>
            </w:r>
          </w:p>
        </w:tc>
      </w:tr>
      <w:tr w:rsidR="00E64C32" w:rsidRPr="004A0521" w:rsidTr="00A5047D">
        <w:tc>
          <w:tcPr>
            <w:tcW w:w="770" w:type="pct"/>
          </w:tcPr>
          <w:p w:rsidR="00E64C32" w:rsidRPr="00DC1FFB" w:rsidRDefault="00E64C32" w:rsidP="00FC3E98">
            <w:pPr>
              <w:rPr>
                <w:rFonts w:asciiTheme="minorHAnsi" w:hAnsiTheme="minorHAnsi"/>
                <w:lang w:eastAsia="de-DE"/>
              </w:rPr>
            </w:pPr>
            <w:r w:rsidRPr="00DC1FFB">
              <w:rPr>
                <w:rFonts w:asciiTheme="minorHAnsi" w:hAnsiTheme="minorHAnsi"/>
                <w:lang w:eastAsia="de-DE"/>
              </w:rPr>
              <w:t>3</w:t>
            </w:r>
          </w:p>
        </w:tc>
        <w:tc>
          <w:tcPr>
            <w:tcW w:w="1158" w:type="pct"/>
          </w:tcPr>
          <w:p w:rsidR="00E64C32" w:rsidRPr="004A0521" w:rsidRDefault="00E64C32" w:rsidP="00A5047D">
            <w:pPr>
              <w:rPr>
                <w:rFonts w:asciiTheme="minorHAnsi" w:hAnsiTheme="minorHAnsi"/>
                <w:lang w:eastAsia="de-DE"/>
              </w:rPr>
            </w:pPr>
            <w:r>
              <w:rPr>
                <w:rFonts w:asciiTheme="minorHAnsi" w:hAnsiTheme="minorHAnsi"/>
                <w:lang w:eastAsia="de-DE"/>
              </w:rPr>
              <w:t>23 May 2011</w:t>
            </w:r>
            <w:r w:rsidR="00FC3E98">
              <w:rPr>
                <w:rFonts w:asciiTheme="minorHAnsi" w:hAnsiTheme="minorHAnsi"/>
                <w:lang w:eastAsia="de-DE"/>
              </w:rPr>
              <w:t xml:space="preserve"> </w:t>
            </w:r>
            <w:r>
              <w:rPr>
                <w:rFonts w:asciiTheme="minorHAnsi" w:hAnsiTheme="minorHAnsi"/>
                <w:lang w:eastAsia="de-DE"/>
              </w:rPr>
              <w:t>24 May 2011</w:t>
            </w:r>
            <w:r w:rsidR="00A5047D">
              <w:rPr>
                <w:rFonts w:asciiTheme="minorHAnsi" w:hAnsiTheme="minorHAnsi"/>
                <w:lang w:eastAsia="de-DE"/>
              </w:rPr>
              <w:t xml:space="preserve"> </w:t>
            </w:r>
            <w:r>
              <w:rPr>
                <w:rFonts w:asciiTheme="minorHAnsi" w:hAnsiTheme="minorHAnsi"/>
                <w:lang w:eastAsia="de-DE"/>
              </w:rPr>
              <w:t xml:space="preserve">25 May </w:t>
            </w:r>
            <w:r w:rsidRPr="004A0521">
              <w:rPr>
                <w:rFonts w:asciiTheme="minorHAnsi" w:hAnsiTheme="minorHAnsi"/>
                <w:lang w:eastAsia="de-DE"/>
              </w:rPr>
              <w:t>2011</w:t>
            </w:r>
          </w:p>
        </w:tc>
        <w:tc>
          <w:tcPr>
            <w:tcW w:w="1693" w:type="pct"/>
          </w:tcPr>
          <w:p w:rsidR="00E64C32" w:rsidRPr="004A0521" w:rsidRDefault="00E64C32" w:rsidP="00A5047D">
            <w:pPr>
              <w:rPr>
                <w:rFonts w:asciiTheme="minorHAnsi" w:hAnsiTheme="minorHAnsi"/>
                <w:lang w:eastAsia="de-DE"/>
              </w:rPr>
            </w:pPr>
            <w:r>
              <w:rPr>
                <w:rFonts w:asciiTheme="minorHAnsi" w:hAnsiTheme="minorHAnsi"/>
                <w:lang w:eastAsia="de-DE"/>
              </w:rPr>
              <w:t>27 May 2011</w:t>
            </w:r>
            <w:r w:rsidR="00A5047D">
              <w:rPr>
                <w:rFonts w:asciiTheme="minorHAnsi" w:hAnsiTheme="minorHAnsi"/>
                <w:lang w:eastAsia="de-DE"/>
              </w:rPr>
              <w:t xml:space="preserve"> </w:t>
            </w:r>
            <w:r w:rsidRPr="00F549F3">
              <w:rPr>
                <w:rFonts w:asciiTheme="minorHAnsi" w:hAnsiTheme="minorHAnsi"/>
                <w:i/>
                <w:lang w:eastAsia="de-DE"/>
              </w:rPr>
              <w:t>‘Good’</w:t>
            </w:r>
          </w:p>
        </w:tc>
        <w:tc>
          <w:tcPr>
            <w:tcW w:w="1379" w:type="pct"/>
          </w:tcPr>
          <w:p w:rsidR="00A5047D" w:rsidRDefault="00E64C32" w:rsidP="00A5047D">
            <w:pPr>
              <w:rPr>
                <w:rFonts w:asciiTheme="minorHAnsi" w:hAnsiTheme="minorHAnsi"/>
                <w:lang w:eastAsia="de-DE"/>
              </w:rPr>
            </w:pPr>
            <w:r>
              <w:rPr>
                <w:rFonts w:asciiTheme="minorHAnsi" w:hAnsiTheme="minorHAnsi"/>
                <w:lang w:eastAsia="de-DE"/>
              </w:rPr>
              <w:t>6 May 2011</w:t>
            </w:r>
            <w:r w:rsidR="00A5047D">
              <w:rPr>
                <w:rFonts w:asciiTheme="minorHAnsi" w:hAnsiTheme="minorHAnsi"/>
                <w:lang w:eastAsia="de-DE"/>
              </w:rPr>
              <w:t xml:space="preserve"> </w:t>
            </w:r>
          </w:p>
          <w:p w:rsidR="00E64C32" w:rsidRPr="004A0521" w:rsidRDefault="00E64C32" w:rsidP="00A5047D">
            <w:pPr>
              <w:rPr>
                <w:rFonts w:asciiTheme="minorHAnsi" w:hAnsiTheme="minorHAnsi"/>
                <w:lang w:eastAsia="de-DE"/>
              </w:rPr>
            </w:pPr>
            <w:r>
              <w:rPr>
                <w:rFonts w:asciiTheme="minorHAnsi" w:hAnsiTheme="minorHAnsi"/>
                <w:lang w:eastAsia="de-DE"/>
              </w:rPr>
              <w:t xml:space="preserve">19 September </w:t>
            </w:r>
            <w:r w:rsidRPr="004A0521">
              <w:rPr>
                <w:rFonts w:asciiTheme="minorHAnsi" w:hAnsiTheme="minorHAnsi"/>
                <w:lang w:eastAsia="de-DE"/>
              </w:rPr>
              <w:t>2011</w:t>
            </w:r>
          </w:p>
        </w:tc>
      </w:tr>
    </w:tbl>
    <w:p w:rsidR="00941254" w:rsidRDefault="00E64C32" w:rsidP="00A5047D">
      <w:pPr>
        <w:pStyle w:val="TableDescription"/>
        <w:rPr>
          <w:lang w:eastAsia="de-DE"/>
        </w:rPr>
      </w:pPr>
      <w:r w:rsidRPr="00EB4847">
        <w:rPr>
          <w:lang w:eastAsia="de-DE"/>
        </w:rPr>
        <w:t>* All inhibitor results in all studies were negative.</w:t>
      </w:r>
      <w:r>
        <w:rPr>
          <w:lang w:eastAsia="de-DE"/>
        </w:rPr>
        <w:t xml:space="preserve"> </w:t>
      </w:r>
    </w:p>
    <w:p w:rsidR="00E64C32" w:rsidRPr="009449AE" w:rsidRDefault="00E64C32" w:rsidP="00E64C32">
      <w:pPr>
        <w:autoSpaceDE w:val="0"/>
        <w:autoSpaceDN w:val="0"/>
        <w:adjustRightInd w:val="0"/>
        <w:spacing w:before="160"/>
        <w:rPr>
          <w:bCs/>
          <w:iCs/>
          <w:szCs w:val="24"/>
          <w:lang w:eastAsia="de-DE"/>
        </w:rPr>
      </w:pPr>
      <w:r>
        <w:rPr>
          <w:bCs/>
          <w:iCs/>
          <w:szCs w:val="24"/>
          <w:lang w:eastAsia="de-DE"/>
        </w:rPr>
        <w:t>In one patient (X) in GENA-03,</w:t>
      </w:r>
      <w:r w:rsidRPr="009449AE">
        <w:rPr>
          <w:bCs/>
          <w:iCs/>
          <w:szCs w:val="24"/>
          <w:lang w:eastAsia="de-DE"/>
        </w:rPr>
        <w:t xml:space="preserve"> treatment </w:t>
      </w:r>
      <w:r>
        <w:rPr>
          <w:bCs/>
          <w:iCs/>
          <w:szCs w:val="24"/>
          <w:lang w:eastAsia="de-DE"/>
        </w:rPr>
        <w:t xml:space="preserve">failure was documented </w:t>
      </w:r>
      <w:r w:rsidRPr="009449AE">
        <w:rPr>
          <w:bCs/>
          <w:iCs/>
          <w:szCs w:val="24"/>
          <w:lang w:eastAsia="de-DE"/>
        </w:rPr>
        <w:t>on 13 May 2011.</w:t>
      </w:r>
      <w:r w:rsidR="00A921F0">
        <w:rPr>
          <w:bCs/>
          <w:iCs/>
          <w:szCs w:val="24"/>
          <w:lang w:eastAsia="de-DE"/>
        </w:rPr>
        <w:t xml:space="preserve"> </w:t>
      </w:r>
      <w:r w:rsidRPr="009449AE">
        <w:rPr>
          <w:bCs/>
          <w:iCs/>
          <w:szCs w:val="24"/>
          <w:lang w:eastAsia="de-DE"/>
        </w:rPr>
        <w:t>The last previous inhibitor test with the plasma sample obtained on 12 April 2011 was negative. Following withdrawal from the study, the patient switched back to his previous FVIII concentrate. Inhibitor testing is performed at this study cent</w:t>
      </w:r>
      <w:r>
        <w:rPr>
          <w:bCs/>
          <w:iCs/>
          <w:szCs w:val="24"/>
          <w:lang w:eastAsia="de-DE"/>
        </w:rPr>
        <w:t>re</w:t>
      </w:r>
      <w:r w:rsidRPr="009449AE">
        <w:rPr>
          <w:bCs/>
          <w:iCs/>
          <w:szCs w:val="24"/>
          <w:lang w:eastAsia="de-DE"/>
        </w:rPr>
        <w:t xml:space="preserve"> regularly (at least twice per year) by the Bethesda assay</w:t>
      </w:r>
      <w:r>
        <w:rPr>
          <w:bCs/>
          <w:iCs/>
          <w:szCs w:val="24"/>
          <w:lang w:eastAsia="de-DE"/>
        </w:rPr>
        <w:t xml:space="preserve"> (</w:t>
      </w:r>
      <w:r w:rsidRPr="009449AE">
        <w:rPr>
          <w:bCs/>
          <w:iCs/>
          <w:szCs w:val="24"/>
          <w:lang w:eastAsia="de-DE"/>
        </w:rPr>
        <w:t>Nijmegen modification</w:t>
      </w:r>
      <w:r>
        <w:rPr>
          <w:bCs/>
          <w:iCs/>
          <w:szCs w:val="24"/>
          <w:lang w:eastAsia="de-DE"/>
        </w:rPr>
        <w:t>)</w:t>
      </w:r>
      <w:r w:rsidRPr="009449AE">
        <w:rPr>
          <w:bCs/>
          <w:iCs/>
          <w:szCs w:val="24"/>
          <w:lang w:eastAsia="de-DE"/>
        </w:rPr>
        <w:t>. A follow up with the investigator revealed that the patient had been tested six times (between 07 June 2011 and 28 January 2014) for the presence of inhibitors. Each time, the test was negative. This suggests that the failed therapy was not related to the development of an inhibitor.</w:t>
      </w:r>
    </w:p>
    <w:p w:rsidR="00E64C32" w:rsidRDefault="00E64C32" w:rsidP="00E64C32">
      <w:pPr>
        <w:autoSpaceDE w:val="0"/>
        <w:autoSpaceDN w:val="0"/>
        <w:adjustRightInd w:val="0"/>
        <w:spacing w:before="160"/>
        <w:rPr>
          <w:bCs/>
          <w:iCs/>
          <w:szCs w:val="24"/>
          <w:lang w:eastAsia="de-DE"/>
        </w:rPr>
      </w:pPr>
      <w:r>
        <w:rPr>
          <w:bCs/>
          <w:iCs/>
          <w:szCs w:val="24"/>
          <w:lang w:eastAsia="de-DE"/>
        </w:rPr>
        <w:t>P</w:t>
      </w:r>
      <w:r w:rsidRPr="009449AE">
        <w:rPr>
          <w:bCs/>
          <w:iCs/>
          <w:szCs w:val="24"/>
          <w:lang w:eastAsia="de-DE"/>
        </w:rPr>
        <w:t xml:space="preserve">rophylactic efficacy was </w:t>
      </w:r>
      <w:r>
        <w:rPr>
          <w:bCs/>
          <w:iCs/>
          <w:szCs w:val="24"/>
          <w:lang w:eastAsia="de-DE"/>
        </w:rPr>
        <w:t xml:space="preserve">rated as </w:t>
      </w:r>
      <w:r w:rsidRPr="009449AE">
        <w:rPr>
          <w:bCs/>
          <w:iCs/>
          <w:szCs w:val="24"/>
          <w:lang w:eastAsia="de-DE"/>
        </w:rPr>
        <w:t xml:space="preserve">‘poor’ </w:t>
      </w:r>
      <w:r>
        <w:rPr>
          <w:bCs/>
          <w:iCs/>
          <w:szCs w:val="24"/>
          <w:lang w:eastAsia="de-DE"/>
        </w:rPr>
        <w:t>(</w:t>
      </w:r>
      <w:r w:rsidRPr="009449AE">
        <w:rPr>
          <w:bCs/>
          <w:iCs/>
          <w:szCs w:val="24"/>
          <w:lang w:eastAsia="de-DE"/>
        </w:rPr>
        <w:t xml:space="preserve">monthly bleeding rate </w:t>
      </w:r>
      <w:r>
        <w:rPr>
          <w:bCs/>
          <w:iCs/>
          <w:szCs w:val="24"/>
          <w:lang w:eastAsia="de-DE"/>
        </w:rPr>
        <w:t>&gt;</w:t>
      </w:r>
      <w:r w:rsidRPr="009449AE">
        <w:rPr>
          <w:bCs/>
          <w:iCs/>
          <w:szCs w:val="24"/>
          <w:lang w:eastAsia="de-DE"/>
        </w:rPr>
        <w:t xml:space="preserve"> 1.5</w:t>
      </w:r>
      <w:r>
        <w:rPr>
          <w:bCs/>
          <w:iCs/>
          <w:szCs w:val="24"/>
          <w:lang w:eastAsia="de-DE"/>
        </w:rPr>
        <w:t>)</w:t>
      </w:r>
      <w:r w:rsidRPr="009449AE">
        <w:rPr>
          <w:bCs/>
          <w:iCs/>
          <w:szCs w:val="24"/>
          <w:lang w:eastAsia="de-DE"/>
        </w:rPr>
        <w:t xml:space="preserve">. Patient X participated only for a relatively short time </w:t>
      </w:r>
      <w:r>
        <w:rPr>
          <w:bCs/>
          <w:iCs/>
          <w:szCs w:val="24"/>
          <w:lang w:eastAsia="de-DE"/>
        </w:rPr>
        <w:t xml:space="preserve">(71 days) </w:t>
      </w:r>
      <w:r w:rsidRPr="009449AE">
        <w:rPr>
          <w:bCs/>
          <w:iCs/>
          <w:szCs w:val="24"/>
          <w:lang w:eastAsia="de-DE"/>
        </w:rPr>
        <w:t xml:space="preserve">in the study during which he experienced three </w:t>
      </w:r>
      <w:r>
        <w:t>bleeds</w:t>
      </w:r>
      <w:r>
        <w:rPr>
          <w:bCs/>
          <w:iCs/>
          <w:szCs w:val="24"/>
          <w:lang w:eastAsia="de-DE"/>
        </w:rPr>
        <w:t xml:space="preserve"> and </w:t>
      </w:r>
      <w:r w:rsidRPr="009449AE">
        <w:rPr>
          <w:bCs/>
          <w:iCs/>
          <w:szCs w:val="24"/>
          <w:lang w:eastAsia="de-DE"/>
        </w:rPr>
        <w:t>was withdrawn due to therapy failure. All inhibitor tests during the study and afterwards were negative (see above). Patient Y experienced 13 bleeds, 12 of which were traumatic</w:t>
      </w:r>
      <w:r>
        <w:rPr>
          <w:bCs/>
          <w:iCs/>
          <w:szCs w:val="24"/>
          <w:lang w:eastAsia="de-DE"/>
        </w:rPr>
        <w:t>,</w:t>
      </w:r>
      <w:r w:rsidRPr="009449AE">
        <w:rPr>
          <w:bCs/>
          <w:iCs/>
          <w:szCs w:val="24"/>
          <w:lang w:eastAsia="de-DE"/>
        </w:rPr>
        <w:t xml:space="preserve"> </w:t>
      </w:r>
      <w:r>
        <w:rPr>
          <w:bCs/>
          <w:iCs/>
          <w:szCs w:val="24"/>
          <w:lang w:eastAsia="de-DE"/>
        </w:rPr>
        <w:t xml:space="preserve">which </w:t>
      </w:r>
      <w:r w:rsidRPr="009449AE">
        <w:rPr>
          <w:bCs/>
          <w:iCs/>
          <w:szCs w:val="24"/>
          <w:lang w:eastAsia="de-DE"/>
        </w:rPr>
        <w:t>point</w:t>
      </w:r>
      <w:r>
        <w:rPr>
          <w:bCs/>
          <w:iCs/>
          <w:szCs w:val="24"/>
          <w:lang w:eastAsia="de-DE"/>
        </w:rPr>
        <w:t>ed</w:t>
      </w:r>
      <w:r w:rsidRPr="009449AE">
        <w:rPr>
          <w:bCs/>
          <w:iCs/>
          <w:szCs w:val="24"/>
          <w:lang w:eastAsia="de-DE"/>
        </w:rPr>
        <w:t xml:space="preserve"> to an active lifestyle of this young boy</w:t>
      </w:r>
      <w:r>
        <w:rPr>
          <w:bCs/>
          <w:iCs/>
          <w:szCs w:val="24"/>
          <w:lang w:eastAsia="de-DE"/>
        </w:rPr>
        <w:t xml:space="preserve"> (age 9 years)</w:t>
      </w:r>
      <w:r w:rsidRPr="009449AE">
        <w:rPr>
          <w:bCs/>
          <w:iCs/>
          <w:szCs w:val="24"/>
          <w:lang w:eastAsia="de-DE"/>
        </w:rPr>
        <w:t>. All inhibitor tests were negative. In summary, this suggests that the poor prophylactic efficacy was not related to the development of an inhibitor.</w:t>
      </w:r>
    </w:p>
    <w:p w:rsidR="00E64C32" w:rsidRDefault="00E64C32" w:rsidP="00E64C32">
      <w:pPr>
        <w:autoSpaceDE w:val="0"/>
        <w:autoSpaceDN w:val="0"/>
        <w:adjustRightInd w:val="0"/>
        <w:spacing w:before="160"/>
        <w:rPr>
          <w:bCs/>
          <w:iCs/>
          <w:szCs w:val="24"/>
          <w:lang w:eastAsia="de-DE"/>
        </w:rPr>
      </w:pPr>
      <w:r>
        <w:rPr>
          <w:bCs/>
          <w:iCs/>
          <w:szCs w:val="24"/>
          <w:lang w:eastAsia="de-DE"/>
        </w:rPr>
        <w:t>IVR decline and inhibitor development</w:t>
      </w:r>
    </w:p>
    <w:p w:rsidR="00E64C32" w:rsidRPr="009449AE" w:rsidRDefault="00941254" w:rsidP="00E64C32">
      <w:pPr>
        <w:autoSpaceDE w:val="0"/>
        <w:autoSpaceDN w:val="0"/>
        <w:adjustRightInd w:val="0"/>
        <w:spacing w:before="160"/>
        <w:rPr>
          <w:bCs/>
          <w:iCs/>
          <w:szCs w:val="24"/>
          <w:lang w:eastAsia="de-DE"/>
        </w:rPr>
      </w:pPr>
      <w:r>
        <w:rPr>
          <w:bCs/>
          <w:iCs/>
          <w:szCs w:val="24"/>
          <w:lang w:eastAsia="de-DE"/>
        </w:rPr>
        <w:t>The sponsor</w:t>
      </w:r>
      <w:r w:rsidR="00587BCF">
        <w:rPr>
          <w:bCs/>
          <w:iCs/>
          <w:szCs w:val="24"/>
          <w:lang w:eastAsia="de-DE"/>
        </w:rPr>
        <w:t xml:space="preserve"> </w:t>
      </w:r>
      <w:r w:rsidR="00E64C32" w:rsidRPr="009449AE">
        <w:rPr>
          <w:bCs/>
          <w:iCs/>
          <w:szCs w:val="24"/>
          <w:lang w:eastAsia="de-DE"/>
        </w:rPr>
        <w:t xml:space="preserve">agrees with the expert’s assessment that the IVR was generally consistent across studies and that it also was consistent over time within a study. </w:t>
      </w:r>
    </w:p>
    <w:p w:rsidR="00E64C32" w:rsidRPr="009449AE" w:rsidRDefault="00E64C32" w:rsidP="00E64C32">
      <w:pPr>
        <w:autoSpaceDE w:val="0"/>
        <w:autoSpaceDN w:val="0"/>
        <w:adjustRightInd w:val="0"/>
        <w:spacing w:before="160"/>
        <w:rPr>
          <w:bCs/>
          <w:iCs/>
          <w:szCs w:val="24"/>
          <w:lang w:eastAsia="de-DE"/>
        </w:rPr>
      </w:pPr>
      <w:r w:rsidRPr="009449AE">
        <w:rPr>
          <w:bCs/>
          <w:iCs/>
          <w:szCs w:val="24"/>
          <w:lang w:eastAsia="de-DE"/>
        </w:rPr>
        <w:t>The trend toward a lower mean IVR over time may be perceived to have occurred in GENA-01; however, the decrease was not statistically significant and the decrease in the median values over time was not obvious: IVR (</w:t>
      </w:r>
      <w:r>
        <w:rPr>
          <w:bCs/>
          <w:iCs/>
          <w:szCs w:val="24"/>
          <w:lang w:eastAsia="de-DE"/>
        </w:rPr>
        <w:t>CHR</w:t>
      </w:r>
      <w:r w:rsidRPr="009449AE">
        <w:rPr>
          <w:bCs/>
          <w:iCs/>
          <w:szCs w:val="24"/>
          <w:lang w:eastAsia="de-DE"/>
        </w:rPr>
        <w:t xml:space="preserve"> assay) at study start was 2.46 (% per IU/kg), 2.49 after 3 months and 2.41 after 6 months. </w:t>
      </w:r>
    </w:p>
    <w:p w:rsidR="00E64C32" w:rsidRPr="009449AE" w:rsidRDefault="00E64C32" w:rsidP="00E64C32">
      <w:pPr>
        <w:pStyle w:val="Heading5"/>
        <w:rPr>
          <w:lang w:eastAsia="de-DE"/>
        </w:rPr>
      </w:pPr>
      <w:r w:rsidRPr="003A506C">
        <w:t xml:space="preserve">Issue 2: </w:t>
      </w:r>
      <w:r w:rsidRPr="009449AE">
        <w:rPr>
          <w:lang w:eastAsia="de-DE"/>
        </w:rPr>
        <w:t>Indication</w:t>
      </w:r>
    </w:p>
    <w:p w:rsidR="00E64C32" w:rsidRPr="009449AE" w:rsidRDefault="00E64C32" w:rsidP="00E64C32">
      <w:pPr>
        <w:autoSpaceDE w:val="0"/>
        <w:autoSpaceDN w:val="0"/>
        <w:adjustRightInd w:val="0"/>
        <w:jc w:val="both"/>
        <w:rPr>
          <w:i/>
          <w:szCs w:val="24"/>
          <w:lang w:eastAsia="de-DE"/>
        </w:rPr>
      </w:pPr>
      <w:r w:rsidRPr="009449AE">
        <w:rPr>
          <w:i/>
          <w:szCs w:val="24"/>
          <w:lang w:eastAsia="de-DE"/>
        </w:rPr>
        <w:t>The currently proposed indication from the sponsor is:</w:t>
      </w:r>
    </w:p>
    <w:p w:rsidR="00E64C32" w:rsidRPr="009449AE" w:rsidRDefault="00E64C32" w:rsidP="00E64C32">
      <w:pPr>
        <w:autoSpaceDE w:val="0"/>
        <w:autoSpaceDN w:val="0"/>
        <w:adjustRightInd w:val="0"/>
        <w:ind w:left="567"/>
        <w:jc w:val="both"/>
        <w:rPr>
          <w:i/>
          <w:szCs w:val="24"/>
          <w:lang w:eastAsia="de-DE"/>
        </w:rPr>
      </w:pPr>
      <w:r w:rsidRPr="009449AE">
        <w:rPr>
          <w:i/>
          <w:szCs w:val="24"/>
          <w:lang w:eastAsia="de-DE"/>
        </w:rPr>
        <w:t xml:space="preserve">Treatment and prophylaxis of bleeding (also during and after surgery) in previously treated paediatric (≥ 2 years) and adult patients with haemophilia </w:t>
      </w:r>
      <w:proofErr w:type="gramStart"/>
      <w:r w:rsidRPr="009449AE">
        <w:rPr>
          <w:i/>
          <w:szCs w:val="24"/>
          <w:lang w:eastAsia="de-DE"/>
        </w:rPr>
        <w:t>A</w:t>
      </w:r>
      <w:proofErr w:type="gramEnd"/>
      <w:r w:rsidRPr="009449AE">
        <w:rPr>
          <w:i/>
          <w:szCs w:val="24"/>
          <w:lang w:eastAsia="de-DE"/>
        </w:rPr>
        <w:t xml:space="preserve"> (congenital factor V</w:t>
      </w:r>
      <w:r>
        <w:rPr>
          <w:i/>
          <w:szCs w:val="24"/>
          <w:lang w:eastAsia="de-DE"/>
        </w:rPr>
        <w:t>III</w:t>
      </w:r>
      <w:r w:rsidRPr="009449AE">
        <w:rPr>
          <w:i/>
          <w:szCs w:val="24"/>
          <w:lang w:eastAsia="de-DE"/>
        </w:rPr>
        <w:t xml:space="preserve"> deficiency).</w:t>
      </w:r>
    </w:p>
    <w:p w:rsidR="00E64C32" w:rsidRPr="009449AE" w:rsidRDefault="00E64C32" w:rsidP="00E64C32">
      <w:pPr>
        <w:autoSpaceDE w:val="0"/>
        <w:autoSpaceDN w:val="0"/>
        <w:adjustRightInd w:val="0"/>
        <w:jc w:val="both"/>
        <w:rPr>
          <w:i/>
          <w:szCs w:val="24"/>
          <w:lang w:eastAsia="de-DE"/>
        </w:rPr>
      </w:pPr>
      <w:r w:rsidRPr="009449AE">
        <w:rPr>
          <w:i/>
          <w:szCs w:val="24"/>
          <w:lang w:eastAsia="de-DE"/>
        </w:rPr>
        <w:lastRenderedPageBreak/>
        <w:t xml:space="preserve">The Clinical Evaluator suggests that the indication be restricted to those </w:t>
      </w:r>
      <w:r>
        <w:rPr>
          <w:i/>
          <w:szCs w:val="24"/>
          <w:lang w:eastAsia="de-DE"/>
        </w:rPr>
        <w:t>patients</w:t>
      </w:r>
      <w:r w:rsidRPr="009449AE">
        <w:rPr>
          <w:i/>
          <w:szCs w:val="24"/>
          <w:lang w:eastAsia="de-DE"/>
        </w:rPr>
        <w:t xml:space="preserve"> with severe haemophilia </w:t>
      </w:r>
      <w:proofErr w:type="gramStart"/>
      <w:r w:rsidRPr="009449AE">
        <w:rPr>
          <w:i/>
          <w:szCs w:val="24"/>
          <w:lang w:eastAsia="de-DE"/>
        </w:rPr>
        <w:t>A</w:t>
      </w:r>
      <w:proofErr w:type="gramEnd"/>
      <w:r w:rsidRPr="009449AE">
        <w:rPr>
          <w:i/>
          <w:szCs w:val="24"/>
          <w:lang w:eastAsia="de-DE"/>
        </w:rPr>
        <w:t xml:space="preserve"> (see Attachment 2). This approach reflects study inclusion criteria. I consider the currently proposed indication acceptable. Recent precedent has been to approve treatment without reference to disease severity, which allows clinicians more flexibility in use of the agent.</w:t>
      </w:r>
    </w:p>
    <w:p w:rsidR="00E64C32" w:rsidRPr="009449AE" w:rsidRDefault="00E64C32" w:rsidP="00E64C32">
      <w:pPr>
        <w:autoSpaceDE w:val="0"/>
        <w:autoSpaceDN w:val="0"/>
        <w:adjustRightInd w:val="0"/>
        <w:jc w:val="both"/>
        <w:rPr>
          <w:i/>
          <w:szCs w:val="24"/>
          <w:lang w:eastAsia="de-DE"/>
        </w:rPr>
      </w:pPr>
      <w:r w:rsidRPr="009449AE">
        <w:rPr>
          <w:i/>
          <w:szCs w:val="24"/>
          <w:lang w:eastAsia="de-DE"/>
        </w:rPr>
        <w:t xml:space="preserve">A question for the ACPM is whether there should be a statement that </w:t>
      </w:r>
      <w:proofErr w:type="spellStart"/>
      <w:r w:rsidRPr="009449AE">
        <w:rPr>
          <w:i/>
          <w:szCs w:val="24"/>
          <w:lang w:eastAsia="de-DE"/>
        </w:rPr>
        <w:t>Nuwiq</w:t>
      </w:r>
      <w:proofErr w:type="spellEnd"/>
      <w:r w:rsidRPr="009449AE">
        <w:rPr>
          <w:i/>
          <w:szCs w:val="24"/>
          <w:lang w:eastAsia="de-DE"/>
        </w:rPr>
        <w:t xml:space="preserve"> does not contain </w:t>
      </w:r>
      <w:proofErr w:type="spellStart"/>
      <w:r w:rsidRPr="009449AE">
        <w:rPr>
          <w:i/>
          <w:szCs w:val="24"/>
          <w:lang w:eastAsia="de-DE"/>
        </w:rPr>
        <w:t>vWF</w:t>
      </w:r>
      <w:proofErr w:type="spellEnd"/>
      <w:r w:rsidRPr="009449AE">
        <w:rPr>
          <w:i/>
          <w:szCs w:val="24"/>
          <w:lang w:eastAsia="de-DE"/>
        </w:rPr>
        <w:t xml:space="preserve"> and is not indicated in </w:t>
      </w:r>
      <w:proofErr w:type="spellStart"/>
      <w:r w:rsidRPr="009449AE">
        <w:rPr>
          <w:i/>
          <w:szCs w:val="24"/>
          <w:lang w:eastAsia="de-DE"/>
        </w:rPr>
        <w:t>vWD</w:t>
      </w:r>
      <w:proofErr w:type="spellEnd"/>
      <w:r w:rsidRPr="009449AE">
        <w:rPr>
          <w:i/>
          <w:szCs w:val="24"/>
          <w:lang w:eastAsia="de-DE"/>
        </w:rPr>
        <w:t xml:space="preserve"> (see Attachment 2).</w:t>
      </w:r>
    </w:p>
    <w:p w:rsidR="00E64C32" w:rsidRPr="009449AE" w:rsidRDefault="00E64C32" w:rsidP="00E64C32">
      <w:pPr>
        <w:autoSpaceDE w:val="0"/>
        <w:autoSpaceDN w:val="0"/>
        <w:adjustRightInd w:val="0"/>
        <w:jc w:val="both"/>
        <w:rPr>
          <w:i/>
          <w:szCs w:val="24"/>
          <w:lang w:eastAsia="de-DE"/>
        </w:rPr>
      </w:pPr>
      <w:r w:rsidRPr="009449AE">
        <w:rPr>
          <w:i/>
          <w:szCs w:val="24"/>
          <w:lang w:eastAsia="de-DE"/>
        </w:rPr>
        <w:t>Recommended changes to the PI are at Attachment 3. The ACPM is invited to comment on any aspect of the PI/</w:t>
      </w:r>
      <w:r w:rsidR="00EA26F5" w:rsidRPr="009449AE">
        <w:rPr>
          <w:i/>
          <w:szCs w:val="24"/>
          <w:lang w:eastAsia="de-DE"/>
        </w:rPr>
        <w:t>CM</w:t>
      </w:r>
      <w:r w:rsidR="00EA26F5">
        <w:rPr>
          <w:i/>
          <w:szCs w:val="24"/>
          <w:lang w:eastAsia="de-DE"/>
        </w:rPr>
        <w:t>I</w:t>
      </w:r>
      <w:r w:rsidR="00EA26F5" w:rsidRPr="009449AE">
        <w:rPr>
          <w:i/>
          <w:szCs w:val="24"/>
          <w:lang w:eastAsia="de-DE"/>
        </w:rPr>
        <w:t xml:space="preserve"> </w:t>
      </w:r>
      <w:r w:rsidRPr="009449AE">
        <w:rPr>
          <w:i/>
          <w:szCs w:val="24"/>
          <w:lang w:eastAsia="de-DE"/>
        </w:rPr>
        <w:t>that could be improved.</w:t>
      </w:r>
    </w:p>
    <w:p w:rsidR="00E64C32" w:rsidRPr="009449AE" w:rsidRDefault="00E64C32" w:rsidP="00E64C32">
      <w:pPr>
        <w:pStyle w:val="Heading6"/>
        <w:rPr>
          <w:lang w:eastAsia="de-DE"/>
        </w:rPr>
      </w:pPr>
      <w:r w:rsidRPr="009449AE">
        <w:rPr>
          <w:lang w:eastAsia="de-DE"/>
        </w:rPr>
        <w:t>Sponsor’s comment:</w:t>
      </w:r>
    </w:p>
    <w:p w:rsidR="00E64C32" w:rsidRPr="008F210A" w:rsidRDefault="00E64C32" w:rsidP="00E64C32">
      <w:r w:rsidRPr="003A506C">
        <w:t xml:space="preserve">With reference to the restriction of the indication to </w:t>
      </w:r>
      <w:r w:rsidRPr="008F210A">
        <w:t>‘severe haemophilia A’</w:t>
      </w:r>
      <w:r w:rsidR="00BB3E6F">
        <w:t>,</w:t>
      </w:r>
      <w:r w:rsidRPr="008F210A">
        <w:t xml:space="preserve"> </w:t>
      </w:r>
      <w:proofErr w:type="spellStart"/>
      <w:r w:rsidRPr="008F210A">
        <w:t>Octapharma</w:t>
      </w:r>
      <w:proofErr w:type="spellEnd"/>
      <w:r w:rsidRPr="008F210A">
        <w:t xml:space="preserve"> would like to comment that the mechanism of action, that is, substitution of missing FVIII, is the same, regardless of whether severe, moderate or mild haemophilia A patients need substitution therapy. The </w:t>
      </w:r>
      <w:proofErr w:type="spellStart"/>
      <w:r w:rsidRPr="008F210A">
        <w:t>Nuwiq</w:t>
      </w:r>
      <w:proofErr w:type="spellEnd"/>
      <w:r w:rsidRPr="008F210A">
        <w:t xml:space="preserve"> studies were designed in accordance with the EMA guidelines which require that studies are performed in severe haemophilia </w:t>
      </w:r>
      <w:proofErr w:type="gramStart"/>
      <w:r w:rsidRPr="008F210A">
        <w:t>A</w:t>
      </w:r>
      <w:proofErr w:type="gramEnd"/>
      <w:r w:rsidRPr="008F210A">
        <w:t xml:space="preserve"> patients (otherwise it would be difficult to accumulate enough exposure days allowing a reasonable statement regarding long-term safety and efficacy). Therefore, </w:t>
      </w:r>
      <w:proofErr w:type="spellStart"/>
      <w:r w:rsidRPr="008F210A">
        <w:t>Octapharma</w:t>
      </w:r>
      <w:proofErr w:type="spellEnd"/>
      <w:r w:rsidRPr="008F210A">
        <w:t xml:space="preserve"> believes it is justified to keep the indication without limitation to severe haemophilia A, as also noted by the Delegate.</w:t>
      </w:r>
    </w:p>
    <w:p w:rsidR="00E64C32" w:rsidRPr="008F210A" w:rsidRDefault="00E64C32" w:rsidP="00E64C32">
      <w:r w:rsidRPr="008F210A">
        <w:t xml:space="preserve">With reference to the question for the ACPM for including a statement that </w:t>
      </w:r>
      <w:proofErr w:type="spellStart"/>
      <w:r w:rsidRPr="008F210A">
        <w:t>Nuwiq</w:t>
      </w:r>
      <w:proofErr w:type="spellEnd"/>
      <w:r w:rsidRPr="008F210A">
        <w:t xml:space="preserve"> is not indicated for </w:t>
      </w:r>
      <w:proofErr w:type="spellStart"/>
      <w:r>
        <w:t>v</w:t>
      </w:r>
      <w:r w:rsidRPr="008F210A">
        <w:t>WD</w:t>
      </w:r>
      <w:proofErr w:type="spellEnd"/>
      <w:r w:rsidRPr="008F210A">
        <w:t xml:space="preserve">, </w:t>
      </w:r>
      <w:proofErr w:type="spellStart"/>
      <w:r w:rsidRPr="008F210A">
        <w:t>Octapharma</w:t>
      </w:r>
      <w:proofErr w:type="spellEnd"/>
      <w:r w:rsidRPr="008F210A">
        <w:t xml:space="preserve"> agrees to include the following statement in the PI under ‘Indications’: ‘</w:t>
      </w:r>
      <w:proofErr w:type="spellStart"/>
      <w:r w:rsidRPr="008F210A">
        <w:rPr>
          <w:i/>
        </w:rPr>
        <w:t>Nuwiq</w:t>
      </w:r>
      <w:proofErr w:type="spellEnd"/>
      <w:r w:rsidRPr="008F210A">
        <w:rPr>
          <w:i/>
        </w:rPr>
        <w:t xml:space="preserve"> does not contain von </w:t>
      </w:r>
      <w:proofErr w:type="spellStart"/>
      <w:r w:rsidRPr="008F210A">
        <w:rPr>
          <w:i/>
        </w:rPr>
        <w:t>Willebrand</w:t>
      </w:r>
      <w:proofErr w:type="spellEnd"/>
      <w:r w:rsidRPr="008F210A">
        <w:rPr>
          <w:i/>
        </w:rPr>
        <w:t xml:space="preserve"> </w:t>
      </w:r>
      <w:r>
        <w:rPr>
          <w:i/>
        </w:rPr>
        <w:t>f</w:t>
      </w:r>
      <w:r w:rsidRPr="008F210A">
        <w:rPr>
          <w:i/>
        </w:rPr>
        <w:t xml:space="preserve">actor and is thus not indicated to treat von </w:t>
      </w:r>
      <w:proofErr w:type="spellStart"/>
      <w:r w:rsidRPr="008F210A">
        <w:rPr>
          <w:i/>
        </w:rPr>
        <w:t>Willebrand’s</w:t>
      </w:r>
      <w:proofErr w:type="spellEnd"/>
      <w:r w:rsidRPr="008F210A">
        <w:rPr>
          <w:i/>
        </w:rPr>
        <w:t xml:space="preserve"> </w:t>
      </w:r>
      <w:r>
        <w:rPr>
          <w:i/>
        </w:rPr>
        <w:t>d</w:t>
      </w:r>
      <w:r w:rsidRPr="008F210A">
        <w:rPr>
          <w:i/>
        </w:rPr>
        <w:t xml:space="preserve">isease.’ The CMI </w:t>
      </w:r>
      <w:r>
        <w:rPr>
          <w:i/>
        </w:rPr>
        <w:t>h</w:t>
      </w:r>
      <w:r w:rsidRPr="008F210A">
        <w:rPr>
          <w:i/>
        </w:rPr>
        <w:t xml:space="preserve">as also been updated accordingly in the section ‘What </w:t>
      </w:r>
      <w:proofErr w:type="spellStart"/>
      <w:r w:rsidRPr="008F210A">
        <w:rPr>
          <w:i/>
        </w:rPr>
        <w:t>Nuwiq</w:t>
      </w:r>
      <w:proofErr w:type="spellEnd"/>
      <w:r w:rsidRPr="008F210A">
        <w:rPr>
          <w:i/>
        </w:rPr>
        <w:t xml:space="preserve"> is used for’ with the statement ‘</w:t>
      </w:r>
      <w:proofErr w:type="spellStart"/>
      <w:r w:rsidRPr="008F210A">
        <w:rPr>
          <w:i/>
        </w:rPr>
        <w:t>Nuwiq</w:t>
      </w:r>
      <w:proofErr w:type="spellEnd"/>
      <w:r w:rsidRPr="008F210A">
        <w:rPr>
          <w:i/>
        </w:rPr>
        <w:t xml:space="preserve"> does not contain von </w:t>
      </w:r>
      <w:proofErr w:type="spellStart"/>
      <w:r w:rsidRPr="008F210A">
        <w:rPr>
          <w:i/>
        </w:rPr>
        <w:t>Willebrand</w:t>
      </w:r>
      <w:proofErr w:type="spellEnd"/>
      <w:r w:rsidRPr="008F210A">
        <w:rPr>
          <w:i/>
        </w:rPr>
        <w:t xml:space="preserve"> </w:t>
      </w:r>
      <w:r>
        <w:rPr>
          <w:i/>
        </w:rPr>
        <w:t>f</w:t>
      </w:r>
      <w:r w:rsidRPr="008F210A">
        <w:rPr>
          <w:i/>
        </w:rPr>
        <w:t xml:space="preserve">actor and is therefore not suitable to treat von </w:t>
      </w:r>
      <w:proofErr w:type="spellStart"/>
      <w:r w:rsidRPr="008F210A">
        <w:rPr>
          <w:i/>
        </w:rPr>
        <w:t>Willebrand’s</w:t>
      </w:r>
      <w:proofErr w:type="spellEnd"/>
      <w:r w:rsidRPr="008F210A">
        <w:rPr>
          <w:i/>
        </w:rPr>
        <w:t xml:space="preserve"> </w:t>
      </w:r>
      <w:r>
        <w:rPr>
          <w:i/>
        </w:rPr>
        <w:t>d</w:t>
      </w:r>
      <w:r w:rsidRPr="008F210A">
        <w:rPr>
          <w:i/>
        </w:rPr>
        <w:t>isease</w:t>
      </w:r>
      <w:r w:rsidRPr="008F210A">
        <w:t>.’</w:t>
      </w:r>
    </w:p>
    <w:p w:rsidR="00E64C32" w:rsidRPr="009449AE" w:rsidRDefault="00E64C32" w:rsidP="00E64C32">
      <w:pPr>
        <w:rPr>
          <w:szCs w:val="24"/>
          <w:lang w:eastAsia="de-DE"/>
        </w:rPr>
      </w:pPr>
      <w:r w:rsidRPr="009449AE">
        <w:rPr>
          <w:szCs w:val="24"/>
          <w:lang w:eastAsia="de-DE"/>
        </w:rPr>
        <w:t xml:space="preserve">The PI and CMI have been amended as per the recommendations; however, in circumstances where a recommended change has not been agreed to by </w:t>
      </w:r>
      <w:proofErr w:type="spellStart"/>
      <w:r w:rsidRPr="009449AE">
        <w:rPr>
          <w:szCs w:val="24"/>
          <w:lang w:eastAsia="de-DE"/>
        </w:rPr>
        <w:t>Octapharma</w:t>
      </w:r>
      <w:proofErr w:type="spellEnd"/>
      <w:r w:rsidRPr="009449AE">
        <w:rPr>
          <w:szCs w:val="24"/>
          <w:lang w:eastAsia="de-DE"/>
        </w:rPr>
        <w:t xml:space="preserve">, a justification was provided. The details of these are beyond the scope of this AusPAR. </w:t>
      </w:r>
    </w:p>
    <w:p w:rsidR="00E64C32" w:rsidRPr="008F210A" w:rsidRDefault="00E64C32" w:rsidP="00E64C32">
      <w:pPr>
        <w:numPr>
          <w:ilvl w:val="0"/>
          <w:numId w:val="19"/>
        </w:numPr>
        <w:autoSpaceDE w:val="0"/>
        <w:autoSpaceDN w:val="0"/>
        <w:adjustRightInd w:val="0"/>
        <w:spacing w:before="0" w:after="0" w:line="240" w:lineRule="auto"/>
        <w:rPr>
          <w:i/>
          <w:szCs w:val="24"/>
          <w:lang w:eastAsia="en-AU"/>
        </w:rPr>
      </w:pPr>
      <w:r w:rsidRPr="003A506C">
        <w:rPr>
          <w:i/>
          <w:szCs w:val="24"/>
          <w:lang w:eastAsia="en-AU"/>
        </w:rPr>
        <w:t>The indication should be amended to include reference to severe haemophilia A.</w:t>
      </w:r>
    </w:p>
    <w:p w:rsidR="00E64C32" w:rsidRPr="008F210A" w:rsidRDefault="00E64C32" w:rsidP="00E64C32">
      <w:pPr>
        <w:autoSpaceDE w:val="0"/>
        <w:autoSpaceDN w:val="0"/>
        <w:adjustRightInd w:val="0"/>
        <w:ind w:left="720"/>
        <w:rPr>
          <w:szCs w:val="24"/>
          <w:lang w:eastAsia="en-AU"/>
        </w:rPr>
      </w:pPr>
      <w:r w:rsidRPr="008F210A">
        <w:rPr>
          <w:szCs w:val="24"/>
          <w:lang w:eastAsia="en-AU"/>
        </w:rPr>
        <w:t xml:space="preserve">As per the Delegate’s recommendation in Attachment 3, the PI has not been amended to include a limitation to ‘severe’ haemophilia A. As also stated in our response to Issue 2 (page 2), </w:t>
      </w:r>
      <w:proofErr w:type="spellStart"/>
      <w:r w:rsidRPr="008F210A">
        <w:rPr>
          <w:szCs w:val="24"/>
          <w:lang w:eastAsia="en-AU"/>
        </w:rPr>
        <w:t>Octapharma</w:t>
      </w:r>
      <w:proofErr w:type="spellEnd"/>
      <w:r w:rsidRPr="008F210A">
        <w:rPr>
          <w:szCs w:val="24"/>
          <w:lang w:eastAsia="en-AU"/>
        </w:rPr>
        <w:t xml:space="preserve"> does not believe that a limitation to the indication is justified as </w:t>
      </w:r>
      <w:r w:rsidRPr="008F210A">
        <w:t xml:space="preserve">the mechanism of action, i.e. substitution of missing FVIII, is the same, regardless of whether severe, moderate or mild haemophilia A patients need substitution therapy. The </w:t>
      </w:r>
      <w:proofErr w:type="spellStart"/>
      <w:r w:rsidRPr="008F210A">
        <w:t>Nuwiq</w:t>
      </w:r>
      <w:proofErr w:type="spellEnd"/>
      <w:r w:rsidRPr="008F210A">
        <w:t xml:space="preserve"> studies were also designed in accordance with the EMA guidelines which require that studies are performed in severe haemophilia </w:t>
      </w:r>
      <w:proofErr w:type="gramStart"/>
      <w:r w:rsidRPr="008F210A">
        <w:t>A</w:t>
      </w:r>
      <w:proofErr w:type="gramEnd"/>
      <w:r w:rsidRPr="008F210A">
        <w:t xml:space="preserve"> patients (otherwise it would be difficult to accumulate enough </w:t>
      </w:r>
      <w:r>
        <w:t>EDs</w:t>
      </w:r>
      <w:r w:rsidRPr="008F210A">
        <w:t xml:space="preserve"> allowing a reasonable statement regarding long-term safety and efficacy). </w:t>
      </w:r>
    </w:p>
    <w:p w:rsidR="00E64C32" w:rsidRPr="008F210A" w:rsidRDefault="00E64C32" w:rsidP="00E64C32">
      <w:pPr>
        <w:pStyle w:val="Heading5"/>
        <w:numPr>
          <w:ilvl w:val="0"/>
          <w:numId w:val="19"/>
        </w:numPr>
        <w:ind w:left="284" w:hanging="284"/>
      </w:pPr>
      <w:r w:rsidRPr="008F210A">
        <w:t>Outstanding issues – Issues in relation to the RMP:</w:t>
      </w:r>
    </w:p>
    <w:p w:rsidR="00E64C32" w:rsidRPr="009449AE" w:rsidRDefault="00E64C32" w:rsidP="00E64C32">
      <w:pPr>
        <w:keepNext/>
        <w:autoSpaceDE w:val="0"/>
        <w:autoSpaceDN w:val="0"/>
        <w:adjustRightInd w:val="0"/>
        <w:jc w:val="both"/>
        <w:rPr>
          <w:szCs w:val="24"/>
          <w:lang w:eastAsia="de-DE"/>
        </w:rPr>
      </w:pPr>
      <w:r w:rsidRPr="009449AE">
        <w:rPr>
          <w:i/>
          <w:szCs w:val="24"/>
          <w:lang w:eastAsia="de-DE"/>
        </w:rPr>
        <w:t>It is recommended to the Delegate, that the sponsor amends the PI and CMI, to provide more precise information about missing information in the PI and CMI.</w:t>
      </w:r>
    </w:p>
    <w:p w:rsidR="00E64C32" w:rsidRPr="009449AE" w:rsidRDefault="00E64C32" w:rsidP="00E64C32">
      <w:pPr>
        <w:pStyle w:val="Heading6"/>
        <w:rPr>
          <w:lang w:eastAsia="de-DE"/>
        </w:rPr>
      </w:pPr>
      <w:r w:rsidRPr="009449AE">
        <w:rPr>
          <w:lang w:eastAsia="de-DE"/>
        </w:rPr>
        <w:t>Sponsor’s comment:</w:t>
      </w:r>
    </w:p>
    <w:p w:rsidR="00E64C32" w:rsidRPr="009449AE" w:rsidRDefault="00E64C32" w:rsidP="00E64C32">
      <w:pPr>
        <w:autoSpaceDE w:val="0"/>
        <w:autoSpaceDN w:val="0"/>
        <w:adjustRightInd w:val="0"/>
        <w:spacing w:before="160"/>
        <w:jc w:val="both"/>
        <w:rPr>
          <w:szCs w:val="24"/>
          <w:lang w:eastAsia="de-DE"/>
        </w:rPr>
      </w:pPr>
      <w:r w:rsidRPr="009449AE">
        <w:rPr>
          <w:szCs w:val="24"/>
          <w:lang w:eastAsia="de-DE"/>
        </w:rPr>
        <w:t xml:space="preserve">Missing information has been included in the PI or justification provided for not including the recommended information. </w:t>
      </w:r>
    </w:p>
    <w:p w:rsidR="00E64C32" w:rsidRPr="009449AE" w:rsidRDefault="00E64C32" w:rsidP="00E64C32">
      <w:pPr>
        <w:autoSpaceDE w:val="0"/>
        <w:autoSpaceDN w:val="0"/>
        <w:adjustRightInd w:val="0"/>
        <w:spacing w:before="160"/>
        <w:jc w:val="both"/>
        <w:rPr>
          <w:szCs w:val="24"/>
          <w:lang w:eastAsia="de-DE"/>
        </w:rPr>
      </w:pPr>
      <w:r w:rsidRPr="009449AE">
        <w:rPr>
          <w:szCs w:val="24"/>
          <w:lang w:eastAsia="de-DE"/>
        </w:rPr>
        <w:t xml:space="preserve">Details of these discussions are beyond the scope of this AusPAR. </w:t>
      </w:r>
    </w:p>
    <w:p w:rsidR="00E64C32" w:rsidRPr="008F210A" w:rsidRDefault="00E64C32" w:rsidP="00E64C32">
      <w:pPr>
        <w:pStyle w:val="Heading5"/>
      </w:pPr>
      <w:r w:rsidRPr="003A506C">
        <w:lastRenderedPageBreak/>
        <w:t xml:space="preserve">3. </w:t>
      </w:r>
      <w:r w:rsidRPr="008F210A">
        <w:t>Key changes to the updated RMP:</w:t>
      </w:r>
    </w:p>
    <w:p w:rsidR="00E64C32" w:rsidRPr="009449AE" w:rsidRDefault="00E64C32" w:rsidP="00E64C32">
      <w:pPr>
        <w:autoSpaceDE w:val="0"/>
        <w:autoSpaceDN w:val="0"/>
        <w:adjustRightInd w:val="0"/>
        <w:jc w:val="both"/>
        <w:rPr>
          <w:i/>
          <w:szCs w:val="24"/>
          <w:lang w:eastAsia="de-DE"/>
        </w:rPr>
      </w:pPr>
      <w:r w:rsidRPr="009449AE">
        <w:rPr>
          <w:i/>
          <w:szCs w:val="24"/>
          <w:lang w:eastAsia="de-DE"/>
        </w:rPr>
        <w:t>In their response to the TGA requests the sponsor provided an updated RMP (version 6.0, dated 16 May 2014) and ASA, version 3.0, dated 19 May 2014.). Key changes from the version evaluated at Round 1 are the addition of various missing information as requested by the RMP evaluator.</w:t>
      </w:r>
    </w:p>
    <w:p w:rsidR="00E64C32" w:rsidRPr="009449AE" w:rsidRDefault="00E64C32" w:rsidP="00E64C32">
      <w:pPr>
        <w:autoSpaceDE w:val="0"/>
        <w:autoSpaceDN w:val="0"/>
        <w:adjustRightInd w:val="0"/>
        <w:jc w:val="both"/>
        <w:rPr>
          <w:i/>
          <w:szCs w:val="24"/>
          <w:lang w:eastAsia="de-DE"/>
        </w:rPr>
      </w:pPr>
      <w:r w:rsidRPr="009449AE">
        <w:rPr>
          <w:i/>
          <w:szCs w:val="24"/>
          <w:lang w:eastAsia="de-DE"/>
        </w:rPr>
        <w:t>OPR Evaluator’s comments: The addition of the missing information in the table of ongoing safety concerns is considered acceptable. However, the risk minimisation activities proposed for some of the missing information is considered not acceptable.</w:t>
      </w:r>
    </w:p>
    <w:p w:rsidR="00E64C32" w:rsidRPr="009449AE" w:rsidRDefault="00E64C32" w:rsidP="00E64C32">
      <w:pPr>
        <w:pStyle w:val="Heading6"/>
        <w:rPr>
          <w:lang w:eastAsia="de-DE"/>
        </w:rPr>
      </w:pPr>
      <w:r w:rsidRPr="009449AE">
        <w:rPr>
          <w:lang w:eastAsia="de-DE"/>
        </w:rPr>
        <w:t>Sponsor’s comment:</w:t>
      </w:r>
    </w:p>
    <w:p w:rsidR="00E64C32" w:rsidRPr="009449AE" w:rsidRDefault="00E64C32" w:rsidP="00E64C32">
      <w:pPr>
        <w:autoSpaceDE w:val="0"/>
        <w:autoSpaceDN w:val="0"/>
        <w:adjustRightInd w:val="0"/>
        <w:rPr>
          <w:szCs w:val="24"/>
          <w:lang w:eastAsia="de-DE"/>
        </w:rPr>
      </w:pPr>
      <w:r w:rsidRPr="009449AE">
        <w:rPr>
          <w:szCs w:val="24"/>
          <w:lang w:eastAsia="de-DE"/>
        </w:rPr>
        <w:t xml:space="preserve">An updated ASA to the RMP, with the requested information, has been prepared. </w:t>
      </w:r>
    </w:p>
    <w:p w:rsidR="008E7846" w:rsidRDefault="008E7846" w:rsidP="008E7846">
      <w:pPr>
        <w:pStyle w:val="Heading4"/>
      </w:pPr>
      <w:r>
        <w:t xml:space="preserve">Advisory </w:t>
      </w:r>
      <w:r w:rsidR="00A5047D">
        <w:t>c</w:t>
      </w:r>
      <w:r>
        <w:t xml:space="preserve">ommittee </w:t>
      </w:r>
      <w:r w:rsidR="00A5047D">
        <w:t>c</w:t>
      </w:r>
      <w:r>
        <w:t>onsiderations</w:t>
      </w:r>
    </w:p>
    <w:p w:rsidR="008E7846" w:rsidRDefault="00D23139" w:rsidP="008E7846">
      <w:pPr>
        <w:rPr>
          <w:bCs/>
        </w:rPr>
      </w:pPr>
      <w:r w:rsidRPr="00D23139">
        <w:rPr>
          <w:bCs/>
        </w:rPr>
        <w:t>The Advisory Committee on Prescription Medicines (ACPM), having considered the evaluations and the Delegate’s overview, as well as the sponsor’s response to these documents, advised the following:</w:t>
      </w:r>
    </w:p>
    <w:p w:rsidR="004735D9" w:rsidRPr="00AB7971" w:rsidRDefault="004735D9" w:rsidP="004735D9">
      <w:pPr>
        <w:rPr>
          <w:rFonts w:cs="Calibri"/>
          <w:bCs/>
        </w:rPr>
      </w:pPr>
      <w:r w:rsidRPr="00AB7971">
        <w:rPr>
          <w:rFonts w:cs="Calibri"/>
          <w:bCs/>
        </w:rPr>
        <w:t>The submission seeks to register a new biological entity.</w:t>
      </w:r>
    </w:p>
    <w:p w:rsidR="004735D9" w:rsidRPr="00AB7971" w:rsidRDefault="004735D9" w:rsidP="004735D9">
      <w:pPr>
        <w:rPr>
          <w:rFonts w:cs="Calibri"/>
          <w:b/>
        </w:rPr>
      </w:pPr>
      <w:r w:rsidRPr="00AB7971">
        <w:rPr>
          <w:rFonts w:cs="Calibri"/>
        </w:rPr>
        <w:t xml:space="preserve">The ACPM, taking into account the submitted evidence of efficacy, safety and quality, agreed with the delegate and considered </w:t>
      </w:r>
      <w:proofErr w:type="spellStart"/>
      <w:r w:rsidRPr="00AB7971">
        <w:rPr>
          <w:bCs/>
        </w:rPr>
        <w:t>Nuwiq</w:t>
      </w:r>
      <w:proofErr w:type="spellEnd"/>
      <w:r w:rsidRPr="00AB7971">
        <w:t xml:space="preserve"> </w:t>
      </w:r>
      <w:r w:rsidRPr="00AB7971">
        <w:rPr>
          <w:bCs/>
        </w:rPr>
        <w:t xml:space="preserve">powder for injection containing 250, 500, 1000 and 2000 IU per vial of </w:t>
      </w:r>
      <w:proofErr w:type="spellStart"/>
      <w:r w:rsidR="009C1E6B">
        <w:rPr>
          <w:bCs/>
        </w:rPr>
        <w:t>simoctocog</w:t>
      </w:r>
      <w:proofErr w:type="spellEnd"/>
      <w:r w:rsidR="009C1E6B">
        <w:rPr>
          <w:bCs/>
        </w:rPr>
        <w:t xml:space="preserve"> </w:t>
      </w:r>
      <w:r w:rsidR="00FC63A1">
        <w:rPr>
          <w:bCs/>
        </w:rPr>
        <w:t>alfa</w:t>
      </w:r>
      <w:r w:rsidRPr="00AB7971">
        <w:rPr>
          <w:b/>
          <w:bCs/>
        </w:rPr>
        <w:t xml:space="preserve"> </w:t>
      </w:r>
      <w:r w:rsidRPr="00AB7971">
        <w:rPr>
          <w:rFonts w:cs="Calibri"/>
        </w:rPr>
        <w:t>to have an overall positive benefit–risk profile for the amended indication</w:t>
      </w:r>
      <w:r w:rsidRPr="00AB7971">
        <w:rPr>
          <w:rFonts w:cs="Calibri"/>
          <w:b/>
        </w:rPr>
        <w:t xml:space="preserve">; </w:t>
      </w:r>
    </w:p>
    <w:p w:rsidR="004735D9" w:rsidRPr="004735D9" w:rsidRDefault="00FA190B" w:rsidP="004735D9">
      <w:pPr>
        <w:ind w:left="567"/>
        <w:rPr>
          <w:rFonts w:cs="Calibri"/>
          <w:bCs/>
          <w:i/>
        </w:rPr>
      </w:pPr>
      <w:proofErr w:type="spellStart"/>
      <w:r>
        <w:rPr>
          <w:rFonts w:cs="Calibri"/>
          <w:bCs/>
          <w:i/>
        </w:rPr>
        <w:t>Simoctocog</w:t>
      </w:r>
      <w:proofErr w:type="spellEnd"/>
      <w:r>
        <w:rPr>
          <w:rFonts w:cs="Calibri"/>
          <w:bCs/>
          <w:i/>
        </w:rPr>
        <w:t xml:space="preserve"> </w:t>
      </w:r>
      <w:r w:rsidR="00FC63A1">
        <w:rPr>
          <w:rFonts w:cs="Calibri"/>
          <w:bCs/>
          <w:i/>
        </w:rPr>
        <w:t>alfa</w:t>
      </w:r>
      <w:r w:rsidR="004735D9" w:rsidRPr="004735D9">
        <w:rPr>
          <w:rFonts w:cs="Calibri"/>
          <w:bCs/>
          <w:i/>
        </w:rPr>
        <w:t xml:space="preserve"> is indicated in adults and children (≥ 2 years) with haemophilia </w:t>
      </w:r>
      <w:proofErr w:type="gramStart"/>
      <w:r w:rsidR="004735D9" w:rsidRPr="004735D9">
        <w:rPr>
          <w:rFonts w:cs="Calibri"/>
          <w:bCs/>
          <w:i/>
        </w:rPr>
        <w:t>A</w:t>
      </w:r>
      <w:proofErr w:type="gramEnd"/>
      <w:r w:rsidR="004735D9" w:rsidRPr="004735D9">
        <w:rPr>
          <w:rFonts w:cs="Calibri"/>
          <w:bCs/>
          <w:i/>
        </w:rPr>
        <w:t xml:space="preserve"> (congenital </w:t>
      </w:r>
      <w:r w:rsidR="00BA154F">
        <w:rPr>
          <w:rFonts w:cs="Calibri"/>
          <w:bCs/>
          <w:i/>
        </w:rPr>
        <w:t>FVIII</w:t>
      </w:r>
      <w:r w:rsidR="004735D9" w:rsidRPr="004735D9">
        <w:rPr>
          <w:rFonts w:cs="Calibri"/>
          <w:bCs/>
          <w:i/>
        </w:rPr>
        <w:t xml:space="preserve"> deficiency) for:</w:t>
      </w:r>
    </w:p>
    <w:p w:rsidR="004735D9" w:rsidRPr="004735D9" w:rsidRDefault="004735D9" w:rsidP="004735D9">
      <w:pPr>
        <w:pStyle w:val="ListBullet3"/>
        <w:rPr>
          <w:lang w:val="en-GB"/>
        </w:rPr>
      </w:pPr>
      <w:r w:rsidRPr="004735D9">
        <w:rPr>
          <w:lang w:val="en-GB"/>
        </w:rPr>
        <w:t>Control and prevention of bleeding episodes.</w:t>
      </w:r>
    </w:p>
    <w:p w:rsidR="004735D9" w:rsidRPr="004735D9" w:rsidRDefault="004735D9" w:rsidP="004735D9">
      <w:pPr>
        <w:pStyle w:val="ListBullet3"/>
        <w:rPr>
          <w:lang w:val="en-GB"/>
        </w:rPr>
      </w:pPr>
      <w:r w:rsidRPr="004735D9">
        <w:rPr>
          <w:lang w:val="en-GB"/>
        </w:rPr>
        <w:t>Routine prophylaxis to prevent or reduce the frequency of bleeding episodes.</w:t>
      </w:r>
    </w:p>
    <w:p w:rsidR="004735D9" w:rsidRPr="004735D9" w:rsidRDefault="004735D9" w:rsidP="004735D9">
      <w:pPr>
        <w:pStyle w:val="ListBullet3"/>
        <w:rPr>
          <w:lang w:val="en-GB"/>
        </w:rPr>
      </w:pPr>
      <w:r w:rsidRPr="004735D9">
        <w:rPr>
          <w:lang w:val="en-GB"/>
        </w:rPr>
        <w:t>Perioperative management (surgical prophylaxis).</w:t>
      </w:r>
    </w:p>
    <w:p w:rsidR="004735D9" w:rsidRPr="004735D9" w:rsidRDefault="00FA190B" w:rsidP="004735D9">
      <w:pPr>
        <w:ind w:left="567"/>
        <w:rPr>
          <w:rFonts w:cs="Calibri"/>
          <w:bCs/>
          <w:i/>
        </w:rPr>
      </w:pPr>
      <w:proofErr w:type="spellStart"/>
      <w:r>
        <w:rPr>
          <w:rFonts w:cs="Calibri"/>
          <w:bCs/>
          <w:i/>
        </w:rPr>
        <w:t>Simoctocog</w:t>
      </w:r>
      <w:proofErr w:type="spellEnd"/>
      <w:r>
        <w:rPr>
          <w:rFonts w:cs="Calibri"/>
          <w:bCs/>
          <w:i/>
        </w:rPr>
        <w:t xml:space="preserve"> </w:t>
      </w:r>
      <w:r w:rsidR="00FC63A1">
        <w:rPr>
          <w:rFonts w:cs="Calibri"/>
          <w:bCs/>
          <w:i/>
        </w:rPr>
        <w:t>alfa</w:t>
      </w:r>
      <w:r w:rsidR="004735D9" w:rsidRPr="004735D9">
        <w:rPr>
          <w:rFonts w:cs="Calibri"/>
          <w:bCs/>
          <w:i/>
        </w:rPr>
        <w:t xml:space="preserve"> does not contain von </w:t>
      </w:r>
      <w:proofErr w:type="spellStart"/>
      <w:r w:rsidR="004735D9" w:rsidRPr="004735D9">
        <w:rPr>
          <w:rFonts w:cs="Calibri"/>
          <w:bCs/>
          <w:i/>
        </w:rPr>
        <w:t>Willebrand</w:t>
      </w:r>
      <w:proofErr w:type="spellEnd"/>
      <w:r w:rsidR="004735D9" w:rsidRPr="004735D9">
        <w:rPr>
          <w:rFonts w:cs="Calibri"/>
          <w:bCs/>
          <w:i/>
        </w:rPr>
        <w:t xml:space="preserve"> factor, and therefore is not indicated in patients with von </w:t>
      </w:r>
      <w:proofErr w:type="spellStart"/>
      <w:r w:rsidR="004735D9" w:rsidRPr="004735D9">
        <w:rPr>
          <w:rFonts w:cs="Calibri"/>
          <w:bCs/>
          <w:i/>
        </w:rPr>
        <w:t>Willebrand’s</w:t>
      </w:r>
      <w:proofErr w:type="spellEnd"/>
      <w:r w:rsidR="004735D9" w:rsidRPr="004735D9">
        <w:rPr>
          <w:rFonts w:cs="Calibri"/>
          <w:bCs/>
          <w:i/>
        </w:rPr>
        <w:t xml:space="preserve"> disease.</w:t>
      </w:r>
    </w:p>
    <w:p w:rsidR="004735D9" w:rsidRPr="00AB7971" w:rsidRDefault="004735D9" w:rsidP="004735D9">
      <w:pPr>
        <w:pStyle w:val="Heading5"/>
      </w:pPr>
      <w:r w:rsidRPr="00AB7971">
        <w:t>Proposed conditions of registration</w:t>
      </w:r>
    </w:p>
    <w:p w:rsidR="004735D9" w:rsidRPr="00AB7971" w:rsidRDefault="004735D9" w:rsidP="004735D9">
      <w:pPr>
        <w:rPr>
          <w:bCs/>
          <w:highlight w:val="yellow"/>
        </w:rPr>
      </w:pPr>
      <w:r w:rsidRPr="00AB7971">
        <w:rPr>
          <w:rFonts w:cs="Calibri"/>
          <w:color w:val="000000" w:themeColor="text1"/>
        </w:rPr>
        <w:t>T</w:t>
      </w:r>
      <w:r w:rsidRPr="00AB7971">
        <w:rPr>
          <w:bCs/>
        </w:rPr>
        <w:t xml:space="preserve">he ACPM agreed with the </w:t>
      </w:r>
      <w:r>
        <w:rPr>
          <w:bCs/>
        </w:rPr>
        <w:t>D</w:t>
      </w:r>
      <w:r w:rsidRPr="00AB7971">
        <w:rPr>
          <w:bCs/>
        </w:rPr>
        <w:t xml:space="preserve">elegate on the proposed conditions of registration and specifically advised on the inclusion of the following:  </w:t>
      </w:r>
    </w:p>
    <w:p w:rsidR="004735D9" w:rsidRPr="00AB7971" w:rsidRDefault="004735D9" w:rsidP="004735D9">
      <w:pPr>
        <w:pStyle w:val="ListBullet"/>
        <w:rPr>
          <w:lang w:val="en-GB"/>
        </w:rPr>
      </w:pPr>
      <w:r w:rsidRPr="00AB7971">
        <w:rPr>
          <w:lang w:val="en-GB"/>
        </w:rPr>
        <w:t xml:space="preserve">Negotiation of Product Information and Consumer Medicines Information to the satisfaction of the TGA. </w:t>
      </w:r>
    </w:p>
    <w:p w:rsidR="004735D9" w:rsidRPr="00AB7971" w:rsidRDefault="004735D9" w:rsidP="004735D9">
      <w:pPr>
        <w:pStyle w:val="ListBullet"/>
        <w:rPr>
          <w:lang w:val="en-GB"/>
        </w:rPr>
      </w:pPr>
      <w:r w:rsidRPr="00AB7971">
        <w:rPr>
          <w:lang w:val="en-GB"/>
        </w:rPr>
        <w:t>Submission to the TGA, as soon as available, any post market study reports such as those recommended in the relevant EMA guideline.</w:t>
      </w:r>
    </w:p>
    <w:p w:rsidR="004735D9" w:rsidRPr="00AB7971" w:rsidRDefault="004735D9" w:rsidP="004735D9">
      <w:pPr>
        <w:pStyle w:val="Heading5"/>
        <w:rPr>
          <w:u w:val="single"/>
        </w:rPr>
      </w:pPr>
      <w:r w:rsidRPr="00AB7971">
        <w:t>Proposed Product Information (PI)/Consumer Medicine Information (CMI) amendments</w:t>
      </w:r>
    </w:p>
    <w:p w:rsidR="004735D9" w:rsidRPr="00AB7971" w:rsidRDefault="004735D9" w:rsidP="004735D9">
      <w:pPr>
        <w:rPr>
          <w:bCs/>
        </w:rPr>
      </w:pPr>
      <w:r>
        <w:rPr>
          <w:bCs/>
        </w:rPr>
        <w:t>The ACPM agreed with the D</w:t>
      </w:r>
      <w:r w:rsidRPr="00AB7971">
        <w:rPr>
          <w:bCs/>
        </w:rPr>
        <w:t xml:space="preserve">elegate to the proposed amendments to the Product Information (PI) and Consumer Medicine Information (CMI) and specifically advised on the inclusion of the following: </w:t>
      </w:r>
    </w:p>
    <w:p w:rsidR="004735D9" w:rsidRPr="00AB7971" w:rsidRDefault="004735D9" w:rsidP="004735D9">
      <w:pPr>
        <w:pStyle w:val="ListBullet"/>
        <w:rPr>
          <w:lang w:val="en-GB"/>
        </w:rPr>
      </w:pPr>
      <w:r w:rsidRPr="00AB7971">
        <w:rPr>
          <w:lang w:val="en-GB"/>
        </w:rPr>
        <w:t xml:space="preserve">A statement in the </w:t>
      </w:r>
      <w:r w:rsidRPr="00AB7971">
        <w:rPr>
          <w:i/>
          <w:lang w:val="en-GB"/>
        </w:rPr>
        <w:t xml:space="preserve">Clinical Trials </w:t>
      </w:r>
      <w:r w:rsidRPr="00AB7971">
        <w:rPr>
          <w:lang w:val="en-GB"/>
        </w:rPr>
        <w:t>section of the PI to reflect that doses for prophylaxis in clinical trials were 30</w:t>
      </w:r>
      <w:r>
        <w:rPr>
          <w:lang w:val="en-GB"/>
        </w:rPr>
        <w:t xml:space="preserve"> to </w:t>
      </w:r>
      <w:r w:rsidRPr="00AB7971">
        <w:rPr>
          <w:lang w:val="en-GB"/>
        </w:rPr>
        <w:t>40 IU/kg.</w:t>
      </w:r>
    </w:p>
    <w:p w:rsidR="004735D9" w:rsidRPr="00AB7971" w:rsidRDefault="004735D9" w:rsidP="004735D9">
      <w:pPr>
        <w:pStyle w:val="ListBullet"/>
        <w:rPr>
          <w:lang w:val="en-GB"/>
        </w:rPr>
      </w:pPr>
      <w:r w:rsidRPr="00AB7971">
        <w:rPr>
          <w:lang w:val="en-GB"/>
        </w:rPr>
        <w:t xml:space="preserve">A clarification of the cumbersome procedure for giving separate vials where individual doses are not combined by being drawn up in single syringe but by using multiple syringes. The ACPM advised that the proposed 2.5 ml volume is unwieldy for use in </w:t>
      </w:r>
      <w:r w:rsidRPr="00AB7971">
        <w:rPr>
          <w:lang w:val="en-GB"/>
        </w:rPr>
        <w:lastRenderedPageBreak/>
        <w:t xml:space="preserve">children under 10 years who routinely have an </w:t>
      </w:r>
      <w:proofErr w:type="spellStart"/>
      <w:r w:rsidRPr="00AB7971">
        <w:rPr>
          <w:lang w:val="en-GB"/>
        </w:rPr>
        <w:t>infusaport</w:t>
      </w:r>
      <w:proofErr w:type="spellEnd"/>
      <w:r w:rsidRPr="00AB7971">
        <w:rPr>
          <w:lang w:val="en-GB"/>
        </w:rPr>
        <w:t xml:space="preserve"> administration (10 mL is needed).</w:t>
      </w:r>
    </w:p>
    <w:p w:rsidR="004735D9" w:rsidRPr="00AB7971" w:rsidRDefault="004735D9" w:rsidP="004735D9">
      <w:pPr>
        <w:pStyle w:val="ListBullet"/>
        <w:rPr>
          <w:lang w:val="en-GB"/>
        </w:rPr>
      </w:pPr>
      <w:r w:rsidRPr="00AB7971">
        <w:rPr>
          <w:lang w:val="en-GB"/>
        </w:rPr>
        <w:t>The ACPM advised the use of the term “Prolonged” rather than “Profuse” as a general descriptor for bleeding, as profuse bleeding only occurs in rare circumstances.</w:t>
      </w:r>
    </w:p>
    <w:p w:rsidR="004735D9" w:rsidRPr="00AB7971" w:rsidRDefault="004735D9" w:rsidP="004735D9">
      <w:pPr>
        <w:pStyle w:val="ListBullet"/>
        <w:rPr>
          <w:lang w:val="en-GB"/>
        </w:rPr>
      </w:pPr>
      <w:r w:rsidRPr="00AB7971">
        <w:rPr>
          <w:lang w:val="en-GB"/>
        </w:rPr>
        <w:t>A list of excipients should be included in case</w:t>
      </w:r>
      <w:r>
        <w:rPr>
          <w:lang w:val="en-GB"/>
        </w:rPr>
        <w:t xml:space="preserve"> </w:t>
      </w:r>
      <w:r w:rsidRPr="00837ED4">
        <w:rPr>
          <w:lang w:val="en-GB"/>
        </w:rPr>
        <w:t>of hypersensitivity reactions</w:t>
      </w:r>
      <w:r w:rsidRPr="00AB7971">
        <w:rPr>
          <w:lang w:val="en-GB"/>
        </w:rPr>
        <w:t>.</w:t>
      </w:r>
    </w:p>
    <w:p w:rsidR="004735D9" w:rsidRPr="004735D9" w:rsidRDefault="004735D9" w:rsidP="004735D9">
      <w:pPr>
        <w:pStyle w:val="Heading5"/>
      </w:pPr>
      <w:r w:rsidRPr="004735D9">
        <w:t xml:space="preserve">Specific </w:t>
      </w:r>
      <w:r w:rsidR="00A5047D">
        <w:t>advice</w:t>
      </w:r>
    </w:p>
    <w:p w:rsidR="004735D9" w:rsidRPr="00AB7971" w:rsidRDefault="004735D9" w:rsidP="004735D9">
      <w:pPr>
        <w:rPr>
          <w:b/>
          <w:bCs/>
          <w:iCs/>
          <w:highlight w:val="yellow"/>
        </w:rPr>
      </w:pPr>
      <w:r w:rsidRPr="00AB7971">
        <w:rPr>
          <w:rFonts w:cs="Arial"/>
        </w:rPr>
        <w:t xml:space="preserve">The ACPM advised the following in response to the </w:t>
      </w:r>
      <w:r>
        <w:rPr>
          <w:rFonts w:cs="Arial"/>
        </w:rPr>
        <w:t>D</w:t>
      </w:r>
      <w:r w:rsidRPr="00AB7971">
        <w:rPr>
          <w:rFonts w:cs="Arial"/>
        </w:rPr>
        <w:t>elegate’s specific questions on this submission:</w:t>
      </w:r>
    </w:p>
    <w:p w:rsidR="004735D9" w:rsidRPr="004735D9" w:rsidRDefault="004735D9" w:rsidP="004735D9">
      <w:pPr>
        <w:pStyle w:val="Numberbullet0"/>
        <w:numPr>
          <w:ilvl w:val="0"/>
          <w:numId w:val="32"/>
        </w:numPr>
        <w:rPr>
          <w:lang w:val="en-GB"/>
        </w:rPr>
      </w:pPr>
      <w:r w:rsidRPr="004735D9">
        <w:rPr>
          <w:lang w:val="en-GB"/>
        </w:rPr>
        <w:t>Should the indication limit use to subjects with severe Haemophilia A?</w:t>
      </w:r>
    </w:p>
    <w:p w:rsidR="004735D9" w:rsidRPr="00AB7971" w:rsidRDefault="004735D9" w:rsidP="004735D9">
      <w:pPr>
        <w:rPr>
          <w:bCs/>
          <w:i/>
          <w:iCs/>
        </w:rPr>
      </w:pPr>
      <w:r w:rsidRPr="00AB7971">
        <w:rPr>
          <w:bCs/>
          <w:i/>
          <w:iCs/>
        </w:rPr>
        <w:t xml:space="preserve">The ACPM advised that, while the relevant guideline recommended </w:t>
      </w:r>
      <w:r>
        <w:rPr>
          <w:bCs/>
          <w:i/>
          <w:iCs/>
        </w:rPr>
        <w:t>trials</w:t>
      </w:r>
      <w:r w:rsidRPr="00AB7971">
        <w:rPr>
          <w:bCs/>
          <w:i/>
          <w:iCs/>
        </w:rPr>
        <w:t xml:space="preserve"> only </w:t>
      </w:r>
      <w:r>
        <w:rPr>
          <w:bCs/>
          <w:i/>
          <w:iCs/>
        </w:rPr>
        <w:t xml:space="preserve">in </w:t>
      </w:r>
      <w:r w:rsidRPr="00AB7971">
        <w:rPr>
          <w:bCs/>
          <w:i/>
          <w:iCs/>
        </w:rPr>
        <w:t xml:space="preserve">patients </w:t>
      </w:r>
      <w:r>
        <w:rPr>
          <w:bCs/>
          <w:i/>
          <w:iCs/>
        </w:rPr>
        <w:t xml:space="preserve">with </w:t>
      </w:r>
      <w:r w:rsidRPr="00AB7971">
        <w:rPr>
          <w:bCs/>
          <w:i/>
          <w:iCs/>
        </w:rPr>
        <w:t xml:space="preserve">severe Haemophilia A </w:t>
      </w:r>
      <w:r>
        <w:rPr>
          <w:bCs/>
          <w:i/>
          <w:iCs/>
        </w:rPr>
        <w:t>the guideline</w:t>
      </w:r>
      <w:r w:rsidRPr="00AB7971">
        <w:rPr>
          <w:bCs/>
          <w:i/>
          <w:iCs/>
        </w:rPr>
        <w:t xml:space="preserve"> also considered extrapolation to less severe forms to be reasonable. The ACPM agreed with this view.</w:t>
      </w:r>
    </w:p>
    <w:p w:rsidR="004735D9" w:rsidRPr="00AB7971" w:rsidRDefault="004735D9" w:rsidP="008C53FF">
      <w:pPr>
        <w:pStyle w:val="Numberbullet0"/>
        <w:numPr>
          <w:ilvl w:val="0"/>
          <w:numId w:val="19"/>
        </w:numPr>
        <w:rPr>
          <w:lang w:val="en-GB"/>
        </w:rPr>
      </w:pPr>
      <w:r w:rsidRPr="00AB7971">
        <w:rPr>
          <w:lang w:val="en-GB"/>
        </w:rPr>
        <w:t xml:space="preserve">Should the indication include a statement that the product does not contain </w:t>
      </w:r>
      <w:proofErr w:type="spellStart"/>
      <w:r w:rsidRPr="00AB7971">
        <w:rPr>
          <w:lang w:val="en-GB"/>
        </w:rPr>
        <w:t>vWF</w:t>
      </w:r>
      <w:proofErr w:type="spellEnd"/>
      <w:r w:rsidRPr="00AB7971">
        <w:rPr>
          <w:lang w:val="en-GB"/>
        </w:rPr>
        <w:t xml:space="preserve"> and is not indicated to treat von </w:t>
      </w:r>
      <w:proofErr w:type="spellStart"/>
      <w:r w:rsidRPr="00AB7971">
        <w:rPr>
          <w:lang w:val="en-GB"/>
        </w:rPr>
        <w:t>Willebrand’s</w:t>
      </w:r>
      <w:proofErr w:type="spellEnd"/>
      <w:r w:rsidRPr="00AB7971">
        <w:rPr>
          <w:lang w:val="en-GB"/>
        </w:rPr>
        <w:t xml:space="preserve"> Disease?</w:t>
      </w:r>
    </w:p>
    <w:p w:rsidR="004735D9" w:rsidRPr="00AB7971" w:rsidRDefault="004735D9" w:rsidP="004735D9">
      <w:pPr>
        <w:rPr>
          <w:bCs/>
          <w:i/>
          <w:iCs/>
        </w:rPr>
      </w:pPr>
      <w:r w:rsidRPr="00AB7971">
        <w:rPr>
          <w:bCs/>
          <w:i/>
          <w:iCs/>
        </w:rPr>
        <w:t>The ACPM agreed such a statement was appropriate.</w:t>
      </w:r>
    </w:p>
    <w:p w:rsidR="004735D9" w:rsidRPr="00AB7971" w:rsidRDefault="004735D9" w:rsidP="008C53FF">
      <w:pPr>
        <w:pStyle w:val="Numberbullet0"/>
        <w:numPr>
          <w:ilvl w:val="0"/>
          <w:numId w:val="19"/>
        </w:numPr>
        <w:rPr>
          <w:lang w:val="en-GB"/>
        </w:rPr>
      </w:pPr>
      <w:r w:rsidRPr="00AB7971">
        <w:rPr>
          <w:lang w:val="en-GB"/>
        </w:rPr>
        <w:t>Are dosing recommendations acceptable given their departure from dosing in pivotal studies?</w:t>
      </w:r>
    </w:p>
    <w:p w:rsidR="004735D9" w:rsidRPr="00AB7971" w:rsidRDefault="004735D9" w:rsidP="004735D9">
      <w:pPr>
        <w:rPr>
          <w:bCs/>
          <w:i/>
        </w:rPr>
      </w:pPr>
      <w:r w:rsidRPr="00AB7971">
        <w:rPr>
          <w:bCs/>
          <w:i/>
        </w:rPr>
        <w:t xml:space="preserve">The ACPM noted that the </w:t>
      </w:r>
      <w:r>
        <w:rPr>
          <w:bCs/>
          <w:i/>
        </w:rPr>
        <w:t>s</w:t>
      </w:r>
      <w:r w:rsidRPr="00AB7971">
        <w:rPr>
          <w:bCs/>
          <w:i/>
        </w:rPr>
        <w:t>ponsor had agreed to minor changes in dosage tables as suggested by the clinical evaluator and the delegate agreed these were acceptable. The ACPM was of the view that the approach as per the most recent PI was acceptable.</w:t>
      </w:r>
    </w:p>
    <w:p w:rsidR="004735D9" w:rsidRPr="00AB7971" w:rsidRDefault="004735D9" w:rsidP="004735D9">
      <w:pPr>
        <w:rPr>
          <w:bCs/>
        </w:rPr>
      </w:pPr>
      <w:r w:rsidRPr="00AB7971">
        <w:rPr>
          <w:bCs/>
        </w:rPr>
        <w:t xml:space="preserve">The ACPM advised that the implementation by the sponsor of the recommendations outlined above to the satisfaction of the TGA, in addition to the evidence of efficacy and safety provided would support the safe and effective use of this product. </w:t>
      </w:r>
    </w:p>
    <w:p w:rsidR="008E7846" w:rsidRPr="002E238E" w:rsidRDefault="008E7846" w:rsidP="008E7846">
      <w:pPr>
        <w:pStyle w:val="Heading3"/>
      </w:pPr>
      <w:bookmarkStart w:id="154" w:name="_Toc247691532"/>
      <w:bookmarkStart w:id="155" w:name="_Toc314842516"/>
      <w:bookmarkStart w:id="156" w:name="_Toc453683298"/>
      <w:bookmarkEnd w:id="104"/>
      <w:bookmarkEnd w:id="151"/>
      <w:bookmarkEnd w:id="152"/>
      <w:r>
        <w:t>Outcome</w:t>
      </w:r>
      <w:bookmarkEnd w:id="154"/>
      <w:bookmarkEnd w:id="155"/>
      <w:bookmarkEnd w:id="156"/>
    </w:p>
    <w:p w:rsidR="00D23139" w:rsidRPr="004735D9" w:rsidRDefault="00D23139" w:rsidP="006069D7">
      <w:pPr>
        <w:tabs>
          <w:tab w:val="left" w:pos="720"/>
        </w:tabs>
      </w:pPr>
      <w:bookmarkStart w:id="157" w:name="_Toc247691533"/>
      <w:bookmarkStart w:id="158" w:name="_Toc314842517"/>
      <w:r w:rsidRPr="00D23139">
        <w:t xml:space="preserve">Based on a review of quality, safety and efficacy, TGA approved the registration of </w:t>
      </w:r>
      <w:proofErr w:type="spellStart"/>
      <w:r w:rsidR="006069D7">
        <w:rPr>
          <w:rFonts w:asciiTheme="minorHAnsi" w:hAnsiTheme="minorHAnsi"/>
        </w:rPr>
        <w:t>N</w:t>
      </w:r>
      <w:r w:rsidR="00BB3E6F">
        <w:rPr>
          <w:rFonts w:asciiTheme="minorHAnsi" w:hAnsiTheme="minorHAnsi"/>
        </w:rPr>
        <w:t>uwiq</w:t>
      </w:r>
      <w:proofErr w:type="spellEnd"/>
      <w:r w:rsidR="006069D7">
        <w:rPr>
          <w:rFonts w:asciiTheme="minorHAnsi" w:hAnsiTheme="minorHAnsi"/>
        </w:rPr>
        <w:t xml:space="preserve"> powder and solvent for injection </w:t>
      </w:r>
      <w:r w:rsidR="006069D7" w:rsidRPr="004735D9">
        <w:rPr>
          <w:rFonts w:asciiTheme="minorHAnsi" w:hAnsiTheme="minorHAnsi"/>
        </w:rPr>
        <w:t xml:space="preserve">containing </w:t>
      </w:r>
      <w:proofErr w:type="spellStart"/>
      <w:r w:rsidR="009C1E6B">
        <w:rPr>
          <w:rFonts w:asciiTheme="minorHAnsi" w:hAnsiTheme="minorHAnsi"/>
        </w:rPr>
        <w:t>simoctocog</w:t>
      </w:r>
      <w:proofErr w:type="spellEnd"/>
      <w:r w:rsidR="009C1E6B">
        <w:rPr>
          <w:rFonts w:asciiTheme="minorHAnsi" w:hAnsiTheme="minorHAnsi"/>
        </w:rPr>
        <w:t xml:space="preserve"> </w:t>
      </w:r>
      <w:r w:rsidR="00FC63A1">
        <w:rPr>
          <w:rFonts w:asciiTheme="minorHAnsi" w:hAnsiTheme="minorHAnsi"/>
        </w:rPr>
        <w:t>alfa</w:t>
      </w:r>
      <w:r w:rsidR="006069D7" w:rsidRPr="004735D9">
        <w:rPr>
          <w:rFonts w:asciiTheme="minorHAnsi" w:hAnsiTheme="minorHAnsi"/>
        </w:rPr>
        <w:t xml:space="preserve"> 250IU, 500IU, 1000IU and 2000IU </w:t>
      </w:r>
      <w:r w:rsidRPr="004735D9">
        <w:t xml:space="preserve">for </w:t>
      </w:r>
      <w:r w:rsidR="004735D9" w:rsidRPr="004735D9">
        <w:t>IV administration</w:t>
      </w:r>
      <w:r w:rsidRPr="004735D9">
        <w:t xml:space="preserve"> indicated for:</w:t>
      </w:r>
    </w:p>
    <w:p w:rsidR="00356785" w:rsidRPr="004735D9" w:rsidRDefault="00356785" w:rsidP="004735D9">
      <w:pPr>
        <w:ind w:left="720"/>
        <w:rPr>
          <w:i/>
          <w:lang w:val="en-US"/>
        </w:rPr>
      </w:pPr>
      <w:r w:rsidRPr="004735D9">
        <w:rPr>
          <w:i/>
        </w:rPr>
        <w:t>Treatment and prophylaxis of bleeding (also during and after surgery) in</w:t>
      </w:r>
      <w:r w:rsidRPr="004735D9">
        <w:rPr>
          <w:i/>
          <w:lang w:val="en-US"/>
        </w:rPr>
        <w:t xml:space="preserve"> previously treated paediatric (≥ 2 years) and adult</w:t>
      </w:r>
      <w:r w:rsidRPr="004735D9">
        <w:rPr>
          <w:i/>
        </w:rPr>
        <w:t xml:space="preserve"> patients with haemophilia </w:t>
      </w:r>
      <w:proofErr w:type="gramStart"/>
      <w:r w:rsidRPr="004735D9">
        <w:rPr>
          <w:i/>
        </w:rPr>
        <w:t>A</w:t>
      </w:r>
      <w:proofErr w:type="gramEnd"/>
      <w:r w:rsidRPr="004735D9">
        <w:rPr>
          <w:i/>
        </w:rPr>
        <w:t xml:space="preserve"> (congenital </w:t>
      </w:r>
      <w:r w:rsidR="00BA154F">
        <w:rPr>
          <w:i/>
        </w:rPr>
        <w:t>FVIII</w:t>
      </w:r>
      <w:r w:rsidR="00CC4F20" w:rsidRPr="004735D9">
        <w:rPr>
          <w:i/>
        </w:rPr>
        <w:t xml:space="preserve"> </w:t>
      </w:r>
      <w:r w:rsidRPr="004735D9">
        <w:rPr>
          <w:i/>
        </w:rPr>
        <w:t xml:space="preserve">deficiency). </w:t>
      </w:r>
    </w:p>
    <w:p w:rsidR="00356785" w:rsidRPr="004735D9" w:rsidRDefault="00356785" w:rsidP="004735D9">
      <w:pPr>
        <w:ind w:left="720"/>
        <w:rPr>
          <w:i/>
          <w:lang w:val="en-US"/>
        </w:rPr>
      </w:pPr>
      <w:proofErr w:type="spellStart"/>
      <w:r w:rsidRPr="004735D9">
        <w:rPr>
          <w:i/>
          <w:lang w:val="en-US"/>
        </w:rPr>
        <w:t>Nuwiq</w:t>
      </w:r>
      <w:proofErr w:type="spellEnd"/>
      <w:r w:rsidRPr="004735D9">
        <w:rPr>
          <w:i/>
          <w:lang w:val="en-US"/>
        </w:rPr>
        <w:t xml:space="preserve"> does not contain von </w:t>
      </w:r>
      <w:proofErr w:type="spellStart"/>
      <w:r w:rsidRPr="004735D9">
        <w:rPr>
          <w:i/>
          <w:lang w:val="en-US"/>
        </w:rPr>
        <w:t>Willebrand</w:t>
      </w:r>
      <w:proofErr w:type="spellEnd"/>
      <w:r w:rsidRPr="004735D9">
        <w:rPr>
          <w:i/>
          <w:lang w:val="en-US"/>
        </w:rPr>
        <w:t xml:space="preserve"> </w:t>
      </w:r>
      <w:r w:rsidR="00BB3E6F">
        <w:rPr>
          <w:i/>
          <w:lang w:val="en-US"/>
        </w:rPr>
        <w:t>f</w:t>
      </w:r>
      <w:r w:rsidRPr="004735D9">
        <w:rPr>
          <w:i/>
          <w:lang w:val="en-US"/>
        </w:rPr>
        <w:t xml:space="preserve">actor and is thus not indicated to treat von </w:t>
      </w:r>
      <w:proofErr w:type="spellStart"/>
      <w:r w:rsidRPr="004735D9">
        <w:rPr>
          <w:i/>
          <w:lang w:val="en-US"/>
        </w:rPr>
        <w:t>Willebrand’s</w:t>
      </w:r>
      <w:proofErr w:type="spellEnd"/>
      <w:r w:rsidRPr="004735D9">
        <w:rPr>
          <w:i/>
          <w:lang w:val="en-US"/>
        </w:rPr>
        <w:t xml:space="preserve"> </w:t>
      </w:r>
      <w:r w:rsidR="00BB3E6F">
        <w:rPr>
          <w:i/>
          <w:lang w:val="en-US"/>
        </w:rPr>
        <w:t>d</w:t>
      </w:r>
      <w:r w:rsidRPr="004735D9">
        <w:rPr>
          <w:i/>
          <w:lang w:val="en-US"/>
        </w:rPr>
        <w:t>isease.</w:t>
      </w:r>
    </w:p>
    <w:p w:rsidR="00D23139" w:rsidRPr="00D23139" w:rsidRDefault="00D23139" w:rsidP="00D23139">
      <w:pPr>
        <w:pStyle w:val="Heading4"/>
      </w:pPr>
      <w:r w:rsidRPr="00D23139">
        <w:t>Specific conditions of registration applying to these goods</w:t>
      </w:r>
    </w:p>
    <w:p w:rsidR="00356785" w:rsidRPr="00356785" w:rsidRDefault="00356785" w:rsidP="0012698C">
      <w:pPr>
        <w:pStyle w:val="Numberbullet0"/>
        <w:numPr>
          <w:ilvl w:val="0"/>
          <w:numId w:val="22"/>
        </w:numPr>
        <w:ind w:left="284" w:right="-143" w:hanging="284"/>
      </w:pPr>
      <w:r w:rsidRPr="00356785">
        <w:t xml:space="preserve">The </w:t>
      </w:r>
      <w:proofErr w:type="spellStart"/>
      <w:r w:rsidRPr="00356785">
        <w:t>N</w:t>
      </w:r>
      <w:r w:rsidR="00BB3E6F">
        <w:t>uwiq</w:t>
      </w:r>
      <w:proofErr w:type="spellEnd"/>
      <w:r w:rsidRPr="00356785">
        <w:t xml:space="preserve"> EU-RMP Risk Management Plan (RMP), version 6.0, dated 16 May 2014 and ASA, version 3.0, dated 19 May 2014 and any future updates as agreed with the TGA will be implemented in Australia.</w:t>
      </w:r>
    </w:p>
    <w:p w:rsidR="00356785" w:rsidRPr="00AE7D3D" w:rsidRDefault="00356785" w:rsidP="0012698C">
      <w:pPr>
        <w:pStyle w:val="Numberbullet0"/>
        <w:numPr>
          <w:ilvl w:val="0"/>
          <w:numId w:val="22"/>
        </w:numPr>
        <w:ind w:left="284" w:right="-1" w:hanging="284"/>
      </w:pPr>
      <w:r w:rsidRPr="00356785">
        <w:t>It is a condition</w:t>
      </w:r>
      <w:r w:rsidRPr="00AE7D3D">
        <w:t xml:space="preserve"> of registration that, as a minimum, the first </w:t>
      </w:r>
      <w:r w:rsidR="0093620D">
        <w:t>five</w:t>
      </w:r>
      <w:r w:rsidRPr="00AE7D3D">
        <w:t xml:space="preserve"> independent batches of </w:t>
      </w:r>
    </w:p>
    <w:p w:rsidR="00356785" w:rsidRDefault="00356785" w:rsidP="008C53FF">
      <w:pPr>
        <w:ind w:left="284"/>
      </w:pPr>
      <w:r>
        <w:t>-</w:t>
      </w:r>
      <w:proofErr w:type="spellStart"/>
      <w:r>
        <w:t>Nuwiq</w:t>
      </w:r>
      <w:proofErr w:type="spellEnd"/>
      <w:r>
        <w:t xml:space="preserve"> Human cell line recombinant human </w:t>
      </w:r>
      <w:r w:rsidR="00BA154F">
        <w:t>FVIII</w:t>
      </w:r>
      <w:r w:rsidR="00CC4F20">
        <w:t xml:space="preserve"> </w:t>
      </w:r>
      <w:r>
        <w:t xml:space="preserve">(Human-cl </w:t>
      </w:r>
      <w:proofErr w:type="spellStart"/>
      <w:r>
        <w:t>rhFVIII</w:t>
      </w:r>
      <w:proofErr w:type="spellEnd"/>
      <w:r>
        <w:t>), 2000IU, powder and solvent for solution for injection</w:t>
      </w:r>
    </w:p>
    <w:p w:rsidR="00356785" w:rsidRDefault="00356785" w:rsidP="008C53FF">
      <w:pPr>
        <w:ind w:left="284"/>
      </w:pPr>
      <w:r>
        <w:t xml:space="preserve">- </w:t>
      </w:r>
      <w:proofErr w:type="spellStart"/>
      <w:r>
        <w:t>Nuwiq</w:t>
      </w:r>
      <w:proofErr w:type="spellEnd"/>
      <w:r>
        <w:t xml:space="preserve"> Human cell line recombinant human </w:t>
      </w:r>
      <w:r w:rsidR="00BA154F">
        <w:t>FVIII</w:t>
      </w:r>
      <w:r w:rsidR="00CC4F20">
        <w:t xml:space="preserve"> </w:t>
      </w:r>
      <w:r>
        <w:t xml:space="preserve">(Human-cl </w:t>
      </w:r>
      <w:proofErr w:type="spellStart"/>
      <w:r>
        <w:t>rhFVIII</w:t>
      </w:r>
      <w:proofErr w:type="spellEnd"/>
      <w:r>
        <w:t>), 1000IU, powder and solvent for solution for injection</w:t>
      </w:r>
    </w:p>
    <w:p w:rsidR="00356785" w:rsidRDefault="00356785" w:rsidP="008C53FF">
      <w:pPr>
        <w:ind w:left="284"/>
      </w:pPr>
      <w:r>
        <w:lastRenderedPageBreak/>
        <w:t xml:space="preserve">- </w:t>
      </w:r>
      <w:proofErr w:type="spellStart"/>
      <w:r>
        <w:t>Nuwiq</w:t>
      </w:r>
      <w:proofErr w:type="spellEnd"/>
      <w:r>
        <w:t xml:space="preserve"> Human cell line recombinant human </w:t>
      </w:r>
      <w:r w:rsidR="00BA154F">
        <w:t>FVIII</w:t>
      </w:r>
      <w:r w:rsidR="00CC4F20">
        <w:t xml:space="preserve"> </w:t>
      </w:r>
      <w:r>
        <w:t xml:space="preserve">(Human-cl </w:t>
      </w:r>
      <w:proofErr w:type="spellStart"/>
      <w:r>
        <w:t>rhFVIII</w:t>
      </w:r>
      <w:proofErr w:type="spellEnd"/>
      <w:r>
        <w:t>), 250IU, powder and solvent for solution for injection</w:t>
      </w:r>
    </w:p>
    <w:p w:rsidR="00356785" w:rsidRDefault="00356785" w:rsidP="008C53FF">
      <w:pPr>
        <w:ind w:left="284"/>
      </w:pPr>
      <w:r>
        <w:t xml:space="preserve">- </w:t>
      </w:r>
      <w:proofErr w:type="spellStart"/>
      <w:r>
        <w:t>Nuwiq</w:t>
      </w:r>
      <w:proofErr w:type="spellEnd"/>
      <w:r>
        <w:t xml:space="preserve"> Human cell line recombinant human </w:t>
      </w:r>
      <w:r w:rsidR="00BA154F">
        <w:t>FVIII</w:t>
      </w:r>
      <w:r w:rsidR="00CC4F20">
        <w:t xml:space="preserve"> </w:t>
      </w:r>
      <w:r>
        <w:t xml:space="preserve">(Human-cl </w:t>
      </w:r>
      <w:proofErr w:type="spellStart"/>
      <w:r>
        <w:t>rhFVIII</w:t>
      </w:r>
      <w:proofErr w:type="spellEnd"/>
      <w:r>
        <w:t>), 500IU, powder and solvent for solution for injection</w:t>
      </w:r>
    </w:p>
    <w:p w:rsidR="00356785" w:rsidRPr="00AE7D3D" w:rsidRDefault="00356785" w:rsidP="00356785">
      <w:pPr>
        <w:rPr>
          <w:rFonts w:asciiTheme="minorHAnsi" w:hAnsiTheme="minorHAnsi"/>
          <w:snapToGrid w:val="0"/>
        </w:rPr>
      </w:pPr>
      <w:r w:rsidRPr="0036414D">
        <w:rPr>
          <w:rFonts w:asciiTheme="minorHAnsi" w:hAnsiTheme="minorHAnsi"/>
        </w:rPr>
        <w:t xml:space="preserve">imported into/manufactured in Australia </w:t>
      </w:r>
      <w:r w:rsidRPr="00AE7D3D">
        <w:rPr>
          <w:rFonts w:asciiTheme="minorHAnsi" w:hAnsiTheme="minorHAnsi"/>
        </w:rPr>
        <w:t>are not released for sale until samples and/or the manufacturer’s release data have been assessed and endorsed for release by the TGA</w:t>
      </w:r>
      <w:r w:rsidR="00BB3E6F">
        <w:rPr>
          <w:rFonts w:asciiTheme="minorHAnsi" w:hAnsiTheme="minorHAnsi"/>
        </w:rPr>
        <w:t>’s</w:t>
      </w:r>
      <w:r w:rsidRPr="00AE7D3D">
        <w:rPr>
          <w:rFonts w:asciiTheme="minorHAnsi" w:hAnsiTheme="minorHAnsi"/>
        </w:rPr>
        <w:t xml:space="preserve"> Office of Laboratories </w:t>
      </w:r>
      <w:r w:rsidR="00A5047D">
        <w:rPr>
          <w:rFonts w:asciiTheme="minorHAnsi" w:hAnsiTheme="minorHAnsi"/>
        </w:rPr>
        <w:t>and Scientific Services (OLSS).</w:t>
      </w:r>
    </w:p>
    <w:p w:rsidR="008E7846" w:rsidRDefault="00A80B5B" w:rsidP="00D23139">
      <w:pPr>
        <w:pStyle w:val="Heading2"/>
      </w:pPr>
      <w:bookmarkStart w:id="159" w:name="_Toc453683299"/>
      <w:proofErr w:type="gramStart"/>
      <w:r>
        <w:t>Attachment 1.</w:t>
      </w:r>
      <w:proofErr w:type="gramEnd"/>
      <w:r>
        <w:t xml:space="preserve"> </w:t>
      </w:r>
      <w:r w:rsidR="008E7846">
        <w:t xml:space="preserve">Product </w:t>
      </w:r>
      <w:r w:rsidR="00AA0ED0">
        <w:t>I</w:t>
      </w:r>
      <w:r w:rsidR="008E7846">
        <w:t>nformation</w:t>
      </w:r>
      <w:bookmarkEnd w:id="157"/>
      <w:bookmarkEnd w:id="158"/>
      <w:bookmarkEnd w:id="159"/>
    </w:p>
    <w:p w:rsidR="00C80137" w:rsidRDefault="002B3624" w:rsidP="00C80137">
      <w:pPr>
        <w:rPr>
          <w:color w:val="000000"/>
          <w:lang w:eastAsia="en-AU"/>
        </w:rPr>
      </w:pPr>
      <w:r w:rsidRPr="002B3624">
        <w:t xml:space="preserve">The Product Information approved for main </w:t>
      </w:r>
      <w:proofErr w:type="spellStart"/>
      <w:r w:rsidR="00356785">
        <w:t>Nuwiq</w:t>
      </w:r>
      <w:proofErr w:type="spellEnd"/>
      <w:r w:rsidRPr="002B3624">
        <w:t xml:space="preserve"> at the time this AusPAR was published is at Attachment 1. For the most recent Product Information please refer to the TGA website at &lt;</w:t>
      </w:r>
      <w:hyperlink r:id="rId17" w:history="1">
        <w:r w:rsidR="00383221">
          <w:rPr>
            <w:rStyle w:val="Hyperlink"/>
          </w:rPr>
          <w:t>https://www.tga.gov.au/product-information-pi</w:t>
        </w:r>
      </w:hyperlink>
      <w:r w:rsidRPr="002B3624">
        <w:t xml:space="preserve">&gt;. </w:t>
      </w:r>
    </w:p>
    <w:p w:rsidR="001C32CD" w:rsidRDefault="00C80137" w:rsidP="00412DF4">
      <w:pPr>
        <w:pStyle w:val="Heading2"/>
        <w:rPr>
          <w:lang w:eastAsia="ja-JP"/>
        </w:rPr>
      </w:pPr>
      <w:bookmarkStart w:id="160" w:name="_Toc453683300"/>
      <w:proofErr w:type="gramStart"/>
      <w:r>
        <w:rPr>
          <w:lang w:eastAsia="en-AU"/>
        </w:rPr>
        <w:t>Attachment 2.</w:t>
      </w:r>
      <w:proofErr w:type="gramEnd"/>
      <w:r w:rsidR="00A80B5B">
        <w:rPr>
          <w:lang w:eastAsia="en-AU"/>
        </w:rPr>
        <w:t xml:space="preserve"> </w:t>
      </w:r>
      <w:r>
        <w:rPr>
          <w:lang w:eastAsia="en-AU"/>
        </w:rPr>
        <w:t>Extract from the Clinical Evaluation Report</w:t>
      </w:r>
      <w:bookmarkEnd w:id="160"/>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675A4F">
        <w:trPr>
          <w:trHeight w:hRule="exact" w:val="704"/>
        </w:trPr>
        <w:tc>
          <w:tcPr>
            <w:tcW w:w="9175" w:type="dxa"/>
          </w:tcPr>
          <w:p w:rsidR="001C32CD" w:rsidRPr="00487162" w:rsidRDefault="001C32CD" w:rsidP="00675A4F">
            <w:pPr>
              <w:pStyle w:val="TGASignoff"/>
            </w:pPr>
            <w:r w:rsidRPr="00487162">
              <w:lastRenderedPageBreak/>
              <w:t>Therapeutic Goods Administration</w:t>
            </w:r>
          </w:p>
        </w:tc>
      </w:tr>
      <w:tr w:rsidR="001C32CD" w:rsidRPr="004C239D" w:rsidTr="00675A4F">
        <w:trPr>
          <w:trHeight w:val="1221"/>
        </w:trPr>
        <w:tc>
          <w:tcPr>
            <w:tcW w:w="9175" w:type="dxa"/>
            <w:tcMar>
              <w:top w:w="28" w:type="dxa"/>
            </w:tcMar>
          </w:tcPr>
          <w:p w:rsidR="001C32CD" w:rsidRPr="00487162" w:rsidRDefault="001C32CD" w:rsidP="00675A4F">
            <w:pPr>
              <w:pStyle w:val="Address"/>
            </w:pPr>
            <w:r w:rsidRPr="00487162">
              <w:t>PO Box 100 Woden ACT 2606 Australia</w:t>
            </w:r>
          </w:p>
          <w:p w:rsidR="001C32CD" w:rsidRPr="00487162" w:rsidRDefault="001C32CD" w:rsidP="00675A4F">
            <w:pPr>
              <w:pStyle w:val="Address"/>
            </w:pPr>
            <w:r w:rsidRPr="00487162">
              <w:t xml:space="preserve">Email: </w:t>
            </w:r>
            <w:hyperlink r:id="rId22" w:history="1">
              <w:r w:rsidRPr="004C239D">
                <w:rPr>
                  <w:rStyle w:val="Hyperlink"/>
                </w:rPr>
                <w:t>info@tga.gov.au</w:t>
              </w:r>
            </w:hyperlink>
            <w:r w:rsidR="00FF5033">
              <w:t xml:space="preserve"> </w:t>
            </w:r>
            <w:r w:rsidRPr="00487162">
              <w:t>Phone: 1800 020 653</w:t>
            </w:r>
            <w:r w:rsidR="00FF5033">
              <w:t xml:space="preserve"> </w:t>
            </w:r>
            <w:r w:rsidRPr="00487162">
              <w:t>Fax: 02 6232 8605</w:t>
            </w:r>
          </w:p>
          <w:p w:rsidR="001C32CD" w:rsidRPr="004C239D" w:rsidRDefault="00081E62" w:rsidP="00675A4F">
            <w:pPr>
              <w:pStyle w:val="Address"/>
              <w:spacing w:line="260" w:lineRule="atLeast"/>
              <w:rPr>
                <w:b/>
                <w:color w:val="0000FF"/>
                <w:u w:val="single"/>
              </w:rPr>
            </w:pPr>
            <w:hyperlink r:id="rId23" w:history="1">
              <w:r w:rsidR="004F47D6">
                <w:rPr>
                  <w:rStyle w:val="Hyperlink"/>
                  <w:b/>
                </w:rPr>
                <w:t>https://www.tga.gov.au</w:t>
              </w:r>
            </w:hyperlink>
          </w:p>
        </w:tc>
      </w:tr>
    </w:tbl>
    <w:p w:rsidR="00774E1D" w:rsidRPr="008A5E0B" w:rsidRDefault="00774E1D" w:rsidP="004C239D"/>
    <w:sectPr w:rsidR="00774E1D" w:rsidRPr="008A5E0B"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D7D09A" w15:done="0"/>
  <w15:commentEx w15:paraId="0E6A79BE" w15:done="0"/>
  <w15:commentEx w15:paraId="25CD20AD" w15:done="0"/>
  <w15:commentEx w15:paraId="496B5E98" w15:done="0"/>
  <w15:commentEx w15:paraId="3718CD94" w15:done="0"/>
  <w15:commentEx w15:paraId="65606412" w15:done="0"/>
  <w15:commentEx w15:paraId="4D9370DF" w15:done="0"/>
  <w15:commentEx w15:paraId="29791889" w15:done="0"/>
  <w15:commentEx w15:paraId="25AF0C0C" w15:done="0"/>
  <w15:commentEx w15:paraId="476DFEC0" w15:done="0"/>
  <w15:commentEx w15:paraId="495DB545" w15:done="0"/>
  <w15:commentEx w15:paraId="2AFFEC83" w15:done="0"/>
  <w15:commentEx w15:paraId="7B29B445" w15:done="0"/>
  <w15:commentEx w15:paraId="37212C44" w15:done="0"/>
  <w15:commentEx w15:paraId="0EABFBE8" w15:done="0"/>
  <w15:commentEx w15:paraId="18E2779A" w15:done="0"/>
  <w15:commentEx w15:paraId="4312FCA7" w15:done="0"/>
  <w15:commentEx w15:paraId="4A7364DD" w15:done="0"/>
  <w15:commentEx w15:paraId="47F15617" w15:done="0"/>
  <w15:commentEx w15:paraId="58B7BC9D" w15:done="0"/>
  <w15:commentEx w15:paraId="7334B6B2" w15:done="0"/>
  <w15:commentEx w15:paraId="2DF1F575" w15:done="0"/>
  <w15:commentEx w15:paraId="36626332" w15:done="0"/>
  <w15:commentEx w15:paraId="54913B11" w15:done="0"/>
  <w15:commentEx w15:paraId="2D736F27" w15:done="0"/>
  <w15:commentEx w15:paraId="3EA54BFD" w15:done="0"/>
  <w15:commentEx w15:paraId="666102AC" w15:done="0"/>
  <w15:commentEx w15:paraId="32B0718D" w15:done="0"/>
  <w15:commentEx w15:paraId="36010BBC" w15:done="0"/>
  <w15:commentEx w15:paraId="6F01F614" w15:done="0"/>
  <w15:commentEx w15:paraId="394A3DD9" w15:done="0"/>
  <w15:commentEx w15:paraId="04B1DA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E62" w:rsidRDefault="00081E62" w:rsidP="00C40A36">
      <w:pPr>
        <w:spacing w:after="0"/>
      </w:pPr>
      <w:r>
        <w:separator/>
      </w:r>
    </w:p>
  </w:endnote>
  <w:endnote w:type="continuationSeparator" w:id="0">
    <w:p w:rsidR="00081E62" w:rsidRDefault="00081E6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ø÷◊">
    <w:altName w:val="Cambria"/>
    <w:panose1 w:val="00000000000000000000"/>
    <w:charset w:val="4D"/>
    <w:family w:val="auto"/>
    <w:notTrueType/>
    <w:pitch w:val="default"/>
    <w:sig w:usb0="00000003" w:usb1="00000000" w:usb2="00000000" w:usb3="00000000" w:csb0="00000001" w:csb1="00000000"/>
  </w:font>
  <w:font w:name="œÙøf€">
    <w:altName w:val="Cambria"/>
    <w:panose1 w:val="00000000000000000000"/>
    <w:charset w:val="4D"/>
    <w:family w:val="auto"/>
    <w:notTrueType/>
    <w:pitch w:val="default"/>
    <w:sig w:usb0="00000003" w:usb1="00000000" w:usb2="00000000" w:usb3="00000000" w:csb0="00000001" w:csb1="00000000"/>
  </w:font>
  <w:font w:name="TimesNewRoman">
    <w:altName w:val="MS Mincho"/>
    <w:panose1 w:val="00000000000000000000"/>
    <w:charset w:val="00"/>
    <w:family w:val="auto"/>
    <w:notTrueType/>
    <w:pitch w:val="default"/>
    <w:sig w:usb0="00000003" w:usb1="08070000" w:usb2="00000010" w:usb3="00000000" w:csb0="00020001" w:csb1="00000000"/>
  </w:font>
  <w:font w:name="Ä‹Ùøf€">
    <w:altName w:val="Cambria"/>
    <w:panose1 w:val="00000000000000000000"/>
    <w:charset w:val="4D"/>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9" w:csb1="00000000"/>
  </w:font>
  <w:font w:name="Verdana">
    <w:panose1 w:val="020B0604030504040204"/>
    <w:charset w:val="00"/>
    <w:family w:val="swiss"/>
    <w:pitch w:val="variable"/>
    <w:sig w:usb0="A10006FF" w:usb1="4000205B" w:usb2="00000010" w:usb3="00000000" w:csb0="0000019F" w:csb1="00000000"/>
  </w:font>
  <w:font w:name="TTDCE6o00">
    <w:panose1 w:val="00000000000000000000"/>
    <w:charset w:val="00"/>
    <w:family w:val="auto"/>
    <w:notTrueType/>
    <w:pitch w:val="default"/>
    <w:sig w:usb0="00000003" w:usb1="00000000" w:usb2="00000000" w:usb3="00000000" w:csb0="00000001" w:csb1="00000000"/>
  </w:font>
  <w:font w:name="◊Ùøf€">
    <w:altName w:val="Cambria"/>
    <w:panose1 w:val="00000000000000000000"/>
    <w:charset w:val="4D"/>
    <w:family w:val="auto"/>
    <w:notTrueType/>
    <w:pitch w:val="default"/>
    <w:sig w:usb0="00000003" w:usb1="00000000" w:usb2="00000000" w:usb3="00000000" w:csb0="00000001" w:csb1="00000000"/>
  </w:font>
  <w:font w:name="Ä¨˙ø¶’">
    <w:altName w:val="Cambria"/>
    <w:panose1 w:val="00000000000000000000"/>
    <w:charset w:val="4D"/>
    <w:family w:val="auto"/>
    <w:notTrueType/>
    <w:pitch w:val="default"/>
    <w:sig w:usb0="00000003" w:usb1="00000000" w:usb2="00000000" w:usb3="00000000" w:csb0="00000001" w:csb1="00000000"/>
  </w:font>
  <w:font w:name="ü˙ø¶’">
    <w:altName w:val="Cambria"/>
    <w:panose1 w:val="00000000000000000000"/>
    <w:charset w:val="4D"/>
    <w:family w:val="auto"/>
    <w:notTrueType/>
    <w:pitch w:val="default"/>
    <w:sig w:usb0="00000003" w:usb1="00000000" w:usb2="00000000" w:usb3="00000000" w:csb0="00000001" w:csb1="00000000"/>
  </w:font>
  <w:font w:name="ÄåÛøñ‹">
    <w:altName w:val="Cambria"/>
    <w:panose1 w:val="00000000000000000000"/>
    <w:charset w:val="4D"/>
    <w:family w:val="auto"/>
    <w:notTrueType/>
    <w:pitch w:val="default"/>
    <w:sig w:usb0="00000003" w:usb1="00000000" w:usb2="00000000" w:usb3="00000000" w:csb0="00000001" w:csb1="00000000"/>
  </w:font>
  <w:font w:name="Ûøñ‹">
    <w:altName w:val="Cambria"/>
    <w:panose1 w:val="00000000000000000000"/>
    <w:charset w:val="4D"/>
    <w:family w:val="auto"/>
    <w:notTrueType/>
    <w:pitch w:val="default"/>
    <w:sig w:usb0="00000003" w:usb1="00000000" w:usb2="00000000" w:usb3="00000000" w:csb0="00000001" w:csb1="00000000"/>
  </w:font>
  <w:font w:name="ÄÂ'FFø6—">
    <w:altName w:val="Cambria"/>
    <w:panose1 w:val="00000000000000000000"/>
    <w:charset w:val="4D"/>
    <w:family w:val="auto"/>
    <w:notTrueType/>
    <w:pitch w:val="default"/>
    <w:sig w:usb0="00000003" w:usb1="00000000" w:usb2="00000000" w:usb3="00000000" w:csb0="00000001" w:csb1="00000000"/>
  </w:font>
  <w:font w:name="‡oˆøª&amp;Â">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081E62" w:rsidRPr="00487162" w:rsidTr="00DB750B">
      <w:trPr>
        <w:trHeight w:val="269"/>
      </w:trPr>
      <w:tc>
        <w:tcPr>
          <w:tcW w:w="7371" w:type="dxa"/>
          <w:tcMar>
            <w:top w:w="142" w:type="dxa"/>
            <w:bottom w:w="0" w:type="dxa"/>
          </w:tcMar>
        </w:tcPr>
        <w:p w:rsidR="00081E62" w:rsidRPr="00487162" w:rsidRDefault="00081E62" w:rsidP="0093620D">
          <w:pPr>
            <w:pStyle w:val="Footer"/>
          </w:pPr>
          <w:r w:rsidRPr="00487162">
            <w:t xml:space="preserve">AusPAR </w:t>
          </w:r>
          <w:proofErr w:type="spellStart"/>
          <w:r>
            <w:t>Nuwiq</w:t>
          </w:r>
          <w:proofErr w:type="spellEnd"/>
          <w:r>
            <w:t xml:space="preserve"> </w:t>
          </w:r>
          <w:r w:rsidRPr="00487162">
            <w:t xml:space="preserve"> </w:t>
          </w:r>
          <w:proofErr w:type="spellStart"/>
          <w:r>
            <w:rPr>
              <w:rFonts w:asciiTheme="minorHAnsi" w:hAnsiTheme="minorHAnsi" w:cs="Arial"/>
              <w:szCs w:val="24"/>
            </w:rPr>
            <w:t>simoctocog</w:t>
          </w:r>
          <w:proofErr w:type="spellEnd"/>
          <w:r>
            <w:rPr>
              <w:rFonts w:asciiTheme="minorHAnsi" w:hAnsiTheme="minorHAnsi" w:cs="Arial"/>
              <w:szCs w:val="24"/>
            </w:rPr>
            <w:t xml:space="preserve"> alfa </w:t>
          </w:r>
          <w:proofErr w:type="spellStart"/>
          <w:r>
            <w:rPr>
              <w:rFonts w:asciiTheme="minorHAnsi" w:hAnsiTheme="minorHAnsi" w:cs="Arial"/>
              <w:i/>
              <w:szCs w:val="24"/>
            </w:rPr>
            <w:t>rhu</w:t>
          </w:r>
          <w:proofErr w:type="spellEnd"/>
          <w:r w:rsidRPr="00487162">
            <w:t xml:space="preserve"> </w:t>
          </w:r>
          <w:proofErr w:type="spellStart"/>
          <w:r>
            <w:rPr>
              <w:rFonts w:asciiTheme="minorHAnsi" w:hAnsiTheme="minorHAnsi" w:cs="Arial"/>
            </w:rPr>
            <w:t>Octapharma</w:t>
          </w:r>
          <w:proofErr w:type="spellEnd"/>
          <w:r>
            <w:rPr>
              <w:rFonts w:asciiTheme="minorHAnsi" w:hAnsiTheme="minorHAnsi" w:cs="Arial"/>
            </w:rPr>
            <w:t xml:space="preserve"> Australia Pty Ltd</w:t>
          </w:r>
          <w:r w:rsidRPr="00487162">
            <w:t xml:space="preserve">  PM-20</w:t>
          </w:r>
          <w:r>
            <w:t>13</w:t>
          </w:r>
          <w:r w:rsidRPr="00487162">
            <w:t>-</w:t>
          </w:r>
          <w:r>
            <w:t>02226-1-4</w:t>
          </w:r>
          <w:r>
            <w:br/>
            <w:t>Final 7 June 2016</w:t>
          </w:r>
        </w:p>
      </w:tc>
      <w:tc>
        <w:tcPr>
          <w:tcW w:w="1490" w:type="dxa"/>
          <w:tcMar>
            <w:top w:w="142" w:type="dxa"/>
            <w:bottom w:w="0" w:type="dxa"/>
          </w:tcMar>
        </w:tcPr>
        <w:p w:rsidR="00081E62" w:rsidRPr="00487162" w:rsidRDefault="00081E62" w:rsidP="00DB750B">
          <w:pPr>
            <w:pStyle w:val="Footer"/>
            <w:jc w:val="right"/>
          </w:pPr>
          <w:r w:rsidRPr="00487162">
            <w:t xml:space="preserve">Page </w:t>
          </w:r>
          <w:r>
            <w:fldChar w:fldCharType="begin"/>
          </w:r>
          <w:r>
            <w:instrText xml:space="preserve"> PAGE  \* Arabic </w:instrText>
          </w:r>
          <w:r>
            <w:fldChar w:fldCharType="separate"/>
          </w:r>
          <w:r w:rsidR="00A5047D">
            <w:rPr>
              <w:noProof/>
            </w:rPr>
            <w:t>4</w:t>
          </w:r>
          <w:r>
            <w:rPr>
              <w:noProof/>
            </w:rPr>
            <w:fldChar w:fldCharType="end"/>
          </w:r>
          <w:r w:rsidRPr="00487162">
            <w:t xml:space="preserve"> of </w:t>
          </w:r>
          <w:fldSimple w:instr=" NUMPAGES  \* Arabic ">
            <w:r w:rsidR="00A5047D">
              <w:rPr>
                <w:noProof/>
              </w:rPr>
              <w:t>67</w:t>
            </w:r>
          </w:fldSimple>
        </w:p>
      </w:tc>
    </w:tr>
  </w:tbl>
  <w:p w:rsidR="00081E62" w:rsidRDefault="00081E62"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081E62" w:rsidRPr="00487162" w:rsidTr="00E45619">
      <w:trPr>
        <w:trHeight w:val="269"/>
      </w:trPr>
      <w:tc>
        <w:tcPr>
          <w:tcW w:w="4519" w:type="dxa"/>
          <w:tcBorders>
            <w:top w:val="single" w:sz="4" w:space="0" w:color="auto"/>
          </w:tcBorders>
          <w:tcMar>
            <w:top w:w="142" w:type="dxa"/>
            <w:bottom w:w="0" w:type="dxa"/>
          </w:tcMar>
        </w:tcPr>
        <w:p w:rsidR="00081E62" w:rsidRPr="00487162" w:rsidRDefault="00081E62" w:rsidP="00FE1DEE">
          <w:pPr>
            <w:pStyle w:val="Footer"/>
          </w:pPr>
          <w:r w:rsidRPr="00487162">
            <w:t>Document title, Part #, Section # - Section title</w:t>
          </w:r>
        </w:p>
        <w:p w:rsidR="00081E62" w:rsidRPr="00487162" w:rsidRDefault="00081E62" w:rsidP="00FE1DEE">
          <w:pPr>
            <w:pStyle w:val="Footer"/>
          </w:pPr>
          <w:r w:rsidRPr="00487162">
            <w:t>V1.0 October 2010</w:t>
          </w:r>
        </w:p>
      </w:tc>
      <w:tc>
        <w:tcPr>
          <w:tcW w:w="4342" w:type="dxa"/>
          <w:tcBorders>
            <w:top w:val="single" w:sz="4" w:space="0" w:color="auto"/>
          </w:tcBorders>
          <w:tcMar>
            <w:top w:w="142" w:type="dxa"/>
            <w:bottom w:w="0" w:type="dxa"/>
          </w:tcMar>
        </w:tcPr>
        <w:p w:rsidR="00081E62" w:rsidRPr="00487162" w:rsidRDefault="00081E62"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w:t>
            </w:r>
          </w:fldSimple>
        </w:p>
      </w:tc>
    </w:tr>
  </w:tbl>
  <w:p w:rsidR="00081E62" w:rsidRDefault="00081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62" w:rsidRPr="001C32CD" w:rsidRDefault="00081E62"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081E62" w:rsidTr="0010601F">
      <w:trPr>
        <w:trHeight w:val="108"/>
      </w:trPr>
      <w:tc>
        <w:tcPr>
          <w:tcW w:w="8875" w:type="dxa"/>
          <w:gridSpan w:val="2"/>
          <w:tcBorders>
            <w:bottom w:val="single" w:sz="4" w:space="0" w:color="auto"/>
          </w:tcBorders>
          <w:tcMar>
            <w:right w:w="284" w:type="dxa"/>
          </w:tcMar>
        </w:tcPr>
        <w:p w:rsidR="00081E62" w:rsidRDefault="00081E62" w:rsidP="006E08B3">
          <w:pPr>
            <w:pStyle w:val="Heading3"/>
          </w:pPr>
          <w:r>
            <w:t>Copyright</w:t>
          </w:r>
        </w:p>
        <w:p w:rsidR="00081E62" w:rsidRDefault="00081E62" w:rsidP="006E08B3">
          <w:r>
            <w:rPr>
              <w:rFonts w:cs="Arial"/>
            </w:rPr>
            <w:t>©</w:t>
          </w:r>
          <w:r>
            <w:t xml:space="preserve"> Commonwealth of Australia [add year]</w:t>
          </w:r>
        </w:p>
        <w:p w:rsidR="00081E62" w:rsidRDefault="00081E62" w:rsidP="006E08B3"/>
        <w:p w:rsidR="00081E62" w:rsidRDefault="00081E6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081E62" w:rsidRDefault="00081E62" w:rsidP="006E08B3"/>
        <w:p w:rsidR="00081E62" w:rsidRDefault="00081E62" w:rsidP="006E08B3">
          <w:pPr>
            <w:pStyle w:val="Heading3"/>
          </w:pPr>
          <w:r>
            <w:t>Confidentiality</w:t>
          </w:r>
        </w:p>
        <w:p w:rsidR="00081E62" w:rsidRDefault="00081E62"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081E62" w:rsidRDefault="00081E62" w:rsidP="006E08B3"/>
        <w:p w:rsidR="00081E62" w:rsidRDefault="00081E62" w:rsidP="006E08B3">
          <w:r>
            <w:t>For submission made by individuals, all personal details, other than your name, will be removed from your submission before it is published on the TGA’s Internet site.</w:t>
          </w:r>
        </w:p>
        <w:p w:rsidR="00081E62" w:rsidRDefault="00081E62" w:rsidP="006E08B3"/>
        <w:p w:rsidR="00081E62" w:rsidRDefault="00081E62"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081E62" w:rsidTr="0010601F">
      <w:trPr>
        <w:trHeight w:val="417"/>
      </w:trPr>
      <w:tc>
        <w:tcPr>
          <w:tcW w:w="4519" w:type="dxa"/>
          <w:tcBorders>
            <w:top w:val="single" w:sz="4" w:space="0" w:color="auto"/>
          </w:tcBorders>
          <w:tcMar>
            <w:top w:w="142" w:type="dxa"/>
            <w:bottom w:w="0" w:type="dxa"/>
          </w:tcMar>
        </w:tcPr>
        <w:p w:rsidR="00081E62" w:rsidRDefault="00081E62" w:rsidP="006E08B3">
          <w:r>
            <w:t>Document title, Part #, Section # - Section title</w:t>
          </w:r>
        </w:p>
        <w:p w:rsidR="00081E62" w:rsidRDefault="00081E62" w:rsidP="006E08B3">
          <w:r>
            <w:t>V1.0 October 2010</w:t>
          </w:r>
        </w:p>
      </w:tc>
      <w:tc>
        <w:tcPr>
          <w:tcW w:w="4356" w:type="dxa"/>
          <w:tcBorders>
            <w:top w:val="single" w:sz="4" w:space="0" w:color="auto"/>
          </w:tcBorders>
          <w:tcMar>
            <w:top w:w="142" w:type="dxa"/>
            <w:bottom w:w="0" w:type="dxa"/>
          </w:tcMar>
        </w:tcPr>
        <w:p w:rsidR="00081E62" w:rsidRDefault="00081E62"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w:t>
            </w:r>
          </w:fldSimple>
          <w:r>
            <w:t xml:space="preserve">  </w:t>
          </w:r>
        </w:p>
      </w:tc>
    </w:tr>
  </w:tbl>
  <w:p w:rsidR="00081E62" w:rsidRDefault="00081E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E62" w:rsidRDefault="00081E62" w:rsidP="00C40A36">
      <w:pPr>
        <w:spacing w:after="0"/>
      </w:pPr>
      <w:r>
        <w:separator/>
      </w:r>
    </w:p>
  </w:footnote>
  <w:footnote w:type="continuationSeparator" w:id="0">
    <w:p w:rsidR="00081E62" w:rsidRDefault="00081E62" w:rsidP="00C40A36">
      <w:pPr>
        <w:spacing w:after="0"/>
      </w:pPr>
      <w:r>
        <w:continuationSeparator/>
      </w:r>
    </w:p>
  </w:footnote>
  <w:footnote w:id="1">
    <w:p w:rsidR="00081E62" w:rsidRDefault="00081E62" w:rsidP="00CA287F">
      <w:pPr>
        <w:pStyle w:val="FootnoteText"/>
      </w:pPr>
      <w:r>
        <w:rPr>
          <w:rStyle w:val="FootnoteReference"/>
        </w:rPr>
        <w:footnoteRef/>
      </w:r>
      <w:r>
        <w:t xml:space="preserve"> </w:t>
      </w:r>
      <w:proofErr w:type="spellStart"/>
      <w:r w:rsidRPr="00AF1DE1">
        <w:t>Tuddenham</w:t>
      </w:r>
      <w:proofErr w:type="spellEnd"/>
      <w:r w:rsidRPr="00AF1DE1">
        <w:t xml:space="preserve"> EGD, </w:t>
      </w:r>
      <w:proofErr w:type="spellStart"/>
      <w:r w:rsidRPr="00AF1DE1">
        <w:t>Kannicht</w:t>
      </w:r>
      <w:proofErr w:type="spellEnd"/>
      <w:r w:rsidRPr="00AF1DE1">
        <w:t xml:space="preserve"> C, </w:t>
      </w:r>
      <w:proofErr w:type="spellStart"/>
      <w:r w:rsidRPr="00AF1DE1">
        <w:t>Agerkvist</w:t>
      </w:r>
      <w:proofErr w:type="spellEnd"/>
      <w:r w:rsidRPr="00AF1DE1">
        <w:t xml:space="preserve"> I, Sandberg H, </w:t>
      </w:r>
      <w:proofErr w:type="spellStart"/>
      <w:r w:rsidRPr="00AF1DE1">
        <w:t>Knaub</w:t>
      </w:r>
      <w:proofErr w:type="spellEnd"/>
      <w:r w:rsidRPr="00AF1DE1">
        <w:t xml:space="preserve"> S, </w:t>
      </w:r>
      <w:proofErr w:type="spellStart"/>
      <w:r w:rsidRPr="00AF1DE1">
        <w:t>Zozulya</w:t>
      </w:r>
      <w:proofErr w:type="spellEnd"/>
      <w:r w:rsidRPr="00AF1DE1">
        <w:t xml:space="preserve"> N. </w:t>
      </w:r>
      <w:proofErr w:type="gramStart"/>
      <w:r w:rsidRPr="00AF1DE1">
        <w:t>From human to humans - Introducing the first recombinant human FVIII product produced from a human cell line.</w:t>
      </w:r>
      <w:proofErr w:type="gramEnd"/>
      <w:r w:rsidRPr="00AF1DE1">
        <w:t xml:space="preserve"> </w:t>
      </w:r>
      <w:proofErr w:type="spellStart"/>
      <w:r w:rsidRPr="00AF1DE1">
        <w:t>Thromb</w:t>
      </w:r>
      <w:proofErr w:type="spellEnd"/>
      <w:r w:rsidRPr="00AF1DE1">
        <w:t xml:space="preserve"> </w:t>
      </w:r>
      <w:proofErr w:type="spellStart"/>
      <w:r w:rsidRPr="00AF1DE1">
        <w:t>Haemost</w:t>
      </w:r>
      <w:proofErr w:type="spellEnd"/>
      <w:r w:rsidRPr="00AF1DE1">
        <w:t xml:space="preserve"> </w:t>
      </w:r>
      <w:proofErr w:type="spellStart"/>
      <w:r w:rsidRPr="00AF1DE1">
        <w:t>Suppl</w:t>
      </w:r>
      <w:proofErr w:type="spellEnd"/>
      <w:r w:rsidRPr="00AF1DE1">
        <w:t xml:space="preserve"> 2010; 103: 4-14.</w:t>
      </w:r>
    </w:p>
  </w:footnote>
  <w:footnote w:id="2">
    <w:p w:rsidR="00081E62" w:rsidRPr="00C33CC6" w:rsidRDefault="00081E62" w:rsidP="00CA287F">
      <w:pPr>
        <w:pStyle w:val="FootnoteText"/>
      </w:pPr>
      <w:r>
        <w:rPr>
          <w:rStyle w:val="FootnoteReference"/>
        </w:rPr>
        <w:footnoteRef/>
      </w:r>
      <w:r>
        <w:t xml:space="preserve"> </w:t>
      </w:r>
      <w:r w:rsidRPr="00AF1DE1">
        <w:t xml:space="preserve">Coppola A, Di Capua M, Di </w:t>
      </w:r>
      <w:proofErr w:type="spellStart"/>
      <w:r w:rsidRPr="00AF1DE1">
        <w:t>Minno</w:t>
      </w:r>
      <w:proofErr w:type="spellEnd"/>
      <w:r w:rsidRPr="00AF1DE1">
        <w:t xml:space="preserve"> MND, Di Palo M, </w:t>
      </w:r>
      <w:proofErr w:type="spellStart"/>
      <w:r w:rsidRPr="00AF1DE1">
        <w:t>Marrone</w:t>
      </w:r>
      <w:proofErr w:type="spellEnd"/>
      <w:r w:rsidRPr="00AF1DE1">
        <w:t xml:space="preserve"> E, </w:t>
      </w:r>
      <w:proofErr w:type="spellStart"/>
      <w:r w:rsidRPr="00AF1DE1">
        <w:t>Ieranò</w:t>
      </w:r>
      <w:proofErr w:type="spellEnd"/>
      <w:r w:rsidRPr="00AF1DE1">
        <w:t xml:space="preserve"> P, et al. Treatment of </w:t>
      </w:r>
      <w:proofErr w:type="spellStart"/>
      <w:r w:rsidRPr="00AF1DE1">
        <w:t>hemophilia</w:t>
      </w:r>
      <w:proofErr w:type="spellEnd"/>
      <w:r w:rsidRPr="00AF1DE1">
        <w:t>: a review of current advances and ongoing issues. J Blood Med 2010; 1: 183-195.</w:t>
      </w:r>
    </w:p>
  </w:footnote>
  <w:footnote w:id="3">
    <w:p w:rsidR="00081E62" w:rsidRDefault="00081E62" w:rsidP="00CA287F">
      <w:pPr>
        <w:pStyle w:val="FootnoteText"/>
      </w:pPr>
      <w:r>
        <w:rPr>
          <w:rStyle w:val="FootnoteReference"/>
        </w:rPr>
        <w:footnoteRef/>
      </w:r>
      <w:r>
        <w:t xml:space="preserve"> </w:t>
      </w:r>
      <w:proofErr w:type="gramStart"/>
      <w:r w:rsidRPr="00AF1DE1">
        <w:t xml:space="preserve">Lee M, </w:t>
      </w:r>
      <w:proofErr w:type="spellStart"/>
      <w:r w:rsidRPr="00AF1DE1">
        <w:t>Morfini</w:t>
      </w:r>
      <w:proofErr w:type="spellEnd"/>
      <w:r w:rsidRPr="00AF1DE1">
        <w:t xml:space="preserve"> M, Schulman S, and </w:t>
      </w:r>
      <w:proofErr w:type="spellStart"/>
      <w:r w:rsidRPr="00AF1DE1">
        <w:t>Ingerslev</w:t>
      </w:r>
      <w:proofErr w:type="spellEnd"/>
      <w:r w:rsidRPr="00AF1DE1">
        <w:t xml:space="preserve"> J.</w:t>
      </w:r>
      <w:proofErr w:type="gramEnd"/>
      <w:r w:rsidRPr="00AF1DE1">
        <w:t xml:space="preserve"> </w:t>
      </w:r>
      <w:proofErr w:type="gramStart"/>
      <w:r w:rsidRPr="00AF1DE1">
        <w:t xml:space="preserve">The Design and Analysis of Pharmacokinetic Studies of Coagulation Factors (Subcommittee on </w:t>
      </w:r>
      <w:r>
        <w:t>FVIII</w:t>
      </w:r>
      <w:r w:rsidRPr="00AF1DE1">
        <w:t xml:space="preserve"> and Factor IX of the Scientific and Standardization Committee of the International Society on Thrombosis and Haemostasis).</w:t>
      </w:r>
      <w:proofErr w:type="gramEnd"/>
      <w:r w:rsidRPr="00AF1DE1">
        <w:t xml:space="preserve"> 21-Mar-2001.</w:t>
      </w:r>
    </w:p>
  </w:footnote>
  <w:footnote w:id="4">
    <w:p w:rsidR="00081E62" w:rsidRDefault="00081E62" w:rsidP="004B0C90">
      <w:pPr>
        <w:pStyle w:val="FootnoteText"/>
      </w:pPr>
      <w:r>
        <w:rPr>
          <w:rStyle w:val="FootnoteReference"/>
        </w:rPr>
        <w:footnoteRef/>
      </w:r>
      <w:r w:rsidRPr="00E44D64">
        <w:rPr>
          <w:i/>
        </w:rPr>
        <w:t xml:space="preserve">Guideline on the clinical investigation of recombinant and human plasma-derived </w:t>
      </w:r>
      <w:r>
        <w:rPr>
          <w:i/>
        </w:rPr>
        <w:t>FVIII</w:t>
      </w:r>
      <w:r w:rsidRPr="00E44D64">
        <w:rPr>
          <w:i/>
        </w:rPr>
        <w:t xml:space="preserve"> products (EMEA/CHMP/BPWP/144533/2009)</w:t>
      </w:r>
      <w:r>
        <w:rPr>
          <w:i/>
        </w:rPr>
        <w:t xml:space="preserve"> </w:t>
      </w:r>
      <w:r w:rsidRPr="00954F94">
        <w:t>http://www.ema.europa.eu/docs/en_GB/document_library/Scientific_guideline/2011/08/WC500109692.pdf</w:t>
      </w:r>
    </w:p>
  </w:footnote>
  <w:footnote w:id="5">
    <w:p w:rsidR="00081E62" w:rsidRDefault="00081E62" w:rsidP="00CA287F">
      <w:pPr>
        <w:pStyle w:val="FootnoteText"/>
      </w:pPr>
      <w:r>
        <w:rPr>
          <w:rStyle w:val="FootnoteReference"/>
        </w:rPr>
        <w:footnoteRef/>
      </w:r>
      <w:r>
        <w:t xml:space="preserve"> </w:t>
      </w:r>
      <w:r w:rsidRPr="00070488">
        <w:t>http://www.uptodate.com/contents/treatment-of-hemophilia?source=machineLearning&amp;search=factor+viii+concentrates&amp;selectedTitle=5%7E20&amp;sectionRank=1&amp;anchor=H9#H9</w:t>
      </w:r>
    </w:p>
  </w:footnote>
  <w:footnote w:id="6">
    <w:p w:rsidR="00081E62" w:rsidRPr="00FF5033" w:rsidRDefault="00081E62">
      <w:pPr>
        <w:pStyle w:val="FootnoteText"/>
      </w:pPr>
      <w:r w:rsidRPr="00FF5033">
        <w:rPr>
          <w:rStyle w:val="FootnoteReference"/>
        </w:rPr>
        <w:footnoteRef/>
      </w:r>
      <w:r w:rsidRPr="00FF5033">
        <w:t xml:space="preserve"> CPMP/ICH/302/95 Note for Guideline on Preclinical Safety Evaluation of </w:t>
      </w:r>
      <w:proofErr w:type="spellStart"/>
      <w:r w:rsidRPr="00FF5033">
        <w:t>Biothechnology</w:t>
      </w:r>
      <w:proofErr w:type="spellEnd"/>
      <w:r w:rsidRPr="00FF5033">
        <w:t xml:space="preserve"> Derived Pharmaceuticals. </w:t>
      </w:r>
      <w:hyperlink r:id="rId1" w:history="1">
        <w:r w:rsidRPr="00FF5033">
          <w:rPr>
            <w:rStyle w:val="Hyperlink"/>
            <w:u w:val="none"/>
          </w:rPr>
          <w:t>http://www.tga.gov.au/pdf.euguide/ich030295en.pdf</w:t>
        </w:r>
      </w:hyperlink>
    </w:p>
  </w:footnote>
  <w:footnote w:id="7">
    <w:p w:rsidR="00081E62" w:rsidRPr="00FF5033" w:rsidRDefault="00081E62" w:rsidP="000B1C06">
      <w:pPr>
        <w:pStyle w:val="FootnoteText"/>
      </w:pPr>
      <w:r w:rsidRPr="008D1BBA">
        <w:rPr>
          <w:rStyle w:val="FootnoteReference"/>
          <w:szCs w:val="18"/>
        </w:rPr>
        <w:footnoteRef/>
      </w:r>
      <w:r w:rsidR="00B30B5B">
        <w:t xml:space="preserve"> </w:t>
      </w:r>
      <w:proofErr w:type="gramStart"/>
      <w:r w:rsidRPr="008D1BBA">
        <w:t>C</w:t>
      </w:r>
      <w:r w:rsidRPr="00FF5033">
        <w:t>ategory B2.</w:t>
      </w:r>
      <w:proofErr w:type="gramEnd"/>
      <w:r w:rsidRPr="00FF5033">
        <w:t xml:space="preserve"> Drugs which have been taken by only a limited number of pregnant women and women of childbearing age, without an increase in the frequency of malformation or other direct or indirect harmful effects on the human fetus having been observed.</w:t>
      </w:r>
    </w:p>
    <w:p w:rsidR="00081E62" w:rsidRPr="00FF5033" w:rsidRDefault="00081E62" w:rsidP="000B1C06">
      <w:pPr>
        <w:pStyle w:val="FootnoteText"/>
        <w:rPr>
          <w:rFonts w:asciiTheme="minorHAnsi" w:hAnsiTheme="minorHAnsi"/>
          <w:szCs w:val="18"/>
        </w:rPr>
      </w:pPr>
      <w:r w:rsidRPr="00FF5033">
        <w:rPr>
          <w:rFonts w:asciiTheme="minorHAnsi" w:hAnsiTheme="minorHAnsi"/>
          <w:szCs w:val="18"/>
        </w:rPr>
        <w:t>Studies in animals are inadequate or may be lacking, but available data show no evidence of an increased occurrence of fetal damage.</w:t>
      </w:r>
    </w:p>
  </w:footnote>
  <w:footnote w:id="8">
    <w:p w:rsidR="00081E62" w:rsidRPr="008D1BBA" w:rsidRDefault="00081E62" w:rsidP="000B1C06">
      <w:pPr>
        <w:pStyle w:val="FootnoteText"/>
        <w:rPr>
          <w:szCs w:val="18"/>
        </w:rPr>
      </w:pPr>
      <w:r w:rsidRPr="008D1BBA">
        <w:rPr>
          <w:rStyle w:val="FootnoteReference"/>
          <w:szCs w:val="18"/>
        </w:rPr>
        <w:footnoteRef/>
      </w:r>
      <w:r w:rsidRPr="008D1BBA">
        <w:rPr>
          <w:szCs w:val="18"/>
        </w:rPr>
        <w:t xml:space="preserve"> </w:t>
      </w:r>
      <w:r w:rsidRPr="008D1BBA">
        <w:rPr>
          <w:bCs/>
          <w:szCs w:val="18"/>
        </w:rPr>
        <w:t>T cell:</w:t>
      </w:r>
      <w:r w:rsidRPr="008D1BBA">
        <w:rPr>
          <w:szCs w:val="18"/>
        </w:rPr>
        <w:t xml:space="preserve"> A type of white blood cell that is of key importance to the immune system and is at the core of adaptive immunity, the system that tailors the body's immune response to specific pathogens.</w:t>
      </w:r>
    </w:p>
  </w:footnote>
  <w:footnote w:id="9">
    <w:p w:rsidR="00081E62" w:rsidRPr="008D1BBA" w:rsidRDefault="00081E62" w:rsidP="000B1C06">
      <w:pPr>
        <w:pStyle w:val="FootnoteText"/>
        <w:rPr>
          <w:szCs w:val="18"/>
        </w:rPr>
      </w:pPr>
      <w:r w:rsidRPr="008D1BBA">
        <w:rPr>
          <w:rStyle w:val="FootnoteReference"/>
          <w:szCs w:val="18"/>
        </w:rPr>
        <w:footnoteRef/>
      </w:r>
      <w:r w:rsidRPr="008D1BBA">
        <w:rPr>
          <w:szCs w:val="18"/>
        </w:rPr>
        <w:t xml:space="preserve"> Mature </w:t>
      </w:r>
      <w:r>
        <w:rPr>
          <w:szCs w:val="18"/>
        </w:rPr>
        <w:t>T helper (</w:t>
      </w:r>
      <w:proofErr w:type="spellStart"/>
      <w:r w:rsidRPr="008D1BBA">
        <w:rPr>
          <w:szCs w:val="18"/>
        </w:rPr>
        <w:t>T</w:t>
      </w:r>
      <w:r w:rsidRPr="008D1BBA">
        <w:rPr>
          <w:szCs w:val="18"/>
          <w:vertAlign w:val="subscript"/>
        </w:rPr>
        <w:t>h</w:t>
      </w:r>
      <w:proofErr w:type="spellEnd"/>
      <w:r>
        <w:rPr>
          <w:szCs w:val="18"/>
        </w:rPr>
        <w:t xml:space="preserve">) </w:t>
      </w:r>
      <w:r w:rsidRPr="008D1BBA">
        <w:rPr>
          <w:szCs w:val="18"/>
        </w:rPr>
        <w:t xml:space="preserve">cells express the surface protein </w:t>
      </w:r>
      <w:hyperlink r:id="rId2" w:tooltip="CD4" w:history="1">
        <w:r w:rsidRPr="008D1BBA">
          <w:rPr>
            <w:rStyle w:val="Hyperlink"/>
            <w:color w:val="auto"/>
            <w:szCs w:val="18"/>
            <w:u w:val="none"/>
          </w:rPr>
          <w:t>CD4</w:t>
        </w:r>
      </w:hyperlink>
      <w:r w:rsidRPr="008D1BBA">
        <w:rPr>
          <w:szCs w:val="18"/>
        </w:rPr>
        <w:t xml:space="preserve"> and are referred to as </w:t>
      </w:r>
      <w:r w:rsidRPr="008D1BBA">
        <w:rPr>
          <w:bCs/>
          <w:szCs w:val="18"/>
        </w:rPr>
        <w:t>CD4</w:t>
      </w:r>
      <w:r w:rsidRPr="008D1BBA">
        <w:rPr>
          <w:bCs/>
          <w:szCs w:val="18"/>
          <w:vertAlign w:val="superscript"/>
        </w:rPr>
        <w:t>+</w:t>
      </w:r>
      <w:r w:rsidRPr="008D1BBA">
        <w:rPr>
          <w:bCs/>
          <w:szCs w:val="18"/>
        </w:rPr>
        <w:t xml:space="preserve"> T cells</w:t>
      </w:r>
      <w:r w:rsidRPr="008D1BBA">
        <w:rPr>
          <w:szCs w:val="18"/>
        </w:rPr>
        <w:t>.</w:t>
      </w:r>
    </w:p>
  </w:footnote>
  <w:footnote w:id="10">
    <w:p w:rsidR="00081E62" w:rsidRPr="00C457A5" w:rsidRDefault="00081E62" w:rsidP="000B1C06">
      <w:pPr>
        <w:pStyle w:val="FootnoteText"/>
      </w:pPr>
      <w:r w:rsidRPr="00C457A5">
        <w:rPr>
          <w:rStyle w:val="FootnoteReference"/>
          <w:rFonts w:asciiTheme="minorHAnsi" w:hAnsiTheme="minorHAnsi"/>
        </w:rPr>
        <w:footnoteRef/>
      </w:r>
      <w:r w:rsidRPr="00C457A5">
        <w:t xml:space="preserve"> Factor X, also known by the eponym Stuart–</w:t>
      </w:r>
      <w:proofErr w:type="spellStart"/>
      <w:r w:rsidRPr="00C457A5">
        <w:t>Prower</w:t>
      </w:r>
      <w:proofErr w:type="spellEnd"/>
      <w:r w:rsidRPr="00C457A5">
        <w:t xml:space="preserve"> factor or as </w:t>
      </w:r>
      <w:proofErr w:type="spellStart"/>
      <w:r w:rsidRPr="00C457A5">
        <w:t>prothrombinase</w:t>
      </w:r>
      <w:proofErr w:type="spellEnd"/>
      <w:r w:rsidRPr="00C457A5">
        <w:t xml:space="preserve">, </w:t>
      </w:r>
      <w:proofErr w:type="spellStart"/>
      <w:r w:rsidRPr="00C457A5">
        <w:t>thrombokinase</w:t>
      </w:r>
      <w:proofErr w:type="spellEnd"/>
      <w:r w:rsidRPr="00C457A5">
        <w:t xml:space="preserve"> or thromboplastin, is an enzyme of the coagulation cascade. It is a serine endopeptidase.</w:t>
      </w:r>
    </w:p>
  </w:footnote>
  <w:footnote w:id="11">
    <w:p w:rsidR="00081E62" w:rsidRPr="000B1C06" w:rsidRDefault="00081E62" w:rsidP="000B1C06">
      <w:pPr>
        <w:pStyle w:val="FootnoteText"/>
      </w:pPr>
      <w:r w:rsidRPr="000B1C06">
        <w:rPr>
          <w:rStyle w:val="FootnoteReference"/>
          <w:vertAlign w:val="baseline"/>
        </w:rPr>
        <w:footnoteRef/>
      </w:r>
      <w:proofErr w:type="spellStart"/>
      <w:r w:rsidRPr="000B1C06">
        <w:t>Tuddenham</w:t>
      </w:r>
      <w:proofErr w:type="spellEnd"/>
      <w:r w:rsidRPr="000B1C06">
        <w:t xml:space="preserve"> EGD, </w:t>
      </w:r>
      <w:proofErr w:type="spellStart"/>
      <w:r w:rsidRPr="000B1C06">
        <w:t>Kannicht</w:t>
      </w:r>
      <w:proofErr w:type="spellEnd"/>
      <w:r w:rsidRPr="000B1C06">
        <w:t xml:space="preserve"> C, </w:t>
      </w:r>
      <w:proofErr w:type="spellStart"/>
      <w:r w:rsidRPr="000B1C06">
        <w:t>Agerkvist</w:t>
      </w:r>
      <w:proofErr w:type="spellEnd"/>
      <w:r w:rsidRPr="000B1C06">
        <w:t xml:space="preserve"> I, Sandberg H, </w:t>
      </w:r>
      <w:proofErr w:type="spellStart"/>
      <w:r w:rsidRPr="000B1C06">
        <w:t>Knaub</w:t>
      </w:r>
      <w:proofErr w:type="spellEnd"/>
      <w:r w:rsidRPr="000B1C06">
        <w:t xml:space="preserve"> S, </w:t>
      </w:r>
      <w:proofErr w:type="spellStart"/>
      <w:r w:rsidRPr="000B1C06">
        <w:t>Zozulya</w:t>
      </w:r>
      <w:proofErr w:type="spellEnd"/>
      <w:r w:rsidRPr="000B1C06">
        <w:t xml:space="preserve"> N. </w:t>
      </w:r>
      <w:proofErr w:type="gramStart"/>
      <w:r w:rsidRPr="000B1C06">
        <w:t>From human to humans - Introducing the first recombinant human FVIII product produced from a human cell line.</w:t>
      </w:r>
      <w:proofErr w:type="gramEnd"/>
      <w:r w:rsidRPr="000B1C06">
        <w:t xml:space="preserve"> </w:t>
      </w:r>
      <w:proofErr w:type="spellStart"/>
      <w:r w:rsidRPr="000B1C06">
        <w:t>Thromb</w:t>
      </w:r>
      <w:proofErr w:type="spellEnd"/>
      <w:r w:rsidRPr="000B1C06">
        <w:t xml:space="preserve"> </w:t>
      </w:r>
      <w:proofErr w:type="spellStart"/>
      <w:r w:rsidRPr="000B1C06">
        <w:t>Haemost</w:t>
      </w:r>
      <w:proofErr w:type="spellEnd"/>
      <w:r w:rsidRPr="000B1C06">
        <w:t xml:space="preserve"> </w:t>
      </w:r>
      <w:proofErr w:type="spellStart"/>
      <w:r w:rsidRPr="000B1C06">
        <w:t>Suppl</w:t>
      </w:r>
      <w:proofErr w:type="spellEnd"/>
      <w:r w:rsidRPr="000B1C06">
        <w:t xml:space="preserve"> 2010; 103: 4-14.</w:t>
      </w:r>
    </w:p>
  </w:footnote>
  <w:footnote w:id="12">
    <w:p w:rsidR="00081E62" w:rsidRDefault="00081E62" w:rsidP="000B1C06">
      <w:pPr>
        <w:pStyle w:val="FootnoteText"/>
      </w:pPr>
      <w:r w:rsidRPr="000B1C06">
        <w:rPr>
          <w:rStyle w:val="FootnoteReference"/>
          <w:vertAlign w:val="baseline"/>
        </w:rPr>
        <w:footnoteRef/>
      </w:r>
      <w:r w:rsidRPr="000B1C06">
        <w:t xml:space="preserve">Coppola A, Di Capua M, Di </w:t>
      </w:r>
      <w:proofErr w:type="spellStart"/>
      <w:r w:rsidRPr="000B1C06">
        <w:t>Minno</w:t>
      </w:r>
      <w:proofErr w:type="spellEnd"/>
      <w:r w:rsidRPr="000B1C06">
        <w:t xml:space="preserve"> MND, Di Palo M, </w:t>
      </w:r>
      <w:proofErr w:type="spellStart"/>
      <w:r w:rsidRPr="000B1C06">
        <w:t>Marrone</w:t>
      </w:r>
      <w:proofErr w:type="spellEnd"/>
      <w:r w:rsidRPr="000B1C06">
        <w:t xml:space="preserve"> E, </w:t>
      </w:r>
      <w:proofErr w:type="spellStart"/>
      <w:r w:rsidRPr="000B1C06">
        <w:t>Ieranò</w:t>
      </w:r>
      <w:proofErr w:type="spellEnd"/>
      <w:r w:rsidRPr="000B1C06">
        <w:t xml:space="preserve"> P, et al. Treatment of </w:t>
      </w:r>
      <w:proofErr w:type="spellStart"/>
      <w:r w:rsidRPr="000B1C06">
        <w:t>hemophilia</w:t>
      </w:r>
      <w:proofErr w:type="spellEnd"/>
      <w:r w:rsidRPr="000B1C06">
        <w:t>: a review of current advances and ongoing issues. J Blood Med 2010; 1: 183-195.</w:t>
      </w:r>
    </w:p>
  </w:footnote>
  <w:footnote w:id="13">
    <w:p w:rsidR="00081E62" w:rsidRDefault="00081E62">
      <w:pPr>
        <w:pStyle w:val="FootnoteText"/>
      </w:pPr>
      <w:r>
        <w:rPr>
          <w:rStyle w:val="FootnoteReference"/>
        </w:rPr>
        <w:footnoteRef/>
      </w:r>
      <w:proofErr w:type="gramStart"/>
      <w:r w:rsidRPr="00AF1DE1">
        <w:rPr>
          <w:rFonts w:cs="◊Ùøf€"/>
          <w:szCs w:val="18"/>
        </w:rPr>
        <w:t xml:space="preserve">White GC, </w:t>
      </w:r>
      <w:proofErr w:type="spellStart"/>
      <w:r w:rsidRPr="00AF1DE1">
        <w:rPr>
          <w:rFonts w:cs="◊Ùøf€"/>
          <w:szCs w:val="18"/>
        </w:rPr>
        <w:t>Rosendaal</w:t>
      </w:r>
      <w:proofErr w:type="spellEnd"/>
      <w:r w:rsidRPr="00AF1DE1">
        <w:rPr>
          <w:rFonts w:cs="◊Ùøf€"/>
          <w:szCs w:val="18"/>
        </w:rPr>
        <w:t xml:space="preserve"> F, </w:t>
      </w:r>
      <w:proofErr w:type="spellStart"/>
      <w:r w:rsidRPr="00AF1DE1">
        <w:rPr>
          <w:rFonts w:cs="◊Ùøf€"/>
          <w:szCs w:val="18"/>
        </w:rPr>
        <w:t>Aledort</w:t>
      </w:r>
      <w:proofErr w:type="spellEnd"/>
      <w:r w:rsidRPr="00AF1DE1">
        <w:rPr>
          <w:rFonts w:cs="◊Ùøf€"/>
          <w:szCs w:val="18"/>
        </w:rPr>
        <w:t xml:space="preserve"> LM, Lusher JM, Rothschild C, </w:t>
      </w:r>
      <w:proofErr w:type="spellStart"/>
      <w:r w:rsidRPr="00AF1DE1">
        <w:rPr>
          <w:rFonts w:cs="◊Ùøf€"/>
          <w:szCs w:val="18"/>
        </w:rPr>
        <w:t>Ingerslev</w:t>
      </w:r>
      <w:proofErr w:type="spellEnd"/>
      <w:r w:rsidRPr="00AF1DE1">
        <w:rPr>
          <w:rFonts w:cs="◊Ùøf€"/>
          <w:szCs w:val="18"/>
        </w:rPr>
        <w:t xml:space="preserve"> J, et al. Definitions in </w:t>
      </w:r>
      <w:proofErr w:type="spellStart"/>
      <w:r w:rsidRPr="00AF1DE1">
        <w:rPr>
          <w:rFonts w:cs="◊Ùøf€"/>
          <w:szCs w:val="18"/>
        </w:rPr>
        <w:t>hemophilia</w:t>
      </w:r>
      <w:proofErr w:type="spellEnd"/>
      <w:r w:rsidRPr="00AF1DE1">
        <w:rPr>
          <w:rFonts w:cs="◊Ùøf€"/>
          <w:szCs w:val="18"/>
        </w:rPr>
        <w:t>.</w:t>
      </w:r>
      <w:proofErr w:type="gramEnd"/>
      <w:r w:rsidRPr="00AF1DE1">
        <w:rPr>
          <w:rFonts w:cs="◊Ùøf€"/>
          <w:szCs w:val="18"/>
        </w:rPr>
        <w:t xml:space="preserve"> </w:t>
      </w:r>
      <w:proofErr w:type="gramStart"/>
      <w:r w:rsidRPr="00AF1DE1">
        <w:rPr>
          <w:rFonts w:cs="◊Ùøf€"/>
          <w:szCs w:val="18"/>
        </w:rPr>
        <w:t xml:space="preserve">Recommendations of the scientific subcommittee on </w:t>
      </w:r>
      <w:r>
        <w:rPr>
          <w:rFonts w:cs="◊Ùøf€"/>
          <w:szCs w:val="18"/>
        </w:rPr>
        <w:t>FVIII</w:t>
      </w:r>
      <w:r w:rsidRPr="00AF1DE1">
        <w:rPr>
          <w:rFonts w:cs="◊Ùøf€"/>
          <w:szCs w:val="18"/>
        </w:rPr>
        <w:t xml:space="preserve"> and factor IX of the scientific and standardization committee of the International Society on Thrombosis and Haemostasis.</w:t>
      </w:r>
      <w:proofErr w:type="gramEnd"/>
      <w:r w:rsidRPr="00AF1DE1">
        <w:rPr>
          <w:rFonts w:cs="◊Ùøf€"/>
          <w:szCs w:val="18"/>
        </w:rPr>
        <w:t xml:space="preserve"> </w:t>
      </w:r>
      <w:proofErr w:type="spellStart"/>
      <w:r w:rsidRPr="00AF1DE1">
        <w:rPr>
          <w:rFonts w:cs="◊Ùøf€"/>
          <w:szCs w:val="18"/>
        </w:rPr>
        <w:t>Thromb</w:t>
      </w:r>
      <w:proofErr w:type="spellEnd"/>
      <w:r w:rsidRPr="00AF1DE1">
        <w:rPr>
          <w:rFonts w:cs="◊Ùøf€"/>
          <w:szCs w:val="18"/>
        </w:rPr>
        <w:t xml:space="preserve"> </w:t>
      </w:r>
      <w:proofErr w:type="spellStart"/>
      <w:r w:rsidRPr="00AF1DE1">
        <w:rPr>
          <w:rFonts w:cs="◊Ùøf€"/>
          <w:szCs w:val="18"/>
        </w:rPr>
        <w:t>Haemost</w:t>
      </w:r>
      <w:proofErr w:type="spellEnd"/>
      <w:r w:rsidRPr="00AF1DE1">
        <w:rPr>
          <w:rFonts w:cs="◊Ùøf€"/>
          <w:szCs w:val="18"/>
        </w:rPr>
        <w:t xml:space="preserve"> 2001; 85: 560.</w:t>
      </w:r>
    </w:p>
  </w:footnote>
  <w:footnote w:id="14">
    <w:p w:rsidR="00081E62" w:rsidRDefault="00081E62">
      <w:pPr>
        <w:pStyle w:val="FootnoteText"/>
      </w:pPr>
      <w:r>
        <w:rPr>
          <w:rStyle w:val="FootnoteReference"/>
        </w:rPr>
        <w:footnoteRef/>
      </w:r>
      <w:r>
        <w:t xml:space="preserve"> </w:t>
      </w:r>
      <w:r w:rsidRPr="00C457A5">
        <w:rPr>
          <w:rFonts w:asciiTheme="minorHAnsi" w:hAnsiTheme="minorHAnsi"/>
          <w:szCs w:val="18"/>
        </w:rPr>
        <w:t>Th</w:t>
      </w:r>
      <w:r>
        <w:rPr>
          <w:rFonts w:asciiTheme="minorHAnsi" w:hAnsiTheme="minorHAnsi"/>
          <w:szCs w:val="18"/>
        </w:rPr>
        <w:t xml:space="preserve">e </w:t>
      </w:r>
      <w:proofErr w:type="spellStart"/>
      <w:r>
        <w:rPr>
          <w:rFonts w:asciiTheme="minorHAnsi" w:hAnsiTheme="minorHAnsi"/>
          <w:szCs w:val="18"/>
        </w:rPr>
        <w:t>forementioned</w:t>
      </w:r>
      <w:proofErr w:type="spellEnd"/>
      <w:r w:rsidRPr="00C457A5">
        <w:rPr>
          <w:rFonts w:asciiTheme="minorHAnsi" w:hAnsiTheme="minorHAnsi"/>
          <w:szCs w:val="18"/>
        </w:rPr>
        <w:t xml:space="preserve"> guideline was adopted by the TGA on 1 June 2014, during the evaluation process for this application.</w:t>
      </w:r>
    </w:p>
  </w:footnote>
  <w:footnote w:id="15">
    <w:p w:rsidR="00081E62" w:rsidRDefault="00081E62">
      <w:pPr>
        <w:pStyle w:val="FootnoteText"/>
      </w:pPr>
      <w:r>
        <w:rPr>
          <w:rStyle w:val="FootnoteReference"/>
        </w:rPr>
        <w:footnoteRef/>
      </w:r>
      <w:r>
        <w:t xml:space="preserve"> </w:t>
      </w:r>
      <w:proofErr w:type="gramStart"/>
      <w:r w:rsidRPr="00AF1DE1">
        <w:rPr>
          <w:szCs w:val="18"/>
        </w:rPr>
        <w:t xml:space="preserve">Lee M, </w:t>
      </w:r>
      <w:proofErr w:type="spellStart"/>
      <w:r w:rsidRPr="00AF1DE1">
        <w:rPr>
          <w:szCs w:val="18"/>
        </w:rPr>
        <w:t>Morfini</w:t>
      </w:r>
      <w:proofErr w:type="spellEnd"/>
      <w:r w:rsidRPr="00AF1DE1">
        <w:rPr>
          <w:szCs w:val="18"/>
        </w:rPr>
        <w:t xml:space="preserve"> M, Schulman S, and </w:t>
      </w:r>
      <w:proofErr w:type="spellStart"/>
      <w:r w:rsidRPr="00AF1DE1">
        <w:rPr>
          <w:szCs w:val="18"/>
        </w:rPr>
        <w:t>Ingerslev</w:t>
      </w:r>
      <w:proofErr w:type="spellEnd"/>
      <w:r w:rsidRPr="00AF1DE1">
        <w:rPr>
          <w:szCs w:val="18"/>
        </w:rPr>
        <w:t xml:space="preserve"> J.</w:t>
      </w:r>
      <w:proofErr w:type="gramEnd"/>
      <w:r w:rsidRPr="00AF1DE1">
        <w:rPr>
          <w:szCs w:val="18"/>
        </w:rPr>
        <w:t xml:space="preserve"> </w:t>
      </w:r>
      <w:proofErr w:type="gramStart"/>
      <w:r w:rsidRPr="00AF1DE1">
        <w:rPr>
          <w:szCs w:val="18"/>
        </w:rPr>
        <w:t xml:space="preserve">The Design and Analysis of Pharmacokinetic Studies of Coagulation Factors (Subcommittee on </w:t>
      </w:r>
      <w:r>
        <w:rPr>
          <w:szCs w:val="18"/>
        </w:rPr>
        <w:t>FVIII</w:t>
      </w:r>
      <w:r w:rsidRPr="00AF1DE1">
        <w:rPr>
          <w:szCs w:val="18"/>
        </w:rPr>
        <w:t xml:space="preserve"> and Factor IX of the Scientific and Standardization Committee of the International Society on Thrombosis and Haemostasis).</w:t>
      </w:r>
      <w:proofErr w:type="gramEnd"/>
      <w:r w:rsidRPr="00AF1DE1">
        <w:rPr>
          <w:szCs w:val="18"/>
        </w:rPr>
        <w:t xml:space="preserve"> 21-Mar-2001.</w:t>
      </w:r>
    </w:p>
  </w:footnote>
  <w:footnote w:id="16">
    <w:p w:rsidR="00081E62" w:rsidRPr="008A62CD" w:rsidRDefault="00081E62">
      <w:pPr>
        <w:pStyle w:val="FootnoteText"/>
      </w:pPr>
      <w:r>
        <w:rPr>
          <w:rStyle w:val="FootnoteReference"/>
        </w:rPr>
        <w:footnoteRef/>
      </w:r>
      <w:r>
        <w:t xml:space="preserve"> </w:t>
      </w:r>
      <w:r w:rsidRPr="008A62CD">
        <w:t xml:space="preserve">Guideline on the clinical investigation of recombinant and human plasma-derived </w:t>
      </w:r>
      <w:r>
        <w:t>FVIII</w:t>
      </w:r>
      <w:r w:rsidRPr="008A62CD">
        <w:t xml:space="preserve"> products (EMEA/CHMP/BPWP/144533/2009)</w:t>
      </w:r>
    </w:p>
  </w:footnote>
  <w:footnote w:id="17">
    <w:p w:rsidR="00081E62" w:rsidRDefault="00081E62">
      <w:pPr>
        <w:pStyle w:val="FootnoteText"/>
      </w:pPr>
      <w:r>
        <w:rPr>
          <w:rStyle w:val="FootnoteReference"/>
        </w:rPr>
        <w:footnoteRef/>
      </w:r>
      <w:r w:rsidRPr="00AF1DE1">
        <w:rPr>
          <w:szCs w:val="18"/>
        </w:rPr>
        <w:t xml:space="preserve">Bjorkman S et al. Comparative pharmacokinetics of plasma and albumin-free recombinant </w:t>
      </w:r>
      <w:r>
        <w:rPr>
          <w:szCs w:val="18"/>
        </w:rPr>
        <w:t>FVIII</w:t>
      </w:r>
      <w:r w:rsidRPr="00AF1DE1">
        <w:rPr>
          <w:szCs w:val="18"/>
        </w:rPr>
        <w:t xml:space="preserve"> in children and adults: the influence of blood sampling schedule on observed age-related differences and implications for dose tailoring. Journal of Thrombosis and Haemostasis 2010</w:t>
      </w:r>
      <w:proofErr w:type="gramStart"/>
      <w:r w:rsidRPr="00AF1DE1">
        <w:rPr>
          <w:szCs w:val="18"/>
        </w:rPr>
        <w:t>;8:730</w:t>
      </w:r>
      <w:proofErr w:type="gramEnd"/>
      <w:r w:rsidRPr="00AF1DE1">
        <w:rPr>
          <w:szCs w:val="18"/>
        </w:rPr>
        <w:t>-736.</w:t>
      </w:r>
    </w:p>
  </w:footnote>
  <w:footnote w:id="18">
    <w:p w:rsidR="00081E62" w:rsidRDefault="00081E62">
      <w:pPr>
        <w:pStyle w:val="FootnoteText"/>
      </w:pPr>
      <w:r>
        <w:rPr>
          <w:rStyle w:val="FootnoteReference"/>
        </w:rPr>
        <w:footnoteRef/>
      </w:r>
      <w:proofErr w:type="gramStart"/>
      <w:r w:rsidRPr="00AF1DE1">
        <w:rPr>
          <w:szCs w:val="18"/>
        </w:rPr>
        <w:t xml:space="preserve">Lee M, </w:t>
      </w:r>
      <w:proofErr w:type="spellStart"/>
      <w:r w:rsidRPr="00AF1DE1">
        <w:rPr>
          <w:szCs w:val="18"/>
        </w:rPr>
        <w:t>Morfini</w:t>
      </w:r>
      <w:proofErr w:type="spellEnd"/>
      <w:r w:rsidRPr="00AF1DE1">
        <w:rPr>
          <w:szCs w:val="18"/>
        </w:rPr>
        <w:t xml:space="preserve"> M, Schulman S, and </w:t>
      </w:r>
      <w:proofErr w:type="spellStart"/>
      <w:r w:rsidRPr="00AF1DE1">
        <w:rPr>
          <w:szCs w:val="18"/>
        </w:rPr>
        <w:t>Ingerslev</w:t>
      </w:r>
      <w:proofErr w:type="spellEnd"/>
      <w:r w:rsidRPr="00AF1DE1">
        <w:rPr>
          <w:szCs w:val="18"/>
        </w:rPr>
        <w:t xml:space="preserve"> J.</w:t>
      </w:r>
      <w:proofErr w:type="gramEnd"/>
      <w:r w:rsidRPr="00AF1DE1">
        <w:rPr>
          <w:szCs w:val="18"/>
        </w:rPr>
        <w:t xml:space="preserve"> </w:t>
      </w:r>
      <w:proofErr w:type="gramStart"/>
      <w:r w:rsidRPr="00AF1DE1">
        <w:rPr>
          <w:szCs w:val="18"/>
        </w:rPr>
        <w:t xml:space="preserve">The Design and Analysis of Pharmacokinetic Studies of Coagulation Factors (Subcommittee on </w:t>
      </w:r>
      <w:r>
        <w:rPr>
          <w:szCs w:val="18"/>
        </w:rPr>
        <w:t>FVIII</w:t>
      </w:r>
      <w:r w:rsidRPr="00AF1DE1">
        <w:rPr>
          <w:szCs w:val="18"/>
        </w:rPr>
        <w:t xml:space="preserve"> and Factor IX of the Scientific and Standardization Committee of the International Society on Thrombosis and Haemostasis).</w:t>
      </w:r>
      <w:proofErr w:type="gramEnd"/>
      <w:r w:rsidRPr="00AF1DE1">
        <w:rPr>
          <w:szCs w:val="18"/>
        </w:rPr>
        <w:t xml:space="preserve"> 21-Mar-2001.</w:t>
      </w:r>
    </w:p>
  </w:footnote>
  <w:footnote w:id="19">
    <w:p w:rsidR="00081E62" w:rsidRPr="00A96A41" w:rsidRDefault="00081E62">
      <w:pPr>
        <w:pStyle w:val="FootnoteText"/>
      </w:pPr>
      <w:r w:rsidRPr="00A96A41">
        <w:rPr>
          <w:rStyle w:val="FootnoteReference"/>
        </w:rPr>
        <w:footnoteRef/>
      </w:r>
      <w:r w:rsidRPr="00A96A41">
        <w:t xml:space="preserve"> Guideline on the Clinical Investigation of Recombinant and Human Plasma-Derived </w:t>
      </w:r>
      <w:r>
        <w:t>FVIII</w:t>
      </w:r>
      <w:r w:rsidRPr="00A96A41">
        <w:t xml:space="preserve"> Products (EMEA/CHMP/BPWP/ 144533/2009)</w:t>
      </w:r>
    </w:p>
  </w:footnote>
  <w:footnote w:id="20">
    <w:p w:rsidR="00081E62" w:rsidRDefault="00081E62">
      <w:pPr>
        <w:pStyle w:val="FootnoteText"/>
      </w:pPr>
      <w:r>
        <w:rPr>
          <w:rStyle w:val="FootnoteReference"/>
        </w:rPr>
        <w:footnoteRef/>
      </w:r>
      <w:r>
        <w:t xml:space="preserve"> </w:t>
      </w:r>
      <w:r w:rsidRPr="00365758">
        <w:t>Note for Guidance on the Clinical Investigation of Recombinant FVIII and IX products (CPMP/BPWG/1561/99)</w:t>
      </w:r>
    </w:p>
  </w:footnote>
  <w:footnote w:id="21">
    <w:p w:rsidR="00081E62" w:rsidRPr="00486489" w:rsidRDefault="00081E62" w:rsidP="00486489">
      <w:pPr>
        <w:widowControl w:val="0"/>
        <w:autoSpaceDE w:val="0"/>
        <w:autoSpaceDN w:val="0"/>
        <w:adjustRightInd w:val="0"/>
        <w:spacing w:before="0" w:after="0" w:line="240" w:lineRule="auto"/>
        <w:rPr>
          <w:sz w:val="18"/>
          <w:szCs w:val="18"/>
        </w:rPr>
      </w:pPr>
      <w:r>
        <w:rPr>
          <w:rStyle w:val="FootnoteReference"/>
        </w:rPr>
        <w:footnoteRef/>
      </w:r>
      <w:r>
        <w:t xml:space="preserve"> </w:t>
      </w:r>
      <w:proofErr w:type="spellStart"/>
      <w:r w:rsidRPr="00AF1DE1">
        <w:rPr>
          <w:sz w:val="18"/>
          <w:szCs w:val="18"/>
        </w:rPr>
        <w:t>Jovanovic</w:t>
      </w:r>
      <w:proofErr w:type="spellEnd"/>
      <w:r w:rsidRPr="00AF1DE1">
        <w:rPr>
          <w:sz w:val="18"/>
          <w:szCs w:val="18"/>
        </w:rPr>
        <w:t xml:space="preserve"> BD and Levy PS. </w:t>
      </w:r>
      <w:proofErr w:type="gramStart"/>
      <w:r w:rsidRPr="00AF1DE1">
        <w:rPr>
          <w:sz w:val="18"/>
          <w:szCs w:val="18"/>
        </w:rPr>
        <w:t>A look at the rule of three.</w:t>
      </w:r>
      <w:proofErr w:type="gramEnd"/>
      <w:r w:rsidRPr="00AF1DE1">
        <w:rPr>
          <w:sz w:val="18"/>
          <w:szCs w:val="18"/>
        </w:rPr>
        <w:t xml:space="preserve"> The American Statistician 1997</w:t>
      </w:r>
      <w:proofErr w:type="gramStart"/>
      <w:r w:rsidRPr="00AF1DE1">
        <w:rPr>
          <w:sz w:val="18"/>
          <w:szCs w:val="18"/>
        </w:rPr>
        <w:t>;51</w:t>
      </w:r>
      <w:proofErr w:type="gramEnd"/>
      <w:r>
        <w:rPr>
          <w:sz w:val="18"/>
          <w:szCs w:val="18"/>
        </w:rPr>
        <w:t xml:space="preserve">(2):137-139. </w:t>
      </w:r>
    </w:p>
  </w:footnote>
  <w:footnote w:id="22">
    <w:p w:rsidR="00081E62" w:rsidRDefault="00081E62" w:rsidP="00486489">
      <w:pPr>
        <w:pStyle w:val="FootnoteText"/>
      </w:pPr>
      <w:r>
        <w:rPr>
          <w:rStyle w:val="FootnoteReference"/>
        </w:rPr>
        <w:footnoteRef/>
      </w:r>
      <w:r>
        <w:t xml:space="preserve"> </w:t>
      </w:r>
      <w:proofErr w:type="gramStart"/>
      <w:r w:rsidRPr="00AF1DE1">
        <w:rPr>
          <w:szCs w:val="18"/>
        </w:rPr>
        <w:t>Jacobson RM et al. Adverse events and vaccinations - the lack of power and predictability of infrequent events in pre-licensure study.</w:t>
      </w:r>
      <w:proofErr w:type="gramEnd"/>
      <w:r w:rsidRPr="00AF1DE1">
        <w:rPr>
          <w:szCs w:val="18"/>
        </w:rPr>
        <w:t xml:space="preserve"> Vaccine 2001; 19: 2428-2433.</w:t>
      </w:r>
    </w:p>
  </w:footnote>
  <w:footnote w:id="23">
    <w:p w:rsidR="00081E62" w:rsidRDefault="00081E62">
      <w:pPr>
        <w:pStyle w:val="FootnoteText"/>
      </w:pPr>
      <w:r>
        <w:rPr>
          <w:rStyle w:val="FootnoteReference"/>
        </w:rPr>
        <w:footnoteRef/>
      </w:r>
      <w:r>
        <w:t xml:space="preserve"> </w:t>
      </w:r>
      <w:proofErr w:type="spellStart"/>
      <w:r w:rsidRPr="00AF1DE1">
        <w:rPr>
          <w:szCs w:val="18"/>
        </w:rPr>
        <w:t>Gouw</w:t>
      </w:r>
      <w:proofErr w:type="spellEnd"/>
      <w:r w:rsidRPr="00AF1DE1">
        <w:rPr>
          <w:szCs w:val="18"/>
        </w:rPr>
        <w:t xml:space="preserve"> SC, van den Berg HM: The Multifactorial Etiology of Inhibitor Development in </w:t>
      </w:r>
      <w:proofErr w:type="spellStart"/>
      <w:r w:rsidRPr="00AF1DE1">
        <w:rPr>
          <w:szCs w:val="18"/>
        </w:rPr>
        <w:t>Hemophilia</w:t>
      </w:r>
      <w:proofErr w:type="spellEnd"/>
      <w:r w:rsidRPr="00AF1DE1">
        <w:rPr>
          <w:szCs w:val="18"/>
        </w:rPr>
        <w:t>: Genetics and Environment. Seminars in Thrombosis and Hemostasis 2009</w:t>
      </w:r>
      <w:proofErr w:type="gramStart"/>
      <w:r w:rsidRPr="00AF1DE1">
        <w:rPr>
          <w:szCs w:val="18"/>
        </w:rPr>
        <w:t>;35:723</w:t>
      </w:r>
      <w:proofErr w:type="gramEnd"/>
      <w:r w:rsidRPr="00AF1DE1">
        <w:rPr>
          <w:szCs w:val="18"/>
        </w:rPr>
        <w:t>-734.</w:t>
      </w:r>
    </w:p>
  </w:footnote>
  <w:footnote w:id="24">
    <w:p w:rsidR="00081E62" w:rsidRDefault="00081E62" w:rsidP="006069D7">
      <w:pPr>
        <w:pStyle w:val="FootnoteText"/>
      </w:pPr>
      <w:r>
        <w:rPr>
          <w:rStyle w:val="FootnoteReference"/>
        </w:rPr>
        <w:footnoteRef/>
      </w:r>
      <w:r>
        <w:t xml:space="preserve"> PTP = previously treated patient; PUP = previously untreated patient</w:t>
      </w:r>
    </w:p>
  </w:footnote>
  <w:footnote w:id="25">
    <w:p w:rsidR="00081E62" w:rsidRDefault="00081E62" w:rsidP="006069D7">
      <w:pPr>
        <w:pStyle w:val="FootnoteText"/>
      </w:pPr>
      <w:r>
        <w:rPr>
          <w:rStyle w:val="FootnoteReference"/>
        </w:rPr>
        <w:footnoteRef/>
      </w:r>
      <w:r w:rsidRPr="002E4A84">
        <w:t>http://www.ema.europa.eu/docs/en_GB/document_library/Scientific_guideline/2012/06/WC500128995.pdf</w:t>
      </w:r>
    </w:p>
  </w:footnote>
  <w:footnote w:id="26">
    <w:p w:rsidR="00081E62" w:rsidRPr="00FC5A2A" w:rsidRDefault="00081E62" w:rsidP="00FC5A2A">
      <w:pPr>
        <w:autoSpaceDE w:val="0"/>
        <w:autoSpaceDN w:val="0"/>
        <w:adjustRightInd w:val="0"/>
        <w:spacing w:before="0" w:after="0" w:line="240" w:lineRule="auto"/>
        <w:rPr>
          <w:rFonts w:asciiTheme="minorHAnsi" w:hAnsiTheme="minorHAnsi"/>
          <w:sz w:val="18"/>
          <w:szCs w:val="18"/>
        </w:rPr>
      </w:pPr>
      <w:r w:rsidRPr="00FC5A2A">
        <w:rPr>
          <w:rStyle w:val="FootnoteReference"/>
          <w:rFonts w:asciiTheme="minorHAnsi" w:hAnsiTheme="minorHAnsi"/>
          <w:sz w:val="18"/>
          <w:szCs w:val="18"/>
        </w:rPr>
        <w:footnoteRef/>
      </w:r>
      <w:r w:rsidRPr="00FC5A2A">
        <w:rPr>
          <w:rFonts w:asciiTheme="minorHAnsi" w:hAnsiTheme="minorHAnsi"/>
          <w:sz w:val="18"/>
          <w:szCs w:val="18"/>
        </w:rPr>
        <w:t xml:space="preserve"> </w:t>
      </w:r>
      <w:proofErr w:type="spellStart"/>
      <w:r w:rsidRPr="00FC5A2A">
        <w:rPr>
          <w:rFonts w:asciiTheme="minorHAnsi" w:eastAsiaTheme="minorHAnsi" w:hAnsiTheme="minorHAnsi"/>
          <w:sz w:val="18"/>
          <w:szCs w:val="18"/>
        </w:rPr>
        <w:t>Gouw</w:t>
      </w:r>
      <w:proofErr w:type="spellEnd"/>
      <w:r w:rsidRPr="00FC5A2A">
        <w:rPr>
          <w:rFonts w:asciiTheme="minorHAnsi" w:eastAsiaTheme="minorHAnsi" w:hAnsiTheme="minorHAnsi"/>
          <w:sz w:val="18"/>
          <w:szCs w:val="18"/>
        </w:rPr>
        <w:t xml:space="preserve"> SC, van der </w:t>
      </w:r>
      <w:proofErr w:type="spellStart"/>
      <w:r w:rsidRPr="00FC5A2A">
        <w:rPr>
          <w:rFonts w:asciiTheme="minorHAnsi" w:eastAsiaTheme="minorHAnsi" w:hAnsiTheme="minorHAnsi"/>
          <w:sz w:val="18"/>
          <w:szCs w:val="18"/>
        </w:rPr>
        <w:t>Bom</w:t>
      </w:r>
      <w:proofErr w:type="spellEnd"/>
      <w:r w:rsidRPr="00FC5A2A">
        <w:rPr>
          <w:rFonts w:asciiTheme="minorHAnsi" w:eastAsiaTheme="minorHAnsi" w:hAnsiTheme="minorHAnsi"/>
          <w:sz w:val="18"/>
          <w:szCs w:val="18"/>
        </w:rPr>
        <w:t xml:space="preserve"> JG, </w:t>
      </w:r>
      <w:proofErr w:type="spellStart"/>
      <w:r w:rsidRPr="00FC5A2A">
        <w:rPr>
          <w:rFonts w:asciiTheme="minorHAnsi" w:eastAsiaTheme="minorHAnsi" w:hAnsiTheme="minorHAnsi"/>
          <w:sz w:val="18"/>
          <w:szCs w:val="18"/>
        </w:rPr>
        <w:t>Ljung</w:t>
      </w:r>
      <w:proofErr w:type="spellEnd"/>
      <w:r w:rsidRPr="00FC5A2A">
        <w:rPr>
          <w:rFonts w:asciiTheme="minorHAnsi" w:eastAsiaTheme="minorHAnsi" w:hAnsiTheme="minorHAnsi"/>
          <w:sz w:val="18"/>
          <w:szCs w:val="18"/>
        </w:rPr>
        <w:t xml:space="preserve"> R, </w:t>
      </w:r>
      <w:proofErr w:type="spellStart"/>
      <w:r w:rsidRPr="00FC5A2A">
        <w:rPr>
          <w:rFonts w:asciiTheme="minorHAnsi" w:eastAsiaTheme="minorHAnsi" w:hAnsiTheme="minorHAnsi"/>
          <w:sz w:val="18"/>
          <w:szCs w:val="18"/>
        </w:rPr>
        <w:t>Escuriola</w:t>
      </w:r>
      <w:proofErr w:type="spellEnd"/>
      <w:r w:rsidRPr="00FC5A2A">
        <w:rPr>
          <w:rFonts w:asciiTheme="minorHAnsi" w:eastAsiaTheme="minorHAnsi" w:hAnsiTheme="minorHAnsi"/>
          <w:sz w:val="18"/>
          <w:szCs w:val="18"/>
        </w:rPr>
        <w:t xml:space="preserve"> C, Cid AR, </w:t>
      </w:r>
      <w:proofErr w:type="spellStart"/>
      <w:r w:rsidRPr="00FC5A2A">
        <w:rPr>
          <w:rFonts w:asciiTheme="minorHAnsi" w:eastAsiaTheme="minorHAnsi" w:hAnsiTheme="minorHAnsi"/>
          <w:sz w:val="18"/>
          <w:szCs w:val="18"/>
        </w:rPr>
        <w:t>Claeyssens-Donadel</w:t>
      </w:r>
      <w:proofErr w:type="spellEnd"/>
      <w:r w:rsidRPr="00FC5A2A">
        <w:rPr>
          <w:rFonts w:asciiTheme="minorHAnsi" w:eastAsiaTheme="minorHAnsi" w:hAnsiTheme="minorHAnsi"/>
          <w:sz w:val="18"/>
          <w:szCs w:val="18"/>
        </w:rPr>
        <w:t xml:space="preserve"> S, et al. </w:t>
      </w:r>
      <w:r>
        <w:rPr>
          <w:rFonts w:asciiTheme="minorHAnsi" w:eastAsiaTheme="minorHAnsi" w:hAnsiTheme="minorHAnsi"/>
          <w:sz w:val="18"/>
          <w:szCs w:val="18"/>
        </w:rPr>
        <w:t>FVIII</w:t>
      </w:r>
      <w:r w:rsidRPr="00FC5A2A">
        <w:rPr>
          <w:rFonts w:asciiTheme="minorHAnsi" w:eastAsiaTheme="minorHAnsi" w:hAnsiTheme="minorHAnsi"/>
          <w:sz w:val="18"/>
          <w:szCs w:val="18"/>
        </w:rPr>
        <w:t xml:space="preserve"> products and inhibitor development in severe </w:t>
      </w:r>
      <w:proofErr w:type="spellStart"/>
      <w:r w:rsidRPr="00FC5A2A">
        <w:rPr>
          <w:rFonts w:asciiTheme="minorHAnsi" w:eastAsiaTheme="minorHAnsi" w:hAnsiTheme="minorHAnsi"/>
          <w:sz w:val="18"/>
          <w:szCs w:val="18"/>
        </w:rPr>
        <w:t>hemophilia</w:t>
      </w:r>
      <w:proofErr w:type="spellEnd"/>
      <w:r w:rsidRPr="00FC5A2A">
        <w:rPr>
          <w:rFonts w:asciiTheme="minorHAnsi" w:eastAsiaTheme="minorHAnsi" w:hAnsiTheme="minorHAnsi"/>
          <w:sz w:val="18"/>
          <w:szCs w:val="18"/>
        </w:rPr>
        <w:t xml:space="preserve"> </w:t>
      </w:r>
      <w:r w:rsidRPr="00FC5A2A">
        <w:rPr>
          <w:rFonts w:asciiTheme="minorHAnsi" w:eastAsiaTheme="minorHAnsi" w:hAnsiTheme="minorHAnsi"/>
          <w:color w:val="000000"/>
          <w:sz w:val="18"/>
          <w:szCs w:val="18"/>
        </w:rPr>
        <w:t>A. N Engl J Med 2013; 368: 231-239.</w:t>
      </w:r>
    </w:p>
  </w:footnote>
  <w:footnote w:id="27">
    <w:p w:rsidR="00081E62" w:rsidRDefault="00081E62">
      <w:pPr>
        <w:pStyle w:val="FootnoteText"/>
      </w:pPr>
      <w:r>
        <w:rPr>
          <w:rStyle w:val="FootnoteReference"/>
        </w:rPr>
        <w:footnoteRef/>
      </w:r>
      <w:r>
        <w:t xml:space="preserve"> </w:t>
      </w:r>
      <w:proofErr w:type="gramStart"/>
      <w:r w:rsidRPr="00A53BDC">
        <w:rPr>
          <w:rFonts w:asciiTheme="minorHAnsi" w:hAnsiTheme="minorHAnsi"/>
        </w:rPr>
        <w:t xml:space="preserve">Hay CR, Palmer B, Chalmers E, </w:t>
      </w:r>
      <w:proofErr w:type="spellStart"/>
      <w:r w:rsidRPr="00A53BDC">
        <w:rPr>
          <w:rFonts w:asciiTheme="minorHAnsi" w:hAnsiTheme="minorHAnsi"/>
        </w:rPr>
        <w:t>Liesner</w:t>
      </w:r>
      <w:proofErr w:type="spellEnd"/>
      <w:r w:rsidRPr="00A53BDC">
        <w:rPr>
          <w:rFonts w:asciiTheme="minorHAnsi" w:hAnsiTheme="minorHAnsi"/>
        </w:rPr>
        <w:t xml:space="preserve"> R, Maclean R, </w:t>
      </w:r>
      <w:proofErr w:type="spellStart"/>
      <w:r w:rsidRPr="00A53BDC">
        <w:rPr>
          <w:rFonts w:asciiTheme="minorHAnsi" w:hAnsiTheme="minorHAnsi"/>
        </w:rPr>
        <w:t>Rangarajan</w:t>
      </w:r>
      <w:proofErr w:type="spellEnd"/>
      <w:r w:rsidRPr="00A53BDC">
        <w:rPr>
          <w:rFonts w:asciiTheme="minorHAnsi" w:hAnsiTheme="minorHAnsi"/>
        </w:rPr>
        <w:t xml:space="preserve"> S, et al. Incidence of factor VIII inhibitors throughout life in severe </w:t>
      </w:r>
      <w:proofErr w:type="spellStart"/>
      <w:r w:rsidRPr="00A53BDC">
        <w:rPr>
          <w:rFonts w:asciiTheme="minorHAnsi" w:hAnsiTheme="minorHAnsi"/>
        </w:rPr>
        <w:t>hemophilia</w:t>
      </w:r>
      <w:proofErr w:type="spellEnd"/>
      <w:r w:rsidRPr="00A53BDC">
        <w:rPr>
          <w:rFonts w:asciiTheme="minorHAnsi" w:hAnsiTheme="minorHAnsi"/>
        </w:rPr>
        <w:t xml:space="preserve"> A in the United Kingdom.</w:t>
      </w:r>
      <w:proofErr w:type="gramEnd"/>
      <w:r w:rsidRPr="00A53BDC">
        <w:rPr>
          <w:rFonts w:asciiTheme="minorHAnsi" w:hAnsiTheme="minorHAnsi"/>
        </w:rPr>
        <w:t xml:space="preserve"> Blood 2011; 117: 6367-6370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62" w:rsidRDefault="00081E62"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62" w:rsidRDefault="00081E62">
    <w:pPr>
      <w:rPr>
        <w:noProof/>
        <w:lang w:eastAsia="en-AU"/>
      </w:rPr>
    </w:pPr>
    <w:r w:rsidRPr="00347824">
      <w:rPr>
        <w:noProof/>
        <w:lang w:eastAsia="en-AU"/>
      </w:rPr>
      <w:drawing>
        <wp:anchor distT="0" distB="0" distL="114300" distR="114300" simplePos="0" relativeHeight="251659264" behindDoc="1" locked="0" layoutInCell="1" allowOverlap="1" wp14:anchorId="24ED9490" wp14:editId="4969262A">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081E62" w:rsidRDefault="00081E62" w:rsidP="00593AD1">
    <w:pPr>
      <w:pStyle w:val="HeaderNo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62" w:rsidRDefault="00081E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62" w:rsidRDefault="00081E62">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62" w:rsidRDefault="00081E62">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62" w:rsidRDefault="00081E6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62" w:rsidRDefault="00081E62"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62" w:rsidRDefault="00081E62" w:rsidP="006E08B3">
    <w:r>
      <w:t>Therapeutic Goods Administration</w:t>
    </w:r>
  </w:p>
  <w:p w:rsidR="00081E62" w:rsidRDefault="00081E62"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9C65FEC"/>
    <w:lvl w:ilvl="0">
      <w:start w:val="1"/>
      <w:numFmt w:val="bullet"/>
      <w:lvlText w:val=""/>
      <w:lvlJc w:val="left"/>
      <w:pPr>
        <w:tabs>
          <w:tab w:val="num" w:pos="360"/>
        </w:tabs>
        <w:ind w:left="360" w:hanging="360"/>
      </w:pPr>
      <w:rPr>
        <w:rFonts w:ascii="Symbol" w:hAnsi="Symbol" w:hint="default"/>
      </w:rPr>
    </w:lvl>
  </w:abstractNum>
  <w:abstractNum w:abstractNumId="1">
    <w:nsid w:val="007A7CE0"/>
    <w:multiLevelType w:val="hybridMultilevel"/>
    <w:tmpl w:val="B14680F6"/>
    <w:lvl w:ilvl="0" w:tplc="0C07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C1854"/>
    <w:multiLevelType w:val="hybridMultilevel"/>
    <w:tmpl w:val="0C2A1E7A"/>
    <w:lvl w:ilvl="0" w:tplc="D1F6745A">
      <w:start w:val="29"/>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794615"/>
    <w:multiLevelType w:val="hybridMultilevel"/>
    <w:tmpl w:val="A7561688"/>
    <w:lvl w:ilvl="0" w:tplc="75BE7E8A">
      <w:start w:val="1"/>
      <w:numFmt w:val="bullet"/>
      <w:pStyle w:val="CommentDo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nsid w:val="09547CF2"/>
    <w:multiLevelType w:val="multilevel"/>
    <w:tmpl w:val="4ECC3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3711B93"/>
    <w:multiLevelType w:val="hybridMultilevel"/>
    <w:tmpl w:val="B9045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B43E75"/>
    <w:multiLevelType w:val="hybridMultilevel"/>
    <w:tmpl w:val="ED36E646"/>
    <w:lvl w:ilvl="0" w:tplc="86642BD4">
      <w:start w:val="8"/>
      <w:numFmt w:val="bullet"/>
      <w:lvlText w:val="-"/>
      <w:lvlJc w:val="left"/>
      <w:pPr>
        <w:ind w:left="720" w:hanging="360"/>
      </w:pPr>
      <w:rPr>
        <w:rFonts w:ascii="Cambria" w:eastAsia="Cambria" w:hAnsi="Cambri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5B869F4"/>
    <w:multiLevelType w:val="hybridMultilevel"/>
    <w:tmpl w:val="473ADF5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D156A19"/>
    <w:multiLevelType w:val="hybridMultilevel"/>
    <w:tmpl w:val="C9C2A50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23A37D7"/>
    <w:multiLevelType w:val="hybridMultilevel"/>
    <w:tmpl w:val="BED6ABE0"/>
    <w:lvl w:ilvl="0" w:tplc="7FF412F6">
      <w:start w:val="1"/>
      <w:numFmt w:val="decimal"/>
      <w:lvlText w:val="%1."/>
      <w:lvlJc w:val="left"/>
      <w:pPr>
        <w:ind w:left="360" w:hanging="360"/>
      </w:pPr>
      <w:rPr>
        <w:rFonts w:asciiTheme="minorHAnsi" w:hAnsiTheme="minorHAnsi" w:cs="Calibr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32A2ED7"/>
    <w:multiLevelType w:val="hybridMultilevel"/>
    <w:tmpl w:val="0436DFD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nsid w:val="28BB3BCA"/>
    <w:multiLevelType w:val="hybridMultilevel"/>
    <w:tmpl w:val="7EE48232"/>
    <w:lvl w:ilvl="0" w:tplc="EB5A84DC">
      <w:numFmt w:val="bullet"/>
      <w:lvlText w:val=""/>
      <w:lvlJc w:val="left"/>
      <w:pPr>
        <w:ind w:left="360" w:hanging="360"/>
      </w:pPr>
      <w:rPr>
        <w:rFonts w:ascii="Symbol" w:eastAsia="MS Mincho"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A7B7CEA"/>
    <w:multiLevelType w:val="hybridMultilevel"/>
    <w:tmpl w:val="F2F65548"/>
    <w:lvl w:ilvl="0" w:tplc="2A2AFDEC">
      <w:numFmt w:val="bullet"/>
      <w:lvlText w:val="•"/>
      <w:lvlJc w:val="left"/>
      <w:pPr>
        <w:ind w:left="927" w:hanging="360"/>
      </w:pPr>
      <w:rPr>
        <w:rFonts w:ascii="Cambria" w:eastAsia="Cambria" w:hAnsi="Cambria"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nsid w:val="2BCF57AC"/>
    <w:multiLevelType w:val="hybridMultilevel"/>
    <w:tmpl w:val="1EBC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7">
    <w:nsid w:val="307D705F"/>
    <w:multiLevelType w:val="hybridMultilevel"/>
    <w:tmpl w:val="5E1CE522"/>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18">
    <w:nsid w:val="327B6449"/>
    <w:multiLevelType w:val="hybridMultilevel"/>
    <w:tmpl w:val="268C434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nsid w:val="35373EAC"/>
    <w:multiLevelType w:val="hybridMultilevel"/>
    <w:tmpl w:val="E626C9BA"/>
    <w:lvl w:ilvl="0" w:tplc="888CD37A">
      <w:start w:val="1"/>
      <w:numFmt w:val="decimal"/>
      <w:pStyle w:val="Heading-Question"/>
      <w:lvlText w:val="Question %1"/>
      <w:lvlJc w:val="left"/>
      <w:pPr>
        <w:ind w:left="360" w:hanging="360"/>
      </w:pPr>
      <w:rPr>
        <w:rFonts w:ascii="Times New Roman" w:hAnsi="Times New Roman" w:cs="Times New Roman" w:hint="default"/>
        <w:b w:val="0"/>
        <w:bCs w:val="0"/>
        <w:i/>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20">
    <w:nsid w:val="35540B7F"/>
    <w:multiLevelType w:val="hybridMultilevel"/>
    <w:tmpl w:val="4956B5E8"/>
    <w:lvl w:ilvl="0" w:tplc="0C09000F">
      <w:start w:val="1"/>
      <w:numFmt w:val="decimal"/>
      <w:lvlText w:val="%1."/>
      <w:lvlJc w:val="left"/>
      <w:pPr>
        <w:ind w:left="720" w:hanging="360"/>
      </w:pPr>
    </w:lvl>
    <w:lvl w:ilvl="1" w:tplc="12663D34">
      <w:start w:val="16"/>
      <w:numFmt w:val="bullet"/>
      <w:lvlText w:val="•"/>
      <w:lvlJc w:val="left"/>
      <w:pPr>
        <w:ind w:left="1440" w:hanging="360"/>
      </w:pPr>
      <w:rPr>
        <w:rFonts w:ascii="Cambria" w:eastAsia="Times New Roman" w:hAnsi="Cambria" w:cs="Cambria"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8FE2D0D"/>
    <w:multiLevelType w:val="hybridMultilevel"/>
    <w:tmpl w:val="15AE2A5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2">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23">
    <w:nsid w:val="489B15D7"/>
    <w:multiLevelType w:val="hybridMultilevel"/>
    <w:tmpl w:val="D31C55E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ED460AF"/>
    <w:multiLevelType w:val="hybridMultilevel"/>
    <w:tmpl w:val="3B44029C"/>
    <w:lvl w:ilvl="0" w:tplc="F4A61508">
      <w:start w:val="1"/>
      <w:numFmt w:val="decimal"/>
      <w:lvlText w:val="%1."/>
      <w:lvlJc w:val="left"/>
      <w:pPr>
        <w:ind w:left="720" w:hanging="360"/>
      </w:pPr>
      <w:rPr>
        <w:rFonts w:eastAsiaTheme="minorHAnsi" w:cs="Arial"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43B6F1B"/>
    <w:multiLevelType w:val="hybridMultilevel"/>
    <w:tmpl w:val="B552928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F595D"/>
    <w:multiLevelType w:val="hybridMultilevel"/>
    <w:tmpl w:val="86B69502"/>
    <w:lvl w:ilvl="0" w:tplc="D3142EF2">
      <w:start w:val="1"/>
      <w:numFmt w:val="bullet"/>
      <w:pStyle w:val="Instructions2"/>
      <w:lvlText w:val="­"/>
      <w:lvlJc w:val="left"/>
      <w:pPr>
        <w:ind w:left="644" w:hanging="360"/>
      </w:pPr>
      <w:rPr>
        <w:rFonts w:ascii="Calibri" w:hAnsi="Calibri"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7">
    <w:nsid w:val="68A66814"/>
    <w:multiLevelType w:val="hybridMultilevel"/>
    <w:tmpl w:val="3DAC486A"/>
    <w:lvl w:ilvl="0" w:tplc="7C6820D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6C2474BE"/>
    <w:multiLevelType w:val="hybridMultilevel"/>
    <w:tmpl w:val="91C82914"/>
    <w:lvl w:ilvl="0" w:tplc="9D38F33A">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9">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A793D27"/>
    <w:multiLevelType w:val="hybridMultilevel"/>
    <w:tmpl w:val="8E12BCF2"/>
    <w:lvl w:ilvl="0" w:tplc="0B48132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B703D1F"/>
    <w:multiLevelType w:val="hybridMultilevel"/>
    <w:tmpl w:val="32BCB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9"/>
  </w:num>
  <w:num w:numId="4">
    <w:abstractNumId w:val="5"/>
  </w:num>
  <w:num w:numId="5">
    <w:abstractNumId w:val="23"/>
  </w:num>
  <w:num w:numId="6">
    <w:abstractNumId w:val="16"/>
  </w:num>
  <w:num w:numId="7">
    <w:abstractNumId w:val="29"/>
  </w:num>
  <w:num w:numId="8">
    <w:abstractNumId w:val="22"/>
  </w:num>
  <w:num w:numId="9">
    <w:abstractNumId w:val="3"/>
  </w:num>
  <w:num w:numId="10">
    <w:abstractNumId w:val="26"/>
  </w:num>
  <w:num w:numId="11">
    <w:abstractNumId w:val="15"/>
  </w:num>
  <w:num w:numId="12">
    <w:abstractNumId w:val="31"/>
  </w:num>
  <w:num w:numId="13">
    <w:abstractNumId w:val="7"/>
  </w:num>
  <w:num w:numId="14">
    <w:abstractNumId w:val="17"/>
  </w:num>
  <w:num w:numId="15">
    <w:abstractNumId w:val="13"/>
  </w:num>
  <w:num w:numId="16">
    <w:abstractNumId w:val="11"/>
  </w:num>
  <w:num w:numId="17">
    <w:abstractNumId w:val="21"/>
  </w:num>
  <w:num w:numId="18">
    <w:abstractNumId w:val="8"/>
  </w:num>
  <w:num w:numId="19">
    <w:abstractNumId w:val="20"/>
  </w:num>
  <w:num w:numId="20">
    <w:abstractNumId w:val="1"/>
  </w:num>
  <w:num w:numId="21">
    <w:abstractNumId w:val="2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0"/>
  </w:num>
  <w:num w:numId="25">
    <w:abstractNumId w:val="4"/>
  </w:num>
  <w:num w:numId="26">
    <w:abstractNumId w:val="5"/>
    <w:lvlOverride w:ilvl="0">
      <w:startOverride w:val="2"/>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6"/>
  </w:num>
  <w:num w:numId="30">
    <w:abstractNumId w:val="28"/>
  </w:num>
  <w:num w:numId="31">
    <w:abstractNumId w:val="14"/>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0"/>
  </w:num>
  <w:num w:numId="35">
    <w:abstractNumId w:val="12"/>
  </w:num>
  <w:num w:numId="36">
    <w:abstractNumId w:val="18"/>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4F"/>
    <w:rsid w:val="00002031"/>
    <w:rsid w:val="00003E1D"/>
    <w:rsid w:val="00004734"/>
    <w:rsid w:val="00006B22"/>
    <w:rsid w:val="0001276A"/>
    <w:rsid w:val="00015F5F"/>
    <w:rsid w:val="0002448E"/>
    <w:rsid w:val="000246AE"/>
    <w:rsid w:val="00025C67"/>
    <w:rsid w:val="00025F19"/>
    <w:rsid w:val="00033F65"/>
    <w:rsid w:val="00044772"/>
    <w:rsid w:val="00050659"/>
    <w:rsid w:val="0005559E"/>
    <w:rsid w:val="00056845"/>
    <w:rsid w:val="000604D6"/>
    <w:rsid w:val="000734D8"/>
    <w:rsid w:val="00077775"/>
    <w:rsid w:val="00081E62"/>
    <w:rsid w:val="00090471"/>
    <w:rsid w:val="00095F04"/>
    <w:rsid w:val="00096AA7"/>
    <w:rsid w:val="000A3AED"/>
    <w:rsid w:val="000B1C06"/>
    <w:rsid w:val="000B3532"/>
    <w:rsid w:val="000B3A75"/>
    <w:rsid w:val="000B5556"/>
    <w:rsid w:val="000B5714"/>
    <w:rsid w:val="000B6AB3"/>
    <w:rsid w:val="000C690F"/>
    <w:rsid w:val="000D1295"/>
    <w:rsid w:val="000D391B"/>
    <w:rsid w:val="000D3D6D"/>
    <w:rsid w:val="000D4FC7"/>
    <w:rsid w:val="000D6C18"/>
    <w:rsid w:val="000F4869"/>
    <w:rsid w:val="000F5B42"/>
    <w:rsid w:val="000F6E6F"/>
    <w:rsid w:val="0010601F"/>
    <w:rsid w:val="0010788A"/>
    <w:rsid w:val="00107A31"/>
    <w:rsid w:val="00110EA5"/>
    <w:rsid w:val="00112F56"/>
    <w:rsid w:val="001238B9"/>
    <w:rsid w:val="00125318"/>
    <w:rsid w:val="0012698C"/>
    <w:rsid w:val="001305A2"/>
    <w:rsid w:val="00133238"/>
    <w:rsid w:val="00135269"/>
    <w:rsid w:val="0013570C"/>
    <w:rsid w:val="0014197B"/>
    <w:rsid w:val="001447CD"/>
    <w:rsid w:val="0015031E"/>
    <w:rsid w:val="001516B1"/>
    <w:rsid w:val="00154EBB"/>
    <w:rsid w:val="00156316"/>
    <w:rsid w:val="00156DF5"/>
    <w:rsid w:val="00162D14"/>
    <w:rsid w:val="00165389"/>
    <w:rsid w:val="00174730"/>
    <w:rsid w:val="0017693F"/>
    <w:rsid w:val="0018110E"/>
    <w:rsid w:val="00181684"/>
    <w:rsid w:val="00183D36"/>
    <w:rsid w:val="001843C6"/>
    <w:rsid w:val="001850E0"/>
    <w:rsid w:val="001871D9"/>
    <w:rsid w:val="001963C4"/>
    <w:rsid w:val="001A2158"/>
    <w:rsid w:val="001A525F"/>
    <w:rsid w:val="001B09F9"/>
    <w:rsid w:val="001B5C90"/>
    <w:rsid w:val="001B6448"/>
    <w:rsid w:val="001C20D6"/>
    <w:rsid w:val="001C32CD"/>
    <w:rsid w:val="001C3C67"/>
    <w:rsid w:val="001D2984"/>
    <w:rsid w:val="001E07CF"/>
    <w:rsid w:val="001E59F1"/>
    <w:rsid w:val="001F49EB"/>
    <w:rsid w:val="001F6CBA"/>
    <w:rsid w:val="001F7A8A"/>
    <w:rsid w:val="00201D4E"/>
    <w:rsid w:val="002049B8"/>
    <w:rsid w:val="00204F88"/>
    <w:rsid w:val="002076C9"/>
    <w:rsid w:val="00220B8A"/>
    <w:rsid w:val="002257F3"/>
    <w:rsid w:val="00233456"/>
    <w:rsid w:val="002339A5"/>
    <w:rsid w:val="00257848"/>
    <w:rsid w:val="00261306"/>
    <w:rsid w:val="0027084A"/>
    <w:rsid w:val="002724AD"/>
    <w:rsid w:val="00277ACB"/>
    <w:rsid w:val="00286434"/>
    <w:rsid w:val="00286C59"/>
    <w:rsid w:val="00291957"/>
    <w:rsid w:val="002942D1"/>
    <w:rsid w:val="0029501A"/>
    <w:rsid w:val="002A55BE"/>
    <w:rsid w:val="002A5772"/>
    <w:rsid w:val="002B1638"/>
    <w:rsid w:val="002B3624"/>
    <w:rsid w:val="002E40B3"/>
    <w:rsid w:val="002E4C9A"/>
    <w:rsid w:val="002F0A00"/>
    <w:rsid w:val="002F0BEA"/>
    <w:rsid w:val="002F11F8"/>
    <w:rsid w:val="002F3F56"/>
    <w:rsid w:val="002F44B5"/>
    <w:rsid w:val="00311AC0"/>
    <w:rsid w:val="00313901"/>
    <w:rsid w:val="0032583B"/>
    <w:rsid w:val="00327883"/>
    <w:rsid w:val="00334195"/>
    <w:rsid w:val="00335504"/>
    <w:rsid w:val="00343A75"/>
    <w:rsid w:val="00347824"/>
    <w:rsid w:val="00350567"/>
    <w:rsid w:val="003521E8"/>
    <w:rsid w:val="00356785"/>
    <w:rsid w:val="00357347"/>
    <w:rsid w:val="00365758"/>
    <w:rsid w:val="003728F3"/>
    <w:rsid w:val="0037496E"/>
    <w:rsid w:val="00383221"/>
    <w:rsid w:val="00386150"/>
    <w:rsid w:val="003874CE"/>
    <w:rsid w:val="00390900"/>
    <w:rsid w:val="003A6E2F"/>
    <w:rsid w:val="003A7F6C"/>
    <w:rsid w:val="003B2FCA"/>
    <w:rsid w:val="003B4D60"/>
    <w:rsid w:val="003B7E39"/>
    <w:rsid w:val="003C58DC"/>
    <w:rsid w:val="003C7641"/>
    <w:rsid w:val="003D1E62"/>
    <w:rsid w:val="003D6D1A"/>
    <w:rsid w:val="003E0B99"/>
    <w:rsid w:val="003E2486"/>
    <w:rsid w:val="003E3208"/>
    <w:rsid w:val="003F0B04"/>
    <w:rsid w:val="003F36D1"/>
    <w:rsid w:val="003F5405"/>
    <w:rsid w:val="0040134E"/>
    <w:rsid w:val="00412DF4"/>
    <w:rsid w:val="0041331E"/>
    <w:rsid w:val="004161A4"/>
    <w:rsid w:val="00420DAC"/>
    <w:rsid w:val="00427566"/>
    <w:rsid w:val="004334C7"/>
    <w:rsid w:val="00440A2D"/>
    <w:rsid w:val="004564A7"/>
    <w:rsid w:val="00461779"/>
    <w:rsid w:val="004617BF"/>
    <w:rsid w:val="00463658"/>
    <w:rsid w:val="004637A0"/>
    <w:rsid w:val="004722CC"/>
    <w:rsid w:val="004735D9"/>
    <w:rsid w:val="004835E9"/>
    <w:rsid w:val="00486489"/>
    <w:rsid w:val="0048693A"/>
    <w:rsid w:val="004936E4"/>
    <w:rsid w:val="00493AEA"/>
    <w:rsid w:val="00494E60"/>
    <w:rsid w:val="00497487"/>
    <w:rsid w:val="004A7390"/>
    <w:rsid w:val="004B080D"/>
    <w:rsid w:val="004B0C90"/>
    <w:rsid w:val="004B7B76"/>
    <w:rsid w:val="004C239D"/>
    <w:rsid w:val="004C2DCA"/>
    <w:rsid w:val="004F0C4A"/>
    <w:rsid w:val="004F0F38"/>
    <w:rsid w:val="004F47D6"/>
    <w:rsid w:val="00501921"/>
    <w:rsid w:val="0050440F"/>
    <w:rsid w:val="0050672C"/>
    <w:rsid w:val="00520509"/>
    <w:rsid w:val="005252DF"/>
    <w:rsid w:val="00530354"/>
    <w:rsid w:val="0053625B"/>
    <w:rsid w:val="005401C4"/>
    <w:rsid w:val="005434C6"/>
    <w:rsid w:val="00543B39"/>
    <w:rsid w:val="00546154"/>
    <w:rsid w:val="00550096"/>
    <w:rsid w:val="00555280"/>
    <w:rsid w:val="00557FF9"/>
    <w:rsid w:val="00560357"/>
    <w:rsid w:val="00576378"/>
    <w:rsid w:val="00576508"/>
    <w:rsid w:val="00577130"/>
    <w:rsid w:val="00577945"/>
    <w:rsid w:val="00577A56"/>
    <w:rsid w:val="00577E38"/>
    <w:rsid w:val="00585322"/>
    <w:rsid w:val="005857C6"/>
    <w:rsid w:val="00587BCF"/>
    <w:rsid w:val="00590DC1"/>
    <w:rsid w:val="00592F6E"/>
    <w:rsid w:val="00593AD1"/>
    <w:rsid w:val="005A68B6"/>
    <w:rsid w:val="005B5162"/>
    <w:rsid w:val="005C00B2"/>
    <w:rsid w:val="005C5570"/>
    <w:rsid w:val="005C79A4"/>
    <w:rsid w:val="005D4814"/>
    <w:rsid w:val="005D5442"/>
    <w:rsid w:val="005D5E87"/>
    <w:rsid w:val="005E4591"/>
    <w:rsid w:val="005E691C"/>
    <w:rsid w:val="005F2EF1"/>
    <w:rsid w:val="00603F32"/>
    <w:rsid w:val="00605AD4"/>
    <w:rsid w:val="006069D7"/>
    <w:rsid w:val="0061021E"/>
    <w:rsid w:val="006147E7"/>
    <w:rsid w:val="00625A6E"/>
    <w:rsid w:val="00632398"/>
    <w:rsid w:val="006324C1"/>
    <w:rsid w:val="00640FC3"/>
    <w:rsid w:val="00642020"/>
    <w:rsid w:val="00644F3D"/>
    <w:rsid w:val="0065337B"/>
    <w:rsid w:val="00653C6C"/>
    <w:rsid w:val="0065419D"/>
    <w:rsid w:val="006604D8"/>
    <w:rsid w:val="0066095E"/>
    <w:rsid w:val="00661DB2"/>
    <w:rsid w:val="00662E96"/>
    <w:rsid w:val="00664A5B"/>
    <w:rsid w:val="00675A4F"/>
    <w:rsid w:val="006763D2"/>
    <w:rsid w:val="00680C08"/>
    <w:rsid w:val="006931B1"/>
    <w:rsid w:val="006A15C0"/>
    <w:rsid w:val="006A57E3"/>
    <w:rsid w:val="006A602A"/>
    <w:rsid w:val="006B2A35"/>
    <w:rsid w:val="006B32A9"/>
    <w:rsid w:val="006B4B18"/>
    <w:rsid w:val="006C3E2A"/>
    <w:rsid w:val="006C642F"/>
    <w:rsid w:val="006D03E5"/>
    <w:rsid w:val="006D5D3E"/>
    <w:rsid w:val="006E08B3"/>
    <w:rsid w:val="006F17AC"/>
    <w:rsid w:val="006F25B8"/>
    <w:rsid w:val="006F572E"/>
    <w:rsid w:val="006F6836"/>
    <w:rsid w:val="007046D6"/>
    <w:rsid w:val="00705DB0"/>
    <w:rsid w:val="00707C26"/>
    <w:rsid w:val="007107DA"/>
    <w:rsid w:val="007221D1"/>
    <w:rsid w:val="00722B57"/>
    <w:rsid w:val="0072383B"/>
    <w:rsid w:val="00730F8A"/>
    <w:rsid w:val="00734E0B"/>
    <w:rsid w:val="0074253D"/>
    <w:rsid w:val="0074429B"/>
    <w:rsid w:val="007540A3"/>
    <w:rsid w:val="00755C68"/>
    <w:rsid w:val="007615BC"/>
    <w:rsid w:val="00762F05"/>
    <w:rsid w:val="007652FF"/>
    <w:rsid w:val="00770EF1"/>
    <w:rsid w:val="00773EF7"/>
    <w:rsid w:val="00774E1D"/>
    <w:rsid w:val="007765D8"/>
    <w:rsid w:val="0077675A"/>
    <w:rsid w:val="00780355"/>
    <w:rsid w:val="007819FD"/>
    <w:rsid w:val="00785721"/>
    <w:rsid w:val="00793A59"/>
    <w:rsid w:val="007A5F37"/>
    <w:rsid w:val="007A5F7F"/>
    <w:rsid w:val="007B1281"/>
    <w:rsid w:val="007B1EB7"/>
    <w:rsid w:val="007B3A4D"/>
    <w:rsid w:val="007B6132"/>
    <w:rsid w:val="007B6E9F"/>
    <w:rsid w:val="007C0727"/>
    <w:rsid w:val="007C1216"/>
    <w:rsid w:val="007C1AF7"/>
    <w:rsid w:val="007C5743"/>
    <w:rsid w:val="00803EB5"/>
    <w:rsid w:val="00805D27"/>
    <w:rsid w:val="00812FC2"/>
    <w:rsid w:val="00813E38"/>
    <w:rsid w:val="00821776"/>
    <w:rsid w:val="00821AFA"/>
    <w:rsid w:val="00823E9F"/>
    <w:rsid w:val="008321F5"/>
    <w:rsid w:val="00832369"/>
    <w:rsid w:val="00834660"/>
    <w:rsid w:val="00836BC2"/>
    <w:rsid w:val="008425DA"/>
    <w:rsid w:val="00847E13"/>
    <w:rsid w:val="0085156D"/>
    <w:rsid w:val="00854960"/>
    <w:rsid w:val="0085641B"/>
    <w:rsid w:val="00857136"/>
    <w:rsid w:val="00885B11"/>
    <w:rsid w:val="00886D15"/>
    <w:rsid w:val="00887AFF"/>
    <w:rsid w:val="00887DD8"/>
    <w:rsid w:val="00891BA9"/>
    <w:rsid w:val="00896018"/>
    <w:rsid w:val="008960DD"/>
    <w:rsid w:val="00896197"/>
    <w:rsid w:val="0089635C"/>
    <w:rsid w:val="008A1D61"/>
    <w:rsid w:val="008A2B9D"/>
    <w:rsid w:val="008A3D9F"/>
    <w:rsid w:val="008A54AB"/>
    <w:rsid w:val="008A5E0B"/>
    <w:rsid w:val="008A62CD"/>
    <w:rsid w:val="008A6D59"/>
    <w:rsid w:val="008B4B03"/>
    <w:rsid w:val="008B596F"/>
    <w:rsid w:val="008C159F"/>
    <w:rsid w:val="008C1623"/>
    <w:rsid w:val="008C1850"/>
    <w:rsid w:val="008C51A9"/>
    <w:rsid w:val="008C53FF"/>
    <w:rsid w:val="008C5E13"/>
    <w:rsid w:val="008C636C"/>
    <w:rsid w:val="008D1BBA"/>
    <w:rsid w:val="008E7846"/>
    <w:rsid w:val="008F1CCC"/>
    <w:rsid w:val="008F2967"/>
    <w:rsid w:val="008F6943"/>
    <w:rsid w:val="00902A21"/>
    <w:rsid w:val="009132D2"/>
    <w:rsid w:val="00920330"/>
    <w:rsid w:val="009219D7"/>
    <w:rsid w:val="0092208E"/>
    <w:rsid w:val="00922275"/>
    <w:rsid w:val="00922D53"/>
    <w:rsid w:val="00922EC9"/>
    <w:rsid w:val="00922EDD"/>
    <w:rsid w:val="00923B70"/>
    <w:rsid w:val="00924482"/>
    <w:rsid w:val="00930237"/>
    <w:rsid w:val="009349BD"/>
    <w:rsid w:val="0093620D"/>
    <w:rsid w:val="00940A89"/>
    <w:rsid w:val="00941254"/>
    <w:rsid w:val="00941EE2"/>
    <w:rsid w:val="00946EA5"/>
    <w:rsid w:val="00951396"/>
    <w:rsid w:val="009622D4"/>
    <w:rsid w:val="00962868"/>
    <w:rsid w:val="00963C08"/>
    <w:rsid w:val="0096752B"/>
    <w:rsid w:val="00970310"/>
    <w:rsid w:val="0097425A"/>
    <w:rsid w:val="00976BF8"/>
    <w:rsid w:val="00981FE2"/>
    <w:rsid w:val="0098585A"/>
    <w:rsid w:val="009A4CED"/>
    <w:rsid w:val="009A690D"/>
    <w:rsid w:val="009B1D12"/>
    <w:rsid w:val="009B416B"/>
    <w:rsid w:val="009B64ED"/>
    <w:rsid w:val="009C1E6B"/>
    <w:rsid w:val="009C4BD5"/>
    <w:rsid w:val="009C70A0"/>
    <w:rsid w:val="009C7BA1"/>
    <w:rsid w:val="009D1EFE"/>
    <w:rsid w:val="009D7B77"/>
    <w:rsid w:val="009E02BC"/>
    <w:rsid w:val="009E0917"/>
    <w:rsid w:val="009E0BB0"/>
    <w:rsid w:val="009E3FBB"/>
    <w:rsid w:val="00A04F85"/>
    <w:rsid w:val="00A102E4"/>
    <w:rsid w:val="00A12C42"/>
    <w:rsid w:val="00A13CAC"/>
    <w:rsid w:val="00A14DF7"/>
    <w:rsid w:val="00A2319D"/>
    <w:rsid w:val="00A2606B"/>
    <w:rsid w:val="00A3246D"/>
    <w:rsid w:val="00A36FA7"/>
    <w:rsid w:val="00A44DDB"/>
    <w:rsid w:val="00A475B7"/>
    <w:rsid w:val="00A47AF7"/>
    <w:rsid w:val="00A47C3E"/>
    <w:rsid w:val="00A50226"/>
    <w:rsid w:val="00A5047D"/>
    <w:rsid w:val="00A60BAD"/>
    <w:rsid w:val="00A72D52"/>
    <w:rsid w:val="00A80B5B"/>
    <w:rsid w:val="00A8136F"/>
    <w:rsid w:val="00A84E36"/>
    <w:rsid w:val="00A921F0"/>
    <w:rsid w:val="00A94FD5"/>
    <w:rsid w:val="00A964D1"/>
    <w:rsid w:val="00A96A41"/>
    <w:rsid w:val="00AA0ED0"/>
    <w:rsid w:val="00AA64B1"/>
    <w:rsid w:val="00AC2B40"/>
    <w:rsid w:val="00AC2BB2"/>
    <w:rsid w:val="00AC2C3C"/>
    <w:rsid w:val="00AC512D"/>
    <w:rsid w:val="00AD0083"/>
    <w:rsid w:val="00AD3935"/>
    <w:rsid w:val="00AD6A36"/>
    <w:rsid w:val="00AE330F"/>
    <w:rsid w:val="00AE5857"/>
    <w:rsid w:val="00AE65EB"/>
    <w:rsid w:val="00AE67A7"/>
    <w:rsid w:val="00AF1D94"/>
    <w:rsid w:val="00AF60C5"/>
    <w:rsid w:val="00B009C6"/>
    <w:rsid w:val="00B01548"/>
    <w:rsid w:val="00B058FB"/>
    <w:rsid w:val="00B0617C"/>
    <w:rsid w:val="00B06337"/>
    <w:rsid w:val="00B0733F"/>
    <w:rsid w:val="00B203E2"/>
    <w:rsid w:val="00B21D29"/>
    <w:rsid w:val="00B25034"/>
    <w:rsid w:val="00B30B5B"/>
    <w:rsid w:val="00B33588"/>
    <w:rsid w:val="00B33863"/>
    <w:rsid w:val="00B37D17"/>
    <w:rsid w:val="00B40BB3"/>
    <w:rsid w:val="00B4175E"/>
    <w:rsid w:val="00B452CE"/>
    <w:rsid w:val="00B54C25"/>
    <w:rsid w:val="00B54EF8"/>
    <w:rsid w:val="00B55EB9"/>
    <w:rsid w:val="00B62283"/>
    <w:rsid w:val="00B70F98"/>
    <w:rsid w:val="00B74F6C"/>
    <w:rsid w:val="00B75A69"/>
    <w:rsid w:val="00B76B91"/>
    <w:rsid w:val="00B77EB1"/>
    <w:rsid w:val="00B811C6"/>
    <w:rsid w:val="00B855B0"/>
    <w:rsid w:val="00B92E08"/>
    <w:rsid w:val="00B93AF6"/>
    <w:rsid w:val="00BA0064"/>
    <w:rsid w:val="00BA154F"/>
    <w:rsid w:val="00BB3E6F"/>
    <w:rsid w:val="00BB4D42"/>
    <w:rsid w:val="00BC03EA"/>
    <w:rsid w:val="00BC2445"/>
    <w:rsid w:val="00BC37E2"/>
    <w:rsid w:val="00BC622A"/>
    <w:rsid w:val="00BC6685"/>
    <w:rsid w:val="00BE0A78"/>
    <w:rsid w:val="00BE79F0"/>
    <w:rsid w:val="00BF046D"/>
    <w:rsid w:val="00BF1190"/>
    <w:rsid w:val="00BF5D04"/>
    <w:rsid w:val="00C1164D"/>
    <w:rsid w:val="00C16861"/>
    <w:rsid w:val="00C30B86"/>
    <w:rsid w:val="00C33CC6"/>
    <w:rsid w:val="00C404A6"/>
    <w:rsid w:val="00C40A36"/>
    <w:rsid w:val="00C44419"/>
    <w:rsid w:val="00C457A5"/>
    <w:rsid w:val="00C45E7B"/>
    <w:rsid w:val="00C471B1"/>
    <w:rsid w:val="00C6316B"/>
    <w:rsid w:val="00C634A9"/>
    <w:rsid w:val="00C64586"/>
    <w:rsid w:val="00C70D53"/>
    <w:rsid w:val="00C73953"/>
    <w:rsid w:val="00C73D0B"/>
    <w:rsid w:val="00C772FF"/>
    <w:rsid w:val="00C80137"/>
    <w:rsid w:val="00C801AF"/>
    <w:rsid w:val="00C80256"/>
    <w:rsid w:val="00C82A9F"/>
    <w:rsid w:val="00C9467F"/>
    <w:rsid w:val="00C9747E"/>
    <w:rsid w:val="00CA287F"/>
    <w:rsid w:val="00CA3F42"/>
    <w:rsid w:val="00CA5174"/>
    <w:rsid w:val="00CB129B"/>
    <w:rsid w:val="00CB6BC0"/>
    <w:rsid w:val="00CC1B7C"/>
    <w:rsid w:val="00CC4F20"/>
    <w:rsid w:val="00CC727F"/>
    <w:rsid w:val="00CD5417"/>
    <w:rsid w:val="00CE7AB4"/>
    <w:rsid w:val="00CF08AD"/>
    <w:rsid w:val="00CF15C3"/>
    <w:rsid w:val="00CF2B6F"/>
    <w:rsid w:val="00CF58B6"/>
    <w:rsid w:val="00D017ED"/>
    <w:rsid w:val="00D040D3"/>
    <w:rsid w:val="00D04C65"/>
    <w:rsid w:val="00D10D2E"/>
    <w:rsid w:val="00D156AE"/>
    <w:rsid w:val="00D201D2"/>
    <w:rsid w:val="00D224FE"/>
    <w:rsid w:val="00D23139"/>
    <w:rsid w:val="00D2415A"/>
    <w:rsid w:val="00D425BB"/>
    <w:rsid w:val="00D6493E"/>
    <w:rsid w:val="00D7195D"/>
    <w:rsid w:val="00D7301E"/>
    <w:rsid w:val="00D83AE1"/>
    <w:rsid w:val="00D84360"/>
    <w:rsid w:val="00D855D4"/>
    <w:rsid w:val="00D86B58"/>
    <w:rsid w:val="00D93466"/>
    <w:rsid w:val="00D96B88"/>
    <w:rsid w:val="00DA1124"/>
    <w:rsid w:val="00DB6124"/>
    <w:rsid w:val="00DB750B"/>
    <w:rsid w:val="00DB75B7"/>
    <w:rsid w:val="00DC4C51"/>
    <w:rsid w:val="00DC4EB9"/>
    <w:rsid w:val="00DC6E02"/>
    <w:rsid w:val="00DE02AE"/>
    <w:rsid w:val="00DE4312"/>
    <w:rsid w:val="00DE6390"/>
    <w:rsid w:val="00DF1D7F"/>
    <w:rsid w:val="00DF4981"/>
    <w:rsid w:val="00DF4BE4"/>
    <w:rsid w:val="00DF786E"/>
    <w:rsid w:val="00E00E5B"/>
    <w:rsid w:val="00E02FB4"/>
    <w:rsid w:val="00E050E6"/>
    <w:rsid w:val="00E13FC7"/>
    <w:rsid w:val="00E20571"/>
    <w:rsid w:val="00E235F7"/>
    <w:rsid w:val="00E23659"/>
    <w:rsid w:val="00E239D4"/>
    <w:rsid w:val="00E26130"/>
    <w:rsid w:val="00E40B22"/>
    <w:rsid w:val="00E44ED1"/>
    <w:rsid w:val="00E45619"/>
    <w:rsid w:val="00E4588F"/>
    <w:rsid w:val="00E46DA3"/>
    <w:rsid w:val="00E51BB1"/>
    <w:rsid w:val="00E60F5E"/>
    <w:rsid w:val="00E624A5"/>
    <w:rsid w:val="00E64BA4"/>
    <w:rsid w:val="00E64C32"/>
    <w:rsid w:val="00E7344E"/>
    <w:rsid w:val="00E84ECD"/>
    <w:rsid w:val="00E91987"/>
    <w:rsid w:val="00E933FA"/>
    <w:rsid w:val="00E935B3"/>
    <w:rsid w:val="00EA119E"/>
    <w:rsid w:val="00EA26F5"/>
    <w:rsid w:val="00EA6DF5"/>
    <w:rsid w:val="00EB0798"/>
    <w:rsid w:val="00EB40AD"/>
    <w:rsid w:val="00EB586E"/>
    <w:rsid w:val="00EB5FC8"/>
    <w:rsid w:val="00EC7A85"/>
    <w:rsid w:val="00ED3CAD"/>
    <w:rsid w:val="00ED5A41"/>
    <w:rsid w:val="00EE1DE8"/>
    <w:rsid w:val="00F033EC"/>
    <w:rsid w:val="00F0388D"/>
    <w:rsid w:val="00F04F68"/>
    <w:rsid w:val="00F12670"/>
    <w:rsid w:val="00F14B27"/>
    <w:rsid w:val="00F16C50"/>
    <w:rsid w:val="00F3148D"/>
    <w:rsid w:val="00F325C5"/>
    <w:rsid w:val="00F32FE0"/>
    <w:rsid w:val="00F35298"/>
    <w:rsid w:val="00F40234"/>
    <w:rsid w:val="00F46268"/>
    <w:rsid w:val="00F46D48"/>
    <w:rsid w:val="00F47333"/>
    <w:rsid w:val="00F47E37"/>
    <w:rsid w:val="00F513E4"/>
    <w:rsid w:val="00F53C07"/>
    <w:rsid w:val="00F54B65"/>
    <w:rsid w:val="00F55262"/>
    <w:rsid w:val="00F606C6"/>
    <w:rsid w:val="00F640B6"/>
    <w:rsid w:val="00F64B84"/>
    <w:rsid w:val="00F7451B"/>
    <w:rsid w:val="00F801A7"/>
    <w:rsid w:val="00F80E40"/>
    <w:rsid w:val="00F848D9"/>
    <w:rsid w:val="00F86DD6"/>
    <w:rsid w:val="00FA190B"/>
    <w:rsid w:val="00FA43F9"/>
    <w:rsid w:val="00FA5B82"/>
    <w:rsid w:val="00FA639E"/>
    <w:rsid w:val="00FB0581"/>
    <w:rsid w:val="00FB2FAC"/>
    <w:rsid w:val="00FB4AF7"/>
    <w:rsid w:val="00FC1323"/>
    <w:rsid w:val="00FC25E4"/>
    <w:rsid w:val="00FC3E98"/>
    <w:rsid w:val="00FC4463"/>
    <w:rsid w:val="00FC4EF7"/>
    <w:rsid w:val="00FC5A2A"/>
    <w:rsid w:val="00FC63A1"/>
    <w:rsid w:val="00FC6CD1"/>
    <w:rsid w:val="00FD0824"/>
    <w:rsid w:val="00FD119B"/>
    <w:rsid w:val="00FD1EDC"/>
    <w:rsid w:val="00FE02CD"/>
    <w:rsid w:val="00FE1DEE"/>
    <w:rsid w:val="00FE38FF"/>
    <w:rsid w:val="00FE4A81"/>
    <w:rsid w:val="00FF1839"/>
    <w:rsid w:val="00FF2126"/>
    <w:rsid w:val="00FF25AE"/>
    <w:rsid w:val="00FF5033"/>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uiPriority w:val="1"/>
    <w:qFormat/>
    <w:rsid w:val="00CA287F"/>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qFormat/>
    <w:rsid w:val="009622D4"/>
    <w:pPr>
      <w:keepNext/>
      <w:spacing w:before="0" w:line="240" w:lineRule="auto"/>
      <w:jc w:val="both"/>
      <w:outlineLvl w:val="7"/>
    </w:pPr>
    <w:rPr>
      <w:rFonts w:ascii="Arial" w:eastAsiaTheme="minorEastAsia" w:hAnsi="Arial" w:cstheme="minorBidi"/>
      <w:b/>
      <w:i/>
      <w:iCs/>
      <w:lang w:val="en-US" w:eastAsia="ja-JP"/>
    </w:rPr>
  </w:style>
  <w:style w:type="paragraph" w:styleId="Heading9">
    <w:name w:val="heading 9"/>
    <w:basedOn w:val="Normal"/>
    <w:next w:val="Normal"/>
    <w:link w:val="Heading9Char"/>
    <w:qFormat/>
    <w:rsid w:val="009622D4"/>
    <w:pPr>
      <w:keepNext/>
      <w:spacing w:before="0" w:line="240" w:lineRule="auto"/>
      <w:jc w:val="both"/>
      <w:outlineLvl w:val="8"/>
    </w:pPr>
    <w:rPr>
      <w:rFonts w:ascii="Arial" w:eastAsiaTheme="minorEastAsia" w:hAnsi="Arial" w:cs="Arial"/>
      <w:u w:val="single"/>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GuidanceText">
    <w:name w:val="Guidance Text"/>
    <w:basedOn w:val="Normal"/>
    <w:link w:val="GuidanceTextChar"/>
    <w:autoRedefine/>
    <w:rsid w:val="00675A4F"/>
    <w:pPr>
      <w:autoSpaceDE w:val="0"/>
      <w:autoSpaceDN w:val="0"/>
      <w:adjustRightInd w:val="0"/>
      <w:spacing w:before="0" w:after="0" w:line="240" w:lineRule="auto"/>
    </w:pPr>
    <w:rPr>
      <w:rFonts w:asciiTheme="majorHAnsi" w:eastAsia="Times New Roman" w:hAnsiTheme="majorHAnsi" w:cstheme="majorHAnsi"/>
      <w:b/>
      <w:color w:val="333399"/>
      <w:sz w:val="28"/>
      <w:szCs w:val="28"/>
      <w:lang w:eastAsia="en-AU"/>
    </w:rPr>
  </w:style>
  <w:style w:type="character" w:customStyle="1" w:styleId="GuidanceTextChar">
    <w:name w:val="Guidance Text Char"/>
    <w:basedOn w:val="DefaultParagraphFont"/>
    <w:link w:val="GuidanceText"/>
    <w:rsid w:val="00675A4F"/>
    <w:rPr>
      <w:rFonts w:asciiTheme="majorHAnsi" w:eastAsia="Times New Roman" w:hAnsiTheme="majorHAnsi" w:cstheme="majorHAnsi"/>
      <w:b/>
      <w:color w:val="333399"/>
      <w:sz w:val="28"/>
      <w:szCs w:val="28"/>
      <w:lang w:eastAsia="en-AU"/>
    </w:rPr>
  </w:style>
  <w:style w:type="paragraph" w:styleId="NoSpacing">
    <w:name w:val="No Spacing"/>
    <w:uiPriority w:val="1"/>
    <w:rsid w:val="00675A4F"/>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675A4F"/>
    <w:pPr>
      <w:adjustRightInd w:val="0"/>
      <w:snapToGrid w:val="0"/>
      <w:spacing w:before="0" w:after="0"/>
      <w:ind w:left="720"/>
      <w:contextualSpacing/>
    </w:pPr>
    <w:rPr>
      <w:rFonts w:eastAsia="MS Mincho"/>
      <w:szCs w:val="20"/>
      <w:lang w:eastAsia="ja-JP"/>
    </w:rPr>
  </w:style>
  <w:style w:type="paragraph" w:customStyle="1" w:styleId="Bulletpoint">
    <w:name w:val="Bullet point"/>
    <w:basedOn w:val="Normal"/>
    <w:rsid w:val="00675A4F"/>
    <w:pPr>
      <w:numPr>
        <w:numId w:val="5"/>
      </w:numPr>
      <w:tabs>
        <w:tab w:val="left" w:pos="397"/>
      </w:tabs>
      <w:spacing w:before="0" w:after="180" w:line="252" w:lineRule="auto"/>
    </w:pPr>
    <w:rPr>
      <w:rFonts w:eastAsia="Times New Roman"/>
      <w:snapToGrid w:val="0"/>
      <w:kern w:val="16"/>
      <w:szCs w:val="24"/>
    </w:rPr>
  </w:style>
  <w:style w:type="paragraph" w:customStyle="1" w:styleId="Standard">
    <w:name w:val="Standard"/>
    <w:basedOn w:val="Normal"/>
    <w:link w:val="StandardChar"/>
    <w:rsid w:val="00675A4F"/>
    <w:pPr>
      <w:spacing w:before="0" w:after="220" w:line="252" w:lineRule="auto"/>
    </w:pPr>
    <w:rPr>
      <w:rFonts w:eastAsia="Times New Roman"/>
      <w:snapToGrid w:val="0"/>
      <w:kern w:val="16"/>
      <w:szCs w:val="24"/>
    </w:rPr>
  </w:style>
  <w:style w:type="paragraph" w:customStyle="1" w:styleId="WhiteSpace">
    <w:name w:val="White Space"/>
    <w:basedOn w:val="Standard"/>
    <w:next w:val="Standard"/>
    <w:link w:val="WhiteSpaceChar"/>
    <w:rsid w:val="00675A4F"/>
    <w:pPr>
      <w:spacing w:after="0"/>
    </w:pPr>
    <w:rPr>
      <w:sz w:val="16"/>
      <w:szCs w:val="16"/>
    </w:rPr>
  </w:style>
  <w:style w:type="character" w:customStyle="1" w:styleId="StandardChar">
    <w:name w:val="Standard Char"/>
    <w:basedOn w:val="DefaultParagraphFont"/>
    <w:link w:val="Standard"/>
    <w:rsid w:val="00675A4F"/>
    <w:rPr>
      <w:rFonts w:ascii="Cambria" w:eastAsia="Times New Roman" w:hAnsi="Cambria" w:cs="Times New Roman"/>
      <w:snapToGrid w:val="0"/>
      <w:kern w:val="16"/>
      <w:szCs w:val="24"/>
    </w:rPr>
  </w:style>
  <w:style w:type="character" w:customStyle="1" w:styleId="WhiteSpaceChar">
    <w:name w:val="White Space Char"/>
    <w:basedOn w:val="DefaultParagraphFont"/>
    <w:link w:val="WhiteSpace"/>
    <w:rsid w:val="00675A4F"/>
    <w:rPr>
      <w:rFonts w:ascii="Cambria" w:eastAsia="Times New Roman" w:hAnsi="Cambria" w:cs="Times New Roman"/>
      <w:snapToGrid w:val="0"/>
      <w:kern w:val="16"/>
      <w:sz w:val="16"/>
      <w:szCs w:val="16"/>
    </w:rPr>
  </w:style>
  <w:style w:type="paragraph" w:customStyle="1" w:styleId="AssessmentSubsection">
    <w:name w:val="Assessment Subsection"/>
    <w:basedOn w:val="Standard"/>
    <w:next w:val="Standard"/>
    <w:rsid w:val="00675A4F"/>
    <w:pPr>
      <w:keepNext/>
      <w:spacing w:after="110"/>
      <w:outlineLvl w:val="2"/>
    </w:pPr>
    <w:rPr>
      <w:b/>
      <w:i/>
    </w:rPr>
  </w:style>
  <w:style w:type="paragraph" w:customStyle="1" w:styleId="TableCaption">
    <w:name w:val="Table Caption"/>
    <w:basedOn w:val="Standard"/>
    <w:next w:val="Standard"/>
    <w:link w:val="TableCaptionChar"/>
    <w:rsid w:val="00675A4F"/>
    <w:pPr>
      <w:spacing w:before="60" w:after="440" w:line="215" w:lineRule="exact"/>
      <w:ind w:left="170"/>
    </w:pPr>
    <w:rPr>
      <w:rFonts w:eastAsia="Cambria"/>
      <w:snapToGrid/>
      <w:kern w:val="0"/>
      <w:sz w:val="19"/>
      <w:szCs w:val="22"/>
    </w:rPr>
  </w:style>
  <w:style w:type="character" w:customStyle="1" w:styleId="TableTitleChar">
    <w:name w:val="Table Title Char"/>
    <w:basedOn w:val="StandardChar"/>
    <w:link w:val="TableTitle"/>
    <w:rsid w:val="00675A4F"/>
    <w:rPr>
      <w:rFonts w:ascii="Cambria" w:eastAsia="Cambria" w:hAnsi="Cambria" w:cs="Times New Roman"/>
      <w:b/>
      <w:snapToGrid/>
      <w:kern w:val="16"/>
      <w:szCs w:val="24"/>
    </w:rPr>
  </w:style>
  <w:style w:type="character" w:customStyle="1" w:styleId="TabletextChar">
    <w:name w:val="Table text Char"/>
    <w:basedOn w:val="DefaultParagraphFont"/>
    <w:link w:val="Tabletext"/>
    <w:rsid w:val="00675A4F"/>
    <w:rPr>
      <w:rFonts w:ascii="Cambria" w:eastAsia="Cambria" w:hAnsi="Cambria" w:cs="Times New Roman"/>
      <w:sz w:val="19"/>
    </w:rPr>
  </w:style>
  <w:style w:type="character" w:customStyle="1" w:styleId="TableCaptionChar">
    <w:name w:val="Table Caption Char"/>
    <w:basedOn w:val="TabletextChar"/>
    <w:link w:val="TableCaption"/>
    <w:rsid w:val="00675A4F"/>
    <w:rPr>
      <w:rFonts w:ascii="Cambria" w:eastAsia="Cambria" w:hAnsi="Cambria" w:cs="Times New Roman"/>
      <w:sz w:val="19"/>
    </w:rPr>
  </w:style>
  <w:style w:type="paragraph" w:customStyle="1" w:styleId="AssessmentSubsection2">
    <w:name w:val="Assessment Subsection 2"/>
    <w:basedOn w:val="AssessmentSubsection"/>
    <w:next w:val="Standard"/>
    <w:rsid w:val="00675A4F"/>
    <w:pPr>
      <w:outlineLvl w:val="3"/>
    </w:pPr>
    <w:rPr>
      <w:b w:val="0"/>
    </w:rPr>
  </w:style>
  <w:style w:type="paragraph" w:customStyle="1" w:styleId="TableHeader">
    <w:name w:val="Table Header"/>
    <w:basedOn w:val="Normal"/>
    <w:rsid w:val="00675A4F"/>
    <w:pPr>
      <w:keepNext/>
      <w:keepLines/>
      <w:widowControl w:val="0"/>
      <w:spacing w:before="60" w:after="60" w:line="200" w:lineRule="exact"/>
      <w:jc w:val="center"/>
    </w:pPr>
    <w:rPr>
      <w:rFonts w:eastAsia="MS Mincho" w:cstheme="minorBidi"/>
      <w:b/>
      <w:kern w:val="2"/>
      <w:sz w:val="19"/>
      <w:szCs w:val="19"/>
    </w:rPr>
  </w:style>
  <w:style w:type="paragraph" w:customStyle="1" w:styleId="Bullet1">
    <w:name w:val="Bullet 1"/>
    <w:basedOn w:val="Normal"/>
    <w:rsid w:val="00675A4F"/>
    <w:pPr>
      <w:numPr>
        <w:numId w:val="6"/>
      </w:numPr>
      <w:spacing w:line="240" w:lineRule="auto"/>
      <w:jc w:val="both"/>
    </w:pPr>
    <w:rPr>
      <w:rFonts w:asciiTheme="majorHAnsi" w:eastAsiaTheme="minorEastAsia" w:hAnsiTheme="majorHAnsi" w:cstheme="minorBidi"/>
      <w:kern w:val="24"/>
      <w:lang w:val="en-US" w:eastAsia="ja-JP"/>
    </w:rPr>
  </w:style>
  <w:style w:type="character" w:customStyle="1" w:styleId="Heading8Char">
    <w:name w:val="Heading 8 Char"/>
    <w:basedOn w:val="DefaultParagraphFont"/>
    <w:link w:val="Heading8"/>
    <w:rsid w:val="009622D4"/>
    <w:rPr>
      <w:rFonts w:ascii="Arial" w:eastAsiaTheme="minorEastAsia" w:hAnsi="Arial"/>
      <w:b/>
      <w:i/>
      <w:iCs/>
      <w:lang w:val="en-US" w:eastAsia="ja-JP"/>
    </w:rPr>
  </w:style>
  <w:style w:type="character" w:customStyle="1" w:styleId="Heading9Char">
    <w:name w:val="Heading 9 Char"/>
    <w:basedOn w:val="DefaultParagraphFont"/>
    <w:link w:val="Heading9"/>
    <w:rsid w:val="009622D4"/>
    <w:rPr>
      <w:rFonts w:ascii="Arial" w:eastAsiaTheme="minorEastAsia" w:hAnsi="Arial" w:cs="Arial"/>
      <w:u w:val="single"/>
      <w:lang w:val="en-US" w:eastAsia="ja-JP"/>
    </w:rPr>
  </w:style>
  <w:style w:type="paragraph" w:customStyle="1" w:styleId="Bullet2">
    <w:name w:val="Bullet 2"/>
    <w:basedOn w:val="Bullet1"/>
    <w:rsid w:val="009622D4"/>
    <w:pPr>
      <w:numPr>
        <w:numId w:val="8"/>
      </w:numPr>
    </w:pPr>
  </w:style>
  <w:style w:type="paragraph" w:customStyle="1" w:styleId="Heading0inTOC">
    <w:name w:val="Heading 0 (in TOC)"/>
    <w:basedOn w:val="Heading1"/>
    <w:next w:val="Normal"/>
    <w:rsid w:val="009622D4"/>
    <w:pPr>
      <w:keepLines w:val="0"/>
      <w:spacing w:before="0" w:after="120" w:line="240" w:lineRule="auto"/>
      <w:jc w:val="both"/>
    </w:pPr>
    <w:rPr>
      <w:rFonts w:ascii="Arial" w:eastAsiaTheme="minorEastAsia" w:hAnsi="Arial" w:cstheme="minorBidi"/>
      <w:caps/>
      <w:sz w:val="28"/>
      <w:szCs w:val="28"/>
      <w:lang w:val="en-US" w:eastAsia="ja-JP"/>
    </w:rPr>
  </w:style>
  <w:style w:type="character" w:styleId="PageNumber">
    <w:name w:val="page number"/>
    <w:rsid w:val="009622D4"/>
    <w:rPr>
      <w:sz w:val="20"/>
    </w:rPr>
  </w:style>
  <w:style w:type="paragraph" w:customStyle="1" w:styleId="TableBullet">
    <w:name w:val="Table Bullet"/>
    <w:basedOn w:val="Normal"/>
    <w:rsid w:val="009622D4"/>
    <w:pPr>
      <w:numPr>
        <w:numId w:val="7"/>
      </w:numPr>
      <w:spacing w:before="0" w:line="240" w:lineRule="auto"/>
      <w:jc w:val="both"/>
    </w:pPr>
    <w:rPr>
      <w:rFonts w:asciiTheme="majorHAnsi" w:eastAsiaTheme="minorEastAsia" w:hAnsiTheme="majorHAnsi" w:cstheme="minorBidi"/>
      <w:sz w:val="20"/>
      <w:lang w:val="en-US" w:eastAsia="ja-JP"/>
    </w:rPr>
  </w:style>
  <w:style w:type="paragraph" w:styleId="TOC4">
    <w:name w:val="toc 4"/>
    <w:basedOn w:val="Normal"/>
    <w:next w:val="Normal"/>
    <w:uiPriority w:val="39"/>
    <w:rsid w:val="009622D4"/>
    <w:pPr>
      <w:tabs>
        <w:tab w:val="left" w:pos="1247"/>
        <w:tab w:val="right" w:leader="dot" w:pos="9356"/>
      </w:tabs>
      <w:spacing w:before="0" w:line="240" w:lineRule="auto"/>
      <w:ind w:left="1247" w:hanging="907"/>
      <w:jc w:val="both"/>
    </w:pPr>
    <w:rPr>
      <w:rFonts w:asciiTheme="majorHAnsi" w:eastAsiaTheme="minorEastAsia" w:hAnsiTheme="majorHAnsi" w:cstheme="minorBidi"/>
      <w:sz w:val="20"/>
      <w:lang w:val="en-US" w:eastAsia="ja-JP"/>
    </w:rPr>
  </w:style>
  <w:style w:type="paragraph" w:styleId="TOC5">
    <w:name w:val="toc 5"/>
    <w:basedOn w:val="Normal"/>
    <w:next w:val="Normal"/>
    <w:uiPriority w:val="39"/>
    <w:rsid w:val="009622D4"/>
    <w:pPr>
      <w:spacing w:before="0" w:line="240" w:lineRule="auto"/>
      <w:ind w:left="454"/>
      <w:jc w:val="both"/>
    </w:pPr>
    <w:rPr>
      <w:rFonts w:asciiTheme="majorHAnsi" w:eastAsiaTheme="minorEastAsia" w:hAnsiTheme="majorHAnsi" w:cstheme="minorBidi"/>
      <w:sz w:val="20"/>
      <w:lang w:val="en-US" w:eastAsia="ja-JP"/>
    </w:rPr>
  </w:style>
  <w:style w:type="paragraph" w:styleId="TOC6">
    <w:name w:val="toc 6"/>
    <w:basedOn w:val="Normal"/>
    <w:next w:val="Normal"/>
    <w:uiPriority w:val="39"/>
    <w:rsid w:val="009622D4"/>
    <w:pPr>
      <w:spacing w:before="0" w:line="240" w:lineRule="auto"/>
      <w:ind w:left="567"/>
      <w:jc w:val="both"/>
    </w:pPr>
    <w:rPr>
      <w:rFonts w:asciiTheme="majorHAnsi" w:eastAsiaTheme="minorEastAsia" w:hAnsiTheme="majorHAnsi" w:cstheme="minorBidi"/>
      <w:sz w:val="20"/>
      <w:lang w:val="en-US" w:eastAsia="ja-JP"/>
    </w:rPr>
  </w:style>
  <w:style w:type="paragraph" w:styleId="TOC7">
    <w:name w:val="toc 7"/>
    <w:basedOn w:val="Normal"/>
    <w:next w:val="Normal"/>
    <w:uiPriority w:val="39"/>
    <w:rsid w:val="009622D4"/>
    <w:pPr>
      <w:spacing w:before="0" w:line="240" w:lineRule="auto"/>
      <w:ind w:left="680"/>
      <w:jc w:val="both"/>
    </w:pPr>
    <w:rPr>
      <w:rFonts w:asciiTheme="majorHAnsi" w:eastAsiaTheme="minorEastAsia" w:hAnsiTheme="majorHAnsi" w:cstheme="minorBidi"/>
      <w:sz w:val="20"/>
      <w:lang w:val="en-US" w:eastAsia="ja-JP"/>
    </w:rPr>
  </w:style>
  <w:style w:type="paragraph" w:styleId="TOC8">
    <w:name w:val="toc 8"/>
    <w:basedOn w:val="Normal"/>
    <w:next w:val="Normal"/>
    <w:uiPriority w:val="39"/>
    <w:rsid w:val="009622D4"/>
    <w:pPr>
      <w:spacing w:before="0" w:line="240" w:lineRule="auto"/>
      <w:ind w:left="907"/>
      <w:jc w:val="both"/>
    </w:pPr>
    <w:rPr>
      <w:rFonts w:asciiTheme="majorHAnsi" w:eastAsiaTheme="minorEastAsia" w:hAnsiTheme="majorHAnsi" w:cstheme="minorBidi"/>
      <w:sz w:val="20"/>
      <w:lang w:val="en-US" w:eastAsia="ja-JP"/>
    </w:rPr>
  </w:style>
  <w:style w:type="paragraph" w:styleId="TOC9">
    <w:name w:val="toc 9"/>
    <w:basedOn w:val="Normal"/>
    <w:next w:val="Normal"/>
    <w:uiPriority w:val="39"/>
    <w:rsid w:val="009622D4"/>
    <w:pPr>
      <w:spacing w:before="0" w:line="240" w:lineRule="auto"/>
      <w:ind w:left="1134"/>
      <w:jc w:val="both"/>
    </w:pPr>
    <w:rPr>
      <w:rFonts w:asciiTheme="majorHAnsi" w:eastAsiaTheme="minorEastAsia" w:hAnsiTheme="majorHAnsi" w:cstheme="minorBidi"/>
      <w:sz w:val="20"/>
      <w:lang w:val="en-US" w:eastAsia="ja-JP"/>
    </w:rPr>
  </w:style>
  <w:style w:type="paragraph" w:styleId="EndnoteText">
    <w:name w:val="endnote text"/>
    <w:basedOn w:val="Normal"/>
    <w:link w:val="EndnoteTextChar"/>
    <w:semiHidden/>
    <w:rsid w:val="009622D4"/>
    <w:pPr>
      <w:spacing w:before="0" w:line="240" w:lineRule="auto"/>
      <w:jc w:val="both"/>
    </w:pPr>
    <w:rPr>
      <w:rFonts w:asciiTheme="majorHAnsi" w:eastAsiaTheme="minorEastAsia" w:hAnsiTheme="majorHAnsi" w:cstheme="minorBidi"/>
      <w:sz w:val="20"/>
      <w:szCs w:val="20"/>
      <w:lang w:val="en-US" w:eastAsia="ja-JP"/>
    </w:rPr>
  </w:style>
  <w:style w:type="character" w:customStyle="1" w:styleId="EndnoteTextChar">
    <w:name w:val="Endnote Text Char"/>
    <w:basedOn w:val="DefaultParagraphFont"/>
    <w:link w:val="EndnoteText"/>
    <w:semiHidden/>
    <w:rsid w:val="009622D4"/>
    <w:rPr>
      <w:rFonts w:asciiTheme="majorHAnsi" w:eastAsiaTheme="minorEastAsia" w:hAnsiTheme="majorHAnsi"/>
      <w:sz w:val="20"/>
      <w:szCs w:val="20"/>
      <w:lang w:val="en-US" w:eastAsia="ja-JP"/>
    </w:rPr>
  </w:style>
  <w:style w:type="character" w:styleId="EndnoteReference">
    <w:name w:val="endnote reference"/>
    <w:semiHidden/>
    <w:rsid w:val="009622D4"/>
    <w:rPr>
      <w:dstrike w:val="0"/>
      <w:vertAlign w:val="baseline"/>
    </w:rPr>
  </w:style>
  <w:style w:type="paragraph" w:customStyle="1" w:styleId="Abbreviations">
    <w:name w:val="Abbreviations"/>
    <w:basedOn w:val="Normal"/>
    <w:rsid w:val="009622D4"/>
    <w:pPr>
      <w:spacing w:before="0" w:line="240" w:lineRule="auto"/>
      <w:jc w:val="both"/>
    </w:pPr>
    <w:rPr>
      <w:rFonts w:asciiTheme="majorHAnsi" w:eastAsiaTheme="minorEastAsia" w:hAnsiTheme="majorHAnsi" w:cstheme="minorBidi"/>
      <w:lang w:val="en-US" w:eastAsia="ja-JP"/>
    </w:rPr>
  </w:style>
  <w:style w:type="paragraph" w:styleId="TableofFigures">
    <w:name w:val="table of figures"/>
    <w:basedOn w:val="Normal"/>
    <w:next w:val="Normal"/>
    <w:uiPriority w:val="99"/>
    <w:rsid w:val="009622D4"/>
    <w:pPr>
      <w:spacing w:before="0" w:line="240" w:lineRule="auto"/>
      <w:ind w:left="1134" w:hanging="1134"/>
      <w:jc w:val="both"/>
    </w:pPr>
    <w:rPr>
      <w:rFonts w:asciiTheme="majorHAnsi" w:eastAsiaTheme="minorEastAsia" w:hAnsiTheme="majorHAnsi" w:cs="Calibri"/>
      <w:szCs w:val="20"/>
      <w:lang w:val="en-US" w:eastAsia="ja-JP"/>
    </w:rPr>
  </w:style>
  <w:style w:type="paragraph" w:customStyle="1" w:styleId="Comment2">
    <w:name w:val="Comment 2"/>
    <w:basedOn w:val="Normal"/>
    <w:qFormat/>
    <w:rsid w:val="009622D4"/>
    <w:pPr>
      <w:spacing w:before="0" w:line="240" w:lineRule="auto"/>
      <w:ind w:left="1134"/>
      <w:jc w:val="both"/>
    </w:pPr>
    <w:rPr>
      <w:rFonts w:ascii="Calibri" w:eastAsiaTheme="minorEastAsia" w:hAnsi="Calibri" w:cs="Arial"/>
      <w:lang w:val="en-US" w:eastAsia="ja-JP"/>
    </w:rPr>
  </w:style>
  <w:style w:type="paragraph" w:customStyle="1" w:styleId="Comment1">
    <w:name w:val="Comment 1"/>
    <w:basedOn w:val="Normal"/>
    <w:next w:val="Comment2"/>
    <w:qFormat/>
    <w:rsid w:val="009622D4"/>
    <w:pPr>
      <w:spacing w:before="0" w:line="240" w:lineRule="auto"/>
      <w:jc w:val="both"/>
    </w:pPr>
    <w:rPr>
      <w:rFonts w:ascii="Calibri" w:eastAsiaTheme="minorEastAsia" w:hAnsi="Calibri" w:cstheme="minorBidi"/>
      <w:lang w:val="en-US" w:eastAsia="ja-JP"/>
    </w:rPr>
  </w:style>
  <w:style w:type="paragraph" w:customStyle="1" w:styleId="CommentDot">
    <w:name w:val="Comment Dot"/>
    <w:basedOn w:val="Comment2"/>
    <w:qFormat/>
    <w:rsid w:val="009622D4"/>
    <w:pPr>
      <w:numPr>
        <w:numId w:val="9"/>
      </w:numPr>
      <w:spacing w:before="120"/>
      <w:ind w:left="1418" w:hanging="284"/>
    </w:pPr>
  </w:style>
  <w:style w:type="paragraph" w:customStyle="1" w:styleId="Instructions1">
    <w:name w:val="Instructions 1"/>
    <w:basedOn w:val="Normal"/>
    <w:qFormat/>
    <w:rsid w:val="009622D4"/>
    <w:pPr>
      <w:pBdr>
        <w:top w:val="single" w:sz="4" w:space="1" w:color="FF0000"/>
        <w:left w:val="single" w:sz="4" w:space="4" w:color="FF0000"/>
        <w:bottom w:val="single" w:sz="4" w:space="1" w:color="FF0000"/>
        <w:right w:val="single" w:sz="4" w:space="4" w:color="FF0000"/>
      </w:pBdr>
      <w:tabs>
        <w:tab w:val="left" w:pos="318"/>
      </w:tabs>
      <w:spacing w:before="60" w:line="240" w:lineRule="auto"/>
      <w:jc w:val="both"/>
    </w:pPr>
    <w:rPr>
      <w:rFonts w:ascii="Calibri" w:eastAsiaTheme="minorEastAsia" w:hAnsi="Calibri" w:cs="Calibri"/>
      <w:color w:val="FF0000"/>
      <w:lang w:val="en-US" w:eastAsia="ja-JP"/>
    </w:rPr>
  </w:style>
  <w:style w:type="paragraph" w:customStyle="1" w:styleId="Instructions2">
    <w:name w:val="Instructions 2"/>
    <w:basedOn w:val="Normal"/>
    <w:qFormat/>
    <w:rsid w:val="009622D4"/>
    <w:pPr>
      <w:numPr>
        <w:numId w:val="10"/>
      </w:numPr>
      <w:pBdr>
        <w:top w:val="single" w:sz="4" w:space="1" w:color="FF0000"/>
        <w:left w:val="single" w:sz="4" w:space="4" w:color="FF0000"/>
        <w:bottom w:val="single" w:sz="4" w:space="1" w:color="FF0000"/>
        <w:right w:val="single" w:sz="4" w:space="4" w:color="FF0000"/>
      </w:pBdr>
      <w:tabs>
        <w:tab w:val="left" w:pos="170"/>
      </w:tabs>
      <w:spacing w:before="0" w:after="60" w:line="240" w:lineRule="auto"/>
      <w:ind w:left="170" w:hanging="170"/>
      <w:jc w:val="both"/>
    </w:pPr>
    <w:rPr>
      <w:rFonts w:ascii="Calibri" w:eastAsiaTheme="minorEastAsia" w:hAnsi="Calibri" w:cs="Calibri"/>
      <w:color w:val="FF0000"/>
      <w:lang w:val="en-US" w:eastAsia="ja-JP"/>
    </w:rPr>
  </w:style>
  <w:style w:type="character" w:styleId="CommentReference">
    <w:name w:val="annotation reference"/>
    <w:uiPriority w:val="99"/>
    <w:rsid w:val="009622D4"/>
    <w:rPr>
      <w:sz w:val="16"/>
      <w:szCs w:val="16"/>
    </w:rPr>
  </w:style>
  <w:style w:type="paragraph" w:styleId="CommentText">
    <w:name w:val="annotation text"/>
    <w:basedOn w:val="Normal"/>
    <w:link w:val="CommentTextChar"/>
    <w:uiPriority w:val="99"/>
    <w:rsid w:val="009622D4"/>
    <w:pPr>
      <w:spacing w:before="0" w:line="240" w:lineRule="auto"/>
      <w:jc w:val="both"/>
    </w:pPr>
    <w:rPr>
      <w:rFonts w:asciiTheme="majorHAnsi" w:eastAsiaTheme="minorEastAsia" w:hAnsiTheme="majorHAnsi" w:cstheme="minorBidi"/>
      <w:sz w:val="20"/>
      <w:szCs w:val="20"/>
      <w:lang w:val="en-US" w:eastAsia="ja-JP"/>
    </w:rPr>
  </w:style>
  <w:style w:type="character" w:customStyle="1" w:styleId="CommentTextChar">
    <w:name w:val="Comment Text Char"/>
    <w:basedOn w:val="DefaultParagraphFont"/>
    <w:link w:val="CommentText"/>
    <w:uiPriority w:val="99"/>
    <w:rsid w:val="009622D4"/>
    <w:rPr>
      <w:rFonts w:asciiTheme="majorHAnsi" w:eastAsiaTheme="minorEastAsia" w:hAnsiTheme="majorHAnsi"/>
      <w:sz w:val="20"/>
      <w:szCs w:val="20"/>
      <w:lang w:val="en-US" w:eastAsia="ja-JP"/>
    </w:rPr>
  </w:style>
  <w:style w:type="paragraph" w:styleId="CommentSubject">
    <w:name w:val="annotation subject"/>
    <w:basedOn w:val="CommentText"/>
    <w:next w:val="CommentText"/>
    <w:link w:val="CommentSubjectChar"/>
    <w:rsid w:val="009622D4"/>
    <w:rPr>
      <w:b/>
      <w:bCs/>
    </w:rPr>
  </w:style>
  <w:style w:type="character" w:customStyle="1" w:styleId="CommentSubjectChar">
    <w:name w:val="Comment Subject Char"/>
    <w:basedOn w:val="CommentTextChar"/>
    <w:link w:val="CommentSubject"/>
    <w:rsid w:val="009622D4"/>
    <w:rPr>
      <w:rFonts w:asciiTheme="majorHAnsi" w:eastAsiaTheme="minorEastAsia" w:hAnsiTheme="majorHAnsi"/>
      <w:b/>
      <w:bCs/>
      <w:sz w:val="20"/>
      <w:szCs w:val="20"/>
      <w:lang w:val="en-US" w:eastAsia="ja-JP"/>
    </w:rPr>
  </w:style>
  <w:style w:type="paragraph" w:customStyle="1" w:styleId="Contentslist1">
    <w:name w:val="Contents list 1"/>
    <w:basedOn w:val="Normal"/>
    <w:qFormat/>
    <w:rsid w:val="009622D4"/>
    <w:pPr>
      <w:tabs>
        <w:tab w:val="right" w:leader="dot" w:pos="9356"/>
      </w:tabs>
      <w:spacing w:line="240" w:lineRule="auto"/>
      <w:jc w:val="both"/>
    </w:pPr>
    <w:rPr>
      <w:rFonts w:asciiTheme="majorHAnsi" w:eastAsiaTheme="minorEastAsia" w:hAnsiTheme="majorHAnsi" w:cstheme="minorBidi"/>
      <w:b/>
      <w:sz w:val="20"/>
      <w:lang w:val="en-US" w:eastAsia="ja-JP"/>
    </w:rPr>
  </w:style>
  <w:style w:type="paragraph" w:customStyle="1" w:styleId="Contentslist2">
    <w:name w:val="Contents list 2"/>
    <w:basedOn w:val="Contentslist1"/>
    <w:qFormat/>
    <w:rsid w:val="009622D4"/>
    <w:pPr>
      <w:spacing w:before="0" w:after="0"/>
    </w:pPr>
    <w:rPr>
      <w:b w:val="0"/>
    </w:rPr>
  </w:style>
  <w:style w:type="paragraph" w:customStyle="1" w:styleId="Paragraph">
    <w:name w:val="Paragraph"/>
    <w:rsid w:val="009622D4"/>
    <w:pPr>
      <w:spacing w:after="240" w:line="240" w:lineRule="auto"/>
    </w:pPr>
    <w:rPr>
      <w:rFonts w:ascii="Times New Roman" w:eastAsia="Times New Roman" w:hAnsi="Times New Roman" w:cs="Times New Roman"/>
      <w:sz w:val="24"/>
      <w:szCs w:val="24"/>
      <w:lang w:val="en-US"/>
    </w:rPr>
  </w:style>
  <w:style w:type="paragraph" w:customStyle="1" w:styleId="Default">
    <w:name w:val="Default"/>
    <w:rsid w:val="009622D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en-AU"/>
    </w:rPr>
  </w:style>
  <w:style w:type="character" w:styleId="Strong">
    <w:name w:val="Strong"/>
    <w:basedOn w:val="DefaultParagraphFont"/>
    <w:qFormat/>
    <w:rsid w:val="009622D4"/>
    <w:rPr>
      <w:b/>
      <w:bCs/>
    </w:rPr>
  </w:style>
  <w:style w:type="character" w:customStyle="1" w:styleId="ti">
    <w:name w:val="ti"/>
    <w:basedOn w:val="DefaultParagraphFont"/>
    <w:rsid w:val="009622D4"/>
  </w:style>
  <w:style w:type="character" w:customStyle="1" w:styleId="w1">
    <w:name w:val="w1"/>
    <w:basedOn w:val="DefaultParagraphFont"/>
    <w:rsid w:val="009622D4"/>
    <w:rPr>
      <w:color w:val="0000CC"/>
    </w:rPr>
  </w:style>
  <w:style w:type="character" w:customStyle="1" w:styleId="a">
    <w:name w:val="a"/>
    <w:basedOn w:val="DefaultParagraphFont"/>
    <w:rsid w:val="009622D4"/>
  </w:style>
  <w:style w:type="table" w:customStyle="1" w:styleId="TableGrid1">
    <w:name w:val="Table Grid1"/>
    <w:basedOn w:val="TableNormal"/>
    <w:next w:val="TableGrid"/>
    <w:uiPriority w:val="59"/>
    <w:rsid w:val="009622D4"/>
    <w:pPr>
      <w:spacing w:after="0" w:line="240" w:lineRule="auto"/>
    </w:pPr>
    <w:rPr>
      <w:rFonts w:ascii="Cambria" w:eastAsia="MS Mincho" w:hAnsi="Cambria" w:cs="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22D4"/>
    <w:pPr>
      <w:spacing w:after="0" w:line="240" w:lineRule="auto"/>
    </w:pPr>
    <w:rPr>
      <w:rFonts w:ascii="Cambria" w:eastAsia="MS Mincho" w:hAnsi="Cambria" w:cs="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9622D4"/>
  </w:style>
  <w:style w:type="character" w:customStyle="1" w:styleId="glossary-term">
    <w:name w:val="glossary-term"/>
    <w:basedOn w:val="DefaultParagraphFont"/>
    <w:rsid w:val="006069D7"/>
  </w:style>
  <w:style w:type="character" w:customStyle="1" w:styleId="st">
    <w:name w:val="st"/>
    <w:basedOn w:val="DefaultParagraphFont"/>
    <w:rsid w:val="008A54AB"/>
  </w:style>
  <w:style w:type="character" w:customStyle="1" w:styleId="tgc">
    <w:name w:val="_tgc"/>
    <w:basedOn w:val="DefaultParagraphFont"/>
    <w:rsid w:val="00FF5033"/>
  </w:style>
  <w:style w:type="character" w:styleId="Emphasis">
    <w:name w:val="Emphasis"/>
    <w:basedOn w:val="DefaultParagraphFont"/>
    <w:uiPriority w:val="20"/>
    <w:qFormat/>
    <w:rsid w:val="008D1BBA"/>
    <w:rPr>
      <w:b/>
      <w:bCs/>
      <w:i w:val="0"/>
      <w:iCs w:val="0"/>
    </w:rPr>
  </w:style>
  <w:style w:type="paragraph" w:customStyle="1" w:styleId="Text">
    <w:name w:val="Text"/>
    <w:basedOn w:val="Normal"/>
    <w:qFormat/>
    <w:rsid w:val="005401C4"/>
    <w:pPr>
      <w:spacing w:after="60" w:line="240" w:lineRule="auto"/>
      <w:jc w:val="both"/>
    </w:pPr>
    <w:rPr>
      <w:rFonts w:ascii="Times New Roman" w:eastAsiaTheme="minorHAnsi" w:hAnsi="Times New Roman"/>
      <w:color w:val="000000"/>
      <w:sz w:val="24"/>
      <w:szCs w:val="24"/>
      <w:lang w:val="en-US"/>
    </w:rPr>
  </w:style>
  <w:style w:type="paragraph" w:customStyle="1" w:styleId="Heading-Question">
    <w:name w:val="Heading-Question"/>
    <w:basedOn w:val="Normal"/>
    <w:rsid w:val="005401C4"/>
    <w:pPr>
      <w:numPr>
        <w:numId w:val="37"/>
      </w:numPr>
      <w:spacing w:after="60" w:line="240" w:lineRule="auto"/>
    </w:pPr>
    <w:rPr>
      <w:rFonts w:ascii="Times New Roman" w:eastAsiaTheme="minorHAnsi" w:hAnsi="Times New Roman"/>
      <w:i/>
      <w:iCs/>
      <w:color w:val="000000"/>
      <w:sz w:val="24"/>
      <w:szCs w:val="24"/>
      <w:lang w:val="en-US"/>
    </w:rPr>
  </w:style>
  <w:style w:type="paragraph" w:customStyle="1" w:styleId="BodyTextR">
    <w:name w:val="Body Text R"/>
    <w:basedOn w:val="Normal"/>
    <w:rsid w:val="005401C4"/>
    <w:pPr>
      <w:spacing w:before="240" w:after="240" w:line="240" w:lineRule="auto"/>
    </w:pPr>
    <w:rPr>
      <w:rFonts w:ascii="Times New Roman" w:eastAsiaTheme="minorHAnsi" w:hAnsi="Times New Roman"/>
      <w:sz w:val="24"/>
      <w:szCs w:val="24"/>
      <w:u w:val="single"/>
      <w:lang w:val="en-US"/>
    </w:rPr>
  </w:style>
  <w:style w:type="paragraph" w:styleId="Revision">
    <w:name w:val="Revision"/>
    <w:hidden/>
    <w:uiPriority w:val="99"/>
    <w:semiHidden/>
    <w:rsid w:val="00941254"/>
    <w:pPr>
      <w:spacing w:after="0" w:line="240" w:lineRule="auto"/>
    </w:pPr>
    <w:rPr>
      <w:rFonts w:ascii="Cambria" w:eastAsia="Cambria"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uiPriority w:val="1"/>
    <w:qFormat/>
    <w:rsid w:val="00CA287F"/>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qFormat/>
    <w:rsid w:val="009622D4"/>
    <w:pPr>
      <w:keepNext/>
      <w:spacing w:before="0" w:line="240" w:lineRule="auto"/>
      <w:jc w:val="both"/>
      <w:outlineLvl w:val="7"/>
    </w:pPr>
    <w:rPr>
      <w:rFonts w:ascii="Arial" w:eastAsiaTheme="minorEastAsia" w:hAnsi="Arial" w:cstheme="minorBidi"/>
      <w:b/>
      <w:i/>
      <w:iCs/>
      <w:lang w:val="en-US" w:eastAsia="ja-JP"/>
    </w:rPr>
  </w:style>
  <w:style w:type="paragraph" w:styleId="Heading9">
    <w:name w:val="heading 9"/>
    <w:basedOn w:val="Normal"/>
    <w:next w:val="Normal"/>
    <w:link w:val="Heading9Char"/>
    <w:qFormat/>
    <w:rsid w:val="009622D4"/>
    <w:pPr>
      <w:keepNext/>
      <w:spacing w:before="0" w:line="240" w:lineRule="auto"/>
      <w:jc w:val="both"/>
      <w:outlineLvl w:val="8"/>
    </w:pPr>
    <w:rPr>
      <w:rFonts w:ascii="Arial" w:eastAsiaTheme="minorEastAsia" w:hAnsi="Arial" w:cs="Arial"/>
      <w:u w:val="single"/>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GuidanceText">
    <w:name w:val="Guidance Text"/>
    <w:basedOn w:val="Normal"/>
    <w:link w:val="GuidanceTextChar"/>
    <w:autoRedefine/>
    <w:rsid w:val="00675A4F"/>
    <w:pPr>
      <w:autoSpaceDE w:val="0"/>
      <w:autoSpaceDN w:val="0"/>
      <w:adjustRightInd w:val="0"/>
      <w:spacing w:before="0" w:after="0" w:line="240" w:lineRule="auto"/>
    </w:pPr>
    <w:rPr>
      <w:rFonts w:asciiTheme="majorHAnsi" w:eastAsia="Times New Roman" w:hAnsiTheme="majorHAnsi" w:cstheme="majorHAnsi"/>
      <w:b/>
      <w:color w:val="333399"/>
      <w:sz w:val="28"/>
      <w:szCs w:val="28"/>
      <w:lang w:eastAsia="en-AU"/>
    </w:rPr>
  </w:style>
  <w:style w:type="character" w:customStyle="1" w:styleId="GuidanceTextChar">
    <w:name w:val="Guidance Text Char"/>
    <w:basedOn w:val="DefaultParagraphFont"/>
    <w:link w:val="GuidanceText"/>
    <w:rsid w:val="00675A4F"/>
    <w:rPr>
      <w:rFonts w:asciiTheme="majorHAnsi" w:eastAsia="Times New Roman" w:hAnsiTheme="majorHAnsi" w:cstheme="majorHAnsi"/>
      <w:b/>
      <w:color w:val="333399"/>
      <w:sz w:val="28"/>
      <w:szCs w:val="28"/>
      <w:lang w:eastAsia="en-AU"/>
    </w:rPr>
  </w:style>
  <w:style w:type="paragraph" w:styleId="NoSpacing">
    <w:name w:val="No Spacing"/>
    <w:uiPriority w:val="1"/>
    <w:rsid w:val="00675A4F"/>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675A4F"/>
    <w:pPr>
      <w:adjustRightInd w:val="0"/>
      <w:snapToGrid w:val="0"/>
      <w:spacing w:before="0" w:after="0"/>
      <w:ind w:left="720"/>
      <w:contextualSpacing/>
    </w:pPr>
    <w:rPr>
      <w:rFonts w:eastAsia="MS Mincho"/>
      <w:szCs w:val="20"/>
      <w:lang w:eastAsia="ja-JP"/>
    </w:rPr>
  </w:style>
  <w:style w:type="paragraph" w:customStyle="1" w:styleId="Bulletpoint">
    <w:name w:val="Bullet point"/>
    <w:basedOn w:val="Normal"/>
    <w:rsid w:val="00675A4F"/>
    <w:pPr>
      <w:numPr>
        <w:numId w:val="5"/>
      </w:numPr>
      <w:tabs>
        <w:tab w:val="left" w:pos="397"/>
      </w:tabs>
      <w:spacing w:before="0" w:after="180" w:line="252" w:lineRule="auto"/>
    </w:pPr>
    <w:rPr>
      <w:rFonts w:eastAsia="Times New Roman"/>
      <w:snapToGrid w:val="0"/>
      <w:kern w:val="16"/>
      <w:szCs w:val="24"/>
    </w:rPr>
  </w:style>
  <w:style w:type="paragraph" w:customStyle="1" w:styleId="Standard">
    <w:name w:val="Standard"/>
    <w:basedOn w:val="Normal"/>
    <w:link w:val="StandardChar"/>
    <w:rsid w:val="00675A4F"/>
    <w:pPr>
      <w:spacing w:before="0" w:after="220" w:line="252" w:lineRule="auto"/>
    </w:pPr>
    <w:rPr>
      <w:rFonts w:eastAsia="Times New Roman"/>
      <w:snapToGrid w:val="0"/>
      <w:kern w:val="16"/>
      <w:szCs w:val="24"/>
    </w:rPr>
  </w:style>
  <w:style w:type="paragraph" w:customStyle="1" w:styleId="WhiteSpace">
    <w:name w:val="White Space"/>
    <w:basedOn w:val="Standard"/>
    <w:next w:val="Standard"/>
    <w:link w:val="WhiteSpaceChar"/>
    <w:rsid w:val="00675A4F"/>
    <w:pPr>
      <w:spacing w:after="0"/>
    </w:pPr>
    <w:rPr>
      <w:sz w:val="16"/>
      <w:szCs w:val="16"/>
    </w:rPr>
  </w:style>
  <w:style w:type="character" w:customStyle="1" w:styleId="StandardChar">
    <w:name w:val="Standard Char"/>
    <w:basedOn w:val="DefaultParagraphFont"/>
    <w:link w:val="Standard"/>
    <w:rsid w:val="00675A4F"/>
    <w:rPr>
      <w:rFonts w:ascii="Cambria" w:eastAsia="Times New Roman" w:hAnsi="Cambria" w:cs="Times New Roman"/>
      <w:snapToGrid w:val="0"/>
      <w:kern w:val="16"/>
      <w:szCs w:val="24"/>
    </w:rPr>
  </w:style>
  <w:style w:type="character" w:customStyle="1" w:styleId="WhiteSpaceChar">
    <w:name w:val="White Space Char"/>
    <w:basedOn w:val="DefaultParagraphFont"/>
    <w:link w:val="WhiteSpace"/>
    <w:rsid w:val="00675A4F"/>
    <w:rPr>
      <w:rFonts w:ascii="Cambria" w:eastAsia="Times New Roman" w:hAnsi="Cambria" w:cs="Times New Roman"/>
      <w:snapToGrid w:val="0"/>
      <w:kern w:val="16"/>
      <w:sz w:val="16"/>
      <w:szCs w:val="16"/>
    </w:rPr>
  </w:style>
  <w:style w:type="paragraph" w:customStyle="1" w:styleId="AssessmentSubsection">
    <w:name w:val="Assessment Subsection"/>
    <w:basedOn w:val="Standard"/>
    <w:next w:val="Standard"/>
    <w:rsid w:val="00675A4F"/>
    <w:pPr>
      <w:keepNext/>
      <w:spacing w:after="110"/>
      <w:outlineLvl w:val="2"/>
    </w:pPr>
    <w:rPr>
      <w:b/>
      <w:i/>
    </w:rPr>
  </w:style>
  <w:style w:type="paragraph" w:customStyle="1" w:styleId="TableCaption">
    <w:name w:val="Table Caption"/>
    <w:basedOn w:val="Standard"/>
    <w:next w:val="Standard"/>
    <w:link w:val="TableCaptionChar"/>
    <w:rsid w:val="00675A4F"/>
    <w:pPr>
      <w:spacing w:before="60" w:after="440" w:line="215" w:lineRule="exact"/>
      <w:ind w:left="170"/>
    </w:pPr>
    <w:rPr>
      <w:rFonts w:eastAsia="Cambria"/>
      <w:snapToGrid/>
      <w:kern w:val="0"/>
      <w:sz w:val="19"/>
      <w:szCs w:val="22"/>
    </w:rPr>
  </w:style>
  <w:style w:type="character" w:customStyle="1" w:styleId="TableTitleChar">
    <w:name w:val="Table Title Char"/>
    <w:basedOn w:val="StandardChar"/>
    <w:link w:val="TableTitle"/>
    <w:rsid w:val="00675A4F"/>
    <w:rPr>
      <w:rFonts w:ascii="Cambria" w:eastAsia="Cambria" w:hAnsi="Cambria" w:cs="Times New Roman"/>
      <w:b/>
      <w:snapToGrid/>
      <w:kern w:val="16"/>
      <w:szCs w:val="24"/>
    </w:rPr>
  </w:style>
  <w:style w:type="character" w:customStyle="1" w:styleId="TabletextChar">
    <w:name w:val="Table text Char"/>
    <w:basedOn w:val="DefaultParagraphFont"/>
    <w:link w:val="Tabletext"/>
    <w:rsid w:val="00675A4F"/>
    <w:rPr>
      <w:rFonts w:ascii="Cambria" w:eastAsia="Cambria" w:hAnsi="Cambria" w:cs="Times New Roman"/>
      <w:sz w:val="19"/>
    </w:rPr>
  </w:style>
  <w:style w:type="character" w:customStyle="1" w:styleId="TableCaptionChar">
    <w:name w:val="Table Caption Char"/>
    <w:basedOn w:val="TabletextChar"/>
    <w:link w:val="TableCaption"/>
    <w:rsid w:val="00675A4F"/>
    <w:rPr>
      <w:rFonts w:ascii="Cambria" w:eastAsia="Cambria" w:hAnsi="Cambria" w:cs="Times New Roman"/>
      <w:sz w:val="19"/>
    </w:rPr>
  </w:style>
  <w:style w:type="paragraph" w:customStyle="1" w:styleId="AssessmentSubsection2">
    <w:name w:val="Assessment Subsection 2"/>
    <w:basedOn w:val="AssessmentSubsection"/>
    <w:next w:val="Standard"/>
    <w:rsid w:val="00675A4F"/>
    <w:pPr>
      <w:outlineLvl w:val="3"/>
    </w:pPr>
    <w:rPr>
      <w:b w:val="0"/>
    </w:rPr>
  </w:style>
  <w:style w:type="paragraph" w:customStyle="1" w:styleId="TableHeader">
    <w:name w:val="Table Header"/>
    <w:basedOn w:val="Normal"/>
    <w:rsid w:val="00675A4F"/>
    <w:pPr>
      <w:keepNext/>
      <w:keepLines/>
      <w:widowControl w:val="0"/>
      <w:spacing w:before="60" w:after="60" w:line="200" w:lineRule="exact"/>
      <w:jc w:val="center"/>
    </w:pPr>
    <w:rPr>
      <w:rFonts w:eastAsia="MS Mincho" w:cstheme="minorBidi"/>
      <w:b/>
      <w:kern w:val="2"/>
      <w:sz w:val="19"/>
      <w:szCs w:val="19"/>
    </w:rPr>
  </w:style>
  <w:style w:type="paragraph" w:customStyle="1" w:styleId="Bullet1">
    <w:name w:val="Bullet 1"/>
    <w:basedOn w:val="Normal"/>
    <w:rsid w:val="00675A4F"/>
    <w:pPr>
      <w:numPr>
        <w:numId w:val="6"/>
      </w:numPr>
      <w:spacing w:line="240" w:lineRule="auto"/>
      <w:jc w:val="both"/>
    </w:pPr>
    <w:rPr>
      <w:rFonts w:asciiTheme="majorHAnsi" w:eastAsiaTheme="minorEastAsia" w:hAnsiTheme="majorHAnsi" w:cstheme="minorBidi"/>
      <w:kern w:val="24"/>
      <w:lang w:val="en-US" w:eastAsia="ja-JP"/>
    </w:rPr>
  </w:style>
  <w:style w:type="character" w:customStyle="1" w:styleId="Heading8Char">
    <w:name w:val="Heading 8 Char"/>
    <w:basedOn w:val="DefaultParagraphFont"/>
    <w:link w:val="Heading8"/>
    <w:rsid w:val="009622D4"/>
    <w:rPr>
      <w:rFonts w:ascii="Arial" w:eastAsiaTheme="minorEastAsia" w:hAnsi="Arial"/>
      <w:b/>
      <w:i/>
      <w:iCs/>
      <w:lang w:val="en-US" w:eastAsia="ja-JP"/>
    </w:rPr>
  </w:style>
  <w:style w:type="character" w:customStyle="1" w:styleId="Heading9Char">
    <w:name w:val="Heading 9 Char"/>
    <w:basedOn w:val="DefaultParagraphFont"/>
    <w:link w:val="Heading9"/>
    <w:rsid w:val="009622D4"/>
    <w:rPr>
      <w:rFonts w:ascii="Arial" w:eastAsiaTheme="minorEastAsia" w:hAnsi="Arial" w:cs="Arial"/>
      <w:u w:val="single"/>
      <w:lang w:val="en-US" w:eastAsia="ja-JP"/>
    </w:rPr>
  </w:style>
  <w:style w:type="paragraph" w:customStyle="1" w:styleId="Bullet2">
    <w:name w:val="Bullet 2"/>
    <w:basedOn w:val="Bullet1"/>
    <w:rsid w:val="009622D4"/>
    <w:pPr>
      <w:numPr>
        <w:numId w:val="8"/>
      </w:numPr>
    </w:pPr>
  </w:style>
  <w:style w:type="paragraph" w:customStyle="1" w:styleId="Heading0inTOC">
    <w:name w:val="Heading 0 (in TOC)"/>
    <w:basedOn w:val="Heading1"/>
    <w:next w:val="Normal"/>
    <w:rsid w:val="009622D4"/>
    <w:pPr>
      <w:keepLines w:val="0"/>
      <w:spacing w:before="0" w:after="120" w:line="240" w:lineRule="auto"/>
      <w:jc w:val="both"/>
    </w:pPr>
    <w:rPr>
      <w:rFonts w:ascii="Arial" w:eastAsiaTheme="minorEastAsia" w:hAnsi="Arial" w:cstheme="minorBidi"/>
      <w:caps/>
      <w:sz w:val="28"/>
      <w:szCs w:val="28"/>
      <w:lang w:val="en-US" w:eastAsia="ja-JP"/>
    </w:rPr>
  </w:style>
  <w:style w:type="character" w:styleId="PageNumber">
    <w:name w:val="page number"/>
    <w:rsid w:val="009622D4"/>
    <w:rPr>
      <w:sz w:val="20"/>
    </w:rPr>
  </w:style>
  <w:style w:type="paragraph" w:customStyle="1" w:styleId="TableBullet">
    <w:name w:val="Table Bullet"/>
    <w:basedOn w:val="Normal"/>
    <w:rsid w:val="009622D4"/>
    <w:pPr>
      <w:numPr>
        <w:numId w:val="7"/>
      </w:numPr>
      <w:spacing w:before="0" w:line="240" w:lineRule="auto"/>
      <w:jc w:val="both"/>
    </w:pPr>
    <w:rPr>
      <w:rFonts w:asciiTheme="majorHAnsi" w:eastAsiaTheme="minorEastAsia" w:hAnsiTheme="majorHAnsi" w:cstheme="minorBidi"/>
      <w:sz w:val="20"/>
      <w:lang w:val="en-US" w:eastAsia="ja-JP"/>
    </w:rPr>
  </w:style>
  <w:style w:type="paragraph" w:styleId="TOC4">
    <w:name w:val="toc 4"/>
    <w:basedOn w:val="Normal"/>
    <w:next w:val="Normal"/>
    <w:uiPriority w:val="39"/>
    <w:rsid w:val="009622D4"/>
    <w:pPr>
      <w:tabs>
        <w:tab w:val="left" w:pos="1247"/>
        <w:tab w:val="right" w:leader="dot" w:pos="9356"/>
      </w:tabs>
      <w:spacing w:before="0" w:line="240" w:lineRule="auto"/>
      <w:ind w:left="1247" w:hanging="907"/>
      <w:jc w:val="both"/>
    </w:pPr>
    <w:rPr>
      <w:rFonts w:asciiTheme="majorHAnsi" w:eastAsiaTheme="minorEastAsia" w:hAnsiTheme="majorHAnsi" w:cstheme="minorBidi"/>
      <w:sz w:val="20"/>
      <w:lang w:val="en-US" w:eastAsia="ja-JP"/>
    </w:rPr>
  </w:style>
  <w:style w:type="paragraph" w:styleId="TOC5">
    <w:name w:val="toc 5"/>
    <w:basedOn w:val="Normal"/>
    <w:next w:val="Normal"/>
    <w:uiPriority w:val="39"/>
    <w:rsid w:val="009622D4"/>
    <w:pPr>
      <w:spacing w:before="0" w:line="240" w:lineRule="auto"/>
      <w:ind w:left="454"/>
      <w:jc w:val="both"/>
    </w:pPr>
    <w:rPr>
      <w:rFonts w:asciiTheme="majorHAnsi" w:eastAsiaTheme="minorEastAsia" w:hAnsiTheme="majorHAnsi" w:cstheme="minorBidi"/>
      <w:sz w:val="20"/>
      <w:lang w:val="en-US" w:eastAsia="ja-JP"/>
    </w:rPr>
  </w:style>
  <w:style w:type="paragraph" w:styleId="TOC6">
    <w:name w:val="toc 6"/>
    <w:basedOn w:val="Normal"/>
    <w:next w:val="Normal"/>
    <w:uiPriority w:val="39"/>
    <w:rsid w:val="009622D4"/>
    <w:pPr>
      <w:spacing w:before="0" w:line="240" w:lineRule="auto"/>
      <w:ind w:left="567"/>
      <w:jc w:val="both"/>
    </w:pPr>
    <w:rPr>
      <w:rFonts w:asciiTheme="majorHAnsi" w:eastAsiaTheme="minorEastAsia" w:hAnsiTheme="majorHAnsi" w:cstheme="minorBidi"/>
      <w:sz w:val="20"/>
      <w:lang w:val="en-US" w:eastAsia="ja-JP"/>
    </w:rPr>
  </w:style>
  <w:style w:type="paragraph" w:styleId="TOC7">
    <w:name w:val="toc 7"/>
    <w:basedOn w:val="Normal"/>
    <w:next w:val="Normal"/>
    <w:uiPriority w:val="39"/>
    <w:rsid w:val="009622D4"/>
    <w:pPr>
      <w:spacing w:before="0" w:line="240" w:lineRule="auto"/>
      <w:ind w:left="680"/>
      <w:jc w:val="both"/>
    </w:pPr>
    <w:rPr>
      <w:rFonts w:asciiTheme="majorHAnsi" w:eastAsiaTheme="minorEastAsia" w:hAnsiTheme="majorHAnsi" w:cstheme="minorBidi"/>
      <w:sz w:val="20"/>
      <w:lang w:val="en-US" w:eastAsia="ja-JP"/>
    </w:rPr>
  </w:style>
  <w:style w:type="paragraph" w:styleId="TOC8">
    <w:name w:val="toc 8"/>
    <w:basedOn w:val="Normal"/>
    <w:next w:val="Normal"/>
    <w:uiPriority w:val="39"/>
    <w:rsid w:val="009622D4"/>
    <w:pPr>
      <w:spacing w:before="0" w:line="240" w:lineRule="auto"/>
      <w:ind w:left="907"/>
      <w:jc w:val="both"/>
    </w:pPr>
    <w:rPr>
      <w:rFonts w:asciiTheme="majorHAnsi" w:eastAsiaTheme="minorEastAsia" w:hAnsiTheme="majorHAnsi" w:cstheme="minorBidi"/>
      <w:sz w:val="20"/>
      <w:lang w:val="en-US" w:eastAsia="ja-JP"/>
    </w:rPr>
  </w:style>
  <w:style w:type="paragraph" w:styleId="TOC9">
    <w:name w:val="toc 9"/>
    <w:basedOn w:val="Normal"/>
    <w:next w:val="Normal"/>
    <w:uiPriority w:val="39"/>
    <w:rsid w:val="009622D4"/>
    <w:pPr>
      <w:spacing w:before="0" w:line="240" w:lineRule="auto"/>
      <w:ind w:left="1134"/>
      <w:jc w:val="both"/>
    </w:pPr>
    <w:rPr>
      <w:rFonts w:asciiTheme="majorHAnsi" w:eastAsiaTheme="minorEastAsia" w:hAnsiTheme="majorHAnsi" w:cstheme="minorBidi"/>
      <w:sz w:val="20"/>
      <w:lang w:val="en-US" w:eastAsia="ja-JP"/>
    </w:rPr>
  </w:style>
  <w:style w:type="paragraph" w:styleId="EndnoteText">
    <w:name w:val="endnote text"/>
    <w:basedOn w:val="Normal"/>
    <w:link w:val="EndnoteTextChar"/>
    <w:semiHidden/>
    <w:rsid w:val="009622D4"/>
    <w:pPr>
      <w:spacing w:before="0" w:line="240" w:lineRule="auto"/>
      <w:jc w:val="both"/>
    </w:pPr>
    <w:rPr>
      <w:rFonts w:asciiTheme="majorHAnsi" w:eastAsiaTheme="minorEastAsia" w:hAnsiTheme="majorHAnsi" w:cstheme="minorBidi"/>
      <w:sz w:val="20"/>
      <w:szCs w:val="20"/>
      <w:lang w:val="en-US" w:eastAsia="ja-JP"/>
    </w:rPr>
  </w:style>
  <w:style w:type="character" w:customStyle="1" w:styleId="EndnoteTextChar">
    <w:name w:val="Endnote Text Char"/>
    <w:basedOn w:val="DefaultParagraphFont"/>
    <w:link w:val="EndnoteText"/>
    <w:semiHidden/>
    <w:rsid w:val="009622D4"/>
    <w:rPr>
      <w:rFonts w:asciiTheme="majorHAnsi" w:eastAsiaTheme="minorEastAsia" w:hAnsiTheme="majorHAnsi"/>
      <w:sz w:val="20"/>
      <w:szCs w:val="20"/>
      <w:lang w:val="en-US" w:eastAsia="ja-JP"/>
    </w:rPr>
  </w:style>
  <w:style w:type="character" w:styleId="EndnoteReference">
    <w:name w:val="endnote reference"/>
    <w:semiHidden/>
    <w:rsid w:val="009622D4"/>
    <w:rPr>
      <w:dstrike w:val="0"/>
      <w:vertAlign w:val="baseline"/>
    </w:rPr>
  </w:style>
  <w:style w:type="paragraph" w:customStyle="1" w:styleId="Abbreviations">
    <w:name w:val="Abbreviations"/>
    <w:basedOn w:val="Normal"/>
    <w:rsid w:val="009622D4"/>
    <w:pPr>
      <w:spacing w:before="0" w:line="240" w:lineRule="auto"/>
      <w:jc w:val="both"/>
    </w:pPr>
    <w:rPr>
      <w:rFonts w:asciiTheme="majorHAnsi" w:eastAsiaTheme="minorEastAsia" w:hAnsiTheme="majorHAnsi" w:cstheme="minorBidi"/>
      <w:lang w:val="en-US" w:eastAsia="ja-JP"/>
    </w:rPr>
  </w:style>
  <w:style w:type="paragraph" w:styleId="TableofFigures">
    <w:name w:val="table of figures"/>
    <w:basedOn w:val="Normal"/>
    <w:next w:val="Normal"/>
    <w:uiPriority w:val="99"/>
    <w:rsid w:val="009622D4"/>
    <w:pPr>
      <w:spacing w:before="0" w:line="240" w:lineRule="auto"/>
      <w:ind w:left="1134" w:hanging="1134"/>
      <w:jc w:val="both"/>
    </w:pPr>
    <w:rPr>
      <w:rFonts w:asciiTheme="majorHAnsi" w:eastAsiaTheme="minorEastAsia" w:hAnsiTheme="majorHAnsi" w:cs="Calibri"/>
      <w:szCs w:val="20"/>
      <w:lang w:val="en-US" w:eastAsia="ja-JP"/>
    </w:rPr>
  </w:style>
  <w:style w:type="paragraph" w:customStyle="1" w:styleId="Comment2">
    <w:name w:val="Comment 2"/>
    <w:basedOn w:val="Normal"/>
    <w:qFormat/>
    <w:rsid w:val="009622D4"/>
    <w:pPr>
      <w:spacing w:before="0" w:line="240" w:lineRule="auto"/>
      <w:ind w:left="1134"/>
      <w:jc w:val="both"/>
    </w:pPr>
    <w:rPr>
      <w:rFonts w:ascii="Calibri" w:eastAsiaTheme="minorEastAsia" w:hAnsi="Calibri" w:cs="Arial"/>
      <w:lang w:val="en-US" w:eastAsia="ja-JP"/>
    </w:rPr>
  </w:style>
  <w:style w:type="paragraph" w:customStyle="1" w:styleId="Comment1">
    <w:name w:val="Comment 1"/>
    <w:basedOn w:val="Normal"/>
    <w:next w:val="Comment2"/>
    <w:qFormat/>
    <w:rsid w:val="009622D4"/>
    <w:pPr>
      <w:spacing w:before="0" w:line="240" w:lineRule="auto"/>
      <w:jc w:val="both"/>
    </w:pPr>
    <w:rPr>
      <w:rFonts w:ascii="Calibri" w:eastAsiaTheme="minorEastAsia" w:hAnsi="Calibri" w:cstheme="minorBidi"/>
      <w:lang w:val="en-US" w:eastAsia="ja-JP"/>
    </w:rPr>
  </w:style>
  <w:style w:type="paragraph" w:customStyle="1" w:styleId="CommentDot">
    <w:name w:val="Comment Dot"/>
    <w:basedOn w:val="Comment2"/>
    <w:qFormat/>
    <w:rsid w:val="009622D4"/>
    <w:pPr>
      <w:numPr>
        <w:numId w:val="9"/>
      </w:numPr>
      <w:spacing w:before="120"/>
      <w:ind w:left="1418" w:hanging="284"/>
    </w:pPr>
  </w:style>
  <w:style w:type="paragraph" w:customStyle="1" w:styleId="Instructions1">
    <w:name w:val="Instructions 1"/>
    <w:basedOn w:val="Normal"/>
    <w:qFormat/>
    <w:rsid w:val="009622D4"/>
    <w:pPr>
      <w:pBdr>
        <w:top w:val="single" w:sz="4" w:space="1" w:color="FF0000"/>
        <w:left w:val="single" w:sz="4" w:space="4" w:color="FF0000"/>
        <w:bottom w:val="single" w:sz="4" w:space="1" w:color="FF0000"/>
        <w:right w:val="single" w:sz="4" w:space="4" w:color="FF0000"/>
      </w:pBdr>
      <w:tabs>
        <w:tab w:val="left" w:pos="318"/>
      </w:tabs>
      <w:spacing w:before="60" w:line="240" w:lineRule="auto"/>
      <w:jc w:val="both"/>
    </w:pPr>
    <w:rPr>
      <w:rFonts w:ascii="Calibri" w:eastAsiaTheme="minorEastAsia" w:hAnsi="Calibri" w:cs="Calibri"/>
      <w:color w:val="FF0000"/>
      <w:lang w:val="en-US" w:eastAsia="ja-JP"/>
    </w:rPr>
  </w:style>
  <w:style w:type="paragraph" w:customStyle="1" w:styleId="Instructions2">
    <w:name w:val="Instructions 2"/>
    <w:basedOn w:val="Normal"/>
    <w:qFormat/>
    <w:rsid w:val="009622D4"/>
    <w:pPr>
      <w:numPr>
        <w:numId w:val="10"/>
      </w:numPr>
      <w:pBdr>
        <w:top w:val="single" w:sz="4" w:space="1" w:color="FF0000"/>
        <w:left w:val="single" w:sz="4" w:space="4" w:color="FF0000"/>
        <w:bottom w:val="single" w:sz="4" w:space="1" w:color="FF0000"/>
        <w:right w:val="single" w:sz="4" w:space="4" w:color="FF0000"/>
      </w:pBdr>
      <w:tabs>
        <w:tab w:val="left" w:pos="170"/>
      </w:tabs>
      <w:spacing w:before="0" w:after="60" w:line="240" w:lineRule="auto"/>
      <w:ind w:left="170" w:hanging="170"/>
      <w:jc w:val="both"/>
    </w:pPr>
    <w:rPr>
      <w:rFonts w:ascii="Calibri" w:eastAsiaTheme="minorEastAsia" w:hAnsi="Calibri" w:cs="Calibri"/>
      <w:color w:val="FF0000"/>
      <w:lang w:val="en-US" w:eastAsia="ja-JP"/>
    </w:rPr>
  </w:style>
  <w:style w:type="character" w:styleId="CommentReference">
    <w:name w:val="annotation reference"/>
    <w:uiPriority w:val="99"/>
    <w:rsid w:val="009622D4"/>
    <w:rPr>
      <w:sz w:val="16"/>
      <w:szCs w:val="16"/>
    </w:rPr>
  </w:style>
  <w:style w:type="paragraph" w:styleId="CommentText">
    <w:name w:val="annotation text"/>
    <w:basedOn w:val="Normal"/>
    <w:link w:val="CommentTextChar"/>
    <w:uiPriority w:val="99"/>
    <w:rsid w:val="009622D4"/>
    <w:pPr>
      <w:spacing w:before="0" w:line="240" w:lineRule="auto"/>
      <w:jc w:val="both"/>
    </w:pPr>
    <w:rPr>
      <w:rFonts w:asciiTheme="majorHAnsi" w:eastAsiaTheme="minorEastAsia" w:hAnsiTheme="majorHAnsi" w:cstheme="minorBidi"/>
      <w:sz w:val="20"/>
      <w:szCs w:val="20"/>
      <w:lang w:val="en-US" w:eastAsia="ja-JP"/>
    </w:rPr>
  </w:style>
  <w:style w:type="character" w:customStyle="1" w:styleId="CommentTextChar">
    <w:name w:val="Comment Text Char"/>
    <w:basedOn w:val="DefaultParagraphFont"/>
    <w:link w:val="CommentText"/>
    <w:uiPriority w:val="99"/>
    <w:rsid w:val="009622D4"/>
    <w:rPr>
      <w:rFonts w:asciiTheme="majorHAnsi" w:eastAsiaTheme="minorEastAsia" w:hAnsiTheme="majorHAnsi"/>
      <w:sz w:val="20"/>
      <w:szCs w:val="20"/>
      <w:lang w:val="en-US" w:eastAsia="ja-JP"/>
    </w:rPr>
  </w:style>
  <w:style w:type="paragraph" w:styleId="CommentSubject">
    <w:name w:val="annotation subject"/>
    <w:basedOn w:val="CommentText"/>
    <w:next w:val="CommentText"/>
    <w:link w:val="CommentSubjectChar"/>
    <w:rsid w:val="009622D4"/>
    <w:rPr>
      <w:b/>
      <w:bCs/>
    </w:rPr>
  </w:style>
  <w:style w:type="character" w:customStyle="1" w:styleId="CommentSubjectChar">
    <w:name w:val="Comment Subject Char"/>
    <w:basedOn w:val="CommentTextChar"/>
    <w:link w:val="CommentSubject"/>
    <w:rsid w:val="009622D4"/>
    <w:rPr>
      <w:rFonts w:asciiTheme="majorHAnsi" w:eastAsiaTheme="minorEastAsia" w:hAnsiTheme="majorHAnsi"/>
      <w:b/>
      <w:bCs/>
      <w:sz w:val="20"/>
      <w:szCs w:val="20"/>
      <w:lang w:val="en-US" w:eastAsia="ja-JP"/>
    </w:rPr>
  </w:style>
  <w:style w:type="paragraph" w:customStyle="1" w:styleId="Contentslist1">
    <w:name w:val="Contents list 1"/>
    <w:basedOn w:val="Normal"/>
    <w:qFormat/>
    <w:rsid w:val="009622D4"/>
    <w:pPr>
      <w:tabs>
        <w:tab w:val="right" w:leader="dot" w:pos="9356"/>
      </w:tabs>
      <w:spacing w:line="240" w:lineRule="auto"/>
      <w:jc w:val="both"/>
    </w:pPr>
    <w:rPr>
      <w:rFonts w:asciiTheme="majorHAnsi" w:eastAsiaTheme="minorEastAsia" w:hAnsiTheme="majorHAnsi" w:cstheme="minorBidi"/>
      <w:b/>
      <w:sz w:val="20"/>
      <w:lang w:val="en-US" w:eastAsia="ja-JP"/>
    </w:rPr>
  </w:style>
  <w:style w:type="paragraph" w:customStyle="1" w:styleId="Contentslist2">
    <w:name w:val="Contents list 2"/>
    <w:basedOn w:val="Contentslist1"/>
    <w:qFormat/>
    <w:rsid w:val="009622D4"/>
    <w:pPr>
      <w:spacing w:before="0" w:after="0"/>
    </w:pPr>
    <w:rPr>
      <w:b w:val="0"/>
    </w:rPr>
  </w:style>
  <w:style w:type="paragraph" w:customStyle="1" w:styleId="Paragraph">
    <w:name w:val="Paragraph"/>
    <w:rsid w:val="009622D4"/>
    <w:pPr>
      <w:spacing w:after="240" w:line="240" w:lineRule="auto"/>
    </w:pPr>
    <w:rPr>
      <w:rFonts w:ascii="Times New Roman" w:eastAsia="Times New Roman" w:hAnsi="Times New Roman" w:cs="Times New Roman"/>
      <w:sz w:val="24"/>
      <w:szCs w:val="24"/>
      <w:lang w:val="en-US"/>
    </w:rPr>
  </w:style>
  <w:style w:type="paragraph" w:customStyle="1" w:styleId="Default">
    <w:name w:val="Default"/>
    <w:rsid w:val="009622D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en-AU"/>
    </w:rPr>
  </w:style>
  <w:style w:type="character" w:styleId="Strong">
    <w:name w:val="Strong"/>
    <w:basedOn w:val="DefaultParagraphFont"/>
    <w:qFormat/>
    <w:rsid w:val="009622D4"/>
    <w:rPr>
      <w:b/>
      <w:bCs/>
    </w:rPr>
  </w:style>
  <w:style w:type="character" w:customStyle="1" w:styleId="ti">
    <w:name w:val="ti"/>
    <w:basedOn w:val="DefaultParagraphFont"/>
    <w:rsid w:val="009622D4"/>
  </w:style>
  <w:style w:type="character" w:customStyle="1" w:styleId="w1">
    <w:name w:val="w1"/>
    <w:basedOn w:val="DefaultParagraphFont"/>
    <w:rsid w:val="009622D4"/>
    <w:rPr>
      <w:color w:val="0000CC"/>
    </w:rPr>
  </w:style>
  <w:style w:type="character" w:customStyle="1" w:styleId="a">
    <w:name w:val="a"/>
    <w:basedOn w:val="DefaultParagraphFont"/>
    <w:rsid w:val="009622D4"/>
  </w:style>
  <w:style w:type="table" w:customStyle="1" w:styleId="TableGrid1">
    <w:name w:val="Table Grid1"/>
    <w:basedOn w:val="TableNormal"/>
    <w:next w:val="TableGrid"/>
    <w:uiPriority w:val="59"/>
    <w:rsid w:val="009622D4"/>
    <w:pPr>
      <w:spacing w:after="0" w:line="240" w:lineRule="auto"/>
    </w:pPr>
    <w:rPr>
      <w:rFonts w:ascii="Cambria" w:eastAsia="MS Mincho" w:hAnsi="Cambria" w:cs="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22D4"/>
    <w:pPr>
      <w:spacing w:after="0" w:line="240" w:lineRule="auto"/>
    </w:pPr>
    <w:rPr>
      <w:rFonts w:ascii="Cambria" w:eastAsia="MS Mincho" w:hAnsi="Cambria" w:cs="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9622D4"/>
  </w:style>
  <w:style w:type="character" w:customStyle="1" w:styleId="glossary-term">
    <w:name w:val="glossary-term"/>
    <w:basedOn w:val="DefaultParagraphFont"/>
    <w:rsid w:val="006069D7"/>
  </w:style>
  <w:style w:type="character" w:customStyle="1" w:styleId="st">
    <w:name w:val="st"/>
    <w:basedOn w:val="DefaultParagraphFont"/>
    <w:rsid w:val="008A54AB"/>
  </w:style>
  <w:style w:type="character" w:customStyle="1" w:styleId="tgc">
    <w:name w:val="_tgc"/>
    <w:basedOn w:val="DefaultParagraphFont"/>
    <w:rsid w:val="00FF5033"/>
  </w:style>
  <w:style w:type="character" w:styleId="Emphasis">
    <w:name w:val="Emphasis"/>
    <w:basedOn w:val="DefaultParagraphFont"/>
    <w:uiPriority w:val="20"/>
    <w:qFormat/>
    <w:rsid w:val="008D1BBA"/>
    <w:rPr>
      <w:b/>
      <w:bCs/>
      <w:i w:val="0"/>
      <w:iCs w:val="0"/>
    </w:rPr>
  </w:style>
  <w:style w:type="paragraph" w:customStyle="1" w:styleId="Text">
    <w:name w:val="Text"/>
    <w:basedOn w:val="Normal"/>
    <w:qFormat/>
    <w:rsid w:val="005401C4"/>
    <w:pPr>
      <w:spacing w:after="60" w:line="240" w:lineRule="auto"/>
      <w:jc w:val="both"/>
    </w:pPr>
    <w:rPr>
      <w:rFonts w:ascii="Times New Roman" w:eastAsiaTheme="minorHAnsi" w:hAnsi="Times New Roman"/>
      <w:color w:val="000000"/>
      <w:sz w:val="24"/>
      <w:szCs w:val="24"/>
      <w:lang w:val="en-US"/>
    </w:rPr>
  </w:style>
  <w:style w:type="paragraph" w:customStyle="1" w:styleId="Heading-Question">
    <w:name w:val="Heading-Question"/>
    <w:basedOn w:val="Normal"/>
    <w:rsid w:val="005401C4"/>
    <w:pPr>
      <w:numPr>
        <w:numId w:val="37"/>
      </w:numPr>
      <w:spacing w:after="60" w:line="240" w:lineRule="auto"/>
    </w:pPr>
    <w:rPr>
      <w:rFonts w:ascii="Times New Roman" w:eastAsiaTheme="minorHAnsi" w:hAnsi="Times New Roman"/>
      <w:i/>
      <w:iCs/>
      <w:color w:val="000000"/>
      <w:sz w:val="24"/>
      <w:szCs w:val="24"/>
      <w:lang w:val="en-US"/>
    </w:rPr>
  </w:style>
  <w:style w:type="paragraph" w:customStyle="1" w:styleId="BodyTextR">
    <w:name w:val="Body Text R"/>
    <w:basedOn w:val="Normal"/>
    <w:rsid w:val="005401C4"/>
    <w:pPr>
      <w:spacing w:before="240" w:after="240" w:line="240" w:lineRule="auto"/>
    </w:pPr>
    <w:rPr>
      <w:rFonts w:ascii="Times New Roman" w:eastAsiaTheme="minorHAnsi" w:hAnsi="Times New Roman"/>
      <w:sz w:val="24"/>
      <w:szCs w:val="24"/>
      <w:u w:val="single"/>
      <w:lang w:val="en-US"/>
    </w:rPr>
  </w:style>
  <w:style w:type="paragraph" w:styleId="Revision">
    <w:name w:val="Revision"/>
    <w:hidden/>
    <w:uiPriority w:val="99"/>
    <w:semiHidden/>
    <w:rsid w:val="00941254"/>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878861">
      <w:bodyDiv w:val="1"/>
      <w:marLeft w:val="0"/>
      <w:marRight w:val="0"/>
      <w:marTop w:val="0"/>
      <w:marBottom w:val="0"/>
      <w:divBdr>
        <w:top w:val="none" w:sz="0" w:space="0" w:color="auto"/>
        <w:left w:val="none" w:sz="0" w:space="0" w:color="auto"/>
        <w:bottom w:val="none" w:sz="0" w:space="0" w:color="auto"/>
        <w:right w:val="none" w:sz="0" w:space="0" w:color="auto"/>
      </w:divBdr>
      <w:divsChild>
        <w:div w:id="1983343372">
          <w:marLeft w:val="0"/>
          <w:marRight w:val="0"/>
          <w:marTop w:val="0"/>
          <w:marBottom w:val="0"/>
          <w:divBdr>
            <w:top w:val="none" w:sz="0" w:space="0" w:color="auto"/>
            <w:left w:val="none" w:sz="0" w:space="0" w:color="auto"/>
            <w:bottom w:val="none" w:sz="0" w:space="0" w:color="auto"/>
            <w:right w:val="none" w:sz="0" w:space="0" w:color="auto"/>
          </w:divBdr>
          <w:divsChild>
            <w:div w:id="178852982">
              <w:marLeft w:val="0"/>
              <w:marRight w:val="0"/>
              <w:marTop w:val="0"/>
              <w:marBottom w:val="0"/>
              <w:divBdr>
                <w:top w:val="none" w:sz="0" w:space="0" w:color="auto"/>
                <w:left w:val="none" w:sz="0" w:space="0" w:color="auto"/>
                <w:bottom w:val="none" w:sz="0" w:space="0" w:color="auto"/>
                <w:right w:val="none" w:sz="0" w:space="0" w:color="auto"/>
              </w:divBdr>
              <w:divsChild>
                <w:div w:id="1234123904">
                  <w:marLeft w:val="0"/>
                  <w:marRight w:val="0"/>
                  <w:marTop w:val="0"/>
                  <w:marBottom w:val="0"/>
                  <w:divBdr>
                    <w:top w:val="none" w:sz="0" w:space="0" w:color="auto"/>
                    <w:left w:val="none" w:sz="0" w:space="0" w:color="auto"/>
                    <w:bottom w:val="none" w:sz="0" w:space="0" w:color="auto"/>
                    <w:right w:val="none" w:sz="0" w:space="0" w:color="auto"/>
                  </w:divBdr>
                  <w:divsChild>
                    <w:div w:id="900751425">
                      <w:marLeft w:val="0"/>
                      <w:marRight w:val="0"/>
                      <w:marTop w:val="0"/>
                      <w:marBottom w:val="0"/>
                      <w:divBdr>
                        <w:top w:val="none" w:sz="0" w:space="0" w:color="auto"/>
                        <w:left w:val="none" w:sz="0" w:space="0" w:color="auto"/>
                        <w:bottom w:val="none" w:sz="0" w:space="0" w:color="auto"/>
                        <w:right w:val="none" w:sz="0" w:space="0" w:color="auto"/>
                      </w:divBdr>
                      <w:divsChild>
                        <w:div w:id="1198665195">
                          <w:marLeft w:val="0"/>
                          <w:marRight w:val="0"/>
                          <w:marTop w:val="0"/>
                          <w:marBottom w:val="0"/>
                          <w:divBdr>
                            <w:top w:val="none" w:sz="0" w:space="0" w:color="auto"/>
                            <w:left w:val="none" w:sz="0" w:space="0" w:color="auto"/>
                            <w:bottom w:val="none" w:sz="0" w:space="0" w:color="auto"/>
                            <w:right w:val="none" w:sz="0" w:space="0" w:color="auto"/>
                          </w:divBdr>
                          <w:divsChild>
                            <w:div w:id="609778331">
                              <w:marLeft w:val="0"/>
                              <w:marRight w:val="0"/>
                              <w:marTop w:val="0"/>
                              <w:marBottom w:val="0"/>
                              <w:divBdr>
                                <w:top w:val="none" w:sz="0" w:space="0" w:color="auto"/>
                                <w:left w:val="none" w:sz="0" w:space="0" w:color="auto"/>
                                <w:bottom w:val="none" w:sz="0" w:space="0" w:color="auto"/>
                                <w:right w:val="none" w:sz="0" w:space="0" w:color="auto"/>
                              </w:divBdr>
                              <w:divsChild>
                                <w:div w:id="2106994095">
                                  <w:marLeft w:val="0"/>
                                  <w:marRight w:val="0"/>
                                  <w:marTop w:val="0"/>
                                  <w:marBottom w:val="0"/>
                                  <w:divBdr>
                                    <w:top w:val="none" w:sz="0" w:space="0" w:color="auto"/>
                                    <w:left w:val="none" w:sz="0" w:space="0" w:color="auto"/>
                                    <w:bottom w:val="none" w:sz="0" w:space="0" w:color="auto"/>
                                    <w:right w:val="none" w:sz="0" w:space="0" w:color="auto"/>
                                  </w:divBdr>
                                  <w:divsChild>
                                    <w:div w:id="958101349">
                                      <w:marLeft w:val="0"/>
                                      <w:marRight w:val="0"/>
                                      <w:marTop w:val="0"/>
                                      <w:marBottom w:val="0"/>
                                      <w:divBdr>
                                        <w:top w:val="none" w:sz="0" w:space="0" w:color="auto"/>
                                        <w:left w:val="none" w:sz="0" w:space="0" w:color="auto"/>
                                        <w:bottom w:val="none" w:sz="0" w:space="0" w:color="auto"/>
                                        <w:right w:val="none" w:sz="0" w:space="0" w:color="auto"/>
                                      </w:divBdr>
                                      <w:divsChild>
                                        <w:div w:id="2046245647">
                                          <w:marLeft w:val="0"/>
                                          <w:marRight w:val="0"/>
                                          <w:marTop w:val="0"/>
                                          <w:marBottom w:val="0"/>
                                          <w:divBdr>
                                            <w:top w:val="none" w:sz="0" w:space="0" w:color="auto"/>
                                            <w:left w:val="none" w:sz="0" w:space="0" w:color="auto"/>
                                            <w:bottom w:val="none" w:sz="0" w:space="0" w:color="auto"/>
                                            <w:right w:val="none" w:sz="0" w:space="0" w:color="auto"/>
                                          </w:divBdr>
                                          <w:divsChild>
                                            <w:div w:id="740638921">
                                              <w:marLeft w:val="0"/>
                                              <w:marRight w:val="0"/>
                                              <w:marTop w:val="0"/>
                                              <w:marBottom w:val="0"/>
                                              <w:divBdr>
                                                <w:top w:val="none" w:sz="0" w:space="0" w:color="auto"/>
                                                <w:left w:val="none" w:sz="0" w:space="0" w:color="auto"/>
                                                <w:bottom w:val="none" w:sz="0" w:space="0" w:color="auto"/>
                                                <w:right w:val="none" w:sz="0" w:space="0" w:color="auto"/>
                                              </w:divBdr>
                                              <w:divsChild>
                                                <w:div w:id="2074572573">
                                                  <w:marLeft w:val="0"/>
                                                  <w:marRight w:val="0"/>
                                                  <w:marTop w:val="0"/>
                                                  <w:marBottom w:val="0"/>
                                                  <w:divBdr>
                                                    <w:top w:val="none" w:sz="0" w:space="0" w:color="auto"/>
                                                    <w:left w:val="none" w:sz="0" w:space="0" w:color="auto"/>
                                                    <w:bottom w:val="none" w:sz="0" w:space="0" w:color="auto"/>
                                                    <w:right w:val="none" w:sz="0" w:space="0" w:color="auto"/>
                                                  </w:divBdr>
                                                  <w:divsChild>
                                                    <w:div w:id="1934900018">
                                                      <w:marLeft w:val="0"/>
                                                      <w:marRight w:val="0"/>
                                                      <w:marTop w:val="0"/>
                                                      <w:marBottom w:val="0"/>
                                                      <w:divBdr>
                                                        <w:top w:val="none" w:sz="0" w:space="0" w:color="auto"/>
                                                        <w:left w:val="none" w:sz="0" w:space="0" w:color="auto"/>
                                                        <w:bottom w:val="none" w:sz="0" w:space="0" w:color="auto"/>
                                                        <w:right w:val="none" w:sz="0" w:space="0" w:color="auto"/>
                                                      </w:divBdr>
                                                      <w:divsChild>
                                                        <w:div w:id="923412462">
                                                          <w:marLeft w:val="0"/>
                                                          <w:marRight w:val="0"/>
                                                          <w:marTop w:val="0"/>
                                                          <w:marBottom w:val="0"/>
                                                          <w:divBdr>
                                                            <w:top w:val="none" w:sz="0" w:space="0" w:color="auto"/>
                                                            <w:left w:val="none" w:sz="0" w:space="0" w:color="auto"/>
                                                            <w:bottom w:val="none" w:sz="0" w:space="0" w:color="auto"/>
                                                            <w:right w:val="none" w:sz="0" w:space="0" w:color="auto"/>
                                                          </w:divBdr>
                                                          <w:divsChild>
                                                            <w:div w:id="2147041146">
                                                              <w:marLeft w:val="0"/>
                                                              <w:marRight w:val="0"/>
                                                              <w:marTop w:val="0"/>
                                                              <w:marBottom w:val="0"/>
                                                              <w:divBdr>
                                                                <w:top w:val="none" w:sz="0" w:space="0" w:color="auto"/>
                                                                <w:left w:val="none" w:sz="0" w:space="0" w:color="auto"/>
                                                                <w:bottom w:val="none" w:sz="0" w:space="0" w:color="auto"/>
                                                                <w:right w:val="none" w:sz="0" w:space="0" w:color="auto"/>
                                                              </w:divBdr>
                                                              <w:divsChild>
                                                                <w:div w:id="526985025">
                                                                  <w:marLeft w:val="0"/>
                                                                  <w:marRight w:val="0"/>
                                                                  <w:marTop w:val="0"/>
                                                                  <w:marBottom w:val="0"/>
                                                                  <w:divBdr>
                                                                    <w:top w:val="none" w:sz="0" w:space="0" w:color="auto"/>
                                                                    <w:left w:val="none" w:sz="0" w:space="0" w:color="auto"/>
                                                                    <w:bottom w:val="none" w:sz="0" w:space="0" w:color="auto"/>
                                                                    <w:right w:val="none" w:sz="0" w:space="0" w:color="auto"/>
                                                                  </w:divBdr>
                                                                  <w:divsChild>
                                                                    <w:div w:id="1123503797">
                                                                      <w:marLeft w:val="0"/>
                                                                      <w:marRight w:val="0"/>
                                                                      <w:marTop w:val="0"/>
                                                                      <w:marBottom w:val="0"/>
                                                                      <w:divBdr>
                                                                        <w:top w:val="none" w:sz="0" w:space="0" w:color="auto"/>
                                                                        <w:left w:val="none" w:sz="0" w:space="0" w:color="auto"/>
                                                                        <w:bottom w:val="none" w:sz="0" w:space="0" w:color="auto"/>
                                                                        <w:right w:val="none" w:sz="0" w:space="0" w:color="auto"/>
                                                                      </w:divBdr>
                                                                      <w:divsChild>
                                                                        <w:div w:id="943539857">
                                                                          <w:marLeft w:val="0"/>
                                                                          <w:marRight w:val="0"/>
                                                                          <w:marTop w:val="0"/>
                                                                          <w:marBottom w:val="0"/>
                                                                          <w:divBdr>
                                                                            <w:top w:val="none" w:sz="0" w:space="0" w:color="auto"/>
                                                                            <w:left w:val="none" w:sz="0" w:space="0" w:color="auto"/>
                                                                            <w:bottom w:val="none" w:sz="0" w:space="0" w:color="auto"/>
                                                                            <w:right w:val="none" w:sz="0" w:space="0" w:color="auto"/>
                                                                          </w:divBdr>
                                                                          <w:divsChild>
                                                                            <w:div w:id="414131714">
                                                                              <w:marLeft w:val="0"/>
                                                                              <w:marRight w:val="0"/>
                                                                              <w:marTop w:val="0"/>
                                                                              <w:marBottom w:val="0"/>
                                                                              <w:divBdr>
                                                                                <w:top w:val="none" w:sz="0" w:space="0" w:color="auto"/>
                                                                                <w:left w:val="none" w:sz="0" w:space="0" w:color="auto"/>
                                                                                <w:bottom w:val="none" w:sz="0" w:space="0" w:color="auto"/>
                                                                                <w:right w:val="none" w:sz="0" w:space="0" w:color="auto"/>
                                                                              </w:divBdr>
                                                                              <w:divsChild>
                                                                                <w:div w:id="2004579897">
                                                                                  <w:marLeft w:val="0"/>
                                                                                  <w:marRight w:val="0"/>
                                                                                  <w:marTop w:val="0"/>
                                                                                  <w:marBottom w:val="0"/>
                                                                                  <w:divBdr>
                                                                                    <w:top w:val="none" w:sz="0" w:space="0" w:color="auto"/>
                                                                                    <w:left w:val="none" w:sz="0" w:space="0" w:color="auto"/>
                                                                                    <w:bottom w:val="none" w:sz="0" w:space="0" w:color="auto"/>
                                                                                    <w:right w:val="none" w:sz="0" w:space="0" w:color="auto"/>
                                                                                  </w:divBdr>
                                                                                  <w:divsChild>
                                                                                    <w:div w:id="1968385928">
                                                                                      <w:marLeft w:val="0"/>
                                                                                      <w:marRight w:val="0"/>
                                                                                      <w:marTop w:val="0"/>
                                                                                      <w:marBottom w:val="0"/>
                                                                                      <w:divBdr>
                                                                                        <w:top w:val="none" w:sz="0" w:space="0" w:color="auto"/>
                                                                                        <w:left w:val="none" w:sz="0" w:space="0" w:color="auto"/>
                                                                                        <w:bottom w:val="none" w:sz="0" w:space="0" w:color="auto"/>
                                                                                        <w:right w:val="none" w:sz="0" w:space="0" w:color="auto"/>
                                                                                      </w:divBdr>
                                                                                      <w:divsChild>
                                                                                        <w:div w:id="1054038899">
                                                                                          <w:marLeft w:val="0"/>
                                                                                          <w:marRight w:val="0"/>
                                                                                          <w:marTop w:val="0"/>
                                                                                          <w:marBottom w:val="0"/>
                                                                                          <w:divBdr>
                                                                                            <w:top w:val="none" w:sz="0" w:space="0" w:color="auto"/>
                                                                                            <w:left w:val="none" w:sz="0" w:space="0" w:color="auto"/>
                                                                                            <w:bottom w:val="none" w:sz="0" w:space="0" w:color="auto"/>
                                                                                            <w:right w:val="none" w:sz="0" w:space="0" w:color="auto"/>
                                                                                          </w:divBdr>
                                                                                          <w:divsChild>
                                                                                            <w:div w:id="477235479">
                                                                                              <w:marLeft w:val="300"/>
                                                                                              <w:marRight w:val="0"/>
                                                                                              <w:marTop w:val="0"/>
                                                                                              <w:marBottom w:val="0"/>
                                                                                              <w:divBdr>
                                                                                                <w:top w:val="none" w:sz="0" w:space="0" w:color="auto"/>
                                                                                                <w:left w:val="none" w:sz="0" w:space="0" w:color="auto"/>
                                                                                                <w:bottom w:val="none" w:sz="0" w:space="0" w:color="auto"/>
                                                                                                <w:right w:val="none" w:sz="0" w:space="0" w:color="auto"/>
                                                                                              </w:divBdr>
                                                                                              <w:divsChild>
                                                                                                <w:div w:id="934244727">
                                                                                                  <w:marLeft w:val="-300"/>
                                                                                                  <w:marRight w:val="0"/>
                                                                                                  <w:marTop w:val="0"/>
                                                                                                  <w:marBottom w:val="0"/>
                                                                                                  <w:divBdr>
                                                                                                    <w:top w:val="none" w:sz="0" w:space="0" w:color="auto"/>
                                                                                                    <w:left w:val="none" w:sz="0" w:space="0" w:color="auto"/>
                                                                                                    <w:bottom w:val="none" w:sz="0" w:space="0" w:color="auto"/>
                                                                                                    <w:right w:val="none" w:sz="0" w:space="0" w:color="auto"/>
                                                                                                  </w:divBdr>
                                                                                                  <w:divsChild>
                                                                                                    <w:div w:id="7851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4266685">
      <w:bodyDiv w:val="1"/>
      <w:marLeft w:val="0"/>
      <w:marRight w:val="0"/>
      <w:marTop w:val="0"/>
      <w:marBottom w:val="0"/>
      <w:divBdr>
        <w:top w:val="none" w:sz="0" w:space="0" w:color="auto"/>
        <w:left w:val="none" w:sz="0" w:space="0" w:color="auto"/>
        <w:bottom w:val="none" w:sz="0" w:space="0" w:color="auto"/>
        <w:right w:val="none" w:sz="0" w:space="0" w:color="auto"/>
      </w:divBdr>
    </w:div>
    <w:div w:id="1973052287">
      <w:bodyDiv w:val="1"/>
      <w:marLeft w:val="0"/>
      <w:marRight w:val="0"/>
      <w:marTop w:val="0"/>
      <w:marBottom w:val="0"/>
      <w:divBdr>
        <w:top w:val="none" w:sz="0" w:space="0" w:color="auto"/>
        <w:left w:val="none" w:sz="0" w:space="0" w:color="auto"/>
        <w:bottom w:val="none" w:sz="0" w:space="0" w:color="auto"/>
        <w:right w:val="none" w:sz="0" w:space="0" w:color="auto"/>
      </w:divBdr>
      <w:divsChild>
        <w:div w:id="630401904">
          <w:marLeft w:val="0"/>
          <w:marRight w:val="0"/>
          <w:marTop w:val="0"/>
          <w:marBottom w:val="0"/>
          <w:divBdr>
            <w:top w:val="none" w:sz="0" w:space="0" w:color="auto"/>
            <w:left w:val="none" w:sz="0" w:space="0" w:color="auto"/>
            <w:bottom w:val="none" w:sz="0" w:space="0" w:color="auto"/>
            <w:right w:val="none" w:sz="0" w:space="0" w:color="auto"/>
          </w:divBdr>
          <w:divsChild>
            <w:div w:id="1458838868">
              <w:marLeft w:val="0"/>
              <w:marRight w:val="0"/>
              <w:marTop w:val="0"/>
              <w:marBottom w:val="0"/>
              <w:divBdr>
                <w:top w:val="none" w:sz="0" w:space="0" w:color="auto"/>
                <w:left w:val="none" w:sz="0" w:space="0" w:color="auto"/>
                <w:bottom w:val="none" w:sz="0" w:space="0" w:color="auto"/>
                <w:right w:val="none" w:sz="0" w:space="0" w:color="auto"/>
              </w:divBdr>
              <w:divsChild>
                <w:div w:id="268051841">
                  <w:marLeft w:val="0"/>
                  <w:marRight w:val="0"/>
                  <w:marTop w:val="0"/>
                  <w:marBottom w:val="0"/>
                  <w:divBdr>
                    <w:top w:val="none" w:sz="0" w:space="0" w:color="auto"/>
                    <w:left w:val="none" w:sz="0" w:space="0" w:color="auto"/>
                    <w:bottom w:val="none" w:sz="0" w:space="0" w:color="auto"/>
                    <w:right w:val="none" w:sz="0" w:space="0" w:color="auto"/>
                  </w:divBdr>
                  <w:divsChild>
                    <w:div w:id="1220744938">
                      <w:marLeft w:val="0"/>
                      <w:marRight w:val="0"/>
                      <w:marTop w:val="0"/>
                      <w:marBottom w:val="0"/>
                      <w:divBdr>
                        <w:top w:val="none" w:sz="0" w:space="0" w:color="auto"/>
                        <w:left w:val="none" w:sz="0" w:space="0" w:color="auto"/>
                        <w:bottom w:val="none" w:sz="0" w:space="0" w:color="auto"/>
                        <w:right w:val="none" w:sz="0" w:space="0" w:color="auto"/>
                      </w:divBdr>
                      <w:divsChild>
                        <w:div w:id="1617788442">
                          <w:marLeft w:val="0"/>
                          <w:marRight w:val="0"/>
                          <w:marTop w:val="0"/>
                          <w:marBottom w:val="0"/>
                          <w:divBdr>
                            <w:top w:val="none" w:sz="0" w:space="0" w:color="auto"/>
                            <w:left w:val="none" w:sz="0" w:space="0" w:color="auto"/>
                            <w:bottom w:val="none" w:sz="0" w:space="0" w:color="auto"/>
                            <w:right w:val="none" w:sz="0" w:space="0" w:color="auto"/>
                          </w:divBdr>
                          <w:divsChild>
                            <w:div w:id="136367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64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tga.gov.au/product-information-pi" TargetMode="External"/><Relationship Id="rId25" Type="http://schemas.openxmlformats.org/officeDocument/2006/relationships/header" Target="header7.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s://www.tga.gov.au" TargetMode="External"/><Relationship Id="rId28" Type="http://schemas.openxmlformats.org/officeDocument/2006/relationships/footer" Target="footer4.xml"/><Relationship Id="rId10" Type="http://schemas.openxmlformats.org/officeDocument/2006/relationships/hyperlink" Target="mailto:tga.copyright@tga.gov.a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CD4" TargetMode="External"/><Relationship Id="rId1" Type="http://schemas.openxmlformats.org/officeDocument/2006/relationships/hyperlink" Target="http://www.tga.gov.au/pdf.euguide/ich030295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4000\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07E14-BD02-4C20-AEC5-9C72A490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311</TotalTime>
  <Pages>67</Pages>
  <Words>26340</Words>
  <Characters>141974</Characters>
  <Application>Microsoft Office Word</Application>
  <DocSecurity>0</DocSecurity>
  <Lines>3154</Lines>
  <Paragraphs>1414</Paragraphs>
  <ScaleCrop>false</ScaleCrop>
  <HeadingPairs>
    <vt:vector size="2" baseType="variant">
      <vt:variant>
        <vt:lpstr>Title</vt:lpstr>
      </vt:variant>
      <vt:variant>
        <vt:i4>1</vt:i4>
      </vt:variant>
    </vt:vector>
  </HeadingPairs>
  <TitlesOfParts>
    <vt:vector size="1" baseType="lpstr">
      <vt:lpstr>Australian Public Assessment Report for Simoctocog alfa rhu</vt:lpstr>
    </vt:vector>
  </TitlesOfParts>
  <Company>Therapeutic Goods Administration</Company>
  <LinksUpToDate>false</LinksUpToDate>
  <CharactersWithSpaces>166900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Simoctocog alfa rhu</dc:title>
  <dc:subject>prescription medicines</dc:subject>
  <dc:creator>Therapeutic Goods Administration</dc:creator>
  <cp:keywords>AusPARs</cp:keywords>
  <cp:lastModifiedBy>Lack, Janet</cp:lastModifiedBy>
  <cp:revision>4</cp:revision>
  <cp:lastPrinted>2015-05-18T03:19:00Z</cp:lastPrinted>
  <dcterms:created xsi:type="dcterms:W3CDTF">2016-06-09T03:42:00Z</dcterms:created>
  <dcterms:modified xsi:type="dcterms:W3CDTF">2016-06-14T05:59:00Z</dcterms:modified>
</cp:coreProperties>
</file>